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7D118" w14:textId="77777777" w:rsidR="00A77CB1" w:rsidRPr="00AF3075" w:rsidRDefault="00A77CB1" w:rsidP="007147C2">
      <w:pPr>
        <w:spacing w:before="0" w:after="0"/>
        <w:jc w:val="center"/>
        <w:rPr>
          <w:rFonts w:cs="Arial"/>
          <w:b/>
        </w:rPr>
      </w:pPr>
      <w:bookmarkStart w:id="0" w:name="_GoBack"/>
      <w:r w:rsidRPr="00AF3075">
        <w:rPr>
          <w:noProof/>
          <w:lang w:val="en-GB" w:eastAsia="en-GB"/>
        </w:rPr>
        <w:drawing>
          <wp:anchor distT="0" distB="0" distL="118745" distR="118745" simplePos="0" relativeHeight="251662336" behindDoc="0" locked="0" layoutInCell="1" allowOverlap="1" wp14:anchorId="5CA344A9" wp14:editId="7E8DF9E2">
            <wp:simplePos x="0" y="0"/>
            <wp:positionH relativeFrom="page">
              <wp:posOffset>342900</wp:posOffset>
            </wp:positionH>
            <wp:positionV relativeFrom="page">
              <wp:posOffset>342900</wp:posOffset>
            </wp:positionV>
            <wp:extent cx="6858000" cy="9944100"/>
            <wp:effectExtent l="0" t="0" r="0" b="12700"/>
            <wp:wrapNone/>
            <wp:docPr id="1" name="Picture 1"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Overlay-Cover.png"/>
                    <pic:cNvPicPr/>
                  </pic:nvPicPr>
                  <pic:blipFill>
                    <a:blip r:embed="rId9">
                      <a:duotone>
                        <a:prstClr val="black"/>
                        <a:schemeClr val="accent1">
                          <a:tint val="45000"/>
                          <a:satMod val="400000"/>
                        </a:schemeClr>
                      </a:duotone>
                      <a:extLst>
                        <a:ext uri="{BEBA8EAE-BF5A-486C-A8C5-ECC9F3942E4B}">
                          <a14:imgProps xmlns:a14="http://schemas.microsoft.com/office/drawing/2010/main">
                            <a14:imgLayer r:embed="rId10">
                              <a14:imgEffect>
                                <a14:saturation sat="33000"/>
                              </a14:imgEffect>
                            </a14:imgLayer>
                          </a14:imgProps>
                        </a:ext>
                      </a:extLst>
                    </a:blip>
                    <a:stretch>
                      <a:fillRect/>
                    </a:stretch>
                  </pic:blipFill>
                  <pic:spPr>
                    <a:xfrm>
                      <a:off x="0" y="0"/>
                      <a:ext cx="6858000" cy="9944100"/>
                    </a:xfrm>
                    <a:prstGeom prst="round2DiagRect">
                      <a:avLst/>
                    </a:prstGeom>
                    <a:gradFill flip="none" rotWithShape="1">
                      <a:gsLst>
                        <a:gs pos="0">
                          <a:schemeClr val="bg2"/>
                        </a:gs>
                        <a:gs pos="100000">
                          <a:schemeClr val="tx2"/>
                        </a:gs>
                      </a:gsLst>
                      <a:lin ang="5400000" scaled="0"/>
                      <a:tileRect/>
                    </a:gradFill>
                  </pic:spPr>
                </pic:pic>
              </a:graphicData>
            </a:graphic>
            <wp14:sizeRelV relativeFrom="margin">
              <wp14:pctHeight>0</wp14:pctHeight>
            </wp14:sizeRelV>
          </wp:anchor>
        </w:drawing>
      </w:r>
      <w:bookmarkEnd w:id="0"/>
    </w:p>
    <w:p w14:paraId="7EED481A" w14:textId="194FCF76" w:rsidR="00A77CB1" w:rsidRPr="00AF3075" w:rsidRDefault="00C33A82">
      <w:pPr>
        <w:spacing w:before="0" w:after="0"/>
        <w:rPr>
          <w:rFonts w:cs="Arial"/>
          <w:b/>
        </w:rPr>
      </w:pPr>
      <w:r w:rsidRPr="00AF3075">
        <w:rPr>
          <w:noProof/>
          <w:lang w:val="en-GB" w:eastAsia="en-GB"/>
        </w:rPr>
        <mc:AlternateContent>
          <mc:Choice Requires="wps">
            <w:drawing>
              <wp:anchor distT="0" distB="0" distL="114300" distR="114300" simplePos="0" relativeHeight="251668480" behindDoc="0" locked="0" layoutInCell="1" allowOverlap="1" wp14:anchorId="5873745A" wp14:editId="55E86B37">
                <wp:simplePos x="0" y="0"/>
                <wp:positionH relativeFrom="page">
                  <wp:posOffset>2400300</wp:posOffset>
                </wp:positionH>
                <wp:positionV relativeFrom="page">
                  <wp:posOffset>5029200</wp:posOffset>
                </wp:positionV>
                <wp:extent cx="4191000" cy="571500"/>
                <wp:effectExtent l="0" t="0" r="0" b="12700"/>
                <wp:wrapTight wrapText="bothSides">
                  <wp:wrapPolygon edited="0">
                    <wp:start x="131" y="0"/>
                    <wp:lineTo x="131" y="21120"/>
                    <wp:lineTo x="21338" y="21120"/>
                    <wp:lineTo x="21338" y="0"/>
                    <wp:lineTo x="131"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DDBA3C" w14:textId="0903A70C" w:rsidR="001A5598" w:rsidRPr="00241D25" w:rsidRDefault="001A5598" w:rsidP="00A77CB1">
                            <w:pPr>
                              <w:pStyle w:val="Subtitle"/>
                              <w:jc w:val="center"/>
                              <w:rPr>
                                <w:sz w:val="40"/>
                              </w:rPr>
                            </w:pPr>
                            <w:r>
                              <w:rPr>
                                <w:sz w:val="40"/>
                              </w:rPr>
                              <w:t>Final paper</w:t>
                            </w:r>
                          </w:p>
                          <w:p w14:paraId="363E71A7" w14:textId="77777777" w:rsidR="001A5598" w:rsidRPr="00C44C4F" w:rsidRDefault="001A5598" w:rsidP="00A77CB1">
                            <w:pPr>
                              <w:pStyle w:val="Subtitle"/>
                              <w:jc w:val="center"/>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189pt;margin-top:396pt;width:330pt;height: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UQvMCAABPBgAADgAAAGRycy9lMm9Eb2MueG1srFVtb5swEP4+af/B8ncKZiQBVFIlIUyTuhep&#10;3Q9wwARrYDPbKemm/fedTZIm3SZV2/IBmfPx3N3z3F2ub/Zdix6Y0lyKDJOrACMmSllxsc3w5/vC&#10;izHShoqKtlKwDD8yjW/mr19dD33KQtnItmIKAYjQ6dBnuDGmT31flw3rqL6SPRNwWUvVUQOvautX&#10;ig6A3rV+GARTf5Cq6pUsmdZgzcdLPHf4dc1K87GuNTOozTDkZtxTuefGPv35NU23ivYNLw9p0L/I&#10;oqNcQNATVE4NRTvFf4HqeKmklrW5KmXny7rmJXM1QDUkeFbNXUN75moBcnR/okn/P9jyw8MnhXiV&#10;4TdAj6AdaHTP9gYt5R4Rx8/Q6xTc7npwNHuwg86uVt3fyvKLRkKuGiq2bKGUHBpGK8iPWGb9s0+t&#10;IjrVFmQzvJcVxKE7Ix3QvladJQ/oQIAOiTyetLG5lGCMSEKCAK5KuJvMyATONgRNj1/3Spu3THbI&#10;HjKsQHuHTh9utRldjy42mJAFb1unfysuDIA5WiA2fGrvbBZOzu9JkKzjdRx5UThde1FQVd6iWEXe&#10;tCCzSf4mX61y8sPGJVHa8KpiwoY5thaJXibdocnHpjg1l5YtryycTUmr7WbVKvRAobUL9zsQcubm&#10;X6bh+IJanpVEwihYholXTOOZF9XRxEtmQewFJFkm0yBKory4LOmWC/bvJaEhw8kknIzN9MfaQHUr&#10;/KjgWW007biB5dHyLsPxyYmmtgXXonLSGsrb8XxGhU3/91QUi0U4BRW9PE6Aig0LvbgIIm+5iCZk&#10;NZsVJJ9ZKjrLa9/Sko0brGjp9kCIvXqZyB0tL7YZIb6TeqzUyQSteGxCN0x2fsZJMvvNHhztUG1k&#10;9QhjpSR0PQwIbGM4NFJ9w2iAzZZh/XVHFcOofSdgNBMSReBm3Asc1Ll1c7RSUQJEhg1G43FlxrW5&#10;6xXfNhBhXAJCLmCMa+4m7Cmbw/DD1nJEHzasXYvn787r6X9g/hMAAP//AwBQSwMEFAAGAAgAAAAh&#10;AEZftX7fAAAADAEAAA8AAABkcnMvZG93bnJldi54bWxMj8FOwzAQRO9I/IO1SNyo01SiIY1TARI9&#10;lQOFD9jG2yQQryPbbZJ+Pc4Jbruzo9k3xXY0nbiQ861lBctFAoK4srrlWsHX59tDBsIHZI2dZVIw&#10;kYdteXtTYK7twB90OYRaxBD2OSpoQuhzKX3VkEG/sD1xvJ2sMxji6mqpHQ4x3HQyTZJHabDl+KHB&#10;nl4bqn4OZ6PAXJdXt0c037spxaGfmt37/kWp+7vxeQMi0Bj+zDDjR3QoI9PRnll70SlYrbPYJShY&#10;P6VxmB3JapaOCrIsSrIs5P8S5S8AAAD//wMAUEsBAi0AFAAGAAgAAAAhAOSZw8D7AAAA4QEAABMA&#10;AAAAAAAAAAAAAAAAAAAAAFtDb250ZW50X1R5cGVzXS54bWxQSwECLQAUAAYACAAAACEAI7Jq4dcA&#10;AACUAQAACwAAAAAAAAAAAAAAAAAsAQAAX3JlbHMvLnJlbHNQSwECLQAUAAYACAAAACEAWoVUQvMC&#10;AABPBgAADgAAAAAAAAAAAAAAAAAsAgAAZHJzL2Uyb0RvYy54bWxQSwECLQAUAAYACAAAACEARl+1&#10;ft8AAAAMAQAADwAAAAAAAAAAAAAAAABLBQAAZHJzL2Rvd25yZXYueG1sUEsFBgAAAAAEAAQA8wAA&#10;AFcGAAAAAA==&#10;" filled="f" stroked="f">
                <v:textbox inset=",0,,0">
                  <w:txbxContent>
                    <w:p w14:paraId="55DDBA3C" w14:textId="0903A70C" w:rsidR="001A5598" w:rsidRPr="00241D25" w:rsidRDefault="001A5598" w:rsidP="00A77CB1">
                      <w:pPr>
                        <w:pStyle w:val="Subtitle"/>
                        <w:jc w:val="center"/>
                        <w:rPr>
                          <w:sz w:val="40"/>
                        </w:rPr>
                      </w:pPr>
                      <w:r>
                        <w:rPr>
                          <w:sz w:val="40"/>
                        </w:rPr>
                        <w:t>Final paper</w:t>
                      </w:r>
                    </w:p>
                    <w:p w14:paraId="363E71A7" w14:textId="77777777" w:rsidR="001A5598" w:rsidRPr="00C44C4F" w:rsidRDefault="001A5598" w:rsidP="00A77CB1">
                      <w:pPr>
                        <w:pStyle w:val="Subtitle"/>
                        <w:jc w:val="center"/>
                        <w:rPr>
                          <w:sz w:val="32"/>
                        </w:rPr>
                      </w:pPr>
                    </w:p>
                  </w:txbxContent>
                </v:textbox>
                <w10:wrap type="tight" anchorx="page" anchory="page"/>
              </v:shape>
            </w:pict>
          </mc:Fallback>
        </mc:AlternateContent>
      </w:r>
      <w:r w:rsidRPr="00AF3075">
        <w:rPr>
          <w:noProof/>
          <w:lang w:val="en-GB" w:eastAsia="en-GB"/>
        </w:rPr>
        <mc:AlternateContent>
          <mc:Choice Requires="wps">
            <w:drawing>
              <wp:anchor distT="0" distB="0" distL="114300" distR="114300" simplePos="0" relativeHeight="251674624" behindDoc="0" locked="0" layoutInCell="1" allowOverlap="1" wp14:anchorId="27B841EC" wp14:editId="5A830379">
                <wp:simplePos x="0" y="0"/>
                <wp:positionH relativeFrom="column">
                  <wp:posOffset>800100</wp:posOffset>
                </wp:positionH>
                <wp:positionV relativeFrom="paragraph">
                  <wp:posOffset>5528945</wp:posOffset>
                </wp:positionV>
                <wp:extent cx="5257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CD96B9" w14:textId="77777777" w:rsidR="001A5598" w:rsidRDefault="001A5598" w:rsidP="00241D25">
                            <w:pPr>
                              <w:pStyle w:val="Subtitle"/>
                              <w:jc w:val="center"/>
                              <w:rPr>
                                <w:sz w:val="32"/>
                              </w:rPr>
                            </w:pPr>
                            <w:r>
                              <w:rPr>
                                <w:sz w:val="32"/>
                              </w:rPr>
                              <w:t>Submitted to the</w:t>
                            </w:r>
                          </w:p>
                          <w:p w14:paraId="7F1BE549" w14:textId="67FC8A46" w:rsidR="001A5598" w:rsidRPr="00C44C4F" w:rsidRDefault="001A5598" w:rsidP="00241D25">
                            <w:pPr>
                              <w:pStyle w:val="Subtitle"/>
                              <w:jc w:val="center"/>
                              <w:rPr>
                                <w:sz w:val="32"/>
                              </w:rPr>
                            </w:pPr>
                            <w:r>
                              <w:rPr>
                                <w:sz w:val="32"/>
                              </w:rPr>
                              <w:t>Office of the High Commissioner for Human Rights on 9</w:t>
                            </w:r>
                            <w:r w:rsidRPr="00327D79">
                              <w:rPr>
                                <w:sz w:val="32"/>
                              </w:rPr>
                              <w:t xml:space="preserve"> </w:t>
                            </w:r>
                            <w:r>
                              <w:rPr>
                                <w:sz w:val="32"/>
                              </w:rPr>
                              <w:t>June</w:t>
                            </w:r>
                            <w:r w:rsidRPr="00327D79">
                              <w:rPr>
                                <w:sz w:val="32"/>
                              </w:rPr>
                              <w:t xml:space="preserve"> </w:t>
                            </w:r>
                            <w:r>
                              <w:rPr>
                                <w:sz w:val="32"/>
                              </w:rPr>
                              <w:t>2014</w:t>
                            </w:r>
                          </w:p>
                          <w:p w14:paraId="6C38168E" w14:textId="77777777" w:rsidR="001A5598" w:rsidRDefault="001A5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2" o:spid="_x0000_s1027" type="#_x0000_t202" style="position:absolute;margin-left:63pt;margin-top:435.35pt;width:414pt;height:8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nxXNACAAAWBgAADgAAAGRycy9lMm9Eb2MueG1srFRLb9swDL4P2H8QdE/9QNKkRp3CTZFhQNEV&#10;a4eeFVlKjOk1SUmcDfvvo2Q7Tbsd1mEXmyIpivz4kZdXrRRox6xrtCpxdpZixBTVdaPWJf7yuBzN&#10;MHKeqJoIrViJD8zhq/n7d5d7U7Bcb7SomUUQRLlib0q88d4USeLohknizrRhCoxcW0k8HO06qS3Z&#10;Q3QpkjxNz5O9trWxmjLnQHvTGfE8xuecUf+Jc8c8EiWG3Hz82vhdhW8yvyTF2hKzaWifBvmHLCRp&#10;FDx6DHVDPEFb2/wWSjbUaqe5P6NaJprzhrJYA1STpa+qedgQw2ItAI4zR5jc/wtL73b3FjV1iXOM&#10;FJHQokfWenStW5QHdPbGFeD0YMDNt6CGLg96B8pQdMutDH8oB4EdcD4csQ3BKCgn+WQ6S8FEwZal&#10;+WwKB4ifPF831vkPTEsUhBJbaF7ElOxune9cB5fwmtLLRojYQKFeKCBmp2GRAd1tUkAqIAbPkFTs&#10;zo/FZJpX08nF6LyaZKNxls5GVZXmo5tllVbpeLm4GF//hCwkycbFHnhigGUBIUBiKci670kw/11T&#10;JKEvKJxlSSRPVx8EjpAMqSYB/g7mKPmDYKEAoT4zDm2LaAdFHBi2EBbtCFCdUMqUj42KYIB38OIA&#10;2Fsu9v4RsgjlWy534A8va+WPl2WjtI2tfZV2/XVImXf+AMZJ3UH07aqNfD2ycKXrA5DT6m64naHL&#10;Bgh0S5y/JxamGUgHG8p/gg8Xel9i3UsYbbT9/id98Id+ghWj0PUSu29bYhlG4qOC8bvIxuOwTuJh&#10;DByCgz21rE4taisXGrqSwS40NIrB34tB5FbLJ1hkVXgVTERReLvEfhAXvttZsAgpq6roBAvEEH+r&#10;HgwNoUOTwng8tk/Emn6GPBDpTg97hBSvRqnzDTeVrrZe8ybOWcC5Q7XHH5ZPpGW/KMN2Oz1Hr+d1&#10;Pv8FAAD//wMAUEsDBBQABgAIAAAAIQCzWZE73wAAAAwBAAAPAAAAZHJzL2Rvd25yZXYueG1sTI/N&#10;TsMwEITvSLyDtUjcqE1omzbEqRCIK4j+SdzceJtExOsodpvw9t2e4Dg7o9lv8tXoWnHGPjSeNDxO&#10;FAik0tuGKg3bzfvDAkSIhqxpPaGGXwywKm5vcpNZP9AXntexElxCITMa6hi7TMpQ1uhMmPgOib2j&#10;752JLPtK2t4MXO5amSg1l840xB9q0+FrjeXP+uQ07D6O3/up+qze3Kwb/KgkuaXU+v5ufHkGEXGM&#10;f2G44jM6FMx08CeyQbSskzlviRoWqUpBcGI5m/LlwJZ6SlKQRS7/jyguAAAA//8DAFBLAQItABQA&#10;BgAIAAAAIQDkmcPA+wAAAOEBAAATAAAAAAAAAAAAAAAAAAAAAABbQ29udGVudF9UeXBlc10ueG1s&#10;UEsBAi0AFAAGAAgAAAAhACOyauHXAAAAlAEAAAsAAAAAAAAAAAAAAAAALAEAAF9yZWxzLy5yZWxz&#10;UEsBAi0AFAAGAAgAAAAhAEl58VzQAgAAFgYAAA4AAAAAAAAAAAAAAAAALAIAAGRycy9lMm9Eb2Mu&#10;eG1sUEsBAi0AFAAGAAgAAAAhALNZkTvfAAAADAEAAA8AAAAAAAAAAAAAAAAAKAUAAGRycy9kb3du&#10;cmV2LnhtbFBLBQYAAAAABAAEAPMAAAA0BgAAAAA=&#10;" filled="f" stroked="f">
                <v:textbox>
                  <w:txbxContent>
                    <w:p w14:paraId="19CD96B9" w14:textId="77777777" w:rsidR="001A5598" w:rsidRDefault="001A5598" w:rsidP="00241D25">
                      <w:pPr>
                        <w:pStyle w:val="Subtitle"/>
                        <w:jc w:val="center"/>
                        <w:rPr>
                          <w:sz w:val="32"/>
                        </w:rPr>
                      </w:pPr>
                      <w:r>
                        <w:rPr>
                          <w:sz w:val="32"/>
                        </w:rPr>
                        <w:t>Submitted to the</w:t>
                      </w:r>
                    </w:p>
                    <w:p w14:paraId="7F1BE549" w14:textId="67FC8A46" w:rsidR="001A5598" w:rsidRPr="00C44C4F" w:rsidRDefault="001A5598" w:rsidP="00241D25">
                      <w:pPr>
                        <w:pStyle w:val="Subtitle"/>
                        <w:jc w:val="center"/>
                        <w:rPr>
                          <w:sz w:val="32"/>
                        </w:rPr>
                      </w:pPr>
                      <w:r>
                        <w:rPr>
                          <w:sz w:val="32"/>
                        </w:rPr>
                        <w:t>Office of the High Commissioner for Human Rights on 9</w:t>
                      </w:r>
                      <w:r w:rsidRPr="00327D79">
                        <w:rPr>
                          <w:sz w:val="32"/>
                        </w:rPr>
                        <w:t xml:space="preserve"> </w:t>
                      </w:r>
                      <w:r>
                        <w:rPr>
                          <w:sz w:val="32"/>
                        </w:rPr>
                        <w:t>June</w:t>
                      </w:r>
                      <w:r w:rsidRPr="00327D79">
                        <w:rPr>
                          <w:sz w:val="32"/>
                        </w:rPr>
                        <w:t xml:space="preserve"> </w:t>
                      </w:r>
                      <w:r>
                        <w:rPr>
                          <w:sz w:val="32"/>
                        </w:rPr>
                        <w:t>2014</w:t>
                      </w:r>
                    </w:p>
                    <w:p w14:paraId="6C38168E" w14:textId="77777777" w:rsidR="001A5598" w:rsidRDefault="001A5598"/>
                  </w:txbxContent>
                </v:textbox>
                <w10:wrap type="square"/>
              </v:shape>
            </w:pict>
          </mc:Fallback>
        </mc:AlternateContent>
      </w:r>
      <w:r w:rsidRPr="00AF3075">
        <w:rPr>
          <w:noProof/>
          <w:lang w:val="en-GB" w:eastAsia="en-GB"/>
        </w:rPr>
        <mc:AlternateContent>
          <mc:Choice Requires="wps">
            <w:drawing>
              <wp:anchor distT="0" distB="0" distL="114300" distR="114300" simplePos="0" relativeHeight="251666432" behindDoc="0" locked="0" layoutInCell="0" allowOverlap="1" wp14:anchorId="199DD5FA" wp14:editId="25D6901A">
                <wp:simplePos x="0" y="0"/>
                <wp:positionH relativeFrom="page">
                  <wp:posOffset>800100</wp:posOffset>
                </wp:positionH>
                <wp:positionV relativeFrom="page">
                  <wp:posOffset>3086100</wp:posOffset>
                </wp:positionV>
                <wp:extent cx="6400800" cy="1421130"/>
                <wp:effectExtent l="0" t="0" r="0" b="1270"/>
                <wp:wrapTight wrapText="bothSides">
                  <wp:wrapPolygon edited="0">
                    <wp:start x="86" y="0"/>
                    <wp:lineTo x="86" y="21233"/>
                    <wp:lineTo x="21429" y="21233"/>
                    <wp:lineTo x="21429" y="0"/>
                    <wp:lineTo x="86" y="0"/>
                  </wp:wrapPolygon>
                </wp:wrapT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DE1728" w14:textId="24AE2CAA" w:rsidR="001A5598" w:rsidRDefault="001A5598" w:rsidP="00A77CB1">
                            <w:pPr>
                              <w:pStyle w:val="Title"/>
                              <w:jc w:val="right"/>
                              <w:rPr>
                                <w:b/>
                                <w:sz w:val="60"/>
                              </w:rPr>
                            </w:pPr>
                            <w:r w:rsidRPr="00C33A82">
                              <w:rPr>
                                <w:b/>
                                <w:sz w:val="60"/>
                              </w:rPr>
                              <w:t>Eliminating judicial stereotyping</w:t>
                            </w:r>
                          </w:p>
                          <w:p w14:paraId="1E88277F" w14:textId="77777777" w:rsidR="001A5598" w:rsidRDefault="001A5598" w:rsidP="00A77CB1">
                            <w:pPr>
                              <w:pStyle w:val="Title"/>
                              <w:jc w:val="right"/>
                              <w:rPr>
                                <w:b/>
                                <w:sz w:val="28"/>
                                <w:szCs w:val="28"/>
                              </w:rPr>
                            </w:pPr>
                          </w:p>
                          <w:p w14:paraId="1CCE0969" w14:textId="274BB5BF" w:rsidR="001A5598" w:rsidRPr="00C33A82" w:rsidRDefault="001A5598" w:rsidP="00A77CB1">
                            <w:pPr>
                              <w:pStyle w:val="Title"/>
                              <w:jc w:val="right"/>
                              <w:rPr>
                                <w:b/>
                                <w:sz w:val="28"/>
                                <w:szCs w:val="28"/>
                              </w:rPr>
                            </w:pPr>
                            <w:r>
                              <w:rPr>
                                <w:b/>
                                <w:sz w:val="28"/>
                                <w:szCs w:val="28"/>
                              </w:rPr>
                              <w:t>Equal access to justice for women in gender-based violence cases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8" type="#_x0000_t202" style="position:absolute;margin-left:63pt;margin-top:243pt;width:7in;height:11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X/6PkCAABWBgAADgAAAGRycy9lMm9Eb2MueG1srFVtb5swEP4+af/B8ncKpk4CqHRKkzJN6l6k&#10;dj/AAROsgc1sJ6Sb9t93NkmatPtQbeMDMnfn5+6ee+Hq3a5r0ZZrI5TMMbmIMOKyVJWQ6xx/fSiC&#10;BCNjmaxYqyTP8SM3+N312zdXQ5/xWDWqrbhGACJNNvQ5bqztszA0ZcM7Zi5UzyUoa6U7ZuFTr8NK&#10;swHQuzaMo2gaDkpXvVYlNwaky1GJrz1+XfPSfq5rwy1qcwyxWf/W/r1y7/D6imVrzfpGlPsw2F9E&#10;0TEhwekRasksQxstXkB1otTKqNpelKoLVV2LkvscIBsSPcvmvmE997kAOaY/0mT+H2z5aftFI1Hl&#10;OE4xkqyDGj3wnUU3aocuHT1DbzKwuu/Bzu5ADGX2qZr+TpXfDJJq0TC55nOt1dBwVkF4xN0MT66O&#10;OMaBrIaPqgI3bGOVB9rVunPcARsI0KFMj8fSuFBKEE5pFCURqErQERoTcumLF7LscL3Xxr7nqkPu&#10;kGMNtffwbHtnrAuHZQcT502qQrStr38rzwRgOErAOVx1OheGL+fPNEpvk9uEBjSe3gY0qqpgXixo&#10;MC3IbLK8XC4WS/LL+SU0a0RVcencHFqL0NeVbt/kY1Mcm8uoVlQOzoVk9Hq1aDXaMmjtwj+edNA8&#10;mYXnYXgSIJdnKZGYRjdxGhTTZBbQmk6CdBYlQUTSm3Qa0ZQui/OU7oTk/54SGnKcTuLJ2E1PQT/L&#10;LfLPy9xY1gkLy6MVXY6hN+BxRixzPXgrK3+2TLTj+YQKF/6fqSjm83gKVQyWSQpUrHgcJEVEg5s5&#10;nZDFbFaQ5cxR0Tle+5aVfNxgRcvWe0Kc6nVF7lh5ts0ICX2px171ZYJWPDShnyY3QOMo2d1qN86t&#10;S9pN2kpVjzBeWkHzw6DAUoZDo/QPjAZYcDk23zdMc4zaDxJGNCWUuo3oP+CgT6Wrg5TJEiBybDEa&#10;jws7bs9Nr8W6AQ/jMpBqDuNcCz9oT9HslwAsL8/3ftG67Xj67a2efgfXvwEAAP//AwBQSwMEFAAG&#10;AAgAAAAhAHks4VHeAAAADAEAAA8AAABkcnMvZG93bnJldi54bWxMj8FOwzAQRO9I/IO1SNyok1CV&#10;kMapAImeyqGFD9jGbhyI7ch2m6Rfz+YEtxntaPZNuRlNxy7Kh9ZZAekiAaZs7WRrGwFfn+8PObAQ&#10;0UrsnFUCJhVgU93elFhIN9i9uhxiw6jEhgIF6Bj7gvNQa2UwLFyvLN1OzhuMZH3DpceByk3HsyRZ&#10;cYOtpQ8ae/WmVf1zOBsB5ppe/Q7RfG+nDId+0tuP3asQ93fjyxpYVGP8C8OMT+hQEdPRna0MrCOf&#10;rWhLFLDMZzEn0sclqaOAp+Q5B16V/P+I6hcAAP//AwBQSwECLQAUAAYACAAAACEA5JnDwPsAAADh&#10;AQAAEwAAAAAAAAAAAAAAAAAAAAAAW0NvbnRlbnRfVHlwZXNdLnhtbFBLAQItABQABgAIAAAAIQAj&#10;smrh1wAAAJQBAAALAAAAAAAAAAAAAAAAACwBAABfcmVscy8ucmVsc1BLAQItABQABgAIAAAAIQDW&#10;Vf/o+QIAAFYGAAAOAAAAAAAAAAAAAAAAACwCAABkcnMvZTJvRG9jLnhtbFBLAQItABQABgAIAAAA&#10;IQB5LOFR3gAAAAwBAAAPAAAAAAAAAAAAAAAAAFEFAABkcnMvZG93bnJldi54bWxQSwUGAAAAAAQA&#10;BADzAAAAXAYAAAAA&#10;" o:allowincell="f" filled="f" stroked="f">
                <v:textbox inset=",0,,0">
                  <w:txbxContent>
                    <w:p w14:paraId="17DE1728" w14:textId="24AE2CAA" w:rsidR="001A5598" w:rsidRDefault="001A5598" w:rsidP="00A77CB1">
                      <w:pPr>
                        <w:pStyle w:val="Title"/>
                        <w:jc w:val="right"/>
                        <w:rPr>
                          <w:b/>
                          <w:sz w:val="60"/>
                        </w:rPr>
                      </w:pPr>
                      <w:r w:rsidRPr="00C33A82">
                        <w:rPr>
                          <w:b/>
                          <w:sz w:val="60"/>
                        </w:rPr>
                        <w:t>Eliminating judicial stereotyping</w:t>
                      </w:r>
                    </w:p>
                    <w:p w14:paraId="1E88277F" w14:textId="77777777" w:rsidR="001A5598" w:rsidRDefault="001A5598" w:rsidP="00A77CB1">
                      <w:pPr>
                        <w:pStyle w:val="Title"/>
                        <w:jc w:val="right"/>
                        <w:rPr>
                          <w:b/>
                          <w:sz w:val="28"/>
                          <w:szCs w:val="28"/>
                        </w:rPr>
                      </w:pPr>
                    </w:p>
                    <w:p w14:paraId="1CCE0969" w14:textId="274BB5BF" w:rsidR="001A5598" w:rsidRPr="00C33A82" w:rsidRDefault="001A5598" w:rsidP="00A77CB1">
                      <w:pPr>
                        <w:pStyle w:val="Title"/>
                        <w:jc w:val="right"/>
                        <w:rPr>
                          <w:b/>
                          <w:sz w:val="28"/>
                          <w:szCs w:val="28"/>
                        </w:rPr>
                      </w:pPr>
                      <w:r>
                        <w:rPr>
                          <w:b/>
                          <w:sz w:val="28"/>
                          <w:szCs w:val="28"/>
                        </w:rPr>
                        <w:t>Equal access to justice for women in gender-based violence cases</w:t>
                      </w:r>
                    </w:p>
                  </w:txbxContent>
                </v:textbox>
                <w10:wrap type="tight" anchorx="page" anchory="page"/>
              </v:shape>
            </w:pict>
          </mc:Fallback>
        </mc:AlternateContent>
      </w:r>
      <w:r w:rsidR="006C1404" w:rsidRPr="00AF3075">
        <w:rPr>
          <w:noProof/>
          <w:lang w:val="en-GB" w:eastAsia="en-GB"/>
        </w:rPr>
        <mc:AlternateContent>
          <mc:Choice Requires="wps">
            <w:drawing>
              <wp:anchor distT="0" distB="0" distL="114300" distR="114300" simplePos="0" relativeHeight="251673600" behindDoc="0" locked="0" layoutInCell="1" allowOverlap="1" wp14:anchorId="7DA0A9EF" wp14:editId="17A41ECD">
                <wp:simplePos x="0" y="0"/>
                <wp:positionH relativeFrom="column">
                  <wp:posOffset>-800100</wp:posOffset>
                </wp:positionH>
                <wp:positionV relativeFrom="paragraph">
                  <wp:posOffset>7586345</wp:posOffset>
                </wp:positionV>
                <wp:extent cx="33147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1B19B0" w14:textId="4034AB33" w:rsidR="001A5598" w:rsidRPr="00BB4703" w:rsidRDefault="001A5598" w:rsidP="006C1404">
                            <w:pPr>
                              <w:tabs>
                                <w:tab w:val="left" w:pos="1134"/>
                              </w:tabs>
                              <w:spacing w:before="120" w:after="120"/>
                              <w:rPr>
                                <w:rFonts w:ascii="Calibri" w:hAnsi="Calibri"/>
                                <w:color w:val="FFFFFF" w:themeColor="background1"/>
                              </w:rPr>
                            </w:pPr>
                            <w:r w:rsidRPr="00C33A82">
                              <w:rPr>
                                <w:rFonts w:ascii="Calibri" w:hAnsi="Calibri"/>
                                <w:b/>
                                <w:color w:val="FFFFFF" w:themeColor="background1"/>
                              </w:rPr>
                              <w:t>Author</w:t>
                            </w:r>
                            <w:r w:rsidRPr="00BB4703">
                              <w:rPr>
                                <w:rFonts w:ascii="Calibri" w:hAnsi="Calibri"/>
                                <w:color w:val="FFFFFF" w:themeColor="background1"/>
                              </w:rPr>
                              <w:tab/>
                              <w:t xml:space="preserve">Simone </w:t>
                            </w:r>
                            <w:r w:rsidRPr="00BB4703">
                              <w:rPr>
                                <w:rFonts w:ascii="Calibri" w:hAnsi="Calibri"/>
                                <w:color w:val="FFFFFF" w:themeColor="background1"/>
                              </w:rPr>
                              <w:t>Cusack</w:t>
                            </w:r>
                          </w:p>
                          <w:p w14:paraId="5BB56B8C" w14:textId="77777777" w:rsidR="001A5598" w:rsidRPr="00BB4703" w:rsidRDefault="001A5598" w:rsidP="006C1404">
                            <w:pPr>
                              <w:tabs>
                                <w:tab w:val="left" w:pos="1134"/>
                              </w:tabs>
                              <w:spacing w:before="120" w:after="120"/>
                              <w:rPr>
                                <w:rFonts w:ascii="Calibri" w:hAnsi="Calibri"/>
                                <w:color w:val="FFFFFF" w:themeColor="background1"/>
                              </w:rPr>
                            </w:pPr>
                            <w:r w:rsidRPr="00C33A82">
                              <w:rPr>
                                <w:rFonts w:ascii="Calibri" w:hAnsi="Calibri"/>
                                <w:b/>
                                <w:color w:val="FFFFFF" w:themeColor="background1"/>
                              </w:rPr>
                              <w:t xml:space="preserve">Websites </w:t>
                            </w:r>
                            <w:r w:rsidRPr="00BB4703">
                              <w:rPr>
                                <w:rFonts w:ascii="Calibri" w:hAnsi="Calibri"/>
                                <w:color w:val="FFFFFF" w:themeColor="background1"/>
                              </w:rPr>
                              <w:tab/>
                              <w:t>opcedaw.wordpress.com</w:t>
                            </w:r>
                          </w:p>
                          <w:p w14:paraId="59EBC84D" w14:textId="77777777" w:rsidR="001A5598" w:rsidRPr="00BB4703" w:rsidRDefault="001A5598" w:rsidP="006C1404">
                            <w:pPr>
                              <w:tabs>
                                <w:tab w:val="left" w:pos="1134"/>
                              </w:tabs>
                              <w:spacing w:before="120" w:after="120"/>
                              <w:rPr>
                                <w:rFonts w:ascii="Calibri" w:hAnsi="Calibri"/>
                                <w:color w:val="FFFFFF" w:themeColor="background1"/>
                              </w:rPr>
                            </w:pPr>
                            <w:r w:rsidRPr="00BB4703">
                              <w:rPr>
                                <w:rFonts w:ascii="Calibri" w:hAnsi="Calibri"/>
                                <w:color w:val="FFFFFF" w:themeColor="background1"/>
                              </w:rPr>
                              <w:tab/>
                              <w:t>stereotypingandlaw.wordpress.com</w:t>
                            </w:r>
                          </w:p>
                          <w:p w14:paraId="45702822" w14:textId="77777777" w:rsidR="001A5598" w:rsidRDefault="001A5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3pt;margin-top:597.35pt;width:261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0VrAIAAKsFAAAOAAAAZHJzL2Uyb0RvYy54bWysVEtv2zAMvg/YfxB0T22n7suoU7gpMgwo&#10;1mLt0LMiS40xWdQkJXE27L+Pku0063bpsItNkZ8o8uPj8qprFdkI6xrQJc2OUkqE5lA3+rmkXx4X&#10;k3NKnGe6Zgq0KOlOOHo1e//ucmsKMYUVqFpYgk60K7ampCvvTZEkjq9Ey9wRGKHRKMG2zOPRPie1&#10;ZVv03qpkmqanyRZsbSxw4Rxqb3ojnUX/Ugru76R0whNVUozNx6+N32X4JrNLVjxbZlYNH8Jg/xBF&#10;yxqNj+5d3TDPyNo2f7hqG27BgfRHHNoEpGy4iDlgNln6KpuHFTMi5oLkOLOnyf0/t/zT5t6Spi5p&#10;TolmLZboUXSeXENH8sDO1rgCQQ8GYb5DNVZ51DtUhqQ7advwx3QI2pHn3Z7b4Iyj8vg4y89SNHG0&#10;ZadpitULfpKX68Y6/0FAS4JQUovFi5yyza3zPXSEhNc0LBqlYgGV/k2BPnuNiB3Q32YFhoJiQIag&#10;YnV+zE/OptXZycXktDrJJnmWnk+qKp1ObhZVWqX5Yn6RX/8c4hzvJ4GTPvco+Z0SwavSn4VELiMF&#10;QRG7WMyVJRuG/cc4F9pH9mKEiA4oiVm85eKAj3nE/N5yuWdkfBm0319uGw028v0q7PrrGLLs8Vi0&#10;g7yD6LtlF5voeGyNJdQ77BgL/cQ5wxcNVvWWOX/PLI4YdgKuDX+HH6lgW1IYJEpWYL//TR/w2Plo&#10;pWSLI1tS923NrKBEfdQ4ExdZnocZj4ccC4sHe2hZHlr0up0DViXDBWV4FAPeq1GUFton3C5VeBVN&#10;THN8u6R+FOe+XyS4nbioqgjCqTbM3+oHw4PrUKTQs4/dE7NmaGyPjfQJxuFmxav+7rHhpoZq7UE2&#10;sfkDzz2rA/+4EeL4DNsrrJzDc0S97NjZLwAAAP//AwBQSwMEFAAGAAgAAAAhAMX0yXfhAAAADgEA&#10;AA8AAABkcnMvZG93bnJldi54bWxMj81OwzAQhO9IvIO1SNxaOyWkJMSpEIgrqOVH4ubG2yQiXkex&#10;24S3Z3uC486MZr8pN7PrxQnH0HnSkCwVCKTa244aDe9vz4s7ECEasqb3hBp+MMCmurwoTWH9RFs8&#10;7WIjuIRCYTS0MQ6FlKFu0Zmw9AMSewc/OhP5HBtpRzNxuevlSqlMOtMRf2jNgI8t1t+7o9Pw8XL4&#10;+kzVa/PkbofJz0qSy6XW11fzwz2IiHP8C8MZn9GhYqa9P5INotewSFYZj4nsJHm6BsGZm/ws7VlK&#10;02wNsirl/xnVLwAAAP//AwBQSwECLQAUAAYACAAAACEAtoM4kv4AAADhAQAAEwAAAAAAAAAAAAAA&#10;AAAAAAAAW0NvbnRlbnRfVHlwZXNdLnhtbFBLAQItABQABgAIAAAAIQA4/SH/1gAAAJQBAAALAAAA&#10;AAAAAAAAAAAAAC8BAABfcmVscy8ucmVsc1BLAQItABQABgAIAAAAIQBhNb0VrAIAAKsFAAAOAAAA&#10;AAAAAAAAAAAAAC4CAABkcnMvZTJvRG9jLnhtbFBLAQItABQABgAIAAAAIQDF9Ml34QAAAA4BAAAP&#10;AAAAAAAAAAAAAAAAAAYFAABkcnMvZG93bnJldi54bWxQSwUGAAAAAAQABADzAAAAFAYAAAAA&#10;" filled="f" stroked="f">
                <v:textbox>
                  <w:txbxContent>
                    <w:p w14:paraId="651B19B0" w14:textId="4034AB33" w:rsidR="001A5598" w:rsidRPr="00BB4703" w:rsidRDefault="001A5598" w:rsidP="006C1404">
                      <w:pPr>
                        <w:tabs>
                          <w:tab w:val="left" w:pos="1134"/>
                        </w:tabs>
                        <w:spacing w:before="120" w:after="120"/>
                        <w:rPr>
                          <w:rFonts w:ascii="Calibri" w:hAnsi="Calibri"/>
                          <w:color w:val="FFFFFF" w:themeColor="background1"/>
                        </w:rPr>
                      </w:pPr>
                      <w:r w:rsidRPr="00C33A82">
                        <w:rPr>
                          <w:rFonts w:ascii="Calibri" w:hAnsi="Calibri"/>
                          <w:b/>
                          <w:color w:val="FFFFFF" w:themeColor="background1"/>
                        </w:rPr>
                        <w:t>Author</w:t>
                      </w:r>
                      <w:r w:rsidRPr="00BB4703">
                        <w:rPr>
                          <w:rFonts w:ascii="Calibri" w:hAnsi="Calibri"/>
                          <w:color w:val="FFFFFF" w:themeColor="background1"/>
                        </w:rPr>
                        <w:tab/>
                        <w:t xml:space="preserve">Simone </w:t>
                      </w:r>
                      <w:r w:rsidRPr="00BB4703">
                        <w:rPr>
                          <w:rFonts w:ascii="Calibri" w:hAnsi="Calibri"/>
                          <w:color w:val="FFFFFF" w:themeColor="background1"/>
                        </w:rPr>
                        <w:t>Cusack</w:t>
                      </w:r>
                    </w:p>
                    <w:p w14:paraId="5BB56B8C" w14:textId="77777777" w:rsidR="001A5598" w:rsidRPr="00BB4703" w:rsidRDefault="001A5598" w:rsidP="006C1404">
                      <w:pPr>
                        <w:tabs>
                          <w:tab w:val="left" w:pos="1134"/>
                        </w:tabs>
                        <w:spacing w:before="120" w:after="120"/>
                        <w:rPr>
                          <w:rFonts w:ascii="Calibri" w:hAnsi="Calibri"/>
                          <w:color w:val="FFFFFF" w:themeColor="background1"/>
                        </w:rPr>
                      </w:pPr>
                      <w:r w:rsidRPr="00C33A82">
                        <w:rPr>
                          <w:rFonts w:ascii="Calibri" w:hAnsi="Calibri"/>
                          <w:b/>
                          <w:color w:val="FFFFFF" w:themeColor="background1"/>
                        </w:rPr>
                        <w:t xml:space="preserve">Websites </w:t>
                      </w:r>
                      <w:r w:rsidRPr="00BB4703">
                        <w:rPr>
                          <w:rFonts w:ascii="Calibri" w:hAnsi="Calibri"/>
                          <w:color w:val="FFFFFF" w:themeColor="background1"/>
                        </w:rPr>
                        <w:tab/>
                        <w:t>opcedaw.wordpress.com</w:t>
                      </w:r>
                    </w:p>
                    <w:p w14:paraId="59EBC84D" w14:textId="77777777" w:rsidR="001A5598" w:rsidRPr="00BB4703" w:rsidRDefault="001A5598" w:rsidP="006C1404">
                      <w:pPr>
                        <w:tabs>
                          <w:tab w:val="left" w:pos="1134"/>
                        </w:tabs>
                        <w:spacing w:before="120" w:after="120"/>
                        <w:rPr>
                          <w:rFonts w:ascii="Calibri" w:hAnsi="Calibri"/>
                          <w:color w:val="FFFFFF" w:themeColor="background1"/>
                        </w:rPr>
                      </w:pPr>
                      <w:r w:rsidRPr="00BB4703">
                        <w:rPr>
                          <w:rFonts w:ascii="Calibri" w:hAnsi="Calibri"/>
                          <w:color w:val="FFFFFF" w:themeColor="background1"/>
                        </w:rPr>
                        <w:tab/>
                        <w:t>stereotypingandlaw.wordpress.com</w:t>
                      </w:r>
                    </w:p>
                    <w:p w14:paraId="45702822" w14:textId="77777777" w:rsidR="001A5598" w:rsidRDefault="001A5598"/>
                  </w:txbxContent>
                </v:textbox>
                <w10:wrap type="square"/>
              </v:shape>
            </w:pict>
          </mc:Fallback>
        </mc:AlternateContent>
      </w:r>
      <w:r w:rsidR="00A77CB1" w:rsidRPr="00AF3075">
        <w:rPr>
          <w:noProof/>
          <w:lang w:val="en-GB" w:eastAsia="en-GB"/>
        </w:rPr>
        <mc:AlternateContent>
          <mc:Choice Requires="wps">
            <w:drawing>
              <wp:anchor distT="0" distB="0" distL="114300" distR="114300" simplePos="0" relativeHeight="251670528" behindDoc="0" locked="0" layoutInCell="1" allowOverlap="1" wp14:anchorId="0E3E6462" wp14:editId="0A9DC923">
                <wp:simplePos x="0" y="0"/>
                <wp:positionH relativeFrom="page">
                  <wp:posOffset>539115</wp:posOffset>
                </wp:positionH>
                <wp:positionV relativeFrom="page">
                  <wp:posOffset>11359515</wp:posOffset>
                </wp:positionV>
                <wp:extent cx="3492500" cy="1066800"/>
                <wp:effectExtent l="0" t="0" r="0" b="0"/>
                <wp:wrapThrough wrapText="bothSides">
                  <wp:wrapPolygon edited="0">
                    <wp:start x="157" y="0"/>
                    <wp:lineTo x="157" y="21086"/>
                    <wp:lineTo x="21207" y="21086"/>
                    <wp:lineTo x="21207" y="0"/>
                    <wp:lineTo x="157" y="0"/>
                  </wp:wrapPolygon>
                </wp:wrapThrough>
                <wp:docPr id="31" name="Text Box 31"/>
                <wp:cNvGraphicFramePr/>
                <a:graphic xmlns:a="http://schemas.openxmlformats.org/drawingml/2006/main">
                  <a:graphicData uri="http://schemas.microsoft.com/office/word/2010/wordprocessingShape">
                    <wps:wsp>
                      <wps:cNvSpPr txBox="1"/>
                      <wps:spPr>
                        <a:xfrm>
                          <a:off x="0" y="0"/>
                          <a:ext cx="3492500" cy="106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AEBDDB" w14:textId="77777777" w:rsidR="001A5598" w:rsidRDefault="001A5598" w:rsidP="00A77CB1">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14:paraId="15B66363" w14:textId="77777777" w:rsidR="001A5598" w:rsidRPr="00C44C4F" w:rsidRDefault="001A5598" w:rsidP="00A77CB1">
                            <w:pPr>
                              <w:tabs>
                                <w:tab w:val="left" w:pos="1134"/>
                              </w:tabs>
                              <w:rPr>
                                <w:color w:val="FFFFFF" w:themeColor="background1"/>
                              </w:rPr>
                            </w:pPr>
                            <w:r>
                              <w:rPr>
                                <w:color w:val="FFFFFF" w:themeColor="background1"/>
                              </w:rPr>
                              <w:tab/>
                              <w:t>stereotypingandlaw.wordpress.com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30" type="#_x0000_t202" style="position:absolute;margin-left:42.45pt;margin-top:894.45pt;width:275pt;height: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XJXNUCAAAg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3ya&#10;YaSIhB49stajK90iUAE+W+MKcHsw4Ohb0EOfe70DZSi75VaGPxSEwA5I7w7ohmgUlKf5ZDhKwUTB&#10;lqXj8TkcIH7yct1Y5z8xLVEQSmyhfRFVsrlxvnPtXcJrSs8bIWILhXqlgJidhkUOdLdJAamAGDxD&#10;UrE/z7PR2bA6G00G42qUDfIsPR9UVTocXM+rtErz+WySX/2ELCTJ8mILTDHAswARIDEXZLnvSjD/&#10;XVskoa9InGVJpA/aECBphBbShwciNH3KSWhDB3eU/E6wUIhQXxiHBkbUgyKODpsJ28UjlDLl+6jR&#10;O3hxAO49F/f+EboI6Xsud02AG/FlrfzhsmyUtrHFb9Kuv/Up884fwDiqO4i+XbSRuXnPxoWud0BS&#10;q7sxd4bOGyDSDXH+nliYayAf7Cp/Bx8u9LbEei9htNL2x5/0wR/6ClaMQvdL7L6viWUYic8KBnGS&#10;5XlYLPGQA5fgYI8ti2OLWsuZjl1GkF0Ug78Xvcitlk+w0qrwKpiIovB2iX0vzny3vWAlUlZV0QlW&#10;iSH+Rj0YGggUUA5j8tg+EWv2s+SBSLe63yikeDNSnW+4qXS19po3cd4Czh2qe/xhDUVa7ldm2HPH&#10;5+j1stinvwAAAP//AwBQSwMEFAAGAAgAAAAhADHuqjrgAAAADAEAAA8AAABkcnMvZG93bnJldi54&#10;bWxMj0tPwzAQhO9I/AdrkbhRh1fqhDgVIOBUBH0cOLrxNomI11HsNuHfsz3BbXdmNPttsZhcJ444&#10;hNaThutZAgKp8ralWsN283qlQIRoyJrOE2r4wQCL8vysMLn1I63wuI614BIKudHQxNjnUoaqQWfC&#10;zPdI7O394EzkdailHczI5a6TN0mSSmda4guN6fG5wep7fXAacDm5zbuav8SPp/1b8qU+x6Wttb68&#10;mB4fQESc4l8YTviMDiUz7fyBbBCdBnWXcZL1uVI8cSK9PUk7lrL7NANZFvL/E+UvAAAA//8DAFBL&#10;AQItABQABgAIAAAAIQDkmcPA+wAAAOEBAAATAAAAAAAAAAAAAAAAAAAAAABbQ29udGVudF9UeXBl&#10;c10ueG1sUEsBAi0AFAAGAAgAAAAhACOyauHXAAAAlAEAAAsAAAAAAAAAAAAAAAAALAEAAF9yZWxz&#10;Ly5yZWxzUEsBAi0AFAAGAAgAAAAhAJc1yVzVAgAAIAYAAA4AAAAAAAAAAAAAAAAALAIAAGRycy9l&#10;Mm9Eb2MueG1sUEsBAi0AFAAGAAgAAAAhADHuqjrgAAAADAEAAA8AAAAAAAAAAAAAAAAALQUAAGRy&#10;cy9kb3ducmV2LnhtbFBLBQYAAAAABAAEAPMAAAA6BgAAAAA=&#10;" mv:complextextbox="1" filled="f" stroked="f">
                <v:textbox>
                  <w:txbxContent>
                    <w:p w14:paraId="47AEBDDB" w14:textId="77777777" w:rsidR="001A5598" w:rsidRDefault="001A5598" w:rsidP="00A77CB1">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14:paraId="15B66363" w14:textId="77777777" w:rsidR="001A5598" w:rsidRPr="00C44C4F" w:rsidRDefault="001A5598" w:rsidP="00A77CB1">
                      <w:pPr>
                        <w:tabs>
                          <w:tab w:val="left" w:pos="1134"/>
                        </w:tabs>
                        <w:rPr>
                          <w:color w:val="FFFFFF" w:themeColor="background1"/>
                        </w:rPr>
                      </w:pPr>
                      <w:r>
                        <w:rPr>
                          <w:color w:val="FFFFFF" w:themeColor="background1"/>
                        </w:rPr>
                        <w:tab/>
                      </w:r>
                      <w:proofErr w:type="gramStart"/>
                      <w:r>
                        <w:rPr>
                          <w:color w:val="FFFFFF" w:themeColor="background1"/>
                        </w:rPr>
                        <w:t>stereotypingandlaw.wordpress.com</w:t>
                      </w:r>
                      <w:proofErr w:type="gramEnd"/>
                    </w:p>
                  </w:txbxContent>
                </v:textbox>
                <w10:wrap type="through" anchorx="page" anchory="page"/>
              </v:shape>
            </w:pict>
          </mc:Fallback>
        </mc:AlternateContent>
      </w:r>
      <w:r w:rsidR="00A77CB1" w:rsidRPr="00AF3075">
        <w:rPr>
          <w:rFonts w:cs="Arial"/>
          <w:b/>
        </w:rPr>
        <w:br w:type="page"/>
      </w:r>
      <w:r w:rsidR="006C1404" w:rsidRPr="00AF3075">
        <w:rPr>
          <w:noProof/>
          <w:lang w:val="en-GB" w:eastAsia="en-GB"/>
        </w:rPr>
        <mc:AlternateContent>
          <mc:Choice Requires="wps">
            <w:drawing>
              <wp:anchor distT="0" distB="0" distL="114300" distR="114300" simplePos="0" relativeHeight="251672576" behindDoc="0" locked="0" layoutInCell="1" allowOverlap="1" wp14:anchorId="623A0CC5" wp14:editId="6808BF3A">
                <wp:simplePos x="0" y="0"/>
                <wp:positionH relativeFrom="page">
                  <wp:posOffset>773430</wp:posOffset>
                </wp:positionH>
                <wp:positionV relativeFrom="page">
                  <wp:posOffset>10328275</wp:posOffset>
                </wp:positionV>
                <wp:extent cx="3492500" cy="1066800"/>
                <wp:effectExtent l="0" t="0" r="0" b="0"/>
                <wp:wrapThrough wrapText="bothSides">
                  <wp:wrapPolygon edited="0">
                    <wp:start x="157" y="0"/>
                    <wp:lineTo x="157" y="21086"/>
                    <wp:lineTo x="21207" y="21086"/>
                    <wp:lineTo x="21207" y="0"/>
                    <wp:lineTo x="157" y="0"/>
                  </wp:wrapPolygon>
                </wp:wrapThrough>
                <wp:docPr id="3" name="Text Box 3"/>
                <wp:cNvGraphicFramePr/>
                <a:graphic xmlns:a="http://schemas.openxmlformats.org/drawingml/2006/main">
                  <a:graphicData uri="http://schemas.microsoft.com/office/word/2010/wordprocessingShape">
                    <wps:wsp>
                      <wps:cNvSpPr txBox="1"/>
                      <wps:spPr>
                        <a:xfrm>
                          <a:off x="0" y="0"/>
                          <a:ext cx="3492500" cy="106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68D918" w14:textId="77777777" w:rsidR="001A5598" w:rsidRDefault="001A5598" w:rsidP="006C1404">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14:paraId="205D3A26" w14:textId="77777777" w:rsidR="001A5598" w:rsidRPr="00C44C4F" w:rsidRDefault="001A5598" w:rsidP="006C1404">
                            <w:pPr>
                              <w:tabs>
                                <w:tab w:val="left" w:pos="1134"/>
                              </w:tabs>
                              <w:rPr>
                                <w:color w:val="FFFFFF" w:themeColor="background1"/>
                              </w:rPr>
                            </w:pPr>
                            <w:r>
                              <w:rPr>
                                <w:color w:val="FFFFFF" w:themeColor="background1"/>
                              </w:rPr>
                              <w:tab/>
                              <w:t>stereotypingandlaw.wordpress.com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60.9pt;margin-top:813.25pt;width:275pt;height:8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PnFNQCAAAe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3yK&#10;kSISWvTIWo+udItOAzpb4wpwejDg5ltQQ5d7vQNlKLrlVoY/lIPADjjvDtiGYBSUp/lkOErBRMGW&#10;pePxORwgfvJy3VjnPzEtURBKbKF5EVOyuXG+c+1dwmtKzxshYgOFeqWAmJ2GRQZ0t0kBqYAYPENS&#10;sTvPs9HZsDobTQbjapQN8iw9H1RVOhxcz6u0SvP5bJJf/YQsJMnyYgs8McCygBAgMRdkue9JMP9d&#10;UyShryicZUkkD9oQoGiEFtKHByI0fcpJaEMHd5T8TrBQiFBfGIf2RdSDIg4OmwnbxSOUMuX7qNE7&#10;eHEA7j0X9/4Rugjpey53TYAb8WWt/OGybJS2scVv0q6/9Snzzh/AOKo7iL5dtJG3o56NC13vgKRW&#10;d0PuDJ03QKQb4vw9sTDVQD7YVP4OPlzobYn1XsJope2PP+mDP/QVrBiF7pfYfV8TyzASnxWM4STL&#10;87BW4iEHLsHBHlsWxxa1ljMdu4wguygGfy96kVstn2ChVeFVMBFF4e0S+16c+W53wUKkrKqiEywS&#10;Q/yNejA0ECigHMbksX0i1uxnyQORbnW/T0jxZqQ633BT6WrtNW/ivAWcO1T3+MMSirTcL8yw5Y7P&#10;0etlrU9/AQAA//8DAFBLAwQUAAYACAAAACEAK2zHxeEAAAANAQAADwAAAGRycy9kb3ducmV2Lnht&#10;bEyPQU/DMAyF70j8h8hI3Fi6irVdaToBAk6bgG0HjlnjtRWNUzXZWv493glufs9Pz5+L1WQ7ccbB&#10;t44UzGcRCKTKmZZqBfvd610GwgdNRneOUMEPeliV11eFzo0b6RPP21ALLiGfawVNCH0upa8atNrP&#10;XI/Eu6MbrA4sh1qaQY9cbjsZR1EirW6JLzS6x+cGq+/tySrA9WR3myx9Ce9Px7foK/sY16ZW6vZm&#10;enwAEXAKf2G44DM6lMx0cCcyXnSs4zmjBx6SOFmA4EiSXqwDW+nyfgGyLOT/L8pfAAAA//8DAFBL&#10;AQItABQABgAIAAAAIQDkmcPA+wAAAOEBAAATAAAAAAAAAAAAAAAAAAAAAABbQ29udGVudF9UeXBl&#10;c10ueG1sUEsBAi0AFAAGAAgAAAAhACOyauHXAAAAlAEAAAsAAAAAAAAAAAAAAAAALAEAAF9yZWxz&#10;Ly5yZWxzUEsBAi0AFAAGAAgAAAAhAIFD5xTUAgAAHgYAAA4AAAAAAAAAAAAAAAAALAIAAGRycy9l&#10;Mm9Eb2MueG1sUEsBAi0AFAAGAAgAAAAhACtsx8XhAAAADQEAAA8AAAAAAAAAAAAAAAAALAUAAGRy&#10;cy9kb3ducmV2LnhtbFBLBQYAAAAABAAEAPMAAAA6BgAAAAA=&#10;" mv:complextextbox="1" filled="f" stroked="f">
                <v:textbox>
                  <w:txbxContent>
                    <w:p w14:paraId="1B68D918" w14:textId="77777777" w:rsidR="001A5598" w:rsidRDefault="001A5598" w:rsidP="006C1404">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14:paraId="205D3A26" w14:textId="77777777" w:rsidR="001A5598" w:rsidRPr="00C44C4F" w:rsidRDefault="001A5598" w:rsidP="006C1404">
                      <w:pPr>
                        <w:tabs>
                          <w:tab w:val="left" w:pos="1134"/>
                        </w:tabs>
                        <w:rPr>
                          <w:color w:val="FFFFFF" w:themeColor="background1"/>
                        </w:rPr>
                      </w:pPr>
                      <w:r>
                        <w:rPr>
                          <w:color w:val="FFFFFF" w:themeColor="background1"/>
                        </w:rPr>
                        <w:tab/>
                      </w:r>
                      <w:proofErr w:type="gramStart"/>
                      <w:r>
                        <w:rPr>
                          <w:color w:val="FFFFFF" w:themeColor="background1"/>
                        </w:rPr>
                        <w:t>stereotypingandlaw.wordpress.com</w:t>
                      </w:r>
                      <w:proofErr w:type="gramEnd"/>
                    </w:p>
                  </w:txbxContent>
                </v:textbox>
                <w10:wrap type="through" anchorx="page" anchory="page"/>
              </v:shape>
            </w:pict>
          </mc:Fallback>
        </mc:AlternateContent>
      </w:r>
    </w:p>
    <w:p w14:paraId="6FF40B19" w14:textId="7AA98F8B" w:rsidR="003C2E9A" w:rsidRPr="00AF3075" w:rsidRDefault="00680FAA" w:rsidP="00797B12">
      <w:pPr>
        <w:pStyle w:val="Heading1"/>
        <w:rPr>
          <w:rFonts w:ascii="Candara" w:hAnsi="Candara"/>
        </w:rPr>
      </w:pPr>
      <w:bookmarkStart w:id="1" w:name="_Toc263972377"/>
      <w:r>
        <w:rPr>
          <w:rFonts w:ascii="Candara" w:hAnsi="Candara"/>
        </w:rPr>
        <w:lastRenderedPageBreak/>
        <w:t>Preface</w:t>
      </w:r>
      <w:bookmarkEnd w:id="1"/>
    </w:p>
    <w:p w14:paraId="217AB0AB" w14:textId="66C3D35F" w:rsidR="00F91007" w:rsidRPr="00AF3075" w:rsidRDefault="00F91007" w:rsidP="00F91007">
      <w:r w:rsidRPr="00AF3075">
        <w:t>The ability to access justice is a human right in itself and is also key to the reali</w:t>
      </w:r>
      <w:r>
        <w:t>s</w:t>
      </w:r>
      <w:r w:rsidRPr="00AF3075">
        <w:t>ation of all other human rights, including the rights to non-discrimination and equality.</w:t>
      </w:r>
      <w:r w:rsidRPr="00AF3075">
        <w:rPr>
          <w:rStyle w:val="FootnoteReference"/>
          <w:rFonts w:cs="Arial"/>
        </w:rPr>
        <w:footnoteReference w:id="1"/>
      </w:r>
      <w:r w:rsidRPr="00AF3075">
        <w:t xml:space="preserve"> </w:t>
      </w:r>
      <w:r>
        <w:t xml:space="preserve"> </w:t>
      </w:r>
      <w:r w:rsidRPr="00AF3075">
        <w:t xml:space="preserve">Yet, many obstacles impede access to justice, including the cost of legal representation, corruption and lack of awareness of </w:t>
      </w:r>
      <w:r>
        <w:t xml:space="preserve">human </w:t>
      </w:r>
      <w:r w:rsidRPr="00AF3075">
        <w:t xml:space="preserve">rights. </w:t>
      </w:r>
      <w:r>
        <w:t xml:space="preserve"> </w:t>
      </w:r>
      <w:r w:rsidRPr="00AF3075">
        <w:t>Women often face specific barriers in their efforts to seek justice based on their sex/gender. These barriers include male guardianship laws, fear of stigma and reprisals and cultural perceptions of men (and not women) as rights-bearers.</w:t>
      </w:r>
      <w:r w:rsidRPr="00AF3075">
        <w:rPr>
          <w:rStyle w:val="FootnoteReference"/>
          <w:rFonts w:cs="Arial"/>
        </w:rPr>
        <w:footnoteReference w:id="2"/>
      </w:r>
      <w:r w:rsidRPr="00AF3075">
        <w:t xml:space="preserve">  For women victims and survivors of gender-based violence, the barriers to justice are often even greater</w:t>
      </w:r>
      <w:r>
        <w:t>.</w:t>
      </w:r>
      <w:r w:rsidRPr="00AF3075">
        <w:rPr>
          <w:rStyle w:val="FootnoteReference"/>
          <w:rFonts w:cs="Arial"/>
        </w:rPr>
        <w:footnoteReference w:id="3"/>
      </w:r>
      <w:r>
        <w:t xml:space="preserve">  </w:t>
      </w:r>
      <w:r w:rsidR="00847159">
        <w:t xml:space="preserve"> </w:t>
      </w:r>
    </w:p>
    <w:p w14:paraId="7AD84CCF" w14:textId="477A9BD9" w:rsidR="00F91007" w:rsidRPr="00AF3075" w:rsidRDefault="00F91007" w:rsidP="00F91007">
      <w:r w:rsidRPr="00AF3075">
        <w:t xml:space="preserve">Judicial stereotyping is a common </w:t>
      </w:r>
      <w:r>
        <w:t xml:space="preserve">and pernicious </w:t>
      </w:r>
      <w:r w:rsidRPr="00AF3075">
        <w:t xml:space="preserve">barrier to justice, particularly for </w:t>
      </w:r>
      <w:r>
        <w:t xml:space="preserve">women </w:t>
      </w:r>
      <w:r w:rsidRPr="00AF3075">
        <w:t>victims and survivors of violence.</w:t>
      </w:r>
      <w:r w:rsidRPr="00AF3075">
        <w:rPr>
          <w:rStyle w:val="FootnoteReference"/>
          <w:rFonts w:cs="Arial"/>
        </w:rPr>
        <w:footnoteReference w:id="4"/>
      </w:r>
      <w:r w:rsidRPr="00AF3075">
        <w:t xml:space="preserve">  Such stereotyping causes judges to reach a view about </w:t>
      </w:r>
      <w:r>
        <w:t>case</w:t>
      </w:r>
      <w:r w:rsidR="00847159">
        <w:t>s</w:t>
      </w:r>
      <w:r w:rsidRPr="00AF3075">
        <w:t xml:space="preserve"> based on preconceived beliefs</w:t>
      </w:r>
      <w:r>
        <w:t xml:space="preserve">, rather than </w:t>
      </w:r>
      <w:r w:rsidRPr="00AF3075">
        <w:t xml:space="preserve">relevant facts </w:t>
      </w:r>
      <w:r>
        <w:t xml:space="preserve">and </w:t>
      </w:r>
      <w:r w:rsidRPr="00AF3075">
        <w:t>actual enquiry</w:t>
      </w:r>
      <w:r w:rsidR="00847159">
        <w:t xml:space="preserve">.  This can have </w:t>
      </w:r>
      <w:r>
        <w:t xml:space="preserve">potentially wide-ranging consequences.  It may, for instance, </w:t>
      </w:r>
      <w:r w:rsidRPr="00AF3075">
        <w:t xml:space="preserve">distort judges’ perception of </w:t>
      </w:r>
      <w:r>
        <w:t>the facts,</w:t>
      </w:r>
      <w:r w:rsidRPr="00AF3075">
        <w:t xml:space="preserve"> affect </w:t>
      </w:r>
      <w:r>
        <w:t xml:space="preserve">their vision of who is a ‘victim’, </w:t>
      </w:r>
      <w:r>
        <w:rPr>
          <w:iCs/>
          <w:color w:val="000000" w:themeColor="text1"/>
        </w:rPr>
        <w:t xml:space="preserve">and </w:t>
      </w:r>
      <w:r w:rsidRPr="00AF3075">
        <w:rPr>
          <w:iCs/>
          <w:color w:val="000000" w:themeColor="text1"/>
        </w:rPr>
        <w:t xml:space="preserve">influence </w:t>
      </w:r>
      <w:r>
        <w:rPr>
          <w:iCs/>
          <w:color w:val="000000" w:themeColor="text1"/>
        </w:rPr>
        <w:t xml:space="preserve">their </w:t>
      </w:r>
      <w:r w:rsidRPr="00AF3075">
        <w:rPr>
          <w:iCs/>
          <w:color w:val="000000" w:themeColor="text1"/>
        </w:rPr>
        <w:t xml:space="preserve">views about </w:t>
      </w:r>
      <w:r>
        <w:rPr>
          <w:iCs/>
          <w:color w:val="000000" w:themeColor="text1"/>
        </w:rPr>
        <w:t xml:space="preserve">witness </w:t>
      </w:r>
      <w:r w:rsidRPr="00AF3075">
        <w:rPr>
          <w:iCs/>
          <w:color w:val="000000" w:themeColor="text1"/>
        </w:rPr>
        <w:t>credibility</w:t>
      </w:r>
      <w:r>
        <w:rPr>
          <w:iCs/>
          <w:color w:val="000000" w:themeColor="text1"/>
        </w:rPr>
        <w:t>.</w:t>
      </w:r>
      <w:r w:rsidRPr="00AF3075">
        <w:rPr>
          <w:rStyle w:val="FootnoteReference"/>
          <w:rFonts w:cs="Arial"/>
        </w:rPr>
        <w:footnoteReference w:id="5"/>
      </w:r>
      <w:r w:rsidRPr="00AF3075">
        <w:rPr>
          <w:iCs/>
          <w:color w:val="000000" w:themeColor="text1"/>
        </w:rPr>
        <w:t xml:space="preserve"> </w:t>
      </w:r>
      <w:r>
        <w:rPr>
          <w:iCs/>
          <w:color w:val="000000" w:themeColor="text1"/>
        </w:rPr>
        <w:t xml:space="preserve"> </w:t>
      </w:r>
      <w:r w:rsidRPr="00AF3075">
        <w:t xml:space="preserve">Ultimately, </w:t>
      </w:r>
      <w:r>
        <w:t>however, it compromises the impartiality and integrity of the justice system, which can, in turn, lead to miscarriages of justice and the revictimization of complainants</w:t>
      </w:r>
      <w:r w:rsidRPr="00AF3075">
        <w:t>.</w:t>
      </w:r>
      <w:r w:rsidRPr="00AF3075">
        <w:rPr>
          <w:rStyle w:val="FootnoteReference"/>
          <w:rFonts w:cs="Arial"/>
        </w:rPr>
        <w:footnoteReference w:id="6"/>
      </w:r>
      <w:r w:rsidRPr="00AF3075">
        <w:t xml:space="preserve">  </w:t>
      </w:r>
    </w:p>
    <w:p w14:paraId="5707A659" w14:textId="77777777" w:rsidR="00F91007" w:rsidRPr="00AF3075" w:rsidRDefault="00F91007" w:rsidP="00F91007">
      <w:r>
        <w:t>Women v</w:t>
      </w:r>
      <w:r w:rsidRPr="00AF3075">
        <w:t>ictims and survivors</w:t>
      </w:r>
      <w:r>
        <w:t xml:space="preserve"> </w:t>
      </w:r>
      <w:r w:rsidRPr="00AF3075">
        <w:t xml:space="preserve">‘should be able to rely on a [justice] system free from </w:t>
      </w:r>
      <w:r>
        <w:t xml:space="preserve">myths and </w:t>
      </w:r>
      <w:r w:rsidRPr="00AF3075">
        <w:t>stereotypes, and on a judiciary whose impartiality is not compromised by these biased assumptions’.</w:t>
      </w:r>
      <w:r w:rsidRPr="00AF3075">
        <w:rPr>
          <w:rStyle w:val="FootnoteReference"/>
          <w:rFonts w:cs="Arial"/>
        </w:rPr>
        <w:footnoteReference w:id="7"/>
      </w:r>
      <w:r w:rsidRPr="00AF3075">
        <w:t xml:space="preserve">  Eliminating judici</w:t>
      </w:r>
      <w:r>
        <w:t>al stereotyping is therefore a crucial</w:t>
      </w:r>
      <w:r w:rsidRPr="00AF3075">
        <w:t xml:space="preserve"> step in ensuring equality and justice for victims and survivors.  As the former Canadian Supreme Court Justice </w:t>
      </w:r>
      <w:r w:rsidRPr="00AF3075">
        <w:rPr>
          <w:bCs/>
        </w:rPr>
        <w:t xml:space="preserve">Claire L’Heureux-Dubé said,  </w:t>
      </w:r>
    </w:p>
    <w:p w14:paraId="5B8575A1" w14:textId="77777777" w:rsidR="00F91007" w:rsidRPr="00AF3075" w:rsidRDefault="00F91007" w:rsidP="00F91007">
      <w:pPr>
        <w:ind w:left="284"/>
      </w:pPr>
      <w:r w:rsidRPr="00AF3075">
        <w:rPr>
          <w:sz w:val="20"/>
        </w:rPr>
        <w:t xml:space="preserve">[t]ogether, our overarching goal must be to ensure that substantive equality and impartiality are the predominant reality in our courts and in our communities, rather than a mythical ideal. The more we strive to reach this goal, the more myths and stereotypes will be eradicated from </w:t>
      </w:r>
      <w:r w:rsidRPr="00AF3075">
        <w:rPr>
          <w:sz w:val="20"/>
        </w:rPr>
        <w:lastRenderedPageBreak/>
        <w:t>the law, where they have no rightful place.  With every success, we will be one step closer to attaining our goal of doing justice for all.</w:t>
      </w:r>
      <w:r w:rsidRPr="00AF3075">
        <w:rPr>
          <w:rStyle w:val="FootnoteReference"/>
          <w:rFonts w:cs="Arial"/>
          <w:sz w:val="20"/>
        </w:rPr>
        <w:footnoteReference w:id="8"/>
      </w:r>
    </w:p>
    <w:p w14:paraId="29FE7E67" w14:textId="77777777" w:rsidR="00F91007" w:rsidRPr="00AF3075" w:rsidRDefault="00F91007" w:rsidP="00F91007">
      <w:r w:rsidRPr="00AF3075">
        <w:t xml:space="preserve">The UN High Commissioner for Human Rights Navi Pillay </w:t>
      </w:r>
      <w:r>
        <w:t xml:space="preserve">agrees that eradicating stereotyping from our judicial systems must be a priority.  </w:t>
      </w:r>
      <w:r w:rsidRPr="00AF3075">
        <w:t xml:space="preserve">  </w:t>
      </w:r>
    </w:p>
    <w:p w14:paraId="2343F1E3" w14:textId="77777777" w:rsidR="00F91007" w:rsidRPr="00AF3075" w:rsidRDefault="00F91007" w:rsidP="00F91007">
      <w:pPr>
        <w:ind w:left="284"/>
        <w:rPr>
          <w:rFonts w:cs="Arial"/>
          <w:sz w:val="20"/>
        </w:rPr>
      </w:pPr>
      <w:r w:rsidRPr="00AF3075">
        <w:rPr>
          <w:rFonts w:cs="Arial"/>
          <w:sz w:val="20"/>
        </w:rPr>
        <w:t xml:space="preserve">States should </w:t>
      </w:r>
      <w:r>
        <w:rPr>
          <w:rFonts w:cs="Arial"/>
          <w:sz w:val="20"/>
        </w:rPr>
        <w:t xml:space="preserve">… </w:t>
      </w:r>
      <w:r w:rsidRPr="00AF3075">
        <w:rPr>
          <w:rFonts w:cs="Arial"/>
          <w:sz w:val="20"/>
        </w:rPr>
        <w:t>take measures to eliminate wrongful gender stereotyping in all aspects of the criminal justice system….  Explicit action is required to ensure that government officials, especially those working in the justice system, do not deliver decisions based on harmful stereotypes and undermine the human rights of women and girls.  Rather, officials should be identifying and challenging such negative beliefs, to help create environments that more fully respect the human rights of women and girls and build a culture of equality.</w:t>
      </w:r>
    </w:p>
    <w:p w14:paraId="00A35B59" w14:textId="77777777" w:rsidR="00F91007" w:rsidRDefault="00F91007" w:rsidP="00F91007">
      <w:pPr>
        <w:ind w:left="284"/>
        <w:rPr>
          <w:rFonts w:cs="Arial"/>
          <w:sz w:val="20"/>
        </w:rPr>
      </w:pPr>
      <w:r w:rsidRPr="00AF3075">
        <w:rPr>
          <w:rFonts w:cs="Arial"/>
          <w:sz w:val="20"/>
        </w:rPr>
        <w:t xml:space="preserve">If we are serious about achieving gender equality…, we must devote more energy to dismantling prejudicial presumptions about women and men.  We must stop perpetuating misguided ideas of what women should or should not be or do, based solely on the fact of being female. </w:t>
      </w:r>
      <w:r>
        <w:rPr>
          <w:rFonts w:cs="Arial"/>
          <w:sz w:val="20"/>
        </w:rPr>
        <w:t xml:space="preserve"> </w:t>
      </w:r>
      <w:r w:rsidRPr="00AF3075">
        <w:rPr>
          <w:rFonts w:cs="Arial"/>
          <w:sz w:val="20"/>
        </w:rPr>
        <w:t xml:space="preserve">Instead, we must see them for who they are – unique human beings in all their diversity. </w:t>
      </w:r>
      <w:r>
        <w:rPr>
          <w:rFonts w:cs="Arial"/>
          <w:sz w:val="20"/>
        </w:rPr>
        <w:t xml:space="preserve"> </w:t>
      </w:r>
      <w:r w:rsidRPr="00AF3075">
        <w:rPr>
          <w:rFonts w:cs="Arial"/>
          <w:sz w:val="20"/>
        </w:rPr>
        <w:t>This is the demand of equality, which is the foundation of human rights law.</w:t>
      </w:r>
      <w:r w:rsidRPr="00AF3075">
        <w:rPr>
          <w:rStyle w:val="FootnoteReference"/>
          <w:rFonts w:cs="Arial"/>
          <w:sz w:val="20"/>
        </w:rPr>
        <w:footnoteReference w:id="9"/>
      </w:r>
    </w:p>
    <w:p w14:paraId="39B96754" w14:textId="05AFD861" w:rsidR="00B935D6" w:rsidRPr="00AF3075" w:rsidRDefault="00F91007" w:rsidP="00B935D6">
      <w:r w:rsidRPr="00AF3075">
        <w:t xml:space="preserve">This paper – </w:t>
      </w:r>
      <w:r w:rsidRPr="00AF3075">
        <w:rPr>
          <w:b/>
          <w:i/>
          <w:color w:val="374C80" w:themeColor="accent4" w:themeShade="BF"/>
        </w:rPr>
        <w:t xml:space="preserve">Eliminating Judicial Stereotyping: Equal Access to Justice for Women in Gender-based Violence Cases </w:t>
      </w:r>
      <w:r>
        <w:t>– is a tool to help eradicate judicial stereotyping.</w:t>
      </w:r>
      <w:r w:rsidR="00EC64EB">
        <w:t xml:space="preserve">  </w:t>
      </w:r>
      <w:r w:rsidR="00B935D6" w:rsidRPr="00B935D6">
        <w:t xml:space="preserve">It </w:t>
      </w:r>
      <w:r w:rsidR="00B935D6" w:rsidRPr="00AF3075">
        <w:t xml:space="preserve">seeks to raise awareness of, and encourage advocacy related to, judicial stereotyping in gender-based violence cases.  The </w:t>
      </w:r>
      <w:r w:rsidR="002855AD">
        <w:t>Office of the High Commissioner for Human Rights (</w:t>
      </w:r>
      <w:r w:rsidR="00B935D6" w:rsidRPr="002855AD">
        <w:rPr>
          <w:b/>
        </w:rPr>
        <w:t>OHCHR</w:t>
      </w:r>
      <w:r w:rsidR="002855AD">
        <w:t>)</w:t>
      </w:r>
      <w:r w:rsidR="00B935D6" w:rsidRPr="00AF3075">
        <w:t xml:space="preserve"> hopes </w:t>
      </w:r>
      <w:r w:rsidR="00B935D6">
        <w:t xml:space="preserve">it </w:t>
      </w:r>
      <w:r w:rsidR="00B935D6" w:rsidRPr="00AF3075">
        <w:t xml:space="preserve">will help to promote a dialogue on judicial stereotyping and contribute to improved justice outcomes for </w:t>
      </w:r>
      <w:r w:rsidR="00B935D6">
        <w:t xml:space="preserve">women </w:t>
      </w:r>
      <w:r w:rsidR="00B935D6" w:rsidRPr="00AF3075">
        <w:t xml:space="preserve">victims and survivors of violence.  </w:t>
      </w:r>
      <w:r w:rsidR="00B935D6">
        <w:t>The OHCHR</w:t>
      </w:r>
      <w:r w:rsidR="00B935D6" w:rsidRPr="00AF3075">
        <w:t xml:space="preserve"> also hopes that the paper will encourage states to monitor and evaluate the effectiveness of existing practices for addressing judicial stereotyping, including in gender-based violence cases. </w:t>
      </w:r>
    </w:p>
    <w:p w14:paraId="66119E06" w14:textId="7A138DF2" w:rsidR="006D7E5A" w:rsidRDefault="00CF6C9C" w:rsidP="00B935D6">
      <w:pPr>
        <w:rPr>
          <w:rFonts w:cs="Arial"/>
        </w:rPr>
      </w:pPr>
      <w:r>
        <w:t xml:space="preserve"> </w:t>
      </w:r>
      <w:r w:rsidR="00F91007">
        <w:rPr>
          <w:rFonts w:cs="Arial"/>
        </w:rPr>
        <w:t xml:space="preserve"> </w:t>
      </w:r>
    </w:p>
    <w:p w14:paraId="6EA7BE73" w14:textId="4820CE03" w:rsidR="0056172D" w:rsidRPr="00AF3075" w:rsidRDefault="00F91007" w:rsidP="00360355">
      <w:pPr>
        <w:rPr>
          <w:rFonts w:cs="Arial"/>
        </w:rPr>
      </w:pPr>
      <w:r>
        <w:rPr>
          <w:rFonts w:cs="Arial"/>
        </w:rPr>
        <w:t xml:space="preserve"> </w:t>
      </w:r>
    </w:p>
    <w:p w14:paraId="35A3356E" w14:textId="384C02CF" w:rsidR="003C2E9A" w:rsidRPr="00AF3075" w:rsidRDefault="003C2E9A" w:rsidP="00443731">
      <w:pPr>
        <w:rPr>
          <w:rFonts w:cs="Arial"/>
        </w:rPr>
      </w:pPr>
      <w:r w:rsidRPr="00AF3075">
        <w:rPr>
          <w:rFonts w:cs="Arial"/>
        </w:rPr>
        <w:br w:type="page"/>
      </w:r>
    </w:p>
    <w:p w14:paraId="51457E73" w14:textId="77777777" w:rsidR="00110F7D" w:rsidRPr="00AF3075" w:rsidRDefault="00110F7D" w:rsidP="007147C2">
      <w:pPr>
        <w:spacing w:before="0" w:after="0"/>
        <w:jc w:val="center"/>
        <w:rPr>
          <w:rFonts w:cs="Arial"/>
          <w:b/>
          <w:color w:val="5B63B7" w:themeColor="text2" w:themeTint="99"/>
          <w:sz w:val="28"/>
          <w:szCs w:val="28"/>
        </w:rPr>
      </w:pPr>
      <w:r w:rsidRPr="00AF3075">
        <w:rPr>
          <w:rFonts w:cs="Arial"/>
          <w:b/>
          <w:color w:val="5B63B7" w:themeColor="text2" w:themeTint="99"/>
          <w:sz w:val="28"/>
          <w:szCs w:val="28"/>
        </w:rPr>
        <w:t>Table of Contents</w:t>
      </w:r>
    </w:p>
    <w:p w14:paraId="7210D22C" w14:textId="77777777" w:rsidR="00B33A26" w:rsidRPr="00AF3075" w:rsidRDefault="00B33A26" w:rsidP="007147C2">
      <w:pPr>
        <w:spacing w:before="0" w:after="0"/>
        <w:jc w:val="center"/>
        <w:rPr>
          <w:rFonts w:cs="Arial"/>
          <w:b/>
          <w:color w:val="5B63B7" w:themeColor="text2" w:themeTint="99"/>
        </w:rPr>
      </w:pPr>
    </w:p>
    <w:p w14:paraId="0A5BDE5E" w14:textId="77777777" w:rsidR="00985B05" w:rsidRPr="00AF3075" w:rsidRDefault="00985B05" w:rsidP="007147C2">
      <w:pPr>
        <w:spacing w:before="0" w:after="0"/>
        <w:jc w:val="center"/>
        <w:rPr>
          <w:rFonts w:cs="Arial"/>
          <w:b/>
          <w:color w:val="5B63B7" w:themeColor="text2" w:themeTint="99"/>
        </w:rPr>
      </w:pPr>
    </w:p>
    <w:p w14:paraId="44CAEE14" w14:textId="77777777" w:rsidR="00B022A3" w:rsidRDefault="007074EF">
      <w:pPr>
        <w:pStyle w:val="TOC1"/>
        <w:rPr>
          <w:rFonts w:asciiTheme="minorHAnsi" w:hAnsiTheme="minorHAnsi"/>
          <w:b w:val="0"/>
          <w:bCs w:val="0"/>
          <w:noProof/>
          <w:color w:val="auto"/>
          <w:lang w:val="en-US" w:eastAsia="ja-JP"/>
        </w:rPr>
      </w:pPr>
      <w:r>
        <w:rPr>
          <w:rFonts w:cs="Arial"/>
          <w:b w:val="0"/>
          <w:bCs w:val="0"/>
        </w:rPr>
        <w:fldChar w:fldCharType="begin"/>
      </w:r>
      <w:r>
        <w:rPr>
          <w:rFonts w:cs="Arial"/>
          <w:b w:val="0"/>
          <w:bCs w:val="0"/>
        </w:rPr>
        <w:instrText xml:space="preserve"> TOC \o "1-3" </w:instrText>
      </w:r>
      <w:r>
        <w:rPr>
          <w:rFonts w:cs="Arial"/>
          <w:b w:val="0"/>
          <w:bCs w:val="0"/>
        </w:rPr>
        <w:fldChar w:fldCharType="separate"/>
      </w:r>
      <w:r w:rsidR="00B022A3" w:rsidRPr="0059217D">
        <w:rPr>
          <w:noProof/>
        </w:rPr>
        <w:t>Preface</w:t>
      </w:r>
      <w:r w:rsidR="00B022A3">
        <w:rPr>
          <w:noProof/>
        </w:rPr>
        <w:tab/>
      </w:r>
      <w:r w:rsidR="00B022A3">
        <w:rPr>
          <w:noProof/>
        </w:rPr>
        <w:fldChar w:fldCharType="begin"/>
      </w:r>
      <w:r w:rsidR="00B022A3">
        <w:rPr>
          <w:noProof/>
        </w:rPr>
        <w:instrText xml:space="preserve"> PAGEREF _Toc263972377 \h </w:instrText>
      </w:r>
      <w:r w:rsidR="00B022A3">
        <w:rPr>
          <w:noProof/>
        </w:rPr>
      </w:r>
      <w:r w:rsidR="00B022A3">
        <w:rPr>
          <w:noProof/>
        </w:rPr>
        <w:fldChar w:fldCharType="separate"/>
      </w:r>
      <w:r w:rsidR="00B022A3">
        <w:rPr>
          <w:noProof/>
        </w:rPr>
        <w:t>ii</w:t>
      </w:r>
      <w:r w:rsidR="00B022A3">
        <w:rPr>
          <w:noProof/>
        </w:rPr>
        <w:fldChar w:fldCharType="end"/>
      </w:r>
    </w:p>
    <w:p w14:paraId="381C3E79" w14:textId="77777777" w:rsidR="00B022A3" w:rsidRDefault="00B022A3">
      <w:pPr>
        <w:pStyle w:val="TOC1"/>
        <w:rPr>
          <w:rFonts w:asciiTheme="minorHAnsi" w:hAnsiTheme="minorHAnsi"/>
          <w:b w:val="0"/>
          <w:bCs w:val="0"/>
          <w:noProof/>
          <w:color w:val="auto"/>
          <w:lang w:val="en-US" w:eastAsia="ja-JP"/>
        </w:rPr>
      </w:pPr>
      <w:r w:rsidRPr="0059217D">
        <w:rPr>
          <w:noProof/>
        </w:rPr>
        <w:t>1. Introduction</w:t>
      </w:r>
      <w:r>
        <w:rPr>
          <w:noProof/>
        </w:rPr>
        <w:tab/>
      </w:r>
      <w:r>
        <w:rPr>
          <w:noProof/>
        </w:rPr>
        <w:fldChar w:fldCharType="begin"/>
      </w:r>
      <w:r>
        <w:rPr>
          <w:noProof/>
        </w:rPr>
        <w:instrText xml:space="preserve"> PAGEREF _Toc263972378 \h </w:instrText>
      </w:r>
      <w:r>
        <w:rPr>
          <w:noProof/>
        </w:rPr>
      </w:r>
      <w:r>
        <w:rPr>
          <w:noProof/>
        </w:rPr>
        <w:fldChar w:fldCharType="separate"/>
      </w:r>
      <w:r>
        <w:rPr>
          <w:noProof/>
        </w:rPr>
        <w:t>1</w:t>
      </w:r>
      <w:r>
        <w:rPr>
          <w:noProof/>
        </w:rPr>
        <w:fldChar w:fldCharType="end"/>
      </w:r>
    </w:p>
    <w:p w14:paraId="2E956D31"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1.1 Background</w:t>
      </w:r>
      <w:r>
        <w:rPr>
          <w:noProof/>
        </w:rPr>
        <w:tab/>
      </w:r>
      <w:r>
        <w:rPr>
          <w:noProof/>
        </w:rPr>
        <w:fldChar w:fldCharType="begin"/>
      </w:r>
      <w:r>
        <w:rPr>
          <w:noProof/>
        </w:rPr>
        <w:instrText xml:space="preserve"> PAGEREF _Toc263972379 \h </w:instrText>
      </w:r>
      <w:r>
        <w:rPr>
          <w:noProof/>
        </w:rPr>
      </w:r>
      <w:r>
        <w:rPr>
          <w:noProof/>
        </w:rPr>
        <w:fldChar w:fldCharType="separate"/>
      </w:r>
      <w:r>
        <w:rPr>
          <w:noProof/>
        </w:rPr>
        <w:t>1</w:t>
      </w:r>
      <w:r>
        <w:rPr>
          <w:noProof/>
        </w:rPr>
        <w:fldChar w:fldCharType="end"/>
      </w:r>
    </w:p>
    <w:p w14:paraId="358AC459"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1.2 Objectives and scope</w:t>
      </w:r>
      <w:r>
        <w:rPr>
          <w:noProof/>
        </w:rPr>
        <w:tab/>
      </w:r>
      <w:r>
        <w:rPr>
          <w:noProof/>
        </w:rPr>
        <w:fldChar w:fldCharType="begin"/>
      </w:r>
      <w:r>
        <w:rPr>
          <w:noProof/>
        </w:rPr>
        <w:instrText xml:space="preserve"> PAGEREF _Toc263972380 \h </w:instrText>
      </w:r>
      <w:r>
        <w:rPr>
          <w:noProof/>
        </w:rPr>
      </w:r>
      <w:r>
        <w:rPr>
          <w:noProof/>
        </w:rPr>
        <w:fldChar w:fldCharType="separate"/>
      </w:r>
      <w:r>
        <w:rPr>
          <w:noProof/>
        </w:rPr>
        <w:t>2</w:t>
      </w:r>
      <w:r>
        <w:rPr>
          <w:noProof/>
        </w:rPr>
        <w:fldChar w:fldCharType="end"/>
      </w:r>
    </w:p>
    <w:p w14:paraId="279B521D"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1.3 Outline</w:t>
      </w:r>
      <w:r>
        <w:rPr>
          <w:noProof/>
        </w:rPr>
        <w:tab/>
      </w:r>
      <w:r>
        <w:rPr>
          <w:noProof/>
        </w:rPr>
        <w:fldChar w:fldCharType="begin"/>
      </w:r>
      <w:r>
        <w:rPr>
          <w:noProof/>
        </w:rPr>
        <w:instrText xml:space="preserve"> PAGEREF _Toc263972381 \h </w:instrText>
      </w:r>
      <w:r>
        <w:rPr>
          <w:noProof/>
        </w:rPr>
      </w:r>
      <w:r>
        <w:rPr>
          <w:noProof/>
        </w:rPr>
        <w:fldChar w:fldCharType="separate"/>
      </w:r>
      <w:r>
        <w:rPr>
          <w:noProof/>
        </w:rPr>
        <w:t>4</w:t>
      </w:r>
      <w:r>
        <w:rPr>
          <w:noProof/>
        </w:rPr>
        <w:fldChar w:fldCharType="end"/>
      </w:r>
    </w:p>
    <w:p w14:paraId="0CA9FCD4" w14:textId="77777777" w:rsidR="00B022A3" w:rsidRDefault="00B022A3">
      <w:pPr>
        <w:pStyle w:val="TOC1"/>
        <w:rPr>
          <w:rFonts w:asciiTheme="minorHAnsi" w:hAnsiTheme="minorHAnsi"/>
          <w:b w:val="0"/>
          <w:bCs w:val="0"/>
          <w:noProof/>
          <w:color w:val="auto"/>
          <w:lang w:val="en-US" w:eastAsia="ja-JP"/>
        </w:rPr>
      </w:pPr>
      <w:r w:rsidRPr="0059217D">
        <w:rPr>
          <w:noProof/>
        </w:rPr>
        <w:t>2. Access to justice for women in gender-based violence cases</w:t>
      </w:r>
      <w:r>
        <w:rPr>
          <w:noProof/>
        </w:rPr>
        <w:tab/>
      </w:r>
      <w:r>
        <w:rPr>
          <w:noProof/>
        </w:rPr>
        <w:fldChar w:fldCharType="begin"/>
      </w:r>
      <w:r>
        <w:rPr>
          <w:noProof/>
        </w:rPr>
        <w:instrText xml:space="preserve"> PAGEREF _Toc263972382 \h </w:instrText>
      </w:r>
      <w:r>
        <w:rPr>
          <w:noProof/>
        </w:rPr>
      </w:r>
      <w:r>
        <w:rPr>
          <w:noProof/>
        </w:rPr>
        <w:fldChar w:fldCharType="separate"/>
      </w:r>
      <w:r>
        <w:rPr>
          <w:noProof/>
        </w:rPr>
        <w:t>6</w:t>
      </w:r>
      <w:r>
        <w:rPr>
          <w:noProof/>
        </w:rPr>
        <w:fldChar w:fldCharType="end"/>
      </w:r>
    </w:p>
    <w:p w14:paraId="7054FFC5"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2.1 State obligations to address judicial stereotyping</w:t>
      </w:r>
      <w:r>
        <w:rPr>
          <w:noProof/>
        </w:rPr>
        <w:tab/>
      </w:r>
      <w:r>
        <w:rPr>
          <w:noProof/>
        </w:rPr>
        <w:fldChar w:fldCharType="begin"/>
      </w:r>
      <w:r>
        <w:rPr>
          <w:noProof/>
        </w:rPr>
        <w:instrText xml:space="preserve"> PAGEREF _Toc263972383 \h </w:instrText>
      </w:r>
      <w:r>
        <w:rPr>
          <w:noProof/>
        </w:rPr>
      </w:r>
      <w:r>
        <w:rPr>
          <w:noProof/>
        </w:rPr>
        <w:fldChar w:fldCharType="separate"/>
      </w:r>
      <w:r>
        <w:rPr>
          <w:noProof/>
        </w:rPr>
        <w:t>6</w:t>
      </w:r>
      <w:r>
        <w:rPr>
          <w:noProof/>
        </w:rPr>
        <w:fldChar w:fldCharType="end"/>
      </w:r>
    </w:p>
    <w:p w14:paraId="07E50F99"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2.2 Other state obligations to ensure justice for victims and survivors</w:t>
      </w:r>
      <w:r>
        <w:rPr>
          <w:noProof/>
        </w:rPr>
        <w:tab/>
      </w:r>
      <w:r>
        <w:rPr>
          <w:noProof/>
        </w:rPr>
        <w:fldChar w:fldCharType="begin"/>
      </w:r>
      <w:r>
        <w:rPr>
          <w:noProof/>
        </w:rPr>
        <w:instrText xml:space="preserve"> PAGEREF _Toc263972384 \h </w:instrText>
      </w:r>
      <w:r>
        <w:rPr>
          <w:noProof/>
        </w:rPr>
      </w:r>
      <w:r>
        <w:rPr>
          <w:noProof/>
        </w:rPr>
        <w:fldChar w:fldCharType="separate"/>
      </w:r>
      <w:r>
        <w:rPr>
          <w:noProof/>
        </w:rPr>
        <w:t>10</w:t>
      </w:r>
      <w:r>
        <w:rPr>
          <w:noProof/>
        </w:rPr>
        <w:fldChar w:fldCharType="end"/>
      </w:r>
    </w:p>
    <w:p w14:paraId="79940AC3" w14:textId="77777777" w:rsidR="00B022A3" w:rsidRDefault="00B022A3">
      <w:pPr>
        <w:pStyle w:val="TOC1"/>
        <w:rPr>
          <w:rFonts w:asciiTheme="minorHAnsi" w:hAnsiTheme="minorHAnsi"/>
          <w:b w:val="0"/>
          <w:bCs w:val="0"/>
          <w:noProof/>
          <w:color w:val="auto"/>
          <w:lang w:val="en-US" w:eastAsia="ja-JP"/>
        </w:rPr>
      </w:pPr>
      <w:r w:rsidRPr="0059217D">
        <w:rPr>
          <w:noProof/>
        </w:rPr>
        <w:t>3. Understanding stereotyping</w:t>
      </w:r>
      <w:r>
        <w:rPr>
          <w:noProof/>
        </w:rPr>
        <w:tab/>
      </w:r>
      <w:r>
        <w:rPr>
          <w:noProof/>
        </w:rPr>
        <w:fldChar w:fldCharType="begin"/>
      </w:r>
      <w:r>
        <w:rPr>
          <w:noProof/>
        </w:rPr>
        <w:instrText xml:space="preserve"> PAGEREF _Toc263972385 \h </w:instrText>
      </w:r>
      <w:r>
        <w:rPr>
          <w:noProof/>
        </w:rPr>
      </w:r>
      <w:r>
        <w:rPr>
          <w:noProof/>
        </w:rPr>
        <w:fldChar w:fldCharType="separate"/>
      </w:r>
      <w:r>
        <w:rPr>
          <w:noProof/>
        </w:rPr>
        <w:t>16</w:t>
      </w:r>
      <w:r>
        <w:rPr>
          <w:noProof/>
        </w:rPr>
        <w:fldChar w:fldCharType="end"/>
      </w:r>
    </w:p>
    <w:p w14:paraId="3F6DE528"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3.1 Stereotypes and stereotyping in gender-based violence cases</w:t>
      </w:r>
      <w:r>
        <w:rPr>
          <w:noProof/>
        </w:rPr>
        <w:tab/>
      </w:r>
      <w:r>
        <w:rPr>
          <w:noProof/>
        </w:rPr>
        <w:fldChar w:fldCharType="begin"/>
      </w:r>
      <w:r>
        <w:rPr>
          <w:noProof/>
        </w:rPr>
        <w:instrText xml:space="preserve"> PAGEREF _Toc263972386 \h </w:instrText>
      </w:r>
      <w:r>
        <w:rPr>
          <w:noProof/>
        </w:rPr>
      </w:r>
      <w:r>
        <w:rPr>
          <w:noProof/>
        </w:rPr>
        <w:fldChar w:fldCharType="separate"/>
      </w:r>
      <w:r>
        <w:rPr>
          <w:noProof/>
        </w:rPr>
        <w:t>16</w:t>
      </w:r>
      <w:r>
        <w:rPr>
          <w:noProof/>
        </w:rPr>
        <w:fldChar w:fldCharType="end"/>
      </w:r>
    </w:p>
    <w:p w14:paraId="75FD155B"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3.2 How judges apply, enforce and perpetuate stereotypes</w:t>
      </w:r>
      <w:r>
        <w:rPr>
          <w:noProof/>
        </w:rPr>
        <w:tab/>
      </w:r>
      <w:r>
        <w:rPr>
          <w:noProof/>
        </w:rPr>
        <w:fldChar w:fldCharType="begin"/>
      </w:r>
      <w:r>
        <w:rPr>
          <w:noProof/>
        </w:rPr>
        <w:instrText xml:space="preserve"> PAGEREF _Toc263972387 \h </w:instrText>
      </w:r>
      <w:r>
        <w:rPr>
          <w:noProof/>
        </w:rPr>
      </w:r>
      <w:r>
        <w:rPr>
          <w:noProof/>
        </w:rPr>
        <w:fldChar w:fldCharType="separate"/>
      </w:r>
      <w:r>
        <w:rPr>
          <w:noProof/>
        </w:rPr>
        <w:t>19</w:t>
      </w:r>
      <w:r>
        <w:rPr>
          <w:noProof/>
        </w:rPr>
        <w:fldChar w:fldCharType="end"/>
      </w:r>
    </w:p>
    <w:p w14:paraId="09293E7F"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3.3 How judges debunk stereotypes and challenge stereotyping</w:t>
      </w:r>
      <w:r>
        <w:rPr>
          <w:noProof/>
        </w:rPr>
        <w:tab/>
      </w:r>
      <w:r>
        <w:rPr>
          <w:noProof/>
        </w:rPr>
        <w:fldChar w:fldCharType="begin"/>
      </w:r>
      <w:r>
        <w:rPr>
          <w:noProof/>
        </w:rPr>
        <w:instrText xml:space="preserve"> PAGEREF _Toc263972388 \h </w:instrText>
      </w:r>
      <w:r>
        <w:rPr>
          <w:noProof/>
        </w:rPr>
      </w:r>
      <w:r>
        <w:rPr>
          <w:noProof/>
        </w:rPr>
        <w:fldChar w:fldCharType="separate"/>
      </w:r>
      <w:r>
        <w:rPr>
          <w:noProof/>
        </w:rPr>
        <w:t>20</w:t>
      </w:r>
      <w:r>
        <w:rPr>
          <w:noProof/>
        </w:rPr>
        <w:fldChar w:fldCharType="end"/>
      </w:r>
    </w:p>
    <w:p w14:paraId="0E4F3A1F" w14:textId="77777777" w:rsidR="00B022A3" w:rsidRDefault="00B022A3">
      <w:pPr>
        <w:pStyle w:val="TOC1"/>
        <w:rPr>
          <w:rFonts w:asciiTheme="minorHAnsi" w:hAnsiTheme="minorHAnsi"/>
          <w:b w:val="0"/>
          <w:bCs w:val="0"/>
          <w:noProof/>
          <w:color w:val="auto"/>
          <w:lang w:val="en-US" w:eastAsia="ja-JP"/>
        </w:rPr>
      </w:pPr>
      <w:r w:rsidRPr="0059217D">
        <w:rPr>
          <w:noProof/>
        </w:rPr>
        <w:t>4. How stereotyping undermines access to justice</w:t>
      </w:r>
      <w:r>
        <w:rPr>
          <w:noProof/>
        </w:rPr>
        <w:tab/>
      </w:r>
      <w:r>
        <w:rPr>
          <w:noProof/>
        </w:rPr>
        <w:fldChar w:fldCharType="begin"/>
      </w:r>
      <w:r>
        <w:rPr>
          <w:noProof/>
        </w:rPr>
        <w:instrText xml:space="preserve"> PAGEREF _Toc263972389 \h </w:instrText>
      </w:r>
      <w:r>
        <w:rPr>
          <w:noProof/>
        </w:rPr>
      </w:r>
      <w:r>
        <w:rPr>
          <w:noProof/>
        </w:rPr>
        <w:fldChar w:fldCharType="separate"/>
      </w:r>
      <w:r>
        <w:rPr>
          <w:noProof/>
        </w:rPr>
        <w:t>22</w:t>
      </w:r>
      <w:r>
        <w:rPr>
          <w:noProof/>
        </w:rPr>
        <w:fldChar w:fldCharType="end"/>
      </w:r>
    </w:p>
    <w:p w14:paraId="107582A5"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4.1 Stereotyping can compromise the impartiality of judges’ decisions</w:t>
      </w:r>
      <w:r>
        <w:rPr>
          <w:noProof/>
        </w:rPr>
        <w:tab/>
      </w:r>
      <w:r>
        <w:rPr>
          <w:noProof/>
        </w:rPr>
        <w:fldChar w:fldCharType="begin"/>
      </w:r>
      <w:r>
        <w:rPr>
          <w:noProof/>
        </w:rPr>
        <w:instrText xml:space="preserve"> PAGEREF _Toc263972390 \h </w:instrText>
      </w:r>
      <w:r>
        <w:rPr>
          <w:noProof/>
        </w:rPr>
      </w:r>
      <w:r>
        <w:rPr>
          <w:noProof/>
        </w:rPr>
        <w:fldChar w:fldCharType="separate"/>
      </w:r>
      <w:r>
        <w:rPr>
          <w:noProof/>
        </w:rPr>
        <w:t>22</w:t>
      </w:r>
      <w:r>
        <w:rPr>
          <w:noProof/>
        </w:rPr>
        <w:fldChar w:fldCharType="end"/>
      </w:r>
    </w:p>
    <w:p w14:paraId="07219D15"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4.2 Stereotyping can influence judges’ understanding of violent offences</w:t>
      </w:r>
      <w:r>
        <w:rPr>
          <w:noProof/>
        </w:rPr>
        <w:tab/>
      </w:r>
      <w:r>
        <w:rPr>
          <w:noProof/>
        </w:rPr>
        <w:fldChar w:fldCharType="begin"/>
      </w:r>
      <w:r>
        <w:rPr>
          <w:noProof/>
        </w:rPr>
        <w:instrText xml:space="preserve"> PAGEREF _Toc263972391 \h </w:instrText>
      </w:r>
      <w:r>
        <w:rPr>
          <w:noProof/>
        </w:rPr>
      </w:r>
      <w:r>
        <w:rPr>
          <w:noProof/>
        </w:rPr>
        <w:fldChar w:fldCharType="separate"/>
      </w:r>
      <w:r>
        <w:rPr>
          <w:noProof/>
        </w:rPr>
        <w:t>24</w:t>
      </w:r>
      <w:r>
        <w:rPr>
          <w:noProof/>
        </w:rPr>
        <w:fldChar w:fldCharType="end"/>
      </w:r>
    </w:p>
    <w:p w14:paraId="2F93D764"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4.3 Stereotyping can affect judges’ views about witness credibility and legal capacity</w:t>
      </w:r>
      <w:r>
        <w:rPr>
          <w:noProof/>
        </w:rPr>
        <w:tab/>
      </w:r>
      <w:r>
        <w:rPr>
          <w:noProof/>
        </w:rPr>
        <w:fldChar w:fldCharType="begin"/>
      </w:r>
      <w:r>
        <w:rPr>
          <w:noProof/>
        </w:rPr>
        <w:instrText xml:space="preserve"> PAGEREF _Toc263972392 \h </w:instrText>
      </w:r>
      <w:r>
        <w:rPr>
          <w:noProof/>
        </w:rPr>
      </w:r>
      <w:r>
        <w:rPr>
          <w:noProof/>
        </w:rPr>
        <w:fldChar w:fldCharType="separate"/>
      </w:r>
      <w:r>
        <w:rPr>
          <w:noProof/>
        </w:rPr>
        <w:t>24</w:t>
      </w:r>
      <w:r>
        <w:rPr>
          <w:noProof/>
        </w:rPr>
        <w:fldChar w:fldCharType="end"/>
      </w:r>
    </w:p>
    <w:p w14:paraId="55BAE9F9"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4.4 Stereotyping can stop judges holding offenders legally accountable</w:t>
      </w:r>
      <w:r>
        <w:rPr>
          <w:noProof/>
        </w:rPr>
        <w:tab/>
      </w:r>
      <w:r>
        <w:rPr>
          <w:noProof/>
        </w:rPr>
        <w:fldChar w:fldCharType="begin"/>
      </w:r>
      <w:r>
        <w:rPr>
          <w:noProof/>
        </w:rPr>
        <w:instrText xml:space="preserve"> PAGEREF _Toc263972393 \h </w:instrText>
      </w:r>
      <w:r>
        <w:rPr>
          <w:noProof/>
        </w:rPr>
      </w:r>
      <w:r>
        <w:rPr>
          <w:noProof/>
        </w:rPr>
        <w:fldChar w:fldCharType="separate"/>
      </w:r>
      <w:r>
        <w:rPr>
          <w:noProof/>
        </w:rPr>
        <w:t>26</w:t>
      </w:r>
      <w:r>
        <w:rPr>
          <w:noProof/>
        </w:rPr>
        <w:fldChar w:fldCharType="end"/>
      </w:r>
    </w:p>
    <w:p w14:paraId="7EAEDCB4"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4.5 Stereotyping can impede access to legal rights and protections</w:t>
      </w:r>
      <w:r>
        <w:rPr>
          <w:noProof/>
        </w:rPr>
        <w:tab/>
      </w:r>
      <w:r>
        <w:rPr>
          <w:noProof/>
        </w:rPr>
        <w:fldChar w:fldCharType="begin"/>
      </w:r>
      <w:r>
        <w:rPr>
          <w:noProof/>
        </w:rPr>
        <w:instrText xml:space="preserve"> PAGEREF _Toc263972394 \h </w:instrText>
      </w:r>
      <w:r>
        <w:rPr>
          <w:noProof/>
        </w:rPr>
      </w:r>
      <w:r>
        <w:rPr>
          <w:noProof/>
        </w:rPr>
        <w:fldChar w:fldCharType="separate"/>
      </w:r>
      <w:r>
        <w:rPr>
          <w:noProof/>
        </w:rPr>
        <w:t>27</w:t>
      </w:r>
      <w:r>
        <w:rPr>
          <w:noProof/>
        </w:rPr>
        <w:fldChar w:fldCharType="end"/>
      </w:r>
    </w:p>
    <w:p w14:paraId="1555F123" w14:textId="77777777" w:rsidR="00B022A3" w:rsidRDefault="00B022A3">
      <w:pPr>
        <w:pStyle w:val="TOC1"/>
        <w:rPr>
          <w:rFonts w:asciiTheme="minorHAnsi" w:hAnsiTheme="minorHAnsi"/>
          <w:b w:val="0"/>
          <w:bCs w:val="0"/>
          <w:noProof/>
          <w:color w:val="auto"/>
          <w:lang w:val="en-US" w:eastAsia="ja-JP"/>
        </w:rPr>
      </w:pPr>
      <w:r w:rsidRPr="0059217D">
        <w:rPr>
          <w:noProof/>
        </w:rPr>
        <w:t>5. Strategies for eliminating stereotyping in gender-based violence cases</w:t>
      </w:r>
      <w:r>
        <w:rPr>
          <w:noProof/>
        </w:rPr>
        <w:tab/>
      </w:r>
      <w:r>
        <w:rPr>
          <w:noProof/>
        </w:rPr>
        <w:fldChar w:fldCharType="begin"/>
      </w:r>
      <w:r>
        <w:rPr>
          <w:noProof/>
        </w:rPr>
        <w:instrText xml:space="preserve"> PAGEREF _Toc263972395 \h </w:instrText>
      </w:r>
      <w:r>
        <w:rPr>
          <w:noProof/>
        </w:rPr>
      </w:r>
      <w:r>
        <w:rPr>
          <w:noProof/>
        </w:rPr>
        <w:fldChar w:fldCharType="separate"/>
      </w:r>
      <w:r>
        <w:rPr>
          <w:noProof/>
        </w:rPr>
        <w:t>29</w:t>
      </w:r>
      <w:r>
        <w:rPr>
          <w:noProof/>
        </w:rPr>
        <w:fldChar w:fldCharType="end"/>
      </w:r>
    </w:p>
    <w:p w14:paraId="1D10760D"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5.1 Highlight the harms of judicial stereotyping through evidence-based research</w:t>
      </w:r>
      <w:r>
        <w:rPr>
          <w:noProof/>
        </w:rPr>
        <w:tab/>
      </w:r>
      <w:r>
        <w:rPr>
          <w:noProof/>
        </w:rPr>
        <w:fldChar w:fldCharType="begin"/>
      </w:r>
      <w:r>
        <w:rPr>
          <w:noProof/>
        </w:rPr>
        <w:instrText xml:space="preserve"> PAGEREF _Toc263972396 \h </w:instrText>
      </w:r>
      <w:r>
        <w:rPr>
          <w:noProof/>
        </w:rPr>
      </w:r>
      <w:r>
        <w:rPr>
          <w:noProof/>
        </w:rPr>
        <w:fldChar w:fldCharType="separate"/>
      </w:r>
      <w:r>
        <w:rPr>
          <w:noProof/>
        </w:rPr>
        <w:t>29</w:t>
      </w:r>
      <w:r>
        <w:rPr>
          <w:noProof/>
        </w:rPr>
        <w:fldChar w:fldCharType="end"/>
      </w:r>
    </w:p>
    <w:p w14:paraId="1B8D9C41"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5.2 Advocate legal and policy reforms</w:t>
      </w:r>
      <w:r>
        <w:rPr>
          <w:noProof/>
        </w:rPr>
        <w:tab/>
      </w:r>
      <w:r>
        <w:rPr>
          <w:noProof/>
        </w:rPr>
        <w:fldChar w:fldCharType="begin"/>
      </w:r>
      <w:r>
        <w:rPr>
          <w:noProof/>
        </w:rPr>
        <w:instrText xml:space="preserve"> PAGEREF _Toc263972397 \h </w:instrText>
      </w:r>
      <w:r>
        <w:rPr>
          <w:noProof/>
        </w:rPr>
      </w:r>
      <w:r>
        <w:rPr>
          <w:noProof/>
        </w:rPr>
        <w:fldChar w:fldCharType="separate"/>
      </w:r>
      <w:r>
        <w:rPr>
          <w:noProof/>
        </w:rPr>
        <w:t>31</w:t>
      </w:r>
      <w:r>
        <w:rPr>
          <w:noProof/>
        </w:rPr>
        <w:fldChar w:fldCharType="end"/>
      </w:r>
    </w:p>
    <w:p w14:paraId="22B020B0"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5.3 Monitor and analyse judicial reasoning</w:t>
      </w:r>
      <w:r>
        <w:rPr>
          <w:noProof/>
        </w:rPr>
        <w:tab/>
      </w:r>
      <w:r>
        <w:rPr>
          <w:noProof/>
        </w:rPr>
        <w:fldChar w:fldCharType="begin"/>
      </w:r>
      <w:r>
        <w:rPr>
          <w:noProof/>
        </w:rPr>
        <w:instrText xml:space="preserve"> PAGEREF _Toc263972398 \h </w:instrText>
      </w:r>
      <w:r>
        <w:rPr>
          <w:noProof/>
        </w:rPr>
      </w:r>
      <w:r>
        <w:rPr>
          <w:noProof/>
        </w:rPr>
        <w:fldChar w:fldCharType="separate"/>
      </w:r>
      <w:r>
        <w:rPr>
          <w:noProof/>
        </w:rPr>
        <w:t>33</w:t>
      </w:r>
      <w:r>
        <w:rPr>
          <w:noProof/>
        </w:rPr>
        <w:fldChar w:fldCharType="end"/>
      </w:r>
    </w:p>
    <w:p w14:paraId="59E2C6D2"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5.4 Challenge judicial stereotyping</w:t>
      </w:r>
      <w:r>
        <w:rPr>
          <w:noProof/>
        </w:rPr>
        <w:tab/>
      </w:r>
      <w:r>
        <w:rPr>
          <w:noProof/>
        </w:rPr>
        <w:fldChar w:fldCharType="begin"/>
      </w:r>
      <w:r>
        <w:rPr>
          <w:noProof/>
        </w:rPr>
        <w:instrText xml:space="preserve"> PAGEREF _Toc263972399 \h </w:instrText>
      </w:r>
      <w:r>
        <w:rPr>
          <w:noProof/>
        </w:rPr>
      </w:r>
      <w:r>
        <w:rPr>
          <w:noProof/>
        </w:rPr>
        <w:fldChar w:fldCharType="separate"/>
      </w:r>
      <w:r>
        <w:rPr>
          <w:noProof/>
        </w:rPr>
        <w:t>35</w:t>
      </w:r>
      <w:r>
        <w:rPr>
          <w:noProof/>
        </w:rPr>
        <w:fldChar w:fldCharType="end"/>
      </w:r>
    </w:p>
    <w:p w14:paraId="6BF239AF"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5.5 Highlight good practice examples</w:t>
      </w:r>
      <w:r>
        <w:rPr>
          <w:noProof/>
        </w:rPr>
        <w:tab/>
      </w:r>
      <w:r>
        <w:rPr>
          <w:noProof/>
        </w:rPr>
        <w:fldChar w:fldCharType="begin"/>
      </w:r>
      <w:r>
        <w:rPr>
          <w:noProof/>
        </w:rPr>
        <w:instrText xml:space="preserve"> PAGEREF _Toc263972400 \h </w:instrText>
      </w:r>
      <w:r>
        <w:rPr>
          <w:noProof/>
        </w:rPr>
      </w:r>
      <w:r>
        <w:rPr>
          <w:noProof/>
        </w:rPr>
        <w:fldChar w:fldCharType="separate"/>
      </w:r>
      <w:r>
        <w:rPr>
          <w:noProof/>
        </w:rPr>
        <w:t>39</w:t>
      </w:r>
      <w:r>
        <w:rPr>
          <w:noProof/>
        </w:rPr>
        <w:fldChar w:fldCharType="end"/>
      </w:r>
    </w:p>
    <w:p w14:paraId="469BCEC8"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5.6 Improve judicial capacity</w:t>
      </w:r>
      <w:r>
        <w:rPr>
          <w:noProof/>
        </w:rPr>
        <w:tab/>
      </w:r>
      <w:r>
        <w:rPr>
          <w:noProof/>
        </w:rPr>
        <w:fldChar w:fldCharType="begin"/>
      </w:r>
      <w:r>
        <w:rPr>
          <w:noProof/>
        </w:rPr>
        <w:instrText xml:space="preserve"> PAGEREF _Toc263972401 \h </w:instrText>
      </w:r>
      <w:r>
        <w:rPr>
          <w:noProof/>
        </w:rPr>
      </w:r>
      <w:r>
        <w:rPr>
          <w:noProof/>
        </w:rPr>
        <w:fldChar w:fldCharType="separate"/>
      </w:r>
      <w:r>
        <w:rPr>
          <w:noProof/>
        </w:rPr>
        <w:t>42</w:t>
      </w:r>
      <w:r>
        <w:rPr>
          <w:noProof/>
        </w:rPr>
        <w:fldChar w:fldCharType="end"/>
      </w:r>
    </w:p>
    <w:p w14:paraId="3B324B6F" w14:textId="7626A3F6" w:rsidR="00110F7D" w:rsidRPr="00AF3075" w:rsidRDefault="007074EF" w:rsidP="00C33A82">
      <w:pPr>
        <w:pStyle w:val="TOC3"/>
        <w:rPr>
          <w:rFonts w:cs="Arial"/>
        </w:rPr>
        <w:sectPr w:rsidR="00110F7D" w:rsidRPr="00AF3075" w:rsidSect="00110F7D">
          <w:headerReference w:type="default" r:id="rId11"/>
          <w:footerReference w:type="even" r:id="rId12"/>
          <w:footerReference w:type="default" r:id="rId13"/>
          <w:pgSz w:w="11900" w:h="16840"/>
          <w:pgMar w:top="1440" w:right="1800" w:bottom="1440" w:left="1800" w:header="708" w:footer="708" w:gutter="0"/>
          <w:pgNumType w:fmt="lowerRoman" w:start="1"/>
          <w:cols w:space="708"/>
          <w:titlePg/>
          <w:docGrid w:linePitch="360"/>
        </w:sectPr>
      </w:pPr>
      <w:r>
        <w:rPr>
          <w:rFonts w:cs="Arial"/>
          <w:b/>
          <w:bCs/>
          <w:color w:val="5B63B7" w:themeColor="text2" w:themeTint="99"/>
          <w:sz w:val="24"/>
          <w:szCs w:val="24"/>
        </w:rPr>
        <w:fldChar w:fldCharType="end"/>
      </w:r>
    </w:p>
    <w:p w14:paraId="1384BE63" w14:textId="77777777" w:rsidR="002D79E8" w:rsidRPr="00AF3075" w:rsidRDefault="009F429A" w:rsidP="00797B12">
      <w:pPr>
        <w:pStyle w:val="Heading1"/>
        <w:rPr>
          <w:rFonts w:ascii="Candara" w:hAnsi="Candara"/>
        </w:rPr>
      </w:pPr>
      <w:bookmarkStart w:id="2" w:name="_Toc263972378"/>
      <w:r w:rsidRPr="00AF3075">
        <w:rPr>
          <w:rFonts w:ascii="Candara" w:hAnsi="Candara"/>
        </w:rPr>
        <w:t xml:space="preserve">1. </w:t>
      </w:r>
      <w:r w:rsidR="00982A8D" w:rsidRPr="00AF3075">
        <w:rPr>
          <w:rFonts w:ascii="Candara" w:hAnsi="Candara"/>
        </w:rPr>
        <w:t>Introduction</w:t>
      </w:r>
      <w:bookmarkStart w:id="3" w:name="_Toc234329240"/>
      <w:bookmarkEnd w:id="2"/>
    </w:p>
    <w:p w14:paraId="1B2E7C23" w14:textId="5EB1CA82" w:rsidR="00AC26E8" w:rsidRPr="00AF3075" w:rsidRDefault="00AC26E8" w:rsidP="00003186">
      <w:pPr>
        <w:pStyle w:val="Heading2"/>
        <w:ind w:left="0" w:firstLine="0"/>
        <w:rPr>
          <w:rFonts w:ascii="Candara" w:hAnsi="Candara"/>
        </w:rPr>
      </w:pPr>
      <w:bookmarkStart w:id="4" w:name="_Toc263972379"/>
      <w:bookmarkEnd w:id="3"/>
      <w:r w:rsidRPr="00AF3075">
        <w:rPr>
          <w:rFonts w:ascii="Candara" w:hAnsi="Candara"/>
        </w:rPr>
        <w:t>1.1</w:t>
      </w:r>
      <w:r w:rsidR="00BE196F" w:rsidRPr="00AF3075">
        <w:rPr>
          <w:rFonts w:ascii="Candara" w:hAnsi="Candara"/>
        </w:rPr>
        <w:t xml:space="preserve"> </w:t>
      </w:r>
      <w:r w:rsidR="00130612" w:rsidRPr="00AF3075">
        <w:rPr>
          <w:rFonts w:ascii="Candara" w:hAnsi="Candara"/>
        </w:rPr>
        <w:t>Background</w:t>
      </w:r>
      <w:bookmarkEnd w:id="4"/>
    </w:p>
    <w:p w14:paraId="6DDC65DC" w14:textId="6F023339" w:rsidR="009B7478" w:rsidRPr="00AF3075" w:rsidRDefault="009B7478" w:rsidP="00B00A11">
      <w:pPr>
        <w:rPr>
          <w:i/>
          <w:iCs/>
          <w:color w:val="000000" w:themeColor="text1"/>
        </w:rPr>
      </w:pPr>
      <w:r w:rsidRPr="00AF3075">
        <w:rPr>
          <w:szCs w:val="20"/>
        </w:rPr>
        <w:t>In 2013, the</w:t>
      </w:r>
      <w:r w:rsidRPr="00AF3075">
        <w:t xml:space="preserve"> Women’s Rights and Gender Section of the </w:t>
      </w:r>
      <w:r w:rsidRPr="002855AD">
        <w:t>OHCHR</w:t>
      </w:r>
      <w:r w:rsidRPr="00AF3075">
        <w:rPr>
          <w:b/>
        </w:rPr>
        <w:t xml:space="preserve"> </w:t>
      </w:r>
      <w:r w:rsidRPr="00AF3075">
        <w:t>commissioned a research report and policy paper on gender stereotyping.</w:t>
      </w:r>
      <w:r w:rsidR="000641F5">
        <w:t xml:space="preserve">  </w:t>
      </w:r>
      <w:r w:rsidR="000641F5" w:rsidRPr="00B00A11">
        <w:t>The research report examined how international human rights treaties and UN human rights mechanisms have addressed stereotyping.</w:t>
      </w:r>
      <w:r w:rsidR="004C15DB" w:rsidRPr="00FA4327">
        <w:rPr>
          <w:rStyle w:val="FootnoteReference"/>
          <w:rFonts w:cs="Arial"/>
        </w:rPr>
        <w:footnoteReference w:id="10"/>
      </w:r>
      <w:r w:rsidR="000641F5">
        <w:t xml:space="preserve"> </w:t>
      </w:r>
      <w:r w:rsidR="004C15DB">
        <w:t xml:space="preserve"> </w:t>
      </w:r>
      <w:r w:rsidR="000641F5" w:rsidRPr="00B00A11">
        <w:t>The</w:t>
      </w:r>
      <w:r w:rsidR="000641F5" w:rsidRPr="00B00A11">
        <w:rPr>
          <w:b/>
          <w:color w:val="374C80" w:themeColor="accent4" w:themeShade="BF"/>
        </w:rPr>
        <w:t xml:space="preserve"> </w:t>
      </w:r>
      <w:r w:rsidR="000641F5" w:rsidRPr="00B00A11">
        <w:t>policy paper identified strategies that the OHCHR might adopt to address stereotyping.</w:t>
      </w:r>
      <w:r w:rsidR="004C15DB" w:rsidRPr="00FA4327">
        <w:rPr>
          <w:rStyle w:val="FootnoteReference"/>
          <w:rFonts w:cs="Arial"/>
        </w:rPr>
        <w:footnoteReference w:id="11"/>
      </w:r>
      <w:r w:rsidR="000641F5" w:rsidRPr="00B00A11">
        <w:t xml:space="preserve">  These strategies responded to the challenges the research report identified in addressing stereotyping within the UN human rights system.  They include</w:t>
      </w:r>
      <w:r w:rsidR="000641F5" w:rsidRPr="00B00A11">
        <w:rPr>
          <w:iCs/>
          <w:color w:val="000000" w:themeColor="text1"/>
        </w:rPr>
        <w:t xml:space="preserve"> limited awareness of human rights obligations related to stereotyping and good practices in addressing stereotyping.</w:t>
      </w:r>
      <w:r w:rsidR="00166001">
        <w:rPr>
          <w:iCs/>
          <w:color w:val="000000" w:themeColor="text1"/>
        </w:rPr>
        <w:t xml:space="preserve"> </w:t>
      </w:r>
      <w:r w:rsidRPr="00AF3075">
        <w:t xml:space="preserve">The OHCHR commissioned this </w:t>
      </w:r>
      <w:r w:rsidR="00224A6C" w:rsidRPr="00AF3075">
        <w:t>work</w:t>
      </w:r>
      <w:r w:rsidRPr="00AF3075">
        <w:t xml:space="preserve"> to enable it to consider potential opportunities and challenges for future programming and coordination on stereotyping.</w:t>
      </w:r>
      <w:r w:rsidR="00311812" w:rsidRPr="00AF3075">
        <w:t xml:space="preserve">  It has </w:t>
      </w:r>
      <w:r w:rsidRPr="00AF3075">
        <w:rPr>
          <w:szCs w:val="20"/>
        </w:rPr>
        <w:t xml:space="preserve">subsequently taken action on several recommendations </w:t>
      </w:r>
      <w:r w:rsidR="001F1B9E" w:rsidRPr="00AF3075">
        <w:rPr>
          <w:szCs w:val="20"/>
        </w:rPr>
        <w:t xml:space="preserve">made in </w:t>
      </w:r>
      <w:r w:rsidRPr="00AF3075">
        <w:rPr>
          <w:szCs w:val="20"/>
        </w:rPr>
        <w:t xml:space="preserve">the policy paper.  </w:t>
      </w:r>
      <w:r w:rsidRPr="00AF3075">
        <w:t xml:space="preserve">For </w:t>
      </w:r>
      <w:r w:rsidR="0036759C" w:rsidRPr="00AF3075">
        <w:t>instance</w:t>
      </w:r>
      <w:r w:rsidRPr="00AF3075">
        <w:t>:</w:t>
      </w:r>
    </w:p>
    <w:p w14:paraId="38AC67F3" w14:textId="5F8C090A" w:rsidR="00760115" w:rsidRDefault="00760115" w:rsidP="002F4260">
      <w:pPr>
        <w:pStyle w:val="ListParagraph"/>
        <w:numPr>
          <w:ilvl w:val="0"/>
          <w:numId w:val="27"/>
        </w:numPr>
        <w:spacing w:before="120" w:after="120"/>
        <w:ind w:left="567"/>
        <w:rPr>
          <w:rStyle w:val="SubtleEmphasis"/>
          <w:b w:val="0"/>
          <w:color w:val="000000" w:themeColor="text1"/>
          <w:sz w:val="24"/>
        </w:rPr>
      </w:pPr>
      <w:r>
        <w:rPr>
          <w:rStyle w:val="SubtleEmphasis"/>
          <w:b w:val="0"/>
          <w:color w:val="000000" w:themeColor="text1"/>
          <w:sz w:val="24"/>
        </w:rPr>
        <w:t xml:space="preserve">the OHCHR </w:t>
      </w:r>
      <w:r w:rsidR="00D174DE" w:rsidRPr="00AF3075">
        <w:rPr>
          <w:rStyle w:val="SubtleEmphasis"/>
          <w:b w:val="0"/>
          <w:color w:val="000000" w:themeColor="text1"/>
          <w:sz w:val="24"/>
        </w:rPr>
        <w:t xml:space="preserve">has </w:t>
      </w:r>
      <w:r w:rsidR="002F4260" w:rsidRPr="00AF3075">
        <w:rPr>
          <w:rStyle w:val="SubtleEmphasis"/>
          <w:b w:val="0"/>
          <w:color w:val="000000" w:themeColor="text1"/>
          <w:sz w:val="24"/>
        </w:rPr>
        <w:t xml:space="preserve">included work on </w:t>
      </w:r>
      <w:r w:rsidR="00D174DE" w:rsidRPr="00AF3075">
        <w:rPr>
          <w:rStyle w:val="SubtleEmphasis"/>
          <w:b w:val="0"/>
          <w:color w:val="000000" w:themeColor="text1"/>
          <w:sz w:val="24"/>
        </w:rPr>
        <w:t xml:space="preserve">stereotyping </w:t>
      </w:r>
      <w:r w:rsidR="005D6357" w:rsidRPr="00AF3075">
        <w:rPr>
          <w:rStyle w:val="SubtleEmphasis"/>
          <w:b w:val="0"/>
          <w:color w:val="000000" w:themeColor="text1"/>
          <w:sz w:val="24"/>
        </w:rPr>
        <w:t xml:space="preserve">in </w:t>
      </w:r>
      <w:r w:rsidR="005D6357" w:rsidRPr="00A66917">
        <w:rPr>
          <w:rStyle w:val="SubtleEmphasis"/>
          <w:b w:val="0"/>
          <w:color w:val="000000" w:themeColor="text1"/>
          <w:sz w:val="24"/>
        </w:rPr>
        <w:t xml:space="preserve">its </w:t>
      </w:r>
      <w:r w:rsidR="00D174DE" w:rsidRPr="00A66917">
        <w:rPr>
          <w:rStyle w:val="SubtleEmphasis"/>
          <w:b w:val="0"/>
          <w:color w:val="000000" w:themeColor="text1"/>
          <w:sz w:val="24"/>
        </w:rPr>
        <w:t xml:space="preserve">2014-2017 </w:t>
      </w:r>
      <w:r w:rsidR="00502A0A" w:rsidRPr="00A66917">
        <w:rPr>
          <w:rStyle w:val="SubtleEmphasis"/>
          <w:b w:val="0"/>
          <w:color w:val="000000" w:themeColor="text1"/>
          <w:sz w:val="24"/>
        </w:rPr>
        <w:t>office Management Plan</w:t>
      </w:r>
    </w:p>
    <w:p w14:paraId="316CE7FC" w14:textId="1A43ADAF" w:rsidR="002F4260" w:rsidRPr="00AF3075" w:rsidRDefault="002F4260" w:rsidP="002F4260">
      <w:pPr>
        <w:pStyle w:val="ListParagraph"/>
        <w:numPr>
          <w:ilvl w:val="0"/>
          <w:numId w:val="27"/>
        </w:numPr>
        <w:spacing w:before="120" w:after="120"/>
        <w:ind w:left="567"/>
        <w:rPr>
          <w:rStyle w:val="SubtleEmphasis"/>
          <w:b w:val="0"/>
          <w:color w:val="000000" w:themeColor="text1"/>
          <w:sz w:val="24"/>
        </w:rPr>
      </w:pPr>
      <w:r w:rsidRPr="00AF3075">
        <w:rPr>
          <w:rStyle w:val="SubtleEmphasis"/>
          <w:b w:val="0"/>
          <w:color w:val="000000" w:themeColor="text1"/>
          <w:sz w:val="24"/>
        </w:rPr>
        <w:t xml:space="preserve">the </w:t>
      </w:r>
      <w:r w:rsidRPr="00AF3075">
        <w:t>High Commissioner for Human Rights has publicly committed the OHCHR to devote ‘considerable attention to providing more robust guidance’</w:t>
      </w:r>
      <w:r w:rsidR="002A45FE" w:rsidRPr="00AF3075">
        <w:rPr>
          <w:rStyle w:val="FootnoteReference"/>
          <w:rFonts w:cs="Arial"/>
        </w:rPr>
        <w:footnoteReference w:id="12"/>
      </w:r>
      <w:r w:rsidRPr="00AF3075">
        <w:t xml:space="preserve"> on the issue of stereotyping</w:t>
      </w:r>
    </w:p>
    <w:p w14:paraId="1C995758" w14:textId="1F897288" w:rsidR="009B7478" w:rsidRPr="00AF3075" w:rsidRDefault="00760115" w:rsidP="006364E9">
      <w:pPr>
        <w:pStyle w:val="ListParagraph"/>
        <w:numPr>
          <w:ilvl w:val="0"/>
          <w:numId w:val="27"/>
        </w:numPr>
        <w:spacing w:before="120" w:after="120"/>
        <w:ind w:left="567"/>
        <w:rPr>
          <w:i/>
          <w:iCs/>
          <w:color w:val="000000" w:themeColor="text1"/>
        </w:rPr>
      </w:pPr>
      <w:proofErr w:type="gramStart"/>
      <w:r>
        <w:rPr>
          <w:rStyle w:val="SubtleEmphasis"/>
          <w:b w:val="0"/>
          <w:color w:val="000000" w:themeColor="text1"/>
          <w:sz w:val="24"/>
        </w:rPr>
        <w:t>the</w:t>
      </w:r>
      <w:proofErr w:type="gramEnd"/>
      <w:r>
        <w:rPr>
          <w:rStyle w:val="SubtleEmphasis"/>
          <w:b w:val="0"/>
          <w:color w:val="000000" w:themeColor="text1"/>
          <w:sz w:val="24"/>
        </w:rPr>
        <w:t xml:space="preserve"> OHCHR </w:t>
      </w:r>
      <w:r w:rsidR="005D6357" w:rsidRPr="00AF3075">
        <w:rPr>
          <w:rStyle w:val="SubtleEmphasis"/>
          <w:b w:val="0"/>
          <w:color w:val="000000" w:themeColor="text1"/>
          <w:sz w:val="24"/>
        </w:rPr>
        <w:t>is helping</w:t>
      </w:r>
      <w:r w:rsidR="00D81DFB" w:rsidRPr="00AF3075">
        <w:rPr>
          <w:rStyle w:val="SubtleEmphasis"/>
          <w:b w:val="0"/>
          <w:color w:val="000000" w:themeColor="text1"/>
          <w:sz w:val="24"/>
        </w:rPr>
        <w:t xml:space="preserve"> </w:t>
      </w:r>
      <w:r w:rsidR="0020288B" w:rsidRPr="00AF3075">
        <w:rPr>
          <w:rStyle w:val="SubtleEmphasis"/>
          <w:b w:val="0"/>
          <w:color w:val="000000" w:themeColor="text1"/>
          <w:sz w:val="24"/>
        </w:rPr>
        <w:t xml:space="preserve">to </w:t>
      </w:r>
      <w:r w:rsidR="00D81DFB" w:rsidRPr="00AF3075">
        <w:rPr>
          <w:rStyle w:val="SubtleEmphasis"/>
          <w:b w:val="0"/>
          <w:color w:val="000000" w:themeColor="text1"/>
          <w:sz w:val="24"/>
        </w:rPr>
        <w:t xml:space="preserve">facilitate </w:t>
      </w:r>
      <w:r w:rsidR="0020288B" w:rsidRPr="00AF3075">
        <w:rPr>
          <w:rStyle w:val="SubtleEmphasis"/>
          <w:b w:val="0"/>
          <w:color w:val="000000" w:themeColor="text1"/>
          <w:sz w:val="24"/>
        </w:rPr>
        <w:t xml:space="preserve">a panel on stereotyping at the </w:t>
      </w:r>
      <w:r w:rsidR="00D81DFB" w:rsidRPr="00AF3075">
        <w:rPr>
          <w:rStyle w:val="SubtleEmphasis"/>
          <w:b w:val="0"/>
          <w:color w:val="000000" w:themeColor="text1"/>
          <w:sz w:val="24"/>
        </w:rPr>
        <w:t>2014 Human Rights Council</w:t>
      </w:r>
      <w:r w:rsidR="0020288B" w:rsidRPr="00AF3075">
        <w:rPr>
          <w:rStyle w:val="SubtleEmphasis"/>
          <w:b w:val="0"/>
          <w:color w:val="000000" w:themeColor="text1"/>
          <w:sz w:val="24"/>
        </w:rPr>
        <w:t xml:space="preserve"> annual full-day discussion on women’s human rights</w:t>
      </w:r>
      <w:r w:rsidR="005D6357" w:rsidRPr="00AF3075">
        <w:rPr>
          <w:rStyle w:val="SubtleEmphasis"/>
          <w:b w:val="0"/>
          <w:color w:val="000000" w:themeColor="text1"/>
          <w:sz w:val="24"/>
        </w:rPr>
        <w:t>.</w:t>
      </w:r>
    </w:p>
    <w:p w14:paraId="325E6EA1" w14:textId="316ADF60" w:rsidR="00A310B2" w:rsidRPr="00AF3075" w:rsidRDefault="00682E24" w:rsidP="009B7478">
      <w:r w:rsidRPr="00AF3075">
        <w:t xml:space="preserve">In addition, </w:t>
      </w:r>
      <w:r w:rsidR="00835170" w:rsidRPr="00AF3075">
        <w:t xml:space="preserve">consistent with its focus on promoting access to justice for </w:t>
      </w:r>
      <w:r w:rsidR="00D201AB" w:rsidRPr="00AF3075">
        <w:t>victims and survivors</w:t>
      </w:r>
      <w:r w:rsidR="00FA2D0A">
        <w:t xml:space="preserve"> of gender-based violence</w:t>
      </w:r>
      <w:r w:rsidR="00835170" w:rsidRPr="00AF3075">
        <w:t xml:space="preserve">, </w:t>
      </w:r>
      <w:r w:rsidRPr="00AF3075">
        <w:t xml:space="preserve">the OHCHR </w:t>
      </w:r>
      <w:r w:rsidR="009B7478" w:rsidRPr="00AF3075">
        <w:t xml:space="preserve">commissioned </w:t>
      </w:r>
      <w:r w:rsidRPr="00AF3075">
        <w:t xml:space="preserve">further </w:t>
      </w:r>
      <w:r w:rsidR="00835170" w:rsidRPr="00AF3075">
        <w:t xml:space="preserve">research </w:t>
      </w:r>
      <w:r w:rsidRPr="00AF3075">
        <w:t xml:space="preserve">on the negative impact of judicial stereotyping in gender-based violence cases. </w:t>
      </w:r>
      <w:r w:rsidR="00835170" w:rsidRPr="00AF3075">
        <w:t xml:space="preserve"> </w:t>
      </w:r>
      <w:r w:rsidRPr="00AF3075">
        <w:t>Th</w:t>
      </w:r>
      <w:r w:rsidR="00835170" w:rsidRPr="00AF3075">
        <w:t>is paper</w:t>
      </w:r>
      <w:r w:rsidR="00834121">
        <w:t xml:space="preserve"> </w:t>
      </w:r>
      <w:r w:rsidR="00FA2D0A">
        <w:t xml:space="preserve">– </w:t>
      </w:r>
      <w:r w:rsidR="00FA2D0A">
        <w:rPr>
          <w:i/>
        </w:rPr>
        <w:t xml:space="preserve">Eliminating </w:t>
      </w:r>
      <w:r w:rsidR="000B5D2C">
        <w:rPr>
          <w:i/>
        </w:rPr>
        <w:t xml:space="preserve">Judicial </w:t>
      </w:r>
      <w:r w:rsidR="00FA2D0A">
        <w:rPr>
          <w:i/>
        </w:rPr>
        <w:t xml:space="preserve">Stereotyping </w:t>
      </w:r>
      <w:r w:rsidR="00FA2D0A">
        <w:t xml:space="preserve">– </w:t>
      </w:r>
      <w:r w:rsidR="00835170" w:rsidRPr="00AF3075">
        <w:t xml:space="preserve">outlines that research. </w:t>
      </w:r>
      <w:r w:rsidR="00A310B2">
        <w:t xml:space="preserve"> It </w:t>
      </w:r>
      <w:r w:rsidR="00A310B2" w:rsidRPr="00AF3075">
        <w:t xml:space="preserve">is based on a desk review of </w:t>
      </w:r>
      <w:r w:rsidR="00A310B2" w:rsidRPr="00AF3075">
        <w:rPr>
          <w:iCs/>
          <w:color w:val="000000" w:themeColor="text1"/>
        </w:rPr>
        <w:t xml:space="preserve">international human rights treaties </w:t>
      </w:r>
      <w:r w:rsidR="00A310B2">
        <w:rPr>
          <w:iCs/>
          <w:color w:val="000000" w:themeColor="text1"/>
        </w:rPr>
        <w:t xml:space="preserve">and </w:t>
      </w:r>
      <w:r w:rsidR="00A310B2" w:rsidRPr="00AF3075">
        <w:rPr>
          <w:iCs/>
          <w:color w:val="000000" w:themeColor="text1"/>
        </w:rPr>
        <w:t>select laws, jurisprudence and scholarship that raise concerns about stereotyping in gender-based violence cases.</w:t>
      </w:r>
      <w:r w:rsidR="00D24E2C">
        <w:rPr>
          <w:rStyle w:val="FootnoteReference"/>
          <w:iCs/>
          <w:color w:val="000000" w:themeColor="text1"/>
        </w:rPr>
        <w:footnoteReference w:id="13"/>
      </w:r>
      <w:r w:rsidR="00A310B2" w:rsidRPr="00AF3075">
        <w:t xml:space="preserve"> </w:t>
      </w:r>
    </w:p>
    <w:p w14:paraId="6F3B6863" w14:textId="1E598153" w:rsidR="00003186" w:rsidRPr="00AF3075" w:rsidRDefault="00003186" w:rsidP="00003186">
      <w:pPr>
        <w:pStyle w:val="Heading2"/>
        <w:ind w:left="0" w:firstLine="0"/>
        <w:rPr>
          <w:rFonts w:ascii="Candara" w:hAnsi="Candara"/>
        </w:rPr>
      </w:pPr>
      <w:bookmarkStart w:id="5" w:name="_Toc263972380"/>
      <w:r w:rsidRPr="00AF3075">
        <w:rPr>
          <w:rFonts w:ascii="Candara" w:hAnsi="Candara"/>
        </w:rPr>
        <w:t xml:space="preserve">1.2 Objectives </w:t>
      </w:r>
      <w:r w:rsidR="00A73A4F" w:rsidRPr="00AF3075">
        <w:rPr>
          <w:rFonts w:ascii="Candara" w:hAnsi="Candara"/>
        </w:rPr>
        <w:t>and scope</w:t>
      </w:r>
      <w:bookmarkEnd w:id="5"/>
    </w:p>
    <w:p w14:paraId="069E787A" w14:textId="50DCD361" w:rsidR="00EC64DA" w:rsidRPr="00AF3075" w:rsidRDefault="00042A9E" w:rsidP="00CF6C9C">
      <w:r w:rsidRPr="00AF3075">
        <w:rPr>
          <w:i/>
        </w:rPr>
        <w:t>Eliminating Judicial Stereotyping</w:t>
      </w:r>
      <w:r w:rsidR="002B10B9" w:rsidRPr="00AF3075">
        <w:t xml:space="preserve"> is </w:t>
      </w:r>
      <w:r w:rsidR="00682E24" w:rsidRPr="00AF3075">
        <w:t xml:space="preserve">an OHCHR tool </w:t>
      </w:r>
      <w:r w:rsidR="00693306" w:rsidRPr="00AF3075">
        <w:t xml:space="preserve">that seeks </w:t>
      </w:r>
      <w:r w:rsidR="002B10B9" w:rsidRPr="00AF3075">
        <w:t xml:space="preserve">to raise awareness of, and </w:t>
      </w:r>
      <w:r w:rsidR="00693306" w:rsidRPr="00AF3075">
        <w:t>encourage</w:t>
      </w:r>
      <w:r w:rsidR="002B10B9" w:rsidRPr="00AF3075">
        <w:t xml:space="preserve"> advocacy related to, judicial stereotyping in gender-based violence cases. </w:t>
      </w:r>
      <w:r w:rsidR="00CF6C9C">
        <w:t xml:space="preserve">It </w:t>
      </w:r>
      <w:r w:rsidR="00EC64DA" w:rsidRPr="00AF3075">
        <w:t>aim</w:t>
      </w:r>
      <w:r w:rsidR="00145EA3" w:rsidRPr="00AF3075">
        <w:t>s</w:t>
      </w:r>
      <w:r w:rsidR="00EC64DA" w:rsidRPr="00AF3075">
        <w:t xml:space="preserve"> </w:t>
      </w:r>
      <w:r w:rsidR="00145EA3" w:rsidRPr="00AF3075">
        <w:t>to:</w:t>
      </w:r>
    </w:p>
    <w:p w14:paraId="562A4F80" w14:textId="73F34CF3" w:rsidR="00145EA3" w:rsidRPr="00AF3075" w:rsidRDefault="00145EA3" w:rsidP="00145EA3">
      <w:pPr>
        <w:pStyle w:val="ListParagraph"/>
        <w:numPr>
          <w:ilvl w:val="0"/>
          <w:numId w:val="27"/>
        </w:numPr>
        <w:spacing w:before="120" w:after="120"/>
        <w:ind w:left="567"/>
        <w:rPr>
          <w:rStyle w:val="SubtleEmphasis"/>
          <w:b w:val="0"/>
          <w:i/>
          <w:color w:val="000000" w:themeColor="text1"/>
          <w:sz w:val="24"/>
        </w:rPr>
      </w:pPr>
      <w:r w:rsidRPr="00AF3075">
        <w:rPr>
          <w:rStyle w:val="SubtleEmphasis"/>
          <w:b w:val="0"/>
          <w:color w:val="000000" w:themeColor="text1"/>
          <w:sz w:val="24"/>
        </w:rPr>
        <w:t xml:space="preserve">identify </w:t>
      </w:r>
      <w:r w:rsidRPr="00AF3075">
        <w:rPr>
          <w:b/>
          <w:color w:val="374C80" w:themeColor="accent4" w:themeShade="BF"/>
        </w:rPr>
        <w:t>human rights obligations</w:t>
      </w:r>
      <w:r w:rsidRPr="00AF3075">
        <w:rPr>
          <w:rStyle w:val="SubtleEmphasis"/>
          <w:b w:val="0"/>
          <w:color w:val="000000" w:themeColor="text1"/>
          <w:sz w:val="24"/>
        </w:rPr>
        <w:t xml:space="preserve"> related to judicial stereotyping</w:t>
      </w:r>
      <w:r w:rsidR="002A45FE">
        <w:rPr>
          <w:rStyle w:val="SubtleEmphasis"/>
          <w:b w:val="0"/>
          <w:color w:val="000000" w:themeColor="text1"/>
          <w:sz w:val="24"/>
        </w:rPr>
        <w:t xml:space="preserve"> and women’s access to justice</w:t>
      </w:r>
      <w:r w:rsidRPr="00AF3075">
        <w:rPr>
          <w:rStyle w:val="SubtleEmphasis"/>
          <w:b w:val="0"/>
          <w:color w:val="000000" w:themeColor="text1"/>
          <w:sz w:val="24"/>
        </w:rPr>
        <w:t xml:space="preserve"> </w:t>
      </w:r>
    </w:p>
    <w:p w14:paraId="45CDF3E6" w14:textId="1D1C58F6" w:rsidR="0020288B" w:rsidRPr="00AF3075" w:rsidRDefault="0020288B" w:rsidP="0020288B">
      <w:pPr>
        <w:pStyle w:val="ListParagraph"/>
        <w:numPr>
          <w:ilvl w:val="0"/>
          <w:numId w:val="27"/>
        </w:numPr>
        <w:spacing w:before="120" w:after="120"/>
        <w:ind w:left="567"/>
        <w:rPr>
          <w:rStyle w:val="SubtleEmphasis"/>
          <w:b w:val="0"/>
          <w:i/>
          <w:color w:val="000000" w:themeColor="text1"/>
          <w:sz w:val="24"/>
        </w:rPr>
      </w:pPr>
      <w:r w:rsidRPr="00AF3075">
        <w:rPr>
          <w:rStyle w:val="SubtleEmphasis"/>
          <w:b w:val="0"/>
          <w:color w:val="000000" w:themeColor="text1"/>
          <w:sz w:val="24"/>
        </w:rPr>
        <w:t xml:space="preserve">improve </w:t>
      </w:r>
      <w:r w:rsidR="00145EA3" w:rsidRPr="00AF3075">
        <w:rPr>
          <w:rStyle w:val="SubtleEmphasis"/>
          <w:b w:val="0"/>
          <w:color w:val="000000" w:themeColor="text1"/>
          <w:sz w:val="24"/>
        </w:rPr>
        <w:t xml:space="preserve">awareness </w:t>
      </w:r>
      <w:r w:rsidRPr="00AF3075">
        <w:rPr>
          <w:rStyle w:val="SubtleEmphasis"/>
          <w:b w:val="0"/>
          <w:color w:val="000000" w:themeColor="text1"/>
          <w:sz w:val="24"/>
        </w:rPr>
        <w:t xml:space="preserve">of </w:t>
      </w:r>
      <w:r w:rsidR="00145EA3" w:rsidRPr="00AF3075">
        <w:rPr>
          <w:rStyle w:val="SubtleEmphasis"/>
          <w:b w:val="0"/>
          <w:color w:val="000000" w:themeColor="text1"/>
          <w:sz w:val="24"/>
        </w:rPr>
        <w:t xml:space="preserve">some of the </w:t>
      </w:r>
      <w:r w:rsidRPr="00AF3075">
        <w:rPr>
          <w:b/>
          <w:iCs/>
          <w:color w:val="374C80" w:themeColor="accent4" w:themeShade="BF"/>
        </w:rPr>
        <w:t>common stereotypes</w:t>
      </w:r>
      <w:r w:rsidRPr="00AF3075">
        <w:rPr>
          <w:rStyle w:val="SubtleEmphasis"/>
          <w:b w:val="0"/>
          <w:color w:val="000000" w:themeColor="text1"/>
          <w:sz w:val="24"/>
        </w:rPr>
        <w:t xml:space="preserve"> about victims/survivors and perpetrators of gender-based violence</w:t>
      </w:r>
    </w:p>
    <w:p w14:paraId="7BEFF115" w14:textId="19277072" w:rsidR="0020288B" w:rsidRPr="00AF3075" w:rsidRDefault="0020288B" w:rsidP="0020288B">
      <w:pPr>
        <w:pStyle w:val="ListParagraph"/>
        <w:numPr>
          <w:ilvl w:val="0"/>
          <w:numId w:val="27"/>
        </w:numPr>
        <w:spacing w:before="120" w:after="120"/>
        <w:ind w:left="567"/>
        <w:rPr>
          <w:rStyle w:val="SubtleEmphasis"/>
          <w:b w:val="0"/>
          <w:i/>
          <w:color w:val="000000" w:themeColor="text1"/>
          <w:sz w:val="24"/>
        </w:rPr>
      </w:pPr>
      <w:r w:rsidRPr="00AF3075">
        <w:rPr>
          <w:rStyle w:val="SubtleEmphasis"/>
          <w:b w:val="0"/>
          <w:color w:val="000000" w:themeColor="text1"/>
          <w:sz w:val="24"/>
        </w:rPr>
        <w:t xml:space="preserve">highlight how judicial stereotyping </w:t>
      </w:r>
      <w:r w:rsidRPr="00AF3075">
        <w:rPr>
          <w:b/>
          <w:iCs/>
          <w:color w:val="374C80" w:themeColor="accent4" w:themeShade="BF"/>
        </w:rPr>
        <w:t xml:space="preserve">undermines </w:t>
      </w:r>
      <w:r w:rsidR="00145EA3" w:rsidRPr="00AF3075">
        <w:rPr>
          <w:b/>
          <w:iCs/>
          <w:color w:val="374C80" w:themeColor="accent4" w:themeShade="BF"/>
        </w:rPr>
        <w:t>justice</w:t>
      </w:r>
      <w:r w:rsidR="00145EA3" w:rsidRPr="00AF3075">
        <w:rPr>
          <w:rStyle w:val="SubtleEmphasis"/>
          <w:b w:val="0"/>
          <w:color w:val="000000" w:themeColor="text1"/>
          <w:sz w:val="24"/>
        </w:rPr>
        <w:t xml:space="preserve"> for </w:t>
      </w:r>
      <w:r w:rsidRPr="00AF3075">
        <w:rPr>
          <w:rStyle w:val="SubtleEmphasis"/>
          <w:b w:val="0"/>
          <w:color w:val="000000" w:themeColor="text1"/>
          <w:sz w:val="24"/>
        </w:rPr>
        <w:t xml:space="preserve">victims/survivors </w:t>
      </w:r>
    </w:p>
    <w:p w14:paraId="64067289" w14:textId="5D7D72EF" w:rsidR="0020288B" w:rsidRPr="00AF3075" w:rsidRDefault="00145EA3" w:rsidP="00145EA3">
      <w:pPr>
        <w:pStyle w:val="ListParagraph"/>
        <w:numPr>
          <w:ilvl w:val="0"/>
          <w:numId w:val="27"/>
        </w:numPr>
        <w:spacing w:before="120" w:after="120"/>
        <w:ind w:left="567"/>
        <w:rPr>
          <w:rStyle w:val="SubtleEmphasis"/>
          <w:b w:val="0"/>
          <w:i/>
          <w:color w:val="000000" w:themeColor="text1"/>
          <w:sz w:val="24"/>
        </w:rPr>
      </w:pPr>
      <w:proofErr w:type="gramStart"/>
      <w:r w:rsidRPr="00AF3075">
        <w:rPr>
          <w:rStyle w:val="SubtleEmphasis"/>
          <w:b w:val="0"/>
          <w:color w:val="000000" w:themeColor="text1"/>
          <w:sz w:val="24"/>
        </w:rPr>
        <w:t>identify</w:t>
      </w:r>
      <w:proofErr w:type="gramEnd"/>
      <w:r w:rsidR="0020288B" w:rsidRPr="00AF3075">
        <w:rPr>
          <w:rStyle w:val="SubtleEmphasis"/>
          <w:b w:val="0"/>
          <w:color w:val="000000" w:themeColor="text1"/>
          <w:sz w:val="24"/>
        </w:rPr>
        <w:t xml:space="preserve"> </w:t>
      </w:r>
      <w:r w:rsidRPr="00AF3075">
        <w:rPr>
          <w:b/>
          <w:color w:val="374C80" w:themeColor="accent4" w:themeShade="BF"/>
        </w:rPr>
        <w:t xml:space="preserve">strategies for </w:t>
      </w:r>
      <w:r w:rsidR="0020288B" w:rsidRPr="00AF3075">
        <w:rPr>
          <w:b/>
          <w:color w:val="374C80" w:themeColor="accent4" w:themeShade="BF"/>
        </w:rPr>
        <w:t xml:space="preserve">addressing </w:t>
      </w:r>
      <w:r w:rsidR="003461BE">
        <w:rPr>
          <w:b/>
          <w:color w:val="374C80" w:themeColor="accent4" w:themeShade="BF"/>
        </w:rPr>
        <w:t xml:space="preserve">judicial </w:t>
      </w:r>
      <w:r w:rsidR="0020288B" w:rsidRPr="00AF3075">
        <w:rPr>
          <w:b/>
          <w:color w:val="374C80" w:themeColor="accent4" w:themeShade="BF"/>
        </w:rPr>
        <w:t>stereotyping</w:t>
      </w:r>
      <w:r w:rsidR="0020288B" w:rsidRPr="00AF3075">
        <w:rPr>
          <w:rStyle w:val="SubtleEmphasis"/>
          <w:b w:val="0"/>
          <w:color w:val="000000" w:themeColor="text1"/>
          <w:sz w:val="24"/>
        </w:rPr>
        <w:t xml:space="preserve"> </w:t>
      </w:r>
      <w:r w:rsidRPr="00AF3075">
        <w:rPr>
          <w:rStyle w:val="SubtleEmphasis"/>
          <w:b w:val="0"/>
          <w:color w:val="000000" w:themeColor="text1"/>
          <w:sz w:val="24"/>
        </w:rPr>
        <w:t xml:space="preserve">and </w:t>
      </w:r>
      <w:r w:rsidRPr="00AF3075">
        <w:rPr>
          <w:b/>
          <w:iCs/>
          <w:color w:val="374C80" w:themeColor="accent4" w:themeShade="BF"/>
        </w:rPr>
        <w:t>good practice examples</w:t>
      </w:r>
      <w:r w:rsidRPr="00AF3075">
        <w:rPr>
          <w:rStyle w:val="SubtleEmphasis"/>
          <w:b w:val="0"/>
          <w:color w:val="000000" w:themeColor="text1"/>
          <w:sz w:val="24"/>
        </w:rPr>
        <w:t xml:space="preserve"> of their use in </w:t>
      </w:r>
      <w:r w:rsidR="003461BE">
        <w:rPr>
          <w:rStyle w:val="SubtleEmphasis"/>
          <w:b w:val="0"/>
          <w:color w:val="000000" w:themeColor="text1"/>
          <w:sz w:val="24"/>
        </w:rPr>
        <w:t>relation to gender-based violence</w:t>
      </w:r>
      <w:r w:rsidR="0020288B" w:rsidRPr="00AF3075">
        <w:rPr>
          <w:rStyle w:val="SubtleEmphasis"/>
          <w:b w:val="0"/>
          <w:color w:val="000000" w:themeColor="text1"/>
          <w:sz w:val="24"/>
        </w:rPr>
        <w:t xml:space="preserve">. </w:t>
      </w:r>
    </w:p>
    <w:p w14:paraId="21D015ED" w14:textId="148C7521" w:rsidR="00B95EDC" w:rsidRPr="00AF3075" w:rsidRDefault="00A73A4F" w:rsidP="0056282B">
      <w:r w:rsidRPr="00AF3075">
        <w:t xml:space="preserve">This paper </w:t>
      </w:r>
      <w:r w:rsidR="00693306" w:rsidRPr="00AF3075">
        <w:t>focuses predominantly</w:t>
      </w:r>
      <w:r w:rsidRPr="00AF3075">
        <w:t xml:space="preserve"> </w:t>
      </w:r>
      <w:r w:rsidR="00693306" w:rsidRPr="00AF3075">
        <w:t xml:space="preserve">on </w:t>
      </w:r>
      <w:r w:rsidRPr="00AF3075">
        <w:rPr>
          <w:b/>
          <w:color w:val="374C80" w:themeColor="accent4" w:themeShade="BF"/>
        </w:rPr>
        <w:t>judicial stereotyping</w:t>
      </w:r>
      <w:r w:rsidR="00E159A3" w:rsidRPr="00AF3075">
        <w:t>.</w:t>
      </w:r>
      <w:r w:rsidR="00A17A5B" w:rsidRPr="00AF3075">
        <w:rPr>
          <w:rStyle w:val="FootnoteReference"/>
          <w:rFonts w:cs="Arial"/>
        </w:rPr>
        <w:footnoteReference w:id="14"/>
      </w:r>
      <w:r w:rsidR="00E159A3" w:rsidRPr="00AF3075">
        <w:t xml:space="preserve">  </w:t>
      </w:r>
      <w:r w:rsidR="0032404B" w:rsidRPr="00AF3075">
        <w:t>T</w:t>
      </w:r>
      <w:r w:rsidR="00B95EDC" w:rsidRPr="00AF3075">
        <w:t>h</w:t>
      </w:r>
      <w:r w:rsidR="000C0B6E" w:rsidRPr="00AF3075">
        <w:t>e</w:t>
      </w:r>
      <w:r w:rsidR="00B95EDC" w:rsidRPr="00AF3075">
        <w:t xml:space="preserve"> term ‘judicial stereotyping’ </w:t>
      </w:r>
      <w:r w:rsidR="000C0B6E" w:rsidRPr="00AF3075">
        <w:t xml:space="preserve">is used </w:t>
      </w:r>
      <w:r w:rsidR="002A45FE">
        <w:t>here</w:t>
      </w:r>
      <w:r w:rsidR="000C0B6E" w:rsidRPr="00AF3075">
        <w:t xml:space="preserve"> </w:t>
      </w:r>
      <w:r w:rsidR="0032404B" w:rsidRPr="00AF3075">
        <w:t>to refer</w:t>
      </w:r>
      <w:r w:rsidR="00B95EDC" w:rsidRPr="00AF3075">
        <w:t xml:space="preserve"> </w:t>
      </w:r>
      <w:r w:rsidR="0032404B" w:rsidRPr="00AF3075">
        <w:t xml:space="preserve">to </w:t>
      </w:r>
      <w:r w:rsidR="003637D2" w:rsidRPr="00AF3075">
        <w:t>the practice of judges ascribing to an individual specific attributes, characteristics or roles by reason only of her or his membership in a particular social group</w:t>
      </w:r>
      <w:r w:rsidR="00C57D26">
        <w:t xml:space="preserve"> (eg women)</w:t>
      </w:r>
      <w:r w:rsidR="003637D2" w:rsidRPr="00AF3075">
        <w:t>.</w:t>
      </w:r>
      <w:r w:rsidR="0032404B" w:rsidRPr="00AF3075">
        <w:t xml:space="preserve">  </w:t>
      </w:r>
      <w:r w:rsidR="00E2457B" w:rsidRPr="00AF3075">
        <w:t>It</w:t>
      </w:r>
      <w:r w:rsidR="0032404B" w:rsidRPr="00AF3075">
        <w:t xml:space="preserve"> is used</w:t>
      </w:r>
      <w:r w:rsidR="003461BE">
        <w:t xml:space="preserve">, </w:t>
      </w:r>
      <w:r w:rsidR="003461BE" w:rsidRPr="00AF3075">
        <w:t>also</w:t>
      </w:r>
      <w:r w:rsidR="003461BE">
        <w:t>,</w:t>
      </w:r>
      <w:r w:rsidR="00E2457B" w:rsidRPr="00AF3075">
        <w:t xml:space="preserve"> </w:t>
      </w:r>
      <w:r w:rsidR="0032404B" w:rsidRPr="00AF3075">
        <w:t>to refer to</w:t>
      </w:r>
      <w:r w:rsidR="003461BE">
        <w:t xml:space="preserve"> the</w:t>
      </w:r>
      <w:r w:rsidR="00F04ABB" w:rsidRPr="00AF3075">
        <w:t xml:space="preserve"> practice of judges perpetuating harmful stereotypes through their failure to challenge stereotyping</w:t>
      </w:r>
      <w:r w:rsidR="002A45FE">
        <w:t>, for example</w:t>
      </w:r>
      <w:r w:rsidR="00F04ABB" w:rsidRPr="00AF3075">
        <w:t xml:space="preserve"> by lower courts or</w:t>
      </w:r>
      <w:r w:rsidR="002A45FE">
        <w:t xml:space="preserve"> </w:t>
      </w:r>
      <w:r w:rsidR="00F04ABB" w:rsidRPr="00AF3075">
        <w:t xml:space="preserve">parties to legal proceedings.  </w:t>
      </w:r>
      <w:r w:rsidR="0032404B" w:rsidRPr="00AF3075">
        <w:t xml:space="preserve"> </w:t>
      </w:r>
      <w:r w:rsidR="003637D2" w:rsidRPr="00AF3075">
        <w:t xml:space="preserve">  </w:t>
      </w:r>
    </w:p>
    <w:tbl>
      <w:tblPr>
        <w:tblStyle w:val="TableGrid"/>
        <w:tblW w:w="0" w:type="auto"/>
        <w:tblLook w:val="04A0" w:firstRow="1" w:lastRow="0" w:firstColumn="1" w:lastColumn="0" w:noHBand="0" w:noVBand="1"/>
      </w:tblPr>
      <w:tblGrid>
        <w:gridCol w:w="8516"/>
      </w:tblGrid>
      <w:tr w:rsidR="00B95EDC" w:rsidRPr="00AF3075" w14:paraId="330CD3BC" w14:textId="77777777" w:rsidTr="0032404B">
        <w:tc>
          <w:tcPr>
            <w:tcW w:w="8516" w:type="dxa"/>
            <w:tcBorders>
              <w:top w:val="nil"/>
              <w:left w:val="nil"/>
              <w:bottom w:val="nil"/>
              <w:right w:val="nil"/>
            </w:tcBorders>
            <w:shd w:val="clear" w:color="auto" w:fill="D3E5F6" w:themeFill="accent2" w:themeFillTint="33"/>
          </w:tcPr>
          <w:p w14:paraId="7F365B40" w14:textId="7A26028A" w:rsidR="00B95EDC" w:rsidRPr="00AF3075" w:rsidRDefault="00B95EDC" w:rsidP="0032404B">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Judicial stereotyping</w:t>
            </w:r>
          </w:p>
          <w:p w14:paraId="50F24AA2" w14:textId="6B762676" w:rsidR="00F04ABB" w:rsidRPr="00AF3075" w:rsidRDefault="00B95EDC" w:rsidP="00F04ABB">
            <w:pPr>
              <w:spacing w:before="120" w:after="120"/>
              <w:rPr>
                <w:iCs/>
                <w:sz w:val="22"/>
              </w:rPr>
            </w:pPr>
            <w:r w:rsidRPr="00AF3075">
              <w:rPr>
                <w:iCs/>
                <w:sz w:val="22"/>
              </w:rPr>
              <w:t>‘Judicial stereotyping’</w:t>
            </w:r>
            <w:r w:rsidR="00F04ABB" w:rsidRPr="00AF3075">
              <w:rPr>
                <w:iCs/>
                <w:sz w:val="22"/>
              </w:rPr>
              <w:t xml:space="preserve"> </w:t>
            </w:r>
            <w:r w:rsidR="00C57D26">
              <w:rPr>
                <w:iCs/>
                <w:sz w:val="22"/>
              </w:rPr>
              <w:t xml:space="preserve">is </w:t>
            </w:r>
            <w:r w:rsidR="00F04ABB" w:rsidRPr="00AF3075">
              <w:rPr>
                <w:iCs/>
                <w:sz w:val="22"/>
              </w:rPr>
              <w:t>the practice of judges:</w:t>
            </w:r>
          </w:p>
          <w:p w14:paraId="783FD751" w14:textId="2EAE74E7" w:rsidR="00F04ABB" w:rsidRPr="00AF3075" w:rsidRDefault="00F04ABB" w:rsidP="00E2457B">
            <w:pPr>
              <w:pStyle w:val="ListParagraph"/>
              <w:numPr>
                <w:ilvl w:val="0"/>
                <w:numId w:val="24"/>
              </w:numPr>
              <w:spacing w:before="120" w:after="120"/>
              <w:ind w:left="284" w:hanging="284"/>
              <w:rPr>
                <w:sz w:val="22"/>
                <w:szCs w:val="22"/>
              </w:rPr>
            </w:pPr>
            <w:r w:rsidRPr="00AF3075">
              <w:rPr>
                <w:iCs/>
                <w:sz w:val="22"/>
              </w:rPr>
              <w:t>ascribing to an individual specific attributes, characteristics or roles by reason only of her or his membership in a particular social group</w:t>
            </w:r>
          </w:p>
          <w:p w14:paraId="63579C1C" w14:textId="75C79B74" w:rsidR="00F04ABB" w:rsidRPr="00AF3075" w:rsidRDefault="00F04ABB" w:rsidP="002A45FE">
            <w:pPr>
              <w:pStyle w:val="ListParagraph"/>
              <w:numPr>
                <w:ilvl w:val="0"/>
                <w:numId w:val="24"/>
              </w:numPr>
              <w:spacing w:before="120" w:after="120"/>
              <w:ind w:left="284" w:hanging="284"/>
              <w:rPr>
                <w:sz w:val="22"/>
                <w:szCs w:val="22"/>
              </w:rPr>
            </w:pPr>
            <w:proofErr w:type="gramStart"/>
            <w:r w:rsidRPr="00AF3075">
              <w:rPr>
                <w:iCs/>
                <w:sz w:val="22"/>
              </w:rPr>
              <w:t>perpetuating</w:t>
            </w:r>
            <w:proofErr w:type="gramEnd"/>
            <w:r w:rsidRPr="00AF3075">
              <w:rPr>
                <w:iCs/>
                <w:sz w:val="22"/>
              </w:rPr>
              <w:t xml:space="preserve"> harmful stereotypes through their failure to challenge stereotyping.</w:t>
            </w:r>
          </w:p>
        </w:tc>
      </w:tr>
    </w:tbl>
    <w:p w14:paraId="5265F33D" w14:textId="7D44A6C2" w:rsidR="00AB2C1C" w:rsidRPr="00AF3075" w:rsidRDefault="00AB2C1C" w:rsidP="0056282B">
      <w:r w:rsidRPr="00AF3075">
        <w:t xml:space="preserve">Judges are </w:t>
      </w:r>
      <w:r w:rsidR="00390CC9">
        <w:t>not the only actors in the justice</w:t>
      </w:r>
      <w:r w:rsidRPr="00AF3075">
        <w:t xml:space="preserve"> system </w:t>
      </w:r>
      <w:r w:rsidR="003461BE">
        <w:t>that stereotype</w:t>
      </w:r>
      <w:r w:rsidR="003A0AD9">
        <w:t>.  L</w:t>
      </w:r>
      <w:r w:rsidRPr="00AF3075">
        <w:t xml:space="preserve">aw enforcement officials </w:t>
      </w:r>
      <w:r w:rsidR="003A0AD9">
        <w:t>have</w:t>
      </w:r>
      <w:r w:rsidRPr="00AF3075">
        <w:t>, f</w:t>
      </w:r>
      <w:r w:rsidR="003A0AD9">
        <w:t>or example, been criticis</w:t>
      </w:r>
      <w:r w:rsidRPr="00AF3075">
        <w:t>ed</w:t>
      </w:r>
      <w:r w:rsidR="003A0AD9">
        <w:t xml:space="preserve"> for allowing stereotypes to influence investi</w:t>
      </w:r>
      <w:r w:rsidR="00390CC9">
        <w:t>gations into reports of violence</w:t>
      </w:r>
      <w:r w:rsidRPr="00AF3075">
        <w:t>.</w:t>
      </w:r>
      <w:r w:rsidRPr="00AF3075">
        <w:rPr>
          <w:rStyle w:val="FootnoteReference"/>
          <w:rFonts w:cs="Arial"/>
        </w:rPr>
        <w:footnoteReference w:id="15"/>
      </w:r>
      <w:r w:rsidRPr="00AF3075">
        <w:t xml:space="preserve">  </w:t>
      </w:r>
      <w:r w:rsidR="00390CC9">
        <w:t>Even so</w:t>
      </w:r>
      <w:r w:rsidRPr="00AF3075">
        <w:t xml:space="preserve">, stereotyping by judges can have particularly pernicious effects, especially because </w:t>
      </w:r>
      <w:r w:rsidR="00390CC9">
        <w:t xml:space="preserve">their unique position of power means </w:t>
      </w:r>
      <w:r w:rsidRPr="00AF3075">
        <w:t>they</w:t>
      </w:r>
      <w:r w:rsidR="00390CC9">
        <w:t xml:space="preserve"> can</w:t>
      </w:r>
      <w:r w:rsidRPr="00AF3075">
        <w:t xml:space="preserve"> give stereotypes the full weight and authority of the law.</w:t>
      </w:r>
      <w:r w:rsidRPr="00AF3075">
        <w:rPr>
          <w:rStyle w:val="FootnoteReference"/>
        </w:rPr>
        <w:footnoteReference w:id="16"/>
      </w:r>
      <w:r w:rsidRPr="00AF3075">
        <w:t xml:space="preserve">  To borrow the words of Justice Kriegler of the Constitutional Court of South Africa, </w:t>
      </w:r>
      <w:r w:rsidR="00390CC9">
        <w:t>judges can imbue</w:t>
      </w:r>
      <w:r w:rsidRPr="00AF3075">
        <w:t xml:space="preserve"> </w:t>
      </w:r>
      <w:r w:rsidR="00390CC9">
        <w:t xml:space="preserve">stereotypes </w:t>
      </w:r>
      <w:r w:rsidRPr="00AF3075">
        <w:t xml:space="preserve">with </w:t>
      </w:r>
      <w:r w:rsidR="007A5585">
        <w:t xml:space="preserve">legal authority and </w:t>
      </w:r>
      <w:r w:rsidRPr="00AF3075">
        <w:t>added legitimacy by virtue of the fact that they ‘put the stamp of approval of the … state’ on th</w:t>
      </w:r>
      <w:r w:rsidR="00390CC9">
        <w:t>em</w:t>
      </w:r>
      <w:r w:rsidRPr="00AF3075">
        <w:t>.</w:t>
      </w:r>
      <w:r w:rsidRPr="00AF3075">
        <w:rPr>
          <w:rStyle w:val="FootnoteReference"/>
        </w:rPr>
        <w:footnoteReference w:id="17"/>
      </w:r>
      <w:r w:rsidRPr="00AF3075">
        <w:t xml:space="preserve">  This is in addition to any effect on the victim’s ability to access justice.</w:t>
      </w:r>
    </w:p>
    <w:p w14:paraId="6C3B45DE" w14:textId="7EEF6368" w:rsidR="00E03FE4" w:rsidRPr="00AF3075" w:rsidRDefault="00145EA3" w:rsidP="0056282B">
      <w:pPr>
        <w:rPr>
          <w:iCs/>
        </w:rPr>
      </w:pPr>
      <w:r w:rsidRPr="00AF3075">
        <w:t>Th</w:t>
      </w:r>
      <w:r w:rsidR="008E2C9D" w:rsidRPr="00AF3075">
        <w:t>e</w:t>
      </w:r>
      <w:r w:rsidRPr="00AF3075">
        <w:t xml:space="preserve"> </w:t>
      </w:r>
      <w:r w:rsidR="008E2C9D" w:rsidRPr="00AF3075">
        <w:t xml:space="preserve">particular focus of this </w:t>
      </w:r>
      <w:r w:rsidRPr="00AF3075">
        <w:t xml:space="preserve">paper is </w:t>
      </w:r>
      <w:r w:rsidR="00922A19" w:rsidRPr="00AF3075">
        <w:t xml:space="preserve">judicial stereotyping </w:t>
      </w:r>
      <w:r w:rsidR="008E2C9D" w:rsidRPr="00AF3075">
        <w:t xml:space="preserve">in cases </w:t>
      </w:r>
      <w:r w:rsidR="00BF3303">
        <w:t>of</w:t>
      </w:r>
      <w:r w:rsidR="008E2C9D" w:rsidRPr="00AF3075">
        <w:t xml:space="preserve"> </w:t>
      </w:r>
      <w:r w:rsidR="00A73A4F" w:rsidRPr="00AF3075">
        <w:rPr>
          <w:b/>
          <w:color w:val="374C80" w:themeColor="accent4" w:themeShade="BF"/>
        </w:rPr>
        <w:t>gender-based</w:t>
      </w:r>
      <w:r w:rsidR="00922A19" w:rsidRPr="00AF3075">
        <w:rPr>
          <w:b/>
          <w:color w:val="374C80" w:themeColor="accent4" w:themeShade="BF"/>
        </w:rPr>
        <w:t xml:space="preserve"> violence against women</w:t>
      </w:r>
      <w:r w:rsidR="00922A19" w:rsidRPr="00AF3075">
        <w:t>.</w:t>
      </w:r>
      <w:r w:rsidR="008E2C9D" w:rsidRPr="00AF3075">
        <w:rPr>
          <w:color w:val="374C80" w:themeColor="accent4" w:themeShade="BF"/>
        </w:rPr>
        <w:t xml:space="preserve"> </w:t>
      </w:r>
      <w:r w:rsidR="00390CC9">
        <w:rPr>
          <w:color w:val="374C80" w:themeColor="accent4" w:themeShade="BF"/>
        </w:rPr>
        <w:t xml:space="preserve"> </w:t>
      </w:r>
      <w:r w:rsidR="008E2C9D" w:rsidRPr="00AF3075">
        <w:t>‘</w:t>
      </w:r>
      <w:r w:rsidR="00390CC9">
        <w:t>G</w:t>
      </w:r>
      <w:r w:rsidR="008E2C9D" w:rsidRPr="00AF3075">
        <w:t>ender-based violence</w:t>
      </w:r>
      <w:r w:rsidR="000B5D2C">
        <w:t xml:space="preserve"> against women</w:t>
      </w:r>
      <w:r w:rsidR="008E2C9D" w:rsidRPr="00AF3075">
        <w:t xml:space="preserve">’ </w:t>
      </w:r>
      <w:r w:rsidR="00390CC9">
        <w:t xml:space="preserve">is defined </w:t>
      </w:r>
      <w:r w:rsidR="008E2C9D" w:rsidRPr="00AF3075">
        <w:t xml:space="preserve">as </w:t>
      </w:r>
      <w:r w:rsidR="008E2C9D" w:rsidRPr="00AF3075">
        <w:rPr>
          <w:iCs/>
        </w:rPr>
        <w:t>‘violence that is directed against a woman because she is a woman or that affects women disproportionately.  It includes acts that inflict physical, mental or sexual harm or suffering, threats of such acts, coercion and other deprivations of liberty’.</w:t>
      </w:r>
      <w:r w:rsidR="008E2C9D" w:rsidRPr="00AF3075">
        <w:rPr>
          <w:rStyle w:val="FootnoteReference"/>
          <w:rFonts w:cs="Arial"/>
        </w:rPr>
        <w:footnoteReference w:id="18"/>
      </w:r>
      <w:r w:rsidR="00E03FE4" w:rsidRPr="00AF3075">
        <w:rPr>
          <w:iCs/>
        </w:rPr>
        <w:t xml:space="preserve"> </w:t>
      </w:r>
    </w:p>
    <w:tbl>
      <w:tblPr>
        <w:tblStyle w:val="TableGrid"/>
        <w:tblW w:w="0" w:type="auto"/>
        <w:tblLook w:val="04A0" w:firstRow="1" w:lastRow="0" w:firstColumn="1" w:lastColumn="0" w:noHBand="0" w:noVBand="1"/>
      </w:tblPr>
      <w:tblGrid>
        <w:gridCol w:w="8516"/>
      </w:tblGrid>
      <w:tr w:rsidR="00922A19" w:rsidRPr="00AF3075" w14:paraId="13266F9D" w14:textId="77777777" w:rsidTr="001D3F5B">
        <w:tc>
          <w:tcPr>
            <w:tcW w:w="8516" w:type="dxa"/>
            <w:tcBorders>
              <w:top w:val="nil"/>
              <w:left w:val="nil"/>
              <w:bottom w:val="nil"/>
              <w:right w:val="nil"/>
            </w:tcBorders>
            <w:shd w:val="clear" w:color="auto" w:fill="D3E5F6" w:themeFill="accent2" w:themeFillTint="33"/>
          </w:tcPr>
          <w:p w14:paraId="5C2085CE" w14:textId="5848CD0F" w:rsidR="00922A19" w:rsidRPr="00AF3075" w:rsidRDefault="00922A19" w:rsidP="001D3F5B">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Gender-based violence against women</w:t>
            </w:r>
          </w:p>
          <w:p w14:paraId="1CB627ED" w14:textId="4DBE49D3" w:rsidR="00922A19" w:rsidRPr="00AF3075" w:rsidRDefault="00922A19" w:rsidP="008E2C9D">
            <w:pPr>
              <w:spacing w:before="120" w:after="120"/>
              <w:rPr>
                <w:iCs/>
                <w:sz w:val="22"/>
              </w:rPr>
            </w:pPr>
            <w:r w:rsidRPr="00AF3075">
              <w:rPr>
                <w:iCs/>
                <w:sz w:val="22"/>
              </w:rPr>
              <w:t>‘Gender-based violence</w:t>
            </w:r>
            <w:r w:rsidR="000B5D2C">
              <w:rPr>
                <w:iCs/>
                <w:sz w:val="22"/>
              </w:rPr>
              <w:t xml:space="preserve"> against women’</w:t>
            </w:r>
            <w:r w:rsidRPr="00AF3075">
              <w:rPr>
                <w:iCs/>
                <w:sz w:val="22"/>
              </w:rPr>
              <w:t xml:space="preserve"> refers to ‘violence that is directed against a woman because she is a woman or that affects women disproportionately.  It includes acts that inflict physical, mental or sexual harm or suffering, threats of such acts, coercion and other deprivations of liberty’.</w:t>
            </w:r>
          </w:p>
        </w:tc>
      </w:tr>
    </w:tbl>
    <w:p w14:paraId="3639F1E1" w14:textId="45B9AAE6" w:rsidR="00922A19" w:rsidRPr="00AF3075" w:rsidRDefault="001D3F5B" w:rsidP="0056282B">
      <w:pPr>
        <w:rPr>
          <w:szCs w:val="20"/>
        </w:rPr>
      </w:pPr>
      <w:r w:rsidRPr="00AF3075">
        <w:t xml:space="preserve">Care has been taken to include examples of judicial stereotyping in cases concerning </w:t>
      </w:r>
      <w:r w:rsidR="00A26AF7">
        <w:t>different</w:t>
      </w:r>
      <w:r w:rsidRPr="00AF3075">
        <w:t xml:space="preserve"> forms</w:t>
      </w:r>
      <w:r w:rsidR="009E0F8F" w:rsidRPr="00AF3075">
        <w:t xml:space="preserve"> of gender-based violence</w:t>
      </w:r>
      <w:r w:rsidRPr="00AF3075">
        <w:t xml:space="preserve">.  </w:t>
      </w:r>
      <w:r w:rsidR="009C2ABE" w:rsidRPr="00AF3075">
        <w:t>Despite this,</w:t>
      </w:r>
      <w:r w:rsidR="009E0F8F" w:rsidRPr="00AF3075">
        <w:t xml:space="preserve"> </w:t>
      </w:r>
      <w:r w:rsidR="00E43495">
        <w:t xml:space="preserve">most </w:t>
      </w:r>
      <w:r w:rsidR="009C2ABE" w:rsidRPr="00AF3075">
        <w:t xml:space="preserve">examples concern </w:t>
      </w:r>
      <w:r w:rsidR="009E0F8F" w:rsidRPr="00AF3075">
        <w:t xml:space="preserve">stereotyping in sexual assault </w:t>
      </w:r>
      <w:r w:rsidR="00EE0EFE" w:rsidRPr="00AF3075">
        <w:t>or</w:t>
      </w:r>
      <w:r w:rsidR="009E0F8F" w:rsidRPr="00AF3075">
        <w:t xml:space="preserve"> domestic violence cases. </w:t>
      </w:r>
      <w:r w:rsidR="009C2ABE" w:rsidRPr="00AF3075">
        <w:t xml:space="preserve"> </w:t>
      </w:r>
      <w:r w:rsidRPr="00AF3075">
        <w:rPr>
          <w:szCs w:val="20"/>
        </w:rPr>
        <w:t xml:space="preserve">This reflects the literature and jurisprudence on judicial stereotyping, which is </w:t>
      </w:r>
      <w:r w:rsidR="00E43495">
        <w:rPr>
          <w:szCs w:val="20"/>
        </w:rPr>
        <w:t xml:space="preserve">substantially </w:t>
      </w:r>
      <w:r w:rsidRPr="00AF3075">
        <w:rPr>
          <w:szCs w:val="20"/>
        </w:rPr>
        <w:t>less developed in respect of other forms of gender-based violence.</w:t>
      </w:r>
    </w:p>
    <w:p w14:paraId="6A5FE100" w14:textId="0F5F479E" w:rsidR="00E03FE4" w:rsidRPr="00AF3075" w:rsidRDefault="000E36FA" w:rsidP="0056282B">
      <w:r>
        <w:t>J</w:t>
      </w:r>
      <w:r w:rsidR="00E03FE4" w:rsidRPr="00AF3075">
        <w:t xml:space="preserve">udicial stereotyping </w:t>
      </w:r>
      <w:r>
        <w:t xml:space="preserve">does not only affect </w:t>
      </w:r>
      <w:r w:rsidR="00E03FE4" w:rsidRPr="00AF3075">
        <w:t xml:space="preserve">women </w:t>
      </w:r>
      <w:r>
        <w:t>victims and survivors of violence</w:t>
      </w:r>
      <w:r w:rsidR="00E03FE4" w:rsidRPr="00AF3075">
        <w:t xml:space="preserve">. </w:t>
      </w:r>
      <w:r w:rsidR="008C0021">
        <w:t xml:space="preserve"> </w:t>
      </w:r>
      <w:r w:rsidR="002A45FE">
        <w:t xml:space="preserve">It </w:t>
      </w:r>
      <w:r w:rsidR="00F4647F" w:rsidRPr="00AF3075">
        <w:t xml:space="preserve">can also undermine justice for male victims of </w:t>
      </w:r>
      <w:r w:rsidR="00E03FE4" w:rsidRPr="00AF3075">
        <w:t>violence</w:t>
      </w:r>
      <w:r w:rsidR="00F4647F" w:rsidRPr="00AF3075">
        <w:rPr>
          <w:rStyle w:val="FootnoteReference"/>
          <w:rFonts w:cs="Arial"/>
        </w:rPr>
        <w:footnoteReference w:id="19"/>
      </w:r>
      <w:r w:rsidR="00F4647F" w:rsidRPr="00AF3075">
        <w:t xml:space="preserve"> and</w:t>
      </w:r>
      <w:r w:rsidR="00870166" w:rsidRPr="00AF3075">
        <w:t xml:space="preserve"> </w:t>
      </w:r>
      <w:r w:rsidR="008C0021">
        <w:t xml:space="preserve">lead to miscarriages of justice </w:t>
      </w:r>
      <w:r w:rsidR="00B33BA7" w:rsidRPr="00AF3075">
        <w:t xml:space="preserve">in cases involving violence against </w:t>
      </w:r>
      <w:r w:rsidR="00870166" w:rsidRPr="00AF3075">
        <w:t>people who identify as lesbian, gay, bisexual or transgender</w:t>
      </w:r>
      <w:r w:rsidR="00F4647F" w:rsidRPr="00AF3075">
        <w:t>.</w:t>
      </w:r>
      <w:r w:rsidR="00870166" w:rsidRPr="00AF3075">
        <w:t xml:space="preserve">  For instance, stereotypes related to marriage and family </w:t>
      </w:r>
      <w:r w:rsidR="008C0021">
        <w:t xml:space="preserve">relations </w:t>
      </w:r>
      <w:r w:rsidR="00870166" w:rsidRPr="00AF3075">
        <w:t>may prevent a judge from recognising domestic violence in a lesbian</w:t>
      </w:r>
      <w:r w:rsidR="00B33BA7" w:rsidRPr="00AF3075">
        <w:t xml:space="preserve"> or </w:t>
      </w:r>
      <w:r w:rsidR="00870166" w:rsidRPr="00AF3075">
        <w:t>gay relationship</w:t>
      </w:r>
      <w:r w:rsidR="007F4603">
        <w:t xml:space="preserve">, which may in turn mean that </w:t>
      </w:r>
      <w:r w:rsidR="00E43495">
        <w:t>the judge</w:t>
      </w:r>
      <w:r w:rsidR="007F4603">
        <w:t xml:space="preserve"> denies a request for </w:t>
      </w:r>
      <w:r w:rsidR="00B33BA7" w:rsidRPr="00AF3075">
        <w:t>a protection order against such violence</w:t>
      </w:r>
      <w:r w:rsidR="00870166" w:rsidRPr="00AF3075">
        <w:t>.</w:t>
      </w:r>
      <w:r w:rsidR="00F4647F" w:rsidRPr="00AF3075">
        <w:rPr>
          <w:rStyle w:val="FootnoteReference"/>
          <w:rFonts w:cs="Arial"/>
        </w:rPr>
        <w:footnoteReference w:id="20"/>
      </w:r>
      <w:r>
        <w:t xml:space="preserve">  </w:t>
      </w:r>
      <w:r w:rsidR="008C0021" w:rsidRPr="00AF3075">
        <w:t xml:space="preserve">Stereotyping can also affect women who pursue rights in areas </w:t>
      </w:r>
      <w:r w:rsidR="008C0021">
        <w:t xml:space="preserve">other than violence </w:t>
      </w:r>
      <w:r w:rsidR="008C0021" w:rsidRPr="00AF3075">
        <w:t>(eg employment, reproductive health, family or civil law)</w:t>
      </w:r>
      <w:r w:rsidR="008C0021" w:rsidRPr="00AF3075">
        <w:rPr>
          <w:rStyle w:val="FootnoteReference"/>
          <w:rFonts w:cs="Arial"/>
        </w:rPr>
        <w:footnoteReference w:id="21"/>
      </w:r>
      <w:r w:rsidR="008C0021" w:rsidRPr="00AF3075">
        <w:t xml:space="preserve"> </w:t>
      </w:r>
      <w:r w:rsidR="008C0021">
        <w:t xml:space="preserve">as well as </w:t>
      </w:r>
      <w:r w:rsidR="008C0021" w:rsidRPr="00AF3075">
        <w:t>women accused of violence and other crimes.</w:t>
      </w:r>
      <w:r w:rsidR="008C0021" w:rsidRPr="00AF3075">
        <w:rPr>
          <w:rStyle w:val="FootnoteReference"/>
          <w:rFonts w:cs="Arial"/>
        </w:rPr>
        <w:footnoteReference w:id="22"/>
      </w:r>
      <w:r w:rsidR="008C0021" w:rsidRPr="00AF3075">
        <w:t xml:space="preserve">  </w:t>
      </w:r>
      <w:r>
        <w:t xml:space="preserve">While these broader impacts of judicial stereotyping are </w:t>
      </w:r>
      <w:r w:rsidR="00536D58">
        <w:t xml:space="preserve">also </w:t>
      </w:r>
      <w:r>
        <w:t>important, they fall largely outside the scope of this paper.</w:t>
      </w:r>
      <w:r w:rsidR="00F4647F" w:rsidRPr="00AF3075">
        <w:t xml:space="preserve">  </w:t>
      </w:r>
    </w:p>
    <w:p w14:paraId="60C4764D" w14:textId="5EE5D663" w:rsidR="00C315D1" w:rsidRPr="00AF3075" w:rsidRDefault="00C315D1" w:rsidP="00C315D1">
      <w:pPr>
        <w:pStyle w:val="Heading2"/>
        <w:ind w:left="0" w:firstLine="0"/>
        <w:rPr>
          <w:rFonts w:ascii="Candara" w:hAnsi="Candara"/>
        </w:rPr>
      </w:pPr>
      <w:bookmarkStart w:id="6" w:name="_Toc263972381"/>
      <w:r w:rsidRPr="00AF3075">
        <w:rPr>
          <w:rFonts w:ascii="Candara" w:hAnsi="Candara"/>
        </w:rPr>
        <w:t>1.</w:t>
      </w:r>
      <w:r w:rsidR="00A310B2">
        <w:rPr>
          <w:rFonts w:ascii="Candara" w:hAnsi="Candara"/>
        </w:rPr>
        <w:t>3</w:t>
      </w:r>
      <w:r w:rsidRPr="00AF3075">
        <w:rPr>
          <w:rFonts w:ascii="Candara" w:hAnsi="Candara"/>
        </w:rPr>
        <w:t xml:space="preserve"> Outline</w:t>
      </w:r>
      <w:bookmarkEnd w:id="6"/>
    </w:p>
    <w:p w14:paraId="54078A95" w14:textId="41716FF1" w:rsidR="00C315D1" w:rsidRPr="00AF3075" w:rsidRDefault="00C315D1" w:rsidP="00C315D1">
      <w:r w:rsidRPr="00AF3075">
        <w:t>Th</w:t>
      </w:r>
      <w:r w:rsidR="0074220E" w:rsidRPr="00AF3075">
        <w:t>is</w:t>
      </w:r>
      <w:r w:rsidRPr="00AF3075">
        <w:t xml:space="preserve"> paper consists of four substantive sections.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9"/>
        <w:gridCol w:w="6707"/>
      </w:tblGrid>
      <w:tr w:rsidR="00C315D1" w:rsidRPr="00AF3075" w14:paraId="348BF25C" w14:textId="77777777" w:rsidTr="008066E5">
        <w:tc>
          <w:tcPr>
            <w:tcW w:w="1809" w:type="dxa"/>
            <w:tcBorders>
              <w:bottom w:val="single" w:sz="4" w:space="0" w:color="4A66AC" w:themeColor="accent4"/>
              <w:right w:val="single" w:sz="4" w:space="0" w:color="4A66AC" w:themeColor="accent4"/>
            </w:tcBorders>
          </w:tcPr>
          <w:p w14:paraId="405C586F"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Section 2</w:t>
            </w:r>
          </w:p>
          <w:p w14:paraId="31B98027" w14:textId="37E04871" w:rsidR="00C315D1" w:rsidRPr="00AF3075" w:rsidRDefault="00C315D1" w:rsidP="00EC7E9B">
            <w:pPr>
              <w:spacing w:before="120" w:after="120"/>
              <w:rPr>
                <w:b/>
                <w:color w:val="374C80" w:themeColor="accent4" w:themeShade="BF"/>
                <w:sz w:val="20"/>
                <w:szCs w:val="20"/>
              </w:rPr>
            </w:pPr>
            <w:r w:rsidRPr="00AF3075">
              <w:rPr>
                <w:b/>
                <w:color w:val="374C80" w:themeColor="accent4" w:themeShade="BF"/>
                <w:sz w:val="20"/>
                <w:szCs w:val="20"/>
              </w:rPr>
              <w:t>Access to justice for women</w:t>
            </w:r>
            <w:r w:rsidR="00EC7E9B">
              <w:rPr>
                <w:b/>
                <w:color w:val="374C80" w:themeColor="accent4" w:themeShade="BF"/>
                <w:sz w:val="20"/>
                <w:szCs w:val="20"/>
              </w:rPr>
              <w:t xml:space="preserve"> </w:t>
            </w:r>
          </w:p>
        </w:tc>
        <w:tc>
          <w:tcPr>
            <w:tcW w:w="6707" w:type="dxa"/>
            <w:tcBorders>
              <w:left w:val="single" w:sz="4" w:space="0" w:color="4A66AC" w:themeColor="accent4"/>
              <w:bottom w:val="single" w:sz="4" w:space="0" w:color="4A66AC" w:themeColor="accent4"/>
            </w:tcBorders>
          </w:tcPr>
          <w:p w14:paraId="34762C3D" w14:textId="330407FF" w:rsidR="00C315D1" w:rsidRPr="00AF3075" w:rsidRDefault="00C315D1" w:rsidP="00EC7E9B">
            <w:pPr>
              <w:spacing w:before="120" w:after="120"/>
              <w:rPr>
                <w:rStyle w:val="SubtleEmphasis"/>
                <w:b w:val="0"/>
                <w:color w:val="000000" w:themeColor="text1"/>
                <w:sz w:val="20"/>
                <w:szCs w:val="20"/>
              </w:rPr>
            </w:pPr>
            <w:r w:rsidRPr="00AF3075">
              <w:rPr>
                <w:sz w:val="20"/>
                <w:szCs w:val="20"/>
              </w:rPr>
              <w:t xml:space="preserve">Section 2 provides a brief </w:t>
            </w:r>
            <w:r w:rsidR="008066E5" w:rsidRPr="00AF3075">
              <w:rPr>
                <w:sz w:val="20"/>
                <w:szCs w:val="20"/>
              </w:rPr>
              <w:t>introduction to</w:t>
            </w:r>
            <w:r w:rsidRPr="00AF3075">
              <w:rPr>
                <w:sz w:val="20"/>
                <w:szCs w:val="20"/>
              </w:rPr>
              <w:t xml:space="preserve"> the international human rights framework as it </w:t>
            </w:r>
            <w:r w:rsidR="00C31E2D">
              <w:rPr>
                <w:sz w:val="20"/>
                <w:szCs w:val="20"/>
              </w:rPr>
              <w:t xml:space="preserve">relates to stereotyping and </w:t>
            </w:r>
            <w:r w:rsidRPr="00AF3075">
              <w:rPr>
                <w:sz w:val="20"/>
                <w:szCs w:val="20"/>
              </w:rPr>
              <w:t xml:space="preserve">access to justice for victims and survivors of gender-based violence.  </w:t>
            </w:r>
            <w:r w:rsidR="00EC7E9B">
              <w:rPr>
                <w:sz w:val="20"/>
                <w:szCs w:val="20"/>
              </w:rPr>
              <w:t xml:space="preserve"> </w:t>
            </w:r>
          </w:p>
        </w:tc>
      </w:tr>
      <w:tr w:rsidR="00C315D1" w:rsidRPr="00AF3075" w14:paraId="63ABF282" w14:textId="77777777" w:rsidTr="008066E5">
        <w:tc>
          <w:tcPr>
            <w:tcW w:w="1809" w:type="dxa"/>
            <w:tcBorders>
              <w:top w:val="single" w:sz="4" w:space="0" w:color="4A66AC" w:themeColor="accent4"/>
              <w:bottom w:val="single" w:sz="4" w:space="0" w:color="4A66AC" w:themeColor="accent4"/>
              <w:right w:val="single" w:sz="4" w:space="0" w:color="4A66AC" w:themeColor="accent4"/>
            </w:tcBorders>
          </w:tcPr>
          <w:p w14:paraId="77DD70DC"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 xml:space="preserve">Section 3 </w:t>
            </w:r>
          </w:p>
          <w:p w14:paraId="053FA608"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Understanding stereotyping</w:t>
            </w:r>
          </w:p>
        </w:tc>
        <w:tc>
          <w:tcPr>
            <w:tcW w:w="6707" w:type="dxa"/>
            <w:tcBorders>
              <w:top w:val="single" w:sz="4" w:space="0" w:color="4A66AC" w:themeColor="accent4"/>
              <w:left w:val="single" w:sz="4" w:space="0" w:color="4A66AC" w:themeColor="accent4"/>
              <w:bottom w:val="single" w:sz="4" w:space="0" w:color="4A66AC" w:themeColor="accent4"/>
            </w:tcBorders>
          </w:tcPr>
          <w:p w14:paraId="75D128FD" w14:textId="50329692" w:rsidR="00C315D1" w:rsidRPr="00AF3075" w:rsidRDefault="00C315D1" w:rsidP="008066E5">
            <w:pPr>
              <w:spacing w:before="120" w:after="120"/>
              <w:rPr>
                <w:sz w:val="20"/>
                <w:szCs w:val="20"/>
              </w:rPr>
            </w:pPr>
            <w:r w:rsidRPr="00AF3075">
              <w:rPr>
                <w:sz w:val="20"/>
                <w:szCs w:val="20"/>
              </w:rPr>
              <w:t>Section 3 examines the concept of stereotypes and the practice of stereotyping</w:t>
            </w:r>
            <w:r w:rsidR="00EC7E9B">
              <w:rPr>
                <w:sz w:val="20"/>
                <w:szCs w:val="20"/>
              </w:rPr>
              <w:t xml:space="preserve">.  It </w:t>
            </w:r>
            <w:r w:rsidRPr="00AF3075">
              <w:rPr>
                <w:sz w:val="20"/>
                <w:szCs w:val="20"/>
              </w:rPr>
              <w:t>highlights some of the stereotypes commonly found in gender-based violence cases</w:t>
            </w:r>
            <w:r w:rsidR="00EC7E9B">
              <w:rPr>
                <w:sz w:val="20"/>
                <w:szCs w:val="20"/>
              </w:rPr>
              <w:t xml:space="preserve"> and </w:t>
            </w:r>
            <w:r w:rsidRPr="00AF3075">
              <w:rPr>
                <w:sz w:val="20"/>
                <w:szCs w:val="20"/>
              </w:rPr>
              <w:t xml:space="preserve">considers how judges have: </w:t>
            </w:r>
          </w:p>
          <w:p w14:paraId="741E78EE" w14:textId="3FC74325"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applied, enforced and perpetuated stereotypes</w:t>
            </w:r>
          </w:p>
          <w:p w14:paraId="50122896" w14:textId="77777777" w:rsidR="00C315D1" w:rsidRPr="00AF3075" w:rsidRDefault="00C315D1" w:rsidP="008066E5">
            <w:pPr>
              <w:pStyle w:val="ListParagraph"/>
              <w:numPr>
                <w:ilvl w:val="0"/>
                <w:numId w:val="24"/>
              </w:numPr>
              <w:spacing w:before="120" w:after="120"/>
              <w:ind w:left="317" w:hanging="317"/>
              <w:rPr>
                <w:sz w:val="20"/>
                <w:szCs w:val="20"/>
              </w:rPr>
            </w:pPr>
            <w:proofErr w:type="gramStart"/>
            <w:r w:rsidRPr="00AF3075">
              <w:rPr>
                <w:sz w:val="20"/>
                <w:szCs w:val="20"/>
              </w:rPr>
              <w:t>debunked</w:t>
            </w:r>
            <w:proofErr w:type="gramEnd"/>
            <w:r w:rsidRPr="00AF3075">
              <w:rPr>
                <w:sz w:val="20"/>
                <w:szCs w:val="20"/>
              </w:rPr>
              <w:t xml:space="preserve"> harmful stereotypes and challenged stereotyping.</w:t>
            </w:r>
          </w:p>
        </w:tc>
      </w:tr>
      <w:tr w:rsidR="00C315D1" w:rsidRPr="00AF3075" w14:paraId="0853F67A" w14:textId="77777777" w:rsidTr="008066E5">
        <w:tc>
          <w:tcPr>
            <w:tcW w:w="1809" w:type="dxa"/>
            <w:tcBorders>
              <w:top w:val="single" w:sz="4" w:space="0" w:color="4A66AC" w:themeColor="accent4"/>
              <w:bottom w:val="single" w:sz="4" w:space="0" w:color="4A66AC" w:themeColor="accent4"/>
              <w:right w:val="single" w:sz="4" w:space="0" w:color="4A66AC" w:themeColor="accent4"/>
            </w:tcBorders>
          </w:tcPr>
          <w:p w14:paraId="56835445"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Section 4</w:t>
            </w:r>
          </w:p>
          <w:p w14:paraId="0744BC41"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How stereotyping undermines access to justice</w:t>
            </w:r>
          </w:p>
        </w:tc>
        <w:tc>
          <w:tcPr>
            <w:tcW w:w="6707" w:type="dxa"/>
            <w:tcBorders>
              <w:top w:val="single" w:sz="4" w:space="0" w:color="4A66AC" w:themeColor="accent4"/>
              <w:left w:val="single" w:sz="4" w:space="0" w:color="4A66AC" w:themeColor="accent4"/>
              <w:bottom w:val="single" w:sz="4" w:space="0" w:color="4A66AC" w:themeColor="accent4"/>
            </w:tcBorders>
          </w:tcPr>
          <w:p w14:paraId="72F6AD47" w14:textId="6DCC5A9C" w:rsidR="00C315D1" w:rsidRPr="00AF3075" w:rsidRDefault="00C315D1" w:rsidP="008066E5">
            <w:pPr>
              <w:spacing w:before="120" w:after="120"/>
              <w:rPr>
                <w:sz w:val="20"/>
                <w:szCs w:val="20"/>
              </w:rPr>
            </w:pPr>
            <w:r w:rsidRPr="00AF3075">
              <w:rPr>
                <w:sz w:val="20"/>
                <w:szCs w:val="20"/>
              </w:rPr>
              <w:t xml:space="preserve">Section 4 identifies </w:t>
            </w:r>
            <w:r w:rsidR="00F04797">
              <w:rPr>
                <w:sz w:val="20"/>
                <w:szCs w:val="20"/>
              </w:rPr>
              <w:t>how</w:t>
            </w:r>
            <w:r w:rsidRPr="00AF3075">
              <w:rPr>
                <w:sz w:val="20"/>
                <w:szCs w:val="20"/>
              </w:rPr>
              <w:t xml:space="preserve"> judicial stereotyping can undermine access to justice for victims and survivors. It explains how stereotyping</w:t>
            </w:r>
            <w:r w:rsidR="00C31E2D">
              <w:rPr>
                <w:sz w:val="20"/>
                <w:szCs w:val="20"/>
              </w:rPr>
              <w:t xml:space="preserve"> can</w:t>
            </w:r>
            <w:r w:rsidRPr="00AF3075">
              <w:rPr>
                <w:sz w:val="20"/>
                <w:szCs w:val="20"/>
              </w:rPr>
              <w:t>:</w:t>
            </w:r>
          </w:p>
          <w:p w14:paraId="7C626850" w14:textId="5A67AFB1" w:rsidR="00C315D1" w:rsidRPr="00AF3075" w:rsidRDefault="00C315D1" w:rsidP="008066E5">
            <w:pPr>
              <w:pStyle w:val="ListParagraph"/>
              <w:numPr>
                <w:ilvl w:val="0"/>
                <w:numId w:val="24"/>
              </w:numPr>
              <w:spacing w:before="120" w:after="120"/>
              <w:ind w:left="317" w:hanging="317"/>
              <w:rPr>
                <w:sz w:val="20"/>
                <w:szCs w:val="20"/>
              </w:rPr>
            </w:pPr>
            <w:r w:rsidRPr="00AF3075">
              <w:rPr>
                <w:iCs/>
                <w:sz w:val="20"/>
                <w:szCs w:val="20"/>
              </w:rPr>
              <w:t>compromise the impartiality of judges’ decisions</w:t>
            </w:r>
          </w:p>
          <w:p w14:paraId="6648B813" w14:textId="56CBFD8E" w:rsidR="00C315D1" w:rsidRPr="00AF3075" w:rsidRDefault="00C315D1" w:rsidP="008066E5">
            <w:pPr>
              <w:pStyle w:val="ListParagraph"/>
              <w:numPr>
                <w:ilvl w:val="0"/>
                <w:numId w:val="24"/>
              </w:numPr>
              <w:spacing w:before="120" w:after="120"/>
              <w:ind w:left="317" w:hanging="317"/>
              <w:rPr>
                <w:sz w:val="20"/>
                <w:szCs w:val="20"/>
              </w:rPr>
            </w:pPr>
            <w:r w:rsidRPr="00AF3075">
              <w:rPr>
                <w:iCs/>
                <w:sz w:val="20"/>
                <w:szCs w:val="20"/>
              </w:rPr>
              <w:t xml:space="preserve">influence judges’ understanding of </w:t>
            </w:r>
            <w:r w:rsidR="00CC4E10">
              <w:rPr>
                <w:iCs/>
                <w:sz w:val="20"/>
                <w:szCs w:val="20"/>
              </w:rPr>
              <w:t xml:space="preserve">violent </w:t>
            </w:r>
            <w:r w:rsidRPr="00AF3075">
              <w:rPr>
                <w:iCs/>
                <w:sz w:val="20"/>
                <w:szCs w:val="20"/>
              </w:rPr>
              <w:t>offences</w:t>
            </w:r>
          </w:p>
          <w:p w14:paraId="0ECAAA37" w14:textId="6ACB0BC5"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affect judges’ views about witness credibility and legal capacity</w:t>
            </w:r>
          </w:p>
          <w:p w14:paraId="0FF0B662" w14:textId="0A8F86F2"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prevent perpetrators from being held legally accountable for violence</w:t>
            </w:r>
          </w:p>
          <w:p w14:paraId="20917C22" w14:textId="3F38A77D" w:rsidR="00C315D1" w:rsidRPr="00AF3075" w:rsidRDefault="00C315D1" w:rsidP="00F04797">
            <w:pPr>
              <w:pStyle w:val="ListParagraph"/>
              <w:numPr>
                <w:ilvl w:val="0"/>
                <w:numId w:val="24"/>
              </w:numPr>
              <w:spacing w:before="120" w:after="120"/>
              <w:ind w:left="317" w:hanging="317"/>
              <w:rPr>
                <w:sz w:val="20"/>
                <w:szCs w:val="20"/>
              </w:rPr>
            </w:pPr>
            <w:proofErr w:type="gramStart"/>
            <w:r w:rsidRPr="00AF3075">
              <w:rPr>
                <w:sz w:val="20"/>
                <w:szCs w:val="20"/>
              </w:rPr>
              <w:t>impede</w:t>
            </w:r>
            <w:proofErr w:type="gramEnd"/>
            <w:r w:rsidRPr="00AF3075">
              <w:rPr>
                <w:sz w:val="20"/>
                <w:szCs w:val="20"/>
              </w:rPr>
              <w:t xml:space="preserve"> victims</w:t>
            </w:r>
            <w:r w:rsidR="00F04797">
              <w:rPr>
                <w:sz w:val="20"/>
                <w:szCs w:val="20"/>
              </w:rPr>
              <w:t>’</w:t>
            </w:r>
            <w:r w:rsidRPr="00AF3075">
              <w:rPr>
                <w:sz w:val="20"/>
                <w:szCs w:val="20"/>
              </w:rPr>
              <w:t xml:space="preserve"> access </w:t>
            </w:r>
            <w:r w:rsidR="00F04797">
              <w:rPr>
                <w:sz w:val="20"/>
                <w:szCs w:val="20"/>
              </w:rPr>
              <w:t xml:space="preserve">to </w:t>
            </w:r>
            <w:r w:rsidRPr="00AF3075">
              <w:rPr>
                <w:sz w:val="20"/>
                <w:szCs w:val="20"/>
              </w:rPr>
              <w:t>their legal rights and protections.</w:t>
            </w:r>
          </w:p>
        </w:tc>
      </w:tr>
      <w:tr w:rsidR="00C315D1" w:rsidRPr="00AF3075" w14:paraId="1685ABC2" w14:textId="77777777" w:rsidTr="008066E5">
        <w:tc>
          <w:tcPr>
            <w:tcW w:w="1809" w:type="dxa"/>
            <w:tcBorders>
              <w:top w:val="single" w:sz="4" w:space="0" w:color="4A66AC" w:themeColor="accent4"/>
              <w:bottom w:val="nil"/>
              <w:right w:val="single" w:sz="4" w:space="0" w:color="4A66AC" w:themeColor="accent4"/>
            </w:tcBorders>
          </w:tcPr>
          <w:p w14:paraId="18235CCC"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Section 5</w:t>
            </w:r>
          </w:p>
          <w:p w14:paraId="1FABB39C"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Strategies for eliminating stereotyping in gender-based violence cases</w:t>
            </w:r>
          </w:p>
        </w:tc>
        <w:tc>
          <w:tcPr>
            <w:tcW w:w="6707" w:type="dxa"/>
            <w:tcBorders>
              <w:top w:val="single" w:sz="4" w:space="0" w:color="4A66AC" w:themeColor="accent4"/>
              <w:left w:val="single" w:sz="4" w:space="0" w:color="4A66AC" w:themeColor="accent4"/>
              <w:bottom w:val="nil"/>
            </w:tcBorders>
          </w:tcPr>
          <w:p w14:paraId="191635AD" w14:textId="76B70C64" w:rsidR="00C315D1" w:rsidRPr="00AF3075" w:rsidRDefault="00C315D1" w:rsidP="008066E5">
            <w:pPr>
              <w:spacing w:before="120" w:after="120"/>
              <w:rPr>
                <w:sz w:val="20"/>
                <w:szCs w:val="20"/>
              </w:rPr>
            </w:pPr>
            <w:r w:rsidRPr="00AF3075">
              <w:rPr>
                <w:sz w:val="20"/>
                <w:szCs w:val="20"/>
              </w:rPr>
              <w:t xml:space="preserve">Section 5 identifies some strategies advocates might use to challenge judicial stereotyping in gender-based violence cases.  It encourages advocates to: </w:t>
            </w:r>
          </w:p>
          <w:p w14:paraId="0415E4B3" w14:textId="77777777" w:rsidR="00C315D1" w:rsidRPr="00AF3075" w:rsidRDefault="00C315D1" w:rsidP="008066E5">
            <w:pPr>
              <w:pStyle w:val="ListParagraph"/>
              <w:numPr>
                <w:ilvl w:val="0"/>
                <w:numId w:val="24"/>
              </w:numPr>
              <w:spacing w:before="120" w:after="120"/>
              <w:ind w:left="317" w:hanging="317"/>
              <w:rPr>
                <w:rStyle w:val="SubtleEmphasis"/>
                <w:b w:val="0"/>
                <w:iCs w:val="0"/>
                <w:color w:val="auto"/>
                <w:sz w:val="20"/>
                <w:szCs w:val="20"/>
              </w:rPr>
            </w:pPr>
            <w:r w:rsidRPr="00AF3075">
              <w:rPr>
                <w:rStyle w:val="SubtleEmphasis"/>
                <w:b w:val="0"/>
                <w:color w:val="000000" w:themeColor="text1"/>
                <w:sz w:val="20"/>
                <w:szCs w:val="20"/>
              </w:rPr>
              <w:t>highlight the harms of judicial stereotyping through evidence-based research</w:t>
            </w:r>
          </w:p>
          <w:p w14:paraId="56F35901" w14:textId="77777777" w:rsidR="00C315D1" w:rsidRPr="00AF3075" w:rsidRDefault="00C315D1" w:rsidP="008066E5">
            <w:pPr>
              <w:pStyle w:val="ListParagraph"/>
              <w:numPr>
                <w:ilvl w:val="0"/>
                <w:numId w:val="24"/>
              </w:numPr>
              <w:spacing w:before="120" w:after="120"/>
              <w:ind w:left="317" w:hanging="317"/>
              <w:rPr>
                <w:rStyle w:val="SubtleEmphasis"/>
                <w:b w:val="0"/>
                <w:iCs w:val="0"/>
                <w:color w:val="auto"/>
                <w:sz w:val="20"/>
                <w:szCs w:val="20"/>
              </w:rPr>
            </w:pPr>
            <w:r w:rsidRPr="00AF3075">
              <w:rPr>
                <w:rStyle w:val="SubtleEmphasis"/>
                <w:b w:val="0"/>
                <w:color w:val="000000" w:themeColor="text1"/>
                <w:sz w:val="20"/>
                <w:szCs w:val="20"/>
              </w:rPr>
              <w:t>advocate legal and policy reforms that prohibit judicial stereotyping</w:t>
            </w:r>
          </w:p>
          <w:p w14:paraId="50AA5B1F" w14:textId="77777777"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monitor and analyse judicial reasoning for evidence of stereotyping</w:t>
            </w:r>
          </w:p>
          <w:p w14:paraId="32769359" w14:textId="77777777" w:rsidR="00C315D1" w:rsidRPr="00AF3075" w:rsidRDefault="00C315D1" w:rsidP="008066E5">
            <w:pPr>
              <w:pStyle w:val="ListParagraph"/>
              <w:numPr>
                <w:ilvl w:val="0"/>
                <w:numId w:val="24"/>
              </w:numPr>
              <w:spacing w:before="120" w:after="120"/>
              <w:ind w:left="317" w:hanging="317"/>
              <w:rPr>
                <w:rStyle w:val="SubtleEmphasis"/>
                <w:b w:val="0"/>
                <w:iCs w:val="0"/>
                <w:color w:val="auto"/>
                <w:sz w:val="20"/>
                <w:szCs w:val="20"/>
              </w:rPr>
            </w:pPr>
            <w:r w:rsidRPr="00AF3075">
              <w:rPr>
                <w:rStyle w:val="SubtleEmphasis"/>
                <w:b w:val="0"/>
                <w:color w:val="000000" w:themeColor="text1"/>
                <w:sz w:val="20"/>
                <w:szCs w:val="20"/>
              </w:rPr>
              <w:t>challenge judicial stereotyping through petitions and expert evidence</w:t>
            </w:r>
          </w:p>
          <w:p w14:paraId="09FF8411" w14:textId="77777777"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highlight good practice examples of judges challenging stereotyping</w:t>
            </w:r>
          </w:p>
          <w:p w14:paraId="2A7A45A3" w14:textId="77777777" w:rsidR="00C315D1" w:rsidRPr="00AF3075" w:rsidRDefault="00C315D1" w:rsidP="008066E5">
            <w:pPr>
              <w:pStyle w:val="ListParagraph"/>
              <w:numPr>
                <w:ilvl w:val="0"/>
                <w:numId w:val="24"/>
              </w:numPr>
              <w:spacing w:before="120" w:after="120"/>
              <w:ind w:left="317" w:hanging="317"/>
              <w:rPr>
                <w:sz w:val="20"/>
                <w:szCs w:val="20"/>
              </w:rPr>
            </w:pPr>
            <w:proofErr w:type="gramStart"/>
            <w:r w:rsidRPr="00AF3075">
              <w:rPr>
                <w:sz w:val="20"/>
                <w:szCs w:val="20"/>
              </w:rPr>
              <w:t>improve</w:t>
            </w:r>
            <w:proofErr w:type="gramEnd"/>
            <w:r w:rsidRPr="00AF3075">
              <w:rPr>
                <w:sz w:val="20"/>
                <w:szCs w:val="20"/>
              </w:rPr>
              <w:t xml:space="preserve"> judicial capacity to address stereotyping.</w:t>
            </w:r>
          </w:p>
          <w:p w14:paraId="2FCE404E" w14:textId="6B452F5B" w:rsidR="00C315D1" w:rsidRPr="00AF3075" w:rsidRDefault="00BF3303" w:rsidP="007F4603">
            <w:pPr>
              <w:spacing w:before="120" w:after="120"/>
              <w:rPr>
                <w:sz w:val="20"/>
                <w:szCs w:val="20"/>
              </w:rPr>
            </w:pPr>
            <w:r>
              <w:rPr>
                <w:sz w:val="20"/>
                <w:szCs w:val="20"/>
              </w:rPr>
              <w:t>It</w:t>
            </w:r>
            <w:r w:rsidR="00C315D1" w:rsidRPr="00AF3075">
              <w:rPr>
                <w:sz w:val="20"/>
                <w:szCs w:val="20"/>
              </w:rPr>
              <w:t xml:space="preserve"> also highlights good practices examples of </w:t>
            </w:r>
            <w:r w:rsidR="007F4603">
              <w:rPr>
                <w:sz w:val="20"/>
                <w:szCs w:val="20"/>
              </w:rPr>
              <w:t xml:space="preserve">these strategies being </w:t>
            </w:r>
            <w:r w:rsidR="00CA6681">
              <w:rPr>
                <w:sz w:val="20"/>
                <w:szCs w:val="20"/>
              </w:rPr>
              <w:t>use</w:t>
            </w:r>
            <w:r w:rsidR="007F4603">
              <w:rPr>
                <w:sz w:val="20"/>
                <w:szCs w:val="20"/>
              </w:rPr>
              <w:t>d</w:t>
            </w:r>
            <w:r w:rsidR="00CA6681">
              <w:rPr>
                <w:sz w:val="20"/>
                <w:szCs w:val="20"/>
              </w:rPr>
              <w:t xml:space="preserve"> </w:t>
            </w:r>
            <w:r w:rsidR="00C315D1" w:rsidRPr="00AF3075">
              <w:rPr>
                <w:sz w:val="20"/>
                <w:szCs w:val="20"/>
              </w:rPr>
              <w:t>in practice.</w:t>
            </w:r>
          </w:p>
        </w:tc>
      </w:tr>
    </w:tbl>
    <w:p w14:paraId="75C91A1D" w14:textId="6C5C9D27" w:rsidR="00247C67" w:rsidRPr="00AF3075" w:rsidRDefault="00247C67" w:rsidP="0056282B">
      <w:pPr>
        <w:rPr>
          <w:rFonts w:eastAsiaTheme="majorEastAsia" w:cstheme="majorBidi"/>
          <w:color w:val="5B63B7" w:themeColor="text2" w:themeTint="99"/>
          <w:sz w:val="28"/>
          <w:szCs w:val="28"/>
        </w:rPr>
        <w:sectPr w:rsidR="00247C67" w:rsidRPr="00AF3075" w:rsidSect="00F91007">
          <w:endnotePr>
            <w:numFmt w:val="decimal"/>
            <w:numRestart w:val="eachSect"/>
          </w:endnotePr>
          <w:pgSz w:w="11900" w:h="16840"/>
          <w:pgMar w:top="1440" w:right="1800" w:bottom="1440" w:left="1800" w:header="708" w:footer="708" w:gutter="0"/>
          <w:pgNumType w:start="1"/>
          <w:cols w:space="708"/>
          <w:docGrid w:linePitch="360"/>
        </w:sectPr>
      </w:pPr>
    </w:p>
    <w:p w14:paraId="33A8852A" w14:textId="126F792E" w:rsidR="00247C67" w:rsidRPr="00AF3075" w:rsidRDefault="00E31D3F" w:rsidP="00797B12">
      <w:pPr>
        <w:pStyle w:val="Heading1"/>
        <w:rPr>
          <w:rFonts w:ascii="Candara" w:hAnsi="Candara"/>
        </w:rPr>
      </w:pPr>
      <w:bookmarkStart w:id="7" w:name="_Toc263972382"/>
      <w:bookmarkStart w:id="8" w:name="_Toc234329247"/>
      <w:r w:rsidRPr="00AF3075">
        <w:rPr>
          <w:rFonts w:ascii="Candara" w:hAnsi="Candara"/>
        </w:rPr>
        <w:t>2</w:t>
      </w:r>
      <w:r w:rsidR="00247C67" w:rsidRPr="00AF3075">
        <w:rPr>
          <w:rFonts w:ascii="Candara" w:hAnsi="Candara"/>
        </w:rPr>
        <w:t xml:space="preserve">. </w:t>
      </w:r>
      <w:r w:rsidRPr="00AF3075">
        <w:rPr>
          <w:rFonts w:ascii="Candara" w:hAnsi="Candara"/>
        </w:rPr>
        <w:t>Access to justice for women in gender-based violence cases</w:t>
      </w:r>
      <w:bookmarkEnd w:id="7"/>
    </w:p>
    <w:p w14:paraId="25C84605" w14:textId="7963D1CB" w:rsidR="005465C5" w:rsidRPr="005465C5" w:rsidRDefault="00F67812" w:rsidP="005465C5">
      <w:r>
        <w:t>International human rights law guarantees victims and survivors of gender-based violence access to justice.</w:t>
      </w:r>
      <w:r w:rsidR="007402F8">
        <w:t xml:space="preserve"> </w:t>
      </w:r>
      <w:r>
        <w:t xml:space="preserve"> </w:t>
      </w:r>
      <w:r w:rsidR="007402F8">
        <w:t>Section</w:t>
      </w:r>
      <w:r w:rsidR="007402F8" w:rsidRPr="00AF3075">
        <w:t xml:space="preserve"> </w:t>
      </w:r>
      <w:r w:rsidR="007402F8">
        <w:t>2</w:t>
      </w:r>
      <w:r>
        <w:t xml:space="preserve"> identifies some of the key human rights obligations </w:t>
      </w:r>
      <w:r w:rsidR="00B404A0">
        <w:t xml:space="preserve">related to justice for </w:t>
      </w:r>
      <w:r w:rsidR="00A310B2">
        <w:t xml:space="preserve">women </w:t>
      </w:r>
      <w:r w:rsidR="00B404A0">
        <w:t>victims and survivors</w:t>
      </w:r>
      <w:r w:rsidR="00A310B2">
        <w:t xml:space="preserve"> of violence</w:t>
      </w:r>
      <w:r w:rsidR="00B404A0">
        <w:t>.  It</w:t>
      </w:r>
      <w:r w:rsidR="00192600">
        <w:t xml:space="preserve"> focuses </w:t>
      </w:r>
      <w:r w:rsidR="00CC182B">
        <w:t>mainly</w:t>
      </w:r>
      <w:r w:rsidR="00B404A0">
        <w:t xml:space="preserve"> </w:t>
      </w:r>
      <w:r w:rsidR="00192600">
        <w:t xml:space="preserve">on </w:t>
      </w:r>
      <w:r>
        <w:t xml:space="preserve">the </w:t>
      </w:r>
      <w:r w:rsidR="00192600">
        <w:t>obligation</w:t>
      </w:r>
      <w:r>
        <w:t xml:space="preserve"> </w:t>
      </w:r>
      <w:r w:rsidR="00B404A0">
        <w:t xml:space="preserve">of states </w:t>
      </w:r>
      <w:r>
        <w:t xml:space="preserve">to </w:t>
      </w:r>
      <w:r w:rsidR="0081540E">
        <w:t>address</w:t>
      </w:r>
      <w:r>
        <w:t xml:space="preserve"> </w:t>
      </w:r>
      <w:r w:rsidR="00192600">
        <w:t xml:space="preserve">judicial </w:t>
      </w:r>
      <w:r>
        <w:t>stereotyping</w:t>
      </w:r>
      <w:r w:rsidR="00192600">
        <w:t xml:space="preserve">, but also considers </w:t>
      </w:r>
      <w:r w:rsidR="00B404A0">
        <w:t>other</w:t>
      </w:r>
      <w:r>
        <w:t xml:space="preserve"> key human rights, </w:t>
      </w:r>
      <w:r w:rsidR="005465C5">
        <w:t xml:space="preserve">namely the rights to non-discrimination and equality, the rights to </w:t>
      </w:r>
      <w:r w:rsidR="005465C5" w:rsidRPr="005465C5">
        <w:rPr>
          <w:rStyle w:val="SubtleEmphasis"/>
          <w:b w:val="0"/>
          <w:color w:val="000000" w:themeColor="text1"/>
          <w:sz w:val="24"/>
        </w:rPr>
        <w:t>equality before courts and tribunals and to a fair trial</w:t>
      </w:r>
      <w:r w:rsidR="005465C5">
        <w:rPr>
          <w:rStyle w:val="SubtleEmphasis"/>
          <w:b w:val="0"/>
          <w:color w:val="000000" w:themeColor="text1"/>
          <w:sz w:val="24"/>
        </w:rPr>
        <w:t xml:space="preserve"> and the right to </w:t>
      </w:r>
      <w:r w:rsidR="005465C5" w:rsidRPr="005465C5">
        <w:rPr>
          <w:rStyle w:val="SubtleEmphasis"/>
          <w:b w:val="0"/>
          <w:color w:val="000000" w:themeColor="text1"/>
          <w:sz w:val="24"/>
        </w:rPr>
        <w:t xml:space="preserve">an effective remedy.  </w:t>
      </w:r>
    </w:p>
    <w:p w14:paraId="59C40983" w14:textId="2D0BA278" w:rsidR="005126C5" w:rsidRDefault="00B404A0" w:rsidP="00B404A0">
      <w:pPr>
        <w:pStyle w:val="Heading2"/>
        <w:ind w:left="0" w:firstLine="0"/>
        <w:rPr>
          <w:rFonts w:ascii="Candara" w:hAnsi="Candara"/>
        </w:rPr>
      </w:pPr>
      <w:bookmarkStart w:id="9" w:name="_Toc263972383"/>
      <w:r w:rsidRPr="00AF3075">
        <w:rPr>
          <w:rFonts w:ascii="Candara" w:hAnsi="Candara"/>
        </w:rPr>
        <w:t xml:space="preserve">2.1 </w:t>
      </w:r>
      <w:r>
        <w:rPr>
          <w:rFonts w:ascii="Candara" w:hAnsi="Candara"/>
        </w:rPr>
        <w:t>State obligation</w:t>
      </w:r>
      <w:r w:rsidR="00442EFD">
        <w:rPr>
          <w:rFonts w:ascii="Candara" w:hAnsi="Candara"/>
        </w:rPr>
        <w:t>s</w:t>
      </w:r>
      <w:r>
        <w:rPr>
          <w:rFonts w:ascii="Candara" w:hAnsi="Candara"/>
        </w:rPr>
        <w:t xml:space="preserve"> to address judicial stereotyping</w:t>
      </w:r>
      <w:bookmarkEnd w:id="9"/>
    </w:p>
    <w:p w14:paraId="4A7E9516" w14:textId="0626C703" w:rsidR="000676DA" w:rsidRDefault="00A67A04" w:rsidP="000676DA">
      <w:pPr>
        <w:spacing w:after="120"/>
      </w:pPr>
      <w:r>
        <w:t xml:space="preserve">Two </w:t>
      </w:r>
      <w:r w:rsidR="00F81A7F">
        <w:t xml:space="preserve">international human rights treaties contain express </w:t>
      </w:r>
      <w:r w:rsidR="005F1DE6">
        <w:t>obligations</w:t>
      </w:r>
      <w:r w:rsidR="00F81A7F">
        <w:t xml:space="preserve"> </w:t>
      </w:r>
      <w:r w:rsidR="005F1DE6">
        <w:t>on</w:t>
      </w:r>
      <w:r w:rsidR="00382791">
        <w:t xml:space="preserve"> stereotyping.  They are </w:t>
      </w:r>
      <w:r w:rsidR="000676DA">
        <w:t>the:</w:t>
      </w:r>
    </w:p>
    <w:p w14:paraId="6625631D" w14:textId="526F4F2A" w:rsidR="000676DA" w:rsidRPr="000676DA" w:rsidRDefault="00F81A7F" w:rsidP="000676DA">
      <w:pPr>
        <w:pStyle w:val="ListParagraph"/>
        <w:numPr>
          <w:ilvl w:val="0"/>
          <w:numId w:val="27"/>
        </w:numPr>
        <w:spacing w:before="120" w:after="120"/>
        <w:ind w:left="567"/>
        <w:rPr>
          <w:i/>
          <w:iCs/>
          <w:color w:val="000000" w:themeColor="text1"/>
        </w:rPr>
      </w:pPr>
      <w:r w:rsidRPr="000676DA">
        <w:rPr>
          <w:i/>
        </w:rPr>
        <w:t xml:space="preserve">Convention on the Elimination of All Forms of Discrimination against Women </w:t>
      </w:r>
      <w:r>
        <w:t>(</w:t>
      </w:r>
      <w:r w:rsidRPr="000676DA">
        <w:rPr>
          <w:b/>
        </w:rPr>
        <w:t>CEDAW</w:t>
      </w:r>
      <w:r>
        <w:t>)</w:t>
      </w:r>
      <w:r w:rsidR="00382791">
        <w:rPr>
          <w:rStyle w:val="FootnoteReference"/>
        </w:rPr>
        <w:footnoteReference w:id="23"/>
      </w:r>
    </w:p>
    <w:p w14:paraId="63180F30" w14:textId="60DF58C7" w:rsidR="00442EFD" w:rsidRPr="005F1DE6" w:rsidRDefault="00F81A7F" w:rsidP="006A4260">
      <w:pPr>
        <w:pStyle w:val="ListParagraph"/>
        <w:numPr>
          <w:ilvl w:val="0"/>
          <w:numId w:val="27"/>
        </w:numPr>
        <w:spacing w:before="120"/>
        <w:ind w:left="567"/>
        <w:rPr>
          <w:i/>
          <w:iCs/>
          <w:color w:val="000000" w:themeColor="text1"/>
        </w:rPr>
      </w:pPr>
      <w:r w:rsidRPr="000676DA">
        <w:rPr>
          <w:i/>
        </w:rPr>
        <w:t xml:space="preserve">Convention on the Rights of Persons </w:t>
      </w:r>
      <w:r w:rsidRPr="00EA2977">
        <w:rPr>
          <w:i/>
        </w:rPr>
        <w:t>with Disabilities</w:t>
      </w:r>
      <w:r w:rsidRPr="00EA2977">
        <w:t xml:space="preserve"> (</w:t>
      </w:r>
      <w:r w:rsidRPr="00EA2977">
        <w:rPr>
          <w:b/>
        </w:rPr>
        <w:t>CRPD</w:t>
      </w:r>
      <w:r w:rsidRPr="00EA2977">
        <w:t>)</w:t>
      </w:r>
      <w:r w:rsidR="000676DA" w:rsidRPr="00EA2977">
        <w:t>.</w:t>
      </w:r>
      <w:r w:rsidR="00382791" w:rsidRPr="00EA2977">
        <w:rPr>
          <w:rStyle w:val="FootnoteReference"/>
        </w:rPr>
        <w:footnoteReference w:id="24"/>
      </w:r>
    </w:p>
    <w:p w14:paraId="0A7DDBC6" w14:textId="25B03DDB" w:rsidR="00E576DF" w:rsidRPr="00E576DF" w:rsidRDefault="00E07C2D" w:rsidP="00E576DF">
      <w:pPr>
        <w:spacing w:before="120"/>
        <w:rPr>
          <w:iCs/>
          <w:color w:val="000000" w:themeColor="text1"/>
        </w:rPr>
      </w:pPr>
      <w:r w:rsidRPr="00EA2977">
        <w:rPr>
          <w:iCs/>
          <w:color w:val="000000" w:themeColor="text1"/>
        </w:rPr>
        <w:t xml:space="preserve">Article 5(a) is </w:t>
      </w:r>
      <w:r w:rsidR="00AF4FFC">
        <w:rPr>
          <w:iCs/>
          <w:color w:val="000000" w:themeColor="text1"/>
        </w:rPr>
        <w:t xml:space="preserve">CEDAW’s </w:t>
      </w:r>
      <w:r w:rsidRPr="00EA2977">
        <w:rPr>
          <w:iCs/>
          <w:color w:val="000000" w:themeColor="text1"/>
        </w:rPr>
        <w:t>key stereotyping</w:t>
      </w:r>
      <w:r w:rsidR="00AF4FFC">
        <w:rPr>
          <w:iCs/>
          <w:color w:val="000000" w:themeColor="text1"/>
        </w:rPr>
        <w:t xml:space="preserve"> </w:t>
      </w:r>
      <w:r w:rsidR="00AF4FFC" w:rsidRPr="00EA2977">
        <w:rPr>
          <w:iCs/>
          <w:color w:val="000000" w:themeColor="text1"/>
        </w:rPr>
        <w:t>provision</w:t>
      </w:r>
      <w:r w:rsidRPr="00EA2977">
        <w:rPr>
          <w:iCs/>
          <w:color w:val="000000" w:themeColor="text1"/>
        </w:rPr>
        <w:t>.</w:t>
      </w:r>
      <w:r w:rsidR="001D56C2" w:rsidRPr="00EA2977">
        <w:rPr>
          <w:rStyle w:val="FootnoteReference"/>
          <w:iCs/>
        </w:rPr>
        <w:footnoteReference w:id="25"/>
      </w:r>
      <w:r w:rsidR="00574C4B" w:rsidRPr="00EA2977">
        <w:rPr>
          <w:iCs/>
          <w:color w:val="000000" w:themeColor="text1"/>
        </w:rPr>
        <w:t xml:space="preserve"> </w:t>
      </w:r>
      <w:r w:rsidR="0019787F">
        <w:rPr>
          <w:iCs/>
          <w:color w:val="000000" w:themeColor="text1"/>
        </w:rPr>
        <w:t xml:space="preserve"> I</w:t>
      </w:r>
      <w:r w:rsidR="00574C4B" w:rsidRPr="00EA2977">
        <w:rPr>
          <w:iCs/>
          <w:color w:val="000000" w:themeColor="text1"/>
        </w:rPr>
        <w:t xml:space="preserve">t sets out CEDAW’s </w:t>
      </w:r>
      <w:r w:rsidR="00131059">
        <w:rPr>
          <w:iCs/>
          <w:color w:val="000000" w:themeColor="text1"/>
        </w:rPr>
        <w:t xml:space="preserve">crosscutting obligation </w:t>
      </w:r>
      <w:r w:rsidR="00B70764" w:rsidRPr="00EA2977">
        <w:rPr>
          <w:iCs/>
          <w:color w:val="000000" w:themeColor="text1"/>
        </w:rPr>
        <w:t>to ‘modify and transform gender stereotypes and eliminate wrongful gender stereotyping’.</w:t>
      </w:r>
      <w:r w:rsidR="00B70764" w:rsidRPr="00EA2977">
        <w:rPr>
          <w:rStyle w:val="FootnoteReference"/>
          <w:iCs/>
        </w:rPr>
        <w:footnoteReference w:id="26"/>
      </w:r>
      <w:r w:rsidR="00B70764" w:rsidRPr="00EA2977">
        <w:rPr>
          <w:iCs/>
          <w:color w:val="000000" w:themeColor="text1"/>
        </w:rPr>
        <w:t xml:space="preserve">  </w:t>
      </w:r>
      <w:r w:rsidR="00BF35EC" w:rsidRPr="00EA2977">
        <w:rPr>
          <w:iCs/>
          <w:color w:val="000000" w:themeColor="text1"/>
        </w:rPr>
        <w:t>Article 5(a) requires States Parties to take ‘all appropriate measures’ to ‘modify the social and cultural patterns of conduct of men and women’ in an effort to eliminate practices ‘based on the idea of inferiority or the superiority of either of the sexes or on stereotyped</w:t>
      </w:r>
      <w:r w:rsidR="00BF35EC">
        <w:rPr>
          <w:iCs/>
          <w:color w:val="000000" w:themeColor="text1"/>
        </w:rPr>
        <w:t xml:space="preserve"> roles for men and women’.</w:t>
      </w:r>
      <w:r w:rsidR="00350159">
        <w:rPr>
          <w:iCs/>
          <w:color w:val="000000" w:themeColor="text1"/>
        </w:rPr>
        <w:t xml:space="preserve">  Article 2(f) reinforces article 5(a) by requiring States Parties to take ‘all appropriate measures’ to ‘modify or abolish … laws, regulations, customs and practices which constitute discriminate against women’.</w:t>
      </w:r>
      <w:r w:rsidR="00131059">
        <w:rPr>
          <w:iCs/>
          <w:color w:val="000000" w:themeColor="text1"/>
        </w:rPr>
        <w:t xml:space="preserve"> </w:t>
      </w:r>
    </w:p>
    <w:tbl>
      <w:tblPr>
        <w:tblStyle w:val="TableGrid"/>
        <w:tblW w:w="0" w:type="auto"/>
        <w:tblLook w:val="04A0" w:firstRow="1" w:lastRow="0" w:firstColumn="1" w:lastColumn="0" w:noHBand="0" w:noVBand="1"/>
      </w:tblPr>
      <w:tblGrid>
        <w:gridCol w:w="8516"/>
      </w:tblGrid>
      <w:tr w:rsidR="008B3CDE" w:rsidRPr="00AF3075" w14:paraId="084675E2" w14:textId="77777777" w:rsidTr="00634B08">
        <w:tc>
          <w:tcPr>
            <w:tcW w:w="8516" w:type="dxa"/>
            <w:tcBorders>
              <w:top w:val="nil"/>
              <w:left w:val="nil"/>
              <w:bottom w:val="nil"/>
              <w:right w:val="nil"/>
            </w:tcBorders>
            <w:shd w:val="clear" w:color="auto" w:fill="D3E5F6" w:themeFill="accent2" w:themeFillTint="33"/>
          </w:tcPr>
          <w:p w14:paraId="335AA889" w14:textId="62683637" w:rsidR="008B3CDE" w:rsidRDefault="008B3CDE" w:rsidP="00A66917">
            <w:pPr>
              <w:shd w:val="clear" w:color="auto" w:fill="D3E5F6" w:themeFill="accent2" w:themeFillTint="33"/>
              <w:jc w:val="center"/>
              <w:rPr>
                <w:rStyle w:val="SubtleEmphasis"/>
              </w:rPr>
            </w:pPr>
            <w:r w:rsidRPr="006A4260">
              <w:rPr>
                <w:rStyle w:val="SubtleEmphasis"/>
              </w:rPr>
              <w:t>C</w:t>
            </w:r>
            <w:r w:rsidR="006A4260" w:rsidRPr="006A4260">
              <w:rPr>
                <w:rStyle w:val="SubtleEmphasis"/>
              </w:rPr>
              <w:t>EDAW</w:t>
            </w:r>
            <w:r w:rsidR="006A4260">
              <w:rPr>
                <w:rStyle w:val="SubtleEmphasis"/>
              </w:rPr>
              <w:t xml:space="preserve"> requires States Parties to modify or transform harmful </w:t>
            </w:r>
            <w:r w:rsidR="0047221B">
              <w:rPr>
                <w:rStyle w:val="SubtleEmphasis"/>
              </w:rPr>
              <w:t xml:space="preserve">gender </w:t>
            </w:r>
            <w:r w:rsidR="006A4260">
              <w:rPr>
                <w:rStyle w:val="SubtleEmphasis"/>
              </w:rPr>
              <w:t xml:space="preserve">stereotypes and eliminate wrongful </w:t>
            </w:r>
            <w:r w:rsidR="0047221B">
              <w:rPr>
                <w:rStyle w:val="SubtleEmphasis"/>
              </w:rPr>
              <w:t xml:space="preserve">gender </w:t>
            </w:r>
            <w:r w:rsidR="006A4260">
              <w:rPr>
                <w:rStyle w:val="SubtleEmphasis"/>
              </w:rPr>
              <w:t>stereotyping</w:t>
            </w:r>
          </w:p>
          <w:p w14:paraId="78BEEE2A" w14:textId="31767CC8" w:rsidR="006A4260" w:rsidRPr="006A4260" w:rsidRDefault="006A4260" w:rsidP="00AF4FFC">
            <w:pPr>
              <w:shd w:val="clear" w:color="auto" w:fill="D3E5F6" w:themeFill="accent2" w:themeFillTint="33"/>
              <w:spacing w:after="120"/>
              <w:rPr>
                <w:rStyle w:val="SubtleEmphasis"/>
              </w:rPr>
            </w:pPr>
            <w:r>
              <w:rPr>
                <w:rStyle w:val="SubtleEmphasis"/>
              </w:rPr>
              <w:t>Article 2(f)</w:t>
            </w:r>
          </w:p>
          <w:p w14:paraId="330F0CC1" w14:textId="28CF3B6A" w:rsidR="008B3CDE" w:rsidRDefault="008B3CDE" w:rsidP="00AF4FFC">
            <w:pPr>
              <w:shd w:val="clear" w:color="auto" w:fill="D3E5F6" w:themeFill="accent2" w:themeFillTint="33"/>
              <w:spacing w:before="120" w:after="120"/>
              <w:rPr>
                <w:rFonts w:cs="Arial"/>
                <w:sz w:val="20"/>
                <w:szCs w:val="20"/>
              </w:rPr>
            </w:pPr>
            <w:r w:rsidRPr="008B3CDE">
              <w:rPr>
                <w:rFonts w:cs="Arial"/>
                <w:sz w:val="20"/>
                <w:szCs w:val="20"/>
              </w:rPr>
              <w:t>States Parties … undertake to take all appropriate measures, including legislation, to modify or abolish existing laws, regulations, customs and practices which constitute discrimination against women.</w:t>
            </w:r>
            <w:r w:rsidR="00BA5CB9">
              <w:rPr>
                <w:rFonts w:cs="Arial"/>
                <w:sz w:val="20"/>
                <w:szCs w:val="20"/>
              </w:rPr>
              <w:t xml:space="preserve"> </w:t>
            </w:r>
            <w:r w:rsidR="006A4260">
              <w:rPr>
                <w:rFonts w:cs="Arial"/>
                <w:sz w:val="20"/>
                <w:szCs w:val="20"/>
              </w:rPr>
              <w:t xml:space="preserve"> </w:t>
            </w:r>
          </w:p>
          <w:p w14:paraId="312711DF" w14:textId="6ACF1765" w:rsidR="006A4260" w:rsidRPr="008B3CDE" w:rsidRDefault="006A4260" w:rsidP="00CC182B">
            <w:pPr>
              <w:shd w:val="clear" w:color="auto" w:fill="D3E5F6" w:themeFill="accent2" w:themeFillTint="33"/>
              <w:spacing w:before="120" w:after="120"/>
              <w:rPr>
                <w:rFonts w:cs="Arial"/>
                <w:sz w:val="20"/>
                <w:szCs w:val="20"/>
              </w:rPr>
            </w:pPr>
            <w:r>
              <w:rPr>
                <w:rStyle w:val="SubtleEmphasis"/>
              </w:rPr>
              <w:t>Article 5(a)</w:t>
            </w:r>
          </w:p>
          <w:p w14:paraId="15A223DC" w14:textId="5ABD2DF1" w:rsidR="008B3CDE" w:rsidRPr="006A4260" w:rsidRDefault="008B3CDE" w:rsidP="001D56C2">
            <w:pPr>
              <w:shd w:val="clear" w:color="auto" w:fill="D3E5F6" w:themeFill="accent2" w:themeFillTint="33"/>
              <w:spacing w:before="120"/>
              <w:rPr>
                <w:iCs/>
                <w:sz w:val="20"/>
                <w:szCs w:val="20"/>
              </w:rPr>
            </w:pPr>
            <w:r w:rsidRPr="008B3CDE">
              <w:rPr>
                <w:iCs/>
                <w:sz w:val="20"/>
                <w:szCs w:val="20"/>
              </w:rPr>
              <w:t>States Parties shal</w:t>
            </w:r>
            <w:r w:rsidR="006A4260">
              <w:rPr>
                <w:iCs/>
                <w:sz w:val="20"/>
                <w:szCs w:val="20"/>
              </w:rPr>
              <w:t>l take all appropriate measures t</w:t>
            </w:r>
            <w:r w:rsidRPr="008B3CDE">
              <w:rPr>
                <w:iCs/>
                <w:sz w:val="20"/>
                <w:szCs w:val="20"/>
              </w:rPr>
              <w: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r w:rsidR="006A4260">
              <w:rPr>
                <w:iCs/>
                <w:sz w:val="20"/>
                <w:szCs w:val="20"/>
              </w:rPr>
              <w:t>.</w:t>
            </w:r>
          </w:p>
        </w:tc>
      </w:tr>
    </w:tbl>
    <w:p w14:paraId="00D5B9C2" w14:textId="2F009587" w:rsidR="00EB6E9F" w:rsidRDefault="00EB6E9F" w:rsidP="00CC182B">
      <w:pPr>
        <w:rPr>
          <w:iCs/>
          <w:color w:val="000000" w:themeColor="text1"/>
        </w:rPr>
      </w:pPr>
      <w:r>
        <w:rPr>
          <w:iCs/>
          <w:color w:val="000000" w:themeColor="text1"/>
        </w:rPr>
        <w:t>These obligations, like all contained in CEDAW, apply to all branches of government, including the judicial branch.</w:t>
      </w:r>
      <w:r w:rsidRPr="00EA2977">
        <w:rPr>
          <w:rStyle w:val="FootnoteReference"/>
          <w:iCs/>
        </w:rPr>
        <w:footnoteReference w:id="27"/>
      </w:r>
      <w:r>
        <w:rPr>
          <w:iCs/>
          <w:color w:val="000000" w:themeColor="text1"/>
        </w:rPr>
        <w:t xml:space="preserve">  Their effect is that judges must:</w:t>
      </w:r>
    </w:p>
    <w:p w14:paraId="54E69EAA" w14:textId="4475228D" w:rsidR="00EB6E9F" w:rsidRPr="00EB6E9F" w:rsidRDefault="00EB6E9F" w:rsidP="00EB6E9F">
      <w:pPr>
        <w:pStyle w:val="ListParagraph"/>
        <w:numPr>
          <w:ilvl w:val="0"/>
          <w:numId w:val="27"/>
        </w:numPr>
        <w:spacing w:before="120" w:after="120"/>
        <w:ind w:left="567"/>
        <w:rPr>
          <w:iCs/>
          <w:color w:val="000000" w:themeColor="text1"/>
        </w:rPr>
      </w:pPr>
      <w:r>
        <w:t>refrain from stereotyping (obligation to respect)</w:t>
      </w:r>
    </w:p>
    <w:p w14:paraId="0939A981" w14:textId="77777777" w:rsidR="00EB6E9F" w:rsidRPr="00EB6E9F" w:rsidRDefault="00EB6E9F" w:rsidP="00EB6E9F">
      <w:pPr>
        <w:pStyle w:val="ListParagraph"/>
        <w:numPr>
          <w:ilvl w:val="0"/>
          <w:numId w:val="27"/>
        </w:numPr>
        <w:spacing w:before="120" w:after="120"/>
        <w:ind w:left="567"/>
        <w:rPr>
          <w:iCs/>
          <w:color w:val="000000" w:themeColor="text1"/>
        </w:rPr>
      </w:pPr>
      <w:r>
        <w:t>ensure stereotyping does not infringe human rights (obligation to protect)</w:t>
      </w:r>
    </w:p>
    <w:p w14:paraId="3FDCE4E9" w14:textId="639584EB" w:rsidR="00EB6E9F" w:rsidRPr="00EB6E9F" w:rsidRDefault="00EB6E9F" w:rsidP="00EB6E9F">
      <w:pPr>
        <w:pStyle w:val="ListParagraph"/>
        <w:numPr>
          <w:ilvl w:val="0"/>
          <w:numId w:val="27"/>
        </w:numPr>
        <w:spacing w:before="120"/>
        <w:ind w:left="567"/>
        <w:rPr>
          <w:iCs/>
          <w:color w:val="000000" w:themeColor="text1"/>
        </w:rPr>
      </w:pPr>
      <w:proofErr w:type="gramStart"/>
      <w:r>
        <w:t>ensure</w:t>
      </w:r>
      <w:proofErr w:type="gramEnd"/>
      <w:r>
        <w:t xml:space="preserve"> women can exercise and enjoy the right to be free from wrongful gender stereotyping (obligation to fulfil).  </w:t>
      </w:r>
      <w:r w:rsidRPr="00EB6E9F">
        <w:t xml:space="preserve"> </w:t>
      </w:r>
    </w:p>
    <w:p w14:paraId="2FFCF638" w14:textId="7541C38A" w:rsidR="00BE475D" w:rsidRDefault="00BE475D" w:rsidP="00CC182B">
      <w:r>
        <w:t>The obligations of States Parties to address stereotyping are not limited to the above provisions of CEDAW.  Rather, the</w:t>
      </w:r>
      <w:r w:rsidR="003D3682">
        <w:t xml:space="preserve"> Committee on the Elimination of Discrimination against Women</w:t>
      </w:r>
      <w:r>
        <w:t xml:space="preserve"> </w:t>
      </w:r>
      <w:r w:rsidR="003D3682">
        <w:t>(</w:t>
      </w:r>
      <w:r w:rsidRPr="003D3682">
        <w:rPr>
          <w:b/>
        </w:rPr>
        <w:t>CEDA</w:t>
      </w:r>
      <w:r w:rsidR="003D3682">
        <w:rPr>
          <w:b/>
        </w:rPr>
        <w:t>W Committee</w:t>
      </w:r>
      <w:r w:rsidR="003D3682">
        <w:t>) has recognised that there are implied obligations in each of CEDAW’s substantive provisions</w:t>
      </w:r>
      <w:r w:rsidR="00494337">
        <w:t>, including article 15(1) on equality before the law (see section 2.2 below)</w:t>
      </w:r>
      <w:r w:rsidR="00EB6E9F">
        <w:t>, to address gender stereotyping</w:t>
      </w:r>
      <w:r w:rsidR="003D3682">
        <w:t>.  It has also recognised that the obligations extend further still, to rights and freedoms not explicitly covered by CEDAW</w:t>
      </w:r>
      <w:r w:rsidR="000A7931">
        <w:t>,</w:t>
      </w:r>
      <w:r w:rsidR="003D3682">
        <w:t xml:space="preserve"> but which are recognised under other treaties </w:t>
      </w:r>
      <w:r w:rsidR="004746C5">
        <w:t xml:space="preserve">(eg the right to a fair trial) </w:t>
      </w:r>
      <w:r w:rsidR="003D3682">
        <w:t>or customary international law and have an impact on the elimination of discrimination against women.</w:t>
      </w:r>
      <w:r w:rsidR="003D3682" w:rsidRPr="00027711">
        <w:rPr>
          <w:rStyle w:val="FootnoteReference"/>
        </w:rPr>
        <w:footnoteReference w:id="28"/>
      </w:r>
      <w:r w:rsidR="003D3682">
        <w:t xml:space="preserve"> </w:t>
      </w:r>
    </w:p>
    <w:p w14:paraId="1D842731" w14:textId="3537DEEC" w:rsidR="007C375C" w:rsidRPr="007D1234" w:rsidRDefault="007C375C" w:rsidP="007C375C">
      <w:r w:rsidRPr="00CA035C">
        <w:t xml:space="preserve">Gender-based violence is one area where the </w:t>
      </w:r>
      <w:r>
        <w:t xml:space="preserve">CEDAW </w:t>
      </w:r>
      <w:r w:rsidRPr="00CA035C">
        <w:t xml:space="preserve">Committee has taken significant strides toward elaborating the content and </w:t>
      </w:r>
      <w:r w:rsidRPr="00CB47EA">
        <w:t>scope of States Parties’ obligations to address stereotyping</w:t>
      </w:r>
      <w:r w:rsidR="007D1234" w:rsidRPr="00CB47EA">
        <w:t>, including judicial stereotyping</w:t>
      </w:r>
      <w:r w:rsidRPr="00CB47EA">
        <w:t>.</w:t>
      </w:r>
      <w:r w:rsidRPr="00CB47EA">
        <w:rPr>
          <w:vertAlign w:val="superscript"/>
        </w:rPr>
        <w:footnoteReference w:id="29"/>
      </w:r>
      <w:r w:rsidR="007743C8" w:rsidRPr="00CB47EA">
        <w:t xml:space="preserve">  </w:t>
      </w:r>
      <w:r w:rsidR="001910EB">
        <w:t xml:space="preserve">Its </w:t>
      </w:r>
      <w:r w:rsidR="007743C8" w:rsidRPr="00CB47EA">
        <w:t xml:space="preserve">views in </w:t>
      </w:r>
      <w:r w:rsidR="007743C8" w:rsidRPr="00CB47EA">
        <w:rPr>
          <w:i/>
        </w:rPr>
        <w:t xml:space="preserve">V.K. v. Bulgaria </w:t>
      </w:r>
      <w:r w:rsidR="00247A04" w:rsidRPr="00CB47EA">
        <w:t xml:space="preserve">provide </w:t>
      </w:r>
      <w:r w:rsidR="007743C8" w:rsidRPr="00CB47EA">
        <w:t>an example of the strides taken</w:t>
      </w:r>
      <w:r w:rsidR="001910EB">
        <w:t xml:space="preserve"> in this area</w:t>
      </w:r>
      <w:r w:rsidR="007743C8" w:rsidRPr="00CB47EA">
        <w:t>.</w:t>
      </w:r>
      <w:r w:rsidR="007743C8" w:rsidRPr="00A66917">
        <w:rPr>
          <w:rStyle w:val="FootnoteReference"/>
        </w:rPr>
        <w:footnoteReference w:id="30"/>
      </w:r>
    </w:p>
    <w:tbl>
      <w:tblPr>
        <w:tblStyle w:val="TableGrid"/>
        <w:tblW w:w="0" w:type="auto"/>
        <w:tblLook w:val="04A0" w:firstRow="1" w:lastRow="0" w:firstColumn="1" w:lastColumn="0" w:noHBand="0" w:noVBand="1"/>
      </w:tblPr>
      <w:tblGrid>
        <w:gridCol w:w="8516"/>
      </w:tblGrid>
      <w:tr w:rsidR="007C375C" w:rsidRPr="00AF3075" w14:paraId="30E6E1AD" w14:textId="77777777" w:rsidTr="00D04354">
        <w:tc>
          <w:tcPr>
            <w:tcW w:w="8516" w:type="dxa"/>
            <w:tcBorders>
              <w:top w:val="nil"/>
              <w:left w:val="nil"/>
              <w:bottom w:val="nil"/>
              <w:right w:val="nil"/>
            </w:tcBorders>
            <w:shd w:val="clear" w:color="auto" w:fill="D3E5F6" w:themeFill="accent2" w:themeFillTint="33"/>
          </w:tcPr>
          <w:p w14:paraId="5EE877D9" w14:textId="77777777" w:rsidR="007C375C" w:rsidRPr="00AF3075" w:rsidRDefault="007C375C" w:rsidP="00D04354">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 xml:space="preserve">V.K. denied a permanent protection order against domestic violence because </w:t>
            </w:r>
            <w:r w:rsidRPr="00AF3075">
              <w:rPr>
                <w:b/>
                <w:bCs/>
                <w:iCs/>
                <w:color w:val="5B63B7" w:themeColor="text2" w:themeTint="99"/>
                <w:sz w:val="22"/>
              </w:rPr>
              <w:br/>
              <w:t>of judicial stereotyping in Bulgarian courts</w:t>
            </w:r>
          </w:p>
          <w:p w14:paraId="55582095" w14:textId="2FE3A9C6" w:rsidR="007C375C" w:rsidRPr="00AF3075" w:rsidRDefault="007C375C" w:rsidP="004746C5">
            <w:pPr>
              <w:spacing w:before="120" w:after="120"/>
              <w:rPr>
                <w:sz w:val="22"/>
              </w:rPr>
            </w:pPr>
            <w:r w:rsidRPr="00AF3075">
              <w:rPr>
                <w:iCs/>
                <w:sz w:val="22"/>
              </w:rPr>
              <w:t xml:space="preserve">In </w:t>
            </w:r>
            <w:r w:rsidRPr="00AF3075">
              <w:rPr>
                <w:i/>
                <w:iCs/>
                <w:sz w:val="22"/>
              </w:rPr>
              <w:t>V.K. v. Bulgaria</w:t>
            </w:r>
            <w:r w:rsidRPr="00AF3075">
              <w:rPr>
                <w:iCs/>
                <w:sz w:val="22"/>
              </w:rPr>
              <w:t xml:space="preserve">, the </w:t>
            </w:r>
            <w:r w:rsidRPr="00AF3075">
              <w:rPr>
                <w:sz w:val="22"/>
              </w:rPr>
              <w:t>CEDAW Committee determined that the refusal of the Plovdiv District and Regional Courts to issue V.K. a permanent protection order against her violent partner was based on ‘stereotyped, preconceived and thus discriminatory notions of wha</w:t>
            </w:r>
            <w:r>
              <w:rPr>
                <w:sz w:val="22"/>
              </w:rPr>
              <w:t>t constitutes domestic violence</w:t>
            </w:r>
            <w:r w:rsidRPr="00AF3075">
              <w:rPr>
                <w:sz w:val="22"/>
              </w:rPr>
              <w:t>’</w:t>
            </w:r>
            <w:r>
              <w:rPr>
                <w:sz w:val="22"/>
              </w:rPr>
              <w:t>.</w:t>
            </w:r>
            <w:r w:rsidR="007D1234">
              <w:rPr>
                <w:sz w:val="22"/>
              </w:rPr>
              <w:t xml:space="preserve"> </w:t>
            </w:r>
            <w:r w:rsidR="007743C8">
              <w:rPr>
                <w:sz w:val="22"/>
              </w:rPr>
              <w:t xml:space="preserve"> </w:t>
            </w:r>
            <w:r w:rsidRPr="00AF3075">
              <w:rPr>
                <w:sz w:val="22"/>
              </w:rPr>
              <w:t xml:space="preserve">In holding the State Party accountable, </w:t>
            </w:r>
            <w:r w:rsidR="004746C5">
              <w:rPr>
                <w:sz w:val="22"/>
              </w:rPr>
              <w:t xml:space="preserve">it </w:t>
            </w:r>
            <w:r w:rsidRPr="00AF3075">
              <w:rPr>
                <w:sz w:val="22"/>
              </w:rPr>
              <w:t xml:space="preserve">affirmed that States Parties </w:t>
            </w:r>
            <w:r w:rsidR="004746C5">
              <w:rPr>
                <w:sz w:val="22"/>
              </w:rPr>
              <w:t>are</w:t>
            </w:r>
            <w:r w:rsidRPr="00AF3075">
              <w:rPr>
                <w:sz w:val="22"/>
              </w:rPr>
              <w:t xml:space="preserve"> accountable for judicial stereotyping that violates CEDAW.  In doing so, it stressed that ‘stereotyping affects women’s right to a fair trial and that the judiciary must be careful not to create inflexible standards based on preconceived notions of what constitutes do</w:t>
            </w:r>
            <w:r>
              <w:rPr>
                <w:sz w:val="22"/>
              </w:rPr>
              <w:t>mestic or gender-based violence</w:t>
            </w:r>
            <w:r w:rsidRPr="00AF3075">
              <w:rPr>
                <w:sz w:val="22"/>
              </w:rPr>
              <w:t>’</w:t>
            </w:r>
            <w:r>
              <w:rPr>
                <w:sz w:val="22"/>
              </w:rPr>
              <w:t>.</w:t>
            </w:r>
            <w:r w:rsidRPr="00AF3075">
              <w:rPr>
                <w:sz w:val="22"/>
              </w:rPr>
              <w:t xml:space="preserve">  In its recommendations, the Committee urged the State Party to provide mandatory training for judges on the </w:t>
            </w:r>
            <w:r w:rsidRPr="00AF3075">
              <w:rPr>
                <w:i/>
                <w:sz w:val="22"/>
              </w:rPr>
              <w:t>Law on Protection against Domestic Violence</w:t>
            </w:r>
            <w:r w:rsidRPr="00AF3075">
              <w:rPr>
                <w:sz w:val="22"/>
              </w:rPr>
              <w:t>, including ‘the definition of domestic viol</w:t>
            </w:r>
            <w:r>
              <w:rPr>
                <w:sz w:val="22"/>
              </w:rPr>
              <w:t>ence and on gender stereotypes…</w:t>
            </w:r>
            <w:proofErr w:type="gramStart"/>
            <w:r w:rsidRPr="00AF3075">
              <w:rPr>
                <w:sz w:val="22"/>
              </w:rPr>
              <w:t>’</w:t>
            </w:r>
            <w:r>
              <w:rPr>
                <w:sz w:val="22"/>
              </w:rPr>
              <w:t>.</w:t>
            </w:r>
            <w:proofErr w:type="gramEnd"/>
            <w:r w:rsidRPr="00AF3075">
              <w:rPr>
                <w:sz w:val="22"/>
              </w:rPr>
              <w:t xml:space="preserve"> </w:t>
            </w:r>
          </w:p>
        </w:tc>
      </w:tr>
    </w:tbl>
    <w:p w14:paraId="655D8830" w14:textId="4BF4EE4A" w:rsidR="0027124A" w:rsidRDefault="00CC182B" w:rsidP="00CC182B">
      <w:r w:rsidRPr="00027711">
        <w:t xml:space="preserve">Article 8(1)(b) is the </w:t>
      </w:r>
      <w:r w:rsidR="00421311">
        <w:t>CRPD’s key</w:t>
      </w:r>
      <w:r w:rsidRPr="00027711">
        <w:t xml:space="preserve"> provision </w:t>
      </w:r>
      <w:r w:rsidR="00421311">
        <w:t xml:space="preserve">on </w:t>
      </w:r>
      <w:r w:rsidRPr="00027711">
        <w:t xml:space="preserve">stereotyping. </w:t>
      </w:r>
      <w:r w:rsidR="00DE2D22">
        <w:t xml:space="preserve"> </w:t>
      </w:r>
      <w:r w:rsidR="0027124A" w:rsidRPr="0027124A">
        <w:t>It is the first</w:t>
      </w:r>
      <w:r w:rsidR="0027124A">
        <w:t xml:space="preserve"> provision in an</w:t>
      </w:r>
      <w:r w:rsidR="0027124A" w:rsidRPr="0027124A">
        <w:t xml:space="preserve"> international human rights treaty to impose an express obligation to address compounded stereotypes.  This is significant for women and girls with a disability whose experiences of violence </w:t>
      </w:r>
      <w:r w:rsidR="0027124A">
        <w:t xml:space="preserve">and discrimination </w:t>
      </w:r>
      <w:r w:rsidR="0027124A" w:rsidRPr="0027124A">
        <w:t>may differ from the experiences of men and other women due to the application or enforcement of compounded stereotypes.</w:t>
      </w:r>
      <w:r w:rsidR="0027124A" w:rsidRPr="00027711">
        <w:rPr>
          <w:rStyle w:val="FootnoteReference"/>
        </w:rPr>
        <w:footnoteReference w:id="31"/>
      </w:r>
      <w:r w:rsidR="0027124A" w:rsidRPr="0027124A">
        <w:t xml:space="preserve">  </w:t>
      </w:r>
    </w:p>
    <w:p w14:paraId="52F7E729" w14:textId="0B5CC36A" w:rsidR="00CC182B" w:rsidRDefault="004746C5" w:rsidP="00CC182B">
      <w:r>
        <w:t xml:space="preserve">Article 8(1)(b) </w:t>
      </w:r>
      <w:r w:rsidR="00CC182B" w:rsidRPr="00027711">
        <w:t xml:space="preserve">requires </w:t>
      </w:r>
      <w:r w:rsidR="00C87BC2" w:rsidRPr="00C87BC2">
        <w:rPr>
          <w:lang w:val="en-US"/>
        </w:rPr>
        <w:t xml:space="preserve">all branches of </w:t>
      </w:r>
      <w:r w:rsidR="00C87BC2">
        <w:rPr>
          <w:lang w:val="en-US"/>
        </w:rPr>
        <w:t>g</w:t>
      </w:r>
      <w:r w:rsidR="00C87BC2" w:rsidRPr="00C87BC2">
        <w:rPr>
          <w:lang w:val="en-US"/>
        </w:rPr>
        <w:t>overnment</w:t>
      </w:r>
      <w:r w:rsidR="00C87BC2">
        <w:rPr>
          <w:lang w:val="en-US"/>
        </w:rPr>
        <w:t>, including the judicial branch,</w:t>
      </w:r>
      <w:r w:rsidR="00103128" w:rsidRPr="00027711">
        <w:t xml:space="preserve"> </w:t>
      </w:r>
      <w:r w:rsidR="00CC182B" w:rsidRPr="00027711">
        <w:t>to adopt immediate, effective and appropriate measures to combat stereotypes of people with disabilities.</w:t>
      </w:r>
      <w:r w:rsidR="00631315">
        <w:t xml:space="preserve"> </w:t>
      </w:r>
      <w:r w:rsidR="00914BD2">
        <w:t xml:space="preserve"> </w:t>
      </w:r>
      <w:r w:rsidR="00631315">
        <w:t xml:space="preserve">Such measures include </w:t>
      </w:r>
      <w:r w:rsidR="00631315" w:rsidRPr="00027711">
        <w:t>education and training initiatives</w:t>
      </w:r>
      <w:r w:rsidR="00914BD2">
        <w:t>,</w:t>
      </w:r>
      <w:r w:rsidR="00631315" w:rsidRPr="00027711">
        <w:t xml:space="preserve"> </w:t>
      </w:r>
      <w:r w:rsidR="00914BD2">
        <w:t>and</w:t>
      </w:r>
      <w:r w:rsidR="00C87BC2">
        <w:t xml:space="preserve"> </w:t>
      </w:r>
      <w:r w:rsidR="00631315" w:rsidRPr="00027711">
        <w:t>policies and programmes</w:t>
      </w:r>
      <w:r w:rsidR="00914BD2">
        <w:t>,</w:t>
      </w:r>
      <w:r w:rsidR="00631315" w:rsidRPr="00027711">
        <w:t xml:space="preserve"> to combat stereotypes.</w:t>
      </w:r>
      <w:r w:rsidR="00C87BC2" w:rsidRPr="00027711">
        <w:rPr>
          <w:rStyle w:val="FootnoteReference"/>
        </w:rPr>
        <w:footnoteReference w:id="32"/>
      </w:r>
      <w:r w:rsidR="00466D7A">
        <w:t xml:space="preserve"> </w:t>
      </w:r>
      <w:r w:rsidR="00DE2D22">
        <w:t xml:space="preserve"> </w:t>
      </w:r>
      <w:r w:rsidR="00CC182B" w:rsidRPr="00027711">
        <w:t>Article 4(1)(b) strengthens article 8(1)(b) by requiring States Parties to take all appropriate measures to modify or abolish existing laws, regulations, customs and practices that discriminat</w:t>
      </w:r>
      <w:r w:rsidR="00421311">
        <w:t>e</w:t>
      </w:r>
      <w:r w:rsidR="00CC182B" w:rsidRPr="00027711">
        <w:t xml:space="preserve"> against </w:t>
      </w:r>
      <w:r w:rsidR="00421311">
        <w:t xml:space="preserve">people </w:t>
      </w:r>
      <w:r w:rsidR="00CC182B" w:rsidRPr="00027711">
        <w:t>with disabilities.</w:t>
      </w:r>
      <w:r w:rsidR="00A33B00" w:rsidRPr="00AF3075">
        <w:rPr>
          <w:rStyle w:val="FootnoteReference"/>
          <w:rFonts w:cs="Arial"/>
        </w:rPr>
        <w:footnoteReference w:id="33"/>
      </w:r>
      <w:r w:rsidR="00CC7802">
        <w:t xml:space="preserve">  This includes laws, regulations, customs and practices that discriminate against people with disabilities on the basis of stereotypes. </w:t>
      </w:r>
      <w:r w:rsidR="00CC182B" w:rsidRPr="00027711">
        <w:t xml:space="preserve">  </w:t>
      </w:r>
      <w:r w:rsidR="00A33B00">
        <w:t xml:space="preserve"> </w:t>
      </w:r>
    </w:p>
    <w:tbl>
      <w:tblPr>
        <w:tblStyle w:val="TableGrid"/>
        <w:tblW w:w="0" w:type="auto"/>
        <w:tblLook w:val="04A0" w:firstRow="1" w:lastRow="0" w:firstColumn="1" w:lastColumn="0" w:noHBand="0" w:noVBand="1"/>
      </w:tblPr>
      <w:tblGrid>
        <w:gridCol w:w="8516"/>
      </w:tblGrid>
      <w:tr w:rsidR="00634B08" w:rsidRPr="00AF3075" w14:paraId="7E338FA3" w14:textId="77777777" w:rsidTr="00634B08">
        <w:tc>
          <w:tcPr>
            <w:tcW w:w="8516" w:type="dxa"/>
            <w:tcBorders>
              <w:top w:val="nil"/>
              <w:left w:val="nil"/>
              <w:bottom w:val="nil"/>
              <w:right w:val="nil"/>
            </w:tcBorders>
            <w:shd w:val="clear" w:color="auto" w:fill="D3E5F6" w:themeFill="accent2" w:themeFillTint="33"/>
          </w:tcPr>
          <w:p w14:paraId="70302879" w14:textId="287E85BB" w:rsidR="00634B08" w:rsidRDefault="0047221B" w:rsidP="00D17C39">
            <w:pPr>
              <w:shd w:val="clear" w:color="auto" w:fill="D3E5F6" w:themeFill="accent2" w:themeFillTint="33"/>
              <w:jc w:val="center"/>
              <w:rPr>
                <w:rStyle w:val="SubtleEmphasis"/>
              </w:rPr>
            </w:pPr>
            <w:r w:rsidRPr="0047221B">
              <w:rPr>
                <w:rStyle w:val="SubtleEmphasis"/>
              </w:rPr>
              <w:t>The CRPD</w:t>
            </w:r>
            <w:r>
              <w:rPr>
                <w:rStyle w:val="SubtleEmphasis"/>
              </w:rPr>
              <w:t xml:space="preserve"> requires States Parties to combat stereotypes of people with disabilities</w:t>
            </w:r>
          </w:p>
          <w:p w14:paraId="3A52055E" w14:textId="361D775D" w:rsidR="0047221B" w:rsidRPr="0047221B" w:rsidRDefault="0047221B" w:rsidP="00D17C39">
            <w:pPr>
              <w:shd w:val="clear" w:color="auto" w:fill="D3E5F6" w:themeFill="accent2" w:themeFillTint="33"/>
              <w:spacing w:before="120" w:after="120"/>
              <w:rPr>
                <w:rStyle w:val="SubtleEmphasis"/>
              </w:rPr>
            </w:pPr>
            <w:r>
              <w:rPr>
                <w:rStyle w:val="SubtleEmphasis"/>
              </w:rPr>
              <w:t>Article 4(1)(b)</w:t>
            </w:r>
          </w:p>
          <w:p w14:paraId="7BBF575C" w14:textId="3F92EF25" w:rsidR="00634B08" w:rsidRDefault="00634B08" w:rsidP="00D17C39">
            <w:pPr>
              <w:shd w:val="clear" w:color="auto" w:fill="D3E5F6" w:themeFill="accent2" w:themeFillTint="33"/>
              <w:spacing w:before="120" w:after="120"/>
              <w:rPr>
                <w:iCs/>
                <w:sz w:val="20"/>
                <w:szCs w:val="20"/>
              </w:rPr>
            </w:pPr>
            <w:r w:rsidRPr="00634B08">
              <w:rPr>
                <w:iCs/>
                <w:sz w:val="20"/>
                <w:szCs w:val="20"/>
              </w:rPr>
              <w:t>States Parties undertake to ensure and promote the full realization of all human rights and fundamental freedoms for all persons with disabilities without discrimination of any kind on the basis of disability.  To this end, States Parties undertake to take all appropriate measures, including legislation, to modify or abolish existing laws, regulations, customs and practices that constitute discrimination against persons with disabilities.</w:t>
            </w:r>
            <w:r>
              <w:rPr>
                <w:iCs/>
                <w:sz w:val="20"/>
                <w:szCs w:val="20"/>
              </w:rPr>
              <w:t xml:space="preserve"> </w:t>
            </w:r>
          </w:p>
          <w:p w14:paraId="6C71BD5B" w14:textId="4E29817B" w:rsidR="0047221B" w:rsidRPr="0047221B" w:rsidRDefault="0047221B" w:rsidP="00D17C39">
            <w:pPr>
              <w:shd w:val="clear" w:color="auto" w:fill="D3E5F6" w:themeFill="accent2" w:themeFillTint="33"/>
              <w:spacing w:before="120" w:after="120"/>
              <w:rPr>
                <w:b/>
                <w:iCs/>
                <w:color w:val="5B63B7" w:themeColor="text2" w:themeTint="99"/>
                <w:sz w:val="22"/>
              </w:rPr>
            </w:pPr>
            <w:r>
              <w:rPr>
                <w:rStyle w:val="SubtleEmphasis"/>
              </w:rPr>
              <w:t>Article 8(1)(b)</w:t>
            </w:r>
          </w:p>
          <w:p w14:paraId="3D5B9A19" w14:textId="158368D3" w:rsidR="00634B08" w:rsidRPr="0047221B" w:rsidRDefault="00634B08" w:rsidP="00D17C39">
            <w:pPr>
              <w:shd w:val="clear" w:color="auto" w:fill="D3E5F6" w:themeFill="accent2" w:themeFillTint="33"/>
              <w:spacing w:before="120"/>
              <w:rPr>
                <w:iCs/>
                <w:sz w:val="20"/>
                <w:szCs w:val="20"/>
              </w:rPr>
            </w:pPr>
            <w:r w:rsidRPr="00634B08">
              <w:rPr>
                <w:iCs/>
                <w:sz w:val="20"/>
                <w:szCs w:val="20"/>
              </w:rPr>
              <w:t>States Parties undertake to adopt immediate, effective and appropriate measures to combat stereotypes, prejudices and harmful practices relating to persons with disabilities, including those based on sex and age, in all areas of life.</w:t>
            </w:r>
            <w:r>
              <w:rPr>
                <w:iCs/>
                <w:sz w:val="20"/>
                <w:szCs w:val="20"/>
              </w:rPr>
              <w:t xml:space="preserve"> </w:t>
            </w:r>
            <w:r w:rsidR="0047221B">
              <w:rPr>
                <w:iCs/>
                <w:sz w:val="20"/>
                <w:szCs w:val="20"/>
              </w:rPr>
              <w:t xml:space="preserve"> </w:t>
            </w:r>
          </w:p>
        </w:tc>
      </w:tr>
    </w:tbl>
    <w:p w14:paraId="4746654F" w14:textId="00C172FB" w:rsidR="0027124A" w:rsidRDefault="0027124A" w:rsidP="002936A3">
      <w:pPr>
        <w:spacing w:before="120"/>
        <w:rPr>
          <w:iCs/>
          <w:color w:val="000000" w:themeColor="text1"/>
        </w:rPr>
      </w:pPr>
      <w:r>
        <w:rPr>
          <w:iCs/>
          <w:color w:val="000000" w:themeColor="text1"/>
        </w:rPr>
        <w:t>Like with CEDAW, these provisions have the effect of requiring judges to</w:t>
      </w:r>
      <w:r w:rsidR="00914BD2">
        <w:rPr>
          <w:iCs/>
          <w:color w:val="000000" w:themeColor="text1"/>
        </w:rPr>
        <w:t>:</w:t>
      </w:r>
      <w:r>
        <w:rPr>
          <w:iCs/>
          <w:color w:val="000000" w:themeColor="text1"/>
        </w:rPr>
        <w:t xml:space="preserve"> refrain from stereotyping (obligation to respect</w:t>
      </w:r>
      <w:r w:rsidR="00914BD2">
        <w:rPr>
          <w:iCs/>
          <w:color w:val="000000" w:themeColor="text1"/>
        </w:rPr>
        <w:t xml:space="preserve">); </w:t>
      </w:r>
      <w:r>
        <w:rPr>
          <w:iCs/>
          <w:color w:val="000000" w:themeColor="text1"/>
        </w:rPr>
        <w:t>ensure stereotyping does not infringe the human rights of people with disabilities (obligation to protect)</w:t>
      </w:r>
      <w:r w:rsidR="00E23875">
        <w:rPr>
          <w:iCs/>
          <w:color w:val="000000" w:themeColor="text1"/>
        </w:rPr>
        <w:t>;</w:t>
      </w:r>
      <w:r>
        <w:rPr>
          <w:iCs/>
          <w:color w:val="000000" w:themeColor="text1"/>
        </w:rPr>
        <w:t xml:space="preserve"> and</w:t>
      </w:r>
      <w:r w:rsidR="00E23875">
        <w:rPr>
          <w:iCs/>
          <w:color w:val="000000" w:themeColor="text1"/>
        </w:rPr>
        <w:t>,</w:t>
      </w:r>
      <w:r>
        <w:rPr>
          <w:iCs/>
          <w:color w:val="000000" w:themeColor="text1"/>
        </w:rPr>
        <w:t xml:space="preserve"> ensure people with disabilities can exercise and enjoy their rights in practice </w:t>
      </w:r>
      <w:r w:rsidR="00E23875">
        <w:rPr>
          <w:iCs/>
          <w:color w:val="000000" w:themeColor="text1"/>
        </w:rPr>
        <w:t xml:space="preserve">free of harmful stereotypes </w:t>
      </w:r>
      <w:r>
        <w:rPr>
          <w:iCs/>
          <w:color w:val="000000" w:themeColor="text1"/>
        </w:rPr>
        <w:t xml:space="preserve">(obligation to fulfil). </w:t>
      </w:r>
    </w:p>
    <w:p w14:paraId="6DA59CBC" w14:textId="4D79BEEB" w:rsidR="002936A3" w:rsidRDefault="002936A3" w:rsidP="002936A3">
      <w:pPr>
        <w:spacing w:before="120"/>
        <w:rPr>
          <w:iCs/>
          <w:color w:val="000000" w:themeColor="text1"/>
        </w:rPr>
      </w:pPr>
      <w:r>
        <w:rPr>
          <w:iCs/>
          <w:color w:val="000000" w:themeColor="text1"/>
        </w:rPr>
        <w:t xml:space="preserve">A third treaty, the </w:t>
      </w:r>
      <w:r>
        <w:rPr>
          <w:i/>
          <w:iCs/>
          <w:color w:val="000000" w:themeColor="text1"/>
        </w:rPr>
        <w:t>International Convention on the Elimination of All Forms of Racial Discrimination</w:t>
      </w:r>
      <w:r>
        <w:rPr>
          <w:iCs/>
          <w:color w:val="000000" w:themeColor="text1"/>
        </w:rPr>
        <w:t>, contains an obligation to address the related and sometimes overlapping concept of prejudice.</w:t>
      </w:r>
      <w:r w:rsidRPr="00EA2977">
        <w:rPr>
          <w:rStyle w:val="FootnoteReference"/>
        </w:rPr>
        <w:footnoteReference w:id="34"/>
      </w:r>
      <w:r>
        <w:rPr>
          <w:iCs/>
          <w:color w:val="000000" w:themeColor="text1"/>
        </w:rPr>
        <w:t xml:space="preserve">  Whilst the treaty does not address stereotyping explicitly, the Committee </w:t>
      </w:r>
      <w:r w:rsidR="00EB6E9F">
        <w:rPr>
          <w:iCs/>
          <w:color w:val="000000" w:themeColor="text1"/>
        </w:rPr>
        <w:t xml:space="preserve">on the Elimination of </w:t>
      </w:r>
      <w:r w:rsidR="00F00CAA">
        <w:rPr>
          <w:iCs/>
          <w:color w:val="000000" w:themeColor="text1"/>
        </w:rPr>
        <w:t xml:space="preserve">Racial </w:t>
      </w:r>
      <w:r w:rsidR="00EB6E9F">
        <w:rPr>
          <w:iCs/>
          <w:color w:val="000000" w:themeColor="text1"/>
        </w:rPr>
        <w:t xml:space="preserve">Discrimination </w:t>
      </w:r>
      <w:r>
        <w:rPr>
          <w:iCs/>
          <w:color w:val="000000" w:themeColor="text1"/>
        </w:rPr>
        <w:t>has addressed racial stereotyping through its jurisprudence.</w:t>
      </w:r>
      <w:r w:rsidRPr="00EA2977">
        <w:rPr>
          <w:rStyle w:val="FootnoteReference"/>
        </w:rPr>
        <w:footnoteReference w:id="35"/>
      </w:r>
    </w:p>
    <w:p w14:paraId="2CC4894E" w14:textId="6D2E41FC" w:rsidR="007D1234" w:rsidRPr="006E5402" w:rsidRDefault="00E51313" w:rsidP="006E5402">
      <w:pPr>
        <w:spacing w:before="120"/>
        <w:rPr>
          <w:iCs/>
          <w:color w:val="000000" w:themeColor="text1"/>
        </w:rPr>
      </w:pPr>
      <w:r>
        <w:rPr>
          <w:iCs/>
          <w:color w:val="000000" w:themeColor="text1"/>
        </w:rPr>
        <w:t xml:space="preserve">Although the remaining international human rights treaties do not contain express provisions on stereotyping, many international human rights treaty bodies have implied such obligations through their interpretation of the rights to non-discrimination and equality </w:t>
      </w:r>
      <w:r w:rsidR="00315253">
        <w:rPr>
          <w:iCs/>
          <w:color w:val="000000" w:themeColor="text1"/>
        </w:rPr>
        <w:t xml:space="preserve">as well as </w:t>
      </w:r>
      <w:r>
        <w:rPr>
          <w:iCs/>
          <w:color w:val="000000" w:themeColor="text1"/>
        </w:rPr>
        <w:t xml:space="preserve">other </w:t>
      </w:r>
      <w:r w:rsidR="00315253">
        <w:rPr>
          <w:iCs/>
          <w:color w:val="000000" w:themeColor="text1"/>
        </w:rPr>
        <w:t xml:space="preserve">human </w:t>
      </w:r>
      <w:r>
        <w:rPr>
          <w:iCs/>
          <w:color w:val="000000" w:themeColor="text1"/>
        </w:rPr>
        <w:t>rights (see section 2.2. below)</w:t>
      </w:r>
      <w:r w:rsidR="006E5402">
        <w:rPr>
          <w:iCs/>
          <w:color w:val="000000" w:themeColor="text1"/>
        </w:rPr>
        <w:t xml:space="preserve">.  Moreover, while </w:t>
      </w:r>
      <w:r w:rsidR="007D1234">
        <w:t>this paper focuses on the UN human rights system, it is</w:t>
      </w:r>
      <w:r w:rsidR="006E5402">
        <w:t xml:space="preserve"> </w:t>
      </w:r>
      <w:r w:rsidR="007D1234">
        <w:t>important to acknowledge that several regional human rights treaties also require States Parties to address stereotyping</w:t>
      </w:r>
      <w:r w:rsidR="007D5ECF">
        <w:t>, including stereotyping by judges</w:t>
      </w:r>
      <w:r w:rsidR="007D1234">
        <w:t>.</w:t>
      </w:r>
      <w:r w:rsidR="00CD7BC3">
        <w:t xml:space="preserve">  Relevantly, for this paper, many of those provisions deal explicitly with gender-based violence against women. </w:t>
      </w:r>
      <w:r w:rsidR="007D1234">
        <w:t xml:space="preserve"> </w:t>
      </w:r>
    </w:p>
    <w:tbl>
      <w:tblPr>
        <w:tblStyle w:val="TableGrid"/>
        <w:tblW w:w="0" w:type="auto"/>
        <w:tblLook w:val="04A0" w:firstRow="1" w:lastRow="0" w:firstColumn="1" w:lastColumn="0" w:noHBand="0" w:noVBand="1"/>
      </w:tblPr>
      <w:tblGrid>
        <w:gridCol w:w="8516"/>
      </w:tblGrid>
      <w:tr w:rsidR="001B49D0" w:rsidRPr="004F643F" w14:paraId="0AF2B882" w14:textId="77777777" w:rsidTr="00C90A3E">
        <w:tc>
          <w:tcPr>
            <w:tcW w:w="8516" w:type="dxa"/>
            <w:tcBorders>
              <w:top w:val="nil"/>
              <w:left w:val="nil"/>
              <w:bottom w:val="nil"/>
              <w:right w:val="nil"/>
            </w:tcBorders>
            <w:shd w:val="clear" w:color="auto" w:fill="D3E5F6"/>
          </w:tcPr>
          <w:p w14:paraId="68150809" w14:textId="77777777" w:rsidR="001B49D0" w:rsidRPr="004F643F" w:rsidRDefault="001B49D0" w:rsidP="00A622C8">
            <w:pPr>
              <w:keepNext/>
              <w:shd w:val="clear" w:color="auto" w:fill="D3E5F6"/>
              <w:jc w:val="center"/>
              <w:rPr>
                <w:rFonts w:eastAsia="MS Gothic" w:cs="Times New Roman"/>
                <w:b/>
                <w:i/>
                <w:iCs/>
                <w:color w:val="5B63B7"/>
                <w:sz w:val="22"/>
              </w:rPr>
            </w:pPr>
            <w:r w:rsidRPr="004F643F">
              <w:rPr>
                <w:rFonts w:eastAsia="MS Gothic" w:cs="Times New Roman"/>
                <w:b/>
                <w:i/>
                <w:iCs/>
                <w:color w:val="5B63B7"/>
                <w:sz w:val="22"/>
              </w:rPr>
              <w:t>Inter-American Convention on the Prevention, Punishment and Eradication of Violence against Women</w:t>
            </w:r>
            <w:r w:rsidRPr="004F643F">
              <w:rPr>
                <w:rFonts w:eastAsia="MS Gothic" w:cs="Times New Roman"/>
                <w:iCs/>
                <w:sz w:val="22"/>
                <w:vertAlign w:val="superscript"/>
              </w:rPr>
              <w:footnoteReference w:id="36"/>
            </w:r>
          </w:p>
          <w:p w14:paraId="6F16A687" w14:textId="48499078" w:rsidR="001B49D0" w:rsidRPr="00D04354" w:rsidRDefault="001B49D0" w:rsidP="001B49D0">
            <w:pPr>
              <w:shd w:val="clear" w:color="auto" w:fill="D3E5F6" w:themeFill="accent2" w:themeFillTint="33"/>
              <w:spacing w:before="120" w:after="120"/>
              <w:rPr>
                <w:b/>
                <w:iCs/>
                <w:color w:val="5B63B7" w:themeColor="text2" w:themeTint="99"/>
                <w:sz w:val="22"/>
              </w:rPr>
            </w:pPr>
            <w:r>
              <w:rPr>
                <w:rStyle w:val="SubtleEmphasis"/>
              </w:rPr>
              <w:t>Article 6(b)</w:t>
            </w:r>
          </w:p>
          <w:p w14:paraId="78655A90" w14:textId="77777777" w:rsidR="001B49D0" w:rsidRDefault="001B49D0" w:rsidP="001B49D0">
            <w:pPr>
              <w:shd w:val="clear" w:color="auto" w:fill="D3E5F6"/>
              <w:spacing w:before="120" w:after="120"/>
              <w:rPr>
                <w:rFonts w:eastAsia="MS Gothic" w:cs="Times New Roman"/>
                <w:iCs/>
                <w:sz w:val="20"/>
              </w:rPr>
            </w:pPr>
            <w:r>
              <w:rPr>
                <w:rFonts w:eastAsia="MS Gothic" w:cs="Times New Roman"/>
                <w:iCs/>
                <w:sz w:val="20"/>
              </w:rPr>
              <w:t xml:space="preserve">The right of every woman to be free from violence includes, among others, the right of women to be valued and educated free of stereotyped patterns of behavior and social and cultural practices based on concepts of inferiority or subordination. </w:t>
            </w:r>
          </w:p>
          <w:p w14:paraId="63503F05" w14:textId="7118D1CA" w:rsidR="001B49D0" w:rsidRPr="00D04354" w:rsidRDefault="001B49D0" w:rsidP="001B49D0">
            <w:pPr>
              <w:shd w:val="clear" w:color="auto" w:fill="D3E5F6" w:themeFill="accent2" w:themeFillTint="33"/>
              <w:spacing w:before="120" w:after="120"/>
              <w:rPr>
                <w:b/>
                <w:iCs/>
                <w:color w:val="5B63B7" w:themeColor="text2" w:themeTint="99"/>
                <w:sz w:val="22"/>
              </w:rPr>
            </w:pPr>
            <w:r>
              <w:rPr>
                <w:rStyle w:val="SubtleEmphasis"/>
              </w:rPr>
              <w:t>Article 8(b)</w:t>
            </w:r>
          </w:p>
          <w:p w14:paraId="44339BF4" w14:textId="40B6DE47" w:rsidR="001B49D0" w:rsidRPr="004F643F" w:rsidRDefault="001B49D0" w:rsidP="001B49D0">
            <w:pPr>
              <w:shd w:val="clear" w:color="auto" w:fill="D3E5F6"/>
              <w:spacing w:before="120"/>
              <w:rPr>
                <w:rFonts w:eastAsia="MS Gothic" w:cs="Times New Roman"/>
              </w:rPr>
            </w:pPr>
            <w:r>
              <w:rPr>
                <w:rFonts w:eastAsia="MS Gothic" w:cs="Times New Roman"/>
                <w:iCs/>
                <w:sz w:val="20"/>
              </w:rPr>
              <w:t>The States Parties agree to undertake progressively specific measures, including programs to modify social and cultural patterns of conduct of men and women, including the development of formal and informal educational programs appropriate to every level of the educational process, to counteract prejudices, customs and all other practices which are based on the idea of the inferiority or superiority of either of the sexes or on the stereotyped roles for men and women which legitimize or exacerbate violence against women.</w:t>
            </w:r>
          </w:p>
        </w:tc>
      </w:tr>
    </w:tbl>
    <w:p w14:paraId="74AB863C" w14:textId="77777777" w:rsidR="001B49D0" w:rsidRDefault="001B49D0" w:rsidP="001B49D0">
      <w:pPr>
        <w:spacing w:before="0" w:after="0"/>
      </w:pPr>
    </w:p>
    <w:tbl>
      <w:tblPr>
        <w:tblStyle w:val="TableGrid"/>
        <w:tblW w:w="0" w:type="auto"/>
        <w:tblLook w:val="04A0" w:firstRow="1" w:lastRow="0" w:firstColumn="1" w:lastColumn="0" w:noHBand="0" w:noVBand="1"/>
      </w:tblPr>
      <w:tblGrid>
        <w:gridCol w:w="8516"/>
      </w:tblGrid>
      <w:tr w:rsidR="001B49D0" w:rsidRPr="004F643F" w14:paraId="0CDE485B" w14:textId="77777777" w:rsidTr="00C90A3E">
        <w:tc>
          <w:tcPr>
            <w:tcW w:w="8516" w:type="dxa"/>
            <w:tcBorders>
              <w:top w:val="nil"/>
              <w:left w:val="nil"/>
              <w:bottom w:val="nil"/>
              <w:right w:val="nil"/>
            </w:tcBorders>
            <w:shd w:val="clear" w:color="auto" w:fill="D3E5F6"/>
          </w:tcPr>
          <w:p w14:paraId="1703BF2C" w14:textId="77777777" w:rsidR="001B49D0" w:rsidRPr="004F643F" w:rsidRDefault="001B49D0" w:rsidP="00A66917">
            <w:pPr>
              <w:keepNext/>
              <w:shd w:val="clear" w:color="auto" w:fill="D3E5F6"/>
              <w:jc w:val="center"/>
              <w:rPr>
                <w:rFonts w:eastAsia="MS Gothic" w:cs="Times New Roman"/>
                <w:b/>
                <w:i/>
                <w:iCs/>
                <w:color w:val="5B63B7"/>
                <w:sz w:val="22"/>
              </w:rPr>
            </w:pPr>
            <w:r w:rsidRPr="004F643F">
              <w:rPr>
                <w:rFonts w:eastAsia="MS Gothic" w:cs="Times New Roman"/>
                <w:b/>
                <w:i/>
                <w:iCs/>
                <w:color w:val="5B63B7"/>
                <w:sz w:val="22"/>
              </w:rPr>
              <w:t xml:space="preserve">Council of Europe Convention on Preventing and Combating Violence against Women and Domestic Violence </w:t>
            </w:r>
          </w:p>
          <w:p w14:paraId="3A713340" w14:textId="77777777" w:rsidR="00C90A3E" w:rsidRDefault="00C90A3E" w:rsidP="00C90A3E">
            <w:pPr>
              <w:shd w:val="clear" w:color="auto" w:fill="D3E5F6" w:themeFill="accent2" w:themeFillTint="33"/>
              <w:spacing w:before="120" w:after="120"/>
              <w:rPr>
                <w:rStyle w:val="SubtleEmphasis"/>
                <w:iCs w:val="0"/>
              </w:rPr>
            </w:pPr>
            <w:r>
              <w:rPr>
                <w:rStyle w:val="SubtleEmphasis"/>
                <w:iCs w:val="0"/>
              </w:rPr>
              <w:t>Article</w:t>
            </w:r>
            <w:r w:rsidRPr="001B49D0">
              <w:rPr>
                <w:rStyle w:val="SubtleEmphasis"/>
                <w:iCs w:val="0"/>
              </w:rPr>
              <w:t xml:space="preserve"> </w:t>
            </w:r>
            <w:r w:rsidR="001B49D0" w:rsidRPr="001B49D0">
              <w:rPr>
                <w:rStyle w:val="SubtleEmphasis"/>
                <w:iCs w:val="0"/>
              </w:rPr>
              <w:t>12(1)</w:t>
            </w:r>
          </w:p>
          <w:p w14:paraId="3253ABFD" w14:textId="3BCBD42F" w:rsidR="0076084B" w:rsidRPr="0076084B" w:rsidRDefault="0076084B" w:rsidP="00C90A3E">
            <w:pPr>
              <w:shd w:val="clear" w:color="auto" w:fill="D3E5F6" w:themeFill="accent2" w:themeFillTint="33"/>
              <w:spacing w:before="120" w:after="120"/>
              <w:rPr>
                <w:rStyle w:val="SubtleEmphasis"/>
                <w:rFonts w:eastAsia="MS Gothic" w:cs="Times New Roman"/>
                <w:b w:val="0"/>
                <w:color w:val="auto"/>
                <w:sz w:val="20"/>
              </w:rPr>
            </w:pPr>
            <w:r w:rsidRPr="0076084B">
              <w:rPr>
                <w:sz w:val="20"/>
                <w:lang w:val="en-GB"/>
              </w:rPr>
              <w:t>Parties shall take the necessary measures to promote changes in the social and cultural patterns of behaviour of women and men with a view to eradicating prejudices, customs, traditions and all other practices which are based on the idea of the inferiority of women or on stereotyped roles for women and men.</w:t>
            </w:r>
          </w:p>
          <w:p w14:paraId="06A10F4C" w14:textId="77777777" w:rsidR="001B49D0" w:rsidRDefault="00C90A3E" w:rsidP="00C90A3E">
            <w:pPr>
              <w:shd w:val="clear" w:color="auto" w:fill="D3E5F6" w:themeFill="accent2" w:themeFillTint="33"/>
              <w:spacing w:before="120" w:after="120"/>
              <w:rPr>
                <w:rStyle w:val="SubtleEmphasis"/>
                <w:iCs w:val="0"/>
              </w:rPr>
            </w:pPr>
            <w:r>
              <w:rPr>
                <w:rStyle w:val="SubtleEmphasis"/>
                <w:iCs w:val="0"/>
              </w:rPr>
              <w:t>Article</w:t>
            </w:r>
            <w:r w:rsidRPr="001B49D0">
              <w:rPr>
                <w:rStyle w:val="SubtleEmphasis"/>
                <w:iCs w:val="0"/>
              </w:rPr>
              <w:t xml:space="preserve"> </w:t>
            </w:r>
            <w:r w:rsidR="001B49D0" w:rsidRPr="001B49D0">
              <w:rPr>
                <w:rStyle w:val="SubtleEmphasis"/>
                <w:iCs w:val="0"/>
              </w:rPr>
              <w:t>14(1)</w:t>
            </w:r>
          </w:p>
          <w:p w14:paraId="27F21361" w14:textId="3EA4D977" w:rsidR="00C90A3E" w:rsidRPr="0076084B" w:rsidRDefault="0076084B" w:rsidP="00C90A3E">
            <w:pPr>
              <w:shd w:val="clear" w:color="auto" w:fill="D3E5F6" w:themeFill="accent2" w:themeFillTint="33"/>
              <w:spacing w:before="120"/>
              <w:rPr>
                <w:rFonts w:eastAsia="MS Gothic" w:cs="Times New Roman"/>
                <w:iCs/>
                <w:sz w:val="20"/>
                <w:lang w:val="en-GB"/>
              </w:rPr>
            </w:pPr>
            <w:r w:rsidRPr="0076084B">
              <w:rPr>
                <w:rFonts w:eastAsia="MS Gothic" w:cs="Times New Roman"/>
                <w:iCs/>
                <w:sz w:val="20"/>
                <w:lang w:val="en-GB"/>
              </w:rPr>
              <w:t>Parties shall take, where appropriate, the necessary steps to include teaching material on issues such as equality between women and men, non-stereotyped gender roles, mutual respect, non-violent conflict resolution in interpersonal relationships, gender-based violence against women and the right to personal integrity, adapted to the evolving capacity of learners, in formal curricula and at all levels of education.</w:t>
            </w:r>
          </w:p>
        </w:tc>
      </w:tr>
    </w:tbl>
    <w:p w14:paraId="15145341" w14:textId="77777777" w:rsidR="001B49D0" w:rsidRDefault="001B49D0" w:rsidP="001B49D0">
      <w:pPr>
        <w:spacing w:before="0" w:after="0"/>
      </w:pPr>
    </w:p>
    <w:tbl>
      <w:tblPr>
        <w:tblStyle w:val="TableGrid"/>
        <w:tblW w:w="0" w:type="auto"/>
        <w:tblLook w:val="04A0" w:firstRow="1" w:lastRow="0" w:firstColumn="1" w:lastColumn="0" w:noHBand="0" w:noVBand="1"/>
      </w:tblPr>
      <w:tblGrid>
        <w:gridCol w:w="8516"/>
      </w:tblGrid>
      <w:tr w:rsidR="00D04354" w:rsidRPr="004F643F" w14:paraId="207681F7" w14:textId="77777777" w:rsidTr="00D04354">
        <w:tc>
          <w:tcPr>
            <w:tcW w:w="8516" w:type="dxa"/>
            <w:tcBorders>
              <w:top w:val="nil"/>
              <w:left w:val="nil"/>
              <w:bottom w:val="nil"/>
              <w:right w:val="nil"/>
            </w:tcBorders>
            <w:shd w:val="clear" w:color="auto" w:fill="D3E5F6"/>
          </w:tcPr>
          <w:p w14:paraId="035776A3" w14:textId="77777777" w:rsidR="00D04354" w:rsidRDefault="00D04354" w:rsidP="00D04354">
            <w:pPr>
              <w:shd w:val="clear" w:color="auto" w:fill="D3E5F6"/>
              <w:spacing w:after="120"/>
              <w:jc w:val="center"/>
              <w:rPr>
                <w:rFonts w:eastAsia="MS Gothic" w:cs="Times New Roman"/>
                <w:b/>
                <w:i/>
                <w:iCs/>
                <w:color w:val="5B63B7"/>
                <w:sz w:val="22"/>
              </w:rPr>
            </w:pPr>
            <w:r w:rsidRPr="004F643F">
              <w:rPr>
                <w:rFonts w:eastAsia="MS Gothic" w:cs="Times New Roman"/>
                <w:b/>
                <w:i/>
                <w:iCs/>
                <w:color w:val="5B63B7"/>
                <w:sz w:val="22"/>
              </w:rPr>
              <w:t>Protocol to the African Charter on Human and Peoples’ Rights on the Rights of Women in Africa</w:t>
            </w:r>
          </w:p>
          <w:p w14:paraId="162F0B96" w14:textId="21DEE158" w:rsidR="00D04354" w:rsidRPr="00D04354" w:rsidRDefault="00D04354" w:rsidP="00D04354">
            <w:pPr>
              <w:shd w:val="clear" w:color="auto" w:fill="D3E5F6" w:themeFill="accent2" w:themeFillTint="33"/>
              <w:spacing w:before="120" w:after="120"/>
              <w:rPr>
                <w:b/>
                <w:iCs/>
                <w:color w:val="5B63B7" w:themeColor="text2" w:themeTint="99"/>
                <w:sz w:val="22"/>
              </w:rPr>
            </w:pPr>
            <w:r>
              <w:rPr>
                <w:rStyle w:val="SubtleEmphasis"/>
              </w:rPr>
              <w:t>Article 2(2)</w:t>
            </w:r>
          </w:p>
          <w:p w14:paraId="4D6F0C54" w14:textId="7E77C348" w:rsidR="00D04354" w:rsidRDefault="00D04354" w:rsidP="00D04354">
            <w:pPr>
              <w:spacing w:before="120" w:after="120"/>
              <w:rPr>
                <w:rFonts w:eastAsia="MS Gothic" w:cs="Times New Roman"/>
                <w:iCs/>
                <w:sz w:val="20"/>
              </w:rPr>
            </w:pPr>
            <w:r w:rsidRPr="004F643F">
              <w:rPr>
                <w:rFonts w:eastAsia="MS Gothic" w:cs="Times New Roman"/>
                <w:iCs/>
                <w:sz w:val="20"/>
              </w:rPr>
              <w:t xml:space="preserve">States Parties shall commit themselves to modify the social and cultural patterns of conduct of women and men through public education, information, education and communication strategies, with a view to achieving the elimination of harmful cultural and traditional practices and all other practices which are based on the idea of the inferiority or the superiority of either of the sexes, or on stereotyped roles for women and men.  </w:t>
            </w:r>
          </w:p>
          <w:p w14:paraId="538BAAF3" w14:textId="3F22E0E8" w:rsidR="00D04354" w:rsidRPr="00D04354" w:rsidRDefault="00D04354" w:rsidP="00D04354">
            <w:pPr>
              <w:shd w:val="clear" w:color="auto" w:fill="D3E5F6" w:themeFill="accent2" w:themeFillTint="33"/>
              <w:spacing w:before="120" w:after="120"/>
              <w:rPr>
                <w:b/>
                <w:iCs/>
                <w:color w:val="5B63B7" w:themeColor="text2" w:themeTint="99"/>
                <w:sz w:val="22"/>
              </w:rPr>
            </w:pPr>
            <w:r>
              <w:rPr>
                <w:rStyle w:val="SubtleEmphasis"/>
              </w:rPr>
              <w:t>Article 4(2)(d)</w:t>
            </w:r>
          </w:p>
          <w:p w14:paraId="3838C670" w14:textId="381B0444" w:rsidR="00D04354" w:rsidRDefault="00D04354" w:rsidP="00D04354">
            <w:pPr>
              <w:spacing w:before="120" w:after="120"/>
              <w:rPr>
                <w:rFonts w:eastAsia="MS Gothic" w:cs="Times New Roman"/>
                <w:iCs/>
                <w:sz w:val="20"/>
              </w:rPr>
            </w:pPr>
            <w:r w:rsidRPr="004F643F">
              <w:rPr>
                <w:rFonts w:eastAsia="MS Gothic" w:cs="Times New Roman"/>
                <w:iCs/>
                <w:sz w:val="20"/>
              </w:rPr>
              <w:t xml:space="preserve">States Parties shall take appropriate and effective measures to actively promote peace education through curricula and social communication in order to eradicate elements in traditional and cultural beliefs, practices and stereotypes which legitimise and exacerbate the persistence and tolerance of violence against women. </w:t>
            </w:r>
          </w:p>
          <w:p w14:paraId="7F7F8954" w14:textId="7D038540" w:rsidR="00D04354" w:rsidRPr="00D04354" w:rsidRDefault="00D04354" w:rsidP="00D04354">
            <w:pPr>
              <w:shd w:val="clear" w:color="auto" w:fill="D3E5F6" w:themeFill="accent2" w:themeFillTint="33"/>
              <w:spacing w:before="120" w:after="120"/>
              <w:rPr>
                <w:b/>
                <w:iCs/>
                <w:color w:val="5B63B7" w:themeColor="text2" w:themeTint="99"/>
                <w:sz w:val="22"/>
              </w:rPr>
            </w:pPr>
            <w:r>
              <w:rPr>
                <w:rStyle w:val="SubtleEmphasis"/>
              </w:rPr>
              <w:t>Article 12(1)(b)</w:t>
            </w:r>
          </w:p>
          <w:p w14:paraId="75217AF2" w14:textId="37647D61" w:rsidR="00D04354" w:rsidRPr="004F643F" w:rsidRDefault="001B49D0" w:rsidP="001B49D0">
            <w:pPr>
              <w:spacing w:before="120"/>
              <w:rPr>
                <w:rFonts w:eastAsia="MS Gothic" w:cs="Times New Roman"/>
              </w:rPr>
            </w:pPr>
            <w:r w:rsidRPr="001B49D0">
              <w:rPr>
                <w:rFonts w:eastAsia="MS Gothic" w:cs="Times New Roman"/>
                <w:iCs/>
                <w:sz w:val="20"/>
              </w:rPr>
              <w:t>Stat</w:t>
            </w:r>
            <w:r>
              <w:rPr>
                <w:rFonts w:eastAsia="MS Gothic" w:cs="Times New Roman"/>
                <w:iCs/>
                <w:sz w:val="20"/>
              </w:rPr>
              <w:t xml:space="preserve">es Parties shall take all appropriate measures to eliminate all stereotypes in textboxes, syllabuses and the media, that perpetuate such discrimination.  </w:t>
            </w:r>
          </w:p>
        </w:tc>
      </w:tr>
    </w:tbl>
    <w:p w14:paraId="0BEB1459" w14:textId="1182310F" w:rsidR="0056282B" w:rsidRPr="00AF3075" w:rsidRDefault="00E31D3F" w:rsidP="00C45F67">
      <w:pPr>
        <w:pStyle w:val="Heading2"/>
        <w:ind w:left="0" w:firstLine="0"/>
        <w:rPr>
          <w:rFonts w:ascii="Candara" w:hAnsi="Candara"/>
        </w:rPr>
      </w:pPr>
      <w:bookmarkStart w:id="10" w:name="_Toc263972384"/>
      <w:r w:rsidRPr="00AF3075">
        <w:rPr>
          <w:rFonts w:ascii="Candara" w:hAnsi="Candara"/>
        </w:rPr>
        <w:t>2</w:t>
      </w:r>
      <w:r w:rsidR="00D22CA4" w:rsidRPr="00AF3075">
        <w:rPr>
          <w:rFonts w:ascii="Candara" w:hAnsi="Candara"/>
        </w:rPr>
        <w:t xml:space="preserve">.2 </w:t>
      </w:r>
      <w:r w:rsidR="00A310B2">
        <w:rPr>
          <w:rFonts w:ascii="Candara" w:hAnsi="Candara"/>
        </w:rPr>
        <w:t>Other state obligations to ensure justice for victims and survivors</w:t>
      </w:r>
      <w:bookmarkEnd w:id="10"/>
    </w:p>
    <w:p w14:paraId="574D4088" w14:textId="54AA0E63" w:rsidR="009B5124" w:rsidRDefault="00DF04C6" w:rsidP="009B5124">
      <w:pPr>
        <w:spacing w:after="120"/>
      </w:pPr>
      <w:r>
        <w:t xml:space="preserve">A number of </w:t>
      </w:r>
      <w:r w:rsidR="00766A22">
        <w:t>other</w:t>
      </w:r>
      <w:r>
        <w:t xml:space="preserve"> human rights and fundamental freedoms </w:t>
      </w:r>
      <w:r w:rsidR="00413097">
        <w:t>ar</w:t>
      </w:r>
      <w:r w:rsidR="00766A22">
        <w:t>e</w:t>
      </w:r>
      <w:r w:rsidR="00DD5E7A">
        <w:t xml:space="preserve"> </w:t>
      </w:r>
      <w:r w:rsidR="0006772E">
        <w:t xml:space="preserve">also </w:t>
      </w:r>
      <w:r w:rsidR="00766A22">
        <w:t xml:space="preserve">relevant to the ability of </w:t>
      </w:r>
      <w:r w:rsidR="00DD5E7A">
        <w:t xml:space="preserve">victims and survivors to access justice </w:t>
      </w:r>
      <w:r w:rsidR="00AE1523">
        <w:t xml:space="preserve">in cases of </w:t>
      </w:r>
      <w:r w:rsidR="00DD5E7A">
        <w:t>gender-based violence</w:t>
      </w:r>
      <w:r>
        <w:t>.</w:t>
      </w:r>
      <w:r w:rsidR="00CC106A">
        <w:t xml:space="preserve"> </w:t>
      </w:r>
      <w:r w:rsidR="00315253">
        <w:t xml:space="preserve"> </w:t>
      </w:r>
      <w:r w:rsidR="00CC106A">
        <w:t>They include the</w:t>
      </w:r>
      <w:r w:rsidR="0046301E">
        <w:t xml:space="preserve"> rights to</w:t>
      </w:r>
      <w:r w:rsidR="00CC106A">
        <w:t>:</w:t>
      </w:r>
      <w:r w:rsidR="00AE1523">
        <w:t xml:space="preserve"> </w:t>
      </w:r>
    </w:p>
    <w:p w14:paraId="2522EACB" w14:textId="77777777" w:rsidR="009B5124" w:rsidRPr="009B5124" w:rsidRDefault="00CC106A" w:rsidP="00AE1523">
      <w:pPr>
        <w:pStyle w:val="ListParagraph"/>
        <w:numPr>
          <w:ilvl w:val="0"/>
          <w:numId w:val="27"/>
        </w:numPr>
        <w:spacing w:before="120" w:after="120"/>
        <w:ind w:left="567"/>
        <w:rPr>
          <w:rStyle w:val="SubtleEmphasis"/>
          <w:b w:val="0"/>
          <w:i/>
          <w:color w:val="000000" w:themeColor="text1"/>
          <w:sz w:val="24"/>
        </w:rPr>
      </w:pPr>
      <w:r w:rsidRPr="009B5124">
        <w:rPr>
          <w:rStyle w:val="SubtleEmphasis"/>
          <w:b w:val="0"/>
          <w:color w:val="000000" w:themeColor="text1"/>
          <w:sz w:val="24"/>
        </w:rPr>
        <w:t>non-discrimination and equality</w:t>
      </w:r>
    </w:p>
    <w:p w14:paraId="15E74901" w14:textId="77777777" w:rsidR="009B5124" w:rsidRPr="009B5124" w:rsidRDefault="00CC106A" w:rsidP="00AE1523">
      <w:pPr>
        <w:pStyle w:val="ListParagraph"/>
        <w:numPr>
          <w:ilvl w:val="0"/>
          <w:numId w:val="27"/>
        </w:numPr>
        <w:spacing w:before="120" w:after="120"/>
        <w:ind w:left="567"/>
        <w:rPr>
          <w:rStyle w:val="SubtleEmphasis"/>
          <w:b w:val="0"/>
          <w:i/>
          <w:color w:val="000000" w:themeColor="text1"/>
          <w:sz w:val="24"/>
        </w:rPr>
      </w:pPr>
      <w:r w:rsidRPr="009B5124">
        <w:rPr>
          <w:rStyle w:val="SubtleEmphasis"/>
          <w:b w:val="0"/>
          <w:color w:val="000000" w:themeColor="text1"/>
          <w:sz w:val="24"/>
        </w:rPr>
        <w:t>equality before courts and tribunals and to a fair trial</w:t>
      </w:r>
    </w:p>
    <w:p w14:paraId="71E18426" w14:textId="64E85DA3" w:rsidR="00CC106A" w:rsidRPr="009B5124" w:rsidRDefault="00CC106A" w:rsidP="00AE1523">
      <w:pPr>
        <w:pStyle w:val="ListParagraph"/>
        <w:numPr>
          <w:ilvl w:val="0"/>
          <w:numId w:val="27"/>
        </w:numPr>
        <w:spacing w:before="120" w:after="120"/>
        <w:ind w:left="567"/>
        <w:rPr>
          <w:i/>
          <w:iCs/>
          <w:color w:val="000000" w:themeColor="text1"/>
        </w:rPr>
      </w:pPr>
      <w:proofErr w:type="gramStart"/>
      <w:r w:rsidRPr="009B5124">
        <w:rPr>
          <w:rStyle w:val="SubtleEmphasis"/>
          <w:b w:val="0"/>
          <w:color w:val="000000" w:themeColor="text1"/>
          <w:sz w:val="24"/>
        </w:rPr>
        <w:t>an</w:t>
      </w:r>
      <w:proofErr w:type="gramEnd"/>
      <w:r w:rsidRPr="009B5124">
        <w:rPr>
          <w:rStyle w:val="SubtleEmphasis"/>
          <w:b w:val="0"/>
          <w:color w:val="000000" w:themeColor="text1"/>
          <w:sz w:val="24"/>
        </w:rPr>
        <w:t xml:space="preserve"> effective remedy.  </w:t>
      </w:r>
    </w:p>
    <w:p w14:paraId="036B1B03" w14:textId="5ED37D08" w:rsidR="004B7379" w:rsidRPr="003D3AF1" w:rsidRDefault="000F4683" w:rsidP="00A66917">
      <w:pPr>
        <w:keepNext/>
        <w:rPr>
          <w:b/>
          <w:color w:val="374C80" w:themeColor="accent4" w:themeShade="BF"/>
        </w:rPr>
      </w:pPr>
      <w:r>
        <w:rPr>
          <w:b/>
          <w:color w:val="374C80" w:themeColor="accent4" w:themeShade="BF"/>
        </w:rPr>
        <w:t xml:space="preserve">(a) </w:t>
      </w:r>
      <w:r w:rsidR="004B7379" w:rsidRPr="003D3AF1">
        <w:rPr>
          <w:b/>
          <w:color w:val="374C80" w:themeColor="accent4" w:themeShade="BF"/>
        </w:rPr>
        <w:t xml:space="preserve">Rights to non-discrimination and equality </w:t>
      </w:r>
    </w:p>
    <w:p w14:paraId="2886B6CE" w14:textId="7B5F96C7" w:rsidR="00D03AF9" w:rsidRDefault="0041061C" w:rsidP="0050524D">
      <w:r>
        <w:t xml:space="preserve">Several </w:t>
      </w:r>
      <w:r w:rsidR="00576D88">
        <w:t>international human rights treaties</w:t>
      </w:r>
      <w:r w:rsidR="00646EB4">
        <w:t xml:space="preserve"> prohibit discrimination and inequalit</w:t>
      </w:r>
      <w:r w:rsidR="00646EB4" w:rsidRPr="00800E33">
        <w:t>y</w:t>
      </w:r>
      <w:r w:rsidR="00D16953">
        <w:t>, including on the basis of sex and gender</w:t>
      </w:r>
      <w:r w:rsidR="00576D88" w:rsidRPr="00800E33">
        <w:t>.</w:t>
      </w:r>
      <w:r w:rsidR="00646EB4" w:rsidRPr="00800E33">
        <w:rPr>
          <w:rStyle w:val="FootnoteReference"/>
        </w:rPr>
        <w:footnoteReference w:id="37"/>
      </w:r>
      <w:r w:rsidR="00EE68E1" w:rsidRPr="00800E33">
        <w:t xml:space="preserve">  In addition</w:t>
      </w:r>
      <w:r w:rsidR="0006772E">
        <w:t xml:space="preserve"> to these general protections</w:t>
      </w:r>
      <w:r w:rsidR="00EE68E1" w:rsidRPr="00800E33">
        <w:t xml:space="preserve">, CEDAW prohibits all forms of </w:t>
      </w:r>
      <w:r w:rsidR="000D6B3C" w:rsidRPr="00800E33">
        <w:t>‘</w:t>
      </w:r>
      <w:r w:rsidR="00EE68E1" w:rsidRPr="00800E33">
        <w:t>discrimination against women</w:t>
      </w:r>
      <w:r w:rsidR="000D6B3C" w:rsidRPr="00800E33">
        <w:t>’</w:t>
      </w:r>
      <w:r w:rsidR="00D16953">
        <w:t>.</w:t>
      </w:r>
      <w:r w:rsidR="00AE1523" w:rsidRPr="00800E33">
        <w:rPr>
          <w:rStyle w:val="FootnoteReference"/>
        </w:rPr>
        <w:footnoteReference w:id="38"/>
      </w:r>
      <w:r w:rsidR="00D16953">
        <w:t xml:space="preserve">  The CEDAW Committee has explained that this includes</w:t>
      </w:r>
      <w:r w:rsidR="00AE1523">
        <w:t xml:space="preserve"> </w:t>
      </w:r>
      <w:r w:rsidR="00D16953">
        <w:t xml:space="preserve">both </w:t>
      </w:r>
      <w:r w:rsidR="00DB7926">
        <w:t>gender-based violence against women</w:t>
      </w:r>
      <w:r w:rsidR="00DB7926" w:rsidRPr="00AF3075">
        <w:rPr>
          <w:rStyle w:val="FootnoteReference"/>
          <w:rFonts w:cs="Arial"/>
        </w:rPr>
        <w:footnoteReference w:id="39"/>
      </w:r>
      <w:r w:rsidR="00DB7926">
        <w:t xml:space="preserve"> and wrongful stereotyping</w:t>
      </w:r>
      <w:r w:rsidR="00EE68E1">
        <w:t>.</w:t>
      </w:r>
      <w:r w:rsidR="00DB7926" w:rsidRPr="00AF3075">
        <w:rPr>
          <w:rStyle w:val="FootnoteReference"/>
          <w:rFonts w:cs="Arial"/>
        </w:rPr>
        <w:footnoteReference w:id="40"/>
      </w:r>
      <w:r w:rsidR="00AE1523">
        <w:t xml:space="preserve"> </w:t>
      </w:r>
      <w:r w:rsidR="0022125A">
        <w:t xml:space="preserve"> </w:t>
      </w:r>
      <w:r w:rsidR="0006772E">
        <w:t>In fact, the Committee has recognised that stereotyping is a root cause and consequence of discrimination</w:t>
      </w:r>
      <w:r w:rsidR="00A622C8">
        <w:t xml:space="preserve"> and identified its</w:t>
      </w:r>
      <w:r w:rsidR="0006772E">
        <w:t xml:space="preserve"> elimination </w:t>
      </w:r>
      <w:r w:rsidR="00A622C8">
        <w:t xml:space="preserve">as </w:t>
      </w:r>
      <w:r w:rsidR="0006772E">
        <w:t>one of three central goals of CEDAW.</w:t>
      </w:r>
      <w:r w:rsidR="00800FBA" w:rsidRPr="00AF3075">
        <w:rPr>
          <w:rStyle w:val="FootnoteReference"/>
          <w:rFonts w:cs="Arial"/>
        </w:rPr>
        <w:footnoteReference w:id="41"/>
      </w:r>
      <w:r w:rsidR="0006772E">
        <w:t xml:space="preserve">  </w:t>
      </w:r>
      <w:r w:rsidR="000F4683">
        <w:t>S</w:t>
      </w:r>
      <w:r w:rsidR="00AC779A">
        <w:t xml:space="preserve">everal </w:t>
      </w:r>
      <w:r w:rsidR="00D16953">
        <w:t xml:space="preserve">other </w:t>
      </w:r>
      <w:r w:rsidR="00AC779A">
        <w:t>UN human rights mechanisms</w:t>
      </w:r>
      <w:r w:rsidR="000F4683">
        <w:t xml:space="preserve"> have</w:t>
      </w:r>
      <w:r w:rsidR="00E20041">
        <w:t xml:space="preserve"> </w:t>
      </w:r>
      <w:r w:rsidR="000F4683">
        <w:t xml:space="preserve">also </w:t>
      </w:r>
      <w:r w:rsidR="00D03AF9" w:rsidRPr="00D03AF9">
        <w:t xml:space="preserve">interpreted the rights to non-discrimination and equality to include those forms of discrimination and inequality </w:t>
      </w:r>
      <w:r w:rsidR="000F4683">
        <w:t>rooted in stereotypes.</w:t>
      </w:r>
      <w:r w:rsidR="000F4683" w:rsidRPr="00AF3075">
        <w:rPr>
          <w:rStyle w:val="FootnoteReference"/>
          <w:rFonts w:cs="Arial"/>
        </w:rPr>
        <w:footnoteReference w:id="42"/>
      </w:r>
    </w:p>
    <w:tbl>
      <w:tblPr>
        <w:tblStyle w:val="TableGrid"/>
        <w:tblW w:w="0" w:type="auto"/>
        <w:tblLook w:val="04A0" w:firstRow="1" w:lastRow="0" w:firstColumn="1" w:lastColumn="0" w:noHBand="0" w:noVBand="1"/>
      </w:tblPr>
      <w:tblGrid>
        <w:gridCol w:w="8516"/>
      </w:tblGrid>
      <w:tr w:rsidR="00AF3BE3" w:rsidRPr="00AF3075" w14:paraId="62446A44" w14:textId="77777777" w:rsidTr="006937C2">
        <w:tc>
          <w:tcPr>
            <w:tcW w:w="8516" w:type="dxa"/>
            <w:tcBorders>
              <w:top w:val="nil"/>
              <w:left w:val="nil"/>
              <w:bottom w:val="nil"/>
              <w:right w:val="nil"/>
            </w:tcBorders>
            <w:shd w:val="clear" w:color="auto" w:fill="D3E5F6" w:themeFill="accent2" w:themeFillTint="33"/>
          </w:tcPr>
          <w:p w14:paraId="58086C37" w14:textId="3CFF15BF" w:rsidR="00AF3BE3" w:rsidRPr="005E0995" w:rsidRDefault="00AF3BE3" w:rsidP="006937C2">
            <w:pPr>
              <w:shd w:val="clear" w:color="auto" w:fill="D3E5F6" w:themeFill="accent2" w:themeFillTint="33"/>
              <w:jc w:val="center"/>
              <w:rPr>
                <w:rStyle w:val="SubtleEmphasis"/>
              </w:rPr>
            </w:pPr>
            <w:r>
              <w:rPr>
                <w:b/>
                <w:iCs/>
                <w:color w:val="5B63B7" w:themeColor="text2" w:themeTint="99"/>
                <w:sz w:val="22"/>
              </w:rPr>
              <w:t>Stereotyping is a form of discrimination</w:t>
            </w:r>
          </w:p>
          <w:p w14:paraId="562C4D4D" w14:textId="5190CEFD" w:rsidR="00AF3BE3" w:rsidRDefault="00AF3BE3" w:rsidP="006937C2">
            <w:pPr>
              <w:rPr>
                <w:i/>
                <w:iCs/>
                <w:sz w:val="22"/>
                <w:lang w:val="en-US"/>
              </w:rPr>
            </w:pPr>
            <w:r>
              <w:rPr>
                <w:iCs/>
                <w:sz w:val="22"/>
                <w:lang w:val="en-US"/>
              </w:rPr>
              <w:t>The Committee on Economic, Social and Cultural Rights has recognised</w:t>
            </w:r>
            <w:r w:rsidR="0022125A">
              <w:rPr>
                <w:iCs/>
                <w:sz w:val="22"/>
                <w:lang w:val="en-US"/>
              </w:rPr>
              <w:t>, for instance,</w:t>
            </w:r>
            <w:r>
              <w:rPr>
                <w:iCs/>
                <w:sz w:val="22"/>
                <w:lang w:val="en-US"/>
              </w:rPr>
              <w:t xml:space="preserve"> that </w:t>
            </w:r>
          </w:p>
          <w:p w14:paraId="3B2C3E24" w14:textId="2BA75D2A" w:rsidR="00653CB9" w:rsidRDefault="00653CB9" w:rsidP="00653CB9">
            <w:pPr>
              <w:pStyle w:val="ListParagraph"/>
              <w:numPr>
                <w:ilvl w:val="0"/>
                <w:numId w:val="24"/>
              </w:numPr>
              <w:spacing w:before="120" w:after="120"/>
              <w:ind w:left="284" w:hanging="284"/>
              <w:rPr>
                <w:sz w:val="20"/>
                <w:szCs w:val="20"/>
              </w:rPr>
            </w:pPr>
            <w:r>
              <w:rPr>
                <w:sz w:val="20"/>
                <w:szCs w:val="20"/>
              </w:rPr>
              <w:t>‘</w:t>
            </w:r>
            <w:r w:rsidRPr="00653CB9">
              <w:rPr>
                <w:sz w:val="20"/>
                <w:szCs w:val="20"/>
              </w:rPr>
              <w:t xml:space="preserve">the prohibited ground </w:t>
            </w:r>
            <w:r>
              <w:rPr>
                <w:sz w:val="20"/>
                <w:szCs w:val="20"/>
              </w:rPr>
              <w:t>“</w:t>
            </w:r>
            <w:r w:rsidRPr="00653CB9">
              <w:rPr>
                <w:sz w:val="20"/>
                <w:szCs w:val="20"/>
              </w:rPr>
              <w:t>sex</w:t>
            </w:r>
            <w:r>
              <w:rPr>
                <w:sz w:val="20"/>
                <w:szCs w:val="20"/>
              </w:rPr>
              <w:t>”</w:t>
            </w:r>
            <w:r w:rsidRPr="00653CB9">
              <w:rPr>
                <w:sz w:val="20"/>
                <w:szCs w:val="20"/>
              </w:rPr>
              <w:t xml:space="preserve"> has evolved considerably to cover </w:t>
            </w:r>
            <w:r w:rsidR="00AE1523">
              <w:rPr>
                <w:sz w:val="20"/>
                <w:szCs w:val="20"/>
              </w:rPr>
              <w:t xml:space="preserve">… </w:t>
            </w:r>
            <w:r w:rsidRPr="00653CB9">
              <w:rPr>
                <w:sz w:val="20"/>
                <w:szCs w:val="20"/>
              </w:rPr>
              <w:t xml:space="preserve">the social construction of </w:t>
            </w:r>
            <w:r w:rsidRPr="00653CB9">
              <w:rPr>
                <w:iCs/>
                <w:sz w:val="20"/>
                <w:szCs w:val="20"/>
              </w:rPr>
              <w:t>gender</w:t>
            </w:r>
            <w:r w:rsidRPr="00653CB9">
              <w:rPr>
                <w:sz w:val="20"/>
                <w:szCs w:val="20"/>
              </w:rPr>
              <w:t xml:space="preserve"> stereotypes, prejudices and expected roles, which have created obstacles to the equal fulfilment of economic, social and cultural rights</w:t>
            </w:r>
            <w:r>
              <w:rPr>
                <w:sz w:val="20"/>
                <w:szCs w:val="20"/>
              </w:rPr>
              <w:t>’</w:t>
            </w:r>
            <w:r w:rsidRPr="00AF3BE3">
              <w:rPr>
                <w:rStyle w:val="FootnoteReference"/>
                <w:sz w:val="20"/>
                <w:szCs w:val="20"/>
              </w:rPr>
              <w:footnoteReference w:id="43"/>
            </w:r>
          </w:p>
          <w:p w14:paraId="6D34067C" w14:textId="0E71B4A8" w:rsidR="00653CB9" w:rsidRDefault="00653CB9" w:rsidP="00653CB9">
            <w:pPr>
              <w:pStyle w:val="ListParagraph"/>
              <w:numPr>
                <w:ilvl w:val="0"/>
                <w:numId w:val="24"/>
              </w:numPr>
              <w:spacing w:before="120" w:after="120"/>
              <w:ind w:left="284" w:hanging="284"/>
              <w:rPr>
                <w:sz w:val="20"/>
                <w:szCs w:val="20"/>
              </w:rPr>
            </w:pPr>
            <w:r>
              <w:rPr>
                <w:sz w:val="20"/>
                <w:szCs w:val="20"/>
              </w:rPr>
              <w:t>‘[d]</w:t>
            </w:r>
            <w:r w:rsidR="00AF3BE3" w:rsidRPr="00AF3BE3">
              <w:rPr>
                <w:sz w:val="20"/>
                <w:szCs w:val="20"/>
              </w:rPr>
              <w:t>iscrimination on the basis of sex may be based on the differential treatment of women because of … stereotypical assumptions…</w:t>
            </w:r>
            <w:r>
              <w:rPr>
                <w:sz w:val="20"/>
                <w:szCs w:val="20"/>
              </w:rPr>
              <w:t>’</w:t>
            </w:r>
            <w:r w:rsidR="00AF3BE3" w:rsidRPr="00AF3BE3">
              <w:rPr>
                <w:rStyle w:val="FootnoteReference"/>
                <w:sz w:val="20"/>
                <w:szCs w:val="20"/>
              </w:rPr>
              <w:footnoteReference w:id="44"/>
            </w:r>
            <w:r w:rsidR="00AF3BE3" w:rsidRPr="00AF3BE3">
              <w:rPr>
                <w:sz w:val="20"/>
                <w:szCs w:val="20"/>
              </w:rPr>
              <w:t xml:space="preserve">   </w:t>
            </w:r>
          </w:p>
          <w:p w14:paraId="7C9E5C35" w14:textId="176D0E77" w:rsidR="00AF3BE3" w:rsidRPr="00653CB9" w:rsidRDefault="00653CB9" w:rsidP="00AE1523">
            <w:pPr>
              <w:pStyle w:val="ListParagraph"/>
              <w:numPr>
                <w:ilvl w:val="0"/>
                <w:numId w:val="24"/>
              </w:numPr>
              <w:spacing w:before="120" w:after="120"/>
              <w:ind w:left="284" w:hanging="284"/>
              <w:rPr>
                <w:sz w:val="20"/>
                <w:szCs w:val="20"/>
              </w:rPr>
            </w:pPr>
            <w:r>
              <w:rPr>
                <w:sz w:val="20"/>
                <w:szCs w:val="20"/>
              </w:rPr>
              <w:t>‘[g</w:t>
            </w:r>
            <w:r w:rsidR="00294EDD">
              <w:rPr>
                <w:sz w:val="20"/>
                <w:szCs w:val="20"/>
              </w:rPr>
              <w:t>]</w:t>
            </w:r>
            <w:r w:rsidR="00AF3BE3" w:rsidRPr="00653CB9">
              <w:rPr>
                <w:sz w:val="20"/>
                <w:szCs w:val="20"/>
              </w:rPr>
              <w:t>ender-based assumptions and expectations, generally place women at a disadvantage with respect to substantive enjoyment of rights</w:t>
            </w:r>
            <w:r>
              <w:rPr>
                <w:sz w:val="20"/>
                <w:szCs w:val="20"/>
              </w:rPr>
              <w:t>’</w:t>
            </w:r>
            <w:r w:rsidR="00AF3BE3" w:rsidRPr="00653CB9">
              <w:rPr>
                <w:sz w:val="20"/>
                <w:szCs w:val="20"/>
              </w:rPr>
              <w:t>.</w:t>
            </w:r>
            <w:r w:rsidR="00AF3BE3" w:rsidRPr="00AF3BE3">
              <w:rPr>
                <w:rStyle w:val="FootnoteReference"/>
                <w:sz w:val="20"/>
                <w:szCs w:val="20"/>
              </w:rPr>
              <w:footnoteReference w:id="45"/>
            </w:r>
          </w:p>
        </w:tc>
      </w:tr>
    </w:tbl>
    <w:p w14:paraId="1555902A" w14:textId="4310DB16" w:rsidR="008509B2" w:rsidRDefault="003B58E8" w:rsidP="0050524D">
      <w:r>
        <w:t xml:space="preserve">To comply with the rights to non-discrimination and equality, members of the judiciary </w:t>
      </w:r>
      <w:r w:rsidR="00830B41">
        <w:t xml:space="preserve">must </w:t>
      </w:r>
      <w:r w:rsidR="00D16953">
        <w:t xml:space="preserve">base their decisions </w:t>
      </w:r>
      <w:r w:rsidR="00D16953" w:rsidRPr="00AF3075">
        <w:t xml:space="preserve">on </w:t>
      </w:r>
      <w:r w:rsidR="00D16953">
        <w:t xml:space="preserve">law and </w:t>
      </w:r>
      <w:r w:rsidR="00D16953" w:rsidRPr="00AF3075">
        <w:t xml:space="preserve">relevant facts </w:t>
      </w:r>
      <w:r w:rsidR="00D16953">
        <w:t xml:space="preserve">in evidence, </w:t>
      </w:r>
      <w:r w:rsidR="00830B41">
        <w:t>rather than stereotypes</w:t>
      </w:r>
      <w:r w:rsidR="00D16953">
        <w:t>.</w:t>
      </w:r>
      <w:r w:rsidR="00A67A04">
        <w:t xml:space="preserve">  </w:t>
      </w:r>
      <w:r w:rsidR="008509B2">
        <w:t xml:space="preserve"> </w:t>
      </w:r>
    </w:p>
    <w:tbl>
      <w:tblPr>
        <w:tblStyle w:val="TableGrid"/>
        <w:tblW w:w="0" w:type="auto"/>
        <w:tblLook w:val="04A0" w:firstRow="1" w:lastRow="0" w:firstColumn="1" w:lastColumn="0" w:noHBand="0" w:noVBand="1"/>
      </w:tblPr>
      <w:tblGrid>
        <w:gridCol w:w="8516"/>
      </w:tblGrid>
      <w:tr w:rsidR="008509B2" w:rsidRPr="00AF3075" w14:paraId="1F86A732" w14:textId="77777777" w:rsidTr="005357A6">
        <w:tc>
          <w:tcPr>
            <w:tcW w:w="8516" w:type="dxa"/>
            <w:tcBorders>
              <w:top w:val="nil"/>
              <w:left w:val="nil"/>
              <w:bottom w:val="nil"/>
              <w:right w:val="nil"/>
            </w:tcBorders>
            <w:shd w:val="clear" w:color="auto" w:fill="D3E5F6" w:themeFill="accent2" w:themeFillTint="33"/>
          </w:tcPr>
          <w:p w14:paraId="32263DC2" w14:textId="61B24357" w:rsidR="008509B2" w:rsidRPr="005E0995" w:rsidRDefault="008509B2" w:rsidP="005357A6">
            <w:pPr>
              <w:shd w:val="clear" w:color="auto" w:fill="D3E5F6" w:themeFill="accent2" w:themeFillTint="33"/>
              <w:jc w:val="center"/>
              <w:rPr>
                <w:rStyle w:val="SubtleEmphasis"/>
              </w:rPr>
            </w:pPr>
            <w:r>
              <w:rPr>
                <w:b/>
                <w:iCs/>
                <w:color w:val="5B63B7" w:themeColor="text2" w:themeTint="99"/>
                <w:sz w:val="22"/>
              </w:rPr>
              <w:t xml:space="preserve">Judicial stereotyping </w:t>
            </w:r>
            <w:r w:rsidR="004E67D7">
              <w:rPr>
                <w:b/>
                <w:iCs/>
                <w:color w:val="5B63B7" w:themeColor="text2" w:themeTint="99"/>
                <w:sz w:val="22"/>
              </w:rPr>
              <w:t xml:space="preserve">in Chile </w:t>
            </w:r>
            <w:r>
              <w:rPr>
                <w:b/>
                <w:iCs/>
                <w:color w:val="5B63B7" w:themeColor="text2" w:themeTint="99"/>
                <w:sz w:val="22"/>
              </w:rPr>
              <w:t>violates the rights to non-discrimination and equality</w:t>
            </w:r>
          </w:p>
          <w:p w14:paraId="2EF55565" w14:textId="7EDE15F0" w:rsidR="008509B2" w:rsidRPr="008509B2" w:rsidRDefault="008509B2" w:rsidP="005357A6">
            <w:pPr>
              <w:spacing w:after="120"/>
              <w:rPr>
                <w:iCs/>
                <w:sz w:val="22"/>
                <w:lang w:val="en-US"/>
              </w:rPr>
            </w:pPr>
            <w:r>
              <w:rPr>
                <w:iCs/>
                <w:sz w:val="22"/>
                <w:lang w:val="en-US"/>
              </w:rPr>
              <w:t xml:space="preserve">In </w:t>
            </w:r>
            <w:r w:rsidRPr="008509B2">
              <w:rPr>
                <w:i/>
                <w:sz w:val="22"/>
              </w:rPr>
              <w:t xml:space="preserve">Atala Riffo and </w:t>
            </w:r>
            <w:r w:rsidR="004E67D7">
              <w:rPr>
                <w:i/>
                <w:sz w:val="22"/>
              </w:rPr>
              <w:t>D</w:t>
            </w:r>
            <w:r w:rsidR="004E67D7" w:rsidRPr="008509B2">
              <w:rPr>
                <w:i/>
                <w:sz w:val="22"/>
              </w:rPr>
              <w:t xml:space="preserve">aughters </w:t>
            </w:r>
            <w:r w:rsidRPr="008509B2">
              <w:rPr>
                <w:i/>
                <w:sz w:val="22"/>
              </w:rPr>
              <w:t>v. Chile</w:t>
            </w:r>
            <w:r w:rsidRPr="008509B2">
              <w:rPr>
                <w:sz w:val="22"/>
              </w:rPr>
              <w:t xml:space="preserve">, </w:t>
            </w:r>
            <w:r w:rsidR="003B58E8">
              <w:rPr>
                <w:sz w:val="22"/>
              </w:rPr>
              <w:t xml:space="preserve">a child custody matter, </w:t>
            </w:r>
            <w:r w:rsidRPr="008509B2">
              <w:rPr>
                <w:sz w:val="22"/>
              </w:rPr>
              <w:t>the Inter-American Court of Human Rights</w:t>
            </w:r>
            <w:r w:rsidR="005357A6">
              <w:rPr>
                <w:sz w:val="22"/>
              </w:rPr>
              <w:t xml:space="preserve"> recognised that judicial stereotyping is a form of discrimination and inequality.</w:t>
            </w:r>
            <w:r w:rsidR="009B3AE8">
              <w:rPr>
                <w:sz w:val="22"/>
              </w:rPr>
              <w:t xml:space="preserve">  In doing so, it noted</w:t>
            </w:r>
          </w:p>
          <w:p w14:paraId="50FD4681" w14:textId="62943623" w:rsidR="008509B2" w:rsidRPr="008509B2" w:rsidRDefault="005357A6" w:rsidP="005357A6">
            <w:pPr>
              <w:spacing w:before="120" w:after="120"/>
              <w:ind w:left="284"/>
              <w:rPr>
                <w:iCs/>
                <w:sz w:val="20"/>
                <w:lang w:val="en-US"/>
              </w:rPr>
            </w:pPr>
            <w:r>
              <w:rPr>
                <w:iCs/>
                <w:sz w:val="20"/>
              </w:rPr>
              <w:t xml:space="preserve">that although the Judgment of the Supreme Court and the provisional custody ruling sought to protect the best interests of the girls …, it was not demonstrated that the grounds stated in the decisions were appropriate to achieve said purpose, since the Supreme Court of Justice and the Juvenile Court of Villarrica did not prove in this specific case that Ms. Atala’s cohabitation with her partner had a negative effect on the girls’ best interest….  On the contrary </w:t>
            </w:r>
            <w:r w:rsidR="008509B2" w:rsidRPr="008509B2">
              <w:rPr>
                <w:iCs/>
                <w:sz w:val="20"/>
              </w:rPr>
              <w:t>they used abstract, stereotyped, and/or discriminatory arguments to justify their decisions …, for which reason said decisions constitute discriminatory treatment against Ms. Atala’</w:t>
            </w:r>
            <w:r w:rsidR="00CA665A">
              <w:rPr>
                <w:iCs/>
                <w:sz w:val="20"/>
              </w:rPr>
              <w:t>.</w:t>
            </w:r>
            <w:r w:rsidR="008509B2" w:rsidRPr="00624D2C">
              <w:rPr>
                <w:rStyle w:val="FootnoteReference"/>
                <w:iCs/>
                <w:sz w:val="20"/>
                <w:lang w:val="en-US"/>
              </w:rPr>
              <w:footnoteReference w:id="46"/>
            </w:r>
          </w:p>
        </w:tc>
      </w:tr>
    </w:tbl>
    <w:p w14:paraId="425AF42A" w14:textId="02CDB4C0" w:rsidR="005E0995" w:rsidRPr="003D3AF1" w:rsidRDefault="004675D0" w:rsidP="0050524D">
      <w:pPr>
        <w:rPr>
          <w:b/>
          <w:color w:val="374C80" w:themeColor="accent4" w:themeShade="BF"/>
        </w:rPr>
      </w:pPr>
      <w:r>
        <w:rPr>
          <w:b/>
          <w:color w:val="374C80" w:themeColor="accent4" w:themeShade="BF"/>
        </w:rPr>
        <w:t xml:space="preserve">(b) </w:t>
      </w:r>
      <w:r w:rsidR="005E0995" w:rsidRPr="003D3AF1">
        <w:rPr>
          <w:b/>
          <w:color w:val="374C80" w:themeColor="accent4" w:themeShade="BF"/>
        </w:rPr>
        <w:t>Right</w:t>
      </w:r>
      <w:r w:rsidR="00CC106A" w:rsidRPr="003D3AF1">
        <w:rPr>
          <w:b/>
          <w:color w:val="374C80" w:themeColor="accent4" w:themeShade="BF"/>
        </w:rPr>
        <w:t>s</w:t>
      </w:r>
      <w:r w:rsidR="005E0995" w:rsidRPr="003D3AF1">
        <w:rPr>
          <w:b/>
          <w:color w:val="374C80" w:themeColor="accent4" w:themeShade="BF"/>
        </w:rPr>
        <w:t xml:space="preserve"> to </w:t>
      </w:r>
      <w:r w:rsidR="00E25E3E" w:rsidRPr="003D3AF1">
        <w:rPr>
          <w:b/>
          <w:color w:val="374C80" w:themeColor="accent4" w:themeShade="BF"/>
        </w:rPr>
        <w:t xml:space="preserve">equality before courts and tribunals and to a </w:t>
      </w:r>
      <w:r w:rsidR="005E0995" w:rsidRPr="003D3AF1">
        <w:rPr>
          <w:b/>
          <w:color w:val="374C80" w:themeColor="accent4" w:themeShade="BF"/>
        </w:rPr>
        <w:t>fair trial</w:t>
      </w:r>
      <w:r w:rsidR="00E25E3E" w:rsidRPr="003D3AF1">
        <w:rPr>
          <w:b/>
          <w:color w:val="374C80" w:themeColor="accent4" w:themeShade="BF"/>
        </w:rPr>
        <w:t xml:space="preserve"> </w:t>
      </w:r>
    </w:p>
    <w:p w14:paraId="2FB98DEF" w14:textId="314EE100" w:rsidR="004B7379" w:rsidRDefault="00515F38" w:rsidP="00FD5CA9">
      <w:r>
        <w:t>International human rights law guarantees the right</w:t>
      </w:r>
      <w:r w:rsidR="00A30A45">
        <w:t>s</w:t>
      </w:r>
      <w:r>
        <w:t xml:space="preserve"> to equality before courts and tribunals and to a fair trial.</w:t>
      </w:r>
      <w:r w:rsidR="00DD5E7A">
        <w:t xml:space="preserve">  For example:</w:t>
      </w:r>
      <w:r w:rsidR="00985B6B">
        <w:t xml:space="preserve"> </w:t>
      </w:r>
      <w:r w:rsidR="000D63B1">
        <w:t xml:space="preserve"> </w:t>
      </w:r>
    </w:p>
    <w:p w14:paraId="7BF78958" w14:textId="5D5B7A00" w:rsidR="00A30A45" w:rsidRPr="00A30A45" w:rsidRDefault="00DD5E7A" w:rsidP="00FD5CA9">
      <w:pPr>
        <w:pStyle w:val="ListParagraph"/>
        <w:numPr>
          <w:ilvl w:val="0"/>
          <w:numId w:val="27"/>
        </w:numPr>
        <w:spacing w:before="120" w:after="120"/>
        <w:ind w:left="567"/>
        <w:rPr>
          <w:iCs/>
          <w:color w:val="000000" w:themeColor="text1"/>
        </w:rPr>
      </w:pPr>
      <w:r>
        <w:t>a</w:t>
      </w:r>
      <w:r w:rsidR="005C6EA8" w:rsidRPr="00FD5CA9">
        <w:t xml:space="preserve">rticle 14 of the </w:t>
      </w:r>
      <w:r w:rsidR="005C6EA8" w:rsidRPr="00A30A45">
        <w:rPr>
          <w:i/>
        </w:rPr>
        <w:t xml:space="preserve">International Covenant on Civil and Political Rights </w:t>
      </w:r>
      <w:r w:rsidR="005C6EA8" w:rsidRPr="00FD5CA9">
        <w:t>(</w:t>
      </w:r>
      <w:r w:rsidR="005C6EA8" w:rsidRPr="00A30A45">
        <w:rPr>
          <w:b/>
        </w:rPr>
        <w:t>ICCPR</w:t>
      </w:r>
      <w:r w:rsidR="005C6EA8" w:rsidRPr="00FD5CA9">
        <w:t>)</w:t>
      </w:r>
      <w:r w:rsidR="000D63B1">
        <w:t xml:space="preserve"> provides that ‘[a]ll persons shall be equal before the courts and tribunals’</w:t>
      </w:r>
      <w:r w:rsidR="00AA5375">
        <w:t xml:space="preserve"> and ‘everyone shall be entitled to a fair and public hearing by a competent, independent and impartial tribunal established by law’</w:t>
      </w:r>
      <w:r>
        <w:t xml:space="preserve"> </w:t>
      </w:r>
      <w:r w:rsidR="000D63B1">
        <w:t xml:space="preserve">  </w:t>
      </w:r>
    </w:p>
    <w:p w14:paraId="2AD16DD0" w14:textId="77777777" w:rsidR="00263926" w:rsidRPr="00263926" w:rsidRDefault="00DD5E7A" w:rsidP="00FD5CA9">
      <w:pPr>
        <w:pStyle w:val="ListParagraph"/>
        <w:numPr>
          <w:ilvl w:val="0"/>
          <w:numId w:val="27"/>
        </w:numPr>
        <w:spacing w:before="120" w:after="120"/>
        <w:ind w:left="567"/>
        <w:rPr>
          <w:iCs/>
          <w:color w:val="000000" w:themeColor="text1"/>
        </w:rPr>
      </w:pPr>
      <w:r>
        <w:t>a</w:t>
      </w:r>
      <w:r w:rsidR="000D63B1">
        <w:t>rticle 15</w:t>
      </w:r>
      <w:r w:rsidR="00AA5375">
        <w:t>(1)</w:t>
      </w:r>
      <w:r w:rsidR="000D63B1">
        <w:t xml:space="preserve"> of CEDAW</w:t>
      </w:r>
      <w:r w:rsidR="00AA5375">
        <w:t xml:space="preserve"> requires States Parties to ‘accord to women equality with men before the law’</w:t>
      </w:r>
      <w:r w:rsidR="00B575BE">
        <w:rPr>
          <w:rStyle w:val="FootnoteReference"/>
        </w:rPr>
        <w:footnoteReference w:id="47"/>
      </w:r>
    </w:p>
    <w:p w14:paraId="098431FF" w14:textId="3A16CEC4" w:rsidR="000D63B1" w:rsidRPr="00C56CBC" w:rsidRDefault="00263926" w:rsidP="00FD5CA9">
      <w:pPr>
        <w:pStyle w:val="ListParagraph"/>
        <w:numPr>
          <w:ilvl w:val="0"/>
          <w:numId w:val="27"/>
        </w:numPr>
        <w:spacing w:before="120" w:after="120"/>
        <w:ind w:left="567"/>
        <w:rPr>
          <w:iCs/>
          <w:color w:val="000000" w:themeColor="text1"/>
        </w:rPr>
      </w:pPr>
      <w:r w:rsidRPr="00C56CBC">
        <w:t>article 1</w:t>
      </w:r>
      <w:r w:rsidR="00C56CBC">
        <w:t>2</w:t>
      </w:r>
      <w:r w:rsidRPr="00C56CBC">
        <w:t xml:space="preserve"> of the CRPD </w:t>
      </w:r>
      <w:r w:rsidR="00C56CBC">
        <w:t>guarantees persons with disabilities equal recognition before the law and article 13 guarantees ‘effective access to justice for persons with disabilities on an equal basis with others’.</w:t>
      </w:r>
    </w:p>
    <w:p w14:paraId="56AA5E48" w14:textId="6AEDC0F7" w:rsidR="005E0995" w:rsidRPr="003F0FCC" w:rsidRDefault="00A30A45" w:rsidP="003F0FCC">
      <w:r>
        <w:t>T</w:t>
      </w:r>
      <w:r w:rsidR="000D63B1">
        <w:t>hese guarantees aim to ensure the proper administration and enforcement of justice at all stages of legal proceedings and by all courts</w:t>
      </w:r>
      <w:r w:rsidR="0041015F">
        <w:t xml:space="preserve"> and tribunals</w:t>
      </w:r>
      <w:r w:rsidR="000D63B1">
        <w:t>.</w:t>
      </w:r>
      <w:r w:rsidR="0041015F">
        <w:t xml:space="preserve">  </w:t>
      </w:r>
      <w:r w:rsidR="003F0FCC">
        <w:t xml:space="preserve">To comply with these guarantees, </w:t>
      </w:r>
      <w:r>
        <w:t xml:space="preserve">it is crucial that </w:t>
      </w:r>
      <w:r w:rsidR="003F0FCC">
        <w:t xml:space="preserve">members of the judiciary </w:t>
      </w:r>
      <w:r>
        <w:t xml:space="preserve">decide </w:t>
      </w:r>
      <w:r w:rsidR="000F4192">
        <w:t xml:space="preserve">gender-based </w:t>
      </w:r>
      <w:r>
        <w:t>cases impartially and without discriminating against th</w:t>
      </w:r>
      <w:r w:rsidR="000F4192">
        <w:t>os</w:t>
      </w:r>
      <w:r>
        <w:t xml:space="preserve">e </w:t>
      </w:r>
      <w:r w:rsidR="000F4192">
        <w:t xml:space="preserve">involved in </w:t>
      </w:r>
      <w:r w:rsidR="003F0FCC">
        <w:t>the proceedings</w:t>
      </w:r>
      <w:r w:rsidR="000F4192">
        <w:t>, including on the basis of gender stereotypes</w:t>
      </w:r>
      <w:r w:rsidR="003F0FCC">
        <w:t>.</w:t>
      </w:r>
      <w:r w:rsidR="00E25E3E" w:rsidRPr="00FD5CA9">
        <w:rPr>
          <w:rStyle w:val="FootnoteReference"/>
        </w:rPr>
        <w:footnoteReference w:id="48"/>
      </w:r>
    </w:p>
    <w:tbl>
      <w:tblPr>
        <w:tblStyle w:val="TableGrid"/>
        <w:tblW w:w="0" w:type="auto"/>
        <w:tblLook w:val="04A0" w:firstRow="1" w:lastRow="0" w:firstColumn="1" w:lastColumn="0" w:noHBand="0" w:noVBand="1"/>
      </w:tblPr>
      <w:tblGrid>
        <w:gridCol w:w="8516"/>
      </w:tblGrid>
      <w:tr w:rsidR="005E0995" w:rsidRPr="00AF3075" w14:paraId="20F05091" w14:textId="77777777" w:rsidTr="005C6EA8">
        <w:tc>
          <w:tcPr>
            <w:tcW w:w="8516" w:type="dxa"/>
            <w:tcBorders>
              <w:top w:val="nil"/>
              <w:left w:val="nil"/>
              <w:bottom w:val="nil"/>
              <w:right w:val="nil"/>
            </w:tcBorders>
            <w:shd w:val="clear" w:color="auto" w:fill="D3E5F6" w:themeFill="accent2" w:themeFillTint="33"/>
          </w:tcPr>
          <w:p w14:paraId="5E0D997D" w14:textId="2AA07577" w:rsidR="005E0995" w:rsidRPr="005E0995" w:rsidRDefault="005E0995" w:rsidP="005C6EA8">
            <w:pPr>
              <w:shd w:val="clear" w:color="auto" w:fill="D3E5F6" w:themeFill="accent2" w:themeFillTint="33"/>
              <w:jc w:val="center"/>
              <w:rPr>
                <w:rStyle w:val="SubtleEmphasis"/>
              </w:rPr>
            </w:pPr>
            <w:r w:rsidRPr="005E0995">
              <w:rPr>
                <w:b/>
                <w:iCs/>
                <w:color w:val="5B63B7" w:themeColor="text2" w:themeTint="99"/>
                <w:sz w:val="22"/>
              </w:rPr>
              <w:t>Stereotyping</w:t>
            </w:r>
            <w:r>
              <w:rPr>
                <w:b/>
                <w:iCs/>
                <w:color w:val="5B63B7" w:themeColor="text2" w:themeTint="99"/>
                <w:sz w:val="22"/>
              </w:rPr>
              <w:t xml:space="preserve"> affects women’s right to a fair and just trial</w:t>
            </w:r>
            <w:r w:rsidR="006F4C62">
              <w:rPr>
                <w:b/>
                <w:iCs/>
                <w:color w:val="5B63B7" w:themeColor="text2" w:themeTint="99"/>
                <w:sz w:val="22"/>
              </w:rPr>
              <w:t xml:space="preserve"> and judges must not apply stereotypes to victims or survivors of violence</w:t>
            </w:r>
          </w:p>
          <w:p w14:paraId="068FBBEC" w14:textId="194B4F95" w:rsidR="00624D2C" w:rsidRPr="00624D2C" w:rsidRDefault="00624D2C" w:rsidP="00413097">
            <w:pPr>
              <w:spacing w:after="120"/>
              <w:rPr>
                <w:iCs/>
                <w:sz w:val="22"/>
                <w:lang w:val="en-US"/>
              </w:rPr>
            </w:pPr>
            <w:r>
              <w:rPr>
                <w:iCs/>
                <w:sz w:val="22"/>
                <w:lang w:val="en-US"/>
              </w:rPr>
              <w:t xml:space="preserve">In </w:t>
            </w:r>
            <w:r>
              <w:rPr>
                <w:i/>
                <w:iCs/>
                <w:sz w:val="22"/>
                <w:lang w:val="en-US"/>
              </w:rPr>
              <w:t>Karen Tayag Vertido v. The Philippines</w:t>
            </w:r>
            <w:r>
              <w:rPr>
                <w:iCs/>
                <w:sz w:val="22"/>
                <w:lang w:val="en-US"/>
              </w:rPr>
              <w:t>, the CEDAW Committee stressed that</w:t>
            </w:r>
          </w:p>
          <w:p w14:paraId="3735AB10" w14:textId="056D88CF" w:rsidR="005E0995" w:rsidRPr="005E0995" w:rsidRDefault="005E0995" w:rsidP="00413097">
            <w:pPr>
              <w:spacing w:before="120" w:after="120"/>
              <w:ind w:left="284"/>
              <w:rPr>
                <w:iCs/>
                <w:sz w:val="20"/>
              </w:rPr>
            </w:pPr>
            <w:r w:rsidRPr="00624D2C">
              <w:rPr>
                <w:iCs/>
                <w:sz w:val="20"/>
                <w:lang w:val="en-US"/>
              </w:rPr>
              <w:t>stereotyping affects women’s right to a fair and just trial and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w:t>
            </w:r>
            <w:r w:rsidRPr="00624D2C">
              <w:rPr>
                <w:rStyle w:val="FootnoteReference"/>
                <w:iCs/>
                <w:sz w:val="20"/>
                <w:lang w:val="en-US"/>
              </w:rPr>
              <w:footnoteReference w:id="49"/>
            </w:r>
          </w:p>
        </w:tc>
      </w:tr>
    </w:tbl>
    <w:p w14:paraId="2453B125" w14:textId="685425BB" w:rsidR="005E0995" w:rsidRDefault="005E0995" w:rsidP="005E0995">
      <w:pPr>
        <w:spacing w:before="0" w:after="0"/>
        <w:rPr>
          <w:rFonts w:eastAsiaTheme="majorEastAsia" w:cstheme="majorBidi"/>
          <w:b/>
          <w:bCs/>
          <w:sz w:val="28"/>
          <w:szCs w:val="32"/>
          <w:lang w:val="en-US"/>
        </w:rPr>
      </w:pPr>
      <w:r>
        <w:rPr>
          <w:rFonts w:eastAsiaTheme="majorEastAsia" w:cstheme="majorBidi"/>
          <w:b/>
          <w:bCs/>
          <w:sz w:val="28"/>
          <w:szCs w:val="32"/>
          <w:lang w:val="en-US"/>
        </w:rPr>
        <w:t xml:space="preserve"> </w:t>
      </w:r>
    </w:p>
    <w:tbl>
      <w:tblPr>
        <w:tblStyle w:val="TableGrid"/>
        <w:tblW w:w="0" w:type="auto"/>
        <w:tblLook w:val="04A0" w:firstRow="1" w:lastRow="0" w:firstColumn="1" w:lastColumn="0" w:noHBand="0" w:noVBand="1"/>
      </w:tblPr>
      <w:tblGrid>
        <w:gridCol w:w="8516"/>
      </w:tblGrid>
      <w:tr w:rsidR="00233CFE" w:rsidRPr="00AF3075" w14:paraId="1578ABFD" w14:textId="77777777" w:rsidTr="00C90417">
        <w:tc>
          <w:tcPr>
            <w:tcW w:w="8516" w:type="dxa"/>
            <w:tcBorders>
              <w:top w:val="nil"/>
              <w:left w:val="nil"/>
              <w:bottom w:val="nil"/>
              <w:right w:val="nil"/>
            </w:tcBorders>
            <w:shd w:val="clear" w:color="auto" w:fill="D3E5F6" w:themeFill="accent2" w:themeFillTint="33"/>
          </w:tcPr>
          <w:p w14:paraId="2CC1F8AD" w14:textId="5017D368" w:rsidR="00233CFE" w:rsidRPr="005E0995" w:rsidRDefault="000F4192" w:rsidP="00C90417">
            <w:pPr>
              <w:shd w:val="clear" w:color="auto" w:fill="D3E5F6" w:themeFill="accent2" w:themeFillTint="33"/>
              <w:jc w:val="center"/>
              <w:rPr>
                <w:rStyle w:val="SubtleEmphasis"/>
              </w:rPr>
            </w:pPr>
            <w:r>
              <w:rPr>
                <w:b/>
                <w:iCs/>
                <w:color w:val="5B63B7" w:themeColor="text2" w:themeTint="99"/>
                <w:sz w:val="22"/>
              </w:rPr>
              <w:t>Violence proceedings must be fair and impartial and free of stereotypes</w:t>
            </w:r>
          </w:p>
          <w:p w14:paraId="531AB7FF" w14:textId="4115BB86" w:rsidR="00624D2C" w:rsidRPr="00624D2C" w:rsidRDefault="00624D2C" w:rsidP="00413097">
            <w:pPr>
              <w:spacing w:after="120"/>
              <w:rPr>
                <w:iCs/>
                <w:sz w:val="22"/>
                <w:szCs w:val="20"/>
                <w:lang w:val="en-US"/>
              </w:rPr>
            </w:pPr>
            <w:r>
              <w:rPr>
                <w:iCs/>
                <w:sz w:val="22"/>
                <w:szCs w:val="20"/>
                <w:lang w:val="en-US"/>
              </w:rPr>
              <w:t xml:space="preserve">In </w:t>
            </w:r>
            <w:r>
              <w:rPr>
                <w:i/>
                <w:iCs/>
                <w:sz w:val="22"/>
                <w:szCs w:val="20"/>
                <w:lang w:val="en-US"/>
              </w:rPr>
              <w:t>R.P.B. v. The Philippines</w:t>
            </w:r>
            <w:r>
              <w:rPr>
                <w:iCs/>
                <w:sz w:val="22"/>
                <w:szCs w:val="20"/>
                <w:lang w:val="en-US"/>
              </w:rPr>
              <w:t xml:space="preserve">, </w:t>
            </w:r>
            <w:r w:rsidRPr="00624D2C">
              <w:rPr>
                <w:iCs/>
                <w:sz w:val="22"/>
                <w:szCs w:val="20"/>
                <w:lang w:val="en-US"/>
              </w:rPr>
              <w:t>the CEDAW Committee</w:t>
            </w:r>
            <w:r>
              <w:rPr>
                <w:iCs/>
                <w:sz w:val="22"/>
                <w:szCs w:val="20"/>
                <w:lang w:val="en-US"/>
              </w:rPr>
              <w:t xml:space="preserve"> </w:t>
            </w:r>
            <w:r w:rsidR="00A67A04">
              <w:rPr>
                <w:iCs/>
                <w:sz w:val="22"/>
                <w:szCs w:val="20"/>
                <w:lang w:val="en-US"/>
              </w:rPr>
              <w:t xml:space="preserve">affirmed that stereotyping affects women’s right to a fair trial and </w:t>
            </w:r>
            <w:r>
              <w:rPr>
                <w:iCs/>
                <w:sz w:val="22"/>
                <w:szCs w:val="20"/>
                <w:lang w:val="en-US"/>
              </w:rPr>
              <w:t>urged the State Party to</w:t>
            </w:r>
            <w:r w:rsidRPr="00624D2C">
              <w:rPr>
                <w:iCs/>
                <w:sz w:val="22"/>
                <w:szCs w:val="20"/>
                <w:lang w:val="en-US"/>
              </w:rPr>
              <w:t xml:space="preserve"> </w:t>
            </w:r>
          </w:p>
          <w:p w14:paraId="2F048816" w14:textId="66860646" w:rsidR="000F4192" w:rsidRPr="000F4192" w:rsidRDefault="000F4192" w:rsidP="00624D2C">
            <w:pPr>
              <w:spacing w:before="120" w:after="120"/>
              <w:ind w:left="284"/>
              <w:rPr>
                <w:iCs/>
                <w:sz w:val="20"/>
                <w:szCs w:val="20"/>
                <w:lang w:val="en-US"/>
              </w:rPr>
            </w:pPr>
            <w:r w:rsidRPr="000F4192">
              <w:rPr>
                <w:iCs/>
                <w:sz w:val="20"/>
                <w:szCs w:val="20"/>
                <w:lang w:val="en-US"/>
              </w:rPr>
              <w:t>Ensure that all criminal proceedings involving rape and other sexual offences are conducted in an impartial and fair manner and free from prejudices or stereotypical notions regarding the victim’s gender, age and disability;</w:t>
            </w:r>
          </w:p>
          <w:p w14:paraId="286DC058" w14:textId="51D22985" w:rsidR="00233CFE" w:rsidRPr="000F4192" w:rsidRDefault="000F4192" w:rsidP="00624D2C">
            <w:pPr>
              <w:spacing w:before="120" w:after="120"/>
              <w:ind w:left="284"/>
              <w:rPr>
                <w:iCs/>
                <w:sz w:val="22"/>
                <w:lang w:val="en-US"/>
              </w:rPr>
            </w:pPr>
            <w:r w:rsidRPr="000F4192">
              <w:rPr>
                <w:iCs/>
                <w:sz w:val="20"/>
                <w:szCs w:val="20"/>
                <w:lang w:val="en-US"/>
              </w:rPr>
              <w:t>Provide adequate and regular training on the Convention, the Optional Protocol thereto and the Committee’s general recommendations, in particular general recommendations Nos. 18 and 19, to the judiciary and legal professionals so to ensure that stereotypes and gender bias do not affect court proceedings and decision-making</w:t>
            </w:r>
            <w:r w:rsidR="00624D2C">
              <w:rPr>
                <w:iCs/>
                <w:sz w:val="20"/>
                <w:szCs w:val="20"/>
                <w:lang w:val="en-US"/>
              </w:rPr>
              <w:t>.</w:t>
            </w:r>
            <w:r w:rsidR="00233CFE" w:rsidRPr="00794CF1">
              <w:rPr>
                <w:rStyle w:val="FootnoteReference"/>
                <w:iCs/>
                <w:sz w:val="22"/>
                <w:lang w:val="en-US"/>
              </w:rPr>
              <w:footnoteReference w:id="50"/>
            </w:r>
          </w:p>
        </w:tc>
      </w:tr>
    </w:tbl>
    <w:p w14:paraId="0BEFC5A1" w14:textId="77777777" w:rsidR="00233CFE" w:rsidRDefault="00233CFE" w:rsidP="005E0995">
      <w:pPr>
        <w:spacing w:before="0" w:after="0"/>
        <w:rPr>
          <w:rFonts w:eastAsiaTheme="majorEastAsia" w:cstheme="majorBidi"/>
          <w:b/>
          <w:bCs/>
          <w:sz w:val="28"/>
          <w:szCs w:val="32"/>
          <w:lang w:val="en-US"/>
        </w:rPr>
      </w:pPr>
    </w:p>
    <w:tbl>
      <w:tblPr>
        <w:tblStyle w:val="TableGrid"/>
        <w:tblW w:w="0" w:type="auto"/>
        <w:tblLook w:val="04A0" w:firstRow="1" w:lastRow="0" w:firstColumn="1" w:lastColumn="0" w:noHBand="0" w:noVBand="1"/>
      </w:tblPr>
      <w:tblGrid>
        <w:gridCol w:w="8516"/>
      </w:tblGrid>
      <w:tr w:rsidR="00C71D08" w:rsidRPr="00AF3075" w14:paraId="4935BD94" w14:textId="77777777" w:rsidTr="005C6EA8">
        <w:tc>
          <w:tcPr>
            <w:tcW w:w="8516" w:type="dxa"/>
            <w:tcBorders>
              <w:top w:val="nil"/>
              <w:left w:val="nil"/>
              <w:bottom w:val="nil"/>
              <w:right w:val="nil"/>
            </w:tcBorders>
            <w:shd w:val="clear" w:color="auto" w:fill="D3E5F6" w:themeFill="accent2" w:themeFillTint="33"/>
          </w:tcPr>
          <w:p w14:paraId="678FCCEA" w14:textId="0E3DD429" w:rsidR="00C71D08" w:rsidRPr="005E0995" w:rsidRDefault="00C71D08" w:rsidP="005C6EA8">
            <w:pPr>
              <w:shd w:val="clear" w:color="auto" w:fill="D3E5F6" w:themeFill="accent2" w:themeFillTint="33"/>
              <w:jc w:val="center"/>
              <w:rPr>
                <w:rStyle w:val="SubtleEmphasis"/>
              </w:rPr>
            </w:pPr>
            <w:r>
              <w:rPr>
                <w:b/>
                <w:iCs/>
                <w:color w:val="5B63B7" w:themeColor="text2" w:themeTint="99"/>
                <w:sz w:val="22"/>
              </w:rPr>
              <w:t xml:space="preserve">Judges’ decisions must </w:t>
            </w:r>
            <w:r w:rsidR="00DF4C93">
              <w:rPr>
                <w:b/>
                <w:iCs/>
                <w:color w:val="5B63B7" w:themeColor="text2" w:themeTint="99"/>
                <w:sz w:val="22"/>
              </w:rPr>
              <w:t xml:space="preserve">be impartial and </w:t>
            </w:r>
            <w:r>
              <w:rPr>
                <w:b/>
                <w:iCs/>
                <w:color w:val="5B63B7" w:themeColor="text2" w:themeTint="99"/>
                <w:sz w:val="22"/>
              </w:rPr>
              <w:t>not influenced by stereotypes or other biases</w:t>
            </w:r>
          </w:p>
          <w:p w14:paraId="5957895F" w14:textId="1BEBA891" w:rsidR="00624D2C" w:rsidRPr="00624D2C" w:rsidRDefault="00624D2C" w:rsidP="00413097">
            <w:pPr>
              <w:spacing w:after="120"/>
              <w:rPr>
                <w:sz w:val="22"/>
              </w:rPr>
            </w:pPr>
            <w:r>
              <w:rPr>
                <w:sz w:val="22"/>
              </w:rPr>
              <w:t xml:space="preserve">In its </w:t>
            </w:r>
            <w:r>
              <w:rPr>
                <w:i/>
                <w:sz w:val="22"/>
              </w:rPr>
              <w:t>General Comment No. 32</w:t>
            </w:r>
            <w:r>
              <w:rPr>
                <w:sz w:val="22"/>
              </w:rPr>
              <w:t xml:space="preserve"> on article 14 of the ICCPR, the Human Rights Committee noted that there are two aspects to the requirement of impartiality.</w:t>
            </w:r>
          </w:p>
          <w:p w14:paraId="12B51D67" w14:textId="3AAE752E" w:rsidR="00C71D08" w:rsidRPr="00C71D08" w:rsidRDefault="00C71D08" w:rsidP="00413097">
            <w:pPr>
              <w:spacing w:before="120" w:after="120"/>
              <w:ind w:left="284"/>
              <w:rPr>
                <w:iCs/>
                <w:sz w:val="22"/>
                <w:lang w:val="en-US"/>
              </w:rPr>
            </w:pPr>
            <w:r w:rsidRPr="00624D2C">
              <w:rPr>
                <w:sz w:val="20"/>
              </w:rPr>
              <w:t>First, judges must not allow their judgement to be influenced by personal bias or prejudice, nor harbour preconceptions about the particular case before them, nor act in ways that improperly promote the interests of one of the parties to the detriment of the other.  Second, the tribunal must also appear to a reasonable observer to be impartial.</w:t>
            </w:r>
            <w:r w:rsidRPr="00624D2C">
              <w:rPr>
                <w:rStyle w:val="FootnoteReference"/>
                <w:sz w:val="20"/>
              </w:rPr>
              <w:footnoteReference w:id="51"/>
            </w:r>
          </w:p>
        </w:tc>
      </w:tr>
    </w:tbl>
    <w:p w14:paraId="6351290E" w14:textId="3783A512" w:rsidR="004B7379" w:rsidRPr="003D3AF1" w:rsidRDefault="00A67A04" w:rsidP="00360355">
      <w:pPr>
        <w:keepNext/>
        <w:rPr>
          <w:b/>
          <w:color w:val="374C80" w:themeColor="accent4" w:themeShade="BF"/>
        </w:rPr>
      </w:pPr>
      <w:r>
        <w:rPr>
          <w:b/>
          <w:color w:val="374C80" w:themeColor="accent4" w:themeShade="BF"/>
        </w:rPr>
        <w:t xml:space="preserve">(c) </w:t>
      </w:r>
      <w:r w:rsidR="004B7379" w:rsidRPr="003D3AF1">
        <w:rPr>
          <w:b/>
          <w:color w:val="374C80" w:themeColor="accent4" w:themeShade="BF"/>
        </w:rPr>
        <w:t>Right to an effective remedy</w:t>
      </w:r>
    </w:p>
    <w:p w14:paraId="458EDE28" w14:textId="358BC1CB" w:rsidR="00B536FA" w:rsidRDefault="00DD5E7A" w:rsidP="00B536FA">
      <w:r>
        <w:t>T</w:t>
      </w:r>
      <w:r w:rsidR="00DF4C93">
        <w:t>he right</w:t>
      </w:r>
      <w:r w:rsidR="00A30A45">
        <w:t xml:space="preserve"> to </w:t>
      </w:r>
      <w:r w:rsidR="00DF4C93">
        <w:t>an effective remedy</w:t>
      </w:r>
      <w:r w:rsidR="009B087D">
        <w:t xml:space="preserve"> </w:t>
      </w:r>
      <w:r>
        <w:t>is guaranteed under several international human rights treaties</w:t>
      </w:r>
      <w:r w:rsidR="00DF4C93">
        <w:t>.</w:t>
      </w:r>
      <w:r w:rsidR="00B536FA">
        <w:t xml:space="preserve">  For example:  </w:t>
      </w:r>
    </w:p>
    <w:p w14:paraId="399D1F37" w14:textId="2365720D" w:rsidR="00B536FA" w:rsidRPr="00A15EFF" w:rsidRDefault="00B536FA" w:rsidP="00A15EFF">
      <w:pPr>
        <w:pStyle w:val="ListParagraph"/>
        <w:numPr>
          <w:ilvl w:val="0"/>
          <w:numId w:val="27"/>
        </w:numPr>
        <w:spacing w:before="120" w:after="120"/>
        <w:ind w:left="567"/>
        <w:rPr>
          <w:iCs/>
          <w:color w:val="000000" w:themeColor="text1"/>
        </w:rPr>
      </w:pPr>
      <w:r>
        <w:t>a</w:t>
      </w:r>
      <w:r w:rsidRPr="00FD5CA9">
        <w:t xml:space="preserve">rticle </w:t>
      </w:r>
      <w:r w:rsidR="00A15EFF">
        <w:t>2(3)</w:t>
      </w:r>
      <w:r w:rsidRPr="00FD5CA9">
        <w:t xml:space="preserve"> of the </w:t>
      </w:r>
      <w:r w:rsidRPr="00B536FA">
        <w:t>ICCPR</w:t>
      </w:r>
      <w:r w:rsidR="00EE30CC">
        <w:t xml:space="preserve"> </w:t>
      </w:r>
      <w:r w:rsidR="0077663B">
        <w:t>provides that</w:t>
      </w:r>
      <w:r w:rsidR="00EE30CC">
        <w:t xml:space="preserve"> ‘any person whose rights or freedoms as herein recognized are violated shall have an effective remedy’</w:t>
      </w:r>
      <w:r w:rsidR="00A15EFF">
        <w:t xml:space="preserve"> and the Human Rights Committee has </w:t>
      </w:r>
      <w:r w:rsidR="0077663B">
        <w:t>said</w:t>
      </w:r>
      <w:r w:rsidR="00A15EFF">
        <w:t xml:space="preserve"> that ‘this provision needs to be respected whenever any guarantee of article 14 has been violated</w:t>
      </w:r>
      <w:r w:rsidR="0077663B">
        <w:t>’</w:t>
      </w:r>
      <w:r w:rsidR="00A15EFF" w:rsidRPr="00FD5CA9">
        <w:rPr>
          <w:rStyle w:val="FootnoteReference"/>
        </w:rPr>
        <w:footnoteReference w:id="52"/>
      </w:r>
      <w:r w:rsidR="00A15EFF">
        <w:t xml:space="preserve"> </w:t>
      </w:r>
      <w:r>
        <w:t xml:space="preserve"> </w:t>
      </w:r>
    </w:p>
    <w:p w14:paraId="477FB1B3" w14:textId="4A6E3F51" w:rsidR="0077663B" w:rsidRPr="0077663B" w:rsidRDefault="00B536FA" w:rsidP="0077663B">
      <w:pPr>
        <w:pStyle w:val="ListParagraph"/>
        <w:numPr>
          <w:ilvl w:val="0"/>
          <w:numId w:val="27"/>
        </w:numPr>
        <w:spacing w:before="120" w:after="120"/>
        <w:ind w:left="567"/>
        <w:rPr>
          <w:iCs/>
          <w:color w:val="000000" w:themeColor="text1"/>
        </w:rPr>
      </w:pPr>
      <w:proofErr w:type="gramStart"/>
      <w:r>
        <w:t>articles</w:t>
      </w:r>
      <w:proofErr w:type="gramEnd"/>
      <w:r>
        <w:t xml:space="preserve"> 2(b) and 2(c) of CEDAW </w:t>
      </w:r>
      <w:r w:rsidR="00610DA8">
        <w:t xml:space="preserve">contain </w:t>
      </w:r>
      <w:r w:rsidR="0077663B">
        <w:t>an implied obligation</w:t>
      </w:r>
      <w:r w:rsidR="00610DA8">
        <w:t xml:space="preserve"> to provide effective remedies to women whose human rights have been violated</w:t>
      </w:r>
      <w:r w:rsidR="00B201B5">
        <w:t>.</w:t>
      </w:r>
      <w:r w:rsidR="00610DA8" w:rsidRPr="00FD5CA9">
        <w:rPr>
          <w:rStyle w:val="FootnoteReference"/>
        </w:rPr>
        <w:footnoteReference w:id="53"/>
      </w:r>
      <w:r w:rsidR="0077663B">
        <w:t xml:space="preserve"> </w:t>
      </w:r>
    </w:p>
    <w:p w14:paraId="3626684B" w14:textId="0327292D" w:rsidR="001E69E5" w:rsidRDefault="00C50AFB" w:rsidP="00D97923">
      <w:pPr>
        <w:spacing w:before="120"/>
      </w:pPr>
      <w:r>
        <w:t>The CEDAW Committee has explained that States Parties must ‘</w:t>
      </w:r>
      <w:r w:rsidRPr="00C50AFB">
        <w:t>provide reparation to women whose rights under the Convention have</w:t>
      </w:r>
      <w:r>
        <w:rPr>
          <w:rFonts w:ascii="Times" w:hAnsi="Times" w:cs="Times"/>
          <w:lang w:val="en-US"/>
        </w:rPr>
        <w:t xml:space="preserve"> </w:t>
      </w:r>
      <w:r w:rsidRPr="00C50AFB">
        <w:t xml:space="preserve">been violated. </w:t>
      </w:r>
      <w:r>
        <w:t xml:space="preserve"> </w:t>
      </w:r>
      <w:r w:rsidRPr="00C50AFB">
        <w:t>Without reparation the obligation to provide an appropriate remedy is not discharged</w:t>
      </w:r>
      <w:r>
        <w:t>’.</w:t>
      </w:r>
      <w:r w:rsidRPr="00FD5CA9">
        <w:rPr>
          <w:rStyle w:val="FootnoteReference"/>
        </w:rPr>
        <w:footnoteReference w:id="54"/>
      </w:r>
      <w:r w:rsidR="001E69E5">
        <w:t xml:space="preserve">  It has further explained that </w:t>
      </w:r>
      <w:r w:rsidR="001E69E5" w:rsidRPr="001E69E5">
        <w:rPr>
          <w:lang w:val="en-US"/>
        </w:rPr>
        <w:t xml:space="preserve">States </w:t>
      </w:r>
      <w:r w:rsidR="001E69E5">
        <w:rPr>
          <w:lang w:val="en-US"/>
        </w:rPr>
        <w:t>P</w:t>
      </w:r>
      <w:r w:rsidR="001E69E5" w:rsidRPr="001E69E5">
        <w:rPr>
          <w:lang w:val="en-US"/>
        </w:rPr>
        <w:t xml:space="preserve">arties must </w:t>
      </w:r>
      <w:r w:rsidR="001E69E5">
        <w:rPr>
          <w:lang w:val="en-US"/>
        </w:rPr>
        <w:t>‘</w:t>
      </w:r>
      <w:r w:rsidR="001E69E5" w:rsidRPr="001E69E5">
        <w:rPr>
          <w:lang w:val="en-US"/>
        </w:rPr>
        <w:t>ensure that women have recourse to affordable, accessible and timely remedies, with legal aid and assistance as necessary, to be settled in a fair hearing by a competent and independent court or tribunal, where appropriate</w:t>
      </w:r>
      <w:r w:rsidR="001E69E5">
        <w:rPr>
          <w:lang w:val="en-US"/>
        </w:rPr>
        <w:t>’</w:t>
      </w:r>
      <w:r w:rsidR="001E69E5" w:rsidRPr="001E69E5">
        <w:rPr>
          <w:lang w:val="en-US"/>
        </w:rPr>
        <w:t>.</w:t>
      </w:r>
      <w:r w:rsidR="001E69E5" w:rsidRPr="00FD5CA9">
        <w:rPr>
          <w:rStyle w:val="FootnoteReference"/>
        </w:rPr>
        <w:footnoteReference w:id="55"/>
      </w:r>
    </w:p>
    <w:p w14:paraId="7DF1A9E3" w14:textId="0374E29E" w:rsidR="00F0028A" w:rsidRPr="00E638A0" w:rsidRDefault="00F0028A" w:rsidP="0044008B">
      <w:r>
        <w:t xml:space="preserve">The right </w:t>
      </w:r>
      <w:r w:rsidR="001E69E5">
        <w:t xml:space="preserve">to an effective remedy </w:t>
      </w:r>
      <w:r>
        <w:t>applies to violations of all human rights</w:t>
      </w:r>
      <w:r w:rsidR="00C50AFB">
        <w:t>.</w:t>
      </w:r>
      <w:r>
        <w:t xml:space="preserve">  For example</w:t>
      </w:r>
      <w:r w:rsidR="0077663B">
        <w:t>, in cases of gender-based violence, the CEDAW Committee has urged States Parties to provide</w:t>
      </w:r>
    </w:p>
    <w:p w14:paraId="24DA2AE6" w14:textId="154A3732" w:rsidR="00F0028A" w:rsidRPr="00E638A0" w:rsidRDefault="0077663B" w:rsidP="0077663B">
      <w:pPr>
        <w:pStyle w:val="ListParagraph"/>
        <w:numPr>
          <w:ilvl w:val="0"/>
          <w:numId w:val="27"/>
        </w:numPr>
        <w:spacing w:before="120" w:after="120"/>
        <w:ind w:left="567"/>
        <w:rPr>
          <w:iCs/>
          <w:color w:val="000000" w:themeColor="text1"/>
        </w:rPr>
      </w:pPr>
      <w:r w:rsidRPr="00E638A0">
        <w:t xml:space="preserve">‘[e]ffective complaints procedures and remedies, including compensation’ </w:t>
      </w:r>
    </w:p>
    <w:p w14:paraId="52A080E8" w14:textId="77777777" w:rsidR="00F0028A" w:rsidRPr="00E638A0" w:rsidRDefault="0077663B" w:rsidP="0077663B">
      <w:pPr>
        <w:pStyle w:val="ListParagraph"/>
        <w:numPr>
          <w:ilvl w:val="0"/>
          <w:numId w:val="27"/>
        </w:numPr>
        <w:spacing w:before="120" w:after="120"/>
        <w:ind w:left="567"/>
        <w:rPr>
          <w:iCs/>
          <w:color w:val="000000" w:themeColor="text1"/>
        </w:rPr>
      </w:pPr>
      <w:r w:rsidRPr="00E638A0">
        <w:t>‘[c]riminal penalties where necessary and civil remedies in case of domestic violence’</w:t>
      </w:r>
    </w:p>
    <w:p w14:paraId="006D935F" w14:textId="699D6E8D" w:rsidR="00505EF1" w:rsidRPr="00E638A0" w:rsidRDefault="0077663B" w:rsidP="00702608">
      <w:pPr>
        <w:pStyle w:val="ListParagraph"/>
        <w:numPr>
          <w:ilvl w:val="0"/>
          <w:numId w:val="27"/>
        </w:numPr>
        <w:spacing w:before="120"/>
        <w:ind w:left="567"/>
        <w:rPr>
          <w:iCs/>
          <w:color w:val="000000" w:themeColor="text1"/>
        </w:rPr>
      </w:pPr>
      <w:r w:rsidRPr="00E638A0">
        <w:t>‘[e]ffective legal measures, including penal sanctions, civil remedies and compensatory provisions to protect women against all kinds of violence’.</w:t>
      </w:r>
      <w:r w:rsidR="006B1B96" w:rsidRPr="00E638A0">
        <w:rPr>
          <w:rStyle w:val="FootnoteReference"/>
        </w:rPr>
        <w:footnoteReference w:id="56"/>
      </w:r>
    </w:p>
    <w:tbl>
      <w:tblPr>
        <w:tblStyle w:val="TableGrid"/>
        <w:tblW w:w="0" w:type="auto"/>
        <w:tblLook w:val="04A0" w:firstRow="1" w:lastRow="0" w:firstColumn="1" w:lastColumn="0" w:noHBand="0" w:noVBand="1"/>
      </w:tblPr>
      <w:tblGrid>
        <w:gridCol w:w="8516"/>
      </w:tblGrid>
      <w:tr w:rsidR="00505EF1" w:rsidRPr="00AF3075" w14:paraId="038B025D" w14:textId="77777777" w:rsidTr="005075C8">
        <w:tc>
          <w:tcPr>
            <w:tcW w:w="8516" w:type="dxa"/>
            <w:tcBorders>
              <w:top w:val="nil"/>
              <w:left w:val="nil"/>
              <w:bottom w:val="nil"/>
              <w:right w:val="nil"/>
            </w:tcBorders>
            <w:shd w:val="clear" w:color="auto" w:fill="D3E5F6" w:themeFill="accent2" w:themeFillTint="33"/>
          </w:tcPr>
          <w:p w14:paraId="0B6A5524" w14:textId="780C2B77" w:rsidR="00505EF1" w:rsidRPr="005E0995" w:rsidRDefault="0011233F" w:rsidP="005075C8">
            <w:pPr>
              <w:shd w:val="clear" w:color="auto" w:fill="D3E5F6" w:themeFill="accent2" w:themeFillTint="33"/>
              <w:jc w:val="center"/>
              <w:rPr>
                <w:rStyle w:val="SubtleEmphasis"/>
              </w:rPr>
            </w:pPr>
            <w:r>
              <w:rPr>
                <w:b/>
                <w:iCs/>
                <w:color w:val="5B63B7" w:themeColor="text2" w:themeTint="99"/>
                <w:sz w:val="22"/>
              </w:rPr>
              <w:t>V</w:t>
            </w:r>
            <w:r w:rsidR="000341BC">
              <w:rPr>
                <w:b/>
                <w:iCs/>
                <w:color w:val="5B63B7" w:themeColor="text2" w:themeTint="99"/>
                <w:sz w:val="22"/>
              </w:rPr>
              <w:t xml:space="preserve">iolence </w:t>
            </w:r>
            <w:r w:rsidR="00C90417">
              <w:rPr>
                <w:b/>
                <w:iCs/>
                <w:color w:val="5B63B7" w:themeColor="text2" w:themeTint="99"/>
                <w:sz w:val="22"/>
              </w:rPr>
              <w:t>cases must be decided fairly,</w:t>
            </w:r>
            <w:r>
              <w:rPr>
                <w:b/>
                <w:iCs/>
                <w:color w:val="5B63B7" w:themeColor="text2" w:themeTint="99"/>
                <w:sz w:val="22"/>
              </w:rPr>
              <w:t xml:space="preserve"> </w:t>
            </w:r>
            <w:r w:rsidR="00C90417">
              <w:rPr>
                <w:b/>
                <w:iCs/>
                <w:color w:val="5B63B7" w:themeColor="text2" w:themeTint="99"/>
                <w:sz w:val="22"/>
              </w:rPr>
              <w:t>impartially and quickly</w:t>
            </w:r>
          </w:p>
          <w:p w14:paraId="049A0F09" w14:textId="5A3E0CF6" w:rsidR="00C90417" w:rsidRPr="00C90417" w:rsidRDefault="00C90417" w:rsidP="00413097">
            <w:pPr>
              <w:spacing w:after="120"/>
              <w:rPr>
                <w:sz w:val="22"/>
                <w:lang w:val="en-US"/>
              </w:rPr>
            </w:pPr>
            <w:r>
              <w:rPr>
                <w:sz w:val="22"/>
                <w:lang w:val="en-US"/>
              </w:rPr>
              <w:t xml:space="preserve">In </w:t>
            </w:r>
            <w:r>
              <w:rPr>
                <w:i/>
                <w:sz w:val="22"/>
                <w:lang w:val="en-US"/>
              </w:rPr>
              <w:t>R.P.B. v. The Philippines</w:t>
            </w:r>
            <w:r>
              <w:rPr>
                <w:sz w:val="22"/>
                <w:lang w:val="en-US"/>
              </w:rPr>
              <w:t>, the CEDAW Committee explained that,</w:t>
            </w:r>
          </w:p>
          <w:p w14:paraId="09510073" w14:textId="49B025ED" w:rsidR="00505EF1" w:rsidRPr="00505EF1" w:rsidRDefault="00505EF1" w:rsidP="00413097">
            <w:pPr>
              <w:spacing w:before="120" w:after="120"/>
              <w:ind w:left="284"/>
              <w:rPr>
                <w:sz w:val="22"/>
                <w:lang w:val="en-US"/>
              </w:rPr>
            </w:pPr>
            <w:proofErr w:type="gramStart"/>
            <w:r w:rsidRPr="00C90417">
              <w:rPr>
                <w:sz w:val="20"/>
                <w:lang w:val="en-US"/>
              </w:rPr>
              <w:t>for</w:t>
            </w:r>
            <w:proofErr w:type="gramEnd"/>
            <w:r w:rsidRPr="00C90417">
              <w:rPr>
                <w:sz w:val="20"/>
                <w:lang w:val="en-US"/>
              </w:rPr>
              <w:t xml:space="preserve"> a remedy to be effective, adjudication of a case involving rape and sexual offences claims should be dealt with in a fair, impartial, </w:t>
            </w:r>
            <w:r w:rsidR="00702608" w:rsidRPr="00C90417">
              <w:rPr>
                <w:sz w:val="20"/>
                <w:lang w:val="en-US"/>
              </w:rPr>
              <w:t>timely and expeditious manner.</w:t>
            </w:r>
            <w:r w:rsidRPr="00C90417">
              <w:rPr>
                <w:sz w:val="20"/>
                <w:lang w:val="en-US"/>
              </w:rPr>
              <w:t xml:space="preserve"> </w:t>
            </w:r>
            <w:r w:rsidR="00702608" w:rsidRPr="00C90417">
              <w:rPr>
                <w:sz w:val="20"/>
                <w:lang w:val="en-US"/>
              </w:rPr>
              <w:t xml:space="preserve"> </w:t>
            </w:r>
            <w:r w:rsidRPr="00C90417">
              <w:rPr>
                <w:sz w:val="20"/>
                <w:lang w:val="en-US"/>
              </w:rPr>
              <w:t>It further recall</w:t>
            </w:r>
            <w:r w:rsidR="00B201B5">
              <w:rPr>
                <w:sz w:val="20"/>
                <w:lang w:val="en-US"/>
              </w:rPr>
              <w:t>[ed]</w:t>
            </w:r>
            <w:r w:rsidRPr="00C90417">
              <w:rPr>
                <w:sz w:val="20"/>
                <w:lang w:val="en-US"/>
              </w:rPr>
              <w:t xml:space="preserve"> its general recommendation No. 18, where it observed that </w:t>
            </w:r>
            <w:r w:rsidR="00B201B5">
              <w:rPr>
                <w:sz w:val="20"/>
                <w:lang w:val="en-US"/>
              </w:rPr>
              <w:t>‘</w:t>
            </w:r>
            <w:r w:rsidRPr="00C90417">
              <w:rPr>
                <w:sz w:val="20"/>
                <w:lang w:val="en-US"/>
              </w:rPr>
              <w:t>disabled women are considered as a vulnerable group</w:t>
            </w:r>
            <w:r w:rsidR="00B201B5">
              <w:rPr>
                <w:sz w:val="20"/>
                <w:lang w:val="en-US"/>
              </w:rPr>
              <w:t>’</w:t>
            </w:r>
            <w:r w:rsidRPr="00C90417">
              <w:rPr>
                <w:sz w:val="20"/>
                <w:lang w:val="en-US"/>
              </w:rPr>
              <w:t xml:space="preserve">, </w:t>
            </w:r>
            <w:r w:rsidR="00B201B5">
              <w:rPr>
                <w:sz w:val="20"/>
                <w:lang w:val="en-US"/>
              </w:rPr>
              <w:t>‘</w:t>
            </w:r>
            <w:r w:rsidRPr="00C90417">
              <w:rPr>
                <w:sz w:val="20"/>
                <w:lang w:val="en-US"/>
              </w:rPr>
              <w:t>who suffer from a double discrimination linked to their special living conditions</w:t>
            </w:r>
            <w:r w:rsidR="00B201B5">
              <w:rPr>
                <w:sz w:val="20"/>
                <w:lang w:val="en-US"/>
              </w:rPr>
              <w:t>’</w:t>
            </w:r>
            <w:r w:rsidRPr="00C90417">
              <w:rPr>
                <w:sz w:val="20"/>
                <w:lang w:val="en-US"/>
              </w:rPr>
              <w:t xml:space="preserve">. </w:t>
            </w:r>
            <w:r w:rsidR="00B201B5">
              <w:rPr>
                <w:sz w:val="20"/>
                <w:lang w:val="en-US"/>
              </w:rPr>
              <w:t xml:space="preserve"> </w:t>
            </w:r>
            <w:r w:rsidRPr="00C90417">
              <w:rPr>
                <w:sz w:val="20"/>
                <w:lang w:val="en-US"/>
              </w:rPr>
              <w:t xml:space="preserve">In this context, the Committee </w:t>
            </w:r>
            <w:proofErr w:type="gramStart"/>
            <w:r w:rsidRPr="00C90417">
              <w:rPr>
                <w:sz w:val="20"/>
                <w:lang w:val="en-US"/>
              </w:rPr>
              <w:t>emphasize</w:t>
            </w:r>
            <w:r w:rsidR="00B201B5">
              <w:rPr>
                <w:sz w:val="20"/>
                <w:lang w:val="en-US"/>
              </w:rPr>
              <w:t>[</w:t>
            </w:r>
            <w:proofErr w:type="gramEnd"/>
            <w:r w:rsidR="00B201B5">
              <w:rPr>
                <w:sz w:val="20"/>
                <w:lang w:val="en-US"/>
              </w:rPr>
              <w:t>d]</w:t>
            </w:r>
            <w:r w:rsidRPr="00C90417">
              <w:rPr>
                <w:sz w:val="20"/>
                <w:lang w:val="en-US"/>
              </w:rPr>
              <w:t xml:space="preserve"> that it is crucial to ensure that women with disabilities enjoy effective protection against sex and gender-based discrimination by States parties and have access to effective remedies.</w:t>
            </w:r>
            <w:r w:rsidRPr="00C90417">
              <w:rPr>
                <w:rStyle w:val="FootnoteReference"/>
                <w:sz w:val="20"/>
              </w:rPr>
              <w:footnoteReference w:id="57"/>
            </w:r>
          </w:p>
        </w:tc>
      </w:tr>
    </w:tbl>
    <w:p w14:paraId="1264A902" w14:textId="202DB5FF" w:rsidR="009E368C" w:rsidRPr="00F85270" w:rsidRDefault="00360035" w:rsidP="00F85270">
      <w:r>
        <w:t xml:space="preserve">Although the Committee has made a number of structural recommendations to address judicial stereotyping, it has not yet </w:t>
      </w:r>
      <w:r w:rsidR="00D244DA">
        <w:t>provide</w:t>
      </w:r>
      <w:r w:rsidR="00725111">
        <w:t>d</w:t>
      </w:r>
      <w:r w:rsidR="00D244DA">
        <w:t xml:space="preserve"> guidance on the nature or types of remedies States Parties should provide to individuals affected by </w:t>
      </w:r>
      <w:r w:rsidR="0076557B">
        <w:t>this harmful practice</w:t>
      </w:r>
      <w:r w:rsidR="00F85270">
        <w:t>.</w:t>
      </w:r>
    </w:p>
    <w:p w14:paraId="0999A65E" w14:textId="77777777" w:rsidR="00DF4C93" w:rsidRDefault="00DF4C93">
      <w:pPr>
        <w:spacing w:before="0" w:after="0"/>
        <w:rPr>
          <w:rFonts w:eastAsiaTheme="majorEastAsia" w:cstheme="majorBidi"/>
          <w:b/>
          <w:bCs/>
          <w:color w:val="5B63B7" w:themeColor="text2" w:themeTint="99"/>
          <w:sz w:val="28"/>
          <w:szCs w:val="28"/>
        </w:rPr>
      </w:pPr>
      <w:r>
        <w:br w:type="page"/>
      </w:r>
    </w:p>
    <w:p w14:paraId="3EC21958" w14:textId="1252B295" w:rsidR="00247C67" w:rsidRPr="00AF3075" w:rsidRDefault="00E31D3F" w:rsidP="00797B12">
      <w:pPr>
        <w:pStyle w:val="Heading1"/>
        <w:rPr>
          <w:rFonts w:ascii="Candara" w:hAnsi="Candara"/>
        </w:rPr>
      </w:pPr>
      <w:bookmarkStart w:id="11" w:name="_Toc263972385"/>
      <w:r w:rsidRPr="00AF3075">
        <w:rPr>
          <w:rFonts w:ascii="Candara" w:hAnsi="Candara"/>
        </w:rPr>
        <w:t>3</w:t>
      </w:r>
      <w:r w:rsidR="00247C67" w:rsidRPr="00AF3075">
        <w:rPr>
          <w:rFonts w:ascii="Candara" w:hAnsi="Candara"/>
        </w:rPr>
        <w:t xml:space="preserve">. </w:t>
      </w:r>
      <w:bookmarkEnd w:id="8"/>
      <w:r w:rsidR="00A52DFA" w:rsidRPr="00AF3075">
        <w:rPr>
          <w:rFonts w:ascii="Candara" w:hAnsi="Candara"/>
        </w:rPr>
        <w:t xml:space="preserve">Understanding </w:t>
      </w:r>
      <w:r w:rsidR="0056282B" w:rsidRPr="00AF3075">
        <w:rPr>
          <w:rFonts w:ascii="Candara" w:hAnsi="Candara"/>
        </w:rPr>
        <w:t>stereotyping</w:t>
      </w:r>
      <w:bookmarkEnd w:id="11"/>
    </w:p>
    <w:p w14:paraId="7CBDD748" w14:textId="3DEBDFB0" w:rsidR="00257B06" w:rsidRPr="00AF3075" w:rsidRDefault="000D22E1" w:rsidP="00E31D3F">
      <w:bookmarkStart w:id="12" w:name="_Toc234329248"/>
      <w:r w:rsidRPr="00AF3075">
        <w:t>Understanding stereotyping</w:t>
      </w:r>
      <w:r w:rsidR="00EB4933" w:rsidRPr="00AF3075">
        <w:t xml:space="preserve"> and how judges stereotype </w:t>
      </w:r>
      <w:r w:rsidRPr="00AF3075">
        <w:t xml:space="preserve">in gender-based violence cases is </w:t>
      </w:r>
      <w:r w:rsidR="0000711D" w:rsidRPr="00AF3075">
        <w:t>key to</w:t>
      </w:r>
      <w:r w:rsidRPr="00AF3075">
        <w:t xml:space="preserve"> addressing this particular </w:t>
      </w:r>
      <w:r w:rsidR="00530FC5" w:rsidRPr="00AF3075">
        <w:t>barrier to justice</w:t>
      </w:r>
      <w:r w:rsidRPr="00AF3075">
        <w:t xml:space="preserve">. </w:t>
      </w:r>
      <w:r w:rsidR="007D2077">
        <w:t xml:space="preserve"> </w:t>
      </w:r>
      <w:r w:rsidR="002C69E9">
        <w:t>Section</w:t>
      </w:r>
      <w:r w:rsidR="003A30D0" w:rsidRPr="00AF3075">
        <w:t xml:space="preserve"> </w:t>
      </w:r>
      <w:r w:rsidR="000456F3" w:rsidRPr="00AF3075">
        <w:t xml:space="preserve">3 </w:t>
      </w:r>
      <w:r w:rsidR="0052127C" w:rsidRPr="00AF3075">
        <w:t xml:space="preserve">examines </w:t>
      </w:r>
      <w:r w:rsidR="00B55C08" w:rsidRPr="00AF3075">
        <w:t xml:space="preserve">the </w:t>
      </w:r>
      <w:r w:rsidR="0052127C" w:rsidRPr="00AF3075">
        <w:t xml:space="preserve">concept of </w:t>
      </w:r>
      <w:r w:rsidR="00B55C08" w:rsidRPr="00AF3075">
        <w:t>stereotype</w:t>
      </w:r>
      <w:r w:rsidR="0052127C" w:rsidRPr="00AF3075">
        <w:t>s</w:t>
      </w:r>
      <w:r w:rsidR="00B55C08" w:rsidRPr="00AF3075">
        <w:t xml:space="preserve"> and </w:t>
      </w:r>
      <w:r w:rsidR="0052127C" w:rsidRPr="00AF3075">
        <w:t xml:space="preserve">the practice </w:t>
      </w:r>
      <w:r w:rsidR="00026137" w:rsidRPr="00AF3075">
        <w:t xml:space="preserve">of </w:t>
      </w:r>
      <w:r w:rsidR="00B55C08" w:rsidRPr="00AF3075">
        <w:t>stereotyping</w:t>
      </w:r>
      <w:r w:rsidR="00BC6CB2">
        <w:t xml:space="preserve">.  It </w:t>
      </w:r>
      <w:r w:rsidR="00452F31" w:rsidRPr="00AF3075">
        <w:t>highlights</w:t>
      </w:r>
      <w:r w:rsidR="000456F3" w:rsidRPr="00AF3075">
        <w:t xml:space="preserve"> </w:t>
      </w:r>
      <w:r w:rsidR="009F4F10" w:rsidRPr="00AF3075">
        <w:t xml:space="preserve">some of the </w:t>
      </w:r>
      <w:r w:rsidR="000456F3" w:rsidRPr="00AF3075">
        <w:t xml:space="preserve">stereotypes </w:t>
      </w:r>
      <w:r w:rsidR="00257B06" w:rsidRPr="00AF3075">
        <w:t xml:space="preserve">commonly found in </w:t>
      </w:r>
      <w:r w:rsidR="001808C5" w:rsidRPr="00AF3075">
        <w:t xml:space="preserve">gender-based violence </w:t>
      </w:r>
      <w:r w:rsidR="00257B06" w:rsidRPr="00AF3075">
        <w:t>cases</w:t>
      </w:r>
      <w:r w:rsidR="00BC6CB2">
        <w:t xml:space="preserve"> and </w:t>
      </w:r>
      <w:r w:rsidR="009A2E07" w:rsidRPr="00AF3075">
        <w:t xml:space="preserve">explains </w:t>
      </w:r>
      <w:r w:rsidR="00257B06" w:rsidRPr="00AF3075">
        <w:t xml:space="preserve">how </w:t>
      </w:r>
      <w:r w:rsidR="00C51CA4" w:rsidRPr="00AF3075">
        <w:t xml:space="preserve">many judges </w:t>
      </w:r>
      <w:r w:rsidR="005B65FE" w:rsidRPr="00AF3075">
        <w:t>who</w:t>
      </w:r>
      <w:r w:rsidR="00C51CA4" w:rsidRPr="00AF3075">
        <w:t xml:space="preserve"> have presided over </w:t>
      </w:r>
      <w:r w:rsidR="00BC6CB2">
        <w:t xml:space="preserve">such </w:t>
      </w:r>
      <w:r w:rsidR="00C51CA4" w:rsidRPr="00AF3075">
        <w:t xml:space="preserve">cases have </w:t>
      </w:r>
      <w:r w:rsidR="00257B06" w:rsidRPr="00AF3075">
        <w:t>appl</w:t>
      </w:r>
      <w:r w:rsidR="00026137" w:rsidRPr="00AF3075">
        <w:t>ied</w:t>
      </w:r>
      <w:r w:rsidR="00257B06" w:rsidRPr="00AF3075">
        <w:t>, enforce</w:t>
      </w:r>
      <w:r w:rsidR="00026137" w:rsidRPr="00AF3075">
        <w:t>d</w:t>
      </w:r>
      <w:r w:rsidR="00257B06" w:rsidRPr="00AF3075">
        <w:t xml:space="preserve"> and perpetuate</w:t>
      </w:r>
      <w:r w:rsidR="00026137" w:rsidRPr="00AF3075">
        <w:t>d</w:t>
      </w:r>
      <w:r w:rsidR="00257B06" w:rsidRPr="00AF3075">
        <w:t xml:space="preserve"> </w:t>
      </w:r>
      <w:r w:rsidR="00C51CA4" w:rsidRPr="00AF3075">
        <w:t>those stereotypes</w:t>
      </w:r>
      <w:r w:rsidR="00257B06" w:rsidRPr="00AF3075">
        <w:t>.</w:t>
      </w:r>
      <w:r w:rsidR="00BC6CB2">
        <w:t xml:space="preserve">  I</w:t>
      </w:r>
      <w:r w:rsidR="00015D90">
        <w:t>t</w:t>
      </w:r>
      <w:r w:rsidR="00BC6CB2">
        <w:t xml:space="preserve"> </w:t>
      </w:r>
      <w:r w:rsidR="00015D90">
        <w:t xml:space="preserve">also highlights how some judges have </w:t>
      </w:r>
      <w:r w:rsidR="00015D90" w:rsidRPr="00015D90">
        <w:t>debunked harmful stereotypes and challenged stereotyping.</w:t>
      </w:r>
      <w:r w:rsidR="00BC6CB2">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
        <w:gridCol w:w="8124"/>
      </w:tblGrid>
      <w:tr w:rsidR="005B02E8" w:rsidRPr="00AF3075" w14:paraId="0D270F84" w14:textId="77777777" w:rsidTr="005B02E8">
        <w:tc>
          <w:tcPr>
            <w:tcW w:w="392" w:type="dxa"/>
            <w:tcBorders>
              <w:bottom w:val="single" w:sz="4" w:space="0" w:color="4A66AC" w:themeColor="accent4"/>
              <w:right w:val="single" w:sz="4" w:space="0" w:color="4A66AC" w:themeColor="accent4"/>
            </w:tcBorders>
          </w:tcPr>
          <w:p w14:paraId="4F980816" w14:textId="77777777" w:rsidR="005B02E8" w:rsidRPr="00AF3075" w:rsidRDefault="005B02E8" w:rsidP="005B02E8">
            <w:pPr>
              <w:spacing w:before="120" w:after="120"/>
              <w:rPr>
                <w:b/>
                <w:color w:val="374C80" w:themeColor="accent4" w:themeShade="BF"/>
                <w:sz w:val="20"/>
                <w:szCs w:val="20"/>
              </w:rPr>
            </w:pPr>
            <w:r w:rsidRPr="00AF3075">
              <w:rPr>
                <w:b/>
                <w:color w:val="374C80" w:themeColor="accent4" w:themeShade="BF"/>
                <w:sz w:val="20"/>
                <w:szCs w:val="20"/>
              </w:rPr>
              <w:t>1.</w:t>
            </w:r>
          </w:p>
        </w:tc>
        <w:tc>
          <w:tcPr>
            <w:tcW w:w="8124" w:type="dxa"/>
            <w:tcBorders>
              <w:left w:val="single" w:sz="4" w:space="0" w:color="4A66AC" w:themeColor="accent4"/>
              <w:bottom w:val="single" w:sz="4" w:space="0" w:color="4A66AC" w:themeColor="accent4"/>
            </w:tcBorders>
          </w:tcPr>
          <w:p w14:paraId="167B242A" w14:textId="141ECF4F" w:rsidR="00354FAB" w:rsidRPr="00AF3075" w:rsidRDefault="005B02E8" w:rsidP="00593983">
            <w:pPr>
              <w:spacing w:before="120" w:after="120"/>
              <w:rPr>
                <w:iCs/>
                <w:color w:val="000000" w:themeColor="text1"/>
                <w:sz w:val="20"/>
                <w:szCs w:val="20"/>
              </w:rPr>
            </w:pPr>
            <w:r w:rsidRPr="00AF3075">
              <w:rPr>
                <w:rStyle w:val="SubtleEmphasis"/>
                <w:b w:val="0"/>
                <w:color w:val="000000" w:themeColor="text1"/>
                <w:sz w:val="20"/>
                <w:szCs w:val="20"/>
              </w:rPr>
              <w:t xml:space="preserve">What </w:t>
            </w:r>
            <w:r w:rsidR="0001109E" w:rsidRPr="00AF3075">
              <w:rPr>
                <w:rStyle w:val="SubtleEmphasis"/>
                <w:b w:val="0"/>
                <w:color w:val="000000" w:themeColor="text1"/>
                <w:sz w:val="20"/>
                <w:szCs w:val="20"/>
              </w:rPr>
              <w:t>is a stereotype and what is stereotyping?</w:t>
            </w:r>
            <w:r w:rsidR="00593983" w:rsidRPr="00AF3075">
              <w:rPr>
                <w:rStyle w:val="SubtleEmphasis"/>
                <w:b w:val="0"/>
                <w:color w:val="000000" w:themeColor="text1"/>
                <w:sz w:val="20"/>
                <w:szCs w:val="20"/>
              </w:rPr>
              <w:t xml:space="preserve">  </w:t>
            </w:r>
            <w:r w:rsidR="00354FAB" w:rsidRPr="00AF3075">
              <w:rPr>
                <w:rStyle w:val="SubtleEmphasis"/>
                <w:b w:val="0"/>
                <w:color w:val="000000" w:themeColor="text1"/>
                <w:sz w:val="20"/>
                <w:szCs w:val="20"/>
              </w:rPr>
              <w:t>What are some of the common stereotypes found in gender-based violence cases?</w:t>
            </w:r>
          </w:p>
        </w:tc>
      </w:tr>
      <w:tr w:rsidR="005B02E8" w:rsidRPr="00AF3075" w14:paraId="130C55F7" w14:textId="77777777" w:rsidTr="005B02E8">
        <w:tc>
          <w:tcPr>
            <w:tcW w:w="392" w:type="dxa"/>
            <w:tcBorders>
              <w:top w:val="single" w:sz="4" w:space="0" w:color="4A66AC" w:themeColor="accent4"/>
              <w:bottom w:val="nil"/>
              <w:right w:val="single" w:sz="4" w:space="0" w:color="4A66AC" w:themeColor="accent4"/>
            </w:tcBorders>
          </w:tcPr>
          <w:p w14:paraId="4E401151" w14:textId="3E3191AA" w:rsidR="005B02E8" w:rsidRPr="00AF3075" w:rsidRDefault="00354FAB" w:rsidP="005B02E8">
            <w:pPr>
              <w:spacing w:before="120" w:after="120"/>
              <w:rPr>
                <w:b/>
                <w:color w:val="374C80" w:themeColor="accent4" w:themeShade="BF"/>
                <w:sz w:val="20"/>
                <w:szCs w:val="20"/>
              </w:rPr>
            </w:pPr>
            <w:r w:rsidRPr="00AF3075">
              <w:rPr>
                <w:b/>
                <w:color w:val="374C80" w:themeColor="accent4" w:themeShade="BF"/>
                <w:sz w:val="20"/>
                <w:szCs w:val="20"/>
              </w:rPr>
              <w:t>2</w:t>
            </w:r>
            <w:r w:rsidR="005B02E8" w:rsidRPr="00AF3075">
              <w:rPr>
                <w:b/>
                <w:color w:val="374C80" w:themeColor="accent4" w:themeShade="BF"/>
                <w:sz w:val="20"/>
                <w:szCs w:val="20"/>
              </w:rPr>
              <w:t>.</w:t>
            </w:r>
          </w:p>
        </w:tc>
        <w:tc>
          <w:tcPr>
            <w:tcW w:w="8124" w:type="dxa"/>
            <w:tcBorders>
              <w:top w:val="single" w:sz="4" w:space="0" w:color="4A66AC" w:themeColor="accent4"/>
              <w:left w:val="single" w:sz="4" w:space="0" w:color="4A66AC" w:themeColor="accent4"/>
              <w:bottom w:val="nil"/>
            </w:tcBorders>
          </w:tcPr>
          <w:p w14:paraId="0AE52014" w14:textId="603A452C" w:rsidR="005B02E8" w:rsidRPr="00AF3075" w:rsidRDefault="0001109E" w:rsidP="008C608D">
            <w:pPr>
              <w:spacing w:before="120" w:after="120"/>
              <w:rPr>
                <w:iCs/>
                <w:color w:val="000000" w:themeColor="text1"/>
                <w:sz w:val="20"/>
                <w:szCs w:val="20"/>
              </w:rPr>
            </w:pPr>
            <w:r w:rsidRPr="00AF3075">
              <w:rPr>
                <w:sz w:val="20"/>
                <w:szCs w:val="20"/>
              </w:rPr>
              <w:t>How do judges apply, enfo</w:t>
            </w:r>
            <w:r w:rsidR="00AD1794">
              <w:rPr>
                <w:sz w:val="20"/>
                <w:szCs w:val="20"/>
              </w:rPr>
              <w:t>rce and perpetuate stereotypes?</w:t>
            </w:r>
            <w:r w:rsidR="008C608D" w:rsidRPr="00AF3075">
              <w:rPr>
                <w:sz w:val="20"/>
                <w:szCs w:val="20"/>
              </w:rPr>
              <w:t xml:space="preserve">  How can judges debunk harmful stereotypes, and challenge stereotyping, that violate human rights?</w:t>
            </w:r>
          </w:p>
        </w:tc>
      </w:tr>
    </w:tbl>
    <w:p w14:paraId="4B5F539F" w14:textId="4B7D7009" w:rsidR="00E31D3F" w:rsidRPr="00AF3075" w:rsidRDefault="005C0EA6" w:rsidP="00B4550C">
      <w:pPr>
        <w:pStyle w:val="Heading2"/>
        <w:rPr>
          <w:rFonts w:ascii="Candara" w:hAnsi="Candara"/>
        </w:rPr>
      </w:pPr>
      <w:bookmarkStart w:id="13" w:name="_Toc263972386"/>
      <w:r w:rsidRPr="00AF3075">
        <w:rPr>
          <w:rFonts w:ascii="Candara" w:hAnsi="Candara"/>
        </w:rPr>
        <w:t>3</w:t>
      </w:r>
      <w:r w:rsidR="00E31D3F" w:rsidRPr="00AF3075">
        <w:rPr>
          <w:rFonts w:ascii="Candara" w:hAnsi="Candara"/>
        </w:rPr>
        <w:t xml:space="preserve">.1 </w:t>
      </w:r>
      <w:r w:rsidR="00FC78F8" w:rsidRPr="00AF3075">
        <w:rPr>
          <w:rFonts w:ascii="Candara" w:hAnsi="Candara"/>
        </w:rPr>
        <w:t>S</w:t>
      </w:r>
      <w:r w:rsidR="00236C94" w:rsidRPr="00AF3075">
        <w:rPr>
          <w:rFonts w:ascii="Candara" w:hAnsi="Candara"/>
        </w:rPr>
        <w:t xml:space="preserve">tereotypes and </w:t>
      </w:r>
      <w:r w:rsidR="00E31D3F" w:rsidRPr="00AF3075">
        <w:rPr>
          <w:rFonts w:ascii="Candara" w:hAnsi="Candara"/>
        </w:rPr>
        <w:t>stereotyping</w:t>
      </w:r>
      <w:r w:rsidR="00ED2B99" w:rsidRPr="00AF3075">
        <w:rPr>
          <w:rFonts w:ascii="Candara" w:hAnsi="Candara"/>
        </w:rPr>
        <w:t xml:space="preserve"> in gender-based violence cases</w:t>
      </w:r>
      <w:bookmarkEnd w:id="13"/>
    </w:p>
    <w:p w14:paraId="20B24015" w14:textId="17478BEB" w:rsidR="006F2251" w:rsidRPr="00AF3075" w:rsidRDefault="004A2F4E" w:rsidP="008B0C89">
      <w:r w:rsidRPr="00AF3075">
        <w:t xml:space="preserve">A stereotype is </w:t>
      </w:r>
      <w:r w:rsidR="00DD4AB2" w:rsidRPr="00AF3075">
        <w:t>‘</w:t>
      </w:r>
      <w:r w:rsidRPr="00AF3075">
        <w:t xml:space="preserve">a </w:t>
      </w:r>
      <w:r w:rsidR="005D0D63" w:rsidRPr="00AF3075">
        <w:t>generalized view or preconception of attributes or characteristics possessed by, or the roles that are or should be performed by, members of a particular group</w:t>
      </w:r>
      <w:r w:rsidR="00DD4AB2" w:rsidRPr="00AF3075">
        <w:t>…’</w:t>
      </w:r>
      <w:r w:rsidR="00AD1794">
        <w:t>.</w:t>
      </w:r>
      <w:r w:rsidR="00DD4AB2" w:rsidRPr="00AF3075">
        <w:rPr>
          <w:rStyle w:val="FootnoteReference"/>
          <w:szCs w:val="20"/>
        </w:rPr>
        <w:footnoteReference w:id="58"/>
      </w:r>
      <w:r w:rsidR="00DD4AB2" w:rsidRPr="00AF3075">
        <w:t xml:space="preserve"> </w:t>
      </w:r>
    </w:p>
    <w:tbl>
      <w:tblPr>
        <w:tblStyle w:val="TableGrid"/>
        <w:tblW w:w="0" w:type="auto"/>
        <w:tblLook w:val="04A0" w:firstRow="1" w:lastRow="0" w:firstColumn="1" w:lastColumn="0" w:noHBand="0" w:noVBand="1"/>
      </w:tblPr>
      <w:tblGrid>
        <w:gridCol w:w="8516"/>
      </w:tblGrid>
      <w:tr w:rsidR="006F2251" w:rsidRPr="00AF3075" w14:paraId="567EEBA2" w14:textId="77777777" w:rsidTr="00DB1538">
        <w:tc>
          <w:tcPr>
            <w:tcW w:w="8516" w:type="dxa"/>
            <w:tcBorders>
              <w:top w:val="nil"/>
              <w:left w:val="nil"/>
              <w:bottom w:val="nil"/>
              <w:right w:val="nil"/>
            </w:tcBorders>
            <w:shd w:val="clear" w:color="auto" w:fill="D3E5F6" w:themeFill="accent2" w:themeFillTint="33"/>
          </w:tcPr>
          <w:p w14:paraId="3B958652" w14:textId="77777777" w:rsidR="006F2251" w:rsidRPr="00AF3075" w:rsidRDefault="006F2251" w:rsidP="00DB1538">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Stereotype</w:t>
            </w:r>
          </w:p>
          <w:p w14:paraId="724EDCF1" w14:textId="6A7CEF2B" w:rsidR="006F2251" w:rsidRPr="00AF3075" w:rsidRDefault="006F2251" w:rsidP="00DB1538">
            <w:pPr>
              <w:spacing w:before="120" w:after="120"/>
              <w:rPr>
                <w:sz w:val="20"/>
                <w:szCs w:val="20"/>
              </w:rPr>
            </w:pPr>
            <w:r w:rsidRPr="00AF3075">
              <w:rPr>
                <w:iCs/>
                <w:sz w:val="22"/>
              </w:rPr>
              <w:t>A ‘stereotype’ is a generalised view or preconception about attributes or characteristics that are or ought to be possessed by, or the roles that are or should be performed by, members of a particular social group</w:t>
            </w:r>
            <w:r w:rsidR="00681FA6" w:rsidRPr="00AF3075">
              <w:rPr>
                <w:iCs/>
                <w:sz w:val="22"/>
              </w:rPr>
              <w:t>.</w:t>
            </w:r>
          </w:p>
        </w:tc>
      </w:tr>
    </w:tbl>
    <w:p w14:paraId="11B64D52" w14:textId="7473207A" w:rsidR="005B65FE" w:rsidRPr="00AF3075" w:rsidRDefault="007C13E0" w:rsidP="008B0C89">
      <w:r w:rsidRPr="00AF3075">
        <w:t xml:space="preserve">At its core, a stereotype is a </w:t>
      </w:r>
      <w:r w:rsidR="00D20401" w:rsidRPr="00AF3075">
        <w:t xml:space="preserve">preconceived </w:t>
      </w:r>
      <w:r w:rsidRPr="00AF3075">
        <w:t xml:space="preserve">belief that causes its holder to presume that all members of the subject group </w:t>
      </w:r>
      <w:r w:rsidR="00137D62" w:rsidRPr="00AF3075">
        <w:t xml:space="preserve">do or should </w:t>
      </w:r>
      <w:r w:rsidRPr="00AF3075">
        <w:t>possess particular attributes or characteristics</w:t>
      </w:r>
      <w:r w:rsidR="00015D90">
        <w:t>,</w:t>
      </w:r>
      <w:r w:rsidRPr="00AF3075">
        <w:t xml:space="preserve"> or perform certain roles.</w:t>
      </w:r>
      <w:r w:rsidRPr="00AF3075">
        <w:rPr>
          <w:rStyle w:val="FootnoteReference"/>
          <w:szCs w:val="20"/>
        </w:rPr>
        <w:footnoteReference w:id="59"/>
      </w:r>
      <w:r w:rsidRPr="00AF3075">
        <w:t xml:space="preserve">  </w:t>
      </w:r>
      <w:r w:rsidR="008B0C89" w:rsidRPr="00AF3075">
        <w:t xml:space="preserve">Understood </w:t>
      </w:r>
      <w:r w:rsidR="00E87285" w:rsidRPr="00AF3075">
        <w:t>in this way</w:t>
      </w:r>
      <w:r w:rsidR="008B0C89" w:rsidRPr="00AF3075">
        <w:t>, a stereotype can be categorised into three separate elements</w:t>
      </w:r>
      <w:r w:rsidR="005B65FE" w:rsidRPr="00AF3075">
        <w:t>:</w:t>
      </w:r>
    </w:p>
    <w:p w14:paraId="4BF03151" w14:textId="299212CF" w:rsidR="00C51CA4" w:rsidRPr="00AF3075" w:rsidRDefault="005B65FE" w:rsidP="008B0C89">
      <w:pPr>
        <w:pStyle w:val="ListParagraph"/>
        <w:numPr>
          <w:ilvl w:val="0"/>
          <w:numId w:val="27"/>
        </w:numPr>
        <w:spacing w:before="120" w:after="120"/>
        <w:ind w:left="567"/>
        <w:rPr>
          <w:i/>
          <w:iCs/>
          <w:color w:val="000000" w:themeColor="text1"/>
        </w:rPr>
      </w:pPr>
      <w:r w:rsidRPr="00AF3075">
        <w:rPr>
          <w:rStyle w:val="SubtleEmphasis"/>
          <w:b w:val="0"/>
          <w:color w:val="000000" w:themeColor="text1"/>
          <w:sz w:val="24"/>
        </w:rPr>
        <w:t xml:space="preserve">a preconceived </w:t>
      </w:r>
      <w:r w:rsidRPr="00AF3075">
        <w:rPr>
          <w:b/>
          <w:color w:val="374C80" w:themeColor="accent4" w:themeShade="BF"/>
        </w:rPr>
        <w:t xml:space="preserve">belief </w:t>
      </w:r>
      <w:r w:rsidRPr="00AF3075">
        <w:rPr>
          <w:iCs/>
          <w:color w:val="000000" w:themeColor="text1"/>
        </w:rPr>
        <w:t>formed before full knowledge or evidence is available</w:t>
      </w:r>
      <w:r w:rsidR="0001096A">
        <w:rPr>
          <w:iCs/>
          <w:color w:val="000000" w:themeColor="text1"/>
        </w:rPr>
        <w:t xml:space="preserve"> </w:t>
      </w:r>
    </w:p>
    <w:p w14:paraId="76AFCFF1" w14:textId="1BECC3D9" w:rsidR="005B65FE" w:rsidRPr="00AF3075" w:rsidRDefault="005B65FE" w:rsidP="008B0C89">
      <w:pPr>
        <w:pStyle w:val="ListParagraph"/>
        <w:numPr>
          <w:ilvl w:val="0"/>
          <w:numId w:val="27"/>
        </w:numPr>
        <w:spacing w:before="120" w:after="120"/>
        <w:ind w:left="567"/>
        <w:rPr>
          <w:i/>
          <w:iCs/>
          <w:color w:val="000000" w:themeColor="text1"/>
        </w:rPr>
      </w:pPr>
      <w:r w:rsidRPr="00AF3075">
        <w:rPr>
          <w:rStyle w:val="SubtleEmphasis"/>
          <w:b w:val="0"/>
          <w:color w:val="000000" w:themeColor="text1"/>
          <w:sz w:val="24"/>
        </w:rPr>
        <w:t>a</w:t>
      </w:r>
      <w:r w:rsidRPr="00AF3075">
        <w:rPr>
          <w:iCs/>
        </w:rPr>
        <w:t xml:space="preserve">bout the </w:t>
      </w:r>
      <w:r w:rsidRPr="00AF3075">
        <w:rPr>
          <w:b/>
          <w:color w:val="374C80" w:themeColor="accent4" w:themeShade="BF"/>
        </w:rPr>
        <w:t>attributes, characteristics or roles</w:t>
      </w:r>
      <w:r w:rsidRPr="00AF3075">
        <w:rPr>
          <w:b/>
          <w:i/>
          <w:iCs/>
        </w:rPr>
        <w:t xml:space="preserve"> </w:t>
      </w:r>
      <w:r w:rsidRPr="00B33210">
        <w:rPr>
          <w:iCs/>
        </w:rPr>
        <w:t>(</w:t>
      </w:r>
      <w:r w:rsidRPr="00AF3075">
        <w:rPr>
          <w:iCs/>
        </w:rPr>
        <w:t>eg nurturing, breadwinner)</w:t>
      </w:r>
    </w:p>
    <w:p w14:paraId="7784A28D" w14:textId="27253A27" w:rsidR="005B65FE" w:rsidRPr="00AF3075" w:rsidRDefault="005B65FE" w:rsidP="008B0C89">
      <w:pPr>
        <w:pStyle w:val="ListParagraph"/>
        <w:numPr>
          <w:ilvl w:val="0"/>
          <w:numId w:val="27"/>
        </w:numPr>
        <w:spacing w:before="120" w:after="120"/>
        <w:ind w:left="567"/>
        <w:rPr>
          <w:i/>
          <w:iCs/>
          <w:color w:val="000000" w:themeColor="text1"/>
        </w:rPr>
      </w:pPr>
      <w:proofErr w:type="gramStart"/>
      <w:r w:rsidRPr="00AF3075">
        <w:t>of</w:t>
      </w:r>
      <w:proofErr w:type="gramEnd"/>
      <w:r w:rsidRPr="00AF3075">
        <w:t xml:space="preserve"> a social </w:t>
      </w:r>
      <w:r w:rsidRPr="00AF3075">
        <w:rPr>
          <w:b/>
          <w:color w:val="374C80" w:themeColor="accent4" w:themeShade="BF"/>
        </w:rPr>
        <w:t>group</w:t>
      </w:r>
      <w:r w:rsidRPr="00AF3075">
        <w:rPr>
          <w:b/>
          <w:i/>
        </w:rPr>
        <w:t xml:space="preserve"> </w:t>
      </w:r>
      <w:r w:rsidRPr="00AF3075">
        <w:t xml:space="preserve">or </w:t>
      </w:r>
      <w:r w:rsidRPr="00AF3075">
        <w:rPr>
          <w:b/>
          <w:color w:val="374C80" w:themeColor="accent4" w:themeShade="BF"/>
        </w:rPr>
        <w:t>subgroup</w:t>
      </w:r>
      <w:r w:rsidRPr="00AF3075">
        <w:rPr>
          <w:b/>
          <w:i/>
        </w:rPr>
        <w:t xml:space="preserve"> </w:t>
      </w:r>
      <w:r w:rsidRPr="00B33210">
        <w:t>(</w:t>
      </w:r>
      <w:r w:rsidRPr="00AF3075">
        <w:t>eg lesbians, girl child, men).</w:t>
      </w:r>
    </w:p>
    <w:p w14:paraId="3E39A87C" w14:textId="08203AF7" w:rsidR="00A30B4D" w:rsidRPr="00AF3075" w:rsidRDefault="00DB27B6" w:rsidP="00157078">
      <w:r w:rsidRPr="00AF3075">
        <w:t>The term ‘s</w:t>
      </w:r>
      <w:r w:rsidR="00A648D5" w:rsidRPr="00AF3075">
        <w:t>tereotyping</w:t>
      </w:r>
      <w:r w:rsidRPr="00AF3075">
        <w:t>’</w:t>
      </w:r>
      <w:r w:rsidR="00A648D5" w:rsidRPr="00AF3075">
        <w:t xml:space="preserve"> refers to the practice of </w:t>
      </w:r>
      <w:r w:rsidR="00AC4993" w:rsidRPr="00AF3075">
        <w:t>applying a stereotypical belief to an individual member of the subject group</w:t>
      </w:r>
      <w:r w:rsidR="00155A8D" w:rsidRPr="00AF3075">
        <w:t>.  It occurs when a person ascribes ‘</w:t>
      </w:r>
      <w:r w:rsidR="00AC4993" w:rsidRPr="00AF3075">
        <w:t>to an individual specific attributes, characteristics, or roles by reason only of her or his m</w:t>
      </w:r>
      <w:r w:rsidR="007F4603">
        <w:t>embership in a particular group</w:t>
      </w:r>
      <w:r w:rsidR="00AC4993" w:rsidRPr="00AF3075">
        <w:t>’</w:t>
      </w:r>
      <w:r w:rsidR="007F4603">
        <w:t>.</w:t>
      </w:r>
      <w:r w:rsidR="00A648D5" w:rsidRPr="00AF3075">
        <w:rPr>
          <w:rStyle w:val="FootnoteReference"/>
        </w:rPr>
        <w:footnoteReference w:id="60"/>
      </w:r>
      <w:r w:rsidR="00A648D5" w:rsidRPr="00AF3075">
        <w:t xml:space="preserve">  </w:t>
      </w:r>
    </w:p>
    <w:tbl>
      <w:tblPr>
        <w:tblStyle w:val="TableGrid"/>
        <w:tblW w:w="0" w:type="auto"/>
        <w:tblLook w:val="04A0" w:firstRow="1" w:lastRow="0" w:firstColumn="1" w:lastColumn="0" w:noHBand="0" w:noVBand="1"/>
      </w:tblPr>
      <w:tblGrid>
        <w:gridCol w:w="8516"/>
      </w:tblGrid>
      <w:tr w:rsidR="006F2251" w:rsidRPr="00AF3075" w14:paraId="01E84F4F" w14:textId="77777777" w:rsidTr="00DB1538">
        <w:tc>
          <w:tcPr>
            <w:tcW w:w="8516" w:type="dxa"/>
            <w:tcBorders>
              <w:top w:val="nil"/>
              <w:left w:val="nil"/>
              <w:bottom w:val="nil"/>
              <w:right w:val="nil"/>
            </w:tcBorders>
            <w:shd w:val="clear" w:color="auto" w:fill="D3E5F6" w:themeFill="accent2" w:themeFillTint="33"/>
          </w:tcPr>
          <w:p w14:paraId="2BBF57A3" w14:textId="77777777" w:rsidR="006F2251" w:rsidRPr="00AF3075" w:rsidRDefault="006F2251" w:rsidP="00DB1538">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Stereotyping</w:t>
            </w:r>
          </w:p>
          <w:p w14:paraId="6691C967" w14:textId="55F03802" w:rsidR="006F2251" w:rsidRPr="00AF3075" w:rsidRDefault="006F2251" w:rsidP="00DB1538">
            <w:pPr>
              <w:spacing w:before="120" w:after="120"/>
              <w:rPr>
                <w:iCs/>
              </w:rPr>
            </w:pPr>
            <w:r w:rsidRPr="00AF3075">
              <w:rPr>
                <w:iCs/>
                <w:sz w:val="22"/>
              </w:rPr>
              <w:t xml:space="preserve">‘Stereotyping’ is the practice of </w:t>
            </w:r>
            <w:r w:rsidRPr="00AF3075">
              <w:rPr>
                <w:sz w:val="22"/>
                <w:szCs w:val="20"/>
              </w:rPr>
              <w:t>ascribing to an individual specific attributes, characteristics, or roles by reason only of her or his membership in a particular group</w:t>
            </w:r>
            <w:r w:rsidR="00681FA6" w:rsidRPr="00AF3075">
              <w:rPr>
                <w:sz w:val="22"/>
                <w:szCs w:val="20"/>
              </w:rPr>
              <w:t>.</w:t>
            </w:r>
          </w:p>
        </w:tc>
      </w:tr>
    </w:tbl>
    <w:p w14:paraId="2CF3FF40" w14:textId="4815D728" w:rsidR="00C60BF7" w:rsidRPr="00AF3075" w:rsidRDefault="006A6E36" w:rsidP="00E31D3F">
      <w:r w:rsidRPr="00AF3075">
        <w:t xml:space="preserve">Stereotyping excludes </w:t>
      </w:r>
      <w:r w:rsidR="00A30B4D" w:rsidRPr="00AF3075">
        <w:t>any individualised consideration of, or investigation into, a person’s actual circumstances</w:t>
      </w:r>
      <w:r w:rsidR="00FE7E36" w:rsidRPr="00AF3075">
        <w:t xml:space="preserve"> and their needs or abilities</w:t>
      </w:r>
      <w:r w:rsidR="00A30B4D" w:rsidRPr="00AF3075">
        <w:t>.</w:t>
      </w:r>
      <w:r w:rsidR="00C60BF7" w:rsidRPr="00AF3075">
        <w:t xml:space="preserve">  </w:t>
      </w:r>
      <w:r w:rsidR="008127DA" w:rsidRPr="00AF3075">
        <w:t>So, when a</w:t>
      </w:r>
      <w:r w:rsidR="007F4603">
        <w:t xml:space="preserve"> judge </w:t>
      </w:r>
      <w:r w:rsidR="008127DA" w:rsidRPr="00AF3075">
        <w:t>engages in stereotyp</w:t>
      </w:r>
      <w:r w:rsidR="00FE7E36" w:rsidRPr="00AF3075">
        <w:t>ing</w:t>
      </w:r>
      <w:r w:rsidR="008127DA" w:rsidRPr="00AF3075">
        <w:t>, he or she reache</w:t>
      </w:r>
      <w:r w:rsidR="00FE7E36" w:rsidRPr="00AF3075">
        <w:t>s</w:t>
      </w:r>
      <w:r w:rsidR="008127DA" w:rsidRPr="00AF3075">
        <w:t xml:space="preserve"> a view about an</w:t>
      </w:r>
      <w:r w:rsidR="007F4603">
        <w:t xml:space="preserve"> </w:t>
      </w:r>
      <w:r w:rsidR="008127DA" w:rsidRPr="00AF3075">
        <w:t xml:space="preserve">individual </w:t>
      </w:r>
      <w:r w:rsidR="00C60BF7" w:rsidRPr="00AF3075">
        <w:t xml:space="preserve">based on preconceived beliefs about </w:t>
      </w:r>
      <w:r w:rsidR="00AA7397" w:rsidRPr="00AF3075">
        <w:t xml:space="preserve">a particular </w:t>
      </w:r>
      <w:r w:rsidR="00C60BF7" w:rsidRPr="00AF3075">
        <w:t xml:space="preserve">social group </w:t>
      </w:r>
      <w:r w:rsidR="00297FC0" w:rsidRPr="00AF3075">
        <w:t xml:space="preserve">and not </w:t>
      </w:r>
      <w:r w:rsidR="00FE7E36" w:rsidRPr="00AF3075">
        <w:t>relevant facts or actual enquiry</w:t>
      </w:r>
      <w:r w:rsidR="000B7E9E" w:rsidRPr="00AF3075">
        <w:t xml:space="preserve"> related to that individual</w:t>
      </w:r>
      <w:r w:rsidR="0001096A">
        <w:t xml:space="preserve"> or the circumstances of their case</w:t>
      </w:r>
      <w:r w:rsidR="00297FC0" w:rsidRPr="00AF3075">
        <w:t>.</w:t>
      </w:r>
    </w:p>
    <w:p w14:paraId="5646C9DD" w14:textId="168C2353" w:rsidR="00520267" w:rsidRPr="00AF3075" w:rsidRDefault="0019422A" w:rsidP="00E31D3F">
      <w:r>
        <w:t>J</w:t>
      </w:r>
      <w:r w:rsidRPr="00AF3075">
        <w:t xml:space="preserve">udges </w:t>
      </w:r>
      <w:r>
        <w:t xml:space="preserve">regularly </w:t>
      </w:r>
      <w:r w:rsidR="009F23E1" w:rsidRPr="00AF3075">
        <w:t>rely</w:t>
      </w:r>
      <w:r w:rsidR="002F1BA3" w:rsidRPr="00AF3075">
        <w:t xml:space="preserve"> </w:t>
      </w:r>
      <w:r w:rsidR="00C44338" w:rsidRPr="00AF3075">
        <w:t>up</w:t>
      </w:r>
      <w:r w:rsidR="002F1BA3" w:rsidRPr="00AF3075">
        <w:t xml:space="preserve">on </w:t>
      </w:r>
      <w:r>
        <w:rPr>
          <w:i/>
        </w:rPr>
        <w:t xml:space="preserve">gender </w:t>
      </w:r>
      <w:r w:rsidRPr="00A66917">
        <w:t xml:space="preserve">stereotypes </w:t>
      </w:r>
      <w:r w:rsidR="002F1BA3" w:rsidRPr="00AF3075">
        <w:t>in gender–based violence cases.</w:t>
      </w:r>
      <w:r w:rsidR="00C44338" w:rsidRPr="00AF3075">
        <w:t xml:space="preserve">  </w:t>
      </w:r>
      <w:r>
        <w:t xml:space="preserve">These </w:t>
      </w:r>
      <w:r w:rsidR="00C44338" w:rsidRPr="00AF3075">
        <w:t>are generalised views or preconceptions about attributes or characteristics that are or ought to be possessed by, or the roles that are or should be performed by, men and women.</w:t>
      </w:r>
      <w:r w:rsidR="00C44338" w:rsidRPr="00AF3075">
        <w:rPr>
          <w:rStyle w:val="FootnoteReference"/>
        </w:rPr>
        <w:footnoteReference w:id="61"/>
      </w:r>
      <w:r w:rsidR="00F17806" w:rsidRPr="00AF3075">
        <w:t xml:space="preserve">  When a judge ascribes to a </w:t>
      </w:r>
      <w:r w:rsidR="000E455A" w:rsidRPr="00AF3075">
        <w:t xml:space="preserve">man or woman specific attributes, characteristics or roles based on his or her membership in the group of men or </w:t>
      </w:r>
      <w:r w:rsidR="00AA7397" w:rsidRPr="00AF3075">
        <w:t>wo</w:t>
      </w:r>
      <w:r w:rsidR="000E455A" w:rsidRPr="00AF3075">
        <w:t xml:space="preserve">men, the judge </w:t>
      </w:r>
      <w:r w:rsidR="00F17806" w:rsidRPr="00AF3075">
        <w:t>is</w:t>
      </w:r>
      <w:r w:rsidR="003A5EBA" w:rsidRPr="00AF3075">
        <w:t xml:space="preserve"> engaging in</w:t>
      </w:r>
      <w:r w:rsidR="00F17806" w:rsidRPr="00AF3075">
        <w:t xml:space="preserve"> </w:t>
      </w:r>
      <w:r w:rsidR="000E455A" w:rsidRPr="00AF3075">
        <w:t>‘gender stereotyping’</w:t>
      </w:r>
      <w:r w:rsidR="00757B4B">
        <w:t>.</w:t>
      </w:r>
      <w:r w:rsidR="000E455A" w:rsidRPr="00AF3075">
        <w:rPr>
          <w:rStyle w:val="FootnoteReference"/>
        </w:rPr>
        <w:footnoteReference w:id="62"/>
      </w:r>
    </w:p>
    <w:tbl>
      <w:tblPr>
        <w:tblStyle w:val="TableGrid"/>
        <w:tblW w:w="0" w:type="auto"/>
        <w:tblLook w:val="04A0" w:firstRow="1" w:lastRow="0" w:firstColumn="1" w:lastColumn="0" w:noHBand="0" w:noVBand="1"/>
      </w:tblPr>
      <w:tblGrid>
        <w:gridCol w:w="8516"/>
      </w:tblGrid>
      <w:tr w:rsidR="009A17CD" w:rsidRPr="00AF3075" w14:paraId="7E491592" w14:textId="77777777" w:rsidTr="00000E35">
        <w:tc>
          <w:tcPr>
            <w:tcW w:w="8516" w:type="dxa"/>
            <w:tcBorders>
              <w:top w:val="nil"/>
              <w:left w:val="nil"/>
              <w:bottom w:val="nil"/>
              <w:right w:val="nil"/>
            </w:tcBorders>
            <w:shd w:val="clear" w:color="auto" w:fill="D3E5F6" w:themeFill="accent2" w:themeFillTint="33"/>
          </w:tcPr>
          <w:p w14:paraId="5EC71E95" w14:textId="5E59744E" w:rsidR="009A17CD" w:rsidRPr="00AF3075" w:rsidRDefault="009A17CD" w:rsidP="00000E35">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Gender stereotype/stereotyping</w:t>
            </w:r>
          </w:p>
          <w:p w14:paraId="17ED1B9D" w14:textId="7F8B1F89" w:rsidR="009A17CD" w:rsidRPr="00AF3075" w:rsidRDefault="009A17CD" w:rsidP="00AA7397">
            <w:pPr>
              <w:spacing w:before="120" w:after="120"/>
              <w:rPr>
                <w:iCs/>
                <w:sz w:val="22"/>
              </w:rPr>
            </w:pPr>
            <w:r w:rsidRPr="00AF3075">
              <w:rPr>
                <w:iCs/>
                <w:sz w:val="22"/>
              </w:rPr>
              <w:t>A ‘gender stereotype’ is a generalised view or preconception about attributes or characteristics that are or ought to be possessed by, or the roles that are or should be performed by, men and women</w:t>
            </w:r>
            <w:r w:rsidR="000879BF" w:rsidRPr="00AF3075">
              <w:rPr>
                <w:iCs/>
                <w:sz w:val="22"/>
              </w:rPr>
              <w:t xml:space="preserve">.  </w:t>
            </w:r>
            <w:r w:rsidRPr="00AF3075">
              <w:rPr>
                <w:iCs/>
                <w:sz w:val="22"/>
              </w:rPr>
              <w:t xml:space="preserve">‘Gender stereotyping’ is the practice of </w:t>
            </w:r>
            <w:r w:rsidRPr="00AF3075">
              <w:rPr>
                <w:sz w:val="22"/>
                <w:szCs w:val="20"/>
              </w:rPr>
              <w:t xml:space="preserve">ascribing to an individual man or woman specific attributes, </w:t>
            </w:r>
            <w:r w:rsidR="000E455A" w:rsidRPr="00AF3075">
              <w:rPr>
                <w:sz w:val="22"/>
                <w:szCs w:val="20"/>
              </w:rPr>
              <w:t>characteristics</w:t>
            </w:r>
            <w:r w:rsidRPr="00AF3075">
              <w:rPr>
                <w:sz w:val="22"/>
                <w:szCs w:val="20"/>
              </w:rPr>
              <w:t xml:space="preserve"> or roles by reason only of her or his membership in the social group of </w:t>
            </w:r>
            <w:r w:rsidR="00AA7397" w:rsidRPr="00AF3075">
              <w:rPr>
                <w:sz w:val="22"/>
                <w:szCs w:val="20"/>
              </w:rPr>
              <w:t xml:space="preserve">men or </w:t>
            </w:r>
            <w:r w:rsidRPr="00AF3075">
              <w:rPr>
                <w:sz w:val="22"/>
                <w:szCs w:val="20"/>
              </w:rPr>
              <w:t>women</w:t>
            </w:r>
            <w:r w:rsidR="00681FA6" w:rsidRPr="00AF3075">
              <w:rPr>
                <w:sz w:val="22"/>
                <w:szCs w:val="20"/>
              </w:rPr>
              <w:t>.</w:t>
            </w:r>
          </w:p>
        </w:tc>
      </w:tr>
    </w:tbl>
    <w:p w14:paraId="20ADE73D" w14:textId="1933F0E2" w:rsidR="00713299" w:rsidRDefault="0079539D">
      <w:r w:rsidRPr="00AF3075">
        <w:t xml:space="preserve">Gender stereotypes (and, hence, gender stereotyping) come in varied and overlapping forms, </w:t>
      </w:r>
      <w:r w:rsidR="00F17806" w:rsidRPr="00AF3075">
        <w:t>a</w:t>
      </w:r>
      <w:r w:rsidR="00D5294B" w:rsidRPr="00AF3075">
        <w:t xml:space="preserve">ll of </w:t>
      </w:r>
      <w:r w:rsidR="00F17806" w:rsidRPr="00AF3075">
        <w:t xml:space="preserve">which </w:t>
      </w:r>
      <w:r w:rsidR="00D5294B" w:rsidRPr="00AF3075">
        <w:t>can be found in gender-based violence</w:t>
      </w:r>
      <w:r w:rsidR="00F17806" w:rsidRPr="00AF3075">
        <w:t xml:space="preserve"> cases</w:t>
      </w:r>
      <w:r w:rsidR="00D5294B" w:rsidRPr="00AF3075">
        <w:t>.</w:t>
      </w:r>
      <w:r w:rsidRPr="00AF3075">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27"/>
        <w:gridCol w:w="4777"/>
        <w:gridCol w:w="2312"/>
      </w:tblGrid>
      <w:tr w:rsidR="00FE3C9F" w:rsidRPr="00AF3075" w14:paraId="113EF2A2" w14:textId="0E5CE8D7" w:rsidTr="00A66917">
        <w:trPr>
          <w:trHeight w:val="284"/>
        </w:trPr>
        <w:tc>
          <w:tcPr>
            <w:tcW w:w="1427" w:type="dxa"/>
            <w:tcBorders>
              <w:bottom w:val="single" w:sz="4" w:space="0" w:color="4A66AC" w:themeColor="accent4"/>
              <w:right w:val="single" w:sz="4" w:space="0" w:color="4A66AC" w:themeColor="accent4"/>
            </w:tcBorders>
          </w:tcPr>
          <w:p w14:paraId="2FB0BBBF" w14:textId="528A5A10" w:rsidR="00FE3C9F" w:rsidRPr="00AF3075" w:rsidRDefault="00FE3C9F" w:rsidP="003560BD">
            <w:pPr>
              <w:spacing w:before="120" w:after="120"/>
              <w:rPr>
                <w:b/>
                <w:color w:val="374C80" w:themeColor="accent4" w:themeShade="BF"/>
                <w:sz w:val="20"/>
                <w:szCs w:val="20"/>
              </w:rPr>
            </w:pPr>
            <w:r w:rsidRPr="00AF3075">
              <w:rPr>
                <w:b/>
                <w:color w:val="374C80" w:themeColor="accent4" w:themeShade="BF"/>
                <w:sz w:val="20"/>
                <w:szCs w:val="20"/>
              </w:rPr>
              <w:t>Sex stereotype</w:t>
            </w:r>
          </w:p>
        </w:tc>
        <w:tc>
          <w:tcPr>
            <w:tcW w:w="4777" w:type="dxa"/>
            <w:tcBorders>
              <w:left w:val="single" w:sz="4" w:space="0" w:color="4A66AC" w:themeColor="accent4"/>
              <w:bottom w:val="single" w:sz="4" w:space="0" w:color="4A66AC" w:themeColor="accent4"/>
              <w:right w:val="single" w:sz="4" w:space="0" w:color="4A66AC" w:themeColor="accent4"/>
            </w:tcBorders>
          </w:tcPr>
          <w:p w14:paraId="2A1F63A8" w14:textId="1501718C" w:rsidR="00FE3C9F" w:rsidRPr="00AF3075" w:rsidRDefault="00FE3C9F" w:rsidP="003560BD">
            <w:pPr>
              <w:spacing w:before="120" w:after="120"/>
              <w:rPr>
                <w:sz w:val="20"/>
                <w:szCs w:val="20"/>
              </w:rPr>
            </w:pPr>
            <w:r w:rsidRPr="00AF3075">
              <w:rPr>
                <w:sz w:val="20"/>
                <w:szCs w:val="20"/>
              </w:rPr>
              <w:t xml:space="preserve">A generalised view or preconception about the </w:t>
            </w:r>
            <w:r w:rsidRPr="00AF3075">
              <w:rPr>
                <w:b/>
                <w:color w:val="374C80" w:themeColor="accent4" w:themeShade="BF"/>
                <w:sz w:val="20"/>
                <w:szCs w:val="20"/>
              </w:rPr>
              <w:t>physical, including biological, emotional and cognitive attributes or characteristics</w:t>
            </w:r>
            <w:r w:rsidRPr="00AF3075">
              <w:rPr>
                <w:sz w:val="20"/>
                <w:szCs w:val="20"/>
              </w:rPr>
              <w:t xml:space="preserve"> that are or should be possessed by women and men</w:t>
            </w:r>
            <w:r w:rsidR="00DD0EE7">
              <w:rPr>
                <w:sz w:val="20"/>
                <w:szCs w:val="20"/>
              </w:rPr>
              <w:t>.</w:t>
            </w:r>
            <w:r w:rsidRPr="00AF3075">
              <w:rPr>
                <w:rStyle w:val="FootnoteReference"/>
                <w:sz w:val="20"/>
                <w:szCs w:val="20"/>
              </w:rPr>
              <w:footnoteReference w:id="63"/>
            </w:r>
          </w:p>
        </w:tc>
        <w:tc>
          <w:tcPr>
            <w:tcW w:w="2312" w:type="dxa"/>
            <w:tcBorders>
              <w:top w:val="nil"/>
              <w:left w:val="single" w:sz="4" w:space="0" w:color="4A66AC" w:themeColor="accent4"/>
              <w:bottom w:val="single" w:sz="4" w:space="0" w:color="4A66AC" w:themeColor="accent4"/>
            </w:tcBorders>
          </w:tcPr>
          <w:p w14:paraId="1D5D48A3" w14:textId="7DE02F78" w:rsidR="00F41291" w:rsidRPr="00AF3075" w:rsidRDefault="00C538E3" w:rsidP="00A66917">
            <w:pPr>
              <w:spacing w:before="120" w:after="60"/>
              <w:rPr>
                <w:sz w:val="20"/>
                <w:szCs w:val="20"/>
              </w:rPr>
            </w:pPr>
            <w:r w:rsidRPr="00AF3075">
              <w:rPr>
                <w:sz w:val="20"/>
                <w:szCs w:val="20"/>
              </w:rPr>
              <w:t>Eg women are inherently untruthfu</w:t>
            </w:r>
            <w:r w:rsidR="00F41291" w:rsidRPr="00AF3075">
              <w:rPr>
                <w:sz w:val="20"/>
                <w:szCs w:val="20"/>
              </w:rPr>
              <w:t>l</w:t>
            </w:r>
            <w:r w:rsidR="0035491C">
              <w:rPr>
                <w:rStyle w:val="FootnoteReference"/>
                <w:sz w:val="20"/>
                <w:szCs w:val="20"/>
              </w:rPr>
              <w:t xml:space="preserve"> </w:t>
            </w:r>
          </w:p>
        </w:tc>
      </w:tr>
      <w:tr w:rsidR="00FE3C9F" w:rsidRPr="00AF3075" w14:paraId="26D46A8B" w14:textId="1EB86876" w:rsidTr="00BF5B1F">
        <w:trPr>
          <w:trHeight w:val="357"/>
        </w:trPr>
        <w:tc>
          <w:tcPr>
            <w:tcW w:w="1427" w:type="dxa"/>
            <w:tcBorders>
              <w:top w:val="single" w:sz="4" w:space="0" w:color="4A66AC" w:themeColor="accent4"/>
              <w:bottom w:val="single" w:sz="4" w:space="0" w:color="4A66AC" w:themeColor="accent4"/>
              <w:right w:val="single" w:sz="4" w:space="0" w:color="4A66AC" w:themeColor="accent4"/>
            </w:tcBorders>
          </w:tcPr>
          <w:p w14:paraId="36EEF915" w14:textId="77777777" w:rsidR="00FE3C9F" w:rsidRPr="00AF3075" w:rsidRDefault="00FE3C9F" w:rsidP="003560BD">
            <w:pPr>
              <w:spacing w:before="120" w:after="120"/>
              <w:rPr>
                <w:color w:val="374C80" w:themeColor="accent4" w:themeShade="BF"/>
                <w:sz w:val="20"/>
                <w:szCs w:val="20"/>
              </w:rPr>
            </w:pPr>
            <w:r w:rsidRPr="00AF3075">
              <w:rPr>
                <w:b/>
                <w:color w:val="374C80" w:themeColor="accent4" w:themeShade="BF"/>
                <w:sz w:val="20"/>
                <w:szCs w:val="20"/>
              </w:rPr>
              <w:t>Sexual stereotype</w:t>
            </w:r>
          </w:p>
        </w:tc>
        <w:tc>
          <w:tcPr>
            <w:tcW w:w="4777"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08D6785E" w14:textId="6493CBE1" w:rsidR="00FE3C9F" w:rsidRPr="00AF3075" w:rsidRDefault="00FE3C9F" w:rsidP="00A93D3D">
            <w:pPr>
              <w:spacing w:before="120" w:after="120"/>
              <w:rPr>
                <w:sz w:val="20"/>
                <w:szCs w:val="20"/>
              </w:rPr>
            </w:pPr>
            <w:r w:rsidRPr="00AF3075">
              <w:rPr>
                <w:sz w:val="20"/>
                <w:szCs w:val="20"/>
              </w:rPr>
              <w:t xml:space="preserve">A generalised view or preconception about the </w:t>
            </w:r>
            <w:r w:rsidRPr="00AF3075">
              <w:rPr>
                <w:b/>
                <w:color w:val="374C80" w:themeColor="accent4" w:themeShade="BF"/>
                <w:sz w:val="20"/>
                <w:szCs w:val="20"/>
              </w:rPr>
              <w:t>sexual characteristics or behaviours</w:t>
            </w:r>
            <w:r w:rsidRPr="00AF3075">
              <w:rPr>
                <w:sz w:val="20"/>
                <w:szCs w:val="20"/>
              </w:rPr>
              <w:t xml:space="preserve"> that women and men are believed or expected to possess</w:t>
            </w:r>
            <w:r w:rsidR="007064F6" w:rsidRPr="00AF3075">
              <w:rPr>
                <w:sz w:val="20"/>
                <w:szCs w:val="20"/>
              </w:rPr>
              <w:t>.</w:t>
            </w:r>
            <w:r w:rsidRPr="00AF3075">
              <w:rPr>
                <w:rStyle w:val="FootnoteReference"/>
                <w:sz w:val="20"/>
                <w:szCs w:val="20"/>
              </w:rPr>
              <w:footnoteReference w:id="64"/>
            </w:r>
            <w:r w:rsidRPr="00AF3075">
              <w:rPr>
                <w:sz w:val="20"/>
                <w:szCs w:val="20"/>
              </w:rPr>
              <w:t xml:space="preserve"> </w:t>
            </w:r>
            <w:r w:rsidR="007064F6" w:rsidRPr="00AF3075">
              <w:rPr>
                <w:sz w:val="20"/>
                <w:szCs w:val="20"/>
              </w:rPr>
              <w:t xml:space="preserve"> It </w:t>
            </w:r>
            <w:r w:rsidRPr="00AF3075">
              <w:rPr>
                <w:sz w:val="20"/>
                <w:szCs w:val="20"/>
              </w:rPr>
              <w:t>typically reinforce</w:t>
            </w:r>
            <w:r w:rsidR="007064F6" w:rsidRPr="00AF3075">
              <w:rPr>
                <w:sz w:val="20"/>
                <w:szCs w:val="20"/>
              </w:rPr>
              <w:t>s</w:t>
            </w:r>
            <w:r w:rsidRPr="00AF3075">
              <w:rPr>
                <w:sz w:val="20"/>
                <w:szCs w:val="20"/>
              </w:rPr>
              <w:t xml:space="preserve"> heterosexuality</w:t>
            </w:r>
            <w:r w:rsidR="00A93D3D" w:rsidRPr="00AF3075">
              <w:rPr>
                <w:sz w:val="20"/>
                <w:szCs w:val="20"/>
              </w:rPr>
              <w:t>/</w:t>
            </w:r>
            <w:r w:rsidRPr="00AF3075">
              <w:rPr>
                <w:sz w:val="20"/>
                <w:szCs w:val="20"/>
              </w:rPr>
              <w:t>dominant male se</w:t>
            </w:r>
            <w:r w:rsidR="00E30067" w:rsidRPr="00AF3075">
              <w:rPr>
                <w:sz w:val="20"/>
                <w:szCs w:val="20"/>
              </w:rPr>
              <w:t>xuality</w:t>
            </w:r>
            <w:r w:rsidR="00DD0EE7">
              <w:rPr>
                <w:sz w:val="20"/>
                <w:szCs w:val="20"/>
              </w:rPr>
              <w:t>.</w:t>
            </w:r>
          </w:p>
        </w:tc>
        <w:tc>
          <w:tcPr>
            <w:tcW w:w="2312" w:type="dxa"/>
            <w:tcBorders>
              <w:top w:val="single" w:sz="4" w:space="0" w:color="4A66AC" w:themeColor="accent4"/>
              <w:left w:val="single" w:sz="4" w:space="0" w:color="4A66AC" w:themeColor="accent4"/>
              <w:bottom w:val="single" w:sz="4" w:space="0" w:color="4A66AC" w:themeColor="accent4"/>
            </w:tcBorders>
          </w:tcPr>
          <w:p w14:paraId="6C3A988E" w14:textId="1C8A0B0D" w:rsidR="00C538E3" w:rsidRPr="00AF3075" w:rsidRDefault="00C538E3" w:rsidP="00A93D3D">
            <w:pPr>
              <w:spacing w:before="120" w:after="60"/>
              <w:rPr>
                <w:sz w:val="20"/>
                <w:szCs w:val="20"/>
              </w:rPr>
            </w:pPr>
            <w:r w:rsidRPr="00AF3075">
              <w:rPr>
                <w:sz w:val="20"/>
                <w:szCs w:val="20"/>
              </w:rPr>
              <w:t>Eg women are/should be sexually passive</w:t>
            </w:r>
            <w:r w:rsidR="0035491C">
              <w:rPr>
                <w:rStyle w:val="FootnoteReference"/>
                <w:sz w:val="20"/>
                <w:szCs w:val="20"/>
              </w:rPr>
              <w:t xml:space="preserve"> </w:t>
            </w:r>
          </w:p>
          <w:p w14:paraId="238C4924" w14:textId="4BF1A556" w:rsidR="00C538E3" w:rsidRPr="00AF3075" w:rsidRDefault="00C538E3" w:rsidP="00A93D3D">
            <w:pPr>
              <w:spacing w:before="60" w:after="120"/>
              <w:rPr>
                <w:sz w:val="20"/>
                <w:szCs w:val="20"/>
              </w:rPr>
            </w:pPr>
          </w:p>
        </w:tc>
      </w:tr>
      <w:tr w:rsidR="00FE3C9F" w:rsidRPr="00AF3075" w14:paraId="03F16BDC" w14:textId="57DEAE7D" w:rsidTr="00A93D3D">
        <w:trPr>
          <w:trHeight w:val="274"/>
        </w:trPr>
        <w:tc>
          <w:tcPr>
            <w:tcW w:w="1427" w:type="dxa"/>
            <w:tcBorders>
              <w:top w:val="single" w:sz="4" w:space="0" w:color="4A66AC" w:themeColor="accent4"/>
              <w:bottom w:val="single" w:sz="4" w:space="0" w:color="4A66AC" w:themeColor="accent4"/>
              <w:right w:val="single" w:sz="4" w:space="0" w:color="4A66AC" w:themeColor="accent4"/>
            </w:tcBorders>
          </w:tcPr>
          <w:p w14:paraId="3E081968" w14:textId="77777777" w:rsidR="00FE3C9F" w:rsidRPr="00AF3075" w:rsidRDefault="00FE3C9F" w:rsidP="00A93D3D">
            <w:pPr>
              <w:keepLines/>
              <w:spacing w:before="120" w:after="120"/>
              <w:rPr>
                <w:b/>
                <w:color w:val="374C80" w:themeColor="accent4" w:themeShade="BF"/>
                <w:sz w:val="20"/>
                <w:szCs w:val="20"/>
              </w:rPr>
            </w:pPr>
            <w:r w:rsidRPr="00AF3075">
              <w:rPr>
                <w:b/>
                <w:color w:val="374C80" w:themeColor="accent4" w:themeShade="BF"/>
                <w:sz w:val="20"/>
                <w:szCs w:val="20"/>
              </w:rPr>
              <w:t>Sex-role stereotype</w:t>
            </w:r>
          </w:p>
        </w:tc>
        <w:tc>
          <w:tcPr>
            <w:tcW w:w="4777"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57C38C7D" w14:textId="5872B825" w:rsidR="00FE3C9F" w:rsidRPr="00AF3075" w:rsidRDefault="00FE3C9F">
            <w:pPr>
              <w:keepLines/>
              <w:spacing w:before="120" w:after="120"/>
              <w:rPr>
                <w:iCs/>
                <w:color w:val="000000" w:themeColor="text1"/>
                <w:sz w:val="20"/>
                <w:szCs w:val="20"/>
              </w:rPr>
            </w:pPr>
            <w:r w:rsidRPr="00AF3075">
              <w:rPr>
                <w:iCs/>
                <w:color w:val="000000" w:themeColor="text1"/>
                <w:sz w:val="20"/>
                <w:szCs w:val="20"/>
              </w:rPr>
              <w:t xml:space="preserve">A generalised view or preconception about the </w:t>
            </w:r>
            <w:r w:rsidRPr="00AF3075">
              <w:rPr>
                <w:b/>
                <w:color w:val="374C80" w:themeColor="accent4" w:themeShade="BF"/>
                <w:sz w:val="20"/>
                <w:szCs w:val="20"/>
              </w:rPr>
              <w:t>roles</w:t>
            </w:r>
            <w:r w:rsidRPr="00AF3075">
              <w:rPr>
                <w:i/>
                <w:iCs/>
                <w:color w:val="000000" w:themeColor="text1"/>
                <w:sz w:val="20"/>
                <w:szCs w:val="20"/>
              </w:rPr>
              <w:t xml:space="preserve"> </w:t>
            </w:r>
            <w:r w:rsidRPr="00AF3075">
              <w:rPr>
                <w:iCs/>
                <w:color w:val="000000" w:themeColor="text1"/>
                <w:sz w:val="20"/>
                <w:szCs w:val="20"/>
              </w:rPr>
              <w:t xml:space="preserve">that women and men do or are expected to perform, and the types of </w:t>
            </w:r>
            <w:r w:rsidRPr="00AF3075">
              <w:rPr>
                <w:b/>
                <w:color w:val="374C80" w:themeColor="accent4" w:themeShade="BF"/>
                <w:sz w:val="20"/>
                <w:szCs w:val="20"/>
              </w:rPr>
              <w:t xml:space="preserve">behaviours </w:t>
            </w:r>
            <w:r w:rsidRPr="00AF3075">
              <w:rPr>
                <w:iCs/>
                <w:color w:val="000000" w:themeColor="text1"/>
                <w:sz w:val="20"/>
                <w:szCs w:val="20"/>
              </w:rPr>
              <w:t>to which they are expected to conform</w:t>
            </w:r>
            <w:r w:rsidR="007064F6" w:rsidRPr="00AF3075">
              <w:rPr>
                <w:iCs/>
                <w:color w:val="000000" w:themeColor="text1"/>
                <w:sz w:val="20"/>
                <w:szCs w:val="20"/>
              </w:rPr>
              <w:t>.</w:t>
            </w:r>
            <w:r w:rsidRPr="00AF3075">
              <w:rPr>
                <w:rStyle w:val="FootnoteReference"/>
                <w:sz w:val="20"/>
                <w:szCs w:val="20"/>
              </w:rPr>
              <w:footnoteReference w:id="65"/>
            </w:r>
            <w:r w:rsidR="007064F6" w:rsidRPr="00AF3075">
              <w:rPr>
                <w:iCs/>
                <w:color w:val="000000" w:themeColor="text1"/>
                <w:sz w:val="20"/>
                <w:szCs w:val="20"/>
              </w:rPr>
              <w:t xml:space="preserve">  It</w:t>
            </w:r>
            <w:r w:rsidR="005C7901" w:rsidRPr="00AF3075">
              <w:rPr>
                <w:iCs/>
                <w:color w:val="000000" w:themeColor="text1"/>
                <w:sz w:val="20"/>
                <w:szCs w:val="20"/>
              </w:rPr>
              <w:t xml:space="preserve"> </w:t>
            </w:r>
            <w:r w:rsidRPr="00AF3075">
              <w:rPr>
                <w:iCs/>
                <w:color w:val="000000" w:themeColor="text1"/>
                <w:sz w:val="20"/>
                <w:szCs w:val="20"/>
              </w:rPr>
              <w:t>typically assign</w:t>
            </w:r>
            <w:r w:rsidR="007064F6" w:rsidRPr="00AF3075">
              <w:rPr>
                <w:iCs/>
                <w:color w:val="000000" w:themeColor="text1"/>
                <w:sz w:val="20"/>
                <w:szCs w:val="20"/>
              </w:rPr>
              <w:t>s</w:t>
            </w:r>
            <w:r w:rsidRPr="00AF3075">
              <w:rPr>
                <w:iCs/>
                <w:color w:val="000000" w:themeColor="text1"/>
                <w:sz w:val="20"/>
                <w:szCs w:val="20"/>
              </w:rPr>
              <w:t xml:space="preserve"> </w:t>
            </w:r>
            <w:r w:rsidR="00BF5B1F" w:rsidRPr="00AF3075">
              <w:rPr>
                <w:iCs/>
                <w:color w:val="000000" w:themeColor="text1"/>
                <w:sz w:val="20"/>
                <w:szCs w:val="20"/>
              </w:rPr>
              <w:t xml:space="preserve">the sexes </w:t>
            </w:r>
            <w:r w:rsidRPr="00AF3075">
              <w:rPr>
                <w:iCs/>
                <w:color w:val="000000" w:themeColor="text1"/>
                <w:sz w:val="20"/>
                <w:szCs w:val="20"/>
              </w:rPr>
              <w:t xml:space="preserve">distinct, </w:t>
            </w:r>
            <w:r w:rsidR="00F17806" w:rsidRPr="00AF3075">
              <w:rPr>
                <w:iCs/>
                <w:color w:val="000000" w:themeColor="text1"/>
                <w:sz w:val="20"/>
                <w:szCs w:val="20"/>
              </w:rPr>
              <w:t xml:space="preserve">but </w:t>
            </w:r>
            <w:r w:rsidRPr="00AF3075">
              <w:rPr>
                <w:iCs/>
                <w:color w:val="000000" w:themeColor="text1"/>
                <w:sz w:val="20"/>
                <w:szCs w:val="20"/>
              </w:rPr>
              <w:t>mutually reinforcing, roles</w:t>
            </w:r>
            <w:r w:rsidR="00426111">
              <w:rPr>
                <w:iCs/>
                <w:color w:val="000000" w:themeColor="text1"/>
                <w:sz w:val="20"/>
                <w:szCs w:val="20"/>
              </w:rPr>
              <w:t xml:space="preserve"> or</w:t>
            </w:r>
            <w:r w:rsidR="00426111" w:rsidRPr="00AF3075">
              <w:rPr>
                <w:iCs/>
                <w:color w:val="000000" w:themeColor="text1"/>
                <w:sz w:val="20"/>
                <w:szCs w:val="20"/>
              </w:rPr>
              <w:t xml:space="preserve"> </w:t>
            </w:r>
            <w:r w:rsidRPr="00AF3075">
              <w:rPr>
                <w:iCs/>
                <w:color w:val="000000" w:themeColor="text1"/>
                <w:sz w:val="20"/>
                <w:szCs w:val="20"/>
              </w:rPr>
              <w:t>behaviours</w:t>
            </w:r>
            <w:r w:rsidR="00DD0EE7">
              <w:rPr>
                <w:iCs/>
                <w:color w:val="000000" w:themeColor="text1"/>
                <w:sz w:val="20"/>
                <w:szCs w:val="20"/>
              </w:rPr>
              <w:t>.</w:t>
            </w:r>
            <w:r w:rsidR="00E30067" w:rsidRPr="00AF3075">
              <w:rPr>
                <w:iCs/>
                <w:color w:val="000000" w:themeColor="text1"/>
                <w:sz w:val="20"/>
                <w:szCs w:val="20"/>
              </w:rPr>
              <w:t xml:space="preserve"> </w:t>
            </w:r>
          </w:p>
        </w:tc>
        <w:tc>
          <w:tcPr>
            <w:tcW w:w="2312" w:type="dxa"/>
            <w:tcBorders>
              <w:top w:val="single" w:sz="4" w:space="0" w:color="4A66AC" w:themeColor="accent4"/>
              <w:left w:val="single" w:sz="4" w:space="0" w:color="4A66AC" w:themeColor="accent4"/>
              <w:bottom w:val="single" w:sz="4" w:space="0" w:color="4A66AC" w:themeColor="accent4"/>
            </w:tcBorders>
          </w:tcPr>
          <w:p w14:paraId="14D8C508" w14:textId="5583A450" w:rsidR="00F17806" w:rsidRPr="00AF3075" w:rsidRDefault="00C538E3" w:rsidP="00A66917">
            <w:pPr>
              <w:keepLines/>
              <w:spacing w:before="120" w:after="60"/>
              <w:rPr>
                <w:sz w:val="20"/>
                <w:szCs w:val="20"/>
              </w:rPr>
            </w:pPr>
            <w:r w:rsidRPr="00AF3075">
              <w:rPr>
                <w:sz w:val="20"/>
                <w:szCs w:val="20"/>
              </w:rPr>
              <w:t>Eg men are/should be heads of households</w:t>
            </w:r>
            <w:r w:rsidR="0035491C">
              <w:rPr>
                <w:rStyle w:val="FootnoteReference"/>
                <w:sz w:val="20"/>
                <w:szCs w:val="20"/>
              </w:rPr>
              <w:t xml:space="preserve"> </w:t>
            </w:r>
          </w:p>
        </w:tc>
      </w:tr>
      <w:tr w:rsidR="00A93D3D" w:rsidRPr="00AF3075" w14:paraId="34BCC68F" w14:textId="77777777" w:rsidTr="00A93D3D">
        <w:trPr>
          <w:trHeight w:val="274"/>
        </w:trPr>
        <w:tc>
          <w:tcPr>
            <w:tcW w:w="1427" w:type="dxa"/>
            <w:tcBorders>
              <w:top w:val="single" w:sz="4" w:space="0" w:color="4A66AC" w:themeColor="accent4"/>
              <w:bottom w:val="nil"/>
              <w:right w:val="single" w:sz="4" w:space="0" w:color="4A66AC" w:themeColor="accent4"/>
            </w:tcBorders>
          </w:tcPr>
          <w:p w14:paraId="07B9946C" w14:textId="195C0298" w:rsidR="00A93D3D" w:rsidRPr="00AF3075" w:rsidRDefault="00A93D3D" w:rsidP="00A93D3D">
            <w:pPr>
              <w:keepLines/>
              <w:spacing w:before="120" w:after="120"/>
              <w:rPr>
                <w:b/>
                <w:color w:val="374C80" w:themeColor="accent4" w:themeShade="BF"/>
                <w:sz w:val="20"/>
                <w:szCs w:val="20"/>
              </w:rPr>
            </w:pPr>
            <w:r w:rsidRPr="00AF3075">
              <w:rPr>
                <w:b/>
                <w:color w:val="374C80" w:themeColor="accent4" w:themeShade="BF"/>
                <w:sz w:val="20"/>
                <w:szCs w:val="20"/>
              </w:rPr>
              <w:t>Compounded stereotype</w:t>
            </w:r>
          </w:p>
        </w:tc>
        <w:tc>
          <w:tcPr>
            <w:tcW w:w="4777" w:type="dxa"/>
            <w:tcBorders>
              <w:top w:val="single" w:sz="4" w:space="0" w:color="4A66AC" w:themeColor="accent4"/>
              <w:left w:val="single" w:sz="4" w:space="0" w:color="4A66AC" w:themeColor="accent4"/>
              <w:bottom w:val="nil"/>
              <w:right w:val="single" w:sz="4" w:space="0" w:color="4A66AC" w:themeColor="accent4"/>
            </w:tcBorders>
          </w:tcPr>
          <w:p w14:paraId="757FB817" w14:textId="44B10D5B" w:rsidR="00A93D3D" w:rsidRPr="00AF3075" w:rsidRDefault="00A93D3D" w:rsidP="00A93D3D">
            <w:pPr>
              <w:keepLines/>
              <w:spacing w:before="120" w:after="120"/>
              <w:rPr>
                <w:iCs/>
                <w:color w:val="000000" w:themeColor="text1"/>
                <w:sz w:val="20"/>
                <w:szCs w:val="20"/>
              </w:rPr>
            </w:pPr>
            <w:r w:rsidRPr="00AF3075">
              <w:rPr>
                <w:sz w:val="20"/>
                <w:szCs w:val="20"/>
              </w:rPr>
              <w:t xml:space="preserve">A generalised view or preconception about groups that result from the ascription of attributes, characteristics or roles </w:t>
            </w:r>
            <w:r w:rsidRPr="00AF3075">
              <w:rPr>
                <w:b/>
                <w:color w:val="374C80" w:themeColor="accent4" w:themeShade="BF"/>
                <w:sz w:val="20"/>
                <w:szCs w:val="20"/>
              </w:rPr>
              <w:t>based on one or more traits</w:t>
            </w:r>
            <w:r w:rsidR="00A71185" w:rsidRPr="00A71185">
              <w:rPr>
                <w:sz w:val="20"/>
                <w:szCs w:val="20"/>
              </w:rPr>
              <w:t>.</w:t>
            </w:r>
            <w:r w:rsidRPr="00AF3075">
              <w:rPr>
                <w:rStyle w:val="FootnoteReference"/>
                <w:sz w:val="20"/>
                <w:szCs w:val="20"/>
              </w:rPr>
              <w:footnoteReference w:id="66"/>
            </w:r>
          </w:p>
        </w:tc>
        <w:tc>
          <w:tcPr>
            <w:tcW w:w="2312" w:type="dxa"/>
            <w:tcBorders>
              <w:top w:val="single" w:sz="4" w:space="0" w:color="4A66AC" w:themeColor="accent4"/>
              <w:left w:val="single" w:sz="4" w:space="0" w:color="4A66AC" w:themeColor="accent4"/>
              <w:bottom w:val="nil"/>
            </w:tcBorders>
          </w:tcPr>
          <w:p w14:paraId="3FC647C9" w14:textId="2CC91475" w:rsidR="00A93D3D" w:rsidRPr="00AF3075" w:rsidRDefault="00A93D3D" w:rsidP="006A3540">
            <w:pPr>
              <w:keepLines/>
              <w:spacing w:before="120" w:after="60"/>
              <w:rPr>
                <w:sz w:val="20"/>
                <w:szCs w:val="20"/>
              </w:rPr>
            </w:pPr>
            <w:r w:rsidRPr="00AF3075">
              <w:rPr>
                <w:sz w:val="20"/>
                <w:szCs w:val="20"/>
              </w:rPr>
              <w:t xml:space="preserve">Eg </w:t>
            </w:r>
            <w:r w:rsidR="0035491C">
              <w:rPr>
                <w:sz w:val="20"/>
                <w:szCs w:val="20"/>
              </w:rPr>
              <w:t>A</w:t>
            </w:r>
            <w:r w:rsidRPr="00AF3075">
              <w:rPr>
                <w:sz w:val="20"/>
                <w:szCs w:val="20"/>
              </w:rPr>
              <w:t>sian women are sexually submissive</w:t>
            </w:r>
            <w:r w:rsidR="0035491C">
              <w:rPr>
                <w:rStyle w:val="FootnoteReference"/>
                <w:iCs/>
                <w:color w:val="000000" w:themeColor="text1"/>
                <w:sz w:val="20"/>
                <w:szCs w:val="20"/>
              </w:rPr>
              <w:t xml:space="preserve"> </w:t>
            </w:r>
          </w:p>
        </w:tc>
      </w:tr>
    </w:tbl>
    <w:p w14:paraId="68031422" w14:textId="401EDCE1" w:rsidR="009A17CD" w:rsidRPr="00AF3075" w:rsidRDefault="00CE2A64" w:rsidP="00A93D3D">
      <w:r w:rsidRPr="00AF3075">
        <w:t>Gender and other forms of s</w:t>
      </w:r>
      <w:r w:rsidR="00FE7E36" w:rsidRPr="00AF3075">
        <w:t xml:space="preserve">tereotyping </w:t>
      </w:r>
      <w:r w:rsidRPr="00AF3075">
        <w:t>lead</w:t>
      </w:r>
      <w:r w:rsidR="009C1E50" w:rsidRPr="00AF3075">
        <w:t xml:space="preserve"> to</w:t>
      </w:r>
      <w:r w:rsidR="00FE7E36" w:rsidRPr="00AF3075">
        <w:t xml:space="preserve"> inferences being drawn about individuals.  These inferences</w:t>
      </w:r>
      <w:r w:rsidRPr="00AF3075">
        <w:t xml:space="preserve"> are </w:t>
      </w:r>
      <w:r w:rsidR="004F2ADA" w:rsidRPr="00AF3075">
        <w:t xml:space="preserve">often </w:t>
      </w:r>
      <w:r w:rsidR="00FE7E36" w:rsidRPr="00AF3075">
        <w:t>prejudicial</w:t>
      </w:r>
      <w:r w:rsidR="00E2632F" w:rsidRPr="00AF3075">
        <w:t xml:space="preserve"> in nature</w:t>
      </w:r>
      <w:r w:rsidRPr="00AF3075">
        <w:t xml:space="preserve">.  In cases concerning gender-based violence, they </w:t>
      </w:r>
      <w:r w:rsidR="004F2ADA" w:rsidRPr="00AF3075">
        <w:t>regularly</w:t>
      </w:r>
      <w:r w:rsidRPr="00AF3075">
        <w:t xml:space="preserve"> undermine the claims of the victim/survivor and simultaneously support the defence</w:t>
      </w:r>
      <w:r w:rsidR="004F2ADA" w:rsidRPr="00AF3075">
        <w:t>s</w:t>
      </w:r>
      <w:r w:rsidRPr="00AF3075">
        <w:t xml:space="preserve"> advanced by the alleged perpetrator.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3"/>
        <w:gridCol w:w="2417"/>
        <w:gridCol w:w="2418"/>
        <w:gridCol w:w="2418"/>
      </w:tblGrid>
      <w:tr w:rsidR="00354FAB" w:rsidRPr="00AF3075" w14:paraId="3128FE39" w14:textId="77777777" w:rsidTr="00A71185">
        <w:trPr>
          <w:trHeight w:val="695"/>
        </w:trPr>
        <w:tc>
          <w:tcPr>
            <w:tcW w:w="1263" w:type="dxa"/>
            <w:tcBorders>
              <w:top w:val="nil"/>
              <w:bottom w:val="single" w:sz="4" w:space="0" w:color="4A66AC" w:themeColor="accent4"/>
              <w:right w:val="single" w:sz="4" w:space="0" w:color="4A66AC" w:themeColor="accent4"/>
            </w:tcBorders>
          </w:tcPr>
          <w:p w14:paraId="5F7C19A7" w14:textId="77777777" w:rsidR="00354FAB" w:rsidRPr="00AF3075" w:rsidRDefault="00354FAB" w:rsidP="00BF5B1F">
            <w:pPr>
              <w:spacing w:before="120" w:after="120"/>
              <w:rPr>
                <w:b/>
                <w:color w:val="374C80" w:themeColor="accent4" w:themeShade="BF"/>
                <w:sz w:val="20"/>
                <w:szCs w:val="20"/>
              </w:rPr>
            </w:pPr>
            <w:r w:rsidRPr="00AF3075">
              <w:rPr>
                <w:b/>
                <w:color w:val="374C80" w:themeColor="accent4" w:themeShade="BF"/>
                <w:sz w:val="20"/>
                <w:szCs w:val="20"/>
              </w:rPr>
              <w:t>Stereotype</w:t>
            </w:r>
          </w:p>
        </w:tc>
        <w:tc>
          <w:tcPr>
            <w:tcW w:w="2417" w:type="dxa"/>
            <w:tcBorders>
              <w:top w:val="nil"/>
              <w:left w:val="single" w:sz="4" w:space="0" w:color="4A66AC" w:themeColor="accent4"/>
              <w:bottom w:val="single" w:sz="4" w:space="0" w:color="4A66AC" w:themeColor="accent4"/>
              <w:right w:val="single" w:sz="4" w:space="0" w:color="4A66AC" w:themeColor="accent4"/>
            </w:tcBorders>
          </w:tcPr>
          <w:p w14:paraId="36F10F5C" w14:textId="77777777" w:rsidR="00354FAB" w:rsidRPr="00AF3075" w:rsidRDefault="00354FAB" w:rsidP="00BF5B1F">
            <w:pPr>
              <w:spacing w:before="120" w:after="120"/>
              <w:rPr>
                <w:b/>
                <w:iCs/>
                <w:color w:val="374C80" w:themeColor="accent4" w:themeShade="BF"/>
                <w:sz w:val="20"/>
                <w:szCs w:val="20"/>
              </w:rPr>
            </w:pPr>
            <w:r w:rsidRPr="00AF3075">
              <w:rPr>
                <w:b/>
                <w:iCs/>
                <w:color w:val="374C80" w:themeColor="accent4" w:themeShade="BF"/>
                <w:sz w:val="20"/>
                <w:szCs w:val="20"/>
              </w:rPr>
              <w:t>Men have/should have strong libidos</w:t>
            </w:r>
          </w:p>
        </w:tc>
        <w:tc>
          <w:tcPr>
            <w:tcW w:w="2418" w:type="dxa"/>
            <w:tcBorders>
              <w:top w:val="nil"/>
              <w:left w:val="single" w:sz="4" w:space="0" w:color="4A66AC" w:themeColor="accent4"/>
              <w:bottom w:val="single" w:sz="4" w:space="0" w:color="4A66AC" w:themeColor="accent4"/>
              <w:right w:val="single" w:sz="4" w:space="0" w:color="4A66AC" w:themeColor="accent4"/>
            </w:tcBorders>
          </w:tcPr>
          <w:p w14:paraId="1DC88A0C" w14:textId="77777777" w:rsidR="00354FAB" w:rsidRPr="00AF3075" w:rsidRDefault="00354FAB" w:rsidP="00BF5B1F">
            <w:pPr>
              <w:spacing w:before="120" w:after="120"/>
              <w:rPr>
                <w:iCs/>
                <w:color w:val="374C80" w:themeColor="accent4" w:themeShade="BF"/>
                <w:sz w:val="20"/>
                <w:szCs w:val="20"/>
              </w:rPr>
            </w:pPr>
            <w:r w:rsidRPr="00AF3075">
              <w:rPr>
                <w:b/>
                <w:color w:val="374C80" w:themeColor="accent4" w:themeShade="BF"/>
                <w:sz w:val="20"/>
                <w:szCs w:val="20"/>
              </w:rPr>
              <w:t>Women with mental disabilities are hypersexual</w:t>
            </w:r>
          </w:p>
        </w:tc>
        <w:tc>
          <w:tcPr>
            <w:tcW w:w="2418" w:type="dxa"/>
            <w:tcBorders>
              <w:top w:val="nil"/>
              <w:left w:val="single" w:sz="4" w:space="0" w:color="4A66AC" w:themeColor="accent4"/>
              <w:bottom w:val="single" w:sz="4" w:space="0" w:color="4A66AC" w:themeColor="accent4"/>
            </w:tcBorders>
          </w:tcPr>
          <w:p w14:paraId="58E70148" w14:textId="25541CFF" w:rsidR="00354FAB" w:rsidRPr="00AF3075" w:rsidRDefault="00354FAB" w:rsidP="00BF5B1F">
            <w:pPr>
              <w:spacing w:before="120" w:after="120"/>
              <w:rPr>
                <w:iCs/>
                <w:color w:val="374C80" w:themeColor="accent4" w:themeShade="BF"/>
                <w:sz w:val="20"/>
                <w:szCs w:val="20"/>
              </w:rPr>
            </w:pPr>
            <w:r w:rsidRPr="00AF3075">
              <w:rPr>
                <w:b/>
                <w:color w:val="374C80" w:themeColor="accent4" w:themeShade="BF"/>
                <w:sz w:val="20"/>
                <w:szCs w:val="20"/>
              </w:rPr>
              <w:t>Women are/should be housewives</w:t>
            </w:r>
            <w:r w:rsidR="00BF5B1F" w:rsidRPr="00AF3075">
              <w:rPr>
                <w:b/>
                <w:color w:val="374C80" w:themeColor="accent4" w:themeShade="BF"/>
                <w:sz w:val="20"/>
                <w:szCs w:val="20"/>
              </w:rPr>
              <w:t>/</w:t>
            </w:r>
            <w:r w:rsidRPr="00AF3075">
              <w:rPr>
                <w:b/>
                <w:color w:val="374C80" w:themeColor="accent4" w:themeShade="BF"/>
                <w:sz w:val="20"/>
                <w:szCs w:val="20"/>
              </w:rPr>
              <w:t xml:space="preserve"> caregivers</w:t>
            </w:r>
          </w:p>
        </w:tc>
      </w:tr>
      <w:tr w:rsidR="00354FAB" w:rsidRPr="00AF3075" w14:paraId="5455974D" w14:textId="77777777" w:rsidTr="00A71185">
        <w:trPr>
          <w:trHeight w:val="695"/>
        </w:trPr>
        <w:tc>
          <w:tcPr>
            <w:tcW w:w="1263" w:type="dxa"/>
            <w:tcBorders>
              <w:top w:val="single" w:sz="4" w:space="0" w:color="4A66AC" w:themeColor="accent4"/>
              <w:bottom w:val="single" w:sz="4" w:space="0" w:color="4A66AC" w:themeColor="accent4"/>
              <w:right w:val="single" w:sz="4" w:space="0" w:color="4A66AC" w:themeColor="accent4"/>
            </w:tcBorders>
          </w:tcPr>
          <w:p w14:paraId="0CADAD19" w14:textId="77777777" w:rsidR="00354FAB" w:rsidRPr="00AF3075" w:rsidRDefault="00354FAB" w:rsidP="00BF5B1F">
            <w:pPr>
              <w:spacing w:before="120" w:after="120"/>
              <w:rPr>
                <w:b/>
                <w:color w:val="374C80" w:themeColor="accent4" w:themeShade="BF"/>
                <w:sz w:val="20"/>
                <w:szCs w:val="20"/>
              </w:rPr>
            </w:pPr>
            <w:r w:rsidRPr="00AF3075">
              <w:rPr>
                <w:b/>
                <w:color w:val="374C80" w:themeColor="accent4" w:themeShade="BF"/>
                <w:sz w:val="20"/>
                <w:szCs w:val="20"/>
              </w:rPr>
              <w:t>(Group) assumption</w:t>
            </w:r>
          </w:p>
        </w:tc>
        <w:tc>
          <w:tcPr>
            <w:tcW w:w="2417"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7DD64A21" w14:textId="77777777" w:rsidR="00354FAB" w:rsidRPr="00AF3075" w:rsidRDefault="00354FAB" w:rsidP="00BF5B1F">
            <w:pPr>
              <w:spacing w:before="120" w:after="120"/>
              <w:rPr>
                <w:iCs/>
                <w:color w:val="000000" w:themeColor="text1"/>
                <w:sz w:val="20"/>
                <w:szCs w:val="20"/>
              </w:rPr>
            </w:pPr>
            <w:r w:rsidRPr="00AF3075">
              <w:rPr>
                <w:iCs/>
                <w:color w:val="000000" w:themeColor="text1"/>
                <w:sz w:val="20"/>
                <w:szCs w:val="20"/>
              </w:rPr>
              <w:t>Men will/should regularly initiate sexual activities</w:t>
            </w:r>
          </w:p>
        </w:tc>
        <w:tc>
          <w:tcPr>
            <w:tcW w:w="2418"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08340ACB" w14:textId="77777777" w:rsidR="00354FAB" w:rsidRPr="00AF3075" w:rsidRDefault="00354FAB" w:rsidP="00BF5B1F">
            <w:pPr>
              <w:spacing w:before="120" w:after="120"/>
              <w:rPr>
                <w:rStyle w:val="SubtleEmphasis"/>
                <w:b w:val="0"/>
                <w:color w:val="000000" w:themeColor="text1"/>
                <w:sz w:val="20"/>
                <w:szCs w:val="20"/>
              </w:rPr>
            </w:pPr>
            <w:r w:rsidRPr="00AF3075">
              <w:rPr>
                <w:iCs/>
                <w:color w:val="000000" w:themeColor="text1"/>
                <w:sz w:val="20"/>
                <w:szCs w:val="20"/>
              </w:rPr>
              <w:t>Women with mental disabilities are sexually voracious and indiscriminate in their choice of sexual partners</w:t>
            </w:r>
          </w:p>
        </w:tc>
        <w:tc>
          <w:tcPr>
            <w:tcW w:w="2418" w:type="dxa"/>
            <w:tcBorders>
              <w:top w:val="single" w:sz="4" w:space="0" w:color="4A66AC" w:themeColor="accent4"/>
              <w:left w:val="single" w:sz="4" w:space="0" w:color="4A66AC" w:themeColor="accent4"/>
              <w:bottom w:val="single" w:sz="4" w:space="0" w:color="4A66AC" w:themeColor="accent4"/>
            </w:tcBorders>
          </w:tcPr>
          <w:p w14:paraId="20E6E115" w14:textId="4038A284" w:rsidR="00354FAB" w:rsidRPr="00AF3075" w:rsidRDefault="00354FAB" w:rsidP="00BF5B1F">
            <w:pPr>
              <w:spacing w:before="120" w:after="120"/>
              <w:rPr>
                <w:rStyle w:val="SubtleEmphasis"/>
                <w:b w:val="0"/>
                <w:color w:val="000000" w:themeColor="text1"/>
                <w:sz w:val="20"/>
                <w:szCs w:val="20"/>
              </w:rPr>
            </w:pPr>
            <w:r w:rsidRPr="00AF3075">
              <w:rPr>
                <w:sz w:val="20"/>
                <w:szCs w:val="20"/>
              </w:rPr>
              <w:t>Women</w:t>
            </w:r>
            <w:r w:rsidR="004F2ADA" w:rsidRPr="00AF3075">
              <w:rPr>
                <w:sz w:val="20"/>
                <w:szCs w:val="20"/>
              </w:rPr>
              <w:t xml:space="preserve"> </w:t>
            </w:r>
            <w:r w:rsidRPr="00AF3075">
              <w:rPr>
                <w:sz w:val="20"/>
                <w:szCs w:val="20"/>
              </w:rPr>
              <w:t xml:space="preserve">are heterosexual and their paramount duty is to </w:t>
            </w:r>
            <w:r w:rsidR="00A71185" w:rsidRPr="00AF3075">
              <w:rPr>
                <w:sz w:val="20"/>
                <w:szCs w:val="20"/>
              </w:rPr>
              <w:t>fulfil</w:t>
            </w:r>
            <w:r w:rsidRPr="00AF3075">
              <w:rPr>
                <w:sz w:val="20"/>
                <w:szCs w:val="20"/>
              </w:rPr>
              <w:t xml:space="preserve"> the roles of wife and mother</w:t>
            </w:r>
            <w:r w:rsidR="00BF5B1F" w:rsidRPr="00AF3075">
              <w:rPr>
                <w:sz w:val="20"/>
                <w:szCs w:val="20"/>
              </w:rPr>
              <w:t>/</w:t>
            </w:r>
            <w:r w:rsidRPr="00AF3075">
              <w:rPr>
                <w:sz w:val="20"/>
                <w:szCs w:val="20"/>
              </w:rPr>
              <w:t>caregiver</w:t>
            </w:r>
          </w:p>
        </w:tc>
      </w:tr>
      <w:tr w:rsidR="00354FAB" w:rsidRPr="00AF3075" w14:paraId="2C890D84" w14:textId="77777777" w:rsidTr="00A71185">
        <w:trPr>
          <w:trHeight w:val="452"/>
        </w:trPr>
        <w:tc>
          <w:tcPr>
            <w:tcW w:w="1263" w:type="dxa"/>
            <w:tcBorders>
              <w:top w:val="single" w:sz="4" w:space="0" w:color="4A66AC" w:themeColor="accent4"/>
              <w:bottom w:val="nil"/>
              <w:right w:val="single" w:sz="4" w:space="0" w:color="4A66AC" w:themeColor="accent4"/>
            </w:tcBorders>
          </w:tcPr>
          <w:p w14:paraId="729A5969" w14:textId="3560D3A9" w:rsidR="00354FAB" w:rsidRPr="00AF3075" w:rsidRDefault="00354FAB" w:rsidP="00BF5B1F">
            <w:pPr>
              <w:spacing w:before="120" w:after="120"/>
              <w:rPr>
                <w:b/>
                <w:color w:val="374C80" w:themeColor="accent4" w:themeShade="BF"/>
                <w:sz w:val="20"/>
                <w:szCs w:val="20"/>
              </w:rPr>
            </w:pPr>
            <w:r w:rsidRPr="00AF3075">
              <w:rPr>
                <w:b/>
                <w:color w:val="374C80" w:themeColor="accent4" w:themeShade="BF"/>
                <w:sz w:val="20"/>
                <w:szCs w:val="20"/>
              </w:rPr>
              <w:t>Inferences (about an individual)</w:t>
            </w:r>
          </w:p>
        </w:tc>
        <w:tc>
          <w:tcPr>
            <w:tcW w:w="2417" w:type="dxa"/>
            <w:tcBorders>
              <w:top w:val="single" w:sz="4" w:space="0" w:color="4A66AC" w:themeColor="accent4"/>
              <w:left w:val="single" w:sz="4" w:space="0" w:color="4A66AC" w:themeColor="accent4"/>
              <w:bottom w:val="nil"/>
              <w:right w:val="single" w:sz="4" w:space="0" w:color="4A66AC" w:themeColor="accent4"/>
            </w:tcBorders>
          </w:tcPr>
          <w:p w14:paraId="2664F553" w14:textId="085FFCDE" w:rsidR="00354FAB" w:rsidRPr="00AF3075" w:rsidRDefault="00354FAB" w:rsidP="00BF5B1F">
            <w:pPr>
              <w:spacing w:before="120" w:after="120"/>
              <w:rPr>
                <w:sz w:val="20"/>
                <w:szCs w:val="20"/>
              </w:rPr>
            </w:pPr>
            <w:r w:rsidRPr="00AF3075">
              <w:rPr>
                <w:sz w:val="20"/>
                <w:szCs w:val="20"/>
              </w:rPr>
              <w:t xml:space="preserve">A </w:t>
            </w:r>
            <w:r w:rsidRPr="00AF3075">
              <w:rPr>
                <w:iCs/>
                <w:color w:val="000000" w:themeColor="text1"/>
                <w:sz w:val="20"/>
                <w:szCs w:val="20"/>
              </w:rPr>
              <w:t xml:space="preserve">man is unable to control his hormonal urges and can’t be held responsible </w:t>
            </w:r>
            <w:r w:rsidR="00A71185">
              <w:rPr>
                <w:iCs/>
                <w:color w:val="000000" w:themeColor="text1"/>
                <w:sz w:val="20"/>
                <w:szCs w:val="20"/>
              </w:rPr>
              <w:t>for his own sexual ‘misconduct’,</w:t>
            </w:r>
            <w:r w:rsidRPr="00AF3075">
              <w:rPr>
                <w:iCs/>
                <w:color w:val="000000" w:themeColor="text1"/>
                <w:sz w:val="20"/>
                <w:szCs w:val="20"/>
              </w:rPr>
              <w:t xml:space="preserve"> especially if ‘provoked’ (eg by a woman’s clothing or behaviour)</w:t>
            </w:r>
            <w:r w:rsidR="0019422A">
              <w:rPr>
                <w:iCs/>
                <w:color w:val="000000" w:themeColor="text1"/>
                <w:sz w:val="20"/>
                <w:szCs w:val="20"/>
              </w:rPr>
              <w:t>.</w:t>
            </w:r>
          </w:p>
        </w:tc>
        <w:tc>
          <w:tcPr>
            <w:tcW w:w="2418" w:type="dxa"/>
            <w:tcBorders>
              <w:top w:val="single" w:sz="4" w:space="0" w:color="4A66AC" w:themeColor="accent4"/>
              <w:left w:val="single" w:sz="4" w:space="0" w:color="4A66AC" w:themeColor="accent4"/>
              <w:bottom w:val="nil"/>
              <w:right w:val="single" w:sz="4" w:space="0" w:color="4A66AC" w:themeColor="accent4"/>
            </w:tcBorders>
          </w:tcPr>
          <w:p w14:paraId="29A07806" w14:textId="65748219" w:rsidR="00354FAB" w:rsidRPr="00AF3075" w:rsidRDefault="00354FAB" w:rsidP="00A71185">
            <w:pPr>
              <w:spacing w:before="120" w:after="120"/>
              <w:rPr>
                <w:iCs/>
                <w:color w:val="000000" w:themeColor="text1"/>
                <w:sz w:val="20"/>
                <w:szCs w:val="20"/>
              </w:rPr>
            </w:pPr>
            <w:r w:rsidRPr="00AF3075">
              <w:rPr>
                <w:sz w:val="20"/>
                <w:szCs w:val="20"/>
              </w:rPr>
              <w:t>A woman with a mental disability</w:t>
            </w:r>
            <w:r w:rsidRPr="00AF3075">
              <w:rPr>
                <w:iCs/>
                <w:color w:val="000000" w:themeColor="text1"/>
                <w:sz w:val="20"/>
                <w:szCs w:val="20"/>
              </w:rPr>
              <w:t xml:space="preserve"> could not have been assaulted because she must have </w:t>
            </w:r>
            <w:r w:rsidR="00197367" w:rsidRPr="00AF3075">
              <w:rPr>
                <w:iCs/>
                <w:color w:val="000000" w:themeColor="text1"/>
                <w:sz w:val="20"/>
                <w:szCs w:val="20"/>
              </w:rPr>
              <w:t>consented</w:t>
            </w:r>
            <w:r w:rsidRPr="00AF3075">
              <w:rPr>
                <w:iCs/>
                <w:color w:val="000000" w:themeColor="text1"/>
                <w:sz w:val="20"/>
                <w:szCs w:val="20"/>
              </w:rPr>
              <w:t xml:space="preserve"> </w:t>
            </w:r>
            <w:r w:rsidR="00197367" w:rsidRPr="00AF3075">
              <w:rPr>
                <w:iCs/>
                <w:color w:val="000000" w:themeColor="text1"/>
                <w:sz w:val="20"/>
                <w:szCs w:val="20"/>
              </w:rPr>
              <w:t>to sex</w:t>
            </w:r>
            <w:r w:rsidR="00A71185">
              <w:rPr>
                <w:iCs/>
                <w:color w:val="000000" w:themeColor="text1"/>
                <w:sz w:val="20"/>
                <w:szCs w:val="20"/>
              </w:rPr>
              <w:t xml:space="preserve"> or </w:t>
            </w:r>
            <w:r w:rsidR="004F2ADA" w:rsidRPr="00AF3075">
              <w:rPr>
                <w:iCs/>
                <w:color w:val="000000" w:themeColor="text1"/>
                <w:sz w:val="20"/>
                <w:szCs w:val="20"/>
              </w:rPr>
              <w:t xml:space="preserve">she may </w:t>
            </w:r>
            <w:r w:rsidRPr="00AF3075">
              <w:rPr>
                <w:iCs/>
                <w:color w:val="000000" w:themeColor="text1"/>
                <w:sz w:val="20"/>
                <w:szCs w:val="20"/>
              </w:rPr>
              <w:t xml:space="preserve">require more corroborating evidence than in cases involving </w:t>
            </w:r>
            <w:r w:rsidR="004F2ADA" w:rsidRPr="00AF3075">
              <w:rPr>
                <w:iCs/>
                <w:color w:val="000000" w:themeColor="text1"/>
                <w:sz w:val="20"/>
                <w:szCs w:val="20"/>
              </w:rPr>
              <w:t xml:space="preserve">a </w:t>
            </w:r>
            <w:r w:rsidRPr="00AF3075">
              <w:rPr>
                <w:iCs/>
                <w:color w:val="000000" w:themeColor="text1"/>
                <w:sz w:val="20"/>
                <w:szCs w:val="20"/>
              </w:rPr>
              <w:t xml:space="preserve">woman without </w:t>
            </w:r>
            <w:r w:rsidR="004F2ADA" w:rsidRPr="00AF3075">
              <w:rPr>
                <w:iCs/>
                <w:color w:val="000000" w:themeColor="text1"/>
                <w:sz w:val="20"/>
                <w:szCs w:val="20"/>
              </w:rPr>
              <w:t xml:space="preserve">such </w:t>
            </w:r>
            <w:r w:rsidR="00B40F2F" w:rsidRPr="00AF3075">
              <w:rPr>
                <w:iCs/>
                <w:color w:val="000000" w:themeColor="text1"/>
                <w:sz w:val="20"/>
                <w:szCs w:val="20"/>
              </w:rPr>
              <w:t xml:space="preserve">a </w:t>
            </w:r>
            <w:r w:rsidRPr="00AF3075">
              <w:rPr>
                <w:iCs/>
                <w:color w:val="000000" w:themeColor="text1"/>
                <w:sz w:val="20"/>
                <w:szCs w:val="20"/>
              </w:rPr>
              <w:t>disability</w:t>
            </w:r>
            <w:r w:rsidR="0019422A">
              <w:rPr>
                <w:iCs/>
                <w:color w:val="000000" w:themeColor="text1"/>
                <w:sz w:val="20"/>
                <w:szCs w:val="20"/>
              </w:rPr>
              <w:t>.</w:t>
            </w:r>
          </w:p>
        </w:tc>
        <w:tc>
          <w:tcPr>
            <w:tcW w:w="2418" w:type="dxa"/>
            <w:tcBorders>
              <w:top w:val="single" w:sz="4" w:space="0" w:color="4A66AC" w:themeColor="accent4"/>
              <w:left w:val="single" w:sz="4" w:space="0" w:color="4A66AC" w:themeColor="accent4"/>
              <w:bottom w:val="nil"/>
            </w:tcBorders>
          </w:tcPr>
          <w:p w14:paraId="0A244573" w14:textId="440F3603" w:rsidR="00354FAB" w:rsidRPr="00AF3075" w:rsidRDefault="00354FAB">
            <w:pPr>
              <w:spacing w:before="120" w:after="120"/>
              <w:rPr>
                <w:sz w:val="20"/>
                <w:szCs w:val="20"/>
              </w:rPr>
            </w:pPr>
            <w:r w:rsidRPr="00AF3075">
              <w:rPr>
                <w:iCs/>
                <w:color w:val="000000" w:themeColor="text1"/>
                <w:sz w:val="20"/>
                <w:szCs w:val="20"/>
              </w:rPr>
              <w:t>I</w:t>
            </w:r>
            <w:r w:rsidRPr="00AF3075">
              <w:rPr>
                <w:sz w:val="20"/>
                <w:szCs w:val="20"/>
              </w:rPr>
              <w:t xml:space="preserve">t is ‘permissible’ </w:t>
            </w:r>
            <w:r w:rsidR="00426111">
              <w:rPr>
                <w:sz w:val="20"/>
                <w:szCs w:val="20"/>
              </w:rPr>
              <w:t xml:space="preserve">for a man </w:t>
            </w:r>
            <w:r w:rsidRPr="00AF3075">
              <w:rPr>
                <w:sz w:val="20"/>
                <w:szCs w:val="20"/>
              </w:rPr>
              <w:t xml:space="preserve">to use violence </w:t>
            </w:r>
            <w:r w:rsidR="00197367" w:rsidRPr="00AF3075">
              <w:rPr>
                <w:sz w:val="20"/>
                <w:szCs w:val="20"/>
              </w:rPr>
              <w:t xml:space="preserve">to control </w:t>
            </w:r>
            <w:r w:rsidRPr="00AF3075">
              <w:rPr>
                <w:sz w:val="20"/>
                <w:szCs w:val="20"/>
              </w:rPr>
              <w:t xml:space="preserve">a woman who </w:t>
            </w:r>
            <w:r w:rsidR="004F2ADA" w:rsidRPr="00AF3075">
              <w:rPr>
                <w:sz w:val="20"/>
                <w:szCs w:val="20"/>
              </w:rPr>
              <w:t xml:space="preserve">is </w:t>
            </w:r>
            <w:r w:rsidRPr="00AF3075">
              <w:rPr>
                <w:sz w:val="20"/>
                <w:szCs w:val="20"/>
              </w:rPr>
              <w:t xml:space="preserve">not </w:t>
            </w:r>
            <w:r w:rsidR="004F2ADA" w:rsidRPr="00AF3075">
              <w:rPr>
                <w:sz w:val="20"/>
                <w:szCs w:val="20"/>
              </w:rPr>
              <w:t xml:space="preserve">heterosexual </w:t>
            </w:r>
            <w:r w:rsidR="00B553D6">
              <w:rPr>
                <w:sz w:val="20"/>
                <w:szCs w:val="20"/>
              </w:rPr>
              <w:t>or</w:t>
            </w:r>
            <w:r w:rsidR="004F2ADA" w:rsidRPr="00AF3075">
              <w:rPr>
                <w:sz w:val="20"/>
                <w:szCs w:val="20"/>
              </w:rPr>
              <w:t xml:space="preserve"> does not perform these roles </w:t>
            </w:r>
            <w:r w:rsidRPr="00AF3075">
              <w:rPr>
                <w:sz w:val="20"/>
                <w:szCs w:val="20"/>
              </w:rPr>
              <w:t>(eg lesbian</w:t>
            </w:r>
            <w:r w:rsidR="004F2ADA" w:rsidRPr="00AF3075">
              <w:rPr>
                <w:sz w:val="20"/>
                <w:szCs w:val="20"/>
              </w:rPr>
              <w:t xml:space="preserve">s, </w:t>
            </w:r>
            <w:r w:rsidRPr="00AF3075">
              <w:rPr>
                <w:sz w:val="20"/>
                <w:szCs w:val="20"/>
              </w:rPr>
              <w:t xml:space="preserve">bisexual </w:t>
            </w:r>
            <w:r w:rsidR="004F2ADA" w:rsidRPr="00AF3075">
              <w:rPr>
                <w:sz w:val="20"/>
                <w:szCs w:val="20"/>
              </w:rPr>
              <w:t xml:space="preserve">women, women who </w:t>
            </w:r>
            <w:r w:rsidRPr="00AF3075">
              <w:rPr>
                <w:sz w:val="20"/>
                <w:szCs w:val="20"/>
              </w:rPr>
              <w:t>pursues roles other than or in addition to</w:t>
            </w:r>
            <w:r w:rsidR="000F14B0" w:rsidRPr="00AF3075">
              <w:rPr>
                <w:sz w:val="20"/>
                <w:szCs w:val="20"/>
              </w:rPr>
              <w:t xml:space="preserve"> the roles</w:t>
            </w:r>
            <w:r w:rsidR="00426111">
              <w:rPr>
                <w:sz w:val="20"/>
                <w:szCs w:val="20"/>
              </w:rPr>
              <w:t xml:space="preserve"> identified</w:t>
            </w:r>
            <w:r w:rsidR="004F2ADA" w:rsidRPr="00AF3075">
              <w:rPr>
                <w:sz w:val="20"/>
                <w:szCs w:val="20"/>
              </w:rPr>
              <w:t>)</w:t>
            </w:r>
            <w:r w:rsidR="0019422A">
              <w:rPr>
                <w:sz w:val="20"/>
                <w:szCs w:val="20"/>
              </w:rPr>
              <w:t>.</w:t>
            </w:r>
          </w:p>
        </w:tc>
      </w:tr>
    </w:tbl>
    <w:p w14:paraId="20D85866" w14:textId="58B0E958" w:rsidR="00FE7E36" w:rsidRPr="00AF3075" w:rsidRDefault="00FE7E36" w:rsidP="00FE7E36">
      <w:r w:rsidRPr="00AF3075">
        <w:t xml:space="preserve">A single stereotype </w:t>
      </w:r>
      <w:r w:rsidR="00B40F2F" w:rsidRPr="00AF3075">
        <w:t xml:space="preserve">can lead to </w:t>
      </w:r>
      <w:r w:rsidRPr="00AF3075">
        <w:t>multiple inferences</w:t>
      </w:r>
      <w:r w:rsidR="00B40F2F" w:rsidRPr="00AF3075">
        <w:t>, some or all of which</w:t>
      </w:r>
      <w:r w:rsidR="00CD719D" w:rsidRPr="00AF3075">
        <w:t xml:space="preserve"> </w:t>
      </w:r>
      <w:r w:rsidR="00B40F2F" w:rsidRPr="00AF3075">
        <w:t xml:space="preserve">a judge may </w:t>
      </w:r>
      <w:r w:rsidR="00066BBC" w:rsidRPr="00AF3075">
        <w:t xml:space="preserve">infer </w:t>
      </w:r>
      <w:r w:rsidR="00000E35" w:rsidRPr="00AF3075">
        <w:t xml:space="preserve">in a particular case. </w:t>
      </w:r>
    </w:p>
    <w:tbl>
      <w:tblPr>
        <w:tblStyle w:val="TableGrid"/>
        <w:tblW w:w="84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3"/>
        <w:gridCol w:w="2403"/>
        <w:gridCol w:w="2403"/>
        <w:gridCol w:w="2403"/>
      </w:tblGrid>
      <w:tr w:rsidR="006E758E" w:rsidRPr="00AF3075" w14:paraId="70432F9E" w14:textId="77777777" w:rsidTr="006E758E">
        <w:trPr>
          <w:trHeight w:val="433"/>
        </w:trPr>
        <w:tc>
          <w:tcPr>
            <w:tcW w:w="1263" w:type="dxa"/>
            <w:tcBorders>
              <w:top w:val="nil"/>
              <w:bottom w:val="single" w:sz="4" w:space="0" w:color="4A66AC" w:themeColor="accent4"/>
              <w:right w:val="single" w:sz="4" w:space="0" w:color="4A66AC" w:themeColor="accent4"/>
            </w:tcBorders>
          </w:tcPr>
          <w:p w14:paraId="26C3F38F" w14:textId="77777777" w:rsidR="006E758E" w:rsidRPr="00AF3075" w:rsidRDefault="006E758E" w:rsidP="004D2D6C">
            <w:pPr>
              <w:spacing w:before="120" w:after="120"/>
              <w:rPr>
                <w:b/>
                <w:color w:val="374C80" w:themeColor="accent4" w:themeShade="BF"/>
                <w:sz w:val="20"/>
                <w:szCs w:val="20"/>
              </w:rPr>
            </w:pPr>
            <w:r w:rsidRPr="00AF3075">
              <w:rPr>
                <w:b/>
                <w:color w:val="374C80" w:themeColor="accent4" w:themeShade="BF"/>
                <w:sz w:val="20"/>
                <w:szCs w:val="20"/>
              </w:rPr>
              <w:t>Stereotype</w:t>
            </w:r>
          </w:p>
        </w:tc>
        <w:tc>
          <w:tcPr>
            <w:tcW w:w="2403" w:type="dxa"/>
            <w:tcBorders>
              <w:top w:val="nil"/>
              <w:left w:val="single" w:sz="4" w:space="0" w:color="4A66AC" w:themeColor="accent4"/>
              <w:bottom w:val="single" w:sz="4" w:space="0" w:color="4A66AC" w:themeColor="accent4"/>
              <w:right w:val="nil"/>
            </w:tcBorders>
          </w:tcPr>
          <w:p w14:paraId="466378C2" w14:textId="77777777" w:rsidR="006E758E" w:rsidRPr="00AF3075" w:rsidRDefault="006E758E" w:rsidP="004D2D6C">
            <w:pPr>
              <w:spacing w:before="120" w:after="120"/>
              <w:rPr>
                <w:b/>
                <w:iCs/>
                <w:color w:val="374C80" w:themeColor="accent4" w:themeShade="BF"/>
                <w:sz w:val="20"/>
                <w:szCs w:val="20"/>
              </w:rPr>
            </w:pPr>
            <w:r w:rsidRPr="00AF3075">
              <w:rPr>
                <w:b/>
                <w:iCs/>
                <w:color w:val="374C80" w:themeColor="accent4" w:themeShade="BF"/>
                <w:sz w:val="20"/>
                <w:szCs w:val="20"/>
              </w:rPr>
              <w:t>Women should be chaste</w:t>
            </w:r>
          </w:p>
        </w:tc>
        <w:tc>
          <w:tcPr>
            <w:tcW w:w="2403" w:type="dxa"/>
            <w:tcBorders>
              <w:top w:val="nil"/>
              <w:left w:val="single" w:sz="4" w:space="0" w:color="4A66AC" w:themeColor="accent4"/>
              <w:bottom w:val="single" w:sz="4" w:space="0" w:color="4A66AC" w:themeColor="accent4"/>
              <w:right w:val="nil"/>
            </w:tcBorders>
          </w:tcPr>
          <w:p w14:paraId="3D1581CD" w14:textId="77777777" w:rsidR="006E758E" w:rsidRPr="00AF3075" w:rsidRDefault="006E758E" w:rsidP="004D2D6C">
            <w:pPr>
              <w:spacing w:before="120" w:after="120"/>
              <w:rPr>
                <w:b/>
                <w:iCs/>
                <w:color w:val="374C80" w:themeColor="accent4" w:themeShade="BF"/>
                <w:sz w:val="20"/>
                <w:szCs w:val="20"/>
              </w:rPr>
            </w:pPr>
            <w:r w:rsidRPr="00AF3075">
              <w:rPr>
                <w:b/>
                <w:iCs/>
                <w:color w:val="374C80" w:themeColor="accent4" w:themeShade="BF"/>
                <w:sz w:val="20"/>
                <w:szCs w:val="20"/>
              </w:rPr>
              <w:t>Women should dress and behave modestly</w:t>
            </w:r>
          </w:p>
        </w:tc>
        <w:tc>
          <w:tcPr>
            <w:tcW w:w="2403" w:type="dxa"/>
            <w:tcBorders>
              <w:top w:val="nil"/>
              <w:left w:val="single" w:sz="4" w:space="0" w:color="4A66AC" w:themeColor="accent4"/>
              <w:bottom w:val="single" w:sz="4" w:space="0" w:color="4A66AC" w:themeColor="accent4"/>
              <w:right w:val="nil"/>
            </w:tcBorders>
          </w:tcPr>
          <w:p w14:paraId="711C9313" w14:textId="1C29668F" w:rsidR="006E758E" w:rsidRPr="00AF3075" w:rsidRDefault="006E758E" w:rsidP="004D2D6C">
            <w:pPr>
              <w:spacing w:before="120" w:after="120"/>
              <w:rPr>
                <w:rStyle w:val="SubtleEmphasis"/>
                <w:b w:val="0"/>
                <w:color w:val="auto"/>
                <w:sz w:val="20"/>
                <w:szCs w:val="20"/>
              </w:rPr>
            </w:pPr>
            <w:r w:rsidRPr="00AF3075">
              <w:rPr>
                <w:b/>
                <w:color w:val="374C80" w:themeColor="accent4" w:themeShade="BF"/>
                <w:sz w:val="20"/>
                <w:szCs w:val="20"/>
              </w:rPr>
              <w:t>Men are/should be heads of households</w:t>
            </w:r>
          </w:p>
        </w:tc>
      </w:tr>
      <w:tr w:rsidR="006E758E" w:rsidRPr="00AF3075" w14:paraId="2E4026A8" w14:textId="77777777" w:rsidTr="006E758E">
        <w:trPr>
          <w:trHeight w:val="433"/>
        </w:trPr>
        <w:tc>
          <w:tcPr>
            <w:tcW w:w="1263" w:type="dxa"/>
            <w:tcBorders>
              <w:top w:val="single" w:sz="4" w:space="0" w:color="4A66AC" w:themeColor="accent4"/>
              <w:bottom w:val="single" w:sz="4" w:space="0" w:color="4A66AC" w:themeColor="accent4"/>
              <w:right w:val="single" w:sz="4" w:space="0" w:color="4A66AC" w:themeColor="accent4"/>
            </w:tcBorders>
          </w:tcPr>
          <w:p w14:paraId="5C86BA01" w14:textId="77777777" w:rsidR="006E758E" w:rsidRPr="00AF3075" w:rsidRDefault="006E758E" w:rsidP="004D2D6C">
            <w:pPr>
              <w:spacing w:before="120" w:after="120"/>
              <w:rPr>
                <w:b/>
                <w:color w:val="374C80" w:themeColor="accent4" w:themeShade="BF"/>
                <w:sz w:val="20"/>
                <w:szCs w:val="20"/>
              </w:rPr>
            </w:pPr>
            <w:r w:rsidRPr="00AF3075">
              <w:rPr>
                <w:b/>
                <w:color w:val="374C80" w:themeColor="accent4" w:themeShade="BF"/>
                <w:sz w:val="20"/>
                <w:szCs w:val="20"/>
              </w:rPr>
              <w:t>(Group) assumption</w:t>
            </w:r>
          </w:p>
        </w:tc>
        <w:tc>
          <w:tcPr>
            <w:tcW w:w="2403" w:type="dxa"/>
            <w:tcBorders>
              <w:top w:val="single" w:sz="4" w:space="0" w:color="4A66AC" w:themeColor="accent4"/>
              <w:left w:val="single" w:sz="4" w:space="0" w:color="4A66AC" w:themeColor="accent4"/>
              <w:bottom w:val="single" w:sz="4" w:space="0" w:color="4A66AC" w:themeColor="accent4"/>
              <w:right w:val="nil"/>
            </w:tcBorders>
          </w:tcPr>
          <w:p w14:paraId="379AB113" w14:textId="49387E82" w:rsidR="006E758E" w:rsidRPr="00AF3075" w:rsidRDefault="006E758E" w:rsidP="00C23EC9">
            <w:pPr>
              <w:spacing w:before="120" w:after="120"/>
              <w:rPr>
                <w:iCs/>
                <w:color w:val="000000" w:themeColor="text1"/>
                <w:sz w:val="20"/>
                <w:szCs w:val="20"/>
              </w:rPr>
            </w:pPr>
            <w:r w:rsidRPr="00AF3075">
              <w:rPr>
                <w:iCs/>
                <w:color w:val="000000" w:themeColor="text1"/>
                <w:sz w:val="20"/>
                <w:szCs w:val="20"/>
              </w:rPr>
              <w:t xml:space="preserve">Women should abstain from extramarital </w:t>
            </w:r>
            <w:r w:rsidR="00C23EC9" w:rsidRPr="00AF3075">
              <w:rPr>
                <w:iCs/>
                <w:color w:val="000000" w:themeColor="text1"/>
                <w:sz w:val="20"/>
                <w:szCs w:val="20"/>
              </w:rPr>
              <w:t>sex</w:t>
            </w:r>
          </w:p>
        </w:tc>
        <w:tc>
          <w:tcPr>
            <w:tcW w:w="2403" w:type="dxa"/>
            <w:tcBorders>
              <w:top w:val="single" w:sz="4" w:space="0" w:color="4A66AC" w:themeColor="accent4"/>
              <w:left w:val="single" w:sz="4" w:space="0" w:color="4A66AC" w:themeColor="accent4"/>
              <w:bottom w:val="single" w:sz="4" w:space="0" w:color="4A66AC" w:themeColor="accent4"/>
              <w:right w:val="nil"/>
            </w:tcBorders>
          </w:tcPr>
          <w:p w14:paraId="799D15A8" w14:textId="554C8DB1" w:rsidR="006E758E" w:rsidRPr="00AF3075" w:rsidRDefault="006E758E" w:rsidP="00197367">
            <w:pPr>
              <w:spacing w:before="120" w:after="120"/>
              <w:rPr>
                <w:iCs/>
                <w:color w:val="000000" w:themeColor="text1"/>
                <w:sz w:val="20"/>
                <w:szCs w:val="20"/>
              </w:rPr>
            </w:pPr>
            <w:r w:rsidRPr="00AF3075">
              <w:rPr>
                <w:iCs/>
                <w:color w:val="000000" w:themeColor="text1"/>
                <w:sz w:val="20"/>
                <w:szCs w:val="20"/>
              </w:rPr>
              <w:t xml:space="preserve">Women should </w:t>
            </w:r>
            <w:r w:rsidR="009C529B" w:rsidRPr="00AF3075">
              <w:rPr>
                <w:iCs/>
                <w:color w:val="000000" w:themeColor="text1"/>
                <w:sz w:val="20"/>
                <w:szCs w:val="20"/>
              </w:rPr>
              <w:t>dress and behave to avoid impropriety and indecency, especially to avoid sexual attention</w:t>
            </w:r>
          </w:p>
        </w:tc>
        <w:tc>
          <w:tcPr>
            <w:tcW w:w="2403" w:type="dxa"/>
            <w:tcBorders>
              <w:top w:val="single" w:sz="4" w:space="0" w:color="4A66AC" w:themeColor="accent4"/>
              <w:left w:val="single" w:sz="4" w:space="0" w:color="4A66AC" w:themeColor="accent4"/>
              <w:bottom w:val="single" w:sz="4" w:space="0" w:color="4A66AC" w:themeColor="accent4"/>
              <w:right w:val="nil"/>
            </w:tcBorders>
          </w:tcPr>
          <w:p w14:paraId="4487F148" w14:textId="3B62B87E" w:rsidR="006E758E" w:rsidRPr="00AF3075" w:rsidRDefault="006E758E" w:rsidP="00197367">
            <w:pPr>
              <w:spacing w:before="120" w:after="120"/>
              <w:rPr>
                <w:sz w:val="20"/>
                <w:szCs w:val="20"/>
              </w:rPr>
            </w:pPr>
            <w:r w:rsidRPr="00AF3075">
              <w:rPr>
                <w:sz w:val="20"/>
                <w:szCs w:val="20"/>
              </w:rPr>
              <w:t>Men</w:t>
            </w:r>
            <w:r w:rsidR="009C529B" w:rsidRPr="00AF3075">
              <w:rPr>
                <w:sz w:val="20"/>
                <w:szCs w:val="20"/>
              </w:rPr>
              <w:t xml:space="preserve"> </w:t>
            </w:r>
            <w:r w:rsidRPr="00AF3075">
              <w:rPr>
                <w:sz w:val="20"/>
                <w:szCs w:val="20"/>
              </w:rPr>
              <w:t>hold ultimate power in interpersonal and family relations</w:t>
            </w:r>
            <w:r w:rsidR="00197367" w:rsidRPr="00AF3075">
              <w:rPr>
                <w:sz w:val="20"/>
                <w:szCs w:val="20"/>
              </w:rPr>
              <w:t xml:space="preserve"> and w</w:t>
            </w:r>
            <w:r w:rsidRPr="00AF3075">
              <w:rPr>
                <w:sz w:val="20"/>
                <w:szCs w:val="20"/>
              </w:rPr>
              <w:t>omen</w:t>
            </w:r>
            <w:r w:rsidR="009C529B" w:rsidRPr="00AF3075">
              <w:rPr>
                <w:sz w:val="20"/>
                <w:szCs w:val="20"/>
              </w:rPr>
              <w:t xml:space="preserve"> </w:t>
            </w:r>
            <w:r w:rsidRPr="00AF3075">
              <w:rPr>
                <w:sz w:val="20"/>
                <w:szCs w:val="20"/>
              </w:rPr>
              <w:t xml:space="preserve">are subordinate </w:t>
            </w:r>
            <w:r w:rsidR="00197367" w:rsidRPr="00AF3075">
              <w:rPr>
                <w:sz w:val="20"/>
                <w:szCs w:val="20"/>
              </w:rPr>
              <w:t xml:space="preserve">in </w:t>
            </w:r>
            <w:r w:rsidRPr="00AF3075">
              <w:rPr>
                <w:sz w:val="20"/>
                <w:szCs w:val="20"/>
              </w:rPr>
              <w:t>those same relations</w:t>
            </w:r>
          </w:p>
        </w:tc>
      </w:tr>
      <w:tr w:rsidR="006E758E" w:rsidRPr="00AF3075" w14:paraId="19B8F588" w14:textId="77777777" w:rsidTr="006E758E">
        <w:trPr>
          <w:trHeight w:val="280"/>
        </w:trPr>
        <w:tc>
          <w:tcPr>
            <w:tcW w:w="1263" w:type="dxa"/>
            <w:tcBorders>
              <w:top w:val="single" w:sz="4" w:space="0" w:color="4A66AC" w:themeColor="accent4"/>
              <w:bottom w:val="nil"/>
              <w:right w:val="single" w:sz="4" w:space="0" w:color="4A66AC" w:themeColor="accent4"/>
            </w:tcBorders>
          </w:tcPr>
          <w:p w14:paraId="6E17CA27" w14:textId="1385B76C" w:rsidR="006E758E" w:rsidRPr="00AF3075" w:rsidRDefault="006E758E" w:rsidP="004D2D6C">
            <w:pPr>
              <w:spacing w:before="120"/>
              <w:rPr>
                <w:b/>
                <w:color w:val="374C80" w:themeColor="accent4" w:themeShade="BF"/>
                <w:sz w:val="20"/>
                <w:szCs w:val="20"/>
              </w:rPr>
            </w:pPr>
            <w:r w:rsidRPr="00AF3075">
              <w:rPr>
                <w:b/>
                <w:color w:val="374C80" w:themeColor="accent4" w:themeShade="BF"/>
                <w:sz w:val="20"/>
                <w:szCs w:val="20"/>
              </w:rPr>
              <w:t>Inferences (about an individual)</w:t>
            </w:r>
          </w:p>
        </w:tc>
        <w:tc>
          <w:tcPr>
            <w:tcW w:w="2403" w:type="dxa"/>
            <w:tcBorders>
              <w:top w:val="single" w:sz="4" w:space="0" w:color="4A66AC" w:themeColor="accent4"/>
              <w:left w:val="single" w:sz="4" w:space="0" w:color="4A66AC" w:themeColor="accent4"/>
              <w:bottom w:val="nil"/>
              <w:right w:val="nil"/>
            </w:tcBorders>
          </w:tcPr>
          <w:p w14:paraId="21B3332E" w14:textId="77777777" w:rsidR="006E758E" w:rsidRPr="00AF3075" w:rsidRDefault="006E758E" w:rsidP="004D2D6C">
            <w:pPr>
              <w:spacing w:before="120" w:after="120"/>
              <w:rPr>
                <w:sz w:val="20"/>
                <w:szCs w:val="20"/>
              </w:rPr>
            </w:pPr>
            <w:r w:rsidRPr="00AF3075">
              <w:rPr>
                <w:sz w:val="20"/>
                <w:szCs w:val="20"/>
              </w:rPr>
              <w:t>Possible inferences include:</w:t>
            </w:r>
          </w:p>
          <w:p w14:paraId="23958EB8" w14:textId="29F72062" w:rsidR="00AA7408" w:rsidRPr="00AF3075" w:rsidRDefault="00197367" w:rsidP="004D2D6C">
            <w:pPr>
              <w:pStyle w:val="ListParagraph"/>
              <w:numPr>
                <w:ilvl w:val="0"/>
                <w:numId w:val="24"/>
              </w:numPr>
              <w:spacing w:before="120" w:after="120"/>
              <w:ind w:left="239" w:hanging="239"/>
              <w:rPr>
                <w:sz w:val="20"/>
                <w:szCs w:val="20"/>
              </w:rPr>
            </w:pPr>
            <w:r w:rsidRPr="00AF3075">
              <w:rPr>
                <w:sz w:val="20"/>
                <w:szCs w:val="20"/>
              </w:rPr>
              <w:t xml:space="preserve">an </w:t>
            </w:r>
            <w:r w:rsidR="00AA7408" w:rsidRPr="00AF3075">
              <w:rPr>
                <w:sz w:val="20"/>
                <w:szCs w:val="20"/>
              </w:rPr>
              <w:t>unchaste wom</w:t>
            </w:r>
            <w:r w:rsidRPr="00AF3075">
              <w:rPr>
                <w:sz w:val="20"/>
                <w:szCs w:val="20"/>
              </w:rPr>
              <w:t>a</w:t>
            </w:r>
            <w:r w:rsidR="00AA7408" w:rsidRPr="00AF3075">
              <w:rPr>
                <w:sz w:val="20"/>
                <w:szCs w:val="20"/>
              </w:rPr>
              <w:t>n ha</w:t>
            </w:r>
            <w:r w:rsidRPr="00AF3075">
              <w:rPr>
                <w:sz w:val="20"/>
                <w:szCs w:val="20"/>
              </w:rPr>
              <w:t>s</w:t>
            </w:r>
            <w:r w:rsidR="00AA7408" w:rsidRPr="00AF3075">
              <w:rPr>
                <w:sz w:val="20"/>
                <w:szCs w:val="20"/>
              </w:rPr>
              <w:t xml:space="preserve"> a propensity to consent to sex</w:t>
            </w:r>
            <w:r w:rsidRPr="00AF3075">
              <w:rPr>
                <w:sz w:val="20"/>
                <w:szCs w:val="20"/>
              </w:rPr>
              <w:t xml:space="preserve"> and must have consented </w:t>
            </w:r>
          </w:p>
          <w:p w14:paraId="72BF2CAC" w14:textId="1852831A" w:rsidR="006E758E" w:rsidRPr="00AF3075" w:rsidRDefault="00197367" w:rsidP="004D2D6C">
            <w:pPr>
              <w:pStyle w:val="ListParagraph"/>
              <w:numPr>
                <w:ilvl w:val="0"/>
                <w:numId w:val="24"/>
              </w:numPr>
              <w:spacing w:before="120" w:after="120"/>
              <w:ind w:left="239" w:hanging="239"/>
              <w:rPr>
                <w:sz w:val="20"/>
                <w:szCs w:val="20"/>
              </w:rPr>
            </w:pPr>
            <w:r w:rsidRPr="00AF3075">
              <w:rPr>
                <w:iCs/>
                <w:color w:val="000000" w:themeColor="text1"/>
                <w:sz w:val="20"/>
                <w:szCs w:val="20"/>
              </w:rPr>
              <w:t xml:space="preserve">a </w:t>
            </w:r>
            <w:r w:rsidR="006E758E" w:rsidRPr="00AF3075">
              <w:rPr>
                <w:iCs/>
                <w:color w:val="000000" w:themeColor="text1"/>
                <w:sz w:val="20"/>
                <w:szCs w:val="20"/>
              </w:rPr>
              <w:t>wom</w:t>
            </w:r>
            <w:r w:rsidRPr="00AF3075">
              <w:rPr>
                <w:iCs/>
                <w:color w:val="000000" w:themeColor="text1"/>
                <w:sz w:val="20"/>
                <w:szCs w:val="20"/>
              </w:rPr>
              <w:t>a</w:t>
            </w:r>
            <w:r w:rsidR="006E758E" w:rsidRPr="00AF3075">
              <w:rPr>
                <w:iCs/>
                <w:color w:val="000000" w:themeColor="text1"/>
                <w:sz w:val="20"/>
                <w:szCs w:val="20"/>
              </w:rPr>
              <w:t xml:space="preserve">n </w:t>
            </w:r>
            <w:r w:rsidRPr="00AF3075">
              <w:rPr>
                <w:iCs/>
                <w:color w:val="000000" w:themeColor="text1"/>
                <w:sz w:val="20"/>
                <w:szCs w:val="20"/>
              </w:rPr>
              <w:t xml:space="preserve">who has </w:t>
            </w:r>
            <w:r w:rsidR="00B553D6">
              <w:rPr>
                <w:iCs/>
                <w:color w:val="000000" w:themeColor="text1"/>
                <w:sz w:val="20"/>
                <w:szCs w:val="20"/>
              </w:rPr>
              <w:t xml:space="preserve">had </w:t>
            </w:r>
            <w:r w:rsidR="006E758E" w:rsidRPr="00AF3075">
              <w:rPr>
                <w:iCs/>
                <w:color w:val="000000" w:themeColor="text1"/>
                <w:sz w:val="20"/>
                <w:szCs w:val="20"/>
              </w:rPr>
              <w:t xml:space="preserve">prior sexual relations </w:t>
            </w:r>
            <w:r w:rsidRPr="00AF3075">
              <w:rPr>
                <w:iCs/>
                <w:color w:val="000000" w:themeColor="text1"/>
                <w:sz w:val="20"/>
                <w:szCs w:val="20"/>
              </w:rPr>
              <w:t>is a less credible witness</w:t>
            </w:r>
          </w:p>
          <w:p w14:paraId="4C8E053C" w14:textId="6ABF5782" w:rsidR="006E758E" w:rsidRPr="00AF3075" w:rsidRDefault="00197367" w:rsidP="004D2D6C">
            <w:pPr>
              <w:pStyle w:val="ListParagraph"/>
              <w:numPr>
                <w:ilvl w:val="0"/>
                <w:numId w:val="24"/>
              </w:numPr>
              <w:spacing w:before="120" w:after="120"/>
              <w:ind w:left="239" w:hanging="239"/>
              <w:rPr>
                <w:sz w:val="20"/>
                <w:szCs w:val="20"/>
              </w:rPr>
            </w:pPr>
            <w:r w:rsidRPr="00AF3075">
              <w:rPr>
                <w:iCs/>
                <w:color w:val="000000" w:themeColor="text1"/>
                <w:sz w:val="20"/>
                <w:szCs w:val="20"/>
              </w:rPr>
              <w:t xml:space="preserve">an </w:t>
            </w:r>
            <w:r w:rsidR="006E758E" w:rsidRPr="00AF3075">
              <w:rPr>
                <w:iCs/>
                <w:color w:val="000000" w:themeColor="text1"/>
                <w:sz w:val="20"/>
                <w:szCs w:val="20"/>
              </w:rPr>
              <w:t>unchaste wom</w:t>
            </w:r>
            <w:r w:rsidRPr="00AF3075">
              <w:rPr>
                <w:iCs/>
                <w:color w:val="000000" w:themeColor="text1"/>
                <w:sz w:val="20"/>
                <w:szCs w:val="20"/>
              </w:rPr>
              <w:t>a</w:t>
            </w:r>
            <w:r w:rsidR="006E758E" w:rsidRPr="00AF3075">
              <w:rPr>
                <w:iCs/>
                <w:color w:val="000000" w:themeColor="text1"/>
                <w:sz w:val="20"/>
                <w:szCs w:val="20"/>
              </w:rPr>
              <w:t>n ‘deserve</w:t>
            </w:r>
            <w:r w:rsidRPr="00AF3075">
              <w:rPr>
                <w:iCs/>
                <w:color w:val="000000" w:themeColor="text1"/>
                <w:sz w:val="20"/>
                <w:szCs w:val="20"/>
              </w:rPr>
              <w:t>d</w:t>
            </w:r>
            <w:r w:rsidR="006E758E" w:rsidRPr="00AF3075">
              <w:rPr>
                <w:iCs/>
                <w:color w:val="000000" w:themeColor="text1"/>
                <w:sz w:val="20"/>
                <w:szCs w:val="20"/>
              </w:rPr>
              <w:t xml:space="preserve">’ raped and </w:t>
            </w:r>
            <w:r w:rsidRPr="00AF3075">
              <w:rPr>
                <w:iCs/>
                <w:color w:val="000000" w:themeColor="text1"/>
                <w:sz w:val="20"/>
                <w:szCs w:val="20"/>
              </w:rPr>
              <w:t xml:space="preserve">is </w:t>
            </w:r>
            <w:r w:rsidR="006E758E" w:rsidRPr="00AF3075">
              <w:rPr>
                <w:iCs/>
                <w:color w:val="000000" w:themeColor="text1"/>
                <w:sz w:val="20"/>
                <w:szCs w:val="20"/>
              </w:rPr>
              <w:t>not ‘worthy’ of criminal justice system intervention</w:t>
            </w:r>
          </w:p>
          <w:p w14:paraId="463CEE08" w14:textId="3E79C812" w:rsidR="001D64CF" w:rsidRPr="00AF3075" w:rsidRDefault="001D64CF" w:rsidP="00197367">
            <w:pPr>
              <w:pStyle w:val="ListParagraph"/>
              <w:numPr>
                <w:ilvl w:val="0"/>
                <w:numId w:val="24"/>
              </w:numPr>
              <w:spacing w:before="120" w:after="120"/>
              <w:ind w:left="239" w:hanging="239"/>
              <w:rPr>
                <w:sz w:val="20"/>
                <w:szCs w:val="20"/>
              </w:rPr>
            </w:pPr>
            <w:proofErr w:type="gramStart"/>
            <w:r w:rsidRPr="00AF3075">
              <w:rPr>
                <w:iCs/>
                <w:color w:val="000000" w:themeColor="text1"/>
                <w:sz w:val="20"/>
                <w:szCs w:val="20"/>
              </w:rPr>
              <w:t>violence</w:t>
            </w:r>
            <w:proofErr w:type="gramEnd"/>
            <w:r w:rsidRPr="00AF3075">
              <w:rPr>
                <w:iCs/>
                <w:color w:val="000000" w:themeColor="text1"/>
                <w:sz w:val="20"/>
                <w:szCs w:val="20"/>
              </w:rPr>
              <w:t xml:space="preserve"> is justified to curtail sexual promiscuity or regain sexual control</w:t>
            </w:r>
            <w:r w:rsidR="0019422A">
              <w:rPr>
                <w:iCs/>
                <w:color w:val="000000" w:themeColor="text1"/>
                <w:sz w:val="20"/>
                <w:szCs w:val="20"/>
              </w:rPr>
              <w:t>.</w:t>
            </w:r>
          </w:p>
        </w:tc>
        <w:tc>
          <w:tcPr>
            <w:tcW w:w="2403" w:type="dxa"/>
            <w:tcBorders>
              <w:top w:val="single" w:sz="4" w:space="0" w:color="4A66AC" w:themeColor="accent4"/>
              <w:left w:val="single" w:sz="4" w:space="0" w:color="4A66AC" w:themeColor="accent4"/>
              <w:bottom w:val="nil"/>
              <w:right w:val="nil"/>
            </w:tcBorders>
          </w:tcPr>
          <w:p w14:paraId="2A847BC7" w14:textId="1F75B16F" w:rsidR="006E758E" w:rsidRPr="00AF3075" w:rsidRDefault="006E758E" w:rsidP="004D2D6C">
            <w:pPr>
              <w:spacing w:before="120" w:after="120"/>
              <w:rPr>
                <w:iCs/>
                <w:sz w:val="20"/>
                <w:szCs w:val="20"/>
              </w:rPr>
            </w:pPr>
            <w:r w:rsidRPr="00AF3075">
              <w:rPr>
                <w:iCs/>
                <w:sz w:val="20"/>
                <w:szCs w:val="20"/>
              </w:rPr>
              <w:t>Possible inferences include that</w:t>
            </w:r>
            <w:r w:rsidR="00197367" w:rsidRPr="00AF3075">
              <w:rPr>
                <w:iCs/>
                <w:sz w:val="20"/>
                <w:szCs w:val="20"/>
              </w:rPr>
              <w:t>:</w:t>
            </w:r>
          </w:p>
          <w:p w14:paraId="7C158BC5" w14:textId="334DA57C" w:rsidR="00197367" w:rsidRPr="00AF3075" w:rsidRDefault="00197367" w:rsidP="004D2D6C">
            <w:pPr>
              <w:pStyle w:val="ListParagraph"/>
              <w:numPr>
                <w:ilvl w:val="0"/>
                <w:numId w:val="24"/>
              </w:numPr>
              <w:spacing w:before="120" w:after="120"/>
              <w:ind w:left="236" w:hanging="236"/>
              <w:rPr>
                <w:sz w:val="20"/>
                <w:szCs w:val="20"/>
              </w:rPr>
            </w:pPr>
            <w:r w:rsidRPr="00AF3075">
              <w:rPr>
                <w:iCs/>
                <w:sz w:val="20"/>
                <w:szCs w:val="20"/>
              </w:rPr>
              <w:t>an immodest woman ‘provoked’ sexual assault and must accept blame</w:t>
            </w:r>
          </w:p>
          <w:p w14:paraId="6B043BBD" w14:textId="4CAA1356" w:rsidR="006E758E" w:rsidRPr="00A66917" w:rsidRDefault="00197367" w:rsidP="0019422A">
            <w:pPr>
              <w:pStyle w:val="ListParagraph"/>
              <w:numPr>
                <w:ilvl w:val="0"/>
                <w:numId w:val="24"/>
              </w:numPr>
              <w:spacing w:before="120" w:after="120"/>
              <w:ind w:left="236" w:hanging="236"/>
              <w:rPr>
                <w:sz w:val="20"/>
                <w:szCs w:val="20"/>
              </w:rPr>
            </w:pPr>
            <w:proofErr w:type="gramStart"/>
            <w:r w:rsidRPr="00AF3075">
              <w:rPr>
                <w:iCs/>
                <w:sz w:val="20"/>
                <w:szCs w:val="20"/>
              </w:rPr>
              <w:t>an</w:t>
            </w:r>
            <w:proofErr w:type="gramEnd"/>
            <w:r w:rsidRPr="00AF3075">
              <w:rPr>
                <w:iCs/>
                <w:sz w:val="20"/>
                <w:szCs w:val="20"/>
              </w:rPr>
              <w:t xml:space="preserve"> immodest </w:t>
            </w:r>
            <w:r w:rsidR="006E758E" w:rsidRPr="00AF3075">
              <w:rPr>
                <w:iCs/>
                <w:sz w:val="20"/>
                <w:szCs w:val="20"/>
              </w:rPr>
              <w:t>wom</w:t>
            </w:r>
            <w:r w:rsidRPr="00AF3075">
              <w:rPr>
                <w:iCs/>
                <w:sz w:val="20"/>
                <w:szCs w:val="20"/>
              </w:rPr>
              <w:t>a</w:t>
            </w:r>
            <w:r w:rsidR="006E758E" w:rsidRPr="00AF3075">
              <w:rPr>
                <w:iCs/>
                <w:sz w:val="20"/>
                <w:szCs w:val="20"/>
              </w:rPr>
              <w:t>n</w:t>
            </w:r>
            <w:r w:rsidRPr="00AF3075">
              <w:rPr>
                <w:iCs/>
                <w:sz w:val="20"/>
                <w:szCs w:val="20"/>
              </w:rPr>
              <w:t xml:space="preserve"> is</w:t>
            </w:r>
            <w:r w:rsidR="006E758E" w:rsidRPr="00AF3075">
              <w:rPr>
                <w:iCs/>
                <w:sz w:val="20"/>
                <w:szCs w:val="20"/>
              </w:rPr>
              <w:t xml:space="preserve"> a</w:t>
            </w:r>
            <w:r w:rsidRPr="00AF3075">
              <w:rPr>
                <w:iCs/>
                <w:sz w:val="20"/>
                <w:szCs w:val="20"/>
              </w:rPr>
              <w:t xml:space="preserve"> </w:t>
            </w:r>
            <w:r w:rsidR="006E758E" w:rsidRPr="00AF3075">
              <w:rPr>
                <w:iCs/>
                <w:sz w:val="20"/>
                <w:szCs w:val="20"/>
              </w:rPr>
              <w:t xml:space="preserve">less credible </w:t>
            </w:r>
            <w:r w:rsidR="00CE63AD" w:rsidRPr="00AF3075">
              <w:rPr>
                <w:iCs/>
                <w:sz w:val="20"/>
                <w:szCs w:val="20"/>
              </w:rPr>
              <w:t>witness</w:t>
            </w:r>
            <w:r w:rsidR="0019422A">
              <w:rPr>
                <w:iCs/>
                <w:sz w:val="20"/>
                <w:szCs w:val="20"/>
              </w:rPr>
              <w:t>.</w:t>
            </w:r>
          </w:p>
        </w:tc>
        <w:tc>
          <w:tcPr>
            <w:tcW w:w="2403" w:type="dxa"/>
            <w:tcBorders>
              <w:top w:val="single" w:sz="4" w:space="0" w:color="4A66AC" w:themeColor="accent4"/>
              <w:left w:val="single" w:sz="4" w:space="0" w:color="4A66AC" w:themeColor="accent4"/>
              <w:bottom w:val="nil"/>
              <w:right w:val="nil"/>
            </w:tcBorders>
          </w:tcPr>
          <w:p w14:paraId="2A88D181" w14:textId="3EB0CB57" w:rsidR="006E758E" w:rsidRPr="00AF3075" w:rsidRDefault="00197367" w:rsidP="006E758E">
            <w:pPr>
              <w:spacing w:before="120" w:after="120"/>
              <w:rPr>
                <w:sz w:val="20"/>
                <w:szCs w:val="20"/>
              </w:rPr>
            </w:pPr>
            <w:r w:rsidRPr="00AF3075">
              <w:rPr>
                <w:iCs/>
                <w:color w:val="000000" w:themeColor="text1"/>
                <w:sz w:val="20"/>
                <w:szCs w:val="20"/>
              </w:rPr>
              <w:t>Possible i</w:t>
            </w:r>
            <w:r w:rsidR="006E758E" w:rsidRPr="00AF3075">
              <w:rPr>
                <w:iCs/>
                <w:color w:val="000000" w:themeColor="text1"/>
                <w:sz w:val="20"/>
                <w:szCs w:val="20"/>
              </w:rPr>
              <w:t>nferences</w:t>
            </w:r>
            <w:r w:rsidR="006E758E" w:rsidRPr="00AF3075">
              <w:rPr>
                <w:sz w:val="20"/>
                <w:szCs w:val="20"/>
              </w:rPr>
              <w:t xml:space="preserve"> include that:</w:t>
            </w:r>
          </w:p>
          <w:p w14:paraId="5DDA0A8B" w14:textId="77777777" w:rsidR="006E758E" w:rsidRPr="00AF3075" w:rsidRDefault="006E758E" w:rsidP="006E758E">
            <w:pPr>
              <w:pStyle w:val="ListParagraph"/>
              <w:numPr>
                <w:ilvl w:val="0"/>
                <w:numId w:val="24"/>
              </w:numPr>
              <w:spacing w:before="120" w:after="120"/>
              <w:ind w:left="239" w:hanging="239"/>
              <w:rPr>
                <w:sz w:val="20"/>
                <w:szCs w:val="20"/>
              </w:rPr>
            </w:pPr>
            <w:r w:rsidRPr="00AF3075">
              <w:rPr>
                <w:sz w:val="20"/>
                <w:szCs w:val="20"/>
              </w:rPr>
              <w:t>a man may use violence to discipline his wife if she does not obey him</w:t>
            </w:r>
          </w:p>
          <w:p w14:paraId="7A2ED2B2" w14:textId="77777777" w:rsidR="006E758E" w:rsidRPr="00AF3075" w:rsidRDefault="006E758E" w:rsidP="006E758E">
            <w:pPr>
              <w:pStyle w:val="ListParagraph"/>
              <w:numPr>
                <w:ilvl w:val="0"/>
                <w:numId w:val="24"/>
              </w:numPr>
              <w:spacing w:before="120" w:after="120"/>
              <w:ind w:left="239" w:hanging="239"/>
              <w:rPr>
                <w:sz w:val="20"/>
                <w:szCs w:val="20"/>
              </w:rPr>
            </w:pPr>
            <w:r w:rsidRPr="00AF3075">
              <w:rPr>
                <w:sz w:val="20"/>
                <w:szCs w:val="20"/>
              </w:rPr>
              <w:t>a man may use violence or the threat of violence to maintain power in marriage and family relations</w:t>
            </w:r>
          </w:p>
          <w:p w14:paraId="5E0FA850" w14:textId="13F64648" w:rsidR="006E758E" w:rsidRPr="00AF3075" w:rsidRDefault="006E758E" w:rsidP="00197367">
            <w:pPr>
              <w:pStyle w:val="ListParagraph"/>
              <w:numPr>
                <w:ilvl w:val="0"/>
                <w:numId w:val="24"/>
              </w:numPr>
              <w:spacing w:before="120" w:after="120"/>
              <w:ind w:left="239" w:hanging="239"/>
              <w:rPr>
                <w:sz w:val="20"/>
                <w:szCs w:val="20"/>
              </w:rPr>
            </w:pPr>
            <w:proofErr w:type="gramStart"/>
            <w:r w:rsidRPr="00AF3075">
              <w:rPr>
                <w:sz w:val="20"/>
                <w:szCs w:val="20"/>
              </w:rPr>
              <w:t>the</w:t>
            </w:r>
            <w:proofErr w:type="gramEnd"/>
            <w:r w:rsidRPr="00AF3075">
              <w:rPr>
                <w:sz w:val="20"/>
                <w:szCs w:val="20"/>
              </w:rPr>
              <w:t xml:space="preserve"> wishes and desires of a </w:t>
            </w:r>
            <w:r w:rsidR="00B553D6">
              <w:rPr>
                <w:sz w:val="20"/>
                <w:szCs w:val="20"/>
              </w:rPr>
              <w:t xml:space="preserve">(violent) </w:t>
            </w:r>
            <w:r w:rsidRPr="00AF3075">
              <w:rPr>
                <w:sz w:val="20"/>
                <w:szCs w:val="20"/>
              </w:rPr>
              <w:t xml:space="preserve">man should be prioritised over those of his wife and their children, including in legal proceedings </w:t>
            </w:r>
            <w:r w:rsidR="006F4E01" w:rsidRPr="00AF3075">
              <w:rPr>
                <w:sz w:val="20"/>
                <w:szCs w:val="20"/>
              </w:rPr>
              <w:t>(eg child custody proceedings)</w:t>
            </w:r>
            <w:r w:rsidR="0019422A">
              <w:rPr>
                <w:sz w:val="20"/>
                <w:szCs w:val="20"/>
              </w:rPr>
              <w:t>.</w:t>
            </w:r>
          </w:p>
        </w:tc>
      </w:tr>
    </w:tbl>
    <w:p w14:paraId="7A401F0D" w14:textId="2F7AD19F" w:rsidR="00D5294B" w:rsidRPr="00AF3075" w:rsidRDefault="00D5294B" w:rsidP="00282815">
      <w:pPr>
        <w:pStyle w:val="Heading2"/>
        <w:rPr>
          <w:rFonts w:ascii="Candara" w:hAnsi="Candara"/>
        </w:rPr>
      </w:pPr>
      <w:bookmarkStart w:id="14" w:name="_Toc263972387"/>
      <w:r w:rsidRPr="00AF3075">
        <w:rPr>
          <w:rFonts w:ascii="Candara" w:hAnsi="Candara"/>
        </w:rPr>
        <w:t>3.</w:t>
      </w:r>
      <w:r w:rsidR="00354FAB" w:rsidRPr="00AF3075">
        <w:rPr>
          <w:rFonts w:ascii="Candara" w:hAnsi="Candara"/>
        </w:rPr>
        <w:t>2</w:t>
      </w:r>
      <w:r w:rsidRPr="00AF3075">
        <w:rPr>
          <w:rFonts w:ascii="Candara" w:hAnsi="Candara"/>
        </w:rPr>
        <w:t xml:space="preserve"> </w:t>
      </w:r>
      <w:r w:rsidR="00FC78F8" w:rsidRPr="00AF3075">
        <w:rPr>
          <w:rFonts w:ascii="Candara" w:hAnsi="Candara"/>
        </w:rPr>
        <w:t>How judges apply, enforce and perpetuate stereotypes</w:t>
      </w:r>
      <w:bookmarkEnd w:id="14"/>
      <w:r w:rsidR="00FC78F8" w:rsidRPr="00AF3075">
        <w:rPr>
          <w:rFonts w:ascii="Candara" w:hAnsi="Candara"/>
        </w:rPr>
        <w:t xml:space="preserve"> </w:t>
      </w:r>
    </w:p>
    <w:p w14:paraId="2A8FD832" w14:textId="77777777" w:rsidR="00821E8C" w:rsidRPr="00AF3075" w:rsidRDefault="00D11D0E" w:rsidP="006F34F2">
      <w:r w:rsidRPr="00AF3075">
        <w:t>There are many different means of perpetuating s</w:t>
      </w:r>
      <w:r w:rsidR="00D5294B" w:rsidRPr="00AF3075">
        <w:t xml:space="preserve">tereotypes </w:t>
      </w:r>
      <w:r w:rsidRPr="00AF3075">
        <w:t>related to gender-based violence</w:t>
      </w:r>
      <w:r w:rsidR="00D5294B" w:rsidRPr="00AF3075">
        <w:t>.</w:t>
      </w:r>
      <w:r w:rsidRPr="00AF3075">
        <w:t xml:space="preserve">  They include literature, </w:t>
      </w:r>
      <w:r w:rsidR="00093C53" w:rsidRPr="00AF3075">
        <w:t>music</w:t>
      </w:r>
      <w:r w:rsidR="004145F5" w:rsidRPr="00AF3075">
        <w:t>, pornography</w:t>
      </w:r>
      <w:r w:rsidR="00093C53" w:rsidRPr="00AF3075">
        <w:t xml:space="preserve">, </w:t>
      </w:r>
      <w:r w:rsidRPr="00AF3075">
        <w:t xml:space="preserve">the media, </w:t>
      </w:r>
      <w:r w:rsidR="00093C53" w:rsidRPr="00AF3075">
        <w:t>legal systems, education systems</w:t>
      </w:r>
      <w:r w:rsidR="00826B75" w:rsidRPr="00AF3075">
        <w:t xml:space="preserve"> and</w:t>
      </w:r>
      <w:r w:rsidR="00093C53" w:rsidRPr="00AF3075">
        <w:t xml:space="preserve"> religio</w:t>
      </w:r>
      <w:r w:rsidR="00826B75" w:rsidRPr="00AF3075">
        <w:t>us</w:t>
      </w:r>
      <w:r w:rsidR="004145F5" w:rsidRPr="00AF3075">
        <w:t xml:space="preserve"> and cultural practices</w:t>
      </w:r>
      <w:r w:rsidR="00093C53" w:rsidRPr="00AF3075">
        <w:t>.</w:t>
      </w:r>
      <w:r w:rsidR="00D5294B" w:rsidRPr="00AF3075">
        <w:t xml:space="preserve">  </w:t>
      </w:r>
    </w:p>
    <w:p w14:paraId="09AEA78D" w14:textId="0600FAE9" w:rsidR="003716C0" w:rsidRPr="00AF3075" w:rsidRDefault="004F25B4" w:rsidP="00B20EBD">
      <w:r w:rsidRPr="00AF3075">
        <w:t xml:space="preserve">History demonstrates that judges have also played a significant role in perpetuating </w:t>
      </w:r>
      <w:r w:rsidR="007215DB" w:rsidRPr="00AF3075">
        <w:t>stereotypes</w:t>
      </w:r>
      <w:r w:rsidR="00D06F4F" w:rsidRPr="00AF3075">
        <w:t>, particularly in the area of gender-based violence</w:t>
      </w:r>
      <w:r w:rsidR="000F2274" w:rsidRPr="00AF3075">
        <w:t>.</w:t>
      </w:r>
      <w:r w:rsidR="006F34F2" w:rsidRPr="00AF3075">
        <w:t xml:space="preserve">  </w:t>
      </w:r>
      <w:r w:rsidRPr="00AF3075">
        <w:t xml:space="preserve">It has been said, for instance, that </w:t>
      </w:r>
      <w:r w:rsidR="006F34F2" w:rsidRPr="00AF3075">
        <w:t xml:space="preserve">it was discretion in trial judges that saturated </w:t>
      </w:r>
      <w:r w:rsidR="00821E8C" w:rsidRPr="00AF3075">
        <w:t xml:space="preserve">sexual assault </w:t>
      </w:r>
      <w:r w:rsidR="006F34F2" w:rsidRPr="00AF3075">
        <w:t>law</w:t>
      </w:r>
      <w:r w:rsidR="00821E8C" w:rsidRPr="00AF3075">
        <w:t>s</w:t>
      </w:r>
      <w:r w:rsidR="006F34F2" w:rsidRPr="00AF3075">
        <w:t xml:space="preserve"> with </w:t>
      </w:r>
      <w:r w:rsidRPr="00AF3075">
        <w:t xml:space="preserve">gender </w:t>
      </w:r>
      <w:r w:rsidR="006F34F2" w:rsidRPr="00AF3075">
        <w:t>stereotype</w:t>
      </w:r>
      <w:r w:rsidRPr="00AF3075">
        <w:t>s</w:t>
      </w:r>
      <w:r w:rsidR="006F34F2" w:rsidRPr="00AF3075">
        <w:t>.</w:t>
      </w:r>
      <w:r w:rsidR="006F34F2" w:rsidRPr="00AF3075">
        <w:rPr>
          <w:rStyle w:val="FootnoteReference"/>
        </w:rPr>
        <w:footnoteReference w:id="67"/>
      </w:r>
      <w:r w:rsidR="00FB00B7" w:rsidRPr="00AF3075">
        <w:t xml:space="preserve"> </w:t>
      </w:r>
    </w:p>
    <w:tbl>
      <w:tblPr>
        <w:tblStyle w:val="TableGrid"/>
        <w:tblW w:w="0" w:type="auto"/>
        <w:tblLook w:val="04A0" w:firstRow="1" w:lastRow="0" w:firstColumn="1" w:lastColumn="0" w:noHBand="0" w:noVBand="1"/>
      </w:tblPr>
      <w:tblGrid>
        <w:gridCol w:w="8516"/>
      </w:tblGrid>
      <w:tr w:rsidR="00536ABC" w:rsidRPr="00AF3075" w14:paraId="69208D4B" w14:textId="77777777" w:rsidTr="003716C0">
        <w:tc>
          <w:tcPr>
            <w:tcW w:w="8516" w:type="dxa"/>
            <w:tcBorders>
              <w:top w:val="nil"/>
              <w:left w:val="nil"/>
              <w:bottom w:val="nil"/>
              <w:right w:val="nil"/>
            </w:tcBorders>
            <w:shd w:val="clear" w:color="auto" w:fill="D3E5F6" w:themeFill="accent2" w:themeFillTint="33"/>
          </w:tcPr>
          <w:p w14:paraId="7F1D2B8D" w14:textId="408AF459" w:rsidR="00536ABC" w:rsidRPr="00AF3075" w:rsidRDefault="00536ABC" w:rsidP="003716C0">
            <w:pPr>
              <w:shd w:val="clear" w:color="auto" w:fill="D3E5F6" w:themeFill="accent2" w:themeFillTint="33"/>
              <w:jc w:val="center"/>
              <w:rPr>
                <w:rStyle w:val="SubtleEmphasis"/>
              </w:rPr>
            </w:pPr>
            <w:r w:rsidRPr="00AF3075">
              <w:rPr>
                <w:rStyle w:val="SubtleEmphasis"/>
              </w:rPr>
              <w:t xml:space="preserve">Judges </w:t>
            </w:r>
            <w:r w:rsidR="00ED470C" w:rsidRPr="00AF3075">
              <w:rPr>
                <w:rStyle w:val="SubtleEmphasis"/>
              </w:rPr>
              <w:t>saturated sexual assault laws with gender stereotypes</w:t>
            </w:r>
          </w:p>
          <w:p w14:paraId="702C28A7" w14:textId="2D1F8CA9" w:rsidR="00536ABC" w:rsidRPr="00A66917" w:rsidRDefault="00ED470C" w:rsidP="00ED470C">
            <w:pPr>
              <w:shd w:val="clear" w:color="auto" w:fill="D3E5F6" w:themeFill="accent2" w:themeFillTint="33"/>
              <w:spacing w:before="120" w:after="120"/>
              <w:rPr>
                <w:iCs/>
                <w:color w:val="000000" w:themeColor="text1"/>
                <w:sz w:val="20"/>
                <w:szCs w:val="20"/>
              </w:rPr>
            </w:pPr>
            <w:r w:rsidRPr="00A66917">
              <w:rPr>
                <w:rStyle w:val="SubtleEmphasis"/>
                <w:b w:val="0"/>
                <w:color w:val="000000" w:themeColor="text1"/>
                <w:sz w:val="20"/>
                <w:szCs w:val="20"/>
              </w:rPr>
              <w:t>‘</w:t>
            </w:r>
            <w:r w:rsidR="00536ABC" w:rsidRPr="00A66917">
              <w:rPr>
                <w:sz w:val="20"/>
                <w:szCs w:val="20"/>
              </w:rPr>
              <w:t xml:space="preserve">The common law has always viewed victims of sexual assault with suspicion and distrust.  As a result, unique evidentiary rules were developed.  The complainant in a sexual assault trial was treated unlike any other.  In the case of sexual offences, the common law </w:t>
            </w:r>
            <w:r w:rsidRPr="00A66917">
              <w:rPr>
                <w:sz w:val="20"/>
                <w:szCs w:val="20"/>
              </w:rPr>
              <w:t>“</w:t>
            </w:r>
            <w:r w:rsidR="00536ABC" w:rsidRPr="00A66917">
              <w:rPr>
                <w:sz w:val="20"/>
                <w:szCs w:val="20"/>
              </w:rPr>
              <w:t>enshrined</w:t>
            </w:r>
            <w:r w:rsidRPr="00A66917">
              <w:rPr>
                <w:sz w:val="20"/>
                <w:szCs w:val="20"/>
              </w:rPr>
              <w:t>”</w:t>
            </w:r>
            <w:r w:rsidR="00536ABC" w:rsidRPr="00A66917">
              <w:rPr>
                <w:sz w:val="20"/>
                <w:szCs w:val="20"/>
              </w:rPr>
              <w:t xml:space="preserve"> prevailing mythology and stereotype by formulating rules that made it extremely difficult for the complainant to establish her credibility and fend off inquiry and speculation regarding her </w:t>
            </w:r>
            <w:r w:rsidRPr="00A66917">
              <w:rPr>
                <w:sz w:val="20"/>
                <w:szCs w:val="20"/>
              </w:rPr>
              <w:t>“</w:t>
            </w:r>
            <w:r w:rsidR="00536ABC" w:rsidRPr="00A66917">
              <w:rPr>
                <w:sz w:val="20"/>
                <w:szCs w:val="20"/>
              </w:rPr>
              <w:t>morality</w:t>
            </w:r>
            <w:r w:rsidRPr="00A66917">
              <w:rPr>
                <w:sz w:val="20"/>
                <w:szCs w:val="20"/>
              </w:rPr>
              <w:t>”</w:t>
            </w:r>
            <w:r w:rsidR="00536ABC" w:rsidRPr="00A66917">
              <w:rPr>
                <w:sz w:val="20"/>
                <w:szCs w:val="20"/>
              </w:rPr>
              <w:t xml:space="preserve"> or </w:t>
            </w:r>
            <w:r w:rsidRPr="00A66917">
              <w:rPr>
                <w:sz w:val="20"/>
                <w:szCs w:val="20"/>
              </w:rPr>
              <w:t>“</w:t>
            </w:r>
            <w:r w:rsidR="00681DBC" w:rsidRPr="00A66917">
              <w:rPr>
                <w:sz w:val="20"/>
                <w:szCs w:val="20"/>
              </w:rPr>
              <w:t>character</w:t>
            </w:r>
            <w:r w:rsidRPr="00A66917">
              <w:rPr>
                <w:sz w:val="20"/>
                <w:szCs w:val="20"/>
              </w:rPr>
              <w:t>”’</w:t>
            </w:r>
            <w:r w:rsidR="00681DBC" w:rsidRPr="00A66917">
              <w:rPr>
                <w:sz w:val="20"/>
                <w:szCs w:val="20"/>
              </w:rPr>
              <w:t>.</w:t>
            </w:r>
            <w:r w:rsidR="00536ABC" w:rsidRPr="00A66917">
              <w:rPr>
                <w:rStyle w:val="FootnoteReference"/>
                <w:sz w:val="20"/>
                <w:szCs w:val="20"/>
              </w:rPr>
              <w:footnoteReference w:id="68"/>
            </w:r>
          </w:p>
        </w:tc>
      </w:tr>
    </w:tbl>
    <w:p w14:paraId="0B8B1BB8" w14:textId="65B65F8A" w:rsidR="001300FE" w:rsidRPr="00AF3075" w:rsidRDefault="00406E85" w:rsidP="006F34F2">
      <w:r w:rsidRPr="00AF3075">
        <w:t xml:space="preserve">Judges </w:t>
      </w:r>
      <w:r w:rsidR="009D271F">
        <w:t xml:space="preserve">may </w:t>
      </w:r>
      <w:r w:rsidRPr="00AF3075">
        <w:t xml:space="preserve">engage in stereotyping in one of two ways.  Judges </w:t>
      </w:r>
      <w:r w:rsidR="009D271F">
        <w:t>may</w:t>
      </w:r>
      <w:r w:rsidR="009D271F" w:rsidRPr="00AF3075">
        <w:t xml:space="preserve"> </w:t>
      </w:r>
      <w:r w:rsidRPr="00AF3075">
        <w:t xml:space="preserve">apply, enforce and perpetuate stereotypes in their decision-making by substituting stereotypes for law and facts in evidence.  </w:t>
      </w:r>
      <w:r w:rsidR="009D271F">
        <w:t xml:space="preserve">Alternatively, they may </w:t>
      </w:r>
      <w:r w:rsidRPr="00AF3075">
        <w:t xml:space="preserve">facilitate the perpetuation of stereotypes </w:t>
      </w:r>
      <w:r w:rsidR="00DC6876" w:rsidRPr="00AF3075">
        <w:t xml:space="preserve">by </w:t>
      </w:r>
      <w:r w:rsidRPr="00AF3075">
        <w:t>fail</w:t>
      </w:r>
      <w:r w:rsidR="00DC6876" w:rsidRPr="00AF3075">
        <w:t>ing</w:t>
      </w:r>
      <w:r w:rsidRPr="00AF3075">
        <w:t xml:space="preserve"> to challenge stereotyping</w:t>
      </w:r>
      <w:r w:rsidR="009D271F">
        <w:t>, for example</w:t>
      </w:r>
      <w:r w:rsidRPr="00AF3075">
        <w:t xml:space="preserve"> by lower courts or</w:t>
      </w:r>
      <w:r w:rsidR="009D271F">
        <w:t xml:space="preserve"> </w:t>
      </w:r>
      <w:r w:rsidRPr="00AF3075">
        <w:t>the parties to legal proceedings.</w:t>
      </w:r>
      <w:r w:rsidR="001300FE" w:rsidRPr="00AF3075">
        <w:t xml:space="preserve">  </w:t>
      </w:r>
    </w:p>
    <w:p w14:paraId="5622EC19" w14:textId="207C0CFF" w:rsidR="009F2A14" w:rsidRPr="00AF3075" w:rsidRDefault="00A5031D" w:rsidP="006F34F2">
      <w:r>
        <w:t>The impact of j</w:t>
      </w:r>
      <w:r w:rsidR="0084106B" w:rsidRPr="00AF3075">
        <w:t xml:space="preserve">udicial stereotyping </w:t>
      </w:r>
      <w:r>
        <w:t>is wide-ranging</w:t>
      </w:r>
      <w:r w:rsidR="0084106B" w:rsidRPr="00AF3075">
        <w:t xml:space="preserve">.  For example, </w:t>
      </w:r>
      <w:r>
        <w:t xml:space="preserve">it </w:t>
      </w:r>
      <w:r w:rsidR="009D271F" w:rsidRPr="00AF3075">
        <w:t>m</w:t>
      </w:r>
      <w:r w:rsidR="009D271F">
        <w:t>ight</w:t>
      </w:r>
      <w:r w:rsidR="009F2A14" w:rsidRPr="00AF3075">
        <w:t>:</w:t>
      </w:r>
    </w:p>
    <w:p w14:paraId="541F4F21" w14:textId="520B60A3" w:rsidR="00324AEE" w:rsidRPr="00AF3075" w:rsidRDefault="00EC5221" w:rsidP="006F34F2">
      <w:pPr>
        <w:pStyle w:val="ListParagraph"/>
        <w:numPr>
          <w:ilvl w:val="0"/>
          <w:numId w:val="27"/>
        </w:numPr>
        <w:spacing w:before="120" w:after="120"/>
        <w:ind w:left="567"/>
        <w:rPr>
          <w:i/>
          <w:iCs/>
          <w:color w:val="000000" w:themeColor="text1"/>
        </w:rPr>
      </w:pPr>
      <w:r w:rsidRPr="00AF3075">
        <w:t>distort judges</w:t>
      </w:r>
      <w:r w:rsidR="0084106B" w:rsidRPr="00AF3075">
        <w:t>’</w:t>
      </w:r>
      <w:r w:rsidRPr="00AF3075">
        <w:t xml:space="preserve"> perceptions of what occurred</w:t>
      </w:r>
      <w:r w:rsidR="0084106B" w:rsidRPr="00AF3075">
        <w:t xml:space="preserve"> in a particular situation of violence</w:t>
      </w:r>
      <w:r w:rsidR="00B07187" w:rsidRPr="00AF3075">
        <w:t xml:space="preserve"> </w:t>
      </w:r>
      <w:r w:rsidR="009D271F">
        <w:t xml:space="preserve">or </w:t>
      </w:r>
      <w:r w:rsidR="00B07187" w:rsidRPr="00AF3075">
        <w:t>the issues to be determined at trial</w:t>
      </w:r>
    </w:p>
    <w:p w14:paraId="28AA8839" w14:textId="7285A7BA" w:rsidR="00324AEE" w:rsidRPr="00AF3075" w:rsidRDefault="00EC5221" w:rsidP="006F34F2">
      <w:pPr>
        <w:pStyle w:val="ListParagraph"/>
        <w:numPr>
          <w:ilvl w:val="0"/>
          <w:numId w:val="27"/>
        </w:numPr>
        <w:spacing w:before="120" w:after="120"/>
        <w:ind w:left="567"/>
        <w:rPr>
          <w:i/>
          <w:iCs/>
          <w:color w:val="000000" w:themeColor="text1"/>
        </w:rPr>
      </w:pPr>
      <w:r w:rsidRPr="00AF3075">
        <w:t xml:space="preserve">affect </w:t>
      </w:r>
      <w:r w:rsidR="0084106B" w:rsidRPr="00AF3075">
        <w:t xml:space="preserve">judges’ </w:t>
      </w:r>
      <w:r w:rsidRPr="00AF3075">
        <w:t>vision of who is a victim</w:t>
      </w:r>
      <w:r w:rsidR="0084106B" w:rsidRPr="00AF3075">
        <w:t xml:space="preserve"> of gender-based violence</w:t>
      </w:r>
    </w:p>
    <w:p w14:paraId="2C9DA11D" w14:textId="47E7E7B6" w:rsidR="00406E85" w:rsidRPr="00AF3075" w:rsidRDefault="0084106B" w:rsidP="006F34F2">
      <w:pPr>
        <w:pStyle w:val="ListParagraph"/>
        <w:numPr>
          <w:ilvl w:val="0"/>
          <w:numId w:val="27"/>
        </w:numPr>
        <w:spacing w:before="120" w:after="120"/>
        <w:ind w:left="567"/>
        <w:rPr>
          <w:iCs/>
          <w:color w:val="000000" w:themeColor="text1"/>
        </w:rPr>
      </w:pPr>
      <w:r w:rsidRPr="00AF3075">
        <w:rPr>
          <w:iCs/>
          <w:color w:val="000000" w:themeColor="text1"/>
        </w:rPr>
        <w:t xml:space="preserve">influence judges’ </w:t>
      </w:r>
      <w:r w:rsidR="00406E85" w:rsidRPr="00AF3075">
        <w:rPr>
          <w:iCs/>
          <w:color w:val="000000" w:themeColor="text1"/>
        </w:rPr>
        <w:t xml:space="preserve">perceptions of the culpability of </w:t>
      </w:r>
      <w:r w:rsidRPr="00AF3075">
        <w:rPr>
          <w:iCs/>
          <w:color w:val="000000" w:themeColor="text1"/>
        </w:rPr>
        <w:t>persons accused of gender-based violence</w:t>
      </w:r>
    </w:p>
    <w:p w14:paraId="7465D421" w14:textId="0AB986A1" w:rsidR="00406E85" w:rsidRPr="00AF3075" w:rsidRDefault="0084106B" w:rsidP="006F34F2">
      <w:pPr>
        <w:pStyle w:val="ListParagraph"/>
        <w:numPr>
          <w:ilvl w:val="0"/>
          <w:numId w:val="27"/>
        </w:numPr>
        <w:spacing w:before="120" w:after="120"/>
        <w:ind w:left="567"/>
        <w:rPr>
          <w:iCs/>
          <w:color w:val="000000" w:themeColor="text1"/>
        </w:rPr>
      </w:pPr>
      <w:r w:rsidRPr="00AF3075">
        <w:rPr>
          <w:iCs/>
          <w:color w:val="000000" w:themeColor="text1"/>
        </w:rPr>
        <w:t xml:space="preserve">influence </w:t>
      </w:r>
      <w:r w:rsidR="00B07187" w:rsidRPr="00AF3075">
        <w:rPr>
          <w:iCs/>
          <w:color w:val="000000" w:themeColor="text1"/>
        </w:rPr>
        <w:t xml:space="preserve">judges’ views about the credibility of witnesses </w:t>
      </w:r>
    </w:p>
    <w:p w14:paraId="6423C0BE" w14:textId="501A2998" w:rsidR="00324AEE" w:rsidRPr="00AF3075" w:rsidRDefault="00B07187" w:rsidP="00B07187">
      <w:pPr>
        <w:pStyle w:val="ListParagraph"/>
        <w:numPr>
          <w:ilvl w:val="0"/>
          <w:numId w:val="27"/>
        </w:numPr>
        <w:spacing w:before="120" w:after="120"/>
        <w:ind w:left="567"/>
        <w:rPr>
          <w:i/>
          <w:iCs/>
          <w:color w:val="000000" w:themeColor="text1"/>
        </w:rPr>
      </w:pPr>
      <w:r w:rsidRPr="00AF3075">
        <w:t>lead judges to permit</w:t>
      </w:r>
      <w:r w:rsidR="005C466F" w:rsidRPr="00AF3075">
        <w:t xml:space="preserve"> irrelevant or highly prejudicial </w:t>
      </w:r>
      <w:r w:rsidR="00324AEE" w:rsidRPr="00AF3075">
        <w:t>evidence</w:t>
      </w:r>
      <w:r w:rsidR="005C466F" w:rsidRPr="00AF3075">
        <w:t xml:space="preserve"> to be admitted to court</w:t>
      </w:r>
      <w:r w:rsidRPr="00AF3075">
        <w:t xml:space="preserve"> and/or affect the weight judges’ attach to </w:t>
      </w:r>
      <w:r w:rsidR="00813C69" w:rsidRPr="00AF3075">
        <w:t xml:space="preserve">certain </w:t>
      </w:r>
      <w:r w:rsidRPr="00AF3075">
        <w:t>evidence</w:t>
      </w:r>
    </w:p>
    <w:p w14:paraId="6E01390A" w14:textId="2E7770C6" w:rsidR="00871DB2" w:rsidRPr="00AF3075" w:rsidRDefault="00B07187" w:rsidP="00B07187">
      <w:pPr>
        <w:pStyle w:val="ListParagraph"/>
        <w:numPr>
          <w:ilvl w:val="0"/>
          <w:numId w:val="27"/>
        </w:numPr>
        <w:spacing w:before="120" w:after="120"/>
        <w:ind w:left="567"/>
        <w:rPr>
          <w:i/>
          <w:iCs/>
          <w:color w:val="000000" w:themeColor="text1"/>
        </w:rPr>
      </w:pPr>
      <w:r w:rsidRPr="00AF3075">
        <w:rPr>
          <w:iCs/>
          <w:color w:val="000000" w:themeColor="text1"/>
        </w:rPr>
        <w:t xml:space="preserve">influence the </w:t>
      </w:r>
      <w:r w:rsidR="00871DB2" w:rsidRPr="00AF3075">
        <w:rPr>
          <w:iCs/>
          <w:color w:val="000000" w:themeColor="text1"/>
        </w:rPr>
        <w:t xml:space="preserve">directions </w:t>
      </w:r>
      <w:r w:rsidRPr="00AF3075">
        <w:rPr>
          <w:iCs/>
          <w:color w:val="000000" w:themeColor="text1"/>
        </w:rPr>
        <w:t>that judges give</w:t>
      </w:r>
      <w:r w:rsidR="00871DB2" w:rsidRPr="00AF3075">
        <w:rPr>
          <w:iCs/>
          <w:color w:val="000000" w:themeColor="text1"/>
        </w:rPr>
        <w:t xml:space="preserve"> to juries </w:t>
      </w:r>
    </w:p>
    <w:p w14:paraId="0AF570AC" w14:textId="3C9E0021" w:rsidR="00B07187" w:rsidRPr="00AF3075" w:rsidRDefault="00B07187" w:rsidP="00B07187">
      <w:pPr>
        <w:pStyle w:val="ListParagraph"/>
        <w:numPr>
          <w:ilvl w:val="0"/>
          <w:numId w:val="27"/>
        </w:numPr>
        <w:spacing w:before="120" w:after="120"/>
        <w:ind w:left="567"/>
        <w:rPr>
          <w:i/>
          <w:iCs/>
          <w:color w:val="000000" w:themeColor="text1"/>
        </w:rPr>
      </w:pPr>
      <w:r w:rsidRPr="00AF3075">
        <w:t xml:space="preserve">cause </w:t>
      </w:r>
      <w:r w:rsidR="00FB00B7" w:rsidRPr="00AF3075">
        <w:t xml:space="preserve">judges to </w:t>
      </w:r>
      <w:r w:rsidRPr="00AF3075">
        <w:t xml:space="preserve">misinterpret or </w:t>
      </w:r>
      <w:r w:rsidR="00FB00B7" w:rsidRPr="00AF3075">
        <w:t xml:space="preserve">misapply </w:t>
      </w:r>
      <w:r w:rsidRPr="00AF3075">
        <w:t>laws</w:t>
      </w:r>
    </w:p>
    <w:p w14:paraId="0AEED539" w14:textId="06128110" w:rsidR="0084106B" w:rsidRPr="00A66917" w:rsidRDefault="00B07187" w:rsidP="00B07187">
      <w:pPr>
        <w:pStyle w:val="ListParagraph"/>
        <w:numPr>
          <w:ilvl w:val="0"/>
          <w:numId w:val="27"/>
        </w:numPr>
        <w:spacing w:before="120" w:after="120"/>
        <w:ind w:left="567"/>
        <w:rPr>
          <w:i/>
          <w:iCs/>
          <w:color w:val="000000" w:themeColor="text1"/>
        </w:rPr>
      </w:pPr>
      <w:proofErr w:type="gramStart"/>
      <w:r w:rsidRPr="00AF3075">
        <w:rPr>
          <w:iCs/>
          <w:color w:val="000000" w:themeColor="text1"/>
        </w:rPr>
        <w:t>shape</w:t>
      </w:r>
      <w:proofErr w:type="gramEnd"/>
      <w:r w:rsidRPr="00AF3075">
        <w:rPr>
          <w:iCs/>
          <w:color w:val="000000" w:themeColor="text1"/>
        </w:rPr>
        <w:t xml:space="preserve"> the ultimate legal result.  </w:t>
      </w:r>
    </w:p>
    <w:p w14:paraId="59174E4B" w14:textId="3C14C08A" w:rsidR="009D271F" w:rsidRPr="00A66917" w:rsidRDefault="009D271F" w:rsidP="00A66917">
      <w:pPr>
        <w:spacing w:before="120" w:after="120"/>
        <w:rPr>
          <w:iCs/>
          <w:color w:val="000000" w:themeColor="text1"/>
        </w:rPr>
      </w:pPr>
      <w:r>
        <w:rPr>
          <w:iCs/>
          <w:color w:val="000000" w:themeColor="text1"/>
        </w:rPr>
        <w:t>For further information about s</w:t>
      </w:r>
      <w:r w:rsidRPr="00A66917">
        <w:rPr>
          <w:iCs/>
          <w:color w:val="000000" w:themeColor="text1"/>
        </w:rPr>
        <w:t xml:space="preserve">ome </w:t>
      </w:r>
      <w:r>
        <w:rPr>
          <w:iCs/>
          <w:color w:val="000000" w:themeColor="text1"/>
        </w:rPr>
        <w:t xml:space="preserve">of these impacts, see section 4 below. </w:t>
      </w:r>
    </w:p>
    <w:p w14:paraId="6961B511" w14:textId="016DBE41" w:rsidR="00A6286A" w:rsidRPr="00AF3075" w:rsidRDefault="00A6286A" w:rsidP="00A6286A">
      <w:pPr>
        <w:pStyle w:val="Heading2"/>
        <w:rPr>
          <w:rFonts w:ascii="Candara" w:hAnsi="Candara"/>
        </w:rPr>
      </w:pPr>
      <w:bookmarkStart w:id="15" w:name="_Toc263972388"/>
      <w:r w:rsidRPr="00AF3075">
        <w:rPr>
          <w:rFonts w:ascii="Candara" w:hAnsi="Candara"/>
        </w:rPr>
        <w:t>3.3 How judges debunk stereotypes and challenge stereotyping</w:t>
      </w:r>
      <w:bookmarkEnd w:id="15"/>
    </w:p>
    <w:p w14:paraId="3CC48C00" w14:textId="6F5EFEE2" w:rsidR="00C94A2F" w:rsidRPr="00AF3075" w:rsidRDefault="00AD5E24" w:rsidP="009F3580">
      <w:r w:rsidRPr="00AF3075">
        <w:t xml:space="preserve">Just as judges </w:t>
      </w:r>
      <w:r w:rsidR="003C153E" w:rsidRPr="00AF3075">
        <w:t>can play</w:t>
      </w:r>
      <w:r w:rsidRPr="00AF3075">
        <w:t xml:space="preserve"> a significant role in perpetuating stereotypes, they </w:t>
      </w:r>
      <w:r w:rsidR="003C153E" w:rsidRPr="00AF3075">
        <w:t>can also play</w:t>
      </w:r>
      <w:r w:rsidR="00EE5F3C" w:rsidRPr="00AF3075">
        <w:t xml:space="preserve"> a significant role in ridding the justice system of those same stereotypes</w:t>
      </w:r>
      <w:r w:rsidRPr="00AF3075">
        <w:t>.</w:t>
      </w:r>
      <w:r w:rsidR="00C94A2F" w:rsidRPr="00AF3075">
        <w:t xml:space="preserve">  It has been said, for instance, ‘[t]he criminal justice system can play a major role in the process of replacing “mythical” views of sexual assault, and the social definitions of sexual assault based on these myths, with views based on fact and t</w:t>
      </w:r>
      <w:r w:rsidR="00A5031D">
        <w:t>he results of empirical studies</w:t>
      </w:r>
      <w:r w:rsidR="005A19E9">
        <w:t xml:space="preserve"> that are relevant to the legal definitions of sexual assault</w:t>
      </w:r>
      <w:r w:rsidR="00C94A2F" w:rsidRPr="00AF3075">
        <w:t>’</w:t>
      </w:r>
      <w:r w:rsidR="00A5031D">
        <w:t>.</w:t>
      </w:r>
      <w:r w:rsidR="00C94A2F" w:rsidRPr="00AF3075">
        <w:rPr>
          <w:rStyle w:val="FootnoteReference"/>
        </w:rPr>
        <w:footnoteReference w:id="69"/>
      </w:r>
    </w:p>
    <w:tbl>
      <w:tblPr>
        <w:tblStyle w:val="TableGrid"/>
        <w:tblW w:w="0" w:type="auto"/>
        <w:tblLook w:val="04A0" w:firstRow="1" w:lastRow="0" w:firstColumn="1" w:lastColumn="0" w:noHBand="0" w:noVBand="1"/>
      </w:tblPr>
      <w:tblGrid>
        <w:gridCol w:w="8516"/>
      </w:tblGrid>
      <w:tr w:rsidR="004254BB" w:rsidRPr="00AF3075" w14:paraId="4EAFEDC6" w14:textId="77777777" w:rsidTr="0072133E">
        <w:tc>
          <w:tcPr>
            <w:tcW w:w="8516" w:type="dxa"/>
            <w:tcBorders>
              <w:top w:val="nil"/>
              <w:left w:val="nil"/>
              <w:bottom w:val="nil"/>
              <w:right w:val="nil"/>
            </w:tcBorders>
            <w:shd w:val="clear" w:color="auto" w:fill="D3E5F6" w:themeFill="accent2" w:themeFillTint="33"/>
          </w:tcPr>
          <w:p w14:paraId="6EE0238B" w14:textId="1697F160" w:rsidR="004254BB" w:rsidRPr="00AF3075" w:rsidRDefault="004C2DE6" w:rsidP="0072133E">
            <w:pPr>
              <w:shd w:val="clear" w:color="auto" w:fill="D3E5F6" w:themeFill="accent2" w:themeFillTint="33"/>
              <w:jc w:val="center"/>
              <w:rPr>
                <w:rStyle w:val="SubtleEmphasis"/>
              </w:rPr>
            </w:pPr>
            <w:r>
              <w:rPr>
                <w:rStyle w:val="SubtleEmphasis"/>
              </w:rPr>
              <w:t>Judge</w:t>
            </w:r>
            <w:r w:rsidR="00AB2845" w:rsidRPr="00AF3075">
              <w:rPr>
                <w:rStyle w:val="SubtleEmphasis"/>
              </w:rPr>
              <w:t xml:space="preserve"> challenge</w:t>
            </w:r>
            <w:r>
              <w:rPr>
                <w:rStyle w:val="SubtleEmphasis"/>
              </w:rPr>
              <w:t>s</w:t>
            </w:r>
            <w:r w:rsidR="00AB2845" w:rsidRPr="00AF3075">
              <w:rPr>
                <w:rStyle w:val="SubtleEmphasis"/>
              </w:rPr>
              <w:t xml:space="preserve"> </w:t>
            </w:r>
            <w:r w:rsidR="00576947" w:rsidRPr="00AF3075">
              <w:rPr>
                <w:rStyle w:val="SubtleEmphasis"/>
              </w:rPr>
              <w:t>as irrelevant</w:t>
            </w:r>
            <w:r w:rsidR="00AB2845" w:rsidRPr="00AF3075">
              <w:rPr>
                <w:rStyle w:val="SubtleEmphasis"/>
              </w:rPr>
              <w:t xml:space="preserve"> </w:t>
            </w:r>
            <w:r>
              <w:rPr>
                <w:rStyle w:val="SubtleEmphasis"/>
              </w:rPr>
              <w:t>and prejudicial</w:t>
            </w:r>
            <w:r w:rsidR="00C6321D">
              <w:rPr>
                <w:rStyle w:val="SubtleEmphasis"/>
              </w:rPr>
              <w:t xml:space="preserve"> </w:t>
            </w:r>
            <w:r w:rsidR="00C6321D" w:rsidRPr="00AF3075">
              <w:rPr>
                <w:rStyle w:val="SubtleEmphasis"/>
              </w:rPr>
              <w:t>evidence based on gender stereotypes</w:t>
            </w:r>
          </w:p>
          <w:p w14:paraId="60B9B05E" w14:textId="0372A23D" w:rsidR="004254BB" w:rsidRPr="00A66917" w:rsidRDefault="00681DBC" w:rsidP="00681DBC">
            <w:pPr>
              <w:shd w:val="clear" w:color="auto" w:fill="D3E5F6" w:themeFill="accent2" w:themeFillTint="33"/>
              <w:spacing w:before="120" w:after="120"/>
              <w:rPr>
                <w:iCs/>
                <w:color w:val="000000" w:themeColor="text1"/>
                <w:sz w:val="20"/>
                <w:szCs w:val="20"/>
              </w:rPr>
            </w:pPr>
            <w:r w:rsidRPr="00A66917">
              <w:rPr>
                <w:rStyle w:val="SubtleEmphasis"/>
                <w:b w:val="0"/>
                <w:color w:val="000000" w:themeColor="text1"/>
                <w:sz w:val="20"/>
                <w:szCs w:val="20"/>
              </w:rPr>
              <w:t>‘</w:t>
            </w:r>
            <w:r w:rsidR="004254BB" w:rsidRPr="00A66917">
              <w:rPr>
                <w:sz w:val="20"/>
                <w:szCs w:val="20"/>
              </w:rPr>
              <w:t xml:space="preserve">Evidence of prior acts of prostitution or allegations of prostitution are properly excluded by the provision.  In my opinion, this evidence is never relevant and, besides its irrelevance, is hugely prejudicial.  I vehemently disagree with the assertion of the appellant </w:t>
            </w:r>
            <w:r w:rsidR="00AB2845" w:rsidRPr="00A66917">
              <w:rPr>
                <w:sz w:val="20"/>
                <w:szCs w:val="20"/>
              </w:rPr>
              <w:t xml:space="preserve">… </w:t>
            </w:r>
            <w:r w:rsidR="004254BB" w:rsidRPr="00A66917">
              <w:rPr>
                <w:sz w:val="20"/>
                <w:szCs w:val="20"/>
              </w:rPr>
              <w:t xml:space="preserve">that </w:t>
            </w:r>
            <w:r w:rsidR="00AB2845" w:rsidRPr="00A66917">
              <w:rPr>
                <w:sz w:val="20"/>
                <w:szCs w:val="20"/>
              </w:rPr>
              <w:t>‘</w:t>
            </w:r>
            <w:r w:rsidR="004254BB" w:rsidRPr="00A66917">
              <w:rPr>
                <w:sz w:val="20"/>
                <w:szCs w:val="20"/>
              </w:rPr>
              <w:t>a prostitute is generally more willing to consent to sexual intercourse and is less credible as a witness because of that mode of life</w:t>
            </w:r>
            <w:r w:rsidR="00AB2845" w:rsidRPr="00A66917">
              <w:rPr>
                <w:sz w:val="20"/>
                <w:szCs w:val="20"/>
              </w:rPr>
              <w:t>’</w:t>
            </w:r>
            <w:r w:rsidR="004254BB" w:rsidRPr="00A66917">
              <w:rPr>
                <w:sz w:val="20"/>
                <w:szCs w:val="20"/>
              </w:rPr>
              <w:t xml:space="preserve"> ….  No</w:t>
            </w:r>
            <w:r w:rsidRPr="00A66917">
              <w:rPr>
                <w:sz w:val="20"/>
                <w:szCs w:val="20"/>
              </w:rPr>
              <w:t>r</w:t>
            </w:r>
            <w:r w:rsidR="004254BB" w:rsidRPr="00A66917">
              <w:rPr>
                <w:sz w:val="20"/>
                <w:szCs w:val="20"/>
              </w:rPr>
              <w:t xml:space="preserve"> do I particularly understand the phenomenon whereby many complainants in sexual assault cases are asked if they are prostitutes</w:t>
            </w:r>
            <w:r w:rsidRPr="00A66917">
              <w:rPr>
                <w:sz w:val="20"/>
                <w:szCs w:val="20"/>
              </w:rPr>
              <w:t>’</w:t>
            </w:r>
            <w:r w:rsidR="004254BB" w:rsidRPr="00A66917">
              <w:rPr>
                <w:sz w:val="20"/>
                <w:szCs w:val="20"/>
              </w:rPr>
              <w:t>.</w:t>
            </w:r>
            <w:r w:rsidR="004254BB" w:rsidRPr="00A66917">
              <w:rPr>
                <w:rStyle w:val="FootnoteReference"/>
                <w:sz w:val="20"/>
                <w:szCs w:val="20"/>
              </w:rPr>
              <w:footnoteReference w:id="70"/>
            </w:r>
            <w:r w:rsidR="004254BB" w:rsidRPr="00A66917">
              <w:rPr>
                <w:sz w:val="20"/>
                <w:szCs w:val="20"/>
              </w:rPr>
              <w:t xml:space="preserve"> </w:t>
            </w:r>
          </w:p>
        </w:tc>
      </w:tr>
    </w:tbl>
    <w:p w14:paraId="7305B221" w14:textId="449707DF" w:rsidR="006E2588" w:rsidRPr="00AF3075" w:rsidRDefault="00EE5F3C" w:rsidP="009F3580">
      <w:r w:rsidRPr="00AF3075">
        <w:t>J</w:t>
      </w:r>
      <w:r w:rsidR="00CA1C28" w:rsidRPr="00AF3075">
        <w:t>udges</w:t>
      </w:r>
      <w:r w:rsidRPr="00AF3075">
        <w:t xml:space="preserve"> have a responsibility to </w:t>
      </w:r>
      <w:r w:rsidR="009F3580" w:rsidRPr="00AF3075">
        <w:t xml:space="preserve">uphold the fairness and integrity of the justice system </w:t>
      </w:r>
      <w:r w:rsidR="00AE2DDE" w:rsidRPr="00AF3075">
        <w:t xml:space="preserve">by ensuring that gender-based violence trials ‘are conducted in a fashion that does not subordinate the fact-finding process </w:t>
      </w:r>
      <w:r w:rsidR="004C2DE6">
        <w:t>to myth and stereotyp</w:t>
      </w:r>
      <w:r w:rsidR="004C2DE6" w:rsidRPr="00A66917">
        <w:t>e</w:t>
      </w:r>
      <w:r w:rsidR="00AE2DDE" w:rsidRPr="00AF3075">
        <w:t>’</w:t>
      </w:r>
      <w:r w:rsidR="004C2DE6">
        <w:t>.</w:t>
      </w:r>
      <w:r w:rsidR="00AE2DDE" w:rsidRPr="00AF3075">
        <w:rPr>
          <w:rStyle w:val="FootnoteReference"/>
        </w:rPr>
        <w:footnoteReference w:id="71"/>
      </w:r>
      <w:r w:rsidR="00CA1C28" w:rsidRPr="00AF3075">
        <w:t xml:space="preserve">  This means that they must </w:t>
      </w:r>
      <w:r w:rsidR="00C94A2F" w:rsidRPr="00AF3075">
        <w:t xml:space="preserve">base their decisions on law and facts in evidence and not </w:t>
      </w:r>
      <w:r w:rsidR="00CA1C28" w:rsidRPr="00AF3075">
        <w:t>engage in gender stereotyping</w:t>
      </w:r>
      <w:r w:rsidR="009F3580" w:rsidRPr="00AF3075">
        <w:t>.</w:t>
      </w:r>
      <w:r w:rsidR="00CA1C28" w:rsidRPr="00AF3075">
        <w:t xml:space="preserve">  It also means that </w:t>
      </w:r>
      <w:r w:rsidR="00C94A2F" w:rsidRPr="00AF3075">
        <w:t xml:space="preserve">they </w:t>
      </w:r>
      <w:r w:rsidR="00CA1C28" w:rsidRPr="00AF3075">
        <w:t xml:space="preserve">must </w:t>
      </w:r>
      <w:r w:rsidR="00C94A2F" w:rsidRPr="00AF3075">
        <w:t xml:space="preserve">debunk stereotypes in gender-based violence cases and challenge the stereotypical reasoning of </w:t>
      </w:r>
      <w:r w:rsidR="00CA1C28" w:rsidRPr="00AF3075">
        <w:t>other judges and other actors in the legal system.</w:t>
      </w:r>
      <w:r w:rsidR="00C94A2F" w:rsidRPr="00AF3075">
        <w:t xml:space="preserve">  At a minimum, this requires judges to </w:t>
      </w:r>
      <w:r w:rsidR="00CA1C28" w:rsidRPr="00AF3075">
        <w:t xml:space="preserve"> </w:t>
      </w:r>
    </w:p>
    <w:p w14:paraId="62B6A832" w14:textId="513D2A0F" w:rsidR="009F3580" w:rsidRPr="00AF3075" w:rsidRDefault="00C94A2F" w:rsidP="009F3580">
      <w:pPr>
        <w:pStyle w:val="ListParagraph"/>
        <w:numPr>
          <w:ilvl w:val="0"/>
          <w:numId w:val="27"/>
        </w:numPr>
        <w:spacing w:before="120" w:after="120"/>
        <w:ind w:left="567"/>
        <w:rPr>
          <w:i/>
          <w:iCs/>
          <w:color w:val="000000" w:themeColor="text1"/>
        </w:rPr>
      </w:pPr>
      <w:r w:rsidRPr="00AF3075">
        <w:t>identify</w:t>
      </w:r>
      <w:r w:rsidR="009F3580" w:rsidRPr="00AF3075">
        <w:t xml:space="preserve"> gender stereotyping</w:t>
      </w:r>
    </w:p>
    <w:p w14:paraId="01BC1EFD" w14:textId="1C1C103F" w:rsidR="009F3580" w:rsidRPr="00AF3075" w:rsidRDefault="009F3580" w:rsidP="009F3580">
      <w:pPr>
        <w:pStyle w:val="ListParagraph"/>
        <w:numPr>
          <w:ilvl w:val="0"/>
          <w:numId w:val="27"/>
        </w:numPr>
        <w:spacing w:before="120" w:after="120"/>
        <w:ind w:left="567"/>
        <w:rPr>
          <w:i/>
          <w:iCs/>
          <w:color w:val="000000" w:themeColor="text1"/>
        </w:rPr>
      </w:pPr>
      <w:r w:rsidRPr="00AF3075">
        <w:t>nam</w:t>
      </w:r>
      <w:r w:rsidR="00C94A2F" w:rsidRPr="00AF3075">
        <w:t>e</w:t>
      </w:r>
      <w:r w:rsidRPr="00AF3075">
        <w:t xml:space="preserve"> </w:t>
      </w:r>
      <w:r w:rsidR="00C94A2F" w:rsidRPr="00AF3075">
        <w:t xml:space="preserve">and challenge </w:t>
      </w:r>
      <w:r w:rsidRPr="00AF3075">
        <w:t>operative gender stereotypes</w:t>
      </w:r>
    </w:p>
    <w:p w14:paraId="2D7B1396" w14:textId="6A24AD5F" w:rsidR="009F3580" w:rsidRPr="00AF3075" w:rsidRDefault="009F3580" w:rsidP="009F3580">
      <w:pPr>
        <w:pStyle w:val="ListParagraph"/>
        <w:numPr>
          <w:ilvl w:val="0"/>
          <w:numId w:val="27"/>
        </w:numPr>
        <w:spacing w:before="120" w:after="120"/>
        <w:ind w:left="567"/>
        <w:rPr>
          <w:i/>
          <w:iCs/>
          <w:color w:val="000000" w:themeColor="text1"/>
        </w:rPr>
      </w:pPr>
      <w:r w:rsidRPr="00AF3075">
        <w:t>expos</w:t>
      </w:r>
      <w:r w:rsidR="00C94A2F" w:rsidRPr="00AF3075">
        <w:t xml:space="preserve">e </w:t>
      </w:r>
      <w:r w:rsidRPr="00AF3075">
        <w:t>the harms</w:t>
      </w:r>
      <w:r w:rsidR="00C94A2F" w:rsidRPr="00AF3075">
        <w:t xml:space="preserve"> of those stereotypes and their application in gender-based violence cases</w:t>
      </w:r>
    </w:p>
    <w:p w14:paraId="7C2093A2" w14:textId="178A3F20" w:rsidR="00AD5E24" w:rsidRPr="00AF3075" w:rsidRDefault="00C94A2F" w:rsidP="005C466F">
      <w:pPr>
        <w:pStyle w:val="ListParagraph"/>
        <w:numPr>
          <w:ilvl w:val="0"/>
          <w:numId w:val="27"/>
        </w:numPr>
        <w:spacing w:before="120" w:after="120"/>
        <w:ind w:left="567"/>
        <w:rPr>
          <w:i/>
          <w:iCs/>
          <w:color w:val="000000" w:themeColor="text1"/>
        </w:rPr>
      </w:pPr>
      <w:proofErr w:type="gramStart"/>
      <w:r w:rsidRPr="00AF3075">
        <w:t>identify</w:t>
      </w:r>
      <w:proofErr w:type="gramEnd"/>
      <w:r w:rsidR="009F3580" w:rsidRPr="00AF3075">
        <w:t xml:space="preserve"> how the application, enforcement or perpetuation of stereotypes discriminates against women or otherwise violates their rights.</w:t>
      </w:r>
    </w:p>
    <w:p w14:paraId="7AE22E3A" w14:textId="76317000" w:rsidR="005C466F" w:rsidRPr="00AF3075" w:rsidRDefault="006917CE" w:rsidP="002C69E9">
      <w:pPr>
        <w:spacing w:before="120" w:after="120"/>
      </w:pPr>
      <w:r>
        <w:rPr>
          <w:iCs/>
          <w:color w:val="000000" w:themeColor="text1"/>
        </w:rPr>
        <w:t xml:space="preserve"> </w:t>
      </w:r>
      <w:r w:rsidR="00084DF9">
        <w:rPr>
          <w:iCs/>
          <w:color w:val="000000" w:themeColor="text1"/>
        </w:rPr>
        <w:t xml:space="preserve">For examples, </w:t>
      </w:r>
      <w:r w:rsidR="002C69E9">
        <w:rPr>
          <w:iCs/>
          <w:color w:val="000000" w:themeColor="text1"/>
        </w:rPr>
        <w:t xml:space="preserve">please </w:t>
      </w:r>
      <w:r w:rsidR="00084DF9">
        <w:rPr>
          <w:iCs/>
          <w:color w:val="000000" w:themeColor="text1"/>
        </w:rPr>
        <w:t>see section 5.5 below.</w:t>
      </w:r>
      <w:r w:rsidR="002C69E9" w:rsidRPr="00AF3075">
        <w:t xml:space="preserve"> </w:t>
      </w:r>
    </w:p>
    <w:p w14:paraId="2E722AFA" w14:textId="77777777" w:rsidR="00D5294B" w:rsidRPr="00AF3075" w:rsidRDefault="00D5294B">
      <w:pPr>
        <w:spacing w:before="0" w:after="0"/>
        <w:rPr>
          <w:rFonts w:eastAsiaTheme="majorEastAsia" w:cstheme="majorBidi"/>
          <w:b/>
          <w:bCs/>
          <w:color w:val="5B63B7" w:themeColor="text2" w:themeTint="99"/>
          <w:sz w:val="28"/>
          <w:szCs w:val="28"/>
        </w:rPr>
      </w:pPr>
      <w:r w:rsidRPr="00AF3075">
        <w:br w:type="page"/>
      </w:r>
    </w:p>
    <w:p w14:paraId="3D8B36AA" w14:textId="6F736FC9" w:rsidR="000F2D9D" w:rsidRPr="00AF3075" w:rsidRDefault="00D510D5" w:rsidP="00A52DFA">
      <w:pPr>
        <w:pStyle w:val="Heading1"/>
        <w:rPr>
          <w:rFonts w:ascii="Candara" w:hAnsi="Candara"/>
        </w:rPr>
      </w:pPr>
      <w:bookmarkStart w:id="16" w:name="_Toc263972389"/>
      <w:r w:rsidRPr="00AF3075">
        <w:rPr>
          <w:rFonts w:ascii="Candara" w:hAnsi="Candara"/>
        </w:rPr>
        <w:t>4</w:t>
      </w:r>
      <w:r w:rsidR="00A52DFA" w:rsidRPr="00AF3075">
        <w:rPr>
          <w:rFonts w:ascii="Candara" w:hAnsi="Candara"/>
        </w:rPr>
        <w:t xml:space="preserve">. </w:t>
      </w:r>
      <w:r w:rsidR="00003186" w:rsidRPr="00AF3075">
        <w:rPr>
          <w:rFonts w:ascii="Candara" w:hAnsi="Candara"/>
        </w:rPr>
        <w:t xml:space="preserve">How </w:t>
      </w:r>
      <w:r w:rsidR="00A52DFA" w:rsidRPr="00AF3075">
        <w:rPr>
          <w:rFonts w:ascii="Candara" w:hAnsi="Candara"/>
        </w:rPr>
        <w:t>stereotyping undermines access to justice</w:t>
      </w:r>
      <w:bookmarkEnd w:id="16"/>
    </w:p>
    <w:p w14:paraId="15114863" w14:textId="2286E99A" w:rsidR="00111918" w:rsidRPr="00AF3075" w:rsidRDefault="0075128A" w:rsidP="00CF2A22">
      <w:r w:rsidRPr="00AF3075">
        <w:t xml:space="preserve">When </w:t>
      </w:r>
      <w:r w:rsidR="00E96B80" w:rsidRPr="00AF3075">
        <w:t xml:space="preserve">judges </w:t>
      </w:r>
      <w:r w:rsidR="00B01717" w:rsidRPr="00AF3075">
        <w:t>stereotyp</w:t>
      </w:r>
      <w:r w:rsidRPr="00AF3075">
        <w:t>e</w:t>
      </w:r>
      <w:r w:rsidR="00F66D21" w:rsidRPr="00AF3075">
        <w:t xml:space="preserve"> or </w:t>
      </w:r>
      <w:r w:rsidR="00B01717" w:rsidRPr="00AF3075">
        <w:t xml:space="preserve">fail to </w:t>
      </w:r>
      <w:r w:rsidR="00F66D21" w:rsidRPr="00AF3075">
        <w:t xml:space="preserve">challenge </w:t>
      </w:r>
      <w:r w:rsidR="00B01717" w:rsidRPr="00AF3075">
        <w:t>stereotyping</w:t>
      </w:r>
      <w:r w:rsidR="00092ABC" w:rsidRPr="00AF3075">
        <w:t>,</w:t>
      </w:r>
      <w:r w:rsidRPr="00AF3075">
        <w:t xml:space="preserve"> they can undermine justice for victims and survivors of gender-based violence.</w:t>
      </w:r>
      <w:r w:rsidR="00925B9A" w:rsidRPr="00AF3075">
        <w:t xml:space="preserve"> </w:t>
      </w:r>
      <w:r w:rsidR="002C69E9">
        <w:t xml:space="preserve"> Section</w:t>
      </w:r>
      <w:r w:rsidR="00D510D5" w:rsidRPr="00AF3075">
        <w:t xml:space="preserve"> </w:t>
      </w:r>
      <w:r w:rsidR="00B01717" w:rsidRPr="00AF3075">
        <w:t>4</w:t>
      </w:r>
      <w:r w:rsidR="00D510D5" w:rsidRPr="00AF3075">
        <w:t xml:space="preserve"> </w:t>
      </w:r>
      <w:r w:rsidR="006414F0" w:rsidRPr="00AF3075">
        <w:t>examines</w:t>
      </w:r>
      <w:r w:rsidR="00D510D5" w:rsidRPr="00AF3075">
        <w:t xml:space="preserve"> </w:t>
      </w:r>
      <w:r w:rsidR="00CF2A22" w:rsidRPr="00AF3075">
        <w:t xml:space="preserve">some of the ways that judicial stereotyping </w:t>
      </w:r>
      <w:r w:rsidR="001B1514" w:rsidRPr="00AF3075">
        <w:t xml:space="preserve">can frustrate the efforts of </w:t>
      </w:r>
      <w:r w:rsidR="00CF2A22" w:rsidRPr="00AF3075">
        <w:t>victims and survivors</w:t>
      </w:r>
      <w:r w:rsidR="001B1514" w:rsidRPr="00AF3075">
        <w:t xml:space="preserve"> to obtain justice for violence</w:t>
      </w:r>
      <w:r w:rsidR="00CF2A22" w:rsidRPr="00AF3075">
        <w:t>.</w:t>
      </w:r>
      <w:r w:rsidR="008E767C">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
        <w:gridCol w:w="8124"/>
      </w:tblGrid>
      <w:tr w:rsidR="00483D2A" w:rsidRPr="00AF3075" w14:paraId="297016FF" w14:textId="77777777" w:rsidTr="00E96B80">
        <w:tc>
          <w:tcPr>
            <w:tcW w:w="392" w:type="dxa"/>
            <w:tcBorders>
              <w:bottom w:val="single" w:sz="4" w:space="0" w:color="4A66AC" w:themeColor="accent4"/>
              <w:right w:val="single" w:sz="4" w:space="0" w:color="4A66AC" w:themeColor="accent4"/>
            </w:tcBorders>
          </w:tcPr>
          <w:p w14:paraId="2A550869" w14:textId="4EF6DD43" w:rsidR="00483D2A" w:rsidRPr="00AF3075" w:rsidRDefault="00A66774" w:rsidP="005200D0">
            <w:pPr>
              <w:spacing w:before="120" w:after="120"/>
              <w:rPr>
                <w:b/>
                <w:color w:val="374C80" w:themeColor="accent4" w:themeShade="BF"/>
                <w:sz w:val="21"/>
                <w:szCs w:val="21"/>
              </w:rPr>
            </w:pPr>
            <w:r w:rsidRPr="00AF3075">
              <w:rPr>
                <w:b/>
                <w:color w:val="374C80" w:themeColor="accent4" w:themeShade="BF"/>
                <w:sz w:val="21"/>
                <w:szCs w:val="21"/>
              </w:rPr>
              <w:t>1</w:t>
            </w:r>
            <w:r w:rsidR="00E96B80" w:rsidRPr="00AF3075">
              <w:rPr>
                <w:b/>
                <w:color w:val="374C80" w:themeColor="accent4" w:themeShade="BF"/>
                <w:sz w:val="21"/>
                <w:szCs w:val="21"/>
              </w:rPr>
              <w:t>.</w:t>
            </w:r>
          </w:p>
        </w:tc>
        <w:tc>
          <w:tcPr>
            <w:tcW w:w="8124" w:type="dxa"/>
            <w:tcBorders>
              <w:left w:val="single" w:sz="4" w:space="0" w:color="4A66AC" w:themeColor="accent4"/>
              <w:bottom w:val="single" w:sz="4" w:space="0" w:color="4A66AC" w:themeColor="accent4"/>
            </w:tcBorders>
          </w:tcPr>
          <w:p w14:paraId="1B305D18" w14:textId="4781BA0C" w:rsidR="00483D2A" w:rsidRPr="00AF3075" w:rsidRDefault="00483D2A" w:rsidP="00D93E6C">
            <w:pPr>
              <w:spacing w:before="120" w:after="120"/>
              <w:rPr>
                <w:rStyle w:val="SubtleEmphasis"/>
                <w:b w:val="0"/>
                <w:color w:val="000000" w:themeColor="text1"/>
                <w:sz w:val="21"/>
                <w:szCs w:val="21"/>
              </w:rPr>
            </w:pPr>
            <w:r w:rsidRPr="00AF3075">
              <w:rPr>
                <w:rStyle w:val="SubtleEmphasis"/>
                <w:b w:val="0"/>
                <w:color w:val="000000" w:themeColor="text1"/>
                <w:sz w:val="21"/>
                <w:szCs w:val="21"/>
              </w:rPr>
              <w:t xml:space="preserve">Stereotyping </w:t>
            </w:r>
            <w:r w:rsidR="00D93E6C" w:rsidRPr="00AF3075">
              <w:rPr>
                <w:rStyle w:val="SubtleEmphasis"/>
                <w:b w:val="0"/>
                <w:color w:val="000000" w:themeColor="text1"/>
                <w:sz w:val="21"/>
                <w:szCs w:val="21"/>
              </w:rPr>
              <w:t>can compromise the impartiality of judges’ decisions</w:t>
            </w:r>
          </w:p>
        </w:tc>
      </w:tr>
      <w:tr w:rsidR="005200D0" w:rsidRPr="00AF3075" w14:paraId="6DB99FE0" w14:textId="77777777" w:rsidTr="00E96B80">
        <w:tc>
          <w:tcPr>
            <w:tcW w:w="392" w:type="dxa"/>
            <w:tcBorders>
              <w:top w:val="single" w:sz="4" w:space="0" w:color="4A66AC" w:themeColor="accent4"/>
              <w:bottom w:val="single" w:sz="4" w:space="0" w:color="4A66AC" w:themeColor="accent4"/>
              <w:right w:val="single" w:sz="4" w:space="0" w:color="4A66AC" w:themeColor="accent4"/>
            </w:tcBorders>
          </w:tcPr>
          <w:p w14:paraId="571E556A" w14:textId="6F933F89" w:rsidR="005200D0" w:rsidRPr="00AF3075" w:rsidRDefault="00A66774" w:rsidP="005200D0">
            <w:pPr>
              <w:spacing w:before="120" w:after="120"/>
              <w:rPr>
                <w:b/>
                <w:color w:val="374C80" w:themeColor="accent4" w:themeShade="BF"/>
                <w:sz w:val="21"/>
                <w:szCs w:val="21"/>
              </w:rPr>
            </w:pPr>
            <w:r w:rsidRPr="00AF3075">
              <w:rPr>
                <w:b/>
                <w:color w:val="374C80" w:themeColor="accent4" w:themeShade="BF"/>
                <w:sz w:val="21"/>
                <w:szCs w:val="21"/>
              </w:rPr>
              <w:t>2</w:t>
            </w:r>
            <w:r w:rsidR="00E96B80"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41BF94BB" w14:textId="532EAF8B" w:rsidR="005200D0" w:rsidRPr="00AF3075" w:rsidRDefault="005200D0" w:rsidP="00D13EB7">
            <w:pPr>
              <w:spacing w:before="120" w:after="120"/>
              <w:rPr>
                <w:sz w:val="21"/>
                <w:szCs w:val="21"/>
              </w:rPr>
            </w:pPr>
            <w:r w:rsidRPr="00AF3075">
              <w:rPr>
                <w:rStyle w:val="SubtleEmphasis"/>
                <w:b w:val="0"/>
                <w:color w:val="000000" w:themeColor="text1"/>
                <w:sz w:val="21"/>
                <w:szCs w:val="21"/>
              </w:rPr>
              <w:t xml:space="preserve">Stereotyping can </w:t>
            </w:r>
            <w:r w:rsidR="00D13EB7" w:rsidRPr="00AF3075">
              <w:rPr>
                <w:rStyle w:val="SubtleEmphasis"/>
                <w:b w:val="0"/>
                <w:color w:val="000000" w:themeColor="text1"/>
                <w:sz w:val="21"/>
                <w:szCs w:val="21"/>
              </w:rPr>
              <w:t>influence</w:t>
            </w:r>
            <w:r w:rsidRPr="00AF3075">
              <w:rPr>
                <w:rStyle w:val="SubtleEmphasis"/>
                <w:b w:val="0"/>
                <w:color w:val="000000" w:themeColor="text1"/>
                <w:sz w:val="21"/>
                <w:szCs w:val="21"/>
              </w:rPr>
              <w:t xml:space="preserve"> judges’ understanding of the nature of the criminal offence</w:t>
            </w:r>
          </w:p>
        </w:tc>
      </w:tr>
      <w:tr w:rsidR="005200D0" w:rsidRPr="00AF3075" w14:paraId="1B7793AB" w14:textId="77777777" w:rsidTr="00E96B80">
        <w:tc>
          <w:tcPr>
            <w:tcW w:w="392" w:type="dxa"/>
            <w:tcBorders>
              <w:top w:val="single" w:sz="4" w:space="0" w:color="4A66AC" w:themeColor="accent4"/>
              <w:bottom w:val="single" w:sz="4" w:space="0" w:color="4A66AC" w:themeColor="accent4"/>
              <w:right w:val="single" w:sz="4" w:space="0" w:color="4A66AC" w:themeColor="accent4"/>
            </w:tcBorders>
          </w:tcPr>
          <w:p w14:paraId="05373B55" w14:textId="7EF94FB2" w:rsidR="005200D0" w:rsidRPr="00AF3075" w:rsidRDefault="00A66774" w:rsidP="005200D0">
            <w:pPr>
              <w:spacing w:before="120" w:after="120"/>
              <w:rPr>
                <w:b/>
                <w:color w:val="374C80" w:themeColor="accent4" w:themeShade="BF"/>
                <w:sz w:val="21"/>
                <w:szCs w:val="21"/>
              </w:rPr>
            </w:pPr>
            <w:r w:rsidRPr="00AF3075">
              <w:rPr>
                <w:b/>
                <w:color w:val="374C80" w:themeColor="accent4" w:themeShade="BF"/>
                <w:sz w:val="21"/>
                <w:szCs w:val="21"/>
              </w:rPr>
              <w:t>3</w:t>
            </w:r>
            <w:r w:rsidR="00E96B80"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32EBCF2C" w14:textId="505409D0" w:rsidR="002C26C8" w:rsidRPr="00AF3075" w:rsidRDefault="005200D0" w:rsidP="006C5A53">
            <w:pPr>
              <w:spacing w:before="120" w:after="120"/>
              <w:rPr>
                <w:sz w:val="21"/>
                <w:szCs w:val="21"/>
              </w:rPr>
            </w:pPr>
            <w:r w:rsidRPr="00AF3075">
              <w:rPr>
                <w:sz w:val="21"/>
                <w:szCs w:val="21"/>
              </w:rPr>
              <w:t xml:space="preserve">Stereotyping can affect judges’ views about </w:t>
            </w:r>
            <w:r w:rsidR="002C26C8" w:rsidRPr="00AF3075">
              <w:rPr>
                <w:sz w:val="21"/>
                <w:szCs w:val="21"/>
              </w:rPr>
              <w:t xml:space="preserve">witness </w:t>
            </w:r>
            <w:r w:rsidRPr="00AF3075">
              <w:rPr>
                <w:sz w:val="21"/>
                <w:szCs w:val="21"/>
              </w:rPr>
              <w:t>credibility</w:t>
            </w:r>
            <w:r w:rsidR="006C5A53" w:rsidRPr="00AF3075">
              <w:rPr>
                <w:sz w:val="21"/>
                <w:szCs w:val="21"/>
              </w:rPr>
              <w:t xml:space="preserve"> and legal capacity</w:t>
            </w:r>
          </w:p>
        </w:tc>
      </w:tr>
      <w:tr w:rsidR="005200D0" w:rsidRPr="00AF3075" w14:paraId="3C1A2ED6" w14:textId="77777777" w:rsidTr="00BC08EA">
        <w:tc>
          <w:tcPr>
            <w:tcW w:w="392" w:type="dxa"/>
            <w:tcBorders>
              <w:top w:val="single" w:sz="4" w:space="0" w:color="4A66AC" w:themeColor="accent4"/>
              <w:bottom w:val="single" w:sz="4" w:space="0" w:color="4A66AC" w:themeColor="accent4"/>
              <w:right w:val="single" w:sz="4" w:space="0" w:color="4A66AC" w:themeColor="accent4"/>
            </w:tcBorders>
          </w:tcPr>
          <w:p w14:paraId="16182054" w14:textId="06C94C82" w:rsidR="005200D0" w:rsidRPr="00AF3075" w:rsidRDefault="002C26C8" w:rsidP="005200D0">
            <w:pPr>
              <w:spacing w:before="120" w:after="120"/>
              <w:rPr>
                <w:b/>
                <w:color w:val="374C80" w:themeColor="accent4" w:themeShade="BF"/>
                <w:sz w:val="21"/>
                <w:szCs w:val="21"/>
              </w:rPr>
            </w:pPr>
            <w:r w:rsidRPr="00AF3075">
              <w:rPr>
                <w:b/>
                <w:color w:val="374C80" w:themeColor="accent4" w:themeShade="BF"/>
                <w:sz w:val="21"/>
                <w:szCs w:val="21"/>
              </w:rPr>
              <w:t>4</w:t>
            </w:r>
            <w:r w:rsidR="00E96B80"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369CE56C" w14:textId="7D928B14" w:rsidR="005200D0" w:rsidRPr="00AF3075" w:rsidRDefault="00D73F48" w:rsidP="000F5790">
            <w:pPr>
              <w:spacing w:before="120" w:after="120"/>
              <w:rPr>
                <w:sz w:val="21"/>
                <w:szCs w:val="21"/>
              </w:rPr>
            </w:pPr>
            <w:r w:rsidRPr="00AF3075">
              <w:rPr>
                <w:sz w:val="21"/>
                <w:szCs w:val="21"/>
              </w:rPr>
              <w:t xml:space="preserve">Stereotyping can </w:t>
            </w:r>
            <w:r w:rsidR="00DF581C" w:rsidRPr="00AF3075">
              <w:rPr>
                <w:sz w:val="21"/>
                <w:szCs w:val="21"/>
              </w:rPr>
              <w:t xml:space="preserve">stop </w:t>
            </w:r>
            <w:r w:rsidRPr="00AF3075">
              <w:rPr>
                <w:sz w:val="21"/>
                <w:szCs w:val="21"/>
              </w:rPr>
              <w:t>judges hold</w:t>
            </w:r>
            <w:r w:rsidR="00DF581C" w:rsidRPr="00AF3075">
              <w:rPr>
                <w:sz w:val="21"/>
                <w:szCs w:val="21"/>
              </w:rPr>
              <w:t>ing</w:t>
            </w:r>
            <w:r w:rsidRPr="00AF3075">
              <w:rPr>
                <w:sz w:val="21"/>
                <w:szCs w:val="21"/>
              </w:rPr>
              <w:t xml:space="preserve"> offenders legally accountable</w:t>
            </w:r>
          </w:p>
        </w:tc>
      </w:tr>
      <w:tr w:rsidR="005200D0" w:rsidRPr="00AF3075" w14:paraId="5301378E" w14:textId="77777777" w:rsidTr="00BC08EA">
        <w:tc>
          <w:tcPr>
            <w:tcW w:w="392" w:type="dxa"/>
            <w:tcBorders>
              <w:top w:val="single" w:sz="4" w:space="0" w:color="4A66AC" w:themeColor="accent4"/>
              <w:bottom w:val="nil"/>
              <w:right w:val="single" w:sz="4" w:space="0" w:color="4A66AC" w:themeColor="accent4"/>
            </w:tcBorders>
          </w:tcPr>
          <w:p w14:paraId="53838FF9" w14:textId="625F26DA" w:rsidR="005200D0" w:rsidRPr="00AF3075" w:rsidRDefault="002C26C8" w:rsidP="005200D0">
            <w:pPr>
              <w:spacing w:before="120" w:after="120"/>
              <w:rPr>
                <w:b/>
                <w:color w:val="374C80" w:themeColor="accent4" w:themeShade="BF"/>
                <w:sz w:val="21"/>
                <w:szCs w:val="21"/>
              </w:rPr>
            </w:pPr>
            <w:r w:rsidRPr="00AF3075">
              <w:rPr>
                <w:b/>
                <w:color w:val="374C80" w:themeColor="accent4" w:themeShade="BF"/>
                <w:sz w:val="21"/>
                <w:szCs w:val="21"/>
              </w:rPr>
              <w:t>5</w:t>
            </w:r>
            <w:r w:rsidR="00E96B80"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nil"/>
            </w:tcBorders>
          </w:tcPr>
          <w:p w14:paraId="79372130" w14:textId="1898F4FC" w:rsidR="005200D0" w:rsidRPr="00AF3075" w:rsidRDefault="00D73F48" w:rsidP="00D62448">
            <w:pPr>
              <w:spacing w:before="120" w:after="120"/>
              <w:rPr>
                <w:sz w:val="21"/>
                <w:szCs w:val="21"/>
              </w:rPr>
            </w:pPr>
            <w:r w:rsidRPr="00AF3075">
              <w:rPr>
                <w:sz w:val="21"/>
                <w:szCs w:val="21"/>
              </w:rPr>
              <w:t xml:space="preserve">Stereotyping can </w:t>
            </w:r>
            <w:r w:rsidR="000669C2" w:rsidRPr="00AF3075">
              <w:rPr>
                <w:sz w:val="21"/>
                <w:szCs w:val="21"/>
              </w:rPr>
              <w:t xml:space="preserve">impede access to legal </w:t>
            </w:r>
            <w:r w:rsidR="00D62448" w:rsidRPr="00AF3075">
              <w:rPr>
                <w:sz w:val="21"/>
                <w:szCs w:val="21"/>
              </w:rPr>
              <w:t xml:space="preserve">rights and </w:t>
            </w:r>
            <w:r w:rsidR="000669C2" w:rsidRPr="00AF3075">
              <w:rPr>
                <w:sz w:val="21"/>
                <w:szCs w:val="21"/>
              </w:rPr>
              <w:t>protections</w:t>
            </w:r>
          </w:p>
        </w:tc>
      </w:tr>
    </w:tbl>
    <w:p w14:paraId="23263614" w14:textId="71736FEF" w:rsidR="008E767C" w:rsidRDefault="008E767C" w:rsidP="008E767C">
      <w:r>
        <w:t xml:space="preserve">Judicial stereotyping can sometimes have multiple </w:t>
      </w:r>
      <w:r w:rsidR="00B40F55">
        <w:t>repercussions</w:t>
      </w:r>
      <w:r>
        <w:t xml:space="preserve"> </w:t>
      </w:r>
      <w:r w:rsidR="00B40F55">
        <w:t xml:space="preserve">in </w:t>
      </w:r>
      <w:r>
        <w:t xml:space="preserve">a single case.  For example, stereotyping might compromise the impartiality of a judge’s decision and affect his or her views about witness credibility or the culpability of the accused person.     </w:t>
      </w:r>
    </w:p>
    <w:p w14:paraId="46F364EB" w14:textId="31CCDC2D" w:rsidR="00483D2A" w:rsidRPr="00AF3075" w:rsidRDefault="00D510D5" w:rsidP="00A52DFA">
      <w:pPr>
        <w:pStyle w:val="Heading2"/>
        <w:rPr>
          <w:rFonts w:ascii="Candara" w:hAnsi="Candara"/>
        </w:rPr>
      </w:pPr>
      <w:bookmarkStart w:id="17" w:name="_Toc263972390"/>
      <w:r w:rsidRPr="00AF3075">
        <w:rPr>
          <w:rFonts w:ascii="Candara" w:hAnsi="Candara"/>
        </w:rPr>
        <w:t>4</w:t>
      </w:r>
      <w:r w:rsidR="00A52DFA" w:rsidRPr="00AF3075">
        <w:rPr>
          <w:rFonts w:ascii="Candara" w:hAnsi="Candara"/>
        </w:rPr>
        <w:t xml:space="preserve">.1 </w:t>
      </w:r>
      <w:r w:rsidR="00483D2A" w:rsidRPr="00AF3075">
        <w:rPr>
          <w:rFonts w:ascii="Candara" w:hAnsi="Candara"/>
        </w:rPr>
        <w:t xml:space="preserve">Stereotyping </w:t>
      </w:r>
      <w:r w:rsidR="00D93E6C" w:rsidRPr="00AF3075">
        <w:rPr>
          <w:rFonts w:ascii="Candara" w:hAnsi="Candara"/>
        </w:rPr>
        <w:t>can compromise the impartiality of judges’ decisions</w:t>
      </w:r>
      <w:bookmarkEnd w:id="17"/>
    </w:p>
    <w:p w14:paraId="524A13C8" w14:textId="0F8E82CB" w:rsidR="00D33E2F" w:rsidRDefault="008B642B" w:rsidP="00D33E2F">
      <w:r w:rsidRPr="00AF3075">
        <w:t>J</w:t>
      </w:r>
      <w:r w:rsidR="00AB4F59" w:rsidRPr="00AF3075">
        <w:t>ud</w:t>
      </w:r>
      <w:r w:rsidR="00D64109" w:rsidRPr="00AF3075">
        <w:t xml:space="preserve">ges must reach impartial decisions based on law and </w:t>
      </w:r>
      <w:r w:rsidR="00C6321D">
        <w:t xml:space="preserve">relevant </w:t>
      </w:r>
      <w:r w:rsidR="00D64109" w:rsidRPr="00AF3075">
        <w:t>fact</w:t>
      </w:r>
      <w:r w:rsidR="00651213" w:rsidRPr="00AF3075">
        <w:t>s in evidence</w:t>
      </w:r>
      <w:r w:rsidR="00AB4F59" w:rsidRPr="00AF3075">
        <w:t>.</w:t>
      </w:r>
      <w:r w:rsidRPr="00AF3075">
        <w:t xml:space="preserve"> </w:t>
      </w:r>
      <w:r w:rsidR="00651213" w:rsidRPr="00AF3075">
        <w:t>Impartiality can, however, be compromised when judges disregard law and facts in favour of stereotypes</w:t>
      </w:r>
      <w:r w:rsidR="002A03D2" w:rsidRPr="00AF3075">
        <w:t xml:space="preserve">.  </w:t>
      </w:r>
      <w:r w:rsidRPr="008E767C">
        <w:t>This</w:t>
      </w:r>
      <w:r w:rsidR="00254FF8" w:rsidRPr="008E767C">
        <w:t xml:space="preserve"> is because judicial outcomes based on generali</w:t>
      </w:r>
      <w:r w:rsidR="005467E4" w:rsidRPr="008E767C">
        <w:t>s</w:t>
      </w:r>
      <w:r w:rsidR="00254FF8" w:rsidRPr="008E767C">
        <w:t xml:space="preserve">ed views or preconceptions </w:t>
      </w:r>
      <w:r w:rsidR="00C71012">
        <w:t xml:space="preserve">do not take </w:t>
      </w:r>
      <w:r w:rsidR="00254FF8" w:rsidRPr="008E767C">
        <w:t>a person’s actual needs, abilities or circumstances</w:t>
      </w:r>
      <w:r w:rsidR="00C71012">
        <w:t xml:space="preserve"> into account and, therefore, distort the truth</w:t>
      </w:r>
      <w:r w:rsidR="00254FF8" w:rsidRPr="008E767C">
        <w:t>.</w:t>
      </w:r>
      <w:r w:rsidR="00254FF8" w:rsidRPr="008E767C">
        <w:rPr>
          <w:rStyle w:val="FootnoteReference"/>
        </w:rPr>
        <w:footnoteReference w:id="72"/>
      </w:r>
      <w:r w:rsidR="00254FF8" w:rsidRPr="008E767C">
        <w:t xml:space="preserve">  </w:t>
      </w:r>
      <w:r w:rsidR="00C71012">
        <w:t xml:space="preserve"> </w:t>
      </w:r>
    </w:p>
    <w:tbl>
      <w:tblPr>
        <w:tblStyle w:val="TableGrid"/>
        <w:tblW w:w="0" w:type="auto"/>
        <w:tblLook w:val="04A0" w:firstRow="1" w:lastRow="0" w:firstColumn="1" w:lastColumn="0" w:noHBand="0" w:noVBand="1"/>
      </w:tblPr>
      <w:tblGrid>
        <w:gridCol w:w="8516"/>
      </w:tblGrid>
      <w:tr w:rsidR="00D33E2F" w:rsidRPr="00AF3075" w14:paraId="7E7B04EF" w14:textId="77777777" w:rsidTr="00B45F97">
        <w:tc>
          <w:tcPr>
            <w:tcW w:w="8516" w:type="dxa"/>
            <w:tcBorders>
              <w:top w:val="nil"/>
              <w:left w:val="nil"/>
              <w:bottom w:val="nil"/>
              <w:right w:val="nil"/>
            </w:tcBorders>
            <w:shd w:val="clear" w:color="auto" w:fill="D3E5F6" w:themeFill="accent2" w:themeFillTint="33"/>
          </w:tcPr>
          <w:p w14:paraId="42E418EF" w14:textId="033C7302" w:rsidR="00D33E2F" w:rsidRPr="00AF3075" w:rsidRDefault="00D33E2F" w:rsidP="00B45F97">
            <w:pPr>
              <w:shd w:val="clear" w:color="auto" w:fill="D3E5F6" w:themeFill="accent2" w:themeFillTint="33"/>
              <w:jc w:val="center"/>
              <w:rPr>
                <w:rStyle w:val="SubtleEmphasis"/>
              </w:rPr>
            </w:pPr>
            <w:r>
              <w:rPr>
                <w:rStyle w:val="SubtleEmphasis"/>
              </w:rPr>
              <w:t>Stereotypes are a form of bias and close judges’ minds to the truth</w:t>
            </w:r>
          </w:p>
          <w:p w14:paraId="1C488AC6" w14:textId="5580E6EB" w:rsidR="00D33E2F" w:rsidRPr="00A66917" w:rsidRDefault="00D33E2F" w:rsidP="00C71012">
            <w:pPr>
              <w:spacing w:before="120" w:after="120"/>
              <w:rPr>
                <w:sz w:val="20"/>
                <w:szCs w:val="20"/>
              </w:rPr>
            </w:pPr>
            <w:r w:rsidRPr="00A66917">
              <w:rPr>
                <w:sz w:val="20"/>
                <w:szCs w:val="20"/>
              </w:rPr>
              <w:t>‘By definition, myths and stereotypes divorce the law from contemporary knowledge because they have more to do with fiction and generalization than with reality.  They are irrational, nonscientific narratives used by human beings to explain what they do not fully understand…  They are, therefore, incompatible with the truth-seeking function of the legal system.</w:t>
            </w:r>
            <w:r w:rsidR="00D94590" w:rsidRPr="00A66917">
              <w:rPr>
                <w:sz w:val="20"/>
                <w:szCs w:val="20"/>
              </w:rPr>
              <w:t xml:space="preserve"> </w:t>
            </w:r>
            <w:r w:rsidRPr="00A66917">
              <w:rPr>
                <w:sz w:val="20"/>
                <w:szCs w:val="20"/>
              </w:rPr>
              <w:t>…</w:t>
            </w:r>
          </w:p>
          <w:p w14:paraId="564DB73A" w14:textId="49C20227" w:rsidR="00D33E2F" w:rsidRPr="00AF3075" w:rsidRDefault="00D33E2F" w:rsidP="00C71012">
            <w:pPr>
              <w:spacing w:before="120" w:after="120"/>
              <w:rPr>
                <w:sz w:val="20"/>
              </w:rPr>
            </w:pPr>
            <w:r w:rsidRPr="00A66917">
              <w:rPr>
                <w:bCs/>
                <w:sz w:val="20"/>
                <w:szCs w:val="20"/>
              </w:rPr>
              <w:t xml:space="preserve">Myths and stereotypes are a form of bias because they </w:t>
            </w:r>
            <w:r w:rsidRPr="00A66917">
              <w:rPr>
                <w:sz w:val="20"/>
                <w:szCs w:val="20"/>
              </w:rPr>
              <w:t>impair the individual judge’s ability to assess the facts in a particular case in an open-minded fashion.  In fact, judging based on myths and stereotypes is entirely incompatible with keeping an open mind, because myths and stereotypes are based on irrational predisposition and generalization, rather than fact.  They close one’s mind to both truth and reality…’.</w:t>
            </w:r>
            <w:r w:rsidRPr="00A66917">
              <w:rPr>
                <w:rStyle w:val="FootnoteReference"/>
                <w:sz w:val="20"/>
                <w:szCs w:val="20"/>
              </w:rPr>
              <w:footnoteReference w:id="73"/>
            </w:r>
          </w:p>
        </w:tc>
      </w:tr>
    </w:tbl>
    <w:p w14:paraId="67A17C21" w14:textId="496C140D" w:rsidR="00B07187" w:rsidRPr="00AF3075" w:rsidRDefault="00B07187" w:rsidP="00D33E2F">
      <w:pPr>
        <w:spacing w:before="0" w:after="0"/>
      </w:pPr>
    </w:p>
    <w:tbl>
      <w:tblPr>
        <w:tblStyle w:val="TableGrid"/>
        <w:tblW w:w="0" w:type="auto"/>
        <w:tblLook w:val="04A0" w:firstRow="1" w:lastRow="0" w:firstColumn="1" w:lastColumn="0" w:noHBand="0" w:noVBand="1"/>
      </w:tblPr>
      <w:tblGrid>
        <w:gridCol w:w="8516"/>
      </w:tblGrid>
      <w:tr w:rsidR="0091674D" w:rsidRPr="00AF3075" w14:paraId="5EDE6843" w14:textId="77777777" w:rsidTr="0091557F">
        <w:tc>
          <w:tcPr>
            <w:tcW w:w="8516" w:type="dxa"/>
            <w:tcBorders>
              <w:top w:val="nil"/>
              <w:left w:val="nil"/>
              <w:bottom w:val="nil"/>
              <w:right w:val="nil"/>
            </w:tcBorders>
            <w:shd w:val="clear" w:color="auto" w:fill="D3E5F6" w:themeFill="accent2" w:themeFillTint="33"/>
          </w:tcPr>
          <w:p w14:paraId="0B234408" w14:textId="04D4FBF5" w:rsidR="0091674D" w:rsidRPr="00AF3075" w:rsidRDefault="0091674D" w:rsidP="00A66917">
            <w:pPr>
              <w:keepNext/>
              <w:shd w:val="clear" w:color="auto" w:fill="D3E5F6" w:themeFill="accent2" w:themeFillTint="33"/>
              <w:jc w:val="center"/>
              <w:rPr>
                <w:rStyle w:val="SubtleEmphasis"/>
              </w:rPr>
            </w:pPr>
            <w:r w:rsidRPr="00AF3075">
              <w:rPr>
                <w:rStyle w:val="SubtleEmphasis"/>
              </w:rPr>
              <w:t xml:space="preserve">Impartiality compromised when </w:t>
            </w:r>
            <w:r w:rsidR="00450655" w:rsidRPr="00AF3075">
              <w:rPr>
                <w:rStyle w:val="SubtleEmphasis"/>
              </w:rPr>
              <w:t xml:space="preserve">Bolivian </w:t>
            </w:r>
            <w:r w:rsidR="009E5BBD" w:rsidRPr="00AF3075">
              <w:rPr>
                <w:rStyle w:val="SubtleEmphasis"/>
              </w:rPr>
              <w:t>courts</w:t>
            </w:r>
            <w:r w:rsidRPr="00AF3075">
              <w:rPr>
                <w:rStyle w:val="SubtleEmphasis"/>
              </w:rPr>
              <w:t xml:space="preserve"> disregard</w:t>
            </w:r>
            <w:r w:rsidR="00AE5267" w:rsidRPr="00AF3075">
              <w:rPr>
                <w:rStyle w:val="SubtleEmphasis"/>
              </w:rPr>
              <w:t>ed</w:t>
            </w:r>
            <w:r w:rsidRPr="00AF3075">
              <w:rPr>
                <w:rStyle w:val="SubtleEmphasis"/>
              </w:rPr>
              <w:t xml:space="preserve"> law and facts in favour of</w:t>
            </w:r>
            <w:r w:rsidR="00AE5267" w:rsidRPr="00AF3075">
              <w:rPr>
                <w:rStyle w:val="SubtleEmphasis"/>
              </w:rPr>
              <w:t xml:space="preserve"> myths and</w:t>
            </w:r>
            <w:r w:rsidRPr="00AF3075">
              <w:rPr>
                <w:rStyle w:val="SubtleEmphasis"/>
              </w:rPr>
              <w:t xml:space="preserve"> stereotypes</w:t>
            </w:r>
            <w:r w:rsidR="00AE5267" w:rsidRPr="00AF3075">
              <w:rPr>
                <w:rStyle w:val="SubtleEmphasis"/>
              </w:rPr>
              <w:t xml:space="preserve"> in a </w:t>
            </w:r>
            <w:r w:rsidR="008B4E6D" w:rsidRPr="00AF3075">
              <w:rPr>
                <w:rStyle w:val="SubtleEmphasis"/>
              </w:rPr>
              <w:t xml:space="preserve">rape </w:t>
            </w:r>
            <w:r w:rsidR="00AE5267" w:rsidRPr="00AF3075">
              <w:rPr>
                <w:rStyle w:val="SubtleEmphasis"/>
              </w:rPr>
              <w:t>case</w:t>
            </w:r>
          </w:p>
          <w:p w14:paraId="73DF814E" w14:textId="3B6D6E8D" w:rsidR="00E02966" w:rsidRPr="00AF3075" w:rsidRDefault="00E02966" w:rsidP="00E02966">
            <w:pPr>
              <w:shd w:val="clear" w:color="auto" w:fill="D3E5F6" w:themeFill="accent2" w:themeFillTint="33"/>
              <w:spacing w:before="120" w:after="120"/>
              <w:rPr>
                <w:rStyle w:val="SubtleEmphasis"/>
                <w:b w:val="0"/>
                <w:color w:val="000000" w:themeColor="text1"/>
              </w:rPr>
            </w:pPr>
            <w:r w:rsidRPr="00AF3075">
              <w:rPr>
                <w:rStyle w:val="SubtleEmphasis"/>
                <w:b w:val="0"/>
                <w:color w:val="000000" w:themeColor="text1"/>
              </w:rPr>
              <w:t xml:space="preserve">In </w:t>
            </w:r>
            <w:r w:rsidR="00450655" w:rsidRPr="00AF3075">
              <w:rPr>
                <w:rStyle w:val="SubtleEmphasis"/>
                <w:b w:val="0"/>
                <w:color w:val="000000" w:themeColor="text1"/>
              </w:rPr>
              <w:t>1996</w:t>
            </w:r>
            <w:r w:rsidRPr="00AF3075">
              <w:rPr>
                <w:rStyle w:val="SubtleEmphasis"/>
                <w:b w:val="0"/>
                <w:color w:val="000000" w:themeColor="text1"/>
              </w:rPr>
              <w:t xml:space="preserve">, Jose Carlos </w:t>
            </w:r>
            <w:r w:rsidRPr="00AF3075">
              <w:rPr>
                <w:iCs/>
                <w:color w:val="000000" w:themeColor="text1"/>
                <w:sz w:val="22"/>
              </w:rPr>
              <w:t xml:space="preserve">Aguilar Orellana was convicted of breaking and entering into M.Z.’s apartment and raping her.  </w:t>
            </w:r>
            <w:r w:rsidRPr="00AF3075">
              <w:rPr>
                <w:rStyle w:val="SubtleEmphasis"/>
                <w:b w:val="0"/>
                <w:color w:val="000000" w:themeColor="text1"/>
              </w:rPr>
              <w:t xml:space="preserve">However, the Bolivian Court of Appeals overturned his conviction, a decision </w:t>
            </w:r>
            <w:r w:rsidR="00DA0E9B" w:rsidRPr="00AF3075">
              <w:rPr>
                <w:rStyle w:val="SubtleEmphasis"/>
                <w:b w:val="0"/>
                <w:color w:val="000000" w:themeColor="text1"/>
              </w:rPr>
              <w:t>th</w:t>
            </w:r>
            <w:r w:rsidR="00DA0E9B">
              <w:rPr>
                <w:rStyle w:val="SubtleEmphasis"/>
                <w:b w:val="0"/>
                <w:color w:val="000000" w:themeColor="text1"/>
              </w:rPr>
              <w:t>e Supreme Court</w:t>
            </w:r>
            <w:r w:rsidR="00DA0E9B" w:rsidRPr="00AF3075">
              <w:rPr>
                <w:rStyle w:val="SubtleEmphasis"/>
                <w:b w:val="0"/>
                <w:color w:val="000000" w:themeColor="text1"/>
              </w:rPr>
              <w:t xml:space="preserve"> </w:t>
            </w:r>
            <w:r w:rsidRPr="00AF3075">
              <w:rPr>
                <w:rStyle w:val="SubtleEmphasis"/>
                <w:b w:val="0"/>
                <w:color w:val="000000" w:themeColor="text1"/>
              </w:rPr>
              <w:t xml:space="preserve">upheld in 2000.     </w:t>
            </w:r>
          </w:p>
          <w:p w14:paraId="268422CB" w14:textId="5E13B302" w:rsidR="00936DFD" w:rsidRPr="00AF3075" w:rsidRDefault="00E02966" w:rsidP="00E02966">
            <w:pPr>
              <w:shd w:val="clear" w:color="auto" w:fill="D3E5F6" w:themeFill="accent2" w:themeFillTint="33"/>
              <w:spacing w:before="120" w:after="120"/>
              <w:rPr>
                <w:rStyle w:val="SubtleEmphasis"/>
                <w:b w:val="0"/>
                <w:i/>
                <w:color w:val="000000" w:themeColor="text1"/>
              </w:rPr>
            </w:pPr>
            <w:r w:rsidRPr="00AF3075">
              <w:rPr>
                <w:rStyle w:val="SubtleEmphasis"/>
                <w:b w:val="0"/>
                <w:color w:val="000000" w:themeColor="text1"/>
              </w:rPr>
              <w:t xml:space="preserve">M.Z. </w:t>
            </w:r>
            <w:r w:rsidR="006F63B9">
              <w:rPr>
                <w:rStyle w:val="SubtleEmphasis"/>
                <w:b w:val="0"/>
                <w:color w:val="000000" w:themeColor="text1"/>
              </w:rPr>
              <w:t xml:space="preserve">subsequently </w:t>
            </w:r>
            <w:r w:rsidRPr="00AF3075">
              <w:rPr>
                <w:rStyle w:val="SubtleEmphasis"/>
                <w:b w:val="0"/>
                <w:color w:val="000000" w:themeColor="text1"/>
              </w:rPr>
              <w:t>submitted a petition to the Inter-American Commission on Human Rights in which she claimed that the acquittal violat</w:t>
            </w:r>
            <w:r w:rsidR="00DA0E9B">
              <w:rPr>
                <w:rStyle w:val="SubtleEmphasis"/>
                <w:b w:val="0"/>
                <w:color w:val="000000" w:themeColor="text1"/>
              </w:rPr>
              <w:t>ed</w:t>
            </w:r>
            <w:r w:rsidRPr="00AF3075">
              <w:rPr>
                <w:rStyle w:val="SubtleEmphasis"/>
                <w:b w:val="0"/>
                <w:color w:val="000000" w:themeColor="text1"/>
              </w:rPr>
              <w:t xml:space="preserve"> </w:t>
            </w:r>
            <w:r w:rsidR="00DA0E9B">
              <w:rPr>
                <w:rStyle w:val="SubtleEmphasis"/>
                <w:b w:val="0"/>
                <w:color w:val="000000" w:themeColor="text1"/>
              </w:rPr>
              <w:t>her human rights</w:t>
            </w:r>
            <w:r w:rsidRPr="00AF3075">
              <w:rPr>
                <w:rStyle w:val="SubtleEmphasis"/>
                <w:b w:val="0"/>
                <w:color w:val="000000" w:themeColor="text1"/>
              </w:rPr>
              <w:t xml:space="preserve">. </w:t>
            </w:r>
            <w:r w:rsidRPr="00AF3075">
              <w:rPr>
                <w:rStyle w:val="SubtleEmphasis"/>
                <w:b w:val="0"/>
                <w:i/>
                <w:color w:val="000000" w:themeColor="text1"/>
              </w:rPr>
              <w:t xml:space="preserve"> </w:t>
            </w:r>
            <w:r w:rsidRPr="00AF3075">
              <w:rPr>
                <w:rStyle w:val="SubtleEmphasis"/>
                <w:b w:val="0"/>
                <w:color w:val="000000" w:themeColor="text1"/>
              </w:rPr>
              <w:t xml:space="preserve">In </w:t>
            </w:r>
            <w:r w:rsidR="00450655" w:rsidRPr="00AF3075">
              <w:rPr>
                <w:rStyle w:val="SubtleEmphasis"/>
                <w:b w:val="0"/>
                <w:color w:val="000000" w:themeColor="text1"/>
              </w:rPr>
              <w:t>June 2002</w:t>
            </w:r>
            <w:r w:rsidRPr="00AF3075">
              <w:rPr>
                <w:rStyle w:val="SubtleEmphasis"/>
                <w:b w:val="0"/>
                <w:color w:val="000000" w:themeColor="text1"/>
              </w:rPr>
              <w:t>,</w:t>
            </w:r>
            <w:r w:rsidR="00450655" w:rsidRPr="00AF3075">
              <w:rPr>
                <w:rStyle w:val="SubtleEmphasis"/>
                <w:b w:val="0"/>
                <w:color w:val="000000" w:themeColor="text1"/>
              </w:rPr>
              <w:t xml:space="preserve"> after the case was declared admissible,</w:t>
            </w:r>
            <w:r w:rsidRPr="00AF3075">
              <w:rPr>
                <w:rStyle w:val="FootnoteReference"/>
                <w:iCs/>
                <w:color w:val="000000" w:themeColor="text1"/>
                <w:sz w:val="22"/>
                <w:szCs w:val="22"/>
              </w:rPr>
              <w:footnoteReference w:id="74"/>
            </w:r>
            <w:r w:rsidR="00450655" w:rsidRPr="00AF3075">
              <w:rPr>
                <w:rStyle w:val="SubtleEmphasis"/>
                <w:b w:val="0"/>
                <w:i/>
                <w:color w:val="000000" w:themeColor="text1"/>
              </w:rPr>
              <w:t xml:space="preserve"> </w:t>
            </w:r>
            <w:r w:rsidR="005F7873" w:rsidRPr="00AF3075">
              <w:rPr>
                <w:rStyle w:val="SubtleEmphasis"/>
                <w:b w:val="0"/>
                <w:color w:val="000000" w:themeColor="text1"/>
              </w:rPr>
              <w:t xml:space="preserve">Equality Now </w:t>
            </w:r>
            <w:r w:rsidRPr="00AF3075">
              <w:rPr>
                <w:rStyle w:val="SubtleEmphasis"/>
                <w:b w:val="0"/>
                <w:color w:val="000000" w:themeColor="text1"/>
              </w:rPr>
              <w:t>submitted a</w:t>
            </w:r>
            <w:r w:rsidR="005F7873" w:rsidRPr="00AF3075">
              <w:rPr>
                <w:rStyle w:val="SubtleEmphasis"/>
                <w:b w:val="0"/>
                <w:color w:val="000000" w:themeColor="text1"/>
              </w:rPr>
              <w:t>n expert</w:t>
            </w:r>
            <w:r w:rsidRPr="00AF3075">
              <w:rPr>
                <w:rStyle w:val="SubtleEmphasis"/>
                <w:b w:val="0"/>
                <w:color w:val="000000" w:themeColor="text1"/>
              </w:rPr>
              <w:t xml:space="preserve"> brief </w:t>
            </w:r>
            <w:r w:rsidR="006F63B9">
              <w:rPr>
                <w:rStyle w:val="SubtleEmphasis"/>
                <w:b w:val="0"/>
                <w:color w:val="000000" w:themeColor="text1"/>
              </w:rPr>
              <w:t>to the Commission</w:t>
            </w:r>
            <w:r w:rsidR="006F63B9" w:rsidRPr="00AF3075">
              <w:rPr>
                <w:rStyle w:val="SubtleEmphasis"/>
                <w:b w:val="0"/>
                <w:color w:val="000000" w:themeColor="text1"/>
              </w:rPr>
              <w:t xml:space="preserve"> </w:t>
            </w:r>
            <w:r w:rsidRPr="00AF3075">
              <w:rPr>
                <w:rStyle w:val="SubtleEmphasis"/>
                <w:b w:val="0"/>
                <w:color w:val="000000" w:themeColor="text1"/>
              </w:rPr>
              <w:t>on stereotyping.</w:t>
            </w:r>
            <w:r w:rsidR="006F77C5" w:rsidRPr="00AF3075">
              <w:rPr>
                <w:rStyle w:val="SubtleEmphasis"/>
                <w:b w:val="0"/>
                <w:color w:val="000000" w:themeColor="text1"/>
              </w:rPr>
              <w:t xml:space="preserve">  </w:t>
            </w:r>
            <w:r w:rsidR="006F63B9">
              <w:rPr>
                <w:rStyle w:val="SubtleEmphasis"/>
                <w:b w:val="0"/>
                <w:color w:val="000000" w:themeColor="text1"/>
              </w:rPr>
              <w:t xml:space="preserve">Among other things, it stressed </w:t>
            </w:r>
            <w:r w:rsidR="006F77C5" w:rsidRPr="00AF3075">
              <w:rPr>
                <w:rStyle w:val="SubtleEmphasis"/>
                <w:b w:val="0"/>
                <w:color w:val="000000" w:themeColor="text1"/>
              </w:rPr>
              <w:t xml:space="preserve">the </w:t>
            </w:r>
            <w:r w:rsidR="006F63B9">
              <w:rPr>
                <w:rStyle w:val="SubtleEmphasis"/>
                <w:b w:val="0"/>
                <w:color w:val="000000" w:themeColor="text1"/>
              </w:rPr>
              <w:t xml:space="preserve">obligation of judges to base their decisions on relevant facts in evidence and not stereotypes. </w:t>
            </w:r>
          </w:p>
          <w:p w14:paraId="0E23187B" w14:textId="10B7C9FE" w:rsidR="00936DFD" w:rsidRPr="00AF3075" w:rsidRDefault="005B59AF" w:rsidP="00AB28D0">
            <w:pPr>
              <w:pStyle w:val="ListParagraph"/>
              <w:shd w:val="clear" w:color="auto" w:fill="D3E5F6" w:themeFill="accent2" w:themeFillTint="33"/>
              <w:spacing w:before="120" w:after="120"/>
              <w:ind w:left="284"/>
              <w:rPr>
                <w:rStyle w:val="SubtleEmphasis"/>
                <w:b w:val="0"/>
                <w:color w:val="000000" w:themeColor="text1"/>
                <w:sz w:val="20"/>
              </w:rPr>
            </w:pPr>
            <w:r w:rsidRPr="00AF3075">
              <w:rPr>
                <w:rStyle w:val="SubtleEmphasis"/>
                <w:b w:val="0"/>
                <w:color w:val="000000" w:themeColor="text1"/>
                <w:sz w:val="20"/>
              </w:rPr>
              <w:t>[T]</w:t>
            </w:r>
            <w:r w:rsidR="00936DFD" w:rsidRPr="00AF3075">
              <w:rPr>
                <w:rStyle w:val="SubtleEmphasis"/>
                <w:b w:val="0"/>
                <w:color w:val="000000" w:themeColor="text1"/>
                <w:sz w:val="20"/>
              </w:rPr>
              <w:t xml:space="preserve">he substantive guarantees of equality ensure that judges trying or reviewing cases are unbiased by sex-based prejudices, that the law’s application is free of sex-based preconceptions, and that decisions are not predicated on mistaken notions derived from an individual’s group membership.  The procedural guarantees of due process converge in requiring that judicial determinations be based on facts in evidence and </w:t>
            </w:r>
            <w:proofErr w:type="gramStart"/>
            <w:r w:rsidR="00936DFD" w:rsidRPr="00AF3075">
              <w:rPr>
                <w:rStyle w:val="SubtleEmphasis"/>
                <w:b w:val="0"/>
                <w:color w:val="000000" w:themeColor="text1"/>
                <w:sz w:val="20"/>
              </w:rPr>
              <w:t>be</w:t>
            </w:r>
            <w:proofErr w:type="gramEnd"/>
            <w:r w:rsidR="00936DFD" w:rsidRPr="00AF3075">
              <w:rPr>
                <w:rStyle w:val="SubtleEmphasis"/>
                <w:b w:val="0"/>
                <w:color w:val="000000" w:themeColor="text1"/>
                <w:sz w:val="20"/>
              </w:rPr>
              <w:t xml:space="preserve"> free of partiality.  Taken together, these rights go to the core of human rights and to the integrity of the legal system in enforcing them.  They guarantee that domestic judicial outcomes are predicated not on preconceptions and prejudices or mythic stereotypes but on evidenced realities.</w:t>
            </w:r>
            <w:r w:rsidR="00936DFD" w:rsidRPr="00AF3075">
              <w:rPr>
                <w:rStyle w:val="FootnoteReference"/>
                <w:iCs/>
                <w:color w:val="000000" w:themeColor="text1"/>
                <w:sz w:val="20"/>
                <w:szCs w:val="22"/>
              </w:rPr>
              <w:footnoteReference w:id="75"/>
            </w:r>
          </w:p>
          <w:p w14:paraId="62F5A3AC" w14:textId="46A5B54B" w:rsidR="0091674D" w:rsidRPr="00AF3075" w:rsidRDefault="00E86DFB" w:rsidP="00E02966">
            <w:pPr>
              <w:shd w:val="clear" w:color="auto" w:fill="D3E5F6" w:themeFill="accent2" w:themeFillTint="33"/>
              <w:spacing w:before="120" w:after="120"/>
              <w:rPr>
                <w:iCs/>
                <w:color w:val="000000" w:themeColor="text1"/>
                <w:sz w:val="22"/>
              </w:rPr>
            </w:pPr>
            <w:r>
              <w:rPr>
                <w:rStyle w:val="SubtleEmphasis"/>
                <w:b w:val="0"/>
                <w:color w:val="000000" w:themeColor="text1"/>
              </w:rPr>
              <w:t>T</w:t>
            </w:r>
            <w:r w:rsidR="00DE16ED" w:rsidRPr="00AF3075">
              <w:rPr>
                <w:rStyle w:val="SubtleEmphasis"/>
                <w:b w:val="0"/>
                <w:color w:val="000000" w:themeColor="text1"/>
              </w:rPr>
              <w:t>he</w:t>
            </w:r>
            <w:r w:rsidR="004824B7">
              <w:rPr>
                <w:rStyle w:val="SubtleEmphasis"/>
                <w:b w:val="0"/>
                <w:color w:val="000000" w:themeColor="text1"/>
              </w:rPr>
              <w:t xml:space="preserve"> brief</w:t>
            </w:r>
            <w:r w:rsidR="00DE16ED" w:rsidRPr="00AF3075">
              <w:rPr>
                <w:rStyle w:val="SubtleEmphasis"/>
                <w:b w:val="0"/>
                <w:color w:val="000000" w:themeColor="text1"/>
              </w:rPr>
              <w:t xml:space="preserve"> </w:t>
            </w:r>
            <w:r>
              <w:rPr>
                <w:rStyle w:val="SubtleEmphasis"/>
                <w:b w:val="0"/>
                <w:color w:val="000000" w:themeColor="text1"/>
              </w:rPr>
              <w:t>argued that</w:t>
            </w:r>
            <w:r w:rsidR="009E5BBD" w:rsidRPr="00AF3075">
              <w:rPr>
                <w:rStyle w:val="SubtleEmphasis"/>
                <w:b w:val="0"/>
                <w:color w:val="000000" w:themeColor="text1"/>
              </w:rPr>
              <w:t xml:space="preserve"> </w:t>
            </w:r>
            <w:r w:rsidR="00D94590">
              <w:rPr>
                <w:rStyle w:val="SubtleEmphasis"/>
                <w:b w:val="0"/>
                <w:color w:val="000000" w:themeColor="text1"/>
              </w:rPr>
              <w:t xml:space="preserve">stereotyping compromised the impartiality of </w:t>
            </w:r>
            <w:r w:rsidR="005F7873" w:rsidRPr="00AF3075">
              <w:rPr>
                <w:rStyle w:val="SubtleEmphasis"/>
                <w:b w:val="0"/>
                <w:color w:val="000000" w:themeColor="text1"/>
              </w:rPr>
              <w:t xml:space="preserve">the </w:t>
            </w:r>
            <w:r w:rsidR="009E5BBD" w:rsidRPr="00AF3075">
              <w:rPr>
                <w:rStyle w:val="SubtleEmphasis"/>
                <w:b w:val="0"/>
                <w:color w:val="000000" w:themeColor="text1"/>
              </w:rPr>
              <w:t>Bolivia</w:t>
            </w:r>
            <w:r w:rsidR="005F7873" w:rsidRPr="00AF3075">
              <w:rPr>
                <w:rStyle w:val="SubtleEmphasis"/>
                <w:b w:val="0"/>
                <w:color w:val="000000" w:themeColor="text1"/>
              </w:rPr>
              <w:t>n Court of Appeals</w:t>
            </w:r>
            <w:r w:rsidR="009E5BBD" w:rsidRPr="00AF3075">
              <w:rPr>
                <w:rStyle w:val="SubtleEmphasis"/>
                <w:b w:val="0"/>
                <w:color w:val="000000" w:themeColor="text1"/>
              </w:rPr>
              <w:t>.</w:t>
            </w:r>
            <w:r w:rsidR="00D94590">
              <w:rPr>
                <w:rStyle w:val="SubtleEmphasis"/>
                <w:b w:val="0"/>
                <w:color w:val="000000" w:themeColor="text1"/>
              </w:rPr>
              <w:t xml:space="preserve">  It </w:t>
            </w:r>
            <w:r>
              <w:rPr>
                <w:rStyle w:val="SubtleEmphasis"/>
                <w:b w:val="0"/>
                <w:color w:val="000000" w:themeColor="text1"/>
              </w:rPr>
              <w:t>explained</w:t>
            </w:r>
            <w:r w:rsidR="00D94590">
              <w:rPr>
                <w:rStyle w:val="SubtleEmphasis"/>
                <w:b w:val="0"/>
                <w:color w:val="000000" w:themeColor="text1"/>
              </w:rPr>
              <w:t>, f</w:t>
            </w:r>
            <w:r w:rsidR="002E6C1D" w:rsidRPr="00AF3075">
              <w:rPr>
                <w:rStyle w:val="SubtleEmphasis"/>
                <w:b w:val="0"/>
                <w:color w:val="000000" w:themeColor="text1"/>
              </w:rPr>
              <w:t>or instance</w:t>
            </w:r>
            <w:r>
              <w:rPr>
                <w:rStyle w:val="SubtleEmphasis"/>
                <w:b w:val="0"/>
                <w:color w:val="000000" w:themeColor="text1"/>
              </w:rPr>
              <w:t>,</w:t>
            </w:r>
            <w:r w:rsidR="00D94590">
              <w:rPr>
                <w:rStyle w:val="SubtleEmphasis"/>
                <w:b w:val="0"/>
                <w:color w:val="000000" w:themeColor="text1"/>
              </w:rPr>
              <w:t xml:space="preserve"> that</w:t>
            </w:r>
            <w:r>
              <w:rPr>
                <w:rStyle w:val="SubtleEmphasis"/>
                <w:b w:val="0"/>
                <w:color w:val="000000" w:themeColor="text1"/>
              </w:rPr>
              <w:t xml:space="preserve"> the Court noted photographs of the rape scene</w:t>
            </w:r>
            <w:r w:rsidR="00C6321D">
              <w:rPr>
                <w:rStyle w:val="SubtleEmphasis"/>
                <w:b w:val="0"/>
                <w:color w:val="000000" w:themeColor="text1"/>
              </w:rPr>
              <w:t xml:space="preserve">, but </w:t>
            </w:r>
            <w:r w:rsidR="00C6321D" w:rsidRPr="00AF3075">
              <w:rPr>
                <w:rStyle w:val="SubtleEmphasis"/>
                <w:b w:val="0"/>
                <w:color w:val="000000" w:themeColor="text1"/>
              </w:rPr>
              <w:t xml:space="preserve">  </w:t>
            </w:r>
          </w:p>
          <w:p w14:paraId="5FB16042" w14:textId="5E28E6C5" w:rsidR="001007B1" w:rsidRPr="00AF3075" w:rsidRDefault="0091674D" w:rsidP="00A66917">
            <w:pPr>
              <w:spacing w:before="120" w:after="120"/>
              <w:ind w:left="284"/>
              <w:rPr>
                <w:sz w:val="20"/>
              </w:rPr>
            </w:pPr>
            <w:proofErr w:type="gramStart"/>
            <w:r w:rsidRPr="00AF3075">
              <w:rPr>
                <w:sz w:val="20"/>
              </w:rPr>
              <w:t>it</w:t>
            </w:r>
            <w:proofErr w:type="gramEnd"/>
            <w:r w:rsidRPr="00AF3075">
              <w:rPr>
                <w:sz w:val="20"/>
              </w:rPr>
              <w:t xml:space="preserve"> only </w:t>
            </w:r>
            <w:r w:rsidR="00E86DFB" w:rsidRPr="00AF3075">
              <w:rPr>
                <w:sz w:val="20"/>
              </w:rPr>
              <w:t>state</w:t>
            </w:r>
            <w:r w:rsidR="00E86DFB">
              <w:rPr>
                <w:sz w:val="20"/>
              </w:rPr>
              <w:t>[d]</w:t>
            </w:r>
            <w:r w:rsidR="00E86DFB" w:rsidRPr="00AF3075">
              <w:rPr>
                <w:sz w:val="20"/>
              </w:rPr>
              <w:t xml:space="preserve"> </w:t>
            </w:r>
            <w:r w:rsidRPr="00AF3075">
              <w:rPr>
                <w:sz w:val="20"/>
              </w:rPr>
              <w:t xml:space="preserve">that </w:t>
            </w:r>
            <w:r w:rsidR="00E86DFB">
              <w:rPr>
                <w:sz w:val="20"/>
              </w:rPr>
              <w:t xml:space="preserve">… </w:t>
            </w:r>
            <w:r w:rsidRPr="00AF3075">
              <w:rPr>
                <w:sz w:val="20"/>
              </w:rPr>
              <w:t xml:space="preserve">underwear can be seen in them, failing to mention the fact that the woman’s underwear was torn, blood and hair were visibly present, and the room was in a general state of disarray. </w:t>
            </w:r>
            <w:r w:rsidR="008B4E6D" w:rsidRPr="00AF3075">
              <w:rPr>
                <w:sz w:val="20"/>
              </w:rPr>
              <w:t xml:space="preserve"> </w:t>
            </w:r>
            <w:r w:rsidRPr="00AF3075">
              <w:rPr>
                <w:sz w:val="20"/>
              </w:rPr>
              <w:t>The Court entirely elided the evidence provided by the doctors on violence and trauma</w:t>
            </w:r>
            <w:r w:rsidR="00E86DFB">
              <w:rPr>
                <w:sz w:val="20"/>
              </w:rPr>
              <w:t>…</w:t>
            </w:r>
            <w:r w:rsidRPr="00AF3075">
              <w:rPr>
                <w:sz w:val="20"/>
              </w:rPr>
              <w:t xml:space="preserve">.  Through the omissions, the Court </w:t>
            </w:r>
            <w:r w:rsidR="00E86DFB">
              <w:rPr>
                <w:sz w:val="20"/>
              </w:rPr>
              <w:t xml:space="preserve">… </w:t>
            </w:r>
            <w:r w:rsidRPr="00AF3075">
              <w:rPr>
                <w:sz w:val="20"/>
              </w:rPr>
              <w:t>reconfigured the events as not violent and left open the possibility that MZ wished them to have occurred.  As so distorted in classic mythic terms, the Court’s presentation of the facts substitute an image of sex for the reality of the rape that was found by the trial judge.</w:t>
            </w:r>
          </w:p>
          <w:p w14:paraId="69ACB2A8" w14:textId="2C199934" w:rsidR="008B4E6D" w:rsidRPr="00AF3075" w:rsidRDefault="001007B1" w:rsidP="00A66917">
            <w:pPr>
              <w:spacing w:before="120" w:after="120"/>
              <w:ind w:left="284"/>
              <w:rPr>
                <w:rFonts w:eastAsiaTheme="majorEastAsia" w:cstheme="majorBidi"/>
                <w:i/>
                <w:iCs/>
                <w:color w:val="404040" w:themeColor="text1" w:themeTint="BF"/>
                <w:sz w:val="20"/>
              </w:rPr>
            </w:pPr>
            <w:r w:rsidRPr="00AF3075">
              <w:rPr>
                <w:sz w:val="20"/>
              </w:rPr>
              <w:t xml:space="preserve">The Court of Appeals also came to the conclusion, highly problematic given the facts as found, that the victim did not make any attempt to fight the rape, despite her size and strength. </w:t>
            </w:r>
            <w:r w:rsidR="008B4E6D" w:rsidRPr="00AF3075">
              <w:rPr>
                <w:sz w:val="20"/>
              </w:rPr>
              <w:t xml:space="preserve"> </w:t>
            </w:r>
            <w:r w:rsidRPr="00AF3075">
              <w:rPr>
                <w:sz w:val="20"/>
              </w:rPr>
              <w:t xml:space="preserve">The </w:t>
            </w:r>
            <w:r w:rsidR="00E86DFB">
              <w:rPr>
                <w:sz w:val="20"/>
              </w:rPr>
              <w:t xml:space="preserve">… </w:t>
            </w:r>
            <w:r w:rsidRPr="00AF3075">
              <w:rPr>
                <w:sz w:val="20"/>
              </w:rPr>
              <w:t xml:space="preserve">Court </w:t>
            </w:r>
            <w:r w:rsidR="00E86DFB">
              <w:rPr>
                <w:sz w:val="20"/>
              </w:rPr>
              <w:t xml:space="preserve">… </w:t>
            </w:r>
            <w:r w:rsidRPr="00AF3075">
              <w:rPr>
                <w:sz w:val="20"/>
              </w:rPr>
              <w:t xml:space="preserve">determined that MZ was tall and robust, while the accused was thin and of medium height. </w:t>
            </w:r>
            <w:r w:rsidR="008B4E6D" w:rsidRPr="00AF3075">
              <w:rPr>
                <w:sz w:val="20"/>
              </w:rPr>
              <w:t xml:space="preserve"> </w:t>
            </w:r>
            <w:r w:rsidRPr="00AF3075">
              <w:rPr>
                <w:sz w:val="20"/>
              </w:rPr>
              <w:t xml:space="preserve">Amidst this confusion, the Court </w:t>
            </w:r>
            <w:r w:rsidR="00E86DFB">
              <w:rPr>
                <w:sz w:val="20"/>
              </w:rPr>
              <w:t xml:space="preserve">… </w:t>
            </w:r>
            <w:r w:rsidR="00E86DFB" w:rsidRPr="00AF3075">
              <w:rPr>
                <w:sz w:val="20"/>
              </w:rPr>
              <w:t>misquote</w:t>
            </w:r>
            <w:r w:rsidR="00E86DFB">
              <w:rPr>
                <w:sz w:val="20"/>
              </w:rPr>
              <w:t>[d]</w:t>
            </w:r>
            <w:r w:rsidR="00E86DFB" w:rsidRPr="00AF3075">
              <w:rPr>
                <w:sz w:val="20"/>
              </w:rPr>
              <w:t xml:space="preserve"> </w:t>
            </w:r>
            <w:r w:rsidRPr="00AF3075">
              <w:rPr>
                <w:sz w:val="20"/>
              </w:rPr>
              <w:t xml:space="preserve">a witness, citing as his testimony that MZ was tall, and in a hand to hand fight, it </w:t>
            </w:r>
            <w:r w:rsidR="008B4E6D" w:rsidRPr="00AF3075">
              <w:rPr>
                <w:sz w:val="20"/>
              </w:rPr>
              <w:t>‘</w:t>
            </w:r>
            <w:r w:rsidRPr="00AF3075">
              <w:rPr>
                <w:sz w:val="20"/>
              </w:rPr>
              <w:t>would have been impossible for him</w:t>
            </w:r>
            <w:r w:rsidR="00D94590">
              <w:rPr>
                <w:sz w:val="20"/>
              </w:rPr>
              <w:t xml:space="preserve"> [the accused] to overpower her</w:t>
            </w:r>
            <w:r w:rsidR="008B4E6D" w:rsidRPr="00AF3075">
              <w:rPr>
                <w:sz w:val="20"/>
              </w:rPr>
              <w:t>’</w:t>
            </w:r>
            <w:r w:rsidR="00D94590">
              <w:rPr>
                <w:sz w:val="20"/>
              </w:rPr>
              <w:t>.</w:t>
            </w:r>
            <w:r w:rsidRPr="00AF3075">
              <w:rPr>
                <w:sz w:val="20"/>
              </w:rPr>
              <w:t xml:space="preserve"> </w:t>
            </w:r>
            <w:r w:rsidR="008B4E6D" w:rsidRPr="00AF3075">
              <w:rPr>
                <w:sz w:val="20"/>
              </w:rPr>
              <w:t xml:space="preserve"> </w:t>
            </w:r>
            <w:r w:rsidRPr="00AF3075">
              <w:rPr>
                <w:sz w:val="20"/>
              </w:rPr>
              <w:t xml:space="preserve">In fact, the witness Rene Mauricio Guzman said that in his opinion, in a hand to hand struggle, MZ </w:t>
            </w:r>
            <w:r w:rsidR="008B4E6D" w:rsidRPr="00AF3075">
              <w:rPr>
                <w:sz w:val="20"/>
              </w:rPr>
              <w:t>‘</w:t>
            </w:r>
            <w:r w:rsidRPr="00AF3075">
              <w:rPr>
                <w:sz w:val="20"/>
              </w:rPr>
              <w:t>would not be easily overpowered</w:t>
            </w:r>
            <w:r w:rsidR="008B4E6D" w:rsidRPr="00AF3075">
              <w:rPr>
                <w:sz w:val="20"/>
              </w:rPr>
              <w:t>’….</w:t>
            </w:r>
          </w:p>
          <w:p w14:paraId="0494E33E" w14:textId="2A7121C3" w:rsidR="00E02966" w:rsidRPr="00AF3075" w:rsidRDefault="008B4E6D" w:rsidP="00A66917">
            <w:pPr>
              <w:spacing w:before="120" w:after="120"/>
              <w:ind w:left="284"/>
              <w:rPr>
                <w:rFonts w:eastAsiaTheme="majorEastAsia" w:cstheme="majorBidi"/>
                <w:i/>
                <w:iCs/>
                <w:color w:val="404040" w:themeColor="text1" w:themeTint="BF"/>
                <w:sz w:val="20"/>
              </w:rPr>
            </w:pPr>
            <w:r w:rsidRPr="00AF3075">
              <w:rPr>
                <w:sz w:val="20"/>
              </w:rPr>
              <w:t xml:space="preserve">Whatever weight should be given </w:t>
            </w:r>
            <w:r w:rsidR="00D94590" w:rsidRPr="00A66917">
              <w:rPr>
                <w:sz w:val="20"/>
              </w:rPr>
              <w:t>to</w:t>
            </w:r>
            <w:r w:rsidR="00D94590">
              <w:rPr>
                <w:sz w:val="20"/>
              </w:rPr>
              <w:t xml:space="preserve"> </w:t>
            </w:r>
            <w:r w:rsidRPr="00AF3075">
              <w:rPr>
                <w:sz w:val="20"/>
              </w:rPr>
              <w:t xml:space="preserve">Mr. Guzman's opinion </w:t>
            </w:r>
            <w:r w:rsidR="00E86DFB">
              <w:rPr>
                <w:sz w:val="20"/>
              </w:rPr>
              <w:t>…</w:t>
            </w:r>
            <w:r w:rsidRPr="00AF3075">
              <w:rPr>
                <w:sz w:val="20"/>
              </w:rPr>
              <w:t xml:space="preserve">, not easy is not the same as impossible. </w:t>
            </w:r>
            <w:r w:rsidR="002E6C1D" w:rsidRPr="00AF3075">
              <w:rPr>
                <w:sz w:val="20"/>
              </w:rPr>
              <w:t xml:space="preserve"> </w:t>
            </w:r>
            <w:r w:rsidRPr="00AF3075">
              <w:rPr>
                <w:sz w:val="20"/>
              </w:rPr>
              <w:t xml:space="preserve">The implication that since, given her strength, the victim could have fought off the attacker if she had wanted to, serves to insinuate that, since she failed to fight him off, she must have wanted the events to occur. </w:t>
            </w:r>
            <w:r w:rsidR="002E6C1D" w:rsidRPr="00AF3075">
              <w:rPr>
                <w:sz w:val="20"/>
              </w:rPr>
              <w:t xml:space="preserve"> </w:t>
            </w:r>
            <w:r w:rsidRPr="00AF3075">
              <w:rPr>
                <w:sz w:val="20"/>
              </w:rPr>
              <w:t>This</w:t>
            </w:r>
            <w:r w:rsidR="00E86DFB">
              <w:rPr>
                <w:sz w:val="20"/>
              </w:rPr>
              <w:t xml:space="preserve"> …</w:t>
            </w:r>
            <w:r w:rsidRPr="00AF3075">
              <w:rPr>
                <w:sz w:val="20"/>
              </w:rPr>
              <w:t xml:space="preserve"> is in turn an expression of the rape myth that women want forced sex. </w:t>
            </w:r>
            <w:r w:rsidR="002E6C1D" w:rsidRPr="00AF3075">
              <w:rPr>
                <w:sz w:val="20"/>
              </w:rPr>
              <w:t xml:space="preserve"> </w:t>
            </w:r>
            <w:r w:rsidRPr="00AF3075">
              <w:rPr>
                <w:sz w:val="20"/>
              </w:rPr>
              <w:t>The Court's misrepresentation of the witness' statement is evidence of, and can be explained by, judicial disregard for fact in favor of myth.</w:t>
            </w:r>
            <w:r w:rsidR="0091674D" w:rsidRPr="00AF3075">
              <w:rPr>
                <w:rStyle w:val="FootnoteReference"/>
                <w:sz w:val="20"/>
              </w:rPr>
              <w:footnoteReference w:id="76"/>
            </w:r>
            <w:r w:rsidR="0091674D" w:rsidRPr="00AF3075">
              <w:rPr>
                <w:sz w:val="20"/>
              </w:rPr>
              <w:t xml:space="preserve"> </w:t>
            </w:r>
          </w:p>
        </w:tc>
      </w:tr>
    </w:tbl>
    <w:p w14:paraId="7ADFC5FA" w14:textId="6D23879B" w:rsidR="005C0EA6" w:rsidRPr="00AF3075" w:rsidRDefault="00D510D5" w:rsidP="00A52DFA">
      <w:pPr>
        <w:pStyle w:val="Heading2"/>
        <w:ind w:left="0" w:firstLine="0"/>
        <w:rPr>
          <w:rFonts w:ascii="Candara" w:hAnsi="Candara"/>
        </w:rPr>
      </w:pPr>
      <w:bookmarkStart w:id="18" w:name="_Toc263972391"/>
      <w:r w:rsidRPr="00AF3075">
        <w:rPr>
          <w:rFonts w:ascii="Candara" w:hAnsi="Candara"/>
        </w:rPr>
        <w:t>4</w:t>
      </w:r>
      <w:r w:rsidR="00A52DFA" w:rsidRPr="00AF3075">
        <w:rPr>
          <w:rFonts w:ascii="Candara" w:hAnsi="Candara"/>
        </w:rPr>
        <w:t xml:space="preserve">.2 </w:t>
      </w:r>
      <w:r w:rsidR="003F21F5" w:rsidRPr="00AF3075">
        <w:rPr>
          <w:rFonts w:ascii="Candara" w:hAnsi="Candara"/>
        </w:rPr>
        <w:t xml:space="preserve">Stereotyping can </w:t>
      </w:r>
      <w:r w:rsidR="00D13EB7" w:rsidRPr="00AF3075">
        <w:rPr>
          <w:rFonts w:ascii="Candara" w:hAnsi="Candara"/>
        </w:rPr>
        <w:t>influence</w:t>
      </w:r>
      <w:r w:rsidR="003F21F5" w:rsidRPr="00AF3075">
        <w:rPr>
          <w:rFonts w:ascii="Candara" w:hAnsi="Candara"/>
        </w:rPr>
        <w:t xml:space="preserve"> judges’ understanding of </w:t>
      </w:r>
      <w:r w:rsidR="004824B7">
        <w:rPr>
          <w:rFonts w:ascii="Candara" w:hAnsi="Candara"/>
        </w:rPr>
        <w:t xml:space="preserve">violent </w:t>
      </w:r>
      <w:r w:rsidR="003F21F5" w:rsidRPr="00AF3075">
        <w:rPr>
          <w:rFonts w:ascii="Candara" w:hAnsi="Candara"/>
        </w:rPr>
        <w:t>offence</w:t>
      </w:r>
      <w:r w:rsidR="004824B7">
        <w:rPr>
          <w:rFonts w:ascii="Candara" w:hAnsi="Candara"/>
        </w:rPr>
        <w:t>s</w:t>
      </w:r>
      <w:bookmarkEnd w:id="18"/>
    </w:p>
    <w:p w14:paraId="75BAEEFE" w14:textId="5128EEB6" w:rsidR="005C0EA6" w:rsidRPr="00AF3075" w:rsidRDefault="00500829" w:rsidP="00EA7FAF">
      <w:r w:rsidRPr="00AF3075">
        <w:t xml:space="preserve">Judicial stereotyping can influence judges’ understanding of different offences related to gender-based violence and </w:t>
      </w:r>
      <w:r w:rsidR="00AE7958" w:rsidRPr="00AF3075">
        <w:t xml:space="preserve">their </w:t>
      </w:r>
      <w:r w:rsidRPr="00AF3075">
        <w:t>perception of whether or not a criminal offence has occurred.</w:t>
      </w:r>
      <w:r w:rsidR="00D5500E" w:rsidRPr="00AF3075">
        <w:t xml:space="preserve">  For example, Amnesty International has claimed that, in some countries, ‘</w:t>
      </w:r>
      <w:r w:rsidR="0090049F" w:rsidRPr="00AF3075">
        <w:rPr>
          <w:rFonts w:cs="Corbel"/>
        </w:rPr>
        <w:t>police, prosecutors, and judges apply prevailing stereotypes to conclude that a sex worker (or an unmarried woman) cou</w:t>
      </w:r>
      <w:r w:rsidR="00D94590">
        <w:rPr>
          <w:rFonts w:cs="Corbel"/>
        </w:rPr>
        <w:t>ld not possibly have been raped</w:t>
      </w:r>
      <w:r w:rsidR="005B1ED5" w:rsidRPr="00AF3075">
        <w:rPr>
          <w:rFonts w:cs="Corbel"/>
        </w:rPr>
        <w:t>’</w:t>
      </w:r>
      <w:r w:rsidR="00D94590">
        <w:rPr>
          <w:rFonts w:cs="Corbel"/>
        </w:rPr>
        <w:t>.</w:t>
      </w:r>
      <w:r w:rsidR="00F25DC0" w:rsidRPr="00AF3075">
        <w:rPr>
          <w:rStyle w:val="FootnoteReference"/>
          <w:rFonts w:cs="Arial"/>
        </w:rPr>
        <w:footnoteReference w:id="77"/>
      </w:r>
      <w:r w:rsidR="00D5500E" w:rsidRPr="00AF3075">
        <w:rPr>
          <w:rFonts w:cs="Corbel"/>
        </w:rPr>
        <w:t xml:space="preserve">  In a further example, scholars have considered how stereotyping by judges and other legal professionals affects perceptions of domestic violence in </w:t>
      </w:r>
      <w:r w:rsidR="00BC46F2">
        <w:rPr>
          <w:rFonts w:cs="Corbel"/>
        </w:rPr>
        <w:t xml:space="preserve">same sex </w:t>
      </w:r>
      <w:r w:rsidR="00D5500E" w:rsidRPr="00AF3075">
        <w:rPr>
          <w:rFonts w:cs="Corbel"/>
        </w:rPr>
        <w:t>relationships.</w:t>
      </w:r>
    </w:p>
    <w:tbl>
      <w:tblPr>
        <w:tblStyle w:val="TableGrid"/>
        <w:tblW w:w="0" w:type="auto"/>
        <w:tblLook w:val="04A0" w:firstRow="1" w:lastRow="0" w:firstColumn="1" w:lastColumn="0" w:noHBand="0" w:noVBand="1"/>
      </w:tblPr>
      <w:tblGrid>
        <w:gridCol w:w="8516"/>
      </w:tblGrid>
      <w:tr w:rsidR="005B1ED5" w:rsidRPr="00AF3075" w14:paraId="4ABA3516" w14:textId="77777777" w:rsidTr="0084652B">
        <w:tc>
          <w:tcPr>
            <w:tcW w:w="8516" w:type="dxa"/>
            <w:tcBorders>
              <w:top w:val="nil"/>
              <w:left w:val="nil"/>
              <w:bottom w:val="nil"/>
              <w:right w:val="nil"/>
            </w:tcBorders>
            <w:shd w:val="clear" w:color="auto" w:fill="D3E5F6" w:themeFill="accent2" w:themeFillTint="33"/>
          </w:tcPr>
          <w:p w14:paraId="3B2AFECA" w14:textId="2A5A90CA" w:rsidR="005B1ED5" w:rsidRPr="00AF3075" w:rsidRDefault="005B1ED5" w:rsidP="0084652B">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 xml:space="preserve">Judicial stereotyping may affect judges’ perceptions of whether there is domestic violence in </w:t>
            </w:r>
            <w:r w:rsidR="00BC46F2">
              <w:rPr>
                <w:b/>
                <w:bCs/>
                <w:iCs/>
                <w:color w:val="5B63B7" w:themeColor="text2" w:themeTint="99"/>
                <w:sz w:val="22"/>
              </w:rPr>
              <w:t xml:space="preserve">same sex </w:t>
            </w:r>
            <w:r w:rsidRPr="00AF3075">
              <w:rPr>
                <w:b/>
                <w:bCs/>
                <w:iCs/>
                <w:color w:val="5B63B7" w:themeColor="text2" w:themeTint="99"/>
                <w:sz w:val="22"/>
              </w:rPr>
              <w:t>relationships</w:t>
            </w:r>
          </w:p>
          <w:p w14:paraId="71B869A8" w14:textId="3CAB2292" w:rsidR="005B1ED5" w:rsidRPr="00AF4FFC" w:rsidRDefault="00D5500E" w:rsidP="00D5500E">
            <w:pPr>
              <w:spacing w:before="120" w:after="120"/>
              <w:rPr>
                <w:rFonts w:cs="Arial"/>
                <w:sz w:val="20"/>
                <w:szCs w:val="20"/>
              </w:rPr>
            </w:pPr>
            <w:r w:rsidRPr="00A66917">
              <w:rPr>
                <w:iCs/>
                <w:sz w:val="20"/>
                <w:szCs w:val="20"/>
              </w:rPr>
              <w:t>‘</w:t>
            </w:r>
            <w:r w:rsidR="005B1ED5" w:rsidRPr="00A66917">
              <w:rPr>
                <w:sz w:val="20"/>
                <w:szCs w:val="20"/>
              </w:rPr>
              <w:t>There is some evidence that the sex of the perpetrator and victim and the couple’s sexual orientation influence criminal justice system responses to domestic violence.  For example, police are less likely to arrest perpetrators or to enforce protective orders in cases that do not involve male-against-female violence….  Police are reportedly less likely to intervene in domestic violence cases that involve gay or lesbian couples, perhaps due to sexual prejudice … or gender-role stereotypes that women cannot be abusers and men cannot be abused….  If law enforcement officers hold these attitudes, we can expect that witnesses, health care workers, attorneys, judges, and juries do as well.  To the extent that members of the criminal justice system perceive non-prototypical domestic violence as less problematic or worthy of intervention than domestic violence perpetrated by heterosexual men against their wives or girlfriends, many victims, including those in gay and lesbian relationships, may not receive equal protection under the law</w:t>
            </w:r>
            <w:r w:rsidR="004824B7" w:rsidRPr="00A66917">
              <w:rPr>
                <w:sz w:val="20"/>
                <w:szCs w:val="20"/>
              </w:rPr>
              <w:t>’</w:t>
            </w:r>
            <w:r w:rsidR="005B1ED5" w:rsidRPr="00A66917">
              <w:rPr>
                <w:sz w:val="20"/>
                <w:szCs w:val="20"/>
              </w:rPr>
              <w:t>.</w:t>
            </w:r>
            <w:r w:rsidR="005B1ED5" w:rsidRPr="00A66917">
              <w:rPr>
                <w:rStyle w:val="FootnoteReference"/>
                <w:sz w:val="20"/>
                <w:szCs w:val="20"/>
              </w:rPr>
              <w:footnoteReference w:id="78"/>
            </w:r>
          </w:p>
        </w:tc>
      </w:tr>
    </w:tbl>
    <w:p w14:paraId="6A38547E" w14:textId="6A927C16" w:rsidR="00753DB3" w:rsidRPr="00AF3075" w:rsidRDefault="00D510D5" w:rsidP="006D29A1">
      <w:pPr>
        <w:pStyle w:val="Heading2"/>
        <w:keepNext w:val="0"/>
        <w:keepLines w:val="0"/>
        <w:ind w:left="0" w:firstLine="0"/>
        <w:rPr>
          <w:rFonts w:ascii="Candara" w:hAnsi="Candara"/>
        </w:rPr>
      </w:pPr>
      <w:bookmarkStart w:id="19" w:name="_Toc263972392"/>
      <w:r w:rsidRPr="00AF3075">
        <w:rPr>
          <w:rFonts w:ascii="Candara" w:hAnsi="Candara"/>
        </w:rPr>
        <w:t>4</w:t>
      </w:r>
      <w:r w:rsidR="00A52DFA" w:rsidRPr="00AF3075">
        <w:rPr>
          <w:rFonts w:ascii="Candara" w:hAnsi="Candara"/>
        </w:rPr>
        <w:t xml:space="preserve">.3 </w:t>
      </w:r>
      <w:r w:rsidR="003F21F5" w:rsidRPr="00AF3075">
        <w:rPr>
          <w:rFonts w:ascii="Candara" w:hAnsi="Candara"/>
        </w:rPr>
        <w:t xml:space="preserve">Stereotyping can affect judges’ views about </w:t>
      </w:r>
      <w:r w:rsidR="002C26C8" w:rsidRPr="00AF3075">
        <w:rPr>
          <w:rFonts w:ascii="Candara" w:hAnsi="Candara"/>
        </w:rPr>
        <w:t xml:space="preserve">witness </w:t>
      </w:r>
      <w:r w:rsidR="003F21F5" w:rsidRPr="00AF3075">
        <w:rPr>
          <w:rFonts w:ascii="Candara" w:hAnsi="Candara"/>
        </w:rPr>
        <w:t>credibility</w:t>
      </w:r>
      <w:r w:rsidR="002C26C8" w:rsidRPr="00AF3075">
        <w:rPr>
          <w:rFonts w:ascii="Candara" w:hAnsi="Candara"/>
        </w:rPr>
        <w:t xml:space="preserve"> </w:t>
      </w:r>
      <w:r w:rsidR="006C5A53" w:rsidRPr="00AF3075">
        <w:rPr>
          <w:rFonts w:ascii="Candara" w:hAnsi="Candara"/>
        </w:rPr>
        <w:t>and legal capacity</w:t>
      </w:r>
      <w:bookmarkEnd w:id="19"/>
    </w:p>
    <w:p w14:paraId="6D9E2524" w14:textId="7EA85A53" w:rsidR="006D29A1" w:rsidRDefault="00A9024F" w:rsidP="000E78C9">
      <w:r w:rsidRPr="00AF3075">
        <w:t xml:space="preserve">There is a long history of judges questioning the credibility of witnesses and their evidence on </w:t>
      </w:r>
      <w:r w:rsidR="00887B65" w:rsidRPr="00AF3075">
        <w:t xml:space="preserve">the basis of </w:t>
      </w:r>
      <w:r w:rsidRPr="00AF3075">
        <w:t>stereotypes</w:t>
      </w:r>
      <w:r w:rsidR="00887B65" w:rsidRPr="00AF3075">
        <w:t>.</w:t>
      </w:r>
      <w:r w:rsidR="00482404" w:rsidRPr="00AF3075">
        <w:rPr>
          <w:rStyle w:val="FootnoteReference"/>
        </w:rPr>
        <w:footnoteReference w:id="79"/>
      </w:r>
      <w:r w:rsidR="00887B65" w:rsidRPr="00AF3075">
        <w:t xml:space="preserve"> </w:t>
      </w:r>
      <w:r w:rsidR="006D29A1">
        <w:t xml:space="preserve"> </w:t>
      </w:r>
      <w:r w:rsidR="00C757A4" w:rsidRPr="00AF3075">
        <w:t xml:space="preserve">Stereotyping </w:t>
      </w:r>
      <w:r w:rsidRPr="00AF3075">
        <w:t xml:space="preserve">has </w:t>
      </w:r>
      <w:r w:rsidR="00D77765" w:rsidRPr="00AF3075">
        <w:t xml:space="preserve">typically </w:t>
      </w:r>
      <w:r w:rsidR="00C757A4" w:rsidRPr="00AF3075">
        <w:t>influence</w:t>
      </w:r>
      <w:r w:rsidRPr="00AF3075">
        <w:t>d</w:t>
      </w:r>
      <w:r w:rsidR="00C757A4" w:rsidRPr="00AF3075">
        <w:t xml:space="preserve"> judges’ views </w:t>
      </w:r>
      <w:r w:rsidR="00D77765" w:rsidRPr="00AF3075">
        <w:t xml:space="preserve">about the credibility of witnesses and their evidence </w:t>
      </w:r>
      <w:r w:rsidR="002119DC" w:rsidRPr="00AF3075">
        <w:t xml:space="preserve">in two ways. </w:t>
      </w:r>
      <w:r w:rsidR="00D77765" w:rsidRPr="00AF3075">
        <w:t xml:space="preserve"> </w:t>
      </w:r>
    </w:p>
    <w:p w14:paraId="093519C3" w14:textId="6830BA64" w:rsidR="006D29A1" w:rsidRPr="006D29A1" w:rsidRDefault="002119DC" w:rsidP="000E78C9">
      <w:pPr>
        <w:pStyle w:val="ListParagraph"/>
        <w:numPr>
          <w:ilvl w:val="0"/>
          <w:numId w:val="27"/>
        </w:numPr>
        <w:spacing w:before="120" w:after="120"/>
        <w:ind w:left="567"/>
        <w:rPr>
          <w:i/>
          <w:iCs/>
          <w:color w:val="000000" w:themeColor="text1"/>
        </w:rPr>
      </w:pPr>
      <w:r w:rsidRPr="00AF3075">
        <w:t>First</w:t>
      </w:r>
      <w:r w:rsidR="00C757A4" w:rsidRPr="00AF3075">
        <w:t xml:space="preserve">, </w:t>
      </w:r>
      <w:r w:rsidR="00D77765" w:rsidRPr="00AF3075">
        <w:t xml:space="preserve">stereotyping has </w:t>
      </w:r>
      <w:r w:rsidR="003C5535">
        <w:t xml:space="preserve">often </w:t>
      </w:r>
      <w:r w:rsidR="00D77765" w:rsidRPr="00AF3075">
        <w:t xml:space="preserve">contributed to judges </w:t>
      </w:r>
      <w:r w:rsidR="006B42B0" w:rsidRPr="00AF3075">
        <w:t xml:space="preserve">forming </w:t>
      </w:r>
      <w:r w:rsidR="00D77765" w:rsidRPr="00AF3075">
        <w:t xml:space="preserve">a negative view </w:t>
      </w:r>
      <w:r w:rsidR="006B42B0" w:rsidRPr="00AF3075">
        <w:t>about</w:t>
      </w:r>
      <w:r w:rsidR="00D77765" w:rsidRPr="00AF3075">
        <w:t xml:space="preserve"> the </w:t>
      </w:r>
      <w:r w:rsidR="00053D5F" w:rsidRPr="00AF3075">
        <w:t xml:space="preserve">credibility </w:t>
      </w:r>
      <w:r w:rsidR="006B42B0" w:rsidRPr="00AF3075">
        <w:t>of</w:t>
      </w:r>
      <w:r w:rsidR="00053D5F" w:rsidRPr="00AF3075">
        <w:t xml:space="preserve"> </w:t>
      </w:r>
      <w:r w:rsidR="006B42B0" w:rsidRPr="00AF3075">
        <w:t xml:space="preserve">women </w:t>
      </w:r>
      <w:r w:rsidR="00C757A4" w:rsidRPr="00AF3075">
        <w:t>victims</w:t>
      </w:r>
      <w:r w:rsidR="006B42B0" w:rsidRPr="00AF3075">
        <w:t xml:space="preserve"> and </w:t>
      </w:r>
      <w:r w:rsidR="00D77765" w:rsidRPr="00AF3075">
        <w:t>survivors</w:t>
      </w:r>
      <w:r w:rsidR="00053D5F" w:rsidRPr="00AF3075">
        <w:t>.</w:t>
      </w:r>
      <w:r w:rsidRPr="00AF3075">
        <w:t xml:space="preserve">  </w:t>
      </w:r>
      <w:r w:rsidR="00BA78E9">
        <w:t xml:space="preserve"> </w:t>
      </w:r>
      <w:r w:rsidR="00FA68DF">
        <w:t xml:space="preserve">  </w:t>
      </w:r>
    </w:p>
    <w:p w14:paraId="54BFC6BB" w14:textId="5529F387" w:rsidR="00D4083B" w:rsidRPr="006D29A1" w:rsidRDefault="00D77765" w:rsidP="006D29A1">
      <w:pPr>
        <w:pStyle w:val="ListParagraph"/>
        <w:numPr>
          <w:ilvl w:val="0"/>
          <w:numId w:val="27"/>
        </w:numPr>
        <w:spacing w:before="120"/>
        <w:ind w:left="567"/>
        <w:rPr>
          <w:i/>
          <w:iCs/>
          <w:color w:val="000000" w:themeColor="text1"/>
        </w:rPr>
      </w:pPr>
      <w:r w:rsidRPr="00AF3075">
        <w:t>Second</w:t>
      </w:r>
      <w:r w:rsidR="00C757A4" w:rsidRPr="00AF3075">
        <w:t>,</w:t>
      </w:r>
      <w:r w:rsidR="00DB6BD8" w:rsidRPr="00AF3075">
        <w:t xml:space="preserve"> </w:t>
      </w:r>
      <w:r w:rsidR="006B42B0" w:rsidRPr="00AF3075">
        <w:t xml:space="preserve">stereotyping </w:t>
      </w:r>
      <w:r w:rsidR="009D48EC">
        <w:t xml:space="preserve">can lead </w:t>
      </w:r>
      <w:r w:rsidR="006B42B0" w:rsidRPr="00AF3075">
        <w:t xml:space="preserve">judges </w:t>
      </w:r>
      <w:r w:rsidR="009D48EC">
        <w:t>to form</w:t>
      </w:r>
      <w:r w:rsidR="006B42B0" w:rsidRPr="00AF3075">
        <w:t xml:space="preserve"> a </w:t>
      </w:r>
      <w:r w:rsidR="00DB6BD8" w:rsidRPr="00AF3075">
        <w:t xml:space="preserve">favourable view of the credibility of </w:t>
      </w:r>
      <w:r w:rsidR="006B42B0" w:rsidRPr="00AF3075">
        <w:t xml:space="preserve">men </w:t>
      </w:r>
      <w:r w:rsidR="00DB6BD8" w:rsidRPr="00AF3075">
        <w:t xml:space="preserve">accused </w:t>
      </w:r>
      <w:r w:rsidR="006B42B0" w:rsidRPr="00AF3075">
        <w:t>of gender-based violence</w:t>
      </w:r>
      <w:r w:rsidR="00DB6BD8" w:rsidRPr="00AF3075">
        <w:t>.</w:t>
      </w:r>
      <w:r w:rsidR="006B42B0" w:rsidRPr="00AF3075">
        <w:t xml:space="preserve"> </w:t>
      </w:r>
    </w:p>
    <w:tbl>
      <w:tblPr>
        <w:tblStyle w:val="TableGrid"/>
        <w:tblW w:w="0" w:type="auto"/>
        <w:tblLook w:val="04A0" w:firstRow="1" w:lastRow="0" w:firstColumn="1" w:lastColumn="0" w:noHBand="0" w:noVBand="1"/>
      </w:tblPr>
      <w:tblGrid>
        <w:gridCol w:w="8516"/>
      </w:tblGrid>
      <w:tr w:rsidR="006D29A1" w:rsidRPr="00AF3075" w14:paraId="6166F9DC" w14:textId="77777777" w:rsidTr="00955448">
        <w:tc>
          <w:tcPr>
            <w:tcW w:w="8516" w:type="dxa"/>
            <w:tcBorders>
              <w:top w:val="nil"/>
              <w:left w:val="nil"/>
              <w:bottom w:val="nil"/>
              <w:right w:val="nil"/>
            </w:tcBorders>
            <w:shd w:val="clear" w:color="auto" w:fill="D3E5F6" w:themeFill="accent2" w:themeFillTint="33"/>
          </w:tcPr>
          <w:p w14:paraId="788FE312" w14:textId="55961C3D" w:rsidR="006D29A1" w:rsidRPr="00AF3075" w:rsidRDefault="006D29A1" w:rsidP="00360355">
            <w:pPr>
              <w:keepNext/>
              <w:shd w:val="clear" w:color="auto" w:fill="D3E5F6" w:themeFill="accent2" w:themeFillTint="33"/>
              <w:spacing w:before="120" w:after="120"/>
              <w:jc w:val="center"/>
              <w:rPr>
                <w:b/>
                <w:iCs/>
                <w:color w:val="5B63B7" w:themeColor="text2" w:themeTint="99"/>
                <w:sz w:val="22"/>
              </w:rPr>
            </w:pPr>
            <w:r>
              <w:rPr>
                <w:b/>
                <w:bCs/>
                <w:iCs/>
                <w:color w:val="5B63B7" w:themeColor="text2" w:themeTint="99"/>
                <w:sz w:val="22"/>
              </w:rPr>
              <w:t xml:space="preserve">Stereotyping </w:t>
            </w:r>
            <w:r w:rsidR="00124EF7">
              <w:rPr>
                <w:b/>
                <w:bCs/>
                <w:iCs/>
                <w:color w:val="5B63B7" w:themeColor="text2" w:themeTint="99"/>
                <w:sz w:val="22"/>
              </w:rPr>
              <w:t xml:space="preserve">contributes to judges forming a negative view of the credibility of women victims and survivors of gender-based violence </w:t>
            </w:r>
          </w:p>
          <w:p w14:paraId="03D39B78" w14:textId="6631FE73" w:rsidR="006D29A1" w:rsidRPr="00A66917" w:rsidRDefault="006D29A1" w:rsidP="00A66917">
            <w:pPr>
              <w:spacing w:before="120" w:after="120"/>
              <w:rPr>
                <w:sz w:val="20"/>
                <w:szCs w:val="20"/>
              </w:rPr>
            </w:pPr>
            <w:r w:rsidRPr="00A66917">
              <w:rPr>
                <w:sz w:val="20"/>
                <w:szCs w:val="20"/>
              </w:rPr>
              <w:t>‘The archetype of the ideal sexual assault victim … functions to disqualify many complainants’ accounts of their sexual assault experiences.  To this extent, the “ideal victim” myth often works to undermine the credibility of those women who are seen to deviate too far from stereotypical notions of “authentic” victims, and from what are assumed to be “reasonable” victim responses.  Credibility assessments remain absolutely pivotal in sexual assault trials.  These assessments of credibility remain deeply influenced by myths and stereotypes surrounding “ideal”, “real”, or “genuine” victims of sexual assault.</w:t>
            </w:r>
            <w:r w:rsidR="003C5535" w:rsidRPr="00A66917">
              <w:rPr>
                <w:sz w:val="20"/>
                <w:szCs w:val="20"/>
              </w:rPr>
              <w:t xml:space="preserve"> </w:t>
            </w:r>
            <w:r w:rsidRPr="00A66917">
              <w:rPr>
                <w:sz w:val="20"/>
                <w:szCs w:val="20"/>
              </w:rPr>
              <w:t>…</w:t>
            </w:r>
          </w:p>
          <w:p w14:paraId="67FFF500" w14:textId="01B88FBA" w:rsidR="006D29A1" w:rsidRPr="006D29A1" w:rsidRDefault="006D29A1" w:rsidP="00A66917">
            <w:pPr>
              <w:spacing w:before="120" w:after="120"/>
              <w:rPr>
                <w:rFonts w:eastAsiaTheme="majorEastAsia" w:cstheme="majorBidi"/>
                <w:color w:val="404040" w:themeColor="text1" w:themeTint="BF"/>
                <w:sz w:val="22"/>
                <w:szCs w:val="20"/>
              </w:rPr>
            </w:pPr>
            <w:r w:rsidRPr="00A66917">
              <w:rPr>
                <w:sz w:val="20"/>
                <w:szCs w:val="20"/>
              </w:rPr>
              <w:t>“Bad” victims—those women whose lives, backgrounds, and characteristics depart from the narrow confines of “ideal victims” in sexual assault cases—are the women whose accounts are subject to the most scrutiny, whose credibility is most attacked, and who are seen to be less deserving of the law’s protection.  This, in turn, is inextricably tied with the pervasiveness of victim-blaming, the idea that women are, and should be, responsible for navigating their own safety, for managing men’s sexual attention and aggression, and also for accurately assessing and avoiding risk. … Racialized and marginalized women, who are less valued and less credible in a society characterized by racism, are, by definition, less readily identified as “ideal victims” and more easily stigmatized as “bad” or “undeserving” victims (if their victim claims are heard at all)’.</w:t>
            </w:r>
            <w:r w:rsidRPr="00A66917">
              <w:rPr>
                <w:rStyle w:val="FootnoteReference"/>
                <w:sz w:val="20"/>
                <w:szCs w:val="20"/>
              </w:rPr>
              <w:footnoteReference w:id="80"/>
            </w:r>
          </w:p>
        </w:tc>
      </w:tr>
    </w:tbl>
    <w:p w14:paraId="385CF635" w14:textId="77777777" w:rsidR="006D29A1" w:rsidRPr="00AF3075" w:rsidRDefault="006D29A1" w:rsidP="006D29A1">
      <w:pPr>
        <w:spacing w:before="0" w:after="0"/>
      </w:pPr>
    </w:p>
    <w:tbl>
      <w:tblPr>
        <w:tblStyle w:val="TableGrid"/>
        <w:tblW w:w="0" w:type="auto"/>
        <w:tblLook w:val="04A0" w:firstRow="1" w:lastRow="0" w:firstColumn="1" w:lastColumn="0" w:noHBand="0" w:noVBand="1"/>
      </w:tblPr>
      <w:tblGrid>
        <w:gridCol w:w="8516"/>
      </w:tblGrid>
      <w:tr w:rsidR="00E96043" w:rsidRPr="00AF3075" w14:paraId="232F45AE" w14:textId="77777777" w:rsidTr="0091628C">
        <w:tc>
          <w:tcPr>
            <w:tcW w:w="8516" w:type="dxa"/>
            <w:tcBorders>
              <w:top w:val="nil"/>
              <w:left w:val="nil"/>
              <w:bottom w:val="nil"/>
              <w:right w:val="nil"/>
            </w:tcBorders>
            <w:shd w:val="clear" w:color="auto" w:fill="D3E5F6" w:themeFill="accent2" w:themeFillTint="33"/>
          </w:tcPr>
          <w:p w14:paraId="6254C293" w14:textId="78E3E3DC" w:rsidR="00E96043" w:rsidRPr="00AF3075" w:rsidRDefault="00775F89" w:rsidP="00A66917">
            <w:pPr>
              <w:shd w:val="clear" w:color="auto" w:fill="D3E5F6" w:themeFill="accent2" w:themeFillTint="33"/>
              <w:spacing w:before="120" w:after="120"/>
              <w:jc w:val="center"/>
              <w:rPr>
                <w:rStyle w:val="SubtleEmphasis"/>
              </w:rPr>
            </w:pPr>
            <w:r w:rsidRPr="00AF3075">
              <w:rPr>
                <w:rStyle w:val="SubtleEmphasis"/>
              </w:rPr>
              <w:t>Judicial stereotyping influenced views about the credibility of the victim and the accused in a rape case</w:t>
            </w:r>
          </w:p>
          <w:p w14:paraId="6BBA91BE" w14:textId="6229FC50" w:rsidR="004C01EA" w:rsidRPr="00AF3075" w:rsidRDefault="000E72EE" w:rsidP="00A66917">
            <w:pPr>
              <w:shd w:val="clear" w:color="auto" w:fill="D3E5F6" w:themeFill="accent2" w:themeFillTint="33"/>
              <w:spacing w:before="120" w:after="120"/>
              <w:rPr>
                <w:rFonts w:eastAsiaTheme="majorEastAsia" w:cstheme="majorBidi"/>
                <w:i/>
                <w:iCs/>
                <w:color w:val="404040" w:themeColor="text1" w:themeTint="BF"/>
                <w:sz w:val="22"/>
              </w:rPr>
            </w:pPr>
            <w:r w:rsidRPr="00AF3075">
              <w:rPr>
                <w:sz w:val="22"/>
              </w:rPr>
              <w:t>I</w:t>
            </w:r>
            <w:r w:rsidR="00E96043" w:rsidRPr="00AF3075">
              <w:rPr>
                <w:sz w:val="22"/>
              </w:rPr>
              <w:t xml:space="preserve">n </w:t>
            </w:r>
            <w:r w:rsidR="00E96043" w:rsidRPr="00AF3075">
              <w:rPr>
                <w:i/>
                <w:sz w:val="22"/>
              </w:rPr>
              <w:t xml:space="preserve">Karen Tayag Vertido v. </w:t>
            </w:r>
            <w:r w:rsidR="00C6321D">
              <w:rPr>
                <w:i/>
                <w:sz w:val="22"/>
              </w:rPr>
              <w:t>T</w:t>
            </w:r>
            <w:r w:rsidR="00C6321D" w:rsidRPr="00AF3075">
              <w:rPr>
                <w:i/>
                <w:sz w:val="22"/>
              </w:rPr>
              <w:t xml:space="preserve">he </w:t>
            </w:r>
            <w:r w:rsidR="00E96043" w:rsidRPr="00AF3075">
              <w:rPr>
                <w:i/>
                <w:sz w:val="22"/>
              </w:rPr>
              <w:t>Philippines</w:t>
            </w:r>
            <w:r w:rsidR="00E96043" w:rsidRPr="00AF3075">
              <w:rPr>
                <w:sz w:val="22"/>
              </w:rPr>
              <w:t>,</w:t>
            </w:r>
            <w:r w:rsidR="00BA78E9" w:rsidRPr="00AF3075">
              <w:rPr>
                <w:rStyle w:val="FootnoteReference"/>
                <w:sz w:val="22"/>
              </w:rPr>
              <w:footnoteReference w:id="81"/>
            </w:r>
            <w:r w:rsidR="00E96043" w:rsidRPr="00AF3075">
              <w:rPr>
                <w:sz w:val="22"/>
              </w:rPr>
              <w:t xml:space="preserve"> </w:t>
            </w:r>
            <w:r w:rsidRPr="00AF3075">
              <w:rPr>
                <w:sz w:val="22"/>
              </w:rPr>
              <w:t xml:space="preserve">a majority of the CEDAW Committee concluded that </w:t>
            </w:r>
            <w:r w:rsidR="0091628C" w:rsidRPr="00AF3075">
              <w:rPr>
                <w:iCs/>
                <w:sz w:val="22"/>
              </w:rPr>
              <w:t>Judge Hofileña-Europa</w:t>
            </w:r>
            <w:r w:rsidR="0091628C" w:rsidRPr="00AF3075">
              <w:rPr>
                <w:sz w:val="22"/>
              </w:rPr>
              <w:t xml:space="preserve"> evaluated Ms Vertido’s behaviour against stereotypes and formed a negative view of her credibility</w:t>
            </w:r>
            <w:r w:rsidR="00BA78E9">
              <w:rPr>
                <w:sz w:val="22"/>
              </w:rPr>
              <w:t>,</w:t>
            </w:r>
            <w:r w:rsidR="0091628C" w:rsidRPr="00AF3075">
              <w:rPr>
                <w:sz w:val="22"/>
              </w:rPr>
              <w:t xml:space="preserve"> </w:t>
            </w:r>
            <w:r w:rsidR="00BA78E9">
              <w:rPr>
                <w:sz w:val="22"/>
              </w:rPr>
              <w:t xml:space="preserve">as </w:t>
            </w:r>
            <w:r w:rsidR="0091628C" w:rsidRPr="00AF3075">
              <w:rPr>
                <w:sz w:val="22"/>
              </w:rPr>
              <w:t xml:space="preserve">she had not responded </w:t>
            </w:r>
            <w:r w:rsidR="00BA78E9">
              <w:rPr>
                <w:sz w:val="22"/>
              </w:rPr>
              <w:t xml:space="preserve">according to how </w:t>
            </w:r>
            <w:r w:rsidR="0091628C" w:rsidRPr="00AF3075">
              <w:rPr>
                <w:sz w:val="22"/>
              </w:rPr>
              <w:t xml:space="preserve">a rational and ‘ideal’ victim was expected to </w:t>
            </w:r>
            <w:r w:rsidR="00BA78E9">
              <w:rPr>
                <w:sz w:val="22"/>
              </w:rPr>
              <w:t xml:space="preserve">respond </w:t>
            </w:r>
            <w:r w:rsidR="0091628C" w:rsidRPr="00AF3075">
              <w:rPr>
                <w:sz w:val="22"/>
              </w:rPr>
              <w:t>in a rape situation.</w:t>
            </w:r>
            <w:r w:rsidR="004C01EA" w:rsidRPr="00AF3075">
              <w:rPr>
                <w:sz w:val="22"/>
              </w:rPr>
              <w:t xml:space="preserve">  It explained:</w:t>
            </w:r>
            <w:r w:rsidR="0091628C" w:rsidRPr="00AF3075">
              <w:rPr>
                <w:sz w:val="22"/>
              </w:rPr>
              <w:t xml:space="preserve"> </w:t>
            </w:r>
          </w:p>
          <w:p w14:paraId="23D03DE1" w14:textId="116368B8" w:rsidR="004C01EA" w:rsidRPr="00AF3075" w:rsidRDefault="00065AC0" w:rsidP="00A66917">
            <w:pPr>
              <w:shd w:val="clear" w:color="auto" w:fill="D3E5F6" w:themeFill="accent2" w:themeFillTint="33"/>
              <w:spacing w:before="120" w:after="120"/>
              <w:ind w:left="284"/>
              <w:rPr>
                <w:sz w:val="20"/>
              </w:rPr>
            </w:pPr>
            <w:proofErr w:type="gramStart"/>
            <w:r w:rsidRPr="00AF3075">
              <w:rPr>
                <w:sz w:val="20"/>
              </w:rPr>
              <w:t>the</w:t>
            </w:r>
            <w:proofErr w:type="gramEnd"/>
            <w:r w:rsidRPr="00AF3075">
              <w:rPr>
                <w:sz w:val="20"/>
              </w:rPr>
              <w:t xml:space="preserve"> judge did not apply these principles in evaluating the author’s credibility against expectations about how the author should have reacted before, during and after the rape owing to the circumstances and her character and personality. </w:t>
            </w:r>
            <w:r w:rsidR="005239D5" w:rsidRPr="00AF3075">
              <w:rPr>
                <w:sz w:val="20"/>
              </w:rPr>
              <w:t xml:space="preserve"> </w:t>
            </w:r>
            <w:r w:rsidRPr="00AF3075">
              <w:rPr>
                <w:sz w:val="20"/>
              </w:rPr>
              <w:t xml:space="preserve">The </w:t>
            </w:r>
            <w:r w:rsidR="00BA78E9">
              <w:rPr>
                <w:sz w:val="20"/>
              </w:rPr>
              <w:t xml:space="preserve">… </w:t>
            </w:r>
            <w:r w:rsidRPr="00AF3075">
              <w:rPr>
                <w:sz w:val="20"/>
              </w:rPr>
              <w:t xml:space="preserve">judge came to the conclusion that the author had a contradictory attitude by reacting both with resistance at one time and submission at another time, and saw this as being a problem. </w:t>
            </w:r>
            <w:r w:rsidR="005239D5" w:rsidRPr="00AF3075">
              <w:rPr>
                <w:sz w:val="20"/>
              </w:rPr>
              <w:t xml:space="preserve"> </w:t>
            </w:r>
            <w:r w:rsidRPr="00AF3075">
              <w:rPr>
                <w:sz w:val="20"/>
              </w:rPr>
              <w:t xml:space="preserve">The Committee </w:t>
            </w:r>
            <w:r w:rsidR="00BA78E9" w:rsidRPr="00AF3075">
              <w:rPr>
                <w:sz w:val="20"/>
              </w:rPr>
              <w:t>note</w:t>
            </w:r>
            <w:r w:rsidR="00BA78E9">
              <w:rPr>
                <w:sz w:val="20"/>
              </w:rPr>
              <w:t>[d]</w:t>
            </w:r>
            <w:r w:rsidR="00BA78E9" w:rsidRPr="00AF3075">
              <w:rPr>
                <w:sz w:val="20"/>
              </w:rPr>
              <w:t xml:space="preserve"> </w:t>
            </w:r>
            <w:r w:rsidRPr="00AF3075">
              <w:rPr>
                <w:sz w:val="20"/>
              </w:rPr>
              <w:t xml:space="preserve">that the Court did not apply the principle that </w:t>
            </w:r>
            <w:r w:rsidR="005239D5" w:rsidRPr="00AF3075">
              <w:rPr>
                <w:sz w:val="20"/>
              </w:rPr>
              <w:t>‘</w:t>
            </w:r>
            <w:r w:rsidRPr="00AF3075">
              <w:rPr>
                <w:sz w:val="20"/>
              </w:rPr>
              <w:t>the failure of the victim to try and escape does not negate the existence of rape</w:t>
            </w:r>
            <w:r w:rsidR="005239D5" w:rsidRPr="00AF3075">
              <w:rPr>
                <w:sz w:val="20"/>
              </w:rPr>
              <w:t>’</w:t>
            </w:r>
            <w:r w:rsidRPr="00AF3075">
              <w:rPr>
                <w:sz w:val="20"/>
              </w:rPr>
              <w:t xml:space="preserve"> and instead expected </w:t>
            </w:r>
            <w:proofErr w:type="gramStart"/>
            <w:r w:rsidRPr="00AF3075">
              <w:rPr>
                <w:sz w:val="20"/>
              </w:rPr>
              <w:t>a certain</w:t>
            </w:r>
            <w:proofErr w:type="gramEnd"/>
            <w:r w:rsidRPr="00AF3075">
              <w:rPr>
                <w:sz w:val="20"/>
              </w:rPr>
              <w:t xml:space="preserve"> behaviour from the author, who was perceived by the court as not being </w:t>
            </w:r>
            <w:r w:rsidR="005239D5" w:rsidRPr="00AF3075">
              <w:rPr>
                <w:sz w:val="20"/>
              </w:rPr>
              <w:t>‘</w:t>
            </w:r>
            <w:r w:rsidRPr="00AF3075">
              <w:rPr>
                <w:sz w:val="20"/>
              </w:rPr>
              <w:t>a timid woman who could easily be cowed</w:t>
            </w:r>
            <w:r w:rsidR="005239D5" w:rsidRPr="00AF3075">
              <w:rPr>
                <w:sz w:val="20"/>
              </w:rPr>
              <w:t>’</w:t>
            </w:r>
            <w:r w:rsidRPr="00AF3075">
              <w:rPr>
                <w:sz w:val="20"/>
              </w:rPr>
              <w:t xml:space="preserve">. </w:t>
            </w:r>
            <w:r w:rsidR="005239D5" w:rsidRPr="00AF3075">
              <w:rPr>
                <w:sz w:val="20"/>
              </w:rPr>
              <w:t xml:space="preserve"> </w:t>
            </w:r>
            <w:r w:rsidRPr="00AF3075">
              <w:rPr>
                <w:sz w:val="20"/>
              </w:rPr>
              <w:t xml:space="preserve">It is clear </w:t>
            </w:r>
            <w:r w:rsidR="00BA78E9">
              <w:rPr>
                <w:sz w:val="20"/>
              </w:rPr>
              <w:t xml:space="preserve">… </w:t>
            </w:r>
            <w:r w:rsidRPr="00AF3075">
              <w:rPr>
                <w:sz w:val="20"/>
              </w:rPr>
              <w:t xml:space="preserve">that the assessment of the credibility of the author’s version of events was influenced by a number of stereotypes, the author in this situation not having followed what was expected from a rational and </w:t>
            </w:r>
            <w:r w:rsidR="005239D5" w:rsidRPr="00AF3075">
              <w:rPr>
                <w:sz w:val="20"/>
              </w:rPr>
              <w:t>‘</w:t>
            </w:r>
            <w:r w:rsidRPr="00AF3075">
              <w:rPr>
                <w:sz w:val="20"/>
              </w:rPr>
              <w:t>ideal victim</w:t>
            </w:r>
            <w:r w:rsidR="005239D5" w:rsidRPr="00AF3075">
              <w:rPr>
                <w:sz w:val="20"/>
              </w:rPr>
              <w:t>’</w:t>
            </w:r>
            <w:r w:rsidRPr="00AF3075">
              <w:rPr>
                <w:sz w:val="20"/>
              </w:rPr>
              <w:t xml:space="preserve"> or what the judge considered to be the rational and ideal response of a woman in a rape situation</w:t>
            </w:r>
            <w:r w:rsidR="00FE56A3">
              <w:rPr>
                <w:sz w:val="20"/>
              </w:rPr>
              <w:t xml:space="preserve"> </w:t>
            </w:r>
            <w:r w:rsidR="005239D5" w:rsidRPr="00AF3075">
              <w:rPr>
                <w:sz w:val="20"/>
              </w:rPr>
              <w:t>…</w:t>
            </w:r>
            <w:r w:rsidR="00FE56A3">
              <w:rPr>
                <w:sz w:val="20"/>
              </w:rPr>
              <w:t>.</w:t>
            </w:r>
          </w:p>
          <w:p w14:paraId="5131A716" w14:textId="18127905" w:rsidR="00753DB3" w:rsidRPr="00AF3075" w:rsidRDefault="004C01EA" w:rsidP="00A66917">
            <w:pPr>
              <w:shd w:val="clear" w:color="auto" w:fill="D3E5F6" w:themeFill="accent2" w:themeFillTint="33"/>
              <w:spacing w:before="120" w:after="120"/>
              <w:rPr>
                <w:rFonts w:eastAsiaTheme="majorEastAsia" w:cstheme="majorBidi"/>
                <w:i/>
                <w:iCs/>
                <w:color w:val="404040" w:themeColor="text1" w:themeTint="BF"/>
                <w:sz w:val="22"/>
              </w:rPr>
            </w:pPr>
            <w:r w:rsidRPr="00AF3075">
              <w:rPr>
                <w:sz w:val="22"/>
              </w:rPr>
              <w:t xml:space="preserve">The majority </w:t>
            </w:r>
            <w:r w:rsidR="00753DB3" w:rsidRPr="00AF3075">
              <w:rPr>
                <w:sz w:val="22"/>
              </w:rPr>
              <w:t xml:space="preserve">also </w:t>
            </w:r>
            <w:r w:rsidR="0091628C" w:rsidRPr="00AF3075">
              <w:rPr>
                <w:sz w:val="22"/>
              </w:rPr>
              <w:t xml:space="preserve">concluded that the trial </w:t>
            </w:r>
            <w:r w:rsidR="00E96043" w:rsidRPr="00AF3075">
              <w:rPr>
                <w:sz w:val="22"/>
              </w:rPr>
              <w:t>decision contained ‘several references to stereotypes about male and female sexuality being more supportive for the credibility of the alleged perpetrator than fo</w:t>
            </w:r>
            <w:r w:rsidR="00FE56A3">
              <w:rPr>
                <w:sz w:val="22"/>
              </w:rPr>
              <w:t>r the credibility of the victim</w:t>
            </w:r>
            <w:r w:rsidR="00E96043" w:rsidRPr="00AF3075">
              <w:rPr>
                <w:sz w:val="22"/>
              </w:rPr>
              <w:t>’</w:t>
            </w:r>
            <w:r w:rsidR="00FE56A3">
              <w:rPr>
                <w:sz w:val="22"/>
              </w:rPr>
              <w:t>.</w:t>
            </w:r>
            <w:r w:rsidR="00753DB3" w:rsidRPr="00AF3075">
              <w:rPr>
                <w:sz w:val="22"/>
              </w:rPr>
              <w:t xml:space="preserve"> </w:t>
            </w:r>
            <w:r w:rsidR="00BA78E9">
              <w:rPr>
                <w:sz w:val="22"/>
              </w:rPr>
              <w:t xml:space="preserve"> </w:t>
            </w:r>
            <w:r w:rsidR="00753DB3" w:rsidRPr="00AF3075">
              <w:rPr>
                <w:sz w:val="22"/>
              </w:rPr>
              <w:t>It continued</w:t>
            </w:r>
            <w:r w:rsidR="00637518" w:rsidRPr="00AF3075">
              <w:rPr>
                <w:sz w:val="22"/>
              </w:rPr>
              <w:t>, noting</w:t>
            </w:r>
          </w:p>
          <w:p w14:paraId="2A052A2A" w14:textId="155AD36B" w:rsidR="00E96043" w:rsidRPr="00AF3075" w:rsidRDefault="00753DB3" w:rsidP="00A66917">
            <w:pPr>
              <w:shd w:val="clear" w:color="auto" w:fill="D3E5F6" w:themeFill="accent2" w:themeFillTint="33"/>
              <w:spacing w:before="120" w:after="120"/>
              <w:ind w:left="284"/>
              <w:rPr>
                <w:rFonts w:eastAsiaTheme="majorEastAsia" w:cstheme="majorBidi"/>
                <w:i/>
                <w:iCs/>
                <w:color w:val="404040" w:themeColor="text1" w:themeTint="BF"/>
                <w:sz w:val="22"/>
              </w:rPr>
            </w:pPr>
            <w:proofErr w:type="gramStart"/>
            <w:r w:rsidRPr="00AF3075">
              <w:rPr>
                <w:sz w:val="20"/>
              </w:rPr>
              <w:t>with</w:t>
            </w:r>
            <w:proofErr w:type="gramEnd"/>
            <w:r w:rsidRPr="00AF3075">
              <w:rPr>
                <w:sz w:val="20"/>
              </w:rPr>
              <w:t xml:space="preserve"> concern the findings of the judge according to which it is unbelievable that a man in his sixties would be able to proceed to ejaculation with the author resisting the sexual attack. </w:t>
            </w:r>
            <w:r w:rsidR="00637518" w:rsidRPr="00AF3075">
              <w:rPr>
                <w:sz w:val="20"/>
              </w:rPr>
              <w:t xml:space="preserve"> </w:t>
            </w:r>
            <w:r w:rsidRPr="00AF3075">
              <w:rPr>
                <w:sz w:val="20"/>
              </w:rPr>
              <w:t xml:space="preserve">Other factors taken into account in the judgement, such as the weight given to the fact that the author and the accused knew each other, constitute a further example of </w:t>
            </w:r>
            <w:r w:rsidR="00637518" w:rsidRPr="00AF3075">
              <w:rPr>
                <w:sz w:val="20"/>
              </w:rPr>
              <w:t>‘</w:t>
            </w:r>
            <w:r w:rsidRPr="00AF3075">
              <w:rPr>
                <w:sz w:val="20"/>
              </w:rPr>
              <w:t>gender- based myths and misconceptions</w:t>
            </w:r>
            <w:r w:rsidR="00637518" w:rsidRPr="00AF3075">
              <w:rPr>
                <w:sz w:val="20"/>
              </w:rPr>
              <w:t>’</w:t>
            </w:r>
            <w:r w:rsidRPr="00AF3075">
              <w:rPr>
                <w:sz w:val="20"/>
              </w:rPr>
              <w:t>.</w:t>
            </w:r>
            <w:r w:rsidR="00E47E71" w:rsidRPr="00AF3075">
              <w:rPr>
                <w:sz w:val="22"/>
              </w:rPr>
              <w:t xml:space="preserve"> </w:t>
            </w:r>
            <w:r w:rsidR="004C01EA" w:rsidRPr="00AF3075">
              <w:rPr>
                <w:sz w:val="22"/>
              </w:rPr>
              <w:t xml:space="preserve"> </w:t>
            </w:r>
          </w:p>
        </w:tc>
      </w:tr>
    </w:tbl>
    <w:p w14:paraId="2ACD5FCE" w14:textId="650FEB72" w:rsidR="006B35F4" w:rsidRPr="00AF3075" w:rsidRDefault="00CD6D6D" w:rsidP="005C0EA6">
      <w:pPr>
        <w:rPr>
          <w:rFonts w:cs="Arial"/>
          <w:szCs w:val="20"/>
        </w:rPr>
      </w:pPr>
      <w:r w:rsidRPr="00AF3075">
        <w:rPr>
          <w:rFonts w:cs="Arial"/>
          <w:szCs w:val="20"/>
        </w:rPr>
        <w:t>S</w:t>
      </w:r>
      <w:r w:rsidR="006C5A53" w:rsidRPr="00AF3075">
        <w:rPr>
          <w:rFonts w:cs="Arial"/>
          <w:szCs w:val="20"/>
        </w:rPr>
        <w:t xml:space="preserve">ome women, </w:t>
      </w:r>
      <w:r w:rsidRPr="00AF3075">
        <w:rPr>
          <w:rFonts w:cs="Arial"/>
          <w:szCs w:val="20"/>
        </w:rPr>
        <w:t xml:space="preserve">including </w:t>
      </w:r>
      <w:r w:rsidR="006C5A53" w:rsidRPr="00AF3075">
        <w:rPr>
          <w:rFonts w:cs="Arial"/>
          <w:szCs w:val="20"/>
        </w:rPr>
        <w:t>women with mental disabilities,</w:t>
      </w:r>
      <w:r w:rsidR="00A44502" w:rsidRPr="00AF3075">
        <w:rPr>
          <w:rStyle w:val="FootnoteReference"/>
          <w:rFonts w:cs="Arial"/>
          <w:szCs w:val="20"/>
        </w:rPr>
        <w:footnoteReference w:id="82"/>
      </w:r>
      <w:r w:rsidR="006C5A53" w:rsidRPr="00AF3075">
        <w:rPr>
          <w:rFonts w:cs="Arial"/>
          <w:szCs w:val="20"/>
        </w:rPr>
        <w:t xml:space="preserve"> </w:t>
      </w:r>
      <w:r w:rsidRPr="00AF3075">
        <w:rPr>
          <w:rFonts w:cs="Arial"/>
          <w:szCs w:val="20"/>
        </w:rPr>
        <w:t xml:space="preserve">may be denied access to justice because of stereotyping that leads judges to conclude they are not </w:t>
      </w:r>
      <w:r w:rsidR="00DF6499" w:rsidRPr="00AF3075">
        <w:rPr>
          <w:rFonts w:cs="Arial"/>
          <w:szCs w:val="20"/>
        </w:rPr>
        <w:t xml:space="preserve">competent </w:t>
      </w:r>
      <w:r w:rsidR="005F7873" w:rsidRPr="00AF3075">
        <w:rPr>
          <w:rFonts w:cs="Arial"/>
          <w:szCs w:val="20"/>
        </w:rPr>
        <w:t xml:space="preserve">or credible </w:t>
      </w:r>
      <w:r w:rsidR="00DF6499" w:rsidRPr="00AF3075">
        <w:rPr>
          <w:rFonts w:cs="Arial"/>
          <w:szCs w:val="20"/>
        </w:rPr>
        <w:t>witnesses.</w:t>
      </w:r>
      <w:r w:rsidR="00A10DC1">
        <w:rPr>
          <w:rFonts w:cs="Arial"/>
          <w:szCs w:val="20"/>
        </w:rPr>
        <w:t xml:space="preserve"> </w:t>
      </w:r>
      <w:r w:rsidR="00A44502">
        <w:rPr>
          <w:rFonts w:cs="Arial"/>
          <w:szCs w:val="20"/>
        </w:rPr>
        <w:t xml:space="preserve"> </w:t>
      </w:r>
    </w:p>
    <w:tbl>
      <w:tblPr>
        <w:tblStyle w:val="TableGrid"/>
        <w:tblW w:w="0" w:type="auto"/>
        <w:tblLook w:val="04A0" w:firstRow="1" w:lastRow="0" w:firstColumn="1" w:lastColumn="0" w:noHBand="0" w:noVBand="1"/>
      </w:tblPr>
      <w:tblGrid>
        <w:gridCol w:w="8516"/>
      </w:tblGrid>
      <w:tr w:rsidR="00076CBC" w:rsidRPr="00AF3075" w14:paraId="609D9024" w14:textId="77777777" w:rsidTr="00076CBC">
        <w:tc>
          <w:tcPr>
            <w:tcW w:w="8516" w:type="dxa"/>
            <w:tcBorders>
              <w:top w:val="nil"/>
              <w:left w:val="nil"/>
              <w:bottom w:val="nil"/>
              <w:right w:val="nil"/>
            </w:tcBorders>
            <w:shd w:val="clear" w:color="auto" w:fill="D3E5F6" w:themeFill="accent2" w:themeFillTint="33"/>
          </w:tcPr>
          <w:p w14:paraId="5C4B5937" w14:textId="2AB9AD98" w:rsidR="00076CBC" w:rsidRPr="00AF3075" w:rsidRDefault="001B0AC0" w:rsidP="00076CBC">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Judicial stereotyping lead</w:t>
            </w:r>
            <w:r w:rsidR="00E37289" w:rsidRPr="00AF3075">
              <w:rPr>
                <w:b/>
                <w:bCs/>
                <w:iCs/>
                <w:color w:val="5B63B7" w:themeColor="text2" w:themeTint="99"/>
                <w:sz w:val="22"/>
              </w:rPr>
              <w:t>s</w:t>
            </w:r>
            <w:r w:rsidRPr="00AF3075">
              <w:rPr>
                <w:b/>
                <w:bCs/>
                <w:iCs/>
                <w:color w:val="5B63B7" w:themeColor="text2" w:themeTint="99"/>
                <w:sz w:val="22"/>
              </w:rPr>
              <w:t xml:space="preserve"> to</w:t>
            </w:r>
            <w:r w:rsidR="00B83566" w:rsidRPr="00AF3075">
              <w:rPr>
                <w:b/>
                <w:bCs/>
                <w:iCs/>
                <w:color w:val="5B63B7" w:themeColor="text2" w:themeTint="99"/>
                <w:sz w:val="22"/>
              </w:rPr>
              <w:t xml:space="preserve"> adverse findings about the capacity </w:t>
            </w:r>
            <w:r w:rsidR="002C26C8" w:rsidRPr="00AF3075">
              <w:rPr>
                <w:b/>
                <w:bCs/>
                <w:iCs/>
                <w:color w:val="5B63B7" w:themeColor="text2" w:themeTint="99"/>
                <w:sz w:val="22"/>
              </w:rPr>
              <w:t xml:space="preserve">and credibility </w:t>
            </w:r>
            <w:r w:rsidR="00B83566" w:rsidRPr="00AF3075">
              <w:rPr>
                <w:b/>
                <w:bCs/>
                <w:iCs/>
                <w:color w:val="5B63B7" w:themeColor="text2" w:themeTint="99"/>
                <w:sz w:val="22"/>
              </w:rPr>
              <w:t>of</w:t>
            </w:r>
            <w:r w:rsidRPr="00AF3075">
              <w:rPr>
                <w:b/>
                <w:bCs/>
                <w:iCs/>
                <w:color w:val="5B63B7" w:themeColor="text2" w:themeTint="99"/>
                <w:sz w:val="22"/>
              </w:rPr>
              <w:t xml:space="preserve"> w</w:t>
            </w:r>
            <w:r w:rsidR="00076CBC" w:rsidRPr="00AF3075">
              <w:rPr>
                <w:b/>
                <w:bCs/>
                <w:iCs/>
                <w:color w:val="5B63B7" w:themeColor="text2" w:themeTint="99"/>
                <w:sz w:val="22"/>
              </w:rPr>
              <w:t xml:space="preserve">omen with </w:t>
            </w:r>
            <w:r w:rsidR="00E54ADC" w:rsidRPr="00AF3075">
              <w:rPr>
                <w:b/>
                <w:bCs/>
                <w:iCs/>
                <w:color w:val="5B63B7" w:themeColor="text2" w:themeTint="99"/>
                <w:sz w:val="22"/>
              </w:rPr>
              <w:t xml:space="preserve">mental </w:t>
            </w:r>
            <w:r w:rsidR="00076CBC" w:rsidRPr="00AF3075">
              <w:rPr>
                <w:b/>
                <w:bCs/>
                <w:iCs/>
                <w:color w:val="5B63B7" w:themeColor="text2" w:themeTint="99"/>
                <w:sz w:val="22"/>
              </w:rPr>
              <w:t>disabilit</w:t>
            </w:r>
            <w:r w:rsidRPr="00AF3075">
              <w:rPr>
                <w:b/>
                <w:bCs/>
                <w:iCs/>
                <w:color w:val="5B63B7" w:themeColor="text2" w:themeTint="99"/>
                <w:sz w:val="22"/>
              </w:rPr>
              <w:t xml:space="preserve">ies </w:t>
            </w:r>
            <w:r w:rsidR="002C26C8" w:rsidRPr="00AF3075">
              <w:rPr>
                <w:b/>
                <w:bCs/>
                <w:iCs/>
                <w:color w:val="5B63B7" w:themeColor="text2" w:themeTint="99"/>
                <w:sz w:val="22"/>
              </w:rPr>
              <w:t>in gender-based violence cases</w:t>
            </w:r>
          </w:p>
          <w:p w14:paraId="70AC4A17" w14:textId="56159DC8" w:rsidR="001B0AC0" w:rsidRPr="00A66917" w:rsidRDefault="00B45F97" w:rsidP="00B45F97">
            <w:pPr>
              <w:spacing w:before="120" w:after="120"/>
              <w:rPr>
                <w:rFonts w:cs="Arial"/>
                <w:sz w:val="20"/>
                <w:szCs w:val="20"/>
              </w:rPr>
            </w:pPr>
            <w:r w:rsidRPr="00A66917">
              <w:rPr>
                <w:rFonts w:cs="Arial"/>
                <w:sz w:val="20"/>
                <w:szCs w:val="20"/>
              </w:rPr>
              <w:t>‘</w:t>
            </w:r>
            <w:r w:rsidR="001B0AC0" w:rsidRPr="00A66917">
              <w:rPr>
                <w:rFonts w:cs="Arial"/>
                <w:sz w:val="20"/>
                <w:szCs w:val="20"/>
              </w:rPr>
              <w:t xml:space="preserve">Not only are women with disabilities excluded as witnesses because they may have difficulty communicating with the police, but stereotypes about women with disabilities operate to exclude or discount their testimony.  The sexual nature of certain crimes and the general failure </w:t>
            </w:r>
            <w:r w:rsidR="00A44502" w:rsidRPr="00A66917">
              <w:rPr>
                <w:rFonts w:cs="Arial"/>
                <w:sz w:val="20"/>
                <w:szCs w:val="20"/>
              </w:rPr>
              <w:t xml:space="preserve">[of] </w:t>
            </w:r>
            <w:r w:rsidR="001B0AC0" w:rsidRPr="00A66917">
              <w:rPr>
                <w:rFonts w:cs="Arial"/>
                <w:sz w:val="20"/>
                <w:szCs w:val="20"/>
              </w:rPr>
              <w:t xml:space="preserve">society to see people with disabilities as sexual beings may result in judges and juries discounting the witnesses’ testimony in sexual assault cases.  This tendency to essentially </w:t>
            </w:r>
            <w:r w:rsidR="003C5535" w:rsidRPr="00A66917">
              <w:rPr>
                <w:rFonts w:cs="Arial"/>
                <w:sz w:val="20"/>
                <w:szCs w:val="20"/>
              </w:rPr>
              <w:t>“</w:t>
            </w:r>
            <w:r w:rsidR="001B0AC0" w:rsidRPr="00A66917">
              <w:rPr>
                <w:rFonts w:cs="Arial"/>
                <w:sz w:val="20"/>
                <w:szCs w:val="20"/>
              </w:rPr>
              <w:t>infantilize</w:t>
            </w:r>
            <w:r w:rsidR="003C5535" w:rsidRPr="00A66917">
              <w:rPr>
                <w:rFonts w:cs="Arial"/>
                <w:sz w:val="20"/>
                <w:szCs w:val="20"/>
              </w:rPr>
              <w:t>”</w:t>
            </w:r>
            <w:r w:rsidR="001B0AC0" w:rsidRPr="00A66917">
              <w:rPr>
                <w:rFonts w:cs="Arial"/>
                <w:sz w:val="20"/>
                <w:szCs w:val="20"/>
              </w:rPr>
              <w:t xml:space="preserve"> women with mental disabilities contributes to discounting their testimony.  On the other hand, society may view some women with mental disabilities as hypersexual and lacking self-control, leading to the disregard of their complaints.</w:t>
            </w:r>
          </w:p>
          <w:p w14:paraId="03FB73FE" w14:textId="62CF0124" w:rsidR="00076CBC" w:rsidRPr="00AF3075" w:rsidRDefault="001B0AC0" w:rsidP="00B45F97">
            <w:pPr>
              <w:spacing w:before="120" w:after="120"/>
              <w:rPr>
                <w:rFonts w:cs="Arial"/>
                <w:sz w:val="20"/>
                <w:szCs w:val="20"/>
              </w:rPr>
            </w:pPr>
            <w:r w:rsidRPr="00A66917">
              <w:rPr>
                <w:rFonts w:cs="Arial"/>
                <w:sz w:val="20"/>
                <w:szCs w:val="20"/>
              </w:rPr>
              <w:t>Law enforcement and legal agencies may see women with disabilities … as lacking credibility.  Some judges may require more corroborating evidence of an assault in cases involving women with disabilities than in other cases, and evidence about prior mental health treatment may be used to discredit their testimony.  …  Overly paternalistic attitudes towards women with disabilities may cause various players in the judicial system to view them as too fragile to withstand the rigors of examination.  Exclusion is particularly problematic in gender-based violence and sexual assault cases, where testimony of parties and credibility of witnesses are exceptionally important, placing them at even greater risk, because perpetrators may be more likely to attack women with disabilities because they know that their complaints may be taken less seriously.  If prior complaints have been dismissed women with disabilities are less likely to report abuse in the future, perpetuating the violence</w:t>
            </w:r>
            <w:r w:rsidR="00B45F97" w:rsidRPr="00A66917">
              <w:rPr>
                <w:rFonts w:cs="Arial"/>
                <w:sz w:val="20"/>
                <w:szCs w:val="20"/>
              </w:rPr>
              <w:t>’</w:t>
            </w:r>
            <w:r w:rsidRPr="00A66917">
              <w:rPr>
                <w:rFonts w:cs="Arial"/>
                <w:sz w:val="20"/>
                <w:szCs w:val="20"/>
              </w:rPr>
              <w:t>.</w:t>
            </w:r>
            <w:r w:rsidRPr="00A66917">
              <w:rPr>
                <w:rStyle w:val="FootnoteReference"/>
                <w:rFonts w:cs="Arial"/>
                <w:sz w:val="20"/>
                <w:szCs w:val="20"/>
              </w:rPr>
              <w:footnoteReference w:id="83"/>
            </w:r>
          </w:p>
        </w:tc>
      </w:tr>
    </w:tbl>
    <w:p w14:paraId="6CE221A2" w14:textId="4CA9431D" w:rsidR="00EB7110" w:rsidRPr="00AF3075" w:rsidRDefault="00D510D5" w:rsidP="00A52DFA">
      <w:pPr>
        <w:pStyle w:val="Heading2"/>
        <w:ind w:left="0" w:firstLine="0"/>
        <w:rPr>
          <w:rFonts w:ascii="Candara" w:hAnsi="Candara"/>
        </w:rPr>
      </w:pPr>
      <w:bookmarkStart w:id="20" w:name="_Toc263972393"/>
      <w:r w:rsidRPr="00AF3075">
        <w:rPr>
          <w:rFonts w:ascii="Candara" w:hAnsi="Candara"/>
        </w:rPr>
        <w:t>4</w:t>
      </w:r>
      <w:r w:rsidR="00A52DFA" w:rsidRPr="00AF3075">
        <w:rPr>
          <w:rFonts w:ascii="Candara" w:hAnsi="Candara"/>
        </w:rPr>
        <w:t>.</w:t>
      </w:r>
      <w:r w:rsidR="002C26C8" w:rsidRPr="00AF3075">
        <w:rPr>
          <w:rFonts w:ascii="Candara" w:hAnsi="Candara"/>
        </w:rPr>
        <w:t>4</w:t>
      </w:r>
      <w:r w:rsidR="00A52DFA" w:rsidRPr="00AF3075">
        <w:rPr>
          <w:rFonts w:ascii="Candara" w:hAnsi="Candara"/>
        </w:rPr>
        <w:t xml:space="preserve"> </w:t>
      </w:r>
      <w:r w:rsidR="003F21F5" w:rsidRPr="00AF3075">
        <w:rPr>
          <w:rFonts w:ascii="Candara" w:hAnsi="Candara"/>
        </w:rPr>
        <w:t xml:space="preserve">Stereotyping can </w:t>
      </w:r>
      <w:r w:rsidR="00DF581C" w:rsidRPr="00AF3075">
        <w:rPr>
          <w:rFonts w:ascii="Candara" w:hAnsi="Candara"/>
        </w:rPr>
        <w:t>stop</w:t>
      </w:r>
      <w:r w:rsidR="003F21F5" w:rsidRPr="00AF3075">
        <w:rPr>
          <w:rFonts w:ascii="Candara" w:hAnsi="Candara"/>
        </w:rPr>
        <w:t xml:space="preserve"> </w:t>
      </w:r>
      <w:r w:rsidR="00EB7110" w:rsidRPr="00AF3075">
        <w:rPr>
          <w:rFonts w:ascii="Candara" w:hAnsi="Candara"/>
        </w:rPr>
        <w:t>judges hold</w:t>
      </w:r>
      <w:r w:rsidR="00DF581C" w:rsidRPr="00AF3075">
        <w:rPr>
          <w:rFonts w:ascii="Candara" w:hAnsi="Candara"/>
        </w:rPr>
        <w:t>ing</w:t>
      </w:r>
      <w:r w:rsidR="00EB7110" w:rsidRPr="00AF3075">
        <w:rPr>
          <w:rFonts w:ascii="Candara" w:hAnsi="Candara"/>
        </w:rPr>
        <w:t xml:space="preserve"> offenders legally accountable</w:t>
      </w:r>
      <w:bookmarkEnd w:id="20"/>
      <w:r w:rsidR="00EB7110" w:rsidRPr="00AF3075">
        <w:rPr>
          <w:rFonts w:ascii="Candara" w:hAnsi="Candara"/>
        </w:rPr>
        <w:t xml:space="preserve"> </w:t>
      </w:r>
    </w:p>
    <w:p w14:paraId="72497DD2" w14:textId="7739BD72" w:rsidR="00F41291" w:rsidRPr="00955448" w:rsidRDefault="00606357" w:rsidP="00955448">
      <w:r w:rsidRPr="00AF3075">
        <w:t xml:space="preserve">There are countless examples of accused persons being acquitted of gender-based violence crimes on the basis of stereotypes, rather than law or </w:t>
      </w:r>
      <w:r w:rsidR="00CB3D86">
        <w:t xml:space="preserve">relevant </w:t>
      </w:r>
      <w:r w:rsidRPr="00AF3075">
        <w:t>facts in evidence.  Oftentimes, stereotyping</w:t>
      </w:r>
      <w:r w:rsidR="00650089" w:rsidRPr="00AF3075">
        <w:t xml:space="preserve"> le</w:t>
      </w:r>
      <w:r w:rsidRPr="00AF3075">
        <w:t>a</w:t>
      </w:r>
      <w:r w:rsidR="00650089" w:rsidRPr="00AF3075">
        <w:t>d</w:t>
      </w:r>
      <w:r w:rsidRPr="00AF3075">
        <w:t>s</w:t>
      </w:r>
      <w:r w:rsidR="00650089" w:rsidRPr="00AF3075">
        <w:t xml:space="preserve"> judge</w:t>
      </w:r>
      <w:r w:rsidRPr="00AF3075">
        <w:t>s</w:t>
      </w:r>
      <w:r w:rsidR="00650089" w:rsidRPr="00AF3075">
        <w:t xml:space="preserve"> to </w:t>
      </w:r>
      <w:r w:rsidR="00117807" w:rsidRPr="00AF3075">
        <w:t xml:space="preserve">blame </w:t>
      </w:r>
      <w:r w:rsidR="003C5535">
        <w:t>the victim</w:t>
      </w:r>
      <w:r w:rsidR="00650089" w:rsidRPr="00AF3075">
        <w:t>/survivor</w:t>
      </w:r>
      <w:r w:rsidRPr="00AF3075">
        <w:t>, and not the accused, for violent acts</w:t>
      </w:r>
      <w:r w:rsidR="00117807" w:rsidRPr="00AF3075">
        <w:t>, especially in cases where the victim/survivor does not fit the ‘ideal victim’ archetype</w:t>
      </w:r>
      <w:r w:rsidR="00650089" w:rsidRPr="00AF3075">
        <w:t>.</w:t>
      </w:r>
      <w:r w:rsidR="00117807" w:rsidRPr="00AF3075">
        <w:t xml:space="preserve">  </w:t>
      </w:r>
      <w:r w:rsidR="00B45F97">
        <w:t xml:space="preserve"> </w:t>
      </w:r>
    </w:p>
    <w:tbl>
      <w:tblPr>
        <w:tblStyle w:val="TableGrid"/>
        <w:tblW w:w="0" w:type="auto"/>
        <w:tblLook w:val="04A0" w:firstRow="1" w:lastRow="0" w:firstColumn="1" w:lastColumn="0" w:noHBand="0" w:noVBand="1"/>
      </w:tblPr>
      <w:tblGrid>
        <w:gridCol w:w="8516"/>
      </w:tblGrid>
      <w:tr w:rsidR="00B45F97" w:rsidRPr="00AF3075" w14:paraId="344A493A" w14:textId="77777777" w:rsidTr="00B45F97">
        <w:tc>
          <w:tcPr>
            <w:tcW w:w="8516" w:type="dxa"/>
            <w:tcBorders>
              <w:top w:val="nil"/>
              <w:left w:val="nil"/>
              <w:bottom w:val="nil"/>
              <w:right w:val="nil"/>
            </w:tcBorders>
            <w:shd w:val="clear" w:color="auto" w:fill="D3E5F6" w:themeFill="accent2" w:themeFillTint="33"/>
          </w:tcPr>
          <w:p w14:paraId="71271D16" w14:textId="2E7AEDDF" w:rsidR="00B45F97" w:rsidRPr="00AF3075" w:rsidRDefault="00955448" w:rsidP="00360355">
            <w:pPr>
              <w:keepNext/>
              <w:shd w:val="clear" w:color="auto" w:fill="D3E5F6" w:themeFill="accent2" w:themeFillTint="33"/>
              <w:spacing w:before="120" w:after="120"/>
              <w:jc w:val="center"/>
              <w:rPr>
                <w:b/>
                <w:iCs/>
                <w:color w:val="5B63B7" w:themeColor="text2" w:themeTint="99"/>
                <w:sz w:val="22"/>
              </w:rPr>
            </w:pPr>
            <w:r>
              <w:rPr>
                <w:b/>
                <w:bCs/>
                <w:iCs/>
                <w:color w:val="5B63B7" w:themeColor="text2" w:themeTint="99"/>
                <w:sz w:val="22"/>
              </w:rPr>
              <w:t xml:space="preserve">Victims and survivors often have to fit the ‘ideal victim’ archetype before judges will hold offenders legally accountable </w:t>
            </w:r>
          </w:p>
          <w:p w14:paraId="0493C71D" w14:textId="7FC186B7" w:rsidR="00B45F97" w:rsidRPr="00A66917" w:rsidRDefault="00B45F97">
            <w:pPr>
              <w:spacing w:before="120" w:after="120"/>
              <w:rPr>
                <w:sz w:val="20"/>
                <w:szCs w:val="20"/>
              </w:rPr>
            </w:pPr>
            <w:r w:rsidRPr="00A66917">
              <w:rPr>
                <w:sz w:val="20"/>
                <w:szCs w:val="20"/>
              </w:rPr>
              <w:t>‘The woman who comes to the attention of the authorities has her victimization measured against the current rape mythologies, i.e., who she should be in order to be recognized as having been, in the eyes of the law, raped; who her attacker must be in order to be recognized, in the eyes of the law, as a potential rapist; and how injured she must be in order to be believed.  If her victimization does not fit the myths, it is unlikely that an arrest will be made or a conviction obtained’</w:t>
            </w:r>
            <w:r w:rsidR="00CB3D86">
              <w:rPr>
                <w:sz w:val="20"/>
                <w:szCs w:val="20"/>
              </w:rPr>
              <w:t>.</w:t>
            </w:r>
            <w:r w:rsidRPr="00A66917">
              <w:rPr>
                <w:rStyle w:val="FootnoteReference"/>
                <w:rFonts w:cs="Arial"/>
                <w:sz w:val="20"/>
                <w:szCs w:val="20"/>
              </w:rPr>
              <w:footnoteReference w:id="84"/>
            </w:r>
          </w:p>
        </w:tc>
      </w:tr>
    </w:tbl>
    <w:p w14:paraId="2614EF96" w14:textId="44FD0BD6" w:rsidR="00117807" w:rsidRPr="00AF3075" w:rsidRDefault="00117807" w:rsidP="00955448">
      <w:pPr>
        <w:spacing w:before="0" w:after="0"/>
        <w:rPr>
          <w:sz w:val="20"/>
        </w:rPr>
      </w:pPr>
    </w:p>
    <w:tbl>
      <w:tblPr>
        <w:tblStyle w:val="TableGrid"/>
        <w:tblW w:w="0" w:type="auto"/>
        <w:tblLook w:val="04A0" w:firstRow="1" w:lastRow="0" w:firstColumn="1" w:lastColumn="0" w:noHBand="0" w:noVBand="1"/>
      </w:tblPr>
      <w:tblGrid>
        <w:gridCol w:w="8516"/>
      </w:tblGrid>
      <w:tr w:rsidR="00210E69" w:rsidRPr="00AF3075" w14:paraId="554D5280" w14:textId="77777777" w:rsidTr="00210E69">
        <w:tc>
          <w:tcPr>
            <w:tcW w:w="8516" w:type="dxa"/>
            <w:tcBorders>
              <w:top w:val="nil"/>
              <w:left w:val="nil"/>
              <w:bottom w:val="nil"/>
              <w:right w:val="nil"/>
            </w:tcBorders>
            <w:shd w:val="clear" w:color="auto" w:fill="D3E5F6" w:themeFill="accent2" w:themeFillTint="33"/>
          </w:tcPr>
          <w:p w14:paraId="09F4B4CE" w14:textId="6A69242A" w:rsidR="00210E69" w:rsidRPr="00AF3075" w:rsidRDefault="00A77DD9" w:rsidP="00210E69">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 xml:space="preserve">Stereotyping </w:t>
            </w:r>
            <w:r w:rsidR="00610F84">
              <w:rPr>
                <w:b/>
                <w:bCs/>
                <w:iCs/>
                <w:color w:val="5B63B7" w:themeColor="text2" w:themeTint="99"/>
                <w:sz w:val="22"/>
              </w:rPr>
              <w:t xml:space="preserve">caused </w:t>
            </w:r>
            <w:r w:rsidRPr="00AF3075">
              <w:rPr>
                <w:b/>
                <w:bCs/>
                <w:iCs/>
                <w:color w:val="5B63B7" w:themeColor="text2" w:themeTint="99"/>
                <w:sz w:val="22"/>
              </w:rPr>
              <w:t xml:space="preserve">judge </w:t>
            </w:r>
            <w:r w:rsidR="00610F84">
              <w:rPr>
                <w:b/>
                <w:bCs/>
                <w:iCs/>
                <w:color w:val="5B63B7" w:themeColor="text2" w:themeTint="99"/>
                <w:sz w:val="22"/>
              </w:rPr>
              <w:t xml:space="preserve">to </w:t>
            </w:r>
            <w:r w:rsidRPr="00AF3075">
              <w:rPr>
                <w:b/>
                <w:bCs/>
                <w:iCs/>
                <w:color w:val="5B63B7" w:themeColor="text2" w:themeTint="99"/>
                <w:sz w:val="22"/>
              </w:rPr>
              <w:t>shift responsibility for sexual assault to the victim</w:t>
            </w:r>
          </w:p>
          <w:p w14:paraId="5B834079" w14:textId="3E5A0BC6" w:rsidR="00E65F18" w:rsidRPr="00AF3075" w:rsidRDefault="00EE7D2B" w:rsidP="003C5535">
            <w:pPr>
              <w:spacing w:before="120" w:after="120"/>
              <w:rPr>
                <w:sz w:val="20"/>
              </w:rPr>
            </w:pPr>
            <w:r w:rsidRPr="00AF3075">
              <w:rPr>
                <w:sz w:val="20"/>
              </w:rPr>
              <w:t>‘</w:t>
            </w:r>
            <w:r w:rsidR="00E65F18" w:rsidRPr="00AF3075">
              <w:rPr>
                <w:sz w:val="20"/>
              </w:rPr>
              <w:t xml:space="preserve">The stereotypical reasoning of the lower courts in the </w:t>
            </w:r>
            <w:r w:rsidR="00E65F18" w:rsidRPr="00AF3075">
              <w:rPr>
                <w:i/>
                <w:sz w:val="20"/>
              </w:rPr>
              <w:t xml:space="preserve">Ewanchuk </w:t>
            </w:r>
            <w:r w:rsidR="00E65F18" w:rsidRPr="00AF3075">
              <w:rPr>
                <w:sz w:val="20"/>
              </w:rPr>
              <w:t xml:space="preserve">case </w:t>
            </w:r>
            <w:r w:rsidRPr="00AF3075">
              <w:rPr>
                <w:sz w:val="20"/>
              </w:rPr>
              <w:t xml:space="preserve">… </w:t>
            </w:r>
            <w:r w:rsidR="00E65F18" w:rsidRPr="00AF3075">
              <w:rPr>
                <w:sz w:val="20"/>
              </w:rPr>
              <w:t xml:space="preserve">burdened women by shifting responsibility for sexual assault to them.  </w:t>
            </w:r>
            <w:r w:rsidR="003C5535">
              <w:rPr>
                <w:sz w:val="20"/>
              </w:rPr>
              <w:t xml:space="preserve">… </w:t>
            </w:r>
            <w:r w:rsidR="00E65F18" w:rsidRPr="00AF3075">
              <w:rPr>
                <w:sz w:val="20"/>
              </w:rPr>
              <w:t xml:space="preserve">Justice L’Heureux-Dubé singled out the comment of Justice McClung of the Alberta Court of Appeal regarding how </w:t>
            </w:r>
            <w:r w:rsidR="00CA1C88" w:rsidRPr="00AF3075">
              <w:rPr>
                <w:sz w:val="20"/>
              </w:rPr>
              <w:t>“</w:t>
            </w:r>
            <w:r w:rsidR="00E65F18" w:rsidRPr="00AF3075">
              <w:rPr>
                <w:sz w:val="20"/>
              </w:rPr>
              <w:t xml:space="preserve">In a less litigious age going too far in the boyfriend’s car was better dealt with on site—a well chosen expletive, a slap in the face or, if </w:t>
            </w:r>
            <w:r w:rsidR="00955448">
              <w:rPr>
                <w:sz w:val="20"/>
              </w:rPr>
              <w:t>necessary, a well-directed knee</w:t>
            </w:r>
            <w:r w:rsidR="00CA1C88" w:rsidRPr="00AF3075">
              <w:rPr>
                <w:sz w:val="20"/>
              </w:rPr>
              <w:t>”</w:t>
            </w:r>
            <w:r w:rsidR="00955448">
              <w:rPr>
                <w:sz w:val="20"/>
              </w:rPr>
              <w:t>.</w:t>
            </w:r>
            <w:r w:rsidR="00DA7812" w:rsidRPr="00AF3075">
              <w:rPr>
                <w:sz w:val="20"/>
              </w:rPr>
              <w:t xml:space="preserve">  She </w:t>
            </w:r>
            <w:r w:rsidR="00E65F18" w:rsidRPr="00AF3075">
              <w:rPr>
                <w:sz w:val="20"/>
              </w:rPr>
              <w:t xml:space="preserve">explained that this comment rested on the sexual stereotype that women should physically resist sexual assault, and that, according to this stereotype, </w:t>
            </w:r>
            <w:r w:rsidR="00CA1C88" w:rsidRPr="00AF3075">
              <w:rPr>
                <w:sz w:val="20"/>
              </w:rPr>
              <w:t>“</w:t>
            </w:r>
            <w:r w:rsidR="00E65F18" w:rsidRPr="00AF3075">
              <w:rPr>
                <w:sz w:val="20"/>
              </w:rPr>
              <w:t xml:space="preserve">it is not the perpetrator’s responsibility to ascertain consent … but the women’s not only to express an unequivocal </w:t>
            </w:r>
            <w:r w:rsidR="00CA1C88" w:rsidRPr="00AF3075">
              <w:rPr>
                <w:sz w:val="20"/>
              </w:rPr>
              <w:t>‘</w:t>
            </w:r>
            <w:r w:rsidR="003C5535">
              <w:rPr>
                <w:sz w:val="20"/>
              </w:rPr>
              <w:t>no</w:t>
            </w:r>
            <w:r w:rsidR="00CA1C88" w:rsidRPr="00AF3075">
              <w:rPr>
                <w:sz w:val="20"/>
              </w:rPr>
              <w:t>’</w:t>
            </w:r>
            <w:r w:rsidR="003C5535">
              <w:rPr>
                <w:sz w:val="20"/>
              </w:rPr>
              <w:t>,</w:t>
            </w:r>
            <w:r w:rsidR="00E65F18" w:rsidRPr="00AF3075">
              <w:rPr>
                <w:sz w:val="20"/>
              </w:rPr>
              <w:t xml:space="preserve"> but also to fight </w:t>
            </w:r>
            <w:r w:rsidR="00955448">
              <w:rPr>
                <w:sz w:val="20"/>
              </w:rPr>
              <w:t>her way out of such a situation</w:t>
            </w:r>
            <w:r w:rsidR="00CA1C88" w:rsidRPr="00AF3075">
              <w:rPr>
                <w:sz w:val="20"/>
              </w:rPr>
              <w:t>”</w:t>
            </w:r>
            <w:r w:rsidR="00955448">
              <w:rPr>
                <w:sz w:val="20"/>
              </w:rPr>
              <w:t>.</w:t>
            </w:r>
            <w:r w:rsidR="00DA7812" w:rsidRPr="00AF3075">
              <w:rPr>
                <w:sz w:val="20"/>
              </w:rPr>
              <w:t xml:space="preserve">  Since the complainant had not physically resisted Ewanchuk’s sexual advances, Justice McClung found a reasonable belief that she may have implicitly consented to sexual relations.  In making this finding, Justice McClung denied</w:t>
            </w:r>
            <w:r w:rsidR="00827BE7" w:rsidRPr="00AF3075">
              <w:rPr>
                <w:sz w:val="20"/>
              </w:rPr>
              <w:t xml:space="preserve"> female sexual agency and </w:t>
            </w:r>
            <w:r w:rsidR="00DA7812" w:rsidRPr="00AF3075">
              <w:rPr>
                <w:sz w:val="20"/>
              </w:rPr>
              <w:t>privileged male sexuality.  Moreover, he harmed the complainant by holding that she may have been respon</w:t>
            </w:r>
            <w:r w:rsidR="00827BE7" w:rsidRPr="00AF3075">
              <w:rPr>
                <w:sz w:val="20"/>
              </w:rPr>
              <w:t>s</w:t>
            </w:r>
            <w:r w:rsidR="00DA7812" w:rsidRPr="00AF3075">
              <w:rPr>
                <w:sz w:val="20"/>
              </w:rPr>
              <w:t>ible for the assault.  Yet, as Justice L’Heureux-Dubé insightfully pointed out, the enforcement of this sexual stereotype obscured the real reason that the complainant did not physically resist Ewanchuk’s sexual advances: her fear of aggravated sexual assault’</w:t>
            </w:r>
            <w:r w:rsidR="00CB3D86">
              <w:rPr>
                <w:sz w:val="20"/>
              </w:rPr>
              <w:t>.</w:t>
            </w:r>
            <w:r w:rsidR="00DA7812" w:rsidRPr="00AF3075">
              <w:rPr>
                <w:rStyle w:val="FootnoteReference"/>
                <w:sz w:val="20"/>
              </w:rPr>
              <w:footnoteReference w:id="85"/>
            </w:r>
            <w:r w:rsidR="00DA7812" w:rsidRPr="00AF3075">
              <w:rPr>
                <w:sz w:val="20"/>
              </w:rPr>
              <w:t xml:space="preserve"> </w:t>
            </w:r>
          </w:p>
        </w:tc>
      </w:tr>
    </w:tbl>
    <w:p w14:paraId="0FCE6569" w14:textId="70AF13F2" w:rsidR="003F21F5" w:rsidRPr="00AF3075" w:rsidRDefault="00D510D5" w:rsidP="00A52DFA">
      <w:pPr>
        <w:pStyle w:val="Heading2"/>
        <w:ind w:left="0" w:firstLine="0"/>
        <w:rPr>
          <w:rFonts w:ascii="Candara" w:hAnsi="Candara"/>
        </w:rPr>
      </w:pPr>
      <w:bookmarkStart w:id="21" w:name="_Toc263972394"/>
      <w:r w:rsidRPr="00AF3075">
        <w:rPr>
          <w:rFonts w:ascii="Candara" w:hAnsi="Candara"/>
        </w:rPr>
        <w:t>4</w:t>
      </w:r>
      <w:r w:rsidR="00A52DFA" w:rsidRPr="00AF3075">
        <w:rPr>
          <w:rFonts w:ascii="Candara" w:hAnsi="Candara"/>
        </w:rPr>
        <w:t>.</w:t>
      </w:r>
      <w:r w:rsidR="002C26C8" w:rsidRPr="00AF3075">
        <w:rPr>
          <w:rFonts w:ascii="Candara" w:hAnsi="Candara"/>
        </w:rPr>
        <w:t>5</w:t>
      </w:r>
      <w:r w:rsidR="00A52DFA" w:rsidRPr="00AF3075">
        <w:rPr>
          <w:rFonts w:ascii="Candara" w:hAnsi="Candara"/>
        </w:rPr>
        <w:t xml:space="preserve"> </w:t>
      </w:r>
      <w:r w:rsidR="00EB7110" w:rsidRPr="00AF3075">
        <w:rPr>
          <w:rFonts w:ascii="Candara" w:hAnsi="Candara"/>
        </w:rPr>
        <w:t xml:space="preserve">Stereotyping can </w:t>
      </w:r>
      <w:r w:rsidR="000669C2" w:rsidRPr="00AF3075">
        <w:rPr>
          <w:rFonts w:ascii="Candara" w:hAnsi="Candara"/>
        </w:rPr>
        <w:t xml:space="preserve">impede </w:t>
      </w:r>
      <w:r w:rsidR="005467E4" w:rsidRPr="00AF3075">
        <w:rPr>
          <w:rFonts w:ascii="Candara" w:hAnsi="Candara"/>
        </w:rPr>
        <w:t xml:space="preserve">access </w:t>
      </w:r>
      <w:r w:rsidR="000C08CC" w:rsidRPr="00AF3075">
        <w:rPr>
          <w:rFonts w:ascii="Candara" w:hAnsi="Candara"/>
        </w:rPr>
        <w:t xml:space="preserve">to </w:t>
      </w:r>
      <w:r w:rsidR="005467E4" w:rsidRPr="00AF3075">
        <w:rPr>
          <w:rFonts w:ascii="Candara" w:hAnsi="Candara"/>
        </w:rPr>
        <w:t xml:space="preserve">legal </w:t>
      </w:r>
      <w:r w:rsidR="00D62448" w:rsidRPr="00AF3075">
        <w:rPr>
          <w:rFonts w:ascii="Candara" w:hAnsi="Candara"/>
        </w:rPr>
        <w:t xml:space="preserve">rights and </w:t>
      </w:r>
      <w:r w:rsidR="005467E4" w:rsidRPr="00AF3075">
        <w:rPr>
          <w:rFonts w:ascii="Candara" w:hAnsi="Candara"/>
        </w:rPr>
        <w:t>protections</w:t>
      </w:r>
      <w:bookmarkEnd w:id="21"/>
    </w:p>
    <w:p w14:paraId="52A87658" w14:textId="49CA78BC" w:rsidR="00162D48" w:rsidRPr="00AF3075" w:rsidRDefault="005467E4" w:rsidP="00AD2FFE">
      <w:r w:rsidRPr="00AF3075">
        <w:t xml:space="preserve">Judicial stereotyping can </w:t>
      </w:r>
      <w:r w:rsidR="006813AD" w:rsidRPr="00AF3075">
        <w:t xml:space="preserve">impede the ability of </w:t>
      </w:r>
      <w:r w:rsidR="00D11E4F" w:rsidRPr="00AF3075">
        <w:t xml:space="preserve">women </w:t>
      </w:r>
      <w:r w:rsidR="006813AD" w:rsidRPr="00AF3075">
        <w:t xml:space="preserve">to </w:t>
      </w:r>
      <w:r w:rsidRPr="00AF3075">
        <w:t>access legal protections against gender-based violence</w:t>
      </w:r>
      <w:r w:rsidR="008623A2" w:rsidRPr="00AF3075">
        <w:t>.  This includes</w:t>
      </w:r>
      <w:r w:rsidR="000669C2" w:rsidRPr="00AF3075">
        <w:t xml:space="preserve"> </w:t>
      </w:r>
      <w:r w:rsidR="008623A2" w:rsidRPr="00AF3075">
        <w:t>where women seek protection</w:t>
      </w:r>
      <w:r w:rsidR="00AB2A6F" w:rsidRPr="00AF3075">
        <w:t xml:space="preserve"> orders</w:t>
      </w:r>
      <w:r w:rsidR="008623A2" w:rsidRPr="00AF3075">
        <w:t xml:space="preserve"> against violent perpetrators to ensure their physical and mental integrity</w:t>
      </w:r>
      <w:r w:rsidR="006813AD" w:rsidRPr="00AF3075">
        <w:t>.</w:t>
      </w:r>
      <w:r w:rsidR="000669C2" w:rsidRPr="00AF3075">
        <w:t xml:space="preserve">  </w:t>
      </w:r>
      <w:r w:rsidR="0021100B" w:rsidRPr="00AF3075">
        <w:t xml:space="preserve">In such cases, women </w:t>
      </w:r>
      <w:r w:rsidR="00D572CB" w:rsidRPr="00AF3075">
        <w:t>may</w:t>
      </w:r>
      <w:r w:rsidR="0021100B" w:rsidRPr="00AF3075">
        <w:t xml:space="preserve"> n</w:t>
      </w:r>
      <w:r w:rsidR="000669C2" w:rsidRPr="00AF3075">
        <w:t xml:space="preserve">ot only </w:t>
      </w:r>
      <w:r w:rsidR="00D572CB" w:rsidRPr="00AF3075">
        <w:t xml:space="preserve">be </w:t>
      </w:r>
      <w:r w:rsidR="0021100B" w:rsidRPr="00AF3075">
        <w:t xml:space="preserve">denied </w:t>
      </w:r>
      <w:r w:rsidR="00610F84">
        <w:t>justice</w:t>
      </w:r>
      <w:r w:rsidR="0021100B" w:rsidRPr="00AF3075">
        <w:t xml:space="preserve">, but </w:t>
      </w:r>
      <w:r w:rsidR="00D572CB" w:rsidRPr="00AF3075">
        <w:t>may</w:t>
      </w:r>
      <w:r w:rsidR="0021100B" w:rsidRPr="00AF3075">
        <w:t xml:space="preserve"> also </w:t>
      </w:r>
      <w:r w:rsidR="00D572CB" w:rsidRPr="00AF3075">
        <w:t xml:space="preserve">be </w:t>
      </w:r>
      <w:r w:rsidR="003C5535">
        <w:t xml:space="preserve">at risk of </w:t>
      </w:r>
      <w:r w:rsidR="000669C2" w:rsidRPr="00AF3075">
        <w:t>further acts of violenc</w:t>
      </w:r>
      <w:r w:rsidR="00610F84">
        <w:t>e</w:t>
      </w:r>
      <w:r w:rsidR="00AD2FFE">
        <w:t xml:space="preserve">. </w:t>
      </w:r>
      <w:r w:rsidR="00162D48" w:rsidRPr="00AF3075">
        <w:t xml:space="preserve">Judicial stereotyping can also </w:t>
      </w:r>
      <w:r w:rsidR="00AD2FFE">
        <w:t>undermine</w:t>
      </w:r>
      <w:r w:rsidR="00162D48" w:rsidRPr="00AF3075">
        <w:t xml:space="preserve"> the ability of women to exercise and enforce other rights guaranteed by law.  An example is where women seek custody </w:t>
      </w:r>
      <w:r w:rsidR="00D572CB" w:rsidRPr="00AF3075">
        <w:t xml:space="preserve">or supervised visits </w:t>
      </w:r>
      <w:r w:rsidR="00162D48" w:rsidRPr="00AF3075">
        <w:t>of their children to protect them</w:t>
      </w:r>
      <w:r w:rsidR="004A409E" w:rsidRPr="00AF3075">
        <w:t>selves and their children</w:t>
      </w:r>
      <w:r w:rsidR="00162D48" w:rsidRPr="00AF3075">
        <w:t xml:space="preserve"> </w:t>
      </w:r>
      <w:r w:rsidR="00383C24">
        <w:t xml:space="preserve">against </w:t>
      </w:r>
      <w:r w:rsidR="00162D48" w:rsidRPr="00AF3075">
        <w:t>violent perpetrators.  When judges</w:t>
      </w:r>
      <w:r w:rsidR="00A63A1D" w:rsidRPr="00AF3075">
        <w:t xml:space="preserve"> make determinations about the care and custody of children based on stereotypes, rather than facts in evidence </w:t>
      </w:r>
      <w:r w:rsidR="00063FC5" w:rsidRPr="00AF3075">
        <w:t xml:space="preserve">about </w:t>
      </w:r>
      <w:r w:rsidR="00A30551" w:rsidRPr="00AF3075">
        <w:t xml:space="preserve">the </w:t>
      </w:r>
      <w:r w:rsidR="00610F84">
        <w:t>occurrence</w:t>
      </w:r>
      <w:r w:rsidR="00610F84" w:rsidRPr="00AF3075">
        <w:t xml:space="preserve"> </w:t>
      </w:r>
      <w:r w:rsidR="00063FC5" w:rsidRPr="00AF3075">
        <w:t>of or potential for violence</w:t>
      </w:r>
      <w:r w:rsidR="00A63A1D" w:rsidRPr="00AF3075">
        <w:t>,</w:t>
      </w:r>
      <w:r w:rsidR="00162D48" w:rsidRPr="00AF3075">
        <w:t xml:space="preserve"> they risk prioritising </w:t>
      </w:r>
      <w:r w:rsidR="00162D48" w:rsidRPr="00AF3075">
        <w:rPr>
          <w:iCs/>
        </w:rPr>
        <w:t xml:space="preserve">the rights of perpetrators over the rights </w:t>
      </w:r>
      <w:r w:rsidR="00A63A1D" w:rsidRPr="00AF3075">
        <w:rPr>
          <w:iCs/>
        </w:rPr>
        <w:t xml:space="preserve">and safety </w:t>
      </w:r>
      <w:r w:rsidR="00162D48" w:rsidRPr="00AF3075">
        <w:rPr>
          <w:iCs/>
        </w:rPr>
        <w:t>of women and children.</w:t>
      </w:r>
    </w:p>
    <w:tbl>
      <w:tblPr>
        <w:tblStyle w:val="TableGrid"/>
        <w:tblW w:w="0" w:type="auto"/>
        <w:tblLook w:val="04A0" w:firstRow="1" w:lastRow="0" w:firstColumn="1" w:lastColumn="0" w:noHBand="0" w:noVBand="1"/>
      </w:tblPr>
      <w:tblGrid>
        <w:gridCol w:w="8516"/>
      </w:tblGrid>
      <w:tr w:rsidR="005467E4" w:rsidRPr="00AF3075" w14:paraId="48D26709" w14:textId="77777777" w:rsidTr="005467E4">
        <w:tc>
          <w:tcPr>
            <w:tcW w:w="8516" w:type="dxa"/>
            <w:tcBorders>
              <w:top w:val="nil"/>
              <w:left w:val="nil"/>
              <w:bottom w:val="nil"/>
              <w:right w:val="nil"/>
            </w:tcBorders>
            <w:shd w:val="clear" w:color="auto" w:fill="D3E5F6" w:themeFill="accent2" w:themeFillTint="33"/>
          </w:tcPr>
          <w:p w14:paraId="223C3309" w14:textId="6221C49B" w:rsidR="00063FC5" w:rsidRPr="00AF3075" w:rsidRDefault="000154E5" w:rsidP="000154E5">
            <w:pPr>
              <w:shd w:val="clear" w:color="auto" w:fill="D3E5F6" w:themeFill="accent2" w:themeFillTint="33"/>
              <w:spacing w:before="120" w:after="120"/>
              <w:jc w:val="center"/>
              <w:rPr>
                <w:rStyle w:val="SubtleEmphasis"/>
              </w:rPr>
            </w:pPr>
            <w:r w:rsidRPr="00AF3075">
              <w:rPr>
                <w:rStyle w:val="SubtleEmphasis"/>
              </w:rPr>
              <w:t xml:space="preserve">Violent perpetrator murdered daughter after </w:t>
            </w:r>
            <w:r w:rsidR="003F51B5" w:rsidRPr="00AF3075">
              <w:rPr>
                <w:rStyle w:val="SubtleEmphasis"/>
              </w:rPr>
              <w:t xml:space="preserve">Spanish </w:t>
            </w:r>
            <w:r w:rsidR="001E639C" w:rsidRPr="00AF3075">
              <w:rPr>
                <w:rStyle w:val="SubtleEmphasis"/>
              </w:rPr>
              <w:t xml:space="preserve">court </w:t>
            </w:r>
            <w:r w:rsidRPr="00AF3075">
              <w:rPr>
                <w:rStyle w:val="SubtleEmphasis"/>
              </w:rPr>
              <w:t>granted unsupervised visit</w:t>
            </w:r>
            <w:r w:rsidR="001E639C" w:rsidRPr="00AF3075">
              <w:rPr>
                <w:rStyle w:val="SubtleEmphasis"/>
              </w:rPr>
              <w:t>s</w:t>
            </w:r>
          </w:p>
          <w:p w14:paraId="2E45626D" w14:textId="01744447" w:rsidR="002204CD" w:rsidRPr="00AF3075" w:rsidRDefault="005467E4" w:rsidP="005467E4">
            <w:pPr>
              <w:shd w:val="clear" w:color="auto" w:fill="D3E5F6" w:themeFill="accent2" w:themeFillTint="33"/>
              <w:spacing w:before="120" w:after="120"/>
              <w:rPr>
                <w:iCs/>
                <w:color w:val="000000" w:themeColor="text1"/>
                <w:sz w:val="22"/>
              </w:rPr>
            </w:pPr>
            <w:r w:rsidRPr="00AF3075">
              <w:rPr>
                <w:iCs/>
                <w:color w:val="000000" w:themeColor="text1"/>
                <w:sz w:val="22"/>
              </w:rPr>
              <w:t>In</w:t>
            </w:r>
            <w:r w:rsidR="000154E5" w:rsidRPr="00AF3075">
              <w:rPr>
                <w:iCs/>
                <w:color w:val="000000" w:themeColor="text1"/>
                <w:sz w:val="22"/>
              </w:rPr>
              <w:t xml:space="preserve"> 1999, after more than 20 years of domestic violence,</w:t>
            </w:r>
            <w:r w:rsidRPr="00AF3075">
              <w:rPr>
                <w:iCs/>
                <w:color w:val="000000" w:themeColor="text1"/>
                <w:sz w:val="22"/>
              </w:rPr>
              <w:t xml:space="preserve"> Ángela González Carreño</w:t>
            </w:r>
            <w:r w:rsidR="000154E5" w:rsidRPr="00AF3075">
              <w:rPr>
                <w:iCs/>
                <w:color w:val="000000" w:themeColor="text1"/>
                <w:sz w:val="22"/>
              </w:rPr>
              <w:t xml:space="preserve"> left </w:t>
            </w:r>
            <w:r w:rsidR="00AD2FFE">
              <w:rPr>
                <w:iCs/>
                <w:color w:val="000000" w:themeColor="text1"/>
                <w:sz w:val="22"/>
              </w:rPr>
              <w:t xml:space="preserve">Felipe </w:t>
            </w:r>
            <w:r w:rsidR="000154E5" w:rsidRPr="00AF3075">
              <w:rPr>
                <w:iCs/>
                <w:color w:val="000000" w:themeColor="text1"/>
                <w:sz w:val="22"/>
              </w:rPr>
              <w:t>Rasc</w:t>
            </w:r>
            <w:r w:rsidR="002204CD" w:rsidRPr="00AF3075">
              <w:rPr>
                <w:iCs/>
                <w:color w:val="000000" w:themeColor="text1"/>
                <w:sz w:val="22"/>
              </w:rPr>
              <w:t>ón</w:t>
            </w:r>
            <w:r w:rsidR="000154E5" w:rsidRPr="00AF3075">
              <w:rPr>
                <w:iCs/>
                <w:color w:val="000000" w:themeColor="text1"/>
                <w:sz w:val="22"/>
              </w:rPr>
              <w:t xml:space="preserve">. </w:t>
            </w:r>
            <w:r w:rsidR="002204CD" w:rsidRPr="00AF3075">
              <w:rPr>
                <w:iCs/>
                <w:color w:val="000000" w:themeColor="text1"/>
                <w:sz w:val="22"/>
              </w:rPr>
              <w:t xml:space="preserve"> </w:t>
            </w:r>
            <w:r w:rsidR="009F6C8C" w:rsidRPr="00AF3075">
              <w:rPr>
                <w:iCs/>
                <w:color w:val="000000" w:themeColor="text1"/>
                <w:sz w:val="22"/>
              </w:rPr>
              <w:t>S</w:t>
            </w:r>
            <w:r w:rsidR="002204CD" w:rsidRPr="00AF3075">
              <w:rPr>
                <w:iCs/>
                <w:color w:val="000000" w:themeColor="text1"/>
                <w:sz w:val="22"/>
              </w:rPr>
              <w:t xml:space="preserve">he </w:t>
            </w:r>
            <w:r w:rsidR="000154E5" w:rsidRPr="00AF3075">
              <w:rPr>
                <w:iCs/>
                <w:color w:val="000000" w:themeColor="text1"/>
                <w:sz w:val="22"/>
              </w:rPr>
              <w:t>sought the assist</w:t>
            </w:r>
            <w:r w:rsidR="002204CD" w:rsidRPr="00AF3075">
              <w:rPr>
                <w:iCs/>
                <w:color w:val="000000" w:themeColor="text1"/>
                <w:sz w:val="22"/>
              </w:rPr>
              <w:t>ance</w:t>
            </w:r>
            <w:r w:rsidR="000154E5" w:rsidRPr="00AF3075">
              <w:rPr>
                <w:iCs/>
                <w:color w:val="000000" w:themeColor="text1"/>
                <w:sz w:val="22"/>
              </w:rPr>
              <w:t xml:space="preserve"> of Spanish authorities </w:t>
            </w:r>
            <w:r w:rsidR="009F6C8C" w:rsidRPr="00AF3075">
              <w:rPr>
                <w:iCs/>
                <w:color w:val="000000" w:themeColor="text1"/>
                <w:sz w:val="22"/>
              </w:rPr>
              <w:t xml:space="preserve">on multiple occasions </w:t>
            </w:r>
            <w:r w:rsidR="002204CD" w:rsidRPr="00AF3075">
              <w:rPr>
                <w:iCs/>
                <w:color w:val="000000" w:themeColor="text1"/>
                <w:sz w:val="22"/>
              </w:rPr>
              <w:t>to ensure the safety of herself and her daughter</w:t>
            </w:r>
            <w:r w:rsidR="00631828" w:rsidRPr="00AF3075">
              <w:rPr>
                <w:iCs/>
                <w:color w:val="000000" w:themeColor="text1"/>
                <w:sz w:val="22"/>
              </w:rPr>
              <w:t xml:space="preserve"> Andrea</w:t>
            </w:r>
            <w:r w:rsidR="002204CD" w:rsidRPr="00AF3075">
              <w:rPr>
                <w:iCs/>
                <w:color w:val="000000" w:themeColor="text1"/>
                <w:sz w:val="22"/>
              </w:rPr>
              <w:t xml:space="preserve">.  This included </w:t>
            </w:r>
            <w:r w:rsidR="009F6C8C" w:rsidRPr="00AF3075">
              <w:rPr>
                <w:iCs/>
                <w:color w:val="000000" w:themeColor="text1"/>
                <w:sz w:val="22"/>
              </w:rPr>
              <w:t>a request that</w:t>
            </w:r>
            <w:r w:rsidR="002204CD" w:rsidRPr="00AF3075">
              <w:rPr>
                <w:iCs/>
                <w:color w:val="000000" w:themeColor="text1"/>
                <w:sz w:val="22"/>
              </w:rPr>
              <w:t xml:space="preserve"> domestic courts </w:t>
            </w:r>
            <w:r w:rsidR="009F6C8C" w:rsidRPr="00AF3075">
              <w:rPr>
                <w:iCs/>
                <w:color w:val="000000" w:themeColor="text1"/>
                <w:sz w:val="22"/>
              </w:rPr>
              <w:t xml:space="preserve">specify </w:t>
            </w:r>
            <w:r w:rsidR="002204CD" w:rsidRPr="00AF3075">
              <w:rPr>
                <w:iCs/>
                <w:color w:val="000000" w:themeColor="text1"/>
                <w:sz w:val="22"/>
              </w:rPr>
              <w:t xml:space="preserve">that Rascón could only </w:t>
            </w:r>
            <w:r w:rsidR="009F6C8C" w:rsidRPr="00AF3075">
              <w:rPr>
                <w:iCs/>
                <w:color w:val="000000" w:themeColor="text1"/>
                <w:sz w:val="22"/>
              </w:rPr>
              <w:t xml:space="preserve">have supervised visits with </w:t>
            </w:r>
            <w:r w:rsidR="002204CD" w:rsidRPr="00AF3075">
              <w:rPr>
                <w:iCs/>
                <w:color w:val="000000" w:themeColor="text1"/>
                <w:sz w:val="22"/>
              </w:rPr>
              <w:t xml:space="preserve">Andrea.  In April 2003, during an unsupervised visit, Rascón murdered his </w:t>
            </w:r>
            <w:r w:rsidR="009F6C8C" w:rsidRPr="00AF3075">
              <w:rPr>
                <w:iCs/>
                <w:color w:val="000000" w:themeColor="text1"/>
                <w:sz w:val="22"/>
              </w:rPr>
              <w:t>six-year-old</w:t>
            </w:r>
            <w:r w:rsidR="002204CD" w:rsidRPr="00AF3075">
              <w:rPr>
                <w:iCs/>
                <w:color w:val="000000" w:themeColor="text1"/>
                <w:sz w:val="22"/>
              </w:rPr>
              <w:t xml:space="preserve"> daughter and then committed suicide. </w:t>
            </w:r>
          </w:p>
          <w:p w14:paraId="6531BA2E" w14:textId="431B8FE7" w:rsidR="00AE3C00" w:rsidRPr="00AF3075" w:rsidRDefault="0002778D" w:rsidP="00196D1D">
            <w:pPr>
              <w:shd w:val="clear" w:color="auto" w:fill="D3E5F6" w:themeFill="accent2" w:themeFillTint="33"/>
              <w:spacing w:before="120" w:after="120"/>
              <w:rPr>
                <w:iCs/>
                <w:color w:val="000000" w:themeColor="text1"/>
              </w:rPr>
            </w:pPr>
            <w:r w:rsidRPr="00AF3075">
              <w:rPr>
                <w:iCs/>
                <w:color w:val="000000" w:themeColor="text1"/>
                <w:sz w:val="22"/>
              </w:rPr>
              <w:t xml:space="preserve">In 2011, </w:t>
            </w:r>
            <w:r w:rsidRPr="00A66917">
              <w:rPr>
                <w:iCs/>
                <w:color w:val="000000" w:themeColor="text1"/>
                <w:sz w:val="22"/>
              </w:rPr>
              <w:t>Ángela</w:t>
            </w:r>
            <w:r w:rsidRPr="00AF3075">
              <w:rPr>
                <w:iCs/>
                <w:color w:val="000000" w:themeColor="text1"/>
                <w:sz w:val="22"/>
              </w:rPr>
              <w:t xml:space="preserve"> submitted a communication to the CEDAW Committee.</w:t>
            </w:r>
            <w:r w:rsidR="007D0048" w:rsidRPr="00AF3075">
              <w:rPr>
                <w:rStyle w:val="FootnoteReference"/>
                <w:sz w:val="22"/>
              </w:rPr>
              <w:footnoteReference w:id="86"/>
            </w:r>
            <w:r w:rsidRPr="00AF3075">
              <w:rPr>
                <w:iCs/>
                <w:color w:val="000000" w:themeColor="text1"/>
                <w:sz w:val="22"/>
              </w:rPr>
              <w:t xml:space="preserve"> </w:t>
            </w:r>
            <w:r w:rsidR="00AD2FFE">
              <w:rPr>
                <w:iCs/>
                <w:color w:val="000000" w:themeColor="text1"/>
                <w:sz w:val="22"/>
              </w:rPr>
              <w:t xml:space="preserve"> S</w:t>
            </w:r>
            <w:r w:rsidR="00AD2FFE" w:rsidRPr="00AF3075">
              <w:rPr>
                <w:iCs/>
                <w:color w:val="000000" w:themeColor="text1"/>
                <w:sz w:val="22"/>
              </w:rPr>
              <w:t xml:space="preserve">he </w:t>
            </w:r>
            <w:r w:rsidR="001E639C" w:rsidRPr="00AF3075">
              <w:rPr>
                <w:iCs/>
                <w:color w:val="000000" w:themeColor="text1"/>
                <w:sz w:val="22"/>
              </w:rPr>
              <w:t xml:space="preserve">claimed that </w:t>
            </w:r>
            <w:r w:rsidR="00196D1D" w:rsidRPr="00AF3075">
              <w:rPr>
                <w:iCs/>
                <w:color w:val="000000" w:themeColor="text1"/>
                <w:sz w:val="22"/>
              </w:rPr>
              <w:t xml:space="preserve">Spanish </w:t>
            </w:r>
            <w:r w:rsidR="001E639C" w:rsidRPr="00AF3075">
              <w:rPr>
                <w:iCs/>
                <w:color w:val="000000" w:themeColor="text1"/>
                <w:sz w:val="22"/>
              </w:rPr>
              <w:t xml:space="preserve">courts </w:t>
            </w:r>
            <w:r w:rsidR="00A94ED3" w:rsidRPr="00AF3075">
              <w:rPr>
                <w:iCs/>
                <w:color w:val="000000" w:themeColor="text1"/>
                <w:sz w:val="22"/>
              </w:rPr>
              <w:t xml:space="preserve">had </w:t>
            </w:r>
            <w:r w:rsidR="001E639C" w:rsidRPr="00AF3075">
              <w:rPr>
                <w:iCs/>
                <w:color w:val="000000" w:themeColor="text1"/>
                <w:sz w:val="22"/>
              </w:rPr>
              <w:t>engaged in stereotyping</w:t>
            </w:r>
            <w:r w:rsidR="00A94ED3" w:rsidRPr="00AF3075">
              <w:rPr>
                <w:iCs/>
                <w:color w:val="000000" w:themeColor="text1"/>
                <w:sz w:val="22"/>
              </w:rPr>
              <w:t xml:space="preserve"> when </w:t>
            </w:r>
            <w:r w:rsidR="00196D1D" w:rsidRPr="00AF3075">
              <w:rPr>
                <w:iCs/>
                <w:color w:val="000000" w:themeColor="text1"/>
                <w:sz w:val="22"/>
              </w:rPr>
              <w:t xml:space="preserve">making determinations about </w:t>
            </w:r>
            <w:r w:rsidR="00A94ED3" w:rsidRPr="00AF3075">
              <w:rPr>
                <w:iCs/>
                <w:color w:val="000000" w:themeColor="text1"/>
                <w:sz w:val="22"/>
              </w:rPr>
              <w:t xml:space="preserve">visitations rights </w:t>
            </w:r>
            <w:r w:rsidR="00196D1D" w:rsidRPr="00AF3075">
              <w:rPr>
                <w:iCs/>
                <w:color w:val="000000" w:themeColor="text1"/>
                <w:sz w:val="22"/>
              </w:rPr>
              <w:t xml:space="preserve">to </w:t>
            </w:r>
            <w:r w:rsidR="00A94ED3" w:rsidRPr="00AF3075">
              <w:rPr>
                <w:iCs/>
                <w:color w:val="000000" w:themeColor="text1"/>
                <w:sz w:val="22"/>
              </w:rPr>
              <w:t>Andrea</w:t>
            </w:r>
            <w:r w:rsidR="001E639C" w:rsidRPr="00AF3075">
              <w:rPr>
                <w:iCs/>
                <w:color w:val="000000" w:themeColor="text1"/>
                <w:sz w:val="22"/>
              </w:rPr>
              <w:t>.</w:t>
            </w:r>
            <w:r w:rsidR="00992AF9" w:rsidRPr="00AF3075">
              <w:rPr>
                <w:iCs/>
                <w:color w:val="000000" w:themeColor="text1"/>
                <w:sz w:val="22"/>
              </w:rPr>
              <w:t xml:space="preserve">  For example, she</w:t>
            </w:r>
            <w:r w:rsidR="00F61769" w:rsidRPr="00AF3075">
              <w:rPr>
                <w:iCs/>
                <w:color w:val="000000" w:themeColor="text1"/>
                <w:sz w:val="22"/>
              </w:rPr>
              <w:t xml:space="preserve"> </w:t>
            </w:r>
            <w:r w:rsidR="00A94ED3" w:rsidRPr="00AF3075">
              <w:rPr>
                <w:iCs/>
                <w:color w:val="000000" w:themeColor="text1"/>
                <w:sz w:val="22"/>
              </w:rPr>
              <w:t xml:space="preserve">claimed </w:t>
            </w:r>
            <w:r w:rsidR="00F61769" w:rsidRPr="00AF3075">
              <w:rPr>
                <w:iCs/>
                <w:color w:val="000000" w:themeColor="text1"/>
                <w:sz w:val="22"/>
              </w:rPr>
              <w:t>that</w:t>
            </w:r>
            <w:r w:rsidR="00992AF9" w:rsidRPr="00AF3075">
              <w:rPr>
                <w:iCs/>
                <w:color w:val="000000" w:themeColor="text1"/>
                <w:sz w:val="22"/>
              </w:rPr>
              <w:t xml:space="preserve"> </w:t>
            </w:r>
            <w:r w:rsidR="00AE3C00" w:rsidRPr="00AF3075">
              <w:rPr>
                <w:rFonts w:cs="Times New Roman"/>
                <w:sz w:val="22"/>
                <w:szCs w:val="20"/>
              </w:rPr>
              <w:t xml:space="preserve">the authorities </w:t>
            </w:r>
            <w:r w:rsidR="00196D1D" w:rsidRPr="00AF3075">
              <w:rPr>
                <w:rFonts w:cs="Times New Roman"/>
                <w:sz w:val="22"/>
                <w:szCs w:val="20"/>
              </w:rPr>
              <w:t>‘</w:t>
            </w:r>
            <w:r w:rsidR="00AE3C00" w:rsidRPr="00AF3075">
              <w:rPr>
                <w:rFonts w:cs="Times New Roman"/>
                <w:sz w:val="22"/>
                <w:szCs w:val="20"/>
              </w:rPr>
              <w:t>gave credence to the stereotype that any father, even an abusive one, should enjoy visiting rights without effectively po</w:t>
            </w:r>
            <w:r w:rsidR="00383C24">
              <w:rPr>
                <w:rFonts w:cs="Times New Roman"/>
                <w:sz w:val="22"/>
                <w:szCs w:val="20"/>
              </w:rPr>
              <w:t>ndering the rights of the minor’.</w:t>
            </w:r>
            <w:r w:rsidR="00196D1D" w:rsidRPr="00AF3075">
              <w:rPr>
                <w:rFonts w:cs="Times New Roman"/>
                <w:sz w:val="22"/>
                <w:szCs w:val="20"/>
              </w:rPr>
              <w:t xml:space="preserve">  She continued:</w:t>
            </w:r>
          </w:p>
          <w:p w14:paraId="65EEB245" w14:textId="136C72A1" w:rsidR="00AE3C00" w:rsidRPr="00AF3075" w:rsidRDefault="00AE3C00" w:rsidP="00A66917">
            <w:pPr>
              <w:widowControl w:val="0"/>
              <w:tabs>
                <w:tab w:val="left" w:pos="220"/>
                <w:tab w:val="left" w:pos="720"/>
              </w:tabs>
              <w:autoSpaceDE w:val="0"/>
              <w:autoSpaceDN w:val="0"/>
              <w:adjustRightInd w:val="0"/>
              <w:spacing w:before="120" w:after="120"/>
              <w:ind w:left="284"/>
              <w:rPr>
                <w:rFonts w:eastAsiaTheme="majorEastAsia" w:cs="Times New Roman"/>
                <w:i/>
                <w:iCs/>
                <w:color w:val="404040" w:themeColor="text1" w:themeTint="BF"/>
                <w:sz w:val="20"/>
                <w:szCs w:val="20"/>
              </w:rPr>
            </w:pPr>
            <w:r w:rsidRPr="00AF3075">
              <w:rPr>
                <w:rFonts w:cs="Times New Roman"/>
                <w:sz w:val="20"/>
                <w:szCs w:val="20"/>
              </w:rPr>
              <w:t xml:space="preserve">Stereotyping and prejudice </w:t>
            </w:r>
            <w:r w:rsidR="000C68C7">
              <w:rPr>
                <w:rFonts w:cs="Times New Roman"/>
                <w:sz w:val="20"/>
                <w:szCs w:val="20"/>
              </w:rPr>
              <w:t>…</w:t>
            </w:r>
            <w:r w:rsidR="000C68C7" w:rsidRPr="00AF3075">
              <w:rPr>
                <w:rFonts w:cs="Times New Roman"/>
                <w:sz w:val="20"/>
                <w:szCs w:val="20"/>
              </w:rPr>
              <w:t xml:space="preserve"> </w:t>
            </w:r>
            <w:r w:rsidRPr="00AF3075">
              <w:rPr>
                <w:rFonts w:cs="Times New Roman"/>
                <w:sz w:val="20"/>
                <w:szCs w:val="20"/>
              </w:rPr>
              <w:t xml:space="preserve">played a fundamental role in the attitude of the courts and other authorities that favored the right of the batterer to periodic visits with his daughter, despite the ongoing violence he exercised over her and the author and without consideration to his failure to comply with his legal obligations, such as the payment of child support….  National courts based their decisions on the prejudice that it is always best to allow for visitation rights even when there are indications, or it is proven, that the parent is violent and abusive.  Concretely, the courts were influenced by the stereotyped notion that children are always better off if they are raised by both a father and a mother. </w:t>
            </w:r>
            <w:r w:rsidR="00042DCF" w:rsidRPr="00AF3075">
              <w:rPr>
                <w:rFonts w:cs="Times New Roman"/>
                <w:sz w:val="20"/>
                <w:szCs w:val="20"/>
              </w:rPr>
              <w:t xml:space="preserve"> </w:t>
            </w:r>
            <w:r w:rsidRPr="00AF3075">
              <w:rPr>
                <w:rFonts w:cs="Times New Roman"/>
                <w:sz w:val="20"/>
                <w:szCs w:val="20"/>
              </w:rPr>
              <w:t xml:space="preserve">The courts also took for granted that being in relation with a violent father is better than not being in contact with him…. </w:t>
            </w:r>
          </w:p>
          <w:p w14:paraId="6E5B1E4C" w14:textId="42763892" w:rsidR="005467E4" w:rsidRPr="00AF3075" w:rsidRDefault="00042DCF" w:rsidP="00042DCF">
            <w:pPr>
              <w:shd w:val="clear" w:color="auto" w:fill="D3E5F6" w:themeFill="accent2" w:themeFillTint="33"/>
              <w:spacing w:before="120" w:after="120"/>
              <w:rPr>
                <w:iCs/>
                <w:color w:val="000000" w:themeColor="text1"/>
                <w:sz w:val="22"/>
              </w:rPr>
            </w:pPr>
            <w:r w:rsidRPr="00AF3075">
              <w:rPr>
                <w:iCs/>
                <w:color w:val="000000" w:themeColor="text1"/>
                <w:sz w:val="22"/>
              </w:rPr>
              <w:t>To support the communication</w:t>
            </w:r>
            <w:r w:rsidR="005467E4" w:rsidRPr="00AF3075">
              <w:rPr>
                <w:iCs/>
                <w:color w:val="000000" w:themeColor="text1"/>
                <w:sz w:val="22"/>
              </w:rPr>
              <w:t xml:space="preserve">, </w:t>
            </w:r>
            <w:r w:rsidRPr="00AF3075">
              <w:rPr>
                <w:iCs/>
                <w:color w:val="000000" w:themeColor="text1"/>
                <w:sz w:val="22"/>
              </w:rPr>
              <w:t xml:space="preserve">Ángela’s </w:t>
            </w:r>
            <w:r w:rsidR="005467E4" w:rsidRPr="00AF3075">
              <w:rPr>
                <w:iCs/>
                <w:color w:val="000000" w:themeColor="text1"/>
                <w:sz w:val="22"/>
              </w:rPr>
              <w:t>legal representatives invited several experts to submit briefs to the CEDAW Committee.  One brief focused on stereotyping, including how it can undermine access to justice for victims.</w:t>
            </w:r>
            <w:r w:rsidR="005467E4" w:rsidRPr="00AF3075">
              <w:rPr>
                <w:rStyle w:val="FootnoteReference"/>
                <w:iCs/>
                <w:color w:val="000000" w:themeColor="text1"/>
                <w:sz w:val="22"/>
              </w:rPr>
              <w:footnoteReference w:id="87"/>
            </w:r>
            <w:r w:rsidR="005467E4" w:rsidRPr="00AF3075">
              <w:rPr>
                <w:iCs/>
                <w:color w:val="000000" w:themeColor="text1"/>
                <w:sz w:val="22"/>
              </w:rPr>
              <w:t xml:space="preserve"> </w:t>
            </w:r>
            <w:r w:rsidRPr="00AF3075">
              <w:rPr>
                <w:iCs/>
                <w:color w:val="000000" w:themeColor="text1"/>
                <w:sz w:val="22"/>
              </w:rPr>
              <w:t xml:space="preserve"> </w:t>
            </w:r>
            <w:r w:rsidR="005467E4" w:rsidRPr="00AF3075">
              <w:rPr>
                <w:iCs/>
                <w:color w:val="000000" w:themeColor="text1"/>
                <w:sz w:val="22"/>
              </w:rPr>
              <w:t>In addressing the role of judicial stereotyping in child custody decisions where one parent is violent, the brief noted that</w:t>
            </w:r>
          </w:p>
          <w:p w14:paraId="38A649BD" w14:textId="77777777" w:rsidR="005467E4" w:rsidRPr="00AF3075" w:rsidRDefault="005467E4" w:rsidP="005467E4">
            <w:pPr>
              <w:shd w:val="clear" w:color="auto" w:fill="D3E5F6" w:themeFill="accent2" w:themeFillTint="33"/>
              <w:spacing w:before="120" w:after="120"/>
              <w:ind w:left="284"/>
              <w:rPr>
                <w:iCs/>
                <w:color w:val="000000" w:themeColor="text1"/>
                <w:sz w:val="22"/>
              </w:rPr>
            </w:pPr>
            <w:proofErr w:type="gramStart"/>
            <w:r w:rsidRPr="00AF3075">
              <w:rPr>
                <w:iCs/>
                <w:color w:val="000000" w:themeColor="text1"/>
                <w:sz w:val="20"/>
              </w:rPr>
              <w:t>stereotypes</w:t>
            </w:r>
            <w:proofErr w:type="gramEnd"/>
            <w:r w:rsidRPr="00AF3075">
              <w:rPr>
                <w:iCs/>
                <w:color w:val="000000" w:themeColor="text1"/>
                <w:sz w:val="20"/>
              </w:rPr>
              <w:t xml:space="preserve"> related to the so-called ‘inherent’ and ‘natural’ differences between women and men are sometimes relied upon in support of the claim that women and men make unique contributions to childrearing.  The inference intended to be drawn from such stereotypes is that the involvement of both parents in the care and custody of a child is important to his or her overall development and well-being.  Stereotypes about the roles of women and men within marriage and family relations may also be relied upon at times, including the stereotype that men are heads of households, which implies that their wishes and desires should be prioritised over those of women and their children.  When such stereotypes are relied upon in determinations concerning the care and custody of children where there has been a history of domestic violence, there is a risk that the rights of the perpetrator will be prioritised over the rights to life and physical and mental integrity of the female victim/survivor and the best interests of her child.  </w:t>
            </w:r>
          </w:p>
          <w:p w14:paraId="5E67A283" w14:textId="4352692B" w:rsidR="005467E4" w:rsidRPr="00AF3075" w:rsidRDefault="005467E4" w:rsidP="00CD2113">
            <w:pPr>
              <w:spacing w:before="120" w:after="120"/>
            </w:pPr>
            <w:r w:rsidRPr="00AF3075">
              <w:rPr>
                <w:iCs/>
                <w:color w:val="000000" w:themeColor="text1"/>
                <w:sz w:val="22"/>
              </w:rPr>
              <w:t>The CEDAW Committee</w:t>
            </w:r>
            <w:r w:rsidR="00CD2113" w:rsidRPr="00AF3075">
              <w:rPr>
                <w:iCs/>
                <w:color w:val="000000" w:themeColor="text1"/>
                <w:sz w:val="22"/>
              </w:rPr>
              <w:t xml:space="preserve"> has not yet reached a decision </w:t>
            </w:r>
            <w:r w:rsidRPr="00AF3075">
              <w:rPr>
                <w:iCs/>
                <w:color w:val="000000" w:themeColor="text1"/>
                <w:sz w:val="22"/>
              </w:rPr>
              <w:t>in</w:t>
            </w:r>
            <w:r w:rsidR="00CD2113" w:rsidRPr="00AF3075">
              <w:rPr>
                <w:iCs/>
                <w:color w:val="000000" w:themeColor="text1"/>
                <w:sz w:val="22"/>
              </w:rPr>
              <w:t xml:space="preserve"> this case.</w:t>
            </w:r>
          </w:p>
        </w:tc>
      </w:tr>
      <w:bookmarkEnd w:id="12"/>
    </w:tbl>
    <w:p w14:paraId="2024C801" w14:textId="139A281D" w:rsidR="0056282B" w:rsidRPr="00AF3075" w:rsidRDefault="0056282B" w:rsidP="0056282B"/>
    <w:p w14:paraId="37E5258F" w14:textId="2E600351" w:rsidR="00247C67" w:rsidRPr="00AF3075" w:rsidRDefault="00E4302C" w:rsidP="000413CD">
      <w:pPr>
        <w:sectPr w:rsidR="00247C67" w:rsidRPr="00AF3075" w:rsidSect="00313734">
          <w:endnotePr>
            <w:numFmt w:val="decimal"/>
            <w:numRestart w:val="eachSect"/>
          </w:endnotePr>
          <w:pgSz w:w="11900" w:h="16840"/>
          <w:pgMar w:top="1440" w:right="1800" w:bottom="1440" w:left="1800" w:header="708" w:footer="708" w:gutter="0"/>
          <w:cols w:space="708"/>
          <w:docGrid w:linePitch="360"/>
        </w:sectPr>
      </w:pPr>
      <w:r w:rsidRPr="00AF3075">
        <w:br w:type="page"/>
      </w:r>
      <w:bookmarkStart w:id="22" w:name="_Toc234329267"/>
    </w:p>
    <w:p w14:paraId="6CDEA228" w14:textId="3971E399" w:rsidR="00247C67" w:rsidRPr="00AF3075" w:rsidRDefault="00D510D5" w:rsidP="00797B12">
      <w:pPr>
        <w:pStyle w:val="Heading1"/>
        <w:rPr>
          <w:rFonts w:ascii="Candara" w:hAnsi="Candara"/>
        </w:rPr>
      </w:pPr>
      <w:bookmarkStart w:id="23" w:name="_Toc263972395"/>
      <w:r w:rsidRPr="00AF3075">
        <w:rPr>
          <w:rFonts w:ascii="Candara" w:hAnsi="Candara"/>
        </w:rPr>
        <w:t>5</w:t>
      </w:r>
      <w:r w:rsidR="00247C67" w:rsidRPr="00AF3075">
        <w:rPr>
          <w:rFonts w:ascii="Candara" w:hAnsi="Candara"/>
        </w:rPr>
        <w:t xml:space="preserve">. </w:t>
      </w:r>
      <w:r w:rsidR="005C0EA6" w:rsidRPr="00AF3075">
        <w:rPr>
          <w:rFonts w:ascii="Candara" w:hAnsi="Candara"/>
        </w:rPr>
        <w:t xml:space="preserve">Strategies </w:t>
      </w:r>
      <w:r w:rsidR="000413CD" w:rsidRPr="00AF3075">
        <w:rPr>
          <w:rFonts w:ascii="Candara" w:hAnsi="Candara"/>
        </w:rPr>
        <w:t xml:space="preserve">for eliminating </w:t>
      </w:r>
      <w:r w:rsidR="00247C67" w:rsidRPr="00AF3075">
        <w:rPr>
          <w:rFonts w:ascii="Candara" w:hAnsi="Candara"/>
        </w:rPr>
        <w:t>stereotyping</w:t>
      </w:r>
      <w:bookmarkEnd w:id="22"/>
      <w:r w:rsidR="00520586" w:rsidRPr="00AF3075">
        <w:rPr>
          <w:rFonts w:ascii="Candara" w:hAnsi="Candara"/>
        </w:rPr>
        <w:t xml:space="preserve"> in gender-based violence cases</w:t>
      </w:r>
      <w:bookmarkEnd w:id="23"/>
      <w:r w:rsidR="00520586" w:rsidRPr="00AF3075">
        <w:rPr>
          <w:rFonts w:ascii="Candara" w:hAnsi="Candara"/>
        </w:rPr>
        <w:t xml:space="preserve"> </w:t>
      </w:r>
    </w:p>
    <w:p w14:paraId="49D33B14" w14:textId="78C9DA3B" w:rsidR="008330C3" w:rsidRPr="00AF3075" w:rsidRDefault="0037187A" w:rsidP="0056282B">
      <w:bookmarkStart w:id="24" w:name="_Toc234329268"/>
      <w:r w:rsidRPr="00AF3075">
        <w:t>Addressing judicial stereotyping in gender-based violence cases is crucial to ensuring justice</w:t>
      </w:r>
      <w:r w:rsidR="005A6E05" w:rsidRPr="00AF3075">
        <w:t xml:space="preserve"> for women</w:t>
      </w:r>
      <w:r w:rsidRPr="00AF3075">
        <w:t>.</w:t>
      </w:r>
      <w:r w:rsidR="00D324DF" w:rsidRPr="00AF3075">
        <w:t xml:space="preserve"> </w:t>
      </w:r>
      <w:r w:rsidR="00FA47AF">
        <w:t xml:space="preserve"> </w:t>
      </w:r>
      <w:r w:rsidR="00AF4070" w:rsidRPr="00AF3075">
        <w:t>Human rights advocates can play a</w:t>
      </w:r>
      <w:r w:rsidR="00764B5D" w:rsidRPr="00AF3075">
        <w:t xml:space="preserve"> crucial </w:t>
      </w:r>
      <w:r w:rsidR="00AF4070" w:rsidRPr="00AF3075">
        <w:t xml:space="preserve">role in </w:t>
      </w:r>
      <w:r w:rsidR="008801A0" w:rsidRPr="00AF3075">
        <w:t>preventing and challenging</w:t>
      </w:r>
      <w:r w:rsidR="00AF4070" w:rsidRPr="00AF3075">
        <w:t xml:space="preserve"> </w:t>
      </w:r>
      <w:r w:rsidR="00FB37DA" w:rsidRPr="00AF3075">
        <w:t xml:space="preserve">such </w:t>
      </w:r>
      <w:r w:rsidR="00AF4070" w:rsidRPr="00AF3075">
        <w:t xml:space="preserve">stereotyping. </w:t>
      </w:r>
      <w:r w:rsidR="004C39EC" w:rsidRPr="00AF3075">
        <w:t xml:space="preserve"> </w:t>
      </w:r>
      <w:r w:rsidR="002C69E9">
        <w:t>Section</w:t>
      </w:r>
      <w:r w:rsidR="002D480F" w:rsidRPr="00AF3075">
        <w:t xml:space="preserve"> </w:t>
      </w:r>
      <w:r w:rsidR="00D510D5" w:rsidRPr="00AF3075">
        <w:t>5</w:t>
      </w:r>
      <w:r w:rsidR="008330C3" w:rsidRPr="00AF3075">
        <w:t xml:space="preserve"> identifies strategies that advocates might use and highlights </w:t>
      </w:r>
      <w:r w:rsidR="00764B5D" w:rsidRPr="00AF3075">
        <w:t xml:space="preserve">how </w:t>
      </w:r>
      <w:r w:rsidR="005F71D3" w:rsidRPr="00AF3075">
        <w:t xml:space="preserve">they have been </w:t>
      </w:r>
      <w:r w:rsidR="004C39EC" w:rsidRPr="00AF3075">
        <w:t>applied</w:t>
      </w:r>
      <w:r w:rsidR="005F71D3" w:rsidRPr="00AF3075">
        <w:t xml:space="preserve"> </w:t>
      </w:r>
      <w:r w:rsidR="008330C3" w:rsidRPr="00AF3075">
        <w:t>in practice.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
        <w:gridCol w:w="8124"/>
      </w:tblGrid>
      <w:tr w:rsidR="009F0DBD" w:rsidRPr="00AF3075" w14:paraId="4C368135" w14:textId="77777777" w:rsidTr="005B02E8">
        <w:tc>
          <w:tcPr>
            <w:tcW w:w="392" w:type="dxa"/>
            <w:tcBorders>
              <w:bottom w:val="single" w:sz="4" w:space="0" w:color="4A66AC" w:themeColor="accent4"/>
              <w:right w:val="single" w:sz="4" w:space="0" w:color="4A66AC" w:themeColor="accent4"/>
            </w:tcBorders>
          </w:tcPr>
          <w:p w14:paraId="45F3181D" w14:textId="02B93382"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1</w:t>
            </w:r>
            <w:r w:rsidR="005B02E8" w:rsidRPr="00AF3075">
              <w:rPr>
                <w:b/>
                <w:color w:val="374C80" w:themeColor="accent4" w:themeShade="BF"/>
                <w:sz w:val="21"/>
                <w:szCs w:val="21"/>
              </w:rPr>
              <w:t>.</w:t>
            </w:r>
          </w:p>
        </w:tc>
        <w:tc>
          <w:tcPr>
            <w:tcW w:w="8124" w:type="dxa"/>
            <w:tcBorders>
              <w:left w:val="single" w:sz="4" w:space="0" w:color="4A66AC" w:themeColor="accent4"/>
              <w:bottom w:val="single" w:sz="4" w:space="0" w:color="4A66AC" w:themeColor="accent4"/>
            </w:tcBorders>
          </w:tcPr>
          <w:p w14:paraId="19F0F6BD" w14:textId="62956005" w:rsidR="009F0DBD" w:rsidRPr="00AF3075" w:rsidRDefault="00DE0249" w:rsidP="00DE0249">
            <w:pPr>
              <w:spacing w:before="120" w:after="120"/>
              <w:rPr>
                <w:sz w:val="21"/>
                <w:szCs w:val="21"/>
              </w:rPr>
            </w:pPr>
            <w:r w:rsidRPr="00AF3075">
              <w:rPr>
                <w:rStyle w:val="SubtleEmphasis"/>
                <w:b w:val="0"/>
                <w:color w:val="000000" w:themeColor="text1"/>
                <w:sz w:val="21"/>
                <w:szCs w:val="21"/>
              </w:rPr>
              <w:t xml:space="preserve">Highlight the harms of </w:t>
            </w:r>
            <w:r w:rsidR="009F0DBD" w:rsidRPr="00AF3075">
              <w:rPr>
                <w:rStyle w:val="SubtleEmphasis"/>
                <w:b w:val="0"/>
                <w:color w:val="000000" w:themeColor="text1"/>
                <w:sz w:val="21"/>
                <w:szCs w:val="21"/>
              </w:rPr>
              <w:t xml:space="preserve">judicial stereotyping through </w:t>
            </w:r>
            <w:r w:rsidRPr="00AF3075">
              <w:rPr>
                <w:rStyle w:val="SubtleEmphasis"/>
                <w:b w:val="0"/>
                <w:color w:val="000000" w:themeColor="text1"/>
                <w:sz w:val="21"/>
                <w:szCs w:val="21"/>
              </w:rPr>
              <w:t xml:space="preserve">evidence-based </w:t>
            </w:r>
            <w:r w:rsidR="009F0DBD" w:rsidRPr="00AF3075">
              <w:rPr>
                <w:rStyle w:val="SubtleEmphasis"/>
                <w:b w:val="0"/>
                <w:color w:val="000000" w:themeColor="text1"/>
                <w:sz w:val="21"/>
                <w:szCs w:val="21"/>
              </w:rPr>
              <w:t>research</w:t>
            </w:r>
          </w:p>
        </w:tc>
      </w:tr>
      <w:tr w:rsidR="009F0DBD" w:rsidRPr="00AF3075" w14:paraId="7DFB16F4" w14:textId="77777777" w:rsidTr="005B02E8">
        <w:tc>
          <w:tcPr>
            <w:tcW w:w="392" w:type="dxa"/>
            <w:tcBorders>
              <w:top w:val="single" w:sz="4" w:space="0" w:color="4A66AC" w:themeColor="accent4"/>
              <w:bottom w:val="single" w:sz="4" w:space="0" w:color="4A66AC" w:themeColor="accent4"/>
              <w:right w:val="single" w:sz="4" w:space="0" w:color="4A66AC" w:themeColor="accent4"/>
            </w:tcBorders>
          </w:tcPr>
          <w:p w14:paraId="6207B235" w14:textId="34001883" w:rsidR="009F0DBD" w:rsidRPr="00AF3075" w:rsidRDefault="009F0DBD" w:rsidP="009F0DBD">
            <w:pPr>
              <w:spacing w:before="120" w:after="120"/>
              <w:rPr>
                <w:color w:val="374C80" w:themeColor="accent4" w:themeShade="BF"/>
                <w:sz w:val="21"/>
                <w:szCs w:val="21"/>
              </w:rPr>
            </w:pPr>
            <w:r w:rsidRPr="00AF3075">
              <w:rPr>
                <w:b/>
                <w:color w:val="374C80" w:themeColor="accent4" w:themeShade="BF"/>
                <w:sz w:val="21"/>
                <w:szCs w:val="21"/>
              </w:rPr>
              <w:t>2</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5C4C80EE" w14:textId="3B165A6C" w:rsidR="009F0DBD" w:rsidRPr="00AF3075" w:rsidRDefault="009F0DBD" w:rsidP="00FB0EE2">
            <w:pPr>
              <w:spacing w:before="120" w:after="120"/>
              <w:rPr>
                <w:sz w:val="21"/>
                <w:szCs w:val="21"/>
              </w:rPr>
            </w:pPr>
            <w:r w:rsidRPr="00AF3075">
              <w:rPr>
                <w:rStyle w:val="SubtleEmphasis"/>
                <w:b w:val="0"/>
                <w:color w:val="000000" w:themeColor="text1"/>
                <w:sz w:val="21"/>
                <w:szCs w:val="21"/>
              </w:rPr>
              <w:t xml:space="preserve">Advocate legal and policy reforms </w:t>
            </w:r>
            <w:r w:rsidR="00FB0EE2" w:rsidRPr="00AF3075">
              <w:rPr>
                <w:rStyle w:val="SubtleEmphasis"/>
                <w:b w:val="0"/>
                <w:color w:val="000000" w:themeColor="text1"/>
                <w:sz w:val="21"/>
                <w:szCs w:val="21"/>
              </w:rPr>
              <w:t xml:space="preserve">that </w:t>
            </w:r>
            <w:r w:rsidRPr="00AF3075">
              <w:rPr>
                <w:rStyle w:val="SubtleEmphasis"/>
                <w:b w:val="0"/>
                <w:color w:val="000000" w:themeColor="text1"/>
                <w:sz w:val="21"/>
                <w:szCs w:val="21"/>
              </w:rPr>
              <w:t>prohibit judicial stereotyping</w:t>
            </w:r>
          </w:p>
        </w:tc>
      </w:tr>
      <w:tr w:rsidR="009F0DBD" w:rsidRPr="00AF3075" w14:paraId="73BEB4A9" w14:textId="77777777" w:rsidTr="005B02E8">
        <w:tc>
          <w:tcPr>
            <w:tcW w:w="392" w:type="dxa"/>
            <w:tcBorders>
              <w:top w:val="single" w:sz="4" w:space="0" w:color="4A66AC" w:themeColor="accent4"/>
              <w:bottom w:val="single" w:sz="4" w:space="0" w:color="4A66AC" w:themeColor="accent4"/>
              <w:right w:val="single" w:sz="4" w:space="0" w:color="4A66AC" w:themeColor="accent4"/>
            </w:tcBorders>
          </w:tcPr>
          <w:p w14:paraId="42A5C198" w14:textId="5316FD4B"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3</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6C00BF7B" w14:textId="460B85DB" w:rsidR="009F0DBD" w:rsidRPr="00AF3075" w:rsidRDefault="009F0DBD" w:rsidP="009F0DBD">
            <w:pPr>
              <w:spacing w:before="120" w:after="120"/>
              <w:rPr>
                <w:iCs/>
                <w:color w:val="000000" w:themeColor="text1"/>
                <w:sz w:val="21"/>
                <w:szCs w:val="21"/>
              </w:rPr>
            </w:pPr>
            <w:r w:rsidRPr="00AF3075">
              <w:rPr>
                <w:sz w:val="21"/>
                <w:szCs w:val="21"/>
              </w:rPr>
              <w:t>Monitor and analyse judicial reasoning for evidence of stereotyping</w:t>
            </w:r>
            <w:r w:rsidRPr="00AF3075">
              <w:rPr>
                <w:rStyle w:val="SubtleEmphasis"/>
                <w:b w:val="0"/>
                <w:color w:val="000000" w:themeColor="text1"/>
                <w:sz w:val="21"/>
                <w:szCs w:val="21"/>
              </w:rPr>
              <w:t xml:space="preserve"> </w:t>
            </w:r>
          </w:p>
        </w:tc>
      </w:tr>
      <w:tr w:rsidR="009F0DBD" w:rsidRPr="00AF3075" w14:paraId="43A3A5A7" w14:textId="77777777" w:rsidTr="005B02E8">
        <w:tc>
          <w:tcPr>
            <w:tcW w:w="392" w:type="dxa"/>
            <w:tcBorders>
              <w:top w:val="single" w:sz="4" w:space="0" w:color="4A66AC" w:themeColor="accent4"/>
              <w:bottom w:val="single" w:sz="4" w:space="0" w:color="4A66AC" w:themeColor="accent4"/>
              <w:right w:val="single" w:sz="4" w:space="0" w:color="4A66AC" w:themeColor="accent4"/>
            </w:tcBorders>
          </w:tcPr>
          <w:p w14:paraId="33FD7E14" w14:textId="67877817"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4</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1EDA9C1C" w14:textId="603A01EA" w:rsidR="009F0DBD" w:rsidRPr="00AF3075" w:rsidRDefault="009F0DBD" w:rsidP="009F0DBD">
            <w:pPr>
              <w:spacing w:before="120" w:after="120"/>
              <w:rPr>
                <w:sz w:val="21"/>
                <w:szCs w:val="21"/>
              </w:rPr>
            </w:pPr>
            <w:r w:rsidRPr="00AF3075">
              <w:rPr>
                <w:rStyle w:val="SubtleEmphasis"/>
                <w:b w:val="0"/>
                <w:color w:val="000000" w:themeColor="text1"/>
                <w:sz w:val="21"/>
                <w:szCs w:val="21"/>
              </w:rPr>
              <w:t>Challenge judicial stereotyping</w:t>
            </w:r>
            <w:r w:rsidR="007905A0" w:rsidRPr="00AF3075">
              <w:rPr>
                <w:rStyle w:val="SubtleEmphasis"/>
                <w:b w:val="0"/>
                <w:color w:val="000000" w:themeColor="text1"/>
                <w:sz w:val="21"/>
                <w:szCs w:val="21"/>
              </w:rPr>
              <w:t xml:space="preserve"> through petitions and expert evidence</w:t>
            </w:r>
          </w:p>
        </w:tc>
      </w:tr>
      <w:tr w:rsidR="009F0DBD" w:rsidRPr="00AF3075" w14:paraId="7F058AB1" w14:textId="77777777" w:rsidTr="005B02E8">
        <w:tc>
          <w:tcPr>
            <w:tcW w:w="392" w:type="dxa"/>
            <w:tcBorders>
              <w:top w:val="single" w:sz="4" w:space="0" w:color="4A66AC" w:themeColor="accent4"/>
              <w:bottom w:val="single" w:sz="4" w:space="0" w:color="4A66AC" w:themeColor="accent4"/>
              <w:right w:val="single" w:sz="4" w:space="0" w:color="4A66AC" w:themeColor="accent4"/>
            </w:tcBorders>
          </w:tcPr>
          <w:p w14:paraId="29F8A0BF" w14:textId="5EF491BA"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5</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423B7BB4" w14:textId="2ABDFDF2" w:rsidR="009F0DBD" w:rsidRPr="00AF3075" w:rsidRDefault="009F0DBD" w:rsidP="009F0DBD">
            <w:pPr>
              <w:spacing w:before="120" w:after="120"/>
              <w:rPr>
                <w:sz w:val="21"/>
                <w:szCs w:val="21"/>
              </w:rPr>
            </w:pPr>
            <w:r w:rsidRPr="00AF3075">
              <w:rPr>
                <w:sz w:val="21"/>
                <w:szCs w:val="21"/>
              </w:rPr>
              <w:t>Highlight good practice examples of judges challenging stereotyping</w:t>
            </w:r>
          </w:p>
        </w:tc>
      </w:tr>
      <w:tr w:rsidR="009F0DBD" w:rsidRPr="00AF3075" w14:paraId="149D58D5" w14:textId="77777777" w:rsidTr="005B02E8">
        <w:tc>
          <w:tcPr>
            <w:tcW w:w="392" w:type="dxa"/>
            <w:tcBorders>
              <w:top w:val="single" w:sz="4" w:space="0" w:color="4A66AC" w:themeColor="accent4"/>
              <w:right w:val="single" w:sz="4" w:space="0" w:color="4A66AC" w:themeColor="accent4"/>
            </w:tcBorders>
          </w:tcPr>
          <w:p w14:paraId="535ED874" w14:textId="218AA54F"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6</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tcBorders>
          </w:tcPr>
          <w:p w14:paraId="78A2B241" w14:textId="44C0926B" w:rsidR="009F0DBD" w:rsidRPr="00AF3075" w:rsidRDefault="009F0DBD" w:rsidP="009F0DBD">
            <w:pPr>
              <w:spacing w:before="120" w:after="120"/>
              <w:rPr>
                <w:sz w:val="21"/>
                <w:szCs w:val="21"/>
              </w:rPr>
            </w:pPr>
            <w:r w:rsidRPr="00AF3075">
              <w:rPr>
                <w:sz w:val="21"/>
                <w:szCs w:val="21"/>
              </w:rPr>
              <w:t>Improve judicial capacity to address stereotyping</w:t>
            </w:r>
          </w:p>
        </w:tc>
      </w:tr>
    </w:tbl>
    <w:p w14:paraId="2F33CFF2" w14:textId="624C55EB" w:rsidR="00B4550C" w:rsidRPr="00AF3075" w:rsidRDefault="0066462E" w:rsidP="007905A0">
      <w:r w:rsidRPr="00AF3075">
        <w:t>The strategies identified</w:t>
      </w:r>
      <w:r w:rsidR="00CB21E8" w:rsidRPr="00AF3075">
        <w:t xml:space="preserve"> aim to ensure appropriate legal and policy frameworks are in place to prevent and address judicial stereotyping. </w:t>
      </w:r>
      <w:r w:rsidR="007C70D5" w:rsidRPr="00AF3075">
        <w:t xml:space="preserve"> </w:t>
      </w:r>
      <w:r w:rsidR="00CB21E8" w:rsidRPr="00AF3075">
        <w:t>They also</w:t>
      </w:r>
      <w:r w:rsidR="00FE432E" w:rsidRPr="00AF3075">
        <w:t xml:space="preserve"> aim to ensure that: judicial </w:t>
      </w:r>
      <w:r w:rsidR="007905A0" w:rsidRPr="00AF3075">
        <w:t xml:space="preserve">stereotyping </w:t>
      </w:r>
      <w:r w:rsidR="00FE432E" w:rsidRPr="00AF3075">
        <w:t xml:space="preserve">is identified; operative </w:t>
      </w:r>
      <w:r w:rsidR="007905A0" w:rsidRPr="00AF3075">
        <w:t>stereotypes</w:t>
      </w:r>
      <w:r w:rsidR="00FE432E" w:rsidRPr="00AF3075">
        <w:t xml:space="preserve"> are named; the harms of judicial stereotyping are </w:t>
      </w:r>
      <w:r w:rsidR="00EC2871" w:rsidRPr="00AF3075">
        <w:t>understood</w:t>
      </w:r>
      <w:r w:rsidR="00FE432E" w:rsidRPr="00AF3075">
        <w:t xml:space="preserve">; and </w:t>
      </w:r>
      <w:r w:rsidR="00FB37DA" w:rsidRPr="00AF3075">
        <w:t xml:space="preserve">judges comply with their </w:t>
      </w:r>
      <w:r w:rsidR="007905A0" w:rsidRPr="00AF3075">
        <w:t xml:space="preserve">human rights obligations </w:t>
      </w:r>
      <w:r w:rsidR="00FE432E" w:rsidRPr="00AF3075">
        <w:t>in practice</w:t>
      </w:r>
      <w:r w:rsidRPr="00AF3075">
        <w:t>.</w:t>
      </w:r>
      <w:r w:rsidR="00C722B5" w:rsidRPr="00AF3075">
        <w:t xml:space="preserve"> </w:t>
      </w:r>
      <w:r w:rsidR="007C70D5" w:rsidRPr="00AF3075">
        <w:t xml:space="preserve"> </w:t>
      </w:r>
      <w:r w:rsidR="00C722B5" w:rsidRPr="00AF3075">
        <w:t xml:space="preserve">Since many of the same stereotypes that facilitate and condone gender-based violence undermine women’s rights in other areas, it is </w:t>
      </w:r>
      <w:r w:rsidR="00FB37DA" w:rsidRPr="00AF3075">
        <w:t xml:space="preserve">crucial </w:t>
      </w:r>
      <w:r w:rsidR="00C722B5" w:rsidRPr="00AF3075">
        <w:t xml:space="preserve">that advocates pursue these strategies in all </w:t>
      </w:r>
      <w:r w:rsidR="00FB37DA" w:rsidRPr="00AF3075">
        <w:t xml:space="preserve">areas </w:t>
      </w:r>
      <w:r w:rsidR="00C722B5" w:rsidRPr="00AF3075">
        <w:t xml:space="preserve">of their work. </w:t>
      </w:r>
    </w:p>
    <w:p w14:paraId="1B1E167A" w14:textId="1F4E485B" w:rsidR="00B4550C" w:rsidRPr="00AF3075" w:rsidRDefault="00D510D5" w:rsidP="007C2B3F">
      <w:pPr>
        <w:pStyle w:val="Heading2"/>
        <w:ind w:left="0" w:firstLine="0"/>
        <w:rPr>
          <w:rFonts w:ascii="Candara" w:hAnsi="Candara"/>
        </w:rPr>
      </w:pPr>
      <w:bookmarkStart w:id="25" w:name="_Toc263972396"/>
      <w:r w:rsidRPr="00AF3075">
        <w:rPr>
          <w:rFonts w:ascii="Candara" w:hAnsi="Candara"/>
        </w:rPr>
        <w:t>5</w:t>
      </w:r>
      <w:r w:rsidR="007C2B3F" w:rsidRPr="00AF3075">
        <w:rPr>
          <w:rFonts w:ascii="Candara" w:hAnsi="Candara"/>
        </w:rPr>
        <w:t xml:space="preserve">.1 </w:t>
      </w:r>
      <w:r w:rsidR="00B4550C" w:rsidRPr="00AF3075">
        <w:rPr>
          <w:rFonts w:ascii="Candara" w:hAnsi="Candara"/>
        </w:rPr>
        <w:t>Highlight the harms of judicial stereotyping through evidence-based research</w:t>
      </w:r>
      <w:bookmarkEnd w:id="25"/>
    </w:p>
    <w:p w14:paraId="34DB2732" w14:textId="4786163B" w:rsidR="00B4550C" w:rsidRPr="00AF3075" w:rsidRDefault="00CF6D83" w:rsidP="0062116E">
      <w:r w:rsidRPr="00AF3075">
        <w:t>A</w:t>
      </w:r>
      <w:r w:rsidR="00F2054B" w:rsidRPr="00AF3075">
        <w:t xml:space="preserve"> key contribution </w:t>
      </w:r>
      <w:r w:rsidR="0062116E" w:rsidRPr="00AF3075">
        <w:t xml:space="preserve">that </w:t>
      </w:r>
      <w:r w:rsidR="00F2054B" w:rsidRPr="00AF3075">
        <w:t>advocates can make is to raise awareness of the harms of judicial stereotyping through evidence-based research</w:t>
      </w:r>
      <w:r w:rsidRPr="00AF3075">
        <w:t>.</w:t>
      </w:r>
      <w:r w:rsidR="00827582" w:rsidRPr="00AF3075">
        <w:t xml:space="preserve"> </w:t>
      </w:r>
      <w:r w:rsidR="0062116E" w:rsidRPr="00AF3075">
        <w:t xml:space="preserve"> </w:t>
      </w:r>
      <w:r w:rsidR="002165DC" w:rsidRPr="00AF3075">
        <w:t xml:space="preserve">Such research might highlight the </w:t>
      </w:r>
      <w:r w:rsidR="00B4550C" w:rsidRPr="00AF3075">
        <w:t>prevalence, nature and harms of stereotyping in violence cases</w:t>
      </w:r>
      <w:r w:rsidR="002165DC" w:rsidRPr="00AF3075">
        <w:t xml:space="preserve"> or</w:t>
      </w:r>
      <w:r w:rsidR="0062116E" w:rsidRPr="00AF3075">
        <w:t>, for example,</w:t>
      </w:r>
      <w:r w:rsidR="002165DC" w:rsidRPr="00AF3075">
        <w:t xml:space="preserve"> in those cases decided by a particular court</w:t>
      </w:r>
      <w:r w:rsidR="00B35B46" w:rsidRPr="00AF3075">
        <w:t xml:space="preserve"> or judge</w:t>
      </w:r>
      <w:r w:rsidR="002165DC" w:rsidRPr="00AF3075">
        <w:t>.</w:t>
      </w:r>
      <w:r w:rsidR="00B4550C" w:rsidRPr="00AF3075">
        <w:t xml:space="preserve">  </w:t>
      </w:r>
    </w:p>
    <w:tbl>
      <w:tblPr>
        <w:tblStyle w:val="TableGrid"/>
        <w:tblW w:w="0" w:type="auto"/>
        <w:tblLook w:val="04A0" w:firstRow="1" w:lastRow="0" w:firstColumn="1" w:lastColumn="0" w:noHBand="0" w:noVBand="1"/>
      </w:tblPr>
      <w:tblGrid>
        <w:gridCol w:w="8516"/>
      </w:tblGrid>
      <w:tr w:rsidR="00A256F2" w:rsidRPr="00AF3075" w14:paraId="5CCD1E1F" w14:textId="77777777" w:rsidTr="00A256F2">
        <w:tc>
          <w:tcPr>
            <w:tcW w:w="8516" w:type="dxa"/>
            <w:tcBorders>
              <w:top w:val="nil"/>
              <w:left w:val="nil"/>
              <w:bottom w:val="nil"/>
              <w:right w:val="nil"/>
            </w:tcBorders>
            <w:shd w:val="clear" w:color="auto" w:fill="D3E5F6" w:themeFill="accent2" w:themeFillTint="33"/>
          </w:tcPr>
          <w:p w14:paraId="60BE6043" w14:textId="7A3BF38A" w:rsidR="00A256F2" w:rsidRPr="00AF3075" w:rsidRDefault="00F67343" w:rsidP="00A66917">
            <w:pPr>
              <w:shd w:val="clear" w:color="auto" w:fill="D3E5F6" w:themeFill="accent2" w:themeFillTint="33"/>
              <w:spacing w:after="120"/>
              <w:jc w:val="center"/>
              <w:rPr>
                <w:rStyle w:val="SubtleEmphasis"/>
              </w:rPr>
            </w:pPr>
            <w:r w:rsidRPr="00AF3075">
              <w:rPr>
                <w:rStyle w:val="SubtleEmphasis"/>
              </w:rPr>
              <w:t xml:space="preserve">Resource for </w:t>
            </w:r>
            <w:r w:rsidR="00A256F2" w:rsidRPr="00AF3075">
              <w:rPr>
                <w:rStyle w:val="SubtleEmphasis"/>
              </w:rPr>
              <w:t xml:space="preserve">Penang judiciary </w:t>
            </w:r>
            <w:r w:rsidR="00FB37DA" w:rsidRPr="00AF3075">
              <w:rPr>
                <w:rStyle w:val="SubtleEmphasis"/>
              </w:rPr>
              <w:t>highlights</w:t>
            </w:r>
            <w:r w:rsidR="001233F1" w:rsidRPr="00AF3075">
              <w:rPr>
                <w:rStyle w:val="SubtleEmphasis"/>
              </w:rPr>
              <w:t xml:space="preserve"> the harms of</w:t>
            </w:r>
            <w:r w:rsidR="00A256F2" w:rsidRPr="00AF3075">
              <w:rPr>
                <w:rStyle w:val="SubtleEmphasis"/>
              </w:rPr>
              <w:t xml:space="preserve"> stereotyping in </w:t>
            </w:r>
            <w:r w:rsidR="00C665D2">
              <w:rPr>
                <w:rStyle w:val="SubtleEmphasis"/>
              </w:rPr>
              <w:br/>
            </w:r>
            <w:r w:rsidR="00A256F2" w:rsidRPr="00AF3075">
              <w:rPr>
                <w:rStyle w:val="SubtleEmphasis"/>
              </w:rPr>
              <w:t>sexual assault cases</w:t>
            </w:r>
          </w:p>
          <w:p w14:paraId="0E2F9235" w14:textId="08867718" w:rsidR="002F6994" w:rsidRPr="00AF3075" w:rsidRDefault="00A256F2" w:rsidP="00A66917">
            <w:pPr>
              <w:shd w:val="clear" w:color="auto" w:fill="D3E5F6" w:themeFill="accent2" w:themeFillTint="33"/>
              <w:spacing w:before="120" w:after="120"/>
              <w:rPr>
                <w:rFonts w:eastAsiaTheme="majorEastAsia" w:cstheme="majorBidi"/>
                <w:i/>
                <w:iCs/>
                <w:color w:val="404040" w:themeColor="text1" w:themeTint="BF"/>
              </w:rPr>
            </w:pPr>
            <w:r w:rsidRPr="00AF3075">
              <w:rPr>
                <w:iCs/>
                <w:sz w:val="22"/>
              </w:rPr>
              <w:t>In 2007, the Women’s Centre for Change published a background paper</w:t>
            </w:r>
            <w:r w:rsidR="00CF42D2" w:rsidRPr="00AF3075">
              <w:rPr>
                <w:iCs/>
                <w:sz w:val="22"/>
              </w:rPr>
              <w:t xml:space="preserve"> for the Penang Judiciary</w:t>
            </w:r>
            <w:r w:rsidRPr="00AF3075">
              <w:rPr>
                <w:iCs/>
                <w:sz w:val="22"/>
              </w:rPr>
              <w:t xml:space="preserve">, entitled </w:t>
            </w:r>
            <w:r w:rsidRPr="00AF3075">
              <w:rPr>
                <w:i/>
                <w:iCs/>
                <w:sz w:val="22"/>
              </w:rPr>
              <w:t>Seeking a Better Judicial Process for Sexual Crimes</w:t>
            </w:r>
            <w:r w:rsidRPr="00AF3075">
              <w:rPr>
                <w:iCs/>
                <w:sz w:val="22"/>
              </w:rPr>
              <w:t>.</w:t>
            </w:r>
            <w:r w:rsidRPr="00AF3075">
              <w:rPr>
                <w:rStyle w:val="FootnoteReference"/>
                <w:iCs/>
                <w:sz w:val="22"/>
              </w:rPr>
              <w:footnoteReference w:id="88"/>
            </w:r>
            <w:r w:rsidRPr="00AF3075">
              <w:rPr>
                <w:iCs/>
                <w:sz w:val="22"/>
              </w:rPr>
              <w:t xml:space="preserve"> </w:t>
            </w:r>
            <w:r w:rsidR="00CF42D2" w:rsidRPr="00AF3075">
              <w:rPr>
                <w:iCs/>
                <w:sz w:val="22"/>
              </w:rPr>
              <w:t xml:space="preserve"> </w:t>
            </w:r>
            <w:r w:rsidRPr="00AF3075">
              <w:rPr>
                <w:iCs/>
                <w:sz w:val="22"/>
              </w:rPr>
              <w:t xml:space="preserve">A key aim of the paper was to </w:t>
            </w:r>
            <w:r w:rsidR="00CF42D2" w:rsidRPr="00AF3075">
              <w:rPr>
                <w:iCs/>
                <w:sz w:val="22"/>
              </w:rPr>
              <w:t>‘</w:t>
            </w:r>
            <w:r w:rsidRPr="00AF3075">
              <w:rPr>
                <w:iCs/>
                <w:sz w:val="22"/>
              </w:rPr>
              <w:t xml:space="preserve">gauge the extent to which myths and stereotypes about victims of sexual crime influence the conduct, outcome and sentencing of trials concerning sexual crime, </w:t>
            </w:r>
            <w:r w:rsidR="00C665D2">
              <w:rPr>
                <w:iCs/>
                <w:sz w:val="22"/>
              </w:rPr>
              <w:t>and the media reporting thereof</w:t>
            </w:r>
            <w:r w:rsidR="00CF42D2" w:rsidRPr="00AF3075">
              <w:rPr>
                <w:iCs/>
                <w:sz w:val="22"/>
              </w:rPr>
              <w:t>’</w:t>
            </w:r>
            <w:r w:rsidR="00C665D2">
              <w:rPr>
                <w:iCs/>
                <w:sz w:val="22"/>
              </w:rPr>
              <w:t>.</w:t>
            </w:r>
            <w:r w:rsidRPr="00AF3075">
              <w:rPr>
                <w:iCs/>
              </w:rPr>
              <w:t xml:space="preserve"> </w:t>
            </w:r>
            <w:r w:rsidR="00312FD5" w:rsidRPr="00AF3075">
              <w:rPr>
                <w:iCs/>
              </w:rPr>
              <w:t xml:space="preserve"> </w:t>
            </w:r>
          </w:p>
          <w:p w14:paraId="401C6944" w14:textId="5AE5C6AE" w:rsidR="00A256F2" w:rsidRPr="00AF3075" w:rsidRDefault="00312FD5" w:rsidP="00A66917">
            <w:pPr>
              <w:shd w:val="clear" w:color="auto" w:fill="D3E5F6" w:themeFill="accent2" w:themeFillTint="33"/>
              <w:spacing w:before="120" w:after="120"/>
              <w:rPr>
                <w:rFonts w:eastAsiaTheme="majorEastAsia" w:cstheme="majorBidi"/>
                <w:i/>
                <w:iCs/>
                <w:color w:val="404040" w:themeColor="text1" w:themeTint="BF"/>
                <w:sz w:val="22"/>
              </w:rPr>
            </w:pPr>
            <w:r w:rsidRPr="00AF3075">
              <w:rPr>
                <w:iCs/>
                <w:sz w:val="22"/>
                <w:szCs w:val="22"/>
              </w:rPr>
              <w:t xml:space="preserve">To this end, </w:t>
            </w:r>
            <w:r w:rsidRPr="00AF3075">
              <w:rPr>
                <w:iCs/>
                <w:sz w:val="22"/>
              </w:rPr>
              <w:t>r</w:t>
            </w:r>
            <w:r w:rsidR="00A256F2" w:rsidRPr="00AF3075">
              <w:rPr>
                <w:iCs/>
                <w:sz w:val="22"/>
              </w:rPr>
              <w:t xml:space="preserve">esearchers analysed the records of 439 sexual crime cases and articles from 3 Malaysian newspapers from 2000 to 2004. </w:t>
            </w:r>
            <w:r w:rsidR="00CF42D2" w:rsidRPr="00AF3075">
              <w:rPr>
                <w:iCs/>
                <w:sz w:val="22"/>
              </w:rPr>
              <w:t xml:space="preserve"> </w:t>
            </w:r>
            <w:r w:rsidR="00A256F2" w:rsidRPr="00AF3075">
              <w:rPr>
                <w:iCs/>
                <w:sz w:val="22"/>
              </w:rPr>
              <w:t xml:space="preserve">The research showed that most of the defences relied </w:t>
            </w:r>
            <w:r w:rsidR="00844725" w:rsidRPr="00AF3075">
              <w:rPr>
                <w:iCs/>
                <w:sz w:val="22"/>
              </w:rPr>
              <w:t xml:space="preserve">on </w:t>
            </w:r>
            <w:r w:rsidR="00F67343" w:rsidRPr="00AF3075">
              <w:rPr>
                <w:iCs/>
                <w:sz w:val="22"/>
              </w:rPr>
              <w:t xml:space="preserve">by accused persons </w:t>
            </w:r>
            <w:r w:rsidR="00A256F2" w:rsidRPr="00AF3075">
              <w:rPr>
                <w:iCs/>
                <w:sz w:val="22"/>
              </w:rPr>
              <w:t xml:space="preserve">referred ‘to established myths and stereotypes about female behaviour, including </w:t>
            </w:r>
            <w:r w:rsidR="00C665D2">
              <w:rPr>
                <w:iCs/>
                <w:sz w:val="22"/>
              </w:rPr>
              <w:t>what is acceptable sexual norms</w:t>
            </w:r>
            <w:r w:rsidR="00A256F2" w:rsidRPr="00AF3075">
              <w:rPr>
                <w:iCs/>
                <w:sz w:val="22"/>
              </w:rPr>
              <w:t>’</w:t>
            </w:r>
            <w:r w:rsidR="00C665D2">
              <w:rPr>
                <w:iCs/>
                <w:sz w:val="22"/>
              </w:rPr>
              <w:t>.</w:t>
            </w:r>
            <w:r w:rsidR="00844725" w:rsidRPr="00AF3075">
              <w:rPr>
                <w:iCs/>
                <w:sz w:val="22"/>
              </w:rPr>
              <w:t xml:space="preserve">  </w:t>
            </w:r>
            <w:r w:rsidR="00A256F2" w:rsidRPr="00AF3075">
              <w:rPr>
                <w:iCs/>
                <w:sz w:val="22"/>
              </w:rPr>
              <w:t>In presenting</w:t>
            </w:r>
            <w:r w:rsidR="001F7AA9" w:rsidRPr="00AF3075">
              <w:rPr>
                <w:iCs/>
                <w:sz w:val="22"/>
              </w:rPr>
              <w:t xml:space="preserve"> the findings</w:t>
            </w:r>
            <w:r w:rsidR="00A256F2" w:rsidRPr="00AF3075">
              <w:rPr>
                <w:iCs/>
                <w:sz w:val="22"/>
              </w:rPr>
              <w:t xml:space="preserve">, the paper </w:t>
            </w:r>
            <w:r w:rsidR="00160236" w:rsidRPr="00AF3075">
              <w:rPr>
                <w:iCs/>
                <w:sz w:val="22"/>
              </w:rPr>
              <w:t xml:space="preserve">urged the judiciary to </w:t>
            </w:r>
            <w:r w:rsidR="00A256F2" w:rsidRPr="00AF3075">
              <w:rPr>
                <w:iCs/>
                <w:sz w:val="22"/>
              </w:rPr>
              <w:t>take note of these myths and stereotypes w</w:t>
            </w:r>
            <w:r w:rsidR="001F7AA9" w:rsidRPr="00AF3075">
              <w:rPr>
                <w:iCs/>
                <w:sz w:val="22"/>
              </w:rPr>
              <w:t>hen hearing sexual crime cases.</w:t>
            </w:r>
          </w:p>
          <w:p w14:paraId="441146DA" w14:textId="1F8276FC" w:rsidR="00A256F2" w:rsidRPr="00AF3075" w:rsidRDefault="00A256F2" w:rsidP="00A20BD4">
            <w:pPr>
              <w:shd w:val="clear" w:color="auto" w:fill="D3E5F6" w:themeFill="accent2" w:themeFillTint="33"/>
              <w:spacing w:before="120" w:after="120"/>
              <w:ind w:left="284"/>
              <w:rPr>
                <w:iCs/>
                <w:sz w:val="20"/>
              </w:rPr>
            </w:pPr>
            <w:r w:rsidRPr="00AF3075">
              <w:rPr>
                <w:iCs/>
                <w:sz w:val="20"/>
              </w:rPr>
              <w:t>In assessing the merits of a sexual crime case, it is very important that those involved, including judges and magistrates, do not impose their own opinions of appropriate gender behaviour on victims of sexual crime.  Although we recognise that the credibility of the sexual crime victim/complainant as a witness is critical, as is true in any other type of criminal trial, we are concerned that certain ideas and stereotypes about women’s behaviour often come into play in sexual crime trials.  Any such bias against the complainants would inevitably impact upon the chances of a conviction.  …  We argue that tackling these myths and stereotypes, and tackling this culture of scepticism, where the story of the woman is doubted from the beginning, are key to better conviction rates, better justice and recovery.</w:t>
            </w:r>
          </w:p>
          <w:p w14:paraId="65D7E2B3" w14:textId="695397EB" w:rsidR="00A256F2" w:rsidRPr="00AF3075" w:rsidRDefault="00A256F2" w:rsidP="00A66917">
            <w:pPr>
              <w:shd w:val="clear" w:color="auto" w:fill="D3E5F6" w:themeFill="accent2" w:themeFillTint="33"/>
              <w:spacing w:before="120" w:after="120"/>
              <w:rPr>
                <w:iCs/>
                <w:sz w:val="22"/>
              </w:rPr>
            </w:pPr>
            <w:r w:rsidRPr="00AF3075">
              <w:rPr>
                <w:iCs/>
                <w:sz w:val="22"/>
              </w:rPr>
              <w:t xml:space="preserve">The paper </w:t>
            </w:r>
            <w:r w:rsidR="00781CF7" w:rsidRPr="00AF3075">
              <w:rPr>
                <w:iCs/>
                <w:sz w:val="22"/>
              </w:rPr>
              <w:t>identified</w:t>
            </w:r>
            <w:r w:rsidRPr="00AF3075">
              <w:rPr>
                <w:iCs/>
                <w:sz w:val="22"/>
              </w:rPr>
              <w:t xml:space="preserve"> how</w:t>
            </w:r>
            <w:r w:rsidR="00781CF7" w:rsidRPr="00AF3075">
              <w:rPr>
                <w:iCs/>
                <w:sz w:val="22"/>
              </w:rPr>
              <w:t xml:space="preserve"> the myths and</w:t>
            </w:r>
            <w:r w:rsidRPr="00AF3075">
              <w:rPr>
                <w:iCs/>
                <w:sz w:val="22"/>
              </w:rPr>
              <w:t xml:space="preserve"> stereotypes influenced judicial </w:t>
            </w:r>
            <w:r w:rsidR="00781CF7" w:rsidRPr="00AF3075">
              <w:rPr>
                <w:iCs/>
                <w:sz w:val="22"/>
              </w:rPr>
              <w:t>opinions</w:t>
            </w:r>
            <w:r w:rsidRPr="00AF3075">
              <w:rPr>
                <w:iCs/>
                <w:sz w:val="22"/>
              </w:rPr>
              <w:t xml:space="preserve"> on a range of topics</w:t>
            </w:r>
            <w:r w:rsidR="00781CF7" w:rsidRPr="00AF3075">
              <w:rPr>
                <w:iCs/>
                <w:sz w:val="22"/>
              </w:rPr>
              <w:t>, including</w:t>
            </w:r>
            <w:r w:rsidRPr="00AF3075">
              <w:rPr>
                <w:iCs/>
                <w:sz w:val="22"/>
              </w:rPr>
              <w:t xml:space="preserve"> corroboration, </w:t>
            </w:r>
            <w:r w:rsidR="00781CF7" w:rsidRPr="00AF3075">
              <w:rPr>
                <w:iCs/>
                <w:sz w:val="22"/>
              </w:rPr>
              <w:t xml:space="preserve">witness </w:t>
            </w:r>
            <w:r w:rsidRPr="00AF3075">
              <w:rPr>
                <w:iCs/>
                <w:sz w:val="22"/>
              </w:rPr>
              <w:t>credibility, false and late reporting</w:t>
            </w:r>
            <w:r w:rsidR="00781CF7" w:rsidRPr="00AF3075">
              <w:rPr>
                <w:iCs/>
                <w:sz w:val="22"/>
              </w:rPr>
              <w:t xml:space="preserve"> and consent</w:t>
            </w:r>
            <w:r w:rsidRPr="00AF3075">
              <w:rPr>
                <w:iCs/>
                <w:sz w:val="22"/>
              </w:rPr>
              <w:t>.  For instance, in relation to consent, it explained:</w:t>
            </w:r>
          </w:p>
          <w:p w14:paraId="2620CE23" w14:textId="044F38DA" w:rsidR="00A256F2" w:rsidRPr="00AF3075" w:rsidRDefault="00781CF7" w:rsidP="00A20BD4">
            <w:pPr>
              <w:shd w:val="clear" w:color="auto" w:fill="D3E5F6" w:themeFill="accent2" w:themeFillTint="33"/>
              <w:spacing w:before="120" w:after="120"/>
              <w:ind w:left="284"/>
              <w:rPr>
                <w:iCs/>
                <w:sz w:val="20"/>
              </w:rPr>
            </w:pPr>
            <w:r w:rsidRPr="00AF3075">
              <w:rPr>
                <w:iCs/>
                <w:sz w:val="20"/>
              </w:rPr>
              <w:t>I</w:t>
            </w:r>
            <w:r w:rsidR="00A256F2" w:rsidRPr="00AF3075">
              <w:rPr>
                <w:iCs/>
                <w:sz w:val="20"/>
              </w:rPr>
              <w:t xml:space="preserve">n our sample, </w:t>
            </w:r>
            <w:r w:rsidRPr="00AF3075">
              <w:rPr>
                <w:iCs/>
                <w:sz w:val="20"/>
              </w:rPr>
              <w:t>[consent]</w:t>
            </w:r>
            <w:r w:rsidR="00A256F2" w:rsidRPr="00AF3075">
              <w:rPr>
                <w:iCs/>
                <w:sz w:val="20"/>
              </w:rPr>
              <w:t xml:space="preserve"> was raised as a defence not just in rape cases but </w:t>
            </w:r>
            <w:r w:rsidRPr="00AF3075">
              <w:rPr>
                <w:iCs/>
                <w:sz w:val="20"/>
              </w:rPr>
              <w:t xml:space="preserve">[also] </w:t>
            </w:r>
            <w:r w:rsidR="00A256F2" w:rsidRPr="00AF3075">
              <w:rPr>
                <w:iCs/>
                <w:sz w:val="20"/>
              </w:rPr>
              <w:t xml:space="preserve">in a range of sexual assault trials. </w:t>
            </w:r>
            <w:r w:rsidRPr="00AF3075">
              <w:rPr>
                <w:iCs/>
                <w:sz w:val="20"/>
              </w:rPr>
              <w:t xml:space="preserve"> …  </w:t>
            </w:r>
            <w:r w:rsidR="00A256F2" w:rsidRPr="00AF3075">
              <w:rPr>
                <w:iCs/>
                <w:sz w:val="20"/>
              </w:rPr>
              <w:t>In 39 of the 52 cases where there is a record of cross-examination, consent was explicitly raised as a defence and in 32 cases, the ‘behaviour’ of the victim implying consent was relied upon, for example, by reference to the choice of the victim being with a particular person, at a particular location, and/or at a particular time.</w:t>
            </w:r>
          </w:p>
          <w:p w14:paraId="0DA0619B" w14:textId="0E8E7987" w:rsidR="00A256F2" w:rsidRPr="00AF3075" w:rsidRDefault="00A256F2" w:rsidP="00A66917">
            <w:pPr>
              <w:shd w:val="clear" w:color="auto" w:fill="D3E5F6" w:themeFill="accent2" w:themeFillTint="33"/>
              <w:spacing w:before="120" w:after="120"/>
              <w:rPr>
                <w:rFonts w:eastAsiaTheme="majorEastAsia" w:cstheme="majorBidi"/>
                <w:i/>
                <w:iCs/>
                <w:color w:val="404040" w:themeColor="text1" w:themeTint="BF"/>
                <w:sz w:val="22"/>
              </w:rPr>
            </w:pPr>
            <w:r w:rsidRPr="00AF3075">
              <w:rPr>
                <w:iCs/>
                <w:sz w:val="22"/>
              </w:rPr>
              <w:t xml:space="preserve">The paper also sought to debunk </w:t>
            </w:r>
            <w:r w:rsidR="00781CF7" w:rsidRPr="00AF3075">
              <w:rPr>
                <w:iCs/>
                <w:sz w:val="22"/>
              </w:rPr>
              <w:t xml:space="preserve">myths and </w:t>
            </w:r>
            <w:r w:rsidRPr="00AF3075">
              <w:rPr>
                <w:iCs/>
                <w:sz w:val="22"/>
              </w:rPr>
              <w:t xml:space="preserve">stereotypes. </w:t>
            </w:r>
            <w:r w:rsidR="00781CF7" w:rsidRPr="00AF3075">
              <w:rPr>
                <w:iCs/>
                <w:sz w:val="22"/>
              </w:rPr>
              <w:t xml:space="preserve"> For instance, </w:t>
            </w:r>
            <w:r w:rsidRPr="00AF3075">
              <w:rPr>
                <w:iCs/>
                <w:sz w:val="22"/>
              </w:rPr>
              <w:t xml:space="preserve">it challenged </w:t>
            </w:r>
            <w:r w:rsidR="00781CF7" w:rsidRPr="00AF3075">
              <w:rPr>
                <w:iCs/>
                <w:sz w:val="22"/>
              </w:rPr>
              <w:t xml:space="preserve">myths and </w:t>
            </w:r>
            <w:r w:rsidRPr="00AF3075">
              <w:rPr>
                <w:iCs/>
                <w:sz w:val="22"/>
              </w:rPr>
              <w:t xml:space="preserve">stereotypes related to late reporting by discussing research that identified </w:t>
            </w:r>
            <w:r w:rsidR="00F67343" w:rsidRPr="00AF3075">
              <w:rPr>
                <w:iCs/>
                <w:sz w:val="22"/>
              </w:rPr>
              <w:t xml:space="preserve">various </w:t>
            </w:r>
            <w:r w:rsidRPr="00AF3075">
              <w:rPr>
                <w:iCs/>
                <w:sz w:val="22"/>
              </w:rPr>
              <w:t xml:space="preserve">reasons why people may not report, or delay reporting, sexual crimes.  Reasons </w:t>
            </w:r>
            <w:r w:rsidR="00A65224" w:rsidRPr="00AF3075">
              <w:rPr>
                <w:iCs/>
                <w:sz w:val="22"/>
              </w:rPr>
              <w:t xml:space="preserve">identified </w:t>
            </w:r>
            <w:r w:rsidRPr="00AF3075">
              <w:rPr>
                <w:iCs/>
                <w:sz w:val="22"/>
              </w:rPr>
              <w:t xml:space="preserve">include stigma, fear of retaliation and fear of being blamed for the crime.  </w:t>
            </w:r>
          </w:p>
        </w:tc>
      </w:tr>
    </w:tbl>
    <w:p w14:paraId="16D63D7C" w14:textId="77777777" w:rsidR="00404DC5" w:rsidRPr="00AF3075" w:rsidRDefault="00404DC5" w:rsidP="0062116E">
      <w:pPr>
        <w:spacing w:before="0" w:after="0"/>
      </w:pPr>
    </w:p>
    <w:tbl>
      <w:tblPr>
        <w:tblStyle w:val="TableGrid"/>
        <w:tblW w:w="0" w:type="auto"/>
        <w:tblLook w:val="04A0" w:firstRow="1" w:lastRow="0" w:firstColumn="1" w:lastColumn="0" w:noHBand="0" w:noVBand="1"/>
      </w:tblPr>
      <w:tblGrid>
        <w:gridCol w:w="8516"/>
      </w:tblGrid>
      <w:tr w:rsidR="0062116E" w:rsidRPr="00AF3075" w14:paraId="5B78DC6D" w14:textId="77777777" w:rsidTr="0062116E">
        <w:tc>
          <w:tcPr>
            <w:tcW w:w="8516" w:type="dxa"/>
            <w:tcBorders>
              <w:top w:val="nil"/>
              <w:left w:val="nil"/>
              <w:bottom w:val="nil"/>
              <w:right w:val="nil"/>
            </w:tcBorders>
            <w:shd w:val="clear" w:color="auto" w:fill="D3E5F6" w:themeFill="accent2" w:themeFillTint="33"/>
          </w:tcPr>
          <w:p w14:paraId="3F4A0532" w14:textId="2A4C5E73" w:rsidR="0062116E" w:rsidRPr="00AF3075" w:rsidRDefault="00404DC5" w:rsidP="00A66917">
            <w:pPr>
              <w:shd w:val="clear" w:color="auto" w:fill="D3E5F6" w:themeFill="accent2" w:themeFillTint="33"/>
              <w:spacing w:after="120"/>
              <w:jc w:val="center"/>
              <w:rPr>
                <w:rStyle w:val="SubtleEmphasis"/>
              </w:rPr>
            </w:pPr>
            <w:r w:rsidRPr="00AF3075">
              <w:rPr>
                <w:rStyle w:val="SubtleEmphasis"/>
              </w:rPr>
              <w:t xml:space="preserve">UN Special Rapporteur highlights </w:t>
            </w:r>
            <w:r w:rsidR="0062116E" w:rsidRPr="00AF3075">
              <w:rPr>
                <w:rStyle w:val="SubtleEmphasis"/>
              </w:rPr>
              <w:t xml:space="preserve">the negative impact of stereotyping </w:t>
            </w:r>
            <w:r w:rsidR="00C473F0" w:rsidRPr="00AF3075">
              <w:rPr>
                <w:rStyle w:val="SubtleEmphasis"/>
              </w:rPr>
              <w:t>o</w:t>
            </w:r>
            <w:r w:rsidR="0062116E" w:rsidRPr="00AF3075">
              <w:rPr>
                <w:rStyle w:val="SubtleEmphasis"/>
              </w:rPr>
              <w:t>n the criminal justice system</w:t>
            </w:r>
          </w:p>
          <w:p w14:paraId="0934A5A2" w14:textId="3C03DAD3" w:rsidR="007E48C1" w:rsidRPr="00AF3075" w:rsidRDefault="0062116E" w:rsidP="00A66917">
            <w:pPr>
              <w:shd w:val="clear" w:color="auto" w:fill="D3E5F6" w:themeFill="accent2" w:themeFillTint="33"/>
              <w:spacing w:before="120" w:after="120"/>
              <w:rPr>
                <w:rFonts w:eastAsiaTheme="majorEastAsia" w:cstheme="majorBidi"/>
                <w:i/>
                <w:iCs/>
                <w:color w:val="000000" w:themeColor="text1"/>
                <w:sz w:val="22"/>
              </w:rPr>
            </w:pPr>
            <w:r w:rsidRPr="00AF3075">
              <w:rPr>
                <w:rStyle w:val="SubtleEmphasis"/>
                <w:b w:val="0"/>
                <w:bCs/>
                <w:color w:val="auto"/>
              </w:rPr>
              <w:t xml:space="preserve">In 2011, the UN Special Rapporteur on the independence of judges and lawyers </w:t>
            </w:r>
            <w:r w:rsidR="00600FF6" w:rsidRPr="00AF3075">
              <w:rPr>
                <w:rStyle w:val="SubtleEmphasis"/>
                <w:b w:val="0"/>
                <w:bCs/>
                <w:color w:val="auto"/>
              </w:rPr>
              <w:t>discussed</w:t>
            </w:r>
            <w:r w:rsidRPr="00AF3075">
              <w:rPr>
                <w:rStyle w:val="SubtleEmphasis"/>
                <w:b w:val="0"/>
                <w:bCs/>
                <w:color w:val="auto"/>
              </w:rPr>
              <w:t xml:space="preserve"> the negative impact of stereotyping</w:t>
            </w:r>
            <w:r w:rsidR="0037254B" w:rsidRPr="00AF3075">
              <w:rPr>
                <w:rStyle w:val="SubtleEmphasis"/>
                <w:b w:val="0"/>
                <w:bCs/>
                <w:color w:val="auto"/>
              </w:rPr>
              <w:t xml:space="preserve"> on </w:t>
            </w:r>
            <w:r w:rsidRPr="00AF3075">
              <w:rPr>
                <w:rStyle w:val="SubtleEmphasis"/>
                <w:b w:val="0"/>
                <w:bCs/>
                <w:color w:val="auto"/>
              </w:rPr>
              <w:t>the criminal justice system.</w:t>
            </w:r>
            <w:r w:rsidRPr="00AF3075">
              <w:rPr>
                <w:rStyle w:val="FootnoteReference"/>
                <w:iCs/>
                <w:color w:val="000000" w:themeColor="text1"/>
                <w:sz w:val="22"/>
              </w:rPr>
              <w:footnoteReference w:id="89"/>
            </w:r>
            <w:r w:rsidRPr="00AF3075">
              <w:rPr>
                <w:rStyle w:val="SubtleEmphasis"/>
                <w:b w:val="0"/>
                <w:bCs/>
                <w:color w:val="auto"/>
              </w:rPr>
              <w:t xml:space="preserve">  Among other things, </w:t>
            </w:r>
            <w:r w:rsidR="00600FF6" w:rsidRPr="00AF3075">
              <w:rPr>
                <w:rStyle w:val="SubtleEmphasis"/>
                <w:b w:val="0"/>
                <w:bCs/>
                <w:color w:val="auto"/>
              </w:rPr>
              <w:t xml:space="preserve">her </w:t>
            </w:r>
            <w:r w:rsidR="00DB2DBB" w:rsidRPr="00AF3075">
              <w:rPr>
                <w:rStyle w:val="SubtleEmphasis"/>
                <w:b w:val="0"/>
                <w:bCs/>
                <w:color w:val="auto"/>
              </w:rPr>
              <w:t xml:space="preserve">report </w:t>
            </w:r>
            <w:r w:rsidRPr="00AF3075">
              <w:rPr>
                <w:iCs/>
                <w:sz w:val="22"/>
              </w:rPr>
              <w:t>recognised that judicial stereotyping is widespread in th</w:t>
            </w:r>
            <w:r w:rsidR="003272C1" w:rsidRPr="00AF3075">
              <w:rPr>
                <w:iCs/>
                <w:sz w:val="22"/>
              </w:rPr>
              <w:t>is</w:t>
            </w:r>
            <w:r w:rsidRPr="00AF3075">
              <w:rPr>
                <w:iCs/>
                <w:sz w:val="22"/>
              </w:rPr>
              <w:t xml:space="preserve"> system and </w:t>
            </w:r>
            <w:r w:rsidR="00DB2DBB" w:rsidRPr="00AF3075">
              <w:rPr>
                <w:iCs/>
                <w:sz w:val="22"/>
              </w:rPr>
              <w:t xml:space="preserve">undermines </w:t>
            </w:r>
            <w:r w:rsidRPr="00AF3075">
              <w:rPr>
                <w:iCs/>
                <w:color w:val="000000" w:themeColor="text1"/>
                <w:sz w:val="22"/>
              </w:rPr>
              <w:t xml:space="preserve">access to justice </w:t>
            </w:r>
            <w:r w:rsidR="00DB2DBB" w:rsidRPr="00AF3075">
              <w:rPr>
                <w:iCs/>
                <w:color w:val="000000" w:themeColor="text1"/>
                <w:sz w:val="22"/>
              </w:rPr>
              <w:t xml:space="preserve">and </w:t>
            </w:r>
            <w:r w:rsidRPr="00AF3075">
              <w:rPr>
                <w:iCs/>
                <w:color w:val="000000" w:themeColor="text1"/>
                <w:sz w:val="22"/>
              </w:rPr>
              <w:t>equality</w:t>
            </w:r>
            <w:r w:rsidR="00DB2DBB" w:rsidRPr="00AF3075">
              <w:rPr>
                <w:iCs/>
                <w:color w:val="000000" w:themeColor="text1"/>
                <w:sz w:val="22"/>
              </w:rPr>
              <w:t xml:space="preserve"> for women.</w:t>
            </w:r>
            <w:r w:rsidRPr="00AF3075">
              <w:rPr>
                <w:iCs/>
                <w:color w:val="000000" w:themeColor="text1"/>
                <w:sz w:val="22"/>
              </w:rPr>
              <w:t xml:space="preserve">  </w:t>
            </w:r>
            <w:r w:rsidR="00DB2DBB" w:rsidRPr="00AF3075">
              <w:rPr>
                <w:iCs/>
                <w:color w:val="000000" w:themeColor="text1"/>
                <w:sz w:val="22"/>
              </w:rPr>
              <w:t xml:space="preserve">She also </w:t>
            </w:r>
            <w:r w:rsidR="005945D3" w:rsidRPr="00AF3075">
              <w:rPr>
                <w:iCs/>
                <w:sz w:val="22"/>
              </w:rPr>
              <w:t xml:space="preserve">highlighted how stereotyping harms women </w:t>
            </w:r>
            <w:r w:rsidR="00DB2DBB" w:rsidRPr="00AF3075">
              <w:rPr>
                <w:iCs/>
                <w:sz w:val="22"/>
              </w:rPr>
              <w:t>within the system</w:t>
            </w:r>
            <w:r w:rsidR="00DB2DBB" w:rsidRPr="00AF3075">
              <w:rPr>
                <w:iCs/>
                <w:color w:val="000000" w:themeColor="text1"/>
                <w:sz w:val="22"/>
              </w:rPr>
              <w:t>.</w:t>
            </w:r>
            <w:r w:rsidR="005824C9" w:rsidRPr="00AF3075">
              <w:rPr>
                <w:iCs/>
                <w:color w:val="000000" w:themeColor="text1"/>
                <w:sz w:val="22"/>
              </w:rPr>
              <w:t xml:space="preserve"> </w:t>
            </w:r>
            <w:r w:rsidR="003272C1" w:rsidRPr="00AF3075">
              <w:rPr>
                <w:iCs/>
                <w:color w:val="000000" w:themeColor="text1"/>
                <w:sz w:val="22"/>
              </w:rPr>
              <w:t xml:space="preserve">As part of </w:t>
            </w:r>
            <w:r w:rsidR="006A3981" w:rsidRPr="00AF3075">
              <w:rPr>
                <w:iCs/>
                <w:color w:val="000000" w:themeColor="text1"/>
                <w:sz w:val="22"/>
              </w:rPr>
              <w:t>th</w:t>
            </w:r>
            <w:r w:rsidR="006A3981">
              <w:rPr>
                <w:iCs/>
                <w:color w:val="000000" w:themeColor="text1"/>
                <w:sz w:val="22"/>
              </w:rPr>
              <w:t>at</w:t>
            </w:r>
            <w:r w:rsidR="006A3981" w:rsidRPr="00AF3075">
              <w:rPr>
                <w:iCs/>
                <w:color w:val="000000" w:themeColor="text1"/>
                <w:sz w:val="22"/>
              </w:rPr>
              <w:t xml:space="preserve"> </w:t>
            </w:r>
            <w:r w:rsidR="00EF1584" w:rsidRPr="00AF3075">
              <w:rPr>
                <w:iCs/>
                <w:color w:val="000000" w:themeColor="text1"/>
                <w:sz w:val="22"/>
              </w:rPr>
              <w:t>discussion</w:t>
            </w:r>
            <w:r w:rsidR="003272C1" w:rsidRPr="00AF3075">
              <w:rPr>
                <w:iCs/>
                <w:color w:val="000000" w:themeColor="text1"/>
                <w:sz w:val="22"/>
              </w:rPr>
              <w:t xml:space="preserve">, she explained: </w:t>
            </w:r>
            <w:r w:rsidR="000F681E" w:rsidRPr="00AF3075">
              <w:rPr>
                <w:iCs/>
                <w:color w:val="000000" w:themeColor="text1"/>
                <w:sz w:val="22"/>
              </w:rPr>
              <w:t xml:space="preserve"> </w:t>
            </w:r>
          </w:p>
          <w:p w14:paraId="7F9E006B" w14:textId="71851920" w:rsidR="007E48C1" w:rsidRPr="00AF3075" w:rsidRDefault="007E48C1" w:rsidP="006A3981">
            <w:pPr>
              <w:shd w:val="clear" w:color="auto" w:fill="D3E5F6" w:themeFill="accent2" w:themeFillTint="33"/>
              <w:spacing w:before="120" w:after="120"/>
              <w:ind w:left="284"/>
              <w:rPr>
                <w:iCs/>
                <w:color w:val="000000" w:themeColor="text1"/>
                <w:sz w:val="20"/>
                <w:szCs w:val="20"/>
              </w:rPr>
            </w:pPr>
            <w:r w:rsidRPr="00AF3075">
              <w:rPr>
                <w:iCs/>
                <w:color w:val="000000" w:themeColor="text1"/>
                <w:sz w:val="20"/>
                <w:szCs w:val="20"/>
              </w:rPr>
              <w:t>Procedures and rules of evidence in the criminal justice system are often infiltrated by strong gender stereotypes which can result in</w:t>
            </w:r>
            <w:r w:rsidR="003272C1" w:rsidRPr="00AF3075">
              <w:rPr>
                <w:iCs/>
                <w:color w:val="000000" w:themeColor="text1"/>
                <w:sz w:val="20"/>
                <w:szCs w:val="20"/>
              </w:rPr>
              <w:t xml:space="preserve"> engagement in gender-</w:t>
            </w:r>
            <w:r w:rsidRPr="00AF3075">
              <w:rPr>
                <w:iCs/>
                <w:color w:val="000000" w:themeColor="text1"/>
                <w:sz w:val="20"/>
                <w:szCs w:val="20"/>
              </w:rPr>
              <w:t xml:space="preserve">biased behaviour by court officials and discrimination against women by the criminal system in general. </w:t>
            </w:r>
            <w:r w:rsidR="003272C1" w:rsidRPr="00AF3075">
              <w:rPr>
                <w:iCs/>
                <w:color w:val="000000" w:themeColor="text1"/>
                <w:sz w:val="20"/>
                <w:szCs w:val="20"/>
              </w:rPr>
              <w:t xml:space="preserve"> </w:t>
            </w:r>
            <w:r w:rsidRPr="00AF3075">
              <w:rPr>
                <w:iCs/>
                <w:color w:val="000000" w:themeColor="text1"/>
                <w:sz w:val="20"/>
                <w:szCs w:val="20"/>
              </w:rPr>
              <w:t>Gender stereotypes particularly affect procedures in rape and violence against women cases.</w:t>
            </w:r>
            <w:r w:rsidR="00F011F3" w:rsidRPr="00AF3075">
              <w:rPr>
                <w:iCs/>
                <w:color w:val="000000" w:themeColor="text1"/>
                <w:sz w:val="20"/>
                <w:szCs w:val="20"/>
              </w:rPr>
              <w:t xml:space="preserve"> </w:t>
            </w:r>
          </w:p>
          <w:p w14:paraId="6B83039A" w14:textId="1A21CB67" w:rsidR="007E48C1" w:rsidRPr="00AF3075" w:rsidRDefault="007E48C1" w:rsidP="006A3981">
            <w:pPr>
              <w:shd w:val="clear" w:color="auto" w:fill="D3E5F6" w:themeFill="accent2" w:themeFillTint="33"/>
              <w:spacing w:before="120" w:after="120"/>
              <w:ind w:left="284"/>
              <w:rPr>
                <w:iCs/>
                <w:color w:val="000000" w:themeColor="text1"/>
                <w:sz w:val="20"/>
                <w:szCs w:val="20"/>
              </w:rPr>
            </w:pPr>
            <w:r w:rsidRPr="00AF3075">
              <w:rPr>
                <w:iCs/>
                <w:color w:val="000000" w:themeColor="text1"/>
                <w:sz w:val="20"/>
                <w:szCs w:val="20"/>
              </w:rPr>
              <w:t xml:space="preserve">In many States, provisions on rape and sexual assault in criminal codes are based on gender stereotypes and prejudices which result in the discriminatory treatment of victims, who are disproportionately female. </w:t>
            </w:r>
            <w:r w:rsidR="003272C1" w:rsidRPr="00AF3075">
              <w:rPr>
                <w:iCs/>
                <w:color w:val="000000" w:themeColor="text1"/>
                <w:sz w:val="20"/>
                <w:szCs w:val="20"/>
              </w:rPr>
              <w:t xml:space="preserve"> </w:t>
            </w:r>
            <w:r w:rsidRPr="00AF3075">
              <w:rPr>
                <w:iCs/>
                <w:color w:val="000000" w:themeColor="text1"/>
                <w:sz w:val="20"/>
                <w:szCs w:val="20"/>
              </w:rPr>
              <w:t>Hence, high levels of attrition plague the prosecution of rape and sexual violence cases throughout the world, resulting in a significant problem of impunity.</w:t>
            </w:r>
            <w:r w:rsidR="00F011F3" w:rsidRPr="00AF3075">
              <w:rPr>
                <w:iCs/>
                <w:color w:val="000000" w:themeColor="text1"/>
                <w:sz w:val="20"/>
                <w:szCs w:val="20"/>
              </w:rPr>
              <w:t xml:space="preserve"> </w:t>
            </w:r>
          </w:p>
          <w:p w14:paraId="101DB84F" w14:textId="08BE5DD8" w:rsidR="003272C1" w:rsidRPr="00AF3075" w:rsidRDefault="00F67343" w:rsidP="003272C1">
            <w:pPr>
              <w:shd w:val="clear" w:color="auto" w:fill="D3E5F6" w:themeFill="accent2" w:themeFillTint="33"/>
              <w:spacing w:before="120" w:after="120"/>
              <w:rPr>
                <w:iCs/>
                <w:color w:val="000000" w:themeColor="text1"/>
                <w:sz w:val="20"/>
                <w:szCs w:val="20"/>
              </w:rPr>
            </w:pPr>
            <w:r w:rsidRPr="00AF3075">
              <w:rPr>
                <w:iCs/>
                <w:color w:val="000000" w:themeColor="text1"/>
                <w:sz w:val="22"/>
                <w:szCs w:val="20"/>
              </w:rPr>
              <w:t>T</w:t>
            </w:r>
            <w:r w:rsidR="003272C1" w:rsidRPr="00AF3075">
              <w:rPr>
                <w:iCs/>
                <w:color w:val="000000" w:themeColor="text1"/>
                <w:sz w:val="22"/>
                <w:szCs w:val="20"/>
              </w:rPr>
              <w:t>he UN Special Rapporteur</w:t>
            </w:r>
            <w:r w:rsidR="003272C1" w:rsidRPr="00AF3075">
              <w:rPr>
                <w:iCs/>
                <w:sz w:val="22"/>
              </w:rPr>
              <w:t xml:space="preserve"> </w:t>
            </w:r>
            <w:r w:rsidRPr="00AF3075">
              <w:rPr>
                <w:iCs/>
                <w:sz w:val="22"/>
              </w:rPr>
              <w:t xml:space="preserve">also </w:t>
            </w:r>
            <w:r w:rsidR="003272C1" w:rsidRPr="00AF3075">
              <w:rPr>
                <w:iCs/>
                <w:color w:val="000000" w:themeColor="text1"/>
                <w:sz w:val="22"/>
              </w:rPr>
              <w:t>stressed the importance of judges being able to challenge gender stereotyping</w:t>
            </w:r>
            <w:r w:rsidR="00D4718A" w:rsidRPr="00AF3075">
              <w:rPr>
                <w:iCs/>
                <w:color w:val="000000" w:themeColor="text1"/>
                <w:sz w:val="22"/>
              </w:rPr>
              <w:t xml:space="preserve">.  </w:t>
            </w:r>
          </w:p>
          <w:p w14:paraId="6ED9BC9C" w14:textId="06E4A4DC" w:rsidR="0062116E" w:rsidRPr="00AF3075" w:rsidRDefault="0062116E" w:rsidP="00EF1584">
            <w:pPr>
              <w:pStyle w:val="ListParagraph"/>
              <w:shd w:val="clear" w:color="auto" w:fill="D3E5F6" w:themeFill="accent2" w:themeFillTint="33"/>
              <w:spacing w:before="120" w:after="120"/>
              <w:ind w:left="284"/>
              <w:rPr>
                <w:iCs/>
                <w:color w:val="000000" w:themeColor="text1"/>
                <w:sz w:val="20"/>
              </w:rPr>
            </w:pPr>
            <w:r w:rsidRPr="00AF3075">
              <w:rPr>
                <w:iCs/>
                <w:color w:val="000000" w:themeColor="text1"/>
                <w:sz w:val="20"/>
              </w:rPr>
              <w:t>Judges must be in a position to challenge gender stereotyping and discrimination when they encounter it in the form of wrongful charging of suspects, charges being brought without any supporting evidence of wrongdoing and merely on the basis of hearsay, or mischarging of a particular form of conduct (like charging abortion as infanticide).  Judges must also be willing to challenge stereotyping and discrimination by not detracting from women’s testimony or discounting their credibility, which applies whether women are the accused or victims.</w:t>
            </w:r>
            <w:r w:rsidR="003272C1" w:rsidRPr="00AF3075">
              <w:rPr>
                <w:iCs/>
                <w:color w:val="000000" w:themeColor="text1"/>
                <w:sz w:val="20"/>
              </w:rPr>
              <w:t xml:space="preserve"> …</w:t>
            </w:r>
            <w:r w:rsidR="003272C1" w:rsidRPr="00AF3075">
              <w:rPr>
                <w:rStyle w:val="FootnoteReference"/>
                <w:iCs/>
                <w:color w:val="000000" w:themeColor="text1"/>
                <w:sz w:val="20"/>
              </w:rPr>
              <w:t xml:space="preserve"> </w:t>
            </w:r>
            <w:r w:rsidRPr="00AF3075">
              <w:rPr>
                <w:iCs/>
                <w:color w:val="000000" w:themeColor="text1"/>
                <w:sz w:val="20"/>
              </w:rPr>
              <w:t xml:space="preserve">  </w:t>
            </w:r>
          </w:p>
          <w:p w14:paraId="692F6D16" w14:textId="51FEFCA2" w:rsidR="0062116E" w:rsidRPr="00AF3075" w:rsidRDefault="0062116E" w:rsidP="003272C1">
            <w:pPr>
              <w:pStyle w:val="ListParagraph"/>
              <w:shd w:val="clear" w:color="auto" w:fill="D3E5F6" w:themeFill="accent2" w:themeFillTint="33"/>
              <w:spacing w:before="120" w:after="120"/>
              <w:ind w:left="284"/>
              <w:rPr>
                <w:iCs/>
                <w:color w:val="000000" w:themeColor="text1"/>
                <w:sz w:val="20"/>
              </w:rPr>
            </w:pPr>
            <w:r w:rsidRPr="00AF3075">
              <w:rPr>
                <w:iCs/>
                <w:color w:val="000000" w:themeColor="text1"/>
                <w:sz w:val="20"/>
              </w:rPr>
              <w:t>Challenging gender stereotyping further means challenging common assumptions: about male perpetrators — such as, for instance, their entitlement to control women in various ways and their supposed inability to control their own sexual urges; about male victims, for example, their ability, in cases of male rape, to have defended themselves; and about women as perpetrators of crimes of violence against men.  Similar sensitivity is required when dealing with gender norms and expectations regarding lesbian, gay, bisexual and — particularly — transgender victims and perpetrators.</w:t>
            </w:r>
            <w:r w:rsidR="003272C1" w:rsidRPr="00AF3075">
              <w:rPr>
                <w:rStyle w:val="FootnoteReference"/>
              </w:rPr>
              <w:t xml:space="preserve"> </w:t>
            </w:r>
          </w:p>
        </w:tc>
      </w:tr>
    </w:tbl>
    <w:p w14:paraId="6C5115F7" w14:textId="78876C3A" w:rsidR="00B4550C" w:rsidRPr="00AF3075" w:rsidRDefault="00D510D5" w:rsidP="007C2B3F">
      <w:pPr>
        <w:pStyle w:val="Heading2"/>
        <w:ind w:left="0" w:firstLine="0"/>
        <w:rPr>
          <w:rFonts w:ascii="Candara" w:hAnsi="Candara"/>
        </w:rPr>
      </w:pPr>
      <w:bookmarkStart w:id="26" w:name="_Toc263972397"/>
      <w:r w:rsidRPr="00AF3075">
        <w:rPr>
          <w:rFonts w:ascii="Candara" w:hAnsi="Candara"/>
        </w:rPr>
        <w:t>5</w:t>
      </w:r>
      <w:r w:rsidR="007C2B3F" w:rsidRPr="00AF3075">
        <w:rPr>
          <w:rFonts w:ascii="Candara" w:hAnsi="Candara"/>
        </w:rPr>
        <w:t xml:space="preserve">.2 </w:t>
      </w:r>
      <w:r w:rsidR="00B4550C" w:rsidRPr="00AF3075">
        <w:rPr>
          <w:rFonts w:ascii="Candara" w:hAnsi="Candara"/>
        </w:rPr>
        <w:t>Advocate legal and policy reforms</w:t>
      </w:r>
      <w:bookmarkEnd w:id="26"/>
    </w:p>
    <w:p w14:paraId="3E2008A4" w14:textId="006F3BD8" w:rsidR="006D414F" w:rsidRPr="00AF3075" w:rsidRDefault="00F52A46" w:rsidP="00B4550C">
      <w:r w:rsidRPr="00AF3075">
        <w:t xml:space="preserve">National laws and policies </w:t>
      </w:r>
      <w:r w:rsidR="00865E32" w:rsidRPr="00AF3075">
        <w:t xml:space="preserve">help to ensure that judges </w:t>
      </w:r>
      <w:r w:rsidR="002B1885" w:rsidRPr="00AF3075">
        <w:t xml:space="preserve">and other state actors </w:t>
      </w:r>
      <w:r w:rsidR="00865E32" w:rsidRPr="00AF3075">
        <w:t xml:space="preserve">comply with </w:t>
      </w:r>
      <w:r w:rsidR="002B1885" w:rsidRPr="00AF3075">
        <w:t>their</w:t>
      </w:r>
      <w:r w:rsidR="00865E32" w:rsidRPr="00AF3075">
        <w:t xml:space="preserve"> </w:t>
      </w:r>
      <w:r w:rsidR="002B1885" w:rsidRPr="00AF3075">
        <w:t xml:space="preserve">international </w:t>
      </w:r>
      <w:r w:rsidR="00865E32" w:rsidRPr="00AF3075">
        <w:t xml:space="preserve">obligations </w:t>
      </w:r>
      <w:r w:rsidR="002B1885" w:rsidRPr="00AF3075">
        <w:t xml:space="preserve">related to stereotyping.  They </w:t>
      </w:r>
      <w:r w:rsidR="00931000" w:rsidRPr="00AF3075">
        <w:t xml:space="preserve">may also </w:t>
      </w:r>
      <w:r w:rsidR="008B7AAC" w:rsidRPr="00AF3075">
        <w:t>give victims</w:t>
      </w:r>
      <w:r w:rsidR="002B1885" w:rsidRPr="00AF3075">
        <w:t xml:space="preserve"> </w:t>
      </w:r>
      <w:r w:rsidR="008B7AAC" w:rsidRPr="00AF3075">
        <w:t>a</w:t>
      </w:r>
      <w:r w:rsidR="00931000" w:rsidRPr="00AF3075">
        <w:t xml:space="preserve"> </w:t>
      </w:r>
      <w:r w:rsidR="00CC5B95" w:rsidRPr="00AF3075">
        <w:t xml:space="preserve">direct legal cause of action </w:t>
      </w:r>
      <w:r w:rsidR="00931000" w:rsidRPr="00AF3075">
        <w:t xml:space="preserve">to </w:t>
      </w:r>
      <w:r w:rsidR="008B7AAC" w:rsidRPr="00AF3075">
        <w:t>hold judges accountable</w:t>
      </w:r>
      <w:r w:rsidRPr="00AF3075">
        <w:t>.</w:t>
      </w:r>
      <w:r w:rsidR="00884CE6" w:rsidRPr="00AF3075">
        <w:rPr>
          <w:rStyle w:val="FootnoteReference"/>
        </w:rPr>
        <w:footnoteReference w:id="90"/>
      </w:r>
      <w:r w:rsidR="008B7AAC" w:rsidRPr="00AF3075">
        <w:t xml:space="preserve"> </w:t>
      </w:r>
      <w:r w:rsidR="00CC348A" w:rsidRPr="00AF3075">
        <w:t xml:space="preserve"> </w:t>
      </w:r>
      <w:r w:rsidR="00764B5D" w:rsidRPr="00AF3075">
        <w:t>A</w:t>
      </w:r>
      <w:r w:rsidR="00CC348A" w:rsidRPr="00AF3075">
        <w:t xml:space="preserve">dvocates should consider </w:t>
      </w:r>
      <w:r w:rsidR="00342817" w:rsidRPr="00AF3075">
        <w:t xml:space="preserve">whether </w:t>
      </w:r>
      <w:r w:rsidR="00CC348A" w:rsidRPr="00AF3075">
        <w:t xml:space="preserve">reform </w:t>
      </w:r>
      <w:r w:rsidR="00342817" w:rsidRPr="00AF3075">
        <w:t>is needed to strengthen</w:t>
      </w:r>
      <w:r w:rsidR="003568A2" w:rsidRPr="00AF3075">
        <w:t xml:space="preserve"> national</w:t>
      </w:r>
      <w:r w:rsidR="00342817" w:rsidRPr="00AF3075">
        <w:t xml:space="preserve"> protections </w:t>
      </w:r>
      <w:r w:rsidR="003568A2" w:rsidRPr="00AF3075">
        <w:t>against judicial and other stereotyping</w:t>
      </w:r>
      <w:r w:rsidR="00CC348A" w:rsidRPr="00AF3075">
        <w:t>.</w:t>
      </w:r>
      <w:r w:rsidR="006675F9" w:rsidRPr="00AF3075">
        <w:t xml:space="preserve">  </w:t>
      </w:r>
      <w:r w:rsidR="00DD7968" w:rsidRPr="00AF3075">
        <w:t xml:space="preserve">Such reforms might incorporate different types of protections against stereotyping, for instance general protections, subject matter or group specific protections and/or situational protections. </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84"/>
        <w:gridCol w:w="4111"/>
        <w:gridCol w:w="3021"/>
      </w:tblGrid>
      <w:tr w:rsidR="008678B4" w:rsidRPr="00AF3075" w14:paraId="31DEE75D" w14:textId="77777777" w:rsidTr="006D414F">
        <w:tc>
          <w:tcPr>
            <w:tcW w:w="1384" w:type="dxa"/>
            <w:tcBorders>
              <w:top w:val="nil"/>
              <w:bottom w:val="single" w:sz="4" w:space="0" w:color="4A66AC" w:themeColor="accent4"/>
              <w:right w:val="single" w:sz="4" w:space="0" w:color="4A66AC" w:themeColor="accent4"/>
            </w:tcBorders>
          </w:tcPr>
          <w:p w14:paraId="4F1EA386" w14:textId="5E0BE69B" w:rsidR="008600B1" w:rsidRPr="00AF3075" w:rsidRDefault="008600B1" w:rsidP="008678B4">
            <w:pPr>
              <w:spacing w:before="120" w:after="120"/>
              <w:rPr>
                <w:b/>
                <w:color w:val="374C80" w:themeColor="accent4" w:themeShade="BF"/>
                <w:sz w:val="21"/>
                <w:szCs w:val="21"/>
              </w:rPr>
            </w:pPr>
            <w:r w:rsidRPr="00AF3075">
              <w:rPr>
                <w:b/>
                <w:color w:val="374C80" w:themeColor="accent4" w:themeShade="BF"/>
                <w:sz w:val="21"/>
                <w:szCs w:val="21"/>
              </w:rPr>
              <w:t>General</w:t>
            </w:r>
            <w:r w:rsidR="00DD7968" w:rsidRPr="00AF3075">
              <w:rPr>
                <w:b/>
                <w:color w:val="374C80" w:themeColor="accent4" w:themeShade="BF"/>
                <w:sz w:val="21"/>
                <w:szCs w:val="21"/>
              </w:rPr>
              <w:t xml:space="preserve"> protections</w:t>
            </w:r>
          </w:p>
        </w:tc>
        <w:tc>
          <w:tcPr>
            <w:tcW w:w="4111" w:type="dxa"/>
            <w:tcBorders>
              <w:top w:val="nil"/>
              <w:left w:val="single" w:sz="4" w:space="0" w:color="4A66AC" w:themeColor="accent4"/>
              <w:bottom w:val="single" w:sz="4" w:space="0" w:color="4A66AC" w:themeColor="accent4"/>
              <w:right w:val="single" w:sz="4" w:space="0" w:color="4A66AC" w:themeColor="accent4"/>
            </w:tcBorders>
          </w:tcPr>
          <w:p w14:paraId="7BB3345C" w14:textId="4FF94B9D" w:rsidR="008600B1" w:rsidRPr="00AF3075" w:rsidRDefault="008678B4" w:rsidP="007A05EA">
            <w:pPr>
              <w:spacing w:before="120" w:after="120"/>
              <w:rPr>
                <w:sz w:val="21"/>
                <w:szCs w:val="21"/>
              </w:rPr>
            </w:pPr>
            <w:r w:rsidRPr="00AF3075">
              <w:rPr>
                <w:sz w:val="21"/>
                <w:szCs w:val="21"/>
              </w:rPr>
              <w:t xml:space="preserve">Protect against </w:t>
            </w:r>
            <w:r w:rsidR="007A05EA">
              <w:rPr>
                <w:sz w:val="21"/>
                <w:szCs w:val="21"/>
              </w:rPr>
              <w:t xml:space="preserve">all </w:t>
            </w:r>
            <w:r w:rsidRPr="00AF3075">
              <w:rPr>
                <w:sz w:val="21"/>
                <w:szCs w:val="21"/>
              </w:rPr>
              <w:t>stereotyping</w:t>
            </w:r>
            <w:r w:rsidR="007A05EA">
              <w:rPr>
                <w:sz w:val="21"/>
                <w:szCs w:val="21"/>
              </w:rPr>
              <w:t xml:space="preserve"> (eg gender and racial stereotyping)</w:t>
            </w:r>
            <w:r w:rsidR="00DD7968" w:rsidRPr="00AF3075">
              <w:rPr>
                <w:sz w:val="21"/>
                <w:szCs w:val="21"/>
              </w:rPr>
              <w:t xml:space="preserve">, including </w:t>
            </w:r>
            <w:r w:rsidR="007A05EA">
              <w:rPr>
                <w:sz w:val="21"/>
                <w:szCs w:val="21"/>
              </w:rPr>
              <w:t>by judges</w:t>
            </w:r>
          </w:p>
        </w:tc>
        <w:tc>
          <w:tcPr>
            <w:tcW w:w="3021" w:type="dxa"/>
            <w:tcBorders>
              <w:top w:val="nil"/>
              <w:left w:val="single" w:sz="4" w:space="0" w:color="4A66AC" w:themeColor="accent4"/>
              <w:bottom w:val="single" w:sz="4" w:space="0" w:color="4A66AC" w:themeColor="accent4"/>
            </w:tcBorders>
          </w:tcPr>
          <w:p w14:paraId="6574188E" w14:textId="774D920B" w:rsidR="008600B1" w:rsidRPr="007A05EA" w:rsidRDefault="007A05EA" w:rsidP="008600B1">
            <w:pPr>
              <w:spacing w:before="120" w:after="120"/>
              <w:rPr>
                <w:b/>
                <w:iCs/>
                <w:sz w:val="21"/>
                <w:szCs w:val="21"/>
              </w:rPr>
            </w:pPr>
            <w:r>
              <w:rPr>
                <w:sz w:val="21"/>
                <w:szCs w:val="21"/>
              </w:rPr>
              <w:t xml:space="preserve">Eg </w:t>
            </w:r>
            <w:r w:rsidRPr="007A05EA">
              <w:rPr>
                <w:i/>
                <w:iCs/>
                <w:sz w:val="21"/>
                <w:szCs w:val="21"/>
              </w:rPr>
              <w:t>Bangalore Principles of Judicial Conduct</w:t>
            </w:r>
          </w:p>
        </w:tc>
      </w:tr>
      <w:tr w:rsidR="008678B4" w:rsidRPr="00AF3075" w14:paraId="1FADE872" w14:textId="77777777" w:rsidTr="006D414F">
        <w:tc>
          <w:tcPr>
            <w:tcW w:w="1384" w:type="dxa"/>
            <w:tcBorders>
              <w:top w:val="single" w:sz="4" w:space="0" w:color="4A66AC" w:themeColor="accent4"/>
              <w:bottom w:val="single" w:sz="4" w:space="0" w:color="4A66AC" w:themeColor="accent4"/>
              <w:right w:val="single" w:sz="4" w:space="0" w:color="4A66AC" w:themeColor="accent4"/>
            </w:tcBorders>
          </w:tcPr>
          <w:p w14:paraId="4F5EA437" w14:textId="4487BD50" w:rsidR="008600B1" w:rsidRPr="00AF3075" w:rsidRDefault="008600B1" w:rsidP="008678B4">
            <w:pPr>
              <w:spacing w:before="120" w:after="120"/>
              <w:rPr>
                <w:color w:val="374C80" w:themeColor="accent4" w:themeShade="BF"/>
                <w:sz w:val="21"/>
                <w:szCs w:val="21"/>
              </w:rPr>
            </w:pPr>
            <w:r w:rsidRPr="00AF3075">
              <w:rPr>
                <w:b/>
                <w:color w:val="374C80" w:themeColor="accent4" w:themeShade="BF"/>
                <w:sz w:val="21"/>
                <w:szCs w:val="21"/>
              </w:rPr>
              <w:t>Subject matter</w:t>
            </w:r>
            <w:r w:rsidR="00DD7968" w:rsidRPr="00AF3075">
              <w:rPr>
                <w:b/>
                <w:color w:val="374C80" w:themeColor="accent4" w:themeShade="BF"/>
                <w:sz w:val="21"/>
                <w:szCs w:val="21"/>
              </w:rPr>
              <w:t xml:space="preserve"> protections</w:t>
            </w:r>
          </w:p>
        </w:tc>
        <w:tc>
          <w:tcPr>
            <w:tcW w:w="4111"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7A1E073C" w14:textId="575EA3E2" w:rsidR="008600B1" w:rsidRPr="00AF3075" w:rsidRDefault="008678B4" w:rsidP="008678B4">
            <w:pPr>
              <w:spacing w:before="120" w:after="120"/>
              <w:rPr>
                <w:sz w:val="21"/>
                <w:szCs w:val="21"/>
              </w:rPr>
            </w:pPr>
            <w:r w:rsidRPr="00AF3075">
              <w:rPr>
                <w:sz w:val="21"/>
                <w:szCs w:val="21"/>
              </w:rPr>
              <w:t xml:space="preserve">Protect against stereotyping in particular areas, for example stereotyping related </w:t>
            </w:r>
            <w:r w:rsidR="00104D11" w:rsidRPr="00AF3075">
              <w:rPr>
                <w:sz w:val="21"/>
                <w:szCs w:val="21"/>
              </w:rPr>
              <w:t xml:space="preserve">to </w:t>
            </w:r>
            <w:r w:rsidRPr="00AF3075">
              <w:rPr>
                <w:sz w:val="21"/>
                <w:szCs w:val="21"/>
              </w:rPr>
              <w:t>gender-based violence</w:t>
            </w:r>
          </w:p>
        </w:tc>
        <w:tc>
          <w:tcPr>
            <w:tcW w:w="3021" w:type="dxa"/>
            <w:tcBorders>
              <w:top w:val="single" w:sz="4" w:space="0" w:color="4A66AC" w:themeColor="accent4"/>
              <w:left w:val="single" w:sz="4" w:space="0" w:color="4A66AC" w:themeColor="accent4"/>
              <w:bottom w:val="single" w:sz="4" w:space="0" w:color="4A66AC" w:themeColor="accent4"/>
            </w:tcBorders>
          </w:tcPr>
          <w:p w14:paraId="7CCEAC1E" w14:textId="23594344" w:rsidR="008600B1" w:rsidRPr="00AF3075" w:rsidRDefault="008678B4" w:rsidP="00373F60">
            <w:pPr>
              <w:spacing w:before="120" w:after="120"/>
              <w:rPr>
                <w:sz w:val="21"/>
                <w:szCs w:val="21"/>
              </w:rPr>
            </w:pPr>
            <w:r w:rsidRPr="00AF3075">
              <w:rPr>
                <w:iCs/>
                <w:sz w:val="21"/>
                <w:szCs w:val="21"/>
              </w:rPr>
              <w:t xml:space="preserve">Eg </w:t>
            </w:r>
            <w:r w:rsidR="008600B1" w:rsidRPr="00AF3075">
              <w:rPr>
                <w:i/>
                <w:iCs/>
                <w:sz w:val="21"/>
                <w:szCs w:val="21"/>
              </w:rPr>
              <w:t>General Law on Women’s Access to a Life Free of Violence</w:t>
            </w:r>
            <w:r w:rsidR="00373F60" w:rsidRPr="00AF3075">
              <w:rPr>
                <w:i/>
                <w:iCs/>
                <w:sz w:val="21"/>
                <w:szCs w:val="21"/>
              </w:rPr>
              <w:t xml:space="preserve"> </w:t>
            </w:r>
            <w:r w:rsidR="00373F60" w:rsidRPr="00AF3075">
              <w:rPr>
                <w:iCs/>
                <w:sz w:val="21"/>
                <w:szCs w:val="21"/>
              </w:rPr>
              <w:t>(Mexico)</w:t>
            </w:r>
          </w:p>
        </w:tc>
      </w:tr>
      <w:tr w:rsidR="008678B4" w:rsidRPr="00AF3075" w14:paraId="3680448D" w14:textId="77777777" w:rsidTr="006D414F">
        <w:tc>
          <w:tcPr>
            <w:tcW w:w="1384" w:type="dxa"/>
            <w:tcBorders>
              <w:top w:val="single" w:sz="4" w:space="0" w:color="4A66AC" w:themeColor="accent4"/>
              <w:bottom w:val="single" w:sz="4" w:space="0" w:color="4A66AC" w:themeColor="accent4"/>
              <w:right w:val="single" w:sz="4" w:space="0" w:color="4A66AC" w:themeColor="accent4"/>
            </w:tcBorders>
          </w:tcPr>
          <w:p w14:paraId="6DBB2677" w14:textId="151108AA" w:rsidR="008600B1" w:rsidRPr="00AF3075" w:rsidRDefault="008600B1" w:rsidP="008678B4">
            <w:pPr>
              <w:spacing w:before="120" w:after="120"/>
              <w:rPr>
                <w:b/>
                <w:color w:val="374C80" w:themeColor="accent4" w:themeShade="BF"/>
                <w:sz w:val="21"/>
                <w:szCs w:val="21"/>
              </w:rPr>
            </w:pPr>
            <w:r w:rsidRPr="00AF3075">
              <w:rPr>
                <w:b/>
                <w:color w:val="374C80" w:themeColor="accent4" w:themeShade="BF"/>
                <w:sz w:val="21"/>
                <w:szCs w:val="21"/>
              </w:rPr>
              <w:t>Group</w:t>
            </w:r>
            <w:r w:rsidR="00552B76" w:rsidRPr="00AF3075">
              <w:rPr>
                <w:b/>
                <w:color w:val="374C80" w:themeColor="accent4" w:themeShade="BF"/>
                <w:sz w:val="21"/>
                <w:szCs w:val="21"/>
              </w:rPr>
              <w:t>-based</w:t>
            </w:r>
            <w:r w:rsidR="00DD7968" w:rsidRPr="00AF3075">
              <w:rPr>
                <w:b/>
                <w:color w:val="374C80" w:themeColor="accent4" w:themeShade="BF"/>
                <w:sz w:val="21"/>
                <w:szCs w:val="21"/>
              </w:rPr>
              <w:t xml:space="preserve"> protections</w:t>
            </w:r>
          </w:p>
        </w:tc>
        <w:tc>
          <w:tcPr>
            <w:tcW w:w="4111"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2FA4B852" w14:textId="36F91637" w:rsidR="008600B1" w:rsidRPr="00AF3075" w:rsidRDefault="008678B4">
            <w:pPr>
              <w:spacing w:before="120" w:after="120"/>
              <w:rPr>
                <w:iCs/>
                <w:color w:val="000000" w:themeColor="text1"/>
                <w:sz w:val="21"/>
                <w:szCs w:val="21"/>
              </w:rPr>
            </w:pPr>
            <w:r w:rsidRPr="00AF3075">
              <w:rPr>
                <w:iCs/>
                <w:color w:val="000000" w:themeColor="text1"/>
                <w:sz w:val="21"/>
                <w:szCs w:val="21"/>
              </w:rPr>
              <w:t>Protect against stereotyping of specific groups</w:t>
            </w:r>
            <w:r w:rsidR="002C28F5">
              <w:rPr>
                <w:iCs/>
                <w:color w:val="000000" w:themeColor="text1"/>
                <w:sz w:val="21"/>
                <w:szCs w:val="21"/>
              </w:rPr>
              <w:t xml:space="preserve">, such as </w:t>
            </w:r>
            <w:r w:rsidR="007A05EA">
              <w:rPr>
                <w:iCs/>
                <w:color w:val="000000" w:themeColor="text1"/>
                <w:sz w:val="21"/>
                <w:szCs w:val="21"/>
              </w:rPr>
              <w:t>women</w:t>
            </w:r>
            <w:r w:rsidR="002C28F5">
              <w:rPr>
                <w:iCs/>
                <w:color w:val="000000" w:themeColor="text1"/>
                <w:sz w:val="21"/>
                <w:szCs w:val="21"/>
              </w:rPr>
              <w:t xml:space="preserve"> or </w:t>
            </w:r>
            <w:r w:rsidRPr="00AF3075">
              <w:rPr>
                <w:iCs/>
                <w:color w:val="000000" w:themeColor="text1"/>
                <w:sz w:val="21"/>
                <w:szCs w:val="21"/>
              </w:rPr>
              <w:t>people with disability</w:t>
            </w:r>
          </w:p>
        </w:tc>
        <w:tc>
          <w:tcPr>
            <w:tcW w:w="3021" w:type="dxa"/>
            <w:tcBorders>
              <w:top w:val="single" w:sz="4" w:space="0" w:color="4A66AC" w:themeColor="accent4"/>
              <w:left w:val="single" w:sz="4" w:space="0" w:color="4A66AC" w:themeColor="accent4"/>
              <w:bottom w:val="single" w:sz="4" w:space="0" w:color="4A66AC" w:themeColor="accent4"/>
            </w:tcBorders>
          </w:tcPr>
          <w:p w14:paraId="3FBFA741" w14:textId="3E1CE47C" w:rsidR="008600B1" w:rsidRPr="00AF3075" w:rsidRDefault="008678B4" w:rsidP="007A05EA">
            <w:pPr>
              <w:spacing w:before="120" w:after="120"/>
              <w:rPr>
                <w:iCs/>
                <w:color w:val="000000" w:themeColor="text1"/>
                <w:sz w:val="21"/>
                <w:szCs w:val="21"/>
              </w:rPr>
            </w:pPr>
            <w:r w:rsidRPr="00AF3075">
              <w:rPr>
                <w:iCs/>
                <w:color w:val="000000" w:themeColor="text1"/>
                <w:sz w:val="21"/>
                <w:szCs w:val="21"/>
              </w:rPr>
              <w:t xml:space="preserve">Eg </w:t>
            </w:r>
            <w:r w:rsidR="00104D11" w:rsidRPr="00AF3075">
              <w:rPr>
                <w:iCs/>
                <w:color w:val="000000" w:themeColor="text1"/>
                <w:sz w:val="21"/>
                <w:szCs w:val="21"/>
              </w:rPr>
              <w:t>CEDAW</w:t>
            </w:r>
            <w:r w:rsidR="007A05EA">
              <w:rPr>
                <w:iCs/>
                <w:color w:val="000000" w:themeColor="text1"/>
                <w:sz w:val="21"/>
                <w:szCs w:val="21"/>
              </w:rPr>
              <w:t xml:space="preserve">, </w:t>
            </w:r>
            <w:r w:rsidR="007A05EA" w:rsidRPr="00AF3075">
              <w:rPr>
                <w:iCs/>
                <w:color w:val="000000" w:themeColor="text1"/>
                <w:sz w:val="21"/>
                <w:szCs w:val="21"/>
              </w:rPr>
              <w:t>CRP</w:t>
            </w:r>
            <w:r w:rsidR="007A05EA">
              <w:rPr>
                <w:iCs/>
                <w:color w:val="000000" w:themeColor="text1"/>
                <w:sz w:val="21"/>
                <w:szCs w:val="21"/>
              </w:rPr>
              <w:t>D</w:t>
            </w:r>
          </w:p>
        </w:tc>
      </w:tr>
      <w:tr w:rsidR="008678B4" w:rsidRPr="00AF3075" w14:paraId="33BF38D0" w14:textId="77777777" w:rsidTr="006D414F">
        <w:tc>
          <w:tcPr>
            <w:tcW w:w="1384" w:type="dxa"/>
            <w:tcBorders>
              <w:top w:val="single" w:sz="4" w:space="0" w:color="4A66AC" w:themeColor="accent4"/>
              <w:bottom w:val="nil"/>
              <w:right w:val="single" w:sz="4" w:space="0" w:color="4A66AC" w:themeColor="accent4"/>
            </w:tcBorders>
          </w:tcPr>
          <w:p w14:paraId="3FCF9F62" w14:textId="24179F9C" w:rsidR="008600B1" w:rsidRPr="00AF3075" w:rsidRDefault="008600B1" w:rsidP="008678B4">
            <w:pPr>
              <w:spacing w:before="120" w:after="120"/>
              <w:rPr>
                <w:b/>
                <w:color w:val="374C80" w:themeColor="accent4" w:themeShade="BF"/>
                <w:sz w:val="21"/>
                <w:szCs w:val="21"/>
              </w:rPr>
            </w:pPr>
            <w:r w:rsidRPr="00AF3075">
              <w:rPr>
                <w:b/>
                <w:color w:val="374C80" w:themeColor="accent4" w:themeShade="BF"/>
                <w:sz w:val="21"/>
                <w:szCs w:val="21"/>
              </w:rPr>
              <w:t>Situational</w:t>
            </w:r>
            <w:r w:rsidR="00DD7968" w:rsidRPr="00AF3075">
              <w:rPr>
                <w:b/>
                <w:color w:val="374C80" w:themeColor="accent4" w:themeShade="BF"/>
                <w:sz w:val="21"/>
                <w:szCs w:val="21"/>
              </w:rPr>
              <w:t xml:space="preserve"> protections</w:t>
            </w:r>
          </w:p>
        </w:tc>
        <w:tc>
          <w:tcPr>
            <w:tcW w:w="4111" w:type="dxa"/>
            <w:tcBorders>
              <w:top w:val="single" w:sz="4" w:space="0" w:color="4A66AC" w:themeColor="accent4"/>
              <w:left w:val="single" w:sz="4" w:space="0" w:color="4A66AC" w:themeColor="accent4"/>
              <w:bottom w:val="nil"/>
              <w:right w:val="single" w:sz="4" w:space="0" w:color="4A66AC" w:themeColor="accent4"/>
            </w:tcBorders>
          </w:tcPr>
          <w:p w14:paraId="1B2242B4" w14:textId="534CEB92" w:rsidR="008600B1" w:rsidRPr="00AF3075" w:rsidRDefault="008678B4" w:rsidP="008678B4">
            <w:pPr>
              <w:spacing w:before="120" w:after="120"/>
              <w:rPr>
                <w:iCs/>
                <w:color w:val="000000" w:themeColor="text1"/>
                <w:sz w:val="21"/>
                <w:szCs w:val="21"/>
              </w:rPr>
            </w:pPr>
            <w:r w:rsidRPr="00AF3075">
              <w:rPr>
                <w:iCs/>
                <w:color w:val="000000" w:themeColor="text1"/>
                <w:sz w:val="21"/>
                <w:szCs w:val="21"/>
              </w:rPr>
              <w:t xml:space="preserve">Protect against stereotyping in specific situations, such as rules of evidence that seek to prevent stereotyping in sexual assault cases </w:t>
            </w:r>
          </w:p>
        </w:tc>
        <w:tc>
          <w:tcPr>
            <w:tcW w:w="3021" w:type="dxa"/>
            <w:tcBorders>
              <w:top w:val="single" w:sz="4" w:space="0" w:color="4A66AC" w:themeColor="accent4"/>
              <w:left w:val="single" w:sz="4" w:space="0" w:color="4A66AC" w:themeColor="accent4"/>
              <w:bottom w:val="nil"/>
            </w:tcBorders>
          </w:tcPr>
          <w:p w14:paraId="0C65AD8A" w14:textId="3266209D" w:rsidR="008600B1" w:rsidRPr="00AF3075" w:rsidRDefault="008678B4" w:rsidP="008600B1">
            <w:pPr>
              <w:spacing w:before="120" w:after="120"/>
              <w:rPr>
                <w:iCs/>
                <w:color w:val="000000" w:themeColor="text1"/>
                <w:sz w:val="21"/>
                <w:szCs w:val="21"/>
              </w:rPr>
            </w:pPr>
            <w:r w:rsidRPr="00AF3075">
              <w:rPr>
                <w:rStyle w:val="SubtleEmphasis"/>
                <w:b w:val="0"/>
                <w:color w:val="auto"/>
                <w:sz w:val="21"/>
                <w:szCs w:val="21"/>
              </w:rPr>
              <w:t xml:space="preserve">Eg </w:t>
            </w:r>
            <w:r w:rsidR="008600B1" w:rsidRPr="00B33210">
              <w:rPr>
                <w:rStyle w:val="SubtleEmphasis"/>
                <w:b w:val="0"/>
                <w:color w:val="auto"/>
                <w:sz w:val="21"/>
                <w:szCs w:val="21"/>
              </w:rPr>
              <w:t>Rules of Procedure and Evidence</w:t>
            </w:r>
            <w:r w:rsidR="008600B1" w:rsidRPr="00AF3075">
              <w:rPr>
                <w:rStyle w:val="SubtleEmphasis"/>
                <w:b w:val="0"/>
                <w:color w:val="auto"/>
                <w:sz w:val="21"/>
                <w:szCs w:val="21"/>
              </w:rPr>
              <w:t xml:space="preserve"> of the International Tribunals for Rwanda and the former Yugoslavia</w:t>
            </w:r>
          </w:p>
        </w:tc>
      </w:tr>
      <w:tr w:rsidR="006D414F" w:rsidRPr="00AF3075" w14:paraId="014291FA" w14:textId="77777777" w:rsidTr="006D414F">
        <w:tc>
          <w:tcPr>
            <w:tcW w:w="8516" w:type="dxa"/>
            <w:gridSpan w:val="3"/>
            <w:tcBorders>
              <w:top w:val="nil"/>
              <w:bottom w:val="nil"/>
            </w:tcBorders>
          </w:tcPr>
          <w:p w14:paraId="55308F6E" w14:textId="1DD0FE12" w:rsidR="007A05EA" w:rsidRDefault="007A05EA" w:rsidP="00EB2AE5">
            <w:pPr>
              <w:spacing w:before="0" w:after="0"/>
              <w:rPr>
                <w:rStyle w:val="SubtleEmphasis"/>
                <w:b w:val="0"/>
                <w:color w:val="auto"/>
                <w:sz w:val="21"/>
                <w:szCs w:val="21"/>
              </w:rPr>
            </w:pPr>
          </w:p>
          <w:tbl>
            <w:tblPr>
              <w:tblStyle w:val="TableGrid"/>
              <w:tblW w:w="8516" w:type="dxa"/>
              <w:tblLayout w:type="fixed"/>
              <w:tblLook w:val="04A0" w:firstRow="1" w:lastRow="0" w:firstColumn="1" w:lastColumn="0" w:noHBand="0" w:noVBand="1"/>
            </w:tblPr>
            <w:tblGrid>
              <w:gridCol w:w="8516"/>
            </w:tblGrid>
            <w:tr w:rsidR="007A05EA" w:rsidRPr="00AF3075" w14:paraId="5341A1A8" w14:textId="77777777" w:rsidTr="007A05EA">
              <w:tc>
                <w:tcPr>
                  <w:tcW w:w="8516" w:type="dxa"/>
                  <w:tcBorders>
                    <w:top w:val="nil"/>
                    <w:left w:val="nil"/>
                    <w:bottom w:val="nil"/>
                    <w:right w:val="nil"/>
                  </w:tcBorders>
                  <w:shd w:val="clear" w:color="auto" w:fill="D3E5F6" w:themeFill="accent2" w:themeFillTint="33"/>
                </w:tcPr>
                <w:p w14:paraId="7F9A1E10" w14:textId="77777777" w:rsidR="007A05EA" w:rsidRPr="00AF3075" w:rsidRDefault="007A05EA" w:rsidP="00A66917">
                  <w:pPr>
                    <w:spacing w:before="120" w:after="120"/>
                    <w:jc w:val="center"/>
                    <w:rPr>
                      <w:rStyle w:val="SubtleEmphasis"/>
                    </w:rPr>
                  </w:pPr>
                  <w:r w:rsidRPr="00AF3075">
                    <w:rPr>
                      <w:rStyle w:val="SubtleEmphasis"/>
                    </w:rPr>
                    <w:t>Bangalore Principles of Judicial Conduct</w:t>
                  </w:r>
                </w:p>
                <w:p w14:paraId="568052C2" w14:textId="5DECB220" w:rsidR="007A05EA" w:rsidRPr="00AF3075" w:rsidRDefault="007A05EA" w:rsidP="00A66917">
                  <w:pPr>
                    <w:spacing w:before="120" w:after="120"/>
                    <w:rPr>
                      <w:rFonts w:eastAsiaTheme="majorEastAsia" w:cstheme="majorBidi"/>
                      <w:i/>
                      <w:iCs/>
                      <w:color w:val="404040" w:themeColor="text1" w:themeTint="BF"/>
                      <w:sz w:val="22"/>
                      <w:szCs w:val="22"/>
                    </w:rPr>
                  </w:pPr>
                  <w:r w:rsidRPr="00AF3075">
                    <w:rPr>
                      <w:sz w:val="22"/>
                      <w:szCs w:val="22"/>
                    </w:rPr>
                    <w:t xml:space="preserve">The </w:t>
                  </w:r>
                  <w:r w:rsidRPr="00AF3075">
                    <w:rPr>
                      <w:i/>
                      <w:sz w:val="22"/>
                      <w:szCs w:val="22"/>
                    </w:rPr>
                    <w:t>Bangalore Principles of Judicial Conduct</w:t>
                  </w:r>
                  <w:r w:rsidRPr="00AF3075">
                    <w:rPr>
                      <w:sz w:val="22"/>
                      <w:szCs w:val="22"/>
                    </w:rPr>
                    <w:t xml:space="preserve"> identify a range of values and principles</w:t>
                  </w:r>
                  <w:r w:rsidR="00F31F72">
                    <w:rPr>
                      <w:sz w:val="22"/>
                      <w:szCs w:val="22"/>
                    </w:rPr>
                    <w:t>, including impartiality,</w:t>
                  </w:r>
                  <w:r w:rsidRPr="00AF3075">
                    <w:rPr>
                      <w:sz w:val="22"/>
                      <w:szCs w:val="22"/>
                    </w:rPr>
                    <w:t xml:space="preserve"> that judges should adhere to in </w:t>
                  </w:r>
                  <w:r w:rsidR="00F31F72">
                    <w:rPr>
                      <w:sz w:val="22"/>
                      <w:szCs w:val="22"/>
                    </w:rPr>
                    <w:t>the performance of their duties</w:t>
                  </w:r>
                  <w:r w:rsidRPr="00AF3075">
                    <w:rPr>
                      <w:sz w:val="22"/>
                      <w:szCs w:val="22"/>
                    </w:rPr>
                    <w:t>.  The Principles provide</w:t>
                  </w:r>
                  <w:r w:rsidR="00F31F72">
                    <w:rPr>
                      <w:sz w:val="22"/>
                      <w:szCs w:val="22"/>
                    </w:rPr>
                    <w:t xml:space="preserve">, </w:t>
                  </w:r>
                  <w:r w:rsidR="00F31F72">
                    <w:rPr>
                      <w:i/>
                      <w:sz w:val="22"/>
                      <w:szCs w:val="22"/>
                    </w:rPr>
                    <w:t>inter alia</w:t>
                  </w:r>
                  <w:r w:rsidR="00F31F72">
                    <w:rPr>
                      <w:sz w:val="22"/>
                      <w:szCs w:val="22"/>
                    </w:rPr>
                    <w:t>,</w:t>
                  </w:r>
                  <w:r w:rsidRPr="00AF3075">
                    <w:rPr>
                      <w:sz w:val="22"/>
                      <w:szCs w:val="22"/>
                    </w:rPr>
                    <w:t xml:space="preserve"> that a judge shall:</w:t>
                  </w:r>
                </w:p>
                <w:p w14:paraId="13F3BB90" w14:textId="77777777" w:rsidR="007A05EA" w:rsidRPr="00AF3075" w:rsidRDefault="007A05EA" w:rsidP="00F02A99">
                  <w:pPr>
                    <w:pStyle w:val="ListParagraph"/>
                    <w:numPr>
                      <w:ilvl w:val="0"/>
                      <w:numId w:val="21"/>
                    </w:numPr>
                    <w:spacing w:before="120" w:after="120"/>
                    <w:rPr>
                      <w:iCs/>
                      <w:sz w:val="22"/>
                    </w:rPr>
                  </w:pPr>
                  <w:r w:rsidRPr="00AF3075">
                    <w:rPr>
                      <w:sz w:val="22"/>
                      <w:szCs w:val="22"/>
                    </w:rPr>
                    <w:t xml:space="preserve">perform his or her judicial duties without favour, bias or prejudice </w:t>
                  </w:r>
                </w:p>
                <w:p w14:paraId="086F4A0C" w14:textId="77777777" w:rsidR="007A05EA" w:rsidRPr="00AF3075" w:rsidRDefault="007A05EA" w:rsidP="00F02A99">
                  <w:pPr>
                    <w:pStyle w:val="ListParagraph"/>
                    <w:numPr>
                      <w:ilvl w:val="0"/>
                      <w:numId w:val="21"/>
                    </w:numPr>
                    <w:spacing w:before="120" w:after="120"/>
                    <w:rPr>
                      <w:iCs/>
                      <w:sz w:val="22"/>
                    </w:rPr>
                  </w:pPr>
                  <w:r w:rsidRPr="00AF3075">
                    <w:rPr>
                      <w:sz w:val="22"/>
                      <w:szCs w:val="22"/>
                    </w:rPr>
                    <w:t xml:space="preserve">not knowingly, while a proceeding is before, or could come before, the judge, make any comment that might reasonably be expected to affect the outcome of such proceeding or impair the manifest fairness of the process, nor shall the judge make any comment in public or otherwise that might affect the fair trial of any person or issue </w:t>
                  </w:r>
                </w:p>
                <w:p w14:paraId="307873D2" w14:textId="77777777" w:rsidR="007A05EA" w:rsidRPr="00AF3075" w:rsidRDefault="007A05EA" w:rsidP="00F02A99">
                  <w:pPr>
                    <w:pStyle w:val="ListParagraph"/>
                    <w:numPr>
                      <w:ilvl w:val="0"/>
                      <w:numId w:val="21"/>
                    </w:numPr>
                    <w:spacing w:before="120" w:after="120"/>
                    <w:rPr>
                      <w:iCs/>
                      <w:sz w:val="22"/>
                    </w:rPr>
                  </w:pPr>
                  <w:r w:rsidRPr="00AF3075">
                    <w:rPr>
                      <w:sz w:val="22"/>
                      <w:szCs w:val="22"/>
                    </w:rPr>
                    <w:t xml:space="preserve">not, in the performance of judicial duties, by words or conduct, manifest bias or prejudice towards any person or group on irrelevant grounds </w:t>
                  </w:r>
                </w:p>
                <w:p w14:paraId="18000161" w14:textId="77777777" w:rsidR="007A05EA" w:rsidRPr="00AF3075" w:rsidRDefault="007A05EA" w:rsidP="00F02A99">
                  <w:pPr>
                    <w:pStyle w:val="ListParagraph"/>
                    <w:numPr>
                      <w:ilvl w:val="0"/>
                      <w:numId w:val="21"/>
                    </w:numPr>
                    <w:spacing w:before="120" w:after="120"/>
                    <w:rPr>
                      <w:iCs/>
                      <w:sz w:val="22"/>
                    </w:rPr>
                  </w:pPr>
                  <w:proofErr w:type="gramStart"/>
                  <w:r w:rsidRPr="00AF3075">
                    <w:rPr>
                      <w:sz w:val="22"/>
                      <w:szCs w:val="22"/>
                    </w:rPr>
                    <w:t>require</w:t>
                  </w:r>
                  <w:proofErr w:type="gramEnd"/>
                  <w:r w:rsidRPr="00AF3075">
                    <w:rPr>
                      <w:sz w:val="22"/>
                      <w:szCs w:val="22"/>
                    </w:rPr>
                    <w:t xml:space="preserve"> lawyers in proceedings before the court to refrain from manifesting, by words or conduct, bias or prejudice based on irrelevant grounds, except such as are legally relevant to an issue in proceedings and may be the subject of legitimate advocacy.</w:t>
                  </w:r>
                  <w:r w:rsidRPr="00AF3075">
                    <w:rPr>
                      <w:rStyle w:val="FootnoteReference"/>
                      <w:sz w:val="22"/>
                      <w:szCs w:val="22"/>
                    </w:rPr>
                    <w:footnoteReference w:id="91"/>
                  </w:r>
                </w:p>
              </w:tc>
            </w:tr>
          </w:tbl>
          <w:p w14:paraId="5AB8DEA7" w14:textId="77777777" w:rsidR="007A05EA" w:rsidRPr="00AF3075" w:rsidRDefault="007A05EA" w:rsidP="006D414F">
            <w:pPr>
              <w:spacing w:before="0" w:after="0"/>
              <w:rPr>
                <w:rStyle w:val="SubtleEmphasis"/>
                <w:b w:val="0"/>
                <w:color w:val="auto"/>
                <w:sz w:val="21"/>
                <w:szCs w:val="21"/>
              </w:rPr>
            </w:pPr>
          </w:p>
        </w:tc>
      </w:tr>
    </w:tbl>
    <w:p w14:paraId="46106EA8" w14:textId="77777777" w:rsidR="00500B97" w:rsidRDefault="00500B97" w:rsidP="00EF2A63">
      <w:pPr>
        <w:spacing w:before="0" w:after="0"/>
      </w:pPr>
    </w:p>
    <w:tbl>
      <w:tblPr>
        <w:tblStyle w:val="TableGrid"/>
        <w:tblW w:w="0" w:type="auto"/>
        <w:tblLook w:val="04A0" w:firstRow="1" w:lastRow="0" w:firstColumn="1" w:lastColumn="0" w:noHBand="0" w:noVBand="1"/>
      </w:tblPr>
      <w:tblGrid>
        <w:gridCol w:w="8516"/>
      </w:tblGrid>
      <w:tr w:rsidR="00500B97" w:rsidRPr="00AF3075" w14:paraId="0B48670E" w14:textId="77777777" w:rsidTr="001A5598">
        <w:tc>
          <w:tcPr>
            <w:tcW w:w="8516" w:type="dxa"/>
            <w:tcBorders>
              <w:top w:val="nil"/>
              <w:left w:val="nil"/>
              <w:bottom w:val="nil"/>
              <w:right w:val="nil"/>
            </w:tcBorders>
            <w:shd w:val="clear" w:color="auto" w:fill="D3E5F6" w:themeFill="accent2" w:themeFillTint="33"/>
          </w:tcPr>
          <w:p w14:paraId="4CE8B417" w14:textId="772CC871" w:rsidR="00500B97" w:rsidRPr="00AF3075" w:rsidRDefault="00500B97" w:rsidP="00500B97">
            <w:pPr>
              <w:shd w:val="clear" w:color="auto" w:fill="D3E5F6" w:themeFill="accent2" w:themeFillTint="33"/>
              <w:spacing w:before="120" w:after="120"/>
              <w:jc w:val="center"/>
              <w:rPr>
                <w:rStyle w:val="SubtleEmphasis"/>
              </w:rPr>
            </w:pPr>
            <w:r w:rsidRPr="00AF3075">
              <w:rPr>
                <w:rStyle w:val="SubtleEmphasis"/>
              </w:rPr>
              <w:t xml:space="preserve">Mexico’s </w:t>
            </w:r>
            <w:r w:rsidRPr="00AF3075">
              <w:rPr>
                <w:rStyle w:val="SubtleEmphasis"/>
                <w:i/>
              </w:rPr>
              <w:t>General Law on Women’s Access to a Life Free of Violence</w:t>
            </w:r>
            <w:r w:rsidRPr="00AF3075">
              <w:rPr>
                <w:rStyle w:val="SubtleEmphasis"/>
              </w:rPr>
              <w:t xml:space="preserve"> prohibits stereotyping</w:t>
            </w:r>
          </w:p>
          <w:p w14:paraId="6DB5EC07" w14:textId="27186840" w:rsidR="00500B97" w:rsidRPr="00AF3075" w:rsidRDefault="00500B97" w:rsidP="00500B97">
            <w:pPr>
              <w:spacing w:before="120" w:after="120"/>
              <w:rPr>
                <w:rStyle w:val="SubtleEmphasis"/>
              </w:rPr>
            </w:pPr>
            <w:r>
              <w:rPr>
                <w:iCs/>
                <w:sz w:val="22"/>
              </w:rPr>
              <w:t>M</w:t>
            </w:r>
            <w:r w:rsidRPr="00AF3075">
              <w:rPr>
                <w:iCs/>
                <w:sz w:val="22"/>
              </w:rPr>
              <w:t xml:space="preserve">exico’s </w:t>
            </w:r>
            <w:r w:rsidRPr="00AF3075">
              <w:rPr>
                <w:i/>
                <w:iCs/>
                <w:sz w:val="22"/>
              </w:rPr>
              <w:t>General Law on Women’s Access to a Life Free of Violence</w:t>
            </w:r>
            <w:r w:rsidRPr="00AF3075">
              <w:rPr>
                <w:iCs/>
                <w:sz w:val="22"/>
              </w:rPr>
              <w:t xml:space="preserve"> </w:t>
            </w:r>
            <w:r>
              <w:rPr>
                <w:iCs/>
                <w:sz w:val="22"/>
              </w:rPr>
              <w:t xml:space="preserve">has </w:t>
            </w:r>
            <w:r w:rsidRPr="00AF3075">
              <w:rPr>
                <w:iCs/>
                <w:sz w:val="22"/>
              </w:rPr>
              <w:t>several provisions on stereotyping.  Although the</w:t>
            </w:r>
            <w:r>
              <w:rPr>
                <w:iCs/>
                <w:sz w:val="22"/>
              </w:rPr>
              <w:t>y</w:t>
            </w:r>
            <w:r w:rsidRPr="00AF3075">
              <w:rPr>
                <w:iCs/>
                <w:sz w:val="22"/>
              </w:rPr>
              <w:t xml:space="preserve"> do not deal explicitly with judicial stereotyping, they illustrate how one state has used national </w:t>
            </w:r>
            <w:r>
              <w:rPr>
                <w:iCs/>
                <w:sz w:val="22"/>
              </w:rPr>
              <w:t xml:space="preserve">law </w:t>
            </w:r>
            <w:r w:rsidRPr="00AF3075">
              <w:rPr>
                <w:iCs/>
                <w:sz w:val="22"/>
              </w:rPr>
              <w:t>to address stereotyping.  The law requires:</w:t>
            </w:r>
          </w:p>
          <w:p w14:paraId="21760659" w14:textId="77777777" w:rsidR="00500B97" w:rsidRPr="00AF3075" w:rsidRDefault="00500B97" w:rsidP="00500B97">
            <w:pPr>
              <w:pStyle w:val="ListParagraph"/>
              <w:numPr>
                <w:ilvl w:val="0"/>
                <w:numId w:val="24"/>
              </w:numPr>
              <w:spacing w:before="120" w:after="120"/>
              <w:rPr>
                <w:sz w:val="22"/>
                <w:szCs w:val="22"/>
              </w:rPr>
            </w:pPr>
            <w:r w:rsidRPr="00AF3075">
              <w:rPr>
                <w:sz w:val="22"/>
                <w:szCs w:val="22"/>
              </w:rPr>
              <w:t xml:space="preserve">states and municipalities to provide free education to </w:t>
            </w:r>
            <w:r w:rsidRPr="00AF3075">
              <w:rPr>
                <w:iCs/>
                <w:sz w:val="22"/>
              </w:rPr>
              <w:t>perpetrators to eliminate stereotypes about male supremacy and macho patterns that facilitate violence</w:t>
            </w:r>
          </w:p>
          <w:p w14:paraId="47DE593A" w14:textId="77777777" w:rsidR="00500B97" w:rsidRPr="00AF3075" w:rsidRDefault="00500B97" w:rsidP="00500B97">
            <w:pPr>
              <w:pStyle w:val="ListParagraph"/>
              <w:numPr>
                <w:ilvl w:val="0"/>
                <w:numId w:val="24"/>
              </w:numPr>
              <w:spacing w:before="120" w:after="120"/>
              <w:rPr>
                <w:sz w:val="22"/>
                <w:szCs w:val="22"/>
              </w:rPr>
            </w:pPr>
            <w:r w:rsidRPr="00AF3075">
              <w:rPr>
                <w:sz w:val="22"/>
                <w:szCs w:val="22"/>
              </w:rPr>
              <w:t>the Mexican Government to provide education about gender-based violence that is free of stereotypes and recognises the risk women face in an unequal society</w:t>
            </w:r>
          </w:p>
          <w:p w14:paraId="3811D831" w14:textId="77777777" w:rsidR="00500B97" w:rsidRPr="00AF3075" w:rsidRDefault="00500B97" w:rsidP="00500B97">
            <w:pPr>
              <w:pStyle w:val="ListParagraph"/>
              <w:numPr>
                <w:ilvl w:val="0"/>
                <w:numId w:val="24"/>
              </w:numPr>
              <w:spacing w:before="120" w:after="120"/>
              <w:rPr>
                <w:sz w:val="22"/>
                <w:szCs w:val="22"/>
              </w:rPr>
            </w:pPr>
            <w:r w:rsidRPr="00AF3075">
              <w:rPr>
                <w:sz w:val="22"/>
                <w:szCs w:val="22"/>
              </w:rPr>
              <w:t>t</w:t>
            </w:r>
            <w:r w:rsidRPr="00AF3075">
              <w:rPr>
                <w:iCs/>
                <w:sz w:val="22"/>
              </w:rPr>
              <w:t xml:space="preserve">he </w:t>
            </w:r>
            <w:r w:rsidRPr="00AF3075">
              <w:rPr>
                <w:i/>
                <w:iCs/>
                <w:sz w:val="22"/>
              </w:rPr>
              <w:t>Comprehensive Program to Prevent, Treat, Punish and Eradicate Violence</w:t>
            </w:r>
            <w:r w:rsidRPr="00AF3075">
              <w:rPr>
                <w:iCs/>
                <w:sz w:val="22"/>
              </w:rPr>
              <w:t xml:space="preserve"> </w:t>
            </w:r>
            <w:r w:rsidRPr="00AF3075">
              <w:rPr>
                <w:i/>
                <w:iCs/>
                <w:sz w:val="22"/>
              </w:rPr>
              <w:t xml:space="preserve">against Women </w:t>
            </w:r>
            <w:r w:rsidRPr="00AF3075">
              <w:rPr>
                <w:iCs/>
                <w:sz w:val="22"/>
              </w:rPr>
              <w:t>to provide for education programs to prevent, treat and eradicate stereotyped behaviour that facilitates and condones violence against women</w:t>
            </w:r>
          </w:p>
          <w:p w14:paraId="1F9FACA4" w14:textId="77777777" w:rsidR="00500B97" w:rsidRPr="00AF3075" w:rsidRDefault="00500B97" w:rsidP="00500B97">
            <w:pPr>
              <w:pStyle w:val="ListParagraph"/>
              <w:numPr>
                <w:ilvl w:val="0"/>
                <w:numId w:val="24"/>
              </w:numPr>
              <w:spacing w:before="120" w:after="120"/>
              <w:rPr>
                <w:sz w:val="22"/>
                <w:szCs w:val="22"/>
              </w:rPr>
            </w:pPr>
            <w:r w:rsidRPr="00AF3075">
              <w:rPr>
                <w:iCs/>
                <w:sz w:val="22"/>
              </w:rPr>
              <w:t>the federation to ensure the media do not promote stereotyped gender images</w:t>
            </w:r>
          </w:p>
          <w:p w14:paraId="4BAEC514" w14:textId="77777777" w:rsidR="00500B97" w:rsidRPr="00AF3075" w:rsidRDefault="00500B97" w:rsidP="00500B97">
            <w:pPr>
              <w:pStyle w:val="ListParagraph"/>
              <w:numPr>
                <w:ilvl w:val="0"/>
                <w:numId w:val="24"/>
              </w:numPr>
              <w:spacing w:before="120" w:after="120"/>
              <w:rPr>
                <w:sz w:val="22"/>
                <w:szCs w:val="22"/>
              </w:rPr>
            </w:pPr>
            <w:proofErr w:type="gramStart"/>
            <w:r w:rsidRPr="00AF3075">
              <w:rPr>
                <w:iCs/>
                <w:sz w:val="22"/>
              </w:rPr>
              <w:t>the</w:t>
            </w:r>
            <w:proofErr w:type="gramEnd"/>
            <w:r w:rsidRPr="00AF3075">
              <w:rPr>
                <w:iCs/>
                <w:sz w:val="22"/>
              </w:rPr>
              <w:t xml:space="preserve"> Public Education Ministry to eliminate stereotypes from education programs and incorporate content into those programs to modify behaviour based on the idea that one of the sexes is superior or inferior or on sex-role stereotypes.</w:t>
            </w:r>
            <w:r w:rsidRPr="00AF3075">
              <w:rPr>
                <w:rStyle w:val="FootnoteReference"/>
                <w:iCs/>
                <w:sz w:val="22"/>
              </w:rPr>
              <w:footnoteReference w:id="92"/>
            </w:r>
            <w:r w:rsidRPr="00AF3075">
              <w:rPr>
                <w:iCs/>
                <w:sz w:val="22"/>
              </w:rPr>
              <w:t xml:space="preserve"> </w:t>
            </w:r>
          </w:p>
          <w:p w14:paraId="4FE7D0F7" w14:textId="788C7358" w:rsidR="00500B97" w:rsidRPr="00500B97" w:rsidRDefault="00500B97" w:rsidP="00500B97">
            <w:pPr>
              <w:spacing w:before="0" w:after="0"/>
              <w:rPr>
                <w:rStyle w:val="SubtleEmphasis"/>
                <w:b w:val="0"/>
                <w:iCs w:val="0"/>
                <w:color w:val="auto"/>
                <w:sz w:val="24"/>
              </w:rPr>
            </w:pPr>
            <w:r w:rsidRPr="00AF3075">
              <w:rPr>
                <w:iCs/>
                <w:sz w:val="22"/>
              </w:rPr>
              <w:t>The law also guarantees victims of violence the right to be valued and educated free of stereotypes and practices based on the concepts of inferiority or subordination.</w:t>
            </w:r>
            <w:r w:rsidRPr="00AF3075">
              <w:rPr>
                <w:rStyle w:val="FootnoteReference"/>
                <w:iCs/>
                <w:sz w:val="22"/>
              </w:rPr>
              <w:footnoteReference w:id="93"/>
            </w:r>
          </w:p>
        </w:tc>
      </w:tr>
    </w:tbl>
    <w:p w14:paraId="7F71F0CE" w14:textId="77777777" w:rsidR="00500B97" w:rsidRPr="00AF3075" w:rsidRDefault="00500B97" w:rsidP="00EF2A63">
      <w:pPr>
        <w:spacing w:before="0" w:after="0"/>
      </w:pPr>
    </w:p>
    <w:tbl>
      <w:tblPr>
        <w:tblStyle w:val="TableGrid"/>
        <w:tblW w:w="0" w:type="auto"/>
        <w:tblLook w:val="04A0" w:firstRow="1" w:lastRow="0" w:firstColumn="1" w:lastColumn="0" w:noHBand="0" w:noVBand="1"/>
      </w:tblPr>
      <w:tblGrid>
        <w:gridCol w:w="8516"/>
      </w:tblGrid>
      <w:tr w:rsidR="00B4550C" w:rsidRPr="00AF3075" w14:paraId="6EA327D2" w14:textId="77777777" w:rsidTr="00B4550C">
        <w:tc>
          <w:tcPr>
            <w:tcW w:w="8516" w:type="dxa"/>
            <w:tcBorders>
              <w:top w:val="nil"/>
              <w:left w:val="nil"/>
              <w:bottom w:val="nil"/>
              <w:right w:val="nil"/>
            </w:tcBorders>
            <w:shd w:val="clear" w:color="auto" w:fill="D3E5F6" w:themeFill="accent2" w:themeFillTint="33"/>
          </w:tcPr>
          <w:p w14:paraId="21894C5D" w14:textId="77777777" w:rsidR="00B4550C" w:rsidRPr="00AF3075" w:rsidRDefault="00B4550C" w:rsidP="00A66917">
            <w:pPr>
              <w:spacing w:before="120" w:after="120"/>
              <w:jc w:val="center"/>
              <w:rPr>
                <w:rStyle w:val="SubtleEmphasis"/>
              </w:rPr>
            </w:pPr>
            <w:r w:rsidRPr="00AF3075">
              <w:rPr>
                <w:rStyle w:val="SubtleEmphasis"/>
              </w:rPr>
              <w:t xml:space="preserve">Rules of evidence help to prevent stereotyping in sexual assault cases decided by the International Tribunals for Rwanda and the former Yugoslavia  </w:t>
            </w:r>
          </w:p>
          <w:p w14:paraId="2B4361E1" w14:textId="77777777" w:rsidR="00B4550C" w:rsidRPr="00AF3075" w:rsidRDefault="00B4550C" w:rsidP="00A66917">
            <w:pPr>
              <w:spacing w:before="120" w:after="120"/>
              <w:rPr>
                <w:rStyle w:val="SubtleEmphasis"/>
                <w:b w:val="0"/>
                <w:color w:val="auto"/>
              </w:rPr>
            </w:pPr>
            <w:r w:rsidRPr="00AF3075">
              <w:rPr>
                <w:rStyle w:val="SubtleEmphasis"/>
                <w:b w:val="0"/>
                <w:color w:val="auto"/>
              </w:rPr>
              <w:t xml:space="preserve">Included in the </w:t>
            </w:r>
            <w:r w:rsidRPr="00B33210">
              <w:rPr>
                <w:rStyle w:val="SubtleEmphasis"/>
                <w:b w:val="0"/>
                <w:color w:val="auto"/>
              </w:rPr>
              <w:t xml:space="preserve">Rules of Procedure and Evidence </w:t>
            </w:r>
            <w:r w:rsidRPr="00AF3075">
              <w:rPr>
                <w:rStyle w:val="SubtleEmphasis"/>
                <w:b w:val="0"/>
                <w:color w:val="auto"/>
              </w:rPr>
              <w:t xml:space="preserve">of the International Tribunals for Rwanda and the former Yugoslavia are requirements that may help to prevent stereotyping in sexual assault cases.  With some differences, Rule 96 of the respective tribunals provides that in sexual assault cases: </w:t>
            </w:r>
          </w:p>
          <w:p w14:paraId="530EC343" w14:textId="77777777" w:rsidR="00B4550C" w:rsidRPr="00AF3075" w:rsidRDefault="00B4550C" w:rsidP="00F02A99">
            <w:pPr>
              <w:pStyle w:val="ListParagraph"/>
              <w:numPr>
                <w:ilvl w:val="0"/>
                <w:numId w:val="24"/>
              </w:numPr>
              <w:spacing w:before="120" w:after="120"/>
              <w:rPr>
                <w:rStyle w:val="SubtleEmphasis"/>
                <w:b w:val="0"/>
                <w:iCs w:val="0"/>
                <w:color w:val="auto"/>
                <w:szCs w:val="22"/>
              </w:rPr>
            </w:pPr>
            <w:r w:rsidRPr="00AF3075">
              <w:rPr>
                <w:rStyle w:val="SubtleEmphasis"/>
                <w:b w:val="0"/>
                <w:color w:val="auto"/>
              </w:rPr>
              <w:t xml:space="preserve">the victim’s testimony does not need to be corroborated </w:t>
            </w:r>
          </w:p>
          <w:p w14:paraId="7865C8F6" w14:textId="77777777" w:rsidR="00B4550C" w:rsidRPr="00AF3075" w:rsidRDefault="00B4550C" w:rsidP="00F02A99">
            <w:pPr>
              <w:pStyle w:val="ListParagraph"/>
              <w:numPr>
                <w:ilvl w:val="0"/>
                <w:numId w:val="24"/>
              </w:numPr>
              <w:spacing w:before="120" w:after="120"/>
              <w:rPr>
                <w:rStyle w:val="SubtleEmphasis"/>
                <w:b w:val="0"/>
                <w:iCs w:val="0"/>
                <w:color w:val="auto"/>
                <w:szCs w:val="22"/>
              </w:rPr>
            </w:pPr>
            <w:r w:rsidRPr="00AF3075">
              <w:rPr>
                <w:rStyle w:val="SubtleEmphasis"/>
                <w:b w:val="0"/>
                <w:color w:val="auto"/>
              </w:rPr>
              <w:t>consent is not permitted as a defense if the victim</w:t>
            </w:r>
          </w:p>
          <w:p w14:paraId="73DB8D96" w14:textId="77777777" w:rsidR="00B4550C" w:rsidRPr="00AF3075" w:rsidRDefault="00B4550C" w:rsidP="00F02A99">
            <w:pPr>
              <w:pStyle w:val="ListParagraph"/>
              <w:numPr>
                <w:ilvl w:val="0"/>
                <w:numId w:val="24"/>
              </w:numPr>
              <w:spacing w:before="120" w:after="120"/>
              <w:ind w:left="1134"/>
              <w:rPr>
                <w:rStyle w:val="SubtleEmphasis"/>
                <w:b w:val="0"/>
                <w:color w:val="auto"/>
              </w:rPr>
            </w:pPr>
            <w:r w:rsidRPr="00AF3075">
              <w:rPr>
                <w:rStyle w:val="SubtleEmphasis"/>
                <w:b w:val="0"/>
                <w:color w:val="auto"/>
              </w:rPr>
              <w:t xml:space="preserve">was subjected to or threatened with or has had reasons to fear violence, duress, detention or psychological oppression </w:t>
            </w:r>
          </w:p>
          <w:p w14:paraId="48D39606" w14:textId="77777777" w:rsidR="00B4550C" w:rsidRPr="00AF3075" w:rsidRDefault="00B4550C" w:rsidP="00F02A99">
            <w:pPr>
              <w:pStyle w:val="ListParagraph"/>
              <w:numPr>
                <w:ilvl w:val="0"/>
                <w:numId w:val="24"/>
              </w:numPr>
              <w:spacing w:before="120" w:after="120"/>
              <w:ind w:left="1134"/>
              <w:rPr>
                <w:rStyle w:val="SubtleEmphasis"/>
                <w:b w:val="0"/>
                <w:color w:val="auto"/>
              </w:rPr>
            </w:pPr>
            <w:r w:rsidRPr="00AF3075">
              <w:rPr>
                <w:rStyle w:val="SubtleEmphasis"/>
                <w:b w:val="0"/>
                <w:color w:val="auto"/>
              </w:rPr>
              <w:t xml:space="preserve">reasonably believed that if the victim did not submit, another might be so subjected, threatened or put in fear  </w:t>
            </w:r>
          </w:p>
          <w:p w14:paraId="782F389F" w14:textId="4043F61D" w:rsidR="00B4550C" w:rsidRPr="00AF3075" w:rsidRDefault="00B4550C" w:rsidP="00F02A99">
            <w:pPr>
              <w:pStyle w:val="ListParagraph"/>
              <w:numPr>
                <w:ilvl w:val="0"/>
                <w:numId w:val="24"/>
              </w:numPr>
              <w:spacing w:before="120" w:after="120"/>
              <w:rPr>
                <w:rStyle w:val="SubtleEmphasis"/>
                <w:b w:val="0"/>
                <w:iCs w:val="0"/>
                <w:color w:val="auto"/>
                <w:szCs w:val="22"/>
              </w:rPr>
            </w:pPr>
            <w:r w:rsidRPr="00AF3075">
              <w:rPr>
                <w:rStyle w:val="SubtleEmphasis"/>
                <w:b w:val="0"/>
                <w:color w:val="auto"/>
              </w:rPr>
              <w:t xml:space="preserve">before evidence of the victim’s consent is admitted, the accused must satisfy the Trial Chamber </w:t>
            </w:r>
            <w:r w:rsidRPr="00AF3075">
              <w:rPr>
                <w:rStyle w:val="SubtleEmphasis"/>
                <w:b w:val="0"/>
                <w:i/>
                <w:color w:val="auto"/>
              </w:rPr>
              <w:t xml:space="preserve">in camera </w:t>
            </w:r>
            <w:r w:rsidRPr="00AF3075">
              <w:rPr>
                <w:rStyle w:val="SubtleEmphasis"/>
                <w:b w:val="0"/>
                <w:color w:val="auto"/>
              </w:rPr>
              <w:t>that the evi</w:t>
            </w:r>
            <w:r w:rsidR="006675F9" w:rsidRPr="00AF3075">
              <w:rPr>
                <w:rStyle w:val="SubtleEmphasis"/>
                <w:b w:val="0"/>
                <w:color w:val="auto"/>
              </w:rPr>
              <w:t>dence is relevant and credible</w:t>
            </w:r>
          </w:p>
          <w:p w14:paraId="469C20CD" w14:textId="77777777" w:rsidR="00B4550C" w:rsidRPr="00AF3075" w:rsidRDefault="00B4550C" w:rsidP="00F02A99">
            <w:pPr>
              <w:pStyle w:val="ListParagraph"/>
              <w:numPr>
                <w:ilvl w:val="0"/>
                <w:numId w:val="24"/>
              </w:numPr>
              <w:spacing w:before="120" w:after="120"/>
              <w:rPr>
                <w:rStyle w:val="SubtleEmphasis"/>
                <w:b w:val="0"/>
                <w:iCs w:val="0"/>
                <w:color w:val="auto"/>
                <w:szCs w:val="22"/>
              </w:rPr>
            </w:pPr>
            <w:proofErr w:type="gramStart"/>
            <w:r w:rsidRPr="00AF3075">
              <w:rPr>
                <w:rStyle w:val="SubtleEmphasis"/>
                <w:b w:val="0"/>
                <w:color w:val="auto"/>
              </w:rPr>
              <w:t>the</w:t>
            </w:r>
            <w:proofErr w:type="gramEnd"/>
            <w:r w:rsidRPr="00AF3075">
              <w:rPr>
                <w:rStyle w:val="SubtleEmphasis"/>
                <w:b w:val="0"/>
                <w:color w:val="auto"/>
              </w:rPr>
              <w:t xml:space="preserve"> victim’s prior sexual conduct shall not be admitted in evidence or as defence.</w:t>
            </w:r>
            <w:r w:rsidRPr="00AF3075">
              <w:rPr>
                <w:rStyle w:val="FootnoteReference"/>
                <w:iCs/>
                <w:color w:val="000000" w:themeColor="text1"/>
                <w:sz w:val="22"/>
              </w:rPr>
              <w:footnoteReference w:id="94"/>
            </w:r>
          </w:p>
        </w:tc>
      </w:tr>
    </w:tbl>
    <w:p w14:paraId="3D3E083B" w14:textId="326C84A1" w:rsidR="00EE2186" w:rsidRDefault="00EE2186" w:rsidP="006A3540">
      <w:pPr>
        <w:spacing w:before="0" w:after="0"/>
      </w:pPr>
    </w:p>
    <w:tbl>
      <w:tblPr>
        <w:tblStyle w:val="TableGrid"/>
        <w:tblW w:w="0" w:type="auto"/>
        <w:tblLook w:val="04A0" w:firstRow="1" w:lastRow="0" w:firstColumn="1" w:lastColumn="0" w:noHBand="0" w:noVBand="1"/>
      </w:tblPr>
      <w:tblGrid>
        <w:gridCol w:w="8516"/>
      </w:tblGrid>
      <w:tr w:rsidR="00875B47" w:rsidRPr="00AF3075" w14:paraId="44DCFDC3" w14:textId="77777777" w:rsidTr="0088694D">
        <w:tc>
          <w:tcPr>
            <w:tcW w:w="8516" w:type="dxa"/>
            <w:tcBorders>
              <w:top w:val="nil"/>
              <w:left w:val="nil"/>
              <w:bottom w:val="nil"/>
              <w:right w:val="nil"/>
            </w:tcBorders>
            <w:shd w:val="clear" w:color="auto" w:fill="D3E5F6" w:themeFill="accent2" w:themeFillTint="33"/>
          </w:tcPr>
          <w:p w14:paraId="1B5D4537" w14:textId="77EBB521" w:rsidR="00875B47" w:rsidRPr="00AF3075" w:rsidRDefault="00875B47" w:rsidP="006A3540">
            <w:pPr>
              <w:spacing w:after="120"/>
              <w:jc w:val="center"/>
              <w:rPr>
                <w:rStyle w:val="SubtleEmphasis"/>
              </w:rPr>
            </w:pPr>
            <w:r w:rsidRPr="006A3540">
              <w:rPr>
                <w:rStyle w:val="SubtleEmphasis"/>
              </w:rPr>
              <w:t>Laws in Lesotho and South Africa prohibit adverse findings about a victim’s credibility based on delays in reporting sexual assault</w:t>
            </w:r>
          </w:p>
          <w:p w14:paraId="18815A31" w14:textId="77777777" w:rsidR="00875B47" w:rsidRPr="006A3540" w:rsidRDefault="00875B47" w:rsidP="006A3540">
            <w:pPr>
              <w:spacing w:before="120" w:after="120"/>
              <w:rPr>
                <w:sz w:val="22"/>
                <w:lang w:val="en-US"/>
              </w:rPr>
            </w:pPr>
            <w:r w:rsidRPr="006A3540">
              <w:rPr>
                <w:sz w:val="22"/>
                <w:lang w:val="en-US"/>
              </w:rPr>
              <w:t xml:space="preserve">Section 20 of Lesotho’s </w:t>
            </w:r>
            <w:r w:rsidRPr="006A3540">
              <w:rPr>
                <w:i/>
                <w:sz w:val="22"/>
                <w:lang w:val="en-US"/>
              </w:rPr>
              <w:t>Sexual Offences Act 2003</w:t>
            </w:r>
            <w:r w:rsidRPr="006A3540">
              <w:rPr>
                <w:sz w:val="22"/>
                <w:lang w:val="en-US"/>
              </w:rPr>
              <w:t xml:space="preserve"> provides that ‘[i]n criminal proceedings at which an accused is charged with an offence of a sexual nature, the court shall not draw any adverse inference only from the length of the delay between the commission of the sexual act and the laying of a complaint’.  </w:t>
            </w:r>
          </w:p>
          <w:p w14:paraId="114FFE57" w14:textId="0CD60A82" w:rsidR="00875B47" w:rsidRPr="006A3540" w:rsidRDefault="00875B47">
            <w:pPr>
              <w:spacing w:before="120"/>
              <w:rPr>
                <w:rStyle w:val="SubtleEmphasis"/>
                <w:b w:val="0"/>
                <w:iCs w:val="0"/>
                <w:color w:val="auto"/>
                <w:sz w:val="24"/>
              </w:rPr>
            </w:pPr>
            <w:r w:rsidRPr="006A3540">
              <w:rPr>
                <w:sz w:val="22"/>
                <w:lang w:val="en-US"/>
              </w:rPr>
              <w:t xml:space="preserve">Section 59 of South Africa’s </w:t>
            </w:r>
            <w:r w:rsidRPr="006A3540">
              <w:rPr>
                <w:i/>
                <w:sz w:val="22"/>
              </w:rPr>
              <w:t>Criminal Law Sexual Offences and Related Matters Amendment Act 2007</w:t>
            </w:r>
            <w:r w:rsidRPr="006A3540">
              <w:rPr>
                <w:sz w:val="22"/>
                <w:lang w:val="en-US"/>
              </w:rPr>
              <w:t xml:space="preserve"> similarly provides that ‘[i]n criminal proceedings </w:t>
            </w:r>
            <w:r w:rsidR="00E27C9F" w:rsidRPr="006A3540">
              <w:rPr>
                <w:sz w:val="22"/>
                <w:lang w:val="en-US"/>
              </w:rPr>
              <w:t>involv</w:t>
            </w:r>
            <w:r w:rsidR="00E27C9F">
              <w:rPr>
                <w:sz w:val="22"/>
                <w:lang w:val="en-US"/>
              </w:rPr>
              <w:t>ing</w:t>
            </w:r>
            <w:r w:rsidR="00E27C9F" w:rsidRPr="006A3540">
              <w:rPr>
                <w:sz w:val="22"/>
                <w:lang w:val="en-US"/>
              </w:rPr>
              <w:t xml:space="preserve"> </w:t>
            </w:r>
            <w:r w:rsidRPr="006A3540">
              <w:rPr>
                <w:sz w:val="22"/>
                <w:lang w:val="en-US"/>
              </w:rPr>
              <w:t>the alleged commission of a sexual offence, the court may not draw any inference only from the length of any delay between the alleged commission of such offence and the reporting thereof’.</w:t>
            </w:r>
          </w:p>
        </w:tc>
      </w:tr>
    </w:tbl>
    <w:p w14:paraId="7DC4A827" w14:textId="5823CCA5" w:rsidR="00B4550C" w:rsidRPr="00AF3075" w:rsidRDefault="00D510D5" w:rsidP="007C2B3F">
      <w:pPr>
        <w:pStyle w:val="Heading2"/>
        <w:ind w:left="0" w:firstLine="0"/>
        <w:rPr>
          <w:rFonts w:ascii="Candara" w:hAnsi="Candara"/>
        </w:rPr>
      </w:pPr>
      <w:bookmarkStart w:id="27" w:name="_Toc263972398"/>
      <w:r w:rsidRPr="00AF3075">
        <w:rPr>
          <w:rFonts w:ascii="Candara" w:hAnsi="Candara"/>
        </w:rPr>
        <w:t>5</w:t>
      </w:r>
      <w:r w:rsidR="007C2B3F" w:rsidRPr="00AF3075">
        <w:rPr>
          <w:rFonts w:ascii="Candara" w:hAnsi="Candara"/>
        </w:rPr>
        <w:t xml:space="preserve">.3 </w:t>
      </w:r>
      <w:r w:rsidR="00B4550C" w:rsidRPr="00AF3075">
        <w:rPr>
          <w:rFonts w:ascii="Candara" w:hAnsi="Candara"/>
        </w:rPr>
        <w:t>Monitor and analyse judicial reasoning</w:t>
      </w:r>
      <w:bookmarkEnd w:id="27"/>
      <w:r w:rsidR="00B4550C" w:rsidRPr="00AF3075">
        <w:rPr>
          <w:rFonts w:ascii="Candara" w:hAnsi="Candara"/>
        </w:rPr>
        <w:t xml:space="preserve"> </w:t>
      </w:r>
    </w:p>
    <w:p w14:paraId="016628CD" w14:textId="4E2D4344" w:rsidR="00920E88" w:rsidRPr="00AF3075" w:rsidRDefault="00956008" w:rsidP="00920E88">
      <w:r w:rsidRPr="00AF3075">
        <w:t>Human rights a</w:t>
      </w:r>
      <w:r w:rsidR="00920E88" w:rsidRPr="00AF3075">
        <w:t xml:space="preserve">dvocates should </w:t>
      </w:r>
      <w:r w:rsidR="006842AE" w:rsidRPr="00AF3075">
        <w:t xml:space="preserve">be vigilant in ensuring that stereotypes do not impede </w:t>
      </w:r>
      <w:r w:rsidR="00D97DA8" w:rsidRPr="00AF3075">
        <w:t xml:space="preserve">access to </w:t>
      </w:r>
      <w:r w:rsidR="006842AE" w:rsidRPr="00AF3075">
        <w:t>justice</w:t>
      </w:r>
      <w:r w:rsidR="00D97DA8" w:rsidRPr="00AF3075">
        <w:t xml:space="preserve"> for victims/survivors of gender-based violence.</w:t>
      </w:r>
      <w:r w:rsidR="0029559A" w:rsidRPr="00AF3075">
        <w:t xml:space="preserve"> </w:t>
      </w:r>
      <w:r w:rsidR="00C56B80" w:rsidRPr="00AF3075">
        <w:t xml:space="preserve"> </w:t>
      </w:r>
      <w:r w:rsidR="0029559A" w:rsidRPr="00AF3075">
        <w:t xml:space="preserve">This means </w:t>
      </w:r>
      <w:r w:rsidR="00920E88" w:rsidRPr="00AF3075">
        <w:t>scrutinis</w:t>
      </w:r>
      <w:r w:rsidR="0029559A" w:rsidRPr="00AF3075">
        <w:t>ing</w:t>
      </w:r>
      <w:r w:rsidR="00920E88" w:rsidRPr="00AF3075">
        <w:t xml:space="preserve"> judicial reasoning to ensure judges </w:t>
      </w:r>
      <w:r w:rsidRPr="00AF3075">
        <w:t xml:space="preserve">are complying with their obligation to </w:t>
      </w:r>
      <w:r w:rsidR="00E27C9F">
        <w:t>reach</w:t>
      </w:r>
      <w:r w:rsidR="00E27C9F" w:rsidRPr="00AF3075">
        <w:t xml:space="preserve"> </w:t>
      </w:r>
      <w:r w:rsidRPr="00AF3075">
        <w:t xml:space="preserve">decisions based on </w:t>
      </w:r>
      <w:r w:rsidR="00920E88" w:rsidRPr="00AF3075">
        <w:t>law and fact and not stereotypes</w:t>
      </w:r>
      <w:r w:rsidRPr="00AF3075">
        <w:t>.</w:t>
      </w:r>
      <w:r w:rsidR="00AB0D3B" w:rsidRPr="00AF3075">
        <w:t xml:space="preserve"> </w:t>
      </w:r>
      <w:r w:rsidR="0004175F" w:rsidRPr="00AF3075">
        <w:t xml:space="preserve"> </w:t>
      </w:r>
      <w:r w:rsidR="00011C5A" w:rsidRPr="00AF3075">
        <w:t>There are a number of k</w:t>
      </w:r>
      <w:r w:rsidR="003E6B57" w:rsidRPr="00AF3075">
        <w:t xml:space="preserve">ey questions </w:t>
      </w:r>
      <w:r w:rsidR="00011C5A" w:rsidRPr="00AF3075">
        <w:t xml:space="preserve">that advocates need </w:t>
      </w:r>
      <w:r w:rsidR="003E6B57" w:rsidRPr="00AF3075">
        <w:t xml:space="preserve">to consider </w:t>
      </w:r>
      <w:r w:rsidR="00011C5A" w:rsidRPr="00AF3075">
        <w:t xml:space="preserve">when monitoring and analysing judicial reasoning for evidence of stereotyping. </w:t>
      </w:r>
      <w:r w:rsidR="00893393" w:rsidRPr="00AF3075">
        <w:t xml:space="preserve"> </w:t>
      </w:r>
    </w:p>
    <w:tbl>
      <w:tblPr>
        <w:tblStyle w:val="TableGrid"/>
        <w:tblW w:w="865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4"/>
        <w:gridCol w:w="8123"/>
      </w:tblGrid>
      <w:tr w:rsidR="00011C5A" w:rsidRPr="00AF3075" w14:paraId="12736EEA" w14:textId="77777777" w:rsidTr="00277904">
        <w:tc>
          <w:tcPr>
            <w:tcW w:w="534" w:type="dxa"/>
            <w:tcBorders>
              <w:top w:val="nil"/>
              <w:bottom w:val="single" w:sz="4" w:space="0" w:color="4A66AC" w:themeColor="accent4"/>
              <w:right w:val="single" w:sz="4" w:space="0" w:color="4A66AC" w:themeColor="accent4"/>
            </w:tcBorders>
          </w:tcPr>
          <w:p w14:paraId="419AB12B" w14:textId="405587CC" w:rsidR="00011C5A" w:rsidRPr="00AF3075" w:rsidRDefault="00011C5A" w:rsidP="004766CF">
            <w:pPr>
              <w:pStyle w:val="ListParagraph"/>
              <w:keepNext/>
              <w:numPr>
                <w:ilvl w:val="0"/>
                <w:numId w:val="33"/>
              </w:numPr>
              <w:tabs>
                <w:tab w:val="left" w:pos="0"/>
              </w:tabs>
              <w:spacing w:before="120" w:after="120"/>
              <w:ind w:left="360"/>
              <w:rPr>
                <w:color w:val="374C80" w:themeColor="accent4" w:themeShade="BF"/>
                <w:sz w:val="21"/>
                <w:szCs w:val="21"/>
              </w:rPr>
            </w:pPr>
          </w:p>
        </w:tc>
        <w:tc>
          <w:tcPr>
            <w:tcW w:w="8123" w:type="dxa"/>
            <w:tcBorders>
              <w:top w:val="nil"/>
              <w:left w:val="single" w:sz="4" w:space="0" w:color="4A66AC" w:themeColor="accent4"/>
              <w:bottom w:val="single" w:sz="4" w:space="0" w:color="4A66AC" w:themeColor="accent4"/>
            </w:tcBorders>
          </w:tcPr>
          <w:p w14:paraId="668B8B7F" w14:textId="362A8536" w:rsidR="00011C5A" w:rsidRPr="00AF3075" w:rsidRDefault="00011C5A" w:rsidP="004766CF">
            <w:pPr>
              <w:keepNext/>
              <w:spacing w:before="120" w:after="120"/>
              <w:rPr>
                <w:sz w:val="21"/>
                <w:szCs w:val="21"/>
              </w:rPr>
            </w:pPr>
            <w:r w:rsidRPr="00AF3075">
              <w:rPr>
                <w:sz w:val="21"/>
                <w:szCs w:val="21"/>
              </w:rPr>
              <w:t>Did the judge engage in stereotyping or fail to challenge stereotyping by lower courts?</w:t>
            </w:r>
          </w:p>
        </w:tc>
      </w:tr>
      <w:tr w:rsidR="00011C5A" w:rsidRPr="00AF3075" w14:paraId="61B1B645" w14:textId="77777777" w:rsidTr="00011C5A">
        <w:tc>
          <w:tcPr>
            <w:tcW w:w="534" w:type="dxa"/>
            <w:tcBorders>
              <w:top w:val="single" w:sz="4" w:space="0" w:color="4A66AC" w:themeColor="accent4"/>
              <w:bottom w:val="single" w:sz="4" w:space="0" w:color="4A66AC" w:themeColor="accent4"/>
              <w:right w:val="single" w:sz="4" w:space="0" w:color="4A66AC" w:themeColor="accent4"/>
            </w:tcBorders>
          </w:tcPr>
          <w:p w14:paraId="7172D06F" w14:textId="2C476FAF" w:rsidR="00011C5A" w:rsidRPr="00AF3075" w:rsidRDefault="00011C5A" w:rsidP="00011C5A">
            <w:pPr>
              <w:pStyle w:val="ListParagraph"/>
              <w:numPr>
                <w:ilvl w:val="0"/>
                <w:numId w:val="33"/>
              </w:numPr>
              <w:tabs>
                <w:tab w:val="left" w:pos="0"/>
              </w:tabs>
              <w:spacing w:before="120" w:after="120"/>
              <w:ind w:left="360"/>
              <w:rPr>
                <w:b/>
                <w:color w:val="374C80" w:themeColor="accent4" w:themeShade="BF"/>
                <w:sz w:val="21"/>
                <w:szCs w:val="21"/>
              </w:rPr>
            </w:pPr>
          </w:p>
        </w:tc>
        <w:tc>
          <w:tcPr>
            <w:tcW w:w="8123" w:type="dxa"/>
            <w:tcBorders>
              <w:top w:val="single" w:sz="4" w:space="0" w:color="4A66AC" w:themeColor="accent4"/>
              <w:left w:val="single" w:sz="4" w:space="0" w:color="4A66AC" w:themeColor="accent4"/>
              <w:bottom w:val="single" w:sz="4" w:space="0" w:color="4A66AC" w:themeColor="accent4"/>
            </w:tcBorders>
          </w:tcPr>
          <w:p w14:paraId="5CB332D3" w14:textId="7D1166CC" w:rsidR="00011C5A" w:rsidRPr="00AF3075" w:rsidRDefault="00011C5A" w:rsidP="00BE383F">
            <w:pPr>
              <w:spacing w:before="120" w:after="120"/>
              <w:rPr>
                <w:iCs/>
                <w:color w:val="000000" w:themeColor="text1"/>
                <w:sz w:val="21"/>
                <w:szCs w:val="21"/>
              </w:rPr>
            </w:pPr>
            <w:r w:rsidRPr="00AF3075">
              <w:rPr>
                <w:iCs/>
                <w:color w:val="000000" w:themeColor="text1"/>
                <w:sz w:val="21"/>
                <w:szCs w:val="21"/>
              </w:rPr>
              <w:t>What are the operative stereotypes?</w:t>
            </w:r>
          </w:p>
        </w:tc>
      </w:tr>
      <w:tr w:rsidR="003E67C2" w:rsidRPr="00AF3075" w14:paraId="668077D1" w14:textId="77777777" w:rsidTr="003E67C2">
        <w:tc>
          <w:tcPr>
            <w:tcW w:w="534" w:type="dxa"/>
            <w:tcBorders>
              <w:top w:val="single" w:sz="4" w:space="0" w:color="4A66AC" w:themeColor="accent4"/>
              <w:bottom w:val="nil"/>
              <w:right w:val="single" w:sz="4" w:space="0" w:color="4A66AC" w:themeColor="accent4"/>
            </w:tcBorders>
          </w:tcPr>
          <w:p w14:paraId="76605EC0" w14:textId="77777777" w:rsidR="003E67C2" w:rsidRPr="00AF3075" w:rsidRDefault="003E67C2" w:rsidP="00011C5A">
            <w:pPr>
              <w:pStyle w:val="ListParagraph"/>
              <w:numPr>
                <w:ilvl w:val="0"/>
                <w:numId w:val="33"/>
              </w:numPr>
              <w:tabs>
                <w:tab w:val="left" w:pos="0"/>
              </w:tabs>
              <w:spacing w:before="120" w:after="120"/>
              <w:ind w:left="360"/>
              <w:rPr>
                <w:b/>
                <w:color w:val="374C80" w:themeColor="accent4" w:themeShade="BF"/>
                <w:sz w:val="21"/>
                <w:szCs w:val="21"/>
              </w:rPr>
            </w:pPr>
          </w:p>
        </w:tc>
        <w:tc>
          <w:tcPr>
            <w:tcW w:w="8123" w:type="dxa"/>
            <w:tcBorders>
              <w:top w:val="single" w:sz="4" w:space="0" w:color="4A66AC" w:themeColor="accent4"/>
              <w:left w:val="single" w:sz="4" w:space="0" w:color="4A66AC" w:themeColor="accent4"/>
              <w:bottom w:val="nil"/>
            </w:tcBorders>
          </w:tcPr>
          <w:p w14:paraId="6A1FF17F" w14:textId="69816F3B" w:rsidR="003E67C2" w:rsidRPr="00AF3075" w:rsidRDefault="003E67C2" w:rsidP="00BE383F">
            <w:pPr>
              <w:spacing w:before="120" w:after="120"/>
              <w:rPr>
                <w:sz w:val="21"/>
                <w:szCs w:val="21"/>
              </w:rPr>
            </w:pPr>
            <w:r w:rsidRPr="00AF3075">
              <w:rPr>
                <w:sz w:val="21"/>
                <w:szCs w:val="21"/>
              </w:rPr>
              <w:t>How was the victim/survivor harmed as a result of judicial stereotyping?</w:t>
            </w:r>
          </w:p>
        </w:tc>
      </w:tr>
    </w:tbl>
    <w:p w14:paraId="58B00A0D" w14:textId="4E82AB8D" w:rsidR="00D655D2" w:rsidRPr="00AF3075" w:rsidRDefault="00D655D2" w:rsidP="00F53904">
      <w:pPr>
        <w:spacing w:before="0" w:after="0"/>
      </w:pPr>
    </w:p>
    <w:tbl>
      <w:tblPr>
        <w:tblStyle w:val="TableGrid"/>
        <w:tblW w:w="0" w:type="auto"/>
        <w:tblLook w:val="04A0" w:firstRow="1" w:lastRow="0" w:firstColumn="1" w:lastColumn="0" w:noHBand="0" w:noVBand="1"/>
      </w:tblPr>
      <w:tblGrid>
        <w:gridCol w:w="8516"/>
      </w:tblGrid>
      <w:tr w:rsidR="00920E88" w:rsidRPr="00AF3075" w14:paraId="09905123" w14:textId="77777777" w:rsidTr="008033C0">
        <w:tc>
          <w:tcPr>
            <w:tcW w:w="8516" w:type="dxa"/>
            <w:tcBorders>
              <w:top w:val="nil"/>
              <w:left w:val="nil"/>
              <w:bottom w:val="nil"/>
              <w:right w:val="nil"/>
            </w:tcBorders>
            <w:shd w:val="clear" w:color="auto" w:fill="D3E5F6" w:themeFill="accent2" w:themeFillTint="33"/>
          </w:tcPr>
          <w:p w14:paraId="4ADA4B68" w14:textId="77777777" w:rsidR="00920E88" w:rsidRPr="00AF3075" w:rsidRDefault="00920E88" w:rsidP="00A66917">
            <w:pPr>
              <w:spacing w:before="120" w:after="120"/>
              <w:jc w:val="center"/>
              <w:rPr>
                <w:rStyle w:val="SubtleEmphasis"/>
              </w:rPr>
            </w:pPr>
            <w:r w:rsidRPr="00AF3075">
              <w:rPr>
                <w:rStyle w:val="SubtleEmphasis"/>
              </w:rPr>
              <w:t>Stereotyping present in rape cases decided by Croatia’s Zagreb County Court</w:t>
            </w:r>
          </w:p>
          <w:p w14:paraId="0E75156E" w14:textId="69B4347A" w:rsidR="00920E88" w:rsidRPr="00AF3075" w:rsidRDefault="00920E88" w:rsidP="00A66917">
            <w:pPr>
              <w:spacing w:before="120" w:after="120"/>
              <w:rPr>
                <w:rStyle w:val="SubtleEmphasis"/>
                <w:b w:val="0"/>
                <w:color w:val="auto"/>
              </w:rPr>
            </w:pPr>
            <w:r w:rsidRPr="00AF3075">
              <w:rPr>
                <w:rStyle w:val="SubtleEmphasis"/>
                <w:b w:val="0"/>
                <w:color w:val="auto"/>
              </w:rPr>
              <w:t>One study analysed 29 rape and attempted rape cases decided by Croatia’s Zagreb County Court between 1 January 2008 and 30 June 2012.</w:t>
            </w:r>
            <w:r w:rsidRPr="00AF3075">
              <w:rPr>
                <w:rStyle w:val="SubtleEmphasis"/>
                <w:b w:val="0"/>
                <w:color w:val="auto"/>
                <w:vertAlign w:val="superscript"/>
              </w:rPr>
              <w:footnoteReference w:id="95"/>
            </w:r>
            <w:r w:rsidRPr="00AF3075">
              <w:rPr>
                <w:rStyle w:val="SubtleEmphasis"/>
                <w:b w:val="0"/>
                <w:color w:val="auto"/>
              </w:rPr>
              <w:t xml:space="preserve"> </w:t>
            </w:r>
            <w:r w:rsidR="0046067D" w:rsidRPr="00AF3075">
              <w:rPr>
                <w:rStyle w:val="SubtleEmphasis"/>
                <w:b w:val="0"/>
                <w:color w:val="auto"/>
              </w:rPr>
              <w:t xml:space="preserve"> </w:t>
            </w:r>
            <w:r w:rsidRPr="00AF3075">
              <w:rPr>
                <w:rStyle w:val="SubtleEmphasis"/>
                <w:b w:val="0"/>
                <w:color w:val="auto"/>
              </w:rPr>
              <w:t>All of the judg</w:t>
            </w:r>
            <w:r w:rsidR="0046067D" w:rsidRPr="00AF3075">
              <w:rPr>
                <w:rStyle w:val="SubtleEmphasis"/>
                <w:b w:val="0"/>
                <w:color w:val="auto"/>
              </w:rPr>
              <w:t>es accepted that the sexual acts</w:t>
            </w:r>
            <w:r w:rsidRPr="00AF3075">
              <w:rPr>
                <w:rStyle w:val="SubtleEmphasis"/>
                <w:b w:val="0"/>
                <w:color w:val="auto"/>
              </w:rPr>
              <w:t xml:space="preserve"> took place against the women’s will.  However, they still found that, legally, they had not been raped.  The study aimed to identify the extent, nature and impact of judicial stereotyping in those cases. </w:t>
            </w:r>
            <w:r w:rsidR="0046067D" w:rsidRPr="00AF3075">
              <w:rPr>
                <w:rStyle w:val="SubtleEmphasis"/>
                <w:b w:val="0"/>
                <w:color w:val="auto"/>
              </w:rPr>
              <w:t xml:space="preserve"> </w:t>
            </w:r>
            <w:r w:rsidRPr="00AF3075">
              <w:rPr>
                <w:rStyle w:val="SubtleEmphasis"/>
                <w:b w:val="0"/>
                <w:color w:val="auto"/>
              </w:rPr>
              <w:t>Among other things, it found that:</w:t>
            </w:r>
          </w:p>
          <w:p w14:paraId="3CC3E6B1" w14:textId="41FE4BD9" w:rsidR="00920E88" w:rsidRPr="00AF3075" w:rsidRDefault="00920E88" w:rsidP="00F02A99">
            <w:pPr>
              <w:pStyle w:val="ListParagraph"/>
              <w:numPr>
                <w:ilvl w:val="0"/>
                <w:numId w:val="21"/>
              </w:numPr>
              <w:spacing w:before="120" w:after="120"/>
              <w:rPr>
                <w:rStyle w:val="SubtleEmphasis"/>
                <w:b w:val="0"/>
                <w:color w:val="auto"/>
              </w:rPr>
            </w:pPr>
            <w:r w:rsidRPr="00AF3075">
              <w:rPr>
                <w:rStyle w:val="SubtleEmphasis"/>
                <w:b w:val="0"/>
                <w:color w:val="auto"/>
              </w:rPr>
              <w:t xml:space="preserve">many judges had relied on stereotypes and based their reasoning on whether the women responded in line with what was expected of </w:t>
            </w:r>
            <w:r w:rsidR="00985A7A" w:rsidRPr="00AF3075">
              <w:rPr>
                <w:rStyle w:val="SubtleEmphasis"/>
                <w:b w:val="0"/>
                <w:color w:val="auto"/>
              </w:rPr>
              <w:t>‘</w:t>
            </w:r>
            <w:r w:rsidR="0046067D" w:rsidRPr="00AF3075">
              <w:rPr>
                <w:rStyle w:val="SubtleEmphasis"/>
                <w:b w:val="0"/>
                <w:color w:val="auto"/>
              </w:rPr>
              <w:t>ideal victims’</w:t>
            </w:r>
            <w:r w:rsidRPr="00AF3075">
              <w:rPr>
                <w:rStyle w:val="SubtleEmphasis"/>
                <w:b w:val="0"/>
                <w:color w:val="auto"/>
              </w:rPr>
              <w:t xml:space="preserve">  </w:t>
            </w:r>
          </w:p>
          <w:p w14:paraId="4275E3F3" w14:textId="49944C03" w:rsidR="00920E88" w:rsidRPr="00AF3075" w:rsidRDefault="00920E88" w:rsidP="00F02A99">
            <w:pPr>
              <w:pStyle w:val="ListParagraph"/>
              <w:numPr>
                <w:ilvl w:val="0"/>
                <w:numId w:val="21"/>
              </w:numPr>
              <w:spacing w:before="120" w:after="120"/>
              <w:rPr>
                <w:rStyle w:val="SubtleEmphasis"/>
                <w:b w:val="0"/>
                <w:color w:val="auto"/>
              </w:rPr>
            </w:pPr>
            <w:r w:rsidRPr="00AF3075">
              <w:rPr>
                <w:rStyle w:val="SubtleEmphasis"/>
                <w:b w:val="0"/>
                <w:color w:val="auto"/>
              </w:rPr>
              <w:t xml:space="preserve">the judges questioned the evidence of women whose response was inconsistent with that of </w:t>
            </w:r>
            <w:r w:rsidR="006D414F" w:rsidRPr="00AF3075">
              <w:rPr>
                <w:rStyle w:val="SubtleEmphasis"/>
                <w:b w:val="0"/>
                <w:color w:val="auto"/>
              </w:rPr>
              <w:t>‘</w:t>
            </w:r>
            <w:r w:rsidR="00E57261">
              <w:rPr>
                <w:rStyle w:val="SubtleEmphasis"/>
                <w:b w:val="0"/>
                <w:color w:val="auto"/>
              </w:rPr>
              <w:t>ideal victims</w:t>
            </w:r>
            <w:r w:rsidR="006D414F" w:rsidRPr="00AF3075">
              <w:rPr>
                <w:rStyle w:val="SubtleEmphasis"/>
                <w:b w:val="0"/>
                <w:color w:val="auto"/>
              </w:rPr>
              <w:t>’</w:t>
            </w:r>
            <w:r w:rsidR="00E57261">
              <w:rPr>
                <w:rStyle w:val="SubtleEmphasis"/>
                <w:b w:val="0"/>
                <w:color w:val="auto"/>
              </w:rPr>
              <w:t>,</w:t>
            </w:r>
            <w:r w:rsidRPr="00AF3075">
              <w:rPr>
                <w:rStyle w:val="SubtleEmphasis"/>
                <w:b w:val="0"/>
                <w:color w:val="auto"/>
              </w:rPr>
              <w:t xml:space="preserve"> such as where physical resistance was absent or deemed inadequate</w:t>
            </w:r>
            <w:r w:rsidR="0046067D" w:rsidRPr="00AF3075">
              <w:rPr>
                <w:rStyle w:val="SubtleEmphasis"/>
                <w:b w:val="0"/>
                <w:color w:val="auto"/>
              </w:rPr>
              <w:t xml:space="preserve"> </w:t>
            </w:r>
          </w:p>
          <w:p w14:paraId="3FB6BE57" w14:textId="28CAF330" w:rsidR="00920E88" w:rsidRPr="00AF3075" w:rsidRDefault="00920E88" w:rsidP="00F02A99">
            <w:pPr>
              <w:pStyle w:val="ListParagraph"/>
              <w:numPr>
                <w:ilvl w:val="0"/>
                <w:numId w:val="21"/>
              </w:numPr>
              <w:spacing w:before="120" w:after="120"/>
              <w:rPr>
                <w:rStyle w:val="SubtleEmphasis"/>
                <w:b w:val="0"/>
                <w:color w:val="auto"/>
              </w:rPr>
            </w:pPr>
            <w:proofErr w:type="gramStart"/>
            <w:r w:rsidRPr="00AF3075">
              <w:rPr>
                <w:rStyle w:val="SubtleEmphasis"/>
                <w:b w:val="0"/>
                <w:color w:val="auto"/>
              </w:rPr>
              <w:t>the</w:t>
            </w:r>
            <w:proofErr w:type="gramEnd"/>
            <w:r w:rsidRPr="00AF3075">
              <w:rPr>
                <w:rStyle w:val="SubtleEmphasis"/>
                <w:b w:val="0"/>
                <w:color w:val="auto"/>
              </w:rPr>
              <w:t xml:space="preserve"> reliance upon stereotypes was a key factor in </w:t>
            </w:r>
            <w:r w:rsidR="00D85FC8" w:rsidRPr="00AF3075">
              <w:rPr>
                <w:rStyle w:val="SubtleEmphasis"/>
                <w:b w:val="0"/>
                <w:color w:val="auto"/>
              </w:rPr>
              <w:t xml:space="preserve">judges’ </w:t>
            </w:r>
            <w:r w:rsidRPr="00AF3075">
              <w:rPr>
                <w:rStyle w:val="SubtleEmphasis"/>
                <w:b w:val="0"/>
                <w:color w:val="auto"/>
              </w:rPr>
              <w:t xml:space="preserve">decisions to acquit. </w:t>
            </w:r>
          </w:p>
          <w:p w14:paraId="60B0DA02" w14:textId="77777777" w:rsidR="00920E88" w:rsidRPr="00AF3075" w:rsidRDefault="00920E88" w:rsidP="00A66917">
            <w:pPr>
              <w:spacing w:before="120" w:after="120"/>
              <w:rPr>
                <w:rStyle w:val="SubtleEmphasis"/>
                <w:b w:val="0"/>
                <w:color w:val="auto"/>
              </w:rPr>
            </w:pPr>
            <w:r w:rsidRPr="00AF3075">
              <w:rPr>
                <w:rStyle w:val="SubtleEmphasis"/>
                <w:b w:val="0"/>
                <w:color w:val="auto"/>
              </w:rPr>
              <w:t>The study concluded that</w:t>
            </w:r>
          </w:p>
          <w:p w14:paraId="7BA866B9" w14:textId="5BD78808" w:rsidR="00920E88" w:rsidRPr="00AF3075" w:rsidRDefault="00920E88" w:rsidP="00F02A99">
            <w:pPr>
              <w:spacing w:before="120" w:after="120"/>
              <w:ind w:left="567"/>
              <w:rPr>
                <w:rStyle w:val="SubtleEmphasis"/>
                <w:b w:val="0"/>
                <w:color w:val="auto"/>
                <w:sz w:val="20"/>
              </w:rPr>
            </w:pPr>
            <w:proofErr w:type="gramStart"/>
            <w:r w:rsidRPr="00AF3075">
              <w:rPr>
                <w:rStyle w:val="SubtleEmphasis"/>
                <w:b w:val="0"/>
                <w:color w:val="auto"/>
                <w:sz w:val="20"/>
              </w:rPr>
              <w:t>the</w:t>
            </w:r>
            <w:proofErr w:type="gramEnd"/>
            <w:r w:rsidRPr="00AF3075">
              <w:rPr>
                <w:rStyle w:val="SubtleEmphasis"/>
                <w:b w:val="0"/>
                <w:color w:val="auto"/>
                <w:sz w:val="20"/>
              </w:rPr>
              <w:t xml:space="preserve"> dominant conceptualisation of rape in the practice of this Court is in line with the ‘real rape’ myth which is based on, and supports, the norm of possessive heterosexuality according to which women enjoy being sexually possessed.  Thus, the dominant view is that force has to be so intense as to ‘prevent completely the victim from deciding’ and that resistance has to be serious and continuous, while submission due to fear is often equalised with consent.</w:t>
            </w:r>
            <w:r w:rsidR="005B7376" w:rsidRPr="00AF3075">
              <w:rPr>
                <w:rStyle w:val="SubtleEmphasis"/>
                <w:b w:val="0"/>
                <w:color w:val="auto"/>
                <w:sz w:val="20"/>
                <w:vertAlign w:val="superscript"/>
              </w:rPr>
              <w:t xml:space="preserve"> </w:t>
            </w:r>
          </w:p>
          <w:p w14:paraId="0679CBE9" w14:textId="397A6A16" w:rsidR="00920E88" w:rsidRPr="00AF3075" w:rsidRDefault="00920E88">
            <w:pPr>
              <w:spacing w:before="120" w:after="120"/>
              <w:rPr>
                <w:bCs/>
                <w:iCs/>
                <w:sz w:val="22"/>
              </w:rPr>
            </w:pPr>
            <w:r w:rsidRPr="00AF3075">
              <w:rPr>
                <w:rStyle w:val="SubtleEmphasis"/>
                <w:b w:val="0"/>
                <w:color w:val="auto"/>
              </w:rPr>
              <w:t xml:space="preserve">Based on the findings above (and of an analysis of Croatia’s Criminal Code), the study proposed a new model of rape law for Croatia that is based on </w:t>
            </w:r>
            <w:r w:rsidR="0046067D" w:rsidRPr="00AF3075">
              <w:rPr>
                <w:rStyle w:val="SubtleEmphasis"/>
                <w:b w:val="0"/>
                <w:color w:val="auto"/>
              </w:rPr>
              <w:t>‘</w:t>
            </w:r>
            <w:r w:rsidRPr="00AF3075">
              <w:rPr>
                <w:rStyle w:val="SubtleEmphasis"/>
                <w:b w:val="0"/>
                <w:color w:val="auto"/>
              </w:rPr>
              <w:t>communicative sexuality</w:t>
            </w:r>
            <w:r w:rsidR="0046067D" w:rsidRPr="00AF3075">
              <w:rPr>
                <w:rStyle w:val="SubtleEmphasis"/>
                <w:b w:val="0"/>
                <w:color w:val="auto"/>
              </w:rPr>
              <w:t>’</w:t>
            </w:r>
            <w:r w:rsidRPr="00AF3075">
              <w:rPr>
                <w:rStyle w:val="SubtleEmphasis"/>
                <w:b w:val="0"/>
                <w:color w:val="auto"/>
              </w:rPr>
              <w:t xml:space="preserve"> and respect for women’s sexual autonomy and integrity.  To minimise the potential for further judicial stereotyping, it recommended amending the Criminal Code to include a number directions</w:t>
            </w:r>
            <w:r w:rsidR="0046067D" w:rsidRPr="00AF3075">
              <w:rPr>
                <w:rStyle w:val="SubtleEmphasis"/>
                <w:b w:val="0"/>
                <w:color w:val="auto"/>
              </w:rPr>
              <w:t xml:space="preserve">, including that </w:t>
            </w:r>
            <w:r w:rsidRPr="00AF3075">
              <w:rPr>
                <w:rStyle w:val="SubtleEmphasis"/>
                <w:b w:val="0"/>
                <w:color w:val="auto"/>
              </w:rPr>
              <w:t>a victim’s previous sexual encounters with an ac</w:t>
            </w:r>
            <w:r w:rsidR="0046067D" w:rsidRPr="00AF3075">
              <w:rPr>
                <w:rStyle w:val="SubtleEmphasis"/>
                <w:b w:val="0"/>
                <w:color w:val="auto"/>
              </w:rPr>
              <w:t>cused do not constitute consent</w:t>
            </w:r>
            <w:r w:rsidRPr="00AF3075">
              <w:rPr>
                <w:rStyle w:val="SubtleEmphasis"/>
                <w:b w:val="0"/>
                <w:color w:val="auto"/>
              </w:rPr>
              <w:t xml:space="preserve">.  </w:t>
            </w:r>
          </w:p>
        </w:tc>
      </w:tr>
    </w:tbl>
    <w:p w14:paraId="1D597347" w14:textId="77777777" w:rsidR="004A418E" w:rsidRDefault="004A418E" w:rsidP="00DB7696">
      <w:pPr>
        <w:spacing w:before="0" w:after="0"/>
      </w:pPr>
    </w:p>
    <w:tbl>
      <w:tblPr>
        <w:tblStyle w:val="TableGrid"/>
        <w:tblW w:w="0" w:type="auto"/>
        <w:tblLook w:val="04A0" w:firstRow="1" w:lastRow="0" w:firstColumn="1" w:lastColumn="0" w:noHBand="0" w:noVBand="1"/>
      </w:tblPr>
      <w:tblGrid>
        <w:gridCol w:w="8516"/>
      </w:tblGrid>
      <w:tr w:rsidR="004A418E" w:rsidRPr="00AF3075" w14:paraId="5ADE27A5" w14:textId="77777777" w:rsidTr="00DB7696">
        <w:tc>
          <w:tcPr>
            <w:tcW w:w="8516" w:type="dxa"/>
            <w:tcBorders>
              <w:top w:val="nil"/>
              <w:left w:val="nil"/>
              <w:bottom w:val="nil"/>
              <w:right w:val="nil"/>
            </w:tcBorders>
            <w:shd w:val="clear" w:color="auto" w:fill="D3E5F6" w:themeFill="accent2" w:themeFillTint="33"/>
          </w:tcPr>
          <w:p w14:paraId="276D345F" w14:textId="2844946D" w:rsidR="004A418E" w:rsidRPr="00AF3075" w:rsidRDefault="004A418E" w:rsidP="00DB7696">
            <w:pPr>
              <w:spacing w:before="120" w:after="120"/>
              <w:jc w:val="center"/>
              <w:rPr>
                <w:rStyle w:val="SubtleEmphasis"/>
              </w:rPr>
            </w:pPr>
            <w:r w:rsidRPr="00AF3075">
              <w:rPr>
                <w:rStyle w:val="SubtleEmphasis"/>
              </w:rPr>
              <w:t xml:space="preserve">Stereotyping present in </w:t>
            </w:r>
            <w:r>
              <w:rPr>
                <w:rStyle w:val="SubtleEmphasis"/>
              </w:rPr>
              <w:t xml:space="preserve">gender-based violence cases decided by </w:t>
            </w:r>
            <w:r w:rsidR="00E27C9F">
              <w:rPr>
                <w:rStyle w:val="SubtleEmphasis"/>
              </w:rPr>
              <w:t xml:space="preserve">Argentinian </w:t>
            </w:r>
            <w:r>
              <w:rPr>
                <w:rStyle w:val="SubtleEmphasis"/>
              </w:rPr>
              <w:t>courts</w:t>
            </w:r>
          </w:p>
          <w:p w14:paraId="78D0201F" w14:textId="69FEE98B" w:rsidR="0057435D" w:rsidRDefault="00154F09" w:rsidP="006A3540">
            <w:pPr>
              <w:spacing w:before="120" w:after="120"/>
              <w:rPr>
                <w:rStyle w:val="SubtleEmphasis"/>
                <w:b w:val="0"/>
                <w:color w:val="auto"/>
              </w:rPr>
            </w:pPr>
            <w:r w:rsidRPr="00DB7696">
              <w:rPr>
                <w:rStyle w:val="SubtleEmphasis"/>
                <w:b w:val="0"/>
                <w:color w:val="auto"/>
              </w:rPr>
              <w:t xml:space="preserve">In 2010, </w:t>
            </w:r>
            <w:r w:rsidR="00DB7696" w:rsidRPr="00DB7696">
              <w:rPr>
                <w:iCs/>
                <w:sz w:val="22"/>
              </w:rPr>
              <w:t>Argentina</w:t>
            </w:r>
            <w:r w:rsidR="00DB7696">
              <w:rPr>
                <w:iCs/>
                <w:sz w:val="22"/>
              </w:rPr>
              <w:t>’s</w:t>
            </w:r>
            <w:r w:rsidR="00DB7696" w:rsidRPr="00DB7696">
              <w:rPr>
                <w:iCs/>
                <w:sz w:val="22"/>
              </w:rPr>
              <w:t xml:space="preserve"> </w:t>
            </w:r>
            <w:r w:rsidRPr="00DB7696">
              <w:rPr>
                <w:iCs/>
                <w:sz w:val="22"/>
              </w:rPr>
              <w:t>Def</w:t>
            </w:r>
            <w:r w:rsidR="00DB7696">
              <w:rPr>
                <w:iCs/>
                <w:sz w:val="22"/>
              </w:rPr>
              <w:t xml:space="preserve">ensoría General de la Nación </w:t>
            </w:r>
            <w:r w:rsidRPr="00DB7696">
              <w:rPr>
                <w:iCs/>
                <w:sz w:val="22"/>
              </w:rPr>
              <w:t xml:space="preserve">published </w:t>
            </w:r>
            <w:r w:rsidRPr="00DB7696">
              <w:rPr>
                <w:i/>
                <w:iCs/>
                <w:sz w:val="22"/>
              </w:rPr>
              <w:t>Discriminación de Género en Las Decisiones Judiciales: Justicia Penal y Violencia de Género</w:t>
            </w:r>
            <w:r w:rsidRPr="00DB7696">
              <w:rPr>
                <w:rStyle w:val="SubtleEmphasis"/>
                <w:b w:val="0"/>
                <w:color w:val="auto"/>
              </w:rPr>
              <w:t>.</w:t>
            </w:r>
            <w:r w:rsidR="004A418E" w:rsidRPr="00DB7696">
              <w:rPr>
                <w:rStyle w:val="FootnoteReference"/>
                <w:sz w:val="22"/>
                <w:szCs w:val="22"/>
              </w:rPr>
              <w:footnoteReference w:id="96"/>
            </w:r>
            <w:r w:rsidR="007773D8" w:rsidRPr="00DB7696">
              <w:rPr>
                <w:rStyle w:val="SubtleEmphasis"/>
                <w:b w:val="0"/>
                <w:color w:val="auto"/>
              </w:rPr>
              <w:t xml:space="preserve">  </w:t>
            </w:r>
            <w:r w:rsidR="00DB7696">
              <w:rPr>
                <w:rStyle w:val="SubtleEmphasis"/>
                <w:b w:val="0"/>
                <w:color w:val="auto"/>
              </w:rPr>
              <w:t>Through a selection of cases, t</w:t>
            </w:r>
            <w:r w:rsidR="007773D8" w:rsidRPr="00DB7696">
              <w:rPr>
                <w:rStyle w:val="SubtleEmphasis"/>
                <w:b w:val="0"/>
                <w:color w:val="auto"/>
              </w:rPr>
              <w:t xml:space="preserve">he report analysed the extent to which </w:t>
            </w:r>
            <w:r w:rsidR="00E27C9F" w:rsidRPr="00DB7696">
              <w:rPr>
                <w:rStyle w:val="SubtleEmphasis"/>
                <w:b w:val="0"/>
                <w:color w:val="auto"/>
              </w:rPr>
              <w:t>Argentin</w:t>
            </w:r>
            <w:r w:rsidR="00E27C9F">
              <w:rPr>
                <w:rStyle w:val="SubtleEmphasis"/>
                <w:b w:val="0"/>
                <w:color w:val="auto"/>
              </w:rPr>
              <w:t>ian</w:t>
            </w:r>
            <w:r w:rsidR="00E27C9F" w:rsidRPr="00DB7696">
              <w:rPr>
                <w:rStyle w:val="SubtleEmphasis"/>
                <w:b w:val="0"/>
                <w:color w:val="auto"/>
              </w:rPr>
              <w:t xml:space="preserve"> </w:t>
            </w:r>
            <w:r w:rsidR="00DB7696" w:rsidRPr="00DB7696">
              <w:rPr>
                <w:rStyle w:val="SubtleEmphasis"/>
                <w:b w:val="0"/>
                <w:color w:val="auto"/>
              </w:rPr>
              <w:t>courts</w:t>
            </w:r>
            <w:r w:rsidR="00DB7696">
              <w:rPr>
                <w:rStyle w:val="SubtleEmphasis"/>
                <w:b w:val="0"/>
                <w:color w:val="auto"/>
              </w:rPr>
              <w:t xml:space="preserve"> </w:t>
            </w:r>
            <w:r w:rsidR="0057435D">
              <w:rPr>
                <w:rStyle w:val="SubtleEmphasis"/>
                <w:b w:val="0"/>
                <w:color w:val="auto"/>
              </w:rPr>
              <w:t xml:space="preserve">had </w:t>
            </w:r>
            <w:r w:rsidR="00DB7696">
              <w:rPr>
                <w:rStyle w:val="SubtleEmphasis"/>
                <w:b w:val="0"/>
                <w:color w:val="auto"/>
              </w:rPr>
              <w:t>appl</w:t>
            </w:r>
            <w:r w:rsidR="0057435D">
              <w:rPr>
                <w:rStyle w:val="SubtleEmphasis"/>
                <w:b w:val="0"/>
                <w:color w:val="auto"/>
              </w:rPr>
              <w:t>ied</w:t>
            </w:r>
            <w:r w:rsidR="00DB7696">
              <w:rPr>
                <w:rStyle w:val="SubtleEmphasis"/>
                <w:b w:val="0"/>
                <w:color w:val="auto"/>
              </w:rPr>
              <w:t xml:space="preserve"> international human rights obligations related to gender-based violence against women</w:t>
            </w:r>
            <w:r w:rsidR="007773D8" w:rsidRPr="00DB7696">
              <w:rPr>
                <w:rStyle w:val="SubtleEmphasis"/>
                <w:b w:val="0"/>
                <w:color w:val="auto"/>
              </w:rPr>
              <w:t xml:space="preserve">. </w:t>
            </w:r>
            <w:r w:rsidR="00DB7696">
              <w:rPr>
                <w:rStyle w:val="SubtleEmphasis"/>
                <w:b w:val="0"/>
                <w:color w:val="auto"/>
              </w:rPr>
              <w:t xml:space="preserve"> </w:t>
            </w:r>
            <w:r w:rsidR="007773D8" w:rsidRPr="00DB7696">
              <w:rPr>
                <w:rStyle w:val="SubtleEmphasis"/>
                <w:b w:val="0"/>
                <w:color w:val="auto"/>
              </w:rPr>
              <w:t>Chapter 5</w:t>
            </w:r>
            <w:r w:rsidR="0057435D">
              <w:rPr>
                <w:rStyle w:val="SubtleEmphasis"/>
                <w:b w:val="0"/>
                <w:color w:val="auto"/>
              </w:rPr>
              <w:t xml:space="preserve"> of the report:</w:t>
            </w:r>
          </w:p>
          <w:p w14:paraId="2E6B864B" w14:textId="60859F03" w:rsidR="0057435D" w:rsidRDefault="00DB7696" w:rsidP="006A3540">
            <w:pPr>
              <w:pStyle w:val="ListParagraph"/>
              <w:numPr>
                <w:ilvl w:val="0"/>
                <w:numId w:val="21"/>
              </w:numPr>
              <w:spacing w:before="120" w:after="120"/>
              <w:rPr>
                <w:rStyle w:val="SubtleEmphasis"/>
                <w:b w:val="0"/>
                <w:color w:val="auto"/>
              </w:rPr>
            </w:pPr>
            <w:r w:rsidRPr="006A3540">
              <w:rPr>
                <w:rStyle w:val="SubtleEmphasis"/>
                <w:b w:val="0"/>
                <w:color w:val="auto"/>
              </w:rPr>
              <w:t>highlighted examples of judicial stereotyping in gender-based violence cases</w:t>
            </w:r>
          </w:p>
          <w:p w14:paraId="1891834C" w14:textId="647E16D2" w:rsidR="0057435D" w:rsidRDefault="0057435D" w:rsidP="006A3540">
            <w:pPr>
              <w:pStyle w:val="ListParagraph"/>
              <w:numPr>
                <w:ilvl w:val="0"/>
                <w:numId w:val="21"/>
              </w:numPr>
              <w:spacing w:before="120" w:after="120"/>
              <w:rPr>
                <w:rStyle w:val="SubtleEmphasis"/>
                <w:b w:val="0"/>
                <w:color w:val="auto"/>
              </w:rPr>
            </w:pPr>
            <w:r w:rsidRPr="006A3540">
              <w:rPr>
                <w:rStyle w:val="SubtleEmphasis"/>
                <w:b w:val="0"/>
                <w:color w:val="auto"/>
              </w:rPr>
              <w:t>na</w:t>
            </w:r>
            <w:r w:rsidR="007773D8" w:rsidRPr="006A3540">
              <w:rPr>
                <w:rStyle w:val="SubtleEmphasis"/>
                <w:b w:val="0"/>
                <w:color w:val="auto"/>
              </w:rPr>
              <w:t xml:space="preserve">med </w:t>
            </w:r>
            <w:r w:rsidRPr="006A3540">
              <w:rPr>
                <w:rStyle w:val="SubtleEmphasis"/>
                <w:b w:val="0"/>
                <w:color w:val="auto"/>
              </w:rPr>
              <w:t xml:space="preserve">the stereotypes </w:t>
            </w:r>
            <w:r>
              <w:rPr>
                <w:rStyle w:val="SubtleEmphasis"/>
                <w:b w:val="0"/>
                <w:color w:val="auto"/>
              </w:rPr>
              <w:t xml:space="preserve">and prejudices </w:t>
            </w:r>
            <w:r w:rsidRPr="006A3540">
              <w:rPr>
                <w:rStyle w:val="SubtleEmphasis"/>
                <w:b w:val="0"/>
                <w:color w:val="auto"/>
              </w:rPr>
              <w:t>upon which judges had relied</w:t>
            </w:r>
            <w:r>
              <w:rPr>
                <w:rStyle w:val="SubtleEmphasis"/>
                <w:b w:val="0"/>
                <w:color w:val="auto"/>
              </w:rPr>
              <w:t xml:space="preserve"> (ie ‘mujer honesta’, ‘mujer mendaz’, ‘mujer instrumental’, ‘mujer co-responsable’, ‘mujer fabuladora’)</w:t>
            </w:r>
          </w:p>
          <w:p w14:paraId="02F70DEE" w14:textId="6B8995FA" w:rsidR="004A418E" w:rsidRPr="006A3540" w:rsidRDefault="007773D8" w:rsidP="006A3540">
            <w:pPr>
              <w:pStyle w:val="ListParagraph"/>
              <w:numPr>
                <w:ilvl w:val="0"/>
                <w:numId w:val="21"/>
              </w:numPr>
              <w:spacing w:before="120" w:after="120"/>
              <w:rPr>
                <w:iCs/>
                <w:sz w:val="22"/>
              </w:rPr>
            </w:pPr>
            <w:proofErr w:type="gramStart"/>
            <w:r w:rsidRPr="006A3540">
              <w:rPr>
                <w:rStyle w:val="SubtleEmphasis"/>
                <w:b w:val="0"/>
                <w:color w:val="auto"/>
              </w:rPr>
              <w:t>identified</w:t>
            </w:r>
            <w:proofErr w:type="gramEnd"/>
            <w:r w:rsidRPr="006A3540">
              <w:rPr>
                <w:rStyle w:val="SubtleEmphasis"/>
                <w:b w:val="0"/>
                <w:color w:val="auto"/>
              </w:rPr>
              <w:t xml:space="preserve"> </w:t>
            </w:r>
            <w:r w:rsidR="0057435D">
              <w:rPr>
                <w:rStyle w:val="SubtleEmphasis"/>
                <w:b w:val="0"/>
                <w:color w:val="auto"/>
              </w:rPr>
              <w:t>how judicial stereotyping resulted in discrimination and the denial of justice</w:t>
            </w:r>
            <w:r w:rsidRPr="006A3540">
              <w:rPr>
                <w:rStyle w:val="SubtleEmphasis"/>
                <w:b w:val="0"/>
                <w:color w:val="auto"/>
              </w:rPr>
              <w:t xml:space="preserve">.  </w:t>
            </w:r>
            <w:r w:rsidR="00154F09" w:rsidRPr="006A3540">
              <w:rPr>
                <w:rStyle w:val="SubtleEmphasis"/>
                <w:b w:val="0"/>
                <w:color w:val="auto"/>
              </w:rPr>
              <w:t xml:space="preserve"> </w:t>
            </w:r>
          </w:p>
        </w:tc>
      </w:tr>
    </w:tbl>
    <w:p w14:paraId="008554A1" w14:textId="69461FB5" w:rsidR="00920E88" w:rsidRPr="00AF3075" w:rsidRDefault="00F53904" w:rsidP="00F53904">
      <w:r w:rsidRPr="00AF3075">
        <w:t>Advocates need to be aware that even decisions that uphold the rights of victims/survivors can perpetuate stereotypes if stereotyping is left unaddressed by judges</w:t>
      </w:r>
      <w:r w:rsidR="00D85FC8" w:rsidRPr="00AF3075">
        <w:t xml:space="preserve"> or other decision-makers</w:t>
      </w:r>
      <w:r w:rsidRPr="00AF3075">
        <w:t xml:space="preserve">.   </w:t>
      </w:r>
    </w:p>
    <w:tbl>
      <w:tblPr>
        <w:tblStyle w:val="TableGrid"/>
        <w:tblW w:w="0" w:type="auto"/>
        <w:tblLook w:val="04A0" w:firstRow="1" w:lastRow="0" w:firstColumn="1" w:lastColumn="0" w:noHBand="0" w:noVBand="1"/>
      </w:tblPr>
      <w:tblGrid>
        <w:gridCol w:w="8516"/>
      </w:tblGrid>
      <w:tr w:rsidR="00920E88" w:rsidRPr="00AF3075" w14:paraId="2BE6E416" w14:textId="77777777" w:rsidTr="008033C0">
        <w:tc>
          <w:tcPr>
            <w:tcW w:w="8516" w:type="dxa"/>
            <w:tcBorders>
              <w:top w:val="nil"/>
              <w:left w:val="nil"/>
              <w:bottom w:val="nil"/>
              <w:right w:val="nil"/>
            </w:tcBorders>
            <w:shd w:val="clear" w:color="auto" w:fill="D3E5F6" w:themeFill="accent2" w:themeFillTint="33"/>
          </w:tcPr>
          <w:p w14:paraId="160C5EB6" w14:textId="39AE4579" w:rsidR="00920E88" w:rsidRPr="00AF3075" w:rsidRDefault="00920E88" w:rsidP="00A66917">
            <w:pPr>
              <w:shd w:val="clear" w:color="auto" w:fill="D3E5F6" w:themeFill="accent2" w:themeFillTint="33"/>
              <w:spacing w:before="120" w:after="120"/>
              <w:jc w:val="center"/>
              <w:rPr>
                <w:rStyle w:val="SubtleEmphasis"/>
              </w:rPr>
            </w:pPr>
            <w:r w:rsidRPr="00AF3075">
              <w:rPr>
                <w:rStyle w:val="SubtleEmphasis"/>
              </w:rPr>
              <w:t xml:space="preserve">Human Rights Committee </w:t>
            </w:r>
            <w:r w:rsidR="008C608D" w:rsidRPr="00AF3075">
              <w:rPr>
                <w:rStyle w:val="SubtleEmphasis"/>
              </w:rPr>
              <w:t xml:space="preserve">could have strengthened its views by </w:t>
            </w:r>
            <w:r w:rsidRPr="00AF3075">
              <w:rPr>
                <w:rStyle w:val="SubtleEmphasis"/>
              </w:rPr>
              <w:t>hold</w:t>
            </w:r>
            <w:r w:rsidR="008C608D" w:rsidRPr="00AF3075">
              <w:rPr>
                <w:rStyle w:val="SubtleEmphasis"/>
              </w:rPr>
              <w:t>ing</w:t>
            </w:r>
            <w:r w:rsidRPr="00AF3075">
              <w:rPr>
                <w:rStyle w:val="SubtleEmphasis"/>
              </w:rPr>
              <w:t xml:space="preserve"> </w:t>
            </w:r>
            <w:r w:rsidR="00230E0A" w:rsidRPr="00AF3075">
              <w:rPr>
                <w:rStyle w:val="SubtleEmphasis"/>
              </w:rPr>
              <w:t xml:space="preserve">the Argentine Republic </w:t>
            </w:r>
            <w:r w:rsidRPr="00AF3075">
              <w:rPr>
                <w:rStyle w:val="SubtleEmphasis"/>
              </w:rPr>
              <w:t>accountable for judicial stereotyping</w:t>
            </w:r>
          </w:p>
          <w:p w14:paraId="739A24C3" w14:textId="77777777" w:rsidR="00920E88" w:rsidRPr="00AF3075" w:rsidRDefault="00920E88" w:rsidP="00A66917">
            <w:pPr>
              <w:shd w:val="clear" w:color="auto" w:fill="D3E5F6" w:themeFill="accent2" w:themeFillTint="33"/>
              <w:spacing w:before="120" w:after="120"/>
              <w:rPr>
                <w:rFonts w:eastAsiaTheme="majorEastAsia" w:cstheme="majorBidi"/>
                <w:i/>
                <w:iCs/>
                <w:color w:val="404040" w:themeColor="text1" w:themeTint="BF"/>
                <w:sz w:val="22"/>
                <w:szCs w:val="22"/>
              </w:rPr>
            </w:pPr>
            <w:r w:rsidRPr="00AF3075">
              <w:rPr>
                <w:i/>
                <w:sz w:val="22"/>
                <w:szCs w:val="22"/>
              </w:rPr>
              <w:t>L.N.P. v. Argentine Republic</w:t>
            </w:r>
            <w:r w:rsidRPr="00AF3075">
              <w:rPr>
                <w:sz w:val="22"/>
                <w:szCs w:val="22"/>
              </w:rPr>
              <w:t xml:space="preserve"> concerned the acquittal of several accused of gang raping a 15-year-old girl.</w:t>
            </w:r>
            <w:r w:rsidRPr="00AF3075">
              <w:rPr>
                <w:rStyle w:val="FootnoteReference"/>
                <w:sz w:val="22"/>
                <w:szCs w:val="22"/>
              </w:rPr>
              <w:footnoteReference w:id="97"/>
            </w:r>
            <w:r w:rsidRPr="00AF3075">
              <w:rPr>
                <w:sz w:val="22"/>
                <w:szCs w:val="22"/>
              </w:rPr>
              <w:t xml:space="preserve"> The Human Rights Committee found that the decision of the trial court that lack of consent had not been proved was based on discriminatory and offensive criteria designed to cast doubt on the girl’s morality.  </w:t>
            </w:r>
          </w:p>
          <w:p w14:paraId="7B813E77" w14:textId="3250F047" w:rsidR="00920E88" w:rsidRPr="00AF3075" w:rsidRDefault="00920E88" w:rsidP="00EB2AE5">
            <w:pPr>
              <w:shd w:val="clear" w:color="auto" w:fill="D3E5F6" w:themeFill="accent2" w:themeFillTint="33"/>
              <w:spacing w:before="120" w:after="120"/>
              <w:ind w:left="284"/>
              <w:rPr>
                <w:sz w:val="22"/>
                <w:szCs w:val="22"/>
              </w:rPr>
            </w:pPr>
            <w:r w:rsidRPr="00AF3075">
              <w:rPr>
                <w:sz w:val="20"/>
                <w:szCs w:val="22"/>
              </w:rPr>
              <w:t xml:space="preserve">The court that heard the case also invoked discriminatory and offensive criteria, such as </w:t>
            </w:r>
            <w:r w:rsidR="00985A7A" w:rsidRPr="00AF3075">
              <w:rPr>
                <w:sz w:val="20"/>
                <w:szCs w:val="22"/>
              </w:rPr>
              <w:t>‘</w:t>
            </w:r>
            <w:r w:rsidRPr="00AF3075">
              <w:rPr>
                <w:sz w:val="20"/>
                <w:szCs w:val="22"/>
              </w:rPr>
              <w:t>the presence of long-standing defloration</w:t>
            </w:r>
            <w:r w:rsidR="00985A7A" w:rsidRPr="00AF3075">
              <w:rPr>
                <w:sz w:val="20"/>
                <w:szCs w:val="22"/>
              </w:rPr>
              <w:t>’</w:t>
            </w:r>
            <w:r w:rsidRPr="00AF3075">
              <w:rPr>
                <w:sz w:val="20"/>
                <w:szCs w:val="22"/>
              </w:rPr>
              <w:t xml:space="preserve"> of the author to conclude that a lack of consent to the sexual act had not been demonstrated. </w:t>
            </w:r>
            <w:r w:rsidR="00230E0A" w:rsidRPr="00AF3075">
              <w:rPr>
                <w:sz w:val="20"/>
                <w:szCs w:val="22"/>
              </w:rPr>
              <w:t xml:space="preserve"> </w:t>
            </w:r>
            <w:r w:rsidRPr="00AF3075">
              <w:rPr>
                <w:sz w:val="20"/>
                <w:szCs w:val="22"/>
              </w:rPr>
              <w:t xml:space="preserve">The author further maintains that all the witnesses were asked whether she was a prostitute. </w:t>
            </w:r>
            <w:r w:rsidR="00230E0A" w:rsidRPr="00AF3075">
              <w:rPr>
                <w:sz w:val="20"/>
                <w:szCs w:val="22"/>
              </w:rPr>
              <w:t xml:space="preserve"> </w:t>
            </w:r>
            <w:r w:rsidRPr="00AF3075">
              <w:rPr>
                <w:sz w:val="20"/>
                <w:szCs w:val="22"/>
              </w:rPr>
              <w:t xml:space="preserve">The Committee considers that all the above statements, which have not been contested by the State party, reflect discriminatory treatment by the police, health and judicial authorities aimed at casting doubt on the morality of the victim. </w:t>
            </w:r>
            <w:r w:rsidR="00230E0A" w:rsidRPr="00AF3075">
              <w:rPr>
                <w:sz w:val="20"/>
                <w:szCs w:val="22"/>
              </w:rPr>
              <w:t xml:space="preserve"> </w:t>
            </w:r>
            <w:r w:rsidRPr="00AF3075">
              <w:rPr>
                <w:sz w:val="20"/>
                <w:szCs w:val="22"/>
              </w:rPr>
              <w:t xml:space="preserve">The Committee observes, in particular, that the judgement of the Criminal Chamber of Presidencia Roque Sáenz Peña bases its analysis of the case on the sexual life of the author and whether or not she was a </w:t>
            </w:r>
            <w:r w:rsidR="00985A7A" w:rsidRPr="00AF3075">
              <w:rPr>
                <w:sz w:val="20"/>
                <w:szCs w:val="22"/>
              </w:rPr>
              <w:t>‘</w:t>
            </w:r>
            <w:r w:rsidRPr="00AF3075">
              <w:rPr>
                <w:sz w:val="20"/>
                <w:szCs w:val="22"/>
              </w:rPr>
              <w:t>prostitute</w:t>
            </w:r>
            <w:r w:rsidR="00985A7A" w:rsidRPr="00AF3075">
              <w:rPr>
                <w:sz w:val="20"/>
                <w:szCs w:val="22"/>
              </w:rPr>
              <w:t>’</w:t>
            </w:r>
            <w:r w:rsidRPr="00AF3075">
              <w:rPr>
                <w:sz w:val="20"/>
                <w:szCs w:val="22"/>
              </w:rPr>
              <w:t xml:space="preserve">. </w:t>
            </w:r>
            <w:r w:rsidR="00230E0A" w:rsidRPr="00AF3075">
              <w:rPr>
                <w:sz w:val="20"/>
                <w:szCs w:val="22"/>
              </w:rPr>
              <w:t xml:space="preserve"> </w:t>
            </w:r>
            <w:r w:rsidRPr="00AF3075">
              <w:rPr>
                <w:sz w:val="20"/>
                <w:szCs w:val="22"/>
              </w:rPr>
              <w:t xml:space="preserve">The Chamber also takes the author’s loss of virginity as the main factor in determining whether she consented or not to the sexual act.  </w:t>
            </w:r>
          </w:p>
          <w:p w14:paraId="2DF505A9" w14:textId="6F855404" w:rsidR="00920E88" w:rsidRPr="00AF3075" w:rsidRDefault="00920E88" w:rsidP="00A66917">
            <w:pPr>
              <w:shd w:val="clear" w:color="auto" w:fill="D3E5F6" w:themeFill="accent2" w:themeFillTint="33"/>
              <w:spacing w:before="120" w:after="120"/>
              <w:rPr>
                <w:rFonts w:eastAsiaTheme="majorEastAsia" w:cstheme="majorBidi"/>
                <w:i/>
                <w:iCs/>
                <w:color w:val="404040" w:themeColor="text1" w:themeTint="BF"/>
                <w:sz w:val="22"/>
                <w:szCs w:val="22"/>
              </w:rPr>
            </w:pPr>
            <w:r w:rsidRPr="00AF3075">
              <w:rPr>
                <w:sz w:val="22"/>
                <w:szCs w:val="22"/>
              </w:rPr>
              <w:t xml:space="preserve">The Committee ultimately held the State Party accountable under the ICCPR, including for violating the right to non-discrimination. </w:t>
            </w:r>
            <w:r w:rsidR="00230E0A" w:rsidRPr="00AF3075">
              <w:rPr>
                <w:sz w:val="22"/>
                <w:szCs w:val="22"/>
              </w:rPr>
              <w:t xml:space="preserve"> </w:t>
            </w:r>
            <w:r w:rsidR="00893D30" w:rsidRPr="00AF3075">
              <w:rPr>
                <w:sz w:val="22"/>
                <w:szCs w:val="22"/>
              </w:rPr>
              <w:t>Yet</w:t>
            </w:r>
            <w:r w:rsidRPr="00AF3075">
              <w:rPr>
                <w:sz w:val="22"/>
                <w:szCs w:val="22"/>
              </w:rPr>
              <w:t xml:space="preserve">, </w:t>
            </w:r>
            <w:r w:rsidR="00893D30" w:rsidRPr="00AF3075">
              <w:rPr>
                <w:sz w:val="22"/>
                <w:szCs w:val="22"/>
              </w:rPr>
              <w:t xml:space="preserve">it did not </w:t>
            </w:r>
            <w:r w:rsidR="00540F89">
              <w:rPr>
                <w:sz w:val="22"/>
                <w:szCs w:val="22"/>
              </w:rPr>
              <w:t xml:space="preserve">explicitly </w:t>
            </w:r>
            <w:r w:rsidRPr="00AF3075">
              <w:rPr>
                <w:sz w:val="22"/>
                <w:szCs w:val="22"/>
              </w:rPr>
              <w:t xml:space="preserve">acknowledge </w:t>
            </w:r>
            <w:r w:rsidR="00893D30" w:rsidRPr="00AF3075">
              <w:rPr>
                <w:sz w:val="22"/>
                <w:szCs w:val="22"/>
              </w:rPr>
              <w:t xml:space="preserve">the role of stereotyping in the court’s decision to acquit.  This is significant because it meant that the Committee did not articulate the obligations under the ICCPR to refrain from judicial stereotyping or hold the State Party accountable for this particular rights violation.  It is also significant because it meant that </w:t>
            </w:r>
            <w:r w:rsidR="00540F89">
              <w:rPr>
                <w:sz w:val="22"/>
                <w:szCs w:val="22"/>
              </w:rPr>
              <w:t xml:space="preserve">the </w:t>
            </w:r>
            <w:r w:rsidR="00893D30" w:rsidRPr="00AF3075">
              <w:rPr>
                <w:sz w:val="22"/>
                <w:szCs w:val="22"/>
              </w:rPr>
              <w:t xml:space="preserve">stereotypes were not challenged, leaving </w:t>
            </w:r>
            <w:r w:rsidRPr="00AF3075">
              <w:rPr>
                <w:sz w:val="22"/>
                <w:szCs w:val="22"/>
              </w:rPr>
              <w:t xml:space="preserve">other rape survivors vulnerable to stereotyping by the Argentinian judiciary.  </w:t>
            </w:r>
            <w:r w:rsidR="00893D30" w:rsidRPr="00AF3075">
              <w:rPr>
                <w:sz w:val="22"/>
                <w:szCs w:val="22"/>
              </w:rPr>
              <w:t>Moreover, t</w:t>
            </w:r>
            <w:r w:rsidRPr="00AF3075">
              <w:rPr>
                <w:sz w:val="22"/>
                <w:szCs w:val="22"/>
              </w:rPr>
              <w:t>h</w:t>
            </w:r>
            <w:r w:rsidR="00893D30" w:rsidRPr="00AF3075">
              <w:rPr>
                <w:sz w:val="22"/>
                <w:szCs w:val="22"/>
              </w:rPr>
              <w:t xml:space="preserve">e failure to address stereotyping </w:t>
            </w:r>
            <w:r w:rsidRPr="00AF3075">
              <w:rPr>
                <w:sz w:val="22"/>
                <w:szCs w:val="22"/>
              </w:rPr>
              <w:t xml:space="preserve">is inconsistent with the Committee’s </w:t>
            </w:r>
            <w:r w:rsidR="00E57261">
              <w:rPr>
                <w:sz w:val="22"/>
                <w:szCs w:val="22"/>
              </w:rPr>
              <w:t xml:space="preserve">own </w:t>
            </w:r>
            <w:r w:rsidRPr="00AF3075">
              <w:rPr>
                <w:i/>
                <w:sz w:val="22"/>
                <w:szCs w:val="22"/>
              </w:rPr>
              <w:t>General Comment No. 28</w:t>
            </w:r>
            <w:r w:rsidRPr="00AF3075">
              <w:rPr>
                <w:sz w:val="22"/>
                <w:szCs w:val="22"/>
              </w:rPr>
              <w:t>, which recognised that States Parties must ensure that stereotyping does not affect legal rights and protections, including in respect of rape.</w:t>
            </w:r>
          </w:p>
        </w:tc>
      </w:tr>
    </w:tbl>
    <w:p w14:paraId="7C73D115" w14:textId="64067E8C" w:rsidR="00B4550C" w:rsidRPr="00AF3075" w:rsidRDefault="00D510D5" w:rsidP="007C2B3F">
      <w:pPr>
        <w:pStyle w:val="Heading2"/>
        <w:ind w:left="0" w:firstLine="0"/>
        <w:rPr>
          <w:rFonts w:ascii="Candara" w:hAnsi="Candara"/>
        </w:rPr>
      </w:pPr>
      <w:bookmarkStart w:id="28" w:name="_Toc263972399"/>
      <w:r w:rsidRPr="00AF3075">
        <w:rPr>
          <w:rFonts w:ascii="Candara" w:hAnsi="Candara"/>
        </w:rPr>
        <w:t>5</w:t>
      </w:r>
      <w:r w:rsidR="007C2B3F" w:rsidRPr="00AF3075">
        <w:rPr>
          <w:rFonts w:ascii="Candara" w:hAnsi="Candara"/>
        </w:rPr>
        <w:t xml:space="preserve">.4 </w:t>
      </w:r>
      <w:r w:rsidR="00B4550C" w:rsidRPr="00AF3075">
        <w:rPr>
          <w:rFonts w:ascii="Candara" w:hAnsi="Candara"/>
        </w:rPr>
        <w:t>Challenge judicial stereotyping</w:t>
      </w:r>
      <w:bookmarkEnd w:id="28"/>
    </w:p>
    <w:p w14:paraId="3AECAD0B" w14:textId="67CEDF6F" w:rsidR="00164180" w:rsidRPr="00AF3075" w:rsidRDefault="001C33F8" w:rsidP="00B4550C">
      <w:r w:rsidRPr="00AF3075">
        <w:t>Courtrooms are supposed to be place</w:t>
      </w:r>
      <w:r w:rsidR="000E5157" w:rsidRPr="00AF3075">
        <w:t>s</w:t>
      </w:r>
      <w:r w:rsidRPr="00AF3075">
        <w:t xml:space="preserve"> where human rights are upheld, where decisions</w:t>
      </w:r>
      <w:r w:rsidR="000E5157" w:rsidRPr="00AF3075">
        <w:t xml:space="preserve"> are fair and impartial and </w:t>
      </w:r>
      <w:r w:rsidRPr="00AF3075">
        <w:t xml:space="preserve">not compromised by </w:t>
      </w:r>
      <w:r w:rsidR="001917BB" w:rsidRPr="00AF3075">
        <w:t xml:space="preserve">judges’ </w:t>
      </w:r>
      <w:r w:rsidRPr="00AF3075">
        <w:t>stereotypical views and other biases.</w:t>
      </w:r>
      <w:r w:rsidR="001917BB" w:rsidRPr="00AF3075">
        <w:t xml:space="preserve"> </w:t>
      </w:r>
      <w:r w:rsidR="005C1347" w:rsidRPr="00AF3075">
        <w:t xml:space="preserve"> </w:t>
      </w:r>
      <w:r w:rsidR="00164180" w:rsidRPr="00AF3075">
        <w:t xml:space="preserve">So when </w:t>
      </w:r>
      <w:r w:rsidR="00A13D27" w:rsidRPr="00AF3075">
        <w:t xml:space="preserve">stereotyping </w:t>
      </w:r>
      <w:r w:rsidR="000F2D9D" w:rsidRPr="00AF3075">
        <w:t>closes judges’ mind</w:t>
      </w:r>
      <w:r w:rsidR="00687C38" w:rsidRPr="00AF3075">
        <w:t>s</w:t>
      </w:r>
      <w:r w:rsidR="000F2D9D" w:rsidRPr="00AF3075">
        <w:t xml:space="preserve"> to truth</w:t>
      </w:r>
      <w:r w:rsidR="00404460" w:rsidRPr="00AF3075">
        <w:t xml:space="preserve">, when it </w:t>
      </w:r>
      <w:r w:rsidR="00A13D27" w:rsidRPr="00AF3075">
        <w:t xml:space="preserve">impairs </w:t>
      </w:r>
      <w:r w:rsidR="00404460" w:rsidRPr="00AF3075">
        <w:t xml:space="preserve">their </w:t>
      </w:r>
      <w:r w:rsidR="00B623EF" w:rsidRPr="00AF3075">
        <w:t xml:space="preserve">ability to assess the facts and </w:t>
      </w:r>
      <w:r w:rsidR="00A13D27" w:rsidRPr="00AF3075">
        <w:t>distorts the truth-finding process</w:t>
      </w:r>
      <w:r w:rsidR="00164180" w:rsidRPr="00AF3075">
        <w:t>, judicial decisions must be challenged</w:t>
      </w:r>
      <w:r w:rsidRPr="00AF3075">
        <w:t>.</w:t>
      </w:r>
      <w:r w:rsidR="00336829" w:rsidRPr="00AF3075">
        <w:t xml:space="preserve">  And </w:t>
      </w:r>
      <w:r w:rsidR="00FA5556" w:rsidRPr="00AF3075">
        <w:t xml:space="preserve">in this </w:t>
      </w:r>
      <w:r w:rsidR="00336829" w:rsidRPr="00AF3075">
        <w:t>there is a</w:t>
      </w:r>
      <w:r w:rsidR="00FA5556" w:rsidRPr="00AF3075">
        <w:t>n important</w:t>
      </w:r>
      <w:r w:rsidR="00336829" w:rsidRPr="00AF3075">
        <w:t xml:space="preserve"> role </w:t>
      </w:r>
      <w:r w:rsidR="00FA5556" w:rsidRPr="00AF3075">
        <w:t xml:space="preserve">to be played by </w:t>
      </w:r>
      <w:r w:rsidR="00336829" w:rsidRPr="00AF3075">
        <w:t>human rights advocates.</w:t>
      </w:r>
      <w:r w:rsidR="005D3AF9" w:rsidRPr="00AF3075">
        <w:t xml:space="preserve">  </w:t>
      </w:r>
      <w:r w:rsidR="00CB3963">
        <w:t xml:space="preserve"> </w:t>
      </w:r>
    </w:p>
    <w:p w14:paraId="26492EF7" w14:textId="748305EF" w:rsidR="00625CA0" w:rsidRPr="00AF3075" w:rsidRDefault="00CB3963" w:rsidP="00015005">
      <w:pPr>
        <w:ind w:left="284"/>
        <w:rPr>
          <w:sz w:val="20"/>
        </w:rPr>
      </w:pPr>
      <w:r>
        <w:rPr>
          <w:sz w:val="20"/>
        </w:rPr>
        <w:t>A</w:t>
      </w:r>
      <w:r w:rsidR="00625CA0" w:rsidRPr="00AF3075">
        <w:rPr>
          <w:sz w:val="20"/>
        </w:rPr>
        <w:t xml:space="preserve">s concerned members of society, </w:t>
      </w:r>
      <w:r w:rsidR="005D3AF9" w:rsidRPr="00AF3075">
        <w:rPr>
          <w:sz w:val="20"/>
        </w:rPr>
        <w:t xml:space="preserve">… </w:t>
      </w:r>
      <w:r w:rsidR="00625CA0" w:rsidRPr="00AF3075">
        <w:rPr>
          <w:sz w:val="20"/>
        </w:rPr>
        <w:t xml:space="preserve">we have an obligation to ensure that all aspects of our legal system transcend myths and stereotypes to achieve true impartiality, equality, and ultimately, justice. </w:t>
      </w:r>
      <w:r w:rsidR="005D3AF9" w:rsidRPr="00AF3075">
        <w:rPr>
          <w:sz w:val="20"/>
        </w:rPr>
        <w:t xml:space="preserve"> </w:t>
      </w:r>
      <w:r w:rsidR="00625CA0" w:rsidRPr="00AF3075">
        <w:rPr>
          <w:sz w:val="20"/>
        </w:rPr>
        <w:t>Substantive equality, as well as an informed and impartial judiciary, should remain at the top of our list of priorities.</w:t>
      </w:r>
      <w:r w:rsidR="00625CA0" w:rsidRPr="00AF3075">
        <w:rPr>
          <w:rStyle w:val="FootnoteReference"/>
          <w:sz w:val="20"/>
        </w:rPr>
        <w:footnoteReference w:id="98"/>
      </w:r>
    </w:p>
    <w:p w14:paraId="2F37FD9E" w14:textId="73EF6BBE" w:rsidR="00103721" w:rsidRPr="00AF3075" w:rsidRDefault="00103721" w:rsidP="00B4550C">
      <w:r w:rsidRPr="00AF3075">
        <w:t>Human rights advocates can challenge judicial stereotyping in gender-based violence cases</w:t>
      </w:r>
      <w:r w:rsidR="00540BFD" w:rsidRPr="00AF3075">
        <w:t xml:space="preserve"> </w:t>
      </w:r>
      <w:r w:rsidRPr="00AF3075">
        <w:t>by assisting victims/survivors to:</w:t>
      </w:r>
    </w:p>
    <w:p w14:paraId="05B98571" w14:textId="5DDAD143" w:rsidR="00B70F80" w:rsidRPr="00AF3075" w:rsidRDefault="006818A2" w:rsidP="00AB0D3B">
      <w:pPr>
        <w:pStyle w:val="ListParagraph"/>
        <w:numPr>
          <w:ilvl w:val="0"/>
          <w:numId w:val="27"/>
        </w:numPr>
        <w:spacing w:before="120" w:after="120"/>
        <w:ind w:left="567"/>
        <w:rPr>
          <w:i/>
          <w:iCs/>
          <w:color w:val="000000" w:themeColor="text1"/>
        </w:rPr>
      </w:pPr>
      <w:r w:rsidRPr="00AF3075">
        <w:t>appeal</w:t>
      </w:r>
      <w:r w:rsidR="00566EA4" w:rsidRPr="00AF3075">
        <w:t xml:space="preserve"> decision</w:t>
      </w:r>
      <w:r w:rsidR="00336829" w:rsidRPr="00AF3075">
        <w:t>s</w:t>
      </w:r>
      <w:r w:rsidR="003F3BC1" w:rsidRPr="00AF3075">
        <w:t xml:space="preserve"> </w:t>
      </w:r>
      <w:r w:rsidRPr="00AF3075">
        <w:t xml:space="preserve">involving stereotyping </w:t>
      </w:r>
      <w:r w:rsidR="00566EA4" w:rsidRPr="00AF3075">
        <w:t xml:space="preserve">to </w:t>
      </w:r>
      <w:r w:rsidR="003F3BC1" w:rsidRPr="00AF3075">
        <w:t xml:space="preserve">higher </w:t>
      </w:r>
      <w:r w:rsidRPr="00AF3075">
        <w:t xml:space="preserve">national </w:t>
      </w:r>
      <w:r w:rsidR="003F3BC1" w:rsidRPr="00AF3075">
        <w:t>court</w:t>
      </w:r>
      <w:r w:rsidR="00336829" w:rsidRPr="00AF3075">
        <w:t>s</w:t>
      </w:r>
      <w:r w:rsidR="00C37AFE" w:rsidRPr="00AF3075">
        <w:t xml:space="preserve"> </w:t>
      </w:r>
    </w:p>
    <w:p w14:paraId="3F84B078" w14:textId="484E2219" w:rsidR="00C37AFE" w:rsidRPr="00AF3075" w:rsidRDefault="00566EA4" w:rsidP="00AB0D3B">
      <w:pPr>
        <w:pStyle w:val="ListParagraph"/>
        <w:numPr>
          <w:ilvl w:val="0"/>
          <w:numId w:val="27"/>
        </w:numPr>
        <w:spacing w:before="120" w:after="120"/>
        <w:ind w:left="567"/>
        <w:rPr>
          <w:i/>
          <w:iCs/>
          <w:color w:val="000000" w:themeColor="text1"/>
        </w:rPr>
      </w:pPr>
      <w:r w:rsidRPr="00AF3075">
        <w:t>submit</w:t>
      </w:r>
      <w:r w:rsidR="006818A2" w:rsidRPr="00AF3075">
        <w:t xml:space="preserve"> </w:t>
      </w:r>
      <w:r w:rsidR="003F3BC1" w:rsidRPr="00AF3075">
        <w:t>petition</w:t>
      </w:r>
      <w:r w:rsidR="00336829" w:rsidRPr="00AF3075">
        <w:t>s</w:t>
      </w:r>
      <w:r w:rsidR="004567CD" w:rsidRPr="00AF3075">
        <w:t xml:space="preserve"> </w:t>
      </w:r>
      <w:r w:rsidR="003F3BC1" w:rsidRPr="00AF3075">
        <w:t>or communication</w:t>
      </w:r>
      <w:r w:rsidR="00336829" w:rsidRPr="00AF3075">
        <w:t>s</w:t>
      </w:r>
      <w:r w:rsidRPr="00AF3075">
        <w:t xml:space="preserve"> to regional </w:t>
      </w:r>
      <w:r w:rsidR="003F3BC1" w:rsidRPr="00AF3075">
        <w:t xml:space="preserve">or </w:t>
      </w:r>
      <w:r w:rsidRPr="00AF3075">
        <w:t xml:space="preserve">international human rights </w:t>
      </w:r>
      <w:r w:rsidR="00E27C9F" w:rsidRPr="00AF3075">
        <w:t>bod</w:t>
      </w:r>
      <w:r w:rsidR="00E27C9F">
        <w:t>ies</w:t>
      </w:r>
      <w:r w:rsidR="00E27C9F" w:rsidRPr="00AF3075">
        <w:t xml:space="preserve"> </w:t>
      </w:r>
      <w:r w:rsidR="006818A2" w:rsidRPr="00AF3075">
        <w:t>alleging human rights violations based on judicial stereotyping</w:t>
      </w:r>
    </w:p>
    <w:p w14:paraId="3538F4AA" w14:textId="4F6CF31B" w:rsidR="00E365EE" w:rsidRPr="008277C1" w:rsidRDefault="00C37AFE" w:rsidP="00A42912">
      <w:pPr>
        <w:pStyle w:val="ListParagraph"/>
        <w:numPr>
          <w:ilvl w:val="0"/>
          <w:numId w:val="27"/>
        </w:numPr>
        <w:spacing w:before="120"/>
        <w:ind w:left="567"/>
        <w:rPr>
          <w:i/>
          <w:iCs/>
          <w:color w:val="000000" w:themeColor="text1"/>
        </w:rPr>
      </w:pPr>
      <w:proofErr w:type="gramStart"/>
      <w:r w:rsidRPr="00AF3075">
        <w:t>identify</w:t>
      </w:r>
      <w:proofErr w:type="gramEnd"/>
      <w:r w:rsidRPr="00AF3075">
        <w:t xml:space="preserve"> </w:t>
      </w:r>
      <w:r w:rsidR="00FE67C2" w:rsidRPr="00AF3075">
        <w:t>expert</w:t>
      </w:r>
      <w:r w:rsidRPr="00AF3075">
        <w:t>s</w:t>
      </w:r>
      <w:r w:rsidR="00FE67C2" w:rsidRPr="00AF3075">
        <w:t xml:space="preserve"> </w:t>
      </w:r>
      <w:r w:rsidR="00997880" w:rsidRPr="00AF3075">
        <w:t>to</w:t>
      </w:r>
      <w:r w:rsidR="00BF1491" w:rsidRPr="00AF3075">
        <w:t xml:space="preserve"> give evidence about judicial stereotyping</w:t>
      </w:r>
      <w:r w:rsidR="00333EF4" w:rsidRPr="00AF3075">
        <w:t xml:space="preserve"> on their behalf</w:t>
      </w:r>
      <w:r w:rsidR="00BF1491" w:rsidRPr="00AF3075">
        <w:t>.</w:t>
      </w:r>
    </w:p>
    <w:tbl>
      <w:tblPr>
        <w:tblStyle w:val="TableGrid"/>
        <w:tblW w:w="0" w:type="auto"/>
        <w:tblLook w:val="04A0" w:firstRow="1" w:lastRow="0" w:firstColumn="1" w:lastColumn="0" w:noHBand="0" w:noVBand="1"/>
      </w:tblPr>
      <w:tblGrid>
        <w:gridCol w:w="8516"/>
      </w:tblGrid>
      <w:tr w:rsidR="002B5EFB" w:rsidRPr="00AF3075" w14:paraId="75029266" w14:textId="77777777" w:rsidTr="002B5EFB">
        <w:tc>
          <w:tcPr>
            <w:tcW w:w="8516" w:type="dxa"/>
            <w:tcBorders>
              <w:top w:val="nil"/>
              <w:left w:val="nil"/>
              <w:bottom w:val="nil"/>
              <w:right w:val="nil"/>
            </w:tcBorders>
            <w:shd w:val="clear" w:color="auto" w:fill="D3E5F6" w:themeFill="accent2" w:themeFillTint="33"/>
          </w:tcPr>
          <w:p w14:paraId="2D04382B" w14:textId="65111ADA" w:rsidR="002B5EFB" w:rsidRPr="00AF3075" w:rsidRDefault="002B5EFB" w:rsidP="002B5EFB">
            <w:pPr>
              <w:shd w:val="clear" w:color="auto" w:fill="D3E5F6" w:themeFill="accent2" w:themeFillTint="33"/>
              <w:spacing w:before="120" w:after="120"/>
              <w:jc w:val="center"/>
              <w:rPr>
                <w:rStyle w:val="SubtleEmphasis"/>
              </w:rPr>
            </w:pPr>
            <w:r w:rsidRPr="00AF3075">
              <w:rPr>
                <w:b/>
                <w:iCs/>
                <w:color w:val="5B63B7" w:themeColor="text2" w:themeTint="99"/>
                <w:sz w:val="22"/>
              </w:rPr>
              <w:t xml:space="preserve">Rape survivor </w:t>
            </w:r>
            <w:r w:rsidR="008277C1">
              <w:rPr>
                <w:b/>
                <w:iCs/>
                <w:color w:val="5B63B7" w:themeColor="text2" w:themeTint="99"/>
                <w:sz w:val="22"/>
              </w:rPr>
              <w:t>submitted a communication to the CEDAW Committee challenging a trial judge’s decision to acquit an accused of rape</w:t>
            </w:r>
          </w:p>
          <w:p w14:paraId="15EB9FA4" w14:textId="59A8DBDA" w:rsidR="002B5EFB" w:rsidRPr="00AF3075" w:rsidRDefault="002B5EFB" w:rsidP="002B5EFB">
            <w:pPr>
              <w:spacing w:before="120" w:after="120"/>
              <w:rPr>
                <w:rStyle w:val="SubtleEmphasis"/>
                <w:b w:val="0"/>
                <w:color w:val="auto"/>
              </w:rPr>
            </w:pPr>
            <w:r w:rsidRPr="00AF3075">
              <w:rPr>
                <w:sz w:val="22"/>
                <w:szCs w:val="22"/>
              </w:rPr>
              <w:t>In 2</w:t>
            </w:r>
            <w:r w:rsidRPr="00AF3075">
              <w:rPr>
                <w:rStyle w:val="SubtleEmphasis"/>
                <w:b w:val="0"/>
                <w:color w:val="auto"/>
                <w:szCs w:val="22"/>
              </w:rPr>
              <w:t>007, Karen Tayag Vertido (with the assistance of legal counsel) submitted a communication to the CEDAW Committee.</w:t>
            </w:r>
            <w:r w:rsidR="00123289" w:rsidRPr="00AF3075">
              <w:rPr>
                <w:rStyle w:val="FootnoteReference"/>
                <w:iCs/>
                <w:color w:val="000000" w:themeColor="text1"/>
                <w:sz w:val="20"/>
              </w:rPr>
              <w:footnoteReference w:id="99"/>
            </w:r>
            <w:r w:rsidRPr="00AF3075">
              <w:rPr>
                <w:rStyle w:val="SubtleEmphasis"/>
                <w:b w:val="0"/>
                <w:color w:val="auto"/>
                <w:szCs w:val="22"/>
              </w:rPr>
              <w:t xml:space="preserve">  A key claim was that the tri</w:t>
            </w:r>
            <w:r w:rsidRPr="00AF3075">
              <w:rPr>
                <w:rStyle w:val="SubtleEmphasis"/>
                <w:b w:val="0"/>
                <w:color w:val="auto"/>
              </w:rPr>
              <w:t xml:space="preserve">al judge’s decision to acquit </w:t>
            </w:r>
            <w:r w:rsidR="001A5598">
              <w:rPr>
                <w:rStyle w:val="SubtleEmphasis"/>
                <w:b w:val="0"/>
                <w:color w:val="auto"/>
              </w:rPr>
              <w:t>the accused</w:t>
            </w:r>
            <w:r w:rsidRPr="00AF3075">
              <w:rPr>
                <w:rStyle w:val="SubtleEmphasis"/>
                <w:b w:val="0"/>
                <w:color w:val="auto"/>
              </w:rPr>
              <w:t xml:space="preserve"> of raping her was discriminatory because it was based on stereotypes and myths related to rape. </w:t>
            </w:r>
          </w:p>
          <w:p w14:paraId="6C3DF72F" w14:textId="09EBC14E" w:rsidR="001A5598" w:rsidRPr="001A5598" w:rsidRDefault="002B5EFB" w:rsidP="001A5598">
            <w:pPr>
              <w:shd w:val="clear" w:color="auto" w:fill="D3E5F6" w:themeFill="accent2" w:themeFillTint="33"/>
              <w:spacing w:before="120" w:after="120"/>
              <w:rPr>
                <w:rStyle w:val="SubtleEmphasis"/>
                <w:b w:val="0"/>
                <w:color w:val="000000" w:themeColor="text1"/>
              </w:rPr>
            </w:pPr>
            <w:r w:rsidRPr="001A5598">
              <w:rPr>
                <w:rStyle w:val="SubtleEmphasis"/>
                <w:b w:val="0"/>
                <w:color w:val="auto"/>
              </w:rPr>
              <w:t>Ms Vertido</w:t>
            </w:r>
            <w:r w:rsidR="001A5598">
              <w:rPr>
                <w:rStyle w:val="SubtleEmphasis"/>
                <w:b w:val="0"/>
                <w:color w:val="auto"/>
              </w:rPr>
              <w:t>:</w:t>
            </w:r>
            <w:r w:rsidRPr="001A5598">
              <w:rPr>
                <w:rStyle w:val="SubtleEmphasis"/>
                <w:b w:val="0"/>
                <w:color w:val="000000" w:themeColor="text1"/>
              </w:rPr>
              <w:t xml:space="preserve"> </w:t>
            </w:r>
          </w:p>
          <w:p w14:paraId="4E88EA19" w14:textId="460EA8F7" w:rsidR="002B5EFB" w:rsidRPr="001A5598" w:rsidRDefault="002B5EFB" w:rsidP="001A5598">
            <w:pPr>
              <w:pStyle w:val="ListParagraph"/>
              <w:numPr>
                <w:ilvl w:val="0"/>
                <w:numId w:val="27"/>
              </w:numPr>
              <w:shd w:val="clear" w:color="auto" w:fill="D3E5F6" w:themeFill="accent2" w:themeFillTint="33"/>
              <w:spacing w:before="120" w:after="120"/>
              <w:ind w:left="567"/>
              <w:rPr>
                <w:iCs/>
                <w:color w:val="000000" w:themeColor="text1"/>
                <w:sz w:val="22"/>
              </w:rPr>
            </w:pPr>
            <w:r w:rsidRPr="00AF3075">
              <w:rPr>
                <w:rStyle w:val="SubtleEmphasis"/>
                <w:b w:val="0"/>
                <w:color w:val="000000" w:themeColor="text1"/>
              </w:rPr>
              <w:t xml:space="preserve">identified stereotypes in the </w:t>
            </w:r>
            <w:r w:rsidRPr="00AF3075">
              <w:rPr>
                <w:rStyle w:val="SubtleEmphasis"/>
                <w:b w:val="0"/>
                <w:color w:val="auto"/>
              </w:rPr>
              <w:t>reasoning</w:t>
            </w:r>
            <w:r w:rsidRPr="00AF3075">
              <w:rPr>
                <w:rStyle w:val="SubtleEmphasis"/>
                <w:b w:val="0"/>
                <w:color w:val="000000" w:themeColor="text1"/>
              </w:rPr>
              <w:t xml:space="preserve"> of </w:t>
            </w:r>
            <w:r w:rsidR="001A5598">
              <w:rPr>
                <w:rStyle w:val="SubtleEmphasis"/>
                <w:b w:val="0"/>
                <w:color w:val="000000" w:themeColor="text1"/>
              </w:rPr>
              <w:t>the trial judge</w:t>
            </w:r>
            <w:r w:rsidR="00EB79FE">
              <w:rPr>
                <w:iCs/>
                <w:color w:val="000000" w:themeColor="text1"/>
                <w:sz w:val="22"/>
              </w:rPr>
              <w:t xml:space="preserve"> that </w:t>
            </w:r>
            <w:r w:rsidR="001A5598">
              <w:rPr>
                <w:iCs/>
                <w:color w:val="000000" w:themeColor="text1"/>
                <w:sz w:val="22"/>
              </w:rPr>
              <w:t>require women to respond to rape in a particular way</w:t>
            </w:r>
          </w:p>
          <w:p w14:paraId="3C2E5437" w14:textId="0E10C9CB" w:rsidR="002B5EFB" w:rsidRPr="001A5598" w:rsidRDefault="002B5EFB" w:rsidP="001A5598">
            <w:pPr>
              <w:pStyle w:val="ListParagraph"/>
              <w:numPr>
                <w:ilvl w:val="0"/>
                <w:numId w:val="27"/>
              </w:numPr>
              <w:shd w:val="clear" w:color="auto" w:fill="D3E5F6" w:themeFill="accent2" w:themeFillTint="33"/>
              <w:spacing w:before="120" w:after="120"/>
              <w:ind w:left="567"/>
              <w:rPr>
                <w:rStyle w:val="SubtleEmphasis"/>
                <w:b w:val="0"/>
                <w:i/>
                <w:color w:val="000000" w:themeColor="text1"/>
              </w:rPr>
            </w:pPr>
            <w:r w:rsidRPr="00AF3075">
              <w:rPr>
                <w:rStyle w:val="SubtleEmphasis"/>
                <w:b w:val="0"/>
                <w:color w:val="auto"/>
              </w:rPr>
              <w:t xml:space="preserve">analysed </w:t>
            </w:r>
            <w:r w:rsidRPr="00AF3075">
              <w:rPr>
                <w:rStyle w:val="SubtleEmphasis"/>
                <w:b w:val="0"/>
                <w:color w:val="000000" w:themeColor="text1"/>
              </w:rPr>
              <w:t xml:space="preserve">how the </w:t>
            </w:r>
            <w:r w:rsidR="001A5598">
              <w:rPr>
                <w:rStyle w:val="SubtleEmphasis"/>
                <w:b w:val="0"/>
                <w:color w:val="000000" w:themeColor="text1"/>
              </w:rPr>
              <w:t xml:space="preserve">trial judge’s </w:t>
            </w:r>
            <w:r w:rsidRPr="00AF3075">
              <w:rPr>
                <w:rStyle w:val="SubtleEmphasis"/>
                <w:b w:val="0"/>
                <w:color w:val="000000" w:themeColor="text1"/>
              </w:rPr>
              <w:t>reliance on the stereotypes denied her justice</w:t>
            </w:r>
            <w:r w:rsidR="001A5598">
              <w:rPr>
                <w:rStyle w:val="SubtleEmphasis"/>
                <w:b w:val="0"/>
                <w:color w:val="000000" w:themeColor="text1"/>
              </w:rPr>
              <w:t xml:space="preserve">, including by undermining her credibility </w:t>
            </w:r>
            <w:r w:rsidR="00EB79FE">
              <w:rPr>
                <w:rStyle w:val="SubtleEmphasis"/>
                <w:b w:val="0"/>
                <w:color w:val="000000" w:themeColor="text1"/>
              </w:rPr>
              <w:t>because</w:t>
            </w:r>
            <w:r w:rsidR="001A5598">
              <w:rPr>
                <w:rStyle w:val="SubtleEmphasis"/>
                <w:b w:val="0"/>
                <w:color w:val="000000" w:themeColor="text1"/>
              </w:rPr>
              <w:t xml:space="preserve"> her behaviour differed from that expected of an ‘ideal victim’ </w:t>
            </w:r>
            <w:r w:rsidRPr="00AF3075">
              <w:rPr>
                <w:rStyle w:val="SubtleEmphasis"/>
                <w:b w:val="0"/>
                <w:color w:val="000000" w:themeColor="text1"/>
              </w:rPr>
              <w:t xml:space="preserve"> </w:t>
            </w:r>
          </w:p>
          <w:p w14:paraId="58619D04" w14:textId="2506B3B4" w:rsidR="002B5EFB" w:rsidRPr="00AF3075" w:rsidRDefault="002B5EFB" w:rsidP="002B5EFB">
            <w:pPr>
              <w:pStyle w:val="ListParagraph"/>
              <w:numPr>
                <w:ilvl w:val="0"/>
                <w:numId w:val="27"/>
              </w:numPr>
              <w:shd w:val="clear" w:color="auto" w:fill="D3E5F6" w:themeFill="accent2" w:themeFillTint="33"/>
              <w:spacing w:before="120" w:after="120"/>
              <w:ind w:left="567"/>
              <w:rPr>
                <w:rStyle w:val="SubtleEmphasis"/>
                <w:b w:val="0"/>
                <w:color w:val="000000" w:themeColor="text1"/>
              </w:rPr>
            </w:pPr>
            <w:proofErr w:type="gramStart"/>
            <w:r w:rsidRPr="00AF3075">
              <w:rPr>
                <w:rStyle w:val="SubtleEmphasis"/>
                <w:b w:val="0"/>
                <w:color w:val="000000" w:themeColor="text1"/>
              </w:rPr>
              <w:t>drew</w:t>
            </w:r>
            <w:proofErr w:type="gramEnd"/>
            <w:r w:rsidRPr="00AF3075">
              <w:rPr>
                <w:rStyle w:val="SubtleEmphasis"/>
                <w:b w:val="0"/>
                <w:color w:val="000000" w:themeColor="text1"/>
              </w:rPr>
              <w:t xml:space="preserve"> the Committee’s attention to the widespread practice of judicial stereotyping in the </w:t>
            </w:r>
            <w:r w:rsidR="00EB79FE">
              <w:rPr>
                <w:rStyle w:val="SubtleEmphasis"/>
                <w:b w:val="0"/>
                <w:color w:val="000000" w:themeColor="text1"/>
              </w:rPr>
              <w:t xml:space="preserve">Philippines, which she claimed </w:t>
            </w:r>
            <w:r w:rsidRPr="00AF3075">
              <w:rPr>
                <w:rStyle w:val="SubtleEmphasis"/>
                <w:b w:val="0"/>
                <w:color w:val="000000" w:themeColor="text1"/>
              </w:rPr>
              <w:t>place</w:t>
            </w:r>
            <w:r w:rsidR="00EB79FE">
              <w:rPr>
                <w:rStyle w:val="SubtleEmphasis"/>
                <w:b w:val="0"/>
                <w:color w:val="000000" w:themeColor="text1"/>
              </w:rPr>
              <w:t>d</w:t>
            </w:r>
            <w:r w:rsidRPr="00AF3075">
              <w:rPr>
                <w:rStyle w:val="SubtleEmphasis"/>
                <w:b w:val="0"/>
                <w:color w:val="000000" w:themeColor="text1"/>
              </w:rPr>
              <w:t xml:space="preserve"> </w:t>
            </w:r>
            <w:r w:rsidR="00EB79FE">
              <w:rPr>
                <w:rStyle w:val="SubtleEmphasis"/>
                <w:b w:val="0"/>
                <w:color w:val="000000" w:themeColor="text1"/>
              </w:rPr>
              <w:t xml:space="preserve">rape </w:t>
            </w:r>
            <w:r w:rsidRPr="00AF3075">
              <w:rPr>
                <w:rStyle w:val="SubtleEmphasis"/>
                <w:b w:val="0"/>
                <w:color w:val="000000" w:themeColor="text1"/>
              </w:rPr>
              <w:t>victims at a legal disadvantage and reduce</w:t>
            </w:r>
            <w:r w:rsidR="00EB79FE">
              <w:rPr>
                <w:rStyle w:val="SubtleEmphasis"/>
                <w:b w:val="0"/>
                <w:color w:val="000000" w:themeColor="text1"/>
              </w:rPr>
              <w:t>d</w:t>
            </w:r>
            <w:r w:rsidRPr="00AF3075">
              <w:rPr>
                <w:rStyle w:val="SubtleEmphasis"/>
                <w:b w:val="0"/>
                <w:color w:val="000000" w:themeColor="text1"/>
              </w:rPr>
              <w:t xml:space="preserve"> their chances of obtaining </w:t>
            </w:r>
            <w:r w:rsidR="00EB79FE">
              <w:rPr>
                <w:rStyle w:val="SubtleEmphasis"/>
                <w:b w:val="0"/>
                <w:color w:val="000000" w:themeColor="text1"/>
              </w:rPr>
              <w:t>justice</w:t>
            </w:r>
            <w:r w:rsidR="00123289">
              <w:rPr>
                <w:rStyle w:val="SubtleEmphasis"/>
                <w:b w:val="0"/>
                <w:color w:val="000000" w:themeColor="text1"/>
              </w:rPr>
              <w:t>.</w:t>
            </w:r>
            <w:r w:rsidR="00123289">
              <w:rPr>
                <w:rStyle w:val="FootnoteReference"/>
                <w:iCs/>
                <w:color w:val="000000" w:themeColor="text1"/>
                <w:sz w:val="22"/>
              </w:rPr>
              <w:t xml:space="preserve"> </w:t>
            </w:r>
          </w:p>
          <w:p w14:paraId="33D196E5" w14:textId="5B9C1478" w:rsidR="002B5EFB" w:rsidRPr="00AF3075" w:rsidRDefault="002B5EFB" w:rsidP="002B5EFB">
            <w:pPr>
              <w:shd w:val="clear" w:color="auto" w:fill="D3E5F6" w:themeFill="accent2" w:themeFillTint="33"/>
              <w:spacing w:before="120" w:after="120"/>
              <w:rPr>
                <w:rStyle w:val="SubtleEmphasis"/>
                <w:b w:val="0"/>
                <w:color w:val="000000" w:themeColor="text1"/>
              </w:rPr>
            </w:pPr>
            <w:r w:rsidRPr="00AF3075">
              <w:rPr>
                <w:rStyle w:val="SubtleEmphasis"/>
                <w:b w:val="0"/>
                <w:color w:val="000000" w:themeColor="text1"/>
              </w:rPr>
              <w:t xml:space="preserve">Among other things, Ms Vertido asked the Committee to recommend that the Philippines investigate and review the </w:t>
            </w:r>
            <w:r w:rsidR="00EB79FE">
              <w:rPr>
                <w:rStyle w:val="SubtleEmphasis"/>
                <w:b w:val="0"/>
                <w:color w:val="000000" w:themeColor="text1"/>
              </w:rPr>
              <w:t xml:space="preserve">trial judge’s </w:t>
            </w:r>
            <w:r w:rsidRPr="00AF3075">
              <w:rPr>
                <w:rStyle w:val="SubtleEmphasis"/>
                <w:b w:val="0"/>
                <w:color w:val="000000" w:themeColor="text1"/>
              </w:rPr>
              <w:t>decision and adopt measures to eliminate judicial stereotyping</w:t>
            </w:r>
            <w:r w:rsidR="00123289" w:rsidRPr="00AF3075">
              <w:rPr>
                <w:rStyle w:val="SubtleEmphasis"/>
                <w:b w:val="0"/>
                <w:color w:val="000000" w:themeColor="text1"/>
              </w:rPr>
              <w:t>.</w:t>
            </w:r>
            <w:r w:rsidR="00123289">
              <w:rPr>
                <w:rStyle w:val="FootnoteReference"/>
                <w:iCs/>
                <w:color w:val="000000" w:themeColor="text1"/>
                <w:sz w:val="22"/>
              </w:rPr>
              <w:t xml:space="preserve"> </w:t>
            </w:r>
            <w:r w:rsidR="00123289" w:rsidRPr="00AF3075">
              <w:rPr>
                <w:rStyle w:val="SubtleEmphasis"/>
                <w:b w:val="0"/>
                <w:color w:val="000000" w:themeColor="text1"/>
              </w:rPr>
              <w:t xml:space="preserve">  </w:t>
            </w:r>
          </w:p>
          <w:p w14:paraId="0A968D03" w14:textId="3C04E42B" w:rsidR="002B5EFB" w:rsidRPr="00AF3075" w:rsidRDefault="002B5EFB" w:rsidP="002B5EFB">
            <w:pPr>
              <w:shd w:val="clear" w:color="auto" w:fill="D3E5F6" w:themeFill="accent2" w:themeFillTint="33"/>
              <w:spacing w:before="120" w:after="120"/>
              <w:rPr>
                <w:rStyle w:val="SubtleEmphasis"/>
                <w:b w:val="0"/>
                <w:color w:val="000000" w:themeColor="text1"/>
              </w:rPr>
            </w:pPr>
            <w:r w:rsidRPr="00AF3075">
              <w:rPr>
                <w:rStyle w:val="SubtleEmphasis"/>
                <w:b w:val="0"/>
                <w:color w:val="000000" w:themeColor="text1"/>
              </w:rPr>
              <w:t xml:space="preserve">A majority of the Committee held the Philippines accountable under CEDAW for the stereotyping of </w:t>
            </w:r>
            <w:r w:rsidR="00EB79FE">
              <w:rPr>
                <w:rStyle w:val="SubtleEmphasis"/>
                <w:b w:val="0"/>
                <w:color w:val="000000" w:themeColor="text1"/>
              </w:rPr>
              <w:t>the trial j</w:t>
            </w:r>
            <w:r w:rsidRPr="00AF3075">
              <w:rPr>
                <w:rStyle w:val="SubtleEmphasis"/>
                <w:b w:val="0"/>
                <w:color w:val="000000" w:themeColor="text1"/>
              </w:rPr>
              <w:t>udge.</w:t>
            </w:r>
            <w:r w:rsidRPr="00AF3075">
              <w:rPr>
                <w:rStyle w:val="FootnoteReference"/>
                <w:iCs/>
                <w:color w:val="000000" w:themeColor="text1"/>
                <w:sz w:val="22"/>
              </w:rPr>
              <w:footnoteReference w:id="100"/>
            </w:r>
            <w:r w:rsidRPr="00AF3075">
              <w:rPr>
                <w:rStyle w:val="SubtleEmphasis"/>
                <w:b w:val="0"/>
                <w:color w:val="000000" w:themeColor="text1"/>
              </w:rPr>
              <w:t xml:space="preserve"> The majority’s views are significant, as they: </w:t>
            </w:r>
          </w:p>
          <w:p w14:paraId="4CAC59F2" w14:textId="77777777" w:rsidR="002B5EFB" w:rsidRPr="00AF3075" w:rsidRDefault="002B5EFB" w:rsidP="002B5EFB">
            <w:pPr>
              <w:pStyle w:val="ListParagraph"/>
              <w:numPr>
                <w:ilvl w:val="0"/>
                <w:numId w:val="27"/>
              </w:numPr>
              <w:shd w:val="clear" w:color="auto" w:fill="D3E5F6" w:themeFill="accent2" w:themeFillTint="33"/>
              <w:spacing w:before="120" w:after="120"/>
              <w:ind w:left="567"/>
              <w:rPr>
                <w:rStyle w:val="SubtleEmphasis"/>
                <w:b w:val="0"/>
                <w:color w:val="000000" w:themeColor="text1"/>
              </w:rPr>
            </w:pPr>
            <w:r w:rsidRPr="00AF3075">
              <w:rPr>
                <w:rStyle w:val="SubtleEmphasis"/>
                <w:b w:val="0"/>
                <w:color w:val="000000" w:themeColor="text1"/>
              </w:rPr>
              <w:t>named the myths and stereotypes applied and perpetuated by the trial judge</w:t>
            </w:r>
          </w:p>
          <w:p w14:paraId="0B03790D" w14:textId="77777777" w:rsidR="002B5EFB" w:rsidRPr="00AF3075" w:rsidRDefault="002B5EFB" w:rsidP="002B5EFB">
            <w:pPr>
              <w:pStyle w:val="ListParagraph"/>
              <w:numPr>
                <w:ilvl w:val="0"/>
                <w:numId w:val="27"/>
              </w:numPr>
              <w:shd w:val="clear" w:color="auto" w:fill="D3E5F6" w:themeFill="accent2" w:themeFillTint="33"/>
              <w:spacing w:before="120" w:after="120"/>
              <w:ind w:left="567"/>
              <w:rPr>
                <w:rStyle w:val="SubtleEmphasis"/>
                <w:b w:val="0"/>
                <w:color w:val="000000" w:themeColor="text1"/>
              </w:rPr>
            </w:pPr>
            <w:r w:rsidRPr="00AF3075">
              <w:rPr>
                <w:rStyle w:val="SubtleEmphasis"/>
                <w:b w:val="0"/>
                <w:color w:val="000000" w:themeColor="text1"/>
              </w:rPr>
              <w:t>affirmed that judicial stereotyping violates the rights to non-discrimination and a fair trial and that States Parties are responsible under CEDAW for such stereotyping</w:t>
            </w:r>
          </w:p>
          <w:p w14:paraId="1F479CED" w14:textId="77777777" w:rsidR="002B5EFB" w:rsidRPr="00AF3075" w:rsidRDefault="002B5EFB" w:rsidP="002B5EFB">
            <w:pPr>
              <w:pStyle w:val="ListParagraph"/>
              <w:numPr>
                <w:ilvl w:val="0"/>
                <w:numId w:val="27"/>
              </w:numPr>
              <w:shd w:val="clear" w:color="auto" w:fill="D3E5F6" w:themeFill="accent2" w:themeFillTint="33"/>
              <w:spacing w:before="120" w:after="120"/>
              <w:ind w:left="567"/>
              <w:rPr>
                <w:iCs/>
                <w:color w:val="000000" w:themeColor="text1"/>
                <w:sz w:val="22"/>
              </w:rPr>
            </w:pPr>
            <w:r w:rsidRPr="00AF3075">
              <w:rPr>
                <w:rStyle w:val="SubtleEmphasis"/>
                <w:b w:val="0"/>
                <w:color w:val="000000" w:themeColor="text1"/>
              </w:rPr>
              <w:t>clarified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w:t>
            </w:r>
            <w:r w:rsidRPr="00AF3075">
              <w:rPr>
                <w:rStyle w:val="FootnoteReference"/>
                <w:iCs/>
                <w:color w:val="000000" w:themeColor="text1"/>
                <w:sz w:val="22"/>
              </w:rPr>
              <w:footnoteReference w:id="101"/>
            </w:r>
          </w:p>
          <w:p w14:paraId="195BE23A" w14:textId="2311E473" w:rsidR="002B5EFB" w:rsidRPr="00AF3075" w:rsidRDefault="002B5EFB" w:rsidP="002B5EFB">
            <w:pPr>
              <w:pStyle w:val="ListParagraph"/>
              <w:numPr>
                <w:ilvl w:val="0"/>
                <w:numId w:val="27"/>
              </w:numPr>
              <w:shd w:val="clear" w:color="auto" w:fill="D3E5F6" w:themeFill="accent2" w:themeFillTint="33"/>
              <w:spacing w:before="120" w:after="120"/>
              <w:ind w:left="567"/>
              <w:rPr>
                <w:i/>
                <w:iCs/>
                <w:color w:val="000000" w:themeColor="text1"/>
                <w:sz w:val="22"/>
              </w:rPr>
            </w:pPr>
            <w:proofErr w:type="gramStart"/>
            <w:r w:rsidRPr="00AF3075">
              <w:rPr>
                <w:rStyle w:val="SubtleEmphasis"/>
                <w:b w:val="0"/>
                <w:color w:val="000000" w:themeColor="text1"/>
              </w:rPr>
              <w:t>urged</w:t>
            </w:r>
            <w:proofErr w:type="gramEnd"/>
            <w:r w:rsidRPr="00AF3075">
              <w:rPr>
                <w:rStyle w:val="SubtleEmphasis"/>
                <w:b w:val="0"/>
                <w:color w:val="000000" w:themeColor="text1"/>
              </w:rPr>
              <w:t xml:space="preserve"> the State Party to ensure ‘that all legal procedures in cases involving crimes of rape and other sexual offenses are impartial and fair, and not affected by prejudices </w:t>
            </w:r>
            <w:r w:rsidR="0071263C">
              <w:rPr>
                <w:rStyle w:val="SubtleEmphasis"/>
                <w:b w:val="0"/>
                <w:color w:val="000000" w:themeColor="text1"/>
              </w:rPr>
              <w:t>or stereotypical gender notions</w:t>
            </w:r>
            <w:r w:rsidRPr="00AF3075">
              <w:rPr>
                <w:rStyle w:val="SubtleEmphasis"/>
                <w:b w:val="0"/>
                <w:color w:val="000000" w:themeColor="text1"/>
              </w:rPr>
              <w:t>’</w:t>
            </w:r>
            <w:r w:rsidR="0071263C">
              <w:rPr>
                <w:rStyle w:val="SubtleEmphasis"/>
                <w:b w:val="0"/>
                <w:color w:val="000000" w:themeColor="text1"/>
              </w:rPr>
              <w:t>.</w:t>
            </w:r>
            <w:r w:rsidRPr="00AF3075">
              <w:rPr>
                <w:rStyle w:val="FootnoteReference"/>
                <w:iCs/>
                <w:color w:val="000000" w:themeColor="text1"/>
                <w:sz w:val="22"/>
              </w:rPr>
              <w:footnoteReference w:id="102"/>
            </w:r>
            <w:r w:rsidRPr="00AF3075">
              <w:rPr>
                <w:rStyle w:val="SubtleEmphasis"/>
                <w:b w:val="0"/>
                <w:color w:val="000000" w:themeColor="text1"/>
              </w:rPr>
              <w:t xml:space="preserve">   </w:t>
            </w:r>
          </w:p>
        </w:tc>
      </w:tr>
    </w:tbl>
    <w:p w14:paraId="76C5A5B7" w14:textId="77777777" w:rsidR="00FE67C2" w:rsidRDefault="00FE67C2" w:rsidP="00FE67C2">
      <w:pPr>
        <w:spacing w:before="0" w:after="0"/>
      </w:pPr>
    </w:p>
    <w:tbl>
      <w:tblPr>
        <w:tblStyle w:val="TableGrid"/>
        <w:tblW w:w="0" w:type="auto"/>
        <w:tblLook w:val="04A0" w:firstRow="1" w:lastRow="0" w:firstColumn="1" w:lastColumn="0" w:noHBand="0" w:noVBand="1"/>
      </w:tblPr>
      <w:tblGrid>
        <w:gridCol w:w="8516"/>
      </w:tblGrid>
      <w:tr w:rsidR="008277C1" w:rsidRPr="00AF3075" w14:paraId="7B058D9C" w14:textId="77777777" w:rsidTr="008277C1">
        <w:tc>
          <w:tcPr>
            <w:tcW w:w="8516" w:type="dxa"/>
            <w:tcBorders>
              <w:top w:val="nil"/>
              <w:left w:val="nil"/>
              <w:bottom w:val="nil"/>
              <w:right w:val="nil"/>
            </w:tcBorders>
            <w:shd w:val="clear" w:color="auto" w:fill="D3E5F6" w:themeFill="accent2" w:themeFillTint="33"/>
          </w:tcPr>
          <w:p w14:paraId="0438E24D" w14:textId="11A2D073" w:rsidR="008277C1" w:rsidRPr="008277C1" w:rsidRDefault="008277C1" w:rsidP="008277C1">
            <w:pPr>
              <w:shd w:val="clear" w:color="auto" w:fill="D3E5F6" w:themeFill="accent2" w:themeFillTint="33"/>
              <w:spacing w:before="120" w:after="120"/>
              <w:jc w:val="center"/>
              <w:rPr>
                <w:rStyle w:val="SubtleEmphasis"/>
              </w:rPr>
            </w:pPr>
            <w:r>
              <w:rPr>
                <w:rStyle w:val="SubtleEmphasis"/>
              </w:rPr>
              <w:t>E</w:t>
            </w:r>
            <w:r w:rsidRPr="00AF3075">
              <w:rPr>
                <w:rStyle w:val="SubtleEmphasis"/>
              </w:rPr>
              <w:t xml:space="preserve">xpert evidence </w:t>
            </w:r>
            <w:r>
              <w:rPr>
                <w:rStyle w:val="SubtleEmphasis"/>
              </w:rPr>
              <w:t>can help dispel stereotypes in domestic violence cases</w:t>
            </w:r>
          </w:p>
          <w:p w14:paraId="154E4D43" w14:textId="01727916" w:rsidR="008277C1" w:rsidRPr="00A66917" w:rsidRDefault="008277C1" w:rsidP="008277C1">
            <w:pPr>
              <w:spacing w:before="120" w:after="120"/>
              <w:rPr>
                <w:iCs/>
                <w:color w:val="000000" w:themeColor="text1"/>
                <w:sz w:val="20"/>
              </w:rPr>
            </w:pPr>
            <w:r w:rsidRPr="00A66917">
              <w:rPr>
                <w:iCs/>
                <w:color w:val="000000" w:themeColor="text1"/>
                <w:sz w:val="20"/>
              </w:rPr>
              <w:t>‘Expert evidence on the psychological effect of battering on wives and common law partners must ... be both relevant and necessary in the context of the present case.  …</w:t>
            </w:r>
          </w:p>
          <w:p w14:paraId="4F4BDC09" w14:textId="399ED741" w:rsidR="008277C1" w:rsidRPr="00A66917" w:rsidRDefault="008277C1" w:rsidP="008277C1">
            <w:pPr>
              <w:spacing w:before="120" w:after="120"/>
              <w:rPr>
                <w:iCs/>
                <w:color w:val="000000" w:themeColor="text1"/>
                <w:sz w:val="20"/>
              </w:rPr>
            </w:pPr>
            <w:r w:rsidRPr="00A66917">
              <w:rPr>
                <w:iCs/>
                <w:color w:val="000000" w:themeColor="text1"/>
                <w:sz w:val="20"/>
              </w:rPr>
              <w:t xml:space="preserve">Far from protecting women from it the law historically sanctioned the abuse of women within marriage as an aspect of the husband’s ownership of his wife and his “right” to chastise her.  One need only recall the centuries old law that a man is entitled to beat his wife with a stick “no thicker than his thumb”.  …  </w:t>
            </w:r>
          </w:p>
          <w:p w14:paraId="2C452D59" w14:textId="77777777" w:rsidR="008277C1" w:rsidRPr="00A66917" w:rsidRDefault="008277C1" w:rsidP="008277C1">
            <w:pPr>
              <w:spacing w:before="120" w:after="120"/>
              <w:rPr>
                <w:iCs/>
                <w:color w:val="000000" w:themeColor="text1"/>
                <w:sz w:val="20"/>
              </w:rPr>
            </w:pPr>
            <w:r w:rsidRPr="00A66917">
              <w:rPr>
                <w:iCs/>
                <w:color w:val="000000" w:themeColor="text1"/>
                <w:sz w:val="20"/>
              </w:rPr>
              <w:t xml:space="preserve">The woman’s duty was to serve her husband and to stay in the marriage at all costs “till death do us part” and to accept as her due any “punishment” that was meted out for failing to please her husband.  …  </w:t>
            </w:r>
          </w:p>
          <w:p w14:paraId="3A383D16" w14:textId="1DB4BAC6" w:rsidR="008277C1" w:rsidRPr="00A66917" w:rsidRDefault="008277C1" w:rsidP="008277C1">
            <w:pPr>
              <w:spacing w:before="120" w:after="120"/>
              <w:rPr>
                <w:iCs/>
                <w:color w:val="000000" w:themeColor="text1"/>
                <w:sz w:val="20"/>
              </w:rPr>
            </w:pPr>
            <w:r w:rsidRPr="00A66917">
              <w:rPr>
                <w:iCs/>
                <w:color w:val="000000" w:themeColor="text1"/>
                <w:sz w:val="20"/>
              </w:rPr>
              <w:t>However, a woman who comes before a judge or jury with the claim that she has been battered and suggests that this may be a relevant factor in evaluating her subsequent actions still faces the prospect of being condemned by popular mythology about domestic violence.  Either she was not as badly beaten as she claims or she would have left the man long ago.  Or, if she was battered that severely, she must have stayed out of some masochistic enjoyment of it.  …</w:t>
            </w:r>
          </w:p>
          <w:p w14:paraId="4FDD6201" w14:textId="19B115D2" w:rsidR="008277C1" w:rsidRPr="00AF3075" w:rsidRDefault="008277C1" w:rsidP="00A17BB1">
            <w:pPr>
              <w:spacing w:before="120" w:after="120"/>
              <w:rPr>
                <w:iCs/>
                <w:color w:val="000000" w:themeColor="text1"/>
                <w:sz w:val="22"/>
              </w:rPr>
            </w:pPr>
            <w:r w:rsidRPr="00A66917">
              <w:rPr>
                <w:iCs/>
                <w:color w:val="000000" w:themeColor="text1"/>
                <w:sz w:val="20"/>
              </w:rPr>
              <w:t>The Court concludes … that the battering relationship is “subject to a large group of myths and stereotypes”.  As such, it is “beyond the ken of the average juror and thus is suitable for explanation through expert testimony”.  I share that view</w:t>
            </w:r>
            <w:r w:rsidR="00A17BB1" w:rsidRPr="00A66917">
              <w:rPr>
                <w:iCs/>
                <w:color w:val="000000" w:themeColor="text1"/>
                <w:sz w:val="20"/>
              </w:rPr>
              <w:t>’</w:t>
            </w:r>
            <w:r w:rsidRPr="00A66917">
              <w:rPr>
                <w:iCs/>
                <w:color w:val="000000" w:themeColor="text1"/>
                <w:sz w:val="20"/>
              </w:rPr>
              <w:t>.</w:t>
            </w:r>
            <w:r w:rsidRPr="00A66917">
              <w:rPr>
                <w:rStyle w:val="FootnoteReference"/>
                <w:iCs/>
                <w:color w:val="000000" w:themeColor="text1"/>
                <w:sz w:val="20"/>
                <w:szCs w:val="22"/>
              </w:rPr>
              <w:footnoteReference w:id="103"/>
            </w:r>
            <w:r w:rsidRPr="00A66917">
              <w:rPr>
                <w:iCs/>
                <w:color w:val="000000" w:themeColor="text1"/>
                <w:sz w:val="20"/>
              </w:rPr>
              <w:t xml:space="preserve">  </w:t>
            </w:r>
          </w:p>
        </w:tc>
      </w:tr>
    </w:tbl>
    <w:p w14:paraId="1E145903" w14:textId="77777777" w:rsidR="008277C1" w:rsidRPr="00AF3075" w:rsidRDefault="008277C1" w:rsidP="00FE67C2">
      <w:pPr>
        <w:spacing w:before="0" w:after="0"/>
      </w:pPr>
    </w:p>
    <w:tbl>
      <w:tblPr>
        <w:tblStyle w:val="TableGrid"/>
        <w:tblW w:w="0" w:type="auto"/>
        <w:tblLook w:val="04A0" w:firstRow="1" w:lastRow="0" w:firstColumn="1" w:lastColumn="0" w:noHBand="0" w:noVBand="1"/>
      </w:tblPr>
      <w:tblGrid>
        <w:gridCol w:w="8516"/>
      </w:tblGrid>
      <w:tr w:rsidR="00B4550C" w:rsidRPr="00AF3075" w14:paraId="3E6E90DF" w14:textId="77777777" w:rsidTr="00B4550C">
        <w:tc>
          <w:tcPr>
            <w:tcW w:w="8516" w:type="dxa"/>
            <w:tcBorders>
              <w:top w:val="nil"/>
              <w:left w:val="nil"/>
              <w:bottom w:val="nil"/>
              <w:right w:val="nil"/>
            </w:tcBorders>
            <w:shd w:val="clear" w:color="auto" w:fill="D3E5F6" w:themeFill="accent2" w:themeFillTint="33"/>
          </w:tcPr>
          <w:p w14:paraId="73FA4BB6" w14:textId="77777777" w:rsidR="00B4550C" w:rsidRPr="00AF3075" w:rsidRDefault="00B4550C" w:rsidP="000E4D95">
            <w:pPr>
              <w:shd w:val="clear" w:color="auto" w:fill="D3E5F6" w:themeFill="accent2" w:themeFillTint="33"/>
              <w:spacing w:before="120" w:after="120"/>
              <w:jc w:val="center"/>
              <w:rPr>
                <w:rStyle w:val="SubtleEmphasis"/>
              </w:rPr>
            </w:pPr>
            <w:r w:rsidRPr="00AF3075">
              <w:rPr>
                <w:rStyle w:val="SubtleEmphasis"/>
              </w:rPr>
              <w:t>Expert evidence on how stereotyping led to the acquittal of a man accused of rape</w:t>
            </w:r>
          </w:p>
          <w:p w14:paraId="0BAA2CCA" w14:textId="602F4CF6" w:rsidR="00B4550C" w:rsidRPr="00AF3075" w:rsidRDefault="00B4550C" w:rsidP="000E4D95">
            <w:pPr>
              <w:shd w:val="clear" w:color="auto" w:fill="D3E5F6" w:themeFill="accent2" w:themeFillTint="33"/>
              <w:spacing w:before="120" w:after="120"/>
              <w:rPr>
                <w:rStyle w:val="SubtleEmphasis"/>
                <w:b w:val="0"/>
                <w:i/>
                <w:color w:val="000000" w:themeColor="text1"/>
              </w:rPr>
            </w:pPr>
            <w:r w:rsidRPr="00AF3075">
              <w:rPr>
                <w:rStyle w:val="SubtleEmphasis"/>
                <w:b w:val="0"/>
                <w:color w:val="000000" w:themeColor="text1"/>
              </w:rPr>
              <w:t xml:space="preserve">In </w:t>
            </w:r>
            <w:r w:rsidR="002B5EFB" w:rsidRPr="00AF3075">
              <w:rPr>
                <w:rStyle w:val="SubtleEmphasis"/>
                <w:b w:val="0"/>
                <w:color w:val="000000" w:themeColor="text1"/>
              </w:rPr>
              <w:t>1996</w:t>
            </w:r>
            <w:r w:rsidRPr="00AF3075">
              <w:rPr>
                <w:rStyle w:val="SubtleEmphasis"/>
                <w:b w:val="0"/>
                <w:color w:val="000000" w:themeColor="text1"/>
              </w:rPr>
              <w:t xml:space="preserve">, Jose Carlos </w:t>
            </w:r>
            <w:r w:rsidRPr="00AF3075">
              <w:rPr>
                <w:iCs/>
                <w:color w:val="000000" w:themeColor="text1"/>
                <w:sz w:val="22"/>
              </w:rPr>
              <w:t xml:space="preserve">Aguilar Orellana </w:t>
            </w:r>
            <w:r w:rsidR="006863AC" w:rsidRPr="00AF3075">
              <w:rPr>
                <w:iCs/>
                <w:color w:val="000000" w:themeColor="text1"/>
                <w:sz w:val="22"/>
              </w:rPr>
              <w:t xml:space="preserve">was convicted of breaking and entering into M.Z.’s apartment and raping her.  </w:t>
            </w:r>
            <w:r w:rsidRPr="00AF3075">
              <w:rPr>
                <w:rStyle w:val="SubtleEmphasis"/>
                <w:b w:val="0"/>
                <w:color w:val="000000" w:themeColor="text1"/>
              </w:rPr>
              <w:t>However, the Bolivian Court of Appeals overturned his conviction, a decision that was upheld in 2000 by the Supreme Court.</w:t>
            </w:r>
            <w:r w:rsidR="00936DFD" w:rsidRPr="00AF3075">
              <w:rPr>
                <w:rStyle w:val="SubtleEmphasis"/>
                <w:b w:val="0"/>
                <w:color w:val="000000" w:themeColor="text1"/>
              </w:rPr>
              <w:t xml:space="preserve">  It will be recalled</w:t>
            </w:r>
            <w:r w:rsidR="002B5EFB" w:rsidRPr="00AF3075">
              <w:rPr>
                <w:rStyle w:val="SubtleEmphasis"/>
                <w:b w:val="0"/>
                <w:color w:val="000000" w:themeColor="text1"/>
              </w:rPr>
              <w:t xml:space="preserve"> from section 4.1</w:t>
            </w:r>
            <w:r w:rsidR="00936DFD" w:rsidRPr="00AF3075">
              <w:rPr>
                <w:rStyle w:val="SubtleEmphasis"/>
                <w:b w:val="0"/>
                <w:color w:val="000000" w:themeColor="text1"/>
              </w:rPr>
              <w:t xml:space="preserve"> that, i</w:t>
            </w:r>
            <w:r w:rsidRPr="00AF3075">
              <w:rPr>
                <w:rStyle w:val="SubtleEmphasis"/>
                <w:b w:val="0"/>
                <w:color w:val="000000" w:themeColor="text1"/>
              </w:rPr>
              <w:t xml:space="preserve">n June 2002, </w:t>
            </w:r>
            <w:r w:rsidR="002B5EFB" w:rsidRPr="00AF3075">
              <w:rPr>
                <w:rStyle w:val="SubtleEmphasis"/>
                <w:b w:val="0"/>
                <w:color w:val="000000" w:themeColor="text1"/>
              </w:rPr>
              <w:t xml:space="preserve">Equality Now </w:t>
            </w:r>
            <w:r w:rsidRPr="00AF3075">
              <w:rPr>
                <w:rStyle w:val="SubtleEmphasis"/>
                <w:b w:val="0"/>
                <w:color w:val="000000" w:themeColor="text1"/>
              </w:rPr>
              <w:t>submitted a</w:t>
            </w:r>
            <w:r w:rsidR="002B5EFB" w:rsidRPr="00AF3075">
              <w:rPr>
                <w:rStyle w:val="SubtleEmphasis"/>
                <w:b w:val="0"/>
                <w:color w:val="000000" w:themeColor="text1"/>
              </w:rPr>
              <w:t>n expert</w:t>
            </w:r>
            <w:r w:rsidRPr="00AF3075">
              <w:rPr>
                <w:rStyle w:val="SubtleEmphasis"/>
                <w:b w:val="0"/>
                <w:color w:val="000000" w:themeColor="text1"/>
              </w:rPr>
              <w:t xml:space="preserve"> brief on stereotyping to </w:t>
            </w:r>
            <w:r w:rsidR="00936DFD" w:rsidRPr="00AF3075">
              <w:rPr>
                <w:rStyle w:val="SubtleEmphasis"/>
                <w:b w:val="0"/>
                <w:color w:val="000000" w:themeColor="text1"/>
              </w:rPr>
              <w:t xml:space="preserve">the Inter-American Commission on Human Rights </w:t>
            </w:r>
            <w:r w:rsidRPr="00AF3075">
              <w:rPr>
                <w:rStyle w:val="SubtleEmphasis"/>
                <w:b w:val="0"/>
                <w:color w:val="000000" w:themeColor="text1"/>
              </w:rPr>
              <w:t xml:space="preserve">in support of M.Z.’s claim.  </w:t>
            </w:r>
            <w:r w:rsidR="004F2BB6" w:rsidRPr="00AF3075">
              <w:rPr>
                <w:rStyle w:val="SubtleEmphasis"/>
                <w:b w:val="0"/>
                <w:color w:val="000000" w:themeColor="text1"/>
              </w:rPr>
              <w:t>I</w:t>
            </w:r>
            <w:r w:rsidR="00936DFD" w:rsidRPr="00AF3075">
              <w:rPr>
                <w:rStyle w:val="SubtleEmphasis"/>
                <w:b w:val="0"/>
                <w:color w:val="000000" w:themeColor="text1"/>
              </w:rPr>
              <w:t>n that brief, they</w:t>
            </w:r>
            <w:r w:rsidRPr="00AF3075">
              <w:rPr>
                <w:rStyle w:val="SubtleEmphasis"/>
                <w:b w:val="0"/>
                <w:color w:val="000000" w:themeColor="text1"/>
              </w:rPr>
              <w:t xml:space="preserve">: </w:t>
            </w:r>
          </w:p>
          <w:p w14:paraId="1A84F84F" w14:textId="77777777" w:rsidR="00B4550C" w:rsidRPr="00AF3075" w:rsidRDefault="00B4550C" w:rsidP="000E4D95">
            <w:pPr>
              <w:pStyle w:val="ListParagraph"/>
              <w:numPr>
                <w:ilvl w:val="0"/>
                <w:numId w:val="27"/>
              </w:numPr>
              <w:shd w:val="clear" w:color="auto" w:fill="D3E5F6" w:themeFill="accent2" w:themeFillTint="33"/>
              <w:spacing w:before="120" w:after="120"/>
              <w:ind w:left="567"/>
              <w:rPr>
                <w:rStyle w:val="SubtleEmphasis"/>
                <w:b w:val="0"/>
                <w:color w:val="000000" w:themeColor="text1"/>
              </w:rPr>
            </w:pPr>
            <w:r w:rsidRPr="00AF3075">
              <w:rPr>
                <w:rStyle w:val="SubtleEmphasis"/>
                <w:b w:val="0"/>
                <w:color w:val="000000" w:themeColor="text1"/>
              </w:rPr>
              <w:t xml:space="preserve">noted that the trial court determined that the evidence supported M.Z.’s claim that she had been raped </w:t>
            </w:r>
          </w:p>
          <w:p w14:paraId="7A36A7A4" w14:textId="77777777" w:rsidR="00B4550C" w:rsidRPr="00AF3075" w:rsidRDefault="00B4550C" w:rsidP="000E4D95">
            <w:pPr>
              <w:pStyle w:val="ListParagraph"/>
              <w:numPr>
                <w:ilvl w:val="0"/>
                <w:numId w:val="27"/>
              </w:numPr>
              <w:shd w:val="clear" w:color="auto" w:fill="D3E5F6" w:themeFill="accent2" w:themeFillTint="33"/>
              <w:spacing w:before="120" w:after="120"/>
              <w:ind w:left="567"/>
              <w:rPr>
                <w:iCs/>
                <w:color w:val="000000" w:themeColor="text1"/>
                <w:sz w:val="22"/>
              </w:rPr>
            </w:pPr>
            <w:r w:rsidRPr="00AF3075">
              <w:rPr>
                <w:rStyle w:val="SubtleEmphasis"/>
                <w:b w:val="0"/>
                <w:color w:val="000000" w:themeColor="text1"/>
              </w:rPr>
              <w:t xml:space="preserve">claimed that the decision of the appellate courts to overturn the rape conviction was based not on Bolivian law or the facts, as determined by the trial court, but on </w:t>
            </w:r>
            <w:r w:rsidRPr="00AF3075">
              <w:rPr>
                <w:iCs/>
                <w:color w:val="000000" w:themeColor="text1"/>
                <w:sz w:val="22"/>
              </w:rPr>
              <w:t>stereotypes and myths</w:t>
            </w:r>
          </w:p>
          <w:p w14:paraId="1DCA4095" w14:textId="41155A81" w:rsidR="00B4550C" w:rsidRPr="00AF3075" w:rsidRDefault="00B4550C" w:rsidP="000E4D95">
            <w:pPr>
              <w:pStyle w:val="ListParagraph"/>
              <w:shd w:val="clear" w:color="auto" w:fill="D3E5F6" w:themeFill="accent2" w:themeFillTint="33"/>
              <w:spacing w:before="120" w:after="120"/>
              <w:ind w:left="851"/>
              <w:rPr>
                <w:iCs/>
                <w:color w:val="000000" w:themeColor="text1"/>
                <w:sz w:val="20"/>
              </w:rPr>
            </w:pPr>
            <w:r w:rsidRPr="00AF3075">
              <w:rPr>
                <w:iCs/>
                <w:color w:val="000000" w:themeColor="text1"/>
                <w:sz w:val="20"/>
              </w:rPr>
              <w:t>On sex-stereotyped and rape-mythic rather than valid legal and factual grounds, the Court of Appeals reversed the trial court ruling that MZ was raped and the Supreme Court confirmed this reversal.  The Bolivian Court of Appeals and the Supreme Court subordinated legal reasoning and evidence to gender bias.  Their sex-discriminatory decision-making rendered the promise and guarantee of an effective remedy for violence against women illusory.  The Court of Appeals did not even cite and then refute or discredit much of the evidence that supported MZ that the trial court accepted.  It simply ignored that evidence, relying instead on rape myths as the basis for the outcome.  The Supreme Court of Bolivia did the same.</w:t>
            </w:r>
            <w:r w:rsidRPr="00AF3075">
              <w:rPr>
                <w:rStyle w:val="FootnoteReference"/>
                <w:iCs/>
                <w:color w:val="000000" w:themeColor="text1"/>
                <w:sz w:val="20"/>
                <w:szCs w:val="22"/>
              </w:rPr>
              <w:footnoteReference w:id="104"/>
            </w:r>
          </w:p>
          <w:p w14:paraId="731C4D4C" w14:textId="77777777" w:rsidR="00B4550C" w:rsidRPr="00AF3075" w:rsidRDefault="00B4550C" w:rsidP="000E4D95">
            <w:pPr>
              <w:pStyle w:val="ListParagraph"/>
              <w:numPr>
                <w:ilvl w:val="0"/>
                <w:numId w:val="27"/>
              </w:numPr>
              <w:shd w:val="clear" w:color="auto" w:fill="D3E5F6" w:themeFill="accent2" w:themeFillTint="33"/>
              <w:spacing w:before="120" w:after="120"/>
              <w:ind w:left="567"/>
              <w:rPr>
                <w:iCs/>
                <w:color w:val="000000" w:themeColor="text1"/>
                <w:sz w:val="22"/>
              </w:rPr>
            </w:pPr>
            <w:r w:rsidRPr="00AF3075">
              <w:rPr>
                <w:iCs/>
                <w:color w:val="000000" w:themeColor="text1"/>
                <w:sz w:val="22"/>
              </w:rPr>
              <w:t xml:space="preserve">identified </w:t>
            </w:r>
            <w:r w:rsidRPr="00AF3075">
              <w:rPr>
                <w:rStyle w:val="SubtleEmphasis"/>
                <w:b w:val="0"/>
                <w:color w:val="000000" w:themeColor="text1"/>
              </w:rPr>
              <w:t>a range of stereotypes and myths relied on by the appellate courts</w:t>
            </w:r>
            <w:r w:rsidRPr="00AF3075">
              <w:rPr>
                <w:iCs/>
                <w:color w:val="000000" w:themeColor="text1"/>
                <w:sz w:val="22"/>
              </w:rPr>
              <w:t xml:space="preserve"> and explained how they influenced their </w:t>
            </w:r>
            <w:r w:rsidRPr="00AF3075">
              <w:rPr>
                <w:rStyle w:val="SubtleEmphasis"/>
                <w:b w:val="0"/>
                <w:color w:val="000000" w:themeColor="text1"/>
              </w:rPr>
              <w:t>reasoning</w:t>
            </w:r>
          </w:p>
          <w:p w14:paraId="1FCE4D27" w14:textId="3E050088" w:rsidR="00B4550C" w:rsidRPr="00AF3075" w:rsidRDefault="00B4550C" w:rsidP="000E4D95">
            <w:pPr>
              <w:pStyle w:val="ListParagraph"/>
              <w:shd w:val="clear" w:color="auto" w:fill="D3E5F6" w:themeFill="accent2" w:themeFillTint="33"/>
              <w:spacing w:before="120" w:after="120"/>
              <w:ind w:left="851"/>
              <w:rPr>
                <w:iCs/>
                <w:color w:val="000000" w:themeColor="text1"/>
                <w:sz w:val="20"/>
              </w:rPr>
            </w:pPr>
            <w:r w:rsidRPr="00AF3075">
              <w:rPr>
                <w:iCs/>
                <w:color w:val="000000" w:themeColor="text1"/>
                <w:sz w:val="20"/>
              </w:rPr>
              <w:t>Further to the question of resistance, the Court of Appeals was suspicious that neighbors did not hear any sounds of conflict.  At the same time, that Court chose to ignore reports by MZ that her life was threatened and that when she tried to scream, her attacker attempted to choke her, and her credible explanation that this was the reason she did not make more noise.  In a clear double standard, the Court of Appeals, while marking MZ's physique, also failed to note the accused's former military and athletic training, as the lower court did, which provided him a highly relevant physical advantage.  The Court in these respects relied upon standards for assessment of the credibility of a rape victim that bear no relation to the well-known terror and silencing of the victim that are typical in rape cases, and were amply recounted by MZ from the moment she came into contact with the authorities, and were in evidence at trial.  Instead, they subliminally rely on the rape myth that women who really want to resist a rape, can and do.</w:t>
            </w:r>
            <w:r w:rsidRPr="00AF3075">
              <w:rPr>
                <w:rStyle w:val="FootnoteReference"/>
                <w:iCs/>
                <w:color w:val="000000" w:themeColor="text1"/>
                <w:sz w:val="20"/>
                <w:szCs w:val="22"/>
              </w:rPr>
              <w:footnoteReference w:id="105"/>
            </w:r>
          </w:p>
          <w:p w14:paraId="4872A46A" w14:textId="0075E460" w:rsidR="00B4550C" w:rsidRPr="00AF3075" w:rsidRDefault="00B4550C" w:rsidP="000E4D95">
            <w:pPr>
              <w:pStyle w:val="ListParagraph"/>
              <w:numPr>
                <w:ilvl w:val="0"/>
                <w:numId w:val="27"/>
              </w:numPr>
              <w:shd w:val="clear" w:color="auto" w:fill="D3E5F6" w:themeFill="accent2" w:themeFillTint="33"/>
              <w:spacing w:before="120" w:after="120"/>
              <w:ind w:left="567"/>
              <w:rPr>
                <w:rStyle w:val="SubtleEmphasis"/>
                <w:b w:val="0"/>
                <w:color w:val="000000" w:themeColor="text1"/>
              </w:rPr>
            </w:pPr>
            <w:proofErr w:type="gramStart"/>
            <w:r w:rsidRPr="00AF3075">
              <w:rPr>
                <w:iCs/>
                <w:color w:val="000000" w:themeColor="text1"/>
                <w:sz w:val="22"/>
              </w:rPr>
              <w:t>recalled</w:t>
            </w:r>
            <w:proofErr w:type="gramEnd"/>
            <w:r w:rsidRPr="00AF3075">
              <w:rPr>
                <w:iCs/>
                <w:color w:val="000000" w:themeColor="text1"/>
                <w:sz w:val="22"/>
              </w:rPr>
              <w:t xml:space="preserve"> that judicial stereotyping violates human rights, including the rights to non-discrimination and equal protection of the law</w:t>
            </w:r>
            <w:r w:rsidR="0071263C">
              <w:rPr>
                <w:iCs/>
                <w:color w:val="000000" w:themeColor="text1"/>
                <w:sz w:val="22"/>
              </w:rPr>
              <w:t>.</w:t>
            </w:r>
            <w:r w:rsidR="00936DFD" w:rsidRPr="00AF3075">
              <w:rPr>
                <w:rStyle w:val="FootnoteReference"/>
                <w:iCs/>
                <w:color w:val="000000" w:themeColor="text1"/>
                <w:sz w:val="22"/>
              </w:rPr>
              <w:footnoteReference w:id="106"/>
            </w:r>
          </w:p>
          <w:p w14:paraId="1866E512" w14:textId="18AD0ACE" w:rsidR="00B4550C" w:rsidRPr="00AF3075" w:rsidRDefault="00B4550C" w:rsidP="00B60120">
            <w:pPr>
              <w:shd w:val="clear" w:color="auto" w:fill="D3E5F6" w:themeFill="accent2" w:themeFillTint="33"/>
              <w:spacing w:before="120" w:after="120"/>
              <w:rPr>
                <w:iCs/>
                <w:color w:val="000000" w:themeColor="text1"/>
                <w:sz w:val="22"/>
              </w:rPr>
            </w:pPr>
            <w:r w:rsidRPr="00AF3075">
              <w:rPr>
                <w:rStyle w:val="SubtleEmphasis"/>
                <w:b w:val="0"/>
                <w:color w:val="000000" w:themeColor="text1"/>
              </w:rPr>
              <w:t>In March 2008, the parties entered into a friendly settlement agreement in which Bolivia recognised its human rights responsibilities toward M.Z.  In particular, it acknowledged her right to live free from violence and its due diligence obligation to prevent, investigate</w:t>
            </w:r>
            <w:r w:rsidR="00B60120" w:rsidRPr="00AF3075">
              <w:rPr>
                <w:rStyle w:val="SubtleEmphasis"/>
                <w:b w:val="0"/>
                <w:color w:val="000000" w:themeColor="text1"/>
              </w:rPr>
              <w:t>, prosecute</w:t>
            </w:r>
            <w:r w:rsidRPr="00AF3075">
              <w:rPr>
                <w:rStyle w:val="SubtleEmphasis"/>
                <w:b w:val="0"/>
                <w:color w:val="000000" w:themeColor="text1"/>
              </w:rPr>
              <w:t xml:space="preserve"> and punish gender-based violence.  Bolivia also agreed to implement measures, including judicial training, to prevent similar violations in the future.</w:t>
            </w:r>
            <w:r w:rsidRPr="00AF3075">
              <w:rPr>
                <w:rStyle w:val="FootnoteReference"/>
                <w:iCs/>
                <w:color w:val="000000" w:themeColor="text1"/>
                <w:sz w:val="22"/>
                <w:szCs w:val="22"/>
              </w:rPr>
              <w:footnoteReference w:id="107"/>
            </w:r>
          </w:p>
        </w:tc>
      </w:tr>
    </w:tbl>
    <w:p w14:paraId="022908A5" w14:textId="54757AC4" w:rsidR="00B4550C" w:rsidRPr="00AF3075" w:rsidRDefault="00D510D5" w:rsidP="007C2B3F">
      <w:pPr>
        <w:pStyle w:val="Heading2"/>
        <w:ind w:left="0" w:firstLine="0"/>
        <w:rPr>
          <w:rFonts w:ascii="Candara" w:hAnsi="Candara"/>
        </w:rPr>
      </w:pPr>
      <w:bookmarkStart w:id="29" w:name="_Toc263972400"/>
      <w:r w:rsidRPr="00AF3075">
        <w:rPr>
          <w:rFonts w:ascii="Candara" w:hAnsi="Candara"/>
        </w:rPr>
        <w:t>5</w:t>
      </w:r>
      <w:r w:rsidR="007C2B3F" w:rsidRPr="00AF3075">
        <w:rPr>
          <w:rFonts w:ascii="Candara" w:hAnsi="Candara"/>
        </w:rPr>
        <w:t xml:space="preserve">.5 </w:t>
      </w:r>
      <w:r w:rsidR="00B4550C" w:rsidRPr="00AF3075">
        <w:rPr>
          <w:rFonts w:ascii="Candara" w:hAnsi="Candara"/>
        </w:rPr>
        <w:t>Highlight good practice examples</w:t>
      </w:r>
      <w:bookmarkEnd w:id="29"/>
    </w:p>
    <w:p w14:paraId="73A200F1" w14:textId="6E2F3594" w:rsidR="00E56ED8" w:rsidRPr="00AF3075" w:rsidRDefault="00E56ED8" w:rsidP="00920E88">
      <w:bookmarkStart w:id="30" w:name="_Toc234329269"/>
      <w:r w:rsidRPr="00AF3075">
        <w:t>Whenever possible, h</w:t>
      </w:r>
      <w:r w:rsidR="00DB17DE" w:rsidRPr="00AF3075">
        <w:t xml:space="preserve">uman rights advocates </w:t>
      </w:r>
      <w:r w:rsidRPr="00AF3075">
        <w:t xml:space="preserve">should </w:t>
      </w:r>
      <w:r w:rsidR="00DB17DE" w:rsidRPr="00AF3075">
        <w:t xml:space="preserve">highlight good practice </w:t>
      </w:r>
      <w:r w:rsidR="00683583" w:rsidRPr="00AF3075">
        <w:t>examples of</w:t>
      </w:r>
      <w:r w:rsidR="002121EE" w:rsidRPr="00AF3075">
        <w:t xml:space="preserve"> efforts to address </w:t>
      </w:r>
      <w:r w:rsidR="00DB17DE" w:rsidRPr="00AF3075">
        <w:t>judicial stereotyping</w:t>
      </w:r>
      <w:r w:rsidR="00873C35" w:rsidRPr="00AF3075">
        <w:t>, including</w:t>
      </w:r>
      <w:r w:rsidRPr="00AF3075">
        <w:t xml:space="preserve"> in gender-based violence cases</w:t>
      </w:r>
      <w:r w:rsidR="00683583" w:rsidRPr="00AF3075">
        <w:t>.</w:t>
      </w:r>
      <w:r w:rsidR="00896F5E" w:rsidRPr="00AF3075">
        <w:t xml:space="preserve"> </w:t>
      </w:r>
      <w:r w:rsidRPr="00AF3075">
        <w:t xml:space="preserve"> </w:t>
      </w:r>
      <w:r w:rsidR="002121EE" w:rsidRPr="00AF3075">
        <w:t>S</w:t>
      </w:r>
      <w:r w:rsidR="00896F5E" w:rsidRPr="00AF3075">
        <w:t>uch</w:t>
      </w:r>
      <w:r w:rsidRPr="00AF3075">
        <w:t xml:space="preserve"> examples provide</w:t>
      </w:r>
      <w:r w:rsidR="00404DC5" w:rsidRPr="00AF3075">
        <w:t xml:space="preserve"> important</w:t>
      </w:r>
      <w:r w:rsidRPr="00AF3075">
        <w:t xml:space="preserve"> guidance on </w:t>
      </w:r>
      <w:r w:rsidR="0072753B" w:rsidRPr="00AF3075">
        <w:t>debunking</w:t>
      </w:r>
      <w:r w:rsidRPr="00AF3075">
        <w:t xml:space="preserve"> stereotypes</w:t>
      </w:r>
      <w:r w:rsidR="0072753B" w:rsidRPr="00AF3075">
        <w:t xml:space="preserve"> and give judges an</w:t>
      </w:r>
      <w:r w:rsidRPr="00AF3075">
        <w:t xml:space="preserve"> </w:t>
      </w:r>
      <w:r w:rsidR="0072753B" w:rsidRPr="00AF3075">
        <w:t xml:space="preserve">important </w:t>
      </w:r>
      <w:r w:rsidRPr="00AF3075">
        <w:t>external perspective</w:t>
      </w:r>
      <w:r w:rsidR="0072753B" w:rsidRPr="00AF3075">
        <w:t xml:space="preserve"> that can</w:t>
      </w:r>
      <w:r w:rsidRPr="00AF3075">
        <w:t xml:space="preserve"> help </w:t>
      </w:r>
      <w:r w:rsidR="0072753B" w:rsidRPr="00AF3075">
        <w:t xml:space="preserve">them </w:t>
      </w:r>
      <w:r w:rsidRPr="00AF3075">
        <w:t>move beyond stereotyp</w:t>
      </w:r>
      <w:r w:rsidR="0072753B" w:rsidRPr="00AF3075">
        <w:t>es</w:t>
      </w:r>
      <w:r w:rsidRPr="00AF3075">
        <w:t xml:space="preserve">. </w:t>
      </w:r>
    </w:p>
    <w:p w14:paraId="444BDB0E" w14:textId="2A7753A3" w:rsidR="00BF5856" w:rsidRPr="00AF3075" w:rsidRDefault="00E56ED8" w:rsidP="00920E88">
      <w:r w:rsidRPr="00AF3075">
        <w:t xml:space="preserve">Good practice </w:t>
      </w:r>
      <w:r w:rsidR="00896F5E" w:rsidRPr="00AF3075">
        <w:t xml:space="preserve">examples </w:t>
      </w:r>
      <w:r w:rsidRPr="00AF3075">
        <w:t xml:space="preserve">of addressing judicial stereotyping </w:t>
      </w:r>
      <w:r w:rsidR="002121EE" w:rsidRPr="00AF3075">
        <w:t>might include</w:t>
      </w:r>
      <w:r w:rsidR="00BF5856" w:rsidRPr="00AF3075">
        <w:t>:</w:t>
      </w:r>
    </w:p>
    <w:p w14:paraId="27683F09" w14:textId="1CA0A3A8" w:rsidR="00BF5856" w:rsidRPr="00AF3075" w:rsidRDefault="002121EE" w:rsidP="00127620">
      <w:pPr>
        <w:pStyle w:val="ListParagraph"/>
        <w:numPr>
          <w:ilvl w:val="0"/>
          <w:numId w:val="27"/>
        </w:numPr>
        <w:spacing w:before="120" w:after="120"/>
        <w:ind w:left="567"/>
        <w:rPr>
          <w:i/>
          <w:iCs/>
          <w:color w:val="000000" w:themeColor="text1"/>
        </w:rPr>
      </w:pPr>
      <w:r w:rsidRPr="00AF3075">
        <w:t xml:space="preserve">laws </w:t>
      </w:r>
      <w:r w:rsidR="00BF5856" w:rsidRPr="00AF3075">
        <w:t xml:space="preserve">and policies </w:t>
      </w:r>
      <w:r w:rsidRPr="00AF3075">
        <w:t>that prohibit and sanction judicial stereotyping</w:t>
      </w:r>
    </w:p>
    <w:p w14:paraId="66CE7B43" w14:textId="7BF0AE3E" w:rsidR="00BF5856" w:rsidRPr="00AF3075" w:rsidRDefault="002121EE" w:rsidP="00127620">
      <w:pPr>
        <w:pStyle w:val="ListParagraph"/>
        <w:numPr>
          <w:ilvl w:val="0"/>
          <w:numId w:val="27"/>
        </w:numPr>
        <w:spacing w:before="120" w:after="120"/>
        <w:ind w:left="567"/>
        <w:rPr>
          <w:i/>
          <w:iCs/>
          <w:color w:val="000000" w:themeColor="text1"/>
        </w:rPr>
      </w:pPr>
      <w:r w:rsidRPr="00AF3075">
        <w:t xml:space="preserve">rules of evidence and procedure that </w:t>
      </w:r>
      <w:r w:rsidR="00BF5856" w:rsidRPr="00AF3075">
        <w:t xml:space="preserve">limit opportunities for stereotyping </w:t>
      </w:r>
    </w:p>
    <w:p w14:paraId="59B3182E" w14:textId="77777777" w:rsidR="00BF5856" w:rsidRPr="00AF3075" w:rsidRDefault="00BF5856" w:rsidP="00127620">
      <w:pPr>
        <w:pStyle w:val="ListParagraph"/>
        <w:numPr>
          <w:ilvl w:val="0"/>
          <w:numId w:val="27"/>
        </w:numPr>
        <w:spacing w:before="120" w:after="120"/>
        <w:ind w:left="567"/>
        <w:rPr>
          <w:i/>
          <w:iCs/>
          <w:color w:val="000000" w:themeColor="text1"/>
        </w:rPr>
      </w:pPr>
      <w:r w:rsidRPr="00AF3075">
        <w:t>judgments that challenge judicial stereotyping by lower courts</w:t>
      </w:r>
    </w:p>
    <w:p w14:paraId="48F2FD4F" w14:textId="6002F33B" w:rsidR="00BF5856" w:rsidRPr="00AF3075" w:rsidRDefault="00BF5856" w:rsidP="00127620">
      <w:pPr>
        <w:pStyle w:val="ListParagraph"/>
        <w:numPr>
          <w:ilvl w:val="0"/>
          <w:numId w:val="27"/>
        </w:numPr>
        <w:spacing w:before="120" w:after="120"/>
        <w:ind w:left="567"/>
        <w:rPr>
          <w:i/>
          <w:iCs/>
          <w:color w:val="000000" w:themeColor="text1"/>
        </w:rPr>
      </w:pPr>
      <w:proofErr w:type="gramStart"/>
      <w:r w:rsidRPr="00AF3075">
        <w:t>resources</w:t>
      </w:r>
      <w:proofErr w:type="gramEnd"/>
      <w:r w:rsidRPr="00AF3075">
        <w:t xml:space="preserve"> and training that build judicial capacity to address stereotyping</w:t>
      </w:r>
      <w:r w:rsidR="002121EE" w:rsidRPr="00AF3075">
        <w:t xml:space="preserve">.  </w:t>
      </w:r>
    </w:p>
    <w:p w14:paraId="1B06F651" w14:textId="56D08F53" w:rsidR="00920E88" w:rsidRPr="00AF3075" w:rsidRDefault="00CD695E" w:rsidP="00920E88">
      <w:r w:rsidRPr="00AF3075">
        <w:t>This paper highlights m</w:t>
      </w:r>
      <w:r w:rsidR="00134914" w:rsidRPr="00AF3075">
        <w:t xml:space="preserve">any </w:t>
      </w:r>
      <w:r w:rsidR="002121EE" w:rsidRPr="00AF3075">
        <w:t>good practice examples</w:t>
      </w:r>
      <w:r w:rsidR="00134914" w:rsidRPr="00AF3075">
        <w:t xml:space="preserve"> of addressing judicial stereotyping in gender-based violence cases.</w:t>
      </w:r>
      <w:r w:rsidR="0045077A" w:rsidRPr="00AF3075">
        <w:t xml:space="preserve">  Several examples are </w:t>
      </w:r>
      <w:r w:rsidR="00AF38E1">
        <w:t xml:space="preserve">also </w:t>
      </w:r>
      <w:r w:rsidR="0045077A" w:rsidRPr="00AF3075">
        <w:t>highlighted below.</w:t>
      </w:r>
    </w:p>
    <w:tbl>
      <w:tblPr>
        <w:tblStyle w:val="TableGrid"/>
        <w:tblW w:w="0" w:type="auto"/>
        <w:tblLook w:val="04A0" w:firstRow="1" w:lastRow="0" w:firstColumn="1" w:lastColumn="0" w:noHBand="0" w:noVBand="1"/>
      </w:tblPr>
      <w:tblGrid>
        <w:gridCol w:w="8516"/>
      </w:tblGrid>
      <w:tr w:rsidR="00920E88" w:rsidRPr="00AF3075" w14:paraId="16A4B649" w14:textId="77777777" w:rsidTr="008033C0">
        <w:tc>
          <w:tcPr>
            <w:tcW w:w="8516" w:type="dxa"/>
            <w:tcBorders>
              <w:top w:val="nil"/>
              <w:left w:val="nil"/>
              <w:bottom w:val="nil"/>
              <w:right w:val="nil"/>
            </w:tcBorders>
            <w:shd w:val="clear" w:color="auto" w:fill="D3E5F6" w:themeFill="accent2" w:themeFillTint="33"/>
          </w:tcPr>
          <w:p w14:paraId="75244EC0" w14:textId="77777777" w:rsidR="00920E88" w:rsidRPr="00AF3075" w:rsidRDefault="00920E88" w:rsidP="00EE5B6E">
            <w:pPr>
              <w:spacing w:before="120" w:after="120"/>
              <w:jc w:val="center"/>
              <w:rPr>
                <w:rStyle w:val="SubtleEmphasis"/>
              </w:rPr>
            </w:pPr>
            <w:r w:rsidRPr="00AF3075">
              <w:rPr>
                <w:rStyle w:val="SubtleEmphasis"/>
              </w:rPr>
              <w:t>Canadian judge identifies and challenges judicial stereotyping in a sexual assault case</w:t>
            </w:r>
          </w:p>
          <w:p w14:paraId="0CEE1DFB" w14:textId="46FD9640" w:rsidR="00920E88" w:rsidRPr="00AF3075" w:rsidRDefault="00920E88" w:rsidP="00EE5B6E">
            <w:pPr>
              <w:spacing w:before="120" w:after="120"/>
              <w:rPr>
                <w:i/>
                <w:iCs/>
                <w:sz w:val="22"/>
              </w:rPr>
            </w:pPr>
            <w:r w:rsidRPr="00AF3075">
              <w:rPr>
                <w:rStyle w:val="SubtleEmphasis"/>
                <w:b w:val="0"/>
                <w:i/>
                <w:color w:val="auto"/>
              </w:rPr>
              <w:t xml:space="preserve">R v. Ewanchuk </w:t>
            </w:r>
            <w:r w:rsidRPr="00AF3075">
              <w:rPr>
                <w:iCs/>
                <w:sz w:val="22"/>
              </w:rPr>
              <w:t>concerned the sexual assault of a 17 year-old girl by Steve Brian Ewanchuk.  The trial judge acquitted Ewanchuk based on the defence of ‘</w:t>
            </w:r>
            <w:r w:rsidR="004766CF">
              <w:rPr>
                <w:iCs/>
                <w:sz w:val="22"/>
              </w:rPr>
              <w:t>implied consent</w:t>
            </w:r>
            <w:r w:rsidR="0097636A" w:rsidRPr="00AF3075">
              <w:rPr>
                <w:iCs/>
                <w:sz w:val="22"/>
              </w:rPr>
              <w:t>’</w:t>
            </w:r>
            <w:r w:rsidR="004766CF">
              <w:rPr>
                <w:iCs/>
                <w:sz w:val="22"/>
              </w:rPr>
              <w:t>.</w:t>
            </w:r>
            <w:r w:rsidR="0097636A" w:rsidRPr="00AF3075">
              <w:rPr>
                <w:iCs/>
                <w:sz w:val="22"/>
              </w:rPr>
              <w:t xml:space="preserve">  He did this</w:t>
            </w:r>
            <w:r w:rsidRPr="00AF3075">
              <w:rPr>
                <w:iCs/>
                <w:sz w:val="22"/>
              </w:rPr>
              <w:t xml:space="preserve"> even though he found the girl was a credible witness who </w:t>
            </w:r>
            <w:r w:rsidR="0097636A" w:rsidRPr="00AF3075">
              <w:rPr>
                <w:iCs/>
                <w:sz w:val="22"/>
              </w:rPr>
              <w:t xml:space="preserve">gave </w:t>
            </w:r>
            <w:r w:rsidRPr="00AF3075">
              <w:rPr>
                <w:iCs/>
                <w:sz w:val="22"/>
              </w:rPr>
              <w:t xml:space="preserve">reliable evidence she had been assaulted. </w:t>
            </w:r>
            <w:r w:rsidR="0097636A" w:rsidRPr="00AF3075">
              <w:rPr>
                <w:iCs/>
                <w:sz w:val="22"/>
              </w:rPr>
              <w:t xml:space="preserve"> </w:t>
            </w:r>
            <w:r w:rsidRPr="00AF3075">
              <w:rPr>
                <w:iCs/>
                <w:sz w:val="22"/>
              </w:rPr>
              <w:t>The Alberta Court of Appeal upheld the acquittal.  However, it was later overturned by the Supreme Court of Canada, which held that ‘implied consent’ is not a defence to sexual assault under Canadian law.</w:t>
            </w:r>
            <w:r w:rsidRPr="00AF3075">
              <w:rPr>
                <w:rStyle w:val="SubtleEmphasis"/>
                <w:b w:val="0"/>
                <w:color w:val="auto"/>
                <w:vertAlign w:val="superscript"/>
              </w:rPr>
              <w:footnoteReference w:id="108"/>
            </w:r>
            <w:r w:rsidRPr="00AF3075">
              <w:rPr>
                <w:iCs/>
                <w:sz w:val="22"/>
                <w:vertAlign w:val="superscript"/>
              </w:rPr>
              <w:t xml:space="preserve"> </w:t>
            </w:r>
          </w:p>
          <w:p w14:paraId="2600CDF9" w14:textId="799A6BFB" w:rsidR="00920E88" w:rsidRPr="00AF3075" w:rsidRDefault="00920E88" w:rsidP="00EE5B6E">
            <w:pPr>
              <w:shd w:val="clear" w:color="auto" w:fill="D3E5F6" w:themeFill="accent2" w:themeFillTint="33"/>
              <w:spacing w:before="120" w:after="120"/>
              <w:rPr>
                <w:iCs/>
                <w:sz w:val="22"/>
              </w:rPr>
            </w:pPr>
            <w:r w:rsidRPr="00AF3075">
              <w:rPr>
                <w:iCs/>
                <w:sz w:val="22"/>
              </w:rPr>
              <w:t xml:space="preserve">In a concurring opinion, Justice Claire L’Heureux-Dubé </w:t>
            </w:r>
            <w:r w:rsidR="0097636A" w:rsidRPr="00AF3075">
              <w:rPr>
                <w:iCs/>
                <w:sz w:val="22"/>
              </w:rPr>
              <w:t>determined</w:t>
            </w:r>
            <w:r w:rsidRPr="00AF3075">
              <w:rPr>
                <w:iCs/>
                <w:sz w:val="22"/>
              </w:rPr>
              <w:t xml:space="preserve"> that the lower courts had engaged in stereotyping and that this had led to the acquittal of Ewanchuk.  She explained that the case was ‘not about consent, since none was given.  It [w</w:t>
            </w:r>
            <w:r w:rsidR="004766CF">
              <w:rPr>
                <w:iCs/>
                <w:sz w:val="22"/>
              </w:rPr>
              <w:t>as] about myths and stereotypes</w:t>
            </w:r>
            <w:r w:rsidRPr="00AF3075">
              <w:rPr>
                <w:iCs/>
                <w:sz w:val="22"/>
              </w:rPr>
              <w:t>’</w:t>
            </w:r>
            <w:r w:rsidR="004766CF">
              <w:rPr>
                <w:iCs/>
                <w:sz w:val="22"/>
              </w:rPr>
              <w:t>.</w:t>
            </w:r>
            <w:r w:rsidRPr="00AF3075">
              <w:rPr>
                <w:iCs/>
                <w:sz w:val="22"/>
              </w:rPr>
              <w:t xml:space="preserve"> </w:t>
            </w:r>
            <w:r w:rsidR="00200776" w:rsidRPr="00AF3075">
              <w:rPr>
                <w:iCs/>
                <w:sz w:val="22"/>
              </w:rPr>
              <w:t xml:space="preserve"> </w:t>
            </w:r>
            <w:r w:rsidRPr="00AF3075">
              <w:rPr>
                <w:iCs/>
                <w:sz w:val="22"/>
              </w:rPr>
              <w:t xml:space="preserve">She went on to say that </w:t>
            </w:r>
          </w:p>
          <w:p w14:paraId="07EA8E3F" w14:textId="4DDE5C02" w:rsidR="00920E88" w:rsidRPr="00AF3075" w:rsidRDefault="00920E88" w:rsidP="00EE5B6E">
            <w:pPr>
              <w:spacing w:before="120" w:after="120"/>
              <w:ind w:left="284"/>
              <w:rPr>
                <w:rStyle w:val="SubtleEmphasis"/>
                <w:b w:val="0"/>
                <w:i/>
                <w:color w:val="auto"/>
                <w:sz w:val="20"/>
              </w:rPr>
            </w:pPr>
            <w:proofErr w:type="gramStart"/>
            <w:r w:rsidRPr="00AF3075">
              <w:rPr>
                <w:iCs/>
                <w:sz w:val="20"/>
              </w:rPr>
              <w:t>it</w:t>
            </w:r>
            <w:proofErr w:type="gramEnd"/>
            <w:r w:rsidRPr="00AF3075">
              <w:rPr>
                <w:iCs/>
                <w:sz w:val="20"/>
              </w:rPr>
              <w:t xml:space="preserve"> is difficult to understand how the question of implied consent even arose.  Although the trial judge found the complainant credible, and accepted her evidence that she said ‘no’ on three occasions and was afraid, the trial judge nevertheless did not take ‘no’ to mean that the complainant did not consent.  Rather, he concluded that she implicitly consented and that the Crown had failed to prove lack of consent.  This was a fundamental error.</w:t>
            </w:r>
          </w:p>
          <w:p w14:paraId="4C5FB09F" w14:textId="5335202D" w:rsidR="00920E88" w:rsidRPr="00AF3075" w:rsidRDefault="00920E88" w:rsidP="00EE5B6E">
            <w:pPr>
              <w:shd w:val="clear" w:color="auto" w:fill="D3E5F6" w:themeFill="accent2" w:themeFillTint="33"/>
              <w:spacing w:before="120" w:after="120"/>
              <w:rPr>
                <w:iCs/>
                <w:sz w:val="22"/>
              </w:rPr>
            </w:pPr>
            <w:r w:rsidRPr="00AF3075">
              <w:rPr>
                <w:iCs/>
                <w:sz w:val="22"/>
              </w:rPr>
              <w:t xml:space="preserve">The fundamental error, </w:t>
            </w:r>
            <w:r w:rsidRPr="00AF3075">
              <w:rPr>
                <w:rStyle w:val="SubtleEmphasis"/>
                <w:b w:val="0"/>
                <w:color w:val="auto"/>
              </w:rPr>
              <w:t xml:space="preserve">Justice </w:t>
            </w:r>
            <w:r w:rsidRPr="00AF3075">
              <w:rPr>
                <w:iCs/>
                <w:sz w:val="22"/>
              </w:rPr>
              <w:t xml:space="preserve">L’Heureux-Dubé concluded, derived not from the findings of fact, but from myths and prescriptive sexual stereotypes. </w:t>
            </w:r>
            <w:r w:rsidR="00200776" w:rsidRPr="00AF3075">
              <w:rPr>
                <w:iCs/>
                <w:sz w:val="22"/>
              </w:rPr>
              <w:t xml:space="preserve"> </w:t>
            </w:r>
            <w:r w:rsidRPr="00AF3075">
              <w:rPr>
                <w:iCs/>
                <w:sz w:val="22"/>
              </w:rPr>
              <w:t xml:space="preserve">According to her Honour, McClung J.A. of the Court of Appeal compounded this error. </w:t>
            </w:r>
            <w:r w:rsidR="00200776" w:rsidRPr="00AF3075">
              <w:rPr>
                <w:iCs/>
                <w:sz w:val="22"/>
              </w:rPr>
              <w:t xml:space="preserve"> </w:t>
            </w:r>
            <w:r w:rsidRPr="00AF3075">
              <w:rPr>
                <w:iCs/>
                <w:sz w:val="22"/>
              </w:rPr>
              <w:t>She explained:</w:t>
            </w:r>
          </w:p>
          <w:p w14:paraId="0E07A446" w14:textId="7C8084B4" w:rsidR="00920E88" w:rsidRPr="00AF3075" w:rsidRDefault="00200776" w:rsidP="00EE5B6E">
            <w:pPr>
              <w:shd w:val="clear" w:color="auto" w:fill="D3E5F6" w:themeFill="accent2" w:themeFillTint="33"/>
              <w:spacing w:before="120" w:after="120"/>
              <w:ind w:left="284"/>
              <w:rPr>
                <w:iCs/>
                <w:sz w:val="20"/>
              </w:rPr>
            </w:pPr>
            <w:r w:rsidRPr="00AF3075">
              <w:rPr>
                <w:iCs/>
                <w:sz w:val="20"/>
              </w:rPr>
              <w:t>[H]</w:t>
            </w:r>
            <w:r w:rsidR="00920E88" w:rsidRPr="00AF3075">
              <w:rPr>
                <w:iCs/>
                <w:sz w:val="20"/>
              </w:rPr>
              <w:t>e stated … that ‘it must be pointed out that the complainant did not present herself to Ewanchuk or enter his tra</w:t>
            </w:r>
            <w:r w:rsidR="004766CF">
              <w:rPr>
                <w:iCs/>
                <w:sz w:val="20"/>
              </w:rPr>
              <w:t>iler in a bonnet and crinolines</w:t>
            </w:r>
            <w:r w:rsidR="00920E88" w:rsidRPr="00AF3075">
              <w:rPr>
                <w:iCs/>
                <w:sz w:val="20"/>
              </w:rPr>
              <w:t>’</w:t>
            </w:r>
            <w:r w:rsidR="004766CF">
              <w:rPr>
                <w:iCs/>
                <w:sz w:val="20"/>
              </w:rPr>
              <w:t>.</w:t>
            </w:r>
            <w:r w:rsidR="00920E88" w:rsidRPr="00AF3075">
              <w:rPr>
                <w:iCs/>
                <w:sz w:val="20"/>
              </w:rPr>
              <w:t xml:space="preserve">  He noted … that ‘she was the mother of a six-month-old baby and that, along with her boyfriend, she shared a</w:t>
            </w:r>
            <w:r w:rsidR="004766CF">
              <w:rPr>
                <w:iCs/>
                <w:sz w:val="20"/>
              </w:rPr>
              <w:t>n apartment with another couple</w:t>
            </w:r>
            <w:r w:rsidR="00920E88" w:rsidRPr="00AF3075">
              <w:rPr>
                <w:iCs/>
                <w:sz w:val="20"/>
              </w:rPr>
              <w:t>’</w:t>
            </w:r>
            <w:r w:rsidR="004766CF">
              <w:rPr>
                <w:iCs/>
                <w:sz w:val="20"/>
              </w:rPr>
              <w:t>.</w:t>
            </w:r>
          </w:p>
          <w:p w14:paraId="5635C31B" w14:textId="0BD5FFCE" w:rsidR="00920E88" w:rsidRPr="00AF3075" w:rsidRDefault="00920E88" w:rsidP="00EE5B6E">
            <w:pPr>
              <w:shd w:val="clear" w:color="auto" w:fill="D3E5F6" w:themeFill="accent2" w:themeFillTint="33"/>
              <w:spacing w:before="120" w:after="120"/>
              <w:ind w:left="284"/>
              <w:rPr>
                <w:iCs/>
                <w:sz w:val="20"/>
              </w:rPr>
            </w:pPr>
            <w:r w:rsidRPr="00AF3075">
              <w:rPr>
                <w:iCs/>
                <w:sz w:val="20"/>
              </w:rPr>
              <w:t>Even though McClung J.A. asserted that he had no intention of denigrating the complainant, one might wonder why he felt necessary to point out these aspects of the trial record.  Could it be to express that the complainant is not a virgin?  Or that she is a person of questionable moral character because she is not married and lives with her boyfriend and another couple?  These comments made by an appellate judge help reinforce the myth that under such circumstances, either the complainant is less worthy of belief, she invited the sexual assault, or her sexual experience signals probable consent to further sexual activity.  Based on those attributed assumptions, the implication is that if the complainant articulates he</w:t>
            </w:r>
            <w:r w:rsidR="004766CF">
              <w:rPr>
                <w:iCs/>
                <w:sz w:val="20"/>
              </w:rPr>
              <w:t>r lack of consent by saying ‘no</w:t>
            </w:r>
            <w:r w:rsidRPr="00AF3075">
              <w:rPr>
                <w:iCs/>
                <w:sz w:val="20"/>
              </w:rPr>
              <w:t>’</w:t>
            </w:r>
            <w:r w:rsidR="004766CF">
              <w:rPr>
                <w:iCs/>
                <w:sz w:val="20"/>
              </w:rPr>
              <w:t>,</w:t>
            </w:r>
            <w:r w:rsidRPr="00AF3075">
              <w:rPr>
                <w:iCs/>
                <w:sz w:val="20"/>
              </w:rPr>
              <w:t xml:space="preserve"> she really does not mean it and even if she does, her refusal cannot be taken as seriously as if she were a girl of ‘good’ moral character.  ‘Inviting’ sexual assault, according to those myths, lessens the guilt of the accused….</w:t>
            </w:r>
          </w:p>
          <w:p w14:paraId="678ACD0E" w14:textId="77777777" w:rsidR="00920E88" w:rsidRPr="00AF3075" w:rsidRDefault="00920E88" w:rsidP="00EE5B6E">
            <w:pPr>
              <w:shd w:val="clear" w:color="auto" w:fill="D3E5F6" w:themeFill="accent2" w:themeFillTint="33"/>
              <w:spacing w:before="120" w:after="120"/>
              <w:rPr>
                <w:iCs/>
                <w:sz w:val="22"/>
              </w:rPr>
            </w:pPr>
            <w:r w:rsidRPr="00AF3075">
              <w:rPr>
                <w:iCs/>
                <w:sz w:val="22"/>
              </w:rPr>
              <w:t>Justice L’Heureux-Dubé continued:</w:t>
            </w:r>
          </w:p>
          <w:p w14:paraId="52E981A7" w14:textId="77777777" w:rsidR="00920E88" w:rsidRPr="00AF3075" w:rsidRDefault="00920E88" w:rsidP="00EE5B6E">
            <w:pPr>
              <w:spacing w:before="120" w:after="120"/>
              <w:ind w:left="284"/>
              <w:rPr>
                <w:iCs/>
                <w:sz w:val="20"/>
              </w:rPr>
            </w:pPr>
            <w:r w:rsidRPr="00AF3075">
              <w:rPr>
                <w:iCs/>
                <w:sz w:val="20"/>
              </w:rPr>
              <w:t>The expressions used by McClung J.A. to describe the accused’s sexual assault, such as ‘clumsy passes’ … or ‘would hardly raise Ewanchuk’s stature in the pantheon of chivalric behaviour’ …, are plainly inappropriate in that context as they minimize the importance of the accused’s conduct and the reality of sexual aggression against women.</w:t>
            </w:r>
          </w:p>
          <w:p w14:paraId="631FCF43" w14:textId="77777777" w:rsidR="00920E88" w:rsidRPr="00AF3075" w:rsidRDefault="00920E88" w:rsidP="00EE5B6E">
            <w:pPr>
              <w:spacing w:before="120" w:after="120"/>
              <w:ind w:left="284"/>
              <w:rPr>
                <w:iCs/>
                <w:sz w:val="20"/>
              </w:rPr>
            </w:pPr>
            <w:r w:rsidRPr="00AF3075">
              <w:rPr>
                <w:iCs/>
                <w:sz w:val="20"/>
              </w:rPr>
              <w:t>McClung J.A. also concluded that ‘the sum of the evidence indicates that Ewanchuk’s advances to the complainant were far less criminal than hormonal’ … having found earlier that ‘every advance he made to her stopped when she spoke against it’ and that ‘[t]here was no evidence of an assault or even its threat’ ….  According to this analysis, a man would be free from criminal responsibility for having non-consensual sexual activity whenever he cannot control his hormonal urges.  Furthermore, the fact that the accused ignored the complainant’s verbal objections to any sexual activity and persisted in escalated sexual contact, grinding his pelvis against hers repeatedly, is more evidence than needed to determine that there was an assault.</w:t>
            </w:r>
          </w:p>
          <w:p w14:paraId="565F373F" w14:textId="422D1062" w:rsidR="00920E88" w:rsidRPr="00AF3075" w:rsidRDefault="00920E88" w:rsidP="00EE5B6E">
            <w:pPr>
              <w:spacing w:before="120" w:after="120"/>
              <w:ind w:left="284"/>
              <w:rPr>
                <w:rStyle w:val="SubtleEmphasis"/>
                <w:b w:val="0"/>
                <w:color w:val="auto"/>
              </w:rPr>
            </w:pPr>
            <w:r w:rsidRPr="00AF3075">
              <w:rPr>
                <w:iCs/>
                <w:sz w:val="20"/>
              </w:rPr>
              <w:t>Finally, McClung J.A. made this point: ‘In a less litigious age going too far in the boyfriend’s car was better dealt with on site -- a well-chosen expletive, a slap in the face or, if necessary, a well-directed knee’ ….  According to this stereotype, women should use physical force, not resort to courts to ‘deal with</w:t>
            </w:r>
            <w:r w:rsidR="00200776" w:rsidRPr="00AF3075">
              <w:rPr>
                <w:iCs/>
                <w:sz w:val="20"/>
              </w:rPr>
              <w:t>’</w:t>
            </w:r>
            <w:r w:rsidRPr="00AF3075">
              <w:rPr>
                <w:iCs/>
                <w:sz w:val="20"/>
              </w:rPr>
              <w:t xml:space="preserve"> sexual assaults and it is not the perpetrator’s responsibility to ascertain consent, … but the women’s not onl</w:t>
            </w:r>
            <w:r w:rsidR="004766CF">
              <w:rPr>
                <w:iCs/>
                <w:sz w:val="20"/>
              </w:rPr>
              <w:t>y to express an unequivocal ‘no</w:t>
            </w:r>
            <w:r w:rsidRPr="00AF3075">
              <w:rPr>
                <w:iCs/>
                <w:sz w:val="20"/>
              </w:rPr>
              <w:t>’</w:t>
            </w:r>
            <w:r w:rsidR="004766CF">
              <w:rPr>
                <w:iCs/>
                <w:sz w:val="20"/>
              </w:rPr>
              <w:t>,</w:t>
            </w:r>
            <w:r w:rsidRPr="00AF3075">
              <w:rPr>
                <w:iCs/>
                <w:sz w:val="20"/>
              </w:rPr>
              <w:t xml:space="preserve"> but also to fight her way out of such a situation. </w:t>
            </w:r>
          </w:p>
          <w:p w14:paraId="1DD75A09" w14:textId="77777777" w:rsidR="00920E88" w:rsidRPr="00AF3075" w:rsidRDefault="00920E88" w:rsidP="00EE5B6E">
            <w:pPr>
              <w:spacing w:before="120" w:after="120"/>
              <w:rPr>
                <w:iCs/>
                <w:sz w:val="22"/>
              </w:rPr>
            </w:pPr>
            <w:r w:rsidRPr="00AF3075">
              <w:rPr>
                <w:iCs/>
                <w:sz w:val="22"/>
              </w:rPr>
              <w:t xml:space="preserve">Justice L’Heureux-Dubé concluded her opinion by explaining that judges must base their decisions on law and fact and not on myths and stereotypes.  </w:t>
            </w:r>
          </w:p>
          <w:p w14:paraId="69A5BF31" w14:textId="674FA559" w:rsidR="00920E88" w:rsidRPr="00AF3075" w:rsidRDefault="00920E88" w:rsidP="006A3540">
            <w:pPr>
              <w:pStyle w:val="ListParagraph"/>
              <w:spacing w:before="120" w:after="120"/>
              <w:ind w:left="284"/>
              <w:rPr>
                <w:rStyle w:val="SubtleEmphasis"/>
                <w:b w:val="0"/>
                <w:color w:val="auto"/>
              </w:rPr>
            </w:pPr>
            <w:r w:rsidRPr="00AF3075">
              <w:rPr>
                <w:iCs/>
                <w:sz w:val="20"/>
              </w:rPr>
              <w:t xml:space="preserve">Complainants should be able to rely on a system free from myths and stereotypes, and on a judiciary whose impartiality is not compromised by these biased assumptions. </w:t>
            </w:r>
            <w:r w:rsidR="00E10CB2" w:rsidRPr="00AF3075">
              <w:rPr>
                <w:iCs/>
                <w:sz w:val="20"/>
              </w:rPr>
              <w:t xml:space="preserve"> </w:t>
            </w:r>
            <w:r w:rsidRPr="00AF3075">
              <w:rPr>
                <w:iCs/>
                <w:sz w:val="20"/>
              </w:rPr>
              <w:t xml:space="preserve">The </w:t>
            </w:r>
            <w:r w:rsidRPr="00AF3075">
              <w:rPr>
                <w:i/>
                <w:iCs/>
                <w:sz w:val="20"/>
              </w:rPr>
              <w:t xml:space="preserve">Code </w:t>
            </w:r>
            <w:r w:rsidRPr="00AF3075">
              <w:rPr>
                <w:iCs/>
                <w:sz w:val="20"/>
              </w:rPr>
              <w:t xml:space="preserve">was amended in 1983 and in 1992 to eradicate reliance on those assumptions; they should not be permitted to resurface through the stereotypes reflected in the reasons of the majority of the Court of Appeal. </w:t>
            </w:r>
            <w:r w:rsidR="00E10CB2" w:rsidRPr="00AF3075">
              <w:rPr>
                <w:iCs/>
                <w:sz w:val="20"/>
              </w:rPr>
              <w:t xml:space="preserve"> </w:t>
            </w:r>
            <w:r w:rsidRPr="00AF3075">
              <w:rPr>
                <w:iCs/>
                <w:sz w:val="20"/>
              </w:rPr>
              <w:t>It is part of the role of this Court to denounce this kind of language, unfortunately still used today, which not only perpetuates archaic myths and stereotypes about the nature of sexual assaults but also ignores the law</w:t>
            </w:r>
            <w:r w:rsidR="000853DF" w:rsidRPr="00AF3075">
              <w:rPr>
                <w:iCs/>
                <w:sz w:val="20"/>
              </w:rPr>
              <w:t>.</w:t>
            </w:r>
            <w:r w:rsidR="000853DF">
              <w:rPr>
                <w:sz w:val="22"/>
                <w:vertAlign w:val="superscript"/>
              </w:rPr>
              <w:t xml:space="preserve"> </w:t>
            </w:r>
            <w:r w:rsidR="000853DF" w:rsidRPr="00AF3075">
              <w:rPr>
                <w:iCs/>
                <w:sz w:val="20"/>
              </w:rPr>
              <w:t xml:space="preserve"> </w:t>
            </w:r>
          </w:p>
        </w:tc>
      </w:tr>
    </w:tbl>
    <w:p w14:paraId="7D1BBBA1" w14:textId="543F95A8" w:rsidR="00E049F9" w:rsidRPr="001211C8" w:rsidRDefault="00E049F9" w:rsidP="006A3540">
      <w:pPr>
        <w:spacing w:before="0" w:after="0"/>
      </w:pPr>
    </w:p>
    <w:tbl>
      <w:tblPr>
        <w:tblStyle w:val="TableGrid"/>
        <w:tblW w:w="0" w:type="auto"/>
        <w:tblLook w:val="04A0" w:firstRow="1" w:lastRow="0" w:firstColumn="1" w:lastColumn="0" w:noHBand="0" w:noVBand="1"/>
      </w:tblPr>
      <w:tblGrid>
        <w:gridCol w:w="8516"/>
      </w:tblGrid>
      <w:tr w:rsidR="00E049F9" w:rsidRPr="00AF3075" w14:paraId="0404B98A" w14:textId="77777777" w:rsidTr="00E049F9">
        <w:tc>
          <w:tcPr>
            <w:tcW w:w="8516" w:type="dxa"/>
            <w:tcBorders>
              <w:top w:val="nil"/>
              <w:left w:val="nil"/>
              <w:bottom w:val="nil"/>
              <w:right w:val="nil"/>
            </w:tcBorders>
            <w:shd w:val="clear" w:color="auto" w:fill="D3E5F6" w:themeFill="accent2" w:themeFillTint="33"/>
          </w:tcPr>
          <w:p w14:paraId="60C60E9F" w14:textId="5FC98405" w:rsidR="00E049F9" w:rsidRPr="008277C1" w:rsidRDefault="00D62C4C" w:rsidP="00E049F9">
            <w:pPr>
              <w:shd w:val="clear" w:color="auto" w:fill="D3E5F6" w:themeFill="accent2" w:themeFillTint="33"/>
              <w:spacing w:before="120" w:after="120"/>
              <w:jc w:val="center"/>
              <w:rPr>
                <w:rStyle w:val="SubtleEmphasis"/>
              </w:rPr>
            </w:pPr>
            <w:r>
              <w:rPr>
                <w:rStyle w:val="SubtleEmphasis"/>
              </w:rPr>
              <w:t>Kenyan Court of Appeal challenged the stereotype that women are untruthful and therefore likely to fabricate allegations of sexual assault</w:t>
            </w:r>
          </w:p>
          <w:p w14:paraId="18076FB8" w14:textId="3CA0CA6C" w:rsidR="00D62C4C" w:rsidRPr="006A3540" w:rsidRDefault="00D62C4C" w:rsidP="006A3540">
            <w:pPr>
              <w:spacing w:before="120" w:after="120"/>
              <w:rPr>
                <w:iCs/>
                <w:color w:val="000000" w:themeColor="text1"/>
                <w:sz w:val="22"/>
              </w:rPr>
            </w:pPr>
            <w:r>
              <w:rPr>
                <w:iCs/>
                <w:color w:val="000000" w:themeColor="text1"/>
                <w:sz w:val="22"/>
              </w:rPr>
              <w:t xml:space="preserve">In </w:t>
            </w:r>
            <w:r>
              <w:rPr>
                <w:i/>
                <w:iCs/>
                <w:color w:val="000000" w:themeColor="text1"/>
                <w:sz w:val="22"/>
              </w:rPr>
              <w:t>Mukungu v. Republic</w:t>
            </w:r>
            <w:r>
              <w:rPr>
                <w:iCs/>
                <w:color w:val="000000" w:themeColor="text1"/>
                <w:sz w:val="22"/>
              </w:rPr>
              <w:t xml:space="preserve">, </w:t>
            </w:r>
            <w:r w:rsidRPr="006A3540">
              <w:rPr>
                <w:iCs/>
                <w:color w:val="000000" w:themeColor="text1"/>
                <w:sz w:val="22"/>
              </w:rPr>
              <w:t>t</w:t>
            </w:r>
            <w:r w:rsidR="000F38DA" w:rsidRPr="006A3540">
              <w:rPr>
                <w:iCs/>
                <w:color w:val="000000" w:themeColor="text1"/>
                <w:sz w:val="22"/>
              </w:rPr>
              <w:t>he Kenya</w:t>
            </w:r>
            <w:r w:rsidRPr="006A3540">
              <w:rPr>
                <w:iCs/>
                <w:color w:val="000000" w:themeColor="text1"/>
                <w:sz w:val="22"/>
              </w:rPr>
              <w:t>n</w:t>
            </w:r>
            <w:r w:rsidR="000F38DA" w:rsidRPr="006A3540">
              <w:rPr>
                <w:iCs/>
                <w:color w:val="000000" w:themeColor="text1"/>
                <w:sz w:val="22"/>
              </w:rPr>
              <w:t xml:space="preserve"> Court of Appeal </w:t>
            </w:r>
            <w:r w:rsidR="00C048AC">
              <w:rPr>
                <w:iCs/>
                <w:color w:val="000000" w:themeColor="text1"/>
                <w:sz w:val="22"/>
              </w:rPr>
              <w:t xml:space="preserve">determined that the requirement for corroboration in cases concerning sexual offences against women and girls was unconstitutional.  In doing so, it </w:t>
            </w:r>
            <w:r w:rsidR="005A49C9">
              <w:rPr>
                <w:sz w:val="22"/>
              </w:rPr>
              <w:t xml:space="preserve">noted </w:t>
            </w:r>
            <w:r w:rsidRPr="006A3540">
              <w:rPr>
                <w:sz w:val="22"/>
              </w:rPr>
              <w:t>that</w:t>
            </w:r>
          </w:p>
          <w:p w14:paraId="12FA8258" w14:textId="486C93EC" w:rsidR="00C048AC" w:rsidRDefault="005A49C9" w:rsidP="006A3540">
            <w:pPr>
              <w:spacing w:before="120" w:after="120"/>
              <w:ind w:left="284"/>
              <w:rPr>
                <w:sz w:val="20"/>
              </w:rPr>
            </w:pPr>
            <w:r>
              <w:rPr>
                <w:sz w:val="20"/>
              </w:rPr>
              <w:t>[t]</w:t>
            </w:r>
            <w:r w:rsidR="00C048AC" w:rsidRPr="00C048AC">
              <w:rPr>
                <w:sz w:val="20"/>
              </w:rPr>
              <w:t>he need for corroboration in sexual offences appears to be based on what the Superior</w:t>
            </w:r>
            <w:r w:rsidR="00C048AC">
              <w:rPr>
                <w:sz w:val="20"/>
              </w:rPr>
              <w:t xml:space="preserve"> </w:t>
            </w:r>
            <w:r w:rsidR="00C048AC" w:rsidRPr="00C048AC">
              <w:rPr>
                <w:sz w:val="20"/>
              </w:rPr>
              <w:t xml:space="preserve">Court restated in </w:t>
            </w:r>
            <w:r w:rsidR="00C048AC" w:rsidRPr="006A3540">
              <w:rPr>
                <w:i/>
                <w:sz w:val="20"/>
              </w:rPr>
              <w:t>Maina v Republic</w:t>
            </w:r>
            <w:r w:rsidR="00C048AC" w:rsidRPr="00C048AC">
              <w:rPr>
                <w:sz w:val="20"/>
              </w:rPr>
              <w:t xml:space="preserve"> [1970] EA 370. </w:t>
            </w:r>
            <w:r w:rsidR="00C048AC">
              <w:rPr>
                <w:sz w:val="20"/>
              </w:rPr>
              <w:t xml:space="preserve"> </w:t>
            </w:r>
            <w:r w:rsidR="00C048AC" w:rsidRPr="00C048AC">
              <w:rPr>
                <w:sz w:val="20"/>
              </w:rPr>
              <w:t>There the Court said:</w:t>
            </w:r>
          </w:p>
          <w:p w14:paraId="5E5618D6" w14:textId="18A898D0" w:rsidR="00C048AC" w:rsidRPr="00C048AC" w:rsidRDefault="005A49C9" w:rsidP="006A3540">
            <w:pPr>
              <w:spacing w:before="120" w:after="120"/>
              <w:ind w:left="567"/>
              <w:rPr>
                <w:sz w:val="20"/>
              </w:rPr>
            </w:pPr>
            <w:r>
              <w:rPr>
                <w:sz w:val="20"/>
              </w:rPr>
              <w:t xml:space="preserve">… </w:t>
            </w:r>
            <w:proofErr w:type="gramStart"/>
            <w:r w:rsidR="00C048AC" w:rsidRPr="00C048AC">
              <w:rPr>
                <w:sz w:val="20"/>
              </w:rPr>
              <w:t>as</w:t>
            </w:r>
            <w:proofErr w:type="gramEnd"/>
            <w:r w:rsidR="00C048AC" w:rsidRPr="00C048AC">
              <w:rPr>
                <w:sz w:val="20"/>
              </w:rPr>
              <w:t xml:space="preserve"> pointed out by the Court of Appeal in </w:t>
            </w:r>
            <w:r w:rsidR="00C048AC" w:rsidRPr="006A3540">
              <w:rPr>
                <w:i/>
                <w:sz w:val="20"/>
              </w:rPr>
              <w:t xml:space="preserve">Henry and Manning v Republic </w:t>
            </w:r>
            <w:r w:rsidR="00C048AC" w:rsidRPr="00C048AC">
              <w:rPr>
                <w:sz w:val="20"/>
              </w:rPr>
              <w:t>53 criminal appeal rep 150, it has been said again and again that in cases of alleged</w:t>
            </w:r>
            <w:r w:rsidR="00C048AC">
              <w:rPr>
                <w:sz w:val="20"/>
              </w:rPr>
              <w:t xml:space="preserve"> </w:t>
            </w:r>
            <w:r w:rsidR="00C048AC" w:rsidRPr="00C048AC">
              <w:rPr>
                <w:sz w:val="20"/>
              </w:rPr>
              <w:t xml:space="preserve">sexual offences it is really dangerous to convict on the evidence of the woman or girl alone. </w:t>
            </w:r>
            <w:r>
              <w:rPr>
                <w:sz w:val="20"/>
              </w:rPr>
              <w:t xml:space="preserve"> </w:t>
            </w:r>
            <w:r w:rsidR="00C048AC" w:rsidRPr="00C048AC">
              <w:rPr>
                <w:sz w:val="20"/>
              </w:rPr>
              <w:t>It is</w:t>
            </w:r>
            <w:r w:rsidR="00C048AC">
              <w:rPr>
                <w:sz w:val="20"/>
              </w:rPr>
              <w:t xml:space="preserve"> </w:t>
            </w:r>
            <w:r w:rsidR="00C048AC" w:rsidRPr="00C048AC">
              <w:rPr>
                <w:sz w:val="20"/>
              </w:rPr>
              <w:t>dangerous because human experience has shown that girls and women sometimes tell an</w:t>
            </w:r>
            <w:r w:rsidR="00C048AC">
              <w:rPr>
                <w:sz w:val="20"/>
              </w:rPr>
              <w:t xml:space="preserve"> </w:t>
            </w:r>
            <w:r w:rsidR="00C048AC" w:rsidRPr="00C048AC">
              <w:rPr>
                <w:sz w:val="20"/>
              </w:rPr>
              <w:t xml:space="preserve">entirely false story which is very easy to fabricate, but extremely difficult to refute. </w:t>
            </w:r>
            <w:r>
              <w:rPr>
                <w:sz w:val="20"/>
              </w:rPr>
              <w:t xml:space="preserve"> </w:t>
            </w:r>
            <w:r w:rsidR="00C048AC" w:rsidRPr="00C048AC">
              <w:rPr>
                <w:sz w:val="20"/>
              </w:rPr>
              <w:t>Such stories</w:t>
            </w:r>
            <w:r w:rsidR="00C048AC">
              <w:rPr>
                <w:sz w:val="20"/>
              </w:rPr>
              <w:t xml:space="preserve"> </w:t>
            </w:r>
            <w:r w:rsidR="00C048AC" w:rsidRPr="00C048AC">
              <w:rPr>
                <w:sz w:val="20"/>
              </w:rPr>
              <w:t xml:space="preserve">are fabricated for all sorts of reasons and sometimes for no reason at all. </w:t>
            </w:r>
            <w:r>
              <w:rPr>
                <w:sz w:val="20"/>
              </w:rPr>
              <w:t xml:space="preserve"> </w:t>
            </w:r>
            <w:r w:rsidR="00C048AC" w:rsidRPr="00C048AC">
              <w:rPr>
                <w:sz w:val="20"/>
              </w:rPr>
              <w:t>In every case of an</w:t>
            </w:r>
            <w:r w:rsidR="00C048AC">
              <w:rPr>
                <w:sz w:val="20"/>
              </w:rPr>
              <w:t xml:space="preserve"> </w:t>
            </w:r>
            <w:r w:rsidR="00C048AC" w:rsidRPr="00C048AC">
              <w:rPr>
                <w:sz w:val="20"/>
              </w:rPr>
              <w:t>alleged sexual offence the magistrate should warn himself that he has to look at the particular</w:t>
            </w:r>
            <w:r w:rsidR="00C048AC">
              <w:rPr>
                <w:sz w:val="20"/>
              </w:rPr>
              <w:t xml:space="preserve"> </w:t>
            </w:r>
            <w:r w:rsidR="00C048AC" w:rsidRPr="00C048AC">
              <w:rPr>
                <w:sz w:val="20"/>
              </w:rPr>
              <w:t>facts of the particular case and if, having given full weight to the warning, he comes to the</w:t>
            </w:r>
            <w:r w:rsidR="00C048AC">
              <w:rPr>
                <w:sz w:val="20"/>
              </w:rPr>
              <w:t xml:space="preserve"> </w:t>
            </w:r>
            <w:r w:rsidR="00C048AC" w:rsidRPr="00C048AC">
              <w:rPr>
                <w:sz w:val="20"/>
              </w:rPr>
              <w:t>conclusion that in the particular case the woman or girl without any real doubt is speaking the</w:t>
            </w:r>
            <w:r w:rsidR="00C048AC">
              <w:rPr>
                <w:sz w:val="20"/>
              </w:rPr>
              <w:t xml:space="preserve"> </w:t>
            </w:r>
            <w:r w:rsidR="00C048AC" w:rsidRPr="00C048AC">
              <w:rPr>
                <w:sz w:val="20"/>
              </w:rPr>
              <w:t xml:space="preserve">truth then the fact that there is no corroboration need not stop his convicting. </w:t>
            </w:r>
            <w:r>
              <w:rPr>
                <w:sz w:val="20"/>
              </w:rPr>
              <w:t xml:space="preserve"> </w:t>
            </w:r>
            <w:r w:rsidR="00C048AC" w:rsidRPr="00C048AC">
              <w:rPr>
                <w:sz w:val="20"/>
              </w:rPr>
              <w:t>Most</w:t>
            </w:r>
            <w:r w:rsidR="00C048AC">
              <w:rPr>
                <w:sz w:val="20"/>
              </w:rPr>
              <w:t xml:space="preserve"> </w:t>
            </w:r>
            <w:r w:rsidR="00C048AC" w:rsidRPr="00C048AC">
              <w:rPr>
                <w:sz w:val="20"/>
              </w:rPr>
              <w:t xml:space="preserve">unfortunately, this was not done in the present case. </w:t>
            </w:r>
          </w:p>
          <w:p w14:paraId="584120E4" w14:textId="5435DA7E" w:rsidR="000A0B2B" w:rsidRDefault="00C048AC" w:rsidP="006A3540">
            <w:pPr>
              <w:spacing w:before="120" w:after="120"/>
              <w:ind w:left="284"/>
              <w:rPr>
                <w:sz w:val="20"/>
              </w:rPr>
            </w:pPr>
            <w:r w:rsidRPr="00C048AC">
              <w:rPr>
                <w:sz w:val="20"/>
              </w:rPr>
              <w:t>It is noteworthy that the same caution is not required of the evidence of women and girls in</w:t>
            </w:r>
            <w:r>
              <w:rPr>
                <w:sz w:val="20"/>
              </w:rPr>
              <w:t xml:space="preserve"> </w:t>
            </w:r>
            <w:r w:rsidRPr="00C048AC">
              <w:rPr>
                <w:sz w:val="20"/>
              </w:rPr>
              <w:t xml:space="preserve">other offences. </w:t>
            </w:r>
            <w:r w:rsidR="005A49C9">
              <w:rPr>
                <w:sz w:val="20"/>
              </w:rPr>
              <w:t xml:space="preserve"> </w:t>
            </w:r>
            <w:r w:rsidRPr="00C048AC">
              <w:rPr>
                <w:sz w:val="20"/>
              </w:rPr>
              <w:t>Besides there is neither scientific proof nor research finding that we know of to</w:t>
            </w:r>
            <w:r>
              <w:rPr>
                <w:sz w:val="20"/>
              </w:rPr>
              <w:t xml:space="preserve"> </w:t>
            </w:r>
            <w:r w:rsidRPr="00C048AC">
              <w:rPr>
                <w:sz w:val="20"/>
              </w:rPr>
              <w:t>show that women and girls will, as a general rule, give false testimony or fabricate cases against</w:t>
            </w:r>
            <w:r>
              <w:rPr>
                <w:sz w:val="20"/>
              </w:rPr>
              <w:t xml:space="preserve"> </w:t>
            </w:r>
            <w:r w:rsidRPr="00C048AC">
              <w:rPr>
                <w:sz w:val="20"/>
              </w:rPr>
              <w:t xml:space="preserve">men in sexual offences. </w:t>
            </w:r>
            <w:r w:rsidR="005A49C9">
              <w:rPr>
                <w:sz w:val="20"/>
              </w:rPr>
              <w:t xml:space="preserve"> </w:t>
            </w:r>
            <w:r w:rsidRPr="00C048AC">
              <w:rPr>
                <w:sz w:val="20"/>
              </w:rPr>
              <w:t>And yet courts have hitherto consistently held that in sexual offences</w:t>
            </w:r>
            <w:r>
              <w:rPr>
                <w:sz w:val="20"/>
              </w:rPr>
              <w:t xml:space="preserve"> </w:t>
            </w:r>
            <w:r w:rsidRPr="00C048AC">
              <w:rPr>
                <w:sz w:val="20"/>
              </w:rPr>
              <w:t>testimony of women and girls should be treated differently</w:t>
            </w:r>
            <w:r>
              <w:rPr>
                <w:sz w:val="20"/>
              </w:rPr>
              <w:t>.</w:t>
            </w:r>
            <w:r w:rsidR="000A0B2B">
              <w:rPr>
                <w:sz w:val="20"/>
              </w:rPr>
              <w:t xml:space="preserve"> …</w:t>
            </w:r>
          </w:p>
          <w:p w14:paraId="58C73A11" w14:textId="43F56A6A" w:rsidR="000A0B2B" w:rsidRPr="000A0B2B" w:rsidRDefault="000A0B2B" w:rsidP="006A3540">
            <w:pPr>
              <w:spacing w:before="120" w:after="120"/>
              <w:ind w:left="284"/>
              <w:rPr>
                <w:sz w:val="20"/>
              </w:rPr>
            </w:pPr>
            <w:r w:rsidRPr="000A0B2B">
              <w:rPr>
                <w:sz w:val="20"/>
              </w:rPr>
              <w:t>The</w:t>
            </w:r>
            <w:r>
              <w:rPr>
                <w:sz w:val="20"/>
              </w:rPr>
              <w:t xml:space="preserve"> </w:t>
            </w:r>
            <w:r w:rsidRPr="000A0B2B">
              <w:rPr>
                <w:sz w:val="20"/>
              </w:rPr>
              <w:t>Constitution has no provision authorising any discriminatory treatment of witnesses particularly</w:t>
            </w:r>
            <w:r>
              <w:rPr>
                <w:sz w:val="20"/>
              </w:rPr>
              <w:t xml:space="preserve"> </w:t>
            </w:r>
            <w:r w:rsidRPr="000A0B2B">
              <w:rPr>
                <w:sz w:val="20"/>
              </w:rPr>
              <w:t xml:space="preserve">with regard to matters of credibility. </w:t>
            </w:r>
            <w:r w:rsidR="005A49C9">
              <w:rPr>
                <w:sz w:val="20"/>
              </w:rPr>
              <w:t xml:space="preserve"> </w:t>
            </w:r>
            <w:r w:rsidRPr="000A0B2B">
              <w:rPr>
                <w:sz w:val="20"/>
              </w:rPr>
              <w:t>It is noteworthy that even the Evidence Act (Chapter 80)</w:t>
            </w:r>
            <w:r>
              <w:rPr>
                <w:sz w:val="20"/>
              </w:rPr>
              <w:t xml:space="preserve"> </w:t>
            </w:r>
            <w:r w:rsidRPr="000A0B2B">
              <w:rPr>
                <w:sz w:val="20"/>
              </w:rPr>
              <w:t>Laws of Kenya, has no provision on the issue of corroboration of the testimony of adult women</w:t>
            </w:r>
            <w:r>
              <w:rPr>
                <w:sz w:val="20"/>
              </w:rPr>
              <w:t xml:space="preserve"> </w:t>
            </w:r>
            <w:r w:rsidRPr="000A0B2B">
              <w:rPr>
                <w:sz w:val="20"/>
              </w:rPr>
              <w:t xml:space="preserve">and girls. </w:t>
            </w:r>
            <w:r w:rsidR="005A49C9">
              <w:rPr>
                <w:sz w:val="20"/>
              </w:rPr>
              <w:t xml:space="preserve"> …</w:t>
            </w:r>
          </w:p>
          <w:p w14:paraId="591B3673" w14:textId="5B10E723" w:rsidR="00E049F9" w:rsidRPr="006A3540" w:rsidRDefault="000A0B2B" w:rsidP="006A3540">
            <w:pPr>
              <w:spacing w:before="120"/>
              <w:ind w:left="284"/>
              <w:rPr>
                <w:sz w:val="20"/>
              </w:rPr>
            </w:pPr>
            <w:r w:rsidRPr="000A0B2B">
              <w:rPr>
                <w:sz w:val="20"/>
              </w:rPr>
              <w:t>For the foregoing reasons we think that the requirement for corroboration in sexual</w:t>
            </w:r>
            <w:r>
              <w:rPr>
                <w:sz w:val="20"/>
              </w:rPr>
              <w:t xml:space="preserve"> </w:t>
            </w:r>
            <w:r w:rsidRPr="000A0B2B">
              <w:rPr>
                <w:sz w:val="20"/>
              </w:rPr>
              <w:t>offences affecting adult women and girls is unconstitutional to the extent that the requirement is</w:t>
            </w:r>
            <w:r>
              <w:rPr>
                <w:sz w:val="20"/>
              </w:rPr>
              <w:t xml:space="preserve"> </w:t>
            </w:r>
            <w:r w:rsidRPr="000A0B2B">
              <w:rPr>
                <w:sz w:val="20"/>
              </w:rPr>
              <w:t>against them qua women or girls.</w:t>
            </w:r>
            <w:r w:rsidR="00E049F9" w:rsidRPr="006A3540">
              <w:rPr>
                <w:rStyle w:val="FootnoteReference"/>
                <w:sz w:val="20"/>
              </w:rPr>
              <w:footnoteReference w:id="109"/>
            </w:r>
          </w:p>
        </w:tc>
      </w:tr>
    </w:tbl>
    <w:p w14:paraId="5CA3D038" w14:textId="77777777" w:rsidR="00CE00D0" w:rsidRPr="00AF3075" w:rsidRDefault="00CE00D0" w:rsidP="00EE5B6E">
      <w:pPr>
        <w:spacing w:before="0" w:after="0"/>
      </w:pPr>
    </w:p>
    <w:tbl>
      <w:tblPr>
        <w:tblStyle w:val="TableGrid"/>
        <w:tblW w:w="0" w:type="auto"/>
        <w:tblLook w:val="04A0" w:firstRow="1" w:lastRow="0" w:firstColumn="1" w:lastColumn="0" w:noHBand="0" w:noVBand="1"/>
      </w:tblPr>
      <w:tblGrid>
        <w:gridCol w:w="8516"/>
      </w:tblGrid>
      <w:tr w:rsidR="00920E88" w:rsidRPr="00AF3075" w14:paraId="38373DA3" w14:textId="77777777" w:rsidTr="008033C0">
        <w:tc>
          <w:tcPr>
            <w:tcW w:w="8516" w:type="dxa"/>
            <w:tcBorders>
              <w:top w:val="nil"/>
              <w:left w:val="nil"/>
              <w:bottom w:val="nil"/>
              <w:right w:val="nil"/>
            </w:tcBorders>
            <w:shd w:val="clear" w:color="auto" w:fill="D3E5F6" w:themeFill="accent2" w:themeFillTint="33"/>
          </w:tcPr>
          <w:p w14:paraId="3B49EA37" w14:textId="758742F6" w:rsidR="00920E88" w:rsidRPr="00AF3075" w:rsidRDefault="00920E88" w:rsidP="006A3540">
            <w:pPr>
              <w:spacing w:before="120" w:after="120"/>
              <w:jc w:val="center"/>
              <w:rPr>
                <w:rStyle w:val="SubtleEmphasis"/>
              </w:rPr>
            </w:pPr>
            <w:r w:rsidRPr="00AF3075">
              <w:rPr>
                <w:rStyle w:val="SubtleEmphasis"/>
              </w:rPr>
              <w:t xml:space="preserve">CEDAW Committee </w:t>
            </w:r>
            <w:r w:rsidR="002975BD" w:rsidRPr="00AF3075">
              <w:rPr>
                <w:rStyle w:val="SubtleEmphasis"/>
              </w:rPr>
              <w:t>explain</w:t>
            </w:r>
            <w:r w:rsidR="002975BD">
              <w:rPr>
                <w:rStyle w:val="SubtleEmphasis"/>
              </w:rPr>
              <w:t>ed</w:t>
            </w:r>
            <w:r w:rsidR="002975BD" w:rsidRPr="00AF3075">
              <w:rPr>
                <w:rStyle w:val="SubtleEmphasis"/>
              </w:rPr>
              <w:t xml:space="preserve"> </w:t>
            </w:r>
            <w:r w:rsidRPr="00AF3075">
              <w:rPr>
                <w:rStyle w:val="SubtleEmphasis"/>
              </w:rPr>
              <w:t>the obligation to refrain from stereotyping in rape cases</w:t>
            </w:r>
          </w:p>
          <w:p w14:paraId="1DAB09DD" w14:textId="6120CC54" w:rsidR="00920E88" w:rsidRPr="00AF3075" w:rsidRDefault="00920E88" w:rsidP="006A3540">
            <w:pPr>
              <w:shd w:val="clear" w:color="auto" w:fill="D3E5F6" w:themeFill="accent2" w:themeFillTint="33"/>
              <w:spacing w:before="120" w:after="120"/>
              <w:rPr>
                <w:iCs/>
                <w:sz w:val="22"/>
              </w:rPr>
            </w:pPr>
            <w:r w:rsidRPr="00AF3075">
              <w:rPr>
                <w:i/>
                <w:iCs/>
                <w:sz w:val="22"/>
              </w:rPr>
              <w:t xml:space="preserve">R.P.B. v. </w:t>
            </w:r>
            <w:r w:rsidR="006C0570">
              <w:rPr>
                <w:i/>
                <w:iCs/>
                <w:sz w:val="22"/>
              </w:rPr>
              <w:t>T</w:t>
            </w:r>
            <w:r w:rsidR="006C0570" w:rsidRPr="00AF3075">
              <w:rPr>
                <w:i/>
                <w:iCs/>
                <w:sz w:val="22"/>
              </w:rPr>
              <w:t xml:space="preserve">he </w:t>
            </w:r>
            <w:r w:rsidRPr="00AF3075">
              <w:rPr>
                <w:i/>
                <w:iCs/>
                <w:sz w:val="22"/>
              </w:rPr>
              <w:t>Philippines</w:t>
            </w:r>
            <w:r w:rsidRPr="00AF3075">
              <w:rPr>
                <w:iCs/>
                <w:sz w:val="22"/>
              </w:rPr>
              <w:t xml:space="preserve"> concerned the rape in 2006 of R.P.B., a 17-year-old girl who is both deaf and mute.</w:t>
            </w:r>
            <w:r w:rsidRPr="00AF3075">
              <w:rPr>
                <w:vertAlign w:val="superscript"/>
              </w:rPr>
              <w:footnoteReference w:id="110"/>
            </w:r>
            <w:r w:rsidRPr="00AF3075">
              <w:rPr>
                <w:iCs/>
                <w:sz w:val="22"/>
              </w:rPr>
              <w:t xml:space="preserve">  In 2011, the Regional Trial Court of Pasig City acquitted J, her neighbour, of the rape. R.P.B. later submitted a communication to the CEDAW Committee.  In it, she claimed that the trial court discriminated against her, as it based the acquittal on stereotypes and myths and ignored evidence that explained her behaviour, including her disability and J’s physical strength.  In particular, she noted that the stereotypes and myths imposed peculiar evidentiary burdens on, and undermined the credibility of, women rape victims. ‘Those who satisfy the stereotypes,’ she said, ‘are considered credible, while the others are met with suspicion and disbelief, leading to the acquittal of the accused.’  </w:t>
            </w:r>
          </w:p>
          <w:p w14:paraId="45A61A82" w14:textId="77777777" w:rsidR="00920E88" w:rsidRPr="00AF3075" w:rsidRDefault="00920E88" w:rsidP="00136547">
            <w:pPr>
              <w:shd w:val="clear" w:color="auto" w:fill="D3E5F6" w:themeFill="accent2" w:themeFillTint="33"/>
              <w:spacing w:before="120" w:after="120"/>
              <w:rPr>
                <w:iCs/>
                <w:sz w:val="22"/>
              </w:rPr>
            </w:pPr>
            <w:r w:rsidRPr="00AF3075">
              <w:rPr>
                <w:iCs/>
                <w:sz w:val="22"/>
              </w:rPr>
              <w:t xml:space="preserve">In its views, the Committee concluded that the Philippines violated CEDAW when the trial court engaged in stereotyping, resulting in ‘material and moral damage and prejudice.’ After explaining how the trial court’s reliance on stereotypes led to the acquittal, the Committee outlined the obligations of States Parties concerning judicial stereotyping. According to its expert view: </w:t>
            </w:r>
          </w:p>
          <w:p w14:paraId="1053C20C" w14:textId="77777777" w:rsidR="00920E88" w:rsidRPr="00AF3075" w:rsidRDefault="00920E88" w:rsidP="00EE5B6E">
            <w:pPr>
              <w:pStyle w:val="ListParagraph"/>
              <w:numPr>
                <w:ilvl w:val="0"/>
                <w:numId w:val="21"/>
              </w:numPr>
              <w:spacing w:before="120" w:after="120"/>
              <w:rPr>
                <w:iCs/>
                <w:sz w:val="22"/>
              </w:rPr>
            </w:pPr>
            <w:r w:rsidRPr="00AF3075">
              <w:rPr>
                <w:iCs/>
                <w:sz w:val="22"/>
              </w:rPr>
              <w:t>article 2(f) of CEDAW requires States Parties to take appropriate measures to modify or abolish discriminatory customs and practices</w:t>
            </w:r>
          </w:p>
          <w:p w14:paraId="78481182" w14:textId="77777777" w:rsidR="00920E88" w:rsidRPr="00AF3075" w:rsidRDefault="00920E88" w:rsidP="00EE5B6E">
            <w:pPr>
              <w:pStyle w:val="ListParagraph"/>
              <w:numPr>
                <w:ilvl w:val="0"/>
                <w:numId w:val="21"/>
              </w:numPr>
              <w:spacing w:before="120" w:after="120"/>
              <w:rPr>
                <w:iCs/>
                <w:sz w:val="22"/>
              </w:rPr>
            </w:pPr>
            <w:r w:rsidRPr="00AF3075">
              <w:rPr>
                <w:iCs/>
                <w:sz w:val="22"/>
              </w:rPr>
              <w:t xml:space="preserve">States Parties are responsible for judicial decisions that violate CEDAW, including those based on stereotypes and myths </w:t>
            </w:r>
          </w:p>
          <w:p w14:paraId="7FD4AF8B" w14:textId="77777777" w:rsidR="00920E88" w:rsidRPr="00AF3075" w:rsidRDefault="00920E88" w:rsidP="00EE5B6E">
            <w:pPr>
              <w:pStyle w:val="ListParagraph"/>
              <w:numPr>
                <w:ilvl w:val="0"/>
                <w:numId w:val="21"/>
              </w:numPr>
              <w:spacing w:before="120" w:after="120"/>
              <w:rPr>
                <w:iCs/>
                <w:sz w:val="22"/>
              </w:rPr>
            </w:pPr>
            <w:r w:rsidRPr="00AF3075">
              <w:rPr>
                <w:iCs/>
                <w:sz w:val="22"/>
              </w:rPr>
              <w:t>‘there should be no assumption in law or in practice that a woman gives her consent because she has not physically resisted the unwanted sexual conduct’</w:t>
            </w:r>
          </w:p>
          <w:p w14:paraId="1D5F6980" w14:textId="787EF04C" w:rsidR="00920E88" w:rsidRPr="00AF3075" w:rsidRDefault="00920E88" w:rsidP="00EE5B6E">
            <w:pPr>
              <w:pStyle w:val="ListParagraph"/>
              <w:numPr>
                <w:ilvl w:val="0"/>
                <w:numId w:val="21"/>
              </w:numPr>
              <w:spacing w:before="120" w:after="120"/>
              <w:rPr>
                <w:iCs/>
                <w:sz w:val="22"/>
              </w:rPr>
            </w:pPr>
            <w:r w:rsidRPr="00AF3075">
              <w:rPr>
                <w:iCs/>
                <w:sz w:val="22"/>
              </w:rPr>
              <w:t>‘stereotyping affects women’s right to a fair and just trial and ... the judiciary must take caution not to create inflexible standards of what women or girls should be or what they should have done when confronted with a situation of rape based merely on preconceived notions of what defines a rape victim’</w:t>
            </w:r>
            <w:r w:rsidR="00E27C9F">
              <w:rPr>
                <w:iCs/>
                <w:sz w:val="22"/>
              </w:rPr>
              <w:t>.</w:t>
            </w:r>
          </w:p>
          <w:p w14:paraId="705F0CAB" w14:textId="77777777" w:rsidR="00920E88" w:rsidRPr="00AF3075" w:rsidRDefault="00920E88" w:rsidP="00EE5B6E">
            <w:pPr>
              <w:shd w:val="clear" w:color="auto" w:fill="D3E5F6" w:themeFill="accent2" w:themeFillTint="33"/>
              <w:spacing w:before="120" w:after="120"/>
              <w:rPr>
                <w:iCs/>
                <w:sz w:val="22"/>
              </w:rPr>
            </w:pPr>
            <w:r w:rsidRPr="00AF3075">
              <w:rPr>
                <w:iCs/>
                <w:sz w:val="22"/>
              </w:rPr>
              <w:t>The Committee also made a number of recommendations on stereotyping, including that the Philippines</w:t>
            </w:r>
          </w:p>
          <w:p w14:paraId="0975ECAB" w14:textId="77777777" w:rsidR="00920E88" w:rsidRPr="00AF3075" w:rsidRDefault="00920E88" w:rsidP="00EE5B6E">
            <w:pPr>
              <w:pStyle w:val="ListParagraph"/>
              <w:numPr>
                <w:ilvl w:val="0"/>
                <w:numId w:val="21"/>
              </w:numPr>
              <w:spacing w:before="120" w:after="120"/>
              <w:rPr>
                <w:iCs/>
                <w:sz w:val="22"/>
              </w:rPr>
            </w:pPr>
            <w:r w:rsidRPr="00AF3075">
              <w:rPr>
                <w:iCs/>
                <w:sz w:val="22"/>
              </w:rPr>
              <w:t xml:space="preserve">ensure all rape and sexual offences proceedings are conducted fairly and impartially and free from prejudices and stereotypes </w:t>
            </w:r>
          </w:p>
          <w:p w14:paraId="0C050902" w14:textId="77777777" w:rsidR="00920E88" w:rsidRPr="00AF3075" w:rsidRDefault="00920E88" w:rsidP="00EE5B6E">
            <w:pPr>
              <w:pStyle w:val="ListParagraph"/>
              <w:numPr>
                <w:ilvl w:val="0"/>
                <w:numId w:val="21"/>
              </w:numPr>
              <w:spacing w:before="120" w:after="120"/>
              <w:rPr>
                <w:rStyle w:val="SubtleEmphasis"/>
                <w:b w:val="0"/>
                <w:color w:val="auto"/>
              </w:rPr>
            </w:pPr>
            <w:proofErr w:type="gramStart"/>
            <w:r w:rsidRPr="00AF3075">
              <w:rPr>
                <w:iCs/>
                <w:sz w:val="22"/>
              </w:rPr>
              <w:t>provide</w:t>
            </w:r>
            <w:proofErr w:type="gramEnd"/>
            <w:r w:rsidRPr="00AF3075">
              <w:rPr>
                <w:iCs/>
                <w:sz w:val="22"/>
              </w:rPr>
              <w:t xml:space="preserve"> regular training for judges so that court proceedings and decisions are not affected by stereotypes and gender bias.</w:t>
            </w:r>
          </w:p>
        </w:tc>
      </w:tr>
      <w:bookmarkEnd w:id="30"/>
    </w:tbl>
    <w:p w14:paraId="673C86C5" w14:textId="77777777" w:rsidR="00FA4FB5" w:rsidRDefault="00FA4FB5" w:rsidP="006A3540">
      <w:pPr>
        <w:spacing w:before="0" w:after="0"/>
      </w:pPr>
    </w:p>
    <w:tbl>
      <w:tblPr>
        <w:tblStyle w:val="TableGrid"/>
        <w:tblW w:w="0" w:type="auto"/>
        <w:tblLook w:val="04A0" w:firstRow="1" w:lastRow="0" w:firstColumn="1" w:lastColumn="0" w:noHBand="0" w:noVBand="1"/>
      </w:tblPr>
      <w:tblGrid>
        <w:gridCol w:w="8516"/>
      </w:tblGrid>
      <w:tr w:rsidR="00FA4FB5" w:rsidRPr="00AF3075" w14:paraId="1CAAA26B" w14:textId="77777777" w:rsidTr="006C3E39">
        <w:tc>
          <w:tcPr>
            <w:tcW w:w="8516" w:type="dxa"/>
            <w:tcBorders>
              <w:top w:val="nil"/>
              <w:left w:val="nil"/>
              <w:bottom w:val="nil"/>
              <w:right w:val="nil"/>
            </w:tcBorders>
            <w:shd w:val="clear" w:color="auto" w:fill="D3E5F6" w:themeFill="accent2" w:themeFillTint="33"/>
          </w:tcPr>
          <w:p w14:paraId="6C9A2952" w14:textId="73901C37" w:rsidR="00FA4FB5" w:rsidRPr="008277C1" w:rsidRDefault="002975BD" w:rsidP="006A3540">
            <w:pPr>
              <w:shd w:val="clear" w:color="auto" w:fill="D3E5F6" w:themeFill="accent2" w:themeFillTint="33"/>
              <w:spacing w:before="120" w:after="120"/>
              <w:jc w:val="center"/>
              <w:rPr>
                <w:rStyle w:val="SubtleEmphasis"/>
              </w:rPr>
            </w:pPr>
            <w:r>
              <w:rPr>
                <w:rStyle w:val="SubtleEmphasis"/>
              </w:rPr>
              <w:t xml:space="preserve">Indian Supreme Court challenged the stereotype that women should be chaste and the implication that an unchaste woman has a propensity to consent, and must have consented, to sex </w:t>
            </w:r>
          </w:p>
          <w:p w14:paraId="47C99D76" w14:textId="28CCE005" w:rsidR="00FA4FB5" w:rsidRPr="006A3540" w:rsidRDefault="002975BD" w:rsidP="006A3540">
            <w:pPr>
              <w:spacing w:before="120" w:after="120"/>
              <w:rPr>
                <w:iCs/>
                <w:color w:val="000000" w:themeColor="text1"/>
                <w:sz w:val="20"/>
              </w:rPr>
            </w:pPr>
            <w:r>
              <w:rPr>
                <w:iCs/>
                <w:color w:val="000000" w:themeColor="text1"/>
                <w:sz w:val="20"/>
              </w:rPr>
              <w:t>‘The trial court not only erroneously disbelieved the prosecutrix, but quite uncharitably and unjustifiably even characterised her as a girl “of loose morals” or “such type of a girl”.</w:t>
            </w:r>
            <w:r w:rsidR="00512C5F">
              <w:rPr>
                <w:iCs/>
                <w:color w:val="000000" w:themeColor="text1"/>
                <w:sz w:val="20"/>
              </w:rPr>
              <w:t xml:space="preserve">  …  </w:t>
            </w:r>
            <w:r>
              <w:rPr>
                <w:iCs/>
                <w:color w:val="000000" w:themeColor="text1"/>
                <w:sz w:val="20"/>
              </w:rPr>
              <w:t>We must express our strong disapproval of the approach of the trial court and its casting a stigma on the character of the prosecutrix.  The observations lack sob</w:t>
            </w:r>
            <w:r w:rsidR="00512C5F">
              <w:rPr>
                <w:iCs/>
                <w:color w:val="000000" w:themeColor="text1"/>
                <w:sz w:val="20"/>
              </w:rPr>
              <w:t xml:space="preserve">riety expected of a judge. </w:t>
            </w:r>
            <w:r w:rsidR="00EE28C9">
              <w:rPr>
                <w:iCs/>
                <w:color w:val="000000" w:themeColor="text1"/>
                <w:sz w:val="20"/>
              </w:rPr>
              <w:t xml:space="preserve"> …  </w:t>
            </w:r>
            <w:r w:rsidR="00512C5F">
              <w:rPr>
                <w:iCs/>
                <w:color w:val="000000" w:themeColor="text1"/>
                <w:sz w:val="20"/>
              </w:rPr>
              <w:t xml:space="preserve">The courts are expected to use self-restraint while recording such findings which have larger repercussions so far as the future of the victim of the sex crime is concerned and even wider implications on the society as a whole – where the victim of crime is discouraged – the criminal encouraged and in turn crime gets rewarded!  </w:t>
            </w:r>
            <w:r w:rsidR="00976F3A">
              <w:rPr>
                <w:iCs/>
                <w:color w:val="000000" w:themeColor="text1"/>
                <w:sz w:val="20"/>
              </w:rPr>
              <w:t xml:space="preserve">…  </w:t>
            </w:r>
            <w:r w:rsidR="00512C5F">
              <w:rPr>
                <w:iCs/>
                <w:color w:val="000000" w:themeColor="text1"/>
                <w:sz w:val="20"/>
              </w:rPr>
              <w:t>Even if the prosecutrix, in a given case, has been promiscuous in her sexual behaviour earlier, she has a right to refuse to submit herself to sexual intercourse to anyone and everyone because she is not a vulnerable object or prey for being sexually assaulted by anyone had everyone.  No stigma, like the one as cast in the present case should be cast against such a witness by the courts, for after all it is the accused and not the victim of sex crime who is on trial in the Court’.</w:t>
            </w:r>
            <w:r w:rsidR="00FA4FB5" w:rsidRPr="006A3540">
              <w:rPr>
                <w:iCs/>
                <w:color w:val="000000" w:themeColor="text1"/>
                <w:sz w:val="20"/>
                <w:vertAlign w:val="superscript"/>
                <w:lang w:val="en-US"/>
              </w:rPr>
              <w:footnoteReference w:id="111"/>
            </w:r>
          </w:p>
        </w:tc>
      </w:tr>
    </w:tbl>
    <w:p w14:paraId="7B3D58B6" w14:textId="4DEDC4E5" w:rsidR="00B4550C" w:rsidRPr="00AF3075" w:rsidRDefault="00D510D5" w:rsidP="007C2B3F">
      <w:pPr>
        <w:pStyle w:val="Heading2"/>
        <w:ind w:left="0" w:firstLine="0"/>
        <w:rPr>
          <w:rFonts w:ascii="Candara" w:hAnsi="Candara"/>
        </w:rPr>
      </w:pPr>
      <w:bookmarkStart w:id="31" w:name="_Toc263972401"/>
      <w:r w:rsidRPr="00AF3075">
        <w:rPr>
          <w:rFonts w:ascii="Candara" w:hAnsi="Candara"/>
        </w:rPr>
        <w:t>5</w:t>
      </w:r>
      <w:r w:rsidR="007C2B3F" w:rsidRPr="00AF3075">
        <w:rPr>
          <w:rFonts w:ascii="Candara" w:hAnsi="Candara"/>
        </w:rPr>
        <w:t xml:space="preserve">.6 </w:t>
      </w:r>
      <w:r w:rsidR="00B4550C" w:rsidRPr="00AF3075">
        <w:rPr>
          <w:rFonts w:ascii="Candara" w:hAnsi="Candara"/>
        </w:rPr>
        <w:t>Improve judicial capacity</w:t>
      </w:r>
      <w:bookmarkEnd w:id="31"/>
    </w:p>
    <w:bookmarkEnd w:id="24"/>
    <w:p w14:paraId="2476FFDC" w14:textId="09326673" w:rsidR="003A58D7" w:rsidRPr="00AF3075" w:rsidRDefault="00444E05" w:rsidP="00A66362">
      <w:pPr>
        <w:rPr>
          <w:highlight w:val="yellow"/>
        </w:rPr>
      </w:pPr>
      <w:r w:rsidRPr="00AF3075">
        <w:t xml:space="preserve">Education and training is key to building capacity to address </w:t>
      </w:r>
      <w:r w:rsidR="007902C6" w:rsidRPr="00AF3075">
        <w:t xml:space="preserve">judicial </w:t>
      </w:r>
      <w:r w:rsidRPr="00AF3075">
        <w:t>stereotyping</w:t>
      </w:r>
      <w:r w:rsidR="00370223" w:rsidRPr="00AF3075">
        <w:t xml:space="preserve"> and ensur</w:t>
      </w:r>
      <w:r w:rsidR="0035500C" w:rsidRPr="00AF3075">
        <w:t>ing</w:t>
      </w:r>
      <w:r w:rsidR="00370223" w:rsidRPr="00AF3075">
        <w:t xml:space="preserve"> decision-making</w:t>
      </w:r>
      <w:r w:rsidR="007902C6" w:rsidRPr="00AF3075">
        <w:t xml:space="preserve"> is not adversely affected by </w:t>
      </w:r>
      <w:r w:rsidR="0035500C" w:rsidRPr="00AF3075">
        <w:t xml:space="preserve">harmful </w:t>
      </w:r>
      <w:r w:rsidR="007902C6" w:rsidRPr="00AF3075">
        <w:t>stereotyp</w:t>
      </w:r>
      <w:r w:rsidR="0035500C" w:rsidRPr="00AF3075">
        <w:t>es</w:t>
      </w:r>
      <w:r w:rsidRPr="00AF3075">
        <w:t xml:space="preserve">. </w:t>
      </w:r>
      <w:r w:rsidR="006B01F0" w:rsidRPr="00AF3075">
        <w:t>For instance, t</w:t>
      </w:r>
      <w:r w:rsidRPr="00AF3075">
        <w:t xml:space="preserve">he UN Special Rapporteur on the independence of judges and lawyers has </w:t>
      </w:r>
      <w:r w:rsidR="006B01F0" w:rsidRPr="00AF3075">
        <w:t xml:space="preserve">recognised </w:t>
      </w:r>
      <w:r w:rsidRPr="00AF3075">
        <w:t xml:space="preserve">that </w:t>
      </w:r>
      <w:r w:rsidR="00370223" w:rsidRPr="00AF3075">
        <w:t>‘</w:t>
      </w:r>
      <w:r w:rsidRPr="00AF3075">
        <w:t>development of training and continuing legal education programmes</w:t>
      </w:r>
      <w:r w:rsidR="00370223" w:rsidRPr="00AF3075">
        <w:t xml:space="preserve"> … </w:t>
      </w:r>
      <w:r w:rsidRPr="00AF3075">
        <w:t>is the cornerstone for developing the capacity of the judiciary to challenge gender stereotypes within and outsid</w:t>
      </w:r>
      <w:r w:rsidR="00370223" w:rsidRPr="00AF3075">
        <w:t>e the criminal judicial system…’</w:t>
      </w:r>
      <w:r w:rsidR="00AF38E1">
        <w:t>.</w:t>
      </w:r>
      <w:r w:rsidR="007742B6" w:rsidRPr="00AF3075">
        <w:rPr>
          <w:rStyle w:val="FootnoteReference"/>
        </w:rPr>
        <w:footnoteReference w:id="112"/>
      </w:r>
      <w:r w:rsidR="00E47E6B" w:rsidRPr="00AF3075">
        <w:t xml:space="preserve">  </w:t>
      </w:r>
    </w:p>
    <w:p w14:paraId="0A9F2150" w14:textId="63A6E4FB" w:rsidR="00561E9F" w:rsidRPr="00AF3075" w:rsidRDefault="00A564BB" w:rsidP="00A0070A">
      <w:r w:rsidRPr="00AF3075">
        <w:t xml:space="preserve">Education and training may come in </w:t>
      </w:r>
      <w:r w:rsidR="00A81E42" w:rsidRPr="00AF3075">
        <w:t>many</w:t>
      </w:r>
      <w:r w:rsidRPr="00AF3075">
        <w:t xml:space="preserve"> forms, including</w:t>
      </w:r>
      <w:r w:rsidR="00256C8F" w:rsidRPr="00AF3075">
        <w:t xml:space="preserve"> </w:t>
      </w:r>
      <w:r w:rsidRPr="00AF3075">
        <w:t>seminars</w:t>
      </w:r>
      <w:r w:rsidR="007902C6" w:rsidRPr="00AF3075">
        <w:t xml:space="preserve"> and </w:t>
      </w:r>
      <w:r w:rsidRPr="00AF3075">
        <w:t>written resources</w:t>
      </w:r>
      <w:r w:rsidR="007902C6" w:rsidRPr="00AF3075">
        <w:t xml:space="preserve"> (eg </w:t>
      </w:r>
      <w:r w:rsidRPr="00AF3075">
        <w:t>bench books</w:t>
      </w:r>
      <w:r w:rsidR="007902C6" w:rsidRPr="00AF3075">
        <w:t>)</w:t>
      </w:r>
      <w:r w:rsidR="00BE642D" w:rsidRPr="00AF3075">
        <w:t>.</w:t>
      </w:r>
      <w:r w:rsidRPr="00AF3075">
        <w:t xml:space="preserve"> </w:t>
      </w:r>
      <w:r w:rsidR="007902C6" w:rsidRPr="00AF3075">
        <w:t xml:space="preserve"> </w:t>
      </w:r>
      <w:r w:rsidR="00256C8F" w:rsidRPr="00AF3075">
        <w:t>Whatever the form,</w:t>
      </w:r>
      <w:r w:rsidR="00A81E42" w:rsidRPr="00AF3075">
        <w:t xml:space="preserve"> they</w:t>
      </w:r>
      <w:r w:rsidR="00256C8F" w:rsidRPr="00AF3075">
        <w:t xml:space="preserve"> should assist judges to achieve best practice in decisions on gender-based violence. </w:t>
      </w:r>
      <w:r w:rsidR="001A60A8" w:rsidRPr="00AF3075">
        <w:t xml:space="preserve"> </w:t>
      </w:r>
      <w:r w:rsidR="00256C8F" w:rsidRPr="00AF3075">
        <w:t>At a minimum, this will require</w:t>
      </w:r>
      <w:r w:rsidR="0077727F" w:rsidRPr="00AF3075">
        <w:t xml:space="preserve"> information </w:t>
      </w:r>
      <w:r w:rsidR="00A0070A" w:rsidRPr="00AF3075">
        <w:t xml:space="preserve">to </w:t>
      </w:r>
      <w:r w:rsidR="00A81E42" w:rsidRPr="00AF3075">
        <w:t xml:space="preserve">help </w:t>
      </w:r>
      <w:r w:rsidR="007902C6" w:rsidRPr="00AF3075">
        <w:t>judges</w:t>
      </w:r>
      <w:r w:rsidR="00A0070A" w:rsidRPr="00AF3075">
        <w:t xml:space="preserve">: </w:t>
      </w:r>
    </w:p>
    <w:p w14:paraId="451A099B" w14:textId="23721359" w:rsidR="00A0070A" w:rsidRPr="00AF3075" w:rsidRDefault="007902C6" w:rsidP="00AC1561">
      <w:pPr>
        <w:pStyle w:val="ListParagraph"/>
        <w:numPr>
          <w:ilvl w:val="0"/>
          <w:numId w:val="27"/>
        </w:numPr>
        <w:spacing w:before="120" w:after="120"/>
        <w:ind w:left="567"/>
        <w:rPr>
          <w:i/>
          <w:iCs/>
          <w:color w:val="000000" w:themeColor="text1"/>
        </w:rPr>
      </w:pPr>
      <w:r w:rsidRPr="00AF3075">
        <w:t xml:space="preserve">reach </w:t>
      </w:r>
      <w:r w:rsidR="00A0070A" w:rsidRPr="00AF3075">
        <w:t xml:space="preserve">decisions </w:t>
      </w:r>
      <w:r w:rsidRPr="00AF3075">
        <w:t xml:space="preserve">based </w:t>
      </w:r>
      <w:r w:rsidR="00A0070A" w:rsidRPr="00AF3075">
        <w:t xml:space="preserve">on law and fact and not on stereotypes </w:t>
      </w:r>
    </w:p>
    <w:p w14:paraId="623A0225" w14:textId="59A0100D" w:rsidR="00A0070A" w:rsidRPr="00AF3075" w:rsidRDefault="00A0070A" w:rsidP="00AC1561">
      <w:pPr>
        <w:pStyle w:val="ListParagraph"/>
        <w:numPr>
          <w:ilvl w:val="0"/>
          <w:numId w:val="27"/>
        </w:numPr>
        <w:spacing w:before="120" w:after="120"/>
        <w:ind w:left="567"/>
        <w:rPr>
          <w:i/>
          <w:iCs/>
          <w:color w:val="000000" w:themeColor="text1"/>
        </w:rPr>
      </w:pPr>
      <w:r w:rsidRPr="00AF3075">
        <w:t>identify stereotyp</w:t>
      </w:r>
      <w:r w:rsidR="00A81E42" w:rsidRPr="00AF3075">
        <w:t>ing</w:t>
      </w:r>
      <w:r w:rsidRPr="00AF3075">
        <w:t xml:space="preserve"> and </w:t>
      </w:r>
      <w:r w:rsidR="00A81E42" w:rsidRPr="00AF3075">
        <w:t>operative stereotypes</w:t>
      </w:r>
      <w:r w:rsidRPr="00AF3075">
        <w:t>, for example in the reasoning of lower</w:t>
      </w:r>
      <w:r w:rsidR="00A81E42" w:rsidRPr="00AF3075">
        <w:t xml:space="preserve"> courts</w:t>
      </w:r>
      <w:r w:rsidRPr="00AF3075">
        <w:t xml:space="preserve"> or in </w:t>
      </w:r>
      <w:r w:rsidR="007902C6" w:rsidRPr="00AF3075">
        <w:t xml:space="preserve">the </w:t>
      </w:r>
      <w:r w:rsidRPr="00AF3075">
        <w:t xml:space="preserve">arguments advanced </w:t>
      </w:r>
      <w:r w:rsidR="00A81E42" w:rsidRPr="00AF3075">
        <w:t>by counsel</w:t>
      </w:r>
    </w:p>
    <w:p w14:paraId="530A90E3" w14:textId="16971A49" w:rsidR="00A0070A" w:rsidRPr="00AF3075" w:rsidRDefault="00A0070A" w:rsidP="00AC1561">
      <w:pPr>
        <w:pStyle w:val="ListParagraph"/>
        <w:numPr>
          <w:ilvl w:val="0"/>
          <w:numId w:val="27"/>
        </w:numPr>
        <w:spacing w:before="120" w:after="120"/>
        <w:ind w:left="567"/>
        <w:rPr>
          <w:i/>
          <w:iCs/>
          <w:color w:val="000000" w:themeColor="text1"/>
        </w:rPr>
      </w:pPr>
      <w:r w:rsidRPr="00AF3075">
        <w:t>understand the harms caused by stereotypes and stereotyping, including how they undermine the ability of victims/survivors to access justice</w:t>
      </w:r>
    </w:p>
    <w:p w14:paraId="4AA99AD8" w14:textId="39679408" w:rsidR="00256C8F" w:rsidRPr="00044D25" w:rsidRDefault="00256C8F" w:rsidP="006E33B7">
      <w:pPr>
        <w:pStyle w:val="ListParagraph"/>
        <w:numPr>
          <w:ilvl w:val="0"/>
          <w:numId w:val="27"/>
        </w:numPr>
        <w:spacing w:before="120"/>
        <w:ind w:left="567"/>
        <w:rPr>
          <w:i/>
          <w:iCs/>
          <w:color w:val="000000" w:themeColor="text1"/>
        </w:rPr>
      </w:pPr>
      <w:proofErr w:type="gramStart"/>
      <w:r w:rsidRPr="00AF3075">
        <w:t>debunk</w:t>
      </w:r>
      <w:proofErr w:type="gramEnd"/>
      <w:r w:rsidRPr="00AF3075">
        <w:t xml:space="preserve"> </w:t>
      </w:r>
      <w:r w:rsidR="00A0070A" w:rsidRPr="00AF3075">
        <w:t>stereotypes related to gender-based violence</w:t>
      </w:r>
      <w:r w:rsidRPr="00AF3075">
        <w:t>.</w:t>
      </w:r>
    </w:p>
    <w:tbl>
      <w:tblPr>
        <w:tblStyle w:val="TableGrid"/>
        <w:tblW w:w="0" w:type="auto"/>
        <w:tblLook w:val="04A0" w:firstRow="1" w:lastRow="0" w:firstColumn="1" w:lastColumn="0" w:noHBand="0" w:noVBand="1"/>
      </w:tblPr>
      <w:tblGrid>
        <w:gridCol w:w="8516"/>
      </w:tblGrid>
      <w:tr w:rsidR="00044D25" w:rsidRPr="00AF3075" w14:paraId="73E277EA" w14:textId="77777777" w:rsidTr="002A0543">
        <w:tc>
          <w:tcPr>
            <w:tcW w:w="8516" w:type="dxa"/>
            <w:tcBorders>
              <w:top w:val="nil"/>
              <w:left w:val="nil"/>
              <w:bottom w:val="nil"/>
              <w:right w:val="nil"/>
            </w:tcBorders>
            <w:shd w:val="clear" w:color="auto" w:fill="D3E5F6" w:themeFill="accent2" w:themeFillTint="33"/>
          </w:tcPr>
          <w:p w14:paraId="289DCCD4" w14:textId="07D2F914" w:rsidR="00044D25" w:rsidRPr="00AF3075" w:rsidRDefault="002A0543" w:rsidP="00A66917">
            <w:pPr>
              <w:shd w:val="clear" w:color="auto" w:fill="D3E5F6" w:themeFill="accent2" w:themeFillTint="33"/>
              <w:spacing w:after="120"/>
              <w:jc w:val="center"/>
              <w:rPr>
                <w:rStyle w:val="SubtleEmphasis"/>
                <w:szCs w:val="22"/>
              </w:rPr>
            </w:pPr>
            <w:r>
              <w:rPr>
                <w:rStyle w:val="SubtleEmphasis"/>
                <w:szCs w:val="22"/>
              </w:rPr>
              <w:t xml:space="preserve">Judges must debunk myths and stereotypes and </w:t>
            </w:r>
            <w:r w:rsidR="002D2AAA">
              <w:rPr>
                <w:rStyle w:val="SubtleEmphasis"/>
                <w:szCs w:val="22"/>
              </w:rPr>
              <w:t xml:space="preserve">expose and </w:t>
            </w:r>
            <w:r>
              <w:rPr>
                <w:rStyle w:val="SubtleEmphasis"/>
                <w:szCs w:val="22"/>
              </w:rPr>
              <w:t>eradicate their ideological and cultural foundations</w:t>
            </w:r>
          </w:p>
          <w:p w14:paraId="416FAA3B" w14:textId="605420A1" w:rsidR="00044D25" w:rsidRPr="00A66917" w:rsidRDefault="002A0543" w:rsidP="00A66917">
            <w:pPr>
              <w:spacing w:before="120" w:after="120"/>
              <w:rPr>
                <w:sz w:val="20"/>
                <w:szCs w:val="20"/>
              </w:rPr>
            </w:pPr>
            <w:r w:rsidRPr="00A66917">
              <w:rPr>
                <w:sz w:val="20"/>
                <w:szCs w:val="20"/>
              </w:rPr>
              <w:t>‘[E]</w:t>
            </w:r>
            <w:proofErr w:type="spellStart"/>
            <w:r w:rsidR="00044D25" w:rsidRPr="00A66917">
              <w:rPr>
                <w:sz w:val="20"/>
                <w:szCs w:val="20"/>
              </w:rPr>
              <w:t>ven</w:t>
            </w:r>
            <w:proofErr w:type="spellEnd"/>
            <w:r w:rsidR="00044D25" w:rsidRPr="00A66917">
              <w:rPr>
                <w:sz w:val="20"/>
                <w:szCs w:val="20"/>
              </w:rPr>
              <w:t xml:space="preserve"> the notoriously cautious courts are beginning to recognize that it is imperative that all jurists go beyond myths and stereotypes in order to ensure that justice is done – we need to “debunk” these myths. </w:t>
            </w:r>
            <w:r w:rsidRPr="00A66917">
              <w:rPr>
                <w:sz w:val="20"/>
                <w:szCs w:val="20"/>
              </w:rPr>
              <w:t xml:space="preserve"> </w:t>
            </w:r>
            <w:r w:rsidR="00044D25" w:rsidRPr="00A66917">
              <w:rPr>
                <w:sz w:val="20"/>
                <w:szCs w:val="20"/>
              </w:rPr>
              <w:t>Debunking is more than simply being able to recognize myths and stereotypes.  It is about exposing the ideological and cultural foundations of the myths and stereotypes prevalent in each culture and eradicating these fictions from the reasoning of all those who interpret our general culture, and, in particular, those in positions of power who contribute to their reinforcement’.</w:t>
            </w:r>
            <w:r w:rsidR="00044D25" w:rsidRPr="00A66917">
              <w:rPr>
                <w:rStyle w:val="FootnoteReference"/>
                <w:iCs/>
                <w:sz w:val="20"/>
                <w:szCs w:val="20"/>
              </w:rPr>
              <w:footnoteReference w:id="113"/>
            </w:r>
            <w:r w:rsidR="00044D25" w:rsidRPr="00A66917">
              <w:rPr>
                <w:sz w:val="20"/>
                <w:szCs w:val="20"/>
              </w:rPr>
              <w:t xml:space="preserve">   </w:t>
            </w:r>
          </w:p>
        </w:tc>
      </w:tr>
    </w:tbl>
    <w:p w14:paraId="029E362F" w14:textId="37C2EF5B" w:rsidR="00256C8F" w:rsidRPr="00AF3075" w:rsidRDefault="00256C8F" w:rsidP="00256C8F">
      <w:r w:rsidRPr="00AF3075">
        <w:t xml:space="preserve">Human rights advocates </w:t>
      </w:r>
      <w:r w:rsidR="00A0070A" w:rsidRPr="00AF3075">
        <w:t xml:space="preserve">can </w:t>
      </w:r>
      <w:r w:rsidR="00B02F50" w:rsidRPr="00AF3075">
        <w:t>play an important role in building judicial capacity to address stereotyping</w:t>
      </w:r>
      <w:r w:rsidR="00B20AA0" w:rsidRPr="00AF3075">
        <w:t>.  This might include</w:t>
      </w:r>
      <w:r w:rsidR="00B02F50" w:rsidRPr="00AF3075">
        <w:t xml:space="preserve"> </w:t>
      </w:r>
      <w:r w:rsidR="00B20AA0" w:rsidRPr="00AF3075">
        <w:t>working with key bodies</w:t>
      </w:r>
      <w:r w:rsidR="007902C6" w:rsidRPr="00AF3075">
        <w:t xml:space="preserve"> (eg </w:t>
      </w:r>
      <w:r w:rsidR="00A0070A" w:rsidRPr="00AF3075">
        <w:t>judicial colleges</w:t>
      </w:r>
      <w:r w:rsidR="007902C6" w:rsidRPr="00AF3075">
        <w:t>)</w:t>
      </w:r>
      <w:r w:rsidR="00B20AA0" w:rsidRPr="00AF3075">
        <w:t xml:space="preserve"> that provide education and training to judges. It might also include conducting their own </w:t>
      </w:r>
      <w:r w:rsidR="00A0070A" w:rsidRPr="00AF3075">
        <w:t xml:space="preserve">education and training programmes </w:t>
      </w:r>
      <w:r w:rsidR="00B32DC3" w:rsidRPr="00AF3075">
        <w:t xml:space="preserve">for the legal profession </w:t>
      </w:r>
      <w:r w:rsidR="00A0070A" w:rsidRPr="00AF3075">
        <w:t xml:space="preserve">and </w:t>
      </w:r>
      <w:r w:rsidR="00B20AA0" w:rsidRPr="00AF3075">
        <w:t xml:space="preserve">disseminating their own </w:t>
      </w:r>
      <w:r w:rsidR="00A0070A" w:rsidRPr="00AF3075">
        <w:t>resources</w:t>
      </w:r>
      <w:r w:rsidR="00B20AA0" w:rsidRPr="00AF3075">
        <w:t xml:space="preserve"> on stereotyping</w:t>
      </w:r>
      <w:r w:rsidR="00580624">
        <w:t>, including good practice approaches</w:t>
      </w:r>
      <w:r w:rsidR="00A0070A" w:rsidRPr="00AF3075">
        <w:t>.</w:t>
      </w:r>
      <w:r w:rsidR="00580624">
        <w:rPr>
          <w:rStyle w:val="FootnoteReference"/>
        </w:rPr>
        <w:footnoteReference w:id="114"/>
      </w:r>
      <w:r w:rsidR="00A0070A" w:rsidRPr="00AF3075">
        <w:t xml:space="preserve"> </w:t>
      </w:r>
    </w:p>
    <w:tbl>
      <w:tblPr>
        <w:tblStyle w:val="TableGrid"/>
        <w:tblW w:w="0" w:type="auto"/>
        <w:tblLook w:val="04A0" w:firstRow="1" w:lastRow="0" w:firstColumn="1" w:lastColumn="0" w:noHBand="0" w:noVBand="1"/>
      </w:tblPr>
      <w:tblGrid>
        <w:gridCol w:w="8516"/>
      </w:tblGrid>
      <w:tr w:rsidR="00C85396" w:rsidRPr="00AF3075" w14:paraId="35063AE7" w14:textId="77777777" w:rsidTr="00C85396">
        <w:tc>
          <w:tcPr>
            <w:tcW w:w="8516" w:type="dxa"/>
            <w:tcBorders>
              <w:top w:val="nil"/>
              <w:left w:val="nil"/>
              <w:bottom w:val="nil"/>
              <w:right w:val="nil"/>
            </w:tcBorders>
            <w:shd w:val="clear" w:color="auto" w:fill="D3E5F6" w:themeFill="accent2" w:themeFillTint="33"/>
          </w:tcPr>
          <w:p w14:paraId="7872702A" w14:textId="1F0D5813" w:rsidR="00C85396" w:rsidRPr="00AF3075" w:rsidRDefault="00614E4A" w:rsidP="00DB7696">
            <w:pPr>
              <w:shd w:val="clear" w:color="auto" w:fill="D3E5F6" w:themeFill="accent2" w:themeFillTint="33"/>
              <w:spacing w:after="120"/>
              <w:jc w:val="center"/>
              <w:rPr>
                <w:rStyle w:val="SubtleEmphasis"/>
                <w:b w:val="0"/>
                <w:color w:val="auto"/>
              </w:rPr>
            </w:pPr>
            <w:r>
              <w:rPr>
                <w:rStyle w:val="SubtleEmphasis"/>
              </w:rPr>
              <w:t>T</w:t>
            </w:r>
            <w:r w:rsidR="00C85396" w:rsidRPr="00AF3075">
              <w:rPr>
                <w:rStyle w:val="SubtleEmphasis"/>
              </w:rPr>
              <w:t>raining</w:t>
            </w:r>
            <w:r w:rsidR="007863AF" w:rsidRPr="00AF3075">
              <w:rPr>
                <w:rStyle w:val="SubtleEmphasis"/>
              </w:rPr>
              <w:t xml:space="preserve"> </w:t>
            </w:r>
            <w:r>
              <w:rPr>
                <w:rStyle w:val="SubtleEmphasis"/>
              </w:rPr>
              <w:t xml:space="preserve">and resources for the National Supreme Court of Justice in Mexico </w:t>
            </w:r>
            <w:r w:rsidR="00C85396" w:rsidRPr="00AF3075">
              <w:rPr>
                <w:rStyle w:val="SubtleEmphasis"/>
              </w:rPr>
              <w:t xml:space="preserve">help </w:t>
            </w:r>
            <w:r w:rsidR="00093F4E">
              <w:rPr>
                <w:rStyle w:val="SubtleEmphasis"/>
              </w:rPr>
              <w:br/>
            </w:r>
            <w:r w:rsidR="00C85396" w:rsidRPr="00AF3075">
              <w:rPr>
                <w:rStyle w:val="SubtleEmphasis"/>
              </w:rPr>
              <w:t xml:space="preserve">to </w:t>
            </w:r>
            <w:r>
              <w:rPr>
                <w:rStyle w:val="SubtleEmphasis"/>
              </w:rPr>
              <w:t xml:space="preserve">limit judicial </w:t>
            </w:r>
            <w:r w:rsidRPr="00AF3075">
              <w:rPr>
                <w:rStyle w:val="SubtleEmphasis"/>
              </w:rPr>
              <w:t>stereotyp</w:t>
            </w:r>
            <w:r>
              <w:rPr>
                <w:rStyle w:val="SubtleEmphasis"/>
              </w:rPr>
              <w:t>ing</w:t>
            </w:r>
          </w:p>
          <w:p w14:paraId="1196AF17" w14:textId="66E1E0F6" w:rsidR="00FA0B7C" w:rsidRDefault="006E33B7" w:rsidP="00DB7696">
            <w:pPr>
              <w:shd w:val="clear" w:color="auto" w:fill="D3E5F6" w:themeFill="accent2" w:themeFillTint="33"/>
              <w:spacing w:before="120" w:after="120"/>
              <w:rPr>
                <w:iCs/>
                <w:sz w:val="22"/>
              </w:rPr>
            </w:pPr>
            <w:r>
              <w:rPr>
                <w:iCs/>
                <w:sz w:val="22"/>
              </w:rPr>
              <w:t>T</w:t>
            </w:r>
            <w:r w:rsidRPr="006E33B7">
              <w:rPr>
                <w:iCs/>
                <w:sz w:val="22"/>
              </w:rPr>
              <w:t xml:space="preserve">he Gender Equality Unit </w:t>
            </w:r>
            <w:r w:rsidR="00FA0B7C">
              <w:rPr>
                <w:iCs/>
                <w:sz w:val="22"/>
              </w:rPr>
              <w:t xml:space="preserve">of </w:t>
            </w:r>
            <w:r w:rsidRPr="006E33B7">
              <w:rPr>
                <w:iCs/>
                <w:sz w:val="22"/>
              </w:rPr>
              <w:t xml:space="preserve">the National Supreme Court of Justice in Mexico </w:t>
            </w:r>
            <w:r>
              <w:rPr>
                <w:iCs/>
                <w:sz w:val="22"/>
              </w:rPr>
              <w:t>conducted a seminar on gender stereotyping, which was attended by members of the Mexican judiciary as well as academics and women’s human rights defenders</w:t>
            </w:r>
            <w:r w:rsidR="0049098E">
              <w:rPr>
                <w:iCs/>
                <w:sz w:val="22"/>
              </w:rPr>
              <w:t>.  The seminar</w:t>
            </w:r>
            <w:r>
              <w:rPr>
                <w:iCs/>
                <w:sz w:val="22"/>
              </w:rPr>
              <w:t xml:space="preserve"> </w:t>
            </w:r>
            <w:r w:rsidR="00FA0B7C">
              <w:rPr>
                <w:iCs/>
                <w:sz w:val="22"/>
              </w:rPr>
              <w:t xml:space="preserve">examined how </w:t>
            </w:r>
          </w:p>
          <w:p w14:paraId="7E8E485B" w14:textId="77777777" w:rsidR="00FA0B7C" w:rsidRPr="00DB7696" w:rsidRDefault="006E33B7" w:rsidP="00DB7696">
            <w:pPr>
              <w:pStyle w:val="ListParagraph"/>
              <w:numPr>
                <w:ilvl w:val="0"/>
                <w:numId w:val="24"/>
              </w:numPr>
              <w:spacing w:before="120" w:after="120"/>
              <w:rPr>
                <w:sz w:val="22"/>
                <w:szCs w:val="22"/>
              </w:rPr>
            </w:pPr>
            <w:r w:rsidRPr="00DB7696">
              <w:rPr>
                <w:iCs/>
                <w:sz w:val="22"/>
              </w:rPr>
              <w:t xml:space="preserve">stereotypes </w:t>
            </w:r>
            <w:r w:rsidR="00FA0B7C" w:rsidRPr="00DB7696">
              <w:rPr>
                <w:iCs/>
                <w:sz w:val="22"/>
              </w:rPr>
              <w:t xml:space="preserve">had </w:t>
            </w:r>
            <w:r w:rsidRPr="00DB7696">
              <w:rPr>
                <w:iCs/>
                <w:sz w:val="22"/>
              </w:rPr>
              <w:t xml:space="preserve">hindered women´s access to justice </w:t>
            </w:r>
            <w:r w:rsidR="00FA0B7C" w:rsidRPr="00DB7696">
              <w:rPr>
                <w:iCs/>
                <w:sz w:val="22"/>
              </w:rPr>
              <w:t>in several cases</w:t>
            </w:r>
          </w:p>
          <w:p w14:paraId="06D3322D" w14:textId="490DD8E2" w:rsidR="006E33B7" w:rsidRPr="00DB7696" w:rsidRDefault="00FA0B7C" w:rsidP="00DB7696">
            <w:pPr>
              <w:pStyle w:val="ListParagraph"/>
              <w:numPr>
                <w:ilvl w:val="0"/>
                <w:numId w:val="24"/>
              </w:numPr>
              <w:spacing w:before="120" w:after="120"/>
              <w:rPr>
                <w:sz w:val="22"/>
                <w:szCs w:val="22"/>
              </w:rPr>
            </w:pPr>
            <w:proofErr w:type="gramStart"/>
            <w:r w:rsidRPr="00DB7696">
              <w:rPr>
                <w:iCs/>
                <w:sz w:val="22"/>
              </w:rPr>
              <w:t>judges</w:t>
            </w:r>
            <w:proofErr w:type="gramEnd"/>
            <w:r w:rsidRPr="00DB7696">
              <w:rPr>
                <w:iCs/>
                <w:sz w:val="22"/>
              </w:rPr>
              <w:t xml:space="preserve"> could have </w:t>
            </w:r>
            <w:r>
              <w:rPr>
                <w:iCs/>
                <w:sz w:val="22"/>
              </w:rPr>
              <w:t xml:space="preserve">challenged </w:t>
            </w:r>
            <w:r w:rsidRPr="00DB7696">
              <w:rPr>
                <w:iCs/>
                <w:sz w:val="22"/>
              </w:rPr>
              <w:t>those stereotypes</w:t>
            </w:r>
            <w:r>
              <w:rPr>
                <w:iCs/>
                <w:sz w:val="22"/>
              </w:rPr>
              <w:t xml:space="preserve"> through their legal reasoning</w:t>
            </w:r>
            <w:r w:rsidR="006E33B7" w:rsidRPr="00DB7696">
              <w:rPr>
                <w:iCs/>
                <w:sz w:val="22"/>
              </w:rPr>
              <w:t xml:space="preserve">. </w:t>
            </w:r>
          </w:p>
          <w:p w14:paraId="169E5510" w14:textId="469725C4" w:rsidR="005F657C" w:rsidRDefault="00C97B8F" w:rsidP="00DB7696">
            <w:pPr>
              <w:shd w:val="clear" w:color="auto" w:fill="D3E5F6" w:themeFill="accent2" w:themeFillTint="33"/>
              <w:spacing w:before="120" w:after="120"/>
              <w:rPr>
                <w:iCs/>
                <w:sz w:val="22"/>
              </w:rPr>
            </w:pPr>
            <w:r>
              <w:rPr>
                <w:iCs/>
                <w:sz w:val="22"/>
              </w:rPr>
              <w:t xml:space="preserve">In 2013, the </w:t>
            </w:r>
            <w:r w:rsidR="00FA0B7C" w:rsidRPr="006E33B7">
              <w:rPr>
                <w:iCs/>
                <w:sz w:val="22"/>
              </w:rPr>
              <w:t xml:space="preserve">Gender Equality Unit </w:t>
            </w:r>
            <w:r>
              <w:rPr>
                <w:iCs/>
                <w:sz w:val="22"/>
              </w:rPr>
              <w:t xml:space="preserve">published </w:t>
            </w:r>
            <w:r w:rsidR="00912F38" w:rsidRPr="00CE08ED">
              <w:rPr>
                <w:iCs/>
                <w:sz w:val="22"/>
              </w:rPr>
              <w:t>a protocol</w:t>
            </w:r>
            <w:r w:rsidR="00912F38">
              <w:rPr>
                <w:iCs/>
                <w:sz w:val="22"/>
              </w:rPr>
              <w:t xml:space="preserve">, entitled </w:t>
            </w:r>
            <w:r w:rsidR="00FA0B7C">
              <w:rPr>
                <w:i/>
                <w:iCs/>
                <w:sz w:val="22"/>
              </w:rPr>
              <w:t>Judicial Decision-Making with a Gender Perspective</w:t>
            </w:r>
            <w:r w:rsidR="00912F38">
              <w:rPr>
                <w:i/>
                <w:iCs/>
                <w:sz w:val="22"/>
              </w:rPr>
              <w:t xml:space="preserve">. </w:t>
            </w:r>
            <w:r>
              <w:rPr>
                <w:iCs/>
                <w:sz w:val="22"/>
              </w:rPr>
              <w:t>Translated into English in 2014,</w:t>
            </w:r>
            <w:r>
              <w:rPr>
                <w:rStyle w:val="FootnoteReference"/>
                <w:iCs/>
                <w:sz w:val="22"/>
              </w:rPr>
              <w:footnoteReference w:id="115"/>
            </w:r>
            <w:r>
              <w:rPr>
                <w:iCs/>
                <w:sz w:val="22"/>
              </w:rPr>
              <w:t xml:space="preserve"> </w:t>
            </w:r>
            <w:r w:rsidR="00B705A5">
              <w:rPr>
                <w:iCs/>
                <w:sz w:val="22"/>
              </w:rPr>
              <w:t xml:space="preserve">it </w:t>
            </w:r>
            <w:r w:rsidR="005F657C">
              <w:rPr>
                <w:iCs/>
                <w:sz w:val="22"/>
              </w:rPr>
              <w:t>acknowledges that</w:t>
            </w:r>
          </w:p>
          <w:p w14:paraId="2E390E70" w14:textId="4F8EFB32" w:rsidR="005F657C" w:rsidRPr="00DB7696" w:rsidRDefault="005F657C" w:rsidP="00DB7696">
            <w:pPr>
              <w:shd w:val="clear" w:color="auto" w:fill="D3E5F6" w:themeFill="accent2" w:themeFillTint="33"/>
              <w:spacing w:before="120" w:after="120"/>
              <w:ind w:left="284"/>
              <w:rPr>
                <w:iCs/>
                <w:sz w:val="20"/>
              </w:rPr>
            </w:pPr>
            <w:proofErr w:type="gramStart"/>
            <w:r>
              <w:rPr>
                <w:iCs/>
                <w:sz w:val="20"/>
              </w:rPr>
              <w:t>stereotypes</w:t>
            </w:r>
            <w:proofErr w:type="gramEnd"/>
            <w:r>
              <w:rPr>
                <w:iCs/>
                <w:sz w:val="20"/>
              </w:rPr>
              <w:t xml:space="preserve"> permeate the work of courts and adjudicators.  Stereotypes can cause personnel to expect certain types of behavior from certain people involved in a case; they can cause us to believe that ‘neutral’ norms are non-discriminatory; and they can even influence the language that we use.  But when stereotypes infiltrate judicial decision-making, this is at odds with one of the law’s purposes – to redress instances of disproportionate distribution and exercise of power.  Judicial decisions are how those with legal power respond to asymmetrical power dynamics.  As such, judges have the potential to make those power asymmetries visible, and to reverse the effects of stereotype-based power structures that cause exclusion and marginalization. </w:t>
            </w:r>
          </w:p>
          <w:p w14:paraId="51938D2B" w14:textId="4CE03661" w:rsidR="006E33B7" w:rsidRPr="006E33B7" w:rsidRDefault="00D1415C" w:rsidP="00DB7696">
            <w:pPr>
              <w:shd w:val="clear" w:color="auto" w:fill="D3E5F6" w:themeFill="accent2" w:themeFillTint="33"/>
              <w:spacing w:before="120"/>
              <w:rPr>
                <w:iCs/>
                <w:sz w:val="22"/>
              </w:rPr>
            </w:pPr>
            <w:r>
              <w:rPr>
                <w:iCs/>
                <w:sz w:val="22"/>
              </w:rPr>
              <w:t xml:space="preserve">The protocol’s chapter on stereotyping </w:t>
            </w:r>
            <w:r w:rsidR="00912F38">
              <w:rPr>
                <w:iCs/>
                <w:sz w:val="22"/>
              </w:rPr>
              <w:t xml:space="preserve">provides </w:t>
            </w:r>
            <w:r>
              <w:rPr>
                <w:iCs/>
                <w:sz w:val="22"/>
              </w:rPr>
              <w:t xml:space="preserve">concrete </w:t>
            </w:r>
            <w:r w:rsidR="00C97B8F">
              <w:rPr>
                <w:iCs/>
                <w:sz w:val="22"/>
              </w:rPr>
              <w:t xml:space="preserve">guidance on how </w:t>
            </w:r>
            <w:r w:rsidR="00912F38">
              <w:rPr>
                <w:iCs/>
                <w:sz w:val="22"/>
              </w:rPr>
              <w:t xml:space="preserve">judges </w:t>
            </w:r>
            <w:r w:rsidR="008B2512">
              <w:rPr>
                <w:iCs/>
                <w:sz w:val="22"/>
              </w:rPr>
              <w:t xml:space="preserve">can </w:t>
            </w:r>
            <w:r w:rsidR="00C97B8F">
              <w:rPr>
                <w:iCs/>
                <w:sz w:val="22"/>
              </w:rPr>
              <w:t xml:space="preserve">identify stereotypes </w:t>
            </w:r>
            <w:r w:rsidR="008B2512">
              <w:rPr>
                <w:iCs/>
                <w:sz w:val="22"/>
              </w:rPr>
              <w:t>and avoid stereotyping in their legal reasoning.</w:t>
            </w:r>
            <w:r w:rsidR="006A659F">
              <w:rPr>
                <w:iCs/>
                <w:sz w:val="22"/>
              </w:rPr>
              <w:t xml:space="preserve">  It also identifies examples of judicial stereotyping and outlines </w:t>
            </w:r>
            <w:r w:rsidR="00752DAA">
              <w:rPr>
                <w:iCs/>
                <w:sz w:val="22"/>
              </w:rPr>
              <w:t xml:space="preserve">the </w:t>
            </w:r>
            <w:r w:rsidR="006A659F">
              <w:rPr>
                <w:iCs/>
                <w:sz w:val="22"/>
              </w:rPr>
              <w:t xml:space="preserve">human rights obligations </w:t>
            </w:r>
            <w:r w:rsidR="00752DAA">
              <w:rPr>
                <w:iCs/>
                <w:sz w:val="22"/>
              </w:rPr>
              <w:t xml:space="preserve">imposed on judges </w:t>
            </w:r>
            <w:r w:rsidR="006A659F">
              <w:rPr>
                <w:iCs/>
                <w:sz w:val="22"/>
              </w:rPr>
              <w:t>to address stereotyping.</w:t>
            </w:r>
            <w:r w:rsidR="008B2512">
              <w:rPr>
                <w:iCs/>
                <w:sz w:val="22"/>
              </w:rPr>
              <w:t xml:space="preserve"> </w:t>
            </w:r>
            <w:r w:rsidR="00752DAA">
              <w:rPr>
                <w:iCs/>
                <w:sz w:val="22"/>
              </w:rPr>
              <w:t>T</w:t>
            </w:r>
            <w:r w:rsidR="006E33B7" w:rsidRPr="006E33B7">
              <w:rPr>
                <w:iCs/>
                <w:sz w:val="22"/>
              </w:rPr>
              <w:t xml:space="preserve">he </w:t>
            </w:r>
            <w:r w:rsidR="00752DAA">
              <w:rPr>
                <w:iCs/>
                <w:sz w:val="22"/>
              </w:rPr>
              <w:t xml:space="preserve">Unit is monitoring the </w:t>
            </w:r>
            <w:r w:rsidR="00B705A5">
              <w:rPr>
                <w:iCs/>
                <w:sz w:val="22"/>
              </w:rPr>
              <w:t xml:space="preserve">protocol’s </w:t>
            </w:r>
            <w:r w:rsidR="00752DAA">
              <w:rPr>
                <w:iCs/>
                <w:sz w:val="22"/>
              </w:rPr>
              <w:t xml:space="preserve">implementation </w:t>
            </w:r>
            <w:r w:rsidR="00B705A5">
              <w:rPr>
                <w:iCs/>
                <w:sz w:val="22"/>
              </w:rPr>
              <w:t xml:space="preserve">and, to </w:t>
            </w:r>
            <w:r w:rsidR="00752DAA">
              <w:rPr>
                <w:iCs/>
                <w:sz w:val="22"/>
              </w:rPr>
              <w:t xml:space="preserve">this end, has </w:t>
            </w:r>
            <w:r w:rsidR="006E33B7" w:rsidRPr="006E33B7">
              <w:rPr>
                <w:iCs/>
                <w:sz w:val="22"/>
              </w:rPr>
              <w:t xml:space="preserve">asked judges to </w:t>
            </w:r>
            <w:r w:rsidR="00752DAA">
              <w:rPr>
                <w:iCs/>
                <w:sz w:val="22"/>
              </w:rPr>
              <w:t xml:space="preserve">provide copies of </w:t>
            </w:r>
            <w:r w:rsidR="006E33B7" w:rsidRPr="006E33B7">
              <w:rPr>
                <w:iCs/>
                <w:sz w:val="22"/>
              </w:rPr>
              <w:t>decisions apply</w:t>
            </w:r>
            <w:r w:rsidR="00B705A5">
              <w:rPr>
                <w:iCs/>
                <w:sz w:val="22"/>
              </w:rPr>
              <w:t>ing</w:t>
            </w:r>
            <w:r w:rsidR="006E33B7" w:rsidRPr="006E33B7">
              <w:rPr>
                <w:iCs/>
                <w:sz w:val="22"/>
              </w:rPr>
              <w:t xml:space="preserve"> the </w:t>
            </w:r>
            <w:r w:rsidR="00752DAA">
              <w:rPr>
                <w:iCs/>
                <w:sz w:val="22"/>
              </w:rPr>
              <w:t>p</w:t>
            </w:r>
            <w:r w:rsidR="006E33B7" w:rsidRPr="006E33B7">
              <w:rPr>
                <w:iCs/>
                <w:sz w:val="22"/>
              </w:rPr>
              <w:t xml:space="preserve">rotocol. </w:t>
            </w:r>
            <w:r w:rsidR="00752DAA">
              <w:rPr>
                <w:iCs/>
                <w:sz w:val="22"/>
              </w:rPr>
              <w:t xml:space="preserve"> </w:t>
            </w:r>
          </w:p>
          <w:p w14:paraId="7F67E45B" w14:textId="62B18CF9" w:rsidR="00965A41" w:rsidRDefault="00B705A5" w:rsidP="00DB7696">
            <w:pPr>
              <w:shd w:val="clear" w:color="auto" w:fill="D3E5F6" w:themeFill="accent2" w:themeFillTint="33"/>
              <w:spacing w:after="120"/>
              <w:rPr>
                <w:iCs/>
                <w:sz w:val="22"/>
              </w:rPr>
            </w:pPr>
            <w:r>
              <w:rPr>
                <w:iCs/>
                <w:sz w:val="22"/>
              </w:rPr>
              <w:t xml:space="preserve">Building on the protocol, in 2014, </w:t>
            </w:r>
            <w:r w:rsidR="00752DAA">
              <w:rPr>
                <w:iCs/>
                <w:sz w:val="22"/>
              </w:rPr>
              <w:t>t</w:t>
            </w:r>
            <w:r w:rsidR="006E33B7" w:rsidRPr="006E33B7">
              <w:rPr>
                <w:iCs/>
                <w:sz w:val="22"/>
              </w:rPr>
              <w:t xml:space="preserve">he National Supreme Court of Justice </w:t>
            </w:r>
            <w:r w:rsidRPr="006E33B7">
              <w:rPr>
                <w:iCs/>
                <w:sz w:val="22"/>
              </w:rPr>
              <w:t xml:space="preserve">in Mexico </w:t>
            </w:r>
            <w:r w:rsidR="006E33B7" w:rsidRPr="006E33B7">
              <w:rPr>
                <w:iCs/>
                <w:sz w:val="22"/>
              </w:rPr>
              <w:t xml:space="preserve">issued a binding decision </w:t>
            </w:r>
            <w:r w:rsidR="00752DAA">
              <w:rPr>
                <w:iCs/>
                <w:sz w:val="22"/>
              </w:rPr>
              <w:t xml:space="preserve">– </w:t>
            </w:r>
            <w:proofErr w:type="spellStart"/>
            <w:r w:rsidR="00752DAA">
              <w:rPr>
                <w:i/>
                <w:iCs/>
                <w:sz w:val="22"/>
              </w:rPr>
              <w:t>Tesis</w:t>
            </w:r>
            <w:proofErr w:type="spellEnd"/>
            <w:r w:rsidR="00752DAA">
              <w:rPr>
                <w:i/>
                <w:iCs/>
                <w:sz w:val="22"/>
              </w:rPr>
              <w:t xml:space="preserve"> </w:t>
            </w:r>
            <w:proofErr w:type="spellStart"/>
            <w:r w:rsidR="00752DAA">
              <w:rPr>
                <w:i/>
                <w:iCs/>
                <w:sz w:val="22"/>
              </w:rPr>
              <w:t>Aislada</w:t>
            </w:r>
            <w:proofErr w:type="spellEnd"/>
            <w:r w:rsidR="00752DAA">
              <w:rPr>
                <w:i/>
                <w:iCs/>
                <w:sz w:val="22"/>
              </w:rPr>
              <w:t xml:space="preserve"> XCIX/2014 (</w:t>
            </w:r>
            <w:r w:rsidR="00752DAA" w:rsidRPr="00DB7696">
              <w:rPr>
                <w:iCs/>
                <w:sz w:val="22"/>
              </w:rPr>
              <w:t>10</w:t>
            </w:r>
            <w:r w:rsidR="00752DAA" w:rsidRPr="00DB7696">
              <w:rPr>
                <w:iCs/>
                <w:sz w:val="22"/>
                <w:vertAlign w:val="superscript"/>
              </w:rPr>
              <w:t>a</w:t>
            </w:r>
            <w:r w:rsidR="00752DAA">
              <w:rPr>
                <w:iCs/>
                <w:sz w:val="22"/>
              </w:rPr>
              <w:t>)</w:t>
            </w:r>
            <w:r w:rsidR="001A5267">
              <w:rPr>
                <w:rStyle w:val="FootnoteReference"/>
                <w:iCs/>
                <w:sz w:val="22"/>
              </w:rPr>
              <w:footnoteReference w:id="116"/>
            </w:r>
            <w:r w:rsidR="00752DAA">
              <w:rPr>
                <w:iCs/>
                <w:sz w:val="22"/>
              </w:rPr>
              <w:t xml:space="preserve"> – </w:t>
            </w:r>
            <w:r w:rsidR="006E33B7" w:rsidRPr="00752DAA">
              <w:rPr>
                <w:iCs/>
                <w:sz w:val="22"/>
              </w:rPr>
              <w:t>that</w:t>
            </w:r>
            <w:r w:rsidR="00965A41">
              <w:rPr>
                <w:iCs/>
                <w:sz w:val="22"/>
              </w:rPr>
              <w:t>:</w:t>
            </w:r>
          </w:p>
          <w:p w14:paraId="1FB6D35E" w14:textId="77777777" w:rsidR="009F33C9" w:rsidRPr="00DB7696" w:rsidRDefault="00965A41" w:rsidP="00DB7696">
            <w:pPr>
              <w:pStyle w:val="ListParagraph"/>
              <w:numPr>
                <w:ilvl w:val="0"/>
                <w:numId w:val="24"/>
              </w:numPr>
              <w:spacing w:before="120" w:after="120"/>
              <w:rPr>
                <w:sz w:val="22"/>
                <w:szCs w:val="22"/>
              </w:rPr>
            </w:pPr>
            <w:r w:rsidRPr="00DB7696">
              <w:rPr>
                <w:iCs/>
                <w:sz w:val="22"/>
              </w:rPr>
              <w:t>recognises women’s right</w:t>
            </w:r>
            <w:r w:rsidR="009F33C9">
              <w:rPr>
                <w:iCs/>
                <w:sz w:val="22"/>
              </w:rPr>
              <w:t>s</w:t>
            </w:r>
            <w:r w:rsidRPr="00DB7696">
              <w:rPr>
                <w:iCs/>
                <w:sz w:val="22"/>
              </w:rPr>
              <w:t xml:space="preserve"> to live free of violence and </w:t>
            </w:r>
            <w:r>
              <w:rPr>
                <w:iCs/>
                <w:sz w:val="22"/>
              </w:rPr>
              <w:t>discrimination</w:t>
            </w:r>
            <w:r w:rsidR="009F33C9">
              <w:rPr>
                <w:iCs/>
                <w:sz w:val="22"/>
              </w:rPr>
              <w:t xml:space="preserve"> and to equal access to justice </w:t>
            </w:r>
          </w:p>
          <w:p w14:paraId="50B7C4D0" w14:textId="69E59973" w:rsidR="00C6685B" w:rsidRPr="00DB7696" w:rsidRDefault="00752DAA" w:rsidP="00DB7696">
            <w:pPr>
              <w:pStyle w:val="ListParagraph"/>
              <w:numPr>
                <w:ilvl w:val="0"/>
                <w:numId w:val="24"/>
              </w:numPr>
              <w:spacing w:before="120"/>
              <w:rPr>
                <w:sz w:val="22"/>
                <w:szCs w:val="22"/>
              </w:rPr>
            </w:pPr>
            <w:proofErr w:type="gramStart"/>
            <w:r w:rsidRPr="00DB7696">
              <w:rPr>
                <w:iCs/>
                <w:sz w:val="22"/>
              </w:rPr>
              <w:t>requires</w:t>
            </w:r>
            <w:proofErr w:type="gramEnd"/>
            <w:r w:rsidRPr="00DB7696">
              <w:rPr>
                <w:iCs/>
                <w:sz w:val="22"/>
              </w:rPr>
              <w:t xml:space="preserve"> judges to incorporate a </w:t>
            </w:r>
            <w:r w:rsidR="006E33B7" w:rsidRPr="00DB7696">
              <w:rPr>
                <w:iCs/>
                <w:sz w:val="22"/>
              </w:rPr>
              <w:t xml:space="preserve">gender perspective </w:t>
            </w:r>
            <w:r w:rsidRPr="00DB7696">
              <w:rPr>
                <w:iCs/>
                <w:sz w:val="22"/>
              </w:rPr>
              <w:t>into their decision-making</w:t>
            </w:r>
            <w:r w:rsidR="009F33C9">
              <w:rPr>
                <w:iCs/>
                <w:sz w:val="22"/>
              </w:rPr>
              <w:t>, including by challenging gender stereotypes in laws</w:t>
            </w:r>
            <w:r w:rsidR="001A5267" w:rsidRPr="00DB7696">
              <w:rPr>
                <w:iCs/>
                <w:sz w:val="22"/>
              </w:rPr>
              <w:t>.</w:t>
            </w:r>
          </w:p>
        </w:tc>
      </w:tr>
    </w:tbl>
    <w:p w14:paraId="586FF751" w14:textId="0B1F594C" w:rsidR="002703A1" w:rsidRPr="00AF3075" w:rsidRDefault="002703A1" w:rsidP="00673CE9">
      <w:pPr>
        <w:spacing w:before="0" w:after="0"/>
      </w:pPr>
    </w:p>
    <w:tbl>
      <w:tblPr>
        <w:tblStyle w:val="TableGrid"/>
        <w:tblW w:w="0" w:type="auto"/>
        <w:tblLook w:val="04A0" w:firstRow="1" w:lastRow="0" w:firstColumn="1" w:lastColumn="0" w:noHBand="0" w:noVBand="1"/>
      </w:tblPr>
      <w:tblGrid>
        <w:gridCol w:w="8516"/>
      </w:tblGrid>
      <w:tr w:rsidR="002703A1" w:rsidRPr="00AF3075" w14:paraId="7B58FC89" w14:textId="77777777" w:rsidTr="00C85396">
        <w:tc>
          <w:tcPr>
            <w:tcW w:w="8516" w:type="dxa"/>
            <w:tcBorders>
              <w:top w:val="nil"/>
              <w:left w:val="nil"/>
              <w:bottom w:val="nil"/>
              <w:right w:val="nil"/>
            </w:tcBorders>
            <w:shd w:val="clear" w:color="auto" w:fill="D3E5F6" w:themeFill="accent2" w:themeFillTint="33"/>
          </w:tcPr>
          <w:p w14:paraId="5A6FB33E" w14:textId="77777777" w:rsidR="002703A1" w:rsidRPr="00AF3075" w:rsidRDefault="002703A1" w:rsidP="00C85396">
            <w:pPr>
              <w:shd w:val="clear" w:color="auto" w:fill="D3E5F6" w:themeFill="accent2" w:themeFillTint="33"/>
              <w:jc w:val="center"/>
              <w:rPr>
                <w:rStyle w:val="SubtleEmphasis"/>
                <w:szCs w:val="22"/>
              </w:rPr>
            </w:pPr>
            <w:r w:rsidRPr="00AF3075">
              <w:rPr>
                <w:rStyle w:val="SubtleEmphasis"/>
                <w:szCs w:val="22"/>
              </w:rPr>
              <w:t>U.K. bench book provides important guidance on judicial stereotyping</w:t>
            </w:r>
          </w:p>
          <w:p w14:paraId="0A3C430B" w14:textId="77777777" w:rsidR="002703A1" w:rsidRPr="00AF3075" w:rsidRDefault="002703A1" w:rsidP="00DB7696">
            <w:pPr>
              <w:spacing w:after="120"/>
              <w:rPr>
                <w:sz w:val="22"/>
                <w:szCs w:val="22"/>
              </w:rPr>
            </w:pPr>
            <w:r w:rsidRPr="00AF3075">
              <w:rPr>
                <w:sz w:val="22"/>
                <w:szCs w:val="22"/>
              </w:rPr>
              <w:t xml:space="preserve">In 2013, the U.K. Judicial College published its </w:t>
            </w:r>
            <w:r w:rsidRPr="00AF3075">
              <w:rPr>
                <w:i/>
                <w:sz w:val="22"/>
                <w:szCs w:val="22"/>
              </w:rPr>
              <w:t>Equal Treatment Bench Book</w:t>
            </w:r>
            <w:r w:rsidRPr="00AF3075">
              <w:rPr>
                <w:sz w:val="22"/>
                <w:szCs w:val="22"/>
              </w:rPr>
              <w:t>, which includes guidance for judges on gender and other forms of stereotyping.</w:t>
            </w:r>
            <w:r w:rsidRPr="00AF3075">
              <w:rPr>
                <w:rStyle w:val="FootnoteReference"/>
                <w:iCs/>
                <w:sz w:val="22"/>
                <w:szCs w:val="22"/>
              </w:rPr>
              <w:footnoteReference w:id="117"/>
            </w:r>
            <w:r w:rsidRPr="00AF3075">
              <w:rPr>
                <w:sz w:val="22"/>
                <w:szCs w:val="22"/>
              </w:rPr>
              <w:t xml:space="preserve">  Among other things, the bench book:</w:t>
            </w:r>
          </w:p>
          <w:p w14:paraId="44E4B797" w14:textId="658A98AE" w:rsidR="002703A1" w:rsidRPr="00AF3075" w:rsidRDefault="002703A1" w:rsidP="00C722B5">
            <w:pPr>
              <w:pStyle w:val="ListParagraph"/>
              <w:numPr>
                <w:ilvl w:val="0"/>
                <w:numId w:val="24"/>
              </w:numPr>
              <w:spacing w:before="120" w:after="120"/>
              <w:rPr>
                <w:sz w:val="22"/>
                <w:szCs w:val="22"/>
              </w:rPr>
            </w:pPr>
            <w:r w:rsidRPr="00AF3075">
              <w:rPr>
                <w:sz w:val="22"/>
                <w:szCs w:val="22"/>
              </w:rPr>
              <w:t>recognises that stereotypes can disadvantage women and lead to unlaw</w:t>
            </w:r>
            <w:r w:rsidR="005377C3" w:rsidRPr="00AF3075">
              <w:rPr>
                <w:sz w:val="22"/>
                <w:szCs w:val="22"/>
              </w:rPr>
              <w:t>ful discrimination against them</w:t>
            </w:r>
          </w:p>
          <w:p w14:paraId="1563F759" w14:textId="01FF8D33" w:rsidR="002703A1" w:rsidRPr="00AF3075" w:rsidRDefault="002703A1" w:rsidP="00C722B5">
            <w:pPr>
              <w:pStyle w:val="ListParagraph"/>
              <w:numPr>
                <w:ilvl w:val="0"/>
                <w:numId w:val="24"/>
              </w:numPr>
              <w:spacing w:before="120" w:after="120"/>
              <w:rPr>
                <w:sz w:val="22"/>
                <w:szCs w:val="22"/>
              </w:rPr>
            </w:pPr>
            <w:r w:rsidRPr="00AF3075">
              <w:rPr>
                <w:sz w:val="22"/>
                <w:szCs w:val="22"/>
              </w:rPr>
              <w:t xml:space="preserve">identifies common </w:t>
            </w:r>
            <w:r w:rsidR="005377C3" w:rsidRPr="00AF3075">
              <w:rPr>
                <w:sz w:val="22"/>
                <w:szCs w:val="22"/>
              </w:rPr>
              <w:t>stereotypes about women and men</w:t>
            </w:r>
          </w:p>
          <w:p w14:paraId="3714BC7E" w14:textId="368391B4" w:rsidR="002703A1" w:rsidRPr="00AF3075" w:rsidRDefault="00C722B5" w:rsidP="00C722B5">
            <w:pPr>
              <w:pStyle w:val="ListParagraph"/>
              <w:numPr>
                <w:ilvl w:val="0"/>
                <w:numId w:val="24"/>
              </w:numPr>
              <w:spacing w:before="120" w:after="120"/>
              <w:rPr>
                <w:sz w:val="22"/>
                <w:szCs w:val="22"/>
              </w:rPr>
            </w:pPr>
            <w:r w:rsidRPr="00AF3075">
              <w:rPr>
                <w:sz w:val="22"/>
                <w:szCs w:val="22"/>
              </w:rPr>
              <w:t>affirms</w:t>
            </w:r>
            <w:r w:rsidR="002703A1" w:rsidRPr="00AF3075">
              <w:rPr>
                <w:sz w:val="22"/>
                <w:szCs w:val="22"/>
              </w:rPr>
              <w:t xml:space="preserve"> that judges should not make stereotypical assumptions about women and men, even though certain assumptions may be true about many or event most women or men</w:t>
            </w:r>
            <w:r w:rsidR="005377C3" w:rsidRPr="00AF3075">
              <w:rPr>
                <w:sz w:val="22"/>
                <w:szCs w:val="22"/>
              </w:rPr>
              <w:t xml:space="preserve"> </w:t>
            </w:r>
          </w:p>
          <w:p w14:paraId="318FF93A" w14:textId="32853230" w:rsidR="002703A1" w:rsidRPr="00AF3075" w:rsidRDefault="002703A1">
            <w:pPr>
              <w:pStyle w:val="ListParagraph"/>
              <w:numPr>
                <w:ilvl w:val="0"/>
                <w:numId w:val="24"/>
              </w:numPr>
              <w:spacing w:before="120" w:after="120"/>
            </w:pPr>
            <w:proofErr w:type="gramStart"/>
            <w:r w:rsidRPr="00AF3075">
              <w:rPr>
                <w:sz w:val="22"/>
                <w:szCs w:val="22"/>
              </w:rPr>
              <w:t>provides</w:t>
            </w:r>
            <w:proofErr w:type="gramEnd"/>
            <w:r w:rsidRPr="00AF3075">
              <w:rPr>
                <w:sz w:val="22"/>
                <w:szCs w:val="22"/>
              </w:rPr>
              <w:t xml:space="preserve"> important data and information that help debunk stereotypes and myths related to gender-based against women, such as reasons why women may not leave violent partners or do not report gender-based violence immediately.</w:t>
            </w:r>
          </w:p>
        </w:tc>
      </w:tr>
    </w:tbl>
    <w:p w14:paraId="78D363A8" w14:textId="760853DA" w:rsidR="003C04DD" w:rsidRDefault="003C04DD" w:rsidP="000F5790">
      <w:pPr>
        <w:spacing w:before="0" w:after="0"/>
      </w:pPr>
    </w:p>
    <w:p w14:paraId="50236748" w14:textId="77777777" w:rsidR="006537DE" w:rsidRPr="00AF3075" w:rsidRDefault="006537DE" w:rsidP="006A3540"/>
    <w:sectPr w:rsidR="006537DE" w:rsidRPr="00AF3075" w:rsidSect="00CD337F">
      <w:endnotePr>
        <w:numFmt w:val="decimal"/>
        <w:numRestart w:val="eachSect"/>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F38B" w14:textId="77777777" w:rsidR="00235708" w:rsidRDefault="00235708" w:rsidP="00110F7D">
      <w:r>
        <w:separator/>
      </w:r>
    </w:p>
  </w:endnote>
  <w:endnote w:type="continuationSeparator" w:id="0">
    <w:p w14:paraId="3F3EC49B" w14:textId="77777777" w:rsidR="00235708" w:rsidRDefault="00235708" w:rsidP="001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2A6E" w14:textId="77777777" w:rsidR="001A5598" w:rsidRDefault="001A5598" w:rsidP="00CB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4A271" w14:textId="77777777" w:rsidR="001A5598" w:rsidRDefault="001A5598" w:rsidP="00110F7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C1892C8" w14:textId="77777777" w:rsidR="001A5598" w:rsidRDefault="001A5598" w:rsidP="00110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D766" w14:textId="77777777" w:rsidR="001A5598" w:rsidRPr="001030A6" w:rsidRDefault="001A5598" w:rsidP="00110F7D">
    <w:pPr>
      <w:pStyle w:val="Footer"/>
      <w:framePr w:wrap="around" w:vAnchor="text" w:hAnchor="margin" w:xAlign="right" w:y="1"/>
      <w:rPr>
        <w:rStyle w:val="PageNumber"/>
        <w:rFonts w:ascii="Calibri" w:hAnsi="Calibri"/>
        <w:sz w:val="20"/>
        <w:szCs w:val="20"/>
      </w:rPr>
    </w:pPr>
    <w:r w:rsidRPr="001030A6">
      <w:rPr>
        <w:rStyle w:val="PageNumber"/>
        <w:rFonts w:ascii="Calibri" w:hAnsi="Calibri"/>
        <w:sz w:val="20"/>
        <w:szCs w:val="20"/>
      </w:rPr>
      <w:fldChar w:fldCharType="begin"/>
    </w:r>
    <w:r w:rsidRPr="001030A6">
      <w:rPr>
        <w:rStyle w:val="PageNumber"/>
        <w:rFonts w:ascii="Calibri" w:hAnsi="Calibri"/>
        <w:sz w:val="20"/>
        <w:szCs w:val="20"/>
      </w:rPr>
      <w:instrText xml:space="preserve">PAGE  </w:instrText>
    </w:r>
    <w:r w:rsidRPr="001030A6">
      <w:rPr>
        <w:rStyle w:val="PageNumber"/>
        <w:rFonts w:ascii="Calibri" w:hAnsi="Calibri"/>
        <w:sz w:val="20"/>
        <w:szCs w:val="20"/>
      </w:rPr>
      <w:fldChar w:fldCharType="separate"/>
    </w:r>
    <w:r w:rsidR="00E7671D">
      <w:rPr>
        <w:rStyle w:val="PageNumber"/>
        <w:rFonts w:ascii="Calibri" w:hAnsi="Calibri"/>
        <w:noProof/>
        <w:sz w:val="20"/>
        <w:szCs w:val="20"/>
      </w:rPr>
      <w:t>ii</w:t>
    </w:r>
    <w:r w:rsidRPr="001030A6">
      <w:rPr>
        <w:rStyle w:val="PageNumber"/>
        <w:rFonts w:ascii="Calibri" w:hAnsi="Calibri"/>
        <w:sz w:val="20"/>
        <w:szCs w:val="20"/>
      </w:rPr>
      <w:fldChar w:fldCharType="end"/>
    </w:r>
  </w:p>
  <w:p w14:paraId="6EBF2E75" w14:textId="77777777" w:rsidR="001A5598" w:rsidRDefault="001A5598" w:rsidP="00110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0F817" w14:textId="77777777" w:rsidR="00235708" w:rsidRDefault="00235708" w:rsidP="00110F7D">
      <w:r>
        <w:separator/>
      </w:r>
    </w:p>
  </w:footnote>
  <w:footnote w:type="continuationSeparator" w:id="0">
    <w:p w14:paraId="2E416AC4" w14:textId="77777777" w:rsidR="00235708" w:rsidRDefault="00235708" w:rsidP="00110F7D">
      <w:r>
        <w:continuationSeparator/>
      </w:r>
    </w:p>
  </w:footnote>
  <w:footnote w:id="1">
    <w:p w14:paraId="50F84868" w14:textId="77777777" w:rsidR="001A5598" w:rsidRPr="006C3E39" w:rsidRDefault="001A5598" w:rsidP="00F91007">
      <w:pPr>
        <w:pStyle w:val="FootnoteText"/>
        <w:spacing w:after="120"/>
        <w:rPr>
          <w:sz w:val="18"/>
          <w:szCs w:val="18"/>
        </w:rPr>
      </w:pPr>
      <w:r w:rsidRPr="006C3E39">
        <w:rPr>
          <w:rStyle w:val="FootnoteReference"/>
          <w:sz w:val="18"/>
          <w:szCs w:val="18"/>
        </w:rPr>
        <w:footnoteRef/>
      </w:r>
      <w:r w:rsidRPr="006C3E39">
        <w:rPr>
          <w:sz w:val="18"/>
          <w:szCs w:val="18"/>
        </w:rPr>
        <w:t xml:space="preserve"> Committee on the Elimination of Discrimination against Women (</w:t>
      </w:r>
      <w:r w:rsidRPr="006C3E39">
        <w:rPr>
          <w:b/>
          <w:sz w:val="18"/>
          <w:szCs w:val="18"/>
        </w:rPr>
        <w:t>CEDAW Committee</w:t>
      </w:r>
      <w:r w:rsidRPr="006C3E39">
        <w:rPr>
          <w:sz w:val="18"/>
          <w:szCs w:val="18"/>
        </w:rPr>
        <w:t xml:space="preserve">), </w:t>
      </w:r>
      <w:r w:rsidRPr="006C3E39">
        <w:rPr>
          <w:i/>
          <w:sz w:val="18"/>
          <w:szCs w:val="18"/>
        </w:rPr>
        <w:t xml:space="preserve">Draft General Recommendation on Women’s Access to Justice </w:t>
      </w:r>
      <w:r w:rsidRPr="006C3E39">
        <w:rPr>
          <w:sz w:val="18"/>
          <w:szCs w:val="18"/>
        </w:rPr>
        <w:t xml:space="preserve">(1 April 2014), para. 1. </w:t>
      </w:r>
    </w:p>
  </w:footnote>
  <w:footnote w:id="2">
    <w:p w14:paraId="5FFE946F" w14:textId="77777777" w:rsidR="001A5598" w:rsidRPr="006A3540" w:rsidRDefault="001A5598" w:rsidP="00F91007">
      <w:pPr>
        <w:pStyle w:val="FootnoteText"/>
        <w:spacing w:after="120"/>
        <w:rPr>
          <w:sz w:val="18"/>
          <w:szCs w:val="18"/>
        </w:rPr>
      </w:pPr>
      <w:r w:rsidRPr="006C3E39">
        <w:rPr>
          <w:rStyle w:val="FootnoteReference"/>
          <w:sz w:val="18"/>
          <w:szCs w:val="18"/>
        </w:rPr>
        <w:footnoteRef/>
      </w:r>
      <w:r w:rsidRPr="006A3540">
        <w:rPr>
          <w:sz w:val="18"/>
          <w:szCs w:val="18"/>
        </w:rPr>
        <w:t xml:space="preserve"> For an overview of the obstacles women often face when seeking justice, see: UN Women, </w:t>
      </w:r>
      <w:r w:rsidRPr="006A3540">
        <w:rPr>
          <w:i/>
          <w:sz w:val="18"/>
          <w:szCs w:val="18"/>
        </w:rPr>
        <w:t>In Pursuit of Justice: 2011-2012 Progress of the World’s Women</w:t>
      </w:r>
      <w:r w:rsidRPr="006A3540">
        <w:rPr>
          <w:sz w:val="18"/>
          <w:szCs w:val="18"/>
        </w:rPr>
        <w:t xml:space="preserve"> (2011).</w:t>
      </w:r>
      <w:r w:rsidRPr="006A3540">
        <w:rPr>
          <w:i/>
          <w:sz w:val="18"/>
          <w:szCs w:val="18"/>
        </w:rPr>
        <w:t xml:space="preserve"> </w:t>
      </w:r>
    </w:p>
  </w:footnote>
  <w:footnote w:id="3">
    <w:p w14:paraId="449155F8" w14:textId="77777777" w:rsidR="001A5598" w:rsidRPr="006C3E39"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See, e.g., Inter-American Commission on Human Rights, </w:t>
      </w:r>
      <w:r w:rsidRPr="006A3540">
        <w:rPr>
          <w:i/>
          <w:sz w:val="18"/>
          <w:szCs w:val="18"/>
        </w:rPr>
        <w:t>Access to Justice for Women Victims of Sexual Violence: Education and Health</w:t>
      </w:r>
      <w:r w:rsidRPr="006A3540">
        <w:rPr>
          <w:sz w:val="18"/>
          <w:szCs w:val="18"/>
        </w:rPr>
        <w:t xml:space="preserve">, OEA/Ser.L/V/II. Doc. 65 (2011); Inter-American Commission on Human Rights, </w:t>
      </w:r>
      <w:r w:rsidRPr="006A3540">
        <w:rPr>
          <w:i/>
          <w:sz w:val="18"/>
          <w:szCs w:val="18"/>
        </w:rPr>
        <w:t>Access to Justice for Women Victims of Sexual Violence in Mesoamerica</w:t>
      </w:r>
      <w:r w:rsidRPr="006A3540">
        <w:rPr>
          <w:sz w:val="18"/>
          <w:szCs w:val="18"/>
        </w:rPr>
        <w:t xml:space="preserve">, OEA/Ser.L/V/II Doc. 63 (2011); Inter-American Commission on Human Rights, </w:t>
      </w:r>
      <w:r w:rsidRPr="006C3E39">
        <w:rPr>
          <w:i/>
          <w:sz w:val="18"/>
          <w:szCs w:val="18"/>
        </w:rPr>
        <w:t>Access to Justice for Women Victims of Violence in the Americas</w:t>
      </w:r>
      <w:r w:rsidRPr="006C3E39">
        <w:rPr>
          <w:sz w:val="18"/>
          <w:szCs w:val="18"/>
        </w:rPr>
        <w:t>, OEA/Ser.L/V/II Doc. 68 (2007).</w:t>
      </w:r>
    </w:p>
  </w:footnote>
  <w:footnote w:id="4">
    <w:p w14:paraId="169BD74C"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Navi Pillay, ‘Equality and Justice in the Courtroom’, </w:t>
      </w:r>
      <w:r w:rsidRPr="006A3540">
        <w:rPr>
          <w:i/>
          <w:sz w:val="18"/>
          <w:szCs w:val="18"/>
        </w:rPr>
        <w:t>Huffington Post</w:t>
      </w:r>
      <w:r w:rsidRPr="006A3540">
        <w:rPr>
          <w:sz w:val="18"/>
          <w:szCs w:val="18"/>
        </w:rPr>
        <w:t>, 3 March 2014.</w:t>
      </w:r>
    </w:p>
  </w:footnote>
  <w:footnote w:id="5">
    <w:p w14:paraId="739F4E08"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See Sections 3.2 and 4 below.  </w:t>
      </w:r>
    </w:p>
  </w:footnote>
  <w:footnote w:id="6">
    <w:p w14:paraId="4181776D"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E7671D">
        <w:rPr>
          <w:sz w:val="18"/>
          <w:szCs w:val="18"/>
          <w:lang w:val="es-ES"/>
        </w:rPr>
        <w:t xml:space="preserve"> </w:t>
      </w:r>
      <w:r w:rsidRPr="00E7671D">
        <w:rPr>
          <w:i/>
          <w:sz w:val="18"/>
          <w:szCs w:val="18"/>
          <w:lang w:val="es-ES"/>
        </w:rPr>
        <w:t>R. v. Ewanchuk</w:t>
      </w:r>
      <w:r w:rsidRPr="00E7671D">
        <w:rPr>
          <w:sz w:val="18"/>
          <w:szCs w:val="18"/>
          <w:lang w:val="es-ES"/>
        </w:rPr>
        <w:t xml:space="preserve">, </w:t>
      </w:r>
      <w:r w:rsidRPr="00E7671D">
        <w:rPr>
          <w:rFonts w:cs="Times New Roman"/>
          <w:bCs/>
          <w:iCs/>
          <w:sz w:val="18"/>
          <w:szCs w:val="18"/>
          <w:lang w:val="es-ES"/>
        </w:rPr>
        <w:t>[1999] 1 S.C.R. 330</w:t>
      </w:r>
      <w:r w:rsidRPr="00E7671D">
        <w:rPr>
          <w:sz w:val="18"/>
          <w:szCs w:val="18"/>
          <w:lang w:val="es-ES"/>
        </w:rPr>
        <w:t xml:space="preserve">, para. </w:t>
      </w:r>
      <w:r w:rsidRPr="006A3540">
        <w:rPr>
          <w:sz w:val="18"/>
          <w:szCs w:val="18"/>
        </w:rPr>
        <w:t>95</w:t>
      </w:r>
      <w:r w:rsidRPr="006A3540">
        <w:rPr>
          <w:rFonts w:cs="Times New Roman"/>
          <w:bCs/>
          <w:iCs/>
          <w:sz w:val="18"/>
          <w:szCs w:val="18"/>
        </w:rPr>
        <w:t xml:space="preserve"> </w:t>
      </w:r>
      <w:r w:rsidRPr="006A3540">
        <w:rPr>
          <w:sz w:val="18"/>
          <w:szCs w:val="18"/>
        </w:rPr>
        <w:t>(L’Heureux-Dubé J, concurring)</w:t>
      </w:r>
      <w:r w:rsidRPr="006A3540">
        <w:rPr>
          <w:rFonts w:cs="Times New Roman"/>
          <w:bCs/>
          <w:iCs/>
          <w:sz w:val="18"/>
          <w:szCs w:val="18"/>
        </w:rPr>
        <w:t xml:space="preserve"> (Canada, Supreme Court)</w:t>
      </w:r>
      <w:r w:rsidRPr="006A3540">
        <w:rPr>
          <w:sz w:val="18"/>
          <w:szCs w:val="18"/>
        </w:rPr>
        <w:t>.</w:t>
      </w:r>
    </w:p>
  </w:footnote>
  <w:footnote w:id="7">
    <w:p w14:paraId="1ECF6771"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sz w:val="18"/>
          <w:szCs w:val="18"/>
        </w:rPr>
        <w:t>The Honourable Madame Justice Claire L’Heureux-Dubé</w:t>
      </w:r>
      <w:r w:rsidRPr="006A3540">
        <w:rPr>
          <w:sz w:val="18"/>
          <w:szCs w:val="18"/>
        </w:rPr>
        <w:t xml:space="preserve">, ‘Beyond the Myths: Equality, Impartiality, and Justice’ (2001) 10(1) </w:t>
      </w:r>
      <w:r w:rsidRPr="006A3540">
        <w:rPr>
          <w:i/>
          <w:sz w:val="18"/>
          <w:szCs w:val="18"/>
        </w:rPr>
        <w:t>Journal of Social Distress and the Homeless</w:t>
      </w:r>
      <w:r w:rsidRPr="006A3540">
        <w:rPr>
          <w:sz w:val="18"/>
          <w:szCs w:val="18"/>
        </w:rPr>
        <w:t xml:space="preserve"> 87, 88.</w:t>
      </w:r>
    </w:p>
  </w:footnote>
  <w:footnote w:id="8">
    <w:p w14:paraId="15C02189"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 102.</w:t>
      </w:r>
      <w:proofErr w:type="gramEnd"/>
      <w:r w:rsidRPr="006A3540">
        <w:rPr>
          <w:sz w:val="18"/>
          <w:szCs w:val="18"/>
        </w:rPr>
        <w:t xml:space="preserve"> </w:t>
      </w:r>
      <w:r w:rsidRPr="006A3540">
        <w:rPr>
          <w:bCs/>
          <w:sz w:val="18"/>
          <w:szCs w:val="18"/>
        </w:rPr>
        <w:t xml:space="preserve"> </w:t>
      </w:r>
    </w:p>
  </w:footnote>
  <w:footnote w:id="9">
    <w:p w14:paraId="06D34330" w14:textId="77777777" w:rsidR="001A5598" w:rsidRPr="006C3E39"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Pillay, </w:t>
      </w:r>
      <w:r w:rsidRPr="006A3540">
        <w:rPr>
          <w:i/>
          <w:sz w:val="18"/>
          <w:szCs w:val="18"/>
        </w:rPr>
        <w:t xml:space="preserve">supra </w:t>
      </w:r>
      <w:r w:rsidRPr="006A3540">
        <w:rPr>
          <w:sz w:val="18"/>
          <w:szCs w:val="18"/>
        </w:rPr>
        <w:t xml:space="preserve">note 4. </w:t>
      </w:r>
      <w:r w:rsidRPr="006C3E39">
        <w:rPr>
          <w:sz w:val="18"/>
          <w:szCs w:val="18"/>
        </w:rPr>
        <w:t xml:space="preserve"> </w:t>
      </w:r>
    </w:p>
  </w:footnote>
  <w:footnote w:id="10">
    <w:p w14:paraId="1ECACCE1" w14:textId="56BFA4CA"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Simone Cusack, </w:t>
      </w:r>
      <w:r w:rsidRPr="006A3540">
        <w:rPr>
          <w:i/>
          <w:sz w:val="18"/>
          <w:szCs w:val="18"/>
        </w:rPr>
        <w:t>Gender Stereotyping as a Human Rights Violation: Research Report</w:t>
      </w:r>
      <w:r w:rsidRPr="006A3540">
        <w:rPr>
          <w:sz w:val="18"/>
          <w:szCs w:val="18"/>
        </w:rPr>
        <w:t xml:space="preserve">, Prepared for the UN Office of the High Commissioner for Human Rights (2013), </w:t>
      </w:r>
      <w:hyperlink r:id="rId1" w:history="1">
        <w:r w:rsidRPr="006A3540">
          <w:rPr>
            <w:rStyle w:val="Hyperlink"/>
            <w:color w:val="3366FF"/>
            <w:sz w:val="18"/>
            <w:szCs w:val="18"/>
          </w:rPr>
          <w:t>http://www.ohchr.org/Documents/Issues/Women/WRGS/StudyGenderStereotyping.doc</w:t>
        </w:r>
      </w:hyperlink>
      <w:r w:rsidRPr="006A3540">
        <w:rPr>
          <w:sz w:val="18"/>
          <w:szCs w:val="18"/>
        </w:rPr>
        <w:t xml:space="preserve"> (viewed 24 May 2014). </w:t>
      </w:r>
    </w:p>
  </w:footnote>
  <w:footnote w:id="11">
    <w:p w14:paraId="1AE96F22" w14:textId="1121C044"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Simone Cusack, </w:t>
      </w:r>
      <w:r w:rsidRPr="006A3540">
        <w:rPr>
          <w:i/>
          <w:sz w:val="18"/>
          <w:szCs w:val="18"/>
        </w:rPr>
        <w:t>Strategies for Addressing Gender Stereotyping: Policy Paper</w:t>
      </w:r>
      <w:r w:rsidRPr="006A3540">
        <w:rPr>
          <w:sz w:val="18"/>
          <w:szCs w:val="18"/>
        </w:rPr>
        <w:t xml:space="preserve">, Prepared for the UN Office of the High Commissioner for Human Rights (2013). </w:t>
      </w:r>
    </w:p>
  </w:footnote>
  <w:footnote w:id="12">
    <w:p w14:paraId="363636C5" w14:textId="77777777"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Pillay, </w:t>
      </w:r>
      <w:r w:rsidRPr="006A3540">
        <w:rPr>
          <w:i/>
          <w:sz w:val="18"/>
          <w:szCs w:val="18"/>
        </w:rPr>
        <w:t xml:space="preserve">supra </w:t>
      </w:r>
      <w:r w:rsidRPr="006A3540">
        <w:rPr>
          <w:sz w:val="18"/>
          <w:szCs w:val="18"/>
        </w:rPr>
        <w:t xml:space="preserve">note 4.   </w:t>
      </w:r>
    </w:p>
  </w:footnote>
  <w:footnote w:id="13">
    <w:p w14:paraId="4B5CAB56" w14:textId="3B3062BC"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An effort has been made to include a diverse range of examples from around the world.  However, not all regions are represented to the same degree due to different approaches to stereotyping.  For example, bodies like the Committee on the Elimination of Discrimination against Women (</w:t>
      </w:r>
      <w:r w:rsidRPr="006A3540">
        <w:rPr>
          <w:b/>
          <w:sz w:val="18"/>
          <w:szCs w:val="18"/>
        </w:rPr>
        <w:t>CEDAW Committee</w:t>
      </w:r>
      <w:r w:rsidRPr="006A3540">
        <w:rPr>
          <w:sz w:val="18"/>
          <w:szCs w:val="18"/>
        </w:rPr>
        <w:t>) have addressed t</w:t>
      </w:r>
      <w:r w:rsidRPr="006C3E39">
        <w:rPr>
          <w:sz w:val="18"/>
          <w:szCs w:val="18"/>
        </w:rPr>
        <w:t>his issue with greater frequency and in more depth than other similar bodies.  Other factors that affected the selection of examples include language barriers and time and space constraints.</w:t>
      </w:r>
    </w:p>
  </w:footnote>
  <w:footnote w:id="14">
    <w:p w14:paraId="762128D6" w14:textId="77777777"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The paper does not consider the broader relationship between stereotyping and gender-based violence against women, such as how stereotyping facilitates or condones such violence. For an overview of this relationship, see CEDAW Committee, </w:t>
      </w:r>
      <w:r w:rsidRPr="006A3540">
        <w:rPr>
          <w:i/>
          <w:sz w:val="18"/>
          <w:szCs w:val="18"/>
        </w:rPr>
        <w:t>General Recommendation No. 19</w:t>
      </w:r>
      <w:r w:rsidRPr="006A3540">
        <w:rPr>
          <w:sz w:val="18"/>
          <w:szCs w:val="18"/>
        </w:rPr>
        <w:t xml:space="preserve">, </w:t>
      </w:r>
      <w:proofErr w:type="gramStart"/>
      <w:r w:rsidRPr="006A3540">
        <w:rPr>
          <w:sz w:val="18"/>
          <w:szCs w:val="18"/>
        </w:rPr>
        <w:t>UN</w:t>
      </w:r>
      <w:proofErr w:type="gramEnd"/>
      <w:r w:rsidRPr="006A3540">
        <w:rPr>
          <w:sz w:val="18"/>
          <w:szCs w:val="18"/>
        </w:rPr>
        <w:t xml:space="preserve"> Doc. </w:t>
      </w:r>
      <w:proofErr w:type="gramStart"/>
      <w:r w:rsidRPr="006A3540">
        <w:rPr>
          <w:sz w:val="18"/>
          <w:szCs w:val="18"/>
        </w:rPr>
        <w:t>A/47/38 at 1 (1993), paras.</w:t>
      </w:r>
      <w:proofErr w:type="gramEnd"/>
      <w:r w:rsidRPr="006A3540">
        <w:rPr>
          <w:sz w:val="18"/>
          <w:szCs w:val="18"/>
        </w:rPr>
        <w:t xml:space="preserve"> 11, 12, 21, 23, 24(e), 24(f), 24(t)(ii); </w:t>
      </w:r>
      <w:r w:rsidRPr="006C3E39">
        <w:rPr>
          <w:bCs/>
          <w:sz w:val="18"/>
          <w:szCs w:val="18"/>
        </w:rPr>
        <w:t xml:space="preserve">Ramona </w:t>
      </w:r>
      <w:r w:rsidRPr="006C3E39">
        <w:rPr>
          <w:sz w:val="18"/>
          <w:szCs w:val="18"/>
        </w:rPr>
        <w:t>Biholar</w:t>
      </w:r>
      <w:r w:rsidRPr="006C3E39">
        <w:rPr>
          <w:bCs/>
          <w:sz w:val="18"/>
          <w:szCs w:val="18"/>
        </w:rPr>
        <w:t>, </w:t>
      </w:r>
      <w:r w:rsidRPr="006C3E39">
        <w:rPr>
          <w:bCs/>
          <w:i/>
          <w:iCs/>
          <w:sz w:val="18"/>
          <w:szCs w:val="18"/>
        </w:rPr>
        <w:t>Transforming Discriminatory Sex Roles and Gender Stereotyping: The Implementation of Article 5(a) CEDAW for the Realisation of Women’s Right to be Free From Gender-based Violence in Jamaica</w:t>
      </w:r>
      <w:r w:rsidRPr="006C3E39">
        <w:rPr>
          <w:bCs/>
          <w:sz w:val="18"/>
          <w:szCs w:val="18"/>
        </w:rPr>
        <w:t> (Intersentia, 2013)</w:t>
      </w:r>
      <w:r w:rsidRPr="006C3E39">
        <w:rPr>
          <w:sz w:val="18"/>
          <w:szCs w:val="18"/>
        </w:rPr>
        <w:t xml:space="preserve">; Lisa Gormley, ‘Gender Stereotyping in Cases of Rape and Violence against Women: Developments in Human Rights Jurisprudence’ (2011) 16(3) </w:t>
      </w:r>
      <w:r w:rsidRPr="006C3E39">
        <w:rPr>
          <w:i/>
          <w:sz w:val="18"/>
          <w:szCs w:val="18"/>
        </w:rPr>
        <w:t xml:space="preserve">INTERIGHTS Bulletin </w:t>
      </w:r>
      <w:r w:rsidRPr="006C3E39">
        <w:rPr>
          <w:sz w:val="18"/>
          <w:szCs w:val="18"/>
        </w:rPr>
        <w:t xml:space="preserve">140; </w:t>
      </w:r>
      <w:r w:rsidRPr="006C3E39">
        <w:rPr>
          <w:iCs/>
          <w:sz w:val="18"/>
          <w:szCs w:val="18"/>
        </w:rPr>
        <w:t xml:space="preserve">Rebecca J. Cook, ‘Lessons from the Cotton Field Case about Gender Justice’ (2010) 104 </w:t>
      </w:r>
      <w:r w:rsidRPr="006C3E39">
        <w:rPr>
          <w:i/>
          <w:iCs/>
          <w:sz w:val="18"/>
          <w:szCs w:val="18"/>
        </w:rPr>
        <w:t xml:space="preserve">American Society of International Law Proceedings </w:t>
      </w:r>
      <w:r w:rsidRPr="006C3E39">
        <w:rPr>
          <w:iCs/>
          <w:sz w:val="18"/>
          <w:szCs w:val="18"/>
        </w:rPr>
        <w:t xml:space="preserve">565; </w:t>
      </w:r>
      <w:r w:rsidRPr="006C3E39">
        <w:rPr>
          <w:sz w:val="18"/>
          <w:szCs w:val="18"/>
        </w:rPr>
        <w:t xml:space="preserve">Rikki Holtmaat, ‘Preventing Violence against Women: The Due Diligence Standard with Respect to the Obligation to Banish Gender Stereotypes on the Grounds of Article 5(a) of the CEDAW Convention’, in Carin Benninger-Budel (ed.), </w:t>
      </w:r>
      <w:r w:rsidRPr="006C3E39">
        <w:rPr>
          <w:i/>
          <w:sz w:val="18"/>
          <w:szCs w:val="18"/>
        </w:rPr>
        <w:t>Due Diligence and Its Application to Protect Women from Violence</w:t>
      </w:r>
      <w:r w:rsidRPr="006C3E39">
        <w:rPr>
          <w:sz w:val="18"/>
          <w:szCs w:val="18"/>
        </w:rPr>
        <w:t xml:space="preserve"> (Martinus Nijhoff, 2009), 63.  </w:t>
      </w:r>
    </w:p>
  </w:footnote>
  <w:footnote w:id="15">
    <w:p w14:paraId="5A42BD6A" w14:textId="7B7B3BA2" w:rsidR="001A5598" w:rsidRPr="006C3E39" w:rsidRDefault="001A5598">
      <w:pPr>
        <w:pStyle w:val="FootnoteText"/>
        <w:spacing w:after="120"/>
        <w:rPr>
          <w:i/>
          <w:sz w:val="18"/>
          <w:szCs w:val="18"/>
          <w:highlight w:val="yellow"/>
          <w:lang w:val="en-US"/>
        </w:rPr>
      </w:pPr>
      <w:r w:rsidRPr="006A3540">
        <w:rPr>
          <w:rStyle w:val="FootnoteReference"/>
          <w:sz w:val="18"/>
          <w:szCs w:val="18"/>
        </w:rPr>
        <w:footnoteRef/>
      </w:r>
      <w:r w:rsidRPr="006A3540">
        <w:rPr>
          <w:sz w:val="18"/>
          <w:szCs w:val="18"/>
        </w:rPr>
        <w:t xml:space="preserve"> </w:t>
      </w:r>
      <w:proofErr w:type="gramStart"/>
      <w:r w:rsidRPr="006A3540">
        <w:rPr>
          <w:sz w:val="18"/>
          <w:szCs w:val="18"/>
        </w:rPr>
        <w:t xml:space="preserve">See, e.g., </w:t>
      </w:r>
      <w:r w:rsidRPr="006A3540">
        <w:rPr>
          <w:i/>
          <w:sz w:val="18"/>
          <w:szCs w:val="18"/>
          <w:lang w:val="en-US"/>
        </w:rPr>
        <w:t xml:space="preserve">Isatou Jallow v. Bulgaria, </w:t>
      </w:r>
      <w:r w:rsidRPr="006A3540">
        <w:rPr>
          <w:sz w:val="18"/>
          <w:szCs w:val="18"/>
          <w:lang w:val="en-US"/>
        </w:rPr>
        <w:t>Communication No. 32/2011, UN Doc. CEDAW/C/52/D/32/2011 (2012)</w:t>
      </w:r>
      <w:r w:rsidRPr="006C3E39">
        <w:rPr>
          <w:sz w:val="18"/>
          <w:szCs w:val="18"/>
          <w:lang w:val="en-US"/>
        </w:rPr>
        <w:t xml:space="preserve">, </w:t>
      </w:r>
      <w:r w:rsidRPr="006C3E39">
        <w:rPr>
          <w:sz w:val="18"/>
          <w:szCs w:val="18"/>
        </w:rPr>
        <w:t>para.</w:t>
      </w:r>
      <w:proofErr w:type="gramEnd"/>
      <w:r w:rsidRPr="006C3E39">
        <w:rPr>
          <w:sz w:val="18"/>
          <w:szCs w:val="18"/>
        </w:rPr>
        <w:t xml:space="preserve"> </w:t>
      </w:r>
      <w:proofErr w:type="gramStart"/>
      <w:r w:rsidRPr="006C3E39">
        <w:rPr>
          <w:sz w:val="18"/>
          <w:szCs w:val="18"/>
        </w:rPr>
        <w:t>8.6</w:t>
      </w:r>
      <w:r w:rsidRPr="006C3E39">
        <w:rPr>
          <w:sz w:val="18"/>
          <w:szCs w:val="18"/>
          <w:lang w:val="en-US"/>
        </w:rPr>
        <w:t xml:space="preserve"> (CEDAW); </w:t>
      </w:r>
      <w:r w:rsidRPr="006C3E39">
        <w:rPr>
          <w:i/>
          <w:sz w:val="18"/>
          <w:szCs w:val="18"/>
        </w:rPr>
        <w:t>Case of González et al. (‘Cotton Field’) v. Mexico</w:t>
      </w:r>
      <w:r w:rsidRPr="006C3E39">
        <w:rPr>
          <w:sz w:val="18"/>
          <w:szCs w:val="18"/>
        </w:rPr>
        <w:t>, Judgment of 16 November 2009 (Preliminary Objection, Merits, Reparations, and Costs), paras.</w:t>
      </w:r>
      <w:proofErr w:type="gramEnd"/>
      <w:r w:rsidRPr="006C3E39">
        <w:rPr>
          <w:sz w:val="18"/>
          <w:szCs w:val="18"/>
        </w:rPr>
        <w:t xml:space="preserve"> </w:t>
      </w:r>
      <w:proofErr w:type="gramStart"/>
      <w:r w:rsidRPr="006C3E39">
        <w:rPr>
          <w:sz w:val="18"/>
          <w:szCs w:val="18"/>
        </w:rPr>
        <w:t>400-401 (Inter-American Court of Human Rights).</w:t>
      </w:r>
      <w:proofErr w:type="gramEnd"/>
    </w:p>
  </w:footnote>
  <w:footnote w:id="16">
    <w:p w14:paraId="7B1F4C6D" w14:textId="7A1E1EE6"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Rebecca J. Cook &amp; Simone Cusack, </w:t>
      </w:r>
      <w:r w:rsidRPr="006A3540">
        <w:rPr>
          <w:i/>
          <w:sz w:val="18"/>
          <w:szCs w:val="18"/>
        </w:rPr>
        <w:t>Gender Stereotyping: Transnational Legal Perspectives</w:t>
      </w:r>
      <w:r w:rsidRPr="006A3540">
        <w:rPr>
          <w:sz w:val="18"/>
          <w:szCs w:val="18"/>
        </w:rPr>
        <w:t xml:space="preserve"> (University of Pennsylvania Press, 2010), 36-37.</w:t>
      </w:r>
    </w:p>
  </w:footnote>
  <w:footnote w:id="17">
    <w:p w14:paraId="7AC3DF11" w14:textId="0221B1B0"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President of the Republic of South Africa v. Hugo</w:t>
      </w:r>
      <w:r w:rsidRPr="006A3540">
        <w:rPr>
          <w:sz w:val="18"/>
          <w:szCs w:val="18"/>
        </w:rPr>
        <w:t xml:space="preserve"> 1997 (4) SA 1 (CC),</w:t>
      </w:r>
      <w:r>
        <w:rPr>
          <w:sz w:val="18"/>
          <w:szCs w:val="18"/>
        </w:rPr>
        <w:t xml:space="preserve"> para.</w:t>
      </w:r>
      <w:proofErr w:type="gramEnd"/>
      <w:r>
        <w:rPr>
          <w:sz w:val="18"/>
          <w:szCs w:val="18"/>
        </w:rPr>
        <w:t xml:space="preserve"> </w:t>
      </w:r>
      <w:proofErr w:type="gramStart"/>
      <w:r>
        <w:rPr>
          <w:sz w:val="18"/>
          <w:szCs w:val="18"/>
        </w:rPr>
        <w:t>85</w:t>
      </w:r>
      <w:r w:rsidRPr="006A3540">
        <w:rPr>
          <w:sz w:val="18"/>
          <w:szCs w:val="18"/>
        </w:rPr>
        <w:t xml:space="preserve"> (Krie</w:t>
      </w:r>
      <w:r w:rsidRPr="006C3E39">
        <w:rPr>
          <w:sz w:val="18"/>
          <w:szCs w:val="18"/>
        </w:rPr>
        <w:t>gler J., dissenting)</w:t>
      </w:r>
      <w:r w:rsidRPr="006A3540">
        <w:rPr>
          <w:sz w:val="18"/>
          <w:szCs w:val="18"/>
        </w:rPr>
        <w:t xml:space="preserve"> (South Africa, Constitutional Court)</w:t>
      </w:r>
      <w:r w:rsidRPr="006C3E39">
        <w:rPr>
          <w:sz w:val="18"/>
          <w:szCs w:val="18"/>
        </w:rPr>
        <w:t>.</w:t>
      </w:r>
      <w:proofErr w:type="gramEnd"/>
    </w:p>
  </w:footnote>
  <w:footnote w:id="18">
    <w:p w14:paraId="09087FB8" w14:textId="43E21ABF"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CEDAW Committee, </w:t>
      </w:r>
      <w:r w:rsidRPr="006A3540">
        <w:rPr>
          <w:i/>
          <w:sz w:val="18"/>
          <w:szCs w:val="18"/>
        </w:rPr>
        <w:t>General Recommendation No. 19</w:t>
      </w:r>
      <w:r w:rsidRPr="006A3540">
        <w:rPr>
          <w:sz w:val="18"/>
          <w:szCs w:val="18"/>
        </w:rPr>
        <w:t xml:space="preserve">, </w:t>
      </w:r>
      <w:r w:rsidRPr="006A3540">
        <w:rPr>
          <w:i/>
          <w:sz w:val="18"/>
          <w:szCs w:val="18"/>
        </w:rPr>
        <w:t>supra</w:t>
      </w:r>
      <w:r w:rsidRPr="006A3540">
        <w:rPr>
          <w:sz w:val="18"/>
          <w:szCs w:val="18"/>
        </w:rPr>
        <w:t xml:space="preserve"> note 1</w:t>
      </w:r>
      <w:r>
        <w:rPr>
          <w:sz w:val="18"/>
          <w:szCs w:val="18"/>
        </w:rPr>
        <w:t>4</w:t>
      </w:r>
      <w:r w:rsidRPr="006A3540">
        <w:rPr>
          <w:sz w:val="18"/>
          <w:szCs w:val="18"/>
        </w:rPr>
        <w:t xml:space="preserve">, para. 6.  </w:t>
      </w:r>
    </w:p>
  </w:footnote>
  <w:footnote w:id="19">
    <w:p w14:paraId="25A9CBB7" w14:textId="0E87AED1"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r>
        <w:rPr>
          <w:sz w:val="18"/>
          <w:szCs w:val="18"/>
        </w:rPr>
        <w:t xml:space="preserve">Stereotyping can, for instance, affect disclosure of child sexual abuse by men and boys as well as their access to services.   See, e.g., Gary Foster, Cameron Boyd &amp; Patrick O’Leary, ‘Improving Policy and Practice Responses for Men Sexually Abused in Childhood’, </w:t>
      </w:r>
      <w:r>
        <w:rPr>
          <w:i/>
          <w:sz w:val="18"/>
          <w:szCs w:val="18"/>
        </w:rPr>
        <w:t>ACSSA Wrap,</w:t>
      </w:r>
      <w:r>
        <w:rPr>
          <w:sz w:val="18"/>
          <w:szCs w:val="18"/>
        </w:rPr>
        <w:t xml:space="preserve"> No. 12 (Australian Institute of Family Studies, 2012), 5, 12, </w:t>
      </w:r>
      <w:hyperlink r:id="rId2" w:history="1">
        <w:r w:rsidRPr="006A3540">
          <w:rPr>
            <w:rStyle w:val="Hyperlink"/>
            <w:color w:val="3366FF"/>
            <w:sz w:val="18"/>
            <w:szCs w:val="18"/>
          </w:rPr>
          <w:t>http://www.aifs.gov.au/acssa/pubs/wrap/wrap12/w12.pdf</w:t>
        </w:r>
      </w:hyperlink>
      <w:r>
        <w:rPr>
          <w:sz w:val="18"/>
          <w:szCs w:val="18"/>
        </w:rPr>
        <w:t xml:space="preserve"> (viewed 24 May 2014); Denise A. Donnelly &amp; Stacy Kenyon, ‘“Honey, We Don’t Do Men”: Gender Stereotypes and Provision of Services to Sexually Assaulted Males’ (1996) 11(3) </w:t>
      </w:r>
      <w:r>
        <w:rPr>
          <w:i/>
          <w:sz w:val="18"/>
          <w:szCs w:val="18"/>
        </w:rPr>
        <w:t>Journal of Interpersonal Violence</w:t>
      </w:r>
      <w:r>
        <w:rPr>
          <w:sz w:val="18"/>
          <w:szCs w:val="18"/>
        </w:rPr>
        <w:t xml:space="preserve"> 441.    </w:t>
      </w:r>
    </w:p>
  </w:footnote>
  <w:footnote w:id="20">
    <w:p w14:paraId="7B552402" w14:textId="34D5B71F"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See Section 4.2 below.    </w:t>
      </w:r>
    </w:p>
  </w:footnote>
  <w:footnote w:id="21">
    <w:p w14:paraId="5F4F59BA" w14:textId="6CC5CD02" w:rsidR="001A5598" w:rsidRPr="006C3E39"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For good practice examples of challenging judicial stereotyping in cases concerning issues other than gender-based violence, see, e.g., </w:t>
      </w:r>
      <w:r w:rsidRPr="006A3540">
        <w:rPr>
          <w:i/>
          <w:sz w:val="18"/>
          <w:szCs w:val="18"/>
        </w:rPr>
        <w:t>Case of Atala Riffo and Daughters v. Chile</w:t>
      </w:r>
      <w:r w:rsidRPr="006A3540">
        <w:rPr>
          <w:sz w:val="18"/>
          <w:szCs w:val="18"/>
        </w:rPr>
        <w:t>, Judgment of 24 February 2012 (Merits, Reparations and Costs)</w:t>
      </w:r>
      <w:r w:rsidRPr="006C3E39">
        <w:rPr>
          <w:i/>
          <w:sz w:val="18"/>
          <w:szCs w:val="18"/>
        </w:rPr>
        <w:t xml:space="preserve"> </w:t>
      </w:r>
      <w:r w:rsidRPr="006C3E39">
        <w:rPr>
          <w:sz w:val="18"/>
          <w:szCs w:val="18"/>
        </w:rPr>
        <w:t xml:space="preserve">(Inter-American Court of Human Rights); </w:t>
      </w:r>
      <w:r w:rsidRPr="006C3E39">
        <w:rPr>
          <w:i/>
          <w:iCs/>
          <w:sz w:val="18"/>
          <w:szCs w:val="18"/>
        </w:rPr>
        <w:t xml:space="preserve">Morales de Sierra v. Guatemala, </w:t>
      </w:r>
      <w:r w:rsidRPr="006C3E39">
        <w:rPr>
          <w:sz w:val="18"/>
          <w:szCs w:val="18"/>
        </w:rPr>
        <w:t>Case 11.625, Inter-Am. C.H.R., Report No. 4/01, OEA/Ser.L/V/II.111, doc. 20 rev (2001) (Inter-American Commission on Human Rights).</w:t>
      </w:r>
    </w:p>
  </w:footnote>
  <w:footnote w:id="22">
    <w:p w14:paraId="02321502" w14:textId="0F72C5E7"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Stereotyping can, for instance, influence the introduction of different crimes and whether or not women are charged with and convicted of criminal offences.  See, e.g., Brenda L. Russell (ed.), </w:t>
      </w:r>
      <w:r w:rsidRPr="006A3540">
        <w:rPr>
          <w:i/>
          <w:sz w:val="18"/>
          <w:szCs w:val="18"/>
        </w:rPr>
        <w:t>Perceptions of Female Offender</w:t>
      </w:r>
      <w:r w:rsidRPr="006C3E39">
        <w:rPr>
          <w:i/>
          <w:sz w:val="18"/>
          <w:szCs w:val="18"/>
        </w:rPr>
        <w:t>s: How Stereotypes and Social Norms Affect Criminal Justice</w:t>
      </w:r>
      <w:r w:rsidRPr="006C3E39">
        <w:rPr>
          <w:sz w:val="18"/>
          <w:szCs w:val="18"/>
        </w:rPr>
        <w:t xml:space="preserve"> (New York: Springer, 2013).  States will often criminalise behaviour that falls foul of prescriptive stereotypes and, at the same, take punitive action against women who fail to conform, or only party conform to those stereotypes.  For example, gender stereotypes are often at play when rape survivors are convicted of adultery in cases where they have been unable to prove rape.  See, e.g., ‘Saudis: Rape Victim Deserved Flogging for Adultery’, </w:t>
      </w:r>
      <w:r w:rsidRPr="006C3E39">
        <w:rPr>
          <w:i/>
          <w:sz w:val="18"/>
          <w:szCs w:val="18"/>
        </w:rPr>
        <w:t>USA Today</w:t>
      </w:r>
      <w:r w:rsidRPr="006C3E39">
        <w:rPr>
          <w:sz w:val="18"/>
          <w:szCs w:val="18"/>
        </w:rPr>
        <w:t xml:space="preserve">, 25 November 2007, </w:t>
      </w:r>
      <w:hyperlink r:id="rId3" w:history="1">
        <w:r w:rsidRPr="006A3540">
          <w:rPr>
            <w:rStyle w:val="Hyperlink"/>
            <w:color w:val="3366FF"/>
            <w:sz w:val="18"/>
            <w:szCs w:val="18"/>
          </w:rPr>
          <w:t>http://usatoday30.usatoday.com/news/world/2007-11-25-saudiarabia_N.htm</w:t>
        </w:r>
      </w:hyperlink>
      <w:r w:rsidRPr="006A3540">
        <w:rPr>
          <w:sz w:val="18"/>
          <w:szCs w:val="18"/>
        </w:rPr>
        <w:t xml:space="preserve"> (viewed 24 May 2014)</w:t>
      </w:r>
      <w:r>
        <w:rPr>
          <w:sz w:val="18"/>
          <w:szCs w:val="18"/>
        </w:rPr>
        <w:t xml:space="preserve">; Human Rights Council, </w:t>
      </w:r>
      <w:r>
        <w:rPr>
          <w:i/>
          <w:sz w:val="18"/>
          <w:szCs w:val="18"/>
        </w:rPr>
        <w:t>Communications Report of Special Procedures: Communications Sent, 1 December 2013 to 28 February 2014; Replies Received, 1 February to 30 April 2014</w:t>
      </w:r>
      <w:r>
        <w:rPr>
          <w:sz w:val="18"/>
          <w:szCs w:val="18"/>
        </w:rPr>
        <w:t>,</w:t>
      </w:r>
      <w:r>
        <w:rPr>
          <w:i/>
          <w:sz w:val="18"/>
          <w:szCs w:val="18"/>
        </w:rPr>
        <w:t xml:space="preserve"> </w:t>
      </w:r>
      <w:r>
        <w:rPr>
          <w:sz w:val="18"/>
          <w:szCs w:val="18"/>
        </w:rPr>
        <w:t xml:space="preserve">UN Doc. </w:t>
      </w:r>
      <w:proofErr w:type="gramStart"/>
      <w:r>
        <w:rPr>
          <w:sz w:val="18"/>
          <w:szCs w:val="18"/>
        </w:rPr>
        <w:t>A/HRC/26/21 (2014), 42, 46</w:t>
      </w:r>
      <w:r w:rsidRPr="006A3540">
        <w:rPr>
          <w:sz w:val="18"/>
          <w:szCs w:val="18"/>
        </w:rPr>
        <w:t>.</w:t>
      </w:r>
      <w:proofErr w:type="gramEnd"/>
    </w:p>
  </w:footnote>
  <w:footnote w:id="23">
    <w:p w14:paraId="133CF087" w14:textId="0494DF35" w:rsidR="001A5598" w:rsidRPr="006C3E39"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rPr>
        <w:t xml:space="preserve">Convention on the Elimination of All Forms of Discrimination against </w:t>
      </w:r>
      <w:proofErr w:type="gramStart"/>
      <w:r w:rsidRPr="006A3540">
        <w:rPr>
          <w:i/>
          <w:sz w:val="18"/>
          <w:szCs w:val="18"/>
        </w:rPr>
        <w:t>Women</w:t>
      </w:r>
      <w:r w:rsidRPr="006A3540">
        <w:rPr>
          <w:sz w:val="18"/>
          <w:szCs w:val="18"/>
        </w:rPr>
        <w:t>,</w:t>
      </w:r>
      <w:proofErr w:type="gramEnd"/>
      <w:r w:rsidRPr="006A3540">
        <w:rPr>
          <w:sz w:val="18"/>
          <w:szCs w:val="18"/>
        </w:rPr>
        <w:t xml:space="preserve"> </w:t>
      </w:r>
      <w:r w:rsidRPr="006C3E39">
        <w:rPr>
          <w:sz w:val="18"/>
          <w:szCs w:val="18"/>
        </w:rPr>
        <w:t>opened for signature 1 March 1980, 1249 UNTS 13 (entered into force 3 September 1981) (</w:t>
      </w:r>
      <w:r w:rsidRPr="006C3E39">
        <w:rPr>
          <w:b/>
          <w:sz w:val="18"/>
          <w:szCs w:val="18"/>
        </w:rPr>
        <w:t>CEDAW</w:t>
      </w:r>
      <w:r w:rsidRPr="006C3E39">
        <w:rPr>
          <w:sz w:val="18"/>
          <w:szCs w:val="18"/>
        </w:rPr>
        <w:t xml:space="preserve">).   </w:t>
      </w:r>
    </w:p>
  </w:footnote>
  <w:footnote w:id="24">
    <w:p w14:paraId="0A225487" w14:textId="0B0A6259"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lang w:val="en-US"/>
        </w:rPr>
        <w:t xml:space="preserve">Convention on the Rights of Persons with </w:t>
      </w:r>
      <w:proofErr w:type="gramStart"/>
      <w:r w:rsidRPr="006A3540">
        <w:rPr>
          <w:i/>
          <w:sz w:val="18"/>
          <w:szCs w:val="18"/>
          <w:lang w:val="en-US"/>
        </w:rPr>
        <w:t>Disabilities</w:t>
      </w:r>
      <w:r w:rsidRPr="006A3540">
        <w:rPr>
          <w:sz w:val="18"/>
          <w:szCs w:val="18"/>
          <w:lang w:val="en-US"/>
        </w:rPr>
        <w:t>,</w:t>
      </w:r>
      <w:proofErr w:type="gramEnd"/>
      <w:r w:rsidRPr="006C3E39">
        <w:rPr>
          <w:sz w:val="18"/>
          <w:szCs w:val="18"/>
          <w:lang w:val="en-US"/>
        </w:rPr>
        <w:t xml:space="preserve"> opened for signature 30 March 2007, 2515 UNTS 3 (entered into force 3 May 2008) (</w:t>
      </w:r>
      <w:r w:rsidRPr="006C3E39">
        <w:rPr>
          <w:b/>
          <w:sz w:val="18"/>
          <w:szCs w:val="18"/>
          <w:lang w:val="en-US"/>
        </w:rPr>
        <w:t>CRPD</w:t>
      </w:r>
      <w:r w:rsidRPr="006C3E39">
        <w:rPr>
          <w:sz w:val="18"/>
          <w:szCs w:val="18"/>
          <w:lang w:val="en-US"/>
        </w:rPr>
        <w:t>).</w:t>
      </w:r>
    </w:p>
  </w:footnote>
  <w:footnote w:id="25">
    <w:p w14:paraId="3D59521A" w14:textId="6BEC2C86" w:rsidR="001A5598" w:rsidRPr="006A3540" w:rsidRDefault="001A5598">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See also CEDAW, preambular para. </w:t>
      </w:r>
      <w:proofErr w:type="gramStart"/>
      <w:r w:rsidRPr="006A3540">
        <w:rPr>
          <w:iCs/>
          <w:sz w:val="18"/>
          <w:szCs w:val="18"/>
        </w:rPr>
        <w:t>14</w:t>
      </w:r>
      <w:r>
        <w:rPr>
          <w:iCs/>
          <w:sz w:val="18"/>
          <w:szCs w:val="18"/>
        </w:rPr>
        <w:t>,</w:t>
      </w:r>
      <w:r w:rsidRPr="006A3540">
        <w:rPr>
          <w:iCs/>
          <w:sz w:val="18"/>
          <w:szCs w:val="18"/>
        </w:rPr>
        <w:t xml:space="preserve"> art.</w:t>
      </w:r>
      <w:proofErr w:type="gramEnd"/>
      <w:r w:rsidRPr="006A3540">
        <w:rPr>
          <w:iCs/>
          <w:sz w:val="18"/>
          <w:szCs w:val="18"/>
        </w:rPr>
        <w:t xml:space="preserve"> </w:t>
      </w:r>
      <w:proofErr w:type="gramStart"/>
      <w:r w:rsidRPr="006A3540">
        <w:rPr>
          <w:iCs/>
          <w:sz w:val="18"/>
          <w:szCs w:val="18"/>
        </w:rPr>
        <w:t>5(b)</w:t>
      </w:r>
      <w:r>
        <w:rPr>
          <w:iCs/>
          <w:sz w:val="18"/>
          <w:szCs w:val="18"/>
        </w:rPr>
        <w:t>,</w:t>
      </w:r>
      <w:r w:rsidRPr="006A3540">
        <w:rPr>
          <w:iCs/>
          <w:sz w:val="18"/>
          <w:szCs w:val="18"/>
        </w:rPr>
        <w:t xml:space="preserve"> art.</w:t>
      </w:r>
      <w:proofErr w:type="gramEnd"/>
      <w:r w:rsidRPr="006A3540">
        <w:rPr>
          <w:iCs/>
          <w:sz w:val="18"/>
          <w:szCs w:val="18"/>
        </w:rPr>
        <w:t xml:space="preserve"> </w:t>
      </w:r>
      <w:proofErr w:type="gramStart"/>
      <w:r w:rsidRPr="006A3540">
        <w:rPr>
          <w:iCs/>
          <w:sz w:val="18"/>
          <w:szCs w:val="18"/>
        </w:rPr>
        <w:t>10(c).</w:t>
      </w:r>
      <w:proofErr w:type="gramEnd"/>
    </w:p>
  </w:footnote>
  <w:footnote w:id="26">
    <w:p w14:paraId="69A53929" w14:textId="77777777" w:rsidR="001A5598" w:rsidRPr="006A3540" w:rsidRDefault="001A5598">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
          <w:iCs/>
          <w:sz w:val="18"/>
          <w:szCs w:val="18"/>
        </w:rPr>
        <w:t>R.K.B. v. Turkey</w:t>
      </w:r>
      <w:r w:rsidRPr="006A3540">
        <w:rPr>
          <w:iCs/>
          <w:sz w:val="18"/>
          <w:szCs w:val="18"/>
        </w:rPr>
        <w:t xml:space="preserve">, </w:t>
      </w:r>
      <w:r w:rsidRPr="006A3540">
        <w:rPr>
          <w:sz w:val="18"/>
          <w:szCs w:val="18"/>
        </w:rPr>
        <w:t xml:space="preserve">Communication No. 28/2010, UN Doc. CEDAW/C/51/D/28/2010 (2012), para. </w:t>
      </w:r>
      <w:proofErr w:type="gramStart"/>
      <w:r w:rsidRPr="006A3540">
        <w:rPr>
          <w:sz w:val="18"/>
          <w:szCs w:val="18"/>
        </w:rPr>
        <w:t>8.8 (CEDAW)</w:t>
      </w:r>
      <w:r w:rsidRPr="006A3540">
        <w:rPr>
          <w:iCs/>
          <w:sz w:val="18"/>
          <w:szCs w:val="18"/>
        </w:rPr>
        <w:t>.</w:t>
      </w:r>
      <w:proofErr w:type="gramEnd"/>
    </w:p>
  </w:footnote>
  <w:footnote w:id="27">
    <w:p w14:paraId="693A68DC" w14:textId="752FB580" w:rsidR="001A5598" w:rsidRPr="006C3E39" w:rsidRDefault="001A5598">
      <w:pPr>
        <w:pStyle w:val="FootnoteText"/>
        <w:spacing w:after="120"/>
        <w:rPr>
          <w:iCs/>
          <w:sz w:val="18"/>
          <w:szCs w:val="18"/>
        </w:rPr>
      </w:pPr>
      <w:r w:rsidRPr="006A3540">
        <w:rPr>
          <w:rStyle w:val="FootnoteReference"/>
          <w:sz w:val="18"/>
          <w:szCs w:val="18"/>
        </w:rPr>
        <w:footnoteRef/>
      </w:r>
      <w:r w:rsidRPr="006A3540">
        <w:rPr>
          <w:sz w:val="18"/>
          <w:szCs w:val="18"/>
        </w:rPr>
        <w:t xml:space="preserve"> CEDAW Committee, </w:t>
      </w:r>
      <w:r w:rsidRPr="006A3540">
        <w:rPr>
          <w:i/>
          <w:sz w:val="18"/>
          <w:szCs w:val="18"/>
        </w:rPr>
        <w:t>General Recommendation No. 28 on the Core Obligation of States Parties under Article 2 of the Convention on the Elimination of All Forms of Discrimination against Women</w:t>
      </w:r>
      <w:r w:rsidRPr="006A3540">
        <w:rPr>
          <w:sz w:val="18"/>
          <w:szCs w:val="18"/>
        </w:rPr>
        <w:t>, UN Doc</w:t>
      </w:r>
      <w:r>
        <w:rPr>
          <w:sz w:val="18"/>
          <w:szCs w:val="18"/>
        </w:rPr>
        <w:t>.</w:t>
      </w:r>
      <w:r w:rsidRPr="006A3540">
        <w:rPr>
          <w:sz w:val="18"/>
          <w:szCs w:val="18"/>
        </w:rPr>
        <w:t xml:space="preserve"> CEDAW/C/GC/28 (2010), para. 39.</w:t>
      </w:r>
    </w:p>
  </w:footnote>
  <w:footnote w:id="28">
    <w:p w14:paraId="79077168" w14:textId="0E8B1C72" w:rsidR="001A5598" w:rsidRPr="006C3E39" w:rsidRDefault="001A5598">
      <w:pPr>
        <w:spacing w:before="0"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w:t>
      </w:r>
      <w:r w:rsidRPr="006C3E39">
        <w:rPr>
          <w:sz w:val="18"/>
          <w:szCs w:val="18"/>
        </w:rPr>
        <w:t>, para.</w:t>
      </w:r>
      <w:proofErr w:type="gramEnd"/>
      <w:r w:rsidRPr="006C3E39">
        <w:rPr>
          <w:sz w:val="18"/>
          <w:szCs w:val="18"/>
        </w:rPr>
        <w:t xml:space="preserve"> 7. </w:t>
      </w:r>
    </w:p>
  </w:footnote>
  <w:footnote w:id="29">
    <w:p w14:paraId="5A239714" w14:textId="4050A7B1" w:rsidR="001A5598" w:rsidRPr="006C3E39" w:rsidRDefault="001A5598">
      <w:pPr>
        <w:pStyle w:val="FootnoteText"/>
        <w:spacing w:after="120"/>
        <w:rPr>
          <w:sz w:val="18"/>
          <w:szCs w:val="18"/>
          <w:lang w:val="es-MX"/>
        </w:rPr>
      </w:pPr>
      <w:r w:rsidRPr="006A3540">
        <w:rPr>
          <w:rStyle w:val="FootnoteReference"/>
          <w:sz w:val="18"/>
          <w:szCs w:val="18"/>
        </w:rPr>
        <w:footnoteRef/>
      </w:r>
      <w:r w:rsidRPr="006A3540">
        <w:rPr>
          <w:sz w:val="18"/>
          <w:szCs w:val="18"/>
        </w:rPr>
        <w:t xml:space="preserve"> </w:t>
      </w:r>
      <w:r w:rsidRPr="006A3540">
        <w:rPr>
          <w:sz w:val="18"/>
          <w:szCs w:val="18"/>
          <w:lang w:val="es-MX"/>
        </w:rPr>
        <w:t xml:space="preserve">CEDAW Committee, </w:t>
      </w:r>
      <w:r w:rsidRPr="006A3540">
        <w:rPr>
          <w:i/>
          <w:sz w:val="18"/>
          <w:szCs w:val="18"/>
          <w:lang w:val="es-MX"/>
        </w:rPr>
        <w:t>General Recommendation No. 19</w:t>
      </w:r>
      <w:r w:rsidRPr="006A3540">
        <w:rPr>
          <w:sz w:val="18"/>
          <w:szCs w:val="18"/>
          <w:lang w:val="es-MX"/>
        </w:rPr>
        <w:t xml:space="preserve">, </w:t>
      </w:r>
      <w:r w:rsidRPr="006A3540">
        <w:rPr>
          <w:i/>
          <w:sz w:val="18"/>
          <w:szCs w:val="18"/>
          <w:lang w:val="es-MX"/>
        </w:rPr>
        <w:t xml:space="preserve">supra </w:t>
      </w:r>
      <w:r w:rsidRPr="006C3E39">
        <w:rPr>
          <w:sz w:val="18"/>
          <w:szCs w:val="18"/>
          <w:lang w:val="es-MX"/>
        </w:rPr>
        <w:t>note 1</w:t>
      </w:r>
      <w:r>
        <w:rPr>
          <w:sz w:val="18"/>
          <w:szCs w:val="18"/>
          <w:lang w:val="es-MX"/>
        </w:rPr>
        <w:t>4</w:t>
      </w:r>
      <w:r w:rsidRPr="006C3E39">
        <w:rPr>
          <w:sz w:val="18"/>
          <w:szCs w:val="18"/>
          <w:lang w:val="es-MX"/>
        </w:rPr>
        <w:t xml:space="preserve">, </w:t>
      </w:r>
      <w:r w:rsidRPr="006C3E39">
        <w:rPr>
          <w:sz w:val="18"/>
          <w:szCs w:val="18"/>
          <w:lang w:val="en-US"/>
        </w:rPr>
        <w:t>(1993)</w:t>
      </w:r>
      <w:r w:rsidRPr="006C3E39">
        <w:rPr>
          <w:sz w:val="18"/>
          <w:szCs w:val="18"/>
          <w:lang w:val="es-MX"/>
        </w:rPr>
        <w:t xml:space="preserve">, paras. 11, 21, 23, </w:t>
      </w:r>
      <w:r w:rsidRPr="006C3E39">
        <w:rPr>
          <w:sz w:val="18"/>
          <w:szCs w:val="18"/>
        </w:rPr>
        <w:t>24(t)(ii)</w:t>
      </w:r>
      <w:r w:rsidRPr="006C3E39">
        <w:rPr>
          <w:sz w:val="18"/>
          <w:szCs w:val="18"/>
          <w:lang w:val="es-MX"/>
        </w:rPr>
        <w:t>;</w:t>
      </w:r>
      <w:r w:rsidRPr="006C3E39">
        <w:rPr>
          <w:rFonts w:cs="Arial"/>
          <w:sz w:val="18"/>
          <w:szCs w:val="18"/>
        </w:rPr>
        <w:t xml:space="preserve"> </w:t>
      </w:r>
      <w:r w:rsidRPr="006C3E39">
        <w:rPr>
          <w:rFonts w:cs="Arial"/>
          <w:i/>
          <w:sz w:val="18"/>
          <w:szCs w:val="18"/>
        </w:rPr>
        <w:t>Isatou Jallow v. Bulgaria</w:t>
      </w:r>
      <w:r w:rsidRPr="006C3E39">
        <w:rPr>
          <w:rFonts w:cs="Arial"/>
          <w:sz w:val="18"/>
          <w:szCs w:val="18"/>
        </w:rPr>
        <w:t>,</w:t>
      </w:r>
      <w:r w:rsidRPr="006C3E39">
        <w:rPr>
          <w:rFonts w:cs="Arial"/>
          <w:i/>
          <w:sz w:val="18"/>
          <w:szCs w:val="18"/>
        </w:rPr>
        <w:t xml:space="preserve"> supra </w:t>
      </w:r>
      <w:r w:rsidRPr="006C3E39">
        <w:rPr>
          <w:rFonts w:cs="Arial"/>
          <w:sz w:val="18"/>
          <w:szCs w:val="18"/>
        </w:rPr>
        <w:t xml:space="preserve">note </w:t>
      </w:r>
      <w:r>
        <w:rPr>
          <w:rFonts w:cs="Arial"/>
          <w:sz w:val="18"/>
          <w:szCs w:val="18"/>
        </w:rPr>
        <w:t>15</w:t>
      </w:r>
      <w:r w:rsidRPr="006C3E39">
        <w:rPr>
          <w:rFonts w:cs="Arial"/>
          <w:sz w:val="18"/>
          <w:szCs w:val="18"/>
        </w:rPr>
        <w:t xml:space="preserve">; </w:t>
      </w:r>
      <w:r w:rsidRPr="006C3E39">
        <w:rPr>
          <w:rFonts w:cs="Arial"/>
          <w:i/>
          <w:sz w:val="18"/>
          <w:szCs w:val="18"/>
        </w:rPr>
        <w:t>V.K. v. Bulgaria</w:t>
      </w:r>
      <w:r w:rsidRPr="006C3E39">
        <w:rPr>
          <w:rFonts w:cs="Arial"/>
          <w:sz w:val="18"/>
          <w:szCs w:val="18"/>
        </w:rPr>
        <w:t xml:space="preserve">, Communication No. 20/2008, UN Doc. CEDAW/C/49/D/20/2008 (2011) (CEDAW); </w:t>
      </w:r>
      <w:r w:rsidRPr="006C3E39">
        <w:rPr>
          <w:rFonts w:cs="Arial"/>
          <w:i/>
          <w:sz w:val="18"/>
          <w:szCs w:val="18"/>
        </w:rPr>
        <w:t>Karen Tayag Vertido v. The Philippines</w:t>
      </w:r>
      <w:r w:rsidRPr="006C3E39">
        <w:rPr>
          <w:rFonts w:cs="Arial"/>
          <w:sz w:val="18"/>
          <w:szCs w:val="18"/>
        </w:rPr>
        <w:t xml:space="preserve">, Communication No. 18/2008, UN Doc. CEDAW/C/46/D/18/2008 (2010) (CEDAW); </w:t>
      </w:r>
      <w:r w:rsidRPr="006C3E39">
        <w:rPr>
          <w:rFonts w:cs="Arial"/>
          <w:i/>
          <w:sz w:val="18"/>
          <w:szCs w:val="18"/>
        </w:rPr>
        <w:t>Fatma Yildirim v. Austria</w:t>
      </w:r>
      <w:r w:rsidRPr="006C3E39">
        <w:rPr>
          <w:rFonts w:cs="Arial"/>
          <w:sz w:val="18"/>
          <w:szCs w:val="18"/>
        </w:rPr>
        <w:t>, Communication No. 6/2005, UN Doc. CEDAW/C/39/D/6/2005 (2007) (CEDAW)</w:t>
      </w:r>
      <w:r w:rsidRPr="006C3E39">
        <w:rPr>
          <w:rFonts w:cs="Arial"/>
          <w:sz w:val="18"/>
          <w:szCs w:val="18"/>
          <w:lang w:val="en-US"/>
        </w:rPr>
        <w:t>;</w:t>
      </w:r>
      <w:r w:rsidRPr="006C3E39">
        <w:rPr>
          <w:rFonts w:cs="Arial"/>
          <w:sz w:val="18"/>
          <w:szCs w:val="18"/>
        </w:rPr>
        <w:t xml:space="preserve"> </w:t>
      </w:r>
      <w:r w:rsidRPr="006C3E39">
        <w:rPr>
          <w:rFonts w:cs="Arial"/>
          <w:i/>
          <w:sz w:val="18"/>
          <w:szCs w:val="18"/>
        </w:rPr>
        <w:t>Şahide Goekce v. Austria</w:t>
      </w:r>
      <w:r w:rsidRPr="006C3E39">
        <w:rPr>
          <w:rFonts w:cs="Arial"/>
          <w:sz w:val="18"/>
          <w:szCs w:val="18"/>
        </w:rPr>
        <w:t>, Communication No. 5/2005, UN Doc. CEDAW/C/39/D/5/2005 (2007) (CEDAW)</w:t>
      </w:r>
      <w:r w:rsidRPr="006C3E39">
        <w:rPr>
          <w:rFonts w:cs="Arial"/>
          <w:sz w:val="18"/>
          <w:szCs w:val="18"/>
          <w:lang w:val="en-US"/>
        </w:rPr>
        <w:t xml:space="preserve">; </w:t>
      </w:r>
      <w:r w:rsidRPr="006C3E39">
        <w:rPr>
          <w:rFonts w:cs="Arial"/>
          <w:i/>
          <w:sz w:val="18"/>
          <w:szCs w:val="18"/>
        </w:rPr>
        <w:t>A.T. v. Hungary</w:t>
      </w:r>
      <w:r w:rsidRPr="006C3E39">
        <w:rPr>
          <w:rFonts w:cs="Arial"/>
          <w:sz w:val="18"/>
          <w:szCs w:val="18"/>
        </w:rPr>
        <w:t xml:space="preserve">, Communication No. 2/2003, UN Doc. CEDAW/C/32/D/2/2003 (2005) (CEDAW); </w:t>
      </w:r>
      <w:r w:rsidRPr="006C3E39">
        <w:rPr>
          <w:rFonts w:cs="Arial"/>
          <w:i/>
          <w:sz w:val="18"/>
          <w:szCs w:val="18"/>
          <w:lang w:val="en-GB"/>
        </w:rPr>
        <w:t>Report on Mexico produced by the Committee on the Elimination of Discrimination against Women under article 8 of the Optional Protocol to the Convention, and reply from the Government of Mexico</w:t>
      </w:r>
      <w:r w:rsidRPr="006C3E39">
        <w:rPr>
          <w:rFonts w:cs="Arial"/>
          <w:sz w:val="18"/>
          <w:szCs w:val="18"/>
          <w:lang w:val="en-GB"/>
        </w:rPr>
        <w:t>, UN Doc. CEDAW/C/2005/OP.8/MEXICO (2005)</w:t>
      </w:r>
      <w:r w:rsidRPr="006C3E39">
        <w:rPr>
          <w:rFonts w:cs="Arial"/>
          <w:sz w:val="18"/>
          <w:szCs w:val="18"/>
          <w:lang w:val="en-US"/>
        </w:rPr>
        <w:t>.</w:t>
      </w:r>
    </w:p>
  </w:footnote>
  <w:footnote w:id="30">
    <w:p w14:paraId="38ED76EA" w14:textId="77777777" w:rsidR="001A5598" w:rsidRPr="00E7671D" w:rsidRDefault="001A5598">
      <w:pPr>
        <w:pStyle w:val="FootnoteText"/>
        <w:spacing w:after="120"/>
        <w:rPr>
          <w:sz w:val="18"/>
          <w:szCs w:val="18"/>
          <w:lang w:val="es-ES"/>
        </w:rPr>
      </w:pPr>
      <w:r w:rsidRPr="006A3540">
        <w:rPr>
          <w:rStyle w:val="FootnoteReference"/>
          <w:sz w:val="18"/>
          <w:szCs w:val="18"/>
        </w:rPr>
        <w:footnoteRef/>
      </w:r>
      <w:r w:rsidRPr="00E7671D">
        <w:rPr>
          <w:sz w:val="18"/>
          <w:szCs w:val="18"/>
          <w:lang w:val="es-ES"/>
        </w:rPr>
        <w:t xml:space="preserve"> </w:t>
      </w:r>
      <w:r w:rsidRPr="00E7671D">
        <w:rPr>
          <w:i/>
          <w:sz w:val="18"/>
          <w:szCs w:val="18"/>
          <w:lang w:val="es-ES"/>
        </w:rPr>
        <w:t>V.K. v. Bulgaria</w:t>
      </w:r>
      <w:r w:rsidRPr="00E7671D">
        <w:rPr>
          <w:sz w:val="18"/>
          <w:szCs w:val="18"/>
          <w:lang w:val="es-ES"/>
        </w:rPr>
        <w:t>, ibid.</w:t>
      </w:r>
    </w:p>
  </w:footnote>
  <w:footnote w:id="31">
    <w:p w14:paraId="1DEE2447" w14:textId="5E74FBAD" w:rsidR="001A5598" w:rsidRPr="006C3E39" w:rsidRDefault="001A5598">
      <w:pPr>
        <w:spacing w:before="0" w:after="120"/>
        <w:rPr>
          <w:sz w:val="18"/>
          <w:szCs w:val="18"/>
        </w:rPr>
      </w:pPr>
      <w:r w:rsidRPr="006A3540">
        <w:rPr>
          <w:rStyle w:val="FootnoteReference"/>
          <w:sz w:val="18"/>
          <w:szCs w:val="18"/>
        </w:rPr>
        <w:footnoteRef/>
      </w:r>
      <w:r w:rsidRPr="006A3540">
        <w:rPr>
          <w:sz w:val="18"/>
          <w:szCs w:val="18"/>
        </w:rPr>
        <w:t xml:space="preserve"> See Stephanie Ortoleva, ‘Women with Disabilities: The Forgotten Peace Builders’ (2010) 33 </w:t>
      </w:r>
      <w:r w:rsidRPr="006A3540">
        <w:rPr>
          <w:i/>
          <w:sz w:val="18"/>
          <w:szCs w:val="18"/>
        </w:rPr>
        <w:t>Loyola of Los Angeles International &amp; Comparative Law Review</w:t>
      </w:r>
      <w:r w:rsidRPr="006C3E39">
        <w:rPr>
          <w:sz w:val="18"/>
          <w:szCs w:val="18"/>
        </w:rPr>
        <w:t xml:space="preserve"> 83, 91, 114; Kathleen </w:t>
      </w:r>
      <w:proofErr w:type="spellStart"/>
      <w:r w:rsidRPr="006C3E39">
        <w:rPr>
          <w:sz w:val="18"/>
          <w:szCs w:val="18"/>
        </w:rPr>
        <w:t>Cornelsen</w:t>
      </w:r>
      <w:proofErr w:type="spellEnd"/>
      <w:r w:rsidRPr="006C3E39">
        <w:rPr>
          <w:sz w:val="18"/>
          <w:szCs w:val="18"/>
        </w:rPr>
        <w:t xml:space="preserve">, ‘Doubly Protected and Doubly Discriminated: The Paradox of Women with Disabilities After Conflict’ (2012) 19 </w:t>
      </w:r>
      <w:r w:rsidRPr="006C3E39">
        <w:rPr>
          <w:i/>
          <w:sz w:val="18"/>
          <w:szCs w:val="18"/>
        </w:rPr>
        <w:t>William &amp; Mary Journal of Women and the Law</w:t>
      </w:r>
      <w:r w:rsidRPr="006C3E39">
        <w:rPr>
          <w:sz w:val="18"/>
          <w:szCs w:val="18"/>
        </w:rPr>
        <w:t xml:space="preserve"> 105, 119-120.</w:t>
      </w:r>
    </w:p>
  </w:footnote>
  <w:footnote w:id="32">
    <w:p w14:paraId="637E7037" w14:textId="1D13A574"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w:t>
      </w:r>
      <w:proofErr w:type="gramStart"/>
      <w:r w:rsidRPr="006A3540">
        <w:rPr>
          <w:sz w:val="18"/>
          <w:szCs w:val="18"/>
        </w:rPr>
        <w:t>CRPD, arts.</w:t>
      </w:r>
      <w:proofErr w:type="gramEnd"/>
      <w:r w:rsidRPr="006A3540">
        <w:rPr>
          <w:sz w:val="18"/>
          <w:szCs w:val="18"/>
        </w:rPr>
        <w:t xml:space="preserve"> 8(2</w:t>
      </w:r>
      <w:proofErr w:type="gramStart"/>
      <w:r w:rsidRPr="006A3540">
        <w:rPr>
          <w:sz w:val="18"/>
          <w:szCs w:val="18"/>
        </w:rPr>
        <w:t>)(</w:t>
      </w:r>
      <w:proofErr w:type="gramEnd"/>
      <w:r w:rsidRPr="006A3540">
        <w:rPr>
          <w:sz w:val="18"/>
          <w:szCs w:val="18"/>
        </w:rPr>
        <w:t>a)-</w:t>
      </w:r>
      <w:r w:rsidRPr="006A3540">
        <w:rPr>
          <w:sz w:val="18"/>
          <w:szCs w:val="18"/>
          <w:lang w:val="en-US"/>
        </w:rPr>
        <w:t xml:space="preserve">8(2)(d).  See also </w:t>
      </w:r>
      <w:r w:rsidRPr="006A3540">
        <w:rPr>
          <w:sz w:val="18"/>
          <w:szCs w:val="18"/>
          <w:lang w:val="en-GB"/>
        </w:rPr>
        <w:t xml:space="preserve">CRPD Committee, </w:t>
      </w:r>
      <w:r w:rsidRPr="006A3540">
        <w:rPr>
          <w:i/>
          <w:sz w:val="18"/>
          <w:szCs w:val="18"/>
          <w:lang w:val="en-GB"/>
        </w:rPr>
        <w:t>Concluding Observations: Tunisia</w:t>
      </w:r>
      <w:r w:rsidRPr="006A3540">
        <w:rPr>
          <w:sz w:val="18"/>
          <w:szCs w:val="18"/>
          <w:lang w:val="en-GB"/>
        </w:rPr>
        <w:t>, UN Doc. CRPD/C/TUN/CO/1 (</w:t>
      </w:r>
      <w:r w:rsidRPr="006C3E39">
        <w:rPr>
          <w:sz w:val="18"/>
          <w:szCs w:val="18"/>
          <w:lang w:val="en-GB"/>
        </w:rPr>
        <w:t xml:space="preserve">2011), para. 15(a); CRPD Committee, </w:t>
      </w:r>
      <w:r w:rsidRPr="006C3E39">
        <w:rPr>
          <w:i/>
          <w:sz w:val="18"/>
          <w:szCs w:val="18"/>
          <w:lang w:val="en-GB"/>
        </w:rPr>
        <w:t>Concluding Observations: Peru</w:t>
      </w:r>
      <w:r w:rsidRPr="006C3E39">
        <w:rPr>
          <w:sz w:val="18"/>
          <w:szCs w:val="18"/>
          <w:lang w:val="en-GB"/>
        </w:rPr>
        <w:t>, UN Doc. CRPD/C/PER/CO/1 (2012), para. 19.</w:t>
      </w:r>
    </w:p>
  </w:footnote>
  <w:footnote w:id="33">
    <w:p w14:paraId="04DEC655" w14:textId="277B57E4"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For an overview of articles 4(1)(b) and 8(1)(b) of the CRPD, see Cusack, </w:t>
      </w:r>
      <w:r w:rsidRPr="006C3E39">
        <w:rPr>
          <w:i/>
          <w:sz w:val="18"/>
          <w:szCs w:val="18"/>
        </w:rPr>
        <w:t xml:space="preserve">supra </w:t>
      </w:r>
      <w:r w:rsidRPr="006C3E39">
        <w:rPr>
          <w:sz w:val="18"/>
          <w:szCs w:val="18"/>
        </w:rPr>
        <w:t xml:space="preserve">note 10, 30-32.  </w:t>
      </w:r>
    </w:p>
  </w:footnote>
  <w:footnote w:id="34">
    <w:p w14:paraId="50A0488F" w14:textId="50BC2DDF"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i/>
          <w:sz w:val="18"/>
          <w:szCs w:val="18"/>
        </w:rPr>
        <w:t>International Convention on the Elimination of All Forms of Racial Discrimination</w:t>
      </w:r>
      <w:r w:rsidRPr="006A3540">
        <w:rPr>
          <w:sz w:val="18"/>
          <w:szCs w:val="18"/>
        </w:rPr>
        <w:t xml:space="preserve">, </w:t>
      </w:r>
      <w:r w:rsidRPr="006C3E39">
        <w:rPr>
          <w:bCs/>
          <w:sz w:val="18"/>
          <w:szCs w:val="18"/>
        </w:rPr>
        <w:t>opened for signature 21 December 1965, 660 UNTS 195 (entered into force 4 January 1969)</w:t>
      </w:r>
      <w:r w:rsidRPr="006C3E39">
        <w:rPr>
          <w:sz w:val="18"/>
          <w:szCs w:val="18"/>
        </w:rPr>
        <w:t xml:space="preserve">, art 7.   </w:t>
      </w:r>
    </w:p>
  </w:footnote>
  <w:footnote w:id="35">
    <w:p w14:paraId="300C7FE6" w14:textId="79C75C0B"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See also Cusack, </w:t>
      </w:r>
      <w:r w:rsidRPr="006A3540">
        <w:rPr>
          <w:i/>
          <w:sz w:val="18"/>
          <w:szCs w:val="18"/>
        </w:rPr>
        <w:t>supra</w:t>
      </w:r>
      <w:r w:rsidRPr="006A3540">
        <w:rPr>
          <w:sz w:val="18"/>
          <w:szCs w:val="18"/>
        </w:rPr>
        <w:t xml:space="preserve"> note </w:t>
      </w:r>
      <w:r w:rsidRPr="006C3E39">
        <w:rPr>
          <w:sz w:val="18"/>
          <w:szCs w:val="18"/>
        </w:rPr>
        <w:t xml:space="preserve">10, 38-39.  </w:t>
      </w:r>
    </w:p>
  </w:footnote>
  <w:footnote w:id="36">
    <w:p w14:paraId="1C9D170A" w14:textId="59E7D4F9" w:rsidR="001A5598" w:rsidRPr="006C3E39" w:rsidRDefault="001A5598">
      <w:pPr>
        <w:spacing w:before="0" w:after="120"/>
        <w:rPr>
          <w:iCs/>
          <w:sz w:val="18"/>
          <w:szCs w:val="18"/>
        </w:rPr>
      </w:pPr>
      <w:r w:rsidRPr="006A3540">
        <w:rPr>
          <w:rStyle w:val="FootnoteReference"/>
          <w:sz w:val="18"/>
          <w:szCs w:val="18"/>
        </w:rPr>
        <w:footnoteRef/>
      </w:r>
      <w:r w:rsidRPr="006A3540">
        <w:rPr>
          <w:iCs/>
          <w:sz w:val="18"/>
          <w:szCs w:val="18"/>
        </w:rPr>
        <w:t xml:space="preserve"> See generally </w:t>
      </w:r>
      <w:r w:rsidRPr="006A3540">
        <w:rPr>
          <w:sz w:val="18"/>
          <w:szCs w:val="18"/>
        </w:rPr>
        <w:t xml:space="preserve">Gema </w:t>
      </w:r>
      <w:proofErr w:type="spellStart"/>
      <w:r w:rsidRPr="006A3540">
        <w:rPr>
          <w:sz w:val="18"/>
          <w:szCs w:val="18"/>
        </w:rPr>
        <w:t>Fernández</w:t>
      </w:r>
      <w:proofErr w:type="spellEnd"/>
      <w:r w:rsidRPr="006A3540">
        <w:rPr>
          <w:sz w:val="18"/>
          <w:szCs w:val="18"/>
        </w:rPr>
        <w:t xml:space="preserve"> Rodríguez de </w:t>
      </w:r>
      <w:proofErr w:type="spellStart"/>
      <w:r w:rsidRPr="006A3540">
        <w:rPr>
          <w:sz w:val="18"/>
          <w:szCs w:val="18"/>
        </w:rPr>
        <w:t>Liévana</w:t>
      </w:r>
      <w:proofErr w:type="spellEnd"/>
      <w:r w:rsidRPr="006A3540">
        <w:rPr>
          <w:sz w:val="18"/>
          <w:szCs w:val="18"/>
        </w:rPr>
        <w:t xml:space="preserve"> &amp; Tania </w:t>
      </w:r>
      <w:proofErr w:type="spellStart"/>
      <w:r w:rsidRPr="006A3540">
        <w:rPr>
          <w:sz w:val="18"/>
          <w:szCs w:val="18"/>
        </w:rPr>
        <w:t>Sordo</w:t>
      </w:r>
      <w:proofErr w:type="spellEnd"/>
      <w:r w:rsidRPr="006A3540">
        <w:rPr>
          <w:sz w:val="18"/>
          <w:szCs w:val="18"/>
        </w:rPr>
        <w:t xml:space="preserve"> </w:t>
      </w:r>
      <w:proofErr w:type="spellStart"/>
      <w:r w:rsidRPr="006A3540">
        <w:rPr>
          <w:sz w:val="18"/>
          <w:szCs w:val="18"/>
        </w:rPr>
        <w:t>Ruz</w:t>
      </w:r>
      <w:proofErr w:type="spellEnd"/>
      <w:r w:rsidRPr="006A3540">
        <w:rPr>
          <w:sz w:val="18"/>
          <w:szCs w:val="18"/>
        </w:rPr>
        <w:t>, ‘</w:t>
      </w:r>
      <w:proofErr w:type="spellStart"/>
      <w:r w:rsidRPr="006A3540">
        <w:rPr>
          <w:sz w:val="18"/>
          <w:szCs w:val="18"/>
        </w:rPr>
        <w:t>Aproximación</w:t>
      </w:r>
      <w:proofErr w:type="spellEnd"/>
      <w:r w:rsidRPr="006A3540">
        <w:rPr>
          <w:sz w:val="18"/>
          <w:szCs w:val="18"/>
        </w:rPr>
        <w:t xml:space="preserve"> al </w:t>
      </w:r>
      <w:proofErr w:type="spellStart"/>
      <w:r w:rsidRPr="006A3540">
        <w:rPr>
          <w:sz w:val="18"/>
          <w:szCs w:val="18"/>
        </w:rPr>
        <w:t>Papel</w:t>
      </w:r>
      <w:proofErr w:type="spellEnd"/>
      <w:r w:rsidRPr="006A3540">
        <w:rPr>
          <w:sz w:val="18"/>
          <w:szCs w:val="18"/>
        </w:rPr>
        <w:t xml:space="preserve"> de los </w:t>
      </w:r>
      <w:proofErr w:type="spellStart"/>
      <w:r w:rsidRPr="006A3540">
        <w:rPr>
          <w:sz w:val="18"/>
          <w:szCs w:val="18"/>
        </w:rPr>
        <w:t>Estereotipos</w:t>
      </w:r>
      <w:proofErr w:type="spellEnd"/>
      <w:r w:rsidRPr="006A3540">
        <w:rPr>
          <w:sz w:val="18"/>
          <w:szCs w:val="18"/>
        </w:rPr>
        <w:t xml:space="preserve"> de </w:t>
      </w:r>
      <w:proofErr w:type="spellStart"/>
      <w:r w:rsidRPr="006A3540">
        <w:rPr>
          <w:sz w:val="18"/>
          <w:szCs w:val="18"/>
        </w:rPr>
        <w:t>Género</w:t>
      </w:r>
      <w:proofErr w:type="spellEnd"/>
      <w:r w:rsidRPr="006A3540">
        <w:rPr>
          <w:sz w:val="18"/>
          <w:szCs w:val="18"/>
        </w:rPr>
        <w:t xml:space="preserve"> en los </w:t>
      </w:r>
      <w:proofErr w:type="spellStart"/>
      <w:r w:rsidRPr="006A3540">
        <w:rPr>
          <w:sz w:val="18"/>
          <w:szCs w:val="18"/>
        </w:rPr>
        <w:t>Sistemas</w:t>
      </w:r>
      <w:proofErr w:type="spellEnd"/>
      <w:r w:rsidRPr="006A3540">
        <w:rPr>
          <w:sz w:val="18"/>
          <w:szCs w:val="18"/>
        </w:rPr>
        <w:t xml:space="preserve"> </w:t>
      </w:r>
      <w:proofErr w:type="spellStart"/>
      <w:r w:rsidRPr="006A3540">
        <w:rPr>
          <w:sz w:val="18"/>
          <w:szCs w:val="18"/>
        </w:rPr>
        <w:t>Interamericano</w:t>
      </w:r>
      <w:proofErr w:type="spellEnd"/>
      <w:r w:rsidRPr="006A3540">
        <w:rPr>
          <w:sz w:val="18"/>
          <w:szCs w:val="18"/>
        </w:rPr>
        <w:t xml:space="preserve"> y </w:t>
      </w:r>
      <w:proofErr w:type="spellStart"/>
      <w:r w:rsidRPr="006A3540">
        <w:rPr>
          <w:sz w:val="18"/>
          <w:szCs w:val="18"/>
        </w:rPr>
        <w:t>Europeo</w:t>
      </w:r>
      <w:proofErr w:type="spellEnd"/>
      <w:r w:rsidRPr="006A3540">
        <w:rPr>
          <w:sz w:val="18"/>
          <w:szCs w:val="18"/>
        </w:rPr>
        <w:t xml:space="preserve"> de </w:t>
      </w:r>
      <w:proofErr w:type="spellStart"/>
      <w:r w:rsidRPr="006A3540">
        <w:rPr>
          <w:sz w:val="18"/>
          <w:szCs w:val="18"/>
        </w:rPr>
        <w:t>Protección</w:t>
      </w:r>
      <w:proofErr w:type="spellEnd"/>
      <w:r w:rsidRPr="006A3540">
        <w:rPr>
          <w:sz w:val="18"/>
          <w:szCs w:val="18"/>
        </w:rPr>
        <w:t xml:space="preserve"> de </w:t>
      </w:r>
      <w:proofErr w:type="spellStart"/>
      <w:r w:rsidRPr="006A3540">
        <w:rPr>
          <w:sz w:val="18"/>
          <w:szCs w:val="18"/>
        </w:rPr>
        <w:t>Derechos</w:t>
      </w:r>
      <w:proofErr w:type="spellEnd"/>
      <w:r w:rsidRPr="006A3540">
        <w:rPr>
          <w:sz w:val="18"/>
          <w:szCs w:val="18"/>
        </w:rPr>
        <w:t xml:space="preserve"> </w:t>
      </w:r>
      <w:proofErr w:type="spellStart"/>
      <w:r w:rsidRPr="006A3540">
        <w:rPr>
          <w:sz w:val="18"/>
          <w:szCs w:val="18"/>
        </w:rPr>
        <w:t>Humanos</w:t>
      </w:r>
      <w:proofErr w:type="spellEnd"/>
      <w:r w:rsidRPr="006C3E39">
        <w:rPr>
          <w:sz w:val="18"/>
          <w:szCs w:val="18"/>
        </w:rPr>
        <w:t>’ (forthcoming 2014);</w:t>
      </w:r>
      <w:r w:rsidRPr="006C3E39">
        <w:rPr>
          <w:iCs/>
          <w:sz w:val="18"/>
          <w:szCs w:val="18"/>
        </w:rPr>
        <w:t xml:space="preserve"> </w:t>
      </w:r>
      <w:r w:rsidRPr="006C3E39">
        <w:rPr>
          <w:bCs/>
          <w:sz w:val="18"/>
          <w:szCs w:val="18"/>
        </w:rPr>
        <w:t xml:space="preserve">Tania </w:t>
      </w:r>
      <w:proofErr w:type="spellStart"/>
      <w:r w:rsidRPr="006C3E39">
        <w:rPr>
          <w:bCs/>
          <w:sz w:val="18"/>
          <w:szCs w:val="18"/>
        </w:rPr>
        <w:t>Sordo</w:t>
      </w:r>
      <w:proofErr w:type="spellEnd"/>
      <w:r w:rsidRPr="006C3E39">
        <w:rPr>
          <w:bCs/>
          <w:sz w:val="18"/>
          <w:szCs w:val="18"/>
        </w:rPr>
        <w:t xml:space="preserve"> </w:t>
      </w:r>
      <w:proofErr w:type="spellStart"/>
      <w:r w:rsidRPr="006C3E39">
        <w:rPr>
          <w:bCs/>
          <w:sz w:val="18"/>
          <w:szCs w:val="18"/>
        </w:rPr>
        <w:t>Ruz</w:t>
      </w:r>
      <w:proofErr w:type="spellEnd"/>
      <w:r w:rsidRPr="006C3E39">
        <w:rPr>
          <w:bCs/>
          <w:sz w:val="18"/>
          <w:szCs w:val="18"/>
        </w:rPr>
        <w:t xml:space="preserve">, ‘Los </w:t>
      </w:r>
      <w:proofErr w:type="spellStart"/>
      <w:r w:rsidRPr="006C3E39">
        <w:rPr>
          <w:bCs/>
          <w:sz w:val="18"/>
          <w:szCs w:val="18"/>
        </w:rPr>
        <w:t>Estereotipos</w:t>
      </w:r>
      <w:proofErr w:type="spellEnd"/>
      <w:r w:rsidRPr="006C3E39">
        <w:rPr>
          <w:bCs/>
          <w:sz w:val="18"/>
          <w:szCs w:val="18"/>
        </w:rPr>
        <w:t xml:space="preserve"> de </w:t>
      </w:r>
      <w:proofErr w:type="spellStart"/>
      <w:r w:rsidRPr="006C3E39">
        <w:rPr>
          <w:bCs/>
          <w:sz w:val="18"/>
          <w:szCs w:val="18"/>
        </w:rPr>
        <w:t>Género</w:t>
      </w:r>
      <w:proofErr w:type="spellEnd"/>
      <w:r w:rsidRPr="006C3E39">
        <w:rPr>
          <w:bCs/>
          <w:sz w:val="18"/>
          <w:szCs w:val="18"/>
        </w:rPr>
        <w:t xml:space="preserve"> Como </w:t>
      </w:r>
      <w:proofErr w:type="spellStart"/>
      <w:r w:rsidRPr="006C3E39">
        <w:rPr>
          <w:bCs/>
          <w:sz w:val="18"/>
          <w:szCs w:val="18"/>
        </w:rPr>
        <w:t>Obstáculos</w:t>
      </w:r>
      <w:proofErr w:type="spellEnd"/>
      <w:r w:rsidRPr="006C3E39">
        <w:rPr>
          <w:bCs/>
          <w:sz w:val="18"/>
          <w:szCs w:val="18"/>
        </w:rPr>
        <w:t xml:space="preserve"> para el </w:t>
      </w:r>
      <w:proofErr w:type="spellStart"/>
      <w:r w:rsidRPr="006C3E39">
        <w:rPr>
          <w:bCs/>
          <w:sz w:val="18"/>
          <w:szCs w:val="18"/>
        </w:rPr>
        <w:t>Acceso</w:t>
      </w:r>
      <w:proofErr w:type="spellEnd"/>
      <w:r w:rsidRPr="006C3E39">
        <w:rPr>
          <w:bCs/>
          <w:sz w:val="18"/>
          <w:szCs w:val="18"/>
        </w:rPr>
        <w:t xml:space="preserve"> de </w:t>
      </w:r>
      <w:proofErr w:type="spellStart"/>
      <w:r w:rsidRPr="006C3E39">
        <w:rPr>
          <w:bCs/>
          <w:sz w:val="18"/>
          <w:szCs w:val="18"/>
        </w:rPr>
        <w:t>las</w:t>
      </w:r>
      <w:proofErr w:type="spellEnd"/>
      <w:r w:rsidRPr="006C3E39">
        <w:rPr>
          <w:bCs/>
          <w:sz w:val="18"/>
          <w:szCs w:val="18"/>
        </w:rPr>
        <w:t xml:space="preserve"> </w:t>
      </w:r>
      <w:proofErr w:type="spellStart"/>
      <w:r w:rsidRPr="006C3E39">
        <w:rPr>
          <w:bCs/>
          <w:sz w:val="18"/>
          <w:szCs w:val="18"/>
        </w:rPr>
        <w:t>Mujeres</w:t>
      </w:r>
      <w:proofErr w:type="spellEnd"/>
      <w:r w:rsidRPr="006C3E39">
        <w:rPr>
          <w:bCs/>
          <w:sz w:val="18"/>
          <w:szCs w:val="18"/>
        </w:rPr>
        <w:t xml:space="preserve"> a la </w:t>
      </w:r>
      <w:proofErr w:type="spellStart"/>
      <w:r w:rsidRPr="006C3E39">
        <w:rPr>
          <w:bCs/>
          <w:sz w:val="18"/>
          <w:szCs w:val="18"/>
        </w:rPr>
        <w:t>Justicia</w:t>
      </w:r>
      <w:proofErr w:type="spellEnd"/>
      <w:r w:rsidRPr="006C3E39">
        <w:rPr>
          <w:bCs/>
          <w:sz w:val="18"/>
          <w:szCs w:val="18"/>
        </w:rPr>
        <w:t xml:space="preserve">’, Primer Lugar </w:t>
      </w:r>
      <w:proofErr w:type="spellStart"/>
      <w:r w:rsidRPr="006C3E39">
        <w:rPr>
          <w:bCs/>
          <w:sz w:val="18"/>
          <w:szCs w:val="18"/>
        </w:rPr>
        <w:t>Concurso</w:t>
      </w:r>
      <w:proofErr w:type="spellEnd"/>
      <w:r w:rsidRPr="006C3E39">
        <w:rPr>
          <w:bCs/>
          <w:sz w:val="18"/>
          <w:szCs w:val="18"/>
        </w:rPr>
        <w:t xml:space="preserve"> de </w:t>
      </w:r>
      <w:proofErr w:type="spellStart"/>
      <w:r w:rsidRPr="006C3E39">
        <w:rPr>
          <w:bCs/>
          <w:sz w:val="18"/>
          <w:szCs w:val="18"/>
        </w:rPr>
        <w:t>Ensayo</w:t>
      </w:r>
      <w:proofErr w:type="spellEnd"/>
      <w:r w:rsidRPr="006C3E39">
        <w:rPr>
          <w:bCs/>
          <w:sz w:val="18"/>
          <w:szCs w:val="18"/>
        </w:rPr>
        <w:t xml:space="preserve"> </w:t>
      </w:r>
      <w:proofErr w:type="spellStart"/>
      <w:r w:rsidRPr="006C3E39">
        <w:rPr>
          <w:bCs/>
          <w:sz w:val="18"/>
          <w:szCs w:val="18"/>
        </w:rPr>
        <w:t>Género</w:t>
      </w:r>
      <w:proofErr w:type="spellEnd"/>
      <w:r w:rsidRPr="006C3E39">
        <w:rPr>
          <w:bCs/>
          <w:sz w:val="18"/>
          <w:szCs w:val="18"/>
        </w:rPr>
        <w:t xml:space="preserve"> y Justicia (2011)</w:t>
      </w:r>
      <w:r w:rsidRPr="006C3E39">
        <w:rPr>
          <w:rFonts w:cs="Lucida Grande"/>
          <w:color w:val="000000"/>
          <w:sz w:val="18"/>
          <w:szCs w:val="18"/>
        </w:rPr>
        <w:t xml:space="preserve">.  </w:t>
      </w:r>
    </w:p>
  </w:footnote>
  <w:footnote w:id="37">
    <w:p w14:paraId="3703F088" w14:textId="5BA36DEC"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See, e.g., </w:t>
      </w:r>
      <w:r w:rsidRPr="006A3540">
        <w:rPr>
          <w:i/>
          <w:sz w:val="18"/>
          <w:szCs w:val="18"/>
        </w:rPr>
        <w:t>International Covenant on Civil and Political Rights</w:t>
      </w:r>
      <w:r w:rsidRPr="006A3540">
        <w:rPr>
          <w:sz w:val="18"/>
          <w:szCs w:val="18"/>
        </w:rPr>
        <w:t>, opened for signature 19 December 1966,</w:t>
      </w:r>
      <w:r w:rsidRPr="006C3E39">
        <w:rPr>
          <w:sz w:val="18"/>
          <w:szCs w:val="18"/>
        </w:rPr>
        <w:t xml:space="preserve"> 999 UNTS 171 (entered into force 23 March 1976), arts. </w:t>
      </w:r>
      <w:proofErr w:type="gramStart"/>
      <w:r w:rsidRPr="006C3E39">
        <w:rPr>
          <w:sz w:val="18"/>
          <w:szCs w:val="18"/>
        </w:rPr>
        <w:t xml:space="preserve">2(1), 3, 26; </w:t>
      </w:r>
      <w:r w:rsidRPr="006C3E39">
        <w:rPr>
          <w:i/>
          <w:sz w:val="18"/>
          <w:szCs w:val="18"/>
        </w:rPr>
        <w:t>International Covenant on Economic, Social and Cultural Rights</w:t>
      </w:r>
      <w:r w:rsidRPr="006C3E39">
        <w:rPr>
          <w:sz w:val="18"/>
          <w:szCs w:val="18"/>
        </w:rPr>
        <w:t>, opened for signature 19 December 1966, 999 UNTS 3 (entered into force 3 January 1976), arts.</w:t>
      </w:r>
      <w:proofErr w:type="gramEnd"/>
      <w:r w:rsidRPr="006C3E39">
        <w:rPr>
          <w:sz w:val="18"/>
          <w:szCs w:val="18"/>
        </w:rPr>
        <w:t xml:space="preserve"> </w:t>
      </w:r>
      <w:proofErr w:type="gramStart"/>
      <w:r w:rsidRPr="006C3E39">
        <w:rPr>
          <w:sz w:val="18"/>
          <w:szCs w:val="18"/>
        </w:rPr>
        <w:t>2(2), 3.</w:t>
      </w:r>
      <w:proofErr w:type="gramEnd"/>
    </w:p>
  </w:footnote>
  <w:footnote w:id="38">
    <w:p w14:paraId="274F08BC" w14:textId="77777777"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CEDAW, art.</w:t>
      </w:r>
      <w:proofErr w:type="gramEnd"/>
      <w:r w:rsidRPr="006A3540">
        <w:rPr>
          <w:sz w:val="18"/>
          <w:szCs w:val="18"/>
        </w:rPr>
        <w:t xml:space="preserve"> 1 (defining ‘discrimination against women’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footnote>
  <w:footnote w:id="39">
    <w:p w14:paraId="5572354A" w14:textId="713E0871"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CEDAW, art.</w:t>
      </w:r>
      <w:proofErr w:type="gramEnd"/>
      <w:r w:rsidRPr="006A3540">
        <w:rPr>
          <w:sz w:val="18"/>
          <w:szCs w:val="18"/>
        </w:rPr>
        <w:t xml:space="preserve"> 1; CEDAW Committee, </w:t>
      </w:r>
      <w:r w:rsidRPr="006A3540">
        <w:rPr>
          <w:i/>
          <w:sz w:val="18"/>
          <w:szCs w:val="18"/>
        </w:rPr>
        <w:t>General Recommendation No. 19</w:t>
      </w:r>
      <w:r w:rsidRPr="006A3540">
        <w:rPr>
          <w:sz w:val="18"/>
          <w:szCs w:val="18"/>
        </w:rPr>
        <w:t xml:space="preserve">, </w:t>
      </w:r>
      <w:r w:rsidRPr="006A3540">
        <w:rPr>
          <w:i/>
          <w:sz w:val="18"/>
          <w:szCs w:val="18"/>
        </w:rPr>
        <w:t>supra</w:t>
      </w:r>
      <w:r w:rsidRPr="006A3540">
        <w:rPr>
          <w:sz w:val="18"/>
          <w:szCs w:val="18"/>
        </w:rPr>
        <w:t xml:space="preserve"> note </w:t>
      </w:r>
      <w:r w:rsidRPr="006C3E39">
        <w:rPr>
          <w:sz w:val="18"/>
          <w:szCs w:val="18"/>
        </w:rPr>
        <w:t>1</w:t>
      </w:r>
      <w:r>
        <w:rPr>
          <w:sz w:val="18"/>
          <w:szCs w:val="18"/>
        </w:rPr>
        <w:t>4</w:t>
      </w:r>
      <w:r w:rsidRPr="006C3E39">
        <w:rPr>
          <w:sz w:val="18"/>
          <w:szCs w:val="18"/>
        </w:rPr>
        <w:t xml:space="preserve">, paras. </w:t>
      </w:r>
      <w:proofErr w:type="gramStart"/>
      <w:r w:rsidRPr="006C3E39">
        <w:rPr>
          <w:sz w:val="18"/>
          <w:szCs w:val="18"/>
        </w:rPr>
        <w:t>1, 6.</w:t>
      </w:r>
      <w:proofErr w:type="gramEnd"/>
      <w:r w:rsidRPr="006C3E39">
        <w:rPr>
          <w:sz w:val="18"/>
          <w:szCs w:val="18"/>
        </w:rPr>
        <w:t xml:space="preserve">  See generally Christine Chinkin, ‘Violence Against Women’, in Marsha A. Freeman, Christine Chinkin &amp; Beate Rudolf, </w:t>
      </w:r>
      <w:r w:rsidRPr="006C3E39">
        <w:rPr>
          <w:i/>
          <w:sz w:val="18"/>
          <w:szCs w:val="18"/>
        </w:rPr>
        <w:t>The UN Convention on the Elimination of All Forms of Discrimination against Women: A Commentary</w:t>
      </w:r>
      <w:r w:rsidRPr="006C3E39">
        <w:rPr>
          <w:sz w:val="18"/>
          <w:szCs w:val="18"/>
        </w:rPr>
        <w:t xml:space="preserve"> (Oxford University Press, 2012),</w:t>
      </w:r>
      <w:r w:rsidRPr="006C3E39">
        <w:rPr>
          <w:i/>
          <w:sz w:val="18"/>
          <w:szCs w:val="18"/>
        </w:rPr>
        <w:t xml:space="preserve"> </w:t>
      </w:r>
      <w:r w:rsidRPr="006C3E39">
        <w:rPr>
          <w:sz w:val="18"/>
          <w:szCs w:val="18"/>
        </w:rPr>
        <w:t xml:space="preserve">443. </w:t>
      </w:r>
    </w:p>
  </w:footnote>
  <w:footnote w:id="40">
    <w:p w14:paraId="18302B58" w14:textId="0FB9FC3B"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CEDAW, arts.</w:t>
      </w:r>
      <w:proofErr w:type="gramEnd"/>
      <w:r w:rsidRPr="006A3540">
        <w:rPr>
          <w:sz w:val="18"/>
          <w:szCs w:val="18"/>
        </w:rPr>
        <w:t xml:space="preserve"> </w:t>
      </w:r>
      <w:proofErr w:type="gramStart"/>
      <w:r w:rsidRPr="006A3540">
        <w:rPr>
          <w:sz w:val="18"/>
          <w:szCs w:val="18"/>
        </w:rPr>
        <w:t>1, 2(f), 5.</w:t>
      </w:r>
      <w:proofErr w:type="gramEnd"/>
      <w:r w:rsidRPr="006A3540">
        <w:rPr>
          <w:sz w:val="18"/>
          <w:szCs w:val="18"/>
        </w:rPr>
        <w:t xml:space="preserve">  See also </w:t>
      </w:r>
      <w:r w:rsidRPr="006A3540">
        <w:rPr>
          <w:i/>
          <w:sz w:val="18"/>
          <w:szCs w:val="18"/>
        </w:rPr>
        <w:t>R.K.B. v. Turkey</w:t>
      </w:r>
      <w:r w:rsidRPr="006A3540">
        <w:rPr>
          <w:sz w:val="18"/>
          <w:szCs w:val="18"/>
        </w:rPr>
        <w:t xml:space="preserve">, </w:t>
      </w:r>
      <w:r w:rsidRPr="006A3540">
        <w:rPr>
          <w:i/>
          <w:sz w:val="18"/>
          <w:szCs w:val="18"/>
        </w:rPr>
        <w:t xml:space="preserve">supra </w:t>
      </w:r>
      <w:r w:rsidRPr="006A3540">
        <w:rPr>
          <w:sz w:val="18"/>
          <w:szCs w:val="18"/>
        </w:rPr>
        <w:t xml:space="preserve">note </w:t>
      </w:r>
      <w:r>
        <w:rPr>
          <w:sz w:val="18"/>
          <w:szCs w:val="18"/>
        </w:rPr>
        <w:t>26</w:t>
      </w:r>
      <w:r w:rsidRPr="006C3E39">
        <w:rPr>
          <w:sz w:val="18"/>
          <w:szCs w:val="18"/>
        </w:rPr>
        <w:t xml:space="preserve">, para. 8.8; CEDAW, </w:t>
      </w:r>
      <w:r w:rsidRPr="006C3E39">
        <w:rPr>
          <w:i/>
          <w:sz w:val="18"/>
          <w:szCs w:val="18"/>
        </w:rPr>
        <w:t>General Recommendation No. 28</w:t>
      </w:r>
      <w:r w:rsidRPr="006C3E39">
        <w:rPr>
          <w:sz w:val="18"/>
          <w:szCs w:val="18"/>
        </w:rPr>
        <w:t xml:space="preserve">, supra note </w:t>
      </w:r>
      <w:r>
        <w:rPr>
          <w:sz w:val="18"/>
          <w:szCs w:val="18"/>
        </w:rPr>
        <w:t>27</w:t>
      </w:r>
      <w:r w:rsidRPr="006C3E39">
        <w:rPr>
          <w:sz w:val="18"/>
          <w:szCs w:val="18"/>
        </w:rPr>
        <w:t xml:space="preserve">, para. 5, 22; CEDAW Committee, </w:t>
      </w:r>
      <w:r w:rsidRPr="006C3E39">
        <w:rPr>
          <w:i/>
          <w:sz w:val="18"/>
          <w:szCs w:val="18"/>
        </w:rPr>
        <w:t>General Recommendation No. 25, on Article 4, Paragraph 1, of the Convention on the Elimination of All Forms of Discrimination against Women, on Temporary Special Measures</w:t>
      </w:r>
      <w:r w:rsidRPr="006C3E39">
        <w:rPr>
          <w:sz w:val="18"/>
          <w:szCs w:val="18"/>
        </w:rPr>
        <w:t>,</w:t>
      </w:r>
      <w:r w:rsidRPr="006C3E39">
        <w:rPr>
          <w:sz w:val="18"/>
          <w:szCs w:val="18"/>
          <w:lang w:val="en-US"/>
        </w:rPr>
        <w:t xml:space="preserve"> UN Doc. </w:t>
      </w:r>
      <w:proofErr w:type="gramStart"/>
      <w:r w:rsidRPr="006C3E39">
        <w:rPr>
          <w:sz w:val="18"/>
          <w:szCs w:val="18"/>
          <w:lang w:val="en-US"/>
        </w:rPr>
        <w:t xml:space="preserve">A/59/38 (2004), </w:t>
      </w:r>
      <w:r w:rsidRPr="006C3E39">
        <w:rPr>
          <w:sz w:val="18"/>
          <w:szCs w:val="18"/>
        </w:rPr>
        <w:t>para.</w:t>
      </w:r>
      <w:proofErr w:type="gramEnd"/>
      <w:r w:rsidRPr="006C3E39">
        <w:rPr>
          <w:sz w:val="18"/>
          <w:szCs w:val="18"/>
        </w:rPr>
        <w:t xml:space="preserve"> 7.</w:t>
      </w:r>
    </w:p>
  </w:footnote>
  <w:footnote w:id="41">
    <w:p w14:paraId="375D760D" w14:textId="624D4175"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R.K.B. v. Turkey</w:t>
      </w:r>
      <w:r w:rsidRPr="006A3540">
        <w:rPr>
          <w:sz w:val="18"/>
          <w:szCs w:val="18"/>
        </w:rPr>
        <w:t xml:space="preserve">, ibid; CEDAW, </w:t>
      </w:r>
      <w:r w:rsidRPr="006A3540">
        <w:rPr>
          <w:i/>
          <w:sz w:val="18"/>
          <w:szCs w:val="18"/>
        </w:rPr>
        <w:t>General Recommendation No. 28</w:t>
      </w:r>
      <w:r w:rsidRPr="006A3540">
        <w:rPr>
          <w:sz w:val="18"/>
          <w:szCs w:val="18"/>
        </w:rPr>
        <w:t xml:space="preserve">, ibid; CEDAW Committee, </w:t>
      </w:r>
      <w:r w:rsidRPr="006A3540">
        <w:rPr>
          <w:i/>
          <w:sz w:val="18"/>
          <w:szCs w:val="18"/>
        </w:rPr>
        <w:t>General Recom</w:t>
      </w:r>
      <w:r w:rsidRPr="006C3E39">
        <w:rPr>
          <w:i/>
          <w:sz w:val="18"/>
          <w:szCs w:val="18"/>
        </w:rPr>
        <w:t>mendation No. 25</w:t>
      </w:r>
      <w:r w:rsidRPr="006C3E39">
        <w:rPr>
          <w:sz w:val="18"/>
          <w:szCs w:val="18"/>
        </w:rPr>
        <w:t>, ibid.</w:t>
      </w:r>
      <w:proofErr w:type="gramEnd"/>
    </w:p>
  </w:footnote>
  <w:footnote w:id="42">
    <w:p w14:paraId="03C300E1" w14:textId="5915A772"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Cusack, </w:t>
      </w:r>
      <w:r w:rsidRPr="006A3540">
        <w:rPr>
          <w:i/>
          <w:sz w:val="18"/>
          <w:szCs w:val="18"/>
        </w:rPr>
        <w:t xml:space="preserve">supra </w:t>
      </w:r>
      <w:r w:rsidRPr="006A3540">
        <w:rPr>
          <w:sz w:val="18"/>
          <w:szCs w:val="18"/>
        </w:rPr>
        <w:t xml:space="preserve">note 10, </w:t>
      </w:r>
      <w:r w:rsidRPr="006C3E39">
        <w:rPr>
          <w:sz w:val="18"/>
          <w:szCs w:val="18"/>
        </w:rPr>
        <w:t>20-43.</w:t>
      </w:r>
    </w:p>
  </w:footnote>
  <w:footnote w:id="43">
    <w:p w14:paraId="03C7283E" w14:textId="3FAE1324" w:rsidR="001A5598" w:rsidRPr="006C3E39" w:rsidRDefault="001A5598">
      <w:pPr>
        <w:pStyle w:val="FootnoteText"/>
        <w:spacing w:after="120"/>
        <w:rPr>
          <w:i/>
          <w:sz w:val="18"/>
          <w:szCs w:val="18"/>
          <w:lang w:val="en-US"/>
        </w:rPr>
      </w:pPr>
      <w:r w:rsidRPr="006A3540">
        <w:rPr>
          <w:rStyle w:val="FootnoteReference"/>
          <w:sz w:val="18"/>
          <w:szCs w:val="18"/>
        </w:rPr>
        <w:footnoteRef/>
      </w:r>
      <w:r w:rsidRPr="006A3540">
        <w:rPr>
          <w:sz w:val="18"/>
          <w:szCs w:val="18"/>
        </w:rPr>
        <w:t xml:space="preserve"> CESCR, </w:t>
      </w:r>
      <w:r w:rsidRPr="006A3540">
        <w:rPr>
          <w:i/>
          <w:sz w:val="18"/>
          <w:szCs w:val="18"/>
        </w:rPr>
        <w:t>General Comment No. 20</w:t>
      </w:r>
      <w:r w:rsidRPr="006A3540">
        <w:rPr>
          <w:sz w:val="18"/>
          <w:szCs w:val="18"/>
        </w:rPr>
        <w:t xml:space="preserve">: </w:t>
      </w:r>
      <w:r w:rsidRPr="006C3E39">
        <w:rPr>
          <w:i/>
          <w:sz w:val="18"/>
          <w:szCs w:val="18"/>
        </w:rPr>
        <w:t>Non-discrimination in Economic, Social and Cultural Rights (art. 2, para. 2)</w:t>
      </w:r>
      <w:r w:rsidRPr="006C3E39">
        <w:rPr>
          <w:sz w:val="18"/>
          <w:szCs w:val="18"/>
        </w:rPr>
        <w:t xml:space="preserve">, UN Doc. E/C.12/GC/20 (2009), para. 20. </w:t>
      </w:r>
    </w:p>
  </w:footnote>
  <w:footnote w:id="44">
    <w:p w14:paraId="7170274C" w14:textId="01FC9984" w:rsidR="001A5598" w:rsidRPr="006C3E39" w:rsidRDefault="001A5598">
      <w:pPr>
        <w:pStyle w:val="FootnoteText"/>
        <w:spacing w:after="120"/>
        <w:rPr>
          <w:i/>
          <w:sz w:val="18"/>
          <w:szCs w:val="18"/>
          <w:lang w:val="en-US"/>
        </w:rPr>
      </w:pPr>
      <w:r w:rsidRPr="006A3540">
        <w:rPr>
          <w:rStyle w:val="FootnoteReference"/>
          <w:sz w:val="18"/>
          <w:szCs w:val="18"/>
        </w:rPr>
        <w:footnoteRef/>
      </w:r>
      <w:r w:rsidRPr="006A3540">
        <w:rPr>
          <w:sz w:val="18"/>
          <w:szCs w:val="18"/>
        </w:rPr>
        <w:t xml:space="preserve"> </w:t>
      </w:r>
      <w:r w:rsidRPr="006A3540">
        <w:rPr>
          <w:sz w:val="18"/>
          <w:szCs w:val="18"/>
          <w:lang w:val="en-US"/>
        </w:rPr>
        <w:t xml:space="preserve">CESCR, </w:t>
      </w:r>
      <w:r w:rsidRPr="006A3540">
        <w:rPr>
          <w:i/>
          <w:sz w:val="18"/>
          <w:szCs w:val="18"/>
          <w:lang w:val="en-US"/>
        </w:rPr>
        <w:t>General Comment No. 16</w:t>
      </w:r>
      <w:r w:rsidRPr="006A3540">
        <w:rPr>
          <w:sz w:val="18"/>
          <w:szCs w:val="18"/>
          <w:lang w:val="en-US"/>
        </w:rPr>
        <w:t xml:space="preserve">: </w:t>
      </w:r>
      <w:r w:rsidRPr="006C3E39">
        <w:rPr>
          <w:i/>
          <w:sz w:val="18"/>
          <w:szCs w:val="18"/>
        </w:rPr>
        <w:t>The Equal Right of Men and Women to the Enjoyment of All Economic, Social and Cultural Rights (art. 3 of the International Covenant on Economic, Social and Cultural Rights</w:t>
      </w:r>
      <w:r w:rsidRPr="006C3E39">
        <w:rPr>
          <w:sz w:val="18"/>
          <w:szCs w:val="18"/>
        </w:rPr>
        <w:t>)</w:t>
      </w:r>
      <w:r w:rsidRPr="006C3E39">
        <w:rPr>
          <w:sz w:val="18"/>
          <w:szCs w:val="18"/>
          <w:lang w:val="en-US"/>
        </w:rPr>
        <w:t xml:space="preserve">, UN Doc. E/C.12/2005/4 (2005), para. 11.  </w:t>
      </w:r>
    </w:p>
  </w:footnote>
  <w:footnote w:id="45">
    <w:p w14:paraId="76A07B54" w14:textId="2A3E2FB0"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w:t>
      </w:r>
      <w:r w:rsidRPr="006A3540">
        <w:rPr>
          <w:sz w:val="18"/>
          <w:szCs w:val="18"/>
          <w:lang w:val="es-MX"/>
        </w:rPr>
        <w:t>Ibid</w:t>
      </w:r>
      <w:r w:rsidRPr="006A3540">
        <w:rPr>
          <w:sz w:val="18"/>
          <w:szCs w:val="18"/>
          <w:lang w:val="en-US"/>
        </w:rPr>
        <w:t xml:space="preserve">, para. 14. </w:t>
      </w:r>
      <w:r w:rsidRPr="006C3E39">
        <w:rPr>
          <w:sz w:val="18"/>
          <w:szCs w:val="18"/>
          <w:lang w:val="en-US"/>
        </w:rPr>
        <w:t xml:space="preserve"> </w:t>
      </w:r>
    </w:p>
  </w:footnote>
  <w:footnote w:id="46">
    <w:p w14:paraId="0BC8F359" w14:textId="6D0E0BD1"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i/>
          <w:sz w:val="18"/>
          <w:szCs w:val="18"/>
        </w:rPr>
        <w:t xml:space="preserve"> Case of Atala Riffo and Daughters v. Chile</w:t>
      </w:r>
      <w:r w:rsidRPr="006A3540">
        <w:rPr>
          <w:sz w:val="18"/>
          <w:szCs w:val="18"/>
        </w:rPr>
        <w:t xml:space="preserve">, </w:t>
      </w:r>
      <w:r w:rsidRPr="006A3540">
        <w:rPr>
          <w:i/>
          <w:sz w:val="18"/>
          <w:szCs w:val="18"/>
        </w:rPr>
        <w:t xml:space="preserve">supra </w:t>
      </w:r>
      <w:r w:rsidRPr="006A3540">
        <w:rPr>
          <w:sz w:val="18"/>
          <w:szCs w:val="18"/>
        </w:rPr>
        <w:t>note 2</w:t>
      </w:r>
      <w:r>
        <w:rPr>
          <w:sz w:val="18"/>
          <w:szCs w:val="18"/>
        </w:rPr>
        <w:t>1</w:t>
      </w:r>
      <w:r w:rsidRPr="006C3E39">
        <w:rPr>
          <w:sz w:val="18"/>
          <w:szCs w:val="18"/>
        </w:rPr>
        <w:t xml:space="preserve">, para. 146.  </w:t>
      </w:r>
    </w:p>
  </w:footnote>
  <w:footnote w:id="47">
    <w:p w14:paraId="0E20D6C6" w14:textId="6D6759C2"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See also CEDAW, art. 2(c) (requiring States Parties ‘[t]o establish legal protection of the rights of women on an equal basis with men and to ensure through competent national tribunals and other public institutions the effective protection of women against any act of discrimination’).</w:t>
      </w:r>
    </w:p>
  </w:footnote>
  <w:footnote w:id="48">
    <w:p w14:paraId="4921A8E1" w14:textId="3E7FDE45"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Human Rights Committee, </w:t>
      </w:r>
      <w:r w:rsidRPr="006A3540">
        <w:rPr>
          <w:i/>
          <w:sz w:val="18"/>
          <w:szCs w:val="18"/>
        </w:rPr>
        <w:t>General Comment No. 32: Article 14: Right to Equality before Courts and Tribunals and to a Fair Trial</w:t>
      </w:r>
      <w:r w:rsidRPr="006A3540">
        <w:rPr>
          <w:sz w:val="18"/>
          <w:szCs w:val="18"/>
        </w:rPr>
        <w:t xml:space="preserve">, UN Doc. CCPR/C/GC/32 (2007), paras. </w:t>
      </w:r>
      <w:proofErr w:type="gramStart"/>
      <w:r w:rsidRPr="006A3540">
        <w:rPr>
          <w:sz w:val="18"/>
          <w:szCs w:val="18"/>
        </w:rPr>
        <w:t>2, 7-9, 21, 25, 65.</w:t>
      </w:r>
      <w:proofErr w:type="gramEnd"/>
    </w:p>
  </w:footnote>
  <w:footnote w:id="49">
    <w:p w14:paraId="68B6B486" w14:textId="48E8045F"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w:t>
      </w:r>
      <w:proofErr w:type="gramStart"/>
      <w:r w:rsidRPr="006A3540">
        <w:rPr>
          <w:i/>
          <w:sz w:val="18"/>
          <w:szCs w:val="18"/>
        </w:rPr>
        <w:t>Karen Tayag Vertido v.</w:t>
      </w:r>
      <w:proofErr w:type="gramEnd"/>
      <w:r w:rsidRPr="006A3540">
        <w:rPr>
          <w:i/>
          <w:sz w:val="18"/>
          <w:szCs w:val="18"/>
        </w:rPr>
        <w:t xml:space="preserve"> The Philippines</w:t>
      </w:r>
      <w:r w:rsidRPr="006A3540">
        <w:rPr>
          <w:sz w:val="18"/>
          <w:szCs w:val="18"/>
        </w:rPr>
        <w:t xml:space="preserve">, </w:t>
      </w:r>
      <w:r w:rsidRPr="006A3540">
        <w:rPr>
          <w:i/>
          <w:sz w:val="18"/>
          <w:szCs w:val="18"/>
        </w:rPr>
        <w:t xml:space="preserve">supra </w:t>
      </w:r>
      <w:r w:rsidRPr="006A3540">
        <w:rPr>
          <w:sz w:val="18"/>
          <w:szCs w:val="18"/>
        </w:rPr>
        <w:t xml:space="preserve">note </w:t>
      </w:r>
      <w:r>
        <w:rPr>
          <w:sz w:val="18"/>
          <w:szCs w:val="18"/>
        </w:rPr>
        <w:t>29</w:t>
      </w:r>
      <w:r w:rsidRPr="006C3E39">
        <w:rPr>
          <w:sz w:val="18"/>
          <w:szCs w:val="18"/>
        </w:rPr>
        <w:t xml:space="preserve">, para. 8.4.  See also </w:t>
      </w:r>
      <w:r w:rsidRPr="006C3E39">
        <w:rPr>
          <w:i/>
          <w:sz w:val="18"/>
          <w:szCs w:val="18"/>
        </w:rPr>
        <w:t>R.P.B. v. The Philippines</w:t>
      </w:r>
      <w:r w:rsidRPr="006C3E39">
        <w:rPr>
          <w:sz w:val="18"/>
          <w:szCs w:val="18"/>
        </w:rPr>
        <w:t xml:space="preserve">, </w:t>
      </w:r>
      <w:r w:rsidRPr="006C3E39">
        <w:rPr>
          <w:iCs/>
          <w:sz w:val="18"/>
          <w:szCs w:val="18"/>
        </w:rPr>
        <w:t>Communication No. 34/2011, UN Doc. CEDAW/C/57/D/34/2011 (2014)</w:t>
      </w:r>
      <w:r w:rsidRPr="006C3E39">
        <w:rPr>
          <w:sz w:val="18"/>
          <w:szCs w:val="18"/>
        </w:rPr>
        <w:t xml:space="preserve">, para. </w:t>
      </w:r>
      <w:proofErr w:type="gramStart"/>
      <w:r w:rsidRPr="006C3E39">
        <w:rPr>
          <w:sz w:val="18"/>
          <w:szCs w:val="18"/>
        </w:rPr>
        <w:t>8.8</w:t>
      </w:r>
      <w:r>
        <w:rPr>
          <w:sz w:val="18"/>
          <w:szCs w:val="18"/>
        </w:rPr>
        <w:t xml:space="preserve"> </w:t>
      </w:r>
      <w:r w:rsidRPr="006C3E39">
        <w:rPr>
          <w:iCs/>
          <w:sz w:val="18"/>
          <w:szCs w:val="18"/>
        </w:rPr>
        <w:t>(CEDAW)</w:t>
      </w:r>
      <w:r w:rsidRPr="006C3E39">
        <w:rPr>
          <w:sz w:val="18"/>
          <w:szCs w:val="18"/>
        </w:rPr>
        <w:t xml:space="preserve">; </w:t>
      </w:r>
      <w:r w:rsidRPr="006C3E39">
        <w:rPr>
          <w:i/>
          <w:sz w:val="18"/>
          <w:szCs w:val="18"/>
        </w:rPr>
        <w:t>V.K. v. Bulgaria</w:t>
      </w:r>
      <w:r w:rsidRPr="006C3E39">
        <w:rPr>
          <w:sz w:val="18"/>
          <w:szCs w:val="18"/>
        </w:rPr>
        <w:t>, para.</w:t>
      </w:r>
      <w:proofErr w:type="gramEnd"/>
      <w:r w:rsidRPr="006C3E39">
        <w:rPr>
          <w:sz w:val="18"/>
          <w:szCs w:val="18"/>
        </w:rPr>
        <w:t xml:space="preserve"> </w:t>
      </w:r>
      <w:proofErr w:type="gramStart"/>
      <w:r w:rsidRPr="006C3E39">
        <w:rPr>
          <w:i/>
          <w:sz w:val="18"/>
          <w:szCs w:val="18"/>
        </w:rPr>
        <w:t>supra</w:t>
      </w:r>
      <w:proofErr w:type="gramEnd"/>
      <w:r w:rsidRPr="006C3E39">
        <w:rPr>
          <w:i/>
          <w:sz w:val="18"/>
          <w:szCs w:val="18"/>
        </w:rPr>
        <w:t xml:space="preserve"> </w:t>
      </w:r>
      <w:r w:rsidRPr="006C3E39">
        <w:rPr>
          <w:sz w:val="18"/>
          <w:szCs w:val="18"/>
        </w:rPr>
        <w:t xml:space="preserve">note </w:t>
      </w:r>
      <w:r>
        <w:rPr>
          <w:sz w:val="18"/>
          <w:szCs w:val="18"/>
        </w:rPr>
        <w:t>29</w:t>
      </w:r>
      <w:r w:rsidRPr="006C3E39">
        <w:rPr>
          <w:sz w:val="18"/>
          <w:szCs w:val="18"/>
        </w:rPr>
        <w:t xml:space="preserve">, para. 9.11.  </w:t>
      </w:r>
    </w:p>
  </w:footnote>
  <w:footnote w:id="50">
    <w:p w14:paraId="516ACF58" w14:textId="5E9B798E"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w:t>
      </w:r>
      <w:r w:rsidRPr="006A3540">
        <w:rPr>
          <w:i/>
          <w:sz w:val="18"/>
          <w:szCs w:val="18"/>
        </w:rPr>
        <w:t xml:space="preserve">R.P.B. v. </w:t>
      </w:r>
      <w:proofErr w:type="gramStart"/>
      <w:r w:rsidRPr="006A3540">
        <w:rPr>
          <w:i/>
          <w:sz w:val="18"/>
          <w:szCs w:val="18"/>
        </w:rPr>
        <w:t>The Philippines</w:t>
      </w:r>
      <w:r w:rsidRPr="006A3540">
        <w:rPr>
          <w:sz w:val="18"/>
          <w:szCs w:val="18"/>
        </w:rPr>
        <w:t>, ibid</w:t>
      </w:r>
      <w:r w:rsidRPr="006C3E39">
        <w:rPr>
          <w:sz w:val="18"/>
          <w:szCs w:val="18"/>
        </w:rPr>
        <w:t>, paras.</w:t>
      </w:r>
      <w:proofErr w:type="gramEnd"/>
      <w:r w:rsidRPr="006C3E39">
        <w:rPr>
          <w:sz w:val="18"/>
          <w:szCs w:val="18"/>
        </w:rPr>
        <w:t xml:space="preserve"> 9(b</w:t>
      </w:r>
      <w:proofErr w:type="gramStart"/>
      <w:r w:rsidRPr="006C3E39">
        <w:rPr>
          <w:sz w:val="18"/>
          <w:szCs w:val="18"/>
        </w:rPr>
        <w:t>)(</w:t>
      </w:r>
      <w:proofErr w:type="gramEnd"/>
      <w:r w:rsidRPr="006C3E39">
        <w:rPr>
          <w:sz w:val="18"/>
          <w:szCs w:val="18"/>
        </w:rPr>
        <w:t xml:space="preserve">iii), 9(b)(iv).  </w:t>
      </w:r>
    </w:p>
  </w:footnote>
  <w:footnote w:id="51">
    <w:p w14:paraId="3F76B1A3" w14:textId="131238F8"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Human Rights Committee, </w:t>
      </w:r>
      <w:r w:rsidRPr="006A3540">
        <w:rPr>
          <w:i/>
          <w:sz w:val="18"/>
          <w:szCs w:val="18"/>
        </w:rPr>
        <w:t>General Comment No. 32</w:t>
      </w:r>
      <w:r>
        <w:rPr>
          <w:sz w:val="18"/>
          <w:szCs w:val="18"/>
        </w:rPr>
        <w:t xml:space="preserve">, </w:t>
      </w:r>
      <w:r>
        <w:rPr>
          <w:i/>
          <w:sz w:val="18"/>
          <w:szCs w:val="18"/>
        </w:rPr>
        <w:t xml:space="preserve">supra </w:t>
      </w:r>
      <w:r>
        <w:rPr>
          <w:sz w:val="18"/>
          <w:szCs w:val="18"/>
        </w:rPr>
        <w:t xml:space="preserve">note 48, </w:t>
      </w:r>
      <w:r w:rsidRPr="006A3540">
        <w:rPr>
          <w:sz w:val="18"/>
          <w:szCs w:val="18"/>
        </w:rPr>
        <w:t>para. 21.</w:t>
      </w:r>
    </w:p>
  </w:footnote>
  <w:footnote w:id="52">
    <w:p w14:paraId="484A8619" w14:textId="75B16B30" w:rsidR="001A5598" w:rsidRPr="006C3E39" w:rsidRDefault="001A5598">
      <w:pPr>
        <w:pStyle w:val="FootnoteText"/>
        <w:spacing w:after="120"/>
        <w:rPr>
          <w:rFonts w:eastAsia="Times New Roman" w:cs="Times New Roman"/>
          <w:sz w:val="18"/>
          <w:szCs w:val="18"/>
        </w:rPr>
      </w:pPr>
      <w:r w:rsidRPr="006A3540">
        <w:rPr>
          <w:rStyle w:val="FootnoteReference"/>
          <w:sz w:val="18"/>
          <w:szCs w:val="18"/>
        </w:rPr>
        <w:footnoteRef/>
      </w:r>
      <w:r w:rsidRPr="006A3540">
        <w:rPr>
          <w:sz w:val="18"/>
          <w:szCs w:val="18"/>
        </w:rPr>
        <w:t xml:space="preserve"> </w:t>
      </w:r>
      <w:proofErr w:type="gramStart"/>
      <w:r>
        <w:rPr>
          <w:sz w:val="18"/>
          <w:szCs w:val="18"/>
        </w:rPr>
        <w:t>Ibid</w:t>
      </w:r>
      <w:r w:rsidRPr="006A3540">
        <w:rPr>
          <w:sz w:val="18"/>
          <w:szCs w:val="18"/>
        </w:rPr>
        <w:t>, para.</w:t>
      </w:r>
      <w:proofErr w:type="gramEnd"/>
      <w:r w:rsidRPr="006A3540">
        <w:rPr>
          <w:sz w:val="18"/>
          <w:szCs w:val="18"/>
        </w:rPr>
        <w:t xml:space="preserve"> 58.  See also Human Rights Committee, </w:t>
      </w:r>
      <w:r w:rsidRPr="006A3540">
        <w:rPr>
          <w:i/>
          <w:sz w:val="18"/>
          <w:szCs w:val="18"/>
        </w:rPr>
        <w:t xml:space="preserve">General Comment No. 28: </w:t>
      </w:r>
      <w:r w:rsidRPr="006C3E39">
        <w:rPr>
          <w:bCs/>
          <w:i/>
          <w:sz w:val="18"/>
          <w:szCs w:val="18"/>
        </w:rPr>
        <w:t xml:space="preserve">Equality of Rights between Men and Women (article 3), </w:t>
      </w:r>
      <w:r w:rsidRPr="006C3E39">
        <w:rPr>
          <w:bCs/>
          <w:sz w:val="18"/>
          <w:szCs w:val="18"/>
        </w:rPr>
        <w:t>UN Doc. CCPR/C/21/Rev.1/Add.10 (2000)</w:t>
      </w:r>
      <w:r w:rsidRPr="006C3E39">
        <w:rPr>
          <w:sz w:val="18"/>
          <w:szCs w:val="18"/>
        </w:rPr>
        <w:t xml:space="preserve">, para. 11; Human Rights Committee, </w:t>
      </w:r>
      <w:r w:rsidRPr="006C3E39">
        <w:rPr>
          <w:i/>
          <w:sz w:val="18"/>
          <w:szCs w:val="18"/>
        </w:rPr>
        <w:t>General Comment No. 31: The Nature of the General Legal Obligation on States Parties to the Covenant</w:t>
      </w:r>
      <w:r w:rsidRPr="006C3E39">
        <w:rPr>
          <w:sz w:val="18"/>
          <w:szCs w:val="18"/>
        </w:rPr>
        <w:t xml:space="preserve">, UN Doc. CCPR/C/21/Rev.1/Add.13 (2004), paras. 14-17, 19-20.  </w:t>
      </w:r>
    </w:p>
  </w:footnote>
  <w:footnote w:id="53">
    <w:p w14:paraId="76E2DCC3" w14:textId="36F1D196"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rPr>
        <w:t>R.P.B. v. The Philippines</w:t>
      </w:r>
      <w:r w:rsidRPr="006A3540">
        <w:rPr>
          <w:sz w:val="18"/>
          <w:szCs w:val="18"/>
        </w:rPr>
        <w:t xml:space="preserve">, </w:t>
      </w:r>
      <w:r w:rsidRPr="006A3540">
        <w:rPr>
          <w:i/>
          <w:sz w:val="18"/>
          <w:szCs w:val="18"/>
        </w:rPr>
        <w:t xml:space="preserve">supra </w:t>
      </w:r>
      <w:r w:rsidRPr="006A3540">
        <w:rPr>
          <w:sz w:val="18"/>
          <w:szCs w:val="18"/>
        </w:rPr>
        <w:t xml:space="preserve">note </w:t>
      </w:r>
      <w:r>
        <w:rPr>
          <w:sz w:val="18"/>
          <w:szCs w:val="18"/>
        </w:rPr>
        <w:t>49</w:t>
      </w:r>
      <w:r w:rsidRPr="006C3E39">
        <w:rPr>
          <w:sz w:val="18"/>
          <w:szCs w:val="18"/>
        </w:rPr>
        <w:t xml:space="preserve">, para. </w:t>
      </w:r>
      <w:proofErr w:type="gramStart"/>
      <w:r w:rsidRPr="006C3E39">
        <w:rPr>
          <w:sz w:val="18"/>
          <w:szCs w:val="18"/>
        </w:rPr>
        <w:t xml:space="preserve">8.3; </w:t>
      </w:r>
      <w:r w:rsidRPr="006C3E39">
        <w:rPr>
          <w:i/>
          <w:sz w:val="18"/>
          <w:szCs w:val="18"/>
        </w:rPr>
        <w:t>Karen Tayag Vertido v.</w:t>
      </w:r>
      <w:proofErr w:type="gramEnd"/>
      <w:r w:rsidRPr="006C3E39">
        <w:rPr>
          <w:i/>
          <w:sz w:val="18"/>
          <w:szCs w:val="18"/>
        </w:rPr>
        <w:t xml:space="preserve"> The Philippines</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29</w:t>
      </w:r>
      <w:r w:rsidRPr="006C3E39">
        <w:rPr>
          <w:sz w:val="18"/>
          <w:szCs w:val="18"/>
        </w:rPr>
        <w:t xml:space="preserve">, para. 8.3; CEDAW Committee, </w:t>
      </w:r>
      <w:r w:rsidRPr="006C3E39">
        <w:rPr>
          <w:i/>
          <w:sz w:val="18"/>
          <w:szCs w:val="18"/>
        </w:rPr>
        <w:t>General Recommendation No. 28</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27</w:t>
      </w:r>
      <w:r w:rsidRPr="006C3E39">
        <w:rPr>
          <w:sz w:val="18"/>
          <w:szCs w:val="18"/>
        </w:rPr>
        <w:t xml:space="preserve">, paras. </w:t>
      </w:r>
      <w:proofErr w:type="gramStart"/>
      <w:r w:rsidRPr="006C3E39">
        <w:rPr>
          <w:sz w:val="18"/>
          <w:szCs w:val="18"/>
        </w:rPr>
        <w:t>32, 34.</w:t>
      </w:r>
      <w:proofErr w:type="gramEnd"/>
      <w:r w:rsidRPr="006C3E39">
        <w:rPr>
          <w:sz w:val="18"/>
          <w:szCs w:val="18"/>
        </w:rPr>
        <w:t xml:space="preserve">  </w:t>
      </w:r>
    </w:p>
  </w:footnote>
  <w:footnote w:id="54">
    <w:p w14:paraId="14F01CF3" w14:textId="029419A1"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 xml:space="preserve">CEDAW Committee, </w:t>
      </w:r>
      <w:r w:rsidRPr="006A3540">
        <w:rPr>
          <w:i/>
          <w:sz w:val="18"/>
          <w:szCs w:val="18"/>
        </w:rPr>
        <w:t>General Recommendation No. 28</w:t>
      </w:r>
      <w:r w:rsidRPr="006A3540">
        <w:rPr>
          <w:sz w:val="18"/>
          <w:szCs w:val="18"/>
        </w:rPr>
        <w:t>, ibid, para.</w:t>
      </w:r>
      <w:proofErr w:type="gramEnd"/>
      <w:r w:rsidRPr="006A3540">
        <w:rPr>
          <w:sz w:val="18"/>
          <w:szCs w:val="18"/>
        </w:rPr>
        <w:t xml:space="preserve"> 32.  </w:t>
      </w:r>
    </w:p>
  </w:footnote>
  <w:footnote w:id="55">
    <w:p w14:paraId="66650A4B" w14:textId="774DC06A"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 para.</w:t>
      </w:r>
      <w:proofErr w:type="gramEnd"/>
      <w:r w:rsidRPr="006A3540">
        <w:rPr>
          <w:sz w:val="18"/>
          <w:szCs w:val="18"/>
        </w:rPr>
        <w:t xml:space="preserve"> 34.  </w:t>
      </w:r>
    </w:p>
  </w:footnote>
  <w:footnote w:id="56">
    <w:p w14:paraId="1441EC60" w14:textId="7602454D"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CEDAW Committee, </w:t>
      </w:r>
      <w:r w:rsidRPr="006A3540">
        <w:rPr>
          <w:i/>
          <w:sz w:val="18"/>
          <w:szCs w:val="18"/>
        </w:rPr>
        <w:t>General Recommendation No. 19</w:t>
      </w:r>
      <w:r w:rsidRPr="006A3540">
        <w:rPr>
          <w:sz w:val="18"/>
          <w:szCs w:val="18"/>
        </w:rPr>
        <w:t xml:space="preserve">, </w:t>
      </w:r>
      <w:r w:rsidRPr="006A3540">
        <w:rPr>
          <w:i/>
          <w:sz w:val="18"/>
          <w:szCs w:val="18"/>
        </w:rPr>
        <w:t xml:space="preserve">supra </w:t>
      </w:r>
      <w:r w:rsidRPr="006A3540">
        <w:rPr>
          <w:sz w:val="18"/>
          <w:szCs w:val="18"/>
        </w:rPr>
        <w:t xml:space="preserve">note </w:t>
      </w:r>
      <w:r w:rsidRPr="006C3E39">
        <w:rPr>
          <w:sz w:val="18"/>
          <w:szCs w:val="18"/>
        </w:rPr>
        <w:t>1</w:t>
      </w:r>
      <w:r>
        <w:rPr>
          <w:sz w:val="18"/>
          <w:szCs w:val="18"/>
        </w:rPr>
        <w:t>4</w:t>
      </w:r>
      <w:r w:rsidRPr="006C3E39">
        <w:rPr>
          <w:sz w:val="18"/>
          <w:szCs w:val="18"/>
        </w:rPr>
        <w:t>, paras. 24(</w:t>
      </w:r>
      <w:proofErr w:type="spellStart"/>
      <w:r w:rsidRPr="006C3E39">
        <w:rPr>
          <w:sz w:val="18"/>
          <w:szCs w:val="18"/>
        </w:rPr>
        <w:t>i</w:t>
      </w:r>
      <w:proofErr w:type="spellEnd"/>
      <w:r w:rsidRPr="006C3E39">
        <w:rPr>
          <w:sz w:val="18"/>
          <w:szCs w:val="18"/>
        </w:rPr>
        <w:t>), 24(r</w:t>
      </w:r>
      <w:proofErr w:type="gramStart"/>
      <w:r w:rsidRPr="006C3E39">
        <w:rPr>
          <w:sz w:val="18"/>
          <w:szCs w:val="18"/>
        </w:rPr>
        <w:t>)(</w:t>
      </w:r>
      <w:proofErr w:type="spellStart"/>
      <w:proofErr w:type="gramEnd"/>
      <w:r w:rsidRPr="006C3E39">
        <w:rPr>
          <w:sz w:val="18"/>
          <w:szCs w:val="18"/>
        </w:rPr>
        <w:t>i</w:t>
      </w:r>
      <w:proofErr w:type="spellEnd"/>
      <w:r w:rsidRPr="006C3E39">
        <w:rPr>
          <w:sz w:val="18"/>
          <w:szCs w:val="18"/>
        </w:rPr>
        <w:t>), 24(t)(</w:t>
      </w:r>
      <w:proofErr w:type="spellStart"/>
      <w:r w:rsidRPr="006C3E39">
        <w:rPr>
          <w:sz w:val="18"/>
          <w:szCs w:val="18"/>
        </w:rPr>
        <w:t>i</w:t>
      </w:r>
      <w:proofErr w:type="spellEnd"/>
      <w:r w:rsidRPr="006C3E39">
        <w:rPr>
          <w:sz w:val="18"/>
          <w:szCs w:val="18"/>
        </w:rPr>
        <w:t xml:space="preserve">).  </w:t>
      </w:r>
    </w:p>
  </w:footnote>
  <w:footnote w:id="57">
    <w:p w14:paraId="06E66150" w14:textId="6B2164E0"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rPr>
        <w:t>R.P.B. v. The Philippines</w:t>
      </w:r>
      <w:r w:rsidRPr="006A3540">
        <w:rPr>
          <w:sz w:val="18"/>
          <w:szCs w:val="18"/>
        </w:rPr>
        <w:t xml:space="preserve">, </w:t>
      </w:r>
      <w:r w:rsidRPr="006A3540">
        <w:rPr>
          <w:i/>
          <w:sz w:val="18"/>
          <w:szCs w:val="18"/>
        </w:rPr>
        <w:t xml:space="preserve">supra </w:t>
      </w:r>
      <w:r w:rsidRPr="006A3540">
        <w:rPr>
          <w:sz w:val="18"/>
          <w:szCs w:val="18"/>
        </w:rPr>
        <w:t xml:space="preserve">note </w:t>
      </w:r>
      <w:r>
        <w:rPr>
          <w:sz w:val="18"/>
          <w:szCs w:val="18"/>
        </w:rPr>
        <w:t>49</w:t>
      </w:r>
      <w:r w:rsidRPr="006C3E39">
        <w:rPr>
          <w:sz w:val="18"/>
          <w:szCs w:val="18"/>
        </w:rPr>
        <w:t xml:space="preserve">, para. </w:t>
      </w:r>
      <w:proofErr w:type="gramStart"/>
      <w:r w:rsidRPr="006C3E39">
        <w:rPr>
          <w:sz w:val="18"/>
          <w:szCs w:val="18"/>
        </w:rPr>
        <w:t>8.3 [citations omitted].</w:t>
      </w:r>
      <w:proofErr w:type="gramEnd"/>
      <w:r w:rsidRPr="006C3E39">
        <w:rPr>
          <w:sz w:val="18"/>
          <w:szCs w:val="18"/>
        </w:rPr>
        <w:t xml:space="preserve">  See also </w:t>
      </w:r>
      <w:r w:rsidRPr="006C3E39">
        <w:rPr>
          <w:i/>
          <w:sz w:val="18"/>
          <w:szCs w:val="18"/>
        </w:rPr>
        <w:t>Karen Tayag Vertido v. The Philippines</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29</w:t>
      </w:r>
      <w:r w:rsidRPr="006C3E39">
        <w:rPr>
          <w:sz w:val="18"/>
          <w:szCs w:val="18"/>
        </w:rPr>
        <w:t>, para. 8.3.</w:t>
      </w:r>
    </w:p>
  </w:footnote>
  <w:footnote w:id="58">
    <w:p w14:paraId="6735BE50" w14:textId="7B27D889"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Cook &amp; Cusack, </w:t>
      </w:r>
      <w:r w:rsidRPr="006A3540">
        <w:rPr>
          <w:i/>
          <w:sz w:val="18"/>
          <w:szCs w:val="18"/>
        </w:rPr>
        <w:t>supra</w:t>
      </w:r>
      <w:r w:rsidRPr="006A3540">
        <w:rPr>
          <w:sz w:val="18"/>
          <w:szCs w:val="18"/>
        </w:rPr>
        <w:t xml:space="preserve"> note </w:t>
      </w:r>
      <w:r>
        <w:rPr>
          <w:sz w:val="18"/>
          <w:szCs w:val="18"/>
        </w:rPr>
        <w:t>16</w:t>
      </w:r>
      <w:r w:rsidRPr="006A3540">
        <w:rPr>
          <w:sz w:val="18"/>
          <w:szCs w:val="18"/>
        </w:rPr>
        <w:t>, 9</w:t>
      </w:r>
      <w:r w:rsidRPr="006C3E39">
        <w:rPr>
          <w:bCs/>
          <w:sz w:val="18"/>
          <w:szCs w:val="18"/>
        </w:rPr>
        <w:t>.</w:t>
      </w:r>
    </w:p>
  </w:footnote>
  <w:footnote w:id="59">
    <w:p w14:paraId="431E85B8" w14:textId="6D500C2B"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Ibid</w:t>
      </w:r>
      <w:r w:rsidRPr="006A3540">
        <w:rPr>
          <w:bCs/>
          <w:sz w:val="18"/>
          <w:szCs w:val="18"/>
        </w:rPr>
        <w:t>.</w:t>
      </w:r>
    </w:p>
  </w:footnote>
  <w:footnote w:id="60">
    <w:p w14:paraId="01F362FF" w14:textId="0EB8FA6E" w:rsidR="001A5598" w:rsidRPr="006C3E39" w:rsidRDefault="001A5598">
      <w:pPr>
        <w:spacing w:before="0"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w:t>
      </w:r>
      <w:r w:rsidRPr="006C3E39">
        <w:rPr>
          <w:sz w:val="18"/>
          <w:szCs w:val="18"/>
        </w:rPr>
        <w:t>, 12.</w:t>
      </w:r>
      <w:proofErr w:type="gramEnd"/>
      <w:r w:rsidRPr="006C3E39">
        <w:rPr>
          <w:sz w:val="18"/>
          <w:szCs w:val="18"/>
        </w:rPr>
        <w:t xml:space="preserve"> </w:t>
      </w:r>
    </w:p>
  </w:footnote>
  <w:footnote w:id="61">
    <w:p w14:paraId="0CECEAB3" w14:textId="6A99FEA4"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 20.</w:t>
      </w:r>
      <w:proofErr w:type="gramEnd"/>
      <w:r w:rsidRPr="006A3540">
        <w:rPr>
          <w:sz w:val="18"/>
          <w:szCs w:val="18"/>
        </w:rPr>
        <w:t xml:space="preserve">  </w:t>
      </w:r>
      <w:r w:rsidRPr="006C3E39">
        <w:rPr>
          <w:sz w:val="18"/>
          <w:szCs w:val="18"/>
        </w:rPr>
        <w:t xml:space="preserve">See also Gabriella Knaul, </w:t>
      </w:r>
      <w:r w:rsidRPr="006C3E39">
        <w:rPr>
          <w:i/>
          <w:sz w:val="18"/>
          <w:szCs w:val="18"/>
        </w:rPr>
        <w:t xml:space="preserve">Report of the </w:t>
      </w:r>
      <w:r w:rsidRPr="006C3E39">
        <w:rPr>
          <w:bCs/>
          <w:i/>
          <w:sz w:val="18"/>
          <w:szCs w:val="18"/>
        </w:rPr>
        <w:t>Special Rapporteur on the independence of judges and lawyers</w:t>
      </w:r>
      <w:r w:rsidRPr="006C3E39">
        <w:rPr>
          <w:bCs/>
          <w:sz w:val="18"/>
          <w:szCs w:val="18"/>
        </w:rPr>
        <w:t xml:space="preserve">, UN Doc. </w:t>
      </w:r>
      <w:proofErr w:type="gramStart"/>
      <w:r w:rsidRPr="006C3E39">
        <w:rPr>
          <w:bCs/>
          <w:sz w:val="18"/>
          <w:szCs w:val="18"/>
        </w:rPr>
        <w:t>A/66/289 (2011), para.</w:t>
      </w:r>
      <w:proofErr w:type="gramEnd"/>
      <w:r w:rsidRPr="006C3E39">
        <w:rPr>
          <w:bCs/>
          <w:sz w:val="18"/>
          <w:szCs w:val="18"/>
        </w:rPr>
        <w:t xml:space="preserve"> 19.</w:t>
      </w:r>
    </w:p>
  </w:footnote>
  <w:footnote w:id="62">
    <w:p w14:paraId="1F951B7D" w14:textId="3638F90C"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Cook and Cusack, </w:t>
      </w:r>
      <w:r w:rsidRPr="006A3540">
        <w:rPr>
          <w:i/>
          <w:sz w:val="18"/>
          <w:szCs w:val="18"/>
        </w:rPr>
        <w:t>supra</w:t>
      </w:r>
      <w:r w:rsidRPr="006A3540">
        <w:rPr>
          <w:sz w:val="18"/>
          <w:szCs w:val="18"/>
        </w:rPr>
        <w:t xml:space="preserve"> note </w:t>
      </w:r>
      <w:r>
        <w:rPr>
          <w:sz w:val="18"/>
          <w:szCs w:val="18"/>
        </w:rPr>
        <w:t>16</w:t>
      </w:r>
      <w:r w:rsidRPr="006A3540">
        <w:rPr>
          <w:sz w:val="18"/>
          <w:szCs w:val="18"/>
        </w:rPr>
        <w:t>, 20</w:t>
      </w:r>
      <w:r w:rsidRPr="006C3E39">
        <w:rPr>
          <w:sz w:val="18"/>
          <w:szCs w:val="18"/>
        </w:rPr>
        <w:t xml:space="preserve">; </w:t>
      </w:r>
      <w:r w:rsidRPr="006C3E39">
        <w:rPr>
          <w:i/>
          <w:sz w:val="18"/>
          <w:szCs w:val="18"/>
        </w:rPr>
        <w:t>Case of González et al. (‘Cotton Field’) v. Mexico</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15</w:t>
      </w:r>
      <w:r w:rsidRPr="006C3E39">
        <w:rPr>
          <w:sz w:val="18"/>
          <w:szCs w:val="18"/>
        </w:rPr>
        <w:t xml:space="preserve">, para. 401. </w:t>
      </w:r>
    </w:p>
  </w:footnote>
  <w:footnote w:id="63">
    <w:p w14:paraId="72D7EC3E" w14:textId="0A55B27D"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Cook and Cusack, ibid, 25.</w:t>
      </w:r>
      <w:proofErr w:type="gramEnd"/>
      <w:r w:rsidRPr="006A3540">
        <w:rPr>
          <w:sz w:val="18"/>
          <w:szCs w:val="18"/>
        </w:rPr>
        <w:t xml:space="preserve">  </w:t>
      </w:r>
    </w:p>
  </w:footnote>
  <w:footnote w:id="64">
    <w:p w14:paraId="608EFF15" w14:textId="12A78E08"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Pr>
          <w:sz w:val="18"/>
          <w:szCs w:val="18"/>
        </w:rPr>
        <w:t xml:space="preserve">Ibid, </w:t>
      </w:r>
      <w:r w:rsidRPr="006A3540">
        <w:rPr>
          <w:sz w:val="18"/>
          <w:szCs w:val="18"/>
        </w:rPr>
        <w:t>27.</w:t>
      </w:r>
      <w:proofErr w:type="gramEnd"/>
      <w:r w:rsidRPr="006A3540">
        <w:rPr>
          <w:sz w:val="18"/>
          <w:szCs w:val="18"/>
        </w:rPr>
        <w:t xml:space="preserve">  </w:t>
      </w:r>
    </w:p>
  </w:footnote>
  <w:footnote w:id="65">
    <w:p w14:paraId="68DCAC82" w14:textId="6A5A38FE"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Pr>
          <w:sz w:val="18"/>
          <w:szCs w:val="18"/>
        </w:rPr>
        <w:t xml:space="preserve">Ibid, </w:t>
      </w:r>
      <w:r w:rsidRPr="006C3E39">
        <w:rPr>
          <w:sz w:val="18"/>
          <w:szCs w:val="18"/>
        </w:rPr>
        <w:t>28.</w:t>
      </w:r>
      <w:proofErr w:type="gramEnd"/>
      <w:r w:rsidRPr="006C3E39">
        <w:rPr>
          <w:sz w:val="18"/>
          <w:szCs w:val="18"/>
        </w:rPr>
        <w:t xml:space="preserve">  </w:t>
      </w:r>
    </w:p>
  </w:footnote>
  <w:footnote w:id="66">
    <w:p w14:paraId="56B48484" w14:textId="2146268F"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Pr>
          <w:sz w:val="18"/>
          <w:szCs w:val="18"/>
        </w:rPr>
        <w:t xml:space="preserve">Ibid, </w:t>
      </w:r>
      <w:r w:rsidRPr="006A3540">
        <w:rPr>
          <w:sz w:val="18"/>
          <w:szCs w:val="18"/>
        </w:rPr>
        <w:t>29.</w:t>
      </w:r>
      <w:proofErr w:type="gramEnd"/>
      <w:r w:rsidRPr="006A3540">
        <w:rPr>
          <w:sz w:val="18"/>
          <w:szCs w:val="18"/>
        </w:rPr>
        <w:t xml:space="preserve">  </w:t>
      </w:r>
    </w:p>
  </w:footnote>
  <w:footnote w:id="67">
    <w:p w14:paraId="61823968" w14:textId="07FC9944"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iCs/>
          <w:sz w:val="18"/>
          <w:szCs w:val="18"/>
        </w:rPr>
        <w:t xml:space="preserve">R. v. </w:t>
      </w:r>
      <w:proofErr w:type="spellStart"/>
      <w:r w:rsidRPr="006A3540">
        <w:rPr>
          <w:i/>
          <w:iCs/>
          <w:sz w:val="18"/>
          <w:szCs w:val="18"/>
        </w:rPr>
        <w:t>Seaboyer</w:t>
      </w:r>
      <w:proofErr w:type="spellEnd"/>
      <w:r w:rsidRPr="006A3540">
        <w:rPr>
          <w:sz w:val="18"/>
          <w:szCs w:val="18"/>
        </w:rPr>
        <w:t>, [1991] 2 S.C.R. 577, 708-709 (</w:t>
      </w:r>
      <w:proofErr w:type="spellStart"/>
      <w:r w:rsidRPr="006A3540">
        <w:rPr>
          <w:sz w:val="18"/>
          <w:szCs w:val="18"/>
        </w:rPr>
        <w:t>L’Heureux-Dubé</w:t>
      </w:r>
      <w:proofErr w:type="spellEnd"/>
      <w:r w:rsidRPr="006A3540">
        <w:rPr>
          <w:sz w:val="18"/>
          <w:szCs w:val="18"/>
        </w:rPr>
        <w:t xml:space="preserve"> &amp; </w:t>
      </w:r>
      <w:proofErr w:type="spellStart"/>
      <w:r w:rsidRPr="006A3540">
        <w:rPr>
          <w:sz w:val="18"/>
          <w:szCs w:val="18"/>
        </w:rPr>
        <w:t>Gonthier</w:t>
      </w:r>
      <w:proofErr w:type="spellEnd"/>
      <w:r w:rsidRPr="006A3540">
        <w:rPr>
          <w:sz w:val="18"/>
          <w:szCs w:val="18"/>
        </w:rPr>
        <w:t xml:space="preserve"> JJ, dissenting in part)</w:t>
      </w:r>
      <w:r>
        <w:rPr>
          <w:sz w:val="18"/>
          <w:szCs w:val="18"/>
        </w:rPr>
        <w:t xml:space="preserve"> </w:t>
      </w:r>
      <w:r w:rsidRPr="006A3540">
        <w:rPr>
          <w:sz w:val="18"/>
          <w:szCs w:val="18"/>
        </w:rPr>
        <w:t>(Canada, Supreme Court).</w:t>
      </w:r>
      <w:proofErr w:type="gramEnd"/>
    </w:p>
  </w:footnote>
  <w:footnote w:id="68">
    <w:p w14:paraId="58EE45DE" w14:textId="3383CBC1" w:rsidR="001A5598" w:rsidRPr="006C3E39" w:rsidRDefault="001A5598">
      <w:pPr>
        <w:pStyle w:val="FootnoteText"/>
        <w:spacing w:after="120"/>
        <w:rPr>
          <w:sz w:val="18"/>
          <w:szCs w:val="18"/>
        </w:rPr>
      </w:pPr>
      <w:r w:rsidRPr="006C3E39">
        <w:rPr>
          <w:rStyle w:val="FootnoteReference"/>
          <w:sz w:val="18"/>
          <w:szCs w:val="18"/>
        </w:rPr>
        <w:footnoteRef/>
      </w:r>
      <w:r w:rsidRPr="006C3E39">
        <w:rPr>
          <w:sz w:val="18"/>
          <w:szCs w:val="18"/>
        </w:rPr>
        <w:t xml:space="preserve"> </w:t>
      </w:r>
      <w:proofErr w:type="gramStart"/>
      <w:r w:rsidRPr="006C3E39">
        <w:rPr>
          <w:sz w:val="18"/>
          <w:szCs w:val="18"/>
        </w:rPr>
        <w:t>Ibid, 665.</w:t>
      </w:r>
      <w:proofErr w:type="gramEnd"/>
    </w:p>
  </w:footnote>
  <w:footnote w:id="69">
    <w:p w14:paraId="1B4EBB34" w14:textId="60773203"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Lucinda </w:t>
      </w:r>
      <w:proofErr w:type="spellStart"/>
      <w:r w:rsidRPr="006A3540">
        <w:rPr>
          <w:sz w:val="18"/>
          <w:szCs w:val="18"/>
        </w:rPr>
        <w:t>Vandervort</w:t>
      </w:r>
      <w:proofErr w:type="spellEnd"/>
      <w:r w:rsidRPr="006A3540">
        <w:rPr>
          <w:sz w:val="18"/>
          <w:szCs w:val="18"/>
        </w:rPr>
        <w:t xml:space="preserve">, ‘Mistake of Law and Sexual Assault: Consent and </w:t>
      </w:r>
      <w:proofErr w:type="spellStart"/>
      <w:r w:rsidRPr="006A3540">
        <w:rPr>
          <w:sz w:val="18"/>
          <w:szCs w:val="18"/>
        </w:rPr>
        <w:t>Mens</w:t>
      </w:r>
      <w:proofErr w:type="spellEnd"/>
      <w:r w:rsidRPr="006A3540">
        <w:rPr>
          <w:sz w:val="18"/>
          <w:szCs w:val="18"/>
        </w:rPr>
        <w:t xml:space="preserve"> Rea’ (1987) 2 </w:t>
      </w:r>
      <w:r w:rsidRPr="006A3540">
        <w:rPr>
          <w:i/>
          <w:sz w:val="18"/>
          <w:szCs w:val="18"/>
        </w:rPr>
        <w:t xml:space="preserve">Canadian Journal of Women and the Law </w:t>
      </w:r>
      <w:r w:rsidRPr="006C3E39">
        <w:rPr>
          <w:sz w:val="18"/>
          <w:szCs w:val="18"/>
        </w:rPr>
        <w:t>233, 258 n 43.</w:t>
      </w:r>
    </w:p>
  </w:footnote>
  <w:footnote w:id="70">
    <w:p w14:paraId="71D98FE5" w14:textId="42B71DF9" w:rsidR="001A5598" w:rsidRPr="00E7671D" w:rsidRDefault="001A5598">
      <w:pPr>
        <w:pStyle w:val="FootnoteText"/>
        <w:spacing w:after="120"/>
        <w:rPr>
          <w:sz w:val="18"/>
          <w:szCs w:val="18"/>
          <w:lang w:val="es-ES"/>
        </w:rPr>
      </w:pPr>
      <w:r w:rsidRPr="006A3540">
        <w:rPr>
          <w:rStyle w:val="FootnoteReference"/>
          <w:sz w:val="18"/>
          <w:szCs w:val="18"/>
        </w:rPr>
        <w:footnoteRef/>
      </w:r>
      <w:r w:rsidRPr="00E7671D">
        <w:rPr>
          <w:sz w:val="18"/>
          <w:szCs w:val="18"/>
          <w:lang w:val="es-ES"/>
        </w:rPr>
        <w:t xml:space="preserve"> </w:t>
      </w:r>
      <w:r w:rsidRPr="00E7671D">
        <w:rPr>
          <w:i/>
          <w:iCs/>
          <w:sz w:val="18"/>
          <w:szCs w:val="18"/>
          <w:lang w:val="es-ES"/>
        </w:rPr>
        <w:t>R. v. Seaboyer</w:t>
      </w:r>
      <w:r w:rsidRPr="00E7671D">
        <w:rPr>
          <w:sz w:val="18"/>
          <w:szCs w:val="18"/>
          <w:lang w:val="es-ES"/>
        </w:rPr>
        <w:t xml:space="preserve">, </w:t>
      </w:r>
      <w:r w:rsidRPr="00E7671D">
        <w:rPr>
          <w:i/>
          <w:sz w:val="18"/>
          <w:szCs w:val="18"/>
          <w:lang w:val="es-ES"/>
        </w:rPr>
        <w:t xml:space="preserve">supra </w:t>
      </w:r>
      <w:r w:rsidRPr="00E7671D">
        <w:rPr>
          <w:sz w:val="18"/>
          <w:szCs w:val="18"/>
          <w:lang w:val="es-ES"/>
        </w:rPr>
        <w:t xml:space="preserve">note 67, 690.  </w:t>
      </w:r>
    </w:p>
  </w:footnote>
  <w:footnote w:id="71">
    <w:p w14:paraId="334389E4" w14:textId="365D800B" w:rsidR="001A5598" w:rsidRPr="00E7671D" w:rsidRDefault="001A5598">
      <w:pPr>
        <w:pStyle w:val="FootnoteText"/>
        <w:spacing w:after="120"/>
        <w:rPr>
          <w:sz w:val="18"/>
          <w:szCs w:val="18"/>
          <w:lang w:val="es-ES"/>
        </w:rPr>
      </w:pPr>
      <w:r w:rsidRPr="006A3540">
        <w:rPr>
          <w:rStyle w:val="FootnoteReference"/>
          <w:sz w:val="18"/>
          <w:szCs w:val="18"/>
        </w:rPr>
        <w:footnoteRef/>
      </w:r>
      <w:r w:rsidRPr="00E7671D">
        <w:rPr>
          <w:sz w:val="18"/>
          <w:szCs w:val="18"/>
          <w:lang w:val="es-ES"/>
        </w:rPr>
        <w:t xml:space="preserve"> Ibid, 699.  </w:t>
      </w:r>
    </w:p>
  </w:footnote>
  <w:footnote w:id="72">
    <w:p w14:paraId="32A8A37F" w14:textId="0605A06B"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Sophia R. Moreau, ‘The Wrongs of Unequal Treatment’ (2004) 54 </w:t>
      </w:r>
      <w:r w:rsidRPr="006A3540">
        <w:rPr>
          <w:i/>
          <w:sz w:val="18"/>
          <w:szCs w:val="18"/>
        </w:rPr>
        <w:t>University of Toronto Law Journal</w:t>
      </w:r>
      <w:r w:rsidRPr="006A3540">
        <w:rPr>
          <w:sz w:val="18"/>
          <w:szCs w:val="18"/>
        </w:rPr>
        <w:t xml:space="preserve"> 291, 298, 299; Cook and Cusack, </w:t>
      </w:r>
      <w:r w:rsidRPr="006C3E39">
        <w:rPr>
          <w:i/>
          <w:sz w:val="18"/>
          <w:szCs w:val="18"/>
        </w:rPr>
        <w:t xml:space="preserve">supra </w:t>
      </w:r>
      <w:r w:rsidRPr="006C3E39">
        <w:rPr>
          <w:sz w:val="18"/>
          <w:szCs w:val="18"/>
        </w:rPr>
        <w:t xml:space="preserve">note </w:t>
      </w:r>
      <w:r>
        <w:rPr>
          <w:sz w:val="18"/>
          <w:szCs w:val="18"/>
        </w:rPr>
        <w:t>16</w:t>
      </w:r>
      <w:r w:rsidRPr="006C3E39">
        <w:rPr>
          <w:sz w:val="18"/>
          <w:szCs w:val="18"/>
        </w:rPr>
        <w:t>, 11, 61.</w:t>
      </w:r>
    </w:p>
  </w:footnote>
  <w:footnote w:id="73">
    <w:p w14:paraId="7C2C478E" w14:textId="49D34D57"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spellStart"/>
      <w:r w:rsidRPr="006A3540">
        <w:rPr>
          <w:bCs/>
          <w:sz w:val="18"/>
          <w:szCs w:val="18"/>
        </w:rPr>
        <w:t>L’Heureux-Dube</w:t>
      </w:r>
      <w:proofErr w:type="spellEnd"/>
      <w:r w:rsidRPr="006A3540">
        <w:rPr>
          <w:bCs/>
          <w:sz w:val="18"/>
          <w:szCs w:val="18"/>
        </w:rPr>
        <w:t xml:space="preserve"> ́</w:t>
      </w:r>
      <w:r w:rsidRPr="006A3540">
        <w:rPr>
          <w:sz w:val="18"/>
          <w:szCs w:val="18"/>
        </w:rPr>
        <w:t xml:space="preserve">, </w:t>
      </w:r>
      <w:r w:rsidRPr="006A3540">
        <w:rPr>
          <w:i/>
          <w:sz w:val="18"/>
          <w:szCs w:val="18"/>
        </w:rPr>
        <w:t xml:space="preserve">supra </w:t>
      </w:r>
      <w:r w:rsidRPr="006A3540">
        <w:rPr>
          <w:sz w:val="18"/>
          <w:szCs w:val="18"/>
        </w:rPr>
        <w:t>note 7</w:t>
      </w:r>
      <w:r w:rsidRPr="006C3E39">
        <w:rPr>
          <w:sz w:val="18"/>
          <w:szCs w:val="18"/>
        </w:rPr>
        <w:t xml:space="preserve">, 89, 92 [citations omitted]. </w:t>
      </w:r>
    </w:p>
  </w:footnote>
  <w:footnote w:id="74">
    <w:p w14:paraId="4D6D9D0D" w14:textId="4EEE5F0C" w:rsidR="001A5598" w:rsidRPr="006C3E39"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w:t>
      </w:r>
      <w:r w:rsidRPr="006A3540">
        <w:rPr>
          <w:i/>
          <w:iCs/>
          <w:sz w:val="18"/>
          <w:szCs w:val="18"/>
        </w:rPr>
        <w:t>M.Z. v. Bolivia</w:t>
      </w:r>
      <w:r w:rsidRPr="006A3540">
        <w:rPr>
          <w:iCs/>
          <w:sz w:val="18"/>
          <w:szCs w:val="18"/>
        </w:rPr>
        <w:t>, Case 12.350, Report No. 73/01 (admissibility), 10 October 2001 (Inter-American Commission on Human Rights)</w:t>
      </w:r>
      <w:r w:rsidRPr="006C3E39">
        <w:rPr>
          <w:iCs/>
          <w:sz w:val="18"/>
          <w:szCs w:val="18"/>
        </w:rPr>
        <w:t>.</w:t>
      </w:r>
    </w:p>
  </w:footnote>
  <w:footnote w:id="75">
    <w:p w14:paraId="7D1BFAED" w14:textId="35CC0C58" w:rsidR="001A5598" w:rsidRPr="006A3540"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Equality Now (Catharine A. MacKinnon &amp; Jessica </w:t>
      </w:r>
      <w:proofErr w:type="spellStart"/>
      <w:r w:rsidRPr="006A3540">
        <w:rPr>
          <w:iCs/>
          <w:sz w:val="18"/>
          <w:szCs w:val="18"/>
        </w:rPr>
        <w:t>Neuwirth</w:t>
      </w:r>
      <w:proofErr w:type="spellEnd"/>
      <w:r w:rsidRPr="006A3540">
        <w:rPr>
          <w:iCs/>
          <w:sz w:val="18"/>
          <w:szCs w:val="18"/>
        </w:rPr>
        <w:t xml:space="preserve">), </w:t>
      </w:r>
      <w:r w:rsidRPr="006A3540">
        <w:rPr>
          <w:i/>
          <w:iCs/>
          <w:sz w:val="18"/>
          <w:szCs w:val="18"/>
        </w:rPr>
        <w:t>Amicus Curiae</w:t>
      </w:r>
      <w:r w:rsidRPr="006A3540">
        <w:rPr>
          <w:iCs/>
          <w:sz w:val="18"/>
          <w:szCs w:val="18"/>
        </w:rPr>
        <w:t xml:space="preserve"> Brief, Case 12.350, 26 June 2002, 6-7. </w:t>
      </w:r>
    </w:p>
  </w:footnote>
  <w:footnote w:id="76">
    <w:p w14:paraId="2106180F" w14:textId="0FF2E21C"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Ibid, </w:t>
      </w:r>
      <w:r w:rsidRPr="006A3540">
        <w:rPr>
          <w:sz w:val="18"/>
          <w:szCs w:val="18"/>
        </w:rPr>
        <w:t xml:space="preserve">12-13 [citations omitted].  </w:t>
      </w:r>
    </w:p>
  </w:footnote>
  <w:footnote w:id="77">
    <w:p w14:paraId="4E0F2869" w14:textId="628C3325" w:rsidR="001A5598" w:rsidRPr="006C3E39" w:rsidRDefault="001A5598">
      <w:pPr>
        <w:spacing w:before="0" w:after="120"/>
        <w:rPr>
          <w:rFonts w:cs="Arial"/>
          <w:sz w:val="18"/>
          <w:szCs w:val="18"/>
          <w:lang w:val="en-US"/>
        </w:rPr>
      </w:pPr>
      <w:r w:rsidRPr="006A3540">
        <w:rPr>
          <w:rStyle w:val="FootnoteReference"/>
          <w:sz w:val="18"/>
          <w:szCs w:val="18"/>
        </w:rPr>
        <w:footnoteRef/>
      </w:r>
      <w:r w:rsidRPr="006A3540">
        <w:rPr>
          <w:sz w:val="18"/>
          <w:szCs w:val="18"/>
        </w:rPr>
        <w:t xml:space="preserve"> </w:t>
      </w:r>
      <w:r w:rsidRPr="006A3540">
        <w:rPr>
          <w:rFonts w:cs="Arial"/>
          <w:sz w:val="18"/>
          <w:szCs w:val="18"/>
        </w:rPr>
        <w:t>Amnesty International (Tania Baldwin-</w:t>
      </w:r>
      <w:proofErr w:type="spellStart"/>
      <w:r w:rsidRPr="006A3540">
        <w:rPr>
          <w:rFonts w:cs="Arial"/>
          <w:sz w:val="18"/>
          <w:szCs w:val="18"/>
        </w:rPr>
        <w:t>Pask</w:t>
      </w:r>
      <w:proofErr w:type="spellEnd"/>
      <w:r w:rsidRPr="006A3540">
        <w:rPr>
          <w:rFonts w:cs="Arial"/>
          <w:sz w:val="18"/>
          <w:szCs w:val="18"/>
        </w:rPr>
        <w:t xml:space="preserve">), </w:t>
      </w:r>
      <w:r w:rsidRPr="006A3540">
        <w:rPr>
          <w:rFonts w:cs="Arial"/>
          <w:i/>
          <w:sz w:val="18"/>
          <w:szCs w:val="18"/>
        </w:rPr>
        <w:t>Submission to the Committee on the Elimination of Discrimination against Women on its General Discussion on Access to Justice</w:t>
      </w:r>
      <w:r w:rsidRPr="006C3E39">
        <w:rPr>
          <w:rFonts w:cs="Arial"/>
          <w:sz w:val="18"/>
          <w:szCs w:val="18"/>
        </w:rPr>
        <w:t xml:space="preserve">, </w:t>
      </w:r>
      <w:r w:rsidRPr="006C3E39">
        <w:rPr>
          <w:rFonts w:cs="Arial"/>
          <w:sz w:val="18"/>
          <w:szCs w:val="18"/>
          <w:lang w:val="en-US"/>
        </w:rPr>
        <w:t xml:space="preserve">TIGO IOR 40/2013.008, </w:t>
      </w:r>
      <w:r w:rsidRPr="006C3E39">
        <w:rPr>
          <w:rFonts w:cs="Arial"/>
          <w:sz w:val="18"/>
          <w:szCs w:val="18"/>
        </w:rPr>
        <w:t>30 January 2013, 6.</w:t>
      </w:r>
    </w:p>
  </w:footnote>
  <w:footnote w:id="78">
    <w:p w14:paraId="3685C528" w14:textId="53D5FE52"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sz w:val="18"/>
          <w:szCs w:val="18"/>
        </w:rPr>
        <w:t xml:space="preserve">Sheila M. </w:t>
      </w:r>
      <w:proofErr w:type="spellStart"/>
      <w:r w:rsidRPr="006A3540">
        <w:rPr>
          <w:bCs/>
          <w:sz w:val="18"/>
          <w:szCs w:val="18"/>
        </w:rPr>
        <w:t>Seelau</w:t>
      </w:r>
      <w:proofErr w:type="spellEnd"/>
      <w:r w:rsidRPr="006A3540">
        <w:rPr>
          <w:bCs/>
          <w:sz w:val="18"/>
          <w:szCs w:val="18"/>
        </w:rPr>
        <w:t xml:space="preserve"> &amp; Eric P. </w:t>
      </w:r>
      <w:proofErr w:type="spellStart"/>
      <w:r w:rsidRPr="006A3540">
        <w:rPr>
          <w:bCs/>
          <w:sz w:val="18"/>
          <w:szCs w:val="18"/>
        </w:rPr>
        <w:t>Seelau</w:t>
      </w:r>
      <w:proofErr w:type="spellEnd"/>
      <w:r w:rsidRPr="006A3540">
        <w:rPr>
          <w:bCs/>
          <w:sz w:val="18"/>
          <w:szCs w:val="18"/>
        </w:rPr>
        <w:t xml:space="preserve">, ‘Gender-Role Stereotypes and Perceptions of Heterosexual, Gay and Lesbian Domestic Violence’ (2005) 20(6) </w:t>
      </w:r>
      <w:r w:rsidRPr="006A3540">
        <w:rPr>
          <w:bCs/>
          <w:i/>
          <w:sz w:val="18"/>
          <w:szCs w:val="18"/>
        </w:rPr>
        <w:t>Journal of Family Violence</w:t>
      </w:r>
      <w:r w:rsidRPr="006A3540">
        <w:rPr>
          <w:bCs/>
          <w:sz w:val="18"/>
          <w:szCs w:val="18"/>
        </w:rPr>
        <w:t xml:space="preserve"> 363, 364 [citations omitted].</w:t>
      </w:r>
    </w:p>
  </w:footnote>
  <w:footnote w:id="79">
    <w:p w14:paraId="7B27E58F" w14:textId="5C8FA3EB"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See, e.g., Kathy Mack, ‘</w:t>
      </w:r>
      <w:r w:rsidRPr="006A3540">
        <w:rPr>
          <w:i/>
          <w:sz w:val="18"/>
          <w:szCs w:val="18"/>
        </w:rPr>
        <w:t>B. v. R</w:t>
      </w:r>
      <w:r w:rsidRPr="006A3540">
        <w:rPr>
          <w:sz w:val="18"/>
          <w:szCs w:val="18"/>
        </w:rPr>
        <w:t xml:space="preserve">.: Negative Stereotypes and Women’s Credibility’ (1994) 2(2) </w:t>
      </w:r>
      <w:r w:rsidRPr="006A3540">
        <w:rPr>
          <w:i/>
          <w:sz w:val="18"/>
          <w:szCs w:val="18"/>
        </w:rPr>
        <w:t xml:space="preserve">Feminist Legal Studies </w:t>
      </w:r>
      <w:r w:rsidRPr="006A3540">
        <w:rPr>
          <w:sz w:val="18"/>
          <w:szCs w:val="18"/>
        </w:rPr>
        <w:t>183.</w:t>
      </w:r>
    </w:p>
  </w:footnote>
  <w:footnote w:id="80">
    <w:p w14:paraId="468C463C" w14:textId="77777777"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Melanie Randall, ‘Sexual Assault Law, Credibility, and “Ideal Victims”: Consent, Resistance, and Victim Blaming’ (2010) 22(2) </w:t>
      </w:r>
      <w:r w:rsidRPr="006A3540">
        <w:rPr>
          <w:i/>
          <w:sz w:val="18"/>
          <w:szCs w:val="18"/>
        </w:rPr>
        <w:t>Canadian Journal of Women and the Law</w:t>
      </w:r>
      <w:r w:rsidRPr="006A3540">
        <w:rPr>
          <w:sz w:val="18"/>
          <w:szCs w:val="18"/>
        </w:rPr>
        <w:t xml:space="preserve"> 397, 398, 409-410.</w:t>
      </w:r>
    </w:p>
  </w:footnote>
  <w:footnote w:id="81">
    <w:p w14:paraId="767409E7" w14:textId="20E7DCE0"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rFonts w:cs="Arial"/>
          <w:i/>
          <w:sz w:val="18"/>
          <w:szCs w:val="18"/>
        </w:rPr>
        <w:t>Karen Tayag Vertido v.</w:t>
      </w:r>
      <w:proofErr w:type="gramEnd"/>
      <w:r w:rsidRPr="006A3540">
        <w:rPr>
          <w:rFonts w:cs="Arial"/>
          <w:i/>
          <w:sz w:val="18"/>
          <w:szCs w:val="18"/>
        </w:rPr>
        <w:t xml:space="preserve"> The Philippines</w:t>
      </w:r>
      <w:r w:rsidRPr="006A3540">
        <w:rPr>
          <w:rFonts w:cs="Arial"/>
          <w:sz w:val="18"/>
          <w:szCs w:val="18"/>
        </w:rPr>
        <w:t xml:space="preserve">, </w:t>
      </w:r>
      <w:r w:rsidRPr="006A3540">
        <w:rPr>
          <w:rFonts w:cs="Arial"/>
          <w:i/>
          <w:sz w:val="18"/>
          <w:szCs w:val="18"/>
        </w:rPr>
        <w:t xml:space="preserve">supra </w:t>
      </w:r>
      <w:r w:rsidRPr="006A3540">
        <w:rPr>
          <w:rFonts w:cs="Arial"/>
          <w:sz w:val="18"/>
          <w:szCs w:val="18"/>
        </w:rPr>
        <w:t xml:space="preserve">note </w:t>
      </w:r>
      <w:r>
        <w:rPr>
          <w:rFonts w:cs="Arial"/>
          <w:sz w:val="18"/>
          <w:szCs w:val="18"/>
        </w:rPr>
        <w:t>29</w:t>
      </w:r>
      <w:r w:rsidRPr="006A3540">
        <w:rPr>
          <w:rFonts w:cs="Arial"/>
          <w:bCs/>
          <w:sz w:val="18"/>
          <w:szCs w:val="18"/>
        </w:rPr>
        <w:t>.</w:t>
      </w:r>
    </w:p>
  </w:footnote>
  <w:footnote w:id="82">
    <w:p w14:paraId="0CDDAA27" w14:textId="77777777" w:rsidR="001A5598" w:rsidRPr="006C3E39" w:rsidRDefault="001A5598">
      <w:pPr>
        <w:spacing w:before="0" w:after="120"/>
        <w:rPr>
          <w:sz w:val="18"/>
          <w:szCs w:val="18"/>
        </w:rPr>
      </w:pPr>
      <w:r w:rsidRPr="006A3540">
        <w:rPr>
          <w:rStyle w:val="FootnoteReference"/>
          <w:sz w:val="18"/>
          <w:szCs w:val="18"/>
        </w:rPr>
        <w:footnoteRef/>
      </w:r>
      <w:r w:rsidRPr="006A3540">
        <w:rPr>
          <w:sz w:val="18"/>
          <w:szCs w:val="18"/>
        </w:rPr>
        <w:t xml:space="preserve"> See generally Janine Benedet &amp; Isabel Grant, ‘More Than an Empty Gesture: Enabling Women with Mental Disabilities to Testify on a Promise to Tell the Truth’ (2013) 25(1) </w:t>
      </w:r>
      <w:r w:rsidRPr="006A3540">
        <w:rPr>
          <w:i/>
          <w:sz w:val="18"/>
          <w:szCs w:val="18"/>
        </w:rPr>
        <w:t xml:space="preserve">Canadian Journal of Women and the Law </w:t>
      </w:r>
      <w:r w:rsidRPr="006A3540">
        <w:rPr>
          <w:sz w:val="18"/>
          <w:szCs w:val="18"/>
        </w:rPr>
        <w:t>31; Janine Benedet &amp; Isabel Grant, ‘Hearing the Sexual Assault Complaints of Women with Mental Disabilities: Evidentia</w:t>
      </w:r>
      <w:r w:rsidRPr="006C3E39">
        <w:rPr>
          <w:sz w:val="18"/>
          <w:szCs w:val="18"/>
        </w:rPr>
        <w:t xml:space="preserve">ry and Procedural Issues’ (2007) 52 </w:t>
      </w:r>
      <w:r w:rsidRPr="006C3E39">
        <w:rPr>
          <w:i/>
          <w:sz w:val="18"/>
          <w:szCs w:val="18"/>
        </w:rPr>
        <w:t>McGill Law Journal</w:t>
      </w:r>
      <w:r w:rsidRPr="006C3E39">
        <w:rPr>
          <w:sz w:val="18"/>
          <w:szCs w:val="18"/>
        </w:rPr>
        <w:t xml:space="preserve"> 515; Janine Benedet &amp; Isabel Grant, ‘Hearing the Sexual Assault Complaints of Women with Mental Disabilities: Consent, Capacity, and Mistaken Belief’ (2007) 52 </w:t>
      </w:r>
      <w:r w:rsidRPr="006C3E39">
        <w:rPr>
          <w:i/>
          <w:sz w:val="18"/>
          <w:szCs w:val="18"/>
        </w:rPr>
        <w:t>McGill Law Journal</w:t>
      </w:r>
      <w:r w:rsidRPr="006C3E39">
        <w:rPr>
          <w:sz w:val="18"/>
          <w:szCs w:val="18"/>
        </w:rPr>
        <w:t xml:space="preserve"> 243.   </w:t>
      </w:r>
      <w:r w:rsidRPr="006C3E39">
        <w:rPr>
          <w:rFonts w:cs="Arial"/>
          <w:sz w:val="18"/>
          <w:szCs w:val="18"/>
        </w:rPr>
        <w:t xml:space="preserve"> </w:t>
      </w:r>
    </w:p>
  </w:footnote>
  <w:footnote w:id="83">
    <w:p w14:paraId="3DBF686D" w14:textId="0A310F0C" w:rsidR="001A5598" w:rsidRPr="006C3E39" w:rsidRDefault="001A5598">
      <w:pPr>
        <w:spacing w:before="0" w:after="120"/>
        <w:rPr>
          <w:rFonts w:cs="Arial"/>
          <w:sz w:val="18"/>
          <w:szCs w:val="18"/>
        </w:rPr>
      </w:pPr>
      <w:r w:rsidRPr="006A3540">
        <w:rPr>
          <w:rStyle w:val="FootnoteReference"/>
          <w:sz w:val="18"/>
          <w:szCs w:val="18"/>
        </w:rPr>
        <w:footnoteRef/>
      </w:r>
      <w:r w:rsidRPr="006A3540">
        <w:rPr>
          <w:sz w:val="18"/>
          <w:szCs w:val="18"/>
        </w:rPr>
        <w:t xml:space="preserve"> </w:t>
      </w:r>
      <w:r w:rsidRPr="006A3540">
        <w:rPr>
          <w:rFonts w:cs="Arial"/>
          <w:sz w:val="18"/>
          <w:szCs w:val="18"/>
        </w:rPr>
        <w:t xml:space="preserve">Women Enabled, </w:t>
      </w:r>
      <w:r w:rsidRPr="006A3540">
        <w:rPr>
          <w:rFonts w:cs="Arial"/>
          <w:i/>
          <w:sz w:val="18"/>
          <w:szCs w:val="18"/>
        </w:rPr>
        <w:t>Submission to the Committee on the Elimination of Discrimination against Women on its General Discussion on Access to Justice</w:t>
      </w:r>
      <w:r w:rsidRPr="006A3540">
        <w:rPr>
          <w:rFonts w:cs="Arial"/>
          <w:sz w:val="18"/>
          <w:szCs w:val="18"/>
        </w:rPr>
        <w:t xml:space="preserve">, 1 February 2013, 4-5 [citations omitted].  See also International </w:t>
      </w:r>
      <w:r w:rsidRPr="006C3E39">
        <w:rPr>
          <w:rFonts w:cs="Arial"/>
          <w:sz w:val="18"/>
          <w:szCs w:val="18"/>
        </w:rPr>
        <w:t xml:space="preserve">Disability Alliance, </w:t>
      </w:r>
      <w:r w:rsidRPr="006C3E39">
        <w:rPr>
          <w:rFonts w:cs="Arial"/>
          <w:i/>
          <w:sz w:val="18"/>
          <w:szCs w:val="18"/>
        </w:rPr>
        <w:t>Submission to the Committee on the Elimination of Discrimination against Women on its General Discussion on Access to Justice</w:t>
      </w:r>
      <w:r w:rsidRPr="006C3E39">
        <w:rPr>
          <w:rFonts w:cs="Arial"/>
          <w:sz w:val="18"/>
          <w:szCs w:val="18"/>
        </w:rPr>
        <w:t xml:space="preserve">, 18 February 2013, 2 [citations omitted]; </w:t>
      </w:r>
      <w:r w:rsidRPr="006C3E39">
        <w:rPr>
          <w:sz w:val="18"/>
          <w:szCs w:val="18"/>
        </w:rPr>
        <w:t xml:space="preserve">Rashida Manjoo, </w:t>
      </w:r>
      <w:r w:rsidRPr="006C3E39">
        <w:rPr>
          <w:i/>
          <w:sz w:val="18"/>
          <w:szCs w:val="18"/>
        </w:rPr>
        <w:t>Report of the Special Rapporteur on violence against women, its causes and consequences</w:t>
      </w:r>
      <w:r w:rsidRPr="006C3E39">
        <w:rPr>
          <w:sz w:val="18"/>
          <w:szCs w:val="18"/>
        </w:rPr>
        <w:t xml:space="preserve">, UN Doc. </w:t>
      </w:r>
      <w:proofErr w:type="gramStart"/>
      <w:r w:rsidRPr="006C3E39">
        <w:rPr>
          <w:sz w:val="18"/>
          <w:szCs w:val="18"/>
        </w:rPr>
        <w:t>A/67/227 (2012), para.</w:t>
      </w:r>
      <w:proofErr w:type="gramEnd"/>
      <w:r w:rsidRPr="006C3E39">
        <w:rPr>
          <w:sz w:val="18"/>
          <w:szCs w:val="18"/>
        </w:rPr>
        <w:t xml:space="preserve"> 41</w:t>
      </w:r>
    </w:p>
  </w:footnote>
  <w:footnote w:id="84">
    <w:p w14:paraId="73903410" w14:textId="7A113318" w:rsidR="001A5598" w:rsidRPr="006C3E39" w:rsidRDefault="001A5598">
      <w:pPr>
        <w:spacing w:before="0" w:after="120"/>
        <w:rPr>
          <w:rFonts w:cs="Arial"/>
          <w:sz w:val="18"/>
          <w:szCs w:val="18"/>
        </w:rPr>
      </w:pPr>
      <w:r w:rsidRPr="006A3540">
        <w:rPr>
          <w:rStyle w:val="FootnoteReference"/>
          <w:sz w:val="18"/>
          <w:szCs w:val="18"/>
        </w:rPr>
        <w:footnoteRef/>
      </w:r>
      <w:r w:rsidRPr="006A3540">
        <w:rPr>
          <w:sz w:val="18"/>
          <w:szCs w:val="18"/>
        </w:rPr>
        <w:t xml:space="preserve"> </w:t>
      </w:r>
      <w:r w:rsidRPr="006A3540">
        <w:rPr>
          <w:i/>
          <w:sz w:val="18"/>
          <w:szCs w:val="18"/>
        </w:rPr>
        <w:t xml:space="preserve">R v. </w:t>
      </w:r>
      <w:proofErr w:type="spellStart"/>
      <w:r w:rsidRPr="006A3540">
        <w:rPr>
          <w:i/>
          <w:sz w:val="18"/>
          <w:szCs w:val="18"/>
        </w:rPr>
        <w:t>Seaboyer</w:t>
      </w:r>
      <w:proofErr w:type="spellEnd"/>
      <w:r w:rsidRPr="006A3540">
        <w:rPr>
          <w:sz w:val="18"/>
          <w:szCs w:val="18"/>
        </w:rPr>
        <w:t xml:space="preserve">, </w:t>
      </w:r>
      <w:r w:rsidRPr="006A3540">
        <w:rPr>
          <w:i/>
          <w:sz w:val="18"/>
          <w:szCs w:val="18"/>
        </w:rPr>
        <w:t xml:space="preserve">supra </w:t>
      </w:r>
      <w:r w:rsidRPr="006A3540">
        <w:rPr>
          <w:sz w:val="18"/>
          <w:szCs w:val="18"/>
        </w:rPr>
        <w:t>note</w:t>
      </w:r>
      <w:r w:rsidRPr="006A3540">
        <w:rPr>
          <w:rFonts w:cs="Arial"/>
          <w:sz w:val="18"/>
          <w:szCs w:val="18"/>
        </w:rPr>
        <w:t xml:space="preserve"> </w:t>
      </w:r>
      <w:r>
        <w:rPr>
          <w:rFonts w:cs="Arial"/>
          <w:sz w:val="18"/>
          <w:szCs w:val="18"/>
        </w:rPr>
        <w:t>67</w:t>
      </w:r>
      <w:r w:rsidRPr="006C3E39">
        <w:rPr>
          <w:rFonts w:cs="Arial"/>
          <w:sz w:val="18"/>
          <w:szCs w:val="18"/>
        </w:rPr>
        <w:t>,</w:t>
      </w:r>
      <w:r w:rsidRPr="006C3E39">
        <w:rPr>
          <w:sz w:val="18"/>
          <w:szCs w:val="18"/>
        </w:rPr>
        <w:t xml:space="preserve"> 650.</w:t>
      </w:r>
    </w:p>
  </w:footnote>
  <w:footnote w:id="85">
    <w:p w14:paraId="41A8A476" w14:textId="00E228FE"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Cook &amp; Cusack, </w:t>
      </w:r>
      <w:r w:rsidRPr="006A3540">
        <w:rPr>
          <w:i/>
          <w:sz w:val="18"/>
          <w:szCs w:val="18"/>
        </w:rPr>
        <w:t xml:space="preserve">supra </w:t>
      </w:r>
      <w:r w:rsidRPr="006A3540">
        <w:rPr>
          <w:sz w:val="18"/>
          <w:szCs w:val="18"/>
        </w:rPr>
        <w:t xml:space="preserve">note </w:t>
      </w:r>
      <w:r>
        <w:rPr>
          <w:sz w:val="18"/>
          <w:szCs w:val="18"/>
        </w:rPr>
        <w:t>16</w:t>
      </w:r>
      <w:r w:rsidRPr="006A3540">
        <w:rPr>
          <w:sz w:val="18"/>
          <w:szCs w:val="18"/>
        </w:rPr>
        <w:t>, 62-63.</w:t>
      </w:r>
    </w:p>
  </w:footnote>
  <w:footnote w:id="86">
    <w:p w14:paraId="58C55C7A" w14:textId="51C34489"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iCs/>
          <w:sz w:val="18"/>
          <w:szCs w:val="18"/>
        </w:rPr>
        <w:t>Ángela González Carreño v. Spain</w:t>
      </w:r>
      <w:r w:rsidRPr="006A3540">
        <w:rPr>
          <w:sz w:val="18"/>
          <w:szCs w:val="18"/>
        </w:rPr>
        <w:t xml:space="preserve">, Communication No. 47/2012, filed </w:t>
      </w:r>
      <w:r w:rsidRPr="006C3E39">
        <w:rPr>
          <w:sz w:val="18"/>
          <w:szCs w:val="18"/>
        </w:rPr>
        <w:t xml:space="preserve">20 September 2012. </w:t>
      </w:r>
    </w:p>
  </w:footnote>
  <w:footnote w:id="87">
    <w:p w14:paraId="4AC7B03E" w14:textId="0471C0C4"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Simone Cusack, </w:t>
      </w:r>
      <w:r w:rsidRPr="006A3540">
        <w:rPr>
          <w:bCs/>
          <w:i/>
          <w:sz w:val="18"/>
          <w:szCs w:val="18"/>
        </w:rPr>
        <w:t xml:space="preserve">Ángela González Carreño v. Spain: </w:t>
      </w:r>
      <w:sdt>
        <w:sdtPr>
          <w:rPr>
            <w:bCs/>
            <w:iCs/>
            <w:sz w:val="18"/>
            <w:szCs w:val="18"/>
          </w:rPr>
          <w:id w:val="-1447847568"/>
          <w:placeholder>
            <w:docPart w:val="EC1ED983633EDA45A513BB8F0E4C6D19"/>
          </w:placeholder>
        </w:sdtPr>
        <w:sdtEndPr/>
        <w:sdtContent>
          <w:r w:rsidRPr="006A3540">
            <w:rPr>
              <w:bCs/>
              <w:iCs/>
              <w:sz w:val="18"/>
              <w:szCs w:val="18"/>
            </w:rPr>
            <w:t xml:space="preserve">CEDAW Communication No. 47/2012, </w:t>
          </w:r>
          <w:r w:rsidRPr="006A3540">
            <w:rPr>
              <w:bCs/>
              <w:i/>
              <w:iCs/>
              <w:sz w:val="18"/>
              <w:szCs w:val="18"/>
            </w:rPr>
            <w:t>Amicus curiae</w:t>
          </w:r>
          <w:r w:rsidRPr="006A3540">
            <w:rPr>
              <w:bCs/>
              <w:iCs/>
              <w:sz w:val="18"/>
              <w:szCs w:val="18"/>
            </w:rPr>
            <w:t xml:space="preserve"> brief submitted to the Committee on the Elimination of Discrimination against Women (2014)</w:t>
          </w:r>
        </w:sdtContent>
      </w:sdt>
      <w:r w:rsidRPr="006A3540">
        <w:rPr>
          <w:bCs/>
          <w:iCs/>
          <w:sz w:val="18"/>
          <w:szCs w:val="18"/>
        </w:rPr>
        <w:t>.</w:t>
      </w:r>
    </w:p>
  </w:footnote>
  <w:footnote w:id="88">
    <w:p w14:paraId="7D6A49CA" w14:textId="12A588E5"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Women’s Centre for Change (WCC) Penang, </w:t>
      </w:r>
      <w:r w:rsidRPr="006A3540">
        <w:rPr>
          <w:i/>
          <w:iCs/>
          <w:sz w:val="18"/>
          <w:szCs w:val="18"/>
        </w:rPr>
        <w:t>Seeking a Better Judicial Process for Sexual Crimes: Background Paper for Dialogue with Penang Judiciary</w:t>
      </w:r>
      <w:r w:rsidRPr="006A3540">
        <w:rPr>
          <w:iCs/>
          <w:sz w:val="18"/>
          <w:szCs w:val="18"/>
        </w:rPr>
        <w:t xml:space="preserve"> (2007).</w:t>
      </w:r>
    </w:p>
  </w:footnote>
  <w:footnote w:id="89">
    <w:p w14:paraId="46AD2FF8" w14:textId="0B08CA1B"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Knaul, </w:t>
      </w:r>
      <w:r w:rsidRPr="006A3540">
        <w:rPr>
          <w:i/>
          <w:iCs/>
          <w:sz w:val="18"/>
          <w:szCs w:val="18"/>
        </w:rPr>
        <w:t>supra</w:t>
      </w:r>
      <w:r w:rsidRPr="006A3540">
        <w:rPr>
          <w:iCs/>
          <w:sz w:val="18"/>
          <w:szCs w:val="18"/>
        </w:rPr>
        <w:t xml:space="preserve"> note </w:t>
      </w:r>
      <w:r w:rsidRPr="006C3E39">
        <w:rPr>
          <w:iCs/>
          <w:sz w:val="18"/>
          <w:szCs w:val="18"/>
        </w:rPr>
        <w:t>6</w:t>
      </w:r>
      <w:r>
        <w:rPr>
          <w:iCs/>
          <w:sz w:val="18"/>
          <w:szCs w:val="18"/>
        </w:rPr>
        <w:t>1</w:t>
      </w:r>
      <w:r w:rsidRPr="006C3E39">
        <w:rPr>
          <w:bCs/>
          <w:iCs/>
          <w:sz w:val="18"/>
          <w:szCs w:val="18"/>
        </w:rPr>
        <w:t>.</w:t>
      </w:r>
    </w:p>
  </w:footnote>
  <w:footnote w:id="90">
    <w:p w14:paraId="6AF630BF" w14:textId="13F08353"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Other causes of action may still be available to challenge judicial stereotyping in the absence of explicit protections against stereotyping (e.g., appealing a decision based on an error of law or fact).  </w:t>
      </w:r>
    </w:p>
  </w:footnote>
  <w:footnote w:id="91">
    <w:p w14:paraId="0E8330F9" w14:textId="6059118B"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rPr>
        <w:t>Bangalore Principles of Judicial Conduct</w:t>
      </w:r>
      <w:r w:rsidRPr="006A3540">
        <w:rPr>
          <w:sz w:val="18"/>
          <w:szCs w:val="18"/>
        </w:rPr>
        <w:t>, UN Doc. E/CN.4/2003/65, annex, values 2(2), 2(4), 5(2), 5(5).</w:t>
      </w:r>
    </w:p>
  </w:footnote>
  <w:footnote w:id="92">
    <w:p w14:paraId="36EC33EA" w14:textId="77777777" w:rsidR="001A5598" w:rsidRPr="006C3E39" w:rsidRDefault="001A5598" w:rsidP="00500B97">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
          <w:iCs/>
          <w:sz w:val="18"/>
          <w:szCs w:val="18"/>
        </w:rPr>
        <w:t>General Law on Women’s Access to a Life Free of Violence</w:t>
      </w:r>
      <w:r w:rsidRPr="006A3540">
        <w:rPr>
          <w:iCs/>
          <w:sz w:val="18"/>
          <w:szCs w:val="18"/>
        </w:rPr>
        <w:t xml:space="preserve"> of 2007 (Mexico), arts. </w:t>
      </w:r>
      <w:proofErr w:type="gramStart"/>
      <w:r w:rsidRPr="006A3540">
        <w:rPr>
          <w:iCs/>
          <w:sz w:val="18"/>
          <w:szCs w:val="18"/>
        </w:rPr>
        <w:t xml:space="preserve">8(II), </w:t>
      </w:r>
      <w:r w:rsidRPr="006A3540">
        <w:rPr>
          <w:sz w:val="18"/>
          <w:szCs w:val="18"/>
        </w:rPr>
        <w:t xml:space="preserve">17(I), </w:t>
      </w:r>
      <w:r w:rsidRPr="006A3540">
        <w:rPr>
          <w:iCs/>
          <w:sz w:val="18"/>
          <w:szCs w:val="18"/>
        </w:rPr>
        <w:t>38(II), 41(XVIII), 45(VII), 45(XII).</w:t>
      </w:r>
      <w:proofErr w:type="gramEnd"/>
      <w:r w:rsidRPr="006A3540">
        <w:rPr>
          <w:iCs/>
          <w:sz w:val="18"/>
          <w:szCs w:val="18"/>
        </w:rPr>
        <w:t xml:space="preserve">  </w:t>
      </w:r>
      <w:r w:rsidRPr="006C3E39">
        <w:rPr>
          <w:sz w:val="18"/>
          <w:szCs w:val="18"/>
        </w:rPr>
        <w:t xml:space="preserve"> </w:t>
      </w:r>
    </w:p>
  </w:footnote>
  <w:footnote w:id="93">
    <w:p w14:paraId="1E90705A" w14:textId="77777777" w:rsidR="001A5598" w:rsidRPr="006A3540" w:rsidRDefault="001A5598" w:rsidP="00500B97">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Ibid, art. </w:t>
      </w:r>
      <w:proofErr w:type="gramStart"/>
      <w:r w:rsidRPr="006A3540">
        <w:rPr>
          <w:iCs/>
          <w:sz w:val="18"/>
          <w:szCs w:val="18"/>
        </w:rPr>
        <w:t>52(VII).</w:t>
      </w:r>
      <w:proofErr w:type="gramEnd"/>
      <w:r w:rsidRPr="006A3540">
        <w:rPr>
          <w:iCs/>
          <w:sz w:val="18"/>
          <w:szCs w:val="18"/>
        </w:rPr>
        <w:t xml:space="preserve">  </w:t>
      </w:r>
      <w:r w:rsidRPr="006A3540">
        <w:rPr>
          <w:sz w:val="18"/>
          <w:szCs w:val="18"/>
        </w:rPr>
        <w:t xml:space="preserve"> </w:t>
      </w:r>
    </w:p>
  </w:footnote>
  <w:footnote w:id="94">
    <w:p w14:paraId="68E59A84" w14:textId="671B2444" w:rsidR="001A5598" w:rsidRPr="006C3E39" w:rsidRDefault="001A5598">
      <w:pPr>
        <w:spacing w:before="0" w:after="120"/>
        <w:rPr>
          <w:iCs/>
          <w:sz w:val="18"/>
          <w:szCs w:val="18"/>
        </w:rPr>
      </w:pPr>
      <w:r w:rsidRPr="006A3540">
        <w:rPr>
          <w:rStyle w:val="FootnoteReference"/>
          <w:sz w:val="18"/>
          <w:szCs w:val="18"/>
        </w:rPr>
        <w:footnoteRef/>
      </w:r>
      <w:r w:rsidRPr="006A3540">
        <w:rPr>
          <w:sz w:val="18"/>
          <w:szCs w:val="18"/>
        </w:rPr>
        <w:t xml:space="preserve"> International Criminal Tribunal for Rwanda, </w:t>
      </w:r>
      <w:r w:rsidRPr="006A3540">
        <w:rPr>
          <w:i/>
          <w:sz w:val="18"/>
          <w:szCs w:val="18"/>
        </w:rPr>
        <w:t>Rules of Procedure and Evidence</w:t>
      </w:r>
      <w:r w:rsidRPr="006A3540">
        <w:rPr>
          <w:sz w:val="18"/>
          <w:szCs w:val="18"/>
        </w:rPr>
        <w:t xml:space="preserve"> (2013), r 96; </w:t>
      </w:r>
      <w:r w:rsidRPr="006A3540">
        <w:rPr>
          <w:rStyle w:val="SubtleEmphasis"/>
          <w:b w:val="0"/>
          <w:color w:val="auto"/>
          <w:sz w:val="18"/>
          <w:szCs w:val="18"/>
        </w:rPr>
        <w:t xml:space="preserve">International Tribunal for the Prosecution of Persons Responsible for Serious Violations </w:t>
      </w:r>
      <w:r w:rsidRPr="006C3E39">
        <w:rPr>
          <w:rStyle w:val="SubtleEmphasis"/>
          <w:b w:val="0"/>
          <w:color w:val="auto"/>
          <w:sz w:val="18"/>
          <w:szCs w:val="18"/>
        </w:rPr>
        <w:t xml:space="preserve">of International Humanitarian Law Committed in the Territory of the former Yugoslavia since 1991, </w:t>
      </w:r>
      <w:r w:rsidRPr="006C3E39">
        <w:rPr>
          <w:rStyle w:val="SubtleEmphasis"/>
          <w:b w:val="0"/>
          <w:i/>
          <w:color w:val="auto"/>
          <w:sz w:val="18"/>
          <w:szCs w:val="18"/>
        </w:rPr>
        <w:t xml:space="preserve">Rules of Procedure and Evidence, </w:t>
      </w:r>
      <w:r w:rsidRPr="006C3E39">
        <w:rPr>
          <w:rStyle w:val="SubtleEmphasis"/>
          <w:b w:val="0"/>
          <w:color w:val="auto"/>
          <w:sz w:val="18"/>
          <w:szCs w:val="18"/>
        </w:rPr>
        <w:t>IT/32/Rev.49 (2013), r 96.</w:t>
      </w:r>
    </w:p>
  </w:footnote>
  <w:footnote w:id="95">
    <w:p w14:paraId="5CAA1A24" w14:textId="39A8979B" w:rsidR="001A5598" w:rsidRPr="006C3E39" w:rsidRDefault="001A5598">
      <w:pPr>
        <w:pStyle w:val="FootnoteText"/>
        <w:spacing w:after="120"/>
        <w:rPr>
          <w:bCs/>
          <w:iCs/>
          <w:sz w:val="18"/>
          <w:szCs w:val="18"/>
        </w:rPr>
      </w:pPr>
      <w:r w:rsidRPr="006A3540">
        <w:rPr>
          <w:rStyle w:val="FootnoteReference"/>
          <w:sz w:val="18"/>
          <w:szCs w:val="18"/>
        </w:rPr>
        <w:footnoteRef/>
      </w:r>
      <w:r w:rsidRPr="006A3540">
        <w:rPr>
          <w:sz w:val="18"/>
          <w:szCs w:val="18"/>
        </w:rPr>
        <w:t xml:space="preserve"> </w:t>
      </w:r>
      <w:proofErr w:type="gramStart"/>
      <w:r w:rsidRPr="006A3540">
        <w:rPr>
          <w:bCs/>
          <w:iCs/>
          <w:sz w:val="18"/>
          <w:szCs w:val="18"/>
        </w:rPr>
        <w:t xml:space="preserve">Ivana </w:t>
      </w:r>
      <w:proofErr w:type="spellStart"/>
      <w:r w:rsidRPr="006A3540">
        <w:rPr>
          <w:bCs/>
          <w:iCs/>
          <w:sz w:val="18"/>
          <w:szCs w:val="18"/>
        </w:rPr>
        <w:t>Rada</w:t>
      </w:r>
      <w:r w:rsidRPr="006A3540">
        <w:rPr>
          <w:rFonts w:cs="Times New Roman"/>
          <w:bCs/>
          <w:iCs/>
          <w:sz w:val="18"/>
          <w:szCs w:val="18"/>
        </w:rPr>
        <w:t>č</w:t>
      </w:r>
      <w:r w:rsidRPr="006A3540">
        <w:rPr>
          <w:bCs/>
          <w:iCs/>
          <w:sz w:val="18"/>
          <w:szCs w:val="18"/>
        </w:rPr>
        <w:t>i</w:t>
      </w:r>
      <w:r w:rsidRPr="006A3540">
        <w:rPr>
          <w:rFonts w:cs="Times New Roman"/>
          <w:bCs/>
          <w:iCs/>
          <w:sz w:val="18"/>
          <w:szCs w:val="18"/>
        </w:rPr>
        <w:t>ć</w:t>
      </w:r>
      <w:proofErr w:type="spellEnd"/>
      <w:r w:rsidRPr="006A3540">
        <w:rPr>
          <w:bCs/>
          <w:iCs/>
          <w:sz w:val="18"/>
          <w:szCs w:val="18"/>
        </w:rPr>
        <w:t>, ‘Rape Myths and Gender Stereotypes in Croatian Rape Laws and Judicial Practice’</w:t>
      </w:r>
      <w:r w:rsidRPr="006C3E39">
        <w:rPr>
          <w:bCs/>
          <w:iCs/>
          <w:sz w:val="18"/>
          <w:szCs w:val="18"/>
        </w:rPr>
        <w:t xml:space="preserve"> (2014) 22(1) </w:t>
      </w:r>
      <w:r w:rsidRPr="006C3E39">
        <w:rPr>
          <w:bCs/>
          <w:i/>
          <w:iCs/>
          <w:sz w:val="18"/>
          <w:szCs w:val="18"/>
        </w:rPr>
        <w:t>Feminist Legal Studies</w:t>
      </w:r>
      <w:r w:rsidRPr="006C3E39">
        <w:rPr>
          <w:bCs/>
          <w:iCs/>
          <w:sz w:val="18"/>
          <w:szCs w:val="18"/>
        </w:rPr>
        <w:t xml:space="preserve"> 67.</w:t>
      </w:r>
      <w:proofErr w:type="gramEnd"/>
      <w:r w:rsidRPr="006C3E39">
        <w:rPr>
          <w:bCs/>
          <w:iCs/>
          <w:sz w:val="18"/>
          <w:szCs w:val="18"/>
        </w:rPr>
        <w:t xml:space="preserve"> </w:t>
      </w:r>
    </w:p>
  </w:footnote>
  <w:footnote w:id="96">
    <w:p w14:paraId="086C0367" w14:textId="4D9174B8"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i/>
          <w:sz w:val="18"/>
          <w:szCs w:val="18"/>
        </w:rPr>
        <w:t xml:space="preserve"> </w:t>
      </w:r>
      <w:r w:rsidRPr="006A3540">
        <w:rPr>
          <w:sz w:val="18"/>
          <w:szCs w:val="18"/>
        </w:rPr>
        <w:t xml:space="preserve">Raquel Asensio </w:t>
      </w:r>
      <w:r w:rsidRPr="006A3540">
        <w:rPr>
          <w:i/>
          <w:sz w:val="18"/>
          <w:szCs w:val="18"/>
        </w:rPr>
        <w:t>et al</w:t>
      </w:r>
      <w:r w:rsidRPr="006A3540">
        <w:rPr>
          <w:sz w:val="18"/>
          <w:szCs w:val="18"/>
        </w:rPr>
        <w:t xml:space="preserve">., </w:t>
      </w:r>
      <w:r w:rsidRPr="006A3540">
        <w:rPr>
          <w:i/>
          <w:sz w:val="18"/>
          <w:szCs w:val="18"/>
        </w:rPr>
        <w:t>Discriminación de Género en Las Decisiones Judiciales: Justicia Penal y Violencia de Género</w:t>
      </w:r>
      <w:r w:rsidRPr="006A3540">
        <w:rPr>
          <w:sz w:val="18"/>
          <w:szCs w:val="18"/>
        </w:rPr>
        <w:t xml:space="preserve"> (Buenos Aires: Defensoría General de la Nación, 2010), </w:t>
      </w:r>
      <w:hyperlink r:id="rId4" w:history="1">
        <w:r w:rsidRPr="006A3540">
          <w:rPr>
            <w:rStyle w:val="Hyperlink"/>
            <w:color w:val="3366FF"/>
            <w:sz w:val="18"/>
            <w:szCs w:val="18"/>
          </w:rPr>
          <w:t>http://www.artemisanoticias.com.ar/images/FotosNotas/inv%20defensoria11-10%5B1%5D.pdf</w:t>
        </w:r>
      </w:hyperlink>
      <w:r w:rsidRPr="006A3540">
        <w:rPr>
          <w:color w:val="3366FF"/>
          <w:sz w:val="18"/>
          <w:szCs w:val="18"/>
        </w:rPr>
        <w:t xml:space="preserve"> </w:t>
      </w:r>
      <w:r w:rsidRPr="006A3540">
        <w:rPr>
          <w:sz w:val="18"/>
          <w:szCs w:val="18"/>
        </w:rPr>
        <w:t>(viewed 24 May 2014).</w:t>
      </w:r>
    </w:p>
  </w:footnote>
  <w:footnote w:id="97">
    <w:p w14:paraId="646E65E7" w14:textId="11CEB048"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L.N.P. v. Argentine Republic</w:t>
      </w:r>
      <w:r w:rsidRPr="006A3540">
        <w:rPr>
          <w:sz w:val="18"/>
          <w:szCs w:val="18"/>
        </w:rPr>
        <w:t>, Communication No. 1610/2007, UN Doc. CCPR/C/102/D/1610/2007 (2011)</w:t>
      </w:r>
      <w:r w:rsidRPr="006A3540">
        <w:rPr>
          <w:i/>
          <w:sz w:val="18"/>
          <w:szCs w:val="18"/>
        </w:rPr>
        <w:t xml:space="preserve"> </w:t>
      </w:r>
      <w:r w:rsidRPr="006A3540">
        <w:rPr>
          <w:sz w:val="18"/>
          <w:szCs w:val="18"/>
        </w:rPr>
        <w:t>(HRC).</w:t>
      </w:r>
      <w:proofErr w:type="gramEnd"/>
    </w:p>
  </w:footnote>
  <w:footnote w:id="98">
    <w:p w14:paraId="1710DC19" w14:textId="13CCEBA1" w:rsidR="001A5598" w:rsidRPr="006C3E39"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sz w:val="18"/>
          <w:szCs w:val="18"/>
        </w:rPr>
        <w:t>L’Heureux-Dubé</w:t>
      </w:r>
      <w:r w:rsidRPr="006A3540">
        <w:rPr>
          <w:sz w:val="18"/>
          <w:szCs w:val="18"/>
        </w:rPr>
        <w:t xml:space="preserve">, </w:t>
      </w:r>
      <w:r w:rsidRPr="006A3540">
        <w:rPr>
          <w:i/>
          <w:sz w:val="18"/>
          <w:szCs w:val="18"/>
        </w:rPr>
        <w:t xml:space="preserve">supra </w:t>
      </w:r>
      <w:r w:rsidRPr="006A3540">
        <w:rPr>
          <w:sz w:val="18"/>
          <w:szCs w:val="18"/>
        </w:rPr>
        <w:t>note 7</w:t>
      </w:r>
      <w:r w:rsidRPr="006C3E39">
        <w:rPr>
          <w:sz w:val="18"/>
          <w:szCs w:val="18"/>
        </w:rPr>
        <w:t xml:space="preserve">, 101. </w:t>
      </w:r>
    </w:p>
  </w:footnote>
  <w:footnote w:id="99">
    <w:p w14:paraId="0A15E1A6" w14:textId="5E6F752F"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Karen T. Vertido, Communication against the Philippines, Submitted to the Committee on the Elimination of Discrimination against Women, 29 November 2007</w:t>
      </w:r>
      <w:r w:rsidRPr="006A3540">
        <w:rPr>
          <w:iCs/>
          <w:sz w:val="18"/>
          <w:szCs w:val="18"/>
        </w:rPr>
        <w:t>.</w:t>
      </w:r>
      <w:r>
        <w:rPr>
          <w:iCs/>
          <w:sz w:val="18"/>
          <w:szCs w:val="18"/>
        </w:rPr>
        <w:t xml:space="preserve"> </w:t>
      </w:r>
    </w:p>
  </w:footnote>
  <w:footnote w:id="100">
    <w:p w14:paraId="782FE8E9" w14:textId="20309B30"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Karen Tayag Vertido</w:t>
      </w:r>
      <w:r w:rsidRPr="006A3540">
        <w:rPr>
          <w:sz w:val="18"/>
          <w:szCs w:val="18"/>
        </w:rPr>
        <w:t xml:space="preserve"> </w:t>
      </w:r>
      <w:r w:rsidRPr="006A3540">
        <w:rPr>
          <w:i/>
          <w:sz w:val="18"/>
          <w:szCs w:val="18"/>
        </w:rPr>
        <w:t>v.</w:t>
      </w:r>
      <w:proofErr w:type="gramEnd"/>
      <w:r w:rsidRPr="006A3540">
        <w:rPr>
          <w:i/>
          <w:sz w:val="18"/>
          <w:szCs w:val="18"/>
        </w:rPr>
        <w:t xml:space="preserve"> </w:t>
      </w:r>
      <w:proofErr w:type="gramStart"/>
      <w:r w:rsidRPr="006A3540">
        <w:rPr>
          <w:i/>
          <w:sz w:val="18"/>
          <w:szCs w:val="18"/>
        </w:rPr>
        <w:t>The Philippines</w:t>
      </w:r>
      <w:r w:rsidRPr="006A3540">
        <w:rPr>
          <w:sz w:val="18"/>
          <w:szCs w:val="18"/>
        </w:rPr>
        <w:t>, Communication No. 18/2008, UN Doc. CEDAW/C/46/D/18/2008 (2010)</w:t>
      </w:r>
      <w:r w:rsidRPr="006A3540">
        <w:rPr>
          <w:i/>
          <w:sz w:val="18"/>
          <w:szCs w:val="18"/>
        </w:rPr>
        <w:t xml:space="preserve"> </w:t>
      </w:r>
      <w:r w:rsidRPr="006C3E39">
        <w:rPr>
          <w:sz w:val="18"/>
          <w:szCs w:val="18"/>
        </w:rPr>
        <w:t>(CEDAW).</w:t>
      </w:r>
      <w:proofErr w:type="gramEnd"/>
      <w:r w:rsidRPr="006C3E39">
        <w:rPr>
          <w:sz w:val="18"/>
          <w:szCs w:val="18"/>
        </w:rPr>
        <w:t xml:space="preserve"> See also Karen Tayag Vertido, ‘General Discussions Elaborating a Draft General Recommendation on Women and Access to Justice’ </w:t>
      </w:r>
      <w:r w:rsidRPr="006C3E39">
        <w:rPr>
          <w:rFonts w:cs="Arial"/>
          <w:sz w:val="18"/>
          <w:szCs w:val="18"/>
        </w:rPr>
        <w:t>(Speech delivered at the Committee on the Elimination of Discrimination against Women, 54</w:t>
      </w:r>
      <w:r w:rsidRPr="006C3E39">
        <w:rPr>
          <w:rFonts w:cs="Arial"/>
          <w:sz w:val="18"/>
          <w:szCs w:val="18"/>
          <w:vertAlign w:val="superscript"/>
        </w:rPr>
        <w:t>th</w:t>
      </w:r>
      <w:r w:rsidRPr="006C3E39">
        <w:rPr>
          <w:rFonts w:cs="Arial"/>
          <w:sz w:val="18"/>
          <w:szCs w:val="18"/>
        </w:rPr>
        <w:t xml:space="preserve"> session, General Discussion on Access to Justice, Geneva, 2013);</w:t>
      </w:r>
      <w:r w:rsidRPr="006C3E39">
        <w:rPr>
          <w:sz w:val="18"/>
          <w:szCs w:val="18"/>
        </w:rPr>
        <w:t xml:space="preserve"> </w:t>
      </w:r>
      <w:r w:rsidRPr="006C3E39">
        <w:rPr>
          <w:iCs/>
          <w:sz w:val="18"/>
          <w:szCs w:val="18"/>
        </w:rPr>
        <w:t xml:space="preserve">Simone Cusack &amp; Alexandra S.H. Timmer, ‘Gender Stereotyping in Rape Cases: The CEDAW Committee’s Decision in </w:t>
      </w:r>
      <w:r w:rsidRPr="006C3E39">
        <w:rPr>
          <w:i/>
          <w:iCs/>
          <w:sz w:val="18"/>
          <w:szCs w:val="18"/>
        </w:rPr>
        <w:t>Vertido v The Philippines</w:t>
      </w:r>
      <w:r w:rsidRPr="006C3E39">
        <w:rPr>
          <w:iCs/>
          <w:sz w:val="18"/>
          <w:szCs w:val="18"/>
        </w:rPr>
        <w:t xml:space="preserve">’ (2011) 11(2) </w:t>
      </w:r>
      <w:r w:rsidRPr="006C3E39">
        <w:rPr>
          <w:i/>
          <w:iCs/>
          <w:sz w:val="18"/>
          <w:szCs w:val="18"/>
        </w:rPr>
        <w:t xml:space="preserve">Human Rights Law Review </w:t>
      </w:r>
      <w:r w:rsidRPr="006C3E39">
        <w:rPr>
          <w:iCs/>
          <w:sz w:val="18"/>
          <w:szCs w:val="18"/>
        </w:rPr>
        <w:t>329</w:t>
      </w:r>
      <w:r w:rsidRPr="006C3E39">
        <w:rPr>
          <w:sz w:val="18"/>
          <w:szCs w:val="18"/>
        </w:rPr>
        <w:t>.</w:t>
      </w:r>
    </w:p>
  </w:footnote>
  <w:footnote w:id="101">
    <w:p w14:paraId="6107346B" w14:textId="1D52DDD1"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Karen Tayag Vertido</w:t>
      </w:r>
      <w:r w:rsidRPr="006A3540">
        <w:rPr>
          <w:sz w:val="18"/>
          <w:szCs w:val="18"/>
        </w:rPr>
        <w:t xml:space="preserve"> </w:t>
      </w:r>
      <w:r w:rsidRPr="006A3540">
        <w:rPr>
          <w:i/>
          <w:sz w:val="18"/>
          <w:szCs w:val="18"/>
        </w:rPr>
        <w:t>v.</w:t>
      </w:r>
      <w:proofErr w:type="gramEnd"/>
      <w:r w:rsidRPr="006A3540">
        <w:rPr>
          <w:i/>
          <w:sz w:val="18"/>
          <w:szCs w:val="18"/>
        </w:rPr>
        <w:t xml:space="preserve"> </w:t>
      </w:r>
      <w:proofErr w:type="gramStart"/>
      <w:r w:rsidRPr="006A3540">
        <w:rPr>
          <w:i/>
          <w:sz w:val="18"/>
          <w:szCs w:val="18"/>
        </w:rPr>
        <w:t>The Philippines</w:t>
      </w:r>
      <w:r w:rsidRPr="006A3540">
        <w:rPr>
          <w:sz w:val="18"/>
          <w:szCs w:val="18"/>
        </w:rPr>
        <w:t>, ibid, para.</w:t>
      </w:r>
      <w:proofErr w:type="gramEnd"/>
      <w:r w:rsidRPr="006A3540">
        <w:rPr>
          <w:sz w:val="18"/>
          <w:szCs w:val="18"/>
        </w:rPr>
        <w:t xml:space="preserve"> 8.4. </w:t>
      </w:r>
      <w:r w:rsidRPr="006C3E39">
        <w:rPr>
          <w:sz w:val="18"/>
          <w:szCs w:val="18"/>
        </w:rPr>
        <w:t xml:space="preserve"> </w:t>
      </w:r>
    </w:p>
  </w:footnote>
  <w:footnote w:id="102">
    <w:p w14:paraId="6C72DDC9" w14:textId="0B13FBB3" w:rsidR="001A5598" w:rsidRPr="00E7671D" w:rsidRDefault="001A5598">
      <w:pPr>
        <w:pStyle w:val="FootnoteText"/>
        <w:spacing w:after="120"/>
        <w:rPr>
          <w:sz w:val="18"/>
          <w:szCs w:val="18"/>
          <w:lang w:val="es-ES"/>
        </w:rPr>
      </w:pPr>
      <w:r w:rsidRPr="006A3540">
        <w:rPr>
          <w:rStyle w:val="FootnoteReference"/>
          <w:sz w:val="18"/>
          <w:szCs w:val="18"/>
        </w:rPr>
        <w:footnoteRef/>
      </w:r>
      <w:r w:rsidRPr="00E7671D">
        <w:rPr>
          <w:sz w:val="18"/>
          <w:szCs w:val="18"/>
          <w:lang w:val="es-ES"/>
        </w:rPr>
        <w:t xml:space="preserve"> Ibid, para. 8.9(b).  </w:t>
      </w:r>
    </w:p>
  </w:footnote>
  <w:footnote w:id="103">
    <w:p w14:paraId="78A2FE4F" w14:textId="6B3E257A" w:rsidR="001A5598" w:rsidRPr="00E7671D" w:rsidRDefault="001A5598">
      <w:pPr>
        <w:pStyle w:val="FootnoteText"/>
        <w:spacing w:after="120"/>
        <w:rPr>
          <w:iCs/>
          <w:sz w:val="18"/>
          <w:szCs w:val="18"/>
          <w:lang w:val="es-ES"/>
        </w:rPr>
      </w:pPr>
      <w:r w:rsidRPr="006A3540">
        <w:rPr>
          <w:rStyle w:val="FootnoteReference"/>
          <w:sz w:val="18"/>
          <w:szCs w:val="18"/>
        </w:rPr>
        <w:footnoteRef/>
      </w:r>
      <w:r w:rsidRPr="00E7671D">
        <w:rPr>
          <w:iCs/>
          <w:sz w:val="18"/>
          <w:szCs w:val="18"/>
          <w:lang w:val="es-ES"/>
        </w:rPr>
        <w:t xml:space="preserve"> </w:t>
      </w:r>
      <w:r w:rsidRPr="00E7671D">
        <w:rPr>
          <w:i/>
          <w:iCs/>
          <w:sz w:val="18"/>
          <w:szCs w:val="18"/>
          <w:lang w:val="es-ES"/>
        </w:rPr>
        <w:t>R. v. Lavallee</w:t>
      </w:r>
      <w:r w:rsidRPr="00E7671D">
        <w:rPr>
          <w:iCs/>
          <w:sz w:val="18"/>
          <w:szCs w:val="18"/>
          <w:lang w:val="es-ES"/>
        </w:rPr>
        <w:t xml:space="preserve"> [1990] 1 S.C.R. 852, 871-873 (Wilson J) (Canada, Supreme Court). </w:t>
      </w:r>
    </w:p>
  </w:footnote>
  <w:footnote w:id="104">
    <w:p w14:paraId="7765F874" w14:textId="4A30B7F3" w:rsidR="001A5598" w:rsidRPr="006A3540"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Equality Now, </w:t>
      </w:r>
      <w:r w:rsidRPr="006A3540">
        <w:rPr>
          <w:i/>
          <w:sz w:val="18"/>
          <w:szCs w:val="18"/>
        </w:rPr>
        <w:t xml:space="preserve">supra </w:t>
      </w:r>
      <w:r w:rsidRPr="006A3540">
        <w:rPr>
          <w:sz w:val="18"/>
          <w:szCs w:val="18"/>
        </w:rPr>
        <w:t xml:space="preserve">note </w:t>
      </w:r>
      <w:r>
        <w:rPr>
          <w:sz w:val="18"/>
          <w:szCs w:val="18"/>
        </w:rPr>
        <w:t>75</w:t>
      </w:r>
      <w:r w:rsidRPr="006A3540">
        <w:rPr>
          <w:iCs/>
          <w:sz w:val="18"/>
          <w:szCs w:val="18"/>
        </w:rPr>
        <w:t xml:space="preserve">, 18. </w:t>
      </w:r>
    </w:p>
  </w:footnote>
  <w:footnote w:id="105">
    <w:p w14:paraId="1DF97F37" w14:textId="78D51C21" w:rsidR="001A5598" w:rsidRPr="006A3540"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w:t>
      </w:r>
      <w:proofErr w:type="gramStart"/>
      <w:r w:rsidRPr="006A3540">
        <w:rPr>
          <w:iCs/>
          <w:sz w:val="18"/>
          <w:szCs w:val="18"/>
        </w:rPr>
        <w:t>Ibid, 14 [citations omitted].</w:t>
      </w:r>
      <w:proofErr w:type="gramEnd"/>
      <w:r w:rsidRPr="006A3540">
        <w:rPr>
          <w:iCs/>
          <w:sz w:val="18"/>
          <w:szCs w:val="18"/>
        </w:rPr>
        <w:t xml:space="preserve">   </w:t>
      </w:r>
    </w:p>
  </w:footnote>
  <w:footnote w:id="106">
    <w:p w14:paraId="036B6669" w14:textId="42A7480E"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See section 4.1.</w:t>
      </w:r>
    </w:p>
  </w:footnote>
  <w:footnote w:id="107">
    <w:p w14:paraId="0D9176DD" w14:textId="2FE159F3" w:rsidR="001A5598" w:rsidRPr="006A3540"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Inter-American Commission on Human Rights, ‘IACHR Concludes Working Visit to Bolivia’, Press Release No. 40/09, 26 June 2009. </w:t>
      </w:r>
    </w:p>
  </w:footnote>
  <w:footnote w:id="108">
    <w:p w14:paraId="6B557FBE" w14:textId="73449571" w:rsidR="001A5598" w:rsidRPr="006A3540" w:rsidRDefault="001A5598">
      <w:pPr>
        <w:pStyle w:val="FootnoteText"/>
        <w:spacing w:after="120"/>
        <w:rPr>
          <w:sz w:val="18"/>
          <w:szCs w:val="18"/>
        </w:rPr>
      </w:pPr>
      <w:r w:rsidRPr="006A3540">
        <w:rPr>
          <w:rStyle w:val="FootnoteReference"/>
          <w:sz w:val="18"/>
          <w:szCs w:val="18"/>
        </w:rPr>
        <w:footnoteRef/>
      </w:r>
      <w:r w:rsidRPr="006A3540">
        <w:rPr>
          <w:rFonts w:cs="Times New Roman"/>
          <w:bCs/>
          <w:i/>
          <w:iCs/>
          <w:sz w:val="18"/>
          <w:szCs w:val="18"/>
        </w:rPr>
        <w:t xml:space="preserve"> R v. Ewanchuk</w:t>
      </w:r>
      <w:r w:rsidRPr="006A3540">
        <w:rPr>
          <w:rFonts w:cs="Times New Roman"/>
          <w:bCs/>
          <w:iCs/>
          <w:sz w:val="18"/>
          <w:szCs w:val="18"/>
        </w:rPr>
        <w:t xml:space="preserve">, </w:t>
      </w:r>
      <w:r w:rsidRPr="006A3540">
        <w:rPr>
          <w:rFonts w:cs="Times New Roman"/>
          <w:bCs/>
          <w:i/>
          <w:iCs/>
          <w:sz w:val="18"/>
          <w:szCs w:val="18"/>
        </w:rPr>
        <w:t xml:space="preserve">supra </w:t>
      </w:r>
      <w:proofErr w:type="gramStart"/>
      <w:r w:rsidRPr="006A3540">
        <w:rPr>
          <w:rFonts w:cs="Times New Roman"/>
          <w:bCs/>
          <w:iCs/>
          <w:sz w:val="18"/>
          <w:szCs w:val="18"/>
        </w:rPr>
        <w:t>note</w:t>
      </w:r>
      <w:proofErr w:type="gramEnd"/>
      <w:r w:rsidRPr="006A3540">
        <w:rPr>
          <w:rFonts w:cs="Times New Roman"/>
          <w:bCs/>
          <w:iCs/>
          <w:sz w:val="18"/>
          <w:szCs w:val="18"/>
        </w:rPr>
        <w:t xml:space="preserve"> 6.</w:t>
      </w:r>
    </w:p>
  </w:footnote>
  <w:footnote w:id="109">
    <w:p w14:paraId="5FE07B65" w14:textId="2C4117F7" w:rsidR="001A5598" w:rsidRPr="006A3540" w:rsidRDefault="001A5598" w:rsidP="00555FFC">
      <w:pPr>
        <w:pStyle w:val="FootnoteText"/>
        <w:spacing w:after="120"/>
        <w:jc w:val="both"/>
        <w:rPr>
          <w:sz w:val="18"/>
          <w:szCs w:val="18"/>
        </w:rPr>
      </w:pPr>
      <w:r w:rsidRPr="006A3540">
        <w:rPr>
          <w:rStyle w:val="FootnoteReference"/>
          <w:sz w:val="18"/>
          <w:szCs w:val="18"/>
        </w:rPr>
        <w:footnoteRef/>
      </w:r>
      <w:r w:rsidRPr="006A3540">
        <w:rPr>
          <w:sz w:val="18"/>
          <w:szCs w:val="18"/>
        </w:rPr>
        <w:t xml:space="preserve"> </w:t>
      </w:r>
      <w:r w:rsidRPr="006A3540">
        <w:rPr>
          <w:i/>
          <w:sz w:val="18"/>
          <w:szCs w:val="18"/>
        </w:rPr>
        <w:t>Mukungu v. Republic</w:t>
      </w:r>
      <w:r w:rsidRPr="006A3540">
        <w:rPr>
          <w:sz w:val="18"/>
          <w:szCs w:val="18"/>
        </w:rPr>
        <w:t>, [2003] 2 EA 482, para</w:t>
      </w:r>
      <w:r>
        <w:rPr>
          <w:sz w:val="18"/>
          <w:szCs w:val="18"/>
        </w:rPr>
        <w:t>s</w:t>
      </w:r>
      <w:r w:rsidRPr="006A3540">
        <w:rPr>
          <w:sz w:val="18"/>
          <w:szCs w:val="18"/>
        </w:rPr>
        <w:t xml:space="preserve">. </w:t>
      </w:r>
      <w:r>
        <w:rPr>
          <w:sz w:val="18"/>
          <w:szCs w:val="18"/>
        </w:rPr>
        <w:t>11-</w:t>
      </w:r>
      <w:r w:rsidRPr="006A3540">
        <w:rPr>
          <w:sz w:val="18"/>
          <w:szCs w:val="18"/>
        </w:rPr>
        <w:t>1</w:t>
      </w:r>
      <w:r>
        <w:rPr>
          <w:sz w:val="18"/>
          <w:szCs w:val="18"/>
        </w:rPr>
        <w:t>4 (</w:t>
      </w:r>
      <w:r w:rsidRPr="000F38DA">
        <w:rPr>
          <w:sz w:val="18"/>
          <w:szCs w:val="18"/>
        </w:rPr>
        <w:t xml:space="preserve">Kwach, Bosire </w:t>
      </w:r>
      <w:r>
        <w:rPr>
          <w:sz w:val="18"/>
          <w:szCs w:val="18"/>
        </w:rPr>
        <w:t xml:space="preserve">&amp; </w:t>
      </w:r>
      <w:r w:rsidRPr="000F38DA">
        <w:rPr>
          <w:sz w:val="18"/>
          <w:szCs w:val="18"/>
        </w:rPr>
        <w:t>O'Kubasu </w:t>
      </w:r>
      <w:r>
        <w:rPr>
          <w:sz w:val="18"/>
          <w:szCs w:val="18"/>
        </w:rPr>
        <w:t>JJA)</w:t>
      </w:r>
      <w:r w:rsidRPr="006A3540">
        <w:rPr>
          <w:sz w:val="18"/>
          <w:szCs w:val="18"/>
        </w:rPr>
        <w:t xml:space="preserve"> </w:t>
      </w:r>
      <w:r>
        <w:rPr>
          <w:sz w:val="18"/>
          <w:szCs w:val="18"/>
        </w:rPr>
        <w:t xml:space="preserve">[citations omitted] </w:t>
      </w:r>
      <w:r w:rsidRPr="006A3540">
        <w:rPr>
          <w:sz w:val="18"/>
          <w:szCs w:val="18"/>
        </w:rPr>
        <w:t>(Kenya, Court of Appeal).</w:t>
      </w:r>
    </w:p>
  </w:footnote>
  <w:footnote w:id="110">
    <w:p w14:paraId="28B1ABB3" w14:textId="4A0DBE38" w:rsidR="001A5598" w:rsidRPr="006A3540" w:rsidRDefault="001A5598" w:rsidP="006A3540">
      <w:pPr>
        <w:widowControl w:val="0"/>
        <w:spacing w:before="0" w:after="120"/>
        <w:rPr>
          <w:sz w:val="18"/>
          <w:szCs w:val="18"/>
        </w:rPr>
      </w:pPr>
      <w:r w:rsidRPr="006A3540">
        <w:rPr>
          <w:rStyle w:val="FootnoteReference"/>
          <w:sz w:val="18"/>
          <w:szCs w:val="18"/>
        </w:rPr>
        <w:footnoteRef/>
      </w:r>
      <w:r w:rsidRPr="006A3540">
        <w:rPr>
          <w:rStyle w:val="FootnoteReference"/>
          <w:sz w:val="18"/>
          <w:szCs w:val="18"/>
        </w:rPr>
        <w:t xml:space="preserve"> </w:t>
      </w:r>
      <w:r w:rsidRPr="006A3540">
        <w:rPr>
          <w:i/>
          <w:iCs/>
          <w:sz w:val="18"/>
          <w:szCs w:val="18"/>
        </w:rPr>
        <w:t>R.P.B. v. The Philippines</w:t>
      </w:r>
      <w:r w:rsidRPr="006A3540">
        <w:rPr>
          <w:iCs/>
          <w:sz w:val="18"/>
          <w:szCs w:val="18"/>
        </w:rPr>
        <w:t xml:space="preserve">, </w:t>
      </w:r>
      <w:r w:rsidRPr="006A3540">
        <w:rPr>
          <w:i/>
          <w:iCs/>
          <w:sz w:val="18"/>
          <w:szCs w:val="18"/>
        </w:rPr>
        <w:t>supra</w:t>
      </w:r>
      <w:r w:rsidRPr="006A3540">
        <w:rPr>
          <w:iCs/>
          <w:sz w:val="18"/>
          <w:szCs w:val="18"/>
        </w:rPr>
        <w:t xml:space="preserve"> note </w:t>
      </w:r>
      <w:r>
        <w:rPr>
          <w:iCs/>
          <w:sz w:val="18"/>
          <w:szCs w:val="18"/>
        </w:rPr>
        <w:t>49</w:t>
      </w:r>
      <w:r w:rsidRPr="006A3540">
        <w:rPr>
          <w:iCs/>
          <w:sz w:val="18"/>
          <w:szCs w:val="18"/>
        </w:rPr>
        <w:t>.</w:t>
      </w:r>
    </w:p>
  </w:footnote>
  <w:footnote w:id="111">
    <w:p w14:paraId="13B4D29C" w14:textId="4B26B8F2" w:rsidR="001A5598" w:rsidRPr="006A3540" w:rsidRDefault="001A5598" w:rsidP="006A3540">
      <w:pPr>
        <w:pStyle w:val="FootnoteText"/>
        <w:spacing w:after="120"/>
        <w:jc w:val="both"/>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State of Punjab v. Gurmit Singh</w:t>
      </w:r>
      <w:r>
        <w:rPr>
          <w:i/>
          <w:sz w:val="18"/>
          <w:szCs w:val="18"/>
        </w:rPr>
        <w:t xml:space="preserve"> &amp; Ors</w:t>
      </w:r>
      <w:r>
        <w:rPr>
          <w:sz w:val="18"/>
          <w:szCs w:val="18"/>
        </w:rPr>
        <w:t>,</w:t>
      </w:r>
      <w:r w:rsidRPr="006A3540">
        <w:rPr>
          <w:sz w:val="18"/>
          <w:szCs w:val="18"/>
        </w:rPr>
        <w:t xml:space="preserve"> 1996 </w:t>
      </w:r>
      <w:r w:rsidRPr="004F552C">
        <w:rPr>
          <w:sz w:val="18"/>
          <w:szCs w:val="18"/>
        </w:rPr>
        <w:t xml:space="preserve">AIR </w:t>
      </w:r>
      <w:r w:rsidRPr="006A3540">
        <w:rPr>
          <w:sz w:val="18"/>
          <w:szCs w:val="18"/>
        </w:rPr>
        <w:t>1393</w:t>
      </w:r>
      <w:r>
        <w:rPr>
          <w:sz w:val="18"/>
          <w:szCs w:val="18"/>
        </w:rPr>
        <w:t>; 1996 SCC (2) 384</w:t>
      </w:r>
      <w:r w:rsidRPr="006A3540">
        <w:rPr>
          <w:sz w:val="18"/>
          <w:szCs w:val="18"/>
        </w:rPr>
        <w:t xml:space="preserve"> </w:t>
      </w:r>
      <w:r>
        <w:rPr>
          <w:sz w:val="18"/>
          <w:szCs w:val="18"/>
        </w:rPr>
        <w:t>(Anand J)</w:t>
      </w:r>
      <w:r w:rsidRPr="006A3540">
        <w:rPr>
          <w:sz w:val="18"/>
          <w:szCs w:val="18"/>
        </w:rPr>
        <w:t xml:space="preserve"> (India</w:t>
      </w:r>
      <w:r>
        <w:rPr>
          <w:sz w:val="18"/>
          <w:szCs w:val="18"/>
        </w:rPr>
        <w:t xml:space="preserve">, </w:t>
      </w:r>
      <w:r w:rsidRPr="006A3540">
        <w:rPr>
          <w:sz w:val="18"/>
          <w:szCs w:val="18"/>
        </w:rPr>
        <w:t>Supreme Court)</w:t>
      </w:r>
      <w:r>
        <w:rPr>
          <w:sz w:val="18"/>
          <w:szCs w:val="18"/>
        </w:rPr>
        <w:t>.</w:t>
      </w:r>
      <w:proofErr w:type="gramEnd"/>
    </w:p>
  </w:footnote>
  <w:footnote w:id="112">
    <w:p w14:paraId="78C41C0A" w14:textId="10A84FC4" w:rsidR="001A5598" w:rsidRPr="006C3E39"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bookmarkStart w:id="32" w:name="_Toc235950447"/>
      <w:proofErr w:type="gramStart"/>
      <w:r w:rsidRPr="006A3540">
        <w:rPr>
          <w:sz w:val="18"/>
          <w:szCs w:val="18"/>
        </w:rPr>
        <w:t xml:space="preserve">Knaul, </w:t>
      </w:r>
      <w:r w:rsidRPr="006A3540">
        <w:rPr>
          <w:i/>
          <w:sz w:val="18"/>
          <w:szCs w:val="18"/>
        </w:rPr>
        <w:t xml:space="preserve">supra </w:t>
      </w:r>
      <w:r w:rsidRPr="006A3540">
        <w:rPr>
          <w:sz w:val="18"/>
          <w:szCs w:val="18"/>
        </w:rPr>
        <w:t xml:space="preserve">note </w:t>
      </w:r>
      <w:bookmarkEnd w:id="32"/>
      <w:r w:rsidRPr="006A3540">
        <w:rPr>
          <w:sz w:val="18"/>
          <w:szCs w:val="18"/>
        </w:rPr>
        <w:t>6</w:t>
      </w:r>
      <w:r>
        <w:rPr>
          <w:sz w:val="18"/>
          <w:szCs w:val="18"/>
        </w:rPr>
        <w:t>1</w:t>
      </w:r>
      <w:r w:rsidRPr="006A3540">
        <w:rPr>
          <w:bCs/>
          <w:sz w:val="18"/>
          <w:szCs w:val="18"/>
        </w:rPr>
        <w:t>, 2.</w:t>
      </w:r>
      <w:proofErr w:type="gramEnd"/>
      <w:r w:rsidRPr="006A3540">
        <w:rPr>
          <w:bCs/>
          <w:sz w:val="18"/>
          <w:szCs w:val="18"/>
        </w:rPr>
        <w:t xml:space="preserve"> See also </w:t>
      </w:r>
      <w:r w:rsidRPr="006A3540">
        <w:rPr>
          <w:i/>
          <w:sz w:val="18"/>
          <w:szCs w:val="18"/>
        </w:rPr>
        <w:t>R.P.B. v. the Philippines</w:t>
      </w:r>
      <w:r w:rsidRPr="006A3540">
        <w:rPr>
          <w:sz w:val="18"/>
          <w:szCs w:val="18"/>
        </w:rPr>
        <w:t xml:space="preserve">, </w:t>
      </w:r>
      <w:r w:rsidRPr="006A3540">
        <w:rPr>
          <w:i/>
          <w:iCs/>
          <w:sz w:val="18"/>
          <w:szCs w:val="18"/>
        </w:rPr>
        <w:t xml:space="preserve">supra </w:t>
      </w:r>
      <w:r w:rsidRPr="006A3540">
        <w:rPr>
          <w:iCs/>
          <w:sz w:val="18"/>
          <w:szCs w:val="18"/>
        </w:rPr>
        <w:t>note 4</w:t>
      </w:r>
      <w:r>
        <w:rPr>
          <w:iCs/>
          <w:sz w:val="18"/>
          <w:szCs w:val="18"/>
        </w:rPr>
        <w:t>9</w:t>
      </w:r>
      <w:r w:rsidRPr="006A3540">
        <w:rPr>
          <w:sz w:val="18"/>
          <w:szCs w:val="18"/>
        </w:rPr>
        <w:t xml:space="preserve">, </w:t>
      </w:r>
      <w:r w:rsidRPr="006A3540">
        <w:rPr>
          <w:rStyle w:val="SubtleEmphasis"/>
          <w:b w:val="0"/>
          <w:color w:val="auto"/>
          <w:sz w:val="18"/>
          <w:szCs w:val="18"/>
        </w:rPr>
        <w:t xml:space="preserve">para. </w:t>
      </w:r>
      <w:r w:rsidRPr="00E7671D">
        <w:rPr>
          <w:rStyle w:val="SubtleEmphasis"/>
          <w:b w:val="0"/>
          <w:color w:val="auto"/>
          <w:sz w:val="18"/>
          <w:szCs w:val="18"/>
          <w:lang w:val="es-ES"/>
        </w:rPr>
        <w:t>9(b</w:t>
      </w:r>
      <w:proofErr w:type="gramStart"/>
      <w:r w:rsidRPr="00E7671D">
        <w:rPr>
          <w:rStyle w:val="SubtleEmphasis"/>
          <w:b w:val="0"/>
          <w:color w:val="auto"/>
          <w:sz w:val="18"/>
          <w:szCs w:val="18"/>
          <w:lang w:val="es-ES"/>
        </w:rPr>
        <w:t>)(</w:t>
      </w:r>
      <w:proofErr w:type="gramEnd"/>
      <w:r w:rsidRPr="00E7671D">
        <w:rPr>
          <w:rStyle w:val="SubtleEmphasis"/>
          <w:b w:val="0"/>
          <w:color w:val="auto"/>
          <w:sz w:val="18"/>
          <w:szCs w:val="18"/>
          <w:lang w:val="es-ES"/>
        </w:rPr>
        <w:t>iv)</w:t>
      </w:r>
      <w:r w:rsidRPr="00E7671D">
        <w:rPr>
          <w:sz w:val="18"/>
          <w:szCs w:val="18"/>
          <w:lang w:val="es-ES"/>
        </w:rPr>
        <w:t xml:space="preserve">; </w:t>
      </w:r>
      <w:r w:rsidRPr="00E7671D">
        <w:rPr>
          <w:i/>
          <w:sz w:val="18"/>
          <w:szCs w:val="18"/>
          <w:lang w:val="es-ES"/>
        </w:rPr>
        <w:t>R.K.B. v. Turkey</w:t>
      </w:r>
      <w:r w:rsidRPr="00E7671D">
        <w:rPr>
          <w:sz w:val="18"/>
          <w:szCs w:val="18"/>
          <w:lang w:val="es-ES"/>
        </w:rPr>
        <w:t xml:space="preserve">, </w:t>
      </w:r>
      <w:r w:rsidRPr="00E7671D">
        <w:rPr>
          <w:i/>
          <w:sz w:val="18"/>
          <w:szCs w:val="18"/>
          <w:lang w:val="es-ES"/>
        </w:rPr>
        <w:t xml:space="preserve">supra </w:t>
      </w:r>
      <w:r w:rsidRPr="00E7671D">
        <w:rPr>
          <w:sz w:val="18"/>
          <w:szCs w:val="18"/>
          <w:lang w:val="es-ES"/>
        </w:rPr>
        <w:t xml:space="preserve">note 26, para. </w:t>
      </w:r>
      <w:r w:rsidRPr="006C3E39">
        <w:rPr>
          <w:sz w:val="18"/>
          <w:szCs w:val="18"/>
        </w:rPr>
        <w:t>8.10(b)(iii)</w:t>
      </w:r>
      <w:r w:rsidRPr="006C3E39">
        <w:rPr>
          <w:rStyle w:val="SubtleEmphasis"/>
          <w:b w:val="0"/>
          <w:color w:val="auto"/>
          <w:sz w:val="18"/>
          <w:szCs w:val="18"/>
        </w:rPr>
        <w:t xml:space="preserve">; </w:t>
      </w:r>
      <w:r w:rsidRPr="006C3E39">
        <w:rPr>
          <w:i/>
          <w:sz w:val="18"/>
          <w:szCs w:val="18"/>
        </w:rPr>
        <w:t>Jessica Lenahan (Gonzales) et al. v. United States of America</w:t>
      </w:r>
      <w:r w:rsidRPr="006C3E39">
        <w:rPr>
          <w:sz w:val="18"/>
          <w:szCs w:val="18"/>
        </w:rPr>
        <w:t xml:space="preserve">, Case 12.626, Report No. 80/11, 21 July 2011, </w:t>
      </w:r>
      <w:r w:rsidRPr="006C3E39">
        <w:rPr>
          <w:rStyle w:val="SubtleEmphasis"/>
          <w:b w:val="0"/>
          <w:color w:val="auto"/>
          <w:sz w:val="18"/>
          <w:szCs w:val="18"/>
        </w:rPr>
        <w:t xml:space="preserve">para. 215(6) </w:t>
      </w:r>
      <w:r w:rsidRPr="006C3E39">
        <w:rPr>
          <w:sz w:val="18"/>
          <w:szCs w:val="18"/>
        </w:rPr>
        <w:t>(Inter-American Commission on Human Rights)</w:t>
      </w:r>
      <w:r w:rsidRPr="006C3E39">
        <w:rPr>
          <w:rStyle w:val="SubtleEmphasis"/>
          <w:b w:val="0"/>
          <w:color w:val="auto"/>
          <w:sz w:val="18"/>
          <w:szCs w:val="18"/>
        </w:rPr>
        <w:t xml:space="preserve">; </w:t>
      </w:r>
      <w:r w:rsidRPr="006C3E39">
        <w:rPr>
          <w:i/>
          <w:sz w:val="18"/>
          <w:szCs w:val="18"/>
        </w:rPr>
        <w:t>V.K. v. Bulgaria</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29</w:t>
      </w:r>
      <w:r w:rsidRPr="006C3E39">
        <w:rPr>
          <w:sz w:val="18"/>
          <w:szCs w:val="18"/>
        </w:rPr>
        <w:t>, para. 9.16(b</w:t>
      </w:r>
      <w:proofErr w:type="gramStart"/>
      <w:r w:rsidRPr="006C3E39">
        <w:rPr>
          <w:sz w:val="18"/>
          <w:szCs w:val="18"/>
        </w:rPr>
        <w:t>)(</w:t>
      </w:r>
      <w:proofErr w:type="gramEnd"/>
      <w:r w:rsidRPr="006C3E39">
        <w:rPr>
          <w:sz w:val="18"/>
          <w:szCs w:val="18"/>
        </w:rPr>
        <w:t>iv)</w:t>
      </w:r>
      <w:r w:rsidRPr="006C3E39">
        <w:rPr>
          <w:rStyle w:val="SubtleEmphasis"/>
          <w:b w:val="0"/>
          <w:color w:val="auto"/>
          <w:sz w:val="18"/>
          <w:szCs w:val="18"/>
        </w:rPr>
        <w:t>.</w:t>
      </w:r>
    </w:p>
  </w:footnote>
  <w:footnote w:id="113">
    <w:p w14:paraId="521F4E15" w14:textId="468D196F"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sz w:val="18"/>
          <w:szCs w:val="18"/>
        </w:rPr>
        <w:t>L’Heureux-Dubé</w:t>
      </w:r>
      <w:r w:rsidRPr="006A3540">
        <w:rPr>
          <w:sz w:val="18"/>
          <w:szCs w:val="18"/>
        </w:rPr>
        <w:t xml:space="preserve">, </w:t>
      </w:r>
      <w:r w:rsidRPr="006A3540">
        <w:rPr>
          <w:i/>
          <w:sz w:val="18"/>
          <w:szCs w:val="18"/>
        </w:rPr>
        <w:t xml:space="preserve">supra </w:t>
      </w:r>
      <w:r w:rsidRPr="006A3540">
        <w:rPr>
          <w:sz w:val="18"/>
          <w:szCs w:val="18"/>
        </w:rPr>
        <w:t xml:space="preserve">note 7, 91. </w:t>
      </w:r>
    </w:p>
  </w:footnote>
  <w:footnote w:id="114">
    <w:p w14:paraId="23BE1B80" w14:textId="3F944FFD" w:rsidR="001A5598" w:rsidRPr="00080010" w:rsidRDefault="001A5598" w:rsidP="006A3540">
      <w:pPr>
        <w:pStyle w:val="FootnoteText"/>
        <w:spacing w:after="120"/>
        <w:rPr>
          <w:sz w:val="18"/>
          <w:szCs w:val="18"/>
        </w:rPr>
      </w:pPr>
      <w:r w:rsidRPr="00080010">
        <w:rPr>
          <w:rStyle w:val="FootnoteReference"/>
          <w:sz w:val="18"/>
          <w:szCs w:val="18"/>
        </w:rPr>
        <w:footnoteRef/>
      </w:r>
      <w:r w:rsidRPr="00080010">
        <w:rPr>
          <w:sz w:val="18"/>
          <w:szCs w:val="18"/>
        </w:rPr>
        <w:t xml:space="preserve"> See, e.g., International Commission of Jurists, </w:t>
      </w:r>
      <w:r w:rsidRPr="00080010">
        <w:rPr>
          <w:i/>
          <w:sz w:val="18"/>
          <w:szCs w:val="18"/>
        </w:rPr>
        <w:t>Sexual Violence against Women: Eradicating Gender Stereotypes in Laws and Practice</w:t>
      </w:r>
      <w:r w:rsidRPr="00080010">
        <w:rPr>
          <w:sz w:val="18"/>
          <w:szCs w:val="18"/>
        </w:rPr>
        <w:t xml:space="preserve">. </w:t>
      </w:r>
      <w:r w:rsidRPr="00080010">
        <w:rPr>
          <w:i/>
          <w:sz w:val="18"/>
          <w:szCs w:val="18"/>
        </w:rPr>
        <w:t>Distilling the Issues &amp; Pointing to Comparative Good Practices</w:t>
      </w:r>
      <w:r w:rsidRPr="00080010">
        <w:rPr>
          <w:sz w:val="18"/>
          <w:szCs w:val="18"/>
        </w:rPr>
        <w:t xml:space="preserve"> (forthcoming 2014).</w:t>
      </w:r>
    </w:p>
  </w:footnote>
  <w:footnote w:id="115">
    <w:p w14:paraId="31D4B0B9" w14:textId="41D62906" w:rsidR="001A5598" w:rsidRPr="006A3540" w:rsidRDefault="001A5598" w:rsidP="006A3540">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Gender Equality Unit, National Supreme Court of Justice, Mexico, </w:t>
      </w:r>
      <w:r w:rsidRPr="006A3540">
        <w:rPr>
          <w:i/>
          <w:iCs/>
          <w:sz w:val="18"/>
          <w:szCs w:val="18"/>
        </w:rPr>
        <w:t>Judicial Decision-Making with a Gender Perspective: A Protocol</w:t>
      </w:r>
      <w:r w:rsidRPr="006A3540">
        <w:rPr>
          <w:iCs/>
          <w:sz w:val="18"/>
          <w:szCs w:val="18"/>
        </w:rPr>
        <w:t xml:space="preserve">.  </w:t>
      </w:r>
      <w:r w:rsidRPr="006A3540">
        <w:rPr>
          <w:i/>
          <w:iCs/>
          <w:sz w:val="18"/>
          <w:szCs w:val="18"/>
        </w:rPr>
        <w:t xml:space="preserve">Making Equal Rights Real </w:t>
      </w:r>
      <w:r w:rsidRPr="006A3540">
        <w:rPr>
          <w:iCs/>
          <w:sz w:val="18"/>
          <w:szCs w:val="18"/>
        </w:rPr>
        <w:t xml:space="preserve">(2014), </w:t>
      </w:r>
      <w:hyperlink r:id="rId5" w:history="1">
        <w:r w:rsidRPr="006A3540">
          <w:rPr>
            <w:rStyle w:val="Hyperlink"/>
            <w:iCs/>
            <w:color w:val="3366FF"/>
            <w:sz w:val="18"/>
            <w:szCs w:val="18"/>
          </w:rPr>
          <w:t>http://www.equidad.scjn.gob.mx/spip.php?page=ficha_biblioteca&amp;id_article=1987</w:t>
        </w:r>
      </w:hyperlink>
      <w:r w:rsidRPr="006A3540">
        <w:rPr>
          <w:iCs/>
          <w:color w:val="3366FF"/>
          <w:sz w:val="18"/>
          <w:szCs w:val="18"/>
        </w:rPr>
        <w:t xml:space="preserve"> </w:t>
      </w:r>
      <w:r w:rsidRPr="006A3540">
        <w:rPr>
          <w:sz w:val="18"/>
          <w:szCs w:val="18"/>
        </w:rPr>
        <w:t>(viewed 24 May 2014).</w:t>
      </w:r>
      <w:r w:rsidRPr="006A3540">
        <w:rPr>
          <w:iCs/>
          <w:color w:val="3366FF"/>
          <w:sz w:val="18"/>
          <w:szCs w:val="18"/>
        </w:rPr>
        <w:t xml:space="preserve"> </w:t>
      </w:r>
      <w:r w:rsidRPr="006A3540">
        <w:rPr>
          <w:iCs/>
          <w:sz w:val="18"/>
          <w:szCs w:val="18"/>
        </w:rPr>
        <w:t xml:space="preserve"> </w:t>
      </w:r>
    </w:p>
  </w:footnote>
  <w:footnote w:id="116">
    <w:p w14:paraId="32D7E000" w14:textId="07635B8D"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spellStart"/>
      <w:r w:rsidRPr="006A3540">
        <w:rPr>
          <w:i/>
          <w:sz w:val="18"/>
          <w:szCs w:val="18"/>
        </w:rPr>
        <w:t>Tesis</w:t>
      </w:r>
      <w:proofErr w:type="spellEnd"/>
      <w:r w:rsidRPr="006A3540">
        <w:rPr>
          <w:i/>
          <w:sz w:val="18"/>
          <w:szCs w:val="18"/>
        </w:rPr>
        <w:t xml:space="preserve"> </w:t>
      </w:r>
      <w:proofErr w:type="spellStart"/>
      <w:r w:rsidRPr="006A3540">
        <w:rPr>
          <w:i/>
          <w:sz w:val="18"/>
          <w:szCs w:val="18"/>
        </w:rPr>
        <w:t>Aislada</w:t>
      </w:r>
      <w:proofErr w:type="spellEnd"/>
      <w:r w:rsidRPr="006A3540">
        <w:rPr>
          <w:i/>
          <w:sz w:val="18"/>
          <w:szCs w:val="18"/>
        </w:rPr>
        <w:t xml:space="preserve"> XCIX/2014 (10ª), </w:t>
      </w:r>
      <w:proofErr w:type="spellStart"/>
      <w:r w:rsidRPr="006A3540">
        <w:rPr>
          <w:i/>
          <w:sz w:val="18"/>
          <w:szCs w:val="18"/>
        </w:rPr>
        <w:t>Acceso</w:t>
      </w:r>
      <w:proofErr w:type="spellEnd"/>
      <w:r w:rsidRPr="006A3540">
        <w:rPr>
          <w:i/>
          <w:sz w:val="18"/>
          <w:szCs w:val="18"/>
        </w:rPr>
        <w:t xml:space="preserve"> a La Justicia en Condiciones de </w:t>
      </w:r>
      <w:r w:rsidRPr="006C3E39">
        <w:rPr>
          <w:i/>
          <w:sz w:val="18"/>
          <w:szCs w:val="18"/>
        </w:rPr>
        <w:t>Igualdad. Todos Los Organos Jurisdiccionales del País Deben Impartir Justicia con Perspectiva de Género</w:t>
      </w:r>
      <w:r w:rsidRPr="006C3E39">
        <w:rPr>
          <w:sz w:val="18"/>
          <w:szCs w:val="18"/>
        </w:rPr>
        <w:t xml:space="preserve">, </w:t>
      </w:r>
      <w:hyperlink r:id="rId6" w:history="1">
        <w:r w:rsidRPr="006A3540">
          <w:rPr>
            <w:rStyle w:val="Hyperlink"/>
            <w:color w:val="3366FF"/>
            <w:sz w:val="18"/>
            <w:szCs w:val="18"/>
            <w:lang w:val="en-US"/>
          </w:rPr>
          <w:t>http://www.equidad.scjn.gob.mx/spip.php?page=ficha_biblioteca&amp;id_article=1957</w:t>
        </w:r>
      </w:hyperlink>
      <w:r w:rsidRPr="006A3540">
        <w:rPr>
          <w:sz w:val="18"/>
          <w:szCs w:val="18"/>
          <w:lang w:val="en-US"/>
        </w:rPr>
        <w:t xml:space="preserve"> </w:t>
      </w:r>
      <w:r w:rsidRPr="006A3540">
        <w:rPr>
          <w:sz w:val="18"/>
          <w:szCs w:val="18"/>
        </w:rPr>
        <w:t>(viewed 24 May 2014).</w:t>
      </w:r>
    </w:p>
  </w:footnote>
  <w:footnote w:id="117">
    <w:p w14:paraId="1FDD0523" w14:textId="66CF80C0"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Judicial College (U.K.), </w:t>
      </w:r>
      <w:r w:rsidRPr="006A3540">
        <w:rPr>
          <w:i/>
          <w:sz w:val="18"/>
          <w:szCs w:val="18"/>
        </w:rPr>
        <w:t xml:space="preserve">Equal Treatment Bench Book </w:t>
      </w:r>
      <w:r w:rsidRPr="006A3540">
        <w:rPr>
          <w:sz w:val="18"/>
          <w:szCs w:val="18"/>
        </w:rPr>
        <w:t xml:space="preserve">(2013), </w:t>
      </w:r>
      <w:hyperlink r:id="rId7" w:history="1">
        <w:r w:rsidRPr="006A3540">
          <w:rPr>
            <w:rStyle w:val="Hyperlink"/>
            <w:color w:val="3366FF"/>
            <w:sz w:val="18"/>
            <w:szCs w:val="18"/>
          </w:rPr>
          <w:t>http://www.judiciary.gov.uk/Resources/JCO/Documents/judicial-college/ETBB_all_chapters_final.pdf</w:t>
        </w:r>
      </w:hyperlink>
      <w:r w:rsidRPr="006A3540">
        <w:rPr>
          <w:sz w:val="18"/>
          <w:szCs w:val="18"/>
        </w:rPr>
        <w:t xml:space="preserve"> (viewed 24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7E4B" w14:textId="698BE709" w:rsidR="001A5598" w:rsidRPr="00386B76" w:rsidRDefault="001A5598" w:rsidP="000755C5">
    <w:pPr>
      <w:pStyle w:val="Header"/>
      <w:jc w:val="right"/>
      <w:rPr>
        <w:color w:val="5B63B7" w:themeColor="text2" w:themeTint="99"/>
        <w:sz w:val="18"/>
        <w:szCs w:val="16"/>
      </w:rPr>
    </w:pPr>
    <w:r w:rsidRPr="00386B76">
      <w:rPr>
        <w:color w:val="5B63B7" w:themeColor="text2" w:themeTint="99"/>
        <w:sz w:val="18"/>
        <w:szCs w:val="16"/>
      </w:rPr>
      <w:t xml:space="preserve">Simone Cusack, </w:t>
    </w:r>
    <w:r w:rsidRPr="00386B76">
      <w:rPr>
        <w:i/>
        <w:color w:val="5B63B7" w:themeColor="text2" w:themeTint="99"/>
        <w:sz w:val="18"/>
        <w:szCs w:val="16"/>
      </w:rPr>
      <w:t xml:space="preserve">Eliminating </w:t>
    </w:r>
    <w:r>
      <w:rPr>
        <w:i/>
        <w:color w:val="5B63B7" w:themeColor="text2" w:themeTint="99"/>
        <w:sz w:val="18"/>
        <w:szCs w:val="16"/>
      </w:rPr>
      <w:t>J</w:t>
    </w:r>
    <w:r w:rsidRPr="00386B76">
      <w:rPr>
        <w:i/>
        <w:color w:val="5B63B7" w:themeColor="text2" w:themeTint="99"/>
        <w:sz w:val="18"/>
        <w:szCs w:val="16"/>
      </w:rPr>
      <w:t xml:space="preserve">udicial </w:t>
    </w:r>
    <w:r>
      <w:rPr>
        <w:i/>
        <w:color w:val="5B63B7" w:themeColor="text2" w:themeTint="99"/>
        <w:sz w:val="18"/>
        <w:szCs w:val="16"/>
      </w:rPr>
      <w:t>S</w:t>
    </w:r>
    <w:r w:rsidRPr="00386B76">
      <w:rPr>
        <w:i/>
        <w:color w:val="5B63B7" w:themeColor="text2" w:themeTint="99"/>
        <w:sz w:val="18"/>
        <w:szCs w:val="16"/>
      </w:rPr>
      <w:t>tereotyping</w:t>
    </w:r>
    <w:r>
      <w:rPr>
        <w:i/>
        <w:color w:val="5B63B7" w:themeColor="text2" w:themeTint="99"/>
        <w:sz w:val="18"/>
        <w:szCs w:val="16"/>
      </w:rPr>
      <w:t xml:space="preserve"> </w:t>
    </w:r>
    <w:r w:rsidRPr="00386B76">
      <w:rPr>
        <w:color w:val="5B63B7" w:themeColor="text2" w:themeTint="99"/>
        <w:sz w:val="18"/>
        <w:szCs w:val="16"/>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269BF"/>
    <w:multiLevelType w:val="hybridMultilevel"/>
    <w:tmpl w:val="4358DF32"/>
    <w:lvl w:ilvl="0" w:tplc="908E0BB0">
      <w:start w:val="1"/>
      <w:numFmt w:val="bullet"/>
      <w:lvlText w:val=""/>
      <w:lvlJc w:val="left"/>
      <w:pPr>
        <w:ind w:left="742" w:hanging="567"/>
      </w:pPr>
      <w:rPr>
        <w:rFonts w:ascii="Wingdings 2" w:hAnsi="Wingdings 2" w:hint="default"/>
        <w:color w:val="4A66AC" w:themeColor="accent4"/>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03157640"/>
    <w:multiLevelType w:val="hybridMultilevel"/>
    <w:tmpl w:val="6B287714"/>
    <w:lvl w:ilvl="0" w:tplc="908E0BB0">
      <w:start w:val="1"/>
      <w:numFmt w:val="bullet"/>
      <w:lvlText w:val=""/>
      <w:lvlJc w:val="left"/>
      <w:pPr>
        <w:ind w:left="567" w:hanging="567"/>
      </w:pPr>
      <w:rPr>
        <w:rFonts w:ascii="Wingdings 2" w:hAnsi="Wingdings 2" w:hint="default"/>
        <w:color w:val="4A66AC"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03FEB"/>
    <w:multiLevelType w:val="hybridMultilevel"/>
    <w:tmpl w:val="981CF3F2"/>
    <w:lvl w:ilvl="0" w:tplc="73CE136E">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27064"/>
    <w:multiLevelType w:val="hybridMultilevel"/>
    <w:tmpl w:val="F7A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8694E"/>
    <w:multiLevelType w:val="hybridMultilevel"/>
    <w:tmpl w:val="4920DA76"/>
    <w:lvl w:ilvl="0" w:tplc="3BEC3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D256F"/>
    <w:multiLevelType w:val="hybridMultilevel"/>
    <w:tmpl w:val="B074CE0A"/>
    <w:lvl w:ilvl="0" w:tplc="908E0BB0">
      <w:start w:val="1"/>
      <w:numFmt w:val="bullet"/>
      <w:lvlText w:val=""/>
      <w:lvlJc w:val="left"/>
      <w:pPr>
        <w:ind w:left="698" w:hanging="567"/>
      </w:pPr>
      <w:rPr>
        <w:rFonts w:ascii="Wingdings 2" w:hAnsi="Wingdings 2" w:hint="default"/>
        <w:color w:val="4A66AC" w:themeColor="accent4"/>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7">
    <w:nsid w:val="12267F5B"/>
    <w:multiLevelType w:val="hybridMultilevel"/>
    <w:tmpl w:val="51FCC740"/>
    <w:lvl w:ilvl="0" w:tplc="908E0BB0">
      <w:start w:val="1"/>
      <w:numFmt w:val="bullet"/>
      <w:lvlText w:val=""/>
      <w:lvlJc w:val="left"/>
      <w:pPr>
        <w:ind w:left="567" w:hanging="567"/>
      </w:pPr>
      <w:rPr>
        <w:rFonts w:ascii="Wingdings 2" w:hAnsi="Wingdings 2" w:hint="default"/>
        <w:color w:val="4A66AC"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C56B4"/>
    <w:multiLevelType w:val="hybridMultilevel"/>
    <w:tmpl w:val="23B06FE6"/>
    <w:lvl w:ilvl="0" w:tplc="320EA8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F1C7F"/>
    <w:multiLevelType w:val="hybridMultilevel"/>
    <w:tmpl w:val="E59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759EC"/>
    <w:multiLevelType w:val="hybridMultilevel"/>
    <w:tmpl w:val="E3A0FA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3C32311"/>
    <w:multiLevelType w:val="hybridMultilevel"/>
    <w:tmpl w:val="E30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2A0F"/>
    <w:multiLevelType w:val="hybridMultilevel"/>
    <w:tmpl w:val="6888A010"/>
    <w:lvl w:ilvl="0" w:tplc="908E0BB0">
      <w:start w:val="1"/>
      <w:numFmt w:val="bullet"/>
      <w:lvlText w:val=""/>
      <w:lvlJc w:val="left"/>
      <w:pPr>
        <w:ind w:left="632" w:hanging="567"/>
      </w:pPr>
      <w:rPr>
        <w:rFonts w:ascii="Wingdings 2" w:hAnsi="Wingdings 2" w:hint="default"/>
        <w:color w:val="4A66AC" w:themeColor="accent4"/>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3E9C1E97"/>
    <w:multiLevelType w:val="hybridMultilevel"/>
    <w:tmpl w:val="7E88B260"/>
    <w:lvl w:ilvl="0" w:tplc="66AE951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414AC"/>
    <w:multiLevelType w:val="hybridMultilevel"/>
    <w:tmpl w:val="7EA0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26388"/>
    <w:multiLevelType w:val="hybridMultilevel"/>
    <w:tmpl w:val="E34C65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94AC0"/>
    <w:multiLevelType w:val="hybridMultilevel"/>
    <w:tmpl w:val="CE44BA3E"/>
    <w:lvl w:ilvl="0" w:tplc="A9441E86">
      <w:start w:val="1"/>
      <w:numFmt w:val="decimal"/>
      <w:lvlText w:val="%1."/>
      <w:lvlJc w:val="left"/>
      <w:pPr>
        <w:tabs>
          <w:tab w:val="num" w:pos="1140"/>
        </w:tabs>
        <w:ind w:left="1140" w:hanging="780"/>
      </w:pPr>
      <w:rPr>
        <w:rFonts w:hint="default"/>
      </w:rPr>
    </w:lvl>
    <w:lvl w:ilvl="1" w:tplc="4E381CF4">
      <w:start w:val="1"/>
      <w:numFmt w:val="decimal"/>
      <w:lvlText w:val="%2."/>
      <w:lvlJc w:val="left"/>
      <w:pPr>
        <w:tabs>
          <w:tab w:val="num" w:pos="1440"/>
        </w:tabs>
        <w:ind w:left="1440" w:hanging="360"/>
      </w:pPr>
      <w:rPr>
        <w:rFonts w:hint="default"/>
      </w:rPr>
    </w:lvl>
    <w:lvl w:ilvl="2" w:tplc="5554DFFA">
      <w:start w:val="9"/>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384191"/>
    <w:multiLevelType w:val="multilevel"/>
    <w:tmpl w:val="39221B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3E2439"/>
    <w:multiLevelType w:val="hybridMultilevel"/>
    <w:tmpl w:val="A8EC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7131D"/>
    <w:multiLevelType w:val="hybridMultilevel"/>
    <w:tmpl w:val="C3BC7C98"/>
    <w:lvl w:ilvl="0" w:tplc="E22E8C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F11024A"/>
    <w:multiLevelType w:val="hybridMultilevel"/>
    <w:tmpl w:val="FAA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2326F"/>
    <w:multiLevelType w:val="hybridMultilevel"/>
    <w:tmpl w:val="1D1A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92BBE"/>
    <w:multiLevelType w:val="hybridMultilevel"/>
    <w:tmpl w:val="A33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D31DC"/>
    <w:multiLevelType w:val="hybridMultilevel"/>
    <w:tmpl w:val="E50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70A6E"/>
    <w:multiLevelType w:val="hybridMultilevel"/>
    <w:tmpl w:val="A86830E4"/>
    <w:lvl w:ilvl="0" w:tplc="99C4778C">
      <w:start w:val="1"/>
      <w:numFmt w:val="bullet"/>
      <w:lvlText w:val=""/>
      <w:lvlJc w:val="left"/>
      <w:pPr>
        <w:ind w:left="567" w:hanging="567"/>
      </w:pPr>
      <w:rPr>
        <w:rFonts w:ascii="Symbol" w:hAnsi="Symbol" w:hint="default"/>
        <w:color w:val="4A66AC"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632B1"/>
    <w:multiLevelType w:val="hybridMultilevel"/>
    <w:tmpl w:val="F49E0C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5C2E1BE3"/>
    <w:multiLevelType w:val="hybridMultilevel"/>
    <w:tmpl w:val="0860C42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F1917A8"/>
    <w:multiLevelType w:val="hybridMultilevel"/>
    <w:tmpl w:val="6E2895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3A39E3"/>
    <w:multiLevelType w:val="hybridMultilevel"/>
    <w:tmpl w:val="D6F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55EF2"/>
    <w:multiLevelType w:val="hybridMultilevel"/>
    <w:tmpl w:val="5110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D409F"/>
    <w:multiLevelType w:val="hybridMultilevel"/>
    <w:tmpl w:val="CFEACD8E"/>
    <w:lvl w:ilvl="0" w:tplc="908E0BB0">
      <w:start w:val="1"/>
      <w:numFmt w:val="bullet"/>
      <w:lvlText w:val=""/>
      <w:lvlJc w:val="left"/>
      <w:pPr>
        <w:ind w:left="567" w:hanging="567"/>
      </w:pPr>
      <w:rPr>
        <w:rFonts w:ascii="Wingdings 2" w:hAnsi="Wingdings 2" w:hint="default"/>
        <w:color w:val="4A66AC"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07182"/>
    <w:multiLevelType w:val="hybridMultilevel"/>
    <w:tmpl w:val="9B3CE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6EC2451A"/>
    <w:multiLevelType w:val="hybridMultilevel"/>
    <w:tmpl w:val="97C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86B16"/>
    <w:multiLevelType w:val="hybridMultilevel"/>
    <w:tmpl w:val="E80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7599D"/>
    <w:multiLevelType w:val="hybridMultilevel"/>
    <w:tmpl w:val="4012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
  </w:num>
  <w:num w:numId="4">
    <w:abstractNumId w:val="14"/>
  </w:num>
  <w:num w:numId="5">
    <w:abstractNumId w:val="25"/>
  </w:num>
  <w:num w:numId="6">
    <w:abstractNumId w:val="21"/>
  </w:num>
  <w:num w:numId="7">
    <w:abstractNumId w:val="22"/>
  </w:num>
  <w:num w:numId="8">
    <w:abstractNumId w:val="10"/>
  </w:num>
  <w:num w:numId="9">
    <w:abstractNumId w:val="34"/>
  </w:num>
  <w:num w:numId="10">
    <w:abstractNumId w:val="20"/>
  </w:num>
  <w:num w:numId="11">
    <w:abstractNumId w:val="32"/>
  </w:num>
  <w:num w:numId="12">
    <w:abstractNumId w:val="26"/>
  </w:num>
  <w:num w:numId="13">
    <w:abstractNumId w:val="23"/>
  </w:num>
  <w:num w:numId="14">
    <w:abstractNumId w:val="18"/>
  </w:num>
  <w:num w:numId="15">
    <w:abstractNumId w:val="29"/>
  </w:num>
  <w:num w:numId="16">
    <w:abstractNumId w:val="28"/>
  </w:num>
  <w:num w:numId="17">
    <w:abstractNumId w:val="9"/>
  </w:num>
  <w:num w:numId="18">
    <w:abstractNumId w:val="4"/>
  </w:num>
  <w:num w:numId="19">
    <w:abstractNumId w:val="17"/>
  </w:num>
  <w:num w:numId="20">
    <w:abstractNumId w:val="24"/>
  </w:num>
  <w:num w:numId="21">
    <w:abstractNumId w:val="30"/>
  </w:num>
  <w:num w:numId="22">
    <w:abstractNumId w:val="2"/>
  </w:num>
  <w:num w:numId="23">
    <w:abstractNumId w:val="6"/>
  </w:num>
  <w:num w:numId="24">
    <w:abstractNumId w:val="7"/>
  </w:num>
  <w:num w:numId="25">
    <w:abstractNumId w:val="12"/>
  </w:num>
  <w:num w:numId="26">
    <w:abstractNumId w:val="15"/>
  </w:num>
  <w:num w:numId="27">
    <w:abstractNumId w:val="1"/>
  </w:num>
  <w:num w:numId="28">
    <w:abstractNumId w:val="0"/>
  </w:num>
  <w:num w:numId="29">
    <w:abstractNumId w:val="5"/>
  </w:num>
  <w:num w:numId="30">
    <w:abstractNumId w:val="19"/>
  </w:num>
  <w:num w:numId="31">
    <w:abstractNumId w:val="13"/>
  </w:num>
  <w:num w:numId="32">
    <w:abstractNumId w:val="16"/>
  </w:num>
  <w:num w:numId="33">
    <w:abstractNumId w:val="8"/>
  </w:num>
  <w:num w:numId="34">
    <w:abstractNumId w:val="31"/>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567"/>
  <w:characterSpacingControl w:val="doNotCompres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7D"/>
    <w:rsid w:val="0000089C"/>
    <w:rsid w:val="00000E35"/>
    <w:rsid w:val="00001A16"/>
    <w:rsid w:val="00001F53"/>
    <w:rsid w:val="00001FC0"/>
    <w:rsid w:val="000020F9"/>
    <w:rsid w:val="00002480"/>
    <w:rsid w:val="00002C49"/>
    <w:rsid w:val="00003186"/>
    <w:rsid w:val="0000377A"/>
    <w:rsid w:val="00004A15"/>
    <w:rsid w:val="0000547E"/>
    <w:rsid w:val="000055AD"/>
    <w:rsid w:val="000063C5"/>
    <w:rsid w:val="0000711D"/>
    <w:rsid w:val="000075BC"/>
    <w:rsid w:val="0000790F"/>
    <w:rsid w:val="000105EC"/>
    <w:rsid w:val="0001096A"/>
    <w:rsid w:val="0001109E"/>
    <w:rsid w:val="00011C5A"/>
    <w:rsid w:val="0001293C"/>
    <w:rsid w:val="00012E63"/>
    <w:rsid w:val="00013AA7"/>
    <w:rsid w:val="00013C16"/>
    <w:rsid w:val="00013DD0"/>
    <w:rsid w:val="000140A8"/>
    <w:rsid w:val="0001431D"/>
    <w:rsid w:val="000143DD"/>
    <w:rsid w:val="00015003"/>
    <w:rsid w:val="00015005"/>
    <w:rsid w:val="000154E5"/>
    <w:rsid w:val="00015D90"/>
    <w:rsid w:val="000161A6"/>
    <w:rsid w:val="00016A23"/>
    <w:rsid w:val="00016AEC"/>
    <w:rsid w:val="0001729B"/>
    <w:rsid w:val="00020F74"/>
    <w:rsid w:val="000212DA"/>
    <w:rsid w:val="00021FE9"/>
    <w:rsid w:val="0002201A"/>
    <w:rsid w:val="00022897"/>
    <w:rsid w:val="0002318E"/>
    <w:rsid w:val="00023288"/>
    <w:rsid w:val="000233B6"/>
    <w:rsid w:val="00025AA8"/>
    <w:rsid w:val="00026137"/>
    <w:rsid w:val="0002679A"/>
    <w:rsid w:val="00026EE2"/>
    <w:rsid w:val="000270B9"/>
    <w:rsid w:val="0002759D"/>
    <w:rsid w:val="0002778D"/>
    <w:rsid w:val="00030601"/>
    <w:rsid w:val="00031109"/>
    <w:rsid w:val="00031DDE"/>
    <w:rsid w:val="00032214"/>
    <w:rsid w:val="0003267E"/>
    <w:rsid w:val="00032889"/>
    <w:rsid w:val="00033074"/>
    <w:rsid w:val="00033ADB"/>
    <w:rsid w:val="000341BC"/>
    <w:rsid w:val="0003438F"/>
    <w:rsid w:val="00034669"/>
    <w:rsid w:val="00034A12"/>
    <w:rsid w:val="00035DFB"/>
    <w:rsid w:val="000360E1"/>
    <w:rsid w:val="00037F52"/>
    <w:rsid w:val="0004013D"/>
    <w:rsid w:val="00040B27"/>
    <w:rsid w:val="000413CD"/>
    <w:rsid w:val="0004175F"/>
    <w:rsid w:val="000420FD"/>
    <w:rsid w:val="000426F2"/>
    <w:rsid w:val="00042760"/>
    <w:rsid w:val="00042A9E"/>
    <w:rsid w:val="00042DCB"/>
    <w:rsid w:val="00042DCF"/>
    <w:rsid w:val="00043673"/>
    <w:rsid w:val="00043CE0"/>
    <w:rsid w:val="00044A1B"/>
    <w:rsid w:val="00044D25"/>
    <w:rsid w:val="00044F45"/>
    <w:rsid w:val="000456C1"/>
    <w:rsid w:val="000456F3"/>
    <w:rsid w:val="00045F5D"/>
    <w:rsid w:val="00046279"/>
    <w:rsid w:val="000469E0"/>
    <w:rsid w:val="00046CBF"/>
    <w:rsid w:val="000471D3"/>
    <w:rsid w:val="00047571"/>
    <w:rsid w:val="00047899"/>
    <w:rsid w:val="00047A45"/>
    <w:rsid w:val="0005033C"/>
    <w:rsid w:val="00052DED"/>
    <w:rsid w:val="00053BCD"/>
    <w:rsid w:val="00053D5F"/>
    <w:rsid w:val="00054410"/>
    <w:rsid w:val="00054C58"/>
    <w:rsid w:val="00055313"/>
    <w:rsid w:val="000573D0"/>
    <w:rsid w:val="000606C3"/>
    <w:rsid w:val="0006157B"/>
    <w:rsid w:val="0006160F"/>
    <w:rsid w:val="000628D6"/>
    <w:rsid w:val="00062DE9"/>
    <w:rsid w:val="00063B09"/>
    <w:rsid w:val="00063C69"/>
    <w:rsid w:val="00063FC5"/>
    <w:rsid w:val="000641F5"/>
    <w:rsid w:val="00065AC0"/>
    <w:rsid w:val="000660D7"/>
    <w:rsid w:val="0006621C"/>
    <w:rsid w:val="00066792"/>
    <w:rsid w:val="000669C2"/>
    <w:rsid w:val="00066BBC"/>
    <w:rsid w:val="000676DA"/>
    <w:rsid w:val="0006772E"/>
    <w:rsid w:val="00070042"/>
    <w:rsid w:val="00070D49"/>
    <w:rsid w:val="0007198A"/>
    <w:rsid w:val="00073434"/>
    <w:rsid w:val="00073CF2"/>
    <w:rsid w:val="00074571"/>
    <w:rsid w:val="00075291"/>
    <w:rsid w:val="000755C5"/>
    <w:rsid w:val="0007564D"/>
    <w:rsid w:val="000759B3"/>
    <w:rsid w:val="000760AA"/>
    <w:rsid w:val="00076307"/>
    <w:rsid w:val="000768E4"/>
    <w:rsid w:val="00076CBC"/>
    <w:rsid w:val="000774E2"/>
    <w:rsid w:val="00077669"/>
    <w:rsid w:val="00080010"/>
    <w:rsid w:val="0008025B"/>
    <w:rsid w:val="00080E8E"/>
    <w:rsid w:val="000815B0"/>
    <w:rsid w:val="000815BB"/>
    <w:rsid w:val="00081B71"/>
    <w:rsid w:val="0008206B"/>
    <w:rsid w:val="00082081"/>
    <w:rsid w:val="00082252"/>
    <w:rsid w:val="00082A0B"/>
    <w:rsid w:val="0008300F"/>
    <w:rsid w:val="000831FE"/>
    <w:rsid w:val="0008422F"/>
    <w:rsid w:val="00084242"/>
    <w:rsid w:val="00084DF9"/>
    <w:rsid w:val="00084FDA"/>
    <w:rsid w:val="000853DF"/>
    <w:rsid w:val="0008581B"/>
    <w:rsid w:val="00085B65"/>
    <w:rsid w:val="000868A2"/>
    <w:rsid w:val="00087536"/>
    <w:rsid w:val="0008799D"/>
    <w:rsid w:val="000879BF"/>
    <w:rsid w:val="00087A4D"/>
    <w:rsid w:val="00087CE5"/>
    <w:rsid w:val="0009038F"/>
    <w:rsid w:val="00090695"/>
    <w:rsid w:val="00090CBD"/>
    <w:rsid w:val="00092221"/>
    <w:rsid w:val="00092ABC"/>
    <w:rsid w:val="000932AE"/>
    <w:rsid w:val="000934A9"/>
    <w:rsid w:val="00093630"/>
    <w:rsid w:val="00093C53"/>
    <w:rsid w:val="00093F4E"/>
    <w:rsid w:val="000940ED"/>
    <w:rsid w:val="000941F4"/>
    <w:rsid w:val="00094F84"/>
    <w:rsid w:val="00095555"/>
    <w:rsid w:val="00097228"/>
    <w:rsid w:val="000A0A7E"/>
    <w:rsid w:val="000A0B2B"/>
    <w:rsid w:val="000A0C9B"/>
    <w:rsid w:val="000A0E06"/>
    <w:rsid w:val="000A13A9"/>
    <w:rsid w:val="000A1F2E"/>
    <w:rsid w:val="000A2C5C"/>
    <w:rsid w:val="000A30FE"/>
    <w:rsid w:val="000A4437"/>
    <w:rsid w:val="000A4C31"/>
    <w:rsid w:val="000A5611"/>
    <w:rsid w:val="000A6938"/>
    <w:rsid w:val="000A78C4"/>
    <w:rsid w:val="000A7931"/>
    <w:rsid w:val="000A7F26"/>
    <w:rsid w:val="000B02A3"/>
    <w:rsid w:val="000B06CF"/>
    <w:rsid w:val="000B0D69"/>
    <w:rsid w:val="000B1391"/>
    <w:rsid w:val="000B1BCA"/>
    <w:rsid w:val="000B2636"/>
    <w:rsid w:val="000B26F7"/>
    <w:rsid w:val="000B2CC9"/>
    <w:rsid w:val="000B2E5D"/>
    <w:rsid w:val="000B2F3A"/>
    <w:rsid w:val="000B2F52"/>
    <w:rsid w:val="000B30C1"/>
    <w:rsid w:val="000B35F0"/>
    <w:rsid w:val="000B406A"/>
    <w:rsid w:val="000B45A9"/>
    <w:rsid w:val="000B472B"/>
    <w:rsid w:val="000B4A57"/>
    <w:rsid w:val="000B4A97"/>
    <w:rsid w:val="000B4C87"/>
    <w:rsid w:val="000B527B"/>
    <w:rsid w:val="000B547F"/>
    <w:rsid w:val="000B58E9"/>
    <w:rsid w:val="000B5D2C"/>
    <w:rsid w:val="000B66A8"/>
    <w:rsid w:val="000B6859"/>
    <w:rsid w:val="000B6EAA"/>
    <w:rsid w:val="000B6F7D"/>
    <w:rsid w:val="000B6FE3"/>
    <w:rsid w:val="000B7309"/>
    <w:rsid w:val="000B78E0"/>
    <w:rsid w:val="000B7E9E"/>
    <w:rsid w:val="000B7FDF"/>
    <w:rsid w:val="000C08CC"/>
    <w:rsid w:val="000C0B6E"/>
    <w:rsid w:val="000C189C"/>
    <w:rsid w:val="000C1DCC"/>
    <w:rsid w:val="000C2AFA"/>
    <w:rsid w:val="000C362D"/>
    <w:rsid w:val="000C4170"/>
    <w:rsid w:val="000C42E9"/>
    <w:rsid w:val="000C68C7"/>
    <w:rsid w:val="000C75E8"/>
    <w:rsid w:val="000C796F"/>
    <w:rsid w:val="000D00F3"/>
    <w:rsid w:val="000D0B66"/>
    <w:rsid w:val="000D1FE9"/>
    <w:rsid w:val="000D2100"/>
    <w:rsid w:val="000D22E1"/>
    <w:rsid w:val="000D2643"/>
    <w:rsid w:val="000D34F0"/>
    <w:rsid w:val="000D3F80"/>
    <w:rsid w:val="000D3FA2"/>
    <w:rsid w:val="000D44E6"/>
    <w:rsid w:val="000D4EB0"/>
    <w:rsid w:val="000D57CB"/>
    <w:rsid w:val="000D5861"/>
    <w:rsid w:val="000D5918"/>
    <w:rsid w:val="000D61EB"/>
    <w:rsid w:val="000D63B1"/>
    <w:rsid w:val="000D6B05"/>
    <w:rsid w:val="000D6B3C"/>
    <w:rsid w:val="000D738E"/>
    <w:rsid w:val="000D73E7"/>
    <w:rsid w:val="000E0362"/>
    <w:rsid w:val="000E0450"/>
    <w:rsid w:val="000E0DB3"/>
    <w:rsid w:val="000E0DF7"/>
    <w:rsid w:val="000E1482"/>
    <w:rsid w:val="000E1916"/>
    <w:rsid w:val="000E2EB8"/>
    <w:rsid w:val="000E36FA"/>
    <w:rsid w:val="000E3731"/>
    <w:rsid w:val="000E3E65"/>
    <w:rsid w:val="000E4105"/>
    <w:rsid w:val="000E43E6"/>
    <w:rsid w:val="000E447F"/>
    <w:rsid w:val="000E455A"/>
    <w:rsid w:val="000E49FF"/>
    <w:rsid w:val="000E4A3D"/>
    <w:rsid w:val="000E4D95"/>
    <w:rsid w:val="000E50F9"/>
    <w:rsid w:val="000E5157"/>
    <w:rsid w:val="000E5468"/>
    <w:rsid w:val="000E5742"/>
    <w:rsid w:val="000E72EE"/>
    <w:rsid w:val="000E78C9"/>
    <w:rsid w:val="000E79B5"/>
    <w:rsid w:val="000E7FBC"/>
    <w:rsid w:val="000F089D"/>
    <w:rsid w:val="000F14B0"/>
    <w:rsid w:val="000F18E8"/>
    <w:rsid w:val="000F1CDC"/>
    <w:rsid w:val="000F200E"/>
    <w:rsid w:val="000F2274"/>
    <w:rsid w:val="000F230E"/>
    <w:rsid w:val="000F298B"/>
    <w:rsid w:val="000F2D9D"/>
    <w:rsid w:val="000F2FD4"/>
    <w:rsid w:val="000F38DA"/>
    <w:rsid w:val="000F4192"/>
    <w:rsid w:val="000F4683"/>
    <w:rsid w:val="000F5790"/>
    <w:rsid w:val="000F59D4"/>
    <w:rsid w:val="000F681E"/>
    <w:rsid w:val="000F68FD"/>
    <w:rsid w:val="000F706F"/>
    <w:rsid w:val="000F7085"/>
    <w:rsid w:val="0010052B"/>
    <w:rsid w:val="001005D6"/>
    <w:rsid w:val="001007B1"/>
    <w:rsid w:val="00101312"/>
    <w:rsid w:val="00101321"/>
    <w:rsid w:val="001013E2"/>
    <w:rsid w:val="00101972"/>
    <w:rsid w:val="00101AA5"/>
    <w:rsid w:val="00101AC8"/>
    <w:rsid w:val="00101DA1"/>
    <w:rsid w:val="00101EAC"/>
    <w:rsid w:val="00102093"/>
    <w:rsid w:val="001030A6"/>
    <w:rsid w:val="00103128"/>
    <w:rsid w:val="00103649"/>
    <w:rsid w:val="00103721"/>
    <w:rsid w:val="001038CC"/>
    <w:rsid w:val="00103DA4"/>
    <w:rsid w:val="00104230"/>
    <w:rsid w:val="00104746"/>
    <w:rsid w:val="00104AB3"/>
    <w:rsid w:val="00104D11"/>
    <w:rsid w:val="001058D0"/>
    <w:rsid w:val="00105AC6"/>
    <w:rsid w:val="00105E24"/>
    <w:rsid w:val="00105FE5"/>
    <w:rsid w:val="00106726"/>
    <w:rsid w:val="00106D2B"/>
    <w:rsid w:val="0010730D"/>
    <w:rsid w:val="00107F8B"/>
    <w:rsid w:val="00110F7D"/>
    <w:rsid w:val="00111918"/>
    <w:rsid w:val="00112182"/>
    <w:rsid w:val="0011233F"/>
    <w:rsid w:val="00112D87"/>
    <w:rsid w:val="001132D3"/>
    <w:rsid w:val="00113447"/>
    <w:rsid w:val="00113731"/>
    <w:rsid w:val="001139D6"/>
    <w:rsid w:val="00113C9F"/>
    <w:rsid w:val="00113F21"/>
    <w:rsid w:val="001143A8"/>
    <w:rsid w:val="00114924"/>
    <w:rsid w:val="0011610F"/>
    <w:rsid w:val="00116242"/>
    <w:rsid w:val="001164EA"/>
    <w:rsid w:val="00116752"/>
    <w:rsid w:val="001167BD"/>
    <w:rsid w:val="001167E9"/>
    <w:rsid w:val="001170A8"/>
    <w:rsid w:val="00117807"/>
    <w:rsid w:val="00117E37"/>
    <w:rsid w:val="00117E6A"/>
    <w:rsid w:val="00120197"/>
    <w:rsid w:val="00121057"/>
    <w:rsid w:val="001218B0"/>
    <w:rsid w:val="00121980"/>
    <w:rsid w:val="00122D13"/>
    <w:rsid w:val="00123289"/>
    <w:rsid w:val="0012330F"/>
    <w:rsid w:val="001233F1"/>
    <w:rsid w:val="00123720"/>
    <w:rsid w:val="00123B3D"/>
    <w:rsid w:val="001246D9"/>
    <w:rsid w:val="00124A89"/>
    <w:rsid w:val="00124EF7"/>
    <w:rsid w:val="00124FE1"/>
    <w:rsid w:val="00125989"/>
    <w:rsid w:val="00126250"/>
    <w:rsid w:val="00126D2F"/>
    <w:rsid w:val="00127620"/>
    <w:rsid w:val="00127C36"/>
    <w:rsid w:val="001300FE"/>
    <w:rsid w:val="00130227"/>
    <w:rsid w:val="00130612"/>
    <w:rsid w:val="00131059"/>
    <w:rsid w:val="001310F0"/>
    <w:rsid w:val="001312F5"/>
    <w:rsid w:val="00131339"/>
    <w:rsid w:val="00131A74"/>
    <w:rsid w:val="00132658"/>
    <w:rsid w:val="0013290E"/>
    <w:rsid w:val="00132F15"/>
    <w:rsid w:val="00133692"/>
    <w:rsid w:val="00133C6B"/>
    <w:rsid w:val="0013403C"/>
    <w:rsid w:val="0013427F"/>
    <w:rsid w:val="00134491"/>
    <w:rsid w:val="00134914"/>
    <w:rsid w:val="00134EBE"/>
    <w:rsid w:val="001362AA"/>
    <w:rsid w:val="00136547"/>
    <w:rsid w:val="00137A13"/>
    <w:rsid w:val="00137C36"/>
    <w:rsid w:val="00137D62"/>
    <w:rsid w:val="001402DF"/>
    <w:rsid w:val="001405A6"/>
    <w:rsid w:val="00140A73"/>
    <w:rsid w:val="001410BE"/>
    <w:rsid w:val="00141C56"/>
    <w:rsid w:val="00141E57"/>
    <w:rsid w:val="00142554"/>
    <w:rsid w:val="00142585"/>
    <w:rsid w:val="00142AB2"/>
    <w:rsid w:val="00142F86"/>
    <w:rsid w:val="0014350B"/>
    <w:rsid w:val="00144356"/>
    <w:rsid w:val="00144522"/>
    <w:rsid w:val="00144E40"/>
    <w:rsid w:val="00145221"/>
    <w:rsid w:val="00145EA3"/>
    <w:rsid w:val="00146304"/>
    <w:rsid w:val="001466D8"/>
    <w:rsid w:val="00146811"/>
    <w:rsid w:val="0015085F"/>
    <w:rsid w:val="00150D62"/>
    <w:rsid w:val="0015142F"/>
    <w:rsid w:val="0015143B"/>
    <w:rsid w:val="00151A4E"/>
    <w:rsid w:val="00151F63"/>
    <w:rsid w:val="00152908"/>
    <w:rsid w:val="00152D6E"/>
    <w:rsid w:val="0015341A"/>
    <w:rsid w:val="0015389A"/>
    <w:rsid w:val="00153FE6"/>
    <w:rsid w:val="001545DF"/>
    <w:rsid w:val="00154F09"/>
    <w:rsid w:val="0015530C"/>
    <w:rsid w:val="001556B0"/>
    <w:rsid w:val="001556C5"/>
    <w:rsid w:val="00155A8D"/>
    <w:rsid w:val="001561A0"/>
    <w:rsid w:val="001564EA"/>
    <w:rsid w:val="00156584"/>
    <w:rsid w:val="00156A86"/>
    <w:rsid w:val="00156C0A"/>
    <w:rsid w:val="00157078"/>
    <w:rsid w:val="00160182"/>
    <w:rsid w:val="00160236"/>
    <w:rsid w:val="00160D39"/>
    <w:rsid w:val="0016133B"/>
    <w:rsid w:val="0016216D"/>
    <w:rsid w:val="001621E1"/>
    <w:rsid w:val="0016230F"/>
    <w:rsid w:val="001623B9"/>
    <w:rsid w:val="001627B0"/>
    <w:rsid w:val="00162D48"/>
    <w:rsid w:val="0016368F"/>
    <w:rsid w:val="00163A5F"/>
    <w:rsid w:val="00164180"/>
    <w:rsid w:val="00164392"/>
    <w:rsid w:val="001656F2"/>
    <w:rsid w:val="00165D99"/>
    <w:rsid w:val="00166001"/>
    <w:rsid w:val="0016602D"/>
    <w:rsid w:val="001660B0"/>
    <w:rsid w:val="001665A0"/>
    <w:rsid w:val="00166611"/>
    <w:rsid w:val="00166773"/>
    <w:rsid w:val="00166DC9"/>
    <w:rsid w:val="00166E0E"/>
    <w:rsid w:val="00166EDC"/>
    <w:rsid w:val="001670B6"/>
    <w:rsid w:val="00167E07"/>
    <w:rsid w:val="00167E95"/>
    <w:rsid w:val="00167EAA"/>
    <w:rsid w:val="0017079C"/>
    <w:rsid w:val="0017082E"/>
    <w:rsid w:val="001710CF"/>
    <w:rsid w:val="001713DD"/>
    <w:rsid w:val="00172FF4"/>
    <w:rsid w:val="001737A5"/>
    <w:rsid w:val="001739E1"/>
    <w:rsid w:val="00174E57"/>
    <w:rsid w:val="00175A2F"/>
    <w:rsid w:val="00175C07"/>
    <w:rsid w:val="001763D6"/>
    <w:rsid w:val="00176805"/>
    <w:rsid w:val="0017681C"/>
    <w:rsid w:val="001776A0"/>
    <w:rsid w:val="00177724"/>
    <w:rsid w:val="001808C5"/>
    <w:rsid w:val="00180E6C"/>
    <w:rsid w:val="00180F54"/>
    <w:rsid w:val="001815AB"/>
    <w:rsid w:val="00181B72"/>
    <w:rsid w:val="00181E20"/>
    <w:rsid w:val="00183353"/>
    <w:rsid w:val="00183BEF"/>
    <w:rsid w:val="0018486A"/>
    <w:rsid w:val="001855A3"/>
    <w:rsid w:val="001872A0"/>
    <w:rsid w:val="00187D77"/>
    <w:rsid w:val="00187DE4"/>
    <w:rsid w:val="00190D1C"/>
    <w:rsid w:val="00190F48"/>
    <w:rsid w:val="001910EB"/>
    <w:rsid w:val="0019162E"/>
    <w:rsid w:val="001917BB"/>
    <w:rsid w:val="0019216D"/>
    <w:rsid w:val="001921BD"/>
    <w:rsid w:val="00192600"/>
    <w:rsid w:val="00192994"/>
    <w:rsid w:val="00192C6B"/>
    <w:rsid w:val="00193CAD"/>
    <w:rsid w:val="00193E42"/>
    <w:rsid w:val="0019422A"/>
    <w:rsid w:val="001968EC"/>
    <w:rsid w:val="00196D1D"/>
    <w:rsid w:val="00196DD4"/>
    <w:rsid w:val="001971B3"/>
    <w:rsid w:val="00197367"/>
    <w:rsid w:val="0019787F"/>
    <w:rsid w:val="00197EB6"/>
    <w:rsid w:val="001A005F"/>
    <w:rsid w:val="001A1084"/>
    <w:rsid w:val="001A140D"/>
    <w:rsid w:val="001A15FF"/>
    <w:rsid w:val="001A258F"/>
    <w:rsid w:val="001A35F9"/>
    <w:rsid w:val="001A3618"/>
    <w:rsid w:val="001A4403"/>
    <w:rsid w:val="001A4E56"/>
    <w:rsid w:val="001A5267"/>
    <w:rsid w:val="001A5598"/>
    <w:rsid w:val="001A5DB5"/>
    <w:rsid w:val="001A6051"/>
    <w:rsid w:val="001A60A8"/>
    <w:rsid w:val="001A611A"/>
    <w:rsid w:val="001A62C2"/>
    <w:rsid w:val="001A65B2"/>
    <w:rsid w:val="001A746C"/>
    <w:rsid w:val="001B0AC0"/>
    <w:rsid w:val="001B1514"/>
    <w:rsid w:val="001B287C"/>
    <w:rsid w:val="001B2A66"/>
    <w:rsid w:val="001B2ED7"/>
    <w:rsid w:val="001B36F8"/>
    <w:rsid w:val="001B400C"/>
    <w:rsid w:val="001B400D"/>
    <w:rsid w:val="001B4249"/>
    <w:rsid w:val="001B49D0"/>
    <w:rsid w:val="001B4AFE"/>
    <w:rsid w:val="001B4DA7"/>
    <w:rsid w:val="001B5433"/>
    <w:rsid w:val="001B5D65"/>
    <w:rsid w:val="001B677D"/>
    <w:rsid w:val="001B7173"/>
    <w:rsid w:val="001B733B"/>
    <w:rsid w:val="001B7585"/>
    <w:rsid w:val="001B75A7"/>
    <w:rsid w:val="001B78EC"/>
    <w:rsid w:val="001B7916"/>
    <w:rsid w:val="001B7938"/>
    <w:rsid w:val="001C01F6"/>
    <w:rsid w:val="001C0C0D"/>
    <w:rsid w:val="001C135A"/>
    <w:rsid w:val="001C1C5E"/>
    <w:rsid w:val="001C2272"/>
    <w:rsid w:val="001C274C"/>
    <w:rsid w:val="001C27E1"/>
    <w:rsid w:val="001C28A1"/>
    <w:rsid w:val="001C2A1F"/>
    <w:rsid w:val="001C2E49"/>
    <w:rsid w:val="001C3251"/>
    <w:rsid w:val="001C33F8"/>
    <w:rsid w:val="001C377D"/>
    <w:rsid w:val="001C4912"/>
    <w:rsid w:val="001C56E7"/>
    <w:rsid w:val="001C5D6D"/>
    <w:rsid w:val="001C62A3"/>
    <w:rsid w:val="001C6352"/>
    <w:rsid w:val="001C6EFC"/>
    <w:rsid w:val="001C75C4"/>
    <w:rsid w:val="001C7A24"/>
    <w:rsid w:val="001D0C4E"/>
    <w:rsid w:val="001D1ED6"/>
    <w:rsid w:val="001D2189"/>
    <w:rsid w:val="001D3E07"/>
    <w:rsid w:val="001D3F5B"/>
    <w:rsid w:val="001D4951"/>
    <w:rsid w:val="001D50D4"/>
    <w:rsid w:val="001D56C2"/>
    <w:rsid w:val="001D5F42"/>
    <w:rsid w:val="001D64CF"/>
    <w:rsid w:val="001D6F4F"/>
    <w:rsid w:val="001D7220"/>
    <w:rsid w:val="001D7692"/>
    <w:rsid w:val="001D7A82"/>
    <w:rsid w:val="001E0029"/>
    <w:rsid w:val="001E0D92"/>
    <w:rsid w:val="001E1B6A"/>
    <w:rsid w:val="001E2673"/>
    <w:rsid w:val="001E35A5"/>
    <w:rsid w:val="001E37FF"/>
    <w:rsid w:val="001E3C06"/>
    <w:rsid w:val="001E4515"/>
    <w:rsid w:val="001E5794"/>
    <w:rsid w:val="001E579E"/>
    <w:rsid w:val="001E639C"/>
    <w:rsid w:val="001E65BF"/>
    <w:rsid w:val="001E69E5"/>
    <w:rsid w:val="001E6E7C"/>
    <w:rsid w:val="001E7639"/>
    <w:rsid w:val="001E77DE"/>
    <w:rsid w:val="001E7FDA"/>
    <w:rsid w:val="001F040D"/>
    <w:rsid w:val="001F07BC"/>
    <w:rsid w:val="001F0FFC"/>
    <w:rsid w:val="001F1338"/>
    <w:rsid w:val="001F1B9E"/>
    <w:rsid w:val="001F28F4"/>
    <w:rsid w:val="001F41D9"/>
    <w:rsid w:val="001F5DD5"/>
    <w:rsid w:val="001F66B8"/>
    <w:rsid w:val="001F717D"/>
    <w:rsid w:val="001F7AA9"/>
    <w:rsid w:val="001F7E0A"/>
    <w:rsid w:val="00200615"/>
    <w:rsid w:val="00200776"/>
    <w:rsid w:val="00200EF9"/>
    <w:rsid w:val="002014C0"/>
    <w:rsid w:val="00201B71"/>
    <w:rsid w:val="0020288B"/>
    <w:rsid w:val="00203321"/>
    <w:rsid w:val="002039B1"/>
    <w:rsid w:val="00203A01"/>
    <w:rsid w:val="00203EDB"/>
    <w:rsid w:val="0020407B"/>
    <w:rsid w:val="00204841"/>
    <w:rsid w:val="00204B52"/>
    <w:rsid w:val="00204C03"/>
    <w:rsid w:val="002052C6"/>
    <w:rsid w:val="00205737"/>
    <w:rsid w:val="0020691A"/>
    <w:rsid w:val="0020746C"/>
    <w:rsid w:val="00210E69"/>
    <w:rsid w:val="0021100B"/>
    <w:rsid w:val="002119DC"/>
    <w:rsid w:val="00211BBD"/>
    <w:rsid w:val="002121EE"/>
    <w:rsid w:val="00212579"/>
    <w:rsid w:val="00212B85"/>
    <w:rsid w:val="00212B95"/>
    <w:rsid w:val="002130B3"/>
    <w:rsid w:val="00213A88"/>
    <w:rsid w:val="0021416A"/>
    <w:rsid w:val="0021490F"/>
    <w:rsid w:val="0021620B"/>
    <w:rsid w:val="002165DC"/>
    <w:rsid w:val="00216862"/>
    <w:rsid w:val="00216B03"/>
    <w:rsid w:val="00217DC8"/>
    <w:rsid w:val="00217E61"/>
    <w:rsid w:val="002204CD"/>
    <w:rsid w:val="00220589"/>
    <w:rsid w:val="002211CC"/>
    <w:rsid w:val="0022125A"/>
    <w:rsid w:val="002213E9"/>
    <w:rsid w:val="002216D9"/>
    <w:rsid w:val="002218A9"/>
    <w:rsid w:val="002218DA"/>
    <w:rsid w:val="00221CAA"/>
    <w:rsid w:val="002224E2"/>
    <w:rsid w:val="00223397"/>
    <w:rsid w:val="00224470"/>
    <w:rsid w:val="00224A6C"/>
    <w:rsid w:val="00224DCA"/>
    <w:rsid w:val="002259D2"/>
    <w:rsid w:val="00225DF9"/>
    <w:rsid w:val="00226C21"/>
    <w:rsid w:val="00226C9F"/>
    <w:rsid w:val="00226F88"/>
    <w:rsid w:val="00226FCA"/>
    <w:rsid w:val="002276A1"/>
    <w:rsid w:val="00227E12"/>
    <w:rsid w:val="00230E0A"/>
    <w:rsid w:val="00231441"/>
    <w:rsid w:val="002325CF"/>
    <w:rsid w:val="00232905"/>
    <w:rsid w:val="0023370F"/>
    <w:rsid w:val="00233CFE"/>
    <w:rsid w:val="00234998"/>
    <w:rsid w:val="00234DC9"/>
    <w:rsid w:val="00235708"/>
    <w:rsid w:val="00235BB8"/>
    <w:rsid w:val="00235CE1"/>
    <w:rsid w:val="00236B26"/>
    <w:rsid w:val="00236C94"/>
    <w:rsid w:val="0023742A"/>
    <w:rsid w:val="00237693"/>
    <w:rsid w:val="002378F8"/>
    <w:rsid w:val="002401E7"/>
    <w:rsid w:val="00241D25"/>
    <w:rsid w:val="00242F2A"/>
    <w:rsid w:val="00244130"/>
    <w:rsid w:val="00244776"/>
    <w:rsid w:val="002452A6"/>
    <w:rsid w:val="002454F2"/>
    <w:rsid w:val="002458AA"/>
    <w:rsid w:val="0024599C"/>
    <w:rsid w:val="002469E3"/>
    <w:rsid w:val="00247A04"/>
    <w:rsid w:val="00247B18"/>
    <w:rsid w:val="00247B64"/>
    <w:rsid w:val="00247C67"/>
    <w:rsid w:val="00250395"/>
    <w:rsid w:val="00250715"/>
    <w:rsid w:val="00250728"/>
    <w:rsid w:val="0025089C"/>
    <w:rsid w:val="00250AE1"/>
    <w:rsid w:val="00251552"/>
    <w:rsid w:val="002516B4"/>
    <w:rsid w:val="00251804"/>
    <w:rsid w:val="00251CE5"/>
    <w:rsid w:val="002528FD"/>
    <w:rsid w:val="00253C54"/>
    <w:rsid w:val="00254FF8"/>
    <w:rsid w:val="002551DF"/>
    <w:rsid w:val="002556A5"/>
    <w:rsid w:val="002556DE"/>
    <w:rsid w:val="002560B5"/>
    <w:rsid w:val="00256164"/>
    <w:rsid w:val="0025620D"/>
    <w:rsid w:val="00256C8F"/>
    <w:rsid w:val="00256E15"/>
    <w:rsid w:val="00257502"/>
    <w:rsid w:val="00257B06"/>
    <w:rsid w:val="00257EF5"/>
    <w:rsid w:val="002607B4"/>
    <w:rsid w:val="00260AF2"/>
    <w:rsid w:val="00261572"/>
    <w:rsid w:val="00261C61"/>
    <w:rsid w:val="00262954"/>
    <w:rsid w:val="00262A66"/>
    <w:rsid w:val="00262C5A"/>
    <w:rsid w:val="00262F2A"/>
    <w:rsid w:val="00262F99"/>
    <w:rsid w:val="00263926"/>
    <w:rsid w:val="002647CF"/>
    <w:rsid w:val="00265202"/>
    <w:rsid w:val="002652F6"/>
    <w:rsid w:val="00265B97"/>
    <w:rsid w:val="002668F6"/>
    <w:rsid w:val="00266C23"/>
    <w:rsid w:val="00266C3E"/>
    <w:rsid w:val="00266E73"/>
    <w:rsid w:val="00267655"/>
    <w:rsid w:val="00267A7B"/>
    <w:rsid w:val="00267B1E"/>
    <w:rsid w:val="00267ECB"/>
    <w:rsid w:val="002703A1"/>
    <w:rsid w:val="0027120B"/>
    <w:rsid w:val="0027124A"/>
    <w:rsid w:val="00272165"/>
    <w:rsid w:val="00272283"/>
    <w:rsid w:val="00272635"/>
    <w:rsid w:val="002726F2"/>
    <w:rsid w:val="002727B2"/>
    <w:rsid w:val="00272DF4"/>
    <w:rsid w:val="00273767"/>
    <w:rsid w:val="00274201"/>
    <w:rsid w:val="0027445E"/>
    <w:rsid w:val="00275C17"/>
    <w:rsid w:val="00275C29"/>
    <w:rsid w:val="00275CE0"/>
    <w:rsid w:val="0027626B"/>
    <w:rsid w:val="00276566"/>
    <w:rsid w:val="00276685"/>
    <w:rsid w:val="00277062"/>
    <w:rsid w:val="00277904"/>
    <w:rsid w:val="002779BB"/>
    <w:rsid w:val="00277BA3"/>
    <w:rsid w:val="0028015B"/>
    <w:rsid w:val="00280207"/>
    <w:rsid w:val="0028021B"/>
    <w:rsid w:val="002808E9"/>
    <w:rsid w:val="00280A0B"/>
    <w:rsid w:val="00280FE9"/>
    <w:rsid w:val="002814FD"/>
    <w:rsid w:val="002822D8"/>
    <w:rsid w:val="00282467"/>
    <w:rsid w:val="00282815"/>
    <w:rsid w:val="00282C53"/>
    <w:rsid w:val="00282C77"/>
    <w:rsid w:val="002836C1"/>
    <w:rsid w:val="00283EA5"/>
    <w:rsid w:val="002855AD"/>
    <w:rsid w:val="002867A5"/>
    <w:rsid w:val="002869AF"/>
    <w:rsid w:val="002874A5"/>
    <w:rsid w:val="0028765A"/>
    <w:rsid w:val="002879FA"/>
    <w:rsid w:val="00287C9C"/>
    <w:rsid w:val="00290C33"/>
    <w:rsid w:val="00290F22"/>
    <w:rsid w:val="0029117C"/>
    <w:rsid w:val="00291BA0"/>
    <w:rsid w:val="00292194"/>
    <w:rsid w:val="00292506"/>
    <w:rsid w:val="00292571"/>
    <w:rsid w:val="00292690"/>
    <w:rsid w:val="00292B46"/>
    <w:rsid w:val="00293226"/>
    <w:rsid w:val="002936A3"/>
    <w:rsid w:val="00294CAB"/>
    <w:rsid w:val="00294EDD"/>
    <w:rsid w:val="002951A6"/>
    <w:rsid w:val="0029559A"/>
    <w:rsid w:val="00295892"/>
    <w:rsid w:val="00295DC3"/>
    <w:rsid w:val="00296210"/>
    <w:rsid w:val="002964AF"/>
    <w:rsid w:val="0029681B"/>
    <w:rsid w:val="00297006"/>
    <w:rsid w:val="002975BD"/>
    <w:rsid w:val="0029763F"/>
    <w:rsid w:val="00297C2B"/>
    <w:rsid w:val="00297E92"/>
    <w:rsid w:val="00297FC0"/>
    <w:rsid w:val="002A0273"/>
    <w:rsid w:val="002A03D2"/>
    <w:rsid w:val="002A04EF"/>
    <w:rsid w:val="002A0543"/>
    <w:rsid w:val="002A0630"/>
    <w:rsid w:val="002A1231"/>
    <w:rsid w:val="002A14F5"/>
    <w:rsid w:val="002A1C73"/>
    <w:rsid w:val="002A1E20"/>
    <w:rsid w:val="002A2852"/>
    <w:rsid w:val="002A3D90"/>
    <w:rsid w:val="002A45DB"/>
    <w:rsid w:val="002A45FE"/>
    <w:rsid w:val="002A4709"/>
    <w:rsid w:val="002A6187"/>
    <w:rsid w:val="002A6386"/>
    <w:rsid w:val="002A65B8"/>
    <w:rsid w:val="002A6CB8"/>
    <w:rsid w:val="002A6EAE"/>
    <w:rsid w:val="002A7C1F"/>
    <w:rsid w:val="002A7FE5"/>
    <w:rsid w:val="002B0929"/>
    <w:rsid w:val="002B0AC9"/>
    <w:rsid w:val="002B0F5C"/>
    <w:rsid w:val="002B10B9"/>
    <w:rsid w:val="002B16CF"/>
    <w:rsid w:val="002B1885"/>
    <w:rsid w:val="002B1973"/>
    <w:rsid w:val="002B24B8"/>
    <w:rsid w:val="002B317F"/>
    <w:rsid w:val="002B32EF"/>
    <w:rsid w:val="002B36D8"/>
    <w:rsid w:val="002B453C"/>
    <w:rsid w:val="002B454B"/>
    <w:rsid w:val="002B4601"/>
    <w:rsid w:val="002B47AE"/>
    <w:rsid w:val="002B55E4"/>
    <w:rsid w:val="002B59DA"/>
    <w:rsid w:val="002B5EFB"/>
    <w:rsid w:val="002B6567"/>
    <w:rsid w:val="002B71C1"/>
    <w:rsid w:val="002B7277"/>
    <w:rsid w:val="002B75D4"/>
    <w:rsid w:val="002C0A5A"/>
    <w:rsid w:val="002C0C05"/>
    <w:rsid w:val="002C19CD"/>
    <w:rsid w:val="002C26C8"/>
    <w:rsid w:val="002C28F5"/>
    <w:rsid w:val="002C509A"/>
    <w:rsid w:val="002C5A3B"/>
    <w:rsid w:val="002C5CBE"/>
    <w:rsid w:val="002C618B"/>
    <w:rsid w:val="002C6928"/>
    <w:rsid w:val="002C69E9"/>
    <w:rsid w:val="002C6C19"/>
    <w:rsid w:val="002C7055"/>
    <w:rsid w:val="002C756B"/>
    <w:rsid w:val="002C7B85"/>
    <w:rsid w:val="002D0594"/>
    <w:rsid w:val="002D078B"/>
    <w:rsid w:val="002D1223"/>
    <w:rsid w:val="002D1A8A"/>
    <w:rsid w:val="002D2497"/>
    <w:rsid w:val="002D2AAA"/>
    <w:rsid w:val="002D32F0"/>
    <w:rsid w:val="002D33A2"/>
    <w:rsid w:val="002D360B"/>
    <w:rsid w:val="002D480F"/>
    <w:rsid w:val="002D4FF7"/>
    <w:rsid w:val="002D59F6"/>
    <w:rsid w:val="002D5FC6"/>
    <w:rsid w:val="002D6506"/>
    <w:rsid w:val="002D66A0"/>
    <w:rsid w:val="002D679E"/>
    <w:rsid w:val="002D79E8"/>
    <w:rsid w:val="002E048A"/>
    <w:rsid w:val="002E0620"/>
    <w:rsid w:val="002E08F2"/>
    <w:rsid w:val="002E27AC"/>
    <w:rsid w:val="002E3A55"/>
    <w:rsid w:val="002E5AEF"/>
    <w:rsid w:val="002E6C1D"/>
    <w:rsid w:val="002E77F9"/>
    <w:rsid w:val="002E793D"/>
    <w:rsid w:val="002E7F8D"/>
    <w:rsid w:val="002F1451"/>
    <w:rsid w:val="002F1BA3"/>
    <w:rsid w:val="002F30BA"/>
    <w:rsid w:val="002F4260"/>
    <w:rsid w:val="002F43CC"/>
    <w:rsid w:val="002F4791"/>
    <w:rsid w:val="002F481A"/>
    <w:rsid w:val="002F49D6"/>
    <w:rsid w:val="002F4A55"/>
    <w:rsid w:val="002F4AA2"/>
    <w:rsid w:val="002F4F97"/>
    <w:rsid w:val="002F5CE2"/>
    <w:rsid w:val="002F5D7A"/>
    <w:rsid w:val="002F6675"/>
    <w:rsid w:val="002F6994"/>
    <w:rsid w:val="002F6AF2"/>
    <w:rsid w:val="002F6B31"/>
    <w:rsid w:val="002F77C1"/>
    <w:rsid w:val="002F7AA4"/>
    <w:rsid w:val="002F7E6A"/>
    <w:rsid w:val="0030041D"/>
    <w:rsid w:val="00300C71"/>
    <w:rsid w:val="00301B5A"/>
    <w:rsid w:val="00302689"/>
    <w:rsid w:val="00302A78"/>
    <w:rsid w:val="00302EF5"/>
    <w:rsid w:val="00303B28"/>
    <w:rsid w:val="00303DBE"/>
    <w:rsid w:val="003044B3"/>
    <w:rsid w:val="0030499E"/>
    <w:rsid w:val="00304D89"/>
    <w:rsid w:val="003059A4"/>
    <w:rsid w:val="00305B58"/>
    <w:rsid w:val="00305D2F"/>
    <w:rsid w:val="00307F65"/>
    <w:rsid w:val="00307F73"/>
    <w:rsid w:val="003100D9"/>
    <w:rsid w:val="00310642"/>
    <w:rsid w:val="00311439"/>
    <w:rsid w:val="00311812"/>
    <w:rsid w:val="0031187D"/>
    <w:rsid w:val="0031218E"/>
    <w:rsid w:val="003124AD"/>
    <w:rsid w:val="00312A4D"/>
    <w:rsid w:val="00312CE1"/>
    <w:rsid w:val="00312FD5"/>
    <w:rsid w:val="003131C3"/>
    <w:rsid w:val="00313734"/>
    <w:rsid w:val="0031417F"/>
    <w:rsid w:val="00314265"/>
    <w:rsid w:val="00314707"/>
    <w:rsid w:val="00315053"/>
    <w:rsid w:val="00315253"/>
    <w:rsid w:val="00315379"/>
    <w:rsid w:val="00315AB7"/>
    <w:rsid w:val="00315BD8"/>
    <w:rsid w:val="0031732D"/>
    <w:rsid w:val="003175DF"/>
    <w:rsid w:val="00317CEF"/>
    <w:rsid w:val="003205EB"/>
    <w:rsid w:val="003207D9"/>
    <w:rsid w:val="003214CB"/>
    <w:rsid w:val="0032163E"/>
    <w:rsid w:val="00321F94"/>
    <w:rsid w:val="003227EC"/>
    <w:rsid w:val="0032395B"/>
    <w:rsid w:val="00323A42"/>
    <w:rsid w:val="00323ED5"/>
    <w:rsid w:val="0032404B"/>
    <w:rsid w:val="003243EE"/>
    <w:rsid w:val="00324714"/>
    <w:rsid w:val="00324AEE"/>
    <w:rsid w:val="00325648"/>
    <w:rsid w:val="00325FC3"/>
    <w:rsid w:val="00326684"/>
    <w:rsid w:val="00326F91"/>
    <w:rsid w:val="00327045"/>
    <w:rsid w:val="003272C1"/>
    <w:rsid w:val="00327D79"/>
    <w:rsid w:val="00327DFD"/>
    <w:rsid w:val="003301F3"/>
    <w:rsid w:val="00330A07"/>
    <w:rsid w:val="00331030"/>
    <w:rsid w:val="00331425"/>
    <w:rsid w:val="003314AD"/>
    <w:rsid w:val="0033164F"/>
    <w:rsid w:val="00331D03"/>
    <w:rsid w:val="003325A8"/>
    <w:rsid w:val="00332C1F"/>
    <w:rsid w:val="0033300C"/>
    <w:rsid w:val="00333EF4"/>
    <w:rsid w:val="00334241"/>
    <w:rsid w:val="003358C0"/>
    <w:rsid w:val="00336399"/>
    <w:rsid w:val="0033665B"/>
    <w:rsid w:val="00336829"/>
    <w:rsid w:val="00336AE0"/>
    <w:rsid w:val="00337222"/>
    <w:rsid w:val="0033790C"/>
    <w:rsid w:val="00340C04"/>
    <w:rsid w:val="00340D6D"/>
    <w:rsid w:val="003412E8"/>
    <w:rsid w:val="003416D5"/>
    <w:rsid w:val="00341A15"/>
    <w:rsid w:val="00342817"/>
    <w:rsid w:val="00342BD4"/>
    <w:rsid w:val="0034344F"/>
    <w:rsid w:val="00343C69"/>
    <w:rsid w:val="003440B3"/>
    <w:rsid w:val="003446ED"/>
    <w:rsid w:val="00344A30"/>
    <w:rsid w:val="00344F81"/>
    <w:rsid w:val="0034502C"/>
    <w:rsid w:val="00345636"/>
    <w:rsid w:val="00345D34"/>
    <w:rsid w:val="003461BE"/>
    <w:rsid w:val="00346409"/>
    <w:rsid w:val="00346523"/>
    <w:rsid w:val="0034660D"/>
    <w:rsid w:val="00346739"/>
    <w:rsid w:val="003468D4"/>
    <w:rsid w:val="0034741D"/>
    <w:rsid w:val="00350159"/>
    <w:rsid w:val="0035079D"/>
    <w:rsid w:val="00350D17"/>
    <w:rsid w:val="00350E24"/>
    <w:rsid w:val="003512C3"/>
    <w:rsid w:val="003514CD"/>
    <w:rsid w:val="00351B61"/>
    <w:rsid w:val="0035224F"/>
    <w:rsid w:val="00352C35"/>
    <w:rsid w:val="00353CA1"/>
    <w:rsid w:val="00353F91"/>
    <w:rsid w:val="003543CC"/>
    <w:rsid w:val="003548B2"/>
    <w:rsid w:val="0035491C"/>
    <w:rsid w:val="00354FAB"/>
    <w:rsid w:val="0035500C"/>
    <w:rsid w:val="003550D5"/>
    <w:rsid w:val="0035534E"/>
    <w:rsid w:val="0035575A"/>
    <w:rsid w:val="00355CCC"/>
    <w:rsid w:val="003560BD"/>
    <w:rsid w:val="003568A2"/>
    <w:rsid w:val="00356DD9"/>
    <w:rsid w:val="00356F18"/>
    <w:rsid w:val="00356F92"/>
    <w:rsid w:val="003570A4"/>
    <w:rsid w:val="00360035"/>
    <w:rsid w:val="00360355"/>
    <w:rsid w:val="00360380"/>
    <w:rsid w:val="00360728"/>
    <w:rsid w:val="00360C83"/>
    <w:rsid w:val="00361855"/>
    <w:rsid w:val="00361858"/>
    <w:rsid w:val="003619C0"/>
    <w:rsid w:val="0036290F"/>
    <w:rsid w:val="0036296E"/>
    <w:rsid w:val="003631B1"/>
    <w:rsid w:val="003637D2"/>
    <w:rsid w:val="00363999"/>
    <w:rsid w:val="00364309"/>
    <w:rsid w:val="0036434A"/>
    <w:rsid w:val="003643C8"/>
    <w:rsid w:val="00364C2C"/>
    <w:rsid w:val="003661FB"/>
    <w:rsid w:val="003664B5"/>
    <w:rsid w:val="00366B73"/>
    <w:rsid w:val="00366D7F"/>
    <w:rsid w:val="00366DDD"/>
    <w:rsid w:val="00366DF7"/>
    <w:rsid w:val="00366F35"/>
    <w:rsid w:val="00367294"/>
    <w:rsid w:val="0036759C"/>
    <w:rsid w:val="00367B42"/>
    <w:rsid w:val="00367BD0"/>
    <w:rsid w:val="00370223"/>
    <w:rsid w:val="003708AD"/>
    <w:rsid w:val="00370EE5"/>
    <w:rsid w:val="003716C0"/>
    <w:rsid w:val="0037187A"/>
    <w:rsid w:val="0037254B"/>
    <w:rsid w:val="0037257A"/>
    <w:rsid w:val="0037294E"/>
    <w:rsid w:val="00372B40"/>
    <w:rsid w:val="00372D99"/>
    <w:rsid w:val="00373147"/>
    <w:rsid w:val="00373E0D"/>
    <w:rsid w:val="00373F60"/>
    <w:rsid w:val="0037442A"/>
    <w:rsid w:val="0037496D"/>
    <w:rsid w:val="00374A2B"/>
    <w:rsid w:val="0037561E"/>
    <w:rsid w:val="00375979"/>
    <w:rsid w:val="003767EE"/>
    <w:rsid w:val="00376B81"/>
    <w:rsid w:val="00376DFC"/>
    <w:rsid w:val="00376E2B"/>
    <w:rsid w:val="003770FE"/>
    <w:rsid w:val="0037713F"/>
    <w:rsid w:val="00377236"/>
    <w:rsid w:val="003813E4"/>
    <w:rsid w:val="0038174E"/>
    <w:rsid w:val="003824FA"/>
    <w:rsid w:val="00382791"/>
    <w:rsid w:val="00383C24"/>
    <w:rsid w:val="0038405F"/>
    <w:rsid w:val="00384845"/>
    <w:rsid w:val="00384A70"/>
    <w:rsid w:val="00384AB6"/>
    <w:rsid w:val="00384E70"/>
    <w:rsid w:val="0038508F"/>
    <w:rsid w:val="0038527B"/>
    <w:rsid w:val="00386B76"/>
    <w:rsid w:val="00386F59"/>
    <w:rsid w:val="00386FA3"/>
    <w:rsid w:val="00387AD9"/>
    <w:rsid w:val="0039009C"/>
    <w:rsid w:val="00390CC9"/>
    <w:rsid w:val="0039122B"/>
    <w:rsid w:val="00392DBB"/>
    <w:rsid w:val="00392F6D"/>
    <w:rsid w:val="003938B2"/>
    <w:rsid w:val="0039429D"/>
    <w:rsid w:val="003942DA"/>
    <w:rsid w:val="003944B2"/>
    <w:rsid w:val="00394D7E"/>
    <w:rsid w:val="0039539D"/>
    <w:rsid w:val="0039553A"/>
    <w:rsid w:val="00395D5D"/>
    <w:rsid w:val="003A01F7"/>
    <w:rsid w:val="003A0281"/>
    <w:rsid w:val="003A054E"/>
    <w:rsid w:val="003A0AD9"/>
    <w:rsid w:val="003A0C95"/>
    <w:rsid w:val="003A0E9B"/>
    <w:rsid w:val="003A0F6F"/>
    <w:rsid w:val="003A23F0"/>
    <w:rsid w:val="003A2D6E"/>
    <w:rsid w:val="003A30D0"/>
    <w:rsid w:val="003A3106"/>
    <w:rsid w:val="003A3B5C"/>
    <w:rsid w:val="003A3F3F"/>
    <w:rsid w:val="003A4381"/>
    <w:rsid w:val="003A45C5"/>
    <w:rsid w:val="003A4B8B"/>
    <w:rsid w:val="003A58D7"/>
    <w:rsid w:val="003A5C87"/>
    <w:rsid w:val="003A5EBA"/>
    <w:rsid w:val="003A5FE6"/>
    <w:rsid w:val="003A625A"/>
    <w:rsid w:val="003A672D"/>
    <w:rsid w:val="003A7871"/>
    <w:rsid w:val="003A78AE"/>
    <w:rsid w:val="003A7E06"/>
    <w:rsid w:val="003B09A7"/>
    <w:rsid w:val="003B0C11"/>
    <w:rsid w:val="003B0F8A"/>
    <w:rsid w:val="003B1228"/>
    <w:rsid w:val="003B13EC"/>
    <w:rsid w:val="003B13F3"/>
    <w:rsid w:val="003B178F"/>
    <w:rsid w:val="003B1993"/>
    <w:rsid w:val="003B23D4"/>
    <w:rsid w:val="003B2B7C"/>
    <w:rsid w:val="003B3979"/>
    <w:rsid w:val="003B39A6"/>
    <w:rsid w:val="003B42FE"/>
    <w:rsid w:val="003B43C3"/>
    <w:rsid w:val="003B4983"/>
    <w:rsid w:val="003B4C9C"/>
    <w:rsid w:val="003B51EC"/>
    <w:rsid w:val="003B539A"/>
    <w:rsid w:val="003B58E8"/>
    <w:rsid w:val="003B6A85"/>
    <w:rsid w:val="003B7129"/>
    <w:rsid w:val="003B7D66"/>
    <w:rsid w:val="003B7DC2"/>
    <w:rsid w:val="003C04DD"/>
    <w:rsid w:val="003C1532"/>
    <w:rsid w:val="003C153E"/>
    <w:rsid w:val="003C2604"/>
    <w:rsid w:val="003C26BF"/>
    <w:rsid w:val="003C26CE"/>
    <w:rsid w:val="003C2C10"/>
    <w:rsid w:val="003C2E9A"/>
    <w:rsid w:val="003C3381"/>
    <w:rsid w:val="003C3B1A"/>
    <w:rsid w:val="003C3E89"/>
    <w:rsid w:val="003C3FFA"/>
    <w:rsid w:val="003C41C0"/>
    <w:rsid w:val="003C4ABD"/>
    <w:rsid w:val="003C4DD9"/>
    <w:rsid w:val="003C4E51"/>
    <w:rsid w:val="003C4F9E"/>
    <w:rsid w:val="003C5535"/>
    <w:rsid w:val="003C5804"/>
    <w:rsid w:val="003C6B3D"/>
    <w:rsid w:val="003C75BF"/>
    <w:rsid w:val="003D00F7"/>
    <w:rsid w:val="003D08E9"/>
    <w:rsid w:val="003D1076"/>
    <w:rsid w:val="003D201F"/>
    <w:rsid w:val="003D20A1"/>
    <w:rsid w:val="003D2660"/>
    <w:rsid w:val="003D26BD"/>
    <w:rsid w:val="003D3596"/>
    <w:rsid w:val="003D3682"/>
    <w:rsid w:val="003D3839"/>
    <w:rsid w:val="003D38C4"/>
    <w:rsid w:val="003D3AF1"/>
    <w:rsid w:val="003D4374"/>
    <w:rsid w:val="003D5143"/>
    <w:rsid w:val="003D5326"/>
    <w:rsid w:val="003D5BC0"/>
    <w:rsid w:val="003D5C81"/>
    <w:rsid w:val="003D5E19"/>
    <w:rsid w:val="003D787C"/>
    <w:rsid w:val="003D7A86"/>
    <w:rsid w:val="003D7B8F"/>
    <w:rsid w:val="003D7D5D"/>
    <w:rsid w:val="003E00D9"/>
    <w:rsid w:val="003E0246"/>
    <w:rsid w:val="003E059B"/>
    <w:rsid w:val="003E0704"/>
    <w:rsid w:val="003E0822"/>
    <w:rsid w:val="003E12EE"/>
    <w:rsid w:val="003E1984"/>
    <w:rsid w:val="003E2010"/>
    <w:rsid w:val="003E218B"/>
    <w:rsid w:val="003E2AD6"/>
    <w:rsid w:val="003E2DF7"/>
    <w:rsid w:val="003E3B99"/>
    <w:rsid w:val="003E3D8F"/>
    <w:rsid w:val="003E50C9"/>
    <w:rsid w:val="003E5870"/>
    <w:rsid w:val="003E6415"/>
    <w:rsid w:val="003E658B"/>
    <w:rsid w:val="003E674C"/>
    <w:rsid w:val="003E67C2"/>
    <w:rsid w:val="003E6B57"/>
    <w:rsid w:val="003E6C6C"/>
    <w:rsid w:val="003E71F1"/>
    <w:rsid w:val="003E73B6"/>
    <w:rsid w:val="003E74CB"/>
    <w:rsid w:val="003E7777"/>
    <w:rsid w:val="003E7FCD"/>
    <w:rsid w:val="003E7FFA"/>
    <w:rsid w:val="003F0194"/>
    <w:rsid w:val="003F0235"/>
    <w:rsid w:val="003F06D0"/>
    <w:rsid w:val="003F095D"/>
    <w:rsid w:val="003F0FCC"/>
    <w:rsid w:val="003F1287"/>
    <w:rsid w:val="003F21F5"/>
    <w:rsid w:val="003F27CA"/>
    <w:rsid w:val="003F2A9F"/>
    <w:rsid w:val="003F2F37"/>
    <w:rsid w:val="003F2F56"/>
    <w:rsid w:val="003F30C2"/>
    <w:rsid w:val="003F31DE"/>
    <w:rsid w:val="003F38D1"/>
    <w:rsid w:val="003F3BC1"/>
    <w:rsid w:val="003F3CF4"/>
    <w:rsid w:val="003F3E1C"/>
    <w:rsid w:val="003F4140"/>
    <w:rsid w:val="003F51B5"/>
    <w:rsid w:val="003F53B7"/>
    <w:rsid w:val="003F5CD0"/>
    <w:rsid w:val="003F6458"/>
    <w:rsid w:val="003F68F8"/>
    <w:rsid w:val="003F72C8"/>
    <w:rsid w:val="003F73E5"/>
    <w:rsid w:val="003F74DC"/>
    <w:rsid w:val="003F7FEC"/>
    <w:rsid w:val="004009D8"/>
    <w:rsid w:val="00401CAC"/>
    <w:rsid w:val="00402077"/>
    <w:rsid w:val="004022A4"/>
    <w:rsid w:val="00402974"/>
    <w:rsid w:val="00404460"/>
    <w:rsid w:val="00404DC5"/>
    <w:rsid w:val="004062E5"/>
    <w:rsid w:val="00406E85"/>
    <w:rsid w:val="0041015F"/>
    <w:rsid w:val="00410386"/>
    <w:rsid w:val="0041061C"/>
    <w:rsid w:val="00410629"/>
    <w:rsid w:val="004118DF"/>
    <w:rsid w:val="00411EE2"/>
    <w:rsid w:val="004122ED"/>
    <w:rsid w:val="00412A47"/>
    <w:rsid w:val="00412D23"/>
    <w:rsid w:val="00413097"/>
    <w:rsid w:val="004143D6"/>
    <w:rsid w:val="004145F5"/>
    <w:rsid w:val="0041491C"/>
    <w:rsid w:val="00414BAF"/>
    <w:rsid w:val="00414C24"/>
    <w:rsid w:val="00415BD1"/>
    <w:rsid w:val="00415C43"/>
    <w:rsid w:val="004160F4"/>
    <w:rsid w:val="004162FA"/>
    <w:rsid w:val="0041732D"/>
    <w:rsid w:val="0041780A"/>
    <w:rsid w:val="00417ACB"/>
    <w:rsid w:val="00420045"/>
    <w:rsid w:val="0042029F"/>
    <w:rsid w:val="00420769"/>
    <w:rsid w:val="0042079D"/>
    <w:rsid w:val="00421311"/>
    <w:rsid w:val="0042191B"/>
    <w:rsid w:val="00421A59"/>
    <w:rsid w:val="00421CCE"/>
    <w:rsid w:val="00422D8C"/>
    <w:rsid w:val="00423981"/>
    <w:rsid w:val="00423D7C"/>
    <w:rsid w:val="004247B5"/>
    <w:rsid w:val="00424907"/>
    <w:rsid w:val="00424C33"/>
    <w:rsid w:val="00424C60"/>
    <w:rsid w:val="004254BB"/>
    <w:rsid w:val="004256BD"/>
    <w:rsid w:val="00425C7A"/>
    <w:rsid w:val="00426111"/>
    <w:rsid w:val="00426423"/>
    <w:rsid w:val="0042725D"/>
    <w:rsid w:val="0042789D"/>
    <w:rsid w:val="00430165"/>
    <w:rsid w:val="004303DB"/>
    <w:rsid w:val="00430E40"/>
    <w:rsid w:val="00431115"/>
    <w:rsid w:val="0043194E"/>
    <w:rsid w:val="004323F4"/>
    <w:rsid w:val="00433019"/>
    <w:rsid w:val="0043322A"/>
    <w:rsid w:val="004332B3"/>
    <w:rsid w:val="00433406"/>
    <w:rsid w:val="00433778"/>
    <w:rsid w:val="00433ACF"/>
    <w:rsid w:val="004340B2"/>
    <w:rsid w:val="004342B5"/>
    <w:rsid w:val="00434333"/>
    <w:rsid w:val="00434517"/>
    <w:rsid w:val="00435689"/>
    <w:rsid w:val="0043590D"/>
    <w:rsid w:val="00435CEA"/>
    <w:rsid w:val="0043640D"/>
    <w:rsid w:val="00436413"/>
    <w:rsid w:val="00436A08"/>
    <w:rsid w:val="00436A10"/>
    <w:rsid w:val="00436A70"/>
    <w:rsid w:val="0044008B"/>
    <w:rsid w:val="004405D8"/>
    <w:rsid w:val="00440A81"/>
    <w:rsid w:val="00440B96"/>
    <w:rsid w:val="00440C42"/>
    <w:rsid w:val="00441354"/>
    <w:rsid w:val="00441608"/>
    <w:rsid w:val="004426CE"/>
    <w:rsid w:val="00442EFD"/>
    <w:rsid w:val="004430C4"/>
    <w:rsid w:val="004430ED"/>
    <w:rsid w:val="0044318A"/>
    <w:rsid w:val="00443347"/>
    <w:rsid w:val="00443731"/>
    <w:rsid w:val="00443CA0"/>
    <w:rsid w:val="00444E05"/>
    <w:rsid w:val="0044526A"/>
    <w:rsid w:val="004453CD"/>
    <w:rsid w:val="00445B42"/>
    <w:rsid w:val="00445C35"/>
    <w:rsid w:val="00445F84"/>
    <w:rsid w:val="0044705E"/>
    <w:rsid w:val="00447567"/>
    <w:rsid w:val="00450033"/>
    <w:rsid w:val="00450655"/>
    <w:rsid w:val="0045077A"/>
    <w:rsid w:val="00450B97"/>
    <w:rsid w:val="0045114E"/>
    <w:rsid w:val="004511E1"/>
    <w:rsid w:val="00451F2C"/>
    <w:rsid w:val="004526CF"/>
    <w:rsid w:val="00452F31"/>
    <w:rsid w:val="0045370C"/>
    <w:rsid w:val="00453D93"/>
    <w:rsid w:val="0045484B"/>
    <w:rsid w:val="0045484E"/>
    <w:rsid w:val="00454E5F"/>
    <w:rsid w:val="00456320"/>
    <w:rsid w:val="0045652B"/>
    <w:rsid w:val="004567CD"/>
    <w:rsid w:val="00456D29"/>
    <w:rsid w:val="004571C4"/>
    <w:rsid w:val="004602A6"/>
    <w:rsid w:val="004604D7"/>
    <w:rsid w:val="0046067D"/>
    <w:rsid w:val="0046120E"/>
    <w:rsid w:val="00461793"/>
    <w:rsid w:val="00461D47"/>
    <w:rsid w:val="00461DB3"/>
    <w:rsid w:val="00462298"/>
    <w:rsid w:val="00462895"/>
    <w:rsid w:val="00462C03"/>
    <w:rsid w:val="00462D8B"/>
    <w:rsid w:val="00462EAB"/>
    <w:rsid w:val="00462EBA"/>
    <w:rsid w:val="00462EF6"/>
    <w:rsid w:val="0046301E"/>
    <w:rsid w:val="00463601"/>
    <w:rsid w:val="00463AB3"/>
    <w:rsid w:val="00463C5C"/>
    <w:rsid w:val="0046411D"/>
    <w:rsid w:val="004641B9"/>
    <w:rsid w:val="004646FE"/>
    <w:rsid w:val="004649EB"/>
    <w:rsid w:val="00464F40"/>
    <w:rsid w:val="00465915"/>
    <w:rsid w:val="004661D1"/>
    <w:rsid w:val="00466D7A"/>
    <w:rsid w:val="00467322"/>
    <w:rsid w:val="0046735B"/>
    <w:rsid w:val="004675D0"/>
    <w:rsid w:val="004677EE"/>
    <w:rsid w:val="00467BCB"/>
    <w:rsid w:val="00470502"/>
    <w:rsid w:val="00470BED"/>
    <w:rsid w:val="004717A9"/>
    <w:rsid w:val="00471B39"/>
    <w:rsid w:val="004720EB"/>
    <w:rsid w:val="00472192"/>
    <w:rsid w:val="0047221B"/>
    <w:rsid w:val="0047256F"/>
    <w:rsid w:val="004729BA"/>
    <w:rsid w:val="00473CB0"/>
    <w:rsid w:val="00474342"/>
    <w:rsid w:val="004744D8"/>
    <w:rsid w:val="0047469C"/>
    <w:rsid w:val="004746C5"/>
    <w:rsid w:val="00474940"/>
    <w:rsid w:val="004749BB"/>
    <w:rsid w:val="00474CED"/>
    <w:rsid w:val="00475AF8"/>
    <w:rsid w:val="00476301"/>
    <w:rsid w:val="004766CF"/>
    <w:rsid w:val="004766E2"/>
    <w:rsid w:val="00476EAC"/>
    <w:rsid w:val="00477647"/>
    <w:rsid w:val="004803B5"/>
    <w:rsid w:val="00480E8A"/>
    <w:rsid w:val="004815F9"/>
    <w:rsid w:val="0048178E"/>
    <w:rsid w:val="00481A23"/>
    <w:rsid w:val="00482404"/>
    <w:rsid w:val="004824B7"/>
    <w:rsid w:val="004825F5"/>
    <w:rsid w:val="00482720"/>
    <w:rsid w:val="00483B16"/>
    <w:rsid w:val="00483D2A"/>
    <w:rsid w:val="00484161"/>
    <w:rsid w:val="00484350"/>
    <w:rsid w:val="00484449"/>
    <w:rsid w:val="004845E8"/>
    <w:rsid w:val="00484EC3"/>
    <w:rsid w:val="00486201"/>
    <w:rsid w:val="0048645E"/>
    <w:rsid w:val="004866B5"/>
    <w:rsid w:val="00486C10"/>
    <w:rsid w:val="00487078"/>
    <w:rsid w:val="00487385"/>
    <w:rsid w:val="004873C0"/>
    <w:rsid w:val="0048774D"/>
    <w:rsid w:val="0049098E"/>
    <w:rsid w:val="00490D28"/>
    <w:rsid w:val="00491063"/>
    <w:rsid w:val="00491AF5"/>
    <w:rsid w:val="00491BF3"/>
    <w:rsid w:val="00491D31"/>
    <w:rsid w:val="00492677"/>
    <w:rsid w:val="0049286D"/>
    <w:rsid w:val="00492F7B"/>
    <w:rsid w:val="00493CEE"/>
    <w:rsid w:val="00493E32"/>
    <w:rsid w:val="00494033"/>
    <w:rsid w:val="00494337"/>
    <w:rsid w:val="00495169"/>
    <w:rsid w:val="0049571D"/>
    <w:rsid w:val="00495FCD"/>
    <w:rsid w:val="00496BAD"/>
    <w:rsid w:val="00497112"/>
    <w:rsid w:val="004973A4"/>
    <w:rsid w:val="004A02E5"/>
    <w:rsid w:val="004A06CE"/>
    <w:rsid w:val="004A09CF"/>
    <w:rsid w:val="004A2F4E"/>
    <w:rsid w:val="004A355C"/>
    <w:rsid w:val="004A360B"/>
    <w:rsid w:val="004A409E"/>
    <w:rsid w:val="004A410B"/>
    <w:rsid w:val="004A418E"/>
    <w:rsid w:val="004A4651"/>
    <w:rsid w:val="004A507F"/>
    <w:rsid w:val="004A51B8"/>
    <w:rsid w:val="004A5A72"/>
    <w:rsid w:val="004A7B2D"/>
    <w:rsid w:val="004B0A28"/>
    <w:rsid w:val="004B0A6E"/>
    <w:rsid w:val="004B0B1C"/>
    <w:rsid w:val="004B101C"/>
    <w:rsid w:val="004B11C7"/>
    <w:rsid w:val="004B26AC"/>
    <w:rsid w:val="004B316B"/>
    <w:rsid w:val="004B3BDC"/>
    <w:rsid w:val="004B3C3A"/>
    <w:rsid w:val="004B414E"/>
    <w:rsid w:val="004B4FA9"/>
    <w:rsid w:val="004B5771"/>
    <w:rsid w:val="004B5C6D"/>
    <w:rsid w:val="004B65BD"/>
    <w:rsid w:val="004B662C"/>
    <w:rsid w:val="004B69D1"/>
    <w:rsid w:val="004B72EE"/>
    <w:rsid w:val="004B7379"/>
    <w:rsid w:val="004B77D5"/>
    <w:rsid w:val="004C01EA"/>
    <w:rsid w:val="004C0590"/>
    <w:rsid w:val="004C15DB"/>
    <w:rsid w:val="004C1704"/>
    <w:rsid w:val="004C1B68"/>
    <w:rsid w:val="004C20D1"/>
    <w:rsid w:val="004C218F"/>
    <w:rsid w:val="004C22A2"/>
    <w:rsid w:val="004C2DE6"/>
    <w:rsid w:val="004C3621"/>
    <w:rsid w:val="004C39EC"/>
    <w:rsid w:val="004C3EEA"/>
    <w:rsid w:val="004C3FAC"/>
    <w:rsid w:val="004C43ED"/>
    <w:rsid w:val="004C5F89"/>
    <w:rsid w:val="004C5F9E"/>
    <w:rsid w:val="004C645E"/>
    <w:rsid w:val="004C6822"/>
    <w:rsid w:val="004C69D9"/>
    <w:rsid w:val="004C7006"/>
    <w:rsid w:val="004C775E"/>
    <w:rsid w:val="004D0AE2"/>
    <w:rsid w:val="004D0BEB"/>
    <w:rsid w:val="004D136A"/>
    <w:rsid w:val="004D24C6"/>
    <w:rsid w:val="004D2D6C"/>
    <w:rsid w:val="004D335E"/>
    <w:rsid w:val="004D368B"/>
    <w:rsid w:val="004D3E5F"/>
    <w:rsid w:val="004D431A"/>
    <w:rsid w:val="004D52CE"/>
    <w:rsid w:val="004D5EC4"/>
    <w:rsid w:val="004D6F48"/>
    <w:rsid w:val="004E0093"/>
    <w:rsid w:val="004E095B"/>
    <w:rsid w:val="004E0F2D"/>
    <w:rsid w:val="004E2329"/>
    <w:rsid w:val="004E2974"/>
    <w:rsid w:val="004E2F30"/>
    <w:rsid w:val="004E404D"/>
    <w:rsid w:val="004E5027"/>
    <w:rsid w:val="004E58A3"/>
    <w:rsid w:val="004E59A7"/>
    <w:rsid w:val="004E6547"/>
    <w:rsid w:val="004E67D7"/>
    <w:rsid w:val="004E6FFB"/>
    <w:rsid w:val="004F0977"/>
    <w:rsid w:val="004F11C1"/>
    <w:rsid w:val="004F154A"/>
    <w:rsid w:val="004F2143"/>
    <w:rsid w:val="004F25B4"/>
    <w:rsid w:val="004F2ADA"/>
    <w:rsid w:val="004F2BB6"/>
    <w:rsid w:val="004F3EFB"/>
    <w:rsid w:val="004F40BC"/>
    <w:rsid w:val="004F441A"/>
    <w:rsid w:val="004F4C49"/>
    <w:rsid w:val="004F584F"/>
    <w:rsid w:val="004F64BD"/>
    <w:rsid w:val="00500515"/>
    <w:rsid w:val="00500829"/>
    <w:rsid w:val="00500B97"/>
    <w:rsid w:val="00500BFA"/>
    <w:rsid w:val="00501327"/>
    <w:rsid w:val="00501459"/>
    <w:rsid w:val="00502862"/>
    <w:rsid w:val="00502A0A"/>
    <w:rsid w:val="0050494D"/>
    <w:rsid w:val="0050524D"/>
    <w:rsid w:val="00505703"/>
    <w:rsid w:val="00505EF1"/>
    <w:rsid w:val="005067C8"/>
    <w:rsid w:val="005075C8"/>
    <w:rsid w:val="00510962"/>
    <w:rsid w:val="00510A5E"/>
    <w:rsid w:val="00511682"/>
    <w:rsid w:val="0051185F"/>
    <w:rsid w:val="00511990"/>
    <w:rsid w:val="0051236F"/>
    <w:rsid w:val="0051245C"/>
    <w:rsid w:val="005126C5"/>
    <w:rsid w:val="00512BE6"/>
    <w:rsid w:val="00512C5F"/>
    <w:rsid w:val="00513DD1"/>
    <w:rsid w:val="00514412"/>
    <w:rsid w:val="0051481C"/>
    <w:rsid w:val="00514B79"/>
    <w:rsid w:val="005156A2"/>
    <w:rsid w:val="00515E14"/>
    <w:rsid w:val="00515F38"/>
    <w:rsid w:val="0051635A"/>
    <w:rsid w:val="0051712F"/>
    <w:rsid w:val="005171EE"/>
    <w:rsid w:val="005200D0"/>
    <w:rsid w:val="00520222"/>
    <w:rsid w:val="00520267"/>
    <w:rsid w:val="00520586"/>
    <w:rsid w:val="005211EE"/>
    <w:rsid w:val="0052127C"/>
    <w:rsid w:val="005213D6"/>
    <w:rsid w:val="005215EB"/>
    <w:rsid w:val="00521A5B"/>
    <w:rsid w:val="00521B22"/>
    <w:rsid w:val="00521B34"/>
    <w:rsid w:val="00521FAC"/>
    <w:rsid w:val="005229D2"/>
    <w:rsid w:val="0052316F"/>
    <w:rsid w:val="005239D5"/>
    <w:rsid w:val="005239F0"/>
    <w:rsid w:val="00525671"/>
    <w:rsid w:val="00525B20"/>
    <w:rsid w:val="0052649A"/>
    <w:rsid w:val="00526527"/>
    <w:rsid w:val="00526611"/>
    <w:rsid w:val="005276B9"/>
    <w:rsid w:val="0052781B"/>
    <w:rsid w:val="00530FC5"/>
    <w:rsid w:val="00531AC5"/>
    <w:rsid w:val="00532146"/>
    <w:rsid w:val="005322CB"/>
    <w:rsid w:val="00532674"/>
    <w:rsid w:val="005328DC"/>
    <w:rsid w:val="00533189"/>
    <w:rsid w:val="005333CA"/>
    <w:rsid w:val="00534201"/>
    <w:rsid w:val="005345E2"/>
    <w:rsid w:val="005348EE"/>
    <w:rsid w:val="00534DBA"/>
    <w:rsid w:val="0053530A"/>
    <w:rsid w:val="0053558D"/>
    <w:rsid w:val="00535696"/>
    <w:rsid w:val="005357A6"/>
    <w:rsid w:val="00536711"/>
    <w:rsid w:val="005368F0"/>
    <w:rsid w:val="00536ABC"/>
    <w:rsid w:val="00536B82"/>
    <w:rsid w:val="00536D58"/>
    <w:rsid w:val="005370E9"/>
    <w:rsid w:val="00537101"/>
    <w:rsid w:val="005377C3"/>
    <w:rsid w:val="00540278"/>
    <w:rsid w:val="0054050B"/>
    <w:rsid w:val="00540BFD"/>
    <w:rsid w:val="00540F89"/>
    <w:rsid w:val="00540FE7"/>
    <w:rsid w:val="00541A0B"/>
    <w:rsid w:val="00541A8F"/>
    <w:rsid w:val="00541DA8"/>
    <w:rsid w:val="00541E8E"/>
    <w:rsid w:val="00542006"/>
    <w:rsid w:val="00542895"/>
    <w:rsid w:val="005430BD"/>
    <w:rsid w:val="005430CD"/>
    <w:rsid w:val="0054326E"/>
    <w:rsid w:val="005443D5"/>
    <w:rsid w:val="00544450"/>
    <w:rsid w:val="00544D48"/>
    <w:rsid w:val="00544D7C"/>
    <w:rsid w:val="00544DC2"/>
    <w:rsid w:val="0054515B"/>
    <w:rsid w:val="005458DE"/>
    <w:rsid w:val="0054606F"/>
    <w:rsid w:val="0054635F"/>
    <w:rsid w:val="005465C5"/>
    <w:rsid w:val="005467E4"/>
    <w:rsid w:val="00546800"/>
    <w:rsid w:val="00546974"/>
    <w:rsid w:val="00546BD7"/>
    <w:rsid w:val="00547220"/>
    <w:rsid w:val="00547832"/>
    <w:rsid w:val="005501D5"/>
    <w:rsid w:val="00550E62"/>
    <w:rsid w:val="00551E37"/>
    <w:rsid w:val="005523BE"/>
    <w:rsid w:val="00552B76"/>
    <w:rsid w:val="00552BB1"/>
    <w:rsid w:val="00552C46"/>
    <w:rsid w:val="00552DFD"/>
    <w:rsid w:val="00553444"/>
    <w:rsid w:val="005549AF"/>
    <w:rsid w:val="005554E8"/>
    <w:rsid w:val="0055561C"/>
    <w:rsid w:val="005559C2"/>
    <w:rsid w:val="00555FFC"/>
    <w:rsid w:val="00556654"/>
    <w:rsid w:val="00557597"/>
    <w:rsid w:val="00557637"/>
    <w:rsid w:val="00557D42"/>
    <w:rsid w:val="005601A5"/>
    <w:rsid w:val="0056065E"/>
    <w:rsid w:val="0056146F"/>
    <w:rsid w:val="0056172D"/>
    <w:rsid w:val="0056175B"/>
    <w:rsid w:val="00561CFD"/>
    <w:rsid w:val="00561E9F"/>
    <w:rsid w:val="00562346"/>
    <w:rsid w:val="0056282B"/>
    <w:rsid w:val="00562DC1"/>
    <w:rsid w:val="00562F8C"/>
    <w:rsid w:val="0056303F"/>
    <w:rsid w:val="00563857"/>
    <w:rsid w:val="0056386D"/>
    <w:rsid w:val="005641B2"/>
    <w:rsid w:val="0056449C"/>
    <w:rsid w:val="0056476A"/>
    <w:rsid w:val="0056486D"/>
    <w:rsid w:val="00564BBE"/>
    <w:rsid w:val="00565153"/>
    <w:rsid w:val="005652EB"/>
    <w:rsid w:val="0056560D"/>
    <w:rsid w:val="00565759"/>
    <w:rsid w:val="00566728"/>
    <w:rsid w:val="00566EA4"/>
    <w:rsid w:val="005672DD"/>
    <w:rsid w:val="00567376"/>
    <w:rsid w:val="00567722"/>
    <w:rsid w:val="00567BF6"/>
    <w:rsid w:val="00567CC3"/>
    <w:rsid w:val="005705C5"/>
    <w:rsid w:val="0057124D"/>
    <w:rsid w:val="005714F9"/>
    <w:rsid w:val="00572133"/>
    <w:rsid w:val="0057218D"/>
    <w:rsid w:val="005723D7"/>
    <w:rsid w:val="00572927"/>
    <w:rsid w:val="00573571"/>
    <w:rsid w:val="00573FFF"/>
    <w:rsid w:val="0057416F"/>
    <w:rsid w:val="0057435D"/>
    <w:rsid w:val="00574C4B"/>
    <w:rsid w:val="00574D32"/>
    <w:rsid w:val="00574F5B"/>
    <w:rsid w:val="005751D8"/>
    <w:rsid w:val="00576485"/>
    <w:rsid w:val="00576947"/>
    <w:rsid w:val="00576C93"/>
    <w:rsid w:val="00576D88"/>
    <w:rsid w:val="005777F0"/>
    <w:rsid w:val="00577D56"/>
    <w:rsid w:val="00580624"/>
    <w:rsid w:val="00580FCD"/>
    <w:rsid w:val="00581AE5"/>
    <w:rsid w:val="005824C9"/>
    <w:rsid w:val="00582A42"/>
    <w:rsid w:val="00582D87"/>
    <w:rsid w:val="00583893"/>
    <w:rsid w:val="005839CE"/>
    <w:rsid w:val="00583CC0"/>
    <w:rsid w:val="00584350"/>
    <w:rsid w:val="00584807"/>
    <w:rsid w:val="00584A92"/>
    <w:rsid w:val="00585E9A"/>
    <w:rsid w:val="0058607F"/>
    <w:rsid w:val="0058693E"/>
    <w:rsid w:val="00587540"/>
    <w:rsid w:val="005901D8"/>
    <w:rsid w:val="00590F4B"/>
    <w:rsid w:val="0059174F"/>
    <w:rsid w:val="00591F03"/>
    <w:rsid w:val="00591F05"/>
    <w:rsid w:val="0059205A"/>
    <w:rsid w:val="0059303B"/>
    <w:rsid w:val="00593983"/>
    <w:rsid w:val="00593D0C"/>
    <w:rsid w:val="00593F4C"/>
    <w:rsid w:val="00594125"/>
    <w:rsid w:val="00594584"/>
    <w:rsid w:val="005945D0"/>
    <w:rsid w:val="005945D3"/>
    <w:rsid w:val="00594EA8"/>
    <w:rsid w:val="00594FBC"/>
    <w:rsid w:val="005950CA"/>
    <w:rsid w:val="0059528C"/>
    <w:rsid w:val="005955CD"/>
    <w:rsid w:val="00595A0C"/>
    <w:rsid w:val="00595B2D"/>
    <w:rsid w:val="00596CB0"/>
    <w:rsid w:val="0059717A"/>
    <w:rsid w:val="00597DD8"/>
    <w:rsid w:val="00597F43"/>
    <w:rsid w:val="005A00AC"/>
    <w:rsid w:val="005A01C1"/>
    <w:rsid w:val="005A0242"/>
    <w:rsid w:val="005A0485"/>
    <w:rsid w:val="005A0595"/>
    <w:rsid w:val="005A1061"/>
    <w:rsid w:val="005A1306"/>
    <w:rsid w:val="005A1336"/>
    <w:rsid w:val="005A1616"/>
    <w:rsid w:val="005A19E9"/>
    <w:rsid w:val="005A19EF"/>
    <w:rsid w:val="005A1D27"/>
    <w:rsid w:val="005A1F34"/>
    <w:rsid w:val="005A2EB6"/>
    <w:rsid w:val="005A32CA"/>
    <w:rsid w:val="005A3871"/>
    <w:rsid w:val="005A43C4"/>
    <w:rsid w:val="005A480B"/>
    <w:rsid w:val="005A49C9"/>
    <w:rsid w:val="005A49CD"/>
    <w:rsid w:val="005A5872"/>
    <w:rsid w:val="005A6671"/>
    <w:rsid w:val="005A6782"/>
    <w:rsid w:val="005A6D66"/>
    <w:rsid w:val="005A6E05"/>
    <w:rsid w:val="005A7267"/>
    <w:rsid w:val="005A7DC8"/>
    <w:rsid w:val="005B02E8"/>
    <w:rsid w:val="005B0365"/>
    <w:rsid w:val="005B072F"/>
    <w:rsid w:val="005B1ED5"/>
    <w:rsid w:val="005B2351"/>
    <w:rsid w:val="005B2F18"/>
    <w:rsid w:val="005B371A"/>
    <w:rsid w:val="005B3DBE"/>
    <w:rsid w:val="005B44DA"/>
    <w:rsid w:val="005B4635"/>
    <w:rsid w:val="005B46B1"/>
    <w:rsid w:val="005B4905"/>
    <w:rsid w:val="005B4A46"/>
    <w:rsid w:val="005B59AF"/>
    <w:rsid w:val="005B5C53"/>
    <w:rsid w:val="005B602B"/>
    <w:rsid w:val="005B65FE"/>
    <w:rsid w:val="005B7376"/>
    <w:rsid w:val="005B7E48"/>
    <w:rsid w:val="005C0B91"/>
    <w:rsid w:val="005C0EA6"/>
    <w:rsid w:val="005C1347"/>
    <w:rsid w:val="005C1DB7"/>
    <w:rsid w:val="005C1F5A"/>
    <w:rsid w:val="005C24BD"/>
    <w:rsid w:val="005C27CE"/>
    <w:rsid w:val="005C2A89"/>
    <w:rsid w:val="005C3DFD"/>
    <w:rsid w:val="005C43BF"/>
    <w:rsid w:val="005C466F"/>
    <w:rsid w:val="005C47CD"/>
    <w:rsid w:val="005C507F"/>
    <w:rsid w:val="005C53DF"/>
    <w:rsid w:val="005C5623"/>
    <w:rsid w:val="005C5A60"/>
    <w:rsid w:val="005C5C01"/>
    <w:rsid w:val="005C615D"/>
    <w:rsid w:val="005C6EA8"/>
    <w:rsid w:val="005C7901"/>
    <w:rsid w:val="005C7D23"/>
    <w:rsid w:val="005D0861"/>
    <w:rsid w:val="005D0B03"/>
    <w:rsid w:val="005D0D63"/>
    <w:rsid w:val="005D14F5"/>
    <w:rsid w:val="005D3AF9"/>
    <w:rsid w:val="005D3B39"/>
    <w:rsid w:val="005D3E47"/>
    <w:rsid w:val="005D3F8A"/>
    <w:rsid w:val="005D4AAC"/>
    <w:rsid w:val="005D5198"/>
    <w:rsid w:val="005D57F2"/>
    <w:rsid w:val="005D5D03"/>
    <w:rsid w:val="005D6357"/>
    <w:rsid w:val="005D6C2E"/>
    <w:rsid w:val="005D7AF7"/>
    <w:rsid w:val="005D7B4A"/>
    <w:rsid w:val="005E0995"/>
    <w:rsid w:val="005E1277"/>
    <w:rsid w:val="005E1E31"/>
    <w:rsid w:val="005E2DFD"/>
    <w:rsid w:val="005E2E33"/>
    <w:rsid w:val="005E329E"/>
    <w:rsid w:val="005E41DC"/>
    <w:rsid w:val="005E529C"/>
    <w:rsid w:val="005E55A1"/>
    <w:rsid w:val="005E5AC8"/>
    <w:rsid w:val="005E5B50"/>
    <w:rsid w:val="005E68F4"/>
    <w:rsid w:val="005E6F6F"/>
    <w:rsid w:val="005E726D"/>
    <w:rsid w:val="005E731F"/>
    <w:rsid w:val="005E7C42"/>
    <w:rsid w:val="005F00DE"/>
    <w:rsid w:val="005F0175"/>
    <w:rsid w:val="005F0409"/>
    <w:rsid w:val="005F0A40"/>
    <w:rsid w:val="005F1525"/>
    <w:rsid w:val="005F1DE6"/>
    <w:rsid w:val="005F27D6"/>
    <w:rsid w:val="005F2E05"/>
    <w:rsid w:val="005F3541"/>
    <w:rsid w:val="005F3948"/>
    <w:rsid w:val="005F3A93"/>
    <w:rsid w:val="005F3C3D"/>
    <w:rsid w:val="005F45F5"/>
    <w:rsid w:val="005F49AB"/>
    <w:rsid w:val="005F4C1E"/>
    <w:rsid w:val="005F4C2D"/>
    <w:rsid w:val="005F5C63"/>
    <w:rsid w:val="005F5C80"/>
    <w:rsid w:val="005F5CE3"/>
    <w:rsid w:val="005F657C"/>
    <w:rsid w:val="005F66AA"/>
    <w:rsid w:val="005F71D3"/>
    <w:rsid w:val="005F73DA"/>
    <w:rsid w:val="005F752D"/>
    <w:rsid w:val="005F7873"/>
    <w:rsid w:val="00600251"/>
    <w:rsid w:val="00600FF6"/>
    <w:rsid w:val="006018CE"/>
    <w:rsid w:val="0060292B"/>
    <w:rsid w:val="00602B3A"/>
    <w:rsid w:val="00602C36"/>
    <w:rsid w:val="006032FE"/>
    <w:rsid w:val="006038DA"/>
    <w:rsid w:val="00603A46"/>
    <w:rsid w:val="00603A5A"/>
    <w:rsid w:val="00603C74"/>
    <w:rsid w:val="006041EC"/>
    <w:rsid w:val="00604875"/>
    <w:rsid w:val="00606087"/>
    <w:rsid w:val="00606264"/>
    <w:rsid w:val="00606357"/>
    <w:rsid w:val="006068FB"/>
    <w:rsid w:val="00606EE3"/>
    <w:rsid w:val="00607D32"/>
    <w:rsid w:val="00610ABD"/>
    <w:rsid w:val="00610AF7"/>
    <w:rsid w:val="00610DA8"/>
    <w:rsid w:val="00610F84"/>
    <w:rsid w:val="006114A7"/>
    <w:rsid w:val="00611EA4"/>
    <w:rsid w:val="00612551"/>
    <w:rsid w:val="006129C3"/>
    <w:rsid w:val="00613B30"/>
    <w:rsid w:val="006140BE"/>
    <w:rsid w:val="006146E9"/>
    <w:rsid w:val="006146F6"/>
    <w:rsid w:val="00614E4A"/>
    <w:rsid w:val="0061508C"/>
    <w:rsid w:val="0061596F"/>
    <w:rsid w:val="006164A1"/>
    <w:rsid w:val="00616632"/>
    <w:rsid w:val="00616E78"/>
    <w:rsid w:val="00617D51"/>
    <w:rsid w:val="0062116E"/>
    <w:rsid w:val="0062141C"/>
    <w:rsid w:val="00621AAF"/>
    <w:rsid w:val="006220E5"/>
    <w:rsid w:val="006220F7"/>
    <w:rsid w:val="0062252E"/>
    <w:rsid w:val="00622F09"/>
    <w:rsid w:val="006230B9"/>
    <w:rsid w:val="006236F7"/>
    <w:rsid w:val="00623CFA"/>
    <w:rsid w:val="00623EE6"/>
    <w:rsid w:val="00623FC9"/>
    <w:rsid w:val="00624029"/>
    <w:rsid w:val="0062409B"/>
    <w:rsid w:val="00624581"/>
    <w:rsid w:val="00624B0B"/>
    <w:rsid w:val="00624BB4"/>
    <w:rsid w:val="00624D2C"/>
    <w:rsid w:val="00624D53"/>
    <w:rsid w:val="00625408"/>
    <w:rsid w:val="006258B7"/>
    <w:rsid w:val="00625BED"/>
    <w:rsid w:val="00625C09"/>
    <w:rsid w:val="00625CA0"/>
    <w:rsid w:val="0062622A"/>
    <w:rsid w:val="006267B7"/>
    <w:rsid w:val="00627310"/>
    <w:rsid w:val="00627A1D"/>
    <w:rsid w:val="00627FAB"/>
    <w:rsid w:val="00630527"/>
    <w:rsid w:val="006305AF"/>
    <w:rsid w:val="00630B4E"/>
    <w:rsid w:val="0063116A"/>
    <w:rsid w:val="00631315"/>
    <w:rsid w:val="00631828"/>
    <w:rsid w:val="00631E34"/>
    <w:rsid w:val="006325EE"/>
    <w:rsid w:val="0063260F"/>
    <w:rsid w:val="00633E0A"/>
    <w:rsid w:val="006340CB"/>
    <w:rsid w:val="0063431F"/>
    <w:rsid w:val="00634B08"/>
    <w:rsid w:val="00634E92"/>
    <w:rsid w:val="00635A29"/>
    <w:rsid w:val="006364E9"/>
    <w:rsid w:val="00636785"/>
    <w:rsid w:val="00637518"/>
    <w:rsid w:val="00640963"/>
    <w:rsid w:val="00640FBC"/>
    <w:rsid w:val="00640FE6"/>
    <w:rsid w:val="006414F0"/>
    <w:rsid w:val="00641DD6"/>
    <w:rsid w:val="00641E3E"/>
    <w:rsid w:val="006421FC"/>
    <w:rsid w:val="0064248E"/>
    <w:rsid w:val="006432AD"/>
    <w:rsid w:val="00643D94"/>
    <w:rsid w:val="00643E1F"/>
    <w:rsid w:val="00643E97"/>
    <w:rsid w:val="0064479F"/>
    <w:rsid w:val="00644EAC"/>
    <w:rsid w:val="0064616F"/>
    <w:rsid w:val="006464D9"/>
    <w:rsid w:val="00646EB4"/>
    <w:rsid w:val="00647C05"/>
    <w:rsid w:val="00647EAE"/>
    <w:rsid w:val="00650089"/>
    <w:rsid w:val="00650187"/>
    <w:rsid w:val="0065080A"/>
    <w:rsid w:val="0065082F"/>
    <w:rsid w:val="00650BF9"/>
    <w:rsid w:val="00651213"/>
    <w:rsid w:val="00651FE9"/>
    <w:rsid w:val="006529D3"/>
    <w:rsid w:val="00652AA5"/>
    <w:rsid w:val="006537DE"/>
    <w:rsid w:val="00653CB9"/>
    <w:rsid w:val="00654484"/>
    <w:rsid w:val="00654531"/>
    <w:rsid w:val="006546A7"/>
    <w:rsid w:val="00656227"/>
    <w:rsid w:val="00656623"/>
    <w:rsid w:val="0065719D"/>
    <w:rsid w:val="006574D0"/>
    <w:rsid w:val="0066013A"/>
    <w:rsid w:val="006605DF"/>
    <w:rsid w:val="00661715"/>
    <w:rsid w:val="006623D2"/>
    <w:rsid w:val="0066299E"/>
    <w:rsid w:val="00663501"/>
    <w:rsid w:val="00663C9E"/>
    <w:rsid w:val="0066462E"/>
    <w:rsid w:val="006648A5"/>
    <w:rsid w:val="00665A5F"/>
    <w:rsid w:val="00666482"/>
    <w:rsid w:val="00666886"/>
    <w:rsid w:val="00666899"/>
    <w:rsid w:val="006669A2"/>
    <w:rsid w:val="006675F9"/>
    <w:rsid w:val="00667C46"/>
    <w:rsid w:val="00670D26"/>
    <w:rsid w:val="00671ADC"/>
    <w:rsid w:val="0067207E"/>
    <w:rsid w:val="0067287C"/>
    <w:rsid w:val="00672A64"/>
    <w:rsid w:val="00672BA3"/>
    <w:rsid w:val="00672E28"/>
    <w:rsid w:val="00672E72"/>
    <w:rsid w:val="00673CE9"/>
    <w:rsid w:val="00673EAD"/>
    <w:rsid w:val="0067486B"/>
    <w:rsid w:val="00675081"/>
    <w:rsid w:val="0067530A"/>
    <w:rsid w:val="0067540B"/>
    <w:rsid w:val="00675534"/>
    <w:rsid w:val="00675689"/>
    <w:rsid w:val="006762C7"/>
    <w:rsid w:val="00677026"/>
    <w:rsid w:val="00677BFF"/>
    <w:rsid w:val="0068013A"/>
    <w:rsid w:val="00680C65"/>
    <w:rsid w:val="00680CBE"/>
    <w:rsid w:val="00680EAB"/>
    <w:rsid w:val="00680F30"/>
    <w:rsid w:val="00680FAA"/>
    <w:rsid w:val="0068130B"/>
    <w:rsid w:val="006813AD"/>
    <w:rsid w:val="00681527"/>
    <w:rsid w:val="006818A2"/>
    <w:rsid w:val="00681DBC"/>
    <w:rsid w:val="00681FA6"/>
    <w:rsid w:val="00682218"/>
    <w:rsid w:val="00682E24"/>
    <w:rsid w:val="00683105"/>
    <w:rsid w:val="00683583"/>
    <w:rsid w:val="00683831"/>
    <w:rsid w:val="006842AE"/>
    <w:rsid w:val="006842B3"/>
    <w:rsid w:val="006843C8"/>
    <w:rsid w:val="0068517E"/>
    <w:rsid w:val="00685B4F"/>
    <w:rsid w:val="00685BAA"/>
    <w:rsid w:val="006863AC"/>
    <w:rsid w:val="0068690A"/>
    <w:rsid w:val="00686B98"/>
    <w:rsid w:val="00687C38"/>
    <w:rsid w:val="00687E83"/>
    <w:rsid w:val="00690BA5"/>
    <w:rsid w:val="006917CE"/>
    <w:rsid w:val="0069186F"/>
    <w:rsid w:val="006925A6"/>
    <w:rsid w:val="00692D89"/>
    <w:rsid w:val="00693306"/>
    <w:rsid w:val="006937C2"/>
    <w:rsid w:val="00693AC2"/>
    <w:rsid w:val="00693E9A"/>
    <w:rsid w:val="006944DA"/>
    <w:rsid w:val="00694734"/>
    <w:rsid w:val="00695E6A"/>
    <w:rsid w:val="00696312"/>
    <w:rsid w:val="00696997"/>
    <w:rsid w:val="006969E7"/>
    <w:rsid w:val="006971AF"/>
    <w:rsid w:val="0069733F"/>
    <w:rsid w:val="006974C1"/>
    <w:rsid w:val="00697A17"/>
    <w:rsid w:val="00697E94"/>
    <w:rsid w:val="00697ED2"/>
    <w:rsid w:val="006A08CF"/>
    <w:rsid w:val="006A0B19"/>
    <w:rsid w:val="006A121B"/>
    <w:rsid w:val="006A1376"/>
    <w:rsid w:val="006A14FA"/>
    <w:rsid w:val="006A2AD8"/>
    <w:rsid w:val="006A32CF"/>
    <w:rsid w:val="006A3540"/>
    <w:rsid w:val="006A38E2"/>
    <w:rsid w:val="006A3981"/>
    <w:rsid w:val="006A3B37"/>
    <w:rsid w:val="006A4260"/>
    <w:rsid w:val="006A45E7"/>
    <w:rsid w:val="006A4A3D"/>
    <w:rsid w:val="006A5D0E"/>
    <w:rsid w:val="006A659F"/>
    <w:rsid w:val="006A6D7C"/>
    <w:rsid w:val="006A6E36"/>
    <w:rsid w:val="006A6E67"/>
    <w:rsid w:val="006A7CC5"/>
    <w:rsid w:val="006A7F0F"/>
    <w:rsid w:val="006B01F0"/>
    <w:rsid w:val="006B05F1"/>
    <w:rsid w:val="006B1B96"/>
    <w:rsid w:val="006B1D59"/>
    <w:rsid w:val="006B2410"/>
    <w:rsid w:val="006B2C98"/>
    <w:rsid w:val="006B302A"/>
    <w:rsid w:val="006B30AB"/>
    <w:rsid w:val="006B35F4"/>
    <w:rsid w:val="006B3F7F"/>
    <w:rsid w:val="006B402F"/>
    <w:rsid w:val="006B4187"/>
    <w:rsid w:val="006B42B0"/>
    <w:rsid w:val="006B7451"/>
    <w:rsid w:val="006B7D0A"/>
    <w:rsid w:val="006C0570"/>
    <w:rsid w:val="006C0D5E"/>
    <w:rsid w:val="006C0E83"/>
    <w:rsid w:val="006C12E3"/>
    <w:rsid w:val="006C1404"/>
    <w:rsid w:val="006C1ACA"/>
    <w:rsid w:val="006C3E39"/>
    <w:rsid w:val="006C3F9D"/>
    <w:rsid w:val="006C41D0"/>
    <w:rsid w:val="006C480F"/>
    <w:rsid w:val="006C4865"/>
    <w:rsid w:val="006C4CF5"/>
    <w:rsid w:val="006C51CE"/>
    <w:rsid w:val="006C5A53"/>
    <w:rsid w:val="006C5F52"/>
    <w:rsid w:val="006C6181"/>
    <w:rsid w:val="006C6920"/>
    <w:rsid w:val="006C6B12"/>
    <w:rsid w:val="006C6F3A"/>
    <w:rsid w:val="006C71C8"/>
    <w:rsid w:val="006C7A0B"/>
    <w:rsid w:val="006C7AD8"/>
    <w:rsid w:val="006D0545"/>
    <w:rsid w:val="006D05D1"/>
    <w:rsid w:val="006D1142"/>
    <w:rsid w:val="006D1B05"/>
    <w:rsid w:val="006D24AF"/>
    <w:rsid w:val="006D29A1"/>
    <w:rsid w:val="006D2B8B"/>
    <w:rsid w:val="006D3595"/>
    <w:rsid w:val="006D3686"/>
    <w:rsid w:val="006D381A"/>
    <w:rsid w:val="006D3C80"/>
    <w:rsid w:val="006D414F"/>
    <w:rsid w:val="006D4A04"/>
    <w:rsid w:val="006D4B5D"/>
    <w:rsid w:val="006D4B99"/>
    <w:rsid w:val="006D528B"/>
    <w:rsid w:val="006D5D0B"/>
    <w:rsid w:val="006D7497"/>
    <w:rsid w:val="006D767F"/>
    <w:rsid w:val="006D7CC3"/>
    <w:rsid w:val="006D7E5A"/>
    <w:rsid w:val="006E0AB7"/>
    <w:rsid w:val="006E12AC"/>
    <w:rsid w:val="006E2588"/>
    <w:rsid w:val="006E291D"/>
    <w:rsid w:val="006E2FF0"/>
    <w:rsid w:val="006E3265"/>
    <w:rsid w:val="006E33B7"/>
    <w:rsid w:val="006E3A61"/>
    <w:rsid w:val="006E476A"/>
    <w:rsid w:val="006E47C4"/>
    <w:rsid w:val="006E5402"/>
    <w:rsid w:val="006E5588"/>
    <w:rsid w:val="006E5A26"/>
    <w:rsid w:val="006E607E"/>
    <w:rsid w:val="006E614D"/>
    <w:rsid w:val="006E6301"/>
    <w:rsid w:val="006E758E"/>
    <w:rsid w:val="006E7604"/>
    <w:rsid w:val="006E7E32"/>
    <w:rsid w:val="006F0A7E"/>
    <w:rsid w:val="006F0FFF"/>
    <w:rsid w:val="006F1FE9"/>
    <w:rsid w:val="006F2165"/>
    <w:rsid w:val="006F2251"/>
    <w:rsid w:val="006F2488"/>
    <w:rsid w:val="006F2B67"/>
    <w:rsid w:val="006F2BF5"/>
    <w:rsid w:val="006F34F2"/>
    <w:rsid w:val="006F380A"/>
    <w:rsid w:val="006F3A5C"/>
    <w:rsid w:val="006F425B"/>
    <w:rsid w:val="006F4561"/>
    <w:rsid w:val="006F4C62"/>
    <w:rsid w:val="006F4E01"/>
    <w:rsid w:val="006F4F34"/>
    <w:rsid w:val="006F5EAB"/>
    <w:rsid w:val="006F63B9"/>
    <w:rsid w:val="006F70DD"/>
    <w:rsid w:val="006F71C8"/>
    <w:rsid w:val="006F77C5"/>
    <w:rsid w:val="006F7C6C"/>
    <w:rsid w:val="00700222"/>
    <w:rsid w:val="007010A8"/>
    <w:rsid w:val="00702608"/>
    <w:rsid w:val="00702B14"/>
    <w:rsid w:val="007033E5"/>
    <w:rsid w:val="00703AE9"/>
    <w:rsid w:val="00704D3E"/>
    <w:rsid w:val="00706087"/>
    <w:rsid w:val="00706235"/>
    <w:rsid w:val="00706306"/>
    <w:rsid w:val="00706356"/>
    <w:rsid w:val="0070641E"/>
    <w:rsid w:val="007064F6"/>
    <w:rsid w:val="007069CE"/>
    <w:rsid w:val="00706BB7"/>
    <w:rsid w:val="00706F4B"/>
    <w:rsid w:val="007074EF"/>
    <w:rsid w:val="0071055C"/>
    <w:rsid w:val="007106F7"/>
    <w:rsid w:val="0071076B"/>
    <w:rsid w:val="00710A5A"/>
    <w:rsid w:val="00711BD3"/>
    <w:rsid w:val="00711CDE"/>
    <w:rsid w:val="007120E0"/>
    <w:rsid w:val="007125E8"/>
    <w:rsid w:val="0071263C"/>
    <w:rsid w:val="0071276B"/>
    <w:rsid w:val="00712BD7"/>
    <w:rsid w:val="00713299"/>
    <w:rsid w:val="0071355A"/>
    <w:rsid w:val="00713EAF"/>
    <w:rsid w:val="007147C2"/>
    <w:rsid w:val="0071498B"/>
    <w:rsid w:val="00714E1A"/>
    <w:rsid w:val="00714E6A"/>
    <w:rsid w:val="00714F33"/>
    <w:rsid w:val="00714F65"/>
    <w:rsid w:val="00714FE0"/>
    <w:rsid w:val="007154CE"/>
    <w:rsid w:val="00715E8F"/>
    <w:rsid w:val="007161D8"/>
    <w:rsid w:val="00717A5C"/>
    <w:rsid w:val="00720FEC"/>
    <w:rsid w:val="007211BB"/>
    <w:rsid w:val="0072133E"/>
    <w:rsid w:val="00721375"/>
    <w:rsid w:val="007215DB"/>
    <w:rsid w:val="007216C2"/>
    <w:rsid w:val="0072200D"/>
    <w:rsid w:val="007221CF"/>
    <w:rsid w:val="0072411C"/>
    <w:rsid w:val="00725111"/>
    <w:rsid w:val="007252D4"/>
    <w:rsid w:val="00725AD0"/>
    <w:rsid w:val="00726098"/>
    <w:rsid w:val="007261EA"/>
    <w:rsid w:val="0072753B"/>
    <w:rsid w:val="00727AFB"/>
    <w:rsid w:val="00730F4B"/>
    <w:rsid w:val="00730FB8"/>
    <w:rsid w:val="007316CA"/>
    <w:rsid w:val="00731ECB"/>
    <w:rsid w:val="00732F4B"/>
    <w:rsid w:val="0073309E"/>
    <w:rsid w:val="00733561"/>
    <w:rsid w:val="00733A51"/>
    <w:rsid w:val="00733D4E"/>
    <w:rsid w:val="00733D89"/>
    <w:rsid w:val="00733F7B"/>
    <w:rsid w:val="00734F89"/>
    <w:rsid w:val="007354B4"/>
    <w:rsid w:val="007372FA"/>
    <w:rsid w:val="007402F8"/>
    <w:rsid w:val="00740415"/>
    <w:rsid w:val="00740B86"/>
    <w:rsid w:val="00740E8B"/>
    <w:rsid w:val="0074220E"/>
    <w:rsid w:val="007427E2"/>
    <w:rsid w:val="00742E32"/>
    <w:rsid w:val="00742F88"/>
    <w:rsid w:val="00743418"/>
    <w:rsid w:val="00744049"/>
    <w:rsid w:val="00744E80"/>
    <w:rsid w:val="00744F86"/>
    <w:rsid w:val="00745034"/>
    <w:rsid w:val="00745575"/>
    <w:rsid w:val="00745C57"/>
    <w:rsid w:val="00746208"/>
    <w:rsid w:val="0074698B"/>
    <w:rsid w:val="00746CC7"/>
    <w:rsid w:val="00746EDD"/>
    <w:rsid w:val="00746FDC"/>
    <w:rsid w:val="0074706F"/>
    <w:rsid w:val="007474E4"/>
    <w:rsid w:val="00747605"/>
    <w:rsid w:val="00750897"/>
    <w:rsid w:val="007508DB"/>
    <w:rsid w:val="00750D7D"/>
    <w:rsid w:val="0075128A"/>
    <w:rsid w:val="007515D7"/>
    <w:rsid w:val="007517EB"/>
    <w:rsid w:val="007518A9"/>
    <w:rsid w:val="00751F9F"/>
    <w:rsid w:val="0075279C"/>
    <w:rsid w:val="00752DAA"/>
    <w:rsid w:val="00753DB3"/>
    <w:rsid w:val="00753F2A"/>
    <w:rsid w:val="00754114"/>
    <w:rsid w:val="00755507"/>
    <w:rsid w:val="0075719C"/>
    <w:rsid w:val="00757A16"/>
    <w:rsid w:val="00757B4B"/>
    <w:rsid w:val="00760115"/>
    <w:rsid w:val="00760191"/>
    <w:rsid w:val="0076084B"/>
    <w:rsid w:val="00761F55"/>
    <w:rsid w:val="007623CC"/>
    <w:rsid w:val="00763B5C"/>
    <w:rsid w:val="00764B5D"/>
    <w:rsid w:val="0076557B"/>
    <w:rsid w:val="007658AB"/>
    <w:rsid w:val="0076641C"/>
    <w:rsid w:val="00766884"/>
    <w:rsid w:val="00766A22"/>
    <w:rsid w:val="00766D89"/>
    <w:rsid w:val="007673BD"/>
    <w:rsid w:val="00767495"/>
    <w:rsid w:val="007676CC"/>
    <w:rsid w:val="007676DF"/>
    <w:rsid w:val="0077062B"/>
    <w:rsid w:val="0077134E"/>
    <w:rsid w:val="0077157B"/>
    <w:rsid w:val="00771CC3"/>
    <w:rsid w:val="007725C1"/>
    <w:rsid w:val="00772B96"/>
    <w:rsid w:val="007733DA"/>
    <w:rsid w:val="00773671"/>
    <w:rsid w:val="00773759"/>
    <w:rsid w:val="00773DB8"/>
    <w:rsid w:val="007742B6"/>
    <w:rsid w:val="007743C8"/>
    <w:rsid w:val="00774C8D"/>
    <w:rsid w:val="0077502B"/>
    <w:rsid w:val="007756C0"/>
    <w:rsid w:val="00775AC3"/>
    <w:rsid w:val="00775F89"/>
    <w:rsid w:val="0077663B"/>
    <w:rsid w:val="0077672E"/>
    <w:rsid w:val="00776998"/>
    <w:rsid w:val="00776C37"/>
    <w:rsid w:val="0077727F"/>
    <w:rsid w:val="007773D8"/>
    <w:rsid w:val="00780677"/>
    <w:rsid w:val="007814D3"/>
    <w:rsid w:val="00781CF7"/>
    <w:rsid w:val="00781E86"/>
    <w:rsid w:val="00781EBB"/>
    <w:rsid w:val="00782029"/>
    <w:rsid w:val="007820D3"/>
    <w:rsid w:val="0078231D"/>
    <w:rsid w:val="00782724"/>
    <w:rsid w:val="00782FCF"/>
    <w:rsid w:val="00782FD9"/>
    <w:rsid w:val="00783056"/>
    <w:rsid w:val="00783501"/>
    <w:rsid w:val="0078397A"/>
    <w:rsid w:val="007839A8"/>
    <w:rsid w:val="00784A88"/>
    <w:rsid w:val="0078564C"/>
    <w:rsid w:val="007863AF"/>
    <w:rsid w:val="00786C85"/>
    <w:rsid w:val="00786EF0"/>
    <w:rsid w:val="00787076"/>
    <w:rsid w:val="00787348"/>
    <w:rsid w:val="007902C6"/>
    <w:rsid w:val="007904E7"/>
    <w:rsid w:val="007905A0"/>
    <w:rsid w:val="007907D4"/>
    <w:rsid w:val="00791EE6"/>
    <w:rsid w:val="007936E1"/>
    <w:rsid w:val="0079373E"/>
    <w:rsid w:val="0079384E"/>
    <w:rsid w:val="00793897"/>
    <w:rsid w:val="007943A1"/>
    <w:rsid w:val="00794695"/>
    <w:rsid w:val="00794CF1"/>
    <w:rsid w:val="0079539D"/>
    <w:rsid w:val="007970B8"/>
    <w:rsid w:val="00797B12"/>
    <w:rsid w:val="007A03BF"/>
    <w:rsid w:val="007A05EA"/>
    <w:rsid w:val="007A073D"/>
    <w:rsid w:val="007A0C64"/>
    <w:rsid w:val="007A0F5A"/>
    <w:rsid w:val="007A40D9"/>
    <w:rsid w:val="007A433A"/>
    <w:rsid w:val="007A4A27"/>
    <w:rsid w:val="007A4C64"/>
    <w:rsid w:val="007A4DE3"/>
    <w:rsid w:val="007A4F19"/>
    <w:rsid w:val="007A5585"/>
    <w:rsid w:val="007A5E57"/>
    <w:rsid w:val="007A62CC"/>
    <w:rsid w:val="007A7650"/>
    <w:rsid w:val="007B011A"/>
    <w:rsid w:val="007B0D83"/>
    <w:rsid w:val="007B2513"/>
    <w:rsid w:val="007B641C"/>
    <w:rsid w:val="007C01A2"/>
    <w:rsid w:val="007C03A2"/>
    <w:rsid w:val="007C03AD"/>
    <w:rsid w:val="007C0687"/>
    <w:rsid w:val="007C13E0"/>
    <w:rsid w:val="007C1658"/>
    <w:rsid w:val="007C2211"/>
    <w:rsid w:val="007C2B3F"/>
    <w:rsid w:val="007C3135"/>
    <w:rsid w:val="007C3585"/>
    <w:rsid w:val="007C375C"/>
    <w:rsid w:val="007C3F1C"/>
    <w:rsid w:val="007C4604"/>
    <w:rsid w:val="007C4A8B"/>
    <w:rsid w:val="007C4D72"/>
    <w:rsid w:val="007C4EEC"/>
    <w:rsid w:val="007C549F"/>
    <w:rsid w:val="007C5BC1"/>
    <w:rsid w:val="007C5EF3"/>
    <w:rsid w:val="007C6E3A"/>
    <w:rsid w:val="007C70D5"/>
    <w:rsid w:val="007C7D92"/>
    <w:rsid w:val="007D0048"/>
    <w:rsid w:val="007D01D9"/>
    <w:rsid w:val="007D0E4B"/>
    <w:rsid w:val="007D1029"/>
    <w:rsid w:val="007D1234"/>
    <w:rsid w:val="007D137B"/>
    <w:rsid w:val="007D1F6E"/>
    <w:rsid w:val="007D2077"/>
    <w:rsid w:val="007D2BA4"/>
    <w:rsid w:val="007D2C17"/>
    <w:rsid w:val="007D2F15"/>
    <w:rsid w:val="007D3D59"/>
    <w:rsid w:val="007D44ED"/>
    <w:rsid w:val="007D4502"/>
    <w:rsid w:val="007D4B71"/>
    <w:rsid w:val="007D4D33"/>
    <w:rsid w:val="007D4E3A"/>
    <w:rsid w:val="007D57BA"/>
    <w:rsid w:val="007D5ECF"/>
    <w:rsid w:val="007D6326"/>
    <w:rsid w:val="007D70EF"/>
    <w:rsid w:val="007D7192"/>
    <w:rsid w:val="007D73CA"/>
    <w:rsid w:val="007E076F"/>
    <w:rsid w:val="007E0E76"/>
    <w:rsid w:val="007E0E7E"/>
    <w:rsid w:val="007E13E4"/>
    <w:rsid w:val="007E1591"/>
    <w:rsid w:val="007E169F"/>
    <w:rsid w:val="007E1CD8"/>
    <w:rsid w:val="007E2113"/>
    <w:rsid w:val="007E2228"/>
    <w:rsid w:val="007E2409"/>
    <w:rsid w:val="007E421D"/>
    <w:rsid w:val="007E48C1"/>
    <w:rsid w:val="007E56E3"/>
    <w:rsid w:val="007E58C0"/>
    <w:rsid w:val="007E5BB3"/>
    <w:rsid w:val="007E5DB7"/>
    <w:rsid w:val="007E6023"/>
    <w:rsid w:val="007E7194"/>
    <w:rsid w:val="007E7D44"/>
    <w:rsid w:val="007F0017"/>
    <w:rsid w:val="007F0706"/>
    <w:rsid w:val="007F0B01"/>
    <w:rsid w:val="007F0D1A"/>
    <w:rsid w:val="007F0F8D"/>
    <w:rsid w:val="007F156D"/>
    <w:rsid w:val="007F194B"/>
    <w:rsid w:val="007F2073"/>
    <w:rsid w:val="007F2AA4"/>
    <w:rsid w:val="007F2BF2"/>
    <w:rsid w:val="007F2F9F"/>
    <w:rsid w:val="007F3F35"/>
    <w:rsid w:val="007F4009"/>
    <w:rsid w:val="007F4263"/>
    <w:rsid w:val="007F454C"/>
    <w:rsid w:val="007F4603"/>
    <w:rsid w:val="007F47C7"/>
    <w:rsid w:val="007F4898"/>
    <w:rsid w:val="007F55A0"/>
    <w:rsid w:val="007F69B4"/>
    <w:rsid w:val="007F6DFD"/>
    <w:rsid w:val="007F72E2"/>
    <w:rsid w:val="007F762D"/>
    <w:rsid w:val="007F782A"/>
    <w:rsid w:val="007F7B18"/>
    <w:rsid w:val="007F7C5A"/>
    <w:rsid w:val="00800E33"/>
    <w:rsid w:val="00800FBA"/>
    <w:rsid w:val="008010B3"/>
    <w:rsid w:val="00801697"/>
    <w:rsid w:val="008019EA"/>
    <w:rsid w:val="008020FE"/>
    <w:rsid w:val="00802C8F"/>
    <w:rsid w:val="008033C0"/>
    <w:rsid w:val="00803C70"/>
    <w:rsid w:val="008056D2"/>
    <w:rsid w:val="00805D20"/>
    <w:rsid w:val="0080666A"/>
    <w:rsid w:val="008066E5"/>
    <w:rsid w:val="0080707A"/>
    <w:rsid w:val="008070C7"/>
    <w:rsid w:val="00807D3E"/>
    <w:rsid w:val="00810F6C"/>
    <w:rsid w:val="00811F84"/>
    <w:rsid w:val="00812048"/>
    <w:rsid w:val="0081235E"/>
    <w:rsid w:val="008127DA"/>
    <w:rsid w:val="00812B9E"/>
    <w:rsid w:val="0081320A"/>
    <w:rsid w:val="00813C69"/>
    <w:rsid w:val="0081459C"/>
    <w:rsid w:val="00814AA0"/>
    <w:rsid w:val="00814B41"/>
    <w:rsid w:val="00814DB5"/>
    <w:rsid w:val="00814EC2"/>
    <w:rsid w:val="0081540E"/>
    <w:rsid w:val="00815613"/>
    <w:rsid w:val="00815F88"/>
    <w:rsid w:val="0081629C"/>
    <w:rsid w:val="008162D5"/>
    <w:rsid w:val="0081639B"/>
    <w:rsid w:val="0081753C"/>
    <w:rsid w:val="008206BB"/>
    <w:rsid w:val="00820D32"/>
    <w:rsid w:val="0082112E"/>
    <w:rsid w:val="00821210"/>
    <w:rsid w:val="008214B9"/>
    <w:rsid w:val="008216D7"/>
    <w:rsid w:val="00821A38"/>
    <w:rsid w:val="00821DF1"/>
    <w:rsid w:val="00821E8C"/>
    <w:rsid w:val="0082223F"/>
    <w:rsid w:val="00823498"/>
    <w:rsid w:val="0082374C"/>
    <w:rsid w:val="00824DFD"/>
    <w:rsid w:val="008253BE"/>
    <w:rsid w:val="00826375"/>
    <w:rsid w:val="00826588"/>
    <w:rsid w:val="00826B75"/>
    <w:rsid w:val="00826CBF"/>
    <w:rsid w:val="00827582"/>
    <w:rsid w:val="00827606"/>
    <w:rsid w:val="008277C1"/>
    <w:rsid w:val="00827BE7"/>
    <w:rsid w:val="00827CE8"/>
    <w:rsid w:val="00830792"/>
    <w:rsid w:val="00830B41"/>
    <w:rsid w:val="00831015"/>
    <w:rsid w:val="008312A7"/>
    <w:rsid w:val="0083141F"/>
    <w:rsid w:val="008317CE"/>
    <w:rsid w:val="008318A2"/>
    <w:rsid w:val="00831B00"/>
    <w:rsid w:val="00831E79"/>
    <w:rsid w:val="00831F26"/>
    <w:rsid w:val="00833016"/>
    <w:rsid w:val="008330C3"/>
    <w:rsid w:val="008338FC"/>
    <w:rsid w:val="00833CF7"/>
    <w:rsid w:val="00834121"/>
    <w:rsid w:val="0083463B"/>
    <w:rsid w:val="00835060"/>
    <w:rsid w:val="00835170"/>
    <w:rsid w:val="00836075"/>
    <w:rsid w:val="00837653"/>
    <w:rsid w:val="00840108"/>
    <w:rsid w:val="00840209"/>
    <w:rsid w:val="00840737"/>
    <w:rsid w:val="008408F9"/>
    <w:rsid w:val="00840B5C"/>
    <w:rsid w:val="00840DAA"/>
    <w:rsid w:val="0084106B"/>
    <w:rsid w:val="00841E62"/>
    <w:rsid w:val="00842911"/>
    <w:rsid w:val="008432D1"/>
    <w:rsid w:val="00843D47"/>
    <w:rsid w:val="00844725"/>
    <w:rsid w:val="00845135"/>
    <w:rsid w:val="00845AD4"/>
    <w:rsid w:val="00845D29"/>
    <w:rsid w:val="00845D50"/>
    <w:rsid w:val="0084652B"/>
    <w:rsid w:val="00846898"/>
    <w:rsid w:val="00846CB6"/>
    <w:rsid w:val="00846D91"/>
    <w:rsid w:val="00847159"/>
    <w:rsid w:val="008474A7"/>
    <w:rsid w:val="00847A06"/>
    <w:rsid w:val="00847AA9"/>
    <w:rsid w:val="0085043A"/>
    <w:rsid w:val="008509B2"/>
    <w:rsid w:val="00852887"/>
    <w:rsid w:val="008532FE"/>
    <w:rsid w:val="00853391"/>
    <w:rsid w:val="00853ECF"/>
    <w:rsid w:val="00853ED1"/>
    <w:rsid w:val="00853FEC"/>
    <w:rsid w:val="008548F4"/>
    <w:rsid w:val="00855B36"/>
    <w:rsid w:val="008560EB"/>
    <w:rsid w:val="0085625A"/>
    <w:rsid w:val="00856443"/>
    <w:rsid w:val="008568A7"/>
    <w:rsid w:val="00856C19"/>
    <w:rsid w:val="00857675"/>
    <w:rsid w:val="008600B1"/>
    <w:rsid w:val="0086093B"/>
    <w:rsid w:val="008614D3"/>
    <w:rsid w:val="0086173E"/>
    <w:rsid w:val="00861C7F"/>
    <w:rsid w:val="008620BD"/>
    <w:rsid w:val="008623A2"/>
    <w:rsid w:val="008623E6"/>
    <w:rsid w:val="008630A7"/>
    <w:rsid w:val="008636E6"/>
    <w:rsid w:val="00863F5A"/>
    <w:rsid w:val="00864334"/>
    <w:rsid w:val="00865266"/>
    <w:rsid w:val="00865E32"/>
    <w:rsid w:val="00866183"/>
    <w:rsid w:val="008665F8"/>
    <w:rsid w:val="00867095"/>
    <w:rsid w:val="00867575"/>
    <w:rsid w:val="008678B4"/>
    <w:rsid w:val="00870166"/>
    <w:rsid w:val="00870496"/>
    <w:rsid w:val="00870C1A"/>
    <w:rsid w:val="00871BD7"/>
    <w:rsid w:val="00871DB2"/>
    <w:rsid w:val="00872477"/>
    <w:rsid w:val="00872B06"/>
    <w:rsid w:val="0087357C"/>
    <w:rsid w:val="00873903"/>
    <w:rsid w:val="00873C35"/>
    <w:rsid w:val="00873E2E"/>
    <w:rsid w:val="008740F5"/>
    <w:rsid w:val="008742E5"/>
    <w:rsid w:val="00874572"/>
    <w:rsid w:val="008748D9"/>
    <w:rsid w:val="00875383"/>
    <w:rsid w:val="0087577D"/>
    <w:rsid w:val="00875B47"/>
    <w:rsid w:val="008762EE"/>
    <w:rsid w:val="00876C9E"/>
    <w:rsid w:val="008778E8"/>
    <w:rsid w:val="008801A0"/>
    <w:rsid w:val="008801CB"/>
    <w:rsid w:val="008802AB"/>
    <w:rsid w:val="0088133E"/>
    <w:rsid w:val="00882C1D"/>
    <w:rsid w:val="0088349B"/>
    <w:rsid w:val="0088356A"/>
    <w:rsid w:val="00883C3A"/>
    <w:rsid w:val="008845C1"/>
    <w:rsid w:val="00884683"/>
    <w:rsid w:val="00884824"/>
    <w:rsid w:val="00884A82"/>
    <w:rsid w:val="00884CE6"/>
    <w:rsid w:val="00886090"/>
    <w:rsid w:val="0088694D"/>
    <w:rsid w:val="0088720A"/>
    <w:rsid w:val="0088770F"/>
    <w:rsid w:val="0088791A"/>
    <w:rsid w:val="00887B65"/>
    <w:rsid w:val="0089004F"/>
    <w:rsid w:val="008904B2"/>
    <w:rsid w:val="0089120A"/>
    <w:rsid w:val="00891262"/>
    <w:rsid w:val="00891DAF"/>
    <w:rsid w:val="00891DEF"/>
    <w:rsid w:val="00892279"/>
    <w:rsid w:val="008925FE"/>
    <w:rsid w:val="0089283C"/>
    <w:rsid w:val="00893393"/>
    <w:rsid w:val="00893D30"/>
    <w:rsid w:val="00894864"/>
    <w:rsid w:val="0089492C"/>
    <w:rsid w:val="00894E9A"/>
    <w:rsid w:val="0089574D"/>
    <w:rsid w:val="00895810"/>
    <w:rsid w:val="00895CA6"/>
    <w:rsid w:val="00896098"/>
    <w:rsid w:val="00896D37"/>
    <w:rsid w:val="00896DC1"/>
    <w:rsid w:val="00896F5E"/>
    <w:rsid w:val="008972D5"/>
    <w:rsid w:val="00897685"/>
    <w:rsid w:val="00897761"/>
    <w:rsid w:val="00897BAC"/>
    <w:rsid w:val="00897F9B"/>
    <w:rsid w:val="008A0891"/>
    <w:rsid w:val="008A1057"/>
    <w:rsid w:val="008A266E"/>
    <w:rsid w:val="008A2D03"/>
    <w:rsid w:val="008A3158"/>
    <w:rsid w:val="008A3321"/>
    <w:rsid w:val="008A3FE9"/>
    <w:rsid w:val="008A4479"/>
    <w:rsid w:val="008A4F57"/>
    <w:rsid w:val="008A54DD"/>
    <w:rsid w:val="008A5F69"/>
    <w:rsid w:val="008A6589"/>
    <w:rsid w:val="008A7219"/>
    <w:rsid w:val="008A7644"/>
    <w:rsid w:val="008A7C38"/>
    <w:rsid w:val="008B0524"/>
    <w:rsid w:val="008B0C89"/>
    <w:rsid w:val="008B1358"/>
    <w:rsid w:val="008B1943"/>
    <w:rsid w:val="008B1B79"/>
    <w:rsid w:val="008B2512"/>
    <w:rsid w:val="008B28E6"/>
    <w:rsid w:val="008B2A13"/>
    <w:rsid w:val="008B3057"/>
    <w:rsid w:val="008B369D"/>
    <w:rsid w:val="008B3CDE"/>
    <w:rsid w:val="008B41BF"/>
    <w:rsid w:val="008B4E6D"/>
    <w:rsid w:val="008B5627"/>
    <w:rsid w:val="008B5F21"/>
    <w:rsid w:val="008B642B"/>
    <w:rsid w:val="008B6506"/>
    <w:rsid w:val="008B651D"/>
    <w:rsid w:val="008B6C0F"/>
    <w:rsid w:val="008B743D"/>
    <w:rsid w:val="008B7A9D"/>
    <w:rsid w:val="008B7AAC"/>
    <w:rsid w:val="008C0021"/>
    <w:rsid w:val="008C00FB"/>
    <w:rsid w:val="008C1423"/>
    <w:rsid w:val="008C2D34"/>
    <w:rsid w:val="008C361D"/>
    <w:rsid w:val="008C3E1D"/>
    <w:rsid w:val="008C4599"/>
    <w:rsid w:val="008C58F8"/>
    <w:rsid w:val="008C5963"/>
    <w:rsid w:val="008C608D"/>
    <w:rsid w:val="008C63FF"/>
    <w:rsid w:val="008D0648"/>
    <w:rsid w:val="008D10D2"/>
    <w:rsid w:val="008D164B"/>
    <w:rsid w:val="008D16A3"/>
    <w:rsid w:val="008D199B"/>
    <w:rsid w:val="008D1DCD"/>
    <w:rsid w:val="008D2689"/>
    <w:rsid w:val="008D2BFD"/>
    <w:rsid w:val="008D303A"/>
    <w:rsid w:val="008D3197"/>
    <w:rsid w:val="008D3D82"/>
    <w:rsid w:val="008D3EA7"/>
    <w:rsid w:val="008D4204"/>
    <w:rsid w:val="008D4B56"/>
    <w:rsid w:val="008D4B84"/>
    <w:rsid w:val="008D4B97"/>
    <w:rsid w:val="008D4CD6"/>
    <w:rsid w:val="008D6F95"/>
    <w:rsid w:val="008D70DE"/>
    <w:rsid w:val="008D754E"/>
    <w:rsid w:val="008E0258"/>
    <w:rsid w:val="008E03E4"/>
    <w:rsid w:val="008E050A"/>
    <w:rsid w:val="008E109E"/>
    <w:rsid w:val="008E12B6"/>
    <w:rsid w:val="008E1375"/>
    <w:rsid w:val="008E1447"/>
    <w:rsid w:val="008E1461"/>
    <w:rsid w:val="008E1735"/>
    <w:rsid w:val="008E1996"/>
    <w:rsid w:val="008E1C16"/>
    <w:rsid w:val="008E1D7D"/>
    <w:rsid w:val="008E1E2A"/>
    <w:rsid w:val="008E2C9D"/>
    <w:rsid w:val="008E2EE9"/>
    <w:rsid w:val="008E2F1D"/>
    <w:rsid w:val="008E351B"/>
    <w:rsid w:val="008E40D6"/>
    <w:rsid w:val="008E4A4B"/>
    <w:rsid w:val="008E515B"/>
    <w:rsid w:val="008E56F7"/>
    <w:rsid w:val="008E6D79"/>
    <w:rsid w:val="008E7348"/>
    <w:rsid w:val="008E7470"/>
    <w:rsid w:val="008E767C"/>
    <w:rsid w:val="008F0213"/>
    <w:rsid w:val="008F0ABE"/>
    <w:rsid w:val="008F1287"/>
    <w:rsid w:val="008F12B1"/>
    <w:rsid w:val="008F1353"/>
    <w:rsid w:val="008F252D"/>
    <w:rsid w:val="008F28C1"/>
    <w:rsid w:val="008F299F"/>
    <w:rsid w:val="008F2BD0"/>
    <w:rsid w:val="008F2DA4"/>
    <w:rsid w:val="008F36EA"/>
    <w:rsid w:val="008F3C71"/>
    <w:rsid w:val="008F3D89"/>
    <w:rsid w:val="008F4151"/>
    <w:rsid w:val="008F4C56"/>
    <w:rsid w:val="008F51F7"/>
    <w:rsid w:val="008F5599"/>
    <w:rsid w:val="008F67D1"/>
    <w:rsid w:val="008F6C48"/>
    <w:rsid w:val="008F745E"/>
    <w:rsid w:val="008F761E"/>
    <w:rsid w:val="00900005"/>
    <w:rsid w:val="0090041B"/>
    <w:rsid w:val="0090049F"/>
    <w:rsid w:val="00900967"/>
    <w:rsid w:val="00900FFE"/>
    <w:rsid w:val="009017BA"/>
    <w:rsid w:val="00901BC3"/>
    <w:rsid w:val="00901DDA"/>
    <w:rsid w:val="009028BE"/>
    <w:rsid w:val="009029E4"/>
    <w:rsid w:val="0090535F"/>
    <w:rsid w:val="0091179A"/>
    <w:rsid w:val="00911A68"/>
    <w:rsid w:val="00911C3B"/>
    <w:rsid w:val="00912051"/>
    <w:rsid w:val="00912F38"/>
    <w:rsid w:val="009143BE"/>
    <w:rsid w:val="009146BD"/>
    <w:rsid w:val="00914737"/>
    <w:rsid w:val="009148CF"/>
    <w:rsid w:val="00914BD2"/>
    <w:rsid w:val="00914DAB"/>
    <w:rsid w:val="00914EE9"/>
    <w:rsid w:val="0091548D"/>
    <w:rsid w:val="0091557F"/>
    <w:rsid w:val="0091572C"/>
    <w:rsid w:val="00915D63"/>
    <w:rsid w:val="00915DAE"/>
    <w:rsid w:val="00915F27"/>
    <w:rsid w:val="0091628C"/>
    <w:rsid w:val="0091634E"/>
    <w:rsid w:val="0091674D"/>
    <w:rsid w:val="00916762"/>
    <w:rsid w:val="009167C2"/>
    <w:rsid w:val="009171A8"/>
    <w:rsid w:val="00917497"/>
    <w:rsid w:val="009207F2"/>
    <w:rsid w:val="00920858"/>
    <w:rsid w:val="00920E88"/>
    <w:rsid w:val="00920FBF"/>
    <w:rsid w:val="009217C4"/>
    <w:rsid w:val="00921F61"/>
    <w:rsid w:val="009225BE"/>
    <w:rsid w:val="009226FE"/>
    <w:rsid w:val="00922A19"/>
    <w:rsid w:val="00922D83"/>
    <w:rsid w:val="00924409"/>
    <w:rsid w:val="00924566"/>
    <w:rsid w:val="00924A23"/>
    <w:rsid w:val="00924C98"/>
    <w:rsid w:val="00925B9A"/>
    <w:rsid w:val="009260A4"/>
    <w:rsid w:val="0092650E"/>
    <w:rsid w:val="00926530"/>
    <w:rsid w:val="00926ACE"/>
    <w:rsid w:val="00927A23"/>
    <w:rsid w:val="00930929"/>
    <w:rsid w:val="00930957"/>
    <w:rsid w:val="00931000"/>
    <w:rsid w:val="0093180E"/>
    <w:rsid w:val="00931918"/>
    <w:rsid w:val="00931A62"/>
    <w:rsid w:val="00931DF1"/>
    <w:rsid w:val="009326BE"/>
    <w:rsid w:val="00932871"/>
    <w:rsid w:val="00935196"/>
    <w:rsid w:val="0093561F"/>
    <w:rsid w:val="00935D2D"/>
    <w:rsid w:val="00936409"/>
    <w:rsid w:val="00936629"/>
    <w:rsid w:val="00936DFD"/>
    <w:rsid w:val="00937076"/>
    <w:rsid w:val="00937567"/>
    <w:rsid w:val="0093779A"/>
    <w:rsid w:val="00937836"/>
    <w:rsid w:val="00937F7A"/>
    <w:rsid w:val="00940244"/>
    <w:rsid w:val="00940DE0"/>
    <w:rsid w:val="00940F60"/>
    <w:rsid w:val="0094133C"/>
    <w:rsid w:val="00941406"/>
    <w:rsid w:val="0094142B"/>
    <w:rsid w:val="00941446"/>
    <w:rsid w:val="00941C35"/>
    <w:rsid w:val="00941ED3"/>
    <w:rsid w:val="00943190"/>
    <w:rsid w:val="00943B1F"/>
    <w:rsid w:val="00943F9C"/>
    <w:rsid w:val="00944ABF"/>
    <w:rsid w:val="009452A2"/>
    <w:rsid w:val="009458AD"/>
    <w:rsid w:val="009460FA"/>
    <w:rsid w:val="00946414"/>
    <w:rsid w:val="0094650F"/>
    <w:rsid w:val="00946F66"/>
    <w:rsid w:val="00947401"/>
    <w:rsid w:val="00947622"/>
    <w:rsid w:val="00947C86"/>
    <w:rsid w:val="00947D9D"/>
    <w:rsid w:val="009504D6"/>
    <w:rsid w:val="00950D57"/>
    <w:rsid w:val="0095107B"/>
    <w:rsid w:val="009518D9"/>
    <w:rsid w:val="00951A7C"/>
    <w:rsid w:val="009523BE"/>
    <w:rsid w:val="00952CC8"/>
    <w:rsid w:val="00953813"/>
    <w:rsid w:val="00954B69"/>
    <w:rsid w:val="00954FD6"/>
    <w:rsid w:val="00955448"/>
    <w:rsid w:val="0095557B"/>
    <w:rsid w:val="00955904"/>
    <w:rsid w:val="00955C29"/>
    <w:rsid w:val="00956008"/>
    <w:rsid w:val="0095613A"/>
    <w:rsid w:val="009561A7"/>
    <w:rsid w:val="009562A3"/>
    <w:rsid w:val="009567BB"/>
    <w:rsid w:val="00957022"/>
    <w:rsid w:val="009570E1"/>
    <w:rsid w:val="009604B0"/>
    <w:rsid w:val="0096078D"/>
    <w:rsid w:val="00960F9B"/>
    <w:rsid w:val="009616C4"/>
    <w:rsid w:val="00961C6C"/>
    <w:rsid w:val="00962152"/>
    <w:rsid w:val="00962638"/>
    <w:rsid w:val="009628A6"/>
    <w:rsid w:val="00963011"/>
    <w:rsid w:val="00965744"/>
    <w:rsid w:val="00965A41"/>
    <w:rsid w:val="00965D7C"/>
    <w:rsid w:val="009661EF"/>
    <w:rsid w:val="0096788B"/>
    <w:rsid w:val="0096797A"/>
    <w:rsid w:val="00967D34"/>
    <w:rsid w:val="00967F39"/>
    <w:rsid w:val="00967FF0"/>
    <w:rsid w:val="0097015F"/>
    <w:rsid w:val="009721CC"/>
    <w:rsid w:val="009723B0"/>
    <w:rsid w:val="00972D29"/>
    <w:rsid w:val="00973131"/>
    <w:rsid w:val="0097350C"/>
    <w:rsid w:val="0097397B"/>
    <w:rsid w:val="009746BC"/>
    <w:rsid w:val="00975CA0"/>
    <w:rsid w:val="0097636A"/>
    <w:rsid w:val="00976D94"/>
    <w:rsid w:val="00976F3A"/>
    <w:rsid w:val="0097706C"/>
    <w:rsid w:val="009775DD"/>
    <w:rsid w:val="00977936"/>
    <w:rsid w:val="00977C92"/>
    <w:rsid w:val="00980241"/>
    <w:rsid w:val="009807BA"/>
    <w:rsid w:val="00980C83"/>
    <w:rsid w:val="0098228B"/>
    <w:rsid w:val="009822FD"/>
    <w:rsid w:val="00982634"/>
    <w:rsid w:val="00982A8D"/>
    <w:rsid w:val="00982D9A"/>
    <w:rsid w:val="00982E96"/>
    <w:rsid w:val="009835E5"/>
    <w:rsid w:val="009835FC"/>
    <w:rsid w:val="00983875"/>
    <w:rsid w:val="00984267"/>
    <w:rsid w:val="00984BBD"/>
    <w:rsid w:val="00984CD8"/>
    <w:rsid w:val="00985576"/>
    <w:rsid w:val="00985A7A"/>
    <w:rsid w:val="00985B05"/>
    <w:rsid w:val="00985B6B"/>
    <w:rsid w:val="00985D66"/>
    <w:rsid w:val="0098621A"/>
    <w:rsid w:val="00986DD8"/>
    <w:rsid w:val="0098701D"/>
    <w:rsid w:val="00987F4E"/>
    <w:rsid w:val="00990071"/>
    <w:rsid w:val="0099092D"/>
    <w:rsid w:val="00990E38"/>
    <w:rsid w:val="00991166"/>
    <w:rsid w:val="009911EA"/>
    <w:rsid w:val="009916F0"/>
    <w:rsid w:val="00991BBC"/>
    <w:rsid w:val="00991D9F"/>
    <w:rsid w:val="00992730"/>
    <w:rsid w:val="00992AF9"/>
    <w:rsid w:val="00994368"/>
    <w:rsid w:val="00994B8B"/>
    <w:rsid w:val="00994F40"/>
    <w:rsid w:val="00996549"/>
    <w:rsid w:val="00996BF5"/>
    <w:rsid w:val="00996C96"/>
    <w:rsid w:val="00996F28"/>
    <w:rsid w:val="0099754B"/>
    <w:rsid w:val="00997880"/>
    <w:rsid w:val="009A0B72"/>
    <w:rsid w:val="009A14B8"/>
    <w:rsid w:val="009A1638"/>
    <w:rsid w:val="009A1774"/>
    <w:rsid w:val="009A17CD"/>
    <w:rsid w:val="009A188D"/>
    <w:rsid w:val="009A245B"/>
    <w:rsid w:val="009A25D5"/>
    <w:rsid w:val="009A2B51"/>
    <w:rsid w:val="009A2E07"/>
    <w:rsid w:val="009A3136"/>
    <w:rsid w:val="009A337E"/>
    <w:rsid w:val="009A443C"/>
    <w:rsid w:val="009A4709"/>
    <w:rsid w:val="009A589A"/>
    <w:rsid w:val="009A6934"/>
    <w:rsid w:val="009A6A5F"/>
    <w:rsid w:val="009A6E5D"/>
    <w:rsid w:val="009A75CF"/>
    <w:rsid w:val="009A795C"/>
    <w:rsid w:val="009A7E5E"/>
    <w:rsid w:val="009B087D"/>
    <w:rsid w:val="009B0B17"/>
    <w:rsid w:val="009B1262"/>
    <w:rsid w:val="009B178C"/>
    <w:rsid w:val="009B18F1"/>
    <w:rsid w:val="009B1B9C"/>
    <w:rsid w:val="009B2FC0"/>
    <w:rsid w:val="009B2FCB"/>
    <w:rsid w:val="009B337E"/>
    <w:rsid w:val="009B3941"/>
    <w:rsid w:val="009B3AE8"/>
    <w:rsid w:val="009B43E6"/>
    <w:rsid w:val="009B47AB"/>
    <w:rsid w:val="009B48C3"/>
    <w:rsid w:val="009B4AD1"/>
    <w:rsid w:val="009B5124"/>
    <w:rsid w:val="009B52F4"/>
    <w:rsid w:val="009B638B"/>
    <w:rsid w:val="009B666D"/>
    <w:rsid w:val="009B6955"/>
    <w:rsid w:val="009B7478"/>
    <w:rsid w:val="009C0E81"/>
    <w:rsid w:val="009C1D2A"/>
    <w:rsid w:val="009C1E50"/>
    <w:rsid w:val="009C2ABE"/>
    <w:rsid w:val="009C2D1D"/>
    <w:rsid w:val="009C2E00"/>
    <w:rsid w:val="009C346B"/>
    <w:rsid w:val="009C3F6F"/>
    <w:rsid w:val="009C45B8"/>
    <w:rsid w:val="009C4979"/>
    <w:rsid w:val="009C529B"/>
    <w:rsid w:val="009C7C93"/>
    <w:rsid w:val="009C7FBE"/>
    <w:rsid w:val="009D0539"/>
    <w:rsid w:val="009D070F"/>
    <w:rsid w:val="009D11D0"/>
    <w:rsid w:val="009D156F"/>
    <w:rsid w:val="009D185A"/>
    <w:rsid w:val="009D18FA"/>
    <w:rsid w:val="009D271F"/>
    <w:rsid w:val="009D2743"/>
    <w:rsid w:val="009D28D4"/>
    <w:rsid w:val="009D2E67"/>
    <w:rsid w:val="009D3004"/>
    <w:rsid w:val="009D30F2"/>
    <w:rsid w:val="009D3170"/>
    <w:rsid w:val="009D339B"/>
    <w:rsid w:val="009D3F7C"/>
    <w:rsid w:val="009D40BF"/>
    <w:rsid w:val="009D48EC"/>
    <w:rsid w:val="009D4F55"/>
    <w:rsid w:val="009D548A"/>
    <w:rsid w:val="009D5989"/>
    <w:rsid w:val="009D6456"/>
    <w:rsid w:val="009D6473"/>
    <w:rsid w:val="009D66E3"/>
    <w:rsid w:val="009D7216"/>
    <w:rsid w:val="009E0079"/>
    <w:rsid w:val="009E0849"/>
    <w:rsid w:val="009E08C4"/>
    <w:rsid w:val="009E0D71"/>
    <w:rsid w:val="009E0F8F"/>
    <w:rsid w:val="009E1873"/>
    <w:rsid w:val="009E2D20"/>
    <w:rsid w:val="009E2EDA"/>
    <w:rsid w:val="009E368C"/>
    <w:rsid w:val="009E5BBD"/>
    <w:rsid w:val="009E60B7"/>
    <w:rsid w:val="009E67B8"/>
    <w:rsid w:val="009E6DEE"/>
    <w:rsid w:val="009E727B"/>
    <w:rsid w:val="009E727E"/>
    <w:rsid w:val="009E749B"/>
    <w:rsid w:val="009E7975"/>
    <w:rsid w:val="009F000E"/>
    <w:rsid w:val="009F049A"/>
    <w:rsid w:val="009F0CE5"/>
    <w:rsid w:val="009F0DBD"/>
    <w:rsid w:val="009F0F4C"/>
    <w:rsid w:val="009F1B21"/>
    <w:rsid w:val="009F237C"/>
    <w:rsid w:val="009F23E1"/>
    <w:rsid w:val="009F279E"/>
    <w:rsid w:val="009F2A14"/>
    <w:rsid w:val="009F33C9"/>
    <w:rsid w:val="009F3580"/>
    <w:rsid w:val="009F38CB"/>
    <w:rsid w:val="009F3E1D"/>
    <w:rsid w:val="009F429A"/>
    <w:rsid w:val="009F4F10"/>
    <w:rsid w:val="009F58E6"/>
    <w:rsid w:val="009F5DC4"/>
    <w:rsid w:val="009F5E61"/>
    <w:rsid w:val="009F614A"/>
    <w:rsid w:val="009F6C8C"/>
    <w:rsid w:val="009F6F39"/>
    <w:rsid w:val="009F713E"/>
    <w:rsid w:val="009F78FA"/>
    <w:rsid w:val="009F7A17"/>
    <w:rsid w:val="009F7C00"/>
    <w:rsid w:val="00A00024"/>
    <w:rsid w:val="00A000AE"/>
    <w:rsid w:val="00A0070A"/>
    <w:rsid w:val="00A0086B"/>
    <w:rsid w:val="00A01807"/>
    <w:rsid w:val="00A01B9A"/>
    <w:rsid w:val="00A01BC3"/>
    <w:rsid w:val="00A01C25"/>
    <w:rsid w:val="00A0229E"/>
    <w:rsid w:val="00A0287A"/>
    <w:rsid w:val="00A02904"/>
    <w:rsid w:val="00A02F4A"/>
    <w:rsid w:val="00A03299"/>
    <w:rsid w:val="00A038B7"/>
    <w:rsid w:val="00A04563"/>
    <w:rsid w:val="00A04CA7"/>
    <w:rsid w:val="00A04E36"/>
    <w:rsid w:val="00A0619D"/>
    <w:rsid w:val="00A06EE4"/>
    <w:rsid w:val="00A07229"/>
    <w:rsid w:val="00A07C0A"/>
    <w:rsid w:val="00A101AB"/>
    <w:rsid w:val="00A10CB1"/>
    <w:rsid w:val="00A10DC1"/>
    <w:rsid w:val="00A113FD"/>
    <w:rsid w:val="00A116FB"/>
    <w:rsid w:val="00A131BA"/>
    <w:rsid w:val="00A13C90"/>
    <w:rsid w:val="00A13D27"/>
    <w:rsid w:val="00A14F6A"/>
    <w:rsid w:val="00A1538E"/>
    <w:rsid w:val="00A15A7E"/>
    <w:rsid w:val="00A15EFF"/>
    <w:rsid w:val="00A15F98"/>
    <w:rsid w:val="00A16710"/>
    <w:rsid w:val="00A168C3"/>
    <w:rsid w:val="00A169EC"/>
    <w:rsid w:val="00A171F5"/>
    <w:rsid w:val="00A1758A"/>
    <w:rsid w:val="00A17A39"/>
    <w:rsid w:val="00A17A5B"/>
    <w:rsid w:val="00A17BB1"/>
    <w:rsid w:val="00A204D7"/>
    <w:rsid w:val="00A20BD4"/>
    <w:rsid w:val="00A20D32"/>
    <w:rsid w:val="00A21ADB"/>
    <w:rsid w:val="00A21B33"/>
    <w:rsid w:val="00A21DC3"/>
    <w:rsid w:val="00A21F29"/>
    <w:rsid w:val="00A22651"/>
    <w:rsid w:val="00A23D27"/>
    <w:rsid w:val="00A248F0"/>
    <w:rsid w:val="00A24FAD"/>
    <w:rsid w:val="00A253A5"/>
    <w:rsid w:val="00A256F2"/>
    <w:rsid w:val="00A257CD"/>
    <w:rsid w:val="00A268DC"/>
    <w:rsid w:val="00A26935"/>
    <w:rsid w:val="00A26AF7"/>
    <w:rsid w:val="00A27406"/>
    <w:rsid w:val="00A30551"/>
    <w:rsid w:val="00A30812"/>
    <w:rsid w:val="00A3098B"/>
    <w:rsid w:val="00A30A45"/>
    <w:rsid w:val="00A30B4D"/>
    <w:rsid w:val="00A30C75"/>
    <w:rsid w:val="00A30FA5"/>
    <w:rsid w:val="00A310B2"/>
    <w:rsid w:val="00A310F4"/>
    <w:rsid w:val="00A31400"/>
    <w:rsid w:val="00A31423"/>
    <w:rsid w:val="00A314FE"/>
    <w:rsid w:val="00A3398A"/>
    <w:rsid w:val="00A33B00"/>
    <w:rsid w:val="00A343A2"/>
    <w:rsid w:val="00A35739"/>
    <w:rsid w:val="00A36A70"/>
    <w:rsid w:val="00A36ACB"/>
    <w:rsid w:val="00A37186"/>
    <w:rsid w:val="00A37802"/>
    <w:rsid w:val="00A37E21"/>
    <w:rsid w:val="00A4022A"/>
    <w:rsid w:val="00A4069B"/>
    <w:rsid w:val="00A40997"/>
    <w:rsid w:val="00A41202"/>
    <w:rsid w:val="00A41630"/>
    <w:rsid w:val="00A41752"/>
    <w:rsid w:val="00A41945"/>
    <w:rsid w:val="00A41A53"/>
    <w:rsid w:val="00A41A9F"/>
    <w:rsid w:val="00A41C3A"/>
    <w:rsid w:val="00A41D5C"/>
    <w:rsid w:val="00A42912"/>
    <w:rsid w:val="00A42DE7"/>
    <w:rsid w:val="00A42E6B"/>
    <w:rsid w:val="00A43BDC"/>
    <w:rsid w:val="00A43E2C"/>
    <w:rsid w:val="00A44502"/>
    <w:rsid w:val="00A44ABC"/>
    <w:rsid w:val="00A44BFD"/>
    <w:rsid w:val="00A44C98"/>
    <w:rsid w:val="00A44CF6"/>
    <w:rsid w:val="00A45529"/>
    <w:rsid w:val="00A45DC9"/>
    <w:rsid w:val="00A45DF1"/>
    <w:rsid w:val="00A45F8E"/>
    <w:rsid w:val="00A46234"/>
    <w:rsid w:val="00A464AD"/>
    <w:rsid w:val="00A464F3"/>
    <w:rsid w:val="00A468B5"/>
    <w:rsid w:val="00A471D7"/>
    <w:rsid w:val="00A4734C"/>
    <w:rsid w:val="00A47BE7"/>
    <w:rsid w:val="00A5031D"/>
    <w:rsid w:val="00A50B50"/>
    <w:rsid w:val="00A52036"/>
    <w:rsid w:val="00A52B60"/>
    <w:rsid w:val="00A52DFA"/>
    <w:rsid w:val="00A52E4C"/>
    <w:rsid w:val="00A53018"/>
    <w:rsid w:val="00A5312E"/>
    <w:rsid w:val="00A5315A"/>
    <w:rsid w:val="00A53170"/>
    <w:rsid w:val="00A53E19"/>
    <w:rsid w:val="00A54072"/>
    <w:rsid w:val="00A540BF"/>
    <w:rsid w:val="00A54A86"/>
    <w:rsid w:val="00A5597E"/>
    <w:rsid w:val="00A564BB"/>
    <w:rsid w:val="00A56FA4"/>
    <w:rsid w:val="00A60245"/>
    <w:rsid w:val="00A60A2C"/>
    <w:rsid w:val="00A60F9B"/>
    <w:rsid w:val="00A6178D"/>
    <w:rsid w:val="00A61BBB"/>
    <w:rsid w:val="00A622C8"/>
    <w:rsid w:val="00A6286A"/>
    <w:rsid w:val="00A62925"/>
    <w:rsid w:val="00A6322E"/>
    <w:rsid w:val="00A63474"/>
    <w:rsid w:val="00A63852"/>
    <w:rsid w:val="00A63A1D"/>
    <w:rsid w:val="00A63BB9"/>
    <w:rsid w:val="00A646D8"/>
    <w:rsid w:val="00A648D5"/>
    <w:rsid w:val="00A64BE2"/>
    <w:rsid w:val="00A64FC5"/>
    <w:rsid w:val="00A65224"/>
    <w:rsid w:val="00A6560A"/>
    <w:rsid w:val="00A65C76"/>
    <w:rsid w:val="00A66362"/>
    <w:rsid w:val="00A66774"/>
    <w:rsid w:val="00A66917"/>
    <w:rsid w:val="00A67011"/>
    <w:rsid w:val="00A67079"/>
    <w:rsid w:val="00A674AD"/>
    <w:rsid w:val="00A67A04"/>
    <w:rsid w:val="00A67B6C"/>
    <w:rsid w:val="00A67B70"/>
    <w:rsid w:val="00A71185"/>
    <w:rsid w:val="00A72198"/>
    <w:rsid w:val="00A721F9"/>
    <w:rsid w:val="00A72335"/>
    <w:rsid w:val="00A7237C"/>
    <w:rsid w:val="00A733AC"/>
    <w:rsid w:val="00A734C3"/>
    <w:rsid w:val="00A73951"/>
    <w:rsid w:val="00A73A4F"/>
    <w:rsid w:val="00A742D8"/>
    <w:rsid w:val="00A74908"/>
    <w:rsid w:val="00A74B33"/>
    <w:rsid w:val="00A74BC2"/>
    <w:rsid w:val="00A7507B"/>
    <w:rsid w:val="00A760FB"/>
    <w:rsid w:val="00A77170"/>
    <w:rsid w:val="00A77CB1"/>
    <w:rsid w:val="00A77DD9"/>
    <w:rsid w:val="00A80817"/>
    <w:rsid w:val="00A81644"/>
    <w:rsid w:val="00A8187A"/>
    <w:rsid w:val="00A81E42"/>
    <w:rsid w:val="00A827E5"/>
    <w:rsid w:val="00A82B3D"/>
    <w:rsid w:val="00A835A8"/>
    <w:rsid w:val="00A85A40"/>
    <w:rsid w:val="00A863F0"/>
    <w:rsid w:val="00A8669C"/>
    <w:rsid w:val="00A86C31"/>
    <w:rsid w:val="00A87A80"/>
    <w:rsid w:val="00A9024F"/>
    <w:rsid w:val="00A90A79"/>
    <w:rsid w:val="00A91567"/>
    <w:rsid w:val="00A91B22"/>
    <w:rsid w:val="00A91DAF"/>
    <w:rsid w:val="00A91E08"/>
    <w:rsid w:val="00A935A0"/>
    <w:rsid w:val="00A938DF"/>
    <w:rsid w:val="00A93D3D"/>
    <w:rsid w:val="00A942D8"/>
    <w:rsid w:val="00A94ED3"/>
    <w:rsid w:val="00A95177"/>
    <w:rsid w:val="00A953AA"/>
    <w:rsid w:val="00A97E3C"/>
    <w:rsid w:val="00AA05BB"/>
    <w:rsid w:val="00AA21FB"/>
    <w:rsid w:val="00AA2F5D"/>
    <w:rsid w:val="00AA40F8"/>
    <w:rsid w:val="00AA4866"/>
    <w:rsid w:val="00AA5272"/>
    <w:rsid w:val="00AA5375"/>
    <w:rsid w:val="00AA65D1"/>
    <w:rsid w:val="00AA7397"/>
    <w:rsid w:val="00AA7408"/>
    <w:rsid w:val="00AA783A"/>
    <w:rsid w:val="00AB0D3B"/>
    <w:rsid w:val="00AB2845"/>
    <w:rsid w:val="00AB28D0"/>
    <w:rsid w:val="00AB2A6F"/>
    <w:rsid w:val="00AB2C1C"/>
    <w:rsid w:val="00AB3246"/>
    <w:rsid w:val="00AB3D11"/>
    <w:rsid w:val="00AB45A2"/>
    <w:rsid w:val="00AB4A8E"/>
    <w:rsid w:val="00AB4B90"/>
    <w:rsid w:val="00AB4F59"/>
    <w:rsid w:val="00AB5E56"/>
    <w:rsid w:val="00AB5F25"/>
    <w:rsid w:val="00AB5FFB"/>
    <w:rsid w:val="00AB68F5"/>
    <w:rsid w:val="00AB7C10"/>
    <w:rsid w:val="00AC1561"/>
    <w:rsid w:val="00AC2082"/>
    <w:rsid w:val="00AC22E6"/>
    <w:rsid w:val="00AC26E8"/>
    <w:rsid w:val="00AC2F5A"/>
    <w:rsid w:val="00AC2F7D"/>
    <w:rsid w:val="00AC3062"/>
    <w:rsid w:val="00AC41E5"/>
    <w:rsid w:val="00AC4309"/>
    <w:rsid w:val="00AC4334"/>
    <w:rsid w:val="00AC474B"/>
    <w:rsid w:val="00AC47C6"/>
    <w:rsid w:val="00AC4993"/>
    <w:rsid w:val="00AC4EFA"/>
    <w:rsid w:val="00AC4F12"/>
    <w:rsid w:val="00AC50F9"/>
    <w:rsid w:val="00AC56F5"/>
    <w:rsid w:val="00AC605F"/>
    <w:rsid w:val="00AC6C2A"/>
    <w:rsid w:val="00AC779A"/>
    <w:rsid w:val="00AD1794"/>
    <w:rsid w:val="00AD2A93"/>
    <w:rsid w:val="00AD2F0D"/>
    <w:rsid w:val="00AD2FFE"/>
    <w:rsid w:val="00AD5CA6"/>
    <w:rsid w:val="00AD5E24"/>
    <w:rsid w:val="00AD6BA8"/>
    <w:rsid w:val="00AD6C1F"/>
    <w:rsid w:val="00AD6CFD"/>
    <w:rsid w:val="00AD7737"/>
    <w:rsid w:val="00AE0104"/>
    <w:rsid w:val="00AE1523"/>
    <w:rsid w:val="00AE19CC"/>
    <w:rsid w:val="00AE1D9C"/>
    <w:rsid w:val="00AE2DDE"/>
    <w:rsid w:val="00AE3117"/>
    <w:rsid w:val="00AE3C00"/>
    <w:rsid w:val="00AE4399"/>
    <w:rsid w:val="00AE4F71"/>
    <w:rsid w:val="00AE4F74"/>
    <w:rsid w:val="00AE4FA9"/>
    <w:rsid w:val="00AE5267"/>
    <w:rsid w:val="00AE5840"/>
    <w:rsid w:val="00AE59C0"/>
    <w:rsid w:val="00AE6232"/>
    <w:rsid w:val="00AE7958"/>
    <w:rsid w:val="00AE79F9"/>
    <w:rsid w:val="00AE7C89"/>
    <w:rsid w:val="00AE7CFA"/>
    <w:rsid w:val="00AF037C"/>
    <w:rsid w:val="00AF0FCF"/>
    <w:rsid w:val="00AF1293"/>
    <w:rsid w:val="00AF1758"/>
    <w:rsid w:val="00AF1ACF"/>
    <w:rsid w:val="00AF1F9A"/>
    <w:rsid w:val="00AF21D5"/>
    <w:rsid w:val="00AF2256"/>
    <w:rsid w:val="00AF3075"/>
    <w:rsid w:val="00AF38E1"/>
    <w:rsid w:val="00AF3B31"/>
    <w:rsid w:val="00AF3BE3"/>
    <w:rsid w:val="00AF4070"/>
    <w:rsid w:val="00AF49C2"/>
    <w:rsid w:val="00AF4E38"/>
    <w:rsid w:val="00AF4FFC"/>
    <w:rsid w:val="00AF6296"/>
    <w:rsid w:val="00AF62D7"/>
    <w:rsid w:val="00AF67F5"/>
    <w:rsid w:val="00AF6D10"/>
    <w:rsid w:val="00B00758"/>
    <w:rsid w:val="00B008B0"/>
    <w:rsid w:val="00B008E1"/>
    <w:rsid w:val="00B00A11"/>
    <w:rsid w:val="00B0145B"/>
    <w:rsid w:val="00B01717"/>
    <w:rsid w:val="00B022A3"/>
    <w:rsid w:val="00B022CB"/>
    <w:rsid w:val="00B02F50"/>
    <w:rsid w:val="00B03135"/>
    <w:rsid w:val="00B03316"/>
    <w:rsid w:val="00B04377"/>
    <w:rsid w:val="00B0535B"/>
    <w:rsid w:val="00B05D76"/>
    <w:rsid w:val="00B05EA3"/>
    <w:rsid w:val="00B06F1F"/>
    <w:rsid w:val="00B07187"/>
    <w:rsid w:val="00B07863"/>
    <w:rsid w:val="00B07A02"/>
    <w:rsid w:val="00B07A8D"/>
    <w:rsid w:val="00B07D93"/>
    <w:rsid w:val="00B1005E"/>
    <w:rsid w:val="00B10874"/>
    <w:rsid w:val="00B10E6F"/>
    <w:rsid w:val="00B111DF"/>
    <w:rsid w:val="00B115F2"/>
    <w:rsid w:val="00B11F01"/>
    <w:rsid w:val="00B12927"/>
    <w:rsid w:val="00B14211"/>
    <w:rsid w:val="00B1433B"/>
    <w:rsid w:val="00B15E3B"/>
    <w:rsid w:val="00B17706"/>
    <w:rsid w:val="00B178C5"/>
    <w:rsid w:val="00B17FB0"/>
    <w:rsid w:val="00B201B5"/>
    <w:rsid w:val="00B20542"/>
    <w:rsid w:val="00B20AA0"/>
    <w:rsid w:val="00B20EBD"/>
    <w:rsid w:val="00B2144C"/>
    <w:rsid w:val="00B21825"/>
    <w:rsid w:val="00B21C37"/>
    <w:rsid w:val="00B227AF"/>
    <w:rsid w:val="00B23350"/>
    <w:rsid w:val="00B23718"/>
    <w:rsid w:val="00B2378C"/>
    <w:rsid w:val="00B24327"/>
    <w:rsid w:val="00B24485"/>
    <w:rsid w:val="00B245AC"/>
    <w:rsid w:val="00B248EF"/>
    <w:rsid w:val="00B24C06"/>
    <w:rsid w:val="00B24E02"/>
    <w:rsid w:val="00B255CE"/>
    <w:rsid w:val="00B25EE1"/>
    <w:rsid w:val="00B26215"/>
    <w:rsid w:val="00B263C0"/>
    <w:rsid w:val="00B26717"/>
    <w:rsid w:val="00B26EC6"/>
    <w:rsid w:val="00B26F7F"/>
    <w:rsid w:val="00B27AA3"/>
    <w:rsid w:val="00B300AA"/>
    <w:rsid w:val="00B31177"/>
    <w:rsid w:val="00B31193"/>
    <w:rsid w:val="00B31685"/>
    <w:rsid w:val="00B31AF6"/>
    <w:rsid w:val="00B31B43"/>
    <w:rsid w:val="00B32DC3"/>
    <w:rsid w:val="00B32DF1"/>
    <w:rsid w:val="00B33210"/>
    <w:rsid w:val="00B33A26"/>
    <w:rsid w:val="00B33BA7"/>
    <w:rsid w:val="00B33F5C"/>
    <w:rsid w:val="00B34602"/>
    <w:rsid w:val="00B34A7E"/>
    <w:rsid w:val="00B355EC"/>
    <w:rsid w:val="00B35921"/>
    <w:rsid w:val="00B35B46"/>
    <w:rsid w:val="00B35D80"/>
    <w:rsid w:val="00B36EE5"/>
    <w:rsid w:val="00B3788C"/>
    <w:rsid w:val="00B378AE"/>
    <w:rsid w:val="00B37A73"/>
    <w:rsid w:val="00B37FA2"/>
    <w:rsid w:val="00B404A0"/>
    <w:rsid w:val="00B4051E"/>
    <w:rsid w:val="00B40F2F"/>
    <w:rsid w:val="00B40F55"/>
    <w:rsid w:val="00B4113D"/>
    <w:rsid w:val="00B41338"/>
    <w:rsid w:val="00B414D6"/>
    <w:rsid w:val="00B41A39"/>
    <w:rsid w:val="00B41FDA"/>
    <w:rsid w:val="00B4279B"/>
    <w:rsid w:val="00B42D71"/>
    <w:rsid w:val="00B44460"/>
    <w:rsid w:val="00B4487D"/>
    <w:rsid w:val="00B44C4E"/>
    <w:rsid w:val="00B44CC9"/>
    <w:rsid w:val="00B451E3"/>
    <w:rsid w:val="00B4550C"/>
    <w:rsid w:val="00B45752"/>
    <w:rsid w:val="00B45F97"/>
    <w:rsid w:val="00B460DA"/>
    <w:rsid w:val="00B4658F"/>
    <w:rsid w:val="00B46696"/>
    <w:rsid w:val="00B46953"/>
    <w:rsid w:val="00B47164"/>
    <w:rsid w:val="00B47474"/>
    <w:rsid w:val="00B477DA"/>
    <w:rsid w:val="00B47EA0"/>
    <w:rsid w:val="00B47F00"/>
    <w:rsid w:val="00B50320"/>
    <w:rsid w:val="00B50884"/>
    <w:rsid w:val="00B508DC"/>
    <w:rsid w:val="00B50DC8"/>
    <w:rsid w:val="00B513CD"/>
    <w:rsid w:val="00B516DF"/>
    <w:rsid w:val="00B5175C"/>
    <w:rsid w:val="00B51F19"/>
    <w:rsid w:val="00B529AB"/>
    <w:rsid w:val="00B52FAF"/>
    <w:rsid w:val="00B531FD"/>
    <w:rsid w:val="00B536FA"/>
    <w:rsid w:val="00B53A55"/>
    <w:rsid w:val="00B53C07"/>
    <w:rsid w:val="00B5447E"/>
    <w:rsid w:val="00B54595"/>
    <w:rsid w:val="00B54E30"/>
    <w:rsid w:val="00B5509B"/>
    <w:rsid w:val="00B553D6"/>
    <w:rsid w:val="00B55697"/>
    <w:rsid w:val="00B55C08"/>
    <w:rsid w:val="00B568DB"/>
    <w:rsid w:val="00B56E3D"/>
    <w:rsid w:val="00B575BE"/>
    <w:rsid w:val="00B577C7"/>
    <w:rsid w:val="00B57BC1"/>
    <w:rsid w:val="00B57F71"/>
    <w:rsid w:val="00B60120"/>
    <w:rsid w:val="00B6077A"/>
    <w:rsid w:val="00B607C4"/>
    <w:rsid w:val="00B61FC7"/>
    <w:rsid w:val="00B623B0"/>
    <w:rsid w:val="00B623EF"/>
    <w:rsid w:val="00B626A5"/>
    <w:rsid w:val="00B646CB"/>
    <w:rsid w:val="00B64A9F"/>
    <w:rsid w:val="00B658C4"/>
    <w:rsid w:val="00B6620F"/>
    <w:rsid w:val="00B67D52"/>
    <w:rsid w:val="00B702CC"/>
    <w:rsid w:val="00B705A5"/>
    <w:rsid w:val="00B70764"/>
    <w:rsid w:val="00B70869"/>
    <w:rsid w:val="00B708BC"/>
    <w:rsid w:val="00B70DB3"/>
    <w:rsid w:val="00B70F80"/>
    <w:rsid w:val="00B716E5"/>
    <w:rsid w:val="00B71829"/>
    <w:rsid w:val="00B71B5E"/>
    <w:rsid w:val="00B71EBF"/>
    <w:rsid w:val="00B721FE"/>
    <w:rsid w:val="00B722B2"/>
    <w:rsid w:val="00B72726"/>
    <w:rsid w:val="00B72CA7"/>
    <w:rsid w:val="00B734E2"/>
    <w:rsid w:val="00B7359F"/>
    <w:rsid w:val="00B73CA4"/>
    <w:rsid w:val="00B74309"/>
    <w:rsid w:val="00B7486A"/>
    <w:rsid w:val="00B758C4"/>
    <w:rsid w:val="00B75D6C"/>
    <w:rsid w:val="00B76186"/>
    <w:rsid w:val="00B7619C"/>
    <w:rsid w:val="00B76A89"/>
    <w:rsid w:val="00B76C3E"/>
    <w:rsid w:val="00B77966"/>
    <w:rsid w:val="00B80460"/>
    <w:rsid w:val="00B80B1A"/>
    <w:rsid w:val="00B80C5E"/>
    <w:rsid w:val="00B82EAF"/>
    <w:rsid w:val="00B82ED4"/>
    <w:rsid w:val="00B83134"/>
    <w:rsid w:val="00B83566"/>
    <w:rsid w:val="00B835B8"/>
    <w:rsid w:val="00B8448C"/>
    <w:rsid w:val="00B844B8"/>
    <w:rsid w:val="00B84CCA"/>
    <w:rsid w:val="00B8661C"/>
    <w:rsid w:val="00B86B3D"/>
    <w:rsid w:val="00B87867"/>
    <w:rsid w:val="00B878C2"/>
    <w:rsid w:val="00B87905"/>
    <w:rsid w:val="00B90629"/>
    <w:rsid w:val="00B90BCD"/>
    <w:rsid w:val="00B9105E"/>
    <w:rsid w:val="00B916F4"/>
    <w:rsid w:val="00B935D6"/>
    <w:rsid w:val="00B93BCB"/>
    <w:rsid w:val="00B94B1B"/>
    <w:rsid w:val="00B953E0"/>
    <w:rsid w:val="00B9588B"/>
    <w:rsid w:val="00B95EDC"/>
    <w:rsid w:val="00B9774B"/>
    <w:rsid w:val="00BA008A"/>
    <w:rsid w:val="00BA0436"/>
    <w:rsid w:val="00BA0BDB"/>
    <w:rsid w:val="00BA0D59"/>
    <w:rsid w:val="00BA1C61"/>
    <w:rsid w:val="00BA1C79"/>
    <w:rsid w:val="00BA20BC"/>
    <w:rsid w:val="00BA2724"/>
    <w:rsid w:val="00BA3F85"/>
    <w:rsid w:val="00BA41A3"/>
    <w:rsid w:val="00BA4DD8"/>
    <w:rsid w:val="00BA5AA9"/>
    <w:rsid w:val="00BA5CB9"/>
    <w:rsid w:val="00BA5DD3"/>
    <w:rsid w:val="00BA6D29"/>
    <w:rsid w:val="00BA7834"/>
    <w:rsid w:val="00BA78E9"/>
    <w:rsid w:val="00BB0A64"/>
    <w:rsid w:val="00BB1337"/>
    <w:rsid w:val="00BB22BC"/>
    <w:rsid w:val="00BB22E6"/>
    <w:rsid w:val="00BB3605"/>
    <w:rsid w:val="00BB36B3"/>
    <w:rsid w:val="00BB36F4"/>
    <w:rsid w:val="00BB3EB5"/>
    <w:rsid w:val="00BB4703"/>
    <w:rsid w:val="00BB52B9"/>
    <w:rsid w:val="00BB645E"/>
    <w:rsid w:val="00BB75BF"/>
    <w:rsid w:val="00BB7A51"/>
    <w:rsid w:val="00BB7D94"/>
    <w:rsid w:val="00BC065E"/>
    <w:rsid w:val="00BC072B"/>
    <w:rsid w:val="00BC07F9"/>
    <w:rsid w:val="00BC08EA"/>
    <w:rsid w:val="00BC1025"/>
    <w:rsid w:val="00BC1185"/>
    <w:rsid w:val="00BC16BB"/>
    <w:rsid w:val="00BC1BF0"/>
    <w:rsid w:val="00BC1FAC"/>
    <w:rsid w:val="00BC41B4"/>
    <w:rsid w:val="00BC46F2"/>
    <w:rsid w:val="00BC5662"/>
    <w:rsid w:val="00BC6553"/>
    <w:rsid w:val="00BC6633"/>
    <w:rsid w:val="00BC6CB2"/>
    <w:rsid w:val="00BD09B5"/>
    <w:rsid w:val="00BD2234"/>
    <w:rsid w:val="00BD265F"/>
    <w:rsid w:val="00BD2DD8"/>
    <w:rsid w:val="00BD3761"/>
    <w:rsid w:val="00BD3802"/>
    <w:rsid w:val="00BD43C1"/>
    <w:rsid w:val="00BD4A9C"/>
    <w:rsid w:val="00BD4FAB"/>
    <w:rsid w:val="00BD5D63"/>
    <w:rsid w:val="00BD655D"/>
    <w:rsid w:val="00BD6E2F"/>
    <w:rsid w:val="00BD7563"/>
    <w:rsid w:val="00BE0B49"/>
    <w:rsid w:val="00BE0E77"/>
    <w:rsid w:val="00BE196F"/>
    <w:rsid w:val="00BE2A5A"/>
    <w:rsid w:val="00BE383F"/>
    <w:rsid w:val="00BE475D"/>
    <w:rsid w:val="00BE49FD"/>
    <w:rsid w:val="00BE5045"/>
    <w:rsid w:val="00BE51F9"/>
    <w:rsid w:val="00BE5AC3"/>
    <w:rsid w:val="00BE5F5B"/>
    <w:rsid w:val="00BE62E0"/>
    <w:rsid w:val="00BE642D"/>
    <w:rsid w:val="00BE6EAD"/>
    <w:rsid w:val="00BE7385"/>
    <w:rsid w:val="00BE743A"/>
    <w:rsid w:val="00BE752E"/>
    <w:rsid w:val="00BE79E4"/>
    <w:rsid w:val="00BE7CEA"/>
    <w:rsid w:val="00BF0024"/>
    <w:rsid w:val="00BF0153"/>
    <w:rsid w:val="00BF021C"/>
    <w:rsid w:val="00BF0937"/>
    <w:rsid w:val="00BF1491"/>
    <w:rsid w:val="00BF1BAC"/>
    <w:rsid w:val="00BF203A"/>
    <w:rsid w:val="00BF288B"/>
    <w:rsid w:val="00BF3237"/>
    <w:rsid w:val="00BF3303"/>
    <w:rsid w:val="00BF35EC"/>
    <w:rsid w:val="00BF3D8B"/>
    <w:rsid w:val="00BF4844"/>
    <w:rsid w:val="00BF5856"/>
    <w:rsid w:val="00BF5ABB"/>
    <w:rsid w:val="00BF5B1F"/>
    <w:rsid w:val="00BF5B54"/>
    <w:rsid w:val="00BF6B40"/>
    <w:rsid w:val="00BF6DF2"/>
    <w:rsid w:val="00BF7C38"/>
    <w:rsid w:val="00BF7E54"/>
    <w:rsid w:val="00C000B4"/>
    <w:rsid w:val="00C00343"/>
    <w:rsid w:val="00C00359"/>
    <w:rsid w:val="00C008E3"/>
    <w:rsid w:val="00C0094B"/>
    <w:rsid w:val="00C00AC2"/>
    <w:rsid w:val="00C01900"/>
    <w:rsid w:val="00C01B7F"/>
    <w:rsid w:val="00C022A2"/>
    <w:rsid w:val="00C039CC"/>
    <w:rsid w:val="00C0424C"/>
    <w:rsid w:val="00C04500"/>
    <w:rsid w:val="00C0457B"/>
    <w:rsid w:val="00C048AC"/>
    <w:rsid w:val="00C0538B"/>
    <w:rsid w:val="00C06218"/>
    <w:rsid w:val="00C06499"/>
    <w:rsid w:val="00C066DE"/>
    <w:rsid w:val="00C06CDE"/>
    <w:rsid w:val="00C07549"/>
    <w:rsid w:val="00C0758E"/>
    <w:rsid w:val="00C07729"/>
    <w:rsid w:val="00C077B0"/>
    <w:rsid w:val="00C0786B"/>
    <w:rsid w:val="00C10006"/>
    <w:rsid w:val="00C10A73"/>
    <w:rsid w:val="00C114D3"/>
    <w:rsid w:val="00C12730"/>
    <w:rsid w:val="00C137A8"/>
    <w:rsid w:val="00C13E59"/>
    <w:rsid w:val="00C1560B"/>
    <w:rsid w:val="00C1646D"/>
    <w:rsid w:val="00C17444"/>
    <w:rsid w:val="00C17C20"/>
    <w:rsid w:val="00C2028B"/>
    <w:rsid w:val="00C2034D"/>
    <w:rsid w:val="00C20E3E"/>
    <w:rsid w:val="00C20F04"/>
    <w:rsid w:val="00C212B5"/>
    <w:rsid w:val="00C219D7"/>
    <w:rsid w:val="00C21E9D"/>
    <w:rsid w:val="00C22463"/>
    <w:rsid w:val="00C2275D"/>
    <w:rsid w:val="00C22AD7"/>
    <w:rsid w:val="00C232A0"/>
    <w:rsid w:val="00C23307"/>
    <w:rsid w:val="00C23EC9"/>
    <w:rsid w:val="00C241D3"/>
    <w:rsid w:val="00C247C3"/>
    <w:rsid w:val="00C253B5"/>
    <w:rsid w:val="00C259A7"/>
    <w:rsid w:val="00C25DDC"/>
    <w:rsid w:val="00C25FD6"/>
    <w:rsid w:val="00C26C57"/>
    <w:rsid w:val="00C27AE2"/>
    <w:rsid w:val="00C27CB6"/>
    <w:rsid w:val="00C3125B"/>
    <w:rsid w:val="00C315D1"/>
    <w:rsid w:val="00C31E2D"/>
    <w:rsid w:val="00C33845"/>
    <w:rsid w:val="00C3389D"/>
    <w:rsid w:val="00C33A82"/>
    <w:rsid w:val="00C33D0C"/>
    <w:rsid w:val="00C3434D"/>
    <w:rsid w:val="00C345E7"/>
    <w:rsid w:val="00C349AE"/>
    <w:rsid w:val="00C34F03"/>
    <w:rsid w:val="00C350D0"/>
    <w:rsid w:val="00C355CA"/>
    <w:rsid w:val="00C35969"/>
    <w:rsid w:val="00C3620E"/>
    <w:rsid w:val="00C36C83"/>
    <w:rsid w:val="00C36E08"/>
    <w:rsid w:val="00C37623"/>
    <w:rsid w:val="00C37815"/>
    <w:rsid w:val="00C37AFE"/>
    <w:rsid w:val="00C4026F"/>
    <w:rsid w:val="00C4071B"/>
    <w:rsid w:val="00C413D4"/>
    <w:rsid w:val="00C42111"/>
    <w:rsid w:val="00C44338"/>
    <w:rsid w:val="00C44CC8"/>
    <w:rsid w:val="00C44CFC"/>
    <w:rsid w:val="00C44D2E"/>
    <w:rsid w:val="00C455A6"/>
    <w:rsid w:val="00C45973"/>
    <w:rsid w:val="00C45EAB"/>
    <w:rsid w:val="00C45F67"/>
    <w:rsid w:val="00C46E90"/>
    <w:rsid w:val="00C473AC"/>
    <w:rsid w:val="00C473F0"/>
    <w:rsid w:val="00C47A04"/>
    <w:rsid w:val="00C505A7"/>
    <w:rsid w:val="00C50AFB"/>
    <w:rsid w:val="00C5109B"/>
    <w:rsid w:val="00C516AB"/>
    <w:rsid w:val="00C51CA4"/>
    <w:rsid w:val="00C51D0C"/>
    <w:rsid w:val="00C51F32"/>
    <w:rsid w:val="00C520BA"/>
    <w:rsid w:val="00C528C4"/>
    <w:rsid w:val="00C52D65"/>
    <w:rsid w:val="00C53088"/>
    <w:rsid w:val="00C53202"/>
    <w:rsid w:val="00C53749"/>
    <w:rsid w:val="00C538E3"/>
    <w:rsid w:val="00C53B9C"/>
    <w:rsid w:val="00C5408D"/>
    <w:rsid w:val="00C54092"/>
    <w:rsid w:val="00C542B2"/>
    <w:rsid w:val="00C5457D"/>
    <w:rsid w:val="00C551A2"/>
    <w:rsid w:val="00C55D2B"/>
    <w:rsid w:val="00C55EC4"/>
    <w:rsid w:val="00C561E4"/>
    <w:rsid w:val="00C56B80"/>
    <w:rsid w:val="00C56CBC"/>
    <w:rsid w:val="00C56FF4"/>
    <w:rsid w:val="00C57297"/>
    <w:rsid w:val="00C57D26"/>
    <w:rsid w:val="00C57EB6"/>
    <w:rsid w:val="00C60073"/>
    <w:rsid w:val="00C60692"/>
    <w:rsid w:val="00C609D5"/>
    <w:rsid w:val="00C60BF7"/>
    <w:rsid w:val="00C6111F"/>
    <w:rsid w:val="00C61168"/>
    <w:rsid w:val="00C61BBC"/>
    <w:rsid w:val="00C61F2D"/>
    <w:rsid w:val="00C6223C"/>
    <w:rsid w:val="00C629DB"/>
    <w:rsid w:val="00C63025"/>
    <w:rsid w:val="00C6321D"/>
    <w:rsid w:val="00C63DE1"/>
    <w:rsid w:val="00C64884"/>
    <w:rsid w:val="00C64AD6"/>
    <w:rsid w:val="00C64E08"/>
    <w:rsid w:val="00C65150"/>
    <w:rsid w:val="00C6536D"/>
    <w:rsid w:val="00C665D2"/>
    <w:rsid w:val="00C66690"/>
    <w:rsid w:val="00C6685B"/>
    <w:rsid w:val="00C66C01"/>
    <w:rsid w:val="00C66C3D"/>
    <w:rsid w:val="00C70679"/>
    <w:rsid w:val="00C71012"/>
    <w:rsid w:val="00C71755"/>
    <w:rsid w:val="00C71C7A"/>
    <w:rsid w:val="00C71D08"/>
    <w:rsid w:val="00C71F18"/>
    <w:rsid w:val="00C722B5"/>
    <w:rsid w:val="00C72FBD"/>
    <w:rsid w:val="00C73777"/>
    <w:rsid w:val="00C73A7E"/>
    <w:rsid w:val="00C73FB8"/>
    <w:rsid w:val="00C74A68"/>
    <w:rsid w:val="00C74A9D"/>
    <w:rsid w:val="00C757A4"/>
    <w:rsid w:val="00C76A0A"/>
    <w:rsid w:val="00C76F82"/>
    <w:rsid w:val="00C77604"/>
    <w:rsid w:val="00C77A4D"/>
    <w:rsid w:val="00C80A52"/>
    <w:rsid w:val="00C80B8C"/>
    <w:rsid w:val="00C80C09"/>
    <w:rsid w:val="00C80D0A"/>
    <w:rsid w:val="00C81099"/>
    <w:rsid w:val="00C82F54"/>
    <w:rsid w:val="00C82F99"/>
    <w:rsid w:val="00C83AFD"/>
    <w:rsid w:val="00C83F37"/>
    <w:rsid w:val="00C84029"/>
    <w:rsid w:val="00C8535A"/>
    <w:rsid w:val="00C85396"/>
    <w:rsid w:val="00C8561C"/>
    <w:rsid w:val="00C86E5F"/>
    <w:rsid w:val="00C871CA"/>
    <w:rsid w:val="00C8729D"/>
    <w:rsid w:val="00C87BC2"/>
    <w:rsid w:val="00C87FD4"/>
    <w:rsid w:val="00C90417"/>
    <w:rsid w:val="00C9042A"/>
    <w:rsid w:val="00C90A3E"/>
    <w:rsid w:val="00C91CC1"/>
    <w:rsid w:val="00C91E2A"/>
    <w:rsid w:val="00C924E2"/>
    <w:rsid w:val="00C9254E"/>
    <w:rsid w:val="00C92932"/>
    <w:rsid w:val="00C933B3"/>
    <w:rsid w:val="00C93C5E"/>
    <w:rsid w:val="00C93E33"/>
    <w:rsid w:val="00C9420D"/>
    <w:rsid w:val="00C94799"/>
    <w:rsid w:val="00C94A2F"/>
    <w:rsid w:val="00C952CA"/>
    <w:rsid w:val="00C95402"/>
    <w:rsid w:val="00C965B7"/>
    <w:rsid w:val="00C96C7A"/>
    <w:rsid w:val="00C97B8F"/>
    <w:rsid w:val="00C97C3A"/>
    <w:rsid w:val="00CA096C"/>
    <w:rsid w:val="00CA124F"/>
    <w:rsid w:val="00CA1C28"/>
    <w:rsid w:val="00CA1C88"/>
    <w:rsid w:val="00CA3879"/>
    <w:rsid w:val="00CA3DB4"/>
    <w:rsid w:val="00CA3F6E"/>
    <w:rsid w:val="00CA4A01"/>
    <w:rsid w:val="00CA4D27"/>
    <w:rsid w:val="00CA4D54"/>
    <w:rsid w:val="00CA6136"/>
    <w:rsid w:val="00CA665A"/>
    <w:rsid w:val="00CA6681"/>
    <w:rsid w:val="00CA743C"/>
    <w:rsid w:val="00CA7707"/>
    <w:rsid w:val="00CA7A3E"/>
    <w:rsid w:val="00CA7C0D"/>
    <w:rsid w:val="00CA7E3D"/>
    <w:rsid w:val="00CA7FC9"/>
    <w:rsid w:val="00CB0510"/>
    <w:rsid w:val="00CB08E6"/>
    <w:rsid w:val="00CB1553"/>
    <w:rsid w:val="00CB1E0C"/>
    <w:rsid w:val="00CB21E8"/>
    <w:rsid w:val="00CB2BBB"/>
    <w:rsid w:val="00CB3963"/>
    <w:rsid w:val="00CB3D3D"/>
    <w:rsid w:val="00CB3D86"/>
    <w:rsid w:val="00CB412F"/>
    <w:rsid w:val="00CB44A7"/>
    <w:rsid w:val="00CB4632"/>
    <w:rsid w:val="00CB464E"/>
    <w:rsid w:val="00CB47EA"/>
    <w:rsid w:val="00CB48DD"/>
    <w:rsid w:val="00CB4D82"/>
    <w:rsid w:val="00CB4EFF"/>
    <w:rsid w:val="00CB5164"/>
    <w:rsid w:val="00CB53C3"/>
    <w:rsid w:val="00CB5822"/>
    <w:rsid w:val="00CB5922"/>
    <w:rsid w:val="00CB621B"/>
    <w:rsid w:val="00CB6776"/>
    <w:rsid w:val="00CB6F76"/>
    <w:rsid w:val="00CB718A"/>
    <w:rsid w:val="00CB7298"/>
    <w:rsid w:val="00CB7E72"/>
    <w:rsid w:val="00CB7E7B"/>
    <w:rsid w:val="00CC015A"/>
    <w:rsid w:val="00CC106A"/>
    <w:rsid w:val="00CC182B"/>
    <w:rsid w:val="00CC2080"/>
    <w:rsid w:val="00CC2638"/>
    <w:rsid w:val="00CC348A"/>
    <w:rsid w:val="00CC3C8F"/>
    <w:rsid w:val="00CC3E88"/>
    <w:rsid w:val="00CC4142"/>
    <w:rsid w:val="00CC4E10"/>
    <w:rsid w:val="00CC5B95"/>
    <w:rsid w:val="00CC6786"/>
    <w:rsid w:val="00CC6F5B"/>
    <w:rsid w:val="00CC7802"/>
    <w:rsid w:val="00CD023D"/>
    <w:rsid w:val="00CD0DBD"/>
    <w:rsid w:val="00CD149F"/>
    <w:rsid w:val="00CD1BE7"/>
    <w:rsid w:val="00CD1F6C"/>
    <w:rsid w:val="00CD2113"/>
    <w:rsid w:val="00CD2E32"/>
    <w:rsid w:val="00CD337F"/>
    <w:rsid w:val="00CD3DC1"/>
    <w:rsid w:val="00CD3DDC"/>
    <w:rsid w:val="00CD5891"/>
    <w:rsid w:val="00CD5EB6"/>
    <w:rsid w:val="00CD695E"/>
    <w:rsid w:val="00CD6D6D"/>
    <w:rsid w:val="00CD719D"/>
    <w:rsid w:val="00CD7230"/>
    <w:rsid w:val="00CD7BC3"/>
    <w:rsid w:val="00CE00D0"/>
    <w:rsid w:val="00CE0B56"/>
    <w:rsid w:val="00CE0D9C"/>
    <w:rsid w:val="00CE16AF"/>
    <w:rsid w:val="00CE2A64"/>
    <w:rsid w:val="00CE309C"/>
    <w:rsid w:val="00CE3463"/>
    <w:rsid w:val="00CE3B54"/>
    <w:rsid w:val="00CE46B3"/>
    <w:rsid w:val="00CE4818"/>
    <w:rsid w:val="00CE504D"/>
    <w:rsid w:val="00CE63AD"/>
    <w:rsid w:val="00CE6F0A"/>
    <w:rsid w:val="00CE729F"/>
    <w:rsid w:val="00CE78E5"/>
    <w:rsid w:val="00CE7B9E"/>
    <w:rsid w:val="00CE7C56"/>
    <w:rsid w:val="00CE7C5B"/>
    <w:rsid w:val="00CE7CAB"/>
    <w:rsid w:val="00CF1121"/>
    <w:rsid w:val="00CF12A9"/>
    <w:rsid w:val="00CF1888"/>
    <w:rsid w:val="00CF1A31"/>
    <w:rsid w:val="00CF2438"/>
    <w:rsid w:val="00CF2A22"/>
    <w:rsid w:val="00CF34A5"/>
    <w:rsid w:val="00CF36FE"/>
    <w:rsid w:val="00CF3ECC"/>
    <w:rsid w:val="00CF4043"/>
    <w:rsid w:val="00CF42D2"/>
    <w:rsid w:val="00CF45D5"/>
    <w:rsid w:val="00CF46E7"/>
    <w:rsid w:val="00CF4A00"/>
    <w:rsid w:val="00CF55C7"/>
    <w:rsid w:val="00CF5FB2"/>
    <w:rsid w:val="00CF6C9C"/>
    <w:rsid w:val="00CF6D83"/>
    <w:rsid w:val="00CF722E"/>
    <w:rsid w:val="00D00070"/>
    <w:rsid w:val="00D0236A"/>
    <w:rsid w:val="00D02EA4"/>
    <w:rsid w:val="00D03729"/>
    <w:rsid w:val="00D03AF9"/>
    <w:rsid w:val="00D03D20"/>
    <w:rsid w:val="00D04221"/>
    <w:rsid w:val="00D04354"/>
    <w:rsid w:val="00D045E3"/>
    <w:rsid w:val="00D050F9"/>
    <w:rsid w:val="00D051EC"/>
    <w:rsid w:val="00D054FB"/>
    <w:rsid w:val="00D05848"/>
    <w:rsid w:val="00D059F6"/>
    <w:rsid w:val="00D05C68"/>
    <w:rsid w:val="00D05F4E"/>
    <w:rsid w:val="00D06921"/>
    <w:rsid w:val="00D06922"/>
    <w:rsid w:val="00D06F4F"/>
    <w:rsid w:val="00D0795F"/>
    <w:rsid w:val="00D079C8"/>
    <w:rsid w:val="00D115EC"/>
    <w:rsid w:val="00D1172F"/>
    <w:rsid w:val="00D11BB4"/>
    <w:rsid w:val="00D11D0E"/>
    <w:rsid w:val="00D11E43"/>
    <w:rsid w:val="00D11E4F"/>
    <w:rsid w:val="00D1247D"/>
    <w:rsid w:val="00D12573"/>
    <w:rsid w:val="00D12D7F"/>
    <w:rsid w:val="00D12DB3"/>
    <w:rsid w:val="00D13A74"/>
    <w:rsid w:val="00D13EB7"/>
    <w:rsid w:val="00D1415C"/>
    <w:rsid w:val="00D146A1"/>
    <w:rsid w:val="00D14A58"/>
    <w:rsid w:val="00D15443"/>
    <w:rsid w:val="00D15520"/>
    <w:rsid w:val="00D159EC"/>
    <w:rsid w:val="00D160A1"/>
    <w:rsid w:val="00D16953"/>
    <w:rsid w:val="00D172ED"/>
    <w:rsid w:val="00D174DE"/>
    <w:rsid w:val="00D1764B"/>
    <w:rsid w:val="00D17C2E"/>
    <w:rsid w:val="00D17C39"/>
    <w:rsid w:val="00D201AB"/>
    <w:rsid w:val="00D20401"/>
    <w:rsid w:val="00D22559"/>
    <w:rsid w:val="00D22816"/>
    <w:rsid w:val="00D228D8"/>
    <w:rsid w:val="00D22CA4"/>
    <w:rsid w:val="00D22DEB"/>
    <w:rsid w:val="00D236A5"/>
    <w:rsid w:val="00D23846"/>
    <w:rsid w:val="00D239B0"/>
    <w:rsid w:val="00D23B3D"/>
    <w:rsid w:val="00D244DA"/>
    <w:rsid w:val="00D248DA"/>
    <w:rsid w:val="00D24C0E"/>
    <w:rsid w:val="00D24E2C"/>
    <w:rsid w:val="00D25EBA"/>
    <w:rsid w:val="00D269D2"/>
    <w:rsid w:val="00D26FAE"/>
    <w:rsid w:val="00D27115"/>
    <w:rsid w:val="00D274FB"/>
    <w:rsid w:val="00D3039A"/>
    <w:rsid w:val="00D3089B"/>
    <w:rsid w:val="00D31532"/>
    <w:rsid w:val="00D31B85"/>
    <w:rsid w:val="00D324DF"/>
    <w:rsid w:val="00D33528"/>
    <w:rsid w:val="00D33E2F"/>
    <w:rsid w:val="00D3409B"/>
    <w:rsid w:val="00D345EE"/>
    <w:rsid w:val="00D34D1E"/>
    <w:rsid w:val="00D35531"/>
    <w:rsid w:val="00D35C40"/>
    <w:rsid w:val="00D405CD"/>
    <w:rsid w:val="00D4083B"/>
    <w:rsid w:val="00D41227"/>
    <w:rsid w:val="00D41252"/>
    <w:rsid w:val="00D41B3B"/>
    <w:rsid w:val="00D41BED"/>
    <w:rsid w:val="00D42130"/>
    <w:rsid w:val="00D421D6"/>
    <w:rsid w:val="00D42C2C"/>
    <w:rsid w:val="00D4340F"/>
    <w:rsid w:val="00D4352A"/>
    <w:rsid w:val="00D4356F"/>
    <w:rsid w:val="00D43B38"/>
    <w:rsid w:val="00D43C37"/>
    <w:rsid w:val="00D43D3E"/>
    <w:rsid w:val="00D43DC0"/>
    <w:rsid w:val="00D442BC"/>
    <w:rsid w:val="00D44C43"/>
    <w:rsid w:val="00D44D3E"/>
    <w:rsid w:val="00D44FB5"/>
    <w:rsid w:val="00D45391"/>
    <w:rsid w:val="00D46E0F"/>
    <w:rsid w:val="00D4718A"/>
    <w:rsid w:val="00D479BA"/>
    <w:rsid w:val="00D479EB"/>
    <w:rsid w:val="00D47B77"/>
    <w:rsid w:val="00D509AF"/>
    <w:rsid w:val="00D50A38"/>
    <w:rsid w:val="00D50A45"/>
    <w:rsid w:val="00D50A58"/>
    <w:rsid w:val="00D50B75"/>
    <w:rsid w:val="00D510D5"/>
    <w:rsid w:val="00D5116F"/>
    <w:rsid w:val="00D519BA"/>
    <w:rsid w:val="00D51D98"/>
    <w:rsid w:val="00D51F99"/>
    <w:rsid w:val="00D528B0"/>
    <w:rsid w:val="00D5294B"/>
    <w:rsid w:val="00D52A8D"/>
    <w:rsid w:val="00D52F69"/>
    <w:rsid w:val="00D53C54"/>
    <w:rsid w:val="00D53CB2"/>
    <w:rsid w:val="00D53EFA"/>
    <w:rsid w:val="00D540B8"/>
    <w:rsid w:val="00D5448A"/>
    <w:rsid w:val="00D5500E"/>
    <w:rsid w:val="00D55DBF"/>
    <w:rsid w:val="00D572CB"/>
    <w:rsid w:val="00D5742E"/>
    <w:rsid w:val="00D609DE"/>
    <w:rsid w:val="00D60E20"/>
    <w:rsid w:val="00D62448"/>
    <w:rsid w:val="00D624D2"/>
    <w:rsid w:val="00D626B0"/>
    <w:rsid w:val="00D62C4C"/>
    <w:rsid w:val="00D6346A"/>
    <w:rsid w:val="00D63649"/>
    <w:rsid w:val="00D638AB"/>
    <w:rsid w:val="00D64109"/>
    <w:rsid w:val="00D64BCA"/>
    <w:rsid w:val="00D6520F"/>
    <w:rsid w:val="00D655D2"/>
    <w:rsid w:val="00D65CB0"/>
    <w:rsid w:val="00D7024C"/>
    <w:rsid w:val="00D70CFA"/>
    <w:rsid w:val="00D71874"/>
    <w:rsid w:val="00D71EE6"/>
    <w:rsid w:val="00D71F2E"/>
    <w:rsid w:val="00D72506"/>
    <w:rsid w:val="00D733BB"/>
    <w:rsid w:val="00D73F48"/>
    <w:rsid w:val="00D74292"/>
    <w:rsid w:val="00D74F3E"/>
    <w:rsid w:val="00D7514D"/>
    <w:rsid w:val="00D7593B"/>
    <w:rsid w:val="00D75B80"/>
    <w:rsid w:val="00D760F7"/>
    <w:rsid w:val="00D77765"/>
    <w:rsid w:val="00D77795"/>
    <w:rsid w:val="00D800B0"/>
    <w:rsid w:val="00D801E8"/>
    <w:rsid w:val="00D80783"/>
    <w:rsid w:val="00D81DFB"/>
    <w:rsid w:val="00D821A5"/>
    <w:rsid w:val="00D82F80"/>
    <w:rsid w:val="00D832C0"/>
    <w:rsid w:val="00D83325"/>
    <w:rsid w:val="00D844DE"/>
    <w:rsid w:val="00D848B0"/>
    <w:rsid w:val="00D84CCC"/>
    <w:rsid w:val="00D84EE5"/>
    <w:rsid w:val="00D8509E"/>
    <w:rsid w:val="00D85ABC"/>
    <w:rsid w:val="00D85C57"/>
    <w:rsid w:val="00D85EC0"/>
    <w:rsid w:val="00D85FC8"/>
    <w:rsid w:val="00D861AD"/>
    <w:rsid w:val="00D861C0"/>
    <w:rsid w:val="00D86776"/>
    <w:rsid w:val="00D87406"/>
    <w:rsid w:val="00D87626"/>
    <w:rsid w:val="00D87917"/>
    <w:rsid w:val="00D91651"/>
    <w:rsid w:val="00D921F4"/>
    <w:rsid w:val="00D9231C"/>
    <w:rsid w:val="00D9260B"/>
    <w:rsid w:val="00D92718"/>
    <w:rsid w:val="00D92CDB"/>
    <w:rsid w:val="00D939F8"/>
    <w:rsid w:val="00D93E6C"/>
    <w:rsid w:val="00D9407C"/>
    <w:rsid w:val="00D94590"/>
    <w:rsid w:val="00D95083"/>
    <w:rsid w:val="00D955CE"/>
    <w:rsid w:val="00D95949"/>
    <w:rsid w:val="00D95B90"/>
    <w:rsid w:val="00D95EC7"/>
    <w:rsid w:val="00D96227"/>
    <w:rsid w:val="00D96BB6"/>
    <w:rsid w:val="00D96D35"/>
    <w:rsid w:val="00D9765B"/>
    <w:rsid w:val="00D97797"/>
    <w:rsid w:val="00D97923"/>
    <w:rsid w:val="00D97CDF"/>
    <w:rsid w:val="00D97DA8"/>
    <w:rsid w:val="00D97EB3"/>
    <w:rsid w:val="00DA0477"/>
    <w:rsid w:val="00DA04A8"/>
    <w:rsid w:val="00DA04DC"/>
    <w:rsid w:val="00DA0E9B"/>
    <w:rsid w:val="00DA1119"/>
    <w:rsid w:val="00DA1CF2"/>
    <w:rsid w:val="00DA2143"/>
    <w:rsid w:val="00DA2F77"/>
    <w:rsid w:val="00DA3996"/>
    <w:rsid w:val="00DA4035"/>
    <w:rsid w:val="00DA44FE"/>
    <w:rsid w:val="00DA484B"/>
    <w:rsid w:val="00DA4AB7"/>
    <w:rsid w:val="00DA6388"/>
    <w:rsid w:val="00DA6D90"/>
    <w:rsid w:val="00DA7812"/>
    <w:rsid w:val="00DA7B52"/>
    <w:rsid w:val="00DB0413"/>
    <w:rsid w:val="00DB12DF"/>
    <w:rsid w:val="00DB1538"/>
    <w:rsid w:val="00DB17DE"/>
    <w:rsid w:val="00DB2496"/>
    <w:rsid w:val="00DB24BD"/>
    <w:rsid w:val="00DB27B6"/>
    <w:rsid w:val="00DB2DBB"/>
    <w:rsid w:val="00DB33FE"/>
    <w:rsid w:val="00DB3D94"/>
    <w:rsid w:val="00DB52C6"/>
    <w:rsid w:val="00DB534B"/>
    <w:rsid w:val="00DB65AF"/>
    <w:rsid w:val="00DB67BC"/>
    <w:rsid w:val="00DB6BD8"/>
    <w:rsid w:val="00DB70C5"/>
    <w:rsid w:val="00DB7696"/>
    <w:rsid w:val="00DB7926"/>
    <w:rsid w:val="00DC0128"/>
    <w:rsid w:val="00DC024B"/>
    <w:rsid w:val="00DC11B7"/>
    <w:rsid w:val="00DC1795"/>
    <w:rsid w:val="00DC1810"/>
    <w:rsid w:val="00DC205B"/>
    <w:rsid w:val="00DC26BC"/>
    <w:rsid w:val="00DC43A8"/>
    <w:rsid w:val="00DC4483"/>
    <w:rsid w:val="00DC4C7E"/>
    <w:rsid w:val="00DC4EBD"/>
    <w:rsid w:val="00DC58B1"/>
    <w:rsid w:val="00DC63F3"/>
    <w:rsid w:val="00DC6876"/>
    <w:rsid w:val="00DC6D5A"/>
    <w:rsid w:val="00DC6D5B"/>
    <w:rsid w:val="00DD0D3D"/>
    <w:rsid w:val="00DD0EB0"/>
    <w:rsid w:val="00DD0EE7"/>
    <w:rsid w:val="00DD1C4C"/>
    <w:rsid w:val="00DD2E60"/>
    <w:rsid w:val="00DD3040"/>
    <w:rsid w:val="00DD35A6"/>
    <w:rsid w:val="00DD3A7E"/>
    <w:rsid w:val="00DD3CB7"/>
    <w:rsid w:val="00DD3EDF"/>
    <w:rsid w:val="00DD465A"/>
    <w:rsid w:val="00DD4776"/>
    <w:rsid w:val="00DD47FB"/>
    <w:rsid w:val="00DD4AB2"/>
    <w:rsid w:val="00DD5A96"/>
    <w:rsid w:val="00DD5E7A"/>
    <w:rsid w:val="00DD6E76"/>
    <w:rsid w:val="00DD764E"/>
    <w:rsid w:val="00DD7968"/>
    <w:rsid w:val="00DD7A0A"/>
    <w:rsid w:val="00DD7AD2"/>
    <w:rsid w:val="00DD7D48"/>
    <w:rsid w:val="00DE0207"/>
    <w:rsid w:val="00DE0249"/>
    <w:rsid w:val="00DE16BF"/>
    <w:rsid w:val="00DE16ED"/>
    <w:rsid w:val="00DE1B6E"/>
    <w:rsid w:val="00DE239B"/>
    <w:rsid w:val="00DE2D22"/>
    <w:rsid w:val="00DE2ECA"/>
    <w:rsid w:val="00DE3163"/>
    <w:rsid w:val="00DE357F"/>
    <w:rsid w:val="00DE3654"/>
    <w:rsid w:val="00DE3CA5"/>
    <w:rsid w:val="00DE4BEC"/>
    <w:rsid w:val="00DE516B"/>
    <w:rsid w:val="00DE544F"/>
    <w:rsid w:val="00DE5CB9"/>
    <w:rsid w:val="00DE65AC"/>
    <w:rsid w:val="00DE6682"/>
    <w:rsid w:val="00DE6BBF"/>
    <w:rsid w:val="00DE72EC"/>
    <w:rsid w:val="00DE7858"/>
    <w:rsid w:val="00DE797D"/>
    <w:rsid w:val="00DF04C6"/>
    <w:rsid w:val="00DF0A32"/>
    <w:rsid w:val="00DF1241"/>
    <w:rsid w:val="00DF12A2"/>
    <w:rsid w:val="00DF2652"/>
    <w:rsid w:val="00DF36C3"/>
    <w:rsid w:val="00DF37E1"/>
    <w:rsid w:val="00DF3BD0"/>
    <w:rsid w:val="00DF3D3D"/>
    <w:rsid w:val="00DF4108"/>
    <w:rsid w:val="00DF4110"/>
    <w:rsid w:val="00DF45B3"/>
    <w:rsid w:val="00DF4817"/>
    <w:rsid w:val="00DF4911"/>
    <w:rsid w:val="00DF4989"/>
    <w:rsid w:val="00DF4C93"/>
    <w:rsid w:val="00DF4E3E"/>
    <w:rsid w:val="00DF507E"/>
    <w:rsid w:val="00DF581C"/>
    <w:rsid w:val="00DF6464"/>
    <w:rsid w:val="00DF6499"/>
    <w:rsid w:val="00DF6FE7"/>
    <w:rsid w:val="00E000B8"/>
    <w:rsid w:val="00E006B3"/>
    <w:rsid w:val="00E00D37"/>
    <w:rsid w:val="00E011C2"/>
    <w:rsid w:val="00E01625"/>
    <w:rsid w:val="00E016BB"/>
    <w:rsid w:val="00E02966"/>
    <w:rsid w:val="00E02F16"/>
    <w:rsid w:val="00E0356C"/>
    <w:rsid w:val="00E0382E"/>
    <w:rsid w:val="00E03B08"/>
    <w:rsid w:val="00E03FE4"/>
    <w:rsid w:val="00E045DA"/>
    <w:rsid w:val="00E049F9"/>
    <w:rsid w:val="00E04B4D"/>
    <w:rsid w:val="00E04B8E"/>
    <w:rsid w:val="00E05920"/>
    <w:rsid w:val="00E05F59"/>
    <w:rsid w:val="00E065F7"/>
    <w:rsid w:val="00E0673E"/>
    <w:rsid w:val="00E06EB6"/>
    <w:rsid w:val="00E076F7"/>
    <w:rsid w:val="00E07790"/>
    <w:rsid w:val="00E07C2D"/>
    <w:rsid w:val="00E109C4"/>
    <w:rsid w:val="00E10B9A"/>
    <w:rsid w:val="00E10C16"/>
    <w:rsid w:val="00E10CB2"/>
    <w:rsid w:val="00E1107B"/>
    <w:rsid w:val="00E11A45"/>
    <w:rsid w:val="00E1248B"/>
    <w:rsid w:val="00E13DFF"/>
    <w:rsid w:val="00E13EBB"/>
    <w:rsid w:val="00E141A7"/>
    <w:rsid w:val="00E142DA"/>
    <w:rsid w:val="00E144A7"/>
    <w:rsid w:val="00E148C7"/>
    <w:rsid w:val="00E159A3"/>
    <w:rsid w:val="00E15B1B"/>
    <w:rsid w:val="00E15EC5"/>
    <w:rsid w:val="00E1621A"/>
    <w:rsid w:val="00E16DDF"/>
    <w:rsid w:val="00E17CD7"/>
    <w:rsid w:val="00E20041"/>
    <w:rsid w:val="00E20B89"/>
    <w:rsid w:val="00E2259C"/>
    <w:rsid w:val="00E22686"/>
    <w:rsid w:val="00E22BCD"/>
    <w:rsid w:val="00E23251"/>
    <w:rsid w:val="00E23849"/>
    <w:rsid w:val="00E23875"/>
    <w:rsid w:val="00E23E81"/>
    <w:rsid w:val="00E23EB3"/>
    <w:rsid w:val="00E24432"/>
    <w:rsid w:val="00E24466"/>
    <w:rsid w:val="00E2457B"/>
    <w:rsid w:val="00E2548A"/>
    <w:rsid w:val="00E25666"/>
    <w:rsid w:val="00E25E3E"/>
    <w:rsid w:val="00E260D6"/>
    <w:rsid w:val="00E2632F"/>
    <w:rsid w:val="00E266E4"/>
    <w:rsid w:val="00E27C9F"/>
    <w:rsid w:val="00E30067"/>
    <w:rsid w:val="00E3049C"/>
    <w:rsid w:val="00E304F8"/>
    <w:rsid w:val="00E307C9"/>
    <w:rsid w:val="00E31381"/>
    <w:rsid w:val="00E314AE"/>
    <w:rsid w:val="00E317DA"/>
    <w:rsid w:val="00E31A0F"/>
    <w:rsid w:val="00E31D3F"/>
    <w:rsid w:val="00E32652"/>
    <w:rsid w:val="00E32EB0"/>
    <w:rsid w:val="00E332E8"/>
    <w:rsid w:val="00E333AF"/>
    <w:rsid w:val="00E34BB2"/>
    <w:rsid w:val="00E34FE0"/>
    <w:rsid w:val="00E3542F"/>
    <w:rsid w:val="00E365EE"/>
    <w:rsid w:val="00E3685C"/>
    <w:rsid w:val="00E37289"/>
    <w:rsid w:val="00E37621"/>
    <w:rsid w:val="00E400F7"/>
    <w:rsid w:val="00E406ED"/>
    <w:rsid w:val="00E41700"/>
    <w:rsid w:val="00E41861"/>
    <w:rsid w:val="00E42D86"/>
    <w:rsid w:val="00E4302C"/>
    <w:rsid w:val="00E43495"/>
    <w:rsid w:val="00E44A11"/>
    <w:rsid w:val="00E44E55"/>
    <w:rsid w:val="00E4524D"/>
    <w:rsid w:val="00E45B70"/>
    <w:rsid w:val="00E45D63"/>
    <w:rsid w:val="00E47086"/>
    <w:rsid w:val="00E47BA8"/>
    <w:rsid w:val="00E47E6B"/>
    <w:rsid w:val="00E47E71"/>
    <w:rsid w:val="00E50DB9"/>
    <w:rsid w:val="00E51313"/>
    <w:rsid w:val="00E5179C"/>
    <w:rsid w:val="00E51A0B"/>
    <w:rsid w:val="00E51C6C"/>
    <w:rsid w:val="00E51EDE"/>
    <w:rsid w:val="00E51FB5"/>
    <w:rsid w:val="00E51FED"/>
    <w:rsid w:val="00E529BC"/>
    <w:rsid w:val="00E541ED"/>
    <w:rsid w:val="00E5424D"/>
    <w:rsid w:val="00E54ADC"/>
    <w:rsid w:val="00E54E64"/>
    <w:rsid w:val="00E54F24"/>
    <w:rsid w:val="00E55B17"/>
    <w:rsid w:val="00E55E4E"/>
    <w:rsid w:val="00E56ED8"/>
    <w:rsid w:val="00E57108"/>
    <w:rsid w:val="00E5724E"/>
    <w:rsid w:val="00E57261"/>
    <w:rsid w:val="00E5751F"/>
    <w:rsid w:val="00E576DF"/>
    <w:rsid w:val="00E57BC4"/>
    <w:rsid w:val="00E57C59"/>
    <w:rsid w:val="00E60826"/>
    <w:rsid w:val="00E61565"/>
    <w:rsid w:val="00E61B7F"/>
    <w:rsid w:val="00E62146"/>
    <w:rsid w:val="00E62822"/>
    <w:rsid w:val="00E6288E"/>
    <w:rsid w:val="00E62916"/>
    <w:rsid w:val="00E62DE3"/>
    <w:rsid w:val="00E636A9"/>
    <w:rsid w:val="00E638A0"/>
    <w:rsid w:val="00E63C4C"/>
    <w:rsid w:val="00E6425C"/>
    <w:rsid w:val="00E64819"/>
    <w:rsid w:val="00E65048"/>
    <w:rsid w:val="00E6542B"/>
    <w:rsid w:val="00E65F18"/>
    <w:rsid w:val="00E663AA"/>
    <w:rsid w:val="00E6661C"/>
    <w:rsid w:val="00E66857"/>
    <w:rsid w:val="00E67043"/>
    <w:rsid w:val="00E6708A"/>
    <w:rsid w:val="00E67163"/>
    <w:rsid w:val="00E67675"/>
    <w:rsid w:val="00E71081"/>
    <w:rsid w:val="00E725EC"/>
    <w:rsid w:val="00E72B90"/>
    <w:rsid w:val="00E72E6F"/>
    <w:rsid w:val="00E73361"/>
    <w:rsid w:val="00E733C3"/>
    <w:rsid w:val="00E743E3"/>
    <w:rsid w:val="00E75CF5"/>
    <w:rsid w:val="00E7671D"/>
    <w:rsid w:val="00E773BA"/>
    <w:rsid w:val="00E7775C"/>
    <w:rsid w:val="00E80579"/>
    <w:rsid w:val="00E81381"/>
    <w:rsid w:val="00E8200B"/>
    <w:rsid w:val="00E82688"/>
    <w:rsid w:val="00E82ADC"/>
    <w:rsid w:val="00E83901"/>
    <w:rsid w:val="00E83B77"/>
    <w:rsid w:val="00E8419E"/>
    <w:rsid w:val="00E8488F"/>
    <w:rsid w:val="00E8531A"/>
    <w:rsid w:val="00E855AA"/>
    <w:rsid w:val="00E85CD2"/>
    <w:rsid w:val="00E861CF"/>
    <w:rsid w:val="00E863A2"/>
    <w:rsid w:val="00E86525"/>
    <w:rsid w:val="00E86DFB"/>
    <w:rsid w:val="00E86FAD"/>
    <w:rsid w:val="00E8718B"/>
    <w:rsid w:val="00E87285"/>
    <w:rsid w:val="00E87C2C"/>
    <w:rsid w:val="00E87D3D"/>
    <w:rsid w:val="00E87D4B"/>
    <w:rsid w:val="00E90099"/>
    <w:rsid w:val="00E91139"/>
    <w:rsid w:val="00E91215"/>
    <w:rsid w:val="00E91929"/>
    <w:rsid w:val="00E929D3"/>
    <w:rsid w:val="00E92A0D"/>
    <w:rsid w:val="00E92BB6"/>
    <w:rsid w:val="00E93388"/>
    <w:rsid w:val="00E93E0C"/>
    <w:rsid w:val="00E94B68"/>
    <w:rsid w:val="00E9534D"/>
    <w:rsid w:val="00E959D9"/>
    <w:rsid w:val="00E95FFD"/>
    <w:rsid w:val="00E96043"/>
    <w:rsid w:val="00E96703"/>
    <w:rsid w:val="00E96B80"/>
    <w:rsid w:val="00E96CC7"/>
    <w:rsid w:val="00E96E21"/>
    <w:rsid w:val="00EA0769"/>
    <w:rsid w:val="00EA18E9"/>
    <w:rsid w:val="00EA19E6"/>
    <w:rsid w:val="00EA21B5"/>
    <w:rsid w:val="00EA2662"/>
    <w:rsid w:val="00EA2977"/>
    <w:rsid w:val="00EA2C49"/>
    <w:rsid w:val="00EA3584"/>
    <w:rsid w:val="00EA4372"/>
    <w:rsid w:val="00EA450D"/>
    <w:rsid w:val="00EA4D7F"/>
    <w:rsid w:val="00EA50B1"/>
    <w:rsid w:val="00EA5BE5"/>
    <w:rsid w:val="00EA5D4C"/>
    <w:rsid w:val="00EA5EA2"/>
    <w:rsid w:val="00EA6228"/>
    <w:rsid w:val="00EA632A"/>
    <w:rsid w:val="00EA65F8"/>
    <w:rsid w:val="00EA6988"/>
    <w:rsid w:val="00EA7570"/>
    <w:rsid w:val="00EA7EFC"/>
    <w:rsid w:val="00EA7FAF"/>
    <w:rsid w:val="00EB06C1"/>
    <w:rsid w:val="00EB1C06"/>
    <w:rsid w:val="00EB2579"/>
    <w:rsid w:val="00EB2AE5"/>
    <w:rsid w:val="00EB3286"/>
    <w:rsid w:val="00EB32BF"/>
    <w:rsid w:val="00EB3BC6"/>
    <w:rsid w:val="00EB3C02"/>
    <w:rsid w:val="00EB3EBA"/>
    <w:rsid w:val="00EB48A1"/>
    <w:rsid w:val="00EB4933"/>
    <w:rsid w:val="00EB4BC0"/>
    <w:rsid w:val="00EB6E9F"/>
    <w:rsid w:val="00EB6FD6"/>
    <w:rsid w:val="00EB7110"/>
    <w:rsid w:val="00EB746D"/>
    <w:rsid w:val="00EB77D5"/>
    <w:rsid w:val="00EB79FE"/>
    <w:rsid w:val="00EC0108"/>
    <w:rsid w:val="00EC0969"/>
    <w:rsid w:val="00EC0AAD"/>
    <w:rsid w:val="00EC0F60"/>
    <w:rsid w:val="00EC1C3A"/>
    <w:rsid w:val="00EC2871"/>
    <w:rsid w:val="00EC31B4"/>
    <w:rsid w:val="00EC3A3F"/>
    <w:rsid w:val="00EC468B"/>
    <w:rsid w:val="00EC4C9C"/>
    <w:rsid w:val="00EC5221"/>
    <w:rsid w:val="00EC536D"/>
    <w:rsid w:val="00EC5AA8"/>
    <w:rsid w:val="00EC5CBD"/>
    <w:rsid w:val="00EC64DA"/>
    <w:rsid w:val="00EC64EB"/>
    <w:rsid w:val="00EC7471"/>
    <w:rsid w:val="00EC7E9B"/>
    <w:rsid w:val="00ED05F6"/>
    <w:rsid w:val="00ED0C3C"/>
    <w:rsid w:val="00ED0D3A"/>
    <w:rsid w:val="00ED2B99"/>
    <w:rsid w:val="00ED2BE4"/>
    <w:rsid w:val="00ED2CA6"/>
    <w:rsid w:val="00ED3706"/>
    <w:rsid w:val="00ED3BE5"/>
    <w:rsid w:val="00ED4364"/>
    <w:rsid w:val="00ED470C"/>
    <w:rsid w:val="00ED5FB8"/>
    <w:rsid w:val="00ED74E1"/>
    <w:rsid w:val="00ED7F07"/>
    <w:rsid w:val="00EE0EFE"/>
    <w:rsid w:val="00EE1431"/>
    <w:rsid w:val="00EE16E2"/>
    <w:rsid w:val="00EE1EB0"/>
    <w:rsid w:val="00EE20F1"/>
    <w:rsid w:val="00EE2186"/>
    <w:rsid w:val="00EE23DA"/>
    <w:rsid w:val="00EE28C9"/>
    <w:rsid w:val="00EE293E"/>
    <w:rsid w:val="00EE2C07"/>
    <w:rsid w:val="00EE2DED"/>
    <w:rsid w:val="00EE30CC"/>
    <w:rsid w:val="00EE31A7"/>
    <w:rsid w:val="00EE31EF"/>
    <w:rsid w:val="00EE41E4"/>
    <w:rsid w:val="00EE4B20"/>
    <w:rsid w:val="00EE5B6E"/>
    <w:rsid w:val="00EE5F3C"/>
    <w:rsid w:val="00EE68E1"/>
    <w:rsid w:val="00EE6E71"/>
    <w:rsid w:val="00EE6FEF"/>
    <w:rsid w:val="00EE73CA"/>
    <w:rsid w:val="00EE7556"/>
    <w:rsid w:val="00EE7D2B"/>
    <w:rsid w:val="00EF0003"/>
    <w:rsid w:val="00EF03CE"/>
    <w:rsid w:val="00EF1584"/>
    <w:rsid w:val="00EF2A63"/>
    <w:rsid w:val="00EF3A05"/>
    <w:rsid w:val="00EF3AE6"/>
    <w:rsid w:val="00EF582F"/>
    <w:rsid w:val="00EF593E"/>
    <w:rsid w:val="00EF6FA9"/>
    <w:rsid w:val="00EF753F"/>
    <w:rsid w:val="00EF7CAB"/>
    <w:rsid w:val="00F0028A"/>
    <w:rsid w:val="00F00CAA"/>
    <w:rsid w:val="00F00CE2"/>
    <w:rsid w:val="00F00E83"/>
    <w:rsid w:val="00F011F3"/>
    <w:rsid w:val="00F01BB3"/>
    <w:rsid w:val="00F02A99"/>
    <w:rsid w:val="00F02B22"/>
    <w:rsid w:val="00F0413B"/>
    <w:rsid w:val="00F04797"/>
    <w:rsid w:val="00F04ABB"/>
    <w:rsid w:val="00F059F6"/>
    <w:rsid w:val="00F068E3"/>
    <w:rsid w:val="00F06E98"/>
    <w:rsid w:val="00F06EA9"/>
    <w:rsid w:val="00F07383"/>
    <w:rsid w:val="00F1036E"/>
    <w:rsid w:val="00F1057A"/>
    <w:rsid w:val="00F107DB"/>
    <w:rsid w:val="00F10C7B"/>
    <w:rsid w:val="00F10D76"/>
    <w:rsid w:val="00F1123C"/>
    <w:rsid w:val="00F1174D"/>
    <w:rsid w:val="00F11A1E"/>
    <w:rsid w:val="00F11BE9"/>
    <w:rsid w:val="00F1213A"/>
    <w:rsid w:val="00F12765"/>
    <w:rsid w:val="00F13765"/>
    <w:rsid w:val="00F14C0C"/>
    <w:rsid w:val="00F1552E"/>
    <w:rsid w:val="00F15729"/>
    <w:rsid w:val="00F16517"/>
    <w:rsid w:val="00F16A07"/>
    <w:rsid w:val="00F17578"/>
    <w:rsid w:val="00F17806"/>
    <w:rsid w:val="00F178B1"/>
    <w:rsid w:val="00F17AC0"/>
    <w:rsid w:val="00F17F0E"/>
    <w:rsid w:val="00F17F40"/>
    <w:rsid w:val="00F20464"/>
    <w:rsid w:val="00F20500"/>
    <w:rsid w:val="00F2054B"/>
    <w:rsid w:val="00F2061A"/>
    <w:rsid w:val="00F20BB5"/>
    <w:rsid w:val="00F21175"/>
    <w:rsid w:val="00F21DB1"/>
    <w:rsid w:val="00F2253B"/>
    <w:rsid w:val="00F22D50"/>
    <w:rsid w:val="00F23A54"/>
    <w:rsid w:val="00F23A79"/>
    <w:rsid w:val="00F251C6"/>
    <w:rsid w:val="00F25815"/>
    <w:rsid w:val="00F25DC0"/>
    <w:rsid w:val="00F26217"/>
    <w:rsid w:val="00F26584"/>
    <w:rsid w:val="00F2705C"/>
    <w:rsid w:val="00F303A3"/>
    <w:rsid w:val="00F30C42"/>
    <w:rsid w:val="00F30E33"/>
    <w:rsid w:val="00F31F72"/>
    <w:rsid w:val="00F32F72"/>
    <w:rsid w:val="00F3300C"/>
    <w:rsid w:val="00F3476D"/>
    <w:rsid w:val="00F35544"/>
    <w:rsid w:val="00F35951"/>
    <w:rsid w:val="00F3599D"/>
    <w:rsid w:val="00F36B6F"/>
    <w:rsid w:val="00F36C94"/>
    <w:rsid w:val="00F378A1"/>
    <w:rsid w:val="00F404E4"/>
    <w:rsid w:val="00F40E5E"/>
    <w:rsid w:val="00F41291"/>
    <w:rsid w:val="00F42A68"/>
    <w:rsid w:val="00F42D28"/>
    <w:rsid w:val="00F42D5E"/>
    <w:rsid w:val="00F42EEE"/>
    <w:rsid w:val="00F43E9B"/>
    <w:rsid w:val="00F44417"/>
    <w:rsid w:val="00F44A05"/>
    <w:rsid w:val="00F45B10"/>
    <w:rsid w:val="00F4647F"/>
    <w:rsid w:val="00F464D4"/>
    <w:rsid w:val="00F46A5E"/>
    <w:rsid w:val="00F46E1F"/>
    <w:rsid w:val="00F47F75"/>
    <w:rsid w:val="00F50C97"/>
    <w:rsid w:val="00F5224C"/>
    <w:rsid w:val="00F52A46"/>
    <w:rsid w:val="00F53059"/>
    <w:rsid w:val="00F53864"/>
    <w:rsid w:val="00F53904"/>
    <w:rsid w:val="00F5398A"/>
    <w:rsid w:val="00F53C2B"/>
    <w:rsid w:val="00F53ED3"/>
    <w:rsid w:val="00F5418A"/>
    <w:rsid w:val="00F553D9"/>
    <w:rsid w:val="00F55C54"/>
    <w:rsid w:val="00F55CB8"/>
    <w:rsid w:val="00F577C4"/>
    <w:rsid w:val="00F60796"/>
    <w:rsid w:val="00F608F8"/>
    <w:rsid w:val="00F60ED9"/>
    <w:rsid w:val="00F60FC7"/>
    <w:rsid w:val="00F615ED"/>
    <w:rsid w:val="00F61769"/>
    <w:rsid w:val="00F61F99"/>
    <w:rsid w:val="00F62332"/>
    <w:rsid w:val="00F630A3"/>
    <w:rsid w:val="00F630C0"/>
    <w:rsid w:val="00F6348A"/>
    <w:rsid w:val="00F646AE"/>
    <w:rsid w:val="00F64B08"/>
    <w:rsid w:val="00F65067"/>
    <w:rsid w:val="00F656B0"/>
    <w:rsid w:val="00F658AD"/>
    <w:rsid w:val="00F65B2A"/>
    <w:rsid w:val="00F66866"/>
    <w:rsid w:val="00F66D21"/>
    <w:rsid w:val="00F66F1F"/>
    <w:rsid w:val="00F66F7C"/>
    <w:rsid w:val="00F67343"/>
    <w:rsid w:val="00F67812"/>
    <w:rsid w:val="00F6791D"/>
    <w:rsid w:val="00F70D74"/>
    <w:rsid w:val="00F70EE2"/>
    <w:rsid w:val="00F7170F"/>
    <w:rsid w:val="00F71A8E"/>
    <w:rsid w:val="00F71BA1"/>
    <w:rsid w:val="00F71CC4"/>
    <w:rsid w:val="00F72326"/>
    <w:rsid w:val="00F72BE3"/>
    <w:rsid w:val="00F72EC9"/>
    <w:rsid w:val="00F73287"/>
    <w:rsid w:val="00F733F1"/>
    <w:rsid w:val="00F73585"/>
    <w:rsid w:val="00F747CD"/>
    <w:rsid w:val="00F749C1"/>
    <w:rsid w:val="00F74CE6"/>
    <w:rsid w:val="00F74F9D"/>
    <w:rsid w:val="00F7552F"/>
    <w:rsid w:val="00F75B68"/>
    <w:rsid w:val="00F75DC4"/>
    <w:rsid w:val="00F760C3"/>
    <w:rsid w:val="00F77398"/>
    <w:rsid w:val="00F777F0"/>
    <w:rsid w:val="00F77F71"/>
    <w:rsid w:val="00F808BB"/>
    <w:rsid w:val="00F80A3E"/>
    <w:rsid w:val="00F80BC3"/>
    <w:rsid w:val="00F81A7F"/>
    <w:rsid w:val="00F81E0E"/>
    <w:rsid w:val="00F8240D"/>
    <w:rsid w:val="00F82677"/>
    <w:rsid w:val="00F82685"/>
    <w:rsid w:val="00F8280F"/>
    <w:rsid w:val="00F82F66"/>
    <w:rsid w:val="00F82F99"/>
    <w:rsid w:val="00F83CC0"/>
    <w:rsid w:val="00F83D59"/>
    <w:rsid w:val="00F85270"/>
    <w:rsid w:val="00F866D6"/>
    <w:rsid w:val="00F8779E"/>
    <w:rsid w:val="00F87805"/>
    <w:rsid w:val="00F90E07"/>
    <w:rsid w:val="00F91007"/>
    <w:rsid w:val="00F9100C"/>
    <w:rsid w:val="00F91885"/>
    <w:rsid w:val="00F91C39"/>
    <w:rsid w:val="00F924DF"/>
    <w:rsid w:val="00F9275D"/>
    <w:rsid w:val="00F93415"/>
    <w:rsid w:val="00F93A50"/>
    <w:rsid w:val="00F942A3"/>
    <w:rsid w:val="00F9441E"/>
    <w:rsid w:val="00F94FD1"/>
    <w:rsid w:val="00F95906"/>
    <w:rsid w:val="00F96A0D"/>
    <w:rsid w:val="00F96F11"/>
    <w:rsid w:val="00F97CC5"/>
    <w:rsid w:val="00F97D84"/>
    <w:rsid w:val="00FA0B7C"/>
    <w:rsid w:val="00FA0FCF"/>
    <w:rsid w:val="00FA2D0A"/>
    <w:rsid w:val="00FA302C"/>
    <w:rsid w:val="00FA4788"/>
    <w:rsid w:val="00FA47AF"/>
    <w:rsid w:val="00FA47FA"/>
    <w:rsid w:val="00FA4CA7"/>
    <w:rsid w:val="00FA4FB5"/>
    <w:rsid w:val="00FA53B2"/>
    <w:rsid w:val="00FA5556"/>
    <w:rsid w:val="00FA6275"/>
    <w:rsid w:val="00FA68DF"/>
    <w:rsid w:val="00FA7F73"/>
    <w:rsid w:val="00FB00B7"/>
    <w:rsid w:val="00FB0931"/>
    <w:rsid w:val="00FB0B99"/>
    <w:rsid w:val="00FB0D0A"/>
    <w:rsid w:val="00FB0EE2"/>
    <w:rsid w:val="00FB11BD"/>
    <w:rsid w:val="00FB2250"/>
    <w:rsid w:val="00FB22D1"/>
    <w:rsid w:val="00FB2346"/>
    <w:rsid w:val="00FB2576"/>
    <w:rsid w:val="00FB2A74"/>
    <w:rsid w:val="00FB37DA"/>
    <w:rsid w:val="00FB3B96"/>
    <w:rsid w:val="00FB426E"/>
    <w:rsid w:val="00FB43F9"/>
    <w:rsid w:val="00FB50E8"/>
    <w:rsid w:val="00FB5DEF"/>
    <w:rsid w:val="00FB709E"/>
    <w:rsid w:val="00FB7308"/>
    <w:rsid w:val="00FC0A20"/>
    <w:rsid w:val="00FC0CDF"/>
    <w:rsid w:val="00FC13BA"/>
    <w:rsid w:val="00FC1F41"/>
    <w:rsid w:val="00FC24F8"/>
    <w:rsid w:val="00FC4B8E"/>
    <w:rsid w:val="00FC56C5"/>
    <w:rsid w:val="00FC623E"/>
    <w:rsid w:val="00FC65AE"/>
    <w:rsid w:val="00FC6B6E"/>
    <w:rsid w:val="00FC78F8"/>
    <w:rsid w:val="00FD039E"/>
    <w:rsid w:val="00FD056D"/>
    <w:rsid w:val="00FD05C2"/>
    <w:rsid w:val="00FD0675"/>
    <w:rsid w:val="00FD1677"/>
    <w:rsid w:val="00FD16F5"/>
    <w:rsid w:val="00FD32E7"/>
    <w:rsid w:val="00FD35BA"/>
    <w:rsid w:val="00FD428C"/>
    <w:rsid w:val="00FD474F"/>
    <w:rsid w:val="00FD50FD"/>
    <w:rsid w:val="00FD5231"/>
    <w:rsid w:val="00FD57E5"/>
    <w:rsid w:val="00FD5CA9"/>
    <w:rsid w:val="00FD6028"/>
    <w:rsid w:val="00FD71EB"/>
    <w:rsid w:val="00FD73B3"/>
    <w:rsid w:val="00FD7A8B"/>
    <w:rsid w:val="00FE0072"/>
    <w:rsid w:val="00FE23C9"/>
    <w:rsid w:val="00FE269F"/>
    <w:rsid w:val="00FE2C01"/>
    <w:rsid w:val="00FE3C9F"/>
    <w:rsid w:val="00FE41DD"/>
    <w:rsid w:val="00FE432E"/>
    <w:rsid w:val="00FE56A3"/>
    <w:rsid w:val="00FE5B15"/>
    <w:rsid w:val="00FE5D3F"/>
    <w:rsid w:val="00FE67C2"/>
    <w:rsid w:val="00FE692E"/>
    <w:rsid w:val="00FE708D"/>
    <w:rsid w:val="00FE7805"/>
    <w:rsid w:val="00FE7E36"/>
    <w:rsid w:val="00FF0955"/>
    <w:rsid w:val="00FF0972"/>
    <w:rsid w:val="00FF09A8"/>
    <w:rsid w:val="00FF146B"/>
    <w:rsid w:val="00FF260E"/>
    <w:rsid w:val="00FF3ACC"/>
    <w:rsid w:val="00FF4206"/>
    <w:rsid w:val="00FF5AC2"/>
    <w:rsid w:val="00FF648D"/>
    <w:rsid w:val="00FF78AC"/>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81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D"/>
    <w:pPr>
      <w:spacing w:before="240" w:after="240"/>
    </w:pPr>
    <w:rPr>
      <w:rFonts w:ascii="Candara" w:hAnsi="Candara"/>
      <w:lang w:val="en-AU"/>
    </w:rPr>
  </w:style>
  <w:style w:type="paragraph" w:styleId="Heading1">
    <w:name w:val="heading 1"/>
    <w:basedOn w:val="Normal"/>
    <w:next w:val="Normal"/>
    <w:link w:val="Heading1Char"/>
    <w:autoRedefine/>
    <w:uiPriority w:val="9"/>
    <w:qFormat/>
    <w:rsid w:val="00797B12"/>
    <w:pPr>
      <w:keepNext/>
      <w:keepLines/>
      <w:ind w:right="567"/>
      <w:outlineLvl w:val="0"/>
    </w:pPr>
    <w:rPr>
      <w:rFonts w:asciiTheme="majorHAnsi" w:eastAsiaTheme="majorEastAsia" w:hAnsiTheme="majorHAnsi" w:cstheme="majorBidi"/>
      <w:b/>
      <w:bCs/>
      <w:color w:val="5B63B7" w:themeColor="text2" w:themeTint="99"/>
      <w:sz w:val="28"/>
      <w:szCs w:val="28"/>
    </w:rPr>
  </w:style>
  <w:style w:type="paragraph" w:styleId="Heading2">
    <w:name w:val="heading 2"/>
    <w:basedOn w:val="Normal"/>
    <w:next w:val="Normal"/>
    <w:link w:val="Heading2Char"/>
    <w:autoRedefine/>
    <w:uiPriority w:val="9"/>
    <w:unhideWhenUsed/>
    <w:qFormat/>
    <w:rsid w:val="00B4550C"/>
    <w:pPr>
      <w:keepNext/>
      <w:keepLines/>
      <w:ind w:left="567" w:right="79" w:hanging="567"/>
      <w:outlineLvl w:val="1"/>
    </w:pPr>
    <w:rPr>
      <w:rFonts w:asciiTheme="majorHAnsi" w:eastAsiaTheme="majorEastAsia" w:hAnsiTheme="majorHAnsi" w:cstheme="majorBidi"/>
      <w:b/>
      <w:bCs/>
      <w:color w:val="5B63B7" w:themeColor="text2" w:themeTint="99"/>
    </w:rPr>
  </w:style>
  <w:style w:type="paragraph" w:styleId="Heading3">
    <w:name w:val="heading 3"/>
    <w:basedOn w:val="Normal"/>
    <w:next w:val="Normal"/>
    <w:link w:val="Heading3Char"/>
    <w:autoRedefine/>
    <w:uiPriority w:val="9"/>
    <w:unhideWhenUsed/>
    <w:qFormat/>
    <w:rsid w:val="00697A17"/>
    <w:pPr>
      <w:keepNext/>
      <w:keepLines/>
      <w:ind w:right="567"/>
      <w:outlineLvl w:val="2"/>
    </w:pPr>
    <w:rPr>
      <w:rFonts w:eastAsiaTheme="majorEastAsia" w:cstheme="majorBidi"/>
      <w:b/>
      <w:bCs/>
      <w:color w:val="5B63B7"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B12"/>
    <w:rPr>
      <w:rFonts w:asciiTheme="majorHAnsi" w:eastAsiaTheme="majorEastAsia" w:hAnsiTheme="majorHAnsi" w:cstheme="majorBidi"/>
      <w:b/>
      <w:bCs/>
      <w:color w:val="5B63B7" w:themeColor="text2" w:themeTint="99"/>
      <w:sz w:val="28"/>
      <w:szCs w:val="28"/>
      <w:lang w:val="en-AU"/>
    </w:rPr>
  </w:style>
  <w:style w:type="character" w:customStyle="1" w:styleId="Heading2Char">
    <w:name w:val="Heading 2 Char"/>
    <w:basedOn w:val="DefaultParagraphFont"/>
    <w:link w:val="Heading2"/>
    <w:uiPriority w:val="9"/>
    <w:rsid w:val="00B4550C"/>
    <w:rPr>
      <w:rFonts w:asciiTheme="majorHAnsi" w:eastAsiaTheme="majorEastAsia" w:hAnsiTheme="majorHAnsi" w:cstheme="majorBidi"/>
      <w:b/>
      <w:bCs/>
      <w:color w:val="5B63B7" w:themeColor="text2" w:themeTint="99"/>
      <w:lang w:val="en-AU"/>
    </w:rPr>
  </w:style>
  <w:style w:type="paragraph" w:styleId="Footer">
    <w:name w:val="footer"/>
    <w:basedOn w:val="Normal"/>
    <w:link w:val="FooterChar"/>
    <w:uiPriority w:val="99"/>
    <w:unhideWhenUsed/>
    <w:rsid w:val="00110F7D"/>
    <w:pPr>
      <w:tabs>
        <w:tab w:val="center" w:pos="4320"/>
        <w:tab w:val="right" w:pos="8640"/>
      </w:tabs>
    </w:pPr>
  </w:style>
  <w:style w:type="character" w:customStyle="1" w:styleId="FooterChar">
    <w:name w:val="Footer Char"/>
    <w:basedOn w:val="DefaultParagraphFont"/>
    <w:link w:val="Footer"/>
    <w:uiPriority w:val="99"/>
    <w:rsid w:val="00110F7D"/>
    <w:rPr>
      <w:lang w:val="en-AU"/>
    </w:rPr>
  </w:style>
  <w:style w:type="character" w:styleId="PageNumber">
    <w:name w:val="page number"/>
    <w:basedOn w:val="DefaultParagraphFont"/>
    <w:uiPriority w:val="99"/>
    <w:semiHidden/>
    <w:unhideWhenUsed/>
    <w:rsid w:val="00110F7D"/>
  </w:style>
  <w:style w:type="paragraph" w:styleId="Header">
    <w:name w:val="header"/>
    <w:basedOn w:val="Normal"/>
    <w:link w:val="HeaderChar"/>
    <w:uiPriority w:val="99"/>
    <w:unhideWhenUsed/>
    <w:rsid w:val="00110F7D"/>
    <w:pPr>
      <w:tabs>
        <w:tab w:val="center" w:pos="4320"/>
        <w:tab w:val="right" w:pos="8640"/>
      </w:tabs>
    </w:pPr>
  </w:style>
  <w:style w:type="character" w:customStyle="1" w:styleId="HeaderChar">
    <w:name w:val="Header Char"/>
    <w:basedOn w:val="DefaultParagraphFont"/>
    <w:link w:val="Header"/>
    <w:uiPriority w:val="99"/>
    <w:rsid w:val="00110F7D"/>
    <w:rPr>
      <w:lang w:val="en-AU"/>
    </w:rPr>
  </w:style>
  <w:style w:type="paragraph" w:styleId="TOC1">
    <w:name w:val="toc 1"/>
    <w:basedOn w:val="Normal"/>
    <w:next w:val="Normal"/>
    <w:autoRedefine/>
    <w:uiPriority w:val="39"/>
    <w:unhideWhenUsed/>
    <w:qFormat/>
    <w:rsid w:val="007074EF"/>
    <w:pPr>
      <w:tabs>
        <w:tab w:val="left" w:pos="423"/>
        <w:tab w:val="right" w:pos="8290"/>
      </w:tabs>
      <w:spacing w:before="0" w:after="120"/>
    </w:pPr>
    <w:rPr>
      <w:b/>
      <w:bCs/>
      <w:color w:val="5B63B7" w:themeColor="text2" w:themeTint="99"/>
    </w:rPr>
  </w:style>
  <w:style w:type="paragraph" w:styleId="TOC2">
    <w:name w:val="toc 2"/>
    <w:basedOn w:val="Normal"/>
    <w:next w:val="Normal"/>
    <w:autoRedefine/>
    <w:uiPriority w:val="39"/>
    <w:unhideWhenUsed/>
    <w:qFormat/>
    <w:rsid w:val="00C33A82"/>
    <w:pPr>
      <w:spacing w:before="0" w:after="120"/>
      <w:ind w:left="238"/>
    </w:pPr>
    <w:rPr>
      <w:sz w:val="20"/>
      <w:szCs w:val="22"/>
    </w:rPr>
  </w:style>
  <w:style w:type="paragraph" w:styleId="TOC3">
    <w:name w:val="toc 3"/>
    <w:basedOn w:val="Normal"/>
    <w:next w:val="Normal"/>
    <w:autoRedefine/>
    <w:uiPriority w:val="39"/>
    <w:unhideWhenUsed/>
    <w:qFormat/>
    <w:rsid w:val="00E60826"/>
    <w:pPr>
      <w:spacing w:before="0" w:after="120"/>
      <w:ind w:left="482"/>
    </w:pPr>
    <w:rPr>
      <w:sz w:val="20"/>
      <w:szCs w:val="22"/>
    </w:rPr>
  </w:style>
  <w:style w:type="paragraph" w:styleId="TOC4">
    <w:name w:val="toc 4"/>
    <w:basedOn w:val="Normal"/>
    <w:next w:val="Normal"/>
    <w:autoRedefine/>
    <w:uiPriority w:val="39"/>
    <w:unhideWhenUsed/>
    <w:rsid w:val="00107F8B"/>
    <w:pPr>
      <w:spacing w:before="0" w:after="0"/>
      <w:ind w:left="720"/>
    </w:pPr>
    <w:rPr>
      <w:sz w:val="20"/>
      <w:szCs w:val="20"/>
    </w:rPr>
  </w:style>
  <w:style w:type="paragraph" w:styleId="TOC5">
    <w:name w:val="toc 5"/>
    <w:basedOn w:val="Normal"/>
    <w:next w:val="Normal"/>
    <w:autoRedefine/>
    <w:uiPriority w:val="39"/>
    <w:unhideWhenUsed/>
    <w:rsid w:val="00107F8B"/>
    <w:pPr>
      <w:spacing w:before="0" w:after="0"/>
      <w:ind w:left="960"/>
    </w:pPr>
    <w:rPr>
      <w:sz w:val="20"/>
      <w:szCs w:val="20"/>
    </w:rPr>
  </w:style>
  <w:style w:type="paragraph" w:styleId="TOC6">
    <w:name w:val="toc 6"/>
    <w:basedOn w:val="Normal"/>
    <w:next w:val="Normal"/>
    <w:autoRedefine/>
    <w:uiPriority w:val="39"/>
    <w:unhideWhenUsed/>
    <w:rsid w:val="00107F8B"/>
    <w:pPr>
      <w:spacing w:before="0" w:after="0"/>
      <w:ind w:left="1200"/>
    </w:pPr>
    <w:rPr>
      <w:sz w:val="20"/>
      <w:szCs w:val="20"/>
    </w:rPr>
  </w:style>
  <w:style w:type="paragraph" w:styleId="TOC7">
    <w:name w:val="toc 7"/>
    <w:basedOn w:val="Normal"/>
    <w:next w:val="Normal"/>
    <w:autoRedefine/>
    <w:uiPriority w:val="39"/>
    <w:unhideWhenUsed/>
    <w:rsid w:val="00107F8B"/>
    <w:pPr>
      <w:spacing w:before="0" w:after="0"/>
      <w:ind w:left="1440"/>
    </w:pPr>
    <w:rPr>
      <w:sz w:val="20"/>
      <w:szCs w:val="20"/>
    </w:rPr>
  </w:style>
  <w:style w:type="paragraph" w:styleId="TOC8">
    <w:name w:val="toc 8"/>
    <w:basedOn w:val="Normal"/>
    <w:next w:val="Normal"/>
    <w:autoRedefine/>
    <w:uiPriority w:val="39"/>
    <w:unhideWhenUsed/>
    <w:rsid w:val="00107F8B"/>
    <w:pPr>
      <w:spacing w:before="0" w:after="0"/>
      <w:ind w:left="1680"/>
    </w:pPr>
    <w:rPr>
      <w:sz w:val="20"/>
      <w:szCs w:val="20"/>
    </w:rPr>
  </w:style>
  <w:style w:type="paragraph" w:styleId="TOC9">
    <w:name w:val="toc 9"/>
    <w:basedOn w:val="Normal"/>
    <w:next w:val="Normal"/>
    <w:autoRedefine/>
    <w:uiPriority w:val="39"/>
    <w:unhideWhenUsed/>
    <w:rsid w:val="00107F8B"/>
    <w:pPr>
      <w:spacing w:before="0" w:after="0"/>
      <w:ind w:left="1920"/>
    </w:pPr>
    <w:rPr>
      <w:sz w:val="20"/>
      <w:szCs w:val="20"/>
    </w:rPr>
  </w:style>
  <w:style w:type="paragraph" w:styleId="DocumentMap">
    <w:name w:val="Document Map"/>
    <w:basedOn w:val="Normal"/>
    <w:link w:val="DocumentMapChar"/>
    <w:uiPriority w:val="99"/>
    <w:semiHidden/>
    <w:unhideWhenUsed/>
    <w:rsid w:val="00F80BC3"/>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80BC3"/>
    <w:rPr>
      <w:rFonts w:ascii="Lucida Grande" w:hAnsi="Lucida Grande" w:cs="Lucida Grande"/>
      <w:lang w:val="en-AU"/>
    </w:rPr>
  </w:style>
  <w:style w:type="paragraph" w:styleId="Revision">
    <w:name w:val="Revision"/>
    <w:hidden/>
    <w:uiPriority w:val="99"/>
    <w:semiHidden/>
    <w:rsid w:val="00F80BC3"/>
    <w:rPr>
      <w:rFonts w:ascii="Arial" w:hAnsi="Arial"/>
      <w:lang w:val="en-AU"/>
    </w:rPr>
  </w:style>
  <w:style w:type="paragraph" w:styleId="BalloonText">
    <w:name w:val="Balloon Text"/>
    <w:basedOn w:val="Normal"/>
    <w:link w:val="BalloonTextChar"/>
    <w:uiPriority w:val="99"/>
    <w:semiHidden/>
    <w:unhideWhenUsed/>
    <w:rsid w:val="00F80BC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BC3"/>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697A17"/>
    <w:rPr>
      <w:rFonts w:eastAsiaTheme="majorEastAsia" w:cstheme="majorBidi"/>
      <w:b/>
      <w:bCs/>
      <w:color w:val="5B63B7" w:themeColor="text2" w:themeTint="99"/>
      <w:lang w:val="en-AU"/>
    </w:rPr>
  </w:style>
  <w:style w:type="table" w:styleId="TableGrid">
    <w:name w:val="Table Grid"/>
    <w:basedOn w:val="TableNormal"/>
    <w:uiPriority w:val="59"/>
    <w:rsid w:val="00BC1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B1A"/>
    <w:pPr>
      <w:ind w:left="720"/>
    </w:pPr>
  </w:style>
  <w:style w:type="paragraph" w:styleId="FootnoteText">
    <w:name w:val="footnote text"/>
    <w:basedOn w:val="Normal"/>
    <w:link w:val="FootnoteTextChar"/>
    <w:uiPriority w:val="99"/>
    <w:unhideWhenUsed/>
    <w:qFormat/>
    <w:rsid w:val="00FA7F73"/>
    <w:pPr>
      <w:spacing w:before="0" w:after="0"/>
    </w:pPr>
  </w:style>
  <w:style w:type="character" w:customStyle="1" w:styleId="FootnoteTextChar">
    <w:name w:val="Footnote Text Char"/>
    <w:basedOn w:val="DefaultParagraphFont"/>
    <w:link w:val="FootnoteText"/>
    <w:uiPriority w:val="99"/>
    <w:rsid w:val="00FA7F73"/>
    <w:rPr>
      <w:rFonts w:ascii="Arial" w:hAnsi="Arial"/>
      <w:lang w:val="en-AU"/>
    </w:rPr>
  </w:style>
  <w:style w:type="character" w:styleId="FootnoteReference">
    <w:name w:val="footnote reference"/>
    <w:aliases w:val="Footnotes refss,Footnote number,Footnote,4_G"/>
    <w:basedOn w:val="DefaultParagraphFont"/>
    <w:uiPriority w:val="99"/>
    <w:unhideWhenUsed/>
    <w:rsid w:val="00FA7F73"/>
    <w:rPr>
      <w:vertAlign w:val="superscript"/>
    </w:rPr>
  </w:style>
  <w:style w:type="paragraph" w:styleId="NoSpacing">
    <w:name w:val="No Spacing"/>
    <w:uiPriority w:val="1"/>
    <w:qFormat/>
    <w:rsid w:val="002D5FC6"/>
    <w:rPr>
      <w:rFonts w:ascii="Arial" w:hAnsi="Arial"/>
      <w:lang w:val="en-AU"/>
    </w:rPr>
  </w:style>
  <w:style w:type="paragraph" w:styleId="EndnoteText">
    <w:name w:val="endnote text"/>
    <w:basedOn w:val="Normal"/>
    <w:link w:val="EndnoteTextChar"/>
    <w:uiPriority w:val="99"/>
    <w:unhideWhenUsed/>
    <w:rsid w:val="009835E5"/>
    <w:pPr>
      <w:spacing w:before="0" w:after="0"/>
    </w:pPr>
  </w:style>
  <w:style w:type="character" w:customStyle="1" w:styleId="EndnoteTextChar">
    <w:name w:val="Endnote Text Char"/>
    <w:basedOn w:val="DefaultParagraphFont"/>
    <w:link w:val="EndnoteText"/>
    <w:uiPriority w:val="99"/>
    <w:rsid w:val="009835E5"/>
    <w:rPr>
      <w:rFonts w:ascii="Arial" w:hAnsi="Arial"/>
      <w:lang w:val="en-AU"/>
    </w:rPr>
  </w:style>
  <w:style w:type="character" w:styleId="EndnoteReference">
    <w:name w:val="endnote reference"/>
    <w:basedOn w:val="DefaultParagraphFont"/>
    <w:unhideWhenUsed/>
    <w:rsid w:val="009835E5"/>
    <w:rPr>
      <w:vertAlign w:val="superscript"/>
    </w:rPr>
  </w:style>
  <w:style w:type="paragraph" w:customStyle="1" w:styleId="Quoted">
    <w:name w:val="Quoted"/>
    <w:basedOn w:val="Normal"/>
    <w:rsid w:val="0046120E"/>
    <w:pPr>
      <w:overflowPunct w:val="0"/>
      <w:autoSpaceDE w:val="0"/>
      <w:autoSpaceDN w:val="0"/>
      <w:adjustRightInd w:val="0"/>
      <w:spacing w:before="120" w:after="120"/>
      <w:ind w:left="567"/>
      <w:jc w:val="both"/>
      <w:textAlignment w:val="baseline"/>
    </w:pPr>
    <w:rPr>
      <w:rFonts w:ascii="Times New Roman" w:eastAsia="Times New Roman" w:hAnsi="Times New Roman" w:cs="Times New Roman"/>
      <w:sz w:val="22"/>
      <w:szCs w:val="20"/>
    </w:rPr>
  </w:style>
  <w:style w:type="paragraph" w:styleId="NormalWeb">
    <w:name w:val="Normal (Web)"/>
    <w:basedOn w:val="Normal"/>
    <w:uiPriority w:val="99"/>
    <w:semiHidden/>
    <w:unhideWhenUsed/>
    <w:rsid w:val="004749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49BB"/>
  </w:style>
  <w:style w:type="character" w:customStyle="1" w:styleId="style1">
    <w:name w:val="style1"/>
    <w:basedOn w:val="DefaultParagraphFont"/>
    <w:rsid w:val="002D0594"/>
  </w:style>
  <w:style w:type="character" w:customStyle="1" w:styleId="style9">
    <w:name w:val="style9"/>
    <w:basedOn w:val="DefaultParagraphFont"/>
    <w:rsid w:val="004604D7"/>
  </w:style>
  <w:style w:type="paragraph" w:styleId="Title">
    <w:name w:val="Title"/>
    <w:basedOn w:val="Normal"/>
    <w:link w:val="TitleChar"/>
    <w:qFormat/>
    <w:rsid w:val="00A77CB1"/>
    <w:pPr>
      <w:spacing w:before="0" w:after="0"/>
    </w:pPr>
    <w:rPr>
      <w:rFonts w:asciiTheme="majorHAnsi" w:eastAsiaTheme="majorEastAsia" w:hAnsiTheme="majorHAnsi" w:cs="Trebuchet MS"/>
      <w:color w:val="FFFFFF" w:themeColor="background1"/>
      <w:kern w:val="28"/>
      <w:sz w:val="72"/>
      <w:szCs w:val="52"/>
      <w:lang w:val="en-US"/>
    </w:rPr>
  </w:style>
  <w:style w:type="character" w:customStyle="1" w:styleId="TitleChar">
    <w:name w:val="Title Char"/>
    <w:basedOn w:val="DefaultParagraphFont"/>
    <w:link w:val="Title"/>
    <w:rsid w:val="00A77CB1"/>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A77CB1"/>
    <w:pPr>
      <w:numPr>
        <w:ilvl w:val="1"/>
      </w:numPr>
      <w:spacing w:before="0" w:after="0"/>
    </w:pPr>
    <w:rPr>
      <w:rFonts w:asciiTheme="majorHAnsi" w:eastAsiaTheme="majorEastAsia" w:hAnsiTheme="majorHAnsi" w:cstheme="majorBidi"/>
      <w:iCs/>
      <w:color w:val="FFFFFF" w:themeColor="background1"/>
      <w:lang w:val="en-US"/>
    </w:rPr>
  </w:style>
  <w:style w:type="character" w:customStyle="1" w:styleId="SubtitleChar">
    <w:name w:val="Subtitle Char"/>
    <w:basedOn w:val="DefaultParagraphFont"/>
    <w:link w:val="Subtitle"/>
    <w:rsid w:val="00A77CB1"/>
    <w:rPr>
      <w:rFonts w:asciiTheme="majorHAnsi" w:eastAsiaTheme="majorEastAsia" w:hAnsiTheme="majorHAnsi" w:cstheme="majorBidi"/>
      <w:iCs/>
      <w:color w:val="FFFFFF" w:themeColor="background1"/>
    </w:rPr>
  </w:style>
  <w:style w:type="character" w:styleId="Hyperlink">
    <w:name w:val="Hyperlink"/>
    <w:basedOn w:val="DefaultParagraphFont"/>
    <w:uiPriority w:val="99"/>
    <w:unhideWhenUsed/>
    <w:rsid w:val="006C1404"/>
    <w:rPr>
      <w:color w:val="9454C3" w:themeColor="hyperlink"/>
      <w:u w:val="single"/>
    </w:rPr>
  </w:style>
  <w:style w:type="character" w:styleId="SubtleEmphasis">
    <w:name w:val="Subtle Emphasis"/>
    <w:aliases w:val="Textbox heading"/>
    <w:uiPriority w:val="19"/>
    <w:qFormat/>
    <w:rsid w:val="00212B95"/>
    <w:rPr>
      <w:rFonts w:ascii="Candara" w:hAnsi="Candara"/>
      <w:b/>
      <w:i w:val="0"/>
      <w:iCs/>
      <w:color w:val="5B63B7" w:themeColor="text2" w:themeTint="99"/>
      <w:sz w:val="22"/>
    </w:rPr>
  </w:style>
  <w:style w:type="paragraph" w:customStyle="1" w:styleId="EndnteText">
    <w:name w:val="Endnte Text"/>
    <w:basedOn w:val="EndnoteText"/>
    <w:link w:val="EndnteTextChar"/>
    <w:qFormat/>
    <w:rsid w:val="00840209"/>
    <w:pPr>
      <w:jc w:val="both"/>
    </w:pPr>
    <w:rPr>
      <w:rFonts w:ascii="Times New Roman" w:eastAsia="Times New Roman" w:hAnsi="Times New Roman" w:cs="Times New Roman"/>
    </w:rPr>
  </w:style>
  <w:style w:type="character" w:customStyle="1" w:styleId="EndnteTextChar">
    <w:name w:val="Endnte Text Char"/>
    <w:basedOn w:val="EndnoteTextChar"/>
    <w:link w:val="EndnteText"/>
    <w:rsid w:val="00840209"/>
    <w:rPr>
      <w:rFonts w:ascii="Times New Roman" w:eastAsia="Times New Roman" w:hAnsi="Times New Roman" w:cs="Times New Roman"/>
      <w:lang w:val="en-AU"/>
    </w:rPr>
  </w:style>
  <w:style w:type="character" w:customStyle="1" w:styleId="Hyperlink1">
    <w:name w:val="Hyperlink1"/>
    <w:basedOn w:val="DefaultParagraphFont"/>
    <w:uiPriority w:val="99"/>
    <w:unhideWhenUsed/>
    <w:rsid w:val="001B49D0"/>
    <w:rPr>
      <w:color w:val="9454C3"/>
      <w:u w:val="single"/>
    </w:rPr>
  </w:style>
  <w:style w:type="character" w:styleId="CommentReference">
    <w:name w:val="annotation reference"/>
    <w:basedOn w:val="DefaultParagraphFont"/>
    <w:uiPriority w:val="99"/>
    <w:semiHidden/>
    <w:unhideWhenUsed/>
    <w:rsid w:val="005F45F5"/>
    <w:rPr>
      <w:sz w:val="18"/>
      <w:szCs w:val="18"/>
    </w:rPr>
  </w:style>
  <w:style w:type="paragraph" w:styleId="CommentText">
    <w:name w:val="annotation text"/>
    <w:basedOn w:val="Normal"/>
    <w:link w:val="CommentTextChar"/>
    <w:uiPriority w:val="99"/>
    <w:semiHidden/>
    <w:unhideWhenUsed/>
    <w:rsid w:val="005F45F5"/>
  </w:style>
  <w:style w:type="character" w:customStyle="1" w:styleId="CommentTextChar">
    <w:name w:val="Comment Text Char"/>
    <w:basedOn w:val="DefaultParagraphFont"/>
    <w:link w:val="CommentText"/>
    <w:uiPriority w:val="99"/>
    <w:semiHidden/>
    <w:rsid w:val="005F45F5"/>
    <w:rPr>
      <w:rFonts w:ascii="Candara" w:hAnsi="Candara"/>
      <w:lang w:val="en-AU"/>
    </w:rPr>
  </w:style>
  <w:style w:type="paragraph" w:styleId="CommentSubject">
    <w:name w:val="annotation subject"/>
    <w:basedOn w:val="CommentText"/>
    <w:next w:val="CommentText"/>
    <w:link w:val="CommentSubjectChar"/>
    <w:uiPriority w:val="99"/>
    <w:semiHidden/>
    <w:unhideWhenUsed/>
    <w:rsid w:val="005F45F5"/>
    <w:rPr>
      <w:b/>
      <w:bCs/>
      <w:sz w:val="20"/>
      <w:szCs w:val="20"/>
    </w:rPr>
  </w:style>
  <w:style w:type="character" w:customStyle="1" w:styleId="CommentSubjectChar">
    <w:name w:val="Comment Subject Char"/>
    <w:basedOn w:val="CommentTextChar"/>
    <w:link w:val="CommentSubject"/>
    <w:uiPriority w:val="99"/>
    <w:semiHidden/>
    <w:rsid w:val="005F45F5"/>
    <w:rPr>
      <w:rFonts w:ascii="Candara" w:hAnsi="Candara"/>
      <w:b/>
      <w:bCs/>
      <w:sz w:val="20"/>
      <w:szCs w:val="20"/>
      <w:lang w:val="en-AU"/>
    </w:rPr>
  </w:style>
  <w:style w:type="character" w:styleId="Strong">
    <w:name w:val="Strong"/>
    <w:basedOn w:val="DefaultParagraphFont"/>
    <w:uiPriority w:val="22"/>
    <w:qFormat/>
    <w:rsid w:val="005A10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D"/>
    <w:pPr>
      <w:spacing w:before="240" w:after="240"/>
    </w:pPr>
    <w:rPr>
      <w:rFonts w:ascii="Candara" w:hAnsi="Candara"/>
      <w:lang w:val="en-AU"/>
    </w:rPr>
  </w:style>
  <w:style w:type="paragraph" w:styleId="Heading1">
    <w:name w:val="heading 1"/>
    <w:basedOn w:val="Normal"/>
    <w:next w:val="Normal"/>
    <w:link w:val="Heading1Char"/>
    <w:autoRedefine/>
    <w:uiPriority w:val="9"/>
    <w:qFormat/>
    <w:rsid w:val="00797B12"/>
    <w:pPr>
      <w:keepNext/>
      <w:keepLines/>
      <w:ind w:right="567"/>
      <w:outlineLvl w:val="0"/>
    </w:pPr>
    <w:rPr>
      <w:rFonts w:asciiTheme="majorHAnsi" w:eastAsiaTheme="majorEastAsia" w:hAnsiTheme="majorHAnsi" w:cstheme="majorBidi"/>
      <w:b/>
      <w:bCs/>
      <w:color w:val="5B63B7" w:themeColor="text2" w:themeTint="99"/>
      <w:sz w:val="28"/>
      <w:szCs w:val="28"/>
    </w:rPr>
  </w:style>
  <w:style w:type="paragraph" w:styleId="Heading2">
    <w:name w:val="heading 2"/>
    <w:basedOn w:val="Normal"/>
    <w:next w:val="Normal"/>
    <w:link w:val="Heading2Char"/>
    <w:autoRedefine/>
    <w:uiPriority w:val="9"/>
    <w:unhideWhenUsed/>
    <w:qFormat/>
    <w:rsid w:val="00B4550C"/>
    <w:pPr>
      <w:keepNext/>
      <w:keepLines/>
      <w:ind w:left="567" w:right="79" w:hanging="567"/>
      <w:outlineLvl w:val="1"/>
    </w:pPr>
    <w:rPr>
      <w:rFonts w:asciiTheme="majorHAnsi" w:eastAsiaTheme="majorEastAsia" w:hAnsiTheme="majorHAnsi" w:cstheme="majorBidi"/>
      <w:b/>
      <w:bCs/>
      <w:color w:val="5B63B7" w:themeColor="text2" w:themeTint="99"/>
    </w:rPr>
  </w:style>
  <w:style w:type="paragraph" w:styleId="Heading3">
    <w:name w:val="heading 3"/>
    <w:basedOn w:val="Normal"/>
    <w:next w:val="Normal"/>
    <w:link w:val="Heading3Char"/>
    <w:autoRedefine/>
    <w:uiPriority w:val="9"/>
    <w:unhideWhenUsed/>
    <w:qFormat/>
    <w:rsid w:val="00697A17"/>
    <w:pPr>
      <w:keepNext/>
      <w:keepLines/>
      <w:ind w:right="567"/>
      <w:outlineLvl w:val="2"/>
    </w:pPr>
    <w:rPr>
      <w:rFonts w:eastAsiaTheme="majorEastAsia" w:cstheme="majorBidi"/>
      <w:b/>
      <w:bCs/>
      <w:color w:val="5B63B7"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B12"/>
    <w:rPr>
      <w:rFonts w:asciiTheme="majorHAnsi" w:eastAsiaTheme="majorEastAsia" w:hAnsiTheme="majorHAnsi" w:cstheme="majorBidi"/>
      <w:b/>
      <w:bCs/>
      <w:color w:val="5B63B7" w:themeColor="text2" w:themeTint="99"/>
      <w:sz w:val="28"/>
      <w:szCs w:val="28"/>
      <w:lang w:val="en-AU"/>
    </w:rPr>
  </w:style>
  <w:style w:type="character" w:customStyle="1" w:styleId="Heading2Char">
    <w:name w:val="Heading 2 Char"/>
    <w:basedOn w:val="DefaultParagraphFont"/>
    <w:link w:val="Heading2"/>
    <w:uiPriority w:val="9"/>
    <w:rsid w:val="00B4550C"/>
    <w:rPr>
      <w:rFonts w:asciiTheme="majorHAnsi" w:eastAsiaTheme="majorEastAsia" w:hAnsiTheme="majorHAnsi" w:cstheme="majorBidi"/>
      <w:b/>
      <w:bCs/>
      <w:color w:val="5B63B7" w:themeColor="text2" w:themeTint="99"/>
      <w:lang w:val="en-AU"/>
    </w:rPr>
  </w:style>
  <w:style w:type="paragraph" w:styleId="Footer">
    <w:name w:val="footer"/>
    <w:basedOn w:val="Normal"/>
    <w:link w:val="FooterChar"/>
    <w:uiPriority w:val="99"/>
    <w:unhideWhenUsed/>
    <w:rsid w:val="00110F7D"/>
    <w:pPr>
      <w:tabs>
        <w:tab w:val="center" w:pos="4320"/>
        <w:tab w:val="right" w:pos="8640"/>
      </w:tabs>
    </w:pPr>
  </w:style>
  <w:style w:type="character" w:customStyle="1" w:styleId="FooterChar">
    <w:name w:val="Footer Char"/>
    <w:basedOn w:val="DefaultParagraphFont"/>
    <w:link w:val="Footer"/>
    <w:uiPriority w:val="99"/>
    <w:rsid w:val="00110F7D"/>
    <w:rPr>
      <w:lang w:val="en-AU"/>
    </w:rPr>
  </w:style>
  <w:style w:type="character" w:styleId="PageNumber">
    <w:name w:val="page number"/>
    <w:basedOn w:val="DefaultParagraphFont"/>
    <w:uiPriority w:val="99"/>
    <w:semiHidden/>
    <w:unhideWhenUsed/>
    <w:rsid w:val="00110F7D"/>
  </w:style>
  <w:style w:type="paragraph" w:styleId="Header">
    <w:name w:val="header"/>
    <w:basedOn w:val="Normal"/>
    <w:link w:val="HeaderChar"/>
    <w:uiPriority w:val="99"/>
    <w:unhideWhenUsed/>
    <w:rsid w:val="00110F7D"/>
    <w:pPr>
      <w:tabs>
        <w:tab w:val="center" w:pos="4320"/>
        <w:tab w:val="right" w:pos="8640"/>
      </w:tabs>
    </w:pPr>
  </w:style>
  <w:style w:type="character" w:customStyle="1" w:styleId="HeaderChar">
    <w:name w:val="Header Char"/>
    <w:basedOn w:val="DefaultParagraphFont"/>
    <w:link w:val="Header"/>
    <w:uiPriority w:val="99"/>
    <w:rsid w:val="00110F7D"/>
    <w:rPr>
      <w:lang w:val="en-AU"/>
    </w:rPr>
  </w:style>
  <w:style w:type="paragraph" w:styleId="TOC1">
    <w:name w:val="toc 1"/>
    <w:basedOn w:val="Normal"/>
    <w:next w:val="Normal"/>
    <w:autoRedefine/>
    <w:uiPriority w:val="39"/>
    <w:unhideWhenUsed/>
    <w:qFormat/>
    <w:rsid w:val="007074EF"/>
    <w:pPr>
      <w:tabs>
        <w:tab w:val="left" w:pos="423"/>
        <w:tab w:val="right" w:pos="8290"/>
      </w:tabs>
      <w:spacing w:before="0" w:after="120"/>
    </w:pPr>
    <w:rPr>
      <w:b/>
      <w:bCs/>
      <w:color w:val="5B63B7" w:themeColor="text2" w:themeTint="99"/>
    </w:rPr>
  </w:style>
  <w:style w:type="paragraph" w:styleId="TOC2">
    <w:name w:val="toc 2"/>
    <w:basedOn w:val="Normal"/>
    <w:next w:val="Normal"/>
    <w:autoRedefine/>
    <w:uiPriority w:val="39"/>
    <w:unhideWhenUsed/>
    <w:qFormat/>
    <w:rsid w:val="00C33A82"/>
    <w:pPr>
      <w:spacing w:before="0" w:after="120"/>
      <w:ind w:left="238"/>
    </w:pPr>
    <w:rPr>
      <w:sz w:val="20"/>
      <w:szCs w:val="22"/>
    </w:rPr>
  </w:style>
  <w:style w:type="paragraph" w:styleId="TOC3">
    <w:name w:val="toc 3"/>
    <w:basedOn w:val="Normal"/>
    <w:next w:val="Normal"/>
    <w:autoRedefine/>
    <w:uiPriority w:val="39"/>
    <w:unhideWhenUsed/>
    <w:qFormat/>
    <w:rsid w:val="00E60826"/>
    <w:pPr>
      <w:spacing w:before="0" w:after="120"/>
      <w:ind w:left="482"/>
    </w:pPr>
    <w:rPr>
      <w:sz w:val="20"/>
      <w:szCs w:val="22"/>
    </w:rPr>
  </w:style>
  <w:style w:type="paragraph" w:styleId="TOC4">
    <w:name w:val="toc 4"/>
    <w:basedOn w:val="Normal"/>
    <w:next w:val="Normal"/>
    <w:autoRedefine/>
    <w:uiPriority w:val="39"/>
    <w:unhideWhenUsed/>
    <w:rsid w:val="00107F8B"/>
    <w:pPr>
      <w:spacing w:before="0" w:after="0"/>
      <w:ind w:left="720"/>
    </w:pPr>
    <w:rPr>
      <w:sz w:val="20"/>
      <w:szCs w:val="20"/>
    </w:rPr>
  </w:style>
  <w:style w:type="paragraph" w:styleId="TOC5">
    <w:name w:val="toc 5"/>
    <w:basedOn w:val="Normal"/>
    <w:next w:val="Normal"/>
    <w:autoRedefine/>
    <w:uiPriority w:val="39"/>
    <w:unhideWhenUsed/>
    <w:rsid w:val="00107F8B"/>
    <w:pPr>
      <w:spacing w:before="0" w:after="0"/>
      <w:ind w:left="960"/>
    </w:pPr>
    <w:rPr>
      <w:sz w:val="20"/>
      <w:szCs w:val="20"/>
    </w:rPr>
  </w:style>
  <w:style w:type="paragraph" w:styleId="TOC6">
    <w:name w:val="toc 6"/>
    <w:basedOn w:val="Normal"/>
    <w:next w:val="Normal"/>
    <w:autoRedefine/>
    <w:uiPriority w:val="39"/>
    <w:unhideWhenUsed/>
    <w:rsid w:val="00107F8B"/>
    <w:pPr>
      <w:spacing w:before="0" w:after="0"/>
      <w:ind w:left="1200"/>
    </w:pPr>
    <w:rPr>
      <w:sz w:val="20"/>
      <w:szCs w:val="20"/>
    </w:rPr>
  </w:style>
  <w:style w:type="paragraph" w:styleId="TOC7">
    <w:name w:val="toc 7"/>
    <w:basedOn w:val="Normal"/>
    <w:next w:val="Normal"/>
    <w:autoRedefine/>
    <w:uiPriority w:val="39"/>
    <w:unhideWhenUsed/>
    <w:rsid w:val="00107F8B"/>
    <w:pPr>
      <w:spacing w:before="0" w:after="0"/>
      <w:ind w:left="1440"/>
    </w:pPr>
    <w:rPr>
      <w:sz w:val="20"/>
      <w:szCs w:val="20"/>
    </w:rPr>
  </w:style>
  <w:style w:type="paragraph" w:styleId="TOC8">
    <w:name w:val="toc 8"/>
    <w:basedOn w:val="Normal"/>
    <w:next w:val="Normal"/>
    <w:autoRedefine/>
    <w:uiPriority w:val="39"/>
    <w:unhideWhenUsed/>
    <w:rsid w:val="00107F8B"/>
    <w:pPr>
      <w:spacing w:before="0" w:after="0"/>
      <w:ind w:left="1680"/>
    </w:pPr>
    <w:rPr>
      <w:sz w:val="20"/>
      <w:szCs w:val="20"/>
    </w:rPr>
  </w:style>
  <w:style w:type="paragraph" w:styleId="TOC9">
    <w:name w:val="toc 9"/>
    <w:basedOn w:val="Normal"/>
    <w:next w:val="Normal"/>
    <w:autoRedefine/>
    <w:uiPriority w:val="39"/>
    <w:unhideWhenUsed/>
    <w:rsid w:val="00107F8B"/>
    <w:pPr>
      <w:spacing w:before="0" w:after="0"/>
      <w:ind w:left="1920"/>
    </w:pPr>
    <w:rPr>
      <w:sz w:val="20"/>
      <w:szCs w:val="20"/>
    </w:rPr>
  </w:style>
  <w:style w:type="paragraph" w:styleId="DocumentMap">
    <w:name w:val="Document Map"/>
    <w:basedOn w:val="Normal"/>
    <w:link w:val="DocumentMapChar"/>
    <w:uiPriority w:val="99"/>
    <w:semiHidden/>
    <w:unhideWhenUsed/>
    <w:rsid w:val="00F80BC3"/>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80BC3"/>
    <w:rPr>
      <w:rFonts w:ascii="Lucida Grande" w:hAnsi="Lucida Grande" w:cs="Lucida Grande"/>
      <w:lang w:val="en-AU"/>
    </w:rPr>
  </w:style>
  <w:style w:type="paragraph" w:styleId="Revision">
    <w:name w:val="Revision"/>
    <w:hidden/>
    <w:uiPriority w:val="99"/>
    <w:semiHidden/>
    <w:rsid w:val="00F80BC3"/>
    <w:rPr>
      <w:rFonts w:ascii="Arial" w:hAnsi="Arial"/>
      <w:lang w:val="en-AU"/>
    </w:rPr>
  </w:style>
  <w:style w:type="paragraph" w:styleId="BalloonText">
    <w:name w:val="Balloon Text"/>
    <w:basedOn w:val="Normal"/>
    <w:link w:val="BalloonTextChar"/>
    <w:uiPriority w:val="99"/>
    <w:semiHidden/>
    <w:unhideWhenUsed/>
    <w:rsid w:val="00F80BC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BC3"/>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697A17"/>
    <w:rPr>
      <w:rFonts w:eastAsiaTheme="majorEastAsia" w:cstheme="majorBidi"/>
      <w:b/>
      <w:bCs/>
      <w:color w:val="5B63B7" w:themeColor="text2" w:themeTint="99"/>
      <w:lang w:val="en-AU"/>
    </w:rPr>
  </w:style>
  <w:style w:type="table" w:styleId="TableGrid">
    <w:name w:val="Table Grid"/>
    <w:basedOn w:val="TableNormal"/>
    <w:uiPriority w:val="59"/>
    <w:rsid w:val="00BC1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B1A"/>
    <w:pPr>
      <w:ind w:left="720"/>
    </w:pPr>
  </w:style>
  <w:style w:type="paragraph" w:styleId="FootnoteText">
    <w:name w:val="footnote text"/>
    <w:basedOn w:val="Normal"/>
    <w:link w:val="FootnoteTextChar"/>
    <w:uiPriority w:val="99"/>
    <w:unhideWhenUsed/>
    <w:qFormat/>
    <w:rsid w:val="00FA7F73"/>
    <w:pPr>
      <w:spacing w:before="0" w:after="0"/>
    </w:pPr>
  </w:style>
  <w:style w:type="character" w:customStyle="1" w:styleId="FootnoteTextChar">
    <w:name w:val="Footnote Text Char"/>
    <w:basedOn w:val="DefaultParagraphFont"/>
    <w:link w:val="FootnoteText"/>
    <w:uiPriority w:val="99"/>
    <w:rsid w:val="00FA7F73"/>
    <w:rPr>
      <w:rFonts w:ascii="Arial" w:hAnsi="Arial"/>
      <w:lang w:val="en-AU"/>
    </w:rPr>
  </w:style>
  <w:style w:type="character" w:styleId="FootnoteReference">
    <w:name w:val="footnote reference"/>
    <w:aliases w:val="Footnotes refss,Footnote number,Footnote,4_G"/>
    <w:basedOn w:val="DefaultParagraphFont"/>
    <w:uiPriority w:val="99"/>
    <w:unhideWhenUsed/>
    <w:rsid w:val="00FA7F73"/>
    <w:rPr>
      <w:vertAlign w:val="superscript"/>
    </w:rPr>
  </w:style>
  <w:style w:type="paragraph" w:styleId="NoSpacing">
    <w:name w:val="No Spacing"/>
    <w:uiPriority w:val="1"/>
    <w:qFormat/>
    <w:rsid w:val="002D5FC6"/>
    <w:rPr>
      <w:rFonts w:ascii="Arial" w:hAnsi="Arial"/>
      <w:lang w:val="en-AU"/>
    </w:rPr>
  </w:style>
  <w:style w:type="paragraph" w:styleId="EndnoteText">
    <w:name w:val="endnote text"/>
    <w:basedOn w:val="Normal"/>
    <w:link w:val="EndnoteTextChar"/>
    <w:uiPriority w:val="99"/>
    <w:unhideWhenUsed/>
    <w:rsid w:val="009835E5"/>
    <w:pPr>
      <w:spacing w:before="0" w:after="0"/>
    </w:pPr>
  </w:style>
  <w:style w:type="character" w:customStyle="1" w:styleId="EndnoteTextChar">
    <w:name w:val="Endnote Text Char"/>
    <w:basedOn w:val="DefaultParagraphFont"/>
    <w:link w:val="EndnoteText"/>
    <w:uiPriority w:val="99"/>
    <w:rsid w:val="009835E5"/>
    <w:rPr>
      <w:rFonts w:ascii="Arial" w:hAnsi="Arial"/>
      <w:lang w:val="en-AU"/>
    </w:rPr>
  </w:style>
  <w:style w:type="character" w:styleId="EndnoteReference">
    <w:name w:val="endnote reference"/>
    <w:basedOn w:val="DefaultParagraphFont"/>
    <w:unhideWhenUsed/>
    <w:rsid w:val="009835E5"/>
    <w:rPr>
      <w:vertAlign w:val="superscript"/>
    </w:rPr>
  </w:style>
  <w:style w:type="paragraph" w:customStyle="1" w:styleId="Quoted">
    <w:name w:val="Quoted"/>
    <w:basedOn w:val="Normal"/>
    <w:rsid w:val="0046120E"/>
    <w:pPr>
      <w:overflowPunct w:val="0"/>
      <w:autoSpaceDE w:val="0"/>
      <w:autoSpaceDN w:val="0"/>
      <w:adjustRightInd w:val="0"/>
      <w:spacing w:before="120" w:after="120"/>
      <w:ind w:left="567"/>
      <w:jc w:val="both"/>
      <w:textAlignment w:val="baseline"/>
    </w:pPr>
    <w:rPr>
      <w:rFonts w:ascii="Times New Roman" w:eastAsia="Times New Roman" w:hAnsi="Times New Roman" w:cs="Times New Roman"/>
      <w:sz w:val="22"/>
      <w:szCs w:val="20"/>
    </w:rPr>
  </w:style>
  <w:style w:type="paragraph" w:styleId="NormalWeb">
    <w:name w:val="Normal (Web)"/>
    <w:basedOn w:val="Normal"/>
    <w:uiPriority w:val="99"/>
    <w:semiHidden/>
    <w:unhideWhenUsed/>
    <w:rsid w:val="004749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49BB"/>
  </w:style>
  <w:style w:type="character" w:customStyle="1" w:styleId="style1">
    <w:name w:val="style1"/>
    <w:basedOn w:val="DefaultParagraphFont"/>
    <w:rsid w:val="002D0594"/>
  </w:style>
  <w:style w:type="character" w:customStyle="1" w:styleId="style9">
    <w:name w:val="style9"/>
    <w:basedOn w:val="DefaultParagraphFont"/>
    <w:rsid w:val="004604D7"/>
  </w:style>
  <w:style w:type="paragraph" w:styleId="Title">
    <w:name w:val="Title"/>
    <w:basedOn w:val="Normal"/>
    <w:link w:val="TitleChar"/>
    <w:qFormat/>
    <w:rsid w:val="00A77CB1"/>
    <w:pPr>
      <w:spacing w:before="0" w:after="0"/>
    </w:pPr>
    <w:rPr>
      <w:rFonts w:asciiTheme="majorHAnsi" w:eastAsiaTheme="majorEastAsia" w:hAnsiTheme="majorHAnsi" w:cs="Trebuchet MS"/>
      <w:color w:val="FFFFFF" w:themeColor="background1"/>
      <w:kern w:val="28"/>
      <w:sz w:val="72"/>
      <w:szCs w:val="52"/>
      <w:lang w:val="en-US"/>
    </w:rPr>
  </w:style>
  <w:style w:type="character" w:customStyle="1" w:styleId="TitleChar">
    <w:name w:val="Title Char"/>
    <w:basedOn w:val="DefaultParagraphFont"/>
    <w:link w:val="Title"/>
    <w:rsid w:val="00A77CB1"/>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A77CB1"/>
    <w:pPr>
      <w:numPr>
        <w:ilvl w:val="1"/>
      </w:numPr>
      <w:spacing w:before="0" w:after="0"/>
    </w:pPr>
    <w:rPr>
      <w:rFonts w:asciiTheme="majorHAnsi" w:eastAsiaTheme="majorEastAsia" w:hAnsiTheme="majorHAnsi" w:cstheme="majorBidi"/>
      <w:iCs/>
      <w:color w:val="FFFFFF" w:themeColor="background1"/>
      <w:lang w:val="en-US"/>
    </w:rPr>
  </w:style>
  <w:style w:type="character" w:customStyle="1" w:styleId="SubtitleChar">
    <w:name w:val="Subtitle Char"/>
    <w:basedOn w:val="DefaultParagraphFont"/>
    <w:link w:val="Subtitle"/>
    <w:rsid w:val="00A77CB1"/>
    <w:rPr>
      <w:rFonts w:asciiTheme="majorHAnsi" w:eastAsiaTheme="majorEastAsia" w:hAnsiTheme="majorHAnsi" w:cstheme="majorBidi"/>
      <w:iCs/>
      <w:color w:val="FFFFFF" w:themeColor="background1"/>
    </w:rPr>
  </w:style>
  <w:style w:type="character" w:styleId="Hyperlink">
    <w:name w:val="Hyperlink"/>
    <w:basedOn w:val="DefaultParagraphFont"/>
    <w:uiPriority w:val="99"/>
    <w:unhideWhenUsed/>
    <w:rsid w:val="006C1404"/>
    <w:rPr>
      <w:color w:val="9454C3" w:themeColor="hyperlink"/>
      <w:u w:val="single"/>
    </w:rPr>
  </w:style>
  <w:style w:type="character" w:styleId="SubtleEmphasis">
    <w:name w:val="Subtle Emphasis"/>
    <w:aliases w:val="Textbox heading"/>
    <w:uiPriority w:val="19"/>
    <w:qFormat/>
    <w:rsid w:val="00212B95"/>
    <w:rPr>
      <w:rFonts w:ascii="Candara" w:hAnsi="Candara"/>
      <w:b/>
      <w:i w:val="0"/>
      <w:iCs/>
      <w:color w:val="5B63B7" w:themeColor="text2" w:themeTint="99"/>
      <w:sz w:val="22"/>
    </w:rPr>
  </w:style>
  <w:style w:type="paragraph" w:customStyle="1" w:styleId="EndnteText">
    <w:name w:val="Endnte Text"/>
    <w:basedOn w:val="EndnoteText"/>
    <w:link w:val="EndnteTextChar"/>
    <w:qFormat/>
    <w:rsid w:val="00840209"/>
    <w:pPr>
      <w:jc w:val="both"/>
    </w:pPr>
    <w:rPr>
      <w:rFonts w:ascii="Times New Roman" w:eastAsia="Times New Roman" w:hAnsi="Times New Roman" w:cs="Times New Roman"/>
    </w:rPr>
  </w:style>
  <w:style w:type="character" w:customStyle="1" w:styleId="EndnteTextChar">
    <w:name w:val="Endnte Text Char"/>
    <w:basedOn w:val="EndnoteTextChar"/>
    <w:link w:val="EndnteText"/>
    <w:rsid w:val="00840209"/>
    <w:rPr>
      <w:rFonts w:ascii="Times New Roman" w:eastAsia="Times New Roman" w:hAnsi="Times New Roman" w:cs="Times New Roman"/>
      <w:lang w:val="en-AU"/>
    </w:rPr>
  </w:style>
  <w:style w:type="character" w:customStyle="1" w:styleId="Hyperlink1">
    <w:name w:val="Hyperlink1"/>
    <w:basedOn w:val="DefaultParagraphFont"/>
    <w:uiPriority w:val="99"/>
    <w:unhideWhenUsed/>
    <w:rsid w:val="001B49D0"/>
    <w:rPr>
      <w:color w:val="9454C3"/>
      <w:u w:val="single"/>
    </w:rPr>
  </w:style>
  <w:style w:type="character" w:styleId="CommentReference">
    <w:name w:val="annotation reference"/>
    <w:basedOn w:val="DefaultParagraphFont"/>
    <w:uiPriority w:val="99"/>
    <w:semiHidden/>
    <w:unhideWhenUsed/>
    <w:rsid w:val="005F45F5"/>
    <w:rPr>
      <w:sz w:val="18"/>
      <w:szCs w:val="18"/>
    </w:rPr>
  </w:style>
  <w:style w:type="paragraph" w:styleId="CommentText">
    <w:name w:val="annotation text"/>
    <w:basedOn w:val="Normal"/>
    <w:link w:val="CommentTextChar"/>
    <w:uiPriority w:val="99"/>
    <w:semiHidden/>
    <w:unhideWhenUsed/>
    <w:rsid w:val="005F45F5"/>
  </w:style>
  <w:style w:type="character" w:customStyle="1" w:styleId="CommentTextChar">
    <w:name w:val="Comment Text Char"/>
    <w:basedOn w:val="DefaultParagraphFont"/>
    <w:link w:val="CommentText"/>
    <w:uiPriority w:val="99"/>
    <w:semiHidden/>
    <w:rsid w:val="005F45F5"/>
    <w:rPr>
      <w:rFonts w:ascii="Candara" w:hAnsi="Candara"/>
      <w:lang w:val="en-AU"/>
    </w:rPr>
  </w:style>
  <w:style w:type="paragraph" w:styleId="CommentSubject">
    <w:name w:val="annotation subject"/>
    <w:basedOn w:val="CommentText"/>
    <w:next w:val="CommentText"/>
    <w:link w:val="CommentSubjectChar"/>
    <w:uiPriority w:val="99"/>
    <w:semiHidden/>
    <w:unhideWhenUsed/>
    <w:rsid w:val="005F45F5"/>
    <w:rPr>
      <w:b/>
      <w:bCs/>
      <w:sz w:val="20"/>
      <w:szCs w:val="20"/>
    </w:rPr>
  </w:style>
  <w:style w:type="character" w:customStyle="1" w:styleId="CommentSubjectChar">
    <w:name w:val="Comment Subject Char"/>
    <w:basedOn w:val="CommentTextChar"/>
    <w:link w:val="CommentSubject"/>
    <w:uiPriority w:val="99"/>
    <w:semiHidden/>
    <w:rsid w:val="005F45F5"/>
    <w:rPr>
      <w:rFonts w:ascii="Candara" w:hAnsi="Candara"/>
      <w:b/>
      <w:bCs/>
      <w:sz w:val="20"/>
      <w:szCs w:val="20"/>
      <w:lang w:val="en-AU"/>
    </w:rPr>
  </w:style>
  <w:style w:type="character" w:styleId="Strong">
    <w:name w:val="Strong"/>
    <w:basedOn w:val="DefaultParagraphFont"/>
    <w:uiPriority w:val="22"/>
    <w:qFormat/>
    <w:rsid w:val="005A1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92">
      <w:bodyDiv w:val="1"/>
      <w:marLeft w:val="0"/>
      <w:marRight w:val="0"/>
      <w:marTop w:val="0"/>
      <w:marBottom w:val="0"/>
      <w:divBdr>
        <w:top w:val="none" w:sz="0" w:space="0" w:color="auto"/>
        <w:left w:val="none" w:sz="0" w:space="0" w:color="auto"/>
        <w:bottom w:val="none" w:sz="0" w:space="0" w:color="auto"/>
        <w:right w:val="none" w:sz="0" w:space="0" w:color="auto"/>
      </w:divBdr>
    </w:div>
    <w:div w:id="72825765">
      <w:bodyDiv w:val="1"/>
      <w:marLeft w:val="0"/>
      <w:marRight w:val="0"/>
      <w:marTop w:val="0"/>
      <w:marBottom w:val="0"/>
      <w:divBdr>
        <w:top w:val="none" w:sz="0" w:space="0" w:color="auto"/>
        <w:left w:val="none" w:sz="0" w:space="0" w:color="auto"/>
        <w:bottom w:val="none" w:sz="0" w:space="0" w:color="auto"/>
        <w:right w:val="none" w:sz="0" w:space="0" w:color="auto"/>
      </w:divBdr>
    </w:div>
    <w:div w:id="90246694">
      <w:bodyDiv w:val="1"/>
      <w:marLeft w:val="0"/>
      <w:marRight w:val="0"/>
      <w:marTop w:val="0"/>
      <w:marBottom w:val="0"/>
      <w:divBdr>
        <w:top w:val="none" w:sz="0" w:space="0" w:color="auto"/>
        <w:left w:val="none" w:sz="0" w:space="0" w:color="auto"/>
        <w:bottom w:val="none" w:sz="0" w:space="0" w:color="auto"/>
        <w:right w:val="none" w:sz="0" w:space="0" w:color="auto"/>
      </w:divBdr>
    </w:div>
    <w:div w:id="124009603">
      <w:bodyDiv w:val="1"/>
      <w:marLeft w:val="0"/>
      <w:marRight w:val="0"/>
      <w:marTop w:val="0"/>
      <w:marBottom w:val="0"/>
      <w:divBdr>
        <w:top w:val="none" w:sz="0" w:space="0" w:color="auto"/>
        <w:left w:val="none" w:sz="0" w:space="0" w:color="auto"/>
        <w:bottom w:val="none" w:sz="0" w:space="0" w:color="auto"/>
        <w:right w:val="none" w:sz="0" w:space="0" w:color="auto"/>
      </w:divBdr>
    </w:div>
    <w:div w:id="172847012">
      <w:bodyDiv w:val="1"/>
      <w:marLeft w:val="0"/>
      <w:marRight w:val="0"/>
      <w:marTop w:val="0"/>
      <w:marBottom w:val="0"/>
      <w:divBdr>
        <w:top w:val="none" w:sz="0" w:space="0" w:color="auto"/>
        <w:left w:val="none" w:sz="0" w:space="0" w:color="auto"/>
        <w:bottom w:val="none" w:sz="0" w:space="0" w:color="auto"/>
        <w:right w:val="none" w:sz="0" w:space="0" w:color="auto"/>
      </w:divBdr>
    </w:div>
    <w:div w:id="195436925">
      <w:bodyDiv w:val="1"/>
      <w:marLeft w:val="0"/>
      <w:marRight w:val="0"/>
      <w:marTop w:val="0"/>
      <w:marBottom w:val="0"/>
      <w:divBdr>
        <w:top w:val="none" w:sz="0" w:space="0" w:color="auto"/>
        <w:left w:val="none" w:sz="0" w:space="0" w:color="auto"/>
        <w:bottom w:val="none" w:sz="0" w:space="0" w:color="auto"/>
        <w:right w:val="none" w:sz="0" w:space="0" w:color="auto"/>
      </w:divBdr>
    </w:div>
    <w:div w:id="213584803">
      <w:bodyDiv w:val="1"/>
      <w:marLeft w:val="0"/>
      <w:marRight w:val="0"/>
      <w:marTop w:val="0"/>
      <w:marBottom w:val="0"/>
      <w:divBdr>
        <w:top w:val="none" w:sz="0" w:space="0" w:color="auto"/>
        <w:left w:val="none" w:sz="0" w:space="0" w:color="auto"/>
        <w:bottom w:val="none" w:sz="0" w:space="0" w:color="auto"/>
        <w:right w:val="none" w:sz="0" w:space="0" w:color="auto"/>
      </w:divBdr>
    </w:div>
    <w:div w:id="214312867">
      <w:bodyDiv w:val="1"/>
      <w:marLeft w:val="0"/>
      <w:marRight w:val="0"/>
      <w:marTop w:val="0"/>
      <w:marBottom w:val="0"/>
      <w:divBdr>
        <w:top w:val="none" w:sz="0" w:space="0" w:color="auto"/>
        <w:left w:val="none" w:sz="0" w:space="0" w:color="auto"/>
        <w:bottom w:val="none" w:sz="0" w:space="0" w:color="auto"/>
        <w:right w:val="none" w:sz="0" w:space="0" w:color="auto"/>
      </w:divBdr>
    </w:div>
    <w:div w:id="280040326">
      <w:bodyDiv w:val="1"/>
      <w:marLeft w:val="0"/>
      <w:marRight w:val="0"/>
      <w:marTop w:val="0"/>
      <w:marBottom w:val="0"/>
      <w:divBdr>
        <w:top w:val="none" w:sz="0" w:space="0" w:color="auto"/>
        <w:left w:val="none" w:sz="0" w:space="0" w:color="auto"/>
        <w:bottom w:val="none" w:sz="0" w:space="0" w:color="auto"/>
        <w:right w:val="none" w:sz="0" w:space="0" w:color="auto"/>
      </w:divBdr>
    </w:div>
    <w:div w:id="301081273">
      <w:bodyDiv w:val="1"/>
      <w:marLeft w:val="0"/>
      <w:marRight w:val="0"/>
      <w:marTop w:val="0"/>
      <w:marBottom w:val="0"/>
      <w:divBdr>
        <w:top w:val="none" w:sz="0" w:space="0" w:color="auto"/>
        <w:left w:val="none" w:sz="0" w:space="0" w:color="auto"/>
        <w:bottom w:val="none" w:sz="0" w:space="0" w:color="auto"/>
        <w:right w:val="none" w:sz="0" w:space="0" w:color="auto"/>
      </w:divBdr>
    </w:div>
    <w:div w:id="314841370">
      <w:bodyDiv w:val="1"/>
      <w:marLeft w:val="0"/>
      <w:marRight w:val="0"/>
      <w:marTop w:val="0"/>
      <w:marBottom w:val="0"/>
      <w:divBdr>
        <w:top w:val="none" w:sz="0" w:space="0" w:color="auto"/>
        <w:left w:val="none" w:sz="0" w:space="0" w:color="auto"/>
        <w:bottom w:val="none" w:sz="0" w:space="0" w:color="auto"/>
        <w:right w:val="none" w:sz="0" w:space="0" w:color="auto"/>
      </w:divBdr>
    </w:div>
    <w:div w:id="321468752">
      <w:bodyDiv w:val="1"/>
      <w:marLeft w:val="0"/>
      <w:marRight w:val="0"/>
      <w:marTop w:val="0"/>
      <w:marBottom w:val="0"/>
      <w:divBdr>
        <w:top w:val="none" w:sz="0" w:space="0" w:color="auto"/>
        <w:left w:val="none" w:sz="0" w:space="0" w:color="auto"/>
        <w:bottom w:val="none" w:sz="0" w:space="0" w:color="auto"/>
        <w:right w:val="none" w:sz="0" w:space="0" w:color="auto"/>
      </w:divBdr>
    </w:div>
    <w:div w:id="322124071">
      <w:bodyDiv w:val="1"/>
      <w:marLeft w:val="0"/>
      <w:marRight w:val="0"/>
      <w:marTop w:val="0"/>
      <w:marBottom w:val="0"/>
      <w:divBdr>
        <w:top w:val="none" w:sz="0" w:space="0" w:color="auto"/>
        <w:left w:val="none" w:sz="0" w:space="0" w:color="auto"/>
        <w:bottom w:val="none" w:sz="0" w:space="0" w:color="auto"/>
        <w:right w:val="none" w:sz="0" w:space="0" w:color="auto"/>
      </w:divBdr>
    </w:div>
    <w:div w:id="363141638">
      <w:bodyDiv w:val="1"/>
      <w:marLeft w:val="0"/>
      <w:marRight w:val="0"/>
      <w:marTop w:val="0"/>
      <w:marBottom w:val="0"/>
      <w:divBdr>
        <w:top w:val="none" w:sz="0" w:space="0" w:color="auto"/>
        <w:left w:val="none" w:sz="0" w:space="0" w:color="auto"/>
        <w:bottom w:val="none" w:sz="0" w:space="0" w:color="auto"/>
        <w:right w:val="none" w:sz="0" w:space="0" w:color="auto"/>
      </w:divBdr>
    </w:div>
    <w:div w:id="399524034">
      <w:bodyDiv w:val="1"/>
      <w:marLeft w:val="0"/>
      <w:marRight w:val="0"/>
      <w:marTop w:val="0"/>
      <w:marBottom w:val="0"/>
      <w:divBdr>
        <w:top w:val="none" w:sz="0" w:space="0" w:color="auto"/>
        <w:left w:val="none" w:sz="0" w:space="0" w:color="auto"/>
        <w:bottom w:val="none" w:sz="0" w:space="0" w:color="auto"/>
        <w:right w:val="none" w:sz="0" w:space="0" w:color="auto"/>
      </w:divBdr>
    </w:div>
    <w:div w:id="407533907">
      <w:bodyDiv w:val="1"/>
      <w:marLeft w:val="0"/>
      <w:marRight w:val="0"/>
      <w:marTop w:val="0"/>
      <w:marBottom w:val="0"/>
      <w:divBdr>
        <w:top w:val="none" w:sz="0" w:space="0" w:color="auto"/>
        <w:left w:val="none" w:sz="0" w:space="0" w:color="auto"/>
        <w:bottom w:val="none" w:sz="0" w:space="0" w:color="auto"/>
        <w:right w:val="none" w:sz="0" w:space="0" w:color="auto"/>
      </w:divBdr>
    </w:div>
    <w:div w:id="427582688">
      <w:bodyDiv w:val="1"/>
      <w:marLeft w:val="0"/>
      <w:marRight w:val="0"/>
      <w:marTop w:val="0"/>
      <w:marBottom w:val="0"/>
      <w:divBdr>
        <w:top w:val="none" w:sz="0" w:space="0" w:color="auto"/>
        <w:left w:val="none" w:sz="0" w:space="0" w:color="auto"/>
        <w:bottom w:val="none" w:sz="0" w:space="0" w:color="auto"/>
        <w:right w:val="none" w:sz="0" w:space="0" w:color="auto"/>
      </w:divBdr>
    </w:div>
    <w:div w:id="449714504">
      <w:bodyDiv w:val="1"/>
      <w:marLeft w:val="0"/>
      <w:marRight w:val="0"/>
      <w:marTop w:val="0"/>
      <w:marBottom w:val="0"/>
      <w:divBdr>
        <w:top w:val="none" w:sz="0" w:space="0" w:color="auto"/>
        <w:left w:val="none" w:sz="0" w:space="0" w:color="auto"/>
        <w:bottom w:val="none" w:sz="0" w:space="0" w:color="auto"/>
        <w:right w:val="none" w:sz="0" w:space="0" w:color="auto"/>
      </w:divBdr>
    </w:div>
    <w:div w:id="451553536">
      <w:bodyDiv w:val="1"/>
      <w:marLeft w:val="0"/>
      <w:marRight w:val="0"/>
      <w:marTop w:val="0"/>
      <w:marBottom w:val="0"/>
      <w:divBdr>
        <w:top w:val="none" w:sz="0" w:space="0" w:color="auto"/>
        <w:left w:val="none" w:sz="0" w:space="0" w:color="auto"/>
        <w:bottom w:val="none" w:sz="0" w:space="0" w:color="auto"/>
        <w:right w:val="none" w:sz="0" w:space="0" w:color="auto"/>
      </w:divBdr>
    </w:div>
    <w:div w:id="468862896">
      <w:bodyDiv w:val="1"/>
      <w:marLeft w:val="0"/>
      <w:marRight w:val="0"/>
      <w:marTop w:val="0"/>
      <w:marBottom w:val="0"/>
      <w:divBdr>
        <w:top w:val="none" w:sz="0" w:space="0" w:color="auto"/>
        <w:left w:val="none" w:sz="0" w:space="0" w:color="auto"/>
        <w:bottom w:val="none" w:sz="0" w:space="0" w:color="auto"/>
        <w:right w:val="none" w:sz="0" w:space="0" w:color="auto"/>
      </w:divBdr>
    </w:div>
    <w:div w:id="476608596">
      <w:bodyDiv w:val="1"/>
      <w:marLeft w:val="0"/>
      <w:marRight w:val="0"/>
      <w:marTop w:val="0"/>
      <w:marBottom w:val="0"/>
      <w:divBdr>
        <w:top w:val="none" w:sz="0" w:space="0" w:color="auto"/>
        <w:left w:val="none" w:sz="0" w:space="0" w:color="auto"/>
        <w:bottom w:val="none" w:sz="0" w:space="0" w:color="auto"/>
        <w:right w:val="none" w:sz="0" w:space="0" w:color="auto"/>
      </w:divBdr>
      <w:divsChild>
        <w:div w:id="1654723102">
          <w:marLeft w:val="547"/>
          <w:marRight w:val="0"/>
          <w:marTop w:val="0"/>
          <w:marBottom w:val="0"/>
          <w:divBdr>
            <w:top w:val="none" w:sz="0" w:space="0" w:color="auto"/>
            <w:left w:val="none" w:sz="0" w:space="0" w:color="auto"/>
            <w:bottom w:val="none" w:sz="0" w:space="0" w:color="auto"/>
            <w:right w:val="none" w:sz="0" w:space="0" w:color="auto"/>
          </w:divBdr>
        </w:div>
      </w:divsChild>
    </w:div>
    <w:div w:id="494419460">
      <w:bodyDiv w:val="1"/>
      <w:marLeft w:val="0"/>
      <w:marRight w:val="0"/>
      <w:marTop w:val="0"/>
      <w:marBottom w:val="0"/>
      <w:divBdr>
        <w:top w:val="none" w:sz="0" w:space="0" w:color="auto"/>
        <w:left w:val="none" w:sz="0" w:space="0" w:color="auto"/>
        <w:bottom w:val="none" w:sz="0" w:space="0" w:color="auto"/>
        <w:right w:val="none" w:sz="0" w:space="0" w:color="auto"/>
      </w:divBdr>
    </w:div>
    <w:div w:id="553546105">
      <w:bodyDiv w:val="1"/>
      <w:marLeft w:val="0"/>
      <w:marRight w:val="0"/>
      <w:marTop w:val="0"/>
      <w:marBottom w:val="0"/>
      <w:divBdr>
        <w:top w:val="none" w:sz="0" w:space="0" w:color="auto"/>
        <w:left w:val="none" w:sz="0" w:space="0" w:color="auto"/>
        <w:bottom w:val="none" w:sz="0" w:space="0" w:color="auto"/>
        <w:right w:val="none" w:sz="0" w:space="0" w:color="auto"/>
      </w:divBdr>
    </w:div>
    <w:div w:id="572280796">
      <w:bodyDiv w:val="1"/>
      <w:marLeft w:val="0"/>
      <w:marRight w:val="0"/>
      <w:marTop w:val="0"/>
      <w:marBottom w:val="0"/>
      <w:divBdr>
        <w:top w:val="none" w:sz="0" w:space="0" w:color="auto"/>
        <w:left w:val="none" w:sz="0" w:space="0" w:color="auto"/>
        <w:bottom w:val="none" w:sz="0" w:space="0" w:color="auto"/>
        <w:right w:val="none" w:sz="0" w:space="0" w:color="auto"/>
      </w:divBdr>
    </w:div>
    <w:div w:id="573395261">
      <w:bodyDiv w:val="1"/>
      <w:marLeft w:val="0"/>
      <w:marRight w:val="0"/>
      <w:marTop w:val="0"/>
      <w:marBottom w:val="0"/>
      <w:divBdr>
        <w:top w:val="none" w:sz="0" w:space="0" w:color="auto"/>
        <w:left w:val="none" w:sz="0" w:space="0" w:color="auto"/>
        <w:bottom w:val="none" w:sz="0" w:space="0" w:color="auto"/>
        <w:right w:val="none" w:sz="0" w:space="0" w:color="auto"/>
      </w:divBdr>
    </w:div>
    <w:div w:id="576325951">
      <w:bodyDiv w:val="1"/>
      <w:marLeft w:val="0"/>
      <w:marRight w:val="0"/>
      <w:marTop w:val="0"/>
      <w:marBottom w:val="0"/>
      <w:divBdr>
        <w:top w:val="none" w:sz="0" w:space="0" w:color="auto"/>
        <w:left w:val="none" w:sz="0" w:space="0" w:color="auto"/>
        <w:bottom w:val="none" w:sz="0" w:space="0" w:color="auto"/>
        <w:right w:val="none" w:sz="0" w:space="0" w:color="auto"/>
      </w:divBdr>
    </w:div>
    <w:div w:id="579751131">
      <w:bodyDiv w:val="1"/>
      <w:marLeft w:val="0"/>
      <w:marRight w:val="0"/>
      <w:marTop w:val="0"/>
      <w:marBottom w:val="0"/>
      <w:divBdr>
        <w:top w:val="none" w:sz="0" w:space="0" w:color="auto"/>
        <w:left w:val="none" w:sz="0" w:space="0" w:color="auto"/>
        <w:bottom w:val="none" w:sz="0" w:space="0" w:color="auto"/>
        <w:right w:val="none" w:sz="0" w:space="0" w:color="auto"/>
      </w:divBdr>
    </w:div>
    <w:div w:id="634025375">
      <w:bodyDiv w:val="1"/>
      <w:marLeft w:val="0"/>
      <w:marRight w:val="0"/>
      <w:marTop w:val="0"/>
      <w:marBottom w:val="0"/>
      <w:divBdr>
        <w:top w:val="none" w:sz="0" w:space="0" w:color="auto"/>
        <w:left w:val="none" w:sz="0" w:space="0" w:color="auto"/>
        <w:bottom w:val="none" w:sz="0" w:space="0" w:color="auto"/>
        <w:right w:val="none" w:sz="0" w:space="0" w:color="auto"/>
      </w:divBdr>
    </w:div>
    <w:div w:id="650520750">
      <w:bodyDiv w:val="1"/>
      <w:marLeft w:val="0"/>
      <w:marRight w:val="0"/>
      <w:marTop w:val="0"/>
      <w:marBottom w:val="0"/>
      <w:divBdr>
        <w:top w:val="none" w:sz="0" w:space="0" w:color="auto"/>
        <w:left w:val="none" w:sz="0" w:space="0" w:color="auto"/>
        <w:bottom w:val="none" w:sz="0" w:space="0" w:color="auto"/>
        <w:right w:val="none" w:sz="0" w:space="0" w:color="auto"/>
      </w:divBdr>
    </w:div>
    <w:div w:id="667102349">
      <w:bodyDiv w:val="1"/>
      <w:marLeft w:val="0"/>
      <w:marRight w:val="0"/>
      <w:marTop w:val="0"/>
      <w:marBottom w:val="0"/>
      <w:divBdr>
        <w:top w:val="none" w:sz="0" w:space="0" w:color="auto"/>
        <w:left w:val="none" w:sz="0" w:space="0" w:color="auto"/>
        <w:bottom w:val="none" w:sz="0" w:space="0" w:color="auto"/>
        <w:right w:val="none" w:sz="0" w:space="0" w:color="auto"/>
      </w:divBdr>
    </w:div>
    <w:div w:id="700402834">
      <w:bodyDiv w:val="1"/>
      <w:marLeft w:val="0"/>
      <w:marRight w:val="0"/>
      <w:marTop w:val="0"/>
      <w:marBottom w:val="0"/>
      <w:divBdr>
        <w:top w:val="none" w:sz="0" w:space="0" w:color="auto"/>
        <w:left w:val="none" w:sz="0" w:space="0" w:color="auto"/>
        <w:bottom w:val="none" w:sz="0" w:space="0" w:color="auto"/>
        <w:right w:val="none" w:sz="0" w:space="0" w:color="auto"/>
      </w:divBdr>
    </w:div>
    <w:div w:id="702749407">
      <w:bodyDiv w:val="1"/>
      <w:marLeft w:val="0"/>
      <w:marRight w:val="0"/>
      <w:marTop w:val="0"/>
      <w:marBottom w:val="0"/>
      <w:divBdr>
        <w:top w:val="none" w:sz="0" w:space="0" w:color="auto"/>
        <w:left w:val="none" w:sz="0" w:space="0" w:color="auto"/>
        <w:bottom w:val="none" w:sz="0" w:space="0" w:color="auto"/>
        <w:right w:val="none" w:sz="0" w:space="0" w:color="auto"/>
      </w:divBdr>
    </w:div>
    <w:div w:id="716469190">
      <w:bodyDiv w:val="1"/>
      <w:marLeft w:val="0"/>
      <w:marRight w:val="0"/>
      <w:marTop w:val="0"/>
      <w:marBottom w:val="0"/>
      <w:divBdr>
        <w:top w:val="none" w:sz="0" w:space="0" w:color="auto"/>
        <w:left w:val="none" w:sz="0" w:space="0" w:color="auto"/>
        <w:bottom w:val="none" w:sz="0" w:space="0" w:color="auto"/>
        <w:right w:val="none" w:sz="0" w:space="0" w:color="auto"/>
      </w:divBdr>
    </w:div>
    <w:div w:id="747728092">
      <w:bodyDiv w:val="1"/>
      <w:marLeft w:val="0"/>
      <w:marRight w:val="0"/>
      <w:marTop w:val="0"/>
      <w:marBottom w:val="0"/>
      <w:divBdr>
        <w:top w:val="none" w:sz="0" w:space="0" w:color="auto"/>
        <w:left w:val="none" w:sz="0" w:space="0" w:color="auto"/>
        <w:bottom w:val="none" w:sz="0" w:space="0" w:color="auto"/>
        <w:right w:val="none" w:sz="0" w:space="0" w:color="auto"/>
      </w:divBdr>
    </w:div>
    <w:div w:id="753084707">
      <w:bodyDiv w:val="1"/>
      <w:marLeft w:val="0"/>
      <w:marRight w:val="0"/>
      <w:marTop w:val="0"/>
      <w:marBottom w:val="0"/>
      <w:divBdr>
        <w:top w:val="none" w:sz="0" w:space="0" w:color="auto"/>
        <w:left w:val="none" w:sz="0" w:space="0" w:color="auto"/>
        <w:bottom w:val="none" w:sz="0" w:space="0" w:color="auto"/>
        <w:right w:val="none" w:sz="0" w:space="0" w:color="auto"/>
      </w:divBdr>
    </w:div>
    <w:div w:id="754743269">
      <w:bodyDiv w:val="1"/>
      <w:marLeft w:val="0"/>
      <w:marRight w:val="0"/>
      <w:marTop w:val="0"/>
      <w:marBottom w:val="0"/>
      <w:divBdr>
        <w:top w:val="none" w:sz="0" w:space="0" w:color="auto"/>
        <w:left w:val="none" w:sz="0" w:space="0" w:color="auto"/>
        <w:bottom w:val="none" w:sz="0" w:space="0" w:color="auto"/>
        <w:right w:val="none" w:sz="0" w:space="0" w:color="auto"/>
      </w:divBdr>
    </w:div>
    <w:div w:id="775902736">
      <w:bodyDiv w:val="1"/>
      <w:marLeft w:val="0"/>
      <w:marRight w:val="0"/>
      <w:marTop w:val="0"/>
      <w:marBottom w:val="0"/>
      <w:divBdr>
        <w:top w:val="none" w:sz="0" w:space="0" w:color="auto"/>
        <w:left w:val="none" w:sz="0" w:space="0" w:color="auto"/>
        <w:bottom w:val="none" w:sz="0" w:space="0" w:color="auto"/>
        <w:right w:val="none" w:sz="0" w:space="0" w:color="auto"/>
      </w:divBdr>
      <w:divsChild>
        <w:div w:id="1890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94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8690340">
      <w:bodyDiv w:val="1"/>
      <w:marLeft w:val="0"/>
      <w:marRight w:val="0"/>
      <w:marTop w:val="0"/>
      <w:marBottom w:val="0"/>
      <w:divBdr>
        <w:top w:val="none" w:sz="0" w:space="0" w:color="auto"/>
        <w:left w:val="none" w:sz="0" w:space="0" w:color="auto"/>
        <w:bottom w:val="none" w:sz="0" w:space="0" w:color="auto"/>
        <w:right w:val="none" w:sz="0" w:space="0" w:color="auto"/>
      </w:divBdr>
    </w:div>
    <w:div w:id="803231570">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33498743">
      <w:bodyDiv w:val="1"/>
      <w:marLeft w:val="0"/>
      <w:marRight w:val="0"/>
      <w:marTop w:val="0"/>
      <w:marBottom w:val="0"/>
      <w:divBdr>
        <w:top w:val="none" w:sz="0" w:space="0" w:color="auto"/>
        <w:left w:val="none" w:sz="0" w:space="0" w:color="auto"/>
        <w:bottom w:val="none" w:sz="0" w:space="0" w:color="auto"/>
        <w:right w:val="none" w:sz="0" w:space="0" w:color="auto"/>
      </w:divBdr>
    </w:div>
    <w:div w:id="876817067">
      <w:bodyDiv w:val="1"/>
      <w:marLeft w:val="0"/>
      <w:marRight w:val="0"/>
      <w:marTop w:val="0"/>
      <w:marBottom w:val="0"/>
      <w:divBdr>
        <w:top w:val="none" w:sz="0" w:space="0" w:color="auto"/>
        <w:left w:val="none" w:sz="0" w:space="0" w:color="auto"/>
        <w:bottom w:val="none" w:sz="0" w:space="0" w:color="auto"/>
        <w:right w:val="none" w:sz="0" w:space="0" w:color="auto"/>
      </w:divBdr>
    </w:div>
    <w:div w:id="924605144">
      <w:bodyDiv w:val="1"/>
      <w:marLeft w:val="0"/>
      <w:marRight w:val="0"/>
      <w:marTop w:val="0"/>
      <w:marBottom w:val="0"/>
      <w:divBdr>
        <w:top w:val="none" w:sz="0" w:space="0" w:color="auto"/>
        <w:left w:val="none" w:sz="0" w:space="0" w:color="auto"/>
        <w:bottom w:val="none" w:sz="0" w:space="0" w:color="auto"/>
        <w:right w:val="none" w:sz="0" w:space="0" w:color="auto"/>
      </w:divBdr>
    </w:div>
    <w:div w:id="1009676240">
      <w:bodyDiv w:val="1"/>
      <w:marLeft w:val="0"/>
      <w:marRight w:val="0"/>
      <w:marTop w:val="0"/>
      <w:marBottom w:val="0"/>
      <w:divBdr>
        <w:top w:val="none" w:sz="0" w:space="0" w:color="auto"/>
        <w:left w:val="none" w:sz="0" w:space="0" w:color="auto"/>
        <w:bottom w:val="none" w:sz="0" w:space="0" w:color="auto"/>
        <w:right w:val="none" w:sz="0" w:space="0" w:color="auto"/>
      </w:divBdr>
    </w:div>
    <w:div w:id="1070882906">
      <w:bodyDiv w:val="1"/>
      <w:marLeft w:val="0"/>
      <w:marRight w:val="0"/>
      <w:marTop w:val="0"/>
      <w:marBottom w:val="0"/>
      <w:divBdr>
        <w:top w:val="none" w:sz="0" w:space="0" w:color="auto"/>
        <w:left w:val="none" w:sz="0" w:space="0" w:color="auto"/>
        <w:bottom w:val="none" w:sz="0" w:space="0" w:color="auto"/>
        <w:right w:val="none" w:sz="0" w:space="0" w:color="auto"/>
      </w:divBdr>
    </w:div>
    <w:div w:id="1080446868">
      <w:bodyDiv w:val="1"/>
      <w:marLeft w:val="0"/>
      <w:marRight w:val="0"/>
      <w:marTop w:val="0"/>
      <w:marBottom w:val="0"/>
      <w:divBdr>
        <w:top w:val="none" w:sz="0" w:space="0" w:color="auto"/>
        <w:left w:val="none" w:sz="0" w:space="0" w:color="auto"/>
        <w:bottom w:val="none" w:sz="0" w:space="0" w:color="auto"/>
        <w:right w:val="none" w:sz="0" w:space="0" w:color="auto"/>
      </w:divBdr>
    </w:div>
    <w:div w:id="1088236191">
      <w:bodyDiv w:val="1"/>
      <w:marLeft w:val="0"/>
      <w:marRight w:val="0"/>
      <w:marTop w:val="0"/>
      <w:marBottom w:val="0"/>
      <w:divBdr>
        <w:top w:val="none" w:sz="0" w:space="0" w:color="auto"/>
        <w:left w:val="none" w:sz="0" w:space="0" w:color="auto"/>
        <w:bottom w:val="none" w:sz="0" w:space="0" w:color="auto"/>
        <w:right w:val="none" w:sz="0" w:space="0" w:color="auto"/>
      </w:divBdr>
      <w:divsChild>
        <w:div w:id="1847480160">
          <w:marLeft w:val="547"/>
          <w:marRight w:val="0"/>
          <w:marTop w:val="0"/>
          <w:marBottom w:val="0"/>
          <w:divBdr>
            <w:top w:val="none" w:sz="0" w:space="0" w:color="auto"/>
            <w:left w:val="none" w:sz="0" w:space="0" w:color="auto"/>
            <w:bottom w:val="none" w:sz="0" w:space="0" w:color="auto"/>
            <w:right w:val="none" w:sz="0" w:space="0" w:color="auto"/>
          </w:divBdr>
        </w:div>
      </w:divsChild>
    </w:div>
    <w:div w:id="1091388528">
      <w:bodyDiv w:val="1"/>
      <w:marLeft w:val="0"/>
      <w:marRight w:val="0"/>
      <w:marTop w:val="0"/>
      <w:marBottom w:val="0"/>
      <w:divBdr>
        <w:top w:val="none" w:sz="0" w:space="0" w:color="auto"/>
        <w:left w:val="none" w:sz="0" w:space="0" w:color="auto"/>
        <w:bottom w:val="none" w:sz="0" w:space="0" w:color="auto"/>
        <w:right w:val="none" w:sz="0" w:space="0" w:color="auto"/>
      </w:divBdr>
      <w:divsChild>
        <w:div w:id="994341044">
          <w:marLeft w:val="547"/>
          <w:marRight w:val="0"/>
          <w:marTop w:val="0"/>
          <w:marBottom w:val="0"/>
          <w:divBdr>
            <w:top w:val="none" w:sz="0" w:space="0" w:color="auto"/>
            <w:left w:val="none" w:sz="0" w:space="0" w:color="auto"/>
            <w:bottom w:val="none" w:sz="0" w:space="0" w:color="auto"/>
            <w:right w:val="none" w:sz="0" w:space="0" w:color="auto"/>
          </w:divBdr>
        </w:div>
      </w:divsChild>
    </w:div>
    <w:div w:id="1117142821">
      <w:bodyDiv w:val="1"/>
      <w:marLeft w:val="0"/>
      <w:marRight w:val="0"/>
      <w:marTop w:val="0"/>
      <w:marBottom w:val="0"/>
      <w:divBdr>
        <w:top w:val="none" w:sz="0" w:space="0" w:color="auto"/>
        <w:left w:val="none" w:sz="0" w:space="0" w:color="auto"/>
        <w:bottom w:val="none" w:sz="0" w:space="0" w:color="auto"/>
        <w:right w:val="none" w:sz="0" w:space="0" w:color="auto"/>
      </w:divBdr>
    </w:div>
    <w:div w:id="1129128776">
      <w:bodyDiv w:val="1"/>
      <w:marLeft w:val="0"/>
      <w:marRight w:val="0"/>
      <w:marTop w:val="0"/>
      <w:marBottom w:val="0"/>
      <w:divBdr>
        <w:top w:val="none" w:sz="0" w:space="0" w:color="auto"/>
        <w:left w:val="none" w:sz="0" w:space="0" w:color="auto"/>
        <w:bottom w:val="none" w:sz="0" w:space="0" w:color="auto"/>
        <w:right w:val="none" w:sz="0" w:space="0" w:color="auto"/>
      </w:divBdr>
    </w:div>
    <w:div w:id="1131904248">
      <w:bodyDiv w:val="1"/>
      <w:marLeft w:val="0"/>
      <w:marRight w:val="0"/>
      <w:marTop w:val="0"/>
      <w:marBottom w:val="0"/>
      <w:divBdr>
        <w:top w:val="none" w:sz="0" w:space="0" w:color="auto"/>
        <w:left w:val="none" w:sz="0" w:space="0" w:color="auto"/>
        <w:bottom w:val="none" w:sz="0" w:space="0" w:color="auto"/>
        <w:right w:val="none" w:sz="0" w:space="0" w:color="auto"/>
      </w:divBdr>
      <w:divsChild>
        <w:div w:id="1205095061">
          <w:marLeft w:val="547"/>
          <w:marRight w:val="0"/>
          <w:marTop w:val="0"/>
          <w:marBottom w:val="0"/>
          <w:divBdr>
            <w:top w:val="none" w:sz="0" w:space="0" w:color="auto"/>
            <w:left w:val="none" w:sz="0" w:space="0" w:color="auto"/>
            <w:bottom w:val="none" w:sz="0" w:space="0" w:color="auto"/>
            <w:right w:val="none" w:sz="0" w:space="0" w:color="auto"/>
          </w:divBdr>
        </w:div>
      </w:divsChild>
    </w:div>
    <w:div w:id="1150756011">
      <w:bodyDiv w:val="1"/>
      <w:marLeft w:val="0"/>
      <w:marRight w:val="0"/>
      <w:marTop w:val="0"/>
      <w:marBottom w:val="0"/>
      <w:divBdr>
        <w:top w:val="none" w:sz="0" w:space="0" w:color="auto"/>
        <w:left w:val="none" w:sz="0" w:space="0" w:color="auto"/>
        <w:bottom w:val="none" w:sz="0" w:space="0" w:color="auto"/>
        <w:right w:val="none" w:sz="0" w:space="0" w:color="auto"/>
      </w:divBdr>
    </w:div>
    <w:div w:id="1151605041">
      <w:bodyDiv w:val="1"/>
      <w:marLeft w:val="0"/>
      <w:marRight w:val="0"/>
      <w:marTop w:val="0"/>
      <w:marBottom w:val="0"/>
      <w:divBdr>
        <w:top w:val="none" w:sz="0" w:space="0" w:color="auto"/>
        <w:left w:val="none" w:sz="0" w:space="0" w:color="auto"/>
        <w:bottom w:val="none" w:sz="0" w:space="0" w:color="auto"/>
        <w:right w:val="none" w:sz="0" w:space="0" w:color="auto"/>
      </w:divBdr>
    </w:div>
    <w:div w:id="1153914317">
      <w:bodyDiv w:val="1"/>
      <w:marLeft w:val="0"/>
      <w:marRight w:val="0"/>
      <w:marTop w:val="0"/>
      <w:marBottom w:val="0"/>
      <w:divBdr>
        <w:top w:val="none" w:sz="0" w:space="0" w:color="auto"/>
        <w:left w:val="none" w:sz="0" w:space="0" w:color="auto"/>
        <w:bottom w:val="none" w:sz="0" w:space="0" w:color="auto"/>
        <w:right w:val="none" w:sz="0" w:space="0" w:color="auto"/>
      </w:divBdr>
    </w:div>
    <w:div w:id="1167942657">
      <w:bodyDiv w:val="1"/>
      <w:marLeft w:val="0"/>
      <w:marRight w:val="0"/>
      <w:marTop w:val="0"/>
      <w:marBottom w:val="0"/>
      <w:divBdr>
        <w:top w:val="none" w:sz="0" w:space="0" w:color="auto"/>
        <w:left w:val="none" w:sz="0" w:space="0" w:color="auto"/>
        <w:bottom w:val="none" w:sz="0" w:space="0" w:color="auto"/>
        <w:right w:val="none" w:sz="0" w:space="0" w:color="auto"/>
      </w:divBdr>
    </w:div>
    <w:div w:id="1224367302">
      <w:bodyDiv w:val="1"/>
      <w:marLeft w:val="0"/>
      <w:marRight w:val="0"/>
      <w:marTop w:val="0"/>
      <w:marBottom w:val="0"/>
      <w:divBdr>
        <w:top w:val="none" w:sz="0" w:space="0" w:color="auto"/>
        <w:left w:val="none" w:sz="0" w:space="0" w:color="auto"/>
        <w:bottom w:val="none" w:sz="0" w:space="0" w:color="auto"/>
        <w:right w:val="none" w:sz="0" w:space="0" w:color="auto"/>
      </w:divBdr>
    </w:div>
    <w:div w:id="1230729506">
      <w:bodyDiv w:val="1"/>
      <w:marLeft w:val="0"/>
      <w:marRight w:val="0"/>
      <w:marTop w:val="0"/>
      <w:marBottom w:val="0"/>
      <w:divBdr>
        <w:top w:val="none" w:sz="0" w:space="0" w:color="auto"/>
        <w:left w:val="none" w:sz="0" w:space="0" w:color="auto"/>
        <w:bottom w:val="none" w:sz="0" w:space="0" w:color="auto"/>
        <w:right w:val="none" w:sz="0" w:space="0" w:color="auto"/>
      </w:divBdr>
    </w:div>
    <w:div w:id="1257591666">
      <w:bodyDiv w:val="1"/>
      <w:marLeft w:val="0"/>
      <w:marRight w:val="0"/>
      <w:marTop w:val="0"/>
      <w:marBottom w:val="0"/>
      <w:divBdr>
        <w:top w:val="none" w:sz="0" w:space="0" w:color="auto"/>
        <w:left w:val="none" w:sz="0" w:space="0" w:color="auto"/>
        <w:bottom w:val="none" w:sz="0" w:space="0" w:color="auto"/>
        <w:right w:val="none" w:sz="0" w:space="0" w:color="auto"/>
      </w:divBdr>
    </w:div>
    <w:div w:id="1282028518">
      <w:bodyDiv w:val="1"/>
      <w:marLeft w:val="0"/>
      <w:marRight w:val="0"/>
      <w:marTop w:val="0"/>
      <w:marBottom w:val="0"/>
      <w:divBdr>
        <w:top w:val="none" w:sz="0" w:space="0" w:color="auto"/>
        <w:left w:val="none" w:sz="0" w:space="0" w:color="auto"/>
        <w:bottom w:val="none" w:sz="0" w:space="0" w:color="auto"/>
        <w:right w:val="none" w:sz="0" w:space="0" w:color="auto"/>
      </w:divBdr>
      <w:divsChild>
        <w:div w:id="1408265299">
          <w:marLeft w:val="547"/>
          <w:marRight w:val="0"/>
          <w:marTop w:val="0"/>
          <w:marBottom w:val="0"/>
          <w:divBdr>
            <w:top w:val="none" w:sz="0" w:space="0" w:color="auto"/>
            <w:left w:val="none" w:sz="0" w:space="0" w:color="auto"/>
            <w:bottom w:val="none" w:sz="0" w:space="0" w:color="auto"/>
            <w:right w:val="none" w:sz="0" w:space="0" w:color="auto"/>
          </w:divBdr>
        </w:div>
      </w:divsChild>
    </w:div>
    <w:div w:id="1333222658">
      <w:bodyDiv w:val="1"/>
      <w:marLeft w:val="0"/>
      <w:marRight w:val="0"/>
      <w:marTop w:val="0"/>
      <w:marBottom w:val="0"/>
      <w:divBdr>
        <w:top w:val="none" w:sz="0" w:space="0" w:color="auto"/>
        <w:left w:val="none" w:sz="0" w:space="0" w:color="auto"/>
        <w:bottom w:val="none" w:sz="0" w:space="0" w:color="auto"/>
        <w:right w:val="none" w:sz="0" w:space="0" w:color="auto"/>
      </w:divBdr>
    </w:div>
    <w:div w:id="1336107325">
      <w:bodyDiv w:val="1"/>
      <w:marLeft w:val="0"/>
      <w:marRight w:val="0"/>
      <w:marTop w:val="0"/>
      <w:marBottom w:val="0"/>
      <w:divBdr>
        <w:top w:val="none" w:sz="0" w:space="0" w:color="auto"/>
        <w:left w:val="none" w:sz="0" w:space="0" w:color="auto"/>
        <w:bottom w:val="none" w:sz="0" w:space="0" w:color="auto"/>
        <w:right w:val="none" w:sz="0" w:space="0" w:color="auto"/>
      </w:divBdr>
    </w:div>
    <w:div w:id="1437679026">
      <w:bodyDiv w:val="1"/>
      <w:marLeft w:val="0"/>
      <w:marRight w:val="0"/>
      <w:marTop w:val="0"/>
      <w:marBottom w:val="0"/>
      <w:divBdr>
        <w:top w:val="none" w:sz="0" w:space="0" w:color="auto"/>
        <w:left w:val="none" w:sz="0" w:space="0" w:color="auto"/>
        <w:bottom w:val="none" w:sz="0" w:space="0" w:color="auto"/>
        <w:right w:val="none" w:sz="0" w:space="0" w:color="auto"/>
      </w:divBdr>
    </w:div>
    <w:div w:id="1438331118">
      <w:bodyDiv w:val="1"/>
      <w:marLeft w:val="0"/>
      <w:marRight w:val="0"/>
      <w:marTop w:val="0"/>
      <w:marBottom w:val="0"/>
      <w:divBdr>
        <w:top w:val="none" w:sz="0" w:space="0" w:color="auto"/>
        <w:left w:val="none" w:sz="0" w:space="0" w:color="auto"/>
        <w:bottom w:val="none" w:sz="0" w:space="0" w:color="auto"/>
        <w:right w:val="none" w:sz="0" w:space="0" w:color="auto"/>
      </w:divBdr>
    </w:div>
    <w:div w:id="1439906002">
      <w:bodyDiv w:val="1"/>
      <w:marLeft w:val="0"/>
      <w:marRight w:val="0"/>
      <w:marTop w:val="0"/>
      <w:marBottom w:val="0"/>
      <w:divBdr>
        <w:top w:val="none" w:sz="0" w:space="0" w:color="auto"/>
        <w:left w:val="none" w:sz="0" w:space="0" w:color="auto"/>
        <w:bottom w:val="none" w:sz="0" w:space="0" w:color="auto"/>
        <w:right w:val="none" w:sz="0" w:space="0" w:color="auto"/>
      </w:divBdr>
    </w:div>
    <w:div w:id="1527601909">
      <w:bodyDiv w:val="1"/>
      <w:marLeft w:val="0"/>
      <w:marRight w:val="0"/>
      <w:marTop w:val="0"/>
      <w:marBottom w:val="0"/>
      <w:divBdr>
        <w:top w:val="none" w:sz="0" w:space="0" w:color="auto"/>
        <w:left w:val="none" w:sz="0" w:space="0" w:color="auto"/>
        <w:bottom w:val="none" w:sz="0" w:space="0" w:color="auto"/>
        <w:right w:val="none" w:sz="0" w:space="0" w:color="auto"/>
      </w:divBdr>
    </w:div>
    <w:div w:id="1542984800">
      <w:bodyDiv w:val="1"/>
      <w:marLeft w:val="0"/>
      <w:marRight w:val="0"/>
      <w:marTop w:val="0"/>
      <w:marBottom w:val="0"/>
      <w:divBdr>
        <w:top w:val="none" w:sz="0" w:space="0" w:color="auto"/>
        <w:left w:val="none" w:sz="0" w:space="0" w:color="auto"/>
        <w:bottom w:val="none" w:sz="0" w:space="0" w:color="auto"/>
        <w:right w:val="none" w:sz="0" w:space="0" w:color="auto"/>
      </w:divBdr>
    </w:div>
    <w:div w:id="1570189687">
      <w:bodyDiv w:val="1"/>
      <w:marLeft w:val="0"/>
      <w:marRight w:val="0"/>
      <w:marTop w:val="0"/>
      <w:marBottom w:val="0"/>
      <w:divBdr>
        <w:top w:val="none" w:sz="0" w:space="0" w:color="auto"/>
        <w:left w:val="none" w:sz="0" w:space="0" w:color="auto"/>
        <w:bottom w:val="none" w:sz="0" w:space="0" w:color="auto"/>
        <w:right w:val="none" w:sz="0" w:space="0" w:color="auto"/>
      </w:divBdr>
    </w:div>
    <w:div w:id="1612780207">
      <w:bodyDiv w:val="1"/>
      <w:marLeft w:val="0"/>
      <w:marRight w:val="0"/>
      <w:marTop w:val="0"/>
      <w:marBottom w:val="0"/>
      <w:divBdr>
        <w:top w:val="none" w:sz="0" w:space="0" w:color="auto"/>
        <w:left w:val="none" w:sz="0" w:space="0" w:color="auto"/>
        <w:bottom w:val="none" w:sz="0" w:space="0" w:color="auto"/>
        <w:right w:val="none" w:sz="0" w:space="0" w:color="auto"/>
      </w:divBdr>
    </w:div>
    <w:div w:id="1619220687">
      <w:bodyDiv w:val="1"/>
      <w:marLeft w:val="0"/>
      <w:marRight w:val="0"/>
      <w:marTop w:val="0"/>
      <w:marBottom w:val="0"/>
      <w:divBdr>
        <w:top w:val="none" w:sz="0" w:space="0" w:color="auto"/>
        <w:left w:val="none" w:sz="0" w:space="0" w:color="auto"/>
        <w:bottom w:val="none" w:sz="0" w:space="0" w:color="auto"/>
        <w:right w:val="none" w:sz="0" w:space="0" w:color="auto"/>
      </w:divBdr>
    </w:div>
    <w:div w:id="1625623176">
      <w:bodyDiv w:val="1"/>
      <w:marLeft w:val="0"/>
      <w:marRight w:val="0"/>
      <w:marTop w:val="0"/>
      <w:marBottom w:val="0"/>
      <w:divBdr>
        <w:top w:val="none" w:sz="0" w:space="0" w:color="auto"/>
        <w:left w:val="none" w:sz="0" w:space="0" w:color="auto"/>
        <w:bottom w:val="none" w:sz="0" w:space="0" w:color="auto"/>
        <w:right w:val="none" w:sz="0" w:space="0" w:color="auto"/>
      </w:divBdr>
    </w:div>
    <w:div w:id="1647707520">
      <w:bodyDiv w:val="1"/>
      <w:marLeft w:val="0"/>
      <w:marRight w:val="0"/>
      <w:marTop w:val="0"/>
      <w:marBottom w:val="0"/>
      <w:divBdr>
        <w:top w:val="none" w:sz="0" w:space="0" w:color="auto"/>
        <w:left w:val="none" w:sz="0" w:space="0" w:color="auto"/>
        <w:bottom w:val="none" w:sz="0" w:space="0" w:color="auto"/>
        <w:right w:val="none" w:sz="0" w:space="0" w:color="auto"/>
      </w:divBdr>
    </w:div>
    <w:div w:id="1705058842">
      <w:bodyDiv w:val="1"/>
      <w:marLeft w:val="0"/>
      <w:marRight w:val="0"/>
      <w:marTop w:val="0"/>
      <w:marBottom w:val="0"/>
      <w:divBdr>
        <w:top w:val="none" w:sz="0" w:space="0" w:color="auto"/>
        <w:left w:val="none" w:sz="0" w:space="0" w:color="auto"/>
        <w:bottom w:val="none" w:sz="0" w:space="0" w:color="auto"/>
        <w:right w:val="none" w:sz="0" w:space="0" w:color="auto"/>
      </w:divBdr>
    </w:div>
    <w:div w:id="1836140389">
      <w:bodyDiv w:val="1"/>
      <w:marLeft w:val="0"/>
      <w:marRight w:val="0"/>
      <w:marTop w:val="0"/>
      <w:marBottom w:val="0"/>
      <w:divBdr>
        <w:top w:val="none" w:sz="0" w:space="0" w:color="auto"/>
        <w:left w:val="none" w:sz="0" w:space="0" w:color="auto"/>
        <w:bottom w:val="none" w:sz="0" w:space="0" w:color="auto"/>
        <w:right w:val="none" w:sz="0" w:space="0" w:color="auto"/>
      </w:divBdr>
    </w:div>
    <w:div w:id="1860701216">
      <w:bodyDiv w:val="1"/>
      <w:marLeft w:val="0"/>
      <w:marRight w:val="0"/>
      <w:marTop w:val="0"/>
      <w:marBottom w:val="0"/>
      <w:divBdr>
        <w:top w:val="none" w:sz="0" w:space="0" w:color="auto"/>
        <w:left w:val="none" w:sz="0" w:space="0" w:color="auto"/>
        <w:bottom w:val="none" w:sz="0" w:space="0" w:color="auto"/>
        <w:right w:val="none" w:sz="0" w:space="0" w:color="auto"/>
      </w:divBdr>
    </w:div>
    <w:div w:id="1879707833">
      <w:bodyDiv w:val="1"/>
      <w:marLeft w:val="0"/>
      <w:marRight w:val="0"/>
      <w:marTop w:val="0"/>
      <w:marBottom w:val="0"/>
      <w:divBdr>
        <w:top w:val="none" w:sz="0" w:space="0" w:color="auto"/>
        <w:left w:val="none" w:sz="0" w:space="0" w:color="auto"/>
        <w:bottom w:val="none" w:sz="0" w:space="0" w:color="auto"/>
        <w:right w:val="none" w:sz="0" w:space="0" w:color="auto"/>
      </w:divBdr>
    </w:div>
    <w:div w:id="1916160982">
      <w:bodyDiv w:val="1"/>
      <w:marLeft w:val="0"/>
      <w:marRight w:val="0"/>
      <w:marTop w:val="0"/>
      <w:marBottom w:val="0"/>
      <w:divBdr>
        <w:top w:val="none" w:sz="0" w:space="0" w:color="auto"/>
        <w:left w:val="none" w:sz="0" w:space="0" w:color="auto"/>
        <w:bottom w:val="none" w:sz="0" w:space="0" w:color="auto"/>
        <w:right w:val="none" w:sz="0" w:space="0" w:color="auto"/>
      </w:divBdr>
    </w:div>
    <w:div w:id="1995798940">
      <w:bodyDiv w:val="1"/>
      <w:marLeft w:val="0"/>
      <w:marRight w:val="0"/>
      <w:marTop w:val="0"/>
      <w:marBottom w:val="0"/>
      <w:divBdr>
        <w:top w:val="none" w:sz="0" w:space="0" w:color="auto"/>
        <w:left w:val="none" w:sz="0" w:space="0" w:color="auto"/>
        <w:bottom w:val="none" w:sz="0" w:space="0" w:color="auto"/>
        <w:right w:val="none" w:sz="0" w:space="0" w:color="auto"/>
      </w:divBdr>
    </w:div>
    <w:div w:id="2008047316">
      <w:bodyDiv w:val="1"/>
      <w:marLeft w:val="0"/>
      <w:marRight w:val="0"/>
      <w:marTop w:val="0"/>
      <w:marBottom w:val="0"/>
      <w:divBdr>
        <w:top w:val="none" w:sz="0" w:space="0" w:color="auto"/>
        <w:left w:val="none" w:sz="0" w:space="0" w:color="auto"/>
        <w:bottom w:val="none" w:sz="0" w:space="0" w:color="auto"/>
        <w:right w:val="none" w:sz="0" w:space="0" w:color="auto"/>
      </w:divBdr>
      <w:divsChild>
        <w:div w:id="48393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306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831444">
      <w:bodyDiv w:val="1"/>
      <w:marLeft w:val="0"/>
      <w:marRight w:val="0"/>
      <w:marTop w:val="0"/>
      <w:marBottom w:val="0"/>
      <w:divBdr>
        <w:top w:val="none" w:sz="0" w:space="0" w:color="auto"/>
        <w:left w:val="none" w:sz="0" w:space="0" w:color="auto"/>
        <w:bottom w:val="none" w:sz="0" w:space="0" w:color="auto"/>
        <w:right w:val="none" w:sz="0" w:space="0" w:color="auto"/>
      </w:divBdr>
    </w:div>
    <w:div w:id="2049573299">
      <w:bodyDiv w:val="1"/>
      <w:marLeft w:val="0"/>
      <w:marRight w:val="0"/>
      <w:marTop w:val="0"/>
      <w:marBottom w:val="0"/>
      <w:divBdr>
        <w:top w:val="none" w:sz="0" w:space="0" w:color="auto"/>
        <w:left w:val="none" w:sz="0" w:space="0" w:color="auto"/>
        <w:bottom w:val="none" w:sz="0" w:space="0" w:color="auto"/>
        <w:right w:val="none" w:sz="0" w:space="0" w:color="auto"/>
      </w:divBdr>
    </w:div>
    <w:div w:id="2054380246">
      <w:bodyDiv w:val="1"/>
      <w:marLeft w:val="0"/>
      <w:marRight w:val="0"/>
      <w:marTop w:val="0"/>
      <w:marBottom w:val="0"/>
      <w:divBdr>
        <w:top w:val="none" w:sz="0" w:space="0" w:color="auto"/>
        <w:left w:val="none" w:sz="0" w:space="0" w:color="auto"/>
        <w:bottom w:val="none" w:sz="0" w:space="0" w:color="auto"/>
        <w:right w:val="none" w:sz="0" w:space="0" w:color="auto"/>
      </w:divBdr>
    </w:div>
    <w:div w:id="2093119056">
      <w:bodyDiv w:val="1"/>
      <w:marLeft w:val="0"/>
      <w:marRight w:val="0"/>
      <w:marTop w:val="0"/>
      <w:marBottom w:val="0"/>
      <w:divBdr>
        <w:top w:val="none" w:sz="0" w:space="0" w:color="auto"/>
        <w:left w:val="none" w:sz="0" w:space="0" w:color="auto"/>
        <w:bottom w:val="none" w:sz="0" w:space="0" w:color="auto"/>
        <w:right w:val="none" w:sz="0" w:space="0" w:color="auto"/>
      </w:divBdr>
    </w:div>
    <w:div w:id="2095543572">
      <w:bodyDiv w:val="1"/>
      <w:marLeft w:val="0"/>
      <w:marRight w:val="0"/>
      <w:marTop w:val="0"/>
      <w:marBottom w:val="0"/>
      <w:divBdr>
        <w:top w:val="none" w:sz="0" w:space="0" w:color="auto"/>
        <w:left w:val="none" w:sz="0" w:space="0" w:color="auto"/>
        <w:bottom w:val="none" w:sz="0" w:space="0" w:color="auto"/>
        <w:right w:val="none" w:sz="0" w:space="0" w:color="auto"/>
      </w:divBdr>
      <w:divsChild>
        <w:div w:id="116628794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satoday30.usatoday.com/news/world/2007-11-25-saudiarabia_N.htm" TargetMode="External"/><Relationship Id="rId7" Type="http://schemas.openxmlformats.org/officeDocument/2006/relationships/hyperlink" Target="http://www.judiciary.gov.uk/Resources/JCO/Documents/judicial-college/ETBB_all_chapters_final.pdf" TargetMode="External"/><Relationship Id="rId2" Type="http://schemas.openxmlformats.org/officeDocument/2006/relationships/hyperlink" Target="http://www.aifs.gov.au/acssa/pubs/wrap/wrap12/w12.pdf" TargetMode="External"/><Relationship Id="rId1" Type="http://schemas.openxmlformats.org/officeDocument/2006/relationships/hyperlink" Target="http://www.ohchr.org/Documents/Issues/Women/WRGS/StudyGenderStereotyping.doc" TargetMode="External"/><Relationship Id="rId6" Type="http://schemas.openxmlformats.org/officeDocument/2006/relationships/hyperlink" Target="http://www.equidad.scjn.gob.mx/spip.php?page=ficha_biblioteca&amp;id_article=1957" TargetMode="External"/><Relationship Id="rId5" Type="http://schemas.openxmlformats.org/officeDocument/2006/relationships/hyperlink" Target="http://www.equidad.scjn.gob.mx/spip.php?page=ficha_biblioteca&amp;id_article=1987" TargetMode="External"/><Relationship Id="rId4" Type="http://schemas.openxmlformats.org/officeDocument/2006/relationships/hyperlink" Target="http://www.artemisanoticias.com.ar/images/FotosNotas/inv%20defensoria11-10%5B1%5D.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ED983633EDA45A513BB8F0E4C6D19"/>
        <w:category>
          <w:name w:val="General"/>
          <w:gallery w:val="placeholder"/>
        </w:category>
        <w:types>
          <w:type w:val="bbPlcHdr"/>
        </w:types>
        <w:behaviors>
          <w:behavior w:val="content"/>
        </w:behaviors>
        <w:guid w:val="{6E759F72-765C-844C-9BB1-1F7725F22F49}"/>
      </w:docPartPr>
      <w:docPartBody>
        <w:p w:rsidR="00DF4EF7" w:rsidRDefault="00DF4EF7" w:rsidP="00DF4EF7">
          <w:pPr>
            <w:pStyle w:val="EC1ED983633EDA45A513BB8F0E4C6D19"/>
          </w:pPr>
          <w:r>
            <w:t>Lorem Ipsum Dolor Sit Amet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A6"/>
    <w:rsid w:val="000D449C"/>
    <w:rsid w:val="001777F6"/>
    <w:rsid w:val="001D098D"/>
    <w:rsid w:val="002C5CB8"/>
    <w:rsid w:val="003B7A41"/>
    <w:rsid w:val="003F64C0"/>
    <w:rsid w:val="004824B2"/>
    <w:rsid w:val="005B714E"/>
    <w:rsid w:val="006512A6"/>
    <w:rsid w:val="006F5080"/>
    <w:rsid w:val="006F7BD1"/>
    <w:rsid w:val="00750492"/>
    <w:rsid w:val="00861494"/>
    <w:rsid w:val="00AC622D"/>
    <w:rsid w:val="00C1570E"/>
    <w:rsid w:val="00CD0E09"/>
    <w:rsid w:val="00D223AF"/>
    <w:rsid w:val="00DF4EF7"/>
    <w:rsid w:val="00F35EA9"/>
    <w:rsid w:val="00FC4CE9"/>
    <w:rsid w:val="00FD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890824936F14EA579E0DC970FC35B">
    <w:name w:val="186890824936F14EA579E0DC970FC35B"/>
    <w:rsid w:val="006512A6"/>
  </w:style>
  <w:style w:type="paragraph" w:customStyle="1" w:styleId="3BBEE391AB02BF45B9B830784A2CA40B">
    <w:name w:val="3BBEE391AB02BF45B9B830784A2CA40B"/>
    <w:rsid w:val="006512A6"/>
  </w:style>
  <w:style w:type="paragraph" w:customStyle="1" w:styleId="785F739628058F4080C9C5B5552A89FF">
    <w:name w:val="785F739628058F4080C9C5B5552A89FF"/>
    <w:rsid w:val="006512A6"/>
  </w:style>
  <w:style w:type="paragraph" w:customStyle="1" w:styleId="582B8164E99BE1449FCDE909798ABABC">
    <w:name w:val="582B8164E99BE1449FCDE909798ABABC"/>
    <w:rsid w:val="002C5CB8"/>
  </w:style>
  <w:style w:type="paragraph" w:customStyle="1" w:styleId="9BBA0C1FFCBED646BA1FCBCC31C89235">
    <w:name w:val="9BBA0C1FFCBED646BA1FCBCC31C89235"/>
    <w:rsid w:val="00FD42BC"/>
  </w:style>
  <w:style w:type="paragraph" w:customStyle="1" w:styleId="2E45276A9BBF744C9624C3F212D4B6A3">
    <w:name w:val="2E45276A9BBF744C9624C3F212D4B6A3"/>
    <w:rsid w:val="00FD42BC"/>
  </w:style>
  <w:style w:type="paragraph" w:customStyle="1" w:styleId="D83B86A7296EC74AA8FA4204A9E226B2">
    <w:name w:val="D83B86A7296EC74AA8FA4204A9E226B2"/>
    <w:rsid w:val="00FD42BC"/>
  </w:style>
  <w:style w:type="paragraph" w:customStyle="1" w:styleId="3A3C98C8AF42AC48A6E753B20034791D">
    <w:name w:val="3A3C98C8AF42AC48A6E753B20034791D"/>
    <w:rsid w:val="00FD42BC"/>
  </w:style>
  <w:style w:type="paragraph" w:customStyle="1" w:styleId="0681648DDDFB664787CEA13AC6EAD4EF">
    <w:name w:val="0681648DDDFB664787CEA13AC6EAD4EF"/>
    <w:rsid w:val="00FD42BC"/>
  </w:style>
  <w:style w:type="paragraph" w:customStyle="1" w:styleId="97AB50D0A0236A4199C8FC5C12A35035">
    <w:name w:val="97AB50D0A0236A4199C8FC5C12A35035"/>
    <w:rsid w:val="00FD42BC"/>
  </w:style>
  <w:style w:type="paragraph" w:customStyle="1" w:styleId="1C23C51401D7504B9311CD72BE363300">
    <w:name w:val="1C23C51401D7504B9311CD72BE363300"/>
    <w:rsid w:val="00FD42BC"/>
  </w:style>
  <w:style w:type="paragraph" w:customStyle="1" w:styleId="0F4F88309455FE4F99F75BA4AD2BA29D">
    <w:name w:val="0F4F88309455FE4F99F75BA4AD2BA29D"/>
    <w:rsid w:val="00DF4EF7"/>
  </w:style>
  <w:style w:type="paragraph" w:customStyle="1" w:styleId="15F288FB1570684E83A5C05AD4D68CDC">
    <w:name w:val="15F288FB1570684E83A5C05AD4D68CDC"/>
    <w:rsid w:val="00DF4EF7"/>
  </w:style>
  <w:style w:type="paragraph" w:customStyle="1" w:styleId="2D1C5EA98DB9FA4A915253F140413B3B">
    <w:name w:val="2D1C5EA98DB9FA4A915253F140413B3B"/>
    <w:rsid w:val="00DF4EF7"/>
  </w:style>
  <w:style w:type="paragraph" w:customStyle="1" w:styleId="EC1ED983633EDA45A513BB8F0E4C6D19">
    <w:name w:val="EC1ED983633EDA45A513BB8F0E4C6D19"/>
    <w:rsid w:val="00DF4E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890824936F14EA579E0DC970FC35B">
    <w:name w:val="186890824936F14EA579E0DC970FC35B"/>
    <w:rsid w:val="006512A6"/>
  </w:style>
  <w:style w:type="paragraph" w:customStyle="1" w:styleId="3BBEE391AB02BF45B9B830784A2CA40B">
    <w:name w:val="3BBEE391AB02BF45B9B830784A2CA40B"/>
    <w:rsid w:val="006512A6"/>
  </w:style>
  <w:style w:type="paragraph" w:customStyle="1" w:styleId="785F739628058F4080C9C5B5552A89FF">
    <w:name w:val="785F739628058F4080C9C5B5552A89FF"/>
    <w:rsid w:val="006512A6"/>
  </w:style>
  <w:style w:type="paragraph" w:customStyle="1" w:styleId="582B8164E99BE1449FCDE909798ABABC">
    <w:name w:val="582B8164E99BE1449FCDE909798ABABC"/>
    <w:rsid w:val="002C5CB8"/>
  </w:style>
  <w:style w:type="paragraph" w:customStyle="1" w:styleId="9BBA0C1FFCBED646BA1FCBCC31C89235">
    <w:name w:val="9BBA0C1FFCBED646BA1FCBCC31C89235"/>
    <w:rsid w:val="00FD42BC"/>
  </w:style>
  <w:style w:type="paragraph" w:customStyle="1" w:styleId="2E45276A9BBF744C9624C3F212D4B6A3">
    <w:name w:val="2E45276A9BBF744C9624C3F212D4B6A3"/>
    <w:rsid w:val="00FD42BC"/>
  </w:style>
  <w:style w:type="paragraph" w:customStyle="1" w:styleId="D83B86A7296EC74AA8FA4204A9E226B2">
    <w:name w:val="D83B86A7296EC74AA8FA4204A9E226B2"/>
    <w:rsid w:val="00FD42BC"/>
  </w:style>
  <w:style w:type="paragraph" w:customStyle="1" w:styleId="3A3C98C8AF42AC48A6E753B20034791D">
    <w:name w:val="3A3C98C8AF42AC48A6E753B20034791D"/>
    <w:rsid w:val="00FD42BC"/>
  </w:style>
  <w:style w:type="paragraph" w:customStyle="1" w:styleId="0681648DDDFB664787CEA13AC6EAD4EF">
    <w:name w:val="0681648DDDFB664787CEA13AC6EAD4EF"/>
    <w:rsid w:val="00FD42BC"/>
  </w:style>
  <w:style w:type="paragraph" w:customStyle="1" w:styleId="97AB50D0A0236A4199C8FC5C12A35035">
    <w:name w:val="97AB50D0A0236A4199C8FC5C12A35035"/>
    <w:rsid w:val="00FD42BC"/>
  </w:style>
  <w:style w:type="paragraph" w:customStyle="1" w:styleId="1C23C51401D7504B9311CD72BE363300">
    <w:name w:val="1C23C51401D7504B9311CD72BE363300"/>
    <w:rsid w:val="00FD42BC"/>
  </w:style>
  <w:style w:type="paragraph" w:customStyle="1" w:styleId="0F4F88309455FE4F99F75BA4AD2BA29D">
    <w:name w:val="0F4F88309455FE4F99F75BA4AD2BA29D"/>
    <w:rsid w:val="00DF4EF7"/>
  </w:style>
  <w:style w:type="paragraph" w:customStyle="1" w:styleId="15F288FB1570684E83A5C05AD4D68CDC">
    <w:name w:val="15F288FB1570684E83A5C05AD4D68CDC"/>
    <w:rsid w:val="00DF4EF7"/>
  </w:style>
  <w:style w:type="paragraph" w:customStyle="1" w:styleId="2D1C5EA98DB9FA4A915253F140413B3B">
    <w:name w:val="2D1C5EA98DB9FA4A915253F140413B3B"/>
    <w:rsid w:val="00DF4EF7"/>
  </w:style>
  <w:style w:type="paragraph" w:customStyle="1" w:styleId="EC1ED983633EDA45A513BB8F0E4C6D19">
    <w:name w:val="EC1ED983633EDA45A513BB8F0E4C6D19"/>
    <w:rsid w:val="00DF4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934E-A03F-4684-B1DF-270CD2E7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16490</Words>
  <Characters>93999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Cusack</dc:creator>
  <cp:lastModifiedBy>Veronica BIRGA</cp:lastModifiedBy>
  <cp:revision>2</cp:revision>
  <cp:lastPrinted>2014-05-18T10:12:00Z</cp:lastPrinted>
  <dcterms:created xsi:type="dcterms:W3CDTF">2014-06-16T19:03:00Z</dcterms:created>
  <dcterms:modified xsi:type="dcterms:W3CDTF">2014-06-16T19:03:00Z</dcterms:modified>
</cp:coreProperties>
</file>