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85F3E" w:rsidTr="00374744">
        <w:trPr>
          <w:trHeight w:hRule="exact" w:val="851"/>
        </w:trPr>
        <w:tc>
          <w:tcPr>
            <w:tcW w:w="1280" w:type="dxa"/>
            <w:tcBorders>
              <w:bottom w:val="single" w:sz="4" w:space="0" w:color="auto"/>
            </w:tcBorders>
            <w:shd w:val="clear" w:color="auto" w:fill="auto"/>
          </w:tcPr>
          <w:p w:rsidR="002D5AAC" w:rsidRPr="00F85F3E" w:rsidRDefault="002D5AAC" w:rsidP="00374744">
            <w:bookmarkStart w:id="0" w:name="_GoBack"/>
            <w:bookmarkEnd w:id="0"/>
          </w:p>
        </w:tc>
        <w:tc>
          <w:tcPr>
            <w:tcW w:w="2273" w:type="dxa"/>
            <w:tcBorders>
              <w:bottom w:val="single" w:sz="4" w:space="0" w:color="auto"/>
            </w:tcBorders>
            <w:shd w:val="clear" w:color="auto" w:fill="auto"/>
            <w:vAlign w:val="bottom"/>
          </w:tcPr>
          <w:p w:rsidR="002D5AAC" w:rsidRPr="00F85F3E" w:rsidRDefault="00BD33EE" w:rsidP="00374744">
            <w:pPr>
              <w:spacing w:after="80" w:line="300" w:lineRule="exact"/>
              <w:rPr>
                <w:sz w:val="28"/>
              </w:rPr>
            </w:pPr>
            <w:r w:rsidRPr="00F85F3E">
              <w:rPr>
                <w:sz w:val="28"/>
              </w:rPr>
              <w:t>Naciones Unidas</w:t>
            </w:r>
          </w:p>
        </w:tc>
        <w:tc>
          <w:tcPr>
            <w:tcW w:w="6086" w:type="dxa"/>
            <w:gridSpan w:val="2"/>
            <w:tcBorders>
              <w:bottom w:val="single" w:sz="4" w:space="0" w:color="auto"/>
            </w:tcBorders>
            <w:shd w:val="clear" w:color="auto" w:fill="auto"/>
            <w:vAlign w:val="bottom"/>
          </w:tcPr>
          <w:p w:rsidR="002D5AAC" w:rsidRPr="00F85F3E" w:rsidRDefault="000C59AE" w:rsidP="0016226E">
            <w:pPr>
              <w:jc w:val="right"/>
            </w:pPr>
            <w:r w:rsidRPr="00F85F3E">
              <w:rPr>
                <w:sz w:val="40"/>
              </w:rPr>
              <w:t>A</w:t>
            </w:r>
            <w:r w:rsidR="009F47AB" w:rsidRPr="00F85F3E">
              <w:t>/HRC/2</w:t>
            </w:r>
            <w:r w:rsidR="005E035D" w:rsidRPr="00F85F3E">
              <w:t>8</w:t>
            </w:r>
            <w:r w:rsidR="009F47AB" w:rsidRPr="00F85F3E">
              <w:t>/</w:t>
            </w:r>
            <w:r w:rsidR="0016226E" w:rsidRPr="00F85F3E">
              <w:t>56</w:t>
            </w:r>
            <w:r w:rsidR="003020F3" w:rsidRPr="00F85F3E">
              <w:t>/</w:t>
            </w:r>
            <w:r w:rsidR="005E035D" w:rsidRPr="00F85F3E">
              <w:t>Add.</w:t>
            </w:r>
            <w:r w:rsidR="0016226E" w:rsidRPr="00F85F3E">
              <w:t>1</w:t>
            </w:r>
          </w:p>
        </w:tc>
      </w:tr>
      <w:tr w:rsidR="002D5AAC" w:rsidRPr="00F85F3E" w:rsidTr="00AC0635">
        <w:trPr>
          <w:trHeight w:hRule="exact" w:val="2835"/>
        </w:trPr>
        <w:tc>
          <w:tcPr>
            <w:tcW w:w="1280" w:type="dxa"/>
            <w:tcBorders>
              <w:top w:val="single" w:sz="4" w:space="0" w:color="auto"/>
              <w:bottom w:val="single" w:sz="4" w:space="0" w:color="auto"/>
            </w:tcBorders>
            <w:shd w:val="clear" w:color="auto" w:fill="auto"/>
          </w:tcPr>
          <w:p w:rsidR="002D5AAC" w:rsidRPr="00F85F3E" w:rsidRDefault="00EA262D" w:rsidP="00374744">
            <w:pPr>
              <w:spacing w:before="120"/>
              <w:jc w:val="center"/>
            </w:pPr>
            <w:r>
              <w:rPr>
                <w:noProof/>
                <w:lang w:val="en-GB" w:eastAsia="en-GB"/>
              </w:rPr>
              <w:drawing>
                <wp:inline distT="0" distB="0" distL="0" distR="0">
                  <wp:extent cx="714375" cy="590550"/>
                  <wp:effectExtent l="0" t="0" r="9525"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4" w:space="0" w:color="auto"/>
            </w:tcBorders>
            <w:shd w:val="clear" w:color="auto" w:fill="auto"/>
          </w:tcPr>
          <w:p w:rsidR="002D5AAC" w:rsidRPr="00F85F3E" w:rsidRDefault="008308A6" w:rsidP="00374744">
            <w:pPr>
              <w:spacing w:before="120" w:line="420" w:lineRule="exact"/>
              <w:rPr>
                <w:b/>
                <w:sz w:val="40"/>
                <w:szCs w:val="40"/>
              </w:rPr>
            </w:pPr>
            <w:r w:rsidRPr="00F85F3E">
              <w:rPr>
                <w:b/>
                <w:sz w:val="40"/>
                <w:szCs w:val="40"/>
              </w:rPr>
              <w:t>Asamblea General</w:t>
            </w:r>
          </w:p>
        </w:tc>
        <w:tc>
          <w:tcPr>
            <w:tcW w:w="2819" w:type="dxa"/>
            <w:tcBorders>
              <w:top w:val="single" w:sz="4" w:space="0" w:color="auto"/>
              <w:bottom w:val="single" w:sz="4" w:space="0" w:color="auto"/>
            </w:tcBorders>
            <w:shd w:val="clear" w:color="auto" w:fill="auto"/>
          </w:tcPr>
          <w:p w:rsidR="000C59AE" w:rsidRPr="00F85F3E" w:rsidRDefault="000C59AE" w:rsidP="00374744">
            <w:pPr>
              <w:spacing w:before="240"/>
            </w:pPr>
            <w:r w:rsidRPr="00F85F3E">
              <w:t>Distr. general</w:t>
            </w:r>
          </w:p>
          <w:p w:rsidR="000C59AE" w:rsidRPr="00F85F3E" w:rsidRDefault="00D31714" w:rsidP="00D0615D">
            <w:pPr>
              <w:spacing w:line="240" w:lineRule="exact"/>
            </w:pPr>
            <w:r>
              <w:t>1</w:t>
            </w:r>
            <w:r w:rsidR="000145EC">
              <w:t>8</w:t>
            </w:r>
            <w:r w:rsidR="00D0615D">
              <w:t xml:space="preserve"> </w:t>
            </w:r>
            <w:r w:rsidR="00CA2A69">
              <w:t>de diciembre de 2014</w:t>
            </w:r>
          </w:p>
          <w:p w:rsidR="000C59AE" w:rsidRPr="00F85F3E" w:rsidRDefault="000C59AE" w:rsidP="00374744">
            <w:pPr>
              <w:spacing w:line="240" w:lineRule="exact"/>
            </w:pPr>
          </w:p>
          <w:p w:rsidR="002D5AAC" w:rsidRPr="00F85F3E" w:rsidRDefault="0002391D" w:rsidP="00374744">
            <w:pPr>
              <w:spacing w:line="240" w:lineRule="exact"/>
            </w:pPr>
            <w:r w:rsidRPr="00F85F3E">
              <w:t>Original: español</w:t>
            </w:r>
          </w:p>
        </w:tc>
      </w:tr>
    </w:tbl>
    <w:p w:rsidR="00DB74E8" w:rsidRPr="00F85F3E" w:rsidRDefault="00DB74E8" w:rsidP="00DB74E8">
      <w:pPr>
        <w:spacing w:before="120"/>
        <w:rPr>
          <w:b/>
          <w:sz w:val="24"/>
          <w:szCs w:val="24"/>
        </w:rPr>
      </w:pPr>
      <w:r w:rsidRPr="00F85F3E">
        <w:rPr>
          <w:b/>
          <w:sz w:val="24"/>
          <w:szCs w:val="24"/>
        </w:rPr>
        <w:t>Consejo de Derechos Humanos</w:t>
      </w:r>
    </w:p>
    <w:p w:rsidR="00DB74E8" w:rsidRPr="00F85F3E" w:rsidRDefault="0002391D" w:rsidP="00DB74E8">
      <w:pPr>
        <w:rPr>
          <w:b/>
        </w:rPr>
      </w:pPr>
      <w:r w:rsidRPr="00F85F3E">
        <w:rPr>
          <w:b/>
        </w:rPr>
        <w:t>2</w:t>
      </w:r>
      <w:r w:rsidR="005E035D" w:rsidRPr="00F85F3E">
        <w:rPr>
          <w:b/>
        </w:rPr>
        <w:t>8</w:t>
      </w:r>
      <w:r w:rsidR="00DB74E8" w:rsidRPr="00F85F3E">
        <w:rPr>
          <w:b/>
        </w:rPr>
        <w:t>º período de sesiones</w:t>
      </w:r>
    </w:p>
    <w:p w:rsidR="00DB74E8" w:rsidRPr="00F85F3E" w:rsidRDefault="00DB74E8" w:rsidP="00DB74E8">
      <w:r w:rsidRPr="00F85F3E">
        <w:t>Tema 3 de la agenda</w:t>
      </w:r>
    </w:p>
    <w:p w:rsidR="00DB74E8" w:rsidRPr="00F85F3E" w:rsidRDefault="00DB74E8" w:rsidP="00DB74E8">
      <w:pPr>
        <w:rPr>
          <w:b/>
        </w:rPr>
      </w:pPr>
      <w:r w:rsidRPr="00F85F3E">
        <w:rPr>
          <w:b/>
        </w:rPr>
        <w:t xml:space="preserve">Promoción y protección de todos los derechos humanos, </w:t>
      </w:r>
      <w:r w:rsidRPr="00F85F3E">
        <w:rPr>
          <w:b/>
        </w:rPr>
        <w:br/>
        <w:t xml:space="preserve">civiles, políticos, económicos, sociales y culturales, </w:t>
      </w:r>
      <w:r w:rsidRPr="00F85F3E">
        <w:rPr>
          <w:b/>
        </w:rPr>
        <w:br/>
        <w:t>incluido el derecho al desarrollo</w:t>
      </w:r>
    </w:p>
    <w:p w:rsidR="00DB74E8" w:rsidRPr="00F85F3E" w:rsidRDefault="00DB74E8" w:rsidP="00014ABD">
      <w:pPr>
        <w:pStyle w:val="HChG"/>
      </w:pPr>
      <w:r w:rsidRPr="00F85F3E">
        <w:tab/>
      </w:r>
      <w:r w:rsidRPr="00F85F3E">
        <w:tab/>
        <w:t xml:space="preserve">Informe de la Relatora Especial sobre la venta de niños, </w:t>
      </w:r>
      <w:r w:rsidRPr="00F85F3E">
        <w:br/>
        <w:t xml:space="preserve">la prostitución infantil y la utilización de niños en la pornografía, Najat Maalla </w:t>
      </w:r>
      <w:r w:rsidR="00014ABD" w:rsidRPr="00F85F3E">
        <w:t>M</w:t>
      </w:r>
      <w:r w:rsidR="00014ABD">
        <w:t>’</w:t>
      </w:r>
      <w:r w:rsidR="00014ABD" w:rsidRPr="00F85F3E">
        <w:t>jid</w:t>
      </w:r>
    </w:p>
    <w:p w:rsidR="00CF5350" w:rsidRPr="00F85F3E" w:rsidRDefault="00BA1AF4" w:rsidP="00BA1AF4">
      <w:pPr>
        <w:pStyle w:val="H23G"/>
      </w:pPr>
      <w:r w:rsidRPr="00F85F3E">
        <w:tab/>
      </w:r>
      <w:r w:rsidRPr="00F85F3E">
        <w:tab/>
      </w:r>
      <w:r w:rsidR="00CF5350" w:rsidRPr="00F85F3E">
        <w:t>Adición</w:t>
      </w:r>
    </w:p>
    <w:p w:rsidR="00BA1AF4" w:rsidRPr="00F85F3E" w:rsidRDefault="00BA1AF4" w:rsidP="00BA1AF4">
      <w:pPr>
        <w:pStyle w:val="H1G"/>
      </w:pPr>
      <w:r w:rsidRPr="00F85F3E">
        <w:tab/>
      </w:r>
      <w:r w:rsidRPr="00F85F3E">
        <w:tab/>
      </w:r>
      <w:r w:rsidR="00CF5350" w:rsidRPr="00F85F3E">
        <w:t>Misión</w:t>
      </w:r>
      <w:r w:rsidR="005E035D" w:rsidRPr="00F85F3E">
        <w:t xml:space="preserve"> de seguimiento</w:t>
      </w:r>
      <w:r w:rsidR="00CF5350" w:rsidRPr="00F85F3E">
        <w:t xml:space="preserve"> a Honduras</w:t>
      </w:r>
      <w:r w:rsidRPr="0095668A">
        <w:rPr>
          <w:rStyle w:val="FootnoteReference"/>
          <w:b w:val="0"/>
          <w:sz w:val="20"/>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DB74E8" w:rsidRPr="00F85F3E" w:rsidTr="00374744">
        <w:trPr>
          <w:jc w:val="center"/>
        </w:trPr>
        <w:tc>
          <w:tcPr>
            <w:tcW w:w="9637" w:type="dxa"/>
            <w:tcBorders>
              <w:bottom w:val="nil"/>
            </w:tcBorders>
            <w:shd w:val="clear" w:color="auto" w:fill="auto"/>
          </w:tcPr>
          <w:p w:rsidR="00DB74E8" w:rsidRPr="00F85F3E" w:rsidRDefault="00DB74E8" w:rsidP="00374744">
            <w:pPr>
              <w:tabs>
                <w:tab w:val="left" w:pos="255"/>
              </w:tabs>
              <w:spacing w:before="240" w:after="120"/>
              <w:rPr>
                <w:sz w:val="24"/>
              </w:rPr>
            </w:pPr>
            <w:r w:rsidRPr="00F85F3E">
              <w:tab/>
            </w:r>
            <w:r w:rsidRPr="005E0FBA">
              <w:rPr>
                <w:i/>
                <w:sz w:val="24"/>
              </w:rPr>
              <w:t>Resumen</w:t>
            </w:r>
          </w:p>
        </w:tc>
      </w:tr>
      <w:tr w:rsidR="00DB74E8" w:rsidRPr="00F85F3E" w:rsidTr="00374744">
        <w:trPr>
          <w:jc w:val="center"/>
        </w:trPr>
        <w:tc>
          <w:tcPr>
            <w:tcW w:w="9637" w:type="dxa"/>
            <w:tcBorders>
              <w:top w:val="nil"/>
              <w:bottom w:val="nil"/>
            </w:tcBorders>
            <w:shd w:val="clear" w:color="auto" w:fill="auto"/>
          </w:tcPr>
          <w:p w:rsidR="00DB74E8" w:rsidRPr="00F85F3E" w:rsidRDefault="00652F1C" w:rsidP="00D0615D">
            <w:pPr>
              <w:pStyle w:val="SingleTxtG"/>
              <w:ind w:firstLine="567"/>
            </w:pPr>
            <w:r w:rsidRPr="005E0FBA">
              <w:t xml:space="preserve">En el presente informe se </w:t>
            </w:r>
            <w:r w:rsidR="0083429B">
              <w:t>analizan</w:t>
            </w:r>
            <w:r w:rsidRPr="005E0FBA">
              <w:t xml:space="preserve"> </w:t>
            </w:r>
            <w:r w:rsidR="00BC1947" w:rsidRPr="00BC1947">
              <w:t>los</w:t>
            </w:r>
            <w:r w:rsidR="00BC1947">
              <w:t xml:space="preserve"> avances</w:t>
            </w:r>
            <w:r w:rsidR="0083429B">
              <w:t xml:space="preserve"> realizados por Honduras en la lucha y prevención de la venta y explotación sexual de la niñez desde la primera visita oficial realizada por la Relatora Especial del 30 de agosto al 7 de septiembre de 2012. Basándose en la información obtenida antes, durante y después de su visita</w:t>
            </w:r>
            <w:r w:rsidR="007D1C2C">
              <w:t xml:space="preserve"> de seguimiento</w:t>
            </w:r>
            <w:r w:rsidR="00133A35">
              <w:t xml:space="preserve">, la cual </w:t>
            </w:r>
            <w:r w:rsidR="007D1C2C">
              <w:t>se desarrolló del 21 al 25 de abril de 2014,</w:t>
            </w:r>
            <w:r w:rsidR="00014ABD">
              <w:t xml:space="preserve"> </w:t>
            </w:r>
            <w:r w:rsidR="0083429B">
              <w:t xml:space="preserve">la Relatora Especial examina </w:t>
            </w:r>
            <w:r w:rsidR="007D1C2C">
              <w:t xml:space="preserve">el nivel de </w:t>
            </w:r>
            <w:r w:rsidR="0083429B">
              <w:t>implementación de las recomendaciones que formuló en base a normas y estándares internacionales de derechos humanos</w:t>
            </w:r>
            <w:r w:rsidR="007D1C2C">
              <w:t>, identifica los obstáculos encontrados en la implementación</w:t>
            </w:r>
            <w:r w:rsidR="00133A35">
              <w:t xml:space="preserve"> de las mismas,</w:t>
            </w:r>
            <w:r w:rsidR="007D1C2C">
              <w:t xml:space="preserve"> y formula recomendaciones para superarlos y mejorar la protección de la niñez, así como minimizar los riesgos de </w:t>
            </w:r>
            <w:r w:rsidR="00433067">
              <w:t>sean</w:t>
            </w:r>
            <w:r w:rsidR="007D1C2C">
              <w:t xml:space="preserve"> v</w:t>
            </w:r>
            <w:r w:rsidR="00133A35">
              <w:t>í</w:t>
            </w:r>
            <w:r w:rsidR="007D1C2C">
              <w:t>ctimas de venta, prostitución y pornografía.</w:t>
            </w:r>
          </w:p>
        </w:tc>
      </w:tr>
      <w:tr w:rsidR="00DB74E8" w:rsidRPr="00F85F3E" w:rsidTr="00374744">
        <w:trPr>
          <w:jc w:val="center"/>
        </w:trPr>
        <w:tc>
          <w:tcPr>
            <w:tcW w:w="9637" w:type="dxa"/>
            <w:tcBorders>
              <w:top w:val="nil"/>
            </w:tcBorders>
            <w:shd w:val="clear" w:color="auto" w:fill="auto"/>
          </w:tcPr>
          <w:p w:rsidR="00DB74E8" w:rsidRPr="00F85F3E" w:rsidRDefault="00DB74E8" w:rsidP="00EE140E"/>
        </w:tc>
      </w:tr>
    </w:tbl>
    <w:p w:rsidR="00E21775" w:rsidRDefault="00E21775" w:rsidP="00D0615D">
      <w:pPr>
        <w:pStyle w:val="SingleTxtG"/>
      </w:pPr>
    </w:p>
    <w:p w:rsidR="00BB2E1E" w:rsidRPr="00F85F3E" w:rsidRDefault="00DB74E8" w:rsidP="00BA1AF4">
      <w:pPr>
        <w:pStyle w:val="HChG"/>
      </w:pPr>
      <w:r w:rsidRPr="00F85F3E">
        <w:br w:type="page"/>
      </w:r>
      <w:r w:rsidR="00BB2E1E" w:rsidRPr="00F85F3E">
        <w:lastRenderedPageBreak/>
        <w:t>Anexo</w:t>
      </w:r>
    </w:p>
    <w:p w:rsidR="00ED5F65" w:rsidRPr="0095668A" w:rsidRDefault="00ED5F65" w:rsidP="00ED5F65">
      <w:pPr>
        <w:pStyle w:val="H4G"/>
        <w:ind w:right="-1"/>
        <w:jc w:val="right"/>
        <w:rPr>
          <w:iCs/>
        </w:rPr>
      </w:pPr>
      <w:r w:rsidRPr="0095668A">
        <w:rPr>
          <w:iCs/>
        </w:rPr>
        <w:t xml:space="preserve">[Español </w:t>
      </w:r>
      <w:r w:rsidR="00722BEA" w:rsidRPr="0095668A">
        <w:rPr>
          <w:iCs/>
        </w:rPr>
        <w:t xml:space="preserve">e </w:t>
      </w:r>
      <w:r w:rsidRPr="0095668A">
        <w:rPr>
          <w:iCs/>
        </w:rPr>
        <w:t>inglés solamente]</w:t>
      </w:r>
    </w:p>
    <w:p w:rsidR="00BB2E1E" w:rsidRPr="00F85F3E" w:rsidRDefault="00BA1AF4" w:rsidP="00F30C85">
      <w:pPr>
        <w:pStyle w:val="HChG"/>
      </w:pPr>
      <w:r w:rsidRPr="00F85F3E">
        <w:tab/>
      </w:r>
      <w:r w:rsidRPr="00F85F3E">
        <w:tab/>
      </w:r>
      <w:r w:rsidR="00BB2E1E" w:rsidRPr="00F85F3E">
        <w:t>Informe de la Relatora Especial sobre la venta de niños, la</w:t>
      </w:r>
      <w:r w:rsidR="008C3911">
        <w:t> </w:t>
      </w:r>
      <w:r w:rsidR="00BB2E1E" w:rsidRPr="00F85F3E">
        <w:t>prostitución infantil y la utilización de niños en la pornografía acerca de su visita</w:t>
      </w:r>
      <w:r w:rsidR="00273DBF" w:rsidRPr="00F85F3E">
        <w:t xml:space="preserve"> de seguimiento </w:t>
      </w:r>
      <w:r w:rsidR="008C3911">
        <w:br/>
      </w:r>
      <w:r w:rsidR="00BB2E1E" w:rsidRPr="00F85F3E">
        <w:t>a Honduras (</w:t>
      </w:r>
      <w:r w:rsidR="00273DBF" w:rsidRPr="00F85F3E">
        <w:t>21 a 25</w:t>
      </w:r>
      <w:r w:rsidR="00C07EE3" w:rsidRPr="00F85F3E">
        <w:t xml:space="preserve"> de</w:t>
      </w:r>
      <w:r w:rsidR="00273DBF" w:rsidRPr="00F85F3E">
        <w:t xml:space="preserve"> abril de</w:t>
      </w:r>
      <w:r w:rsidR="00EE5C71" w:rsidRPr="00F85F3E">
        <w:t xml:space="preserve"> 201</w:t>
      </w:r>
      <w:r w:rsidR="00273DBF" w:rsidRPr="00F85F3E">
        <w:t>4</w:t>
      </w:r>
      <w:r w:rsidR="00EE5C71" w:rsidRPr="00F85F3E">
        <w:t>)</w:t>
      </w:r>
    </w:p>
    <w:p w:rsidR="00BA1AF4" w:rsidRPr="00F85F3E" w:rsidRDefault="00BA1AF4" w:rsidP="00BA1AF4">
      <w:pPr>
        <w:spacing w:after="120"/>
        <w:rPr>
          <w:sz w:val="28"/>
        </w:rPr>
      </w:pPr>
      <w:r w:rsidRPr="005E0FBA">
        <w:rPr>
          <w:sz w:val="28"/>
        </w:rPr>
        <w:t>Índice</w:t>
      </w:r>
    </w:p>
    <w:p w:rsidR="00BA1AF4" w:rsidRPr="00F85F3E" w:rsidRDefault="00BA1AF4" w:rsidP="00BA1AF4">
      <w:pPr>
        <w:tabs>
          <w:tab w:val="right" w:pos="8929"/>
          <w:tab w:val="right" w:pos="9638"/>
        </w:tabs>
        <w:spacing w:after="120"/>
        <w:ind w:left="283"/>
      </w:pPr>
      <w:r w:rsidRPr="00F85F3E">
        <w:rPr>
          <w:i/>
          <w:sz w:val="18"/>
        </w:rPr>
        <w:tab/>
      </w:r>
      <w:r w:rsidRPr="005E0FBA">
        <w:rPr>
          <w:i/>
          <w:sz w:val="18"/>
        </w:rPr>
        <w:t>Párrafos</w:t>
      </w:r>
      <w:r w:rsidRPr="005E0FBA">
        <w:rPr>
          <w:i/>
          <w:sz w:val="18"/>
        </w:rPr>
        <w:tab/>
        <w:t>Página</w:t>
      </w:r>
    </w:p>
    <w:p w:rsidR="001A524E" w:rsidRPr="00F85F3E" w:rsidRDefault="00BA1AF4" w:rsidP="00BA1AF4">
      <w:pPr>
        <w:tabs>
          <w:tab w:val="right" w:pos="850"/>
          <w:tab w:val="left" w:pos="1134"/>
          <w:tab w:val="left" w:pos="1559"/>
          <w:tab w:val="left" w:pos="1984"/>
          <w:tab w:val="left" w:leader="dot" w:pos="7654"/>
          <w:tab w:val="right" w:pos="8929"/>
          <w:tab w:val="right" w:pos="9638"/>
        </w:tabs>
        <w:spacing w:after="120"/>
      </w:pPr>
      <w:r w:rsidRPr="00F85F3E">
        <w:tab/>
        <w:t>I.</w:t>
      </w:r>
      <w:r w:rsidRPr="00F85F3E">
        <w:tab/>
      </w:r>
      <w:r w:rsidR="00DB74E8" w:rsidRPr="00F85F3E">
        <w:t>Introducción</w:t>
      </w:r>
      <w:r w:rsidR="00DB74E8" w:rsidRPr="00F85F3E">
        <w:tab/>
      </w:r>
      <w:r w:rsidR="001221FA" w:rsidRPr="00F85F3E">
        <w:tab/>
        <w:t>1</w:t>
      </w:r>
      <w:r w:rsidRPr="00F85F3E">
        <w:t>–</w:t>
      </w:r>
      <w:r w:rsidR="003867A2">
        <w:t>7</w:t>
      </w:r>
      <w:r w:rsidRPr="00F85F3E">
        <w:tab/>
      </w:r>
      <w:r w:rsidR="003867A2">
        <w:t>3</w:t>
      </w:r>
    </w:p>
    <w:p w:rsidR="001A524E" w:rsidRPr="00F85F3E" w:rsidRDefault="00BA1AF4" w:rsidP="00BA1AF4">
      <w:pPr>
        <w:tabs>
          <w:tab w:val="right" w:pos="850"/>
          <w:tab w:val="left" w:pos="1134"/>
          <w:tab w:val="left" w:pos="1559"/>
          <w:tab w:val="left" w:pos="1984"/>
          <w:tab w:val="left" w:leader="dot" w:pos="7654"/>
          <w:tab w:val="right" w:pos="8929"/>
          <w:tab w:val="right" w:pos="9638"/>
        </w:tabs>
        <w:spacing w:after="120"/>
      </w:pPr>
      <w:r w:rsidRPr="00F85F3E">
        <w:tab/>
      </w:r>
      <w:r w:rsidRPr="00F85F3E">
        <w:tab/>
      </w:r>
      <w:r w:rsidR="001A524E" w:rsidRPr="00F85F3E">
        <w:t>A.</w:t>
      </w:r>
      <w:r w:rsidRPr="00F85F3E">
        <w:tab/>
      </w:r>
      <w:r w:rsidR="007B522A" w:rsidRPr="00F85F3E">
        <w:t>Desarrollo</w:t>
      </w:r>
      <w:r w:rsidR="00E25CB1" w:rsidRPr="00F85F3E">
        <w:t xml:space="preserve"> </w:t>
      </w:r>
      <w:r w:rsidR="00DA20E4" w:rsidRPr="00F85F3E">
        <w:t>de la visita</w:t>
      </w:r>
      <w:r w:rsidR="00F50ABA" w:rsidRPr="00F85F3E">
        <w:tab/>
      </w:r>
      <w:r w:rsidR="001221FA" w:rsidRPr="00F85F3E">
        <w:tab/>
      </w:r>
      <w:r w:rsidR="003867A2">
        <w:t>1</w:t>
      </w:r>
      <w:r w:rsidRPr="00F85F3E">
        <w:t>–</w:t>
      </w:r>
      <w:r w:rsidR="003867A2">
        <w:t>3</w:t>
      </w:r>
      <w:r w:rsidRPr="00F85F3E">
        <w:tab/>
      </w:r>
      <w:r w:rsidR="003867A2">
        <w:t>3</w:t>
      </w:r>
    </w:p>
    <w:p w:rsidR="00DB74E8" w:rsidRPr="00F85F3E" w:rsidRDefault="00BA1AF4" w:rsidP="00BA1AF4">
      <w:pPr>
        <w:tabs>
          <w:tab w:val="right" w:pos="850"/>
          <w:tab w:val="left" w:pos="1134"/>
          <w:tab w:val="left" w:pos="1559"/>
          <w:tab w:val="left" w:pos="1984"/>
          <w:tab w:val="left" w:leader="dot" w:pos="7654"/>
          <w:tab w:val="right" w:pos="8929"/>
          <w:tab w:val="right" w:pos="9638"/>
        </w:tabs>
        <w:spacing w:after="120"/>
      </w:pPr>
      <w:r w:rsidRPr="00F85F3E">
        <w:tab/>
      </w:r>
      <w:r w:rsidRPr="00F85F3E">
        <w:tab/>
      </w:r>
      <w:r w:rsidR="001A524E" w:rsidRPr="00F85F3E">
        <w:t>B.</w:t>
      </w:r>
      <w:r w:rsidRPr="00F85F3E">
        <w:tab/>
      </w:r>
      <w:r w:rsidR="00F50ABA" w:rsidRPr="00F85F3E">
        <w:t>Contexto</w:t>
      </w:r>
      <w:r w:rsidR="00DB74E8" w:rsidRPr="00F85F3E">
        <w:tab/>
      </w:r>
      <w:r w:rsidR="00DB74E8" w:rsidRPr="00F85F3E">
        <w:tab/>
      </w:r>
      <w:r w:rsidR="001221FA" w:rsidRPr="00F85F3E">
        <w:t>4</w:t>
      </w:r>
      <w:r w:rsidRPr="00F85F3E">
        <w:t>–</w:t>
      </w:r>
      <w:r w:rsidR="001221FA" w:rsidRPr="00F85F3E">
        <w:t>7</w:t>
      </w:r>
      <w:r w:rsidR="001221FA" w:rsidRPr="00F85F3E">
        <w:tab/>
      </w:r>
      <w:r w:rsidR="004075B6" w:rsidRPr="00F85F3E">
        <w:t>4</w:t>
      </w:r>
    </w:p>
    <w:p w:rsidR="00DB74E8" w:rsidRPr="00F85F3E" w:rsidRDefault="001A524E" w:rsidP="00BA1AF4">
      <w:pPr>
        <w:tabs>
          <w:tab w:val="right" w:pos="850"/>
          <w:tab w:val="left" w:pos="1134"/>
          <w:tab w:val="left" w:pos="1559"/>
          <w:tab w:val="left" w:pos="1984"/>
          <w:tab w:val="left" w:leader="dot" w:pos="7654"/>
          <w:tab w:val="right" w:pos="8929"/>
          <w:tab w:val="right" w:pos="9638"/>
        </w:tabs>
        <w:spacing w:after="120"/>
      </w:pPr>
      <w:r w:rsidRPr="00F85F3E">
        <w:tab/>
        <w:t>II.</w:t>
      </w:r>
      <w:r w:rsidRPr="00F85F3E">
        <w:tab/>
      </w:r>
      <w:r w:rsidR="003867A2">
        <w:t>P</w:t>
      </w:r>
      <w:r w:rsidR="00961093" w:rsidRPr="00F85F3E">
        <w:t>rincipales constataciones desde la visita de 2012</w:t>
      </w:r>
      <w:r w:rsidR="00BB2E1E" w:rsidRPr="00F85F3E">
        <w:tab/>
      </w:r>
      <w:r w:rsidR="00BB2E1E" w:rsidRPr="00F85F3E">
        <w:tab/>
      </w:r>
      <w:r w:rsidR="001221FA" w:rsidRPr="00F85F3E">
        <w:t>8</w:t>
      </w:r>
      <w:r w:rsidR="00BA1AF4" w:rsidRPr="00F85F3E">
        <w:t>–</w:t>
      </w:r>
      <w:r w:rsidR="003867A2">
        <w:t>4</w:t>
      </w:r>
      <w:r w:rsidR="0035509C">
        <w:t>5</w:t>
      </w:r>
      <w:r w:rsidR="00DB74E8" w:rsidRPr="00F85F3E">
        <w:tab/>
      </w:r>
      <w:r w:rsidR="003867A2">
        <w:t>5</w:t>
      </w:r>
    </w:p>
    <w:p w:rsidR="00DB74E8" w:rsidRPr="00F85F3E" w:rsidRDefault="00BA1AF4" w:rsidP="00BA1AF4">
      <w:pPr>
        <w:tabs>
          <w:tab w:val="right" w:pos="850"/>
          <w:tab w:val="left" w:pos="1134"/>
          <w:tab w:val="left" w:pos="1559"/>
          <w:tab w:val="left" w:pos="1984"/>
          <w:tab w:val="left" w:leader="dot" w:pos="7654"/>
          <w:tab w:val="right" w:pos="8929"/>
          <w:tab w:val="right" w:pos="9638"/>
        </w:tabs>
        <w:spacing w:after="120"/>
      </w:pPr>
      <w:r w:rsidRPr="00F85F3E">
        <w:tab/>
      </w:r>
      <w:r w:rsidRPr="00F85F3E">
        <w:tab/>
        <w:t>A.</w:t>
      </w:r>
      <w:r w:rsidRPr="00F85F3E">
        <w:tab/>
      </w:r>
      <w:r w:rsidR="00DA20E4" w:rsidRPr="00F85F3E">
        <w:t>Amplitud de la venta de niños</w:t>
      </w:r>
      <w:r w:rsidR="001749BE">
        <w:t xml:space="preserve"> y niñas</w:t>
      </w:r>
      <w:r w:rsidR="00DA20E4" w:rsidRPr="00F85F3E">
        <w:t xml:space="preserve">, la prostitución infantil y la utilización </w:t>
      </w:r>
      <w:r w:rsidRPr="00F85F3E">
        <w:br/>
      </w:r>
      <w:r w:rsidRPr="00F85F3E">
        <w:tab/>
      </w:r>
      <w:r w:rsidRPr="00F85F3E">
        <w:tab/>
      </w:r>
      <w:r w:rsidRPr="00F85F3E">
        <w:tab/>
      </w:r>
      <w:r w:rsidR="00DA20E4" w:rsidRPr="00F85F3E">
        <w:t>de niños</w:t>
      </w:r>
      <w:r w:rsidRPr="00F85F3E">
        <w:t xml:space="preserve"> </w:t>
      </w:r>
      <w:r w:rsidR="001749BE">
        <w:t xml:space="preserve">y niñas </w:t>
      </w:r>
      <w:r w:rsidR="00DA20E4" w:rsidRPr="00F85F3E">
        <w:t>en la pornografía</w:t>
      </w:r>
      <w:r w:rsidR="00BB2E1E" w:rsidRPr="00F85F3E">
        <w:tab/>
      </w:r>
      <w:r w:rsidR="00BB2E1E" w:rsidRPr="00F85F3E">
        <w:tab/>
      </w:r>
      <w:r w:rsidR="001221FA" w:rsidRPr="00F85F3E">
        <w:t>8</w:t>
      </w:r>
      <w:r w:rsidRPr="00F85F3E">
        <w:t>–</w:t>
      </w:r>
      <w:r w:rsidR="001221FA" w:rsidRPr="00F85F3E">
        <w:t>1</w:t>
      </w:r>
      <w:r w:rsidR="003867A2">
        <w:t>0</w:t>
      </w:r>
      <w:r w:rsidR="00DB74E8" w:rsidRPr="00F85F3E">
        <w:tab/>
      </w:r>
      <w:r w:rsidR="003867A2">
        <w:t>5</w:t>
      </w:r>
    </w:p>
    <w:p w:rsidR="007C0184" w:rsidRPr="00F85F3E" w:rsidRDefault="007C0184" w:rsidP="009F4363">
      <w:pPr>
        <w:tabs>
          <w:tab w:val="right" w:pos="850"/>
          <w:tab w:val="left" w:pos="1134"/>
          <w:tab w:val="left" w:pos="1559"/>
          <w:tab w:val="left" w:pos="1984"/>
          <w:tab w:val="left" w:leader="dot" w:pos="7654"/>
          <w:tab w:val="right" w:pos="8929"/>
          <w:tab w:val="right" w:pos="9638"/>
        </w:tabs>
        <w:spacing w:after="120"/>
      </w:pPr>
      <w:r w:rsidRPr="00F85F3E">
        <w:tab/>
      </w:r>
      <w:r w:rsidR="005B4F80" w:rsidRPr="00F85F3E">
        <w:tab/>
        <w:t>B.</w:t>
      </w:r>
      <w:r w:rsidR="005B4F80" w:rsidRPr="00F85F3E">
        <w:tab/>
      </w:r>
      <w:r w:rsidR="00785CD1" w:rsidRPr="00F85F3E">
        <w:t xml:space="preserve">Medidas para combatir y prevenir la venta de niños </w:t>
      </w:r>
      <w:r w:rsidR="001749BE">
        <w:t xml:space="preserve">y niñas, </w:t>
      </w:r>
      <w:r w:rsidR="00785CD1" w:rsidRPr="00F85F3E">
        <w:t xml:space="preserve">la prostitución </w:t>
      </w:r>
      <w:r w:rsidR="00785CD1" w:rsidRPr="00F85F3E">
        <w:br/>
      </w:r>
      <w:r w:rsidR="00785CD1" w:rsidRPr="00F85F3E">
        <w:tab/>
      </w:r>
      <w:r w:rsidR="00785CD1" w:rsidRPr="00F85F3E">
        <w:tab/>
      </w:r>
      <w:r w:rsidR="00785CD1" w:rsidRPr="00F85F3E">
        <w:tab/>
      </w:r>
      <w:r w:rsidR="008C3911" w:rsidRPr="00F85F3E">
        <w:t xml:space="preserve">infantil </w:t>
      </w:r>
      <w:r w:rsidR="00785CD1" w:rsidRPr="00F85F3E">
        <w:t xml:space="preserve">y la utilización de niños </w:t>
      </w:r>
      <w:r w:rsidR="001749BE">
        <w:t xml:space="preserve">y niñas </w:t>
      </w:r>
      <w:r w:rsidR="00785CD1" w:rsidRPr="00F85F3E">
        <w:t>en la pornografía</w:t>
      </w:r>
      <w:r w:rsidR="00BB2E1E" w:rsidRPr="00F85F3E">
        <w:tab/>
      </w:r>
      <w:r w:rsidR="00BB2E1E" w:rsidRPr="00F85F3E">
        <w:tab/>
      </w:r>
      <w:r w:rsidR="001221FA" w:rsidRPr="00F85F3E">
        <w:t>1</w:t>
      </w:r>
      <w:r w:rsidR="003867A2">
        <w:t>1</w:t>
      </w:r>
      <w:r w:rsidR="00BA1AF4" w:rsidRPr="00F85F3E">
        <w:t>–</w:t>
      </w:r>
      <w:r w:rsidR="003867A2">
        <w:t>4</w:t>
      </w:r>
      <w:r w:rsidR="0035509C">
        <w:t>5</w:t>
      </w:r>
      <w:r w:rsidRPr="00F85F3E">
        <w:tab/>
      </w:r>
      <w:r w:rsidR="00ED5F65" w:rsidRPr="00F85F3E">
        <w:t>6</w:t>
      </w:r>
    </w:p>
    <w:p w:rsidR="007C0184" w:rsidRPr="00F85F3E" w:rsidRDefault="009C5305" w:rsidP="00BA1AF4">
      <w:pPr>
        <w:tabs>
          <w:tab w:val="right" w:pos="850"/>
          <w:tab w:val="left" w:pos="1134"/>
          <w:tab w:val="left" w:pos="1559"/>
          <w:tab w:val="left" w:pos="1984"/>
          <w:tab w:val="left" w:leader="dot" w:pos="7654"/>
          <w:tab w:val="right" w:pos="8929"/>
          <w:tab w:val="right" w:pos="9638"/>
        </w:tabs>
        <w:spacing w:after="120"/>
      </w:pPr>
      <w:r w:rsidRPr="00F85F3E">
        <w:tab/>
        <w:t>III.</w:t>
      </w:r>
      <w:r w:rsidRPr="00F85F3E">
        <w:tab/>
      </w:r>
      <w:r w:rsidR="00785CD1" w:rsidRPr="00F85F3E">
        <w:t>Conclusiones y recomendaciones</w:t>
      </w:r>
      <w:r w:rsidR="00BB2E1E" w:rsidRPr="00F85F3E">
        <w:tab/>
      </w:r>
      <w:r w:rsidR="00BB2E1E" w:rsidRPr="00F85F3E">
        <w:tab/>
      </w:r>
      <w:r w:rsidR="003867A2">
        <w:t>4</w:t>
      </w:r>
      <w:r w:rsidR="0035509C">
        <w:t>6</w:t>
      </w:r>
      <w:r w:rsidR="00BA1AF4" w:rsidRPr="00F85F3E">
        <w:t>–</w:t>
      </w:r>
      <w:r w:rsidR="0035509C">
        <w:t>48</w:t>
      </w:r>
      <w:r w:rsidR="007C0184" w:rsidRPr="00F85F3E">
        <w:tab/>
      </w:r>
      <w:r w:rsidR="003867A2">
        <w:t>12</w:t>
      </w:r>
    </w:p>
    <w:p w:rsidR="007C0184" w:rsidRPr="00F85F3E" w:rsidRDefault="00BA1AF4" w:rsidP="00BA1AF4">
      <w:pPr>
        <w:tabs>
          <w:tab w:val="right" w:pos="850"/>
          <w:tab w:val="left" w:pos="1134"/>
          <w:tab w:val="left" w:pos="1559"/>
          <w:tab w:val="left" w:pos="1984"/>
          <w:tab w:val="left" w:leader="dot" w:pos="7654"/>
          <w:tab w:val="right" w:pos="8929"/>
          <w:tab w:val="right" w:pos="9638"/>
        </w:tabs>
        <w:spacing w:after="120"/>
      </w:pPr>
      <w:r w:rsidRPr="00F85F3E">
        <w:tab/>
      </w:r>
      <w:r w:rsidR="007C0184" w:rsidRPr="00F85F3E">
        <w:tab/>
        <w:t>A.</w:t>
      </w:r>
      <w:r w:rsidR="007C0184" w:rsidRPr="00F85F3E">
        <w:tab/>
        <w:t>Conclusiones</w:t>
      </w:r>
      <w:r w:rsidR="00BB2E1E" w:rsidRPr="00F85F3E">
        <w:tab/>
      </w:r>
      <w:r w:rsidR="00BB2E1E" w:rsidRPr="00F85F3E">
        <w:tab/>
      </w:r>
      <w:r w:rsidR="003867A2">
        <w:t>4</w:t>
      </w:r>
      <w:r w:rsidR="0035509C">
        <w:t>6</w:t>
      </w:r>
      <w:r w:rsidR="00ED5F65" w:rsidRPr="00F85F3E">
        <w:t>–</w:t>
      </w:r>
      <w:r w:rsidR="003867A2">
        <w:t>4</w:t>
      </w:r>
      <w:r w:rsidR="0035509C">
        <w:t>7</w:t>
      </w:r>
      <w:r w:rsidR="007C0184" w:rsidRPr="00F85F3E">
        <w:tab/>
      </w:r>
      <w:r w:rsidR="00ED5F65" w:rsidRPr="00F85F3E">
        <w:t>1</w:t>
      </w:r>
      <w:r w:rsidR="003867A2">
        <w:t>2</w:t>
      </w:r>
    </w:p>
    <w:p w:rsidR="007C0184" w:rsidRPr="00F85F3E" w:rsidRDefault="007C0184" w:rsidP="00FB420F">
      <w:pPr>
        <w:tabs>
          <w:tab w:val="right" w:pos="850"/>
          <w:tab w:val="left" w:pos="1134"/>
          <w:tab w:val="left" w:pos="1559"/>
          <w:tab w:val="left" w:pos="1984"/>
          <w:tab w:val="left" w:leader="dot" w:pos="7654"/>
          <w:tab w:val="right" w:pos="8929"/>
          <w:tab w:val="right" w:pos="9638"/>
        </w:tabs>
        <w:spacing w:after="120"/>
      </w:pPr>
      <w:r w:rsidRPr="00F85F3E">
        <w:tab/>
      </w:r>
      <w:r w:rsidRPr="00F85F3E">
        <w:tab/>
        <w:t>B.</w:t>
      </w:r>
      <w:r w:rsidRPr="00F85F3E">
        <w:tab/>
        <w:t>Recomendacione</w:t>
      </w:r>
      <w:r w:rsidR="004354DD" w:rsidRPr="00F85F3E">
        <w:t>s</w:t>
      </w:r>
      <w:r w:rsidR="00BB2E1E" w:rsidRPr="00F85F3E">
        <w:tab/>
      </w:r>
      <w:r w:rsidR="00BB2E1E" w:rsidRPr="00F85F3E">
        <w:tab/>
      </w:r>
      <w:r w:rsidR="0035509C">
        <w:t>48</w:t>
      </w:r>
      <w:r w:rsidRPr="00F85F3E">
        <w:tab/>
      </w:r>
      <w:r w:rsidR="00ED5F65" w:rsidRPr="00F85F3E">
        <w:t>1</w:t>
      </w:r>
      <w:r w:rsidR="00FB420F">
        <w:t>2</w:t>
      </w:r>
    </w:p>
    <w:p w:rsidR="00DB74E8" w:rsidRPr="00F85F3E" w:rsidRDefault="00DB74E8" w:rsidP="00F310D9">
      <w:pPr>
        <w:pStyle w:val="HChG"/>
        <w:tabs>
          <w:tab w:val="left" w:pos="7938"/>
        </w:tabs>
      </w:pPr>
      <w:r w:rsidRPr="00F85F3E">
        <w:br w:type="page"/>
      </w:r>
      <w:r w:rsidRPr="00F85F3E">
        <w:lastRenderedPageBreak/>
        <w:tab/>
        <w:t>I.</w:t>
      </w:r>
      <w:r w:rsidRPr="00F85F3E">
        <w:tab/>
        <w:t>Introducción</w:t>
      </w:r>
    </w:p>
    <w:p w:rsidR="00656C86" w:rsidRPr="00F85F3E" w:rsidRDefault="00BA1AF4" w:rsidP="00BA1AF4">
      <w:pPr>
        <w:pStyle w:val="H1G"/>
      </w:pPr>
      <w:r w:rsidRPr="00F85F3E">
        <w:tab/>
      </w:r>
      <w:r w:rsidR="00656C86" w:rsidRPr="00F85F3E">
        <w:t>A.</w:t>
      </w:r>
      <w:r w:rsidR="00656C86" w:rsidRPr="00F85F3E">
        <w:tab/>
        <w:t>Desarrollo</w:t>
      </w:r>
      <w:r w:rsidR="007B522A" w:rsidRPr="00F85F3E">
        <w:t xml:space="preserve"> </w:t>
      </w:r>
      <w:r w:rsidR="00656C86" w:rsidRPr="00F85F3E">
        <w:t xml:space="preserve">de la </w:t>
      </w:r>
      <w:r w:rsidR="000B1863" w:rsidRPr="00F85F3E">
        <w:t>visita</w:t>
      </w:r>
    </w:p>
    <w:p w:rsidR="002E6EDC" w:rsidRPr="00F85F3E" w:rsidRDefault="008F3B55" w:rsidP="00D0615D">
      <w:pPr>
        <w:pStyle w:val="SingleTxtG"/>
        <w:numPr>
          <w:ilvl w:val="0"/>
          <w:numId w:val="53"/>
        </w:numPr>
        <w:ind w:left="1134" w:firstLine="0"/>
      </w:pPr>
      <w:r>
        <w:t>A</w:t>
      </w:r>
      <w:r w:rsidR="006262F6" w:rsidRPr="00F85F3E">
        <w:t xml:space="preserve"> petición del Gobierno</w:t>
      </w:r>
      <w:r w:rsidR="00CB22E1" w:rsidRPr="00F85F3E">
        <w:t xml:space="preserve"> de Honduras</w:t>
      </w:r>
      <w:r w:rsidR="006262F6" w:rsidRPr="00F85F3E">
        <w:t>, l</w:t>
      </w:r>
      <w:r w:rsidR="006205F9" w:rsidRPr="00F85F3E">
        <w:t>a Relatora Espe</w:t>
      </w:r>
      <w:r w:rsidR="00273DBF" w:rsidRPr="00F85F3E">
        <w:t xml:space="preserve">cial realizó una visita oficial de seguimiento </w:t>
      </w:r>
      <w:r w:rsidR="006205F9" w:rsidRPr="00F85F3E">
        <w:t>a</w:t>
      </w:r>
      <w:r w:rsidR="0082616C" w:rsidRPr="00F85F3E">
        <w:t>l país</w:t>
      </w:r>
      <w:r w:rsidR="006205F9" w:rsidRPr="00F85F3E">
        <w:t xml:space="preserve"> del </w:t>
      </w:r>
      <w:r w:rsidR="00273DBF" w:rsidRPr="00F85F3E">
        <w:t xml:space="preserve">21 al 25 de abril de </w:t>
      </w:r>
      <w:r w:rsidR="0094643E" w:rsidRPr="00F85F3E">
        <w:t>201</w:t>
      </w:r>
      <w:r w:rsidR="00273DBF" w:rsidRPr="00F85F3E">
        <w:t>4</w:t>
      </w:r>
      <w:r w:rsidR="0094643E" w:rsidRPr="00F85F3E">
        <w:t xml:space="preserve">. </w:t>
      </w:r>
      <w:r w:rsidR="00273DBF" w:rsidRPr="00F85F3E">
        <w:t xml:space="preserve">El objetivo de la visita consistió en evaluar </w:t>
      </w:r>
      <w:r w:rsidR="0021355B" w:rsidRPr="00F85F3E">
        <w:t>los avances</w:t>
      </w:r>
      <w:r w:rsidR="00273DBF" w:rsidRPr="00F85F3E">
        <w:t xml:space="preserve"> realizado</w:t>
      </w:r>
      <w:r w:rsidR="0021355B" w:rsidRPr="00F85F3E">
        <w:t>s</w:t>
      </w:r>
      <w:r w:rsidR="00273DBF" w:rsidRPr="00F85F3E">
        <w:t xml:space="preserve"> por </w:t>
      </w:r>
      <w:r w:rsidR="0082616C" w:rsidRPr="00F85F3E">
        <w:t>Honduras</w:t>
      </w:r>
      <w:r w:rsidR="00273DBF" w:rsidRPr="00F85F3E">
        <w:t xml:space="preserve"> </w:t>
      </w:r>
      <w:r w:rsidR="0082616C" w:rsidRPr="00F85F3E">
        <w:t xml:space="preserve">en la lucha y prevención de la venta y explotación sexual de la niñez desde la primera visita oficial realizada por la Relatora Especial </w:t>
      </w:r>
      <w:r w:rsidR="007D1C2C">
        <w:t>del 30 de agosto al 7 de septiembre de</w:t>
      </w:r>
      <w:r w:rsidR="0082616C" w:rsidRPr="00F85F3E">
        <w:t xml:space="preserve"> </w:t>
      </w:r>
      <w:r w:rsidR="0082616C" w:rsidRPr="007D1C2C">
        <w:t>2012</w:t>
      </w:r>
      <w:r w:rsidR="006262F6" w:rsidRPr="007D1C2C">
        <w:t>.</w:t>
      </w:r>
      <w:r w:rsidR="006262F6" w:rsidRPr="00F85F3E">
        <w:t xml:space="preserve"> En particular, la visita tuvo por objeto</w:t>
      </w:r>
      <w:r w:rsidR="006A1DCB" w:rsidRPr="00F85F3E">
        <w:t xml:space="preserve"> evaluar la implementación de </w:t>
      </w:r>
      <w:r w:rsidR="006262F6" w:rsidRPr="00F85F3E">
        <w:t>las</w:t>
      </w:r>
      <w:r w:rsidR="006A1DCB" w:rsidRPr="00F85F3E">
        <w:t xml:space="preserve"> recomenda</w:t>
      </w:r>
      <w:r w:rsidR="006262F6" w:rsidRPr="00F85F3E">
        <w:t xml:space="preserve">ciones formuladas por la Relatora </w:t>
      </w:r>
      <w:r w:rsidR="00CB22E1" w:rsidRPr="00F85F3E">
        <w:t>Especial</w:t>
      </w:r>
      <w:r w:rsidR="00F71D4B" w:rsidRPr="00F85F3E">
        <w:t xml:space="preserve">, </w:t>
      </w:r>
      <w:r w:rsidR="006262F6" w:rsidRPr="00F85F3E">
        <w:t xml:space="preserve">dar seguimiento a </w:t>
      </w:r>
      <w:r w:rsidR="0021355B" w:rsidRPr="00F85F3E">
        <w:t xml:space="preserve">las medidas adoptadas por las autoridades hondureñas </w:t>
      </w:r>
      <w:r w:rsidR="00CB22E1" w:rsidRPr="00F85F3E">
        <w:t>para</w:t>
      </w:r>
      <w:r w:rsidR="0021355B" w:rsidRPr="00F85F3E">
        <w:t xml:space="preserve"> </w:t>
      </w:r>
      <w:r w:rsidR="00D341FD">
        <w:t>mejor</w:t>
      </w:r>
      <w:r w:rsidR="007D1C2C">
        <w:t>ar</w:t>
      </w:r>
      <w:r w:rsidR="00D341FD">
        <w:t xml:space="preserve"> </w:t>
      </w:r>
      <w:r w:rsidR="007D1C2C">
        <w:t>la protección de</w:t>
      </w:r>
      <w:r w:rsidR="00A5610B" w:rsidRPr="00F85F3E">
        <w:t xml:space="preserve"> </w:t>
      </w:r>
      <w:r w:rsidR="0021355B" w:rsidRPr="00F85F3E">
        <w:t xml:space="preserve">la niñez </w:t>
      </w:r>
      <w:r w:rsidR="0039195A">
        <w:t xml:space="preserve">ante el fenómeno </w:t>
      </w:r>
      <w:r w:rsidR="0021355B" w:rsidRPr="00F85F3E">
        <w:t xml:space="preserve">de la venta y explotación sexual, identificar los obstáculos </w:t>
      </w:r>
      <w:r w:rsidR="00220CC4">
        <w:t>que se</w:t>
      </w:r>
      <w:r w:rsidR="0039195A">
        <w:t xml:space="preserve"> han</w:t>
      </w:r>
      <w:r w:rsidR="00220CC4">
        <w:t xml:space="preserve"> </w:t>
      </w:r>
      <w:r w:rsidR="0021355B" w:rsidRPr="00F85F3E">
        <w:t>encontrado</w:t>
      </w:r>
      <w:r w:rsidR="00A5610B" w:rsidRPr="00F85F3E">
        <w:t>,</w:t>
      </w:r>
      <w:r w:rsidR="0021355B" w:rsidRPr="00F85F3E">
        <w:t xml:space="preserve"> y proporcionar asistencia técnica para superarlos.</w:t>
      </w:r>
      <w:r w:rsidR="00273DBF" w:rsidRPr="00F85F3E">
        <w:t xml:space="preserve"> </w:t>
      </w:r>
      <w:r w:rsidR="002E6EDC" w:rsidRPr="00F85F3E">
        <w:t>La Relatora Especial desea dar la</w:t>
      </w:r>
      <w:r w:rsidR="00381B2C" w:rsidRPr="00F85F3E">
        <w:t>s</w:t>
      </w:r>
      <w:r w:rsidR="002E6EDC" w:rsidRPr="00F85F3E">
        <w:t xml:space="preserve"> gracias al Gobierno de Honduras por su colaboración en la organización de las reuniones con las entidades estatales competentes y por la cooperación brindada antes, </w:t>
      </w:r>
      <w:r w:rsidR="00422CAF" w:rsidRPr="00F85F3E">
        <w:t>durante y después de la visita.</w:t>
      </w:r>
    </w:p>
    <w:p w:rsidR="00257C4D" w:rsidRPr="00F85F3E" w:rsidRDefault="00356EAA" w:rsidP="009F4363">
      <w:pPr>
        <w:pStyle w:val="SingleTxtG"/>
        <w:numPr>
          <w:ilvl w:val="0"/>
          <w:numId w:val="53"/>
        </w:numPr>
        <w:ind w:left="1134" w:firstLine="0"/>
      </w:pPr>
      <w:r w:rsidRPr="00F85F3E">
        <w:t xml:space="preserve">La visita de seguimiento se organizó </w:t>
      </w:r>
      <w:r w:rsidR="009F4363">
        <w:t xml:space="preserve">con </w:t>
      </w:r>
      <w:r w:rsidR="00534BBF" w:rsidRPr="00F85F3E">
        <w:t xml:space="preserve">base </w:t>
      </w:r>
      <w:r w:rsidR="00A5610B" w:rsidRPr="00F85F3E">
        <w:t>a</w:t>
      </w:r>
      <w:r w:rsidRPr="00F85F3E">
        <w:t xml:space="preserve"> reuniones técnicas de trabajo </w:t>
      </w:r>
      <w:r w:rsidR="00534BBF" w:rsidRPr="00F85F3E">
        <w:t xml:space="preserve">que tuvieron lugar </w:t>
      </w:r>
      <w:r w:rsidR="0082616C" w:rsidRPr="00F85F3E">
        <w:t xml:space="preserve">en Tegucigalpa </w:t>
      </w:r>
      <w:r w:rsidRPr="00F85F3E">
        <w:t>con representantes del Estado</w:t>
      </w:r>
      <w:r w:rsidR="00534BBF" w:rsidRPr="00F85F3E">
        <w:t>, la sociedad civil, comunidad de donantes y agencias de la</w:t>
      </w:r>
      <w:r w:rsidR="00D0615D">
        <w:t>s Naciones Unidas</w:t>
      </w:r>
      <w:r w:rsidRPr="00F85F3E">
        <w:t xml:space="preserve">. </w:t>
      </w:r>
      <w:r w:rsidR="006262F6" w:rsidRPr="00F85F3E">
        <w:t>L</w:t>
      </w:r>
      <w:r w:rsidR="002E6EDC" w:rsidRPr="00F85F3E">
        <w:t xml:space="preserve">a Relatora Especial se reunió con </w:t>
      </w:r>
      <w:r w:rsidR="00273DBF" w:rsidRPr="00F85F3E">
        <w:t>la Subsecretaria de Justicia y Derechos Humanos, la Subsecretaria de Relaciones Exteriores,</w:t>
      </w:r>
      <w:r w:rsidRPr="00F85F3E">
        <w:t xml:space="preserve"> representantes de la Secretaría de Desarrollo e Inclusión Social</w:t>
      </w:r>
      <w:r w:rsidR="006262F6" w:rsidRPr="00F85F3E">
        <w:t xml:space="preserve"> (la Secretaría de Educación, la Secretarí</w:t>
      </w:r>
      <w:r w:rsidR="00CB22E1" w:rsidRPr="00F85F3E">
        <w:t xml:space="preserve">a de </w:t>
      </w:r>
      <w:r w:rsidR="006262F6" w:rsidRPr="00F85F3E">
        <w:t xml:space="preserve">Salud, el Director del Instituto Hondureño de la Niñez y la Familia (IHNFA), el </w:t>
      </w:r>
      <w:r w:rsidR="00257C4D" w:rsidRPr="00F85F3E">
        <w:t xml:space="preserve">Instituto Nacional de la </w:t>
      </w:r>
      <w:r w:rsidR="00257C4D" w:rsidRPr="00C226DC">
        <w:t>Mujer (INAM</w:t>
      </w:r>
      <w:r w:rsidR="008639A8" w:rsidRPr="00C226DC">
        <w:t>)</w:t>
      </w:r>
      <w:r w:rsidR="00257C4D" w:rsidRPr="00C226DC">
        <w:t xml:space="preserve">, </w:t>
      </w:r>
      <w:r w:rsidR="006262F6" w:rsidRPr="00C226DC">
        <w:t xml:space="preserve">la </w:t>
      </w:r>
      <w:r w:rsidR="00257C4D" w:rsidRPr="00C226DC">
        <w:t>Dirección de Juventud</w:t>
      </w:r>
      <w:r w:rsidR="006262F6" w:rsidRPr="00C226DC">
        <w:t>)</w:t>
      </w:r>
      <w:r w:rsidR="008639A8" w:rsidRPr="00C226DC">
        <w:t>, la Secretaría de Seguridad y Defensa Nacional (</w:t>
      </w:r>
      <w:r w:rsidR="00257C4D" w:rsidRPr="00C226DC">
        <w:t>Dirección Nacional de Investigaci</w:t>
      </w:r>
      <w:r w:rsidR="00B16E8E">
        <w:t>ó</w:t>
      </w:r>
      <w:r w:rsidR="00257C4D" w:rsidRPr="00C226DC">
        <w:t>n Criminal</w:t>
      </w:r>
      <w:r w:rsidR="008639A8" w:rsidRPr="00C226DC">
        <w:t>,</w:t>
      </w:r>
      <w:r w:rsidR="00FE6090" w:rsidRPr="00C226DC">
        <w:t xml:space="preserve"> </w:t>
      </w:r>
      <w:r w:rsidR="00B16E8E">
        <w:t>Dirección Nacional de Servicios</w:t>
      </w:r>
      <w:r w:rsidR="00181F61" w:rsidRPr="00C226DC">
        <w:t xml:space="preserve"> Es</w:t>
      </w:r>
      <w:r w:rsidR="002D4D64" w:rsidRPr="00C226DC">
        <w:t>pecial</w:t>
      </w:r>
      <w:r w:rsidR="00B16E8E">
        <w:t>es</w:t>
      </w:r>
      <w:r w:rsidR="002D4D64" w:rsidRPr="00C226DC">
        <w:t xml:space="preserve"> de Investigación</w:t>
      </w:r>
      <w:r w:rsidR="00181F61" w:rsidRPr="00C226DC">
        <w:t>),</w:t>
      </w:r>
      <w:r w:rsidR="00FE6090" w:rsidRPr="00C226DC">
        <w:t xml:space="preserve"> </w:t>
      </w:r>
      <w:r w:rsidR="008639A8" w:rsidRPr="00C226DC">
        <w:t>la Secretaría</w:t>
      </w:r>
      <w:r w:rsidR="008639A8" w:rsidRPr="00F85F3E">
        <w:t xml:space="preserve"> de Desarrollo Económico (</w:t>
      </w:r>
      <w:r w:rsidR="006262F6" w:rsidRPr="00F85F3E">
        <w:t>la</w:t>
      </w:r>
      <w:r w:rsidR="00CB22E1" w:rsidRPr="00F85F3E">
        <w:t xml:space="preserve"> Secretarí</w:t>
      </w:r>
      <w:r w:rsidR="006262F6" w:rsidRPr="00F85F3E">
        <w:t>a de Trabajo y Segurida</w:t>
      </w:r>
      <w:r w:rsidR="00CB22E1" w:rsidRPr="00F85F3E">
        <w:t>d</w:t>
      </w:r>
      <w:r w:rsidR="006262F6" w:rsidRPr="00F85F3E">
        <w:t xml:space="preserve"> Social</w:t>
      </w:r>
      <w:r w:rsidR="008639A8" w:rsidRPr="00F85F3E">
        <w:t>)</w:t>
      </w:r>
      <w:r w:rsidR="00181F61" w:rsidRPr="00F85F3E">
        <w:t xml:space="preserve">, </w:t>
      </w:r>
      <w:r w:rsidR="001710C1" w:rsidRPr="00F85F3E">
        <w:t>la Secretar</w:t>
      </w:r>
      <w:r w:rsidR="00FE6090" w:rsidRPr="00F85F3E">
        <w:t>í</w:t>
      </w:r>
      <w:r w:rsidR="001710C1" w:rsidRPr="00F85F3E">
        <w:t>a de Gobernabilidad y Descentralización (</w:t>
      </w:r>
      <w:r w:rsidR="006262F6" w:rsidRPr="00F85F3E">
        <w:t xml:space="preserve">la </w:t>
      </w:r>
      <w:r w:rsidR="001710C1" w:rsidRPr="00F85F3E">
        <w:t xml:space="preserve">Dirección General de Migración y Extranjería), la Secretaría de Relaciones Exteriores y Cooperación Internacional, </w:t>
      </w:r>
      <w:r w:rsidR="00766B20" w:rsidRPr="00F85F3E">
        <w:t xml:space="preserve">la </w:t>
      </w:r>
      <w:r w:rsidR="002A4631" w:rsidRPr="00F85F3E">
        <w:t>Fiscalía</w:t>
      </w:r>
      <w:r w:rsidR="00ED6729" w:rsidRPr="00F85F3E">
        <w:t xml:space="preserve"> Especial de la Niñez del Ministerio Público,</w:t>
      </w:r>
      <w:r w:rsidR="005D4363" w:rsidRPr="00F85F3E">
        <w:t xml:space="preserve"> </w:t>
      </w:r>
      <w:r w:rsidR="00BF6D98" w:rsidRPr="00F85F3E">
        <w:t>representante</w:t>
      </w:r>
      <w:r w:rsidR="00257C4D" w:rsidRPr="00F85F3E">
        <w:t>s de los juzgados de la niñez,</w:t>
      </w:r>
      <w:r w:rsidR="00DB77FA" w:rsidRPr="00F85F3E">
        <w:t xml:space="preserve"> </w:t>
      </w:r>
      <w:r w:rsidR="00766B20" w:rsidRPr="00F85F3E">
        <w:t xml:space="preserve">la </w:t>
      </w:r>
      <w:r w:rsidR="00DB77FA" w:rsidRPr="00F85F3E">
        <w:t xml:space="preserve">Comisión Interinstitucional contra la </w:t>
      </w:r>
      <w:r w:rsidR="00D0615D">
        <w:t>E</w:t>
      </w:r>
      <w:r w:rsidR="00DB77FA" w:rsidRPr="00F85F3E">
        <w:t xml:space="preserve">xplotación </w:t>
      </w:r>
      <w:r w:rsidR="00D0615D">
        <w:t>S</w:t>
      </w:r>
      <w:r w:rsidR="00DB77FA" w:rsidRPr="00F85F3E">
        <w:t xml:space="preserve">exual </w:t>
      </w:r>
      <w:r w:rsidR="00D0615D">
        <w:t>C</w:t>
      </w:r>
      <w:r w:rsidR="00DB77FA" w:rsidRPr="00F85F3E">
        <w:t xml:space="preserve">omercial </w:t>
      </w:r>
      <w:r w:rsidR="00B63969" w:rsidRPr="00F85F3E">
        <w:t xml:space="preserve">y la </w:t>
      </w:r>
      <w:r w:rsidR="00D0615D">
        <w:t>T</w:t>
      </w:r>
      <w:r w:rsidR="00B63969" w:rsidRPr="00F85F3E">
        <w:t xml:space="preserve">rata </w:t>
      </w:r>
      <w:r w:rsidR="00DB77FA" w:rsidRPr="00F85F3E">
        <w:t xml:space="preserve">de </w:t>
      </w:r>
      <w:r w:rsidR="00D0615D">
        <w:t>N</w:t>
      </w:r>
      <w:r w:rsidR="00DB77FA" w:rsidRPr="00F85F3E">
        <w:t xml:space="preserve">iñas, </w:t>
      </w:r>
      <w:r w:rsidR="00D0615D">
        <w:t>N</w:t>
      </w:r>
      <w:r w:rsidR="00DB77FA" w:rsidRPr="00F85F3E">
        <w:t xml:space="preserve">iños y </w:t>
      </w:r>
      <w:r w:rsidR="00D0615D">
        <w:t>A</w:t>
      </w:r>
      <w:r w:rsidR="00DB77FA" w:rsidRPr="00F85F3E">
        <w:t>dolescentes</w:t>
      </w:r>
      <w:r w:rsidR="000C5CC8" w:rsidRPr="00F85F3E">
        <w:t xml:space="preserve"> (CICESC</w:t>
      </w:r>
      <w:r w:rsidR="00B63969" w:rsidRPr="00F85F3E">
        <w:t>T</w:t>
      </w:r>
      <w:r w:rsidR="000C5CC8" w:rsidRPr="00F85F3E">
        <w:t>)</w:t>
      </w:r>
      <w:r w:rsidR="00DB77FA" w:rsidRPr="00F85F3E">
        <w:t xml:space="preserve">, </w:t>
      </w:r>
      <w:r w:rsidR="00766B20" w:rsidRPr="00F85F3E">
        <w:t xml:space="preserve">el </w:t>
      </w:r>
      <w:r w:rsidR="00E24AC8" w:rsidRPr="00F85F3E">
        <w:t>Comisionado Nacional de los Derechos Humanos</w:t>
      </w:r>
      <w:r w:rsidR="006E2814" w:rsidRPr="00F85F3E">
        <w:t xml:space="preserve"> (CONADEH)</w:t>
      </w:r>
      <w:r w:rsidR="00E24AC8" w:rsidRPr="00F85F3E">
        <w:t xml:space="preserve">, </w:t>
      </w:r>
      <w:r w:rsidR="008911F8" w:rsidRPr="00F85F3E">
        <w:t xml:space="preserve">la Procuraduría General de la República (PGR), </w:t>
      </w:r>
      <w:r w:rsidR="008639A8" w:rsidRPr="00F85F3E">
        <w:t>la Presidenta de la Comisión de la Niñez</w:t>
      </w:r>
      <w:r w:rsidR="00A5610B" w:rsidRPr="00F85F3E">
        <w:t>,</w:t>
      </w:r>
      <w:r w:rsidR="008639A8" w:rsidRPr="00F85F3E">
        <w:t xml:space="preserve"> </w:t>
      </w:r>
      <w:r w:rsidR="00015AF4" w:rsidRPr="00F85F3E">
        <w:t>y</w:t>
      </w:r>
      <w:r w:rsidR="00434116" w:rsidRPr="00F85F3E">
        <w:t xml:space="preserve"> </w:t>
      </w:r>
      <w:r w:rsidR="001162CE" w:rsidRPr="00F85F3E">
        <w:t>el Instituto Universitario en Democracia Paz y Seguridad (</w:t>
      </w:r>
      <w:r w:rsidR="00434116" w:rsidRPr="00F85F3E">
        <w:t>Observatorio de la Violencia en Honduras</w:t>
      </w:r>
      <w:r w:rsidR="001162CE" w:rsidRPr="00F85F3E">
        <w:t>)</w:t>
      </w:r>
      <w:r w:rsidR="002D4D64" w:rsidRPr="00F85F3E">
        <w:t>.</w:t>
      </w:r>
      <w:r w:rsidR="00014ABD">
        <w:t xml:space="preserve"> </w:t>
      </w:r>
    </w:p>
    <w:p w:rsidR="009C1B50" w:rsidRPr="00F85F3E" w:rsidRDefault="005137FE" w:rsidP="00BB13C5">
      <w:pPr>
        <w:pStyle w:val="SingleTxtG"/>
        <w:numPr>
          <w:ilvl w:val="0"/>
          <w:numId w:val="53"/>
        </w:numPr>
        <w:ind w:left="1134" w:firstLine="0"/>
      </w:pPr>
      <w:r w:rsidRPr="00F85F3E">
        <w:t xml:space="preserve">La Relatora </w:t>
      </w:r>
      <w:r w:rsidR="002E6EDC" w:rsidRPr="00F85F3E">
        <w:t>Especial visitó</w:t>
      </w:r>
      <w:r w:rsidR="00E25CB1" w:rsidRPr="00F85F3E">
        <w:t xml:space="preserve"> </w:t>
      </w:r>
      <w:r w:rsidR="002D4D64" w:rsidRPr="00F85F3E">
        <w:t>dos</w:t>
      </w:r>
      <w:r w:rsidR="000F74F0" w:rsidRPr="00F85F3E">
        <w:t xml:space="preserve"> </w:t>
      </w:r>
      <w:r w:rsidR="002E6EDC" w:rsidRPr="00F85F3E">
        <w:t>centros</w:t>
      </w:r>
      <w:r w:rsidR="007B522A" w:rsidRPr="00F85F3E">
        <w:t xml:space="preserve"> para </w:t>
      </w:r>
      <w:r w:rsidR="00686DF5" w:rsidRPr="00F85F3E">
        <w:t>niños</w:t>
      </w:r>
      <w:r w:rsidR="002D4D64" w:rsidRPr="00F85F3E">
        <w:t xml:space="preserve"> y niñas</w:t>
      </w:r>
      <w:r w:rsidR="00560C0A" w:rsidRPr="00F85F3E">
        <w:t xml:space="preserve"> en situaciones difíciles o víctimas de explotación sexual</w:t>
      </w:r>
      <w:r w:rsidR="00623180" w:rsidRPr="00F85F3E">
        <w:rPr>
          <w:rStyle w:val="FootnoteReference"/>
        </w:rPr>
        <w:footnoteReference w:id="2"/>
      </w:r>
      <w:r w:rsidR="00B73BEE" w:rsidRPr="00F85F3E">
        <w:t xml:space="preserve">, en los cuales </w:t>
      </w:r>
      <w:r w:rsidR="00A91959" w:rsidRPr="00F85F3E">
        <w:t xml:space="preserve">tuvo la oportunidad de dialogar con los </w:t>
      </w:r>
      <w:r w:rsidR="0082616C" w:rsidRPr="00F85F3E">
        <w:t>menores</w:t>
      </w:r>
      <w:r w:rsidR="00A91959" w:rsidRPr="00F85F3E">
        <w:t xml:space="preserve">. Durante su visita </w:t>
      </w:r>
      <w:r w:rsidR="00715798" w:rsidRPr="00F85F3E">
        <w:t xml:space="preserve">la Relatora Especial </w:t>
      </w:r>
      <w:r w:rsidR="00A91959" w:rsidRPr="00F85F3E">
        <w:t>t</w:t>
      </w:r>
      <w:r w:rsidR="007B522A" w:rsidRPr="00F85F3E">
        <w:t xml:space="preserve">ambién se reunió </w:t>
      </w:r>
      <w:r w:rsidR="00132D2C" w:rsidRPr="00F85F3E">
        <w:t xml:space="preserve">con </w:t>
      </w:r>
      <w:r w:rsidR="0082616C" w:rsidRPr="00F85F3E">
        <w:t xml:space="preserve">numerosos </w:t>
      </w:r>
      <w:r w:rsidR="006262F6" w:rsidRPr="00F85F3E">
        <w:t>representantes</w:t>
      </w:r>
      <w:r w:rsidR="00132D2C" w:rsidRPr="00F85F3E">
        <w:t xml:space="preserve"> de la sociedad c</w:t>
      </w:r>
      <w:r w:rsidR="006C10AB" w:rsidRPr="00F85F3E">
        <w:t>ivil</w:t>
      </w:r>
      <w:r w:rsidR="00534BBF" w:rsidRPr="00F85F3E">
        <w:t xml:space="preserve">, </w:t>
      </w:r>
      <w:r w:rsidR="00354EE9">
        <w:t>organizaciones no gubernamentales (</w:t>
      </w:r>
      <w:r w:rsidR="00354EE9" w:rsidRPr="00F85F3E">
        <w:t>ONG</w:t>
      </w:r>
      <w:r w:rsidR="00354EE9">
        <w:t>)</w:t>
      </w:r>
      <w:r w:rsidR="00354EE9" w:rsidRPr="00F85F3E">
        <w:t xml:space="preserve">, </w:t>
      </w:r>
      <w:r w:rsidR="00534BBF" w:rsidRPr="00F85F3E">
        <w:t>y organizaciones de protección de la niñez</w:t>
      </w:r>
      <w:r w:rsidR="00534BBF" w:rsidRPr="00F85F3E">
        <w:rPr>
          <w:rStyle w:val="FootnoteReference"/>
        </w:rPr>
        <w:footnoteReference w:id="3"/>
      </w:r>
      <w:r w:rsidR="006262F6" w:rsidRPr="00F85F3E">
        <w:t xml:space="preserve">. Al final de </w:t>
      </w:r>
      <w:r w:rsidR="0082616C" w:rsidRPr="00F85F3E">
        <w:t>la</w:t>
      </w:r>
      <w:r w:rsidR="00715798" w:rsidRPr="00F85F3E">
        <w:t xml:space="preserve"> visita</w:t>
      </w:r>
      <w:r w:rsidR="00E75448" w:rsidRPr="00F85F3E">
        <w:t xml:space="preserve">, la Relatora Especial organizó una reunión de </w:t>
      </w:r>
      <w:r w:rsidR="00FE6090" w:rsidRPr="00F85F3E">
        <w:t>restitución</w:t>
      </w:r>
      <w:r w:rsidR="006262F6" w:rsidRPr="00F85F3E">
        <w:t xml:space="preserve"> con particip</w:t>
      </w:r>
      <w:r w:rsidR="00715798" w:rsidRPr="00F85F3E">
        <w:t xml:space="preserve">ación de las partes </w:t>
      </w:r>
      <w:r w:rsidR="0082616C" w:rsidRPr="00F85F3E">
        <w:t>interesada</w:t>
      </w:r>
      <w:r w:rsidR="00220CC4">
        <w:t>s</w:t>
      </w:r>
      <w:r w:rsidR="00E75448" w:rsidRPr="00F85F3E">
        <w:t xml:space="preserve">, </w:t>
      </w:r>
      <w:r w:rsidR="006262F6" w:rsidRPr="00F85F3E">
        <w:t xml:space="preserve">así como representantes de </w:t>
      </w:r>
      <w:r w:rsidR="00E75448" w:rsidRPr="00F85F3E">
        <w:t xml:space="preserve">la Cámara Nacional de Turismo de Honduras (CANATURH), </w:t>
      </w:r>
      <w:r w:rsidR="006262F6" w:rsidRPr="00F85F3E">
        <w:t xml:space="preserve">y </w:t>
      </w:r>
      <w:r w:rsidR="00E75448" w:rsidRPr="00F85F3E">
        <w:t xml:space="preserve">la </w:t>
      </w:r>
      <w:r w:rsidR="006C10AB" w:rsidRPr="00F85F3E">
        <w:t xml:space="preserve">comunidad </w:t>
      </w:r>
      <w:r w:rsidR="0081658F" w:rsidRPr="00F85F3E">
        <w:t>internacional</w:t>
      </w:r>
      <w:r w:rsidR="00CF617E" w:rsidRPr="00F85F3E">
        <w:rPr>
          <w:rStyle w:val="FootnoteReference"/>
        </w:rPr>
        <w:footnoteReference w:id="4"/>
      </w:r>
      <w:r w:rsidR="006C10AB" w:rsidRPr="00F85F3E">
        <w:t xml:space="preserve">. </w:t>
      </w:r>
      <w:r w:rsidR="00596C16" w:rsidRPr="00F85F3E">
        <w:t xml:space="preserve">La Relatora Especial se reunió </w:t>
      </w:r>
      <w:r w:rsidR="00F36C25" w:rsidRPr="00F85F3E">
        <w:t xml:space="preserve">con el equipo de </w:t>
      </w:r>
      <w:r w:rsidR="00015AF4" w:rsidRPr="00F85F3E">
        <w:t xml:space="preserve">las </w:t>
      </w:r>
      <w:r w:rsidR="00F36C25" w:rsidRPr="00F85F3E">
        <w:t>Naciones Unidas</w:t>
      </w:r>
      <w:r w:rsidR="00596C16" w:rsidRPr="00F85F3E">
        <w:t xml:space="preserve"> en el país</w:t>
      </w:r>
      <w:r w:rsidR="00442A3C" w:rsidRPr="00F85F3E">
        <w:rPr>
          <w:rStyle w:val="FootnoteReference"/>
        </w:rPr>
        <w:footnoteReference w:id="5"/>
      </w:r>
      <w:r w:rsidR="00596C16" w:rsidRPr="00F85F3E">
        <w:t xml:space="preserve"> y quisiera agradecer en particular </w:t>
      </w:r>
      <w:r w:rsidR="00F36C25" w:rsidRPr="00F85F3E">
        <w:t xml:space="preserve">a </w:t>
      </w:r>
      <w:r w:rsidR="00596C16" w:rsidRPr="00F85F3E">
        <w:t>los profesionales de</w:t>
      </w:r>
      <w:r w:rsidR="002D4D64" w:rsidRPr="00F85F3E">
        <w:t xml:space="preserve"> </w:t>
      </w:r>
      <w:r w:rsidR="00596C16" w:rsidRPr="00F85F3E">
        <w:t>l</w:t>
      </w:r>
      <w:r w:rsidR="002D4D64" w:rsidRPr="00F85F3E">
        <w:t>a Oficina del Asesor International de Derechos Humanos y del</w:t>
      </w:r>
      <w:r w:rsidR="00596C16" w:rsidRPr="00F85F3E">
        <w:t xml:space="preserve"> UNICEF po</w:t>
      </w:r>
      <w:r w:rsidR="002D4D64" w:rsidRPr="00F85F3E">
        <w:t xml:space="preserve">r el </w:t>
      </w:r>
      <w:r w:rsidR="00686C68" w:rsidRPr="00F85F3E">
        <w:t>apoyo brindado</w:t>
      </w:r>
      <w:r w:rsidR="00FE6090" w:rsidRPr="00F85F3E">
        <w:t>, así como</w:t>
      </w:r>
      <w:r w:rsidR="0081658F" w:rsidRPr="00F85F3E">
        <w:t xml:space="preserve"> </w:t>
      </w:r>
      <w:r w:rsidR="00A7165D" w:rsidRPr="00F85F3E">
        <w:t>la asistencia de</w:t>
      </w:r>
      <w:r w:rsidR="00BB13C5">
        <w:t>l ACNUDH.</w:t>
      </w:r>
    </w:p>
    <w:p w:rsidR="00656C86" w:rsidRPr="00F85F3E" w:rsidRDefault="00656C86" w:rsidP="00B73BEE">
      <w:pPr>
        <w:pStyle w:val="H1G"/>
        <w:tabs>
          <w:tab w:val="left" w:pos="1134"/>
          <w:tab w:val="left" w:pos="1701"/>
          <w:tab w:val="left" w:pos="2482"/>
        </w:tabs>
      </w:pPr>
      <w:r w:rsidRPr="00F85F3E">
        <w:tab/>
      </w:r>
      <w:r w:rsidR="000E3F38" w:rsidRPr="00F85F3E">
        <w:t>B.</w:t>
      </w:r>
      <w:r w:rsidR="000E3F38" w:rsidRPr="00F85F3E">
        <w:tab/>
        <w:t>Contexto</w:t>
      </w:r>
    </w:p>
    <w:p w:rsidR="0019749C" w:rsidRPr="00F85F3E" w:rsidRDefault="00C366AD" w:rsidP="00B221CB">
      <w:pPr>
        <w:pStyle w:val="SingleTxtG"/>
        <w:numPr>
          <w:ilvl w:val="0"/>
          <w:numId w:val="53"/>
        </w:numPr>
        <w:ind w:left="1134" w:firstLine="0"/>
      </w:pPr>
      <w:r w:rsidRPr="00F85F3E">
        <w:t xml:space="preserve">El nuevo Presidente del Gobierno, Juan Orlando Hernández, del Partido Nacional, </w:t>
      </w:r>
      <w:r w:rsidR="009B10F1">
        <w:t xml:space="preserve">asumió </w:t>
      </w:r>
      <w:r w:rsidRPr="00F85F3E">
        <w:t>el 27 de enero de 2014, tras ganar las elecciones presidenciales del 24 de noviembre de 2013.</w:t>
      </w:r>
      <w:r w:rsidR="00B73BEE" w:rsidRPr="00F85F3E">
        <w:t xml:space="preserve"> </w:t>
      </w:r>
      <w:r w:rsidR="00913827" w:rsidRPr="00F85F3E">
        <w:t xml:space="preserve">Los principales retos del nuevo Gobierno constituyen la reducción de la criminalidad </w:t>
      </w:r>
      <w:r w:rsidR="00B221CB">
        <w:t xml:space="preserve">y la </w:t>
      </w:r>
      <w:r w:rsidR="00913827" w:rsidRPr="00F85F3E">
        <w:t xml:space="preserve">inseguridad, la pobreza y la migración. </w:t>
      </w:r>
      <w:r w:rsidR="00380BF8" w:rsidRPr="00F85F3E">
        <w:t xml:space="preserve">En sus primeros meses de mandato, el </w:t>
      </w:r>
      <w:r w:rsidRPr="00F85F3E">
        <w:t xml:space="preserve">Presidente Hernández </w:t>
      </w:r>
      <w:r w:rsidR="00380BF8" w:rsidRPr="00F85F3E">
        <w:t>procedió a re</w:t>
      </w:r>
      <w:r w:rsidR="00185F04" w:rsidRPr="00F85F3E">
        <w:t>modelar</w:t>
      </w:r>
      <w:r w:rsidR="00380BF8" w:rsidRPr="00F85F3E">
        <w:t xml:space="preserve"> </w:t>
      </w:r>
      <w:r w:rsidR="00CD55D6" w:rsidRPr="00F85F3E">
        <w:t>su</w:t>
      </w:r>
      <w:r w:rsidR="00380BF8" w:rsidRPr="00F85F3E">
        <w:t xml:space="preserve"> gabinete de </w:t>
      </w:r>
      <w:r w:rsidR="00220CC4">
        <w:t>G</w:t>
      </w:r>
      <w:r w:rsidR="00380BF8" w:rsidRPr="00F85F3E">
        <w:t>obierno, reduciendo el número de ministerio</w:t>
      </w:r>
      <w:r w:rsidR="00FC11DF" w:rsidRPr="00F85F3E">
        <w:t>s</w:t>
      </w:r>
      <w:r w:rsidRPr="00F85F3E">
        <w:t>.</w:t>
      </w:r>
      <w:r w:rsidR="00380BF8" w:rsidRPr="00F85F3E">
        <w:t xml:space="preserve"> </w:t>
      </w:r>
      <w:r w:rsidR="00CD55D6" w:rsidRPr="00F85F3E">
        <w:t xml:space="preserve">Como consecuencia de esta reestructuración, </w:t>
      </w:r>
      <w:r w:rsidR="00FC11DF" w:rsidRPr="00F85F3E">
        <w:t xml:space="preserve">la </w:t>
      </w:r>
      <w:r w:rsidR="00380BF8" w:rsidRPr="00F85F3E">
        <w:t>Secretaría de Justicia y Derechos Humanos</w:t>
      </w:r>
      <w:r w:rsidR="007933F4" w:rsidRPr="00F85F3E">
        <w:t xml:space="preserve">, </w:t>
      </w:r>
      <w:r w:rsidR="00913827" w:rsidRPr="00F85F3E">
        <w:t>creada en el anterior Go</w:t>
      </w:r>
      <w:r w:rsidR="00FF3B58" w:rsidRPr="00F85F3E">
        <w:t>bierno</w:t>
      </w:r>
      <w:r w:rsidR="00CD55D6" w:rsidRPr="00F85F3E">
        <w:t xml:space="preserve">, </w:t>
      </w:r>
      <w:r w:rsidR="009F0374">
        <w:t xml:space="preserve">pasó a </w:t>
      </w:r>
      <w:r w:rsidR="00903FE8">
        <w:t>formar parte de</w:t>
      </w:r>
      <w:r w:rsidR="00380BF8" w:rsidRPr="00F85F3E">
        <w:t xml:space="preserve"> la Secretaría de Derechos Humanos, Justicia, Gobernación y Descentralización, que a su vez reporta a </w:t>
      </w:r>
      <w:r w:rsidR="001C4DD6">
        <w:t xml:space="preserve">un Gabinete Sectorial </w:t>
      </w:r>
      <w:r w:rsidR="00380BF8" w:rsidRPr="00F85F3E">
        <w:t>de Gobernabilidad y Descentralización.</w:t>
      </w:r>
      <w:r w:rsidR="00967FEA" w:rsidRPr="00F85F3E">
        <w:t xml:space="preserve"> </w:t>
      </w:r>
    </w:p>
    <w:p w:rsidR="00857BFA" w:rsidRPr="00F85F3E" w:rsidRDefault="00E81977" w:rsidP="00B221CB">
      <w:pPr>
        <w:pStyle w:val="SingleTxtG"/>
        <w:numPr>
          <w:ilvl w:val="0"/>
          <w:numId w:val="53"/>
        </w:numPr>
        <w:ind w:left="1134" w:firstLine="0"/>
      </w:pPr>
      <w:r w:rsidRPr="00F85F3E">
        <w:t xml:space="preserve">Según </w:t>
      </w:r>
      <w:r w:rsidR="00F973B5" w:rsidRPr="00F85F3E">
        <w:t>el informe de</w:t>
      </w:r>
      <w:r w:rsidR="00B221CB">
        <w:t>l</w:t>
      </w:r>
      <w:r w:rsidR="00F973B5" w:rsidRPr="00F85F3E">
        <w:t xml:space="preserve"> </w:t>
      </w:r>
      <w:r w:rsidRPr="00F85F3E">
        <w:t>UNICEF</w:t>
      </w:r>
      <w:r w:rsidR="00F973B5" w:rsidRPr="00F85F3E">
        <w:t xml:space="preserve"> </w:t>
      </w:r>
      <w:r w:rsidR="00F973B5" w:rsidRPr="008F65F2">
        <w:rPr>
          <w:i/>
          <w:iCs/>
        </w:rPr>
        <w:t xml:space="preserve">Estado mundial de la </w:t>
      </w:r>
      <w:r w:rsidR="007933F4" w:rsidRPr="008F65F2">
        <w:rPr>
          <w:i/>
          <w:iCs/>
        </w:rPr>
        <w:t>infancia de 2014</w:t>
      </w:r>
      <w:r w:rsidR="00B221CB" w:rsidRPr="008F65F2">
        <w:rPr>
          <w:i/>
          <w:iCs/>
        </w:rPr>
        <w:t xml:space="preserve"> en cifras</w:t>
      </w:r>
      <w:r w:rsidRPr="00F85F3E">
        <w:t>,</w:t>
      </w:r>
      <w:r w:rsidR="00F973B5" w:rsidRPr="00F85F3E">
        <w:t xml:space="preserve"> que recoge </w:t>
      </w:r>
      <w:r w:rsidR="003F4166" w:rsidRPr="00F85F3E">
        <w:t>información disponible hasta agosto de 2013</w:t>
      </w:r>
      <w:r w:rsidR="005E0FBA" w:rsidRPr="00F85F3E">
        <w:t>, el</w:t>
      </w:r>
      <w:r w:rsidR="00737E7C" w:rsidRPr="00F85F3E">
        <w:t xml:space="preserve"> 23% de la población</w:t>
      </w:r>
      <w:r w:rsidR="00014ABD">
        <w:t xml:space="preserve"> </w:t>
      </w:r>
      <w:r w:rsidR="00737E7C" w:rsidRPr="00F85F3E">
        <w:t>es adolescente (de 10 a 19</w:t>
      </w:r>
      <w:r w:rsidR="00F30C85">
        <w:t> </w:t>
      </w:r>
      <w:r w:rsidR="00737E7C" w:rsidRPr="00F85F3E">
        <w:t>años)</w:t>
      </w:r>
      <w:r w:rsidR="007933F4" w:rsidRPr="00F85F3E">
        <w:t>,</w:t>
      </w:r>
      <w:r w:rsidR="00737E7C" w:rsidRPr="00F85F3E">
        <w:t xml:space="preserve"> </w:t>
      </w:r>
      <w:r w:rsidR="009F58E6" w:rsidRPr="00F85F3E">
        <w:t>la tasa de trabajo infantil es del 16%,</w:t>
      </w:r>
      <w:r w:rsidR="00014ABD">
        <w:t xml:space="preserve"> </w:t>
      </w:r>
      <w:r w:rsidR="009F58E6" w:rsidRPr="00F85F3E">
        <w:t xml:space="preserve">y </w:t>
      </w:r>
      <w:r w:rsidR="00F973B5" w:rsidRPr="00F85F3E">
        <w:t xml:space="preserve">la tasa </w:t>
      </w:r>
      <w:r w:rsidR="009F58E6" w:rsidRPr="00F85F3E">
        <w:t>de</w:t>
      </w:r>
      <w:r w:rsidR="00014ABD">
        <w:t xml:space="preserve"> </w:t>
      </w:r>
      <w:r w:rsidR="009F58E6" w:rsidRPr="00F85F3E">
        <w:t>matrimonio precoz se sitúa en el 8</w:t>
      </w:r>
      <w:r w:rsidR="00A06902" w:rsidRPr="00F85F3E">
        <w:t>%</w:t>
      </w:r>
      <w:r w:rsidR="009F28D5" w:rsidRPr="00F85F3E">
        <w:rPr>
          <w:rStyle w:val="FootnoteReference"/>
        </w:rPr>
        <w:footnoteReference w:id="6"/>
      </w:r>
      <w:r w:rsidR="009F58E6" w:rsidRPr="00F85F3E">
        <w:t>.</w:t>
      </w:r>
      <w:r w:rsidRPr="00F85F3E">
        <w:t xml:space="preserve"> </w:t>
      </w:r>
      <w:r w:rsidR="00BC2BCE" w:rsidRPr="00F85F3E">
        <w:t>La población menor de 18 años</w:t>
      </w:r>
      <w:r w:rsidR="00014ABD">
        <w:t xml:space="preserve"> </w:t>
      </w:r>
      <w:r w:rsidR="00BC2BCE" w:rsidRPr="00F85F3E">
        <w:t>representa el 44</w:t>
      </w:r>
      <w:r w:rsidR="00B221CB">
        <w:t>,</w:t>
      </w:r>
      <w:r w:rsidR="00BC2BCE" w:rsidRPr="00F85F3E">
        <w:t>5% de la población y el 49% de la que vive en el área rural</w:t>
      </w:r>
      <w:r w:rsidR="00BC2BCE" w:rsidRPr="00F85F3E">
        <w:rPr>
          <w:rStyle w:val="FootnoteReference"/>
        </w:rPr>
        <w:footnoteReference w:id="7"/>
      </w:r>
      <w:r w:rsidR="00220CC4">
        <w:t>.</w:t>
      </w:r>
      <w:r w:rsidR="00BC2BCE" w:rsidRPr="00F85F3E">
        <w:t xml:space="preserve"> </w:t>
      </w:r>
      <w:r w:rsidR="00F973B5" w:rsidRPr="00F85F3E">
        <w:t xml:space="preserve">Según el </w:t>
      </w:r>
      <w:r w:rsidR="0019749C" w:rsidRPr="00F85F3E">
        <w:t xml:space="preserve">PNUD, en </w:t>
      </w:r>
      <w:r w:rsidR="00737E7C" w:rsidRPr="00F85F3E">
        <w:t xml:space="preserve">base a datos del </w:t>
      </w:r>
      <w:r w:rsidR="0019749C" w:rsidRPr="00F85F3E">
        <w:t>201</w:t>
      </w:r>
      <w:r w:rsidR="00737E7C" w:rsidRPr="00F85F3E">
        <w:t>2</w:t>
      </w:r>
      <w:r w:rsidR="008975D3" w:rsidRPr="00F85F3E">
        <w:t xml:space="preserve">, </w:t>
      </w:r>
      <w:r w:rsidR="00737E7C" w:rsidRPr="00F85F3E">
        <w:t>Honduras ocupa la posición 120 de 18</w:t>
      </w:r>
      <w:r w:rsidR="003A1711" w:rsidRPr="00F85F3E">
        <w:t>6</w:t>
      </w:r>
      <w:r w:rsidR="004973F4" w:rsidRPr="00F85F3E">
        <w:t xml:space="preserve"> </w:t>
      </w:r>
      <w:r w:rsidR="00737E7C" w:rsidRPr="00F85F3E">
        <w:t>en cuanto a nivel de desarrollo humano</w:t>
      </w:r>
      <w:r w:rsidR="008975D3" w:rsidRPr="00F85F3E">
        <w:t xml:space="preserve">, </w:t>
      </w:r>
      <w:r w:rsidR="004973F4" w:rsidRPr="00F85F3E">
        <w:t xml:space="preserve">misma posición respecto al año </w:t>
      </w:r>
      <w:r w:rsidR="007933F4" w:rsidRPr="00F85F3E">
        <w:t>anterior</w:t>
      </w:r>
      <w:r w:rsidR="00857BFA" w:rsidRPr="00F85F3E">
        <w:t>.</w:t>
      </w:r>
      <w:r w:rsidR="007933F4" w:rsidRPr="00F85F3E">
        <w:t xml:space="preserve"> El 48,9% de la población se encuentra en condiciones de pobreza y el 11,3% en situación de pobreza extrema. </w:t>
      </w:r>
      <w:r w:rsidR="00857BFA" w:rsidRPr="00F85F3E">
        <w:t>Según la misma fuente, Honduras tiene una tasa de fecundidad adolescente (nacimientos por mujeres de 15 a 19 años) del 19,5%</w:t>
      </w:r>
      <w:r w:rsidR="009F28D5" w:rsidRPr="00F85F3E">
        <w:rPr>
          <w:rStyle w:val="FootnoteReference"/>
        </w:rPr>
        <w:footnoteReference w:id="8"/>
      </w:r>
      <w:r w:rsidR="00857BFA" w:rsidRPr="00F85F3E">
        <w:t>.</w:t>
      </w:r>
      <w:r w:rsidR="00014ABD">
        <w:t xml:space="preserve"> </w:t>
      </w:r>
    </w:p>
    <w:p w:rsidR="00981648" w:rsidRPr="00F85F3E" w:rsidRDefault="007933F4" w:rsidP="004A21E3">
      <w:pPr>
        <w:pStyle w:val="SingleTxtG"/>
        <w:numPr>
          <w:ilvl w:val="0"/>
          <w:numId w:val="53"/>
        </w:numPr>
        <w:ind w:left="1134" w:firstLine="0"/>
      </w:pPr>
      <w:r w:rsidRPr="00F85F3E">
        <w:t>Aparte de la pobreza, l</w:t>
      </w:r>
      <w:r w:rsidR="00C97A16" w:rsidRPr="00F85F3E">
        <w:t>a violencia y criminalidad siguen estando entre l</w:t>
      </w:r>
      <w:r w:rsidR="009814AA" w:rsidRPr="00F85F3E">
        <w:t>o</w:t>
      </w:r>
      <w:r w:rsidR="00C97A16" w:rsidRPr="00F85F3E">
        <w:t>s prin</w:t>
      </w:r>
      <w:r w:rsidR="009814AA" w:rsidRPr="00F85F3E">
        <w:t>cipales pr</w:t>
      </w:r>
      <w:r w:rsidR="00C97A16" w:rsidRPr="00F85F3E">
        <w:t>o</w:t>
      </w:r>
      <w:r w:rsidR="009814AA" w:rsidRPr="00F85F3E">
        <w:t>blemas</w:t>
      </w:r>
      <w:r w:rsidR="00C97A16" w:rsidRPr="00F85F3E">
        <w:t xml:space="preserve"> del país. </w:t>
      </w:r>
      <w:r w:rsidR="009814AA" w:rsidRPr="00F85F3E">
        <w:t xml:space="preserve">Las </w:t>
      </w:r>
      <w:r w:rsidR="00BE222F" w:rsidRPr="00F85F3E">
        <w:t xml:space="preserve">fuentes </w:t>
      </w:r>
      <w:r w:rsidR="006858A7" w:rsidRPr="00F85F3E">
        <w:t>de referencia en materia de</w:t>
      </w:r>
      <w:r w:rsidR="004831A1" w:rsidRPr="00F85F3E">
        <w:t xml:space="preserve"> </w:t>
      </w:r>
      <w:r w:rsidR="006858A7" w:rsidRPr="00F85F3E">
        <w:t xml:space="preserve">datos </w:t>
      </w:r>
      <w:r w:rsidR="004831A1" w:rsidRPr="00F85F3E">
        <w:t>estadístic</w:t>
      </w:r>
      <w:r w:rsidR="006858A7" w:rsidRPr="00F85F3E">
        <w:t>o</w:t>
      </w:r>
      <w:r w:rsidR="004831A1" w:rsidRPr="00F85F3E">
        <w:t>s</w:t>
      </w:r>
      <w:r w:rsidR="009814AA" w:rsidRPr="00F85F3E">
        <w:t xml:space="preserve"> </w:t>
      </w:r>
      <w:r w:rsidR="004831A1" w:rsidRPr="00F85F3E">
        <w:t>constituyen la Oficina de las Naciones Unidas contra la Droga y el Delito (</w:t>
      </w:r>
      <w:r w:rsidR="00B221CB">
        <w:t>UNODC</w:t>
      </w:r>
      <w:r w:rsidR="004831A1" w:rsidRPr="00F85F3E">
        <w:t>), y el Observatorio de la Violencia de la Universidad Nacional Autónoma de Honduras</w:t>
      </w:r>
      <w:r w:rsidR="00C97A16" w:rsidRPr="00F85F3E">
        <w:t xml:space="preserve"> y el Instituto Universitario en Democracia, Paz y Seguridad (IUDPAS)</w:t>
      </w:r>
      <w:r w:rsidR="004831A1" w:rsidRPr="00F85F3E">
        <w:t xml:space="preserve">. Según el </w:t>
      </w:r>
      <w:r w:rsidR="00882F20" w:rsidRPr="008F65F2">
        <w:rPr>
          <w:i/>
          <w:iCs/>
        </w:rPr>
        <w:t>E</w:t>
      </w:r>
      <w:r w:rsidR="004831A1" w:rsidRPr="008F65F2">
        <w:rPr>
          <w:i/>
          <w:iCs/>
        </w:rPr>
        <w:t>studio</w:t>
      </w:r>
      <w:r w:rsidR="00BE222F" w:rsidRPr="008F65F2">
        <w:rPr>
          <w:i/>
          <w:iCs/>
        </w:rPr>
        <w:t xml:space="preserve"> </w:t>
      </w:r>
      <w:r w:rsidR="00882F20" w:rsidRPr="008F65F2">
        <w:rPr>
          <w:i/>
          <w:iCs/>
        </w:rPr>
        <w:t>M</w:t>
      </w:r>
      <w:r w:rsidR="00BE222F" w:rsidRPr="008F65F2">
        <w:rPr>
          <w:i/>
          <w:iCs/>
        </w:rPr>
        <w:t xml:space="preserve">undial sobre el </w:t>
      </w:r>
      <w:r w:rsidR="00882F20" w:rsidRPr="008F65F2">
        <w:rPr>
          <w:i/>
          <w:iCs/>
        </w:rPr>
        <w:t>H</w:t>
      </w:r>
      <w:r w:rsidR="00BE222F" w:rsidRPr="008F65F2">
        <w:rPr>
          <w:i/>
          <w:iCs/>
        </w:rPr>
        <w:t xml:space="preserve">omicidio </w:t>
      </w:r>
      <w:r w:rsidR="00882F20" w:rsidRPr="008F65F2">
        <w:rPr>
          <w:i/>
          <w:iCs/>
        </w:rPr>
        <w:t>2013</w:t>
      </w:r>
      <w:r w:rsidR="00882F20" w:rsidRPr="00F85F3E">
        <w:t xml:space="preserve"> de </w:t>
      </w:r>
      <w:r w:rsidR="00B221CB">
        <w:t>la UNODC</w:t>
      </w:r>
      <w:r w:rsidR="004831A1" w:rsidRPr="00F85F3E">
        <w:t>, publicado en abril de 2014</w:t>
      </w:r>
      <w:r w:rsidR="00BE42B8" w:rsidRPr="00F85F3E">
        <w:t xml:space="preserve"> </w:t>
      </w:r>
      <w:r w:rsidRPr="00F85F3E">
        <w:t xml:space="preserve">en base a </w:t>
      </w:r>
      <w:r w:rsidR="00BE42B8" w:rsidRPr="00F85F3E">
        <w:t xml:space="preserve">datos </w:t>
      </w:r>
      <w:r w:rsidR="001B43A9" w:rsidRPr="00F85F3E">
        <w:t>de</w:t>
      </w:r>
      <w:r w:rsidR="00BE42B8" w:rsidRPr="00F85F3E">
        <w:t xml:space="preserve"> 2012</w:t>
      </w:r>
      <w:r w:rsidR="004831A1" w:rsidRPr="00F85F3E">
        <w:t>,</w:t>
      </w:r>
      <w:r w:rsidR="00882F20" w:rsidRPr="00F85F3E">
        <w:t xml:space="preserve"> </w:t>
      </w:r>
      <w:r w:rsidR="00BE222F" w:rsidRPr="00F85F3E">
        <w:t xml:space="preserve">Honduras </w:t>
      </w:r>
      <w:r w:rsidR="00737E7C" w:rsidRPr="00F85F3E">
        <w:t xml:space="preserve">es </w:t>
      </w:r>
      <w:r w:rsidR="00BE222F" w:rsidRPr="00F85F3E">
        <w:t xml:space="preserve">el país con el </w:t>
      </w:r>
      <w:r w:rsidR="00FD3974" w:rsidRPr="00F85F3E">
        <w:t>índice de criminalidad</w:t>
      </w:r>
      <w:r w:rsidR="00BE222F" w:rsidRPr="00F85F3E">
        <w:t xml:space="preserve"> más alto del mundo</w:t>
      </w:r>
      <w:r w:rsidR="00FD3974" w:rsidRPr="00F85F3E">
        <w:t>,</w:t>
      </w:r>
      <w:r w:rsidR="00BE222F" w:rsidRPr="00F85F3E">
        <w:t xml:space="preserve"> con 90,4 víctimas de homicidio por cada 100</w:t>
      </w:r>
      <w:r w:rsidR="00B221CB">
        <w:t>.</w:t>
      </w:r>
      <w:r w:rsidR="00BE222F" w:rsidRPr="00F85F3E">
        <w:t xml:space="preserve">000 </w:t>
      </w:r>
      <w:r w:rsidR="00A06902" w:rsidRPr="00F85F3E">
        <w:t>habitantes</w:t>
      </w:r>
      <w:r w:rsidR="00882F20" w:rsidRPr="00F85F3E">
        <w:rPr>
          <w:rStyle w:val="FootnoteReference"/>
        </w:rPr>
        <w:footnoteReference w:id="9"/>
      </w:r>
      <w:r w:rsidR="00BE222F" w:rsidRPr="00F85F3E">
        <w:t>.</w:t>
      </w:r>
      <w:r w:rsidR="00EA2BD0" w:rsidRPr="00F85F3E">
        <w:t xml:space="preserve"> </w:t>
      </w:r>
      <w:r w:rsidR="00981648" w:rsidRPr="00F85F3E">
        <w:t>E</w:t>
      </w:r>
      <w:r w:rsidR="00BE222F" w:rsidRPr="00F85F3E">
        <w:t xml:space="preserve">l </w:t>
      </w:r>
      <w:r w:rsidR="0043769D" w:rsidRPr="00F85F3E">
        <w:t>último</w:t>
      </w:r>
      <w:r w:rsidR="00BE222F" w:rsidRPr="00F85F3E">
        <w:t xml:space="preserve"> Boletín </w:t>
      </w:r>
      <w:r w:rsidR="00C97A16" w:rsidRPr="00F85F3E">
        <w:t>Nacional</w:t>
      </w:r>
      <w:r w:rsidR="00BE222F" w:rsidRPr="00F85F3E">
        <w:t xml:space="preserve"> del Observatorio de la</w:t>
      </w:r>
      <w:r w:rsidR="00FD3974" w:rsidRPr="00F85F3E">
        <w:t xml:space="preserve"> </w:t>
      </w:r>
      <w:r w:rsidR="00BE222F" w:rsidRPr="00F85F3E">
        <w:t xml:space="preserve">Violencia, </w:t>
      </w:r>
      <w:r w:rsidR="00882F20" w:rsidRPr="00F85F3E">
        <w:t>que cuenta con el apoyo de</w:t>
      </w:r>
      <w:r w:rsidR="00B221CB">
        <w:t>l</w:t>
      </w:r>
      <w:r w:rsidR="00882F20" w:rsidRPr="00F85F3E">
        <w:t xml:space="preserve"> UNICEF y ONU Mujeres, </w:t>
      </w:r>
      <w:r w:rsidR="00185F04" w:rsidRPr="00F85F3E">
        <w:t xml:space="preserve">en base a datos de 2013, </w:t>
      </w:r>
      <w:r w:rsidR="009814AA" w:rsidRPr="00F85F3E">
        <w:t xml:space="preserve">concluye que </w:t>
      </w:r>
      <w:r w:rsidRPr="00F85F3E">
        <w:t>los homicidios disminuyeron en un 5</w:t>
      </w:r>
      <w:r w:rsidR="004A21E3">
        <w:t>,</w:t>
      </w:r>
      <w:r w:rsidRPr="00F85F3E">
        <w:t xml:space="preserve">8% (415 casos) respecto a 2012. Según la misma fuente, </w:t>
      </w:r>
      <w:r w:rsidR="009814AA" w:rsidRPr="00F85F3E">
        <w:t xml:space="preserve">en 2013 los homicidios fueron la principal causa </w:t>
      </w:r>
      <w:r w:rsidR="006858A7" w:rsidRPr="00F85F3E">
        <w:t xml:space="preserve">externa </w:t>
      </w:r>
      <w:r w:rsidR="009814AA" w:rsidRPr="00F85F3E">
        <w:t>de muertes, con 6</w:t>
      </w:r>
      <w:r w:rsidR="004A21E3">
        <w:t>.</w:t>
      </w:r>
      <w:r w:rsidR="009814AA" w:rsidRPr="00F85F3E">
        <w:t>757 casos (71</w:t>
      </w:r>
      <w:r w:rsidR="004A21E3">
        <w:t>,</w:t>
      </w:r>
      <w:r w:rsidR="009814AA" w:rsidRPr="00F85F3E">
        <w:t>5% del total)</w:t>
      </w:r>
      <w:r w:rsidR="00A152AC" w:rsidRPr="00F85F3E">
        <w:t>.</w:t>
      </w:r>
      <w:r w:rsidR="009814AA" w:rsidRPr="00F85F3E">
        <w:t xml:space="preserve"> L</w:t>
      </w:r>
      <w:r w:rsidR="006858A7" w:rsidRPr="00F85F3E">
        <w:t>a tasa nacional de homicidios se situó en</w:t>
      </w:r>
      <w:r w:rsidR="009814AA" w:rsidRPr="00F85F3E">
        <w:t xml:space="preserve"> 79 por cada 100</w:t>
      </w:r>
      <w:r w:rsidR="004A21E3">
        <w:t>.</w:t>
      </w:r>
      <w:r w:rsidR="009814AA" w:rsidRPr="00F85F3E">
        <w:t>000 habitantes</w:t>
      </w:r>
      <w:r w:rsidR="006858A7" w:rsidRPr="00F85F3E">
        <w:t>, 6</w:t>
      </w:r>
      <w:r w:rsidR="004A21E3">
        <w:t>,</w:t>
      </w:r>
      <w:r w:rsidR="006858A7" w:rsidRPr="00F85F3E">
        <w:t>5 puntos menos en relación a 2012. En promedio, en 2013 se registraron 563 homicidios al mes y</w:t>
      </w:r>
      <w:r w:rsidR="00F30C85">
        <w:t xml:space="preserve"> </w:t>
      </w:r>
      <w:r w:rsidR="009814AA" w:rsidRPr="00F85F3E">
        <w:t xml:space="preserve">19 por </w:t>
      </w:r>
      <w:r w:rsidR="006858A7" w:rsidRPr="00F85F3E">
        <w:t>día. El 83</w:t>
      </w:r>
      <w:r w:rsidR="004A21E3">
        <w:t>,</w:t>
      </w:r>
      <w:r w:rsidR="006858A7" w:rsidRPr="00F85F3E">
        <w:t>3% de los homicidios se cometieron con arma de fuego</w:t>
      </w:r>
      <w:r w:rsidR="009814AA" w:rsidRPr="00F85F3E">
        <w:rPr>
          <w:rStyle w:val="FootnoteReference"/>
        </w:rPr>
        <w:footnoteReference w:id="10"/>
      </w:r>
      <w:r w:rsidR="006858A7" w:rsidRPr="00F85F3E">
        <w:t>.</w:t>
      </w:r>
      <w:r w:rsidR="009814AA" w:rsidRPr="00F85F3E">
        <w:t xml:space="preserve"> </w:t>
      </w:r>
      <w:r w:rsidR="00C263A6" w:rsidRPr="00F85F3E">
        <w:t>Según el Observatorio de la Violencia, un total de 513 niños y niñas fueron víctimas de homicidios en 2013 (7</w:t>
      </w:r>
      <w:r w:rsidR="004A21E3">
        <w:t>,</w:t>
      </w:r>
      <w:r w:rsidR="00C263A6" w:rsidRPr="00F85F3E">
        <w:t>6% del total de los 6</w:t>
      </w:r>
      <w:r w:rsidR="004A21E3">
        <w:t>.</w:t>
      </w:r>
      <w:r w:rsidR="00C263A6" w:rsidRPr="00F85F3E">
        <w:t>757 casos).</w:t>
      </w:r>
    </w:p>
    <w:p w:rsidR="003D56AA" w:rsidRPr="00F85F3E" w:rsidRDefault="00857BFA" w:rsidP="004A21E3">
      <w:pPr>
        <w:pStyle w:val="SingleTxtG"/>
        <w:numPr>
          <w:ilvl w:val="0"/>
          <w:numId w:val="53"/>
        </w:numPr>
        <w:ind w:left="1134" w:firstLine="0"/>
      </w:pPr>
      <w:r w:rsidRPr="00F85F3E">
        <w:t xml:space="preserve">La violencia y </w:t>
      </w:r>
      <w:r w:rsidR="0027288E" w:rsidRPr="00F85F3E">
        <w:t xml:space="preserve">la </w:t>
      </w:r>
      <w:r w:rsidR="00981648" w:rsidRPr="00F85F3E">
        <w:t>pobreza</w:t>
      </w:r>
      <w:r w:rsidRPr="00F85F3E">
        <w:t xml:space="preserve"> se encuentran entre los factores que </w:t>
      </w:r>
      <w:r w:rsidR="007933F4" w:rsidRPr="00F85F3E">
        <w:t xml:space="preserve">empujan </w:t>
      </w:r>
      <w:r w:rsidRPr="00F85F3E">
        <w:t>a la migración</w:t>
      </w:r>
      <w:r w:rsidR="00A06902" w:rsidRPr="00F85F3E">
        <w:t xml:space="preserve">. En los últimos años, la migración de menores hacia los Estados Unidos ha aumentado de manera alarmante. Entre el 1 de enero y </w:t>
      </w:r>
      <w:r w:rsidR="004A21E3">
        <w:t xml:space="preserve">el </w:t>
      </w:r>
      <w:r w:rsidR="00A06902" w:rsidRPr="00F85F3E">
        <w:t xml:space="preserve">31 de mayo de 2014, la Patrulla Fronteriza de los Estados Unidos detuvo un </w:t>
      </w:r>
      <w:r w:rsidR="000C663A" w:rsidRPr="00F85F3E">
        <w:t>número</w:t>
      </w:r>
      <w:r w:rsidR="00A06902" w:rsidRPr="00F85F3E">
        <w:t xml:space="preserve"> r</w:t>
      </w:r>
      <w:r w:rsidR="00B221CB">
        <w:t>é</w:t>
      </w:r>
      <w:r w:rsidR="00A06902" w:rsidRPr="00F85F3E">
        <w:t>cord de 47</w:t>
      </w:r>
      <w:r w:rsidR="004A21E3">
        <w:t>.</w:t>
      </w:r>
      <w:r w:rsidR="00A06902" w:rsidRPr="00F85F3E">
        <w:t xml:space="preserve">017 niños migrantes no </w:t>
      </w:r>
      <w:r w:rsidR="000C663A" w:rsidRPr="00F85F3E">
        <w:t>acompañados</w:t>
      </w:r>
      <w:r w:rsidR="00A06902" w:rsidRPr="00F85F3E">
        <w:t xml:space="preserve"> a lo largo de la frontera suroeste de los Estados Unidos</w:t>
      </w:r>
      <w:r w:rsidR="000C663A" w:rsidRPr="00F85F3E">
        <w:t>.</w:t>
      </w:r>
      <w:r w:rsidR="00A06902" w:rsidRPr="00F85F3E">
        <w:t xml:space="preserve"> De ellos, 13</w:t>
      </w:r>
      <w:r w:rsidR="00293DA4">
        <w:t>.</w:t>
      </w:r>
      <w:r w:rsidR="00A06902" w:rsidRPr="00F85F3E">
        <w:t xml:space="preserve">282 </w:t>
      </w:r>
      <w:r w:rsidR="000C663A" w:rsidRPr="00F85F3E">
        <w:t>procedían</w:t>
      </w:r>
      <w:r w:rsidR="00A06902" w:rsidRPr="00F85F3E">
        <w:t xml:space="preserve"> de Hondura</w:t>
      </w:r>
      <w:r w:rsidR="000C663A" w:rsidRPr="00F85F3E">
        <w:t>s</w:t>
      </w:r>
      <w:r w:rsidR="00133A35" w:rsidRPr="00F85F3E">
        <w:rPr>
          <w:rStyle w:val="FootnoteReference"/>
        </w:rPr>
        <w:footnoteReference w:id="11"/>
      </w:r>
      <w:r w:rsidR="000C663A" w:rsidRPr="00F85F3E">
        <w:t>. De 8</w:t>
      </w:r>
      <w:r w:rsidR="00293DA4">
        <w:t>.</w:t>
      </w:r>
      <w:r w:rsidR="000C663A" w:rsidRPr="00F85F3E">
        <w:t>000 niñas y niños</w:t>
      </w:r>
      <w:r w:rsidR="00014ABD">
        <w:t xml:space="preserve"> </w:t>
      </w:r>
      <w:r w:rsidR="000C663A" w:rsidRPr="00F85F3E">
        <w:t>que emigraron de Honduras en 2011 (aproximadamente el 8% del total de migrantes)</w:t>
      </w:r>
      <w:r w:rsidR="00133A35">
        <w:t>,</w:t>
      </w:r>
      <w:r w:rsidR="000C663A" w:rsidRPr="00F85F3E">
        <w:t xml:space="preserve"> 2</w:t>
      </w:r>
      <w:r w:rsidR="00293DA4">
        <w:t>.</w:t>
      </w:r>
      <w:r w:rsidR="000C663A" w:rsidRPr="00F85F3E">
        <w:t xml:space="preserve">000 fueron deportados de México y </w:t>
      </w:r>
      <w:r w:rsidR="00B221CB">
        <w:t xml:space="preserve">los </w:t>
      </w:r>
      <w:r w:rsidR="000C663A" w:rsidRPr="00F85F3E">
        <w:t>Estados Unidos. La ruta migratoria de estas niñas, niños y adolescentes está</w:t>
      </w:r>
      <w:r w:rsidR="00014ABD">
        <w:t xml:space="preserve"> </w:t>
      </w:r>
      <w:r w:rsidR="000C663A" w:rsidRPr="00F85F3E">
        <w:t>gravemente afectada por situaciones de malos tratos, explotación sexual y comercial, y trata de personas</w:t>
      </w:r>
      <w:r w:rsidR="00133A35">
        <w:rPr>
          <w:rStyle w:val="FootnoteReference"/>
        </w:rPr>
        <w:footnoteReference w:id="12"/>
      </w:r>
      <w:r w:rsidR="000C663A" w:rsidRPr="00F85F3E">
        <w:t>.</w:t>
      </w:r>
    </w:p>
    <w:p w:rsidR="00051679" w:rsidRPr="00F85F3E" w:rsidRDefault="00BA1AF4" w:rsidP="00BA1AF4">
      <w:pPr>
        <w:pStyle w:val="HChG"/>
      </w:pPr>
      <w:r w:rsidRPr="00F85F3E">
        <w:tab/>
        <w:t>II.</w:t>
      </w:r>
      <w:r w:rsidRPr="00F85F3E">
        <w:tab/>
      </w:r>
      <w:r w:rsidR="0027288E" w:rsidRPr="00F85F3E">
        <w:t>P</w:t>
      </w:r>
      <w:r w:rsidR="00961093" w:rsidRPr="00F85F3E">
        <w:t>rincipales constataciones desde la visita de 2012</w:t>
      </w:r>
    </w:p>
    <w:p w:rsidR="00051679" w:rsidRPr="00F85F3E" w:rsidRDefault="00BA1AF4" w:rsidP="00BA1AF4">
      <w:pPr>
        <w:pStyle w:val="H1G"/>
      </w:pPr>
      <w:r w:rsidRPr="00F85F3E">
        <w:tab/>
      </w:r>
      <w:r w:rsidR="00051679" w:rsidRPr="00F85F3E">
        <w:t>A.</w:t>
      </w:r>
      <w:r w:rsidR="00051679" w:rsidRPr="00F85F3E">
        <w:tab/>
        <w:t>Amplitud de la venta de niños</w:t>
      </w:r>
      <w:r w:rsidR="0027288E" w:rsidRPr="00F85F3E">
        <w:t xml:space="preserve"> y niñas</w:t>
      </w:r>
      <w:r w:rsidR="009E18A6" w:rsidRPr="00F85F3E">
        <w:t xml:space="preserve">, la prostitución infantil </w:t>
      </w:r>
      <w:r w:rsidR="00F30C85">
        <w:br/>
      </w:r>
      <w:r w:rsidR="009E18A6" w:rsidRPr="00F85F3E">
        <w:t xml:space="preserve">y </w:t>
      </w:r>
      <w:r w:rsidR="00117E73" w:rsidRPr="00F85F3E">
        <w:t>la utilización de niños</w:t>
      </w:r>
      <w:r w:rsidR="0027288E" w:rsidRPr="00F85F3E">
        <w:t xml:space="preserve"> y niñas</w:t>
      </w:r>
      <w:r w:rsidR="00117E73" w:rsidRPr="00F85F3E">
        <w:t xml:space="preserve"> en </w:t>
      </w:r>
      <w:r w:rsidR="009E18A6" w:rsidRPr="00F85F3E">
        <w:t>la pornografía</w:t>
      </w:r>
    </w:p>
    <w:p w:rsidR="002E2DEB" w:rsidRPr="00F85F3E" w:rsidRDefault="003D3368" w:rsidP="00014ABD">
      <w:pPr>
        <w:pStyle w:val="SingleTxtG"/>
        <w:numPr>
          <w:ilvl w:val="0"/>
          <w:numId w:val="53"/>
        </w:numPr>
        <w:ind w:left="1134" w:firstLine="0"/>
      </w:pPr>
      <w:r w:rsidRPr="00F85F3E">
        <w:t xml:space="preserve">A </w:t>
      </w:r>
      <w:r w:rsidR="00F4054E" w:rsidRPr="00F85F3E">
        <w:t xml:space="preserve">pesar de la </w:t>
      </w:r>
      <w:r w:rsidRPr="00F85F3E">
        <w:t>falta de datos estadísticos precisos</w:t>
      </w:r>
      <w:r w:rsidR="00F4054E" w:rsidRPr="00F85F3E">
        <w:t>, desagregados</w:t>
      </w:r>
      <w:r w:rsidRPr="00F85F3E">
        <w:t xml:space="preserve">, </w:t>
      </w:r>
      <w:r w:rsidR="00FE0B60" w:rsidRPr="00F85F3E">
        <w:t xml:space="preserve">actualizados y </w:t>
      </w:r>
      <w:r w:rsidR="00F4054E" w:rsidRPr="00F85F3E">
        <w:t>verificables</w:t>
      </w:r>
      <w:r w:rsidR="00FE0B60" w:rsidRPr="008E5353">
        <w:t>,</w:t>
      </w:r>
      <w:r w:rsidR="00C263A6" w:rsidRPr="005E0FBA">
        <w:rPr>
          <w:bCs/>
        </w:rPr>
        <w:t xml:space="preserve"> </w:t>
      </w:r>
      <w:r w:rsidR="008E5353" w:rsidRPr="005E0FBA">
        <w:rPr>
          <w:bCs/>
        </w:rPr>
        <w:t>así como la falta de</w:t>
      </w:r>
      <w:r w:rsidR="00014ABD">
        <w:rPr>
          <w:bCs/>
        </w:rPr>
        <w:t xml:space="preserve"> </w:t>
      </w:r>
      <w:r w:rsidR="008E5353" w:rsidRPr="005E0FBA">
        <w:rPr>
          <w:bCs/>
        </w:rPr>
        <w:t>s</w:t>
      </w:r>
      <w:r w:rsidR="00C263A6" w:rsidRPr="005E0FBA">
        <w:rPr>
          <w:bCs/>
        </w:rPr>
        <w:t>eñalamientos y denuncias suficientes</w:t>
      </w:r>
      <w:r w:rsidR="008E5353" w:rsidRPr="005E0FBA">
        <w:rPr>
          <w:bCs/>
        </w:rPr>
        <w:t>,</w:t>
      </w:r>
      <w:r w:rsidR="00FE0B60" w:rsidRPr="008E5353">
        <w:t xml:space="preserve"> </w:t>
      </w:r>
      <w:r w:rsidRPr="008E5353">
        <w:t>l</w:t>
      </w:r>
      <w:r w:rsidR="002E2DEB" w:rsidRPr="008E5353">
        <w:t>a</w:t>
      </w:r>
      <w:r w:rsidRPr="008E5353">
        <w:t xml:space="preserve"> Relatora Especial pudo constatar que </w:t>
      </w:r>
      <w:r w:rsidR="003D29FE" w:rsidRPr="008E5353">
        <w:t>el fenómeno de</w:t>
      </w:r>
      <w:r w:rsidR="003D29FE" w:rsidRPr="00F85F3E">
        <w:t xml:space="preserve"> la venta y la explotación sexual de la niñez en Honduras, en sus múltiples formas</w:t>
      </w:r>
      <w:r w:rsidR="00F4054E" w:rsidRPr="00F85F3E">
        <w:t xml:space="preserve"> (</w:t>
      </w:r>
      <w:r w:rsidR="00CD0145" w:rsidRPr="00F85F3E">
        <w:t>prostitución infantil</w:t>
      </w:r>
      <w:r w:rsidR="004B18A3" w:rsidRPr="00F85F3E">
        <w:t>, explotación sexual de la niñez de diversidad sexual</w:t>
      </w:r>
      <w:r w:rsidR="00F4054E" w:rsidRPr="00F85F3E">
        <w:t xml:space="preserve"> y afrodescendiente,</w:t>
      </w:r>
      <w:r w:rsidR="00B6094C" w:rsidRPr="00F85F3E">
        <w:t xml:space="preserve"> explotación sexual en la calle</w:t>
      </w:r>
      <w:r w:rsidR="00FE0B60" w:rsidRPr="00F85F3E">
        <w:t>, turismo sexual, pornografía infantil</w:t>
      </w:r>
      <w:r w:rsidR="00F4054E" w:rsidRPr="00F85F3E">
        <w:t>)</w:t>
      </w:r>
      <w:r w:rsidR="003D29FE" w:rsidRPr="00F85F3E">
        <w:t xml:space="preserve"> sigue siendo </w:t>
      </w:r>
      <w:r w:rsidR="003D29FE" w:rsidRPr="005E0FBA">
        <w:t>amplio.</w:t>
      </w:r>
      <w:r w:rsidR="003D29FE" w:rsidRPr="00F85F3E">
        <w:t xml:space="preserve"> Asimismo, persisten </w:t>
      </w:r>
      <w:r w:rsidRPr="00F85F3E">
        <w:t>las</w:t>
      </w:r>
      <w:r w:rsidR="002E2DEB" w:rsidRPr="00F85F3E">
        <w:t xml:space="preserve"> causas y factores de riesgo </w:t>
      </w:r>
      <w:r w:rsidR="003D29FE" w:rsidRPr="00F85F3E">
        <w:t>identificados durante su primera visita</w:t>
      </w:r>
      <w:r w:rsidR="00F4054E" w:rsidRPr="00F85F3E">
        <w:t>, entre los que destacan</w:t>
      </w:r>
      <w:r w:rsidR="003D29FE" w:rsidRPr="00F85F3E">
        <w:t xml:space="preserve"> la pobreza, la desigualdad, la exclusión social, la discriminación </w:t>
      </w:r>
      <w:r w:rsidR="00177524" w:rsidRPr="00F85F3E">
        <w:t xml:space="preserve">y violencia </w:t>
      </w:r>
      <w:r w:rsidR="003D29FE" w:rsidRPr="00F85F3E">
        <w:t xml:space="preserve">de género, </w:t>
      </w:r>
      <w:r w:rsidR="00177524" w:rsidRPr="00F85F3E">
        <w:t xml:space="preserve">la tolerancia social, la impunidad hacia los </w:t>
      </w:r>
      <w:r w:rsidR="00F4054E" w:rsidRPr="00F85F3E">
        <w:t>perpetradores</w:t>
      </w:r>
      <w:r w:rsidR="00177524" w:rsidRPr="00F85F3E">
        <w:t xml:space="preserve">, </w:t>
      </w:r>
      <w:r w:rsidR="003D29FE" w:rsidRPr="00F85F3E">
        <w:t xml:space="preserve">la inseguridad, la </w:t>
      </w:r>
      <w:r w:rsidR="00177524" w:rsidRPr="00F85F3E">
        <w:t>migración y la dimensión transnacional del fenómeno</w:t>
      </w:r>
      <w:r w:rsidR="00F4054E" w:rsidRPr="00F85F3E">
        <w:t>. E</w:t>
      </w:r>
      <w:r w:rsidR="00FE0B60" w:rsidRPr="00F85F3E">
        <w:t>sta</w:t>
      </w:r>
      <w:r w:rsidR="00F4054E" w:rsidRPr="00F85F3E">
        <w:t>s</w:t>
      </w:r>
      <w:r w:rsidR="00FE0B60" w:rsidRPr="00F85F3E">
        <w:t xml:space="preserve"> causas y</w:t>
      </w:r>
      <w:r w:rsidR="00F4054E" w:rsidRPr="00F85F3E">
        <w:t xml:space="preserve"> factores</w:t>
      </w:r>
      <w:r w:rsidR="002E2DEB" w:rsidRPr="00F85F3E">
        <w:t xml:space="preserve"> </w:t>
      </w:r>
      <w:r w:rsidR="003D29FE" w:rsidRPr="00F85F3E">
        <w:t>aumentan</w:t>
      </w:r>
      <w:r w:rsidR="002E2DEB" w:rsidRPr="00F85F3E">
        <w:t xml:space="preserve"> la vulnerabilidad de los niños y niñas </w:t>
      </w:r>
      <w:r w:rsidR="003D29FE" w:rsidRPr="00F85F3E">
        <w:t>a</w:t>
      </w:r>
      <w:r w:rsidR="002E2DEB" w:rsidRPr="00F85F3E">
        <w:t xml:space="preserve"> la venta y explotación sexual.</w:t>
      </w:r>
      <w:r w:rsidR="00075CFA" w:rsidRPr="00F85F3E">
        <w:t xml:space="preserve"> El embarazo adolescente</w:t>
      </w:r>
      <w:r w:rsidR="006D10A8" w:rsidRPr="00F85F3E">
        <w:t xml:space="preserve"> o precoz</w:t>
      </w:r>
      <w:r w:rsidR="00075CFA" w:rsidRPr="00F85F3E">
        <w:t xml:space="preserve"> sigue siendo preocupante</w:t>
      </w:r>
      <w:r w:rsidR="00657C85" w:rsidRPr="00F85F3E">
        <w:t>, y en muchos casos conlleva exclusión educativa</w:t>
      </w:r>
      <w:r w:rsidR="00075CFA" w:rsidRPr="00F85F3E">
        <w:t>.</w:t>
      </w:r>
    </w:p>
    <w:p w:rsidR="00FE7FA8" w:rsidRPr="00F85F3E" w:rsidRDefault="00FE7FA8" w:rsidP="00297A3E">
      <w:pPr>
        <w:pStyle w:val="SingleTxtG"/>
        <w:numPr>
          <w:ilvl w:val="0"/>
          <w:numId w:val="53"/>
        </w:numPr>
        <w:ind w:left="1134" w:firstLine="0"/>
      </w:pPr>
      <w:r w:rsidRPr="00F85F3E">
        <w:t>Según el Observatorio de la Violencia,</w:t>
      </w:r>
      <w:r w:rsidR="00822150" w:rsidRPr="00F85F3E">
        <w:t xml:space="preserve"> </w:t>
      </w:r>
      <w:r w:rsidR="00DD1E20">
        <w:t>d</w:t>
      </w:r>
      <w:r w:rsidR="00822150" w:rsidRPr="00F85F3E">
        <w:t>e los 18</w:t>
      </w:r>
      <w:r w:rsidR="009A3DC7">
        <w:t>.</w:t>
      </w:r>
      <w:r w:rsidR="00822150" w:rsidRPr="00F85F3E">
        <w:t>018 requerimient</w:t>
      </w:r>
      <w:r w:rsidR="006D0D88" w:rsidRPr="00F85F3E">
        <w:t>os fiscales para evaluaciones mé</w:t>
      </w:r>
      <w:r w:rsidR="00747278" w:rsidRPr="00F85F3E">
        <w:t>dico-</w:t>
      </w:r>
      <w:r w:rsidR="00822150" w:rsidRPr="00F85F3E">
        <w:t>legales registrados en 2013, 2</w:t>
      </w:r>
      <w:r w:rsidR="009A3DC7">
        <w:t>.</w:t>
      </w:r>
      <w:r w:rsidR="00822150" w:rsidRPr="00F85F3E">
        <w:t xml:space="preserve">832 fueron </w:t>
      </w:r>
      <w:r w:rsidR="009A3DC7">
        <w:t xml:space="preserve">por </w:t>
      </w:r>
      <w:r w:rsidR="00822150" w:rsidRPr="00F85F3E">
        <w:t>víctimas de abuso sexual (15</w:t>
      </w:r>
      <w:r w:rsidR="009A3DC7">
        <w:t>,</w:t>
      </w:r>
      <w:r w:rsidR="00822150" w:rsidRPr="00F85F3E">
        <w:t>7% de los casos), y 512 niños y niñas sufrieron maltratos (2</w:t>
      </w:r>
      <w:r w:rsidR="009A3DC7">
        <w:t>,</w:t>
      </w:r>
      <w:r w:rsidR="00822150" w:rsidRPr="00F85F3E">
        <w:t xml:space="preserve">8% de los casos). </w:t>
      </w:r>
      <w:r w:rsidR="006D0D88" w:rsidRPr="00F85F3E">
        <w:t>De estos últimos</w:t>
      </w:r>
      <w:r w:rsidR="00747278" w:rsidRPr="00F85F3E">
        <w:t>, las niñas fueron</w:t>
      </w:r>
      <w:r w:rsidR="006D0D88" w:rsidRPr="00F85F3E">
        <w:t xml:space="preserve"> las más afectadas, el 56</w:t>
      </w:r>
      <w:r w:rsidR="009A3DC7">
        <w:t>,</w:t>
      </w:r>
      <w:r w:rsidR="006D0D88" w:rsidRPr="00F85F3E">
        <w:t>8% de los casos (291). De acuerdo a la misma fuente, el rango de edad más afectado para l</w:t>
      </w:r>
      <w:r w:rsidR="00747278" w:rsidRPr="00F85F3E">
        <w:t>as niñas es de 10 a 14</w:t>
      </w:r>
      <w:r w:rsidR="00F30C85">
        <w:t> </w:t>
      </w:r>
      <w:r w:rsidR="00747278" w:rsidRPr="00F85F3E">
        <w:t>años (</w:t>
      </w:r>
      <w:r w:rsidR="006D0D88" w:rsidRPr="00F85F3E">
        <w:t>100 casos</w:t>
      </w:r>
      <w:r w:rsidR="00747278" w:rsidRPr="00F85F3E">
        <w:t>)</w:t>
      </w:r>
      <w:r w:rsidR="006D0D88" w:rsidRPr="00F85F3E">
        <w:t>, y para los niños, de 5 a 9</w:t>
      </w:r>
      <w:r w:rsidR="00F30C85">
        <w:t> </w:t>
      </w:r>
      <w:r w:rsidR="006D0D88" w:rsidRPr="00F85F3E">
        <w:t xml:space="preserve">años </w:t>
      </w:r>
      <w:r w:rsidR="00747278" w:rsidRPr="00F85F3E">
        <w:t>(</w:t>
      </w:r>
      <w:r w:rsidR="006D0D88" w:rsidRPr="00F85F3E">
        <w:t>93 casos</w:t>
      </w:r>
      <w:r w:rsidR="00747278" w:rsidRPr="00F85F3E">
        <w:t>)</w:t>
      </w:r>
      <w:r w:rsidR="006D0D88" w:rsidRPr="00F85F3E">
        <w:t>. El análisis comparativo con el año 2012 presenta una d</w:t>
      </w:r>
      <w:r w:rsidR="00747278" w:rsidRPr="00F85F3E">
        <w:t>isminución significativa del 51</w:t>
      </w:r>
      <w:r w:rsidR="00297A3E">
        <w:t>,</w:t>
      </w:r>
      <w:r w:rsidR="006D0D88" w:rsidRPr="00F85F3E">
        <w:t xml:space="preserve">5%, es decir, 543 casos </w:t>
      </w:r>
      <w:r w:rsidR="00FD3DCB" w:rsidRPr="00F85F3E">
        <w:t>menos</w:t>
      </w:r>
      <w:r w:rsidR="006D0D88" w:rsidRPr="00F85F3E">
        <w:rPr>
          <w:rStyle w:val="FootnoteReference"/>
        </w:rPr>
        <w:footnoteReference w:id="13"/>
      </w:r>
      <w:r w:rsidR="006D0D88" w:rsidRPr="00F85F3E">
        <w:t>.</w:t>
      </w:r>
      <w:r w:rsidR="00E81AB7" w:rsidRPr="00F85F3E">
        <w:t xml:space="preserve"> </w:t>
      </w:r>
      <w:r w:rsidR="009C7F4A" w:rsidRPr="00F85F3E">
        <w:t xml:space="preserve">En cuanto a los delitos sexuales, </w:t>
      </w:r>
      <w:r w:rsidR="00953148" w:rsidRPr="00F85F3E">
        <w:t>el Observatorio de la Violencia</w:t>
      </w:r>
      <w:r w:rsidR="009C7F4A" w:rsidRPr="00F85F3E">
        <w:t xml:space="preserve"> concluye que </w:t>
      </w:r>
      <w:r w:rsidR="00AB2CA1" w:rsidRPr="00F85F3E">
        <w:t xml:space="preserve">en 2013 </w:t>
      </w:r>
      <w:r w:rsidR="009C7F4A" w:rsidRPr="00F85F3E">
        <w:t>la mayor vulnerabilidad se presentó en menores de 0 a 19</w:t>
      </w:r>
      <w:r w:rsidR="00F30C85">
        <w:t> </w:t>
      </w:r>
      <w:r w:rsidR="009C7F4A" w:rsidRPr="00F85F3E">
        <w:t>años, con 2</w:t>
      </w:r>
      <w:r w:rsidR="00297A3E">
        <w:t>.</w:t>
      </w:r>
      <w:r w:rsidR="009C7F4A" w:rsidRPr="00F85F3E">
        <w:t>480 casos (87</w:t>
      </w:r>
      <w:r w:rsidR="00297A3E">
        <w:t>,</w:t>
      </w:r>
      <w:r w:rsidR="009C7F4A" w:rsidRPr="00F85F3E">
        <w:t xml:space="preserve">6% del total). De </w:t>
      </w:r>
      <w:r w:rsidR="00FD3DCB" w:rsidRPr="00F85F3E">
        <w:t>é</w:t>
      </w:r>
      <w:r w:rsidR="009C7F4A" w:rsidRPr="00F85F3E">
        <w:t>stos, el de mayor frecuencia para las niñas se da entre 10 y 14 años con 1</w:t>
      </w:r>
      <w:r w:rsidR="00297A3E">
        <w:t>.</w:t>
      </w:r>
      <w:r w:rsidR="009C7F4A" w:rsidRPr="00F85F3E">
        <w:t>094 evaluaciones (38</w:t>
      </w:r>
      <w:r w:rsidR="00297A3E">
        <w:t>,</w:t>
      </w:r>
      <w:r w:rsidR="009C7F4A" w:rsidRPr="00F85F3E">
        <w:t>6%) y para los niños de 5 a 9 años (3</w:t>
      </w:r>
      <w:r w:rsidR="00297A3E">
        <w:t>,</w:t>
      </w:r>
      <w:r w:rsidR="009C7F4A" w:rsidRPr="00F85F3E">
        <w:t>8%)</w:t>
      </w:r>
      <w:r w:rsidR="009C7F4A" w:rsidRPr="00F85F3E">
        <w:rPr>
          <w:rStyle w:val="FootnoteReference"/>
        </w:rPr>
        <w:footnoteReference w:id="14"/>
      </w:r>
      <w:r w:rsidR="00AC0635">
        <w:t>.</w:t>
      </w:r>
    </w:p>
    <w:p w:rsidR="002E7E09" w:rsidRPr="00F85F3E" w:rsidRDefault="00F15077" w:rsidP="00014ABD">
      <w:pPr>
        <w:pStyle w:val="SingleTxtG"/>
        <w:numPr>
          <w:ilvl w:val="0"/>
          <w:numId w:val="53"/>
        </w:numPr>
        <w:ind w:left="1134" w:firstLine="0"/>
      </w:pPr>
      <w:r w:rsidRPr="00F85F3E">
        <w:t>Tal y como indicó la Relatora Especial en el informe de su primera visita, d</w:t>
      </w:r>
      <w:r w:rsidR="00AB2CA1" w:rsidRPr="00F85F3E">
        <w:t xml:space="preserve">ado el carácter clandestino y muchas veces transnacional de la venta y la explotación sexual de </w:t>
      </w:r>
      <w:r w:rsidRPr="00F85F3E">
        <w:t xml:space="preserve">la </w:t>
      </w:r>
      <w:r w:rsidR="00AB2CA1" w:rsidRPr="00F85F3E">
        <w:t>ni</w:t>
      </w:r>
      <w:r w:rsidRPr="00F85F3E">
        <w:t>ñez,</w:t>
      </w:r>
      <w:r w:rsidR="00AB2CA1" w:rsidRPr="00F85F3E">
        <w:t xml:space="preserve"> así como la ausencia de datos centralizados y desglosados, la amplitud real de estos fenómenos es difícil de medir. No obstante, a pesar de los datos variables que se </w:t>
      </w:r>
      <w:r w:rsidRPr="00F85F3E">
        <w:t>siguen publicando</w:t>
      </w:r>
      <w:r w:rsidR="00AB2CA1" w:rsidRPr="00F85F3E">
        <w:t xml:space="preserve">, </w:t>
      </w:r>
      <w:r w:rsidR="000C062D" w:rsidRPr="00F85F3E">
        <w:t>tod</w:t>
      </w:r>
      <w:r w:rsidR="00CE112D" w:rsidRPr="00F85F3E">
        <w:t>o</w:t>
      </w:r>
      <w:r w:rsidR="000C062D" w:rsidRPr="00F85F3E">
        <w:t xml:space="preserve">s </w:t>
      </w:r>
      <w:r w:rsidR="00CE112D" w:rsidRPr="00F85F3E">
        <w:t>los interlocutores</w:t>
      </w:r>
      <w:r w:rsidR="000C062D" w:rsidRPr="00F85F3E">
        <w:t xml:space="preserve"> con l</w:t>
      </w:r>
      <w:r w:rsidR="00CE112D" w:rsidRPr="00F85F3E">
        <w:t>o</w:t>
      </w:r>
      <w:r w:rsidR="00AB2CA1" w:rsidRPr="00F85F3E">
        <w:t>s que se reunió la Re</w:t>
      </w:r>
      <w:r w:rsidR="000C062D" w:rsidRPr="00F85F3E">
        <w:t xml:space="preserve">latora Especial reconocieron que </w:t>
      </w:r>
      <w:r w:rsidR="00DD1E20">
        <w:t xml:space="preserve">no </w:t>
      </w:r>
      <w:r w:rsidR="000C062D" w:rsidRPr="00F85F3E">
        <w:t xml:space="preserve">existen indicios de que el fenómeno de la venta y explotación sexual de la niñez haya disminuido en el país. Sin embargo, las causas y factores de riesgo no solo persisten, sino que han aumentado. En el caso particular de la pornografía infantil, la Relatora Especial destacó que los datos al respecto son casi inexistentes, por lo que </w:t>
      </w:r>
      <w:r w:rsidR="00DD1E20">
        <w:t xml:space="preserve">se </w:t>
      </w:r>
      <w:r w:rsidR="000C062D" w:rsidRPr="00F85F3E">
        <w:t>desconoce la amplitud del tema.</w:t>
      </w:r>
    </w:p>
    <w:p w:rsidR="00051679" w:rsidRPr="00F85F3E" w:rsidRDefault="00BA1AF4" w:rsidP="00BA1AF4">
      <w:pPr>
        <w:pStyle w:val="H1G"/>
      </w:pPr>
      <w:r w:rsidRPr="00F85F3E">
        <w:tab/>
      </w:r>
      <w:r w:rsidR="00051679" w:rsidRPr="00F85F3E">
        <w:t>B.</w:t>
      </w:r>
      <w:r w:rsidR="00051679" w:rsidRPr="00F85F3E">
        <w:tab/>
      </w:r>
      <w:r w:rsidR="002C7E1D" w:rsidRPr="00F85F3E">
        <w:t>Medidas para combatir y prevenir la venta de niños</w:t>
      </w:r>
      <w:r w:rsidR="00CD7B9C" w:rsidRPr="00F85F3E">
        <w:t xml:space="preserve"> y niñas</w:t>
      </w:r>
      <w:r w:rsidR="002C7E1D" w:rsidRPr="00F85F3E">
        <w:t>, la</w:t>
      </w:r>
      <w:r w:rsidR="00F30C85">
        <w:t> </w:t>
      </w:r>
      <w:r w:rsidR="002C7E1D" w:rsidRPr="00F85F3E">
        <w:t>prostitución infantil y la utilización de niños</w:t>
      </w:r>
      <w:r w:rsidR="00CD7B9C" w:rsidRPr="00F85F3E">
        <w:t xml:space="preserve"> y niñas</w:t>
      </w:r>
      <w:r w:rsidR="002C7E1D" w:rsidRPr="00F85F3E">
        <w:t xml:space="preserve"> </w:t>
      </w:r>
      <w:r w:rsidR="00F30C85">
        <w:br/>
      </w:r>
      <w:r w:rsidR="002C7E1D" w:rsidRPr="00F85F3E">
        <w:t>en la pornografía</w:t>
      </w:r>
    </w:p>
    <w:p w:rsidR="005C37AB" w:rsidRPr="00F85F3E" w:rsidRDefault="005C37AB" w:rsidP="005C37AB">
      <w:pPr>
        <w:pStyle w:val="H23G"/>
      </w:pPr>
      <w:r w:rsidRPr="00F85F3E">
        <w:tab/>
        <w:t>1.</w:t>
      </w:r>
      <w:r w:rsidRPr="00F85F3E">
        <w:tab/>
        <w:t>Marco político</w:t>
      </w:r>
    </w:p>
    <w:p w:rsidR="00E42683" w:rsidRPr="00F85F3E" w:rsidRDefault="00FD25E7" w:rsidP="003E0515">
      <w:pPr>
        <w:pStyle w:val="SingleTxtG"/>
        <w:numPr>
          <w:ilvl w:val="0"/>
          <w:numId w:val="53"/>
        </w:numPr>
        <w:ind w:left="1134" w:firstLine="0"/>
      </w:pPr>
      <w:r w:rsidRPr="00F85F3E">
        <w:t xml:space="preserve">La Relatora Especial tomó </w:t>
      </w:r>
      <w:r w:rsidR="00143120" w:rsidRPr="00F85F3E">
        <w:t xml:space="preserve">conocimiento </w:t>
      </w:r>
      <w:r w:rsidRPr="00F85F3E">
        <w:t>de</w:t>
      </w:r>
      <w:r w:rsidR="00C20412">
        <w:t xml:space="preserve"> </w:t>
      </w:r>
      <w:r w:rsidRPr="00F85F3E">
        <w:t>l</w:t>
      </w:r>
      <w:r w:rsidR="00C20412">
        <w:t>a</w:t>
      </w:r>
      <w:r w:rsidRPr="00F85F3E">
        <w:t xml:space="preserve"> nuev</w:t>
      </w:r>
      <w:r w:rsidR="00C20412">
        <w:t xml:space="preserve">a </w:t>
      </w:r>
      <w:r w:rsidR="009F0374">
        <w:t xml:space="preserve">organización </w:t>
      </w:r>
      <w:r w:rsidR="00143120" w:rsidRPr="00F85F3E">
        <w:t>de</w:t>
      </w:r>
      <w:r w:rsidR="009F0374">
        <w:t>l</w:t>
      </w:r>
      <w:r w:rsidR="00143120" w:rsidRPr="00F85F3E">
        <w:t xml:space="preserve"> Gobierno</w:t>
      </w:r>
      <w:r w:rsidR="0057023F">
        <w:t>,</w:t>
      </w:r>
      <w:r w:rsidR="00537C3F" w:rsidRPr="00F85F3E">
        <w:t xml:space="preserve"> </w:t>
      </w:r>
      <w:r w:rsidR="0057023F">
        <w:t>s</w:t>
      </w:r>
      <w:r w:rsidR="004D4D68">
        <w:t>egún</w:t>
      </w:r>
      <w:r w:rsidR="004D4D68" w:rsidRPr="00F85F3E">
        <w:t xml:space="preserve"> </w:t>
      </w:r>
      <w:r w:rsidR="00C20412">
        <w:t xml:space="preserve">la </w:t>
      </w:r>
      <w:r w:rsidR="0057023F">
        <w:t>cual</w:t>
      </w:r>
      <w:r w:rsidR="00942F77" w:rsidRPr="00F85F3E">
        <w:t>, l</w:t>
      </w:r>
      <w:r w:rsidR="004106BD" w:rsidRPr="00F85F3E">
        <w:t>a Secretaría de Derechos Humanos y Justicia</w:t>
      </w:r>
      <w:r w:rsidR="004D4D68">
        <w:t xml:space="preserve"> pasó a </w:t>
      </w:r>
      <w:r w:rsidR="008101FD">
        <w:t xml:space="preserve">depender </w:t>
      </w:r>
      <w:r w:rsidR="004D4D68">
        <w:t>del Gabinete Sectorial</w:t>
      </w:r>
      <w:r w:rsidR="004106BD" w:rsidRPr="00F85F3E">
        <w:t xml:space="preserve"> de Gobernabilidad y Descentralización</w:t>
      </w:r>
      <w:r w:rsidR="008101FD">
        <w:t xml:space="preserve">. </w:t>
      </w:r>
      <w:r w:rsidR="008101FD" w:rsidRPr="00F85F3E">
        <w:t>Los</w:t>
      </w:r>
      <w:r w:rsidR="00942F77" w:rsidRPr="00F85F3E">
        <w:t xml:space="preserve"> temas </w:t>
      </w:r>
      <w:r w:rsidR="008A1EB3">
        <w:t xml:space="preserve">que atañen a </w:t>
      </w:r>
      <w:r w:rsidR="00942F77" w:rsidRPr="00F85F3E">
        <w:t>la niñez están repartidos entre l</w:t>
      </w:r>
      <w:r w:rsidR="008A1EB3">
        <w:t>os</w:t>
      </w:r>
      <w:r w:rsidR="00942F77" w:rsidRPr="00F85F3E">
        <w:t xml:space="preserve"> </w:t>
      </w:r>
      <w:r w:rsidR="008A1EB3">
        <w:t>Gabinetes Sectoriales</w:t>
      </w:r>
      <w:r w:rsidR="00942F77" w:rsidRPr="00F85F3E">
        <w:t xml:space="preserve"> de Desarrollo e Inclusión Social y de Gobernabilidad y Descentralización. </w:t>
      </w:r>
      <w:r w:rsidR="008A1EB3">
        <w:t xml:space="preserve">El Gabinete </w:t>
      </w:r>
      <w:r w:rsidR="00E011F7" w:rsidRPr="00F85F3E">
        <w:t xml:space="preserve">de Desarrollo e Inclusión Social </w:t>
      </w:r>
      <w:r w:rsidR="00942F77" w:rsidRPr="00F85F3E">
        <w:t>engloba</w:t>
      </w:r>
      <w:r w:rsidR="00E011F7" w:rsidRPr="00F85F3E">
        <w:t xml:space="preserve"> todos los organismos independientes</w:t>
      </w:r>
      <w:r w:rsidR="00942F77" w:rsidRPr="00F85F3E">
        <w:t xml:space="preserve">, incluyendo el </w:t>
      </w:r>
      <w:r w:rsidR="003E0515">
        <w:t>IHNFA.</w:t>
      </w:r>
    </w:p>
    <w:p w:rsidR="00537C3F" w:rsidRPr="00F85F3E" w:rsidRDefault="00942F77" w:rsidP="00EC4E15">
      <w:pPr>
        <w:pStyle w:val="SingleTxtG"/>
        <w:numPr>
          <w:ilvl w:val="0"/>
          <w:numId w:val="53"/>
        </w:numPr>
        <w:ind w:left="1134" w:firstLine="0"/>
        <w:rPr>
          <w:i/>
        </w:rPr>
      </w:pPr>
      <w:r w:rsidRPr="00F85F3E">
        <w:t xml:space="preserve">La Relatora Especial entiende que esta reorganización del aparato estatal, mediante fusiones </w:t>
      </w:r>
      <w:r w:rsidR="00143120" w:rsidRPr="00F85F3E">
        <w:t>con fines d</w:t>
      </w:r>
      <w:r w:rsidR="00F22486" w:rsidRPr="00F85F3E">
        <w:t>e reducción de presupuesto y déficit</w:t>
      </w:r>
      <w:r w:rsidR="00143120" w:rsidRPr="00F85F3E">
        <w:t xml:space="preserve"> de la administración pública</w:t>
      </w:r>
      <w:r w:rsidR="00537C3F" w:rsidRPr="00F85F3E">
        <w:t xml:space="preserve">, </w:t>
      </w:r>
      <w:r w:rsidRPr="00F85F3E">
        <w:t xml:space="preserve">puede </w:t>
      </w:r>
      <w:r w:rsidR="00537C3F" w:rsidRPr="00F85F3E">
        <w:t>constituir</w:t>
      </w:r>
      <w:r w:rsidRPr="00F85F3E">
        <w:t xml:space="preserve"> una buena oportunidad para asegurar la coordinación en la gestión y ejecución de políticas en materia de la niñez.</w:t>
      </w:r>
      <w:r w:rsidR="00966411" w:rsidRPr="00F85F3E">
        <w:t xml:space="preserve"> </w:t>
      </w:r>
      <w:r w:rsidR="00143120" w:rsidRPr="00F85F3E">
        <w:t>Sin embargo</w:t>
      </w:r>
      <w:r w:rsidR="00836D1E" w:rsidRPr="00F85F3E">
        <w:t xml:space="preserve">, </w:t>
      </w:r>
      <w:r w:rsidR="00537C3F" w:rsidRPr="00F85F3E">
        <w:t>advierte</w:t>
      </w:r>
      <w:r w:rsidR="00F22486" w:rsidRPr="00F85F3E">
        <w:t xml:space="preserve"> de que esta </w:t>
      </w:r>
      <w:r w:rsidR="00B51A2B" w:rsidRPr="00F85F3E">
        <w:t>reestructuración</w:t>
      </w:r>
      <w:r w:rsidR="00966411" w:rsidRPr="00F85F3E">
        <w:t xml:space="preserve"> </w:t>
      </w:r>
      <w:r w:rsidR="00836D1E" w:rsidRPr="00F85F3E">
        <w:t>no debería tr</w:t>
      </w:r>
      <w:r w:rsidR="00143120" w:rsidRPr="00F85F3E">
        <w:t>aducirse en menor</w:t>
      </w:r>
      <w:r w:rsidR="00B51A2B" w:rsidRPr="00F85F3E">
        <w:t xml:space="preserve"> atención a </w:t>
      </w:r>
      <w:r w:rsidR="00836D1E" w:rsidRPr="00F85F3E">
        <w:t xml:space="preserve">los </w:t>
      </w:r>
      <w:r w:rsidR="00B51A2B" w:rsidRPr="00F85F3E">
        <w:t xml:space="preserve">derechos humanos y </w:t>
      </w:r>
      <w:r w:rsidR="00C20412">
        <w:t xml:space="preserve">a la </w:t>
      </w:r>
      <w:r w:rsidR="00B51A2B" w:rsidRPr="00F85F3E">
        <w:t>protección de la niñez</w:t>
      </w:r>
      <w:r w:rsidR="00F22486" w:rsidRPr="00F85F3E">
        <w:t xml:space="preserve">, </w:t>
      </w:r>
      <w:r w:rsidR="00537C3F" w:rsidRPr="00F85F3E">
        <w:t xml:space="preserve">o en una </w:t>
      </w:r>
      <w:r w:rsidR="0060165E" w:rsidRPr="00F85F3E">
        <w:t>dilución d</w:t>
      </w:r>
      <w:r w:rsidR="00F22486" w:rsidRPr="00F85F3E">
        <w:t>e ambas temáticas en los</w:t>
      </w:r>
      <w:r w:rsidR="00143120" w:rsidRPr="00F85F3E">
        <w:t xml:space="preserve"> </w:t>
      </w:r>
      <w:r w:rsidR="001A165B" w:rsidRPr="00F85F3E">
        <w:t>superministerios</w:t>
      </w:r>
      <w:r w:rsidR="00F22486" w:rsidRPr="00F85F3E">
        <w:t xml:space="preserve"> de nueva creación</w:t>
      </w:r>
      <w:r w:rsidR="00B51A2B" w:rsidRPr="00F85F3E">
        <w:t>.</w:t>
      </w:r>
      <w:r w:rsidR="0039565B" w:rsidRPr="00F85F3E">
        <w:t xml:space="preserve"> En este sentido, </w:t>
      </w:r>
      <w:r w:rsidR="004726B7" w:rsidRPr="00F85F3E">
        <w:t xml:space="preserve">la Relatora Especial </w:t>
      </w:r>
      <w:r w:rsidR="00537C3F" w:rsidRPr="00F85F3E">
        <w:t>alerta</w:t>
      </w:r>
      <w:r w:rsidR="004726B7" w:rsidRPr="00F85F3E">
        <w:t xml:space="preserve"> </w:t>
      </w:r>
      <w:r w:rsidR="00537C3F" w:rsidRPr="00F85F3E">
        <w:t>d</w:t>
      </w:r>
      <w:r w:rsidR="004726B7" w:rsidRPr="00F85F3E">
        <w:t xml:space="preserve">el riesgo </w:t>
      </w:r>
      <w:r w:rsidR="00143120" w:rsidRPr="00F85F3E">
        <w:t xml:space="preserve">de </w:t>
      </w:r>
      <w:r w:rsidR="004726B7" w:rsidRPr="00F85F3E">
        <w:t>que estas fusiones</w:t>
      </w:r>
      <w:r w:rsidR="00143120" w:rsidRPr="00F85F3E">
        <w:t xml:space="preserve"> impliquen un</w:t>
      </w:r>
      <w:r w:rsidR="004726B7" w:rsidRPr="00F85F3E">
        <w:t>a pérdida de enfoque y prioridades en materia de derechos humanos y protección de la niñez.</w:t>
      </w:r>
      <w:r w:rsidR="000E35BE" w:rsidRPr="00F85F3E">
        <w:t xml:space="preserve"> </w:t>
      </w:r>
    </w:p>
    <w:p w:rsidR="00143120" w:rsidRPr="00F85F3E" w:rsidRDefault="000E35BE" w:rsidP="00014ABD">
      <w:pPr>
        <w:pStyle w:val="SingleTxtG"/>
        <w:numPr>
          <w:ilvl w:val="0"/>
          <w:numId w:val="53"/>
        </w:numPr>
        <w:ind w:left="1134" w:firstLine="0"/>
        <w:rPr>
          <w:i/>
        </w:rPr>
      </w:pPr>
      <w:r w:rsidRPr="00F85F3E">
        <w:t xml:space="preserve">La Relatora Especial tomó nota </w:t>
      </w:r>
      <w:r w:rsidR="00687E16" w:rsidRPr="00F85F3E">
        <w:t>del argumento de</w:t>
      </w:r>
      <w:r w:rsidR="0060165E" w:rsidRPr="00F85F3E">
        <w:t>l nuevo G</w:t>
      </w:r>
      <w:r w:rsidR="00143120" w:rsidRPr="00F85F3E">
        <w:t>obierno</w:t>
      </w:r>
      <w:r w:rsidR="0060165E" w:rsidRPr="00F85F3E">
        <w:t xml:space="preserve"> </w:t>
      </w:r>
      <w:r w:rsidR="00687E16" w:rsidRPr="00F85F3E">
        <w:t>a este respecto, según el cual</w:t>
      </w:r>
      <w:r w:rsidR="00143120" w:rsidRPr="00F85F3E">
        <w:t>, mediante la fusión de la Secretaría de Interior y Población</w:t>
      </w:r>
      <w:r w:rsidR="0060165E" w:rsidRPr="00F85F3E">
        <w:t xml:space="preserve"> </w:t>
      </w:r>
      <w:r w:rsidR="00143120" w:rsidRPr="00F85F3E">
        <w:t>y la Secretaría de Derechos Humanos y Justicia, se pretende transversalizar los derechos humanos y hacerlos llegar a nivel local</w:t>
      </w:r>
      <w:r w:rsidR="00687E16" w:rsidRPr="00F85F3E">
        <w:t>, a través de las alcaldías y departamentos del país</w:t>
      </w:r>
      <w:r w:rsidR="00143120" w:rsidRPr="00F85F3E">
        <w:t>.</w:t>
      </w:r>
      <w:r w:rsidR="00BD0CC2" w:rsidRPr="00F85F3E">
        <w:t xml:space="preserve"> </w:t>
      </w:r>
      <w:r w:rsidR="0060165E" w:rsidRPr="00F85F3E">
        <w:t xml:space="preserve">La Relatora Especial recibe con agrado este enfoque e insta a las nuevas autoridades a </w:t>
      </w:r>
      <w:r w:rsidR="00040A94" w:rsidRPr="00F85F3E">
        <w:t>implementarlo de manera efectiva</w:t>
      </w:r>
      <w:r w:rsidR="0060165E" w:rsidRPr="00F85F3E">
        <w:t>.</w:t>
      </w:r>
    </w:p>
    <w:p w:rsidR="00040A94" w:rsidRPr="00F85F3E" w:rsidRDefault="00537C3F" w:rsidP="008F65F2">
      <w:pPr>
        <w:pStyle w:val="SingleTxtG"/>
        <w:numPr>
          <w:ilvl w:val="0"/>
          <w:numId w:val="53"/>
        </w:numPr>
        <w:ind w:left="1134" w:firstLine="0"/>
      </w:pPr>
      <w:r w:rsidRPr="00F85F3E">
        <w:t xml:space="preserve">La Relatora Especial saludó la aprobación por parte del nuevo Presidente, en Consejo de Gobierno de 22 de abril de 2014, de la Primera Política Pública en Derechos Humanos y Plan de Acción </w:t>
      </w:r>
      <w:r w:rsidR="003E0515" w:rsidRPr="00F85F3E">
        <w:t xml:space="preserve">Nacional </w:t>
      </w:r>
      <w:r w:rsidRPr="00F85F3E">
        <w:t>en Derechos Humanos</w:t>
      </w:r>
      <w:r w:rsidR="003E0515">
        <w:t xml:space="preserve"> 20</w:t>
      </w:r>
      <w:r w:rsidR="00870BFD">
        <w:t>13</w:t>
      </w:r>
      <w:r w:rsidR="003E0515">
        <w:t>-20</w:t>
      </w:r>
      <w:r w:rsidR="00870BFD">
        <w:t>22</w:t>
      </w:r>
      <w:r w:rsidRPr="00F85F3E">
        <w:t xml:space="preserve">. </w:t>
      </w:r>
      <w:r w:rsidR="008E43DF">
        <w:t>La misma</w:t>
      </w:r>
      <w:r w:rsidR="00040A94" w:rsidRPr="00F85F3E">
        <w:t>, que cubre el período 2013</w:t>
      </w:r>
      <w:r w:rsidR="00F30C85">
        <w:t>-</w:t>
      </w:r>
      <w:r w:rsidR="00040A94" w:rsidRPr="00F85F3E">
        <w:t xml:space="preserve">2022, ya </w:t>
      </w:r>
      <w:r w:rsidRPr="00F85F3E">
        <w:t>fue adoptada por el anterior Gobierno el 22 de enero de 2013, tras un largo proceso consultivo, con apoyo de la comunidad internacional</w:t>
      </w:r>
      <w:r w:rsidRPr="00F85F3E">
        <w:rPr>
          <w:rStyle w:val="FootnoteReference"/>
        </w:rPr>
        <w:footnoteReference w:id="15"/>
      </w:r>
      <w:r w:rsidR="008E43DF">
        <w:t>.</w:t>
      </w:r>
      <w:r w:rsidR="00040A94" w:rsidRPr="00F85F3E">
        <w:t xml:space="preserve"> Mediante el Convenio Interinstitucional para la Implementación de la Política P</w:t>
      </w:r>
      <w:r w:rsidR="008709B7" w:rsidRPr="00F85F3E">
        <w:t>ú</w:t>
      </w:r>
      <w:r w:rsidR="00040A94" w:rsidRPr="00F85F3E">
        <w:t>blica y Plan Nacional de Acción en Derechos Humanos, firmado el 22 de abril de 2014, todas las Secretarías de Estado del nuevo Gobierno se comprometieron a implementar la misma.</w:t>
      </w:r>
      <w:r w:rsidRPr="00F85F3E">
        <w:t xml:space="preserve"> </w:t>
      </w:r>
    </w:p>
    <w:p w:rsidR="00AA7047" w:rsidRPr="00F85F3E" w:rsidRDefault="002B3222" w:rsidP="00790E6A">
      <w:pPr>
        <w:pStyle w:val="SingleTxtG"/>
        <w:numPr>
          <w:ilvl w:val="0"/>
          <w:numId w:val="53"/>
        </w:numPr>
        <w:ind w:left="1134" w:firstLine="0"/>
      </w:pPr>
      <w:r w:rsidRPr="00F85F3E">
        <w:t>La Política Pública y</w:t>
      </w:r>
      <w:r w:rsidR="00492909" w:rsidRPr="00F85F3E">
        <w:t xml:space="preserve"> Plan </w:t>
      </w:r>
      <w:r w:rsidR="008709B7" w:rsidRPr="00F85F3E">
        <w:t xml:space="preserve">de Acción </w:t>
      </w:r>
      <w:r w:rsidR="00492909" w:rsidRPr="00F85F3E">
        <w:t xml:space="preserve">de Derechos Humanos </w:t>
      </w:r>
      <w:r w:rsidR="0039565B" w:rsidRPr="00F85F3E">
        <w:t xml:space="preserve">es un instrumento </w:t>
      </w:r>
      <w:r w:rsidR="0074045B" w:rsidRPr="00F85F3E">
        <w:t xml:space="preserve">clave </w:t>
      </w:r>
      <w:r w:rsidR="00854B51" w:rsidRPr="00F85F3E">
        <w:t xml:space="preserve">a </w:t>
      </w:r>
      <w:r w:rsidR="0074045B" w:rsidRPr="00F85F3E">
        <w:t xml:space="preserve">través del cual el Gobierno </w:t>
      </w:r>
      <w:r w:rsidR="00021E87" w:rsidRPr="00F85F3E">
        <w:t>se compromete a</w:t>
      </w:r>
      <w:r w:rsidR="0074045B" w:rsidRPr="00F85F3E">
        <w:t xml:space="preserve"> adopta</w:t>
      </w:r>
      <w:r w:rsidR="008709B7" w:rsidRPr="00F85F3E">
        <w:t>r</w:t>
      </w:r>
      <w:r w:rsidR="0074045B" w:rsidRPr="00F85F3E">
        <w:t xml:space="preserve"> un</w:t>
      </w:r>
      <w:r w:rsidRPr="00F85F3E">
        <w:t xml:space="preserve"> enfoque de de</w:t>
      </w:r>
      <w:r w:rsidR="0074045B" w:rsidRPr="00F85F3E">
        <w:t xml:space="preserve">rechos humanos </w:t>
      </w:r>
      <w:r w:rsidRPr="00F85F3E">
        <w:t xml:space="preserve">en la gestión </w:t>
      </w:r>
      <w:r w:rsidR="008709B7" w:rsidRPr="00F85F3E">
        <w:t>pública y e</w:t>
      </w:r>
      <w:r w:rsidR="00A07F81" w:rsidRPr="00F85F3E">
        <w:t xml:space="preserve">jecución de </w:t>
      </w:r>
      <w:r w:rsidR="008709B7" w:rsidRPr="00F85F3E">
        <w:t xml:space="preserve">sus </w:t>
      </w:r>
      <w:r w:rsidR="0074045B" w:rsidRPr="00F85F3E">
        <w:t>políticas</w:t>
      </w:r>
      <w:r w:rsidR="008709B7" w:rsidRPr="00F85F3E">
        <w:t xml:space="preserve"> sectoriales</w:t>
      </w:r>
      <w:r w:rsidR="0074045B" w:rsidRPr="00F85F3E">
        <w:t xml:space="preserve">. </w:t>
      </w:r>
      <w:r w:rsidR="00A07F81" w:rsidRPr="00F85F3E">
        <w:t xml:space="preserve">La Política Pública está dividida </w:t>
      </w:r>
      <w:r w:rsidR="008709B7" w:rsidRPr="00F85F3E">
        <w:t xml:space="preserve">en diferentes </w:t>
      </w:r>
      <w:r w:rsidR="00A07F81" w:rsidRPr="00F85F3E">
        <w:t xml:space="preserve">alineamientos (seguridad humana, sistema de justicia, democracia, y grupos de población en posición de vulnerabilidad, </w:t>
      </w:r>
      <w:r w:rsidR="008709B7" w:rsidRPr="00F85F3E">
        <w:t xml:space="preserve">que incluyen a </w:t>
      </w:r>
      <w:r w:rsidR="00A07F81" w:rsidRPr="00F85F3E">
        <w:t xml:space="preserve">la niñez y juventud como </w:t>
      </w:r>
      <w:r w:rsidR="008709B7" w:rsidRPr="00F85F3E">
        <w:t>grupos separado</w:t>
      </w:r>
      <w:r w:rsidR="00A07F81" w:rsidRPr="00F85F3E">
        <w:t xml:space="preserve">s). </w:t>
      </w:r>
      <w:r w:rsidR="008709B7" w:rsidRPr="00F85F3E">
        <w:t xml:space="preserve">A su vez, el Plan </w:t>
      </w:r>
      <w:r w:rsidR="00A07F81" w:rsidRPr="00F85F3E">
        <w:t>de Acción consta de 27 planes específicos por derecho y grupo de población</w:t>
      </w:r>
      <w:r w:rsidR="008709B7" w:rsidRPr="00F85F3E">
        <w:t>, y suma 1</w:t>
      </w:r>
      <w:r w:rsidR="00790E6A">
        <w:t>.</w:t>
      </w:r>
      <w:r w:rsidR="008709B7" w:rsidRPr="00F85F3E">
        <w:t>200 acciones divididos por competencia</w:t>
      </w:r>
      <w:r w:rsidR="00A07F81" w:rsidRPr="00F85F3E">
        <w:t xml:space="preserve">. </w:t>
      </w:r>
    </w:p>
    <w:p w:rsidR="0039565B" w:rsidRPr="00F85F3E" w:rsidRDefault="0060165E" w:rsidP="00014ABD">
      <w:pPr>
        <w:pStyle w:val="SingleTxtG"/>
        <w:numPr>
          <w:ilvl w:val="0"/>
          <w:numId w:val="53"/>
        </w:numPr>
        <w:ind w:left="1134" w:firstLine="0"/>
      </w:pPr>
      <w:r w:rsidRPr="00F85F3E">
        <w:t>L</w:t>
      </w:r>
      <w:r w:rsidR="0039565B" w:rsidRPr="00F85F3E">
        <w:t>a Relatora Especial insta a</w:t>
      </w:r>
      <w:r w:rsidR="00854B51" w:rsidRPr="00F85F3E">
        <w:t xml:space="preserve"> las </w:t>
      </w:r>
      <w:r w:rsidRPr="00F85F3E">
        <w:t xml:space="preserve">nuevas </w:t>
      </w:r>
      <w:r w:rsidR="00854B51" w:rsidRPr="00F85F3E">
        <w:t>autoridades nacionales a</w:t>
      </w:r>
      <w:r w:rsidR="0039565B" w:rsidRPr="00F85F3E">
        <w:t xml:space="preserve"> dotar</w:t>
      </w:r>
      <w:r w:rsidRPr="00F85F3E">
        <w:t xml:space="preserve"> de vida a</w:t>
      </w:r>
      <w:r w:rsidR="008709B7" w:rsidRPr="00F85F3E">
        <w:t xml:space="preserve"> </w:t>
      </w:r>
      <w:r w:rsidRPr="00F85F3E">
        <w:t>l</w:t>
      </w:r>
      <w:r w:rsidR="008709B7" w:rsidRPr="00F85F3E">
        <w:t>a Política P</w:t>
      </w:r>
      <w:r w:rsidR="00021E87" w:rsidRPr="00F85F3E">
        <w:t>ú</w:t>
      </w:r>
      <w:r w:rsidR="008709B7" w:rsidRPr="00F85F3E">
        <w:t xml:space="preserve">blica y </w:t>
      </w:r>
      <w:r w:rsidRPr="00F85F3E">
        <w:t xml:space="preserve">Plan </w:t>
      </w:r>
      <w:r w:rsidR="008709B7" w:rsidRPr="00F85F3E">
        <w:t xml:space="preserve">de Acción </w:t>
      </w:r>
      <w:r w:rsidRPr="00F85F3E">
        <w:t>de Derechos Humanos</w:t>
      </w:r>
      <w:r w:rsidR="00E66FEC" w:rsidRPr="00F85F3E">
        <w:t xml:space="preserve">, dotándole </w:t>
      </w:r>
      <w:r w:rsidR="00021E87" w:rsidRPr="00F85F3E">
        <w:t>de un presupuesto</w:t>
      </w:r>
      <w:r w:rsidR="00DD6D6E">
        <w:t xml:space="preserve"> sostenible</w:t>
      </w:r>
      <w:r w:rsidR="00021E87" w:rsidRPr="00F85F3E">
        <w:t xml:space="preserve"> a la mayor brevedad posible </w:t>
      </w:r>
      <w:r w:rsidR="00E66FEC" w:rsidRPr="00F85F3E">
        <w:t>para que pueda ser implementado de manera efectiva</w:t>
      </w:r>
      <w:r w:rsidR="0039565B" w:rsidRPr="00F85F3E">
        <w:t xml:space="preserve">. La Secretaría de Derechos Humanos y Justicia </w:t>
      </w:r>
      <w:r w:rsidR="00A07F81" w:rsidRPr="00F85F3E">
        <w:t xml:space="preserve">ha </w:t>
      </w:r>
      <w:r w:rsidR="0039565B" w:rsidRPr="00F85F3E">
        <w:t>asumi</w:t>
      </w:r>
      <w:r w:rsidR="00A07F81" w:rsidRPr="00F85F3E">
        <w:t>do</w:t>
      </w:r>
      <w:r w:rsidR="0039565B" w:rsidRPr="00F85F3E">
        <w:t xml:space="preserve"> la responsabilidad en la coordinación de su ejecución. </w:t>
      </w:r>
      <w:r w:rsidR="00021E87" w:rsidRPr="00F85F3E">
        <w:t>Sin embargo</w:t>
      </w:r>
      <w:r w:rsidR="00854B51" w:rsidRPr="00F85F3E">
        <w:t xml:space="preserve">, la Relatora Especial entiende que urge la creación de una entidad </w:t>
      </w:r>
      <w:r w:rsidR="00021E87" w:rsidRPr="008E43DF">
        <w:t>independiente</w:t>
      </w:r>
      <w:r w:rsidR="00854B51" w:rsidRPr="00F85F3E">
        <w:t xml:space="preserve"> que</w:t>
      </w:r>
      <w:r w:rsidR="00021E87" w:rsidRPr="00F85F3E">
        <w:t xml:space="preserve"> sea la responsable de</w:t>
      </w:r>
      <w:r w:rsidR="00854B51" w:rsidRPr="00F85F3E">
        <w:t xml:space="preserve"> coordinar la ejecución de la política en materia de protección de la niñez, la cual debería emanar del Plan Nacional de Derechos Humanos</w:t>
      </w:r>
      <w:r w:rsidR="001F09DC">
        <w:t>.</w:t>
      </w:r>
    </w:p>
    <w:p w:rsidR="005C37AB" w:rsidRPr="00F85F3E" w:rsidRDefault="005C37AB" w:rsidP="005C37AB">
      <w:pPr>
        <w:pStyle w:val="H23G"/>
      </w:pPr>
      <w:r w:rsidRPr="00F85F3E">
        <w:tab/>
      </w:r>
      <w:r w:rsidR="00AC21BE" w:rsidRPr="00F85F3E">
        <w:t>2</w:t>
      </w:r>
      <w:r w:rsidRPr="00F85F3E">
        <w:t>.</w:t>
      </w:r>
      <w:r w:rsidRPr="00F85F3E">
        <w:tab/>
        <w:t>Marco jurídico</w:t>
      </w:r>
    </w:p>
    <w:p w:rsidR="00BE157C" w:rsidRPr="00F85F3E" w:rsidRDefault="00337898" w:rsidP="00790E6A">
      <w:pPr>
        <w:pStyle w:val="SingleTxtG"/>
        <w:numPr>
          <w:ilvl w:val="0"/>
          <w:numId w:val="53"/>
        </w:numPr>
        <w:ind w:left="1134" w:firstLine="0"/>
      </w:pPr>
      <w:r w:rsidRPr="00F85F3E">
        <w:t xml:space="preserve">La Relatora Especial </w:t>
      </w:r>
      <w:r w:rsidR="00BE157C" w:rsidRPr="00F85F3E">
        <w:t>acogi</w:t>
      </w:r>
      <w:r w:rsidRPr="00F85F3E">
        <w:t>ó con agrado la implementación de sus recomendaciones en materia legal. En particular,</w:t>
      </w:r>
      <w:r w:rsidR="00246E67" w:rsidRPr="00F85F3E">
        <w:t xml:space="preserve"> aplaudió</w:t>
      </w:r>
      <w:r w:rsidRPr="00F85F3E">
        <w:t xml:space="preserve"> la aprobación</w:t>
      </w:r>
      <w:r w:rsidR="00BE157C" w:rsidRPr="00F85F3E">
        <w:t xml:space="preserve"> </w:t>
      </w:r>
      <w:r w:rsidRPr="00F85F3E">
        <w:t xml:space="preserve">de la reforma integral en materia de la familia y niñez, </w:t>
      </w:r>
      <w:r w:rsidR="00790E6A">
        <w:t>d</w:t>
      </w:r>
      <w:r w:rsidRPr="00F85F3E">
        <w:t>ecreto legislativo 35-2013</w:t>
      </w:r>
      <w:r w:rsidR="00BE157C" w:rsidRPr="00F85F3E">
        <w:t>, de 6 de septiembre de 2013</w:t>
      </w:r>
      <w:r w:rsidRPr="00F85F3E">
        <w:t>,</w:t>
      </w:r>
      <w:r w:rsidR="00BE157C" w:rsidRPr="00F85F3E">
        <w:t xml:space="preserve"> mediante</w:t>
      </w:r>
      <w:r w:rsidRPr="00F85F3E">
        <w:t xml:space="preserve"> la cual </w:t>
      </w:r>
      <w:r w:rsidR="00DD6D6E">
        <w:t xml:space="preserve">se </w:t>
      </w:r>
      <w:r w:rsidRPr="00F85F3E">
        <w:t xml:space="preserve">armoniza la legislación nacional con </w:t>
      </w:r>
      <w:r w:rsidR="00BE157C" w:rsidRPr="00F85F3E">
        <w:t>los</w:t>
      </w:r>
      <w:r w:rsidRPr="00F85F3E">
        <w:t xml:space="preserve"> instrumentos internacionales en materia de derechos de la niñez</w:t>
      </w:r>
      <w:r w:rsidR="00BE157C" w:rsidRPr="00F85F3E">
        <w:t xml:space="preserve"> ratificados por Honduras</w:t>
      </w:r>
      <w:r w:rsidR="00BE157C" w:rsidRPr="00F85F3E">
        <w:rPr>
          <w:rStyle w:val="FootnoteReference"/>
        </w:rPr>
        <w:footnoteReference w:id="16"/>
      </w:r>
      <w:r w:rsidR="00DD6D6E">
        <w:t>.</w:t>
      </w:r>
      <w:r w:rsidRPr="00F85F3E">
        <w:t xml:space="preserve"> </w:t>
      </w:r>
      <w:r w:rsidR="00BE157C" w:rsidRPr="00F85F3E">
        <w:t>En efecto, mediante la reforma integral en materia de la familia y niñez se modificaron seis códigos y leyes nacionales (el Código de la Niñez y la Adolescencia, el Código de Familia, el Código Civil, el Código Penal, el Código Procesal Penal y la Ley contra la Violencia Dom</w:t>
      </w:r>
      <w:r w:rsidR="00DD6D6E">
        <w:t>é</w:t>
      </w:r>
      <w:r w:rsidR="00BE157C" w:rsidRPr="00F85F3E">
        <w:t xml:space="preserve">stica) para dar cumplimiento a las obligaciones internacionales adquiridas por Honduras en materia de la niñez. </w:t>
      </w:r>
    </w:p>
    <w:p w:rsidR="00337898" w:rsidRPr="00F85F3E" w:rsidRDefault="00337898" w:rsidP="001F09DC">
      <w:pPr>
        <w:pStyle w:val="SingleTxtG"/>
        <w:numPr>
          <w:ilvl w:val="0"/>
          <w:numId w:val="53"/>
        </w:numPr>
        <w:ind w:left="1134" w:firstLine="0"/>
      </w:pPr>
      <w:r w:rsidRPr="00F85F3E">
        <w:t xml:space="preserve">Sin embargo, </w:t>
      </w:r>
      <w:r w:rsidR="00246E67" w:rsidRPr="00F85F3E">
        <w:t xml:space="preserve">la Relatora Especial </w:t>
      </w:r>
      <w:r w:rsidRPr="00F85F3E">
        <w:t xml:space="preserve">recuerda que </w:t>
      </w:r>
      <w:r w:rsidR="00BE157C" w:rsidRPr="00F85F3E">
        <w:t>queda</w:t>
      </w:r>
      <w:r w:rsidRPr="00F85F3E">
        <w:t xml:space="preserve"> pendiente de ratifica</w:t>
      </w:r>
      <w:r w:rsidR="00246E67" w:rsidRPr="00F85F3E">
        <w:t>r</w:t>
      </w:r>
      <w:r w:rsidRPr="00F85F3E">
        <w:t xml:space="preserve"> </w:t>
      </w:r>
      <w:r w:rsidR="00A92731">
        <w:t xml:space="preserve">el </w:t>
      </w:r>
      <w:r w:rsidR="00A92731" w:rsidRPr="008F65F2">
        <w:t xml:space="preserve">Convenio relativo a la </w:t>
      </w:r>
      <w:r w:rsidR="00EF61CB">
        <w:t>P</w:t>
      </w:r>
      <w:r w:rsidR="00A92731" w:rsidRPr="008F65F2">
        <w:t xml:space="preserve">rotección del </w:t>
      </w:r>
      <w:r w:rsidR="00EF61CB">
        <w:t>N</w:t>
      </w:r>
      <w:r w:rsidR="00A92731" w:rsidRPr="008F65F2">
        <w:t xml:space="preserve">iño y a la </w:t>
      </w:r>
      <w:r w:rsidR="00EF61CB">
        <w:t>C</w:t>
      </w:r>
      <w:r w:rsidR="00A92731" w:rsidRPr="008F65F2">
        <w:t xml:space="preserve">ooperación en </w:t>
      </w:r>
      <w:r w:rsidR="00EF61CB">
        <w:t>M</w:t>
      </w:r>
      <w:r w:rsidR="00A92731" w:rsidRPr="008F65F2">
        <w:t xml:space="preserve">ateria de </w:t>
      </w:r>
      <w:r w:rsidR="00EF61CB">
        <w:t>A</w:t>
      </w:r>
      <w:r w:rsidR="00A92731" w:rsidRPr="008F65F2">
        <w:t xml:space="preserve">dopción </w:t>
      </w:r>
      <w:r w:rsidR="00EF61CB">
        <w:t>I</w:t>
      </w:r>
      <w:r w:rsidR="00A92731" w:rsidRPr="008F65F2">
        <w:t xml:space="preserve">nternacional (La Haya, 29 de mayo de 1993) </w:t>
      </w:r>
      <w:r w:rsidR="009854C4" w:rsidRPr="00F85F3E">
        <w:t xml:space="preserve">, así como </w:t>
      </w:r>
      <w:r w:rsidR="00246E67" w:rsidRPr="00F85F3E">
        <w:t>aprobar l</w:t>
      </w:r>
      <w:r w:rsidRPr="00F85F3E">
        <w:t>a ley nacional de adopciones,</w:t>
      </w:r>
      <w:r w:rsidR="00246E67" w:rsidRPr="00F85F3E">
        <w:t xml:space="preserve"> </w:t>
      </w:r>
      <w:r w:rsidR="00BE157C" w:rsidRPr="00F85F3E">
        <w:t xml:space="preserve">dado que </w:t>
      </w:r>
      <w:r w:rsidR="00246E67" w:rsidRPr="00F85F3E">
        <w:t>ambos</w:t>
      </w:r>
      <w:r w:rsidRPr="00F85F3E">
        <w:t xml:space="preserve"> instrumentos </w:t>
      </w:r>
      <w:r w:rsidR="00BE157C" w:rsidRPr="00F85F3E">
        <w:t xml:space="preserve">resultan </w:t>
      </w:r>
      <w:r w:rsidRPr="00F85F3E">
        <w:t>claves para co</w:t>
      </w:r>
      <w:r w:rsidR="00BE157C" w:rsidRPr="00F85F3E">
        <w:t xml:space="preserve">mbatir las adopciones ilegales. </w:t>
      </w:r>
      <w:r w:rsidR="00246E67" w:rsidRPr="00F85F3E">
        <w:t>De igual modo</w:t>
      </w:r>
      <w:r w:rsidRPr="00F85F3E">
        <w:t xml:space="preserve">, notó con </w:t>
      </w:r>
      <w:r w:rsidRPr="00E86204">
        <w:t>preocupación que s</w:t>
      </w:r>
      <w:r w:rsidR="009854C4" w:rsidRPr="00E86204">
        <w:t>igue sin aproba</w:t>
      </w:r>
      <w:r w:rsidR="00DD6D6E">
        <w:t>rse</w:t>
      </w:r>
      <w:r w:rsidR="009854C4" w:rsidRPr="00E86204">
        <w:t xml:space="preserve"> la revisión de la L</w:t>
      </w:r>
      <w:r w:rsidR="005B0EDF" w:rsidRPr="00E86204">
        <w:t>ey</w:t>
      </w:r>
      <w:r w:rsidR="009854C4" w:rsidRPr="00E86204">
        <w:t xml:space="preserve"> de Control de Armas</w:t>
      </w:r>
      <w:r w:rsidR="005B0EDF" w:rsidRPr="00E86204">
        <w:t xml:space="preserve"> que </w:t>
      </w:r>
      <w:r w:rsidR="009854C4" w:rsidRPr="00E86204">
        <w:t>regule y límite</w:t>
      </w:r>
      <w:r w:rsidR="005B0EDF" w:rsidRPr="00E86204">
        <w:t xml:space="preserve"> </w:t>
      </w:r>
      <w:r w:rsidR="009854C4" w:rsidRPr="00E86204">
        <w:t xml:space="preserve">de forma drástica </w:t>
      </w:r>
      <w:r w:rsidR="005B0EDF" w:rsidRPr="00E86204">
        <w:t>la portación de armas</w:t>
      </w:r>
      <w:r w:rsidR="009854C4" w:rsidRPr="00E86204">
        <w:t>.</w:t>
      </w:r>
      <w:r w:rsidR="005B0EDF" w:rsidRPr="00E86204">
        <w:t xml:space="preserve"> </w:t>
      </w:r>
      <w:r w:rsidR="009854C4" w:rsidRPr="00E86204">
        <w:t>Asimismo, l</w:t>
      </w:r>
      <w:r w:rsidR="005B0EDF" w:rsidRPr="00E86204">
        <w:t xml:space="preserve">a Relatora Especial insta a las autoridades hondureñas a ratificar el </w:t>
      </w:r>
      <w:r w:rsidR="009854C4" w:rsidRPr="001F09DC">
        <w:t>P</w:t>
      </w:r>
      <w:r w:rsidR="005B0EDF" w:rsidRPr="001F09DC">
        <w:t xml:space="preserve">rotocolo </w:t>
      </w:r>
      <w:r w:rsidR="009854C4" w:rsidRPr="001F09DC">
        <w:t>Facultativo de la Convención sobre</w:t>
      </w:r>
      <w:r w:rsidR="005B0EDF" w:rsidRPr="001F09DC">
        <w:t xml:space="preserve"> los </w:t>
      </w:r>
      <w:r w:rsidR="009854C4" w:rsidRPr="001F09DC">
        <w:t>Derechos del N</w:t>
      </w:r>
      <w:r w:rsidR="005B0EDF" w:rsidRPr="001F09DC">
        <w:t>iño</w:t>
      </w:r>
      <w:r w:rsidR="009854C4" w:rsidRPr="001F09DC">
        <w:t xml:space="preserve"> relativo a </w:t>
      </w:r>
      <w:r w:rsidR="001F09DC">
        <w:t>un procedimiento de c</w:t>
      </w:r>
      <w:r w:rsidR="009854C4" w:rsidRPr="001F09DC">
        <w:t>omunicaciones</w:t>
      </w:r>
      <w:r w:rsidR="005B0EDF" w:rsidRPr="00E86204">
        <w:t xml:space="preserve">, </w:t>
      </w:r>
      <w:r w:rsidR="00BE157C" w:rsidRPr="00E86204">
        <w:t xml:space="preserve">el cual </w:t>
      </w:r>
      <w:r w:rsidR="005B0EDF" w:rsidRPr="00E86204">
        <w:t>entró en</w:t>
      </w:r>
      <w:r w:rsidR="005B0EDF" w:rsidRPr="00F85F3E">
        <w:t xml:space="preserve"> vigor el 14 de abril de 2014.</w:t>
      </w:r>
    </w:p>
    <w:p w:rsidR="00BE157C" w:rsidRPr="00F85F3E" w:rsidRDefault="00BE157C" w:rsidP="00CF6199">
      <w:pPr>
        <w:pStyle w:val="SingleTxtG"/>
        <w:numPr>
          <w:ilvl w:val="0"/>
          <w:numId w:val="53"/>
        </w:numPr>
        <w:ind w:left="1134" w:firstLine="0"/>
      </w:pPr>
      <w:r w:rsidRPr="00F85F3E">
        <w:t xml:space="preserve">La reforma legal integral ha supuesto cambios sustanciales en el sistema de justicia penal y del proceso penal juvenil. Tras la reforma, los menores no pueden ser internados de forma preventiva por un período que exceda los </w:t>
      </w:r>
      <w:r w:rsidR="00A92731">
        <w:t>seis</w:t>
      </w:r>
      <w:r w:rsidRPr="00F85F3E">
        <w:t xml:space="preserve"> meses sin que haya una resolución judicial. Además, se desjudicializó la atención social a menores, de modo que la protección de la niñez pasa a ser atendida en sede administrativa, a través del IH</w:t>
      </w:r>
      <w:r w:rsidR="00EC1971" w:rsidRPr="00F85F3E">
        <w:t>N</w:t>
      </w:r>
      <w:r w:rsidRPr="00F85F3E">
        <w:t>FA</w:t>
      </w:r>
      <w:r w:rsidR="00EC1971" w:rsidRPr="00F85F3E">
        <w:t xml:space="preserve">. </w:t>
      </w:r>
      <w:r w:rsidRPr="00F85F3E">
        <w:t xml:space="preserve">Asimismo, se promueve la adopción de medidas alternativas al internamiento, tal y como establecen los estándares internacionales en materia de los derechos de la niñez. </w:t>
      </w:r>
    </w:p>
    <w:p w:rsidR="00BE157C" w:rsidRPr="00F85F3E" w:rsidRDefault="00BE157C" w:rsidP="00014ABD">
      <w:pPr>
        <w:pStyle w:val="SingleTxtG"/>
        <w:numPr>
          <w:ilvl w:val="0"/>
          <w:numId w:val="53"/>
        </w:numPr>
        <w:ind w:left="1134" w:firstLine="0"/>
      </w:pPr>
      <w:r w:rsidRPr="00F85F3E">
        <w:t>La Relatora Especial destaca que la edad de responsabilidad penal individual se mantiene en los 18 años, en cumplimiento con lo</w:t>
      </w:r>
      <w:r w:rsidR="00CB29FB">
        <w:t>s</w:t>
      </w:r>
      <w:r w:rsidRPr="00F85F3E">
        <w:t xml:space="preserve"> </w:t>
      </w:r>
      <w:r w:rsidR="00CB29FB">
        <w:t>estándares internacionales en materia de derechos de la niñez</w:t>
      </w:r>
      <w:r w:rsidRPr="00F85F3E">
        <w:t xml:space="preserve">, e insta al Gobierno a no caer en la tentación de impulsar una reforma tendente a reducir la edad penal mínima, </w:t>
      </w:r>
      <w:r w:rsidR="00CB29FB">
        <w:t>bajo</w:t>
      </w:r>
      <w:r w:rsidR="00CB29FB" w:rsidRPr="00F85F3E">
        <w:t xml:space="preserve"> </w:t>
      </w:r>
      <w:r w:rsidR="00EC1971" w:rsidRPr="00F85F3E">
        <w:t xml:space="preserve">el argumento de </w:t>
      </w:r>
      <w:r w:rsidRPr="00F85F3E">
        <w:t xml:space="preserve">la lucha contra la inseguridad, y </w:t>
      </w:r>
      <w:r w:rsidR="00CB29FB">
        <w:t xml:space="preserve">en su lugar, </w:t>
      </w:r>
      <w:r w:rsidRPr="00F85F3E">
        <w:t xml:space="preserve">urge a que se invierta en el reforzamiento de la justicia y de la protección de la niñez. </w:t>
      </w:r>
    </w:p>
    <w:p w:rsidR="00D86DE1" w:rsidRPr="00F85F3E" w:rsidRDefault="00246E67" w:rsidP="009F4363">
      <w:pPr>
        <w:pStyle w:val="SingleTxtG"/>
        <w:numPr>
          <w:ilvl w:val="0"/>
          <w:numId w:val="53"/>
        </w:numPr>
        <w:ind w:left="1134" w:firstLine="0"/>
      </w:pPr>
      <w:r w:rsidRPr="00F85F3E">
        <w:t xml:space="preserve">La Relatora Especial </w:t>
      </w:r>
      <w:r w:rsidR="00BE157C" w:rsidRPr="00F85F3E">
        <w:t xml:space="preserve">también </w:t>
      </w:r>
      <w:r w:rsidRPr="00F85F3E">
        <w:t>aplaude que l</w:t>
      </w:r>
      <w:r w:rsidR="002668D2" w:rsidRPr="00F85F3E">
        <w:t>a reforma integral ha</w:t>
      </w:r>
      <w:r w:rsidRPr="00F85F3E">
        <w:t>ya</w:t>
      </w:r>
      <w:r w:rsidR="002668D2" w:rsidRPr="00F85F3E">
        <w:t xml:space="preserve"> supuesto</w:t>
      </w:r>
      <w:r w:rsidR="00AA7596" w:rsidRPr="00F85F3E">
        <w:t xml:space="preserve"> la prohibición y penalización del castigo corporal a los menores</w:t>
      </w:r>
      <w:r w:rsidR="002668D2" w:rsidRPr="00F85F3E">
        <w:t>. Sin embargo,</w:t>
      </w:r>
      <w:r w:rsidR="00D86DE1" w:rsidRPr="00F85F3E">
        <w:t xml:space="preserve"> </w:t>
      </w:r>
      <w:r w:rsidR="00BE157C" w:rsidRPr="00F85F3E">
        <w:t xml:space="preserve">insta a </w:t>
      </w:r>
      <w:r w:rsidR="00D86DE1" w:rsidRPr="00F85F3E">
        <w:t xml:space="preserve">que </w:t>
      </w:r>
      <w:r w:rsidRPr="00F85F3E">
        <w:t xml:space="preserve">la reforma legal </w:t>
      </w:r>
      <w:r w:rsidR="00BE157C" w:rsidRPr="00F85F3E">
        <w:t>vaya</w:t>
      </w:r>
      <w:r w:rsidR="007C27C2" w:rsidRPr="00F85F3E">
        <w:t xml:space="preserve"> acompañada de campañas de concienciación y sensibilización para combatir la tolerancia social </w:t>
      </w:r>
      <w:r w:rsidR="00840701" w:rsidRPr="00F85F3E">
        <w:t xml:space="preserve">que existe </w:t>
      </w:r>
      <w:r w:rsidRPr="00F85F3E">
        <w:t xml:space="preserve">al </w:t>
      </w:r>
      <w:r w:rsidR="00840701" w:rsidRPr="00F85F3E">
        <w:t>respecto</w:t>
      </w:r>
      <w:r w:rsidR="00D86DE1" w:rsidRPr="00F85F3E">
        <w:t>.</w:t>
      </w:r>
      <w:r w:rsidR="00EC1971" w:rsidRPr="00F85F3E">
        <w:t xml:space="preserve"> Finalmente, también se modificó la normativa en materia de familia, en particular, la edad mínima para contraer matrimonio, cumpliendo así con la Convención </w:t>
      </w:r>
      <w:r w:rsidR="009F4363">
        <w:t xml:space="preserve">sobre </w:t>
      </w:r>
      <w:r w:rsidR="00EC1971" w:rsidRPr="00F85F3E">
        <w:t>los Derechos del Niño.</w:t>
      </w:r>
    </w:p>
    <w:p w:rsidR="005C37AB" w:rsidRPr="00F85F3E" w:rsidRDefault="00AC21BE" w:rsidP="005C37AB">
      <w:pPr>
        <w:pStyle w:val="H23G"/>
      </w:pPr>
      <w:r w:rsidRPr="00F85F3E">
        <w:tab/>
        <w:t>3</w:t>
      </w:r>
      <w:r w:rsidR="005C37AB" w:rsidRPr="00F85F3E">
        <w:t>.</w:t>
      </w:r>
      <w:r w:rsidR="005C37AB" w:rsidRPr="00F85F3E">
        <w:tab/>
        <w:t>Marco institucional</w:t>
      </w:r>
    </w:p>
    <w:p w:rsidR="006354DF" w:rsidRPr="00F85F3E" w:rsidRDefault="007F2B43" w:rsidP="00CF6199">
      <w:pPr>
        <w:pStyle w:val="SingleTxtG"/>
        <w:numPr>
          <w:ilvl w:val="0"/>
          <w:numId w:val="53"/>
        </w:numPr>
        <w:ind w:left="1134" w:firstLine="0"/>
      </w:pPr>
      <w:r w:rsidRPr="00F85F3E">
        <w:t xml:space="preserve">La Relatora Especial alabó la labor </w:t>
      </w:r>
      <w:r w:rsidR="004D438B" w:rsidRPr="00F85F3E">
        <w:t xml:space="preserve">que está </w:t>
      </w:r>
      <w:r w:rsidRPr="00F85F3E">
        <w:t>realiza</w:t>
      </w:r>
      <w:r w:rsidR="004D438B" w:rsidRPr="00F85F3E">
        <w:t>ndo</w:t>
      </w:r>
      <w:r w:rsidRPr="00F85F3E">
        <w:t xml:space="preserve"> la Fiscalía </w:t>
      </w:r>
      <w:r w:rsidR="009F4363" w:rsidRPr="00F85F3E">
        <w:t xml:space="preserve">Especial </w:t>
      </w:r>
      <w:r w:rsidRPr="00F85F3E">
        <w:t xml:space="preserve">de la Niñez, </w:t>
      </w:r>
      <w:r w:rsidR="00DE2ADE" w:rsidRPr="00F85F3E">
        <w:t>la cual s</w:t>
      </w:r>
      <w:r w:rsidRPr="00F85F3E">
        <w:t xml:space="preserve">e ha </w:t>
      </w:r>
      <w:r w:rsidR="000045F2" w:rsidRPr="00F85F3E">
        <w:t>visto reforzada</w:t>
      </w:r>
      <w:r w:rsidRPr="00F85F3E">
        <w:t xml:space="preserve"> </w:t>
      </w:r>
      <w:r w:rsidR="00DE2ADE" w:rsidRPr="00F85F3E">
        <w:t xml:space="preserve">en los últimos años </w:t>
      </w:r>
      <w:r w:rsidRPr="00F85F3E">
        <w:t xml:space="preserve">con fondos de los Estados Unidos y </w:t>
      </w:r>
      <w:r w:rsidR="00DE2ADE" w:rsidRPr="00F85F3E">
        <w:t xml:space="preserve">el </w:t>
      </w:r>
      <w:r w:rsidRPr="00F85F3E">
        <w:t>apoyo de</w:t>
      </w:r>
      <w:r w:rsidR="00CF6199">
        <w:t>l UNICEF</w:t>
      </w:r>
      <w:r w:rsidRPr="00F85F3E">
        <w:t>. Sin embargo</w:t>
      </w:r>
      <w:r w:rsidR="004D438B" w:rsidRPr="00F85F3E">
        <w:t xml:space="preserve">, su impacto sigue siendo </w:t>
      </w:r>
      <w:r w:rsidR="00F8381B" w:rsidRPr="00F85F3E">
        <w:t>aislado</w:t>
      </w:r>
      <w:r w:rsidR="00266D34">
        <w:t>,</w:t>
      </w:r>
      <w:r w:rsidR="004D438B" w:rsidRPr="00F85F3E">
        <w:t xml:space="preserve"> dados los </w:t>
      </w:r>
      <w:r w:rsidR="00BE7DE1" w:rsidRPr="00F85F3E">
        <w:t xml:space="preserve">limitados </w:t>
      </w:r>
      <w:r w:rsidRPr="00F85F3E">
        <w:t>recursos</w:t>
      </w:r>
      <w:r w:rsidR="004D438B" w:rsidRPr="00F85F3E">
        <w:t xml:space="preserve"> con los que cuenta, incluidos en materia de investigación</w:t>
      </w:r>
      <w:r w:rsidR="008B6A83">
        <w:rPr>
          <w:rStyle w:val="FootnoteReference"/>
        </w:rPr>
        <w:footnoteReference w:id="17"/>
      </w:r>
      <w:r w:rsidR="00F30C85">
        <w:t>.</w:t>
      </w:r>
      <w:r w:rsidR="00BE7DE1" w:rsidRPr="00F85F3E">
        <w:t xml:space="preserve"> En este sentido, la Relatora Especial lamentó la clausura y desmantelamiento de </w:t>
      </w:r>
      <w:r w:rsidR="008B6A83" w:rsidRPr="00F85F3E">
        <w:t>la</w:t>
      </w:r>
      <w:r w:rsidR="008B6A83">
        <w:t xml:space="preserve"> División contra el Abuso, Tráfico y Explotación Sexual Comercial y Trata de Niñas, Niños y Adolescentes (</w:t>
      </w:r>
      <w:r w:rsidR="008B6A83" w:rsidRPr="00F85F3E">
        <w:t>DATESI</w:t>
      </w:r>
      <w:r w:rsidR="008B6A83">
        <w:t xml:space="preserve">), </w:t>
      </w:r>
      <w:r w:rsidR="0057023F">
        <w:t xml:space="preserve">que </w:t>
      </w:r>
      <w:r w:rsidR="008B6A83">
        <w:t>obtuvo</w:t>
      </w:r>
      <w:r w:rsidR="00BE7DE1" w:rsidRPr="00F85F3E">
        <w:t xml:space="preserve"> resultados positivos en la </w:t>
      </w:r>
      <w:r w:rsidR="008101FD">
        <w:t>prevención de</w:t>
      </w:r>
      <w:r w:rsidR="00BE7DE1" w:rsidRPr="00F85F3E">
        <w:t xml:space="preserve"> la trata</w:t>
      </w:r>
      <w:r w:rsidR="0057023F">
        <w:t xml:space="preserve"> de personas</w:t>
      </w:r>
      <w:r w:rsidR="00BE7DE1" w:rsidRPr="00F85F3E">
        <w:t xml:space="preserve"> y explotación </w:t>
      </w:r>
      <w:r w:rsidR="006354DF" w:rsidRPr="00F85F3E">
        <w:t xml:space="preserve">sexual </w:t>
      </w:r>
      <w:r w:rsidR="00BE7DE1" w:rsidRPr="00F85F3E">
        <w:t>de menores</w:t>
      </w:r>
      <w:r w:rsidR="00234B26" w:rsidRPr="00F85F3E">
        <w:t xml:space="preserve">. </w:t>
      </w:r>
      <w:r w:rsidR="00BE7DE1" w:rsidRPr="005E0FBA">
        <w:t xml:space="preserve">Por tanto, </w:t>
      </w:r>
      <w:r w:rsidR="00FB29BF" w:rsidRPr="005E0FBA">
        <w:t xml:space="preserve">la Relatora Especial </w:t>
      </w:r>
      <w:r w:rsidR="00BE7DE1" w:rsidRPr="005E0FBA">
        <w:t>urge a la</w:t>
      </w:r>
      <w:r w:rsidR="00234B26" w:rsidRPr="005E0FBA">
        <w:t xml:space="preserve"> </w:t>
      </w:r>
      <w:r w:rsidR="00F9255A" w:rsidRPr="005E0FBA">
        <w:t>Secretaría de Segur</w:t>
      </w:r>
      <w:r w:rsidR="00234B26" w:rsidRPr="005E0FBA">
        <w:t>idad a que las reestablezca</w:t>
      </w:r>
      <w:r w:rsidR="00BE7DE1" w:rsidRPr="005E0FBA">
        <w:t xml:space="preserve"> y </w:t>
      </w:r>
      <w:r w:rsidR="00FB29BF" w:rsidRPr="005E0FBA">
        <w:t xml:space="preserve">las </w:t>
      </w:r>
      <w:r w:rsidR="00234B26" w:rsidRPr="005E0FBA">
        <w:t>refuerce</w:t>
      </w:r>
      <w:r w:rsidR="00BE7DE1" w:rsidRPr="005E0FBA">
        <w:t xml:space="preserve"> a la mayor brevedad posible.</w:t>
      </w:r>
      <w:r w:rsidR="00BE7DE1" w:rsidRPr="00F85F3E">
        <w:t xml:space="preserve"> Además, la Relatora Especial instó a continuar con la apertura de Unidades </w:t>
      </w:r>
      <w:r w:rsidR="006354DF" w:rsidRPr="00F85F3E">
        <w:t xml:space="preserve">Especiales de la Fiscalía </w:t>
      </w:r>
      <w:r w:rsidR="009F4363" w:rsidRPr="00F85F3E">
        <w:t xml:space="preserve">Especial </w:t>
      </w:r>
      <w:r w:rsidR="006354DF" w:rsidRPr="00F85F3E">
        <w:t>de la N</w:t>
      </w:r>
      <w:r w:rsidR="00BE7DE1" w:rsidRPr="00F85F3E">
        <w:t>iñez y de los centros integrados, con el fin de multip</w:t>
      </w:r>
      <w:r w:rsidR="002C4C47" w:rsidRPr="00F85F3E">
        <w:t>licar las buenas prácticas identificadas en 2012</w:t>
      </w:r>
      <w:r w:rsidR="00BE7DE1" w:rsidRPr="00F85F3E">
        <w:t xml:space="preserve"> y los incipientes resultados positivos que están obteniendo en </w:t>
      </w:r>
      <w:r w:rsidR="00FB29BF" w:rsidRPr="00F85F3E">
        <w:t>la</w:t>
      </w:r>
      <w:r w:rsidR="00BE7DE1" w:rsidRPr="00F85F3E">
        <w:t xml:space="preserve"> lucha contra la trata y explotación sexual de la niñez</w:t>
      </w:r>
      <w:r w:rsidR="003972A5" w:rsidRPr="003972A5">
        <w:rPr>
          <w:rStyle w:val="FootnoteReference"/>
        </w:rPr>
        <w:t xml:space="preserve"> </w:t>
      </w:r>
      <w:r w:rsidR="003972A5" w:rsidRPr="00F85F3E">
        <w:rPr>
          <w:rStyle w:val="FootnoteReference"/>
        </w:rPr>
        <w:footnoteReference w:id="18"/>
      </w:r>
      <w:r w:rsidR="00F30C85">
        <w:rPr>
          <w:rStyle w:val="FootnoteReference"/>
          <w:vertAlign w:val="baseline"/>
        </w:rPr>
        <w:t>.</w:t>
      </w:r>
    </w:p>
    <w:p w:rsidR="00BE7DE1" w:rsidRPr="00F85F3E" w:rsidRDefault="004F0AD0" w:rsidP="00A74CF3">
      <w:pPr>
        <w:pStyle w:val="SingleTxtG"/>
        <w:numPr>
          <w:ilvl w:val="0"/>
          <w:numId w:val="53"/>
        </w:numPr>
        <w:ind w:left="1134" w:firstLine="0"/>
      </w:pPr>
      <w:r w:rsidRPr="00F85F3E">
        <w:t>Todos los interlocutores de la Relatora Especial coincidieron en que h</w:t>
      </w:r>
      <w:r w:rsidR="00BE7DE1" w:rsidRPr="00F85F3E">
        <w:t xml:space="preserve">acen falta más </w:t>
      </w:r>
      <w:r w:rsidR="00F8381B" w:rsidRPr="00F85F3E">
        <w:t xml:space="preserve">medios y </w:t>
      </w:r>
      <w:r w:rsidRPr="00F85F3E">
        <w:t>recursos</w:t>
      </w:r>
      <w:r w:rsidR="00F8381B" w:rsidRPr="00F85F3E">
        <w:t xml:space="preserve"> que d</w:t>
      </w:r>
      <w:r w:rsidR="00BE7DE1" w:rsidRPr="00F85F3E">
        <w:t xml:space="preserve">en apoyo a la Fiscalía </w:t>
      </w:r>
      <w:r w:rsidR="009F4363" w:rsidRPr="00F85F3E">
        <w:t xml:space="preserve">Especial </w:t>
      </w:r>
      <w:r w:rsidR="00BE7DE1" w:rsidRPr="00F85F3E">
        <w:t xml:space="preserve">de la Niñez. </w:t>
      </w:r>
      <w:r w:rsidRPr="00F85F3E">
        <w:t xml:space="preserve">La judicialización de los casos requiere investigaciones criminales </w:t>
      </w:r>
      <w:r w:rsidR="00BB7011" w:rsidRPr="00F85F3E">
        <w:t>completas</w:t>
      </w:r>
      <w:r w:rsidR="00F8381B" w:rsidRPr="00F85F3E">
        <w:t xml:space="preserve">, </w:t>
      </w:r>
      <w:r w:rsidRPr="00F85F3E">
        <w:t xml:space="preserve">con vigilancias, seguimientos e intervenciones telefónicas. Para ello, </w:t>
      </w:r>
      <w:r w:rsidR="00F8381B" w:rsidRPr="00F85F3E">
        <w:t xml:space="preserve">además de </w:t>
      </w:r>
      <w:r w:rsidRPr="00F85F3E">
        <w:t>recursos</w:t>
      </w:r>
      <w:r w:rsidR="00F8381B" w:rsidRPr="00F85F3E">
        <w:t xml:space="preserve"> policiales, hace falta </w:t>
      </w:r>
      <w:r w:rsidRPr="00F85F3E">
        <w:t>capacita</w:t>
      </w:r>
      <w:r w:rsidR="00234B26" w:rsidRPr="00F85F3E">
        <w:t>r a</w:t>
      </w:r>
      <w:r w:rsidRPr="00F85F3E">
        <w:t xml:space="preserve"> los operadores de justicia</w:t>
      </w:r>
      <w:r w:rsidR="00F8381B" w:rsidRPr="00F85F3E">
        <w:t xml:space="preserve"> en materia de derechos de la niñez</w:t>
      </w:r>
      <w:r w:rsidRPr="00F85F3E">
        <w:t xml:space="preserve">. </w:t>
      </w:r>
      <w:r w:rsidR="00234B26" w:rsidRPr="00F85F3E">
        <w:t>Asimismo, ha de lograrse l</w:t>
      </w:r>
      <w:r w:rsidR="00BB7011" w:rsidRPr="00F85F3E">
        <w:t xml:space="preserve">a regulación de </w:t>
      </w:r>
      <w:r w:rsidR="00A74CF3">
        <w:t>p</w:t>
      </w:r>
      <w:r w:rsidR="00BB7011" w:rsidRPr="00F85F3E">
        <w:t xml:space="preserve">roveedores de </w:t>
      </w:r>
      <w:r w:rsidR="00A74CF3">
        <w:t>s</w:t>
      </w:r>
      <w:r w:rsidR="00BB7011" w:rsidRPr="00F85F3E">
        <w:t xml:space="preserve">ervicios de </w:t>
      </w:r>
      <w:r w:rsidR="00357E7D">
        <w:t>I</w:t>
      </w:r>
      <w:r w:rsidR="00BB7011" w:rsidRPr="00F85F3E">
        <w:t xml:space="preserve">nternet para hacer reportes de </w:t>
      </w:r>
      <w:r w:rsidR="00732848">
        <w:t xml:space="preserve">dirección </w:t>
      </w:r>
      <w:r w:rsidR="00BB7011" w:rsidRPr="00F85F3E">
        <w:t xml:space="preserve">IP. En cuanto a la cooperación </w:t>
      </w:r>
      <w:r w:rsidR="008B6A83">
        <w:t>regional</w:t>
      </w:r>
      <w:r w:rsidR="008B6A83" w:rsidRPr="00F85F3E">
        <w:t xml:space="preserve"> </w:t>
      </w:r>
      <w:r w:rsidR="00BB7011" w:rsidRPr="00F85F3E">
        <w:t xml:space="preserve">en materia </w:t>
      </w:r>
      <w:r w:rsidR="00F9255A" w:rsidRPr="00F85F3E">
        <w:t>policial</w:t>
      </w:r>
      <w:r w:rsidR="00BB7011" w:rsidRPr="00F85F3E">
        <w:t xml:space="preserve"> y de justicia, l</w:t>
      </w:r>
      <w:r w:rsidRPr="00F85F3E">
        <w:t>a Relatora Especial acogió co</w:t>
      </w:r>
      <w:r w:rsidR="00FB29BF" w:rsidRPr="00F85F3E">
        <w:t>n agrado</w:t>
      </w:r>
      <w:r w:rsidRPr="00F85F3E">
        <w:t xml:space="preserve"> </w:t>
      </w:r>
      <w:r w:rsidR="008B6A83">
        <w:t xml:space="preserve">la pertenencia de Honduras, a través de la CICESCT, </w:t>
      </w:r>
      <w:r w:rsidR="008101FD">
        <w:t>a</w:t>
      </w:r>
      <w:r w:rsidR="008B6A83">
        <w:t xml:space="preserve"> la Coalición Regional contra la Trata y Tráfico de Personas,</w:t>
      </w:r>
      <w:r w:rsidR="00014ABD">
        <w:t xml:space="preserve"> </w:t>
      </w:r>
      <w:r w:rsidR="008B6A83">
        <w:t>la cual tiene por finalidad la adopción de políticas regionales para combatir el delito de trata</w:t>
      </w:r>
      <w:r w:rsidR="008101FD">
        <w:t xml:space="preserve"> de personas </w:t>
      </w:r>
      <w:r w:rsidR="008B6A83">
        <w:t>y mejorar la atención a víctimas</w:t>
      </w:r>
      <w:r w:rsidR="00BE7DE1" w:rsidRPr="00F85F3E">
        <w:t xml:space="preserve">. </w:t>
      </w:r>
    </w:p>
    <w:p w:rsidR="00F8381B" w:rsidRPr="00F85F3E" w:rsidRDefault="00F8381B" w:rsidP="00014ABD">
      <w:pPr>
        <w:pStyle w:val="SingleTxtG"/>
        <w:numPr>
          <w:ilvl w:val="0"/>
          <w:numId w:val="53"/>
        </w:numPr>
        <w:ind w:left="1134" w:firstLine="0"/>
      </w:pPr>
      <w:r w:rsidRPr="00F85F3E">
        <w:t>A</w:t>
      </w:r>
      <w:r w:rsidR="00F9255A" w:rsidRPr="00F85F3E">
        <w:t xml:space="preserve"> pesar de los recursos limitados</w:t>
      </w:r>
      <w:r w:rsidR="00D62341">
        <w:t xml:space="preserve"> con los que cuenta</w:t>
      </w:r>
      <w:r w:rsidR="00F9255A" w:rsidRPr="00F85F3E">
        <w:t>, l</w:t>
      </w:r>
      <w:r w:rsidR="000045F2" w:rsidRPr="00F85F3E">
        <w:t xml:space="preserve">a Relatora Especial </w:t>
      </w:r>
      <w:r w:rsidR="00234B26" w:rsidRPr="00F85F3E">
        <w:t>exhorta</w:t>
      </w:r>
      <w:r w:rsidR="00DE2ADE" w:rsidRPr="00F85F3E">
        <w:t xml:space="preserve"> al Ministerio Público a adoptar una </w:t>
      </w:r>
      <w:r w:rsidR="00F9255A" w:rsidRPr="00F85F3E">
        <w:t>estrategia</w:t>
      </w:r>
      <w:r w:rsidR="00DE2ADE" w:rsidRPr="00F85F3E">
        <w:t xml:space="preserve"> proactiva en materia de investigación y persecución penal de venta y explotación sexual de la niñez</w:t>
      </w:r>
      <w:r w:rsidR="00F9255A" w:rsidRPr="00F85F3E">
        <w:t>,</w:t>
      </w:r>
      <w:r w:rsidR="00DE2ADE" w:rsidRPr="00F85F3E">
        <w:t xml:space="preserve"> toma</w:t>
      </w:r>
      <w:r w:rsidR="00F9255A" w:rsidRPr="00F85F3E">
        <w:t xml:space="preserve">ndo en </w:t>
      </w:r>
      <w:r w:rsidR="00DE2ADE" w:rsidRPr="00F85F3E">
        <w:t>cuenta el carácter transnacional del fenómeno</w:t>
      </w:r>
      <w:r w:rsidR="000045F2" w:rsidRPr="00F85F3E">
        <w:t xml:space="preserve">. </w:t>
      </w:r>
      <w:r w:rsidRPr="00F85F3E">
        <w:t xml:space="preserve">Una aproximación estratégica al combate de estos delitos permitiría estrechar la brecha entre la estadística real y </w:t>
      </w:r>
      <w:r w:rsidR="00234B26" w:rsidRPr="00F85F3E">
        <w:t>el número de casos investigados y judicializados</w:t>
      </w:r>
      <w:r w:rsidRPr="00F85F3E">
        <w:t xml:space="preserve">. Las </w:t>
      </w:r>
      <w:r w:rsidR="00234B26" w:rsidRPr="00F85F3E">
        <w:t xml:space="preserve">bajas </w:t>
      </w:r>
      <w:r w:rsidRPr="00F85F3E">
        <w:t>estadísticas</w:t>
      </w:r>
      <w:r w:rsidR="00234B26" w:rsidRPr="00F85F3E">
        <w:t xml:space="preserve"> en esta materia</w:t>
      </w:r>
      <w:r w:rsidRPr="00F85F3E">
        <w:t xml:space="preserve"> denota</w:t>
      </w:r>
      <w:r w:rsidR="00234B26" w:rsidRPr="00F85F3E">
        <w:t>n</w:t>
      </w:r>
      <w:r w:rsidRPr="00F85F3E">
        <w:t xml:space="preserve"> una falta de capacidad de investigación y de estrategia, más </w:t>
      </w:r>
      <w:r w:rsidR="00234B26" w:rsidRPr="00F85F3E">
        <w:t>allá</w:t>
      </w:r>
      <w:r w:rsidRPr="00F85F3E">
        <w:t xml:space="preserve"> de la encomiable voluntad de la </w:t>
      </w:r>
      <w:r w:rsidR="00234B26" w:rsidRPr="00F85F3E">
        <w:t>Fiscalía</w:t>
      </w:r>
      <w:r w:rsidRPr="00F85F3E">
        <w:t xml:space="preserve"> </w:t>
      </w:r>
      <w:r w:rsidR="009F4363" w:rsidRPr="00F85F3E">
        <w:t xml:space="preserve">Especial </w:t>
      </w:r>
      <w:r w:rsidRPr="00F85F3E">
        <w:t xml:space="preserve">de la Niñez </w:t>
      </w:r>
      <w:r w:rsidR="00234B26" w:rsidRPr="00F85F3E">
        <w:t>por combatir la lacra de la trata y explotación sexual de menores</w:t>
      </w:r>
      <w:r w:rsidRPr="00F85F3E">
        <w:t>. Urge un sistema de justicia reforzado y eficaz.</w:t>
      </w:r>
      <w:r w:rsidR="00014ABD">
        <w:t xml:space="preserve"> </w:t>
      </w:r>
    </w:p>
    <w:p w:rsidR="00234B26" w:rsidRPr="00F85F3E" w:rsidRDefault="00234B26" w:rsidP="00CF6199">
      <w:pPr>
        <w:pStyle w:val="SingleTxtG"/>
        <w:numPr>
          <w:ilvl w:val="0"/>
          <w:numId w:val="53"/>
        </w:numPr>
        <w:ind w:left="1134" w:firstLine="0"/>
      </w:pPr>
      <w:r w:rsidRPr="00F85F3E">
        <w:t xml:space="preserve">La Relatora Especial celebró que, tras la reforma legal integral de 2013, los </w:t>
      </w:r>
      <w:r w:rsidR="00CF6199">
        <w:t xml:space="preserve">12 </w:t>
      </w:r>
      <w:r w:rsidRPr="00F85F3E">
        <w:t>juzgados dedicados a temas de la niñez sólo conocen casos de infractores, mientras que las victimas menores son referidas a la vía administrativa, la cual es gestionad</w:t>
      </w:r>
      <w:r w:rsidR="00266D34">
        <w:t>a</w:t>
      </w:r>
      <w:r w:rsidRPr="00F85F3E">
        <w:t xml:space="preserve"> por el IHNFA. </w:t>
      </w:r>
    </w:p>
    <w:p w:rsidR="00C04AF0" w:rsidRPr="00F85F3E" w:rsidRDefault="00C04AF0" w:rsidP="00CF6199">
      <w:pPr>
        <w:pStyle w:val="SingleTxtG"/>
        <w:numPr>
          <w:ilvl w:val="0"/>
          <w:numId w:val="53"/>
        </w:numPr>
        <w:ind w:left="1134" w:firstLine="0"/>
      </w:pPr>
      <w:r w:rsidRPr="00F85F3E">
        <w:t>Tal y como se abordó en la sección anterior, t</w:t>
      </w:r>
      <w:r w:rsidR="00DE2ADE" w:rsidRPr="00F85F3E">
        <w:t>ras la</w:t>
      </w:r>
      <w:r w:rsidRPr="00F85F3E">
        <w:t>s</w:t>
      </w:r>
      <w:r w:rsidR="00DE2ADE" w:rsidRPr="00F85F3E">
        <w:t xml:space="preserve"> reforma</w:t>
      </w:r>
      <w:r w:rsidR="000045F2" w:rsidRPr="00F85F3E">
        <w:t>s</w:t>
      </w:r>
      <w:r w:rsidR="00DE2ADE" w:rsidRPr="00F85F3E">
        <w:t xml:space="preserve"> </w:t>
      </w:r>
      <w:r w:rsidR="00F9255A" w:rsidRPr="00F85F3E">
        <w:t xml:space="preserve">legales </w:t>
      </w:r>
      <w:r w:rsidR="00DE2ADE" w:rsidRPr="00F85F3E">
        <w:t>de 2012 (</w:t>
      </w:r>
      <w:r w:rsidR="00266D34">
        <w:t>L</w:t>
      </w:r>
      <w:r w:rsidR="00DE2ADE" w:rsidRPr="00F85F3E">
        <w:t xml:space="preserve">ey </w:t>
      </w:r>
      <w:r w:rsidR="00266D34">
        <w:t>contra la</w:t>
      </w:r>
      <w:r w:rsidR="00DE2ADE" w:rsidRPr="00F85F3E">
        <w:t xml:space="preserve"> </w:t>
      </w:r>
      <w:r w:rsidR="00CF6199">
        <w:t>T</w:t>
      </w:r>
      <w:r w:rsidR="00DE2ADE" w:rsidRPr="00F85F3E">
        <w:t>rata)</w:t>
      </w:r>
      <w:r w:rsidR="000045F2" w:rsidRPr="00F85F3E">
        <w:t xml:space="preserve"> y </w:t>
      </w:r>
      <w:r w:rsidR="00DE2ADE" w:rsidRPr="00F85F3E">
        <w:t>2013 (reforma integral</w:t>
      </w:r>
      <w:r w:rsidR="00F9255A" w:rsidRPr="00F85F3E">
        <w:t xml:space="preserve"> en materia de niñez y familia</w:t>
      </w:r>
      <w:r w:rsidR="00DE2ADE" w:rsidRPr="00F85F3E">
        <w:t xml:space="preserve">), </w:t>
      </w:r>
      <w:r w:rsidR="000045F2" w:rsidRPr="00F85F3E">
        <w:t xml:space="preserve">existen medios legales para que </w:t>
      </w:r>
      <w:r w:rsidR="00DE2ADE" w:rsidRPr="00F85F3E">
        <w:t>el Estado</w:t>
      </w:r>
      <w:r w:rsidRPr="00F85F3E">
        <w:t xml:space="preserve"> pueda </w:t>
      </w:r>
      <w:r w:rsidR="00D07171" w:rsidRPr="00F85F3E">
        <w:t>obtener mejores resultados</w:t>
      </w:r>
      <w:r w:rsidRPr="00F85F3E">
        <w:t xml:space="preserve"> </w:t>
      </w:r>
      <w:r w:rsidR="00D07171" w:rsidRPr="00F85F3E">
        <w:t xml:space="preserve">en </w:t>
      </w:r>
      <w:r w:rsidRPr="00F85F3E">
        <w:t xml:space="preserve">la lucha contra la venta y explotación sexual de la niñez. </w:t>
      </w:r>
      <w:r w:rsidR="00432A34" w:rsidRPr="00F85F3E">
        <w:t xml:space="preserve">Sin embargo, la Relatora Especial </w:t>
      </w:r>
      <w:r w:rsidRPr="00F85F3E">
        <w:t xml:space="preserve">teme que los </w:t>
      </w:r>
      <w:r w:rsidR="00432A34" w:rsidRPr="00F85F3E">
        <w:t xml:space="preserve">avances </w:t>
      </w:r>
      <w:r w:rsidRPr="00F85F3E">
        <w:t>realizados en materia legal en los últimos años</w:t>
      </w:r>
      <w:r w:rsidR="00432A34" w:rsidRPr="00F85F3E">
        <w:t xml:space="preserve"> no se vean acompañados por una adecuación</w:t>
      </w:r>
      <w:r w:rsidRPr="00F85F3E">
        <w:t xml:space="preserve"> o reforma</w:t>
      </w:r>
      <w:r w:rsidR="00432A34" w:rsidRPr="00F85F3E">
        <w:t xml:space="preserve"> institucional que pueda implementar </w:t>
      </w:r>
      <w:r w:rsidRPr="00F85F3E">
        <w:t xml:space="preserve">de manera </w:t>
      </w:r>
      <w:r w:rsidR="00432A34" w:rsidRPr="00F85F3E">
        <w:t>efectiva</w:t>
      </w:r>
      <w:r w:rsidRPr="00F85F3E">
        <w:t xml:space="preserve"> </w:t>
      </w:r>
      <w:r w:rsidR="00432A34" w:rsidRPr="00F85F3E">
        <w:t xml:space="preserve">los cambios que conlleva la </w:t>
      </w:r>
      <w:r w:rsidR="00D07171" w:rsidRPr="00F85F3E">
        <w:t>reforma legal</w:t>
      </w:r>
      <w:r w:rsidR="00432A34" w:rsidRPr="00F85F3E">
        <w:t>.</w:t>
      </w:r>
    </w:p>
    <w:p w:rsidR="00D62341" w:rsidRDefault="00FB29BF" w:rsidP="00014ABD">
      <w:pPr>
        <w:pStyle w:val="SingleTxtG"/>
        <w:numPr>
          <w:ilvl w:val="0"/>
          <w:numId w:val="53"/>
        </w:numPr>
        <w:ind w:left="1134" w:firstLine="0"/>
      </w:pPr>
      <w:r w:rsidRPr="00F85F3E">
        <w:t>En este sentido, l</w:t>
      </w:r>
      <w:r w:rsidR="00432A34" w:rsidRPr="00F85F3E">
        <w:t>a Relatora Especial notó con preocupación que</w:t>
      </w:r>
      <w:r w:rsidR="00266D34">
        <w:t>, en el momento de su visita de seguimiento,</w:t>
      </w:r>
      <w:r w:rsidR="00432A34" w:rsidRPr="00F85F3E">
        <w:t xml:space="preserve"> sigu</w:t>
      </w:r>
      <w:r w:rsidR="00266D34">
        <w:t>i</w:t>
      </w:r>
      <w:r w:rsidR="00432A34" w:rsidRPr="00F85F3E">
        <w:t>e</w:t>
      </w:r>
      <w:r w:rsidR="00266D34">
        <w:t>ra</w:t>
      </w:r>
      <w:r w:rsidR="00432A34" w:rsidRPr="00F85F3E">
        <w:t xml:space="preserve"> pendiente la creación de un ente responsable de la política de protección de la niñez</w:t>
      </w:r>
      <w:r w:rsidR="00E00D21">
        <w:t>.</w:t>
      </w:r>
      <w:r w:rsidR="00432A34" w:rsidRPr="00F85F3E">
        <w:t xml:space="preserve"> </w:t>
      </w:r>
      <w:r w:rsidR="00E00D21">
        <w:t>Por tanto,</w:t>
      </w:r>
      <w:r w:rsidR="00D62341">
        <w:t xml:space="preserve"> </w:t>
      </w:r>
      <w:r w:rsidR="00432A34" w:rsidRPr="00F85F3E">
        <w:t>lament</w:t>
      </w:r>
      <w:r w:rsidR="00266D34">
        <w:t>ó</w:t>
      </w:r>
      <w:r w:rsidR="00432A34" w:rsidRPr="00F85F3E">
        <w:t xml:space="preserve"> la falta de avances reales desde su visita de</w:t>
      </w:r>
      <w:r w:rsidR="00014ABD">
        <w:t xml:space="preserve"> </w:t>
      </w:r>
      <w:r w:rsidR="00432A34" w:rsidRPr="00F85F3E">
        <w:t>2012</w:t>
      </w:r>
      <w:r w:rsidR="00862C42" w:rsidRPr="00F85F3E">
        <w:t>, cuando es</w:t>
      </w:r>
      <w:r w:rsidR="00432A34" w:rsidRPr="00F85F3E">
        <w:t>taba pen</w:t>
      </w:r>
      <w:r w:rsidR="00215E04" w:rsidRPr="00F85F3E">
        <w:t>diente de aprobación el Anteproyecto</w:t>
      </w:r>
      <w:r w:rsidR="00432A34" w:rsidRPr="00F85F3E">
        <w:t xml:space="preserve"> de </w:t>
      </w:r>
      <w:r w:rsidR="00215E04" w:rsidRPr="00F85F3E">
        <w:t>L</w:t>
      </w:r>
      <w:r w:rsidR="00432A34" w:rsidRPr="00F85F3E">
        <w:t xml:space="preserve">ey </w:t>
      </w:r>
      <w:r w:rsidR="00215E04" w:rsidRPr="00F85F3E">
        <w:t xml:space="preserve">de la </w:t>
      </w:r>
      <w:r w:rsidR="00432A34" w:rsidRPr="00F85F3E">
        <w:t>Defensoría</w:t>
      </w:r>
      <w:r w:rsidR="00215E04" w:rsidRPr="00F85F3E">
        <w:t xml:space="preserve"> Nacional</w:t>
      </w:r>
      <w:r w:rsidR="00432A34" w:rsidRPr="00F85F3E">
        <w:t xml:space="preserve"> de la Niñez</w:t>
      </w:r>
      <w:r w:rsidR="00657227" w:rsidRPr="00F85F3E">
        <w:t>, por la</w:t>
      </w:r>
      <w:r w:rsidR="00215E04" w:rsidRPr="00F85F3E">
        <w:t xml:space="preserve"> cual se creaba un nuevo órgano rector de política pública </w:t>
      </w:r>
      <w:r w:rsidRPr="00F85F3E">
        <w:t xml:space="preserve">que vele por los derechos </w:t>
      </w:r>
      <w:r w:rsidR="00215E04" w:rsidRPr="00F85F3E">
        <w:t xml:space="preserve">y la protección </w:t>
      </w:r>
      <w:r w:rsidR="00657227" w:rsidRPr="00F85F3E">
        <w:t xml:space="preserve">de la niñez, y </w:t>
      </w:r>
      <w:r w:rsidRPr="00F85F3E">
        <w:t>diseñe y coordine la ejecución de la política nacional en la materia.</w:t>
      </w:r>
      <w:r w:rsidR="004D676C" w:rsidRPr="00F85F3E">
        <w:t xml:space="preserve"> </w:t>
      </w:r>
    </w:p>
    <w:p w:rsidR="00451547" w:rsidRDefault="00AF1536" w:rsidP="00CF6199">
      <w:pPr>
        <w:pStyle w:val="SingleTxtG"/>
        <w:numPr>
          <w:ilvl w:val="0"/>
          <w:numId w:val="53"/>
        </w:numPr>
        <w:ind w:left="1134" w:firstLine="0"/>
      </w:pPr>
      <w:r>
        <w:t xml:space="preserve">Con posterioridad a su visita de seguimiento, el Gobierno, mediante Consejo de Ministros de 4 de junio de 2014, </w:t>
      </w:r>
      <w:r w:rsidR="00E00D21">
        <w:t xml:space="preserve">aprobó el </w:t>
      </w:r>
      <w:r w:rsidR="00CF6199">
        <w:t>d</w:t>
      </w:r>
      <w:r w:rsidR="00E00D21">
        <w:t>e</w:t>
      </w:r>
      <w:r>
        <w:t>creto</w:t>
      </w:r>
      <w:r w:rsidR="00E00D21">
        <w:t xml:space="preserve"> </w:t>
      </w:r>
      <w:r w:rsidR="00CF6199">
        <w:t>e</w:t>
      </w:r>
      <w:r w:rsidR="00E00D21">
        <w:t>jecutivo PCM-27-2014,</w:t>
      </w:r>
      <w:r>
        <w:t xml:space="preserve"> por el que se crea la </w:t>
      </w:r>
      <w:r w:rsidRPr="00F85F3E">
        <w:t xml:space="preserve">Dirección de la </w:t>
      </w:r>
      <w:r>
        <w:t>Niñez, Adolescencia y Familia (</w:t>
      </w:r>
      <w:r w:rsidRPr="00F85F3E">
        <w:t>DINAF</w:t>
      </w:r>
      <w:r>
        <w:t>)</w:t>
      </w:r>
      <w:r w:rsidR="00C57EB6">
        <w:t>, adjunta a la Secretaría de Desarrollo e Inclusión Social, y ordena liquidar el IHNFA.</w:t>
      </w:r>
      <w:r w:rsidR="00D62341">
        <w:t xml:space="preserve"> L</w:t>
      </w:r>
      <w:r w:rsidR="00451547">
        <w:t>a Relatora Especial saluda este</w:t>
      </w:r>
      <w:r w:rsidR="00E00D21">
        <w:t xml:space="preserve"> </w:t>
      </w:r>
      <w:r w:rsidR="00D62341">
        <w:t>avance, e insta a</w:t>
      </w:r>
      <w:r w:rsidR="00451547">
        <w:t>l Gobierno a</w:t>
      </w:r>
      <w:r w:rsidR="00D62341">
        <w:t xml:space="preserve"> que </w:t>
      </w:r>
      <w:r w:rsidR="00451547">
        <w:t>d</w:t>
      </w:r>
      <w:r w:rsidR="00D62341">
        <w:t xml:space="preserve">ote de </w:t>
      </w:r>
      <w:r w:rsidR="007F7FB9">
        <w:t xml:space="preserve">los </w:t>
      </w:r>
      <w:r w:rsidR="00D62341">
        <w:t xml:space="preserve">recursos </w:t>
      </w:r>
      <w:r w:rsidR="007F7FB9">
        <w:t xml:space="preserve">necesarios, y de manera sostenible, </w:t>
      </w:r>
      <w:r w:rsidR="00D62341">
        <w:t>a la DINAF</w:t>
      </w:r>
      <w:r w:rsidR="007F7FB9">
        <w:t>,</w:t>
      </w:r>
      <w:r w:rsidR="00D62341">
        <w:t xml:space="preserve"> </w:t>
      </w:r>
      <w:r w:rsidR="00451547">
        <w:t>con el fin de</w:t>
      </w:r>
      <w:r w:rsidR="00D62341">
        <w:t xml:space="preserve"> que </w:t>
      </w:r>
      <w:r w:rsidR="00451547">
        <w:t>cumpla</w:t>
      </w:r>
      <w:r w:rsidR="00D62341">
        <w:t xml:space="preserve"> de manera efectiva sus </w:t>
      </w:r>
      <w:r w:rsidR="00E00D21">
        <w:t>funciones</w:t>
      </w:r>
      <w:r w:rsidR="00D62341">
        <w:t xml:space="preserve">, </w:t>
      </w:r>
      <w:r w:rsidR="00E00D21">
        <w:t>entre las que se encuentra la de rectorar, formular, coordinar y supervisar la implementación de las políticas nacionales en materia de la niñez.</w:t>
      </w:r>
      <w:r w:rsidR="00D62341">
        <w:t xml:space="preserve"> </w:t>
      </w:r>
    </w:p>
    <w:p w:rsidR="004D676C" w:rsidRPr="00F85F3E" w:rsidRDefault="00D62341" w:rsidP="00CF6199">
      <w:pPr>
        <w:pStyle w:val="SingleTxtG"/>
        <w:numPr>
          <w:ilvl w:val="0"/>
          <w:numId w:val="53"/>
        </w:numPr>
        <w:ind w:left="1134" w:firstLine="0"/>
      </w:pPr>
      <w:r>
        <w:t>En particular</w:t>
      </w:r>
      <w:r w:rsidR="00E00D21">
        <w:t xml:space="preserve">, </w:t>
      </w:r>
      <w:r w:rsidR="00451547">
        <w:t xml:space="preserve">la Relatora Especial </w:t>
      </w:r>
      <w:r w:rsidR="00E00D21">
        <w:t>insta a la DINAF a</w:t>
      </w:r>
      <w:r w:rsidR="00E00D21" w:rsidRPr="00E00D21">
        <w:t xml:space="preserve"> </w:t>
      </w:r>
      <w:r w:rsidR="00E00D21" w:rsidRPr="00F85F3E">
        <w:t>que mejore la coordinación y acompañamiento técnico de las ONG dedicadas a la protección de menores</w:t>
      </w:r>
      <w:r w:rsidR="00451547">
        <w:t xml:space="preserve">, </w:t>
      </w:r>
      <w:r w:rsidR="00451547" w:rsidRPr="00F85F3E">
        <w:t xml:space="preserve">a que establezca normas </w:t>
      </w:r>
      <w:r w:rsidR="00451547">
        <w:t xml:space="preserve">y una metodología de trabajo, </w:t>
      </w:r>
      <w:r w:rsidR="00451547" w:rsidRPr="00F85F3E">
        <w:t>y ejerza una supervisión independiente de los centros y hogares de la niñez</w:t>
      </w:r>
      <w:r w:rsidR="00451547">
        <w:t>, en los que</w:t>
      </w:r>
      <w:r w:rsidR="00451547" w:rsidRPr="00F85F3E">
        <w:t xml:space="preserve"> la institucionalización de los</w:t>
      </w:r>
      <w:r w:rsidR="00451547">
        <w:t xml:space="preserve"> y las</w:t>
      </w:r>
      <w:r w:rsidR="00451547" w:rsidRPr="00F85F3E">
        <w:t xml:space="preserve"> menores constituya un último recurso, </w:t>
      </w:r>
      <w:r w:rsidR="00451547">
        <w:t>y los</w:t>
      </w:r>
      <w:r w:rsidR="00014ABD">
        <w:t xml:space="preserve"> </w:t>
      </w:r>
      <w:r w:rsidR="00451547" w:rsidRPr="00F85F3E">
        <w:t xml:space="preserve">programas </w:t>
      </w:r>
      <w:r w:rsidR="00B53D43">
        <w:t xml:space="preserve">de asistencia, recuperación y reintegración </w:t>
      </w:r>
      <w:r w:rsidR="00451547">
        <w:t xml:space="preserve">estén </w:t>
      </w:r>
      <w:r w:rsidR="00451547" w:rsidRPr="00F85F3E">
        <w:t>adaptados a las diferentes situaciones de la niñez (víctimas de explotación sexual, víctimas de abandono, niñez en situación de riesgo</w:t>
      </w:r>
      <w:r w:rsidR="00B53D43">
        <w:t xml:space="preserve">, </w:t>
      </w:r>
      <w:r w:rsidR="00CF6199">
        <w:t>entre otras</w:t>
      </w:r>
      <w:r w:rsidR="00451547" w:rsidRPr="00F85F3E">
        <w:t>)</w:t>
      </w:r>
      <w:r w:rsidR="00451547">
        <w:t>.</w:t>
      </w:r>
    </w:p>
    <w:p w:rsidR="00B53D43" w:rsidRDefault="00432A34" w:rsidP="00CF6199">
      <w:pPr>
        <w:pStyle w:val="SingleTxtG"/>
        <w:numPr>
          <w:ilvl w:val="0"/>
          <w:numId w:val="53"/>
        </w:numPr>
        <w:ind w:left="1134" w:firstLine="0"/>
      </w:pPr>
      <w:r w:rsidRPr="00F85F3E">
        <w:t xml:space="preserve">La Relatora Especial acogió con agrado </w:t>
      </w:r>
      <w:r w:rsidR="008F7064" w:rsidRPr="00F85F3E">
        <w:t xml:space="preserve">la coordinación efectiva existente </w:t>
      </w:r>
      <w:r w:rsidR="007455F5" w:rsidRPr="00F85F3E">
        <w:t>en materia de lucha contra la trata a través de</w:t>
      </w:r>
      <w:r w:rsidR="00F23CF5" w:rsidRPr="00F85F3E">
        <w:t xml:space="preserve"> la CICESCT</w:t>
      </w:r>
      <w:r w:rsidR="007455F5" w:rsidRPr="00F85F3E">
        <w:t xml:space="preserve">, </w:t>
      </w:r>
      <w:r w:rsidR="00A74D62">
        <w:t>la cual está formada</w:t>
      </w:r>
      <w:r w:rsidR="007455F5" w:rsidRPr="00F85F3E">
        <w:t>, entre otros, por</w:t>
      </w:r>
      <w:r w:rsidR="00A74D62">
        <w:t xml:space="preserve"> representantes de</w:t>
      </w:r>
      <w:r w:rsidR="007455F5" w:rsidRPr="00F85F3E">
        <w:t xml:space="preserve"> la </w:t>
      </w:r>
      <w:r w:rsidR="008F7064" w:rsidRPr="00F85F3E">
        <w:t>Fiscalía</w:t>
      </w:r>
      <w:r w:rsidR="00F23CF5" w:rsidRPr="00F85F3E">
        <w:t xml:space="preserve"> </w:t>
      </w:r>
      <w:r w:rsidR="009F4363" w:rsidRPr="00F85F3E">
        <w:t xml:space="preserve">Especial </w:t>
      </w:r>
      <w:r w:rsidR="00F23CF5" w:rsidRPr="00F85F3E">
        <w:t>de la Niñez</w:t>
      </w:r>
      <w:r w:rsidR="008F7064" w:rsidRPr="00F85F3E">
        <w:t xml:space="preserve">, </w:t>
      </w:r>
      <w:r w:rsidR="00F23CF5" w:rsidRPr="00F85F3E">
        <w:t xml:space="preserve">el </w:t>
      </w:r>
      <w:r w:rsidR="00870326" w:rsidRPr="00F85F3E">
        <w:t>I</w:t>
      </w:r>
      <w:r w:rsidR="008F7064" w:rsidRPr="00F85F3E">
        <w:t>H</w:t>
      </w:r>
      <w:r w:rsidR="00870326" w:rsidRPr="00F85F3E">
        <w:t>N</w:t>
      </w:r>
      <w:r w:rsidR="008F7064" w:rsidRPr="00F85F3E">
        <w:t xml:space="preserve">FA, </w:t>
      </w:r>
      <w:r w:rsidR="00F23CF5" w:rsidRPr="00F85F3E">
        <w:t xml:space="preserve">la </w:t>
      </w:r>
      <w:r w:rsidR="008101FD" w:rsidRPr="00F85F3E">
        <w:t>S</w:t>
      </w:r>
      <w:r w:rsidR="008101FD">
        <w:t>e</w:t>
      </w:r>
      <w:r w:rsidR="008101FD" w:rsidRPr="00F85F3E">
        <w:t>cretaría</w:t>
      </w:r>
      <w:r w:rsidR="00F23CF5" w:rsidRPr="00F85F3E">
        <w:t xml:space="preserve"> de Derechos Humanos, la </w:t>
      </w:r>
      <w:r w:rsidR="008F7064" w:rsidRPr="00F85F3E">
        <w:t xml:space="preserve">Cancillería, </w:t>
      </w:r>
      <w:r w:rsidR="00F23CF5" w:rsidRPr="00F85F3E">
        <w:t xml:space="preserve">la </w:t>
      </w:r>
      <w:r w:rsidR="00870326" w:rsidRPr="00F85F3E">
        <w:t>Dirección de M</w:t>
      </w:r>
      <w:r w:rsidR="00F23CF5" w:rsidRPr="00F85F3E">
        <w:t>igración y el Congreso</w:t>
      </w:r>
      <w:r w:rsidR="008F7064" w:rsidRPr="00F85F3E">
        <w:t>. L</w:t>
      </w:r>
      <w:r w:rsidR="0043286C" w:rsidRPr="00F85F3E">
        <w:t>a CICESCT</w:t>
      </w:r>
      <w:r w:rsidR="00F23CF5" w:rsidRPr="00F85F3E">
        <w:t>,</w:t>
      </w:r>
      <w:r w:rsidR="0043286C" w:rsidRPr="00F85F3E">
        <w:t xml:space="preserve"> </w:t>
      </w:r>
      <w:r w:rsidR="00F23CF5" w:rsidRPr="00F85F3E">
        <w:t xml:space="preserve">que </w:t>
      </w:r>
      <w:r w:rsidR="0043286C" w:rsidRPr="00F85F3E">
        <w:t xml:space="preserve">se creó </w:t>
      </w:r>
      <w:r w:rsidR="008F7064" w:rsidRPr="00F85F3E">
        <w:t>con la</w:t>
      </w:r>
      <w:r w:rsidR="007455F5" w:rsidRPr="00F85F3E">
        <w:t xml:space="preserve"> L</w:t>
      </w:r>
      <w:r w:rsidR="0043286C" w:rsidRPr="00F85F3E">
        <w:t xml:space="preserve">ey contra la </w:t>
      </w:r>
      <w:r w:rsidR="007455F5" w:rsidRPr="00F85F3E">
        <w:t>T</w:t>
      </w:r>
      <w:r w:rsidR="0043286C" w:rsidRPr="00F85F3E">
        <w:t>rata</w:t>
      </w:r>
      <w:r w:rsidR="007455F5" w:rsidRPr="00F85F3E">
        <w:t xml:space="preserve"> de P</w:t>
      </w:r>
      <w:r w:rsidR="008606B7" w:rsidRPr="00F85F3E">
        <w:t>ersonas</w:t>
      </w:r>
      <w:r w:rsidR="0043286C" w:rsidRPr="00F85F3E">
        <w:t xml:space="preserve"> de 2012, </w:t>
      </w:r>
      <w:r w:rsidR="00A74D62">
        <w:t>cuenta desde 2014 con un presupuesto anual de 4</w:t>
      </w:r>
      <w:r w:rsidR="00F30C85">
        <w:t> </w:t>
      </w:r>
      <w:r w:rsidR="00A74D62">
        <w:t>millones de lempiras (186</w:t>
      </w:r>
      <w:r w:rsidR="00CF6199">
        <w:t>.</w:t>
      </w:r>
      <w:r w:rsidR="00A74D62">
        <w:t>000</w:t>
      </w:r>
      <w:r w:rsidR="00CF6199">
        <w:t xml:space="preserve"> dólares</w:t>
      </w:r>
      <w:r w:rsidR="00A74D62">
        <w:t xml:space="preserve">), así como </w:t>
      </w:r>
      <w:r w:rsidR="00631C48">
        <w:t>fondos proporcionados por la Oficina de Administración de Bienes Incautados</w:t>
      </w:r>
      <w:r w:rsidR="00A74D62">
        <w:t>.</w:t>
      </w:r>
      <w:r w:rsidR="00014ABD">
        <w:t xml:space="preserve"> </w:t>
      </w:r>
    </w:p>
    <w:p w:rsidR="00321325" w:rsidRPr="00F85F3E" w:rsidRDefault="007F7FB9" w:rsidP="00014ABD">
      <w:pPr>
        <w:pStyle w:val="SingleTxtG"/>
        <w:numPr>
          <w:ilvl w:val="0"/>
          <w:numId w:val="53"/>
        </w:numPr>
        <w:ind w:left="1134" w:firstLine="0"/>
      </w:pPr>
      <w:r>
        <w:t xml:space="preserve">En </w:t>
      </w:r>
      <w:r w:rsidR="00631C48">
        <w:t xml:space="preserve">base al plan de acción elaborado para 2014, </w:t>
      </w:r>
      <w:r>
        <w:t>la CICESCT</w:t>
      </w:r>
      <w:r w:rsidR="00631C48">
        <w:t xml:space="preserve"> destinará dichos fondos para la instalación de una oficina y contratación de personal, la conformación de un equipo de respuesta inmediata, la organización de talleres de formación, la creación de comités locales, </w:t>
      </w:r>
      <w:r w:rsidR="008101FD">
        <w:t xml:space="preserve">la </w:t>
      </w:r>
      <w:r w:rsidR="00631C48">
        <w:t>reglamentación de la ley, fortalecimiento de la denuncia, investigación, persecución y sanción del delito, y la promoción de la debida atención a las víctimas.</w:t>
      </w:r>
      <w:r w:rsidR="00014ABD">
        <w:t xml:space="preserve"> </w:t>
      </w:r>
      <w:r w:rsidR="00E253ED">
        <w:t>En septiembre de 2014 se constituyó el Equipo de Respuesta Inmediata</w:t>
      </w:r>
      <w:r w:rsidR="008101FD">
        <w:t xml:space="preserve"> para </w:t>
      </w:r>
      <w:r w:rsidR="00E253ED">
        <w:t>identifica</w:t>
      </w:r>
      <w:r w:rsidR="008101FD">
        <w:t xml:space="preserve">r </w:t>
      </w:r>
      <w:r w:rsidR="00E253ED">
        <w:t xml:space="preserve">victimas de trata y explotación sexual comercial, y referirlas a </w:t>
      </w:r>
      <w:r w:rsidR="008101FD">
        <w:t xml:space="preserve">los </w:t>
      </w:r>
      <w:r w:rsidR="00B53D43">
        <w:t>servicios integrales de atención</w:t>
      </w:r>
      <w:r w:rsidR="00E253ED">
        <w:t>.</w:t>
      </w:r>
    </w:p>
    <w:p w:rsidR="001679E5" w:rsidRPr="00F85F3E" w:rsidRDefault="001679E5" w:rsidP="00062A91">
      <w:pPr>
        <w:pStyle w:val="SingleTxtG"/>
        <w:numPr>
          <w:ilvl w:val="0"/>
          <w:numId w:val="53"/>
        </w:numPr>
        <w:ind w:left="1134" w:firstLine="0"/>
      </w:pPr>
      <w:r w:rsidRPr="00F85F3E">
        <w:t xml:space="preserve">La Relatora Especial recibió con agrado el hecho de que </w:t>
      </w:r>
      <w:r w:rsidR="00062A91">
        <w:t xml:space="preserve">el </w:t>
      </w:r>
      <w:r w:rsidRPr="00F85F3E">
        <w:t xml:space="preserve">CONADEH haya retomado, desde 2012, la figura de las defensorías de la niñez en los municipios, encomendándoles la función de identificar vulneraciones de derechos humanos, para </w:t>
      </w:r>
      <w:r w:rsidR="00B07A3A" w:rsidRPr="00F85F3E">
        <w:t>referirlas a</w:t>
      </w:r>
      <w:r w:rsidRPr="00F85F3E">
        <w:t xml:space="preserve">l CONADEH </w:t>
      </w:r>
      <w:r w:rsidR="00B07A3A" w:rsidRPr="00F85F3E">
        <w:t xml:space="preserve">y </w:t>
      </w:r>
      <w:r w:rsidRPr="00F85F3E">
        <w:t>que ést</w:t>
      </w:r>
      <w:r w:rsidR="00062A91">
        <w:t>e</w:t>
      </w:r>
      <w:r w:rsidRPr="00F85F3E">
        <w:t xml:space="preserve"> les dé seguimiento. Asimismo, acogió con agrado la labor que los comisionados municipales de derechos humanos (creados en 2010 con la reforma de la ley de municipalidad) están realizando en favor de los derechos de la niñez tras la reforma legal integral de 2013. </w:t>
      </w:r>
      <w:r w:rsidR="007F7FB9">
        <w:t>De igual modo</w:t>
      </w:r>
      <w:r w:rsidRPr="00F85F3E">
        <w:t xml:space="preserve">, saludó el establecimiento de las mesas locales de protección social, </w:t>
      </w:r>
      <w:r w:rsidR="007F7FB9">
        <w:t>integradas por representantes</w:t>
      </w:r>
      <w:r w:rsidRPr="00F85F3E">
        <w:t xml:space="preserve"> </w:t>
      </w:r>
      <w:r w:rsidR="007F7FB9">
        <w:t>d</w:t>
      </w:r>
      <w:r w:rsidRPr="00F85F3E">
        <w:t xml:space="preserve">el Gobierno y </w:t>
      </w:r>
      <w:r w:rsidR="007F7FB9">
        <w:t xml:space="preserve">de </w:t>
      </w:r>
      <w:r w:rsidRPr="00F85F3E">
        <w:t>la sociedad civil, para crear sistemas comunitarios de protección social. La Relatora Especial celebró el involucramiento y participación activa de las ONG en estas iniciativas, lo cual resulta clave para la efectividad de las mismas.</w:t>
      </w:r>
    </w:p>
    <w:p w:rsidR="005C37AB" w:rsidRPr="00F85F3E" w:rsidRDefault="00AC21BE" w:rsidP="00AC21BE">
      <w:pPr>
        <w:pStyle w:val="H23G"/>
      </w:pPr>
      <w:r w:rsidRPr="00F85F3E">
        <w:tab/>
        <w:t>4</w:t>
      </w:r>
      <w:r w:rsidR="005C37AB" w:rsidRPr="00F85F3E">
        <w:t>.</w:t>
      </w:r>
      <w:r w:rsidR="005C37AB" w:rsidRPr="00F85F3E">
        <w:tab/>
        <w:t>Políticas y programas</w:t>
      </w:r>
    </w:p>
    <w:p w:rsidR="007F7FB9" w:rsidRPr="00FA64AB" w:rsidRDefault="007F7FB9" w:rsidP="00D0615D">
      <w:pPr>
        <w:pStyle w:val="SingleTxtG"/>
        <w:numPr>
          <w:ilvl w:val="0"/>
          <w:numId w:val="53"/>
        </w:numPr>
        <w:ind w:left="1134" w:firstLine="0"/>
      </w:pPr>
      <w:r w:rsidRPr="00FA64AB">
        <w:t>La Relatora Especial notó con agrado la implementación de algunas de sus recomendaciones</w:t>
      </w:r>
      <w:r>
        <w:t xml:space="preserve"> de 2012</w:t>
      </w:r>
      <w:r w:rsidRPr="00FA64AB">
        <w:t>, como la adopción y ejecución de protocolos y guías</w:t>
      </w:r>
      <w:r>
        <w:t xml:space="preserve"> sobre investigación</w:t>
      </w:r>
      <w:r w:rsidR="00834D64">
        <w:t xml:space="preserve"> de casos de trata y explotación sexual comercial</w:t>
      </w:r>
      <w:r w:rsidRPr="00FA64AB">
        <w:t>, el establecimiento y conti</w:t>
      </w:r>
      <w:r w:rsidR="002E53FE">
        <w:t>nuación de mecanismos de queja a través de páginas web y</w:t>
      </w:r>
      <w:r w:rsidRPr="00FA64AB">
        <w:t xml:space="preserve"> </w:t>
      </w:r>
      <w:r w:rsidR="00BC1947" w:rsidRPr="00FA64AB">
        <w:t>SMS</w:t>
      </w:r>
      <w:r w:rsidRPr="00FA64AB">
        <w:t>, la organización y difusión de campañas de sensibilización</w:t>
      </w:r>
      <w:r w:rsidR="000E129F" w:rsidRPr="000E129F">
        <w:t xml:space="preserve"> </w:t>
      </w:r>
      <w:r w:rsidR="000E129F">
        <w:t>y educación</w:t>
      </w:r>
      <w:r w:rsidRPr="00FA64AB">
        <w:t>,</w:t>
      </w:r>
      <w:r w:rsidR="00014ABD">
        <w:t xml:space="preserve"> </w:t>
      </w:r>
      <w:r w:rsidRPr="00FA64AB">
        <w:t>la capacitación</w:t>
      </w:r>
      <w:r w:rsidR="00834D64">
        <w:t xml:space="preserve"> </w:t>
      </w:r>
      <w:r w:rsidR="0055724A">
        <w:t xml:space="preserve">y formación </w:t>
      </w:r>
      <w:r w:rsidR="00834D64">
        <w:t xml:space="preserve">de personal que </w:t>
      </w:r>
      <w:r w:rsidR="002E53FE">
        <w:t>asiste</w:t>
      </w:r>
      <w:r w:rsidR="00834D64">
        <w:t xml:space="preserve"> a la niñez víctima</w:t>
      </w:r>
      <w:r w:rsidR="002E53FE">
        <w:t xml:space="preserve"> de trata y explotación sexual</w:t>
      </w:r>
      <w:r w:rsidR="00337C3A">
        <w:t xml:space="preserve">, </w:t>
      </w:r>
      <w:r w:rsidR="00337C3A" w:rsidRPr="00FA64AB">
        <w:t>y</w:t>
      </w:r>
      <w:r w:rsidR="00337C3A" w:rsidRPr="00337C3A">
        <w:t xml:space="preserve"> </w:t>
      </w:r>
      <w:r w:rsidR="00337C3A" w:rsidRPr="00FA64AB">
        <w:t>las mejoras en el acceso a la educación</w:t>
      </w:r>
      <w:r w:rsidRPr="00FA64AB">
        <w:t>.</w:t>
      </w:r>
      <w:r w:rsidR="00014ABD">
        <w:t xml:space="preserve"> </w:t>
      </w:r>
    </w:p>
    <w:p w:rsidR="002E53FE" w:rsidRDefault="007F7FB9" w:rsidP="00014ABD">
      <w:pPr>
        <w:pStyle w:val="SingleTxtG"/>
        <w:numPr>
          <w:ilvl w:val="0"/>
          <w:numId w:val="53"/>
        </w:numPr>
        <w:ind w:left="1134" w:firstLine="0"/>
      </w:pPr>
      <w:r w:rsidRPr="00FA64AB">
        <w:t>Sin embargo, la Relatora Especial lamentó la suspensión del programa</w:t>
      </w:r>
      <w:r w:rsidR="00834D64">
        <w:t xml:space="preserve"> de denuncia</w:t>
      </w:r>
      <w:r w:rsidRPr="00FA64AB">
        <w:t xml:space="preserve">s </w:t>
      </w:r>
      <w:r w:rsidR="00834D64">
        <w:t xml:space="preserve">telefónicas </w:t>
      </w:r>
      <w:r w:rsidRPr="00FA64AB">
        <w:t xml:space="preserve">“Rompiendo el silencio” y la </w:t>
      </w:r>
      <w:r w:rsidR="00834D64">
        <w:t>línea t</w:t>
      </w:r>
      <w:r w:rsidR="00834D64" w:rsidRPr="00C115C8">
        <w:t xml:space="preserve">elefónica de </w:t>
      </w:r>
      <w:r w:rsidR="00834D64">
        <w:t>a</w:t>
      </w:r>
      <w:r w:rsidR="00834D64" w:rsidRPr="00C115C8">
        <w:t xml:space="preserve">sistencia a </w:t>
      </w:r>
      <w:r w:rsidR="00834D64">
        <w:t>v</w:t>
      </w:r>
      <w:r w:rsidR="00834D64" w:rsidRPr="00C115C8">
        <w:t xml:space="preserve">íctimas de </w:t>
      </w:r>
      <w:r w:rsidR="00834D64">
        <w:t>t</w:t>
      </w:r>
      <w:r w:rsidR="00834D64" w:rsidRPr="00C115C8">
        <w:t>rata</w:t>
      </w:r>
      <w:r w:rsidRPr="00834D64">
        <w:t>,</w:t>
      </w:r>
      <w:r w:rsidR="002E53FE">
        <w:t xml:space="preserve"> por haber llegado </w:t>
      </w:r>
      <w:r w:rsidRPr="00FA64AB">
        <w:t>a término el apoyo prestado</w:t>
      </w:r>
      <w:r w:rsidR="00014ABD">
        <w:t xml:space="preserve"> </w:t>
      </w:r>
      <w:r w:rsidRPr="00FA64AB">
        <w:t>por la cooperación internacional</w:t>
      </w:r>
      <w:r w:rsidR="00454AC4">
        <w:t xml:space="preserve"> al respecto</w:t>
      </w:r>
      <w:r w:rsidRPr="00FA64AB">
        <w:t xml:space="preserve">. </w:t>
      </w:r>
      <w:r w:rsidR="00E210B7">
        <w:t>Con posterioridad a su visita de seguimiento, l</w:t>
      </w:r>
      <w:r w:rsidRPr="00FA64AB">
        <w:t xml:space="preserve">a Relatora </w:t>
      </w:r>
      <w:r w:rsidR="00E210B7" w:rsidRPr="00FA64AB">
        <w:t>Especial</w:t>
      </w:r>
      <w:r w:rsidR="00E210B7">
        <w:t xml:space="preserve"> fue informada de la reapertura de la línea de asistencia a víctimas de trata (505 89905187)</w:t>
      </w:r>
      <w:r w:rsidR="00337C3A">
        <w:t>.</w:t>
      </w:r>
      <w:r w:rsidR="00E210B7">
        <w:t xml:space="preserve"> La Relatora Especial</w:t>
      </w:r>
      <w:r w:rsidR="002E53FE">
        <w:t xml:space="preserve"> reitera </w:t>
      </w:r>
      <w:r w:rsidR="00E210B7">
        <w:t>su</w:t>
      </w:r>
      <w:r w:rsidR="002E53FE">
        <w:t xml:space="preserve"> llamado de 2012 para que </w:t>
      </w:r>
      <w:r w:rsidR="00E210B7">
        <w:t xml:space="preserve">las autoridades competentes </w:t>
      </w:r>
      <w:r w:rsidR="002E53FE">
        <w:t>desarrollen</w:t>
      </w:r>
      <w:r w:rsidR="002E53FE" w:rsidRPr="00386B8C">
        <w:t xml:space="preserve"> nuevos mecanismos de queja y denuncia </w:t>
      </w:r>
      <w:r w:rsidR="002E53FE">
        <w:t xml:space="preserve">que sean </w:t>
      </w:r>
      <w:r w:rsidR="002E53FE" w:rsidRPr="00386B8C">
        <w:t>fácilmente accesibles para todos los niños</w:t>
      </w:r>
      <w:r w:rsidR="002E53FE">
        <w:t xml:space="preserve"> y niñas</w:t>
      </w:r>
      <w:r w:rsidR="002E53FE" w:rsidRPr="00386B8C">
        <w:t xml:space="preserve">, en todo el territorio y sin discriminación, incluso en los centros de internamiento de </w:t>
      </w:r>
      <w:r w:rsidR="002E53FE">
        <w:t>la niñez</w:t>
      </w:r>
      <w:r w:rsidR="002E53FE" w:rsidRPr="00386B8C">
        <w:t xml:space="preserve"> en conflicto con la ley</w:t>
      </w:r>
      <w:r w:rsidR="002E53FE">
        <w:t>.</w:t>
      </w:r>
    </w:p>
    <w:p w:rsidR="00D3686F" w:rsidRDefault="007F7FB9" w:rsidP="00014ABD">
      <w:pPr>
        <w:pStyle w:val="SingleTxtG"/>
        <w:numPr>
          <w:ilvl w:val="0"/>
          <w:numId w:val="53"/>
        </w:numPr>
        <w:ind w:left="1134" w:firstLine="0"/>
      </w:pPr>
      <w:r w:rsidRPr="00FA64AB">
        <w:t xml:space="preserve">La Relatora Especial también recuerda que dos de sus recomendaciones siguen pendientes de implementación, en particular, la implantación y difusión de programas de educación sexual, así como programas de protección en línea, por lo que urge a las autoridades competentes a diseñarlas y </w:t>
      </w:r>
      <w:r w:rsidR="00CB2C80">
        <w:t xml:space="preserve">a </w:t>
      </w:r>
      <w:r w:rsidRPr="00FA64AB">
        <w:t>ejecutarlas en la mayor brevedad posible.</w:t>
      </w:r>
      <w:r w:rsidR="002E53FE">
        <w:t xml:space="preserve"> </w:t>
      </w:r>
    </w:p>
    <w:p w:rsidR="002E53FE" w:rsidRDefault="002E53FE" w:rsidP="00DC19A4">
      <w:pPr>
        <w:pStyle w:val="SingleTxtG"/>
        <w:numPr>
          <w:ilvl w:val="0"/>
          <w:numId w:val="53"/>
        </w:numPr>
        <w:ind w:left="1134" w:firstLine="0"/>
      </w:pPr>
      <w:r>
        <w:t>En materia de responsabilidad social de empresas, la Relatora Especial acogió con agrado la continuidad de la vigencia del</w:t>
      </w:r>
      <w:r w:rsidRPr="00FA64AB">
        <w:t xml:space="preserve"> código de conducta de C</w:t>
      </w:r>
      <w:r w:rsidR="00DC19A4">
        <w:t>A</w:t>
      </w:r>
      <w:r w:rsidRPr="00FA64AB">
        <w:t>NATURH</w:t>
      </w:r>
      <w:r w:rsidR="00CB2C80">
        <w:t xml:space="preserve">. Sin embargo, lamentó la falta de avances en la implicación de los proveedores de </w:t>
      </w:r>
      <w:r w:rsidR="009A7893">
        <w:t>I</w:t>
      </w:r>
      <w:r w:rsidR="00CB2C80">
        <w:t xml:space="preserve">nternet y otras empresas de telecomunicaciones en la lucha contra la </w:t>
      </w:r>
      <w:r w:rsidR="004F50E8">
        <w:t>explotación sexual de niños</w:t>
      </w:r>
      <w:r w:rsidR="002638D8">
        <w:t xml:space="preserve"> y </w:t>
      </w:r>
      <w:r w:rsidR="004F50E8">
        <w:t>niñas</w:t>
      </w:r>
      <w:r w:rsidR="00CB2C80">
        <w:t xml:space="preserve"> en </w:t>
      </w:r>
      <w:r w:rsidR="009A7893">
        <w:t>I</w:t>
      </w:r>
      <w:r w:rsidR="00CB2C80">
        <w:t>nternet, por lo que reiteró su llamado a CONATEL para que adopte un sistema de autorregulación con el fin de proteger a la niñez contra la explotación sexual en línea.</w:t>
      </w:r>
    </w:p>
    <w:p w:rsidR="00CF696C" w:rsidRDefault="004F4DA3" w:rsidP="00464253">
      <w:pPr>
        <w:pStyle w:val="SingleTxtG"/>
        <w:numPr>
          <w:ilvl w:val="0"/>
          <w:numId w:val="53"/>
        </w:numPr>
        <w:ind w:left="1134" w:firstLine="0"/>
      </w:pPr>
      <w:r w:rsidRPr="00F85F3E">
        <w:t>La Relatora Especial saludó la adopción de numerosas políticas sectoriales en mat</w:t>
      </w:r>
      <w:r w:rsidR="005B0FBF" w:rsidRPr="00F85F3E">
        <w:t xml:space="preserve">eria de </w:t>
      </w:r>
      <w:r w:rsidR="00B726D9" w:rsidRPr="00F85F3E">
        <w:t>educación, salud</w:t>
      </w:r>
      <w:r w:rsidR="005B0FBF" w:rsidRPr="00F85F3E">
        <w:t xml:space="preserve"> y protección </w:t>
      </w:r>
      <w:r w:rsidRPr="00F85F3E">
        <w:t>social</w:t>
      </w:r>
      <w:r w:rsidR="00EF25FC" w:rsidRPr="00F85F3E">
        <w:t xml:space="preserve">, entre las que destacan </w:t>
      </w:r>
      <w:r w:rsidR="00B726D9" w:rsidRPr="00F85F3E">
        <w:t xml:space="preserve">la política pública de primera infancia y </w:t>
      </w:r>
      <w:r w:rsidR="00EF25FC" w:rsidRPr="00F85F3E">
        <w:t>la política de protección social</w:t>
      </w:r>
      <w:r w:rsidRPr="00F85F3E">
        <w:t xml:space="preserve">. </w:t>
      </w:r>
      <w:r w:rsidR="00CF696C" w:rsidRPr="00F85F3E">
        <w:t xml:space="preserve">En la práctica, estas políticas se han traducido en una serie de programas, </w:t>
      </w:r>
      <w:r w:rsidR="003041A0" w:rsidRPr="00F85F3E">
        <w:t>como</w:t>
      </w:r>
      <w:r w:rsidR="00CF696C" w:rsidRPr="00F85F3E">
        <w:t xml:space="preserve"> el denominado “bono 10</w:t>
      </w:r>
      <w:r w:rsidR="00464253">
        <w:t>.</w:t>
      </w:r>
      <w:r w:rsidR="00CF696C" w:rsidRPr="00F85F3E">
        <w:t>000” (transferencias</w:t>
      </w:r>
      <w:r w:rsidR="0062759E" w:rsidRPr="00F85F3E">
        <w:t xml:space="preserve"> monetarias condicionadas a</w:t>
      </w:r>
      <w:r w:rsidR="00CF696C" w:rsidRPr="00F85F3E">
        <w:t xml:space="preserve"> familias </w:t>
      </w:r>
      <w:r w:rsidR="0062759E" w:rsidRPr="00F85F3E">
        <w:t xml:space="preserve">en situación de </w:t>
      </w:r>
      <w:r w:rsidR="00CF696C" w:rsidRPr="00F85F3E">
        <w:t>pobre</w:t>
      </w:r>
      <w:r w:rsidR="0062759E" w:rsidRPr="00F85F3E">
        <w:t>za extrema</w:t>
      </w:r>
      <w:r w:rsidR="00CF696C" w:rsidRPr="00F85F3E">
        <w:t xml:space="preserve">), la creación de un registro único de beneficiarios, y la adopción del piso básico de protección social </w:t>
      </w:r>
      <w:r w:rsidR="00E42BD1" w:rsidRPr="00F85F3E">
        <w:t>no contributiva</w:t>
      </w:r>
      <w:r w:rsidR="00D3686F">
        <w:t>,</w:t>
      </w:r>
      <w:r w:rsidR="00E42BD1" w:rsidRPr="00F85F3E">
        <w:t xml:space="preserve"> </w:t>
      </w:r>
      <w:r w:rsidR="00CF696C" w:rsidRPr="00F85F3E">
        <w:t xml:space="preserve">actualmente en proceso de implantación. </w:t>
      </w:r>
    </w:p>
    <w:p w:rsidR="00040BD8" w:rsidRPr="00F85F3E" w:rsidRDefault="003041A0" w:rsidP="00014ABD">
      <w:pPr>
        <w:pStyle w:val="SingleTxtG"/>
        <w:numPr>
          <w:ilvl w:val="0"/>
          <w:numId w:val="53"/>
        </w:numPr>
        <w:ind w:left="1134" w:firstLine="0"/>
      </w:pPr>
      <w:r w:rsidRPr="00F85F3E">
        <w:t xml:space="preserve">La Relatora Especial entiende que el reto actual consiste </w:t>
      </w:r>
      <w:r w:rsidR="003F2490" w:rsidRPr="00F85F3E">
        <w:t xml:space="preserve">en </w:t>
      </w:r>
      <w:r w:rsidR="004F4DA3" w:rsidRPr="00F85F3E">
        <w:t>ejecutar</w:t>
      </w:r>
      <w:r w:rsidR="00040BD8" w:rsidRPr="00F85F3E">
        <w:t>,</w:t>
      </w:r>
      <w:r w:rsidR="004F4DA3" w:rsidRPr="00F85F3E">
        <w:t xml:space="preserve"> </w:t>
      </w:r>
      <w:r w:rsidR="00040BD8" w:rsidRPr="00F85F3E">
        <w:t xml:space="preserve">a través de la nueva estructura institucional, </w:t>
      </w:r>
      <w:r w:rsidR="004F4DA3" w:rsidRPr="00F85F3E">
        <w:t xml:space="preserve">las políticas </w:t>
      </w:r>
      <w:r w:rsidR="00040BD8" w:rsidRPr="00F85F3E">
        <w:t xml:space="preserve">ya </w:t>
      </w:r>
      <w:r w:rsidR="004F4DA3" w:rsidRPr="00F85F3E">
        <w:t>generadas</w:t>
      </w:r>
      <w:r w:rsidR="00040BD8" w:rsidRPr="00F85F3E">
        <w:t xml:space="preserve">. La Relatora Especial tomó nota de la tendencia a </w:t>
      </w:r>
      <w:r w:rsidRPr="00F85F3E">
        <w:t>crea</w:t>
      </w:r>
      <w:r w:rsidR="00040BD8" w:rsidRPr="00F85F3E">
        <w:t>r multiplicidad de</w:t>
      </w:r>
      <w:r w:rsidRPr="00F85F3E">
        <w:t xml:space="preserve"> comités técnicos</w:t>
      </w:r>
      <w:r w:rsidR="00040BD8" w:rsidRPr="00F85F3E">
        <w:t xml:space="preserve"> para discutir la</w:t>
      </w:r>
      <w:r w:rsidRPr="00F85F3E">
        <w:t xml:space="preserve"> implementación de las políticas</w:t>
      </w:r>
      <w:r w:rsidR="00040BD8" w:rsidRPr="00F85F3E">
        <w:t xml:space="preserve"> adoptadas. Sin embargo, el </w:t>
      </w:r>
      <w:r w:rsidRPr="00F85F3E">
        <w:t>impacto de las mismas</w:t>
      </w:r>
      <w:r w:rsidR="00040BD8" w:rsidRPr="00F85F3E">
        <w:t xml:space="preserve"> no parece llegar </w:t>
      </w:r>
      <w:r w:rsidRPr="00F85F3E">
        <w:t xml:space="preserve">a nivel local y de la </w:t>
      </w:r>
      <w:r w:rsidR="001E00C4">
        <w:t>niñez</w:t>
      </w:r>
      <w:r w:rsidR="00DB0191" w:rsidRPr="00F85F3E">
        <w:t>.</w:t>
      </w:r>
      <w:r w:rsidRPr="00F85F3E">
        <w:t xml:space="preserve"> </w:t>
      </w:r>
      <w:r w:rsidR="003F2490" w:rsidRPr="00F85F3E">
        <w:t xml:space="preserve">Asimismo, queda por determinar la coordinación </w:t>
      </w:r>
      <w:r w:rsidR="00A5545E" w:rsidRPr="00F85F3E">
        <w:t xml:space="preserve">y complementariedad </w:t>
      </w:r>
      <w:r w:rsidR="00CF696C" w:rsidRPr="00F85F3E">
        <w:t>d</w:t>
      </w:r>
      <w:r w:rsidR="003F2490" w:rsidRPr="00F85F3E">
        <w:t xml:space="preserve">e estas políticas con el Plan </w:t>
      </w:r>
      <w:r w:rsidRPr="00F85F3E">
        <w:t xml:space="preserve">de Acción </w:t>
      </w:r>
      <w:r w:rsidR="003F2490" w:rsidRPr="00F85F3E">
        <w:t>de Derechos Humanos</w:t>
      </w:r>
      <w:r w:rsidR="00040BD8" w:rsidRPr="00F85F3E">
        <w:t xml:space="preserve">. </w:t>
      </w:r>
    </w:p>
    <w:p w:rsidR="00816E8B" w:rsidRPr="00D0615D" w:rsidRDefault="00DB0191" w:rsidP="00464253">
      <w:pPr>
        <w:pStyle w:val="SingleTxtG"/>
        <w:numPr>
          <w:ilvl w:val="0"/>
          <w:numId w:val="53"/>
        </w:numPr>
        <w:ind w:left="1134" w:firstLine="0"/>
      </w:pPr>
      <w:r w:rsidRPr="00F85F3E">
        <w:t>Además, la Relatora Especial notó con preocupación que se navega sin un marco estratégico de protección de la niñez, que incluya</w:t>
      </w:r>
      <w:r w:rsidR="00ED7912" w:rsidRPr="00F85F3E">
        <w:t xml:space="preserve"> no solo a niñas y niños </w:t>
      </w:r>
      <w:r w:rsidRPr="00F85F3E">
        <w:t xml:space="preserve">víctimas, </w:t>
      </w:r>
      <w:r w:rsidR="00ED7912" w:rsidRPr="00F85F3E">
        <w:t xml:space="preserve">sino también a la </w:t>
      </w:r>
      <w:r w:rsidRPr="00F85F3E">
        <w:t xml:space="preserve">niñez en riesgo. </w:t>
      </w:r>
      <w:r w:rsidR="00ED7912" w:rsidRPr="00F85F3E">
        <w:t>La Relatora Especial urge a las autoridades competentes a</w:t>
      </w:r>
      <w:r w:rsidR="00CF696C" w:rsidRPr="00F85F3E">
        <w:t xml:space="preserve"> </w:t>
      </w:r>
      <w:r w:rsidR="006E02AC" w:rsidRPr="00F85F3E">
        <w:t xml:space="preserve">capitalizar </w:t>
      </w:r>
      <w:r w:rsidR="00ED7912" w:rsidRPr="00F85F3E">
        <w:t>la</w:t>
      </w:r>
      <w:r w:rsidR="00EE6527" w:rsidRPr="00F85F3E">
        <w:t xml:space="preserve">s iniciativas </w:t>
      </w:r>
      <w:r w:rsidR="00ED7912" w:rsidRPr="00F85F3E">
        <w:t xml:space="preserve">existentes </w:t>
      </w:r>
      <w:r w:rsidR="00EE6527" w:rsidRPr="00F85F3E">
        <w:t>para establecer un sistema integral de protección de la niñez</w:t>
      </w:r>
      <w:r w:rsidR="00ED7912" w:rsidRPr="00F85F3E">
        <w:t xml:space="preserve">, </w:t>
      </w:r>
      <w:r w:rsidR="00CF696C" w:rsidRPr="00F85F3E">
        <w:t xml:space="preserve">que incluya la </w:t>
      </w:r>
      <w:r w:rsidR="003D56AA" w:rsidRPr="00F85F3E">
        <w:t>sensibilización, prevención, educación sexual, recopilación y análisis de datos, la identificación, investigación, persecución penal y sanción de los culpables</w:t>
      </w:r>
      <w:r w:rsidR="00ED7912" w:rsidRPr="00F85F3E">
        <w:t xml:space="preserve">, </w:t>
      </w:r>
      <w:r w:rsidR="003D56AA" w:rsidRPr="00F85F3E">
        <w:t xml:space="preserve">la creación de mecanismos de asesoramiento y denuncia adaptados a la niñez, </w:t>
      </w:r>
      <w:r w:rsidR="00AA7047" w:rsidRPr="00F85F3E">
        <w:t xml:space="preserve">y </w:t>
      </w:r>
      <w:r w:rsidR="003D56AA" w:rsidRPr="00F85F3E">
        <w:t>servicios de atención, rehabilitación e integración social de las víctimas</w:t>
      </w:r>
      <w:r w:rsidR="00ED7912" w:rsidRPr="00F85F3E">
        <w:t xml:space="preserve">. </w:t>
      </w:r>
      <w:r w:rsidR="006E02AC" w:rsidRPr="00F85F3E">
        <w:t>La protección de la niñez necesita de muchos actores y para que la cadena de protección sea efectiva debe funcionar de manera coordinada</w:t>
      </w:r>
      <w:r w:rsidR="00ED7912" w:rsidRPr="00F85F3E">
        <w:t xml:space="preserve">, con </w:t>
      </w:r>
      <w:r w:rsidR="00454AC4">
        <w:t>de</w:t>
      </w:r>
      <w:r w:rsidR="00ED7912" w:rsidRPr="00F85F3E">
        <w:t>signación de un rol para cada organismo</w:t>
      </w:r>
      <w:r w:rsidR="00C72CC6" w:rsidRPr="00F85F3E">
        <w:t xml:space="preserve"> </w:t>
      </w:r>
      <w:r w:rsidR="00ED7912" w:rsidRPr="00F85F3E">
        <w:t xml:space="preserve">y </w:t>
      </w:r>
      <w:r w:rsidR="003D56AA" w:rsidRPr="00F85F3E">
        <w:t xml:space="preserve">asignación efectiva de un </w:t>
      </w:r>
      <w:r w:rsidR="00ED7912" w:rsidRPr="00F85F3E">
        <w:t>presupuesto</w:t>
      </w:r>
      <w:r w:rsidR="006E02AC" w:rsidRPr="00F85F3E">
        <w:t>.</w:t>
      </w:r>
      <w:r w:rsidR="00040BD8" w:rsidRPr="00F85F3E">
        <w:t xml:space="preserve"> </w:t>
      </w:r>
      <w:r w:rsidR="00B726D9" w:rsidRPr="00F85F3E">
        <w:t>A este respecto</w:t>
      </w:r>
      <w:r w:rsidR="00816E8B" w:rsidRPr="00F85F3E">
        <w:t>, la Relatora Especial expresó su preocupación por la sostenibilidad de las políticas adoptadas, dada su extrema dependencia de la cooperación internacional y de la ejecución por parte de ONG</w:t>
      </w:r>
      <w:r w:rsidR="00816E8B" w:rsidRPr="003C66AC">
        <w:t>.</w:t>
      </w:r>
    </w:p>
    <w:p w:rsidR="00BC7ADA" w:rsidRPr="00F85F3E" w:rsidRDefault="001E00C4" w:rsidP="00831859">
      <w:pPr>
        <w:pStyle w:val="SingleTxtG"/>
        <w:numPr>
          <w:ilvl w:val="0"/>
          <w:numId w:val="53"/>
        </w:numPr>
        <w:ind w:left="1134" w:firstLine="0"/>
      </w:pPr>
      <w:r>
        <w:t>A este respecto, e</w:t>
      </w:r>
      <w:r w:rsidR="00040BD8" w:rsidRPr="00F85F3E">
        <w:t xml:space="preserve">l Plan </w:t>
      </w:r>
      <w:r w:rsidR="003D56AA" w:rsidRPr="00F85F3E">
        <w:t>de Acción de Derechos Humanos constituye un</w:t>
      </w:r>
      <w:r w:rsidR="00AA7047" w:rsidRPr="00F85F3E">
        <w:t>a herramienta</w:t>
      </w:r>
      <w:r w:rsidR="003D56AA" w:rsidRPr="00F85F3E">
        <w:t xml:space="preserve"> </w:t>
      </w:r>
      <w:r w:rsidR="00AA7047" w:rsidRPr="00F85F3E">
        <w:t>importante</w:t>
      </w:r>
      <w:r w:rsidR="003D56AA" w:rsidRPr="00F85F3E">
        <w:t xml:space="preserve"> a capitalizar. </w:t>
      </w:r>
      <w:r w:rsidR="00AA7047" w:rsidRPr="00F85F3E">
        <w:t>La matriz sobre la niñez consta de nueve componentes (sobre legislación, políticas públicas, cultura de derechos humanos, desarrollo de capacidades, rendición de cuentas y transparencia, y acciones urgentes), que suman 178 acc</w:t>
      </w:r>
      <w:r w:rsidR="004A12B1" w:rsidRPr="00F85F3E">
        <w:t>iones estratégicas (en materia de lucha contra la trata de personas y explotación sexual, trabajo infantil, hijos e hijas de migrantes, niñez con discapacidad</w:t>
      </w:r>
      <w:r w:rsidR="00C72CC6" w:rsidRPr="00F85F3E">
        <w:t>, entre otros</w:t>
      </w:r>
      <w:r w:rsidR="004A12B1" w:rsidRPr="00F85F3E">
        <w:t xml:space="preserve">), divididos por responsables directos y </w:t>
      </w:r>
      <w:r w:rsidR="00AA7047" w:rsidRPr="00F85F3E">
        <w:t>fechas</w:t>
      </w:r>
      <w:r w:rsidR="004A12B1" w:rsidRPr="00F85F3E">
        <w:t xml:space="preserve"> de ejecución</w:t>
      </w:r>
      <w:r w:rsidR="00AA7047" w:rsidRPr="00F85F3E">
        <w:t xml:space="preserve">. </w:t>
      </w:r>
      <w:r w:rsidR="004A12B1" w:rsidRPr="00F85F3E">
        <w:t xml:space="preserve">Sin embargo, es fundamental que el </w:t>
      </w:r>
      <w:r w:rsidR="007D5519">
        <w:t>P</w:t>
      </w:r>
      <w:r w:rsidR="004A12B1" w:rsidRPr="00F85F3E">
        <w:t xml:space="preserve">lan </w:t>
      </w:r>
      <w:r w:rsidR="007D5519">
        <w:t xml:space="preserve">de Acción </w:t>
      </w:r>
      <w:r w:rsidR="00B726D9" w:rsidRPr="00F85F3E">
        <w:t>incluya</w:t>
      </w:r>
      <w:r w:rsidR="004A12B1" w:rsidRPr="00F85F3E">
        <w:t xml:space="preserve"> indicadores de protección de la niñez para evaluar su impacto real</w:t>
      </w:r>
      <w:r w:rsidR="00C72CC6" w:rsidRPr="00F85F3E">
        <w:t xml:space="preserve">, </w:t>
      </w:r>
      <w:r w:rsidR="00852FED">
        <w:t>que e</w:t>
      </w:r>
      <w:r w:rsidR="00852FED" w:rsidRPr="00F85F3E">
        <w:t>l ente rector responsable de la política pública en materia de la niñez</w:t>
      </w:r>
      <w:r w:rsidR="00852FED">
        <w:t xml:space="preserve"> asuma su responsabilidad en la coordinación y supervisión, y </w:t>
      </w:r>
      <w:r w:rsidR="007D5519">
        <w:t xml:space="preserve">que </w:t>
      </w:r>
      <w:r w:rsidR="00C72CC6" w:rsidRPr="00F85F3E">
        <w:t>se le asignen los recursos n</w:t>
      </w:r>
      <w:r w:rsidR="00AA7047" w:rsidRPr="00F85F3E">
        <w:t xml:space="preserve">ecesarios para su </w:t>
      </w:r>
      <w:r w:rsidR="005E0FBA" w:rsidRPr="00F85F3E">
        <w:t>ejecución</w:t>
      </w:r>
      <w:r w:rsidR="005E0FBA">
        <w:t>.</w:t>
      </w:r>
    </w:p>
    <w:p w:rsidR="00816E8B" w:rsidRPr="00F85F3E" w:rsidRDefault="004F4DA3" w:rsidP="00014ABD">
      <w:pPr>
        <w:pStyle w:val="SingleTxtG"/>
        <w:numPr>
          <w:ilvl w:val="0"/>
          <w:numId w:val="53"/>
        </w:numPr>
        <w:ind w:left="1134" w:firstLine="0"/>
      </w:pPr>
      <w:r w:rsidRPr="00F85F3E">
        <w:t xml:space="preserve">Entre las falencias de las actuales medidas, </w:t>
      </w:r>
      <w:r w:rsidR="006E6256" w:rsidRPr="00F85F3E">
        <w:t xml:space="preserve">aparte </w:t>
      </w:r>
      <w:r w:rsidR="00464253">
        <w:t xml:space="preserve">de </w:t>
      </w:r>
      <w:r w:rsidR="006E6256" w:rsidRPr="00F85F3E">
        <w:t>la</w:t>
      </w:r>
      <w:r w:rsidRPr="00F85F3E">
        <w:t xml:space="preserve"> multiplicidad de planes</w:t>
      </w:r>
      <w:r w:rsidR="004A12B1" w:rsidRPr="00F85F3E">
        <w:t xml:space="preserve"> y comités técnicos</w:t>
      </w:r>
      <w:r w:rsidRPr="00F85F3E">
        <w:t xml:space="preserve">, </w:t>
      </w:r>
      <w:r w:rsidR="006E6256" w:rsidRPr="00F85F3E">
        <w:t xml:space="preserve">la Relatora Especial notó que los mismos </w:t>
      </w:r>
      <w:r w:rsidRPr="00F85F3E">
        <w:t>carecen de seguimiento y evaluación de impacto</w:t>
      </w:r>
      <w:r w:rsidR="006E6256" w:rsidRPr="00F85F3E">
        <w:t xml:space="preserve">. </w:t>
      </w:r>
      <w:r w:rsidR="00816E8B" w:rsidRPr="00F85F3E">
        <w:t xml:space="preserve">En este sentido, la Relatora Especial acogió como un avance positivo la creación de mesas de protección social en las mancomunidades, las cuales </w:t>
      </w:r>
      <w:r w:rsidR="00B726D9" w:rsidRPr="00F85F3E">
        <w:t>est</w:t>
      </w:r>
      <w:r w:rsidR="00816E8B" w:rsidRPr="00F85F3E">
        <w:t>án encargadas de recabar indicadores cualitativos y cuantitativos para la medición de avances en materia de políticas sociales.</w:t>
      </w:r>
    </w:p>
    <w:p w:rsidR="00CF696C" w:rsidRPr="00F85F3E" w:rsidRDefault="003F2490" w:rsidP="00014ABD">
      <w:pPr>
        <w:pStyle w:val="SingleTxtG"/>
        <w:numPr>
          <w:ilvl w:val="0"/>
          <w:numId w:val="53"/>
        </w:numPr>
        <w:ind w:left="1134" w:firstLine="0"/>
      </w:pPr>
      <w:r w:rsidRPr="00F85F3E">
        <w:t xml:space="preserve">Otro aspecto que requiere de un incremento de esfuerzos es la inversión en </w:t>
      </w:r>
      <w:r w:rsidR="004F4DA3" w:rsidRPr="00F85F3E">
        <w:t xml:space="preserve">políticas y programas </w:t>
      </w:r>
      <w:r w:rsidRPr="00F85F3E">
        <w:t xml:space="preserve">que </w:t>
      </w:r>
      <w:r w:rsidR="004F4DA3" w:rsidRPr="00F85F3E">
        <w:t>lleguen a nivel local</w:t>
      </w:r>
      <w:r w:rsidR="006E02AC" w:rsidRPr="00F85F3E">
        <w:t xml:space="preserve">. </w:t>
      </w:r>
      <w:r w:rsidR="00C72CC6" w:rsidRPr="00F85F3E">
        <w:t>Consciente de la existencia</w:t>
      </w:r>
      <w:r w:rsidR="006E02AC" w:rsidRPr="00F85F3E">
        <w:t xml:space="preserve"> de</w:t>
      </w:r>
      <w:r w:rsidR="004F4DA3" w:rsidRPr="00F85F3E">
        <w:t xml:space="preserve"> una disposición legal que obliga a destinar </w:t>
      </w:r>
      <w:r w:rsidR="006E02AC" w:rsidRPr="00F85F3E">
        <w:t xml:space="preserve">a la niñez </w:t>
      </w:r>
      <w:r w:rsidR="004F4DA3" w:rsidRPr="00F85F3E">
        <w:t>el 5% de los fondos que transfiere el Gobierno a los municipios</w:t>
      </w:r>
      <w:r w:rsidR="006E02AC" w:rsidRPr="00F85F3E">
        <w:t xml:space="preserve">, </w:t>
      </w:r>
      <w:r w:rsidRPr="00F85F3E">
        <w:t>la Relatora Especial hace un llamado a los responsables municipales</w:t>
      </w:r>
      <w:r w:rsidR="004F4DA3" w:rsidRPr="00F85F3E">
        <w:t xml:space="preserve"> para que </w:t>
      </w:r>
      <w:r w:rsidR="001A5D1E" w:rsidRPr="00F85F3E">
        <w:t xml:space="preserve">destinen y </w:t>
      </w:r>
      <w:r w:rsidR="004F4DA3" w:rsidRPr="00F85F3E">
        <w:t>ejecuten</w:t>
      </w:r>
      <w:r w:rsidR="001A5D1E" w:rsidRPr="00F85F3E">
        <w:t xml:space="preserve"> dichos fondos a </w:t>
      </w:r>
      <w:r w:rsidR="006E6256" w:rsidRPr="00F85F3E">
        <w:t xml:space="preserve">programas </w:t>
      </w:r>
      <w:r w:rsidR="001A5D1E" w:rsidRPr="00F85F3E">
        <w:t>de prevención y protección de la niñez</w:t>
      </w:r>
      <w:r w:rsidR="00E253ED" w:rsidRPr="00E253ED">
        <w:t xml:space="preserve"> </w:t>
      </w:r>
      <w:r w:rsidR="00E253ED" w:rsidRPr="00F85F3E">
        <w:t>de manera efectiva</w:t>
      </w:r>
      <w:r w:rsidR="00885C40" w:rsidRPr="00F85F3E">
        <w:t>. Asimismo, la Relatora Especial urge</w:t>
      </w:r>
      <w:r w:rsidR="001A5D1E" w:rsidRPr="00F85F3E">
        <w:t xml:space="preserve"> a las autoridades centrales a que establezcan mecanismos de control y rend</w:t>
      </w:r>
      <w:r w:rsidR="00885C40" w:rsidRPr="00F85F3E">
        <w:t xml:space="preserve">ición de cuentas en </w:t>
      </w:r>
      <w:r w:rsidR="006E6256" w:rsidRPr="00F85F3E">
        <w:t>la ejecución de presupuesto en materia de protección de la niñez</w:t>
      </w:r>
      <w:r w:rsidR="00E253ED">
        <w:t xml:space="preserve"> a </w:t>
      </w:r>
      <w:r w:rsidR="008101FD">
        <w:t xml:space="preserve">nivel </w:t>
      </w:r>
      <w:r w:rsidR="00337C3A">
        <w:t>local</w:t>
      </w:r>
      <w:r w:rsidR="00337C3A" w:rsidRPr="008101FD">
        <w:t xml:space="preserve"> </w:t>
      </w:r>
      <w:r w:rsidR="008101FD">
        <w:t>y nacional</w:t>
      </w:r>
      <w:r w:rsidR="00CF696C" w:rsidRPr="00F85F3E">
        <w:t>.</w:t>
      </w:r>
    </w:p>
    <w:p w:rsidR="00DB03EF" w:rsidRPr="00F85F3E" w:rsidRDefault="00754AB6" w:rsidP="00014ABD">
      <w:pPr>
        <w:pStyle w:val="SingleTxtG"/>
        <w:numPr>
          <w:ilvl w:val="0"/>
          <w:numId w:val="53"/>
        </w:numPr>
        <w:ind w:left="1134" w:firstLine="0"/>
      </w:pPr>
      <w:r w:rsidRPr="00F85F3E">
        <w:t xml:space="preserve">Por último, la Relatora Especial expresó suma preocupación </w:t>
      </w:r>
      <w:r w:rsidR="001A5D1E" w:rsidRPr="00F85F3E">
        <w:t>respecto</w:t>
      </w:r>
      <w:r w:rsidRPr="00F85F3E">
        <w:t xml:space="preserve"> al programa “Guardianes de la patria”</w:t>
      </w:r>
      <w:r w:rsidR="00316EE2" w:rsidRPr="00F85F3E">
        <w:t>,</w:t>
      </w:r>
      <w:r w:rsidR="00657C85" w:rsidRPr="00F85F3E">
        <w:t xml:space="preserve"> una iniciativa presidencial </w:t>
      </w:r>
      <w:r w:rsidR="001A5D1E" w:rsidRPr="00F85F3E">
        <w:t>que tiene por finalidad</w:t>
      </w:r>
      <w:r w:rsidR="00657C85" w:rsidRPr="00F85F3E">
        <w:t xml:space="preserve"> formar en valores </w:t>
      </w:r>
      <w:r w:rsidR="004B2D97">
        <w:t xml:space="preserve">de la patria </w:t>
      </w:r>
      <w:r w:rsidR="00657C85" w:rsidRPr="00F85F3E">
        <w:t xml:space="preserve">a la población vulnerable, en </w:t>
      </w:r>
      <w:r w:rsidR="001A5D1E" w:rsidRPr="00F85F3E">
        <w:t>especial</w:t>
      </w:r>
      <w:r w:rsidR="00657C85" w:rsidRPr="00F85F3E">
        <w:t xml:space="preserve"> la niñez y adolescencia</w:t>
      </w:r>
      <w:r w:rsidR="00941C36" w:rsidRPr="00F85F3E">
        <w:t>, a través del deporte, la cultura</w:t>
      </w:r>
      <w:r w:rsidR="004B2D97">
        <w:t xml:space="preserve"> y</w:t>
      </w:r>
      <w:r w:rsidR="00941C36" w:rsidRPr="00F85F3E">
        <w:t xml:space="preserve"> el arte</w:t>
      </w:r>
      <w:r w:rsidR="004B2D97">
        <w:t>. L</w:t>
      </w:r>
      <w:r w:rsidR="00F42E8F" w:rsidRPr="00F85F3E">
        <w:t xml:space="preserve">a Relatora Especial expresa su preocupación por el espacio que el Estado está </w:t>
      </w:r>
      <w:r w:rsidR="00316EE2" w:rsidRPr="00F85F3E">
        <w:t>cediendo</w:t>
      </w:r>
      <w:r w:rsidR="00F42E8F" w:rsidRPr="00F85F3E">
        <w:t xml:space="preserve"> </w:t>
      </w:r>
      <w:r w:rsidR="00CF115B" w:rsidRPr="00F85F3E">
        <w:t>a la</w:t>
      </w:r>
      <w:r w:rsidR="001A6D83" w:rsidRPr="00F85F3E">
        <w:t>s</w:t>
      </w:r>
      <w:r w:rsidR="00F42E8F" w:rsidRPr="00F85F3E">
        <w:t xml:space="preserve"> </w:t>
      </w:r>
      <w:r w:rsidR="004B2D97">
        <w:t>Fuerzas Armadas</w:t>
      </w:r>
      <w:r w:rsidR="00CF115B" w:rsidRPr="00F85F3E">
        <w:t xml:space="preserve"> en esta materia</w:t>
      </w:r>
      <w:r w:rsidR="00316EE2" w:rsidRPr="00F85F3E">
        <w:t>.</w:t>
      </w:r>
      <w:r w:rsidR="008A00CD">
        <w:t xml:space="preserve"> </w:t>
      </w:r>
      <w:r w:rsidR="00CF115B" w:rsidRPr="00F85F3E">
        <w:t>La Relatora E</w:t>
      </w:r>
      <w:r w:rsidR="00004E8B" w:rsidRPr="00F85F3E">
        <w:t xml:space="preserve">special </w:t>
      </w:r>
      <w:r w:rsidR="001A6D83" w:rsidRPr="00F85F3E">
        <w:t>considera</w:t>
      </w:r>
      <w:r w:rsidR="00004E8B" w:rsidRPr="00F85F3E">
        <w:t xml:space="preserve"> que esta transferencia de funciones </w:t>
      </w:r>
      <w:r w:rsidR="00316EE2" w:rsidRPr="00F85F3E">
        <w:t>del</w:t>
      </w:r>
      <w:r w:rsidR="00004E8B" w:rsidRPr="00F85F3E">
        <w:t xml:space="preserve"> Estado</w:t>
      </w:r>
      <w:r w:rsidR="00316EE2" w:rsidRPr="00F85F3E">
        <w:t xml:space="preserve"> a</w:t>
      </w:r>
      <w:r w:rsidR="001A6D83" w:rsidRPr="00F85F3E">
        <w:t xml:space="preserve">l Ejército </w:t>
      </w:r>
      <w:r w:rsidR="00004E8B" w:rsidRPr="00F85F3E">
        <w:t>refleja</w:t>
      </w:r>
      <w:r w:rsidR="00CF115B" w:rsidRPr="00F85F3E">
        <w:t xml:space="preserve"> una desvalorización de la función pública</w:t>
      </w:r>
      <w:r w:rsidR="001A6D83" w:rsidRPr="00F85F3E">
        <w:t xml:space="preserve">. </w:t>
      </w:r>
      <w:r w:rsidR="00004E8B" w:rsidRPr="00F85F3E">
        <w:t xml:space="preserve">La Relatora Especial entiende que estas iniciativas se </w:t>
      </w:r>
      <w:r w:rsidR="00F42E8F" w:rsidRPr="00F85F3E">
        <w:t xml:space="preserve">enmarcan en un contexto de </w:t>
      </w:r>
      <w:r w:rsidR="00DB03EF" w:rsidRPr="00F85F3E">
        <w:t xml:space="preserve">inseguridad y </w:t>
      </w:r>
      <w:r w:rsidR="00F42E8F" w:rsidRPr="00F85F3E">
        <w:t>alto</w:t>
      </w:r>
      <w:r w:rsidR="006D10A8" w:rsidRPr="00F85F3E">
        <w:t>s</w:t>
      </w:r>
      <w:r w:rsidR="00DB03EF" w:rsidRPr="00F85F3E">
        <w:t xml:space="preserve"> índices de </w:t>
      </w:r>
      <w:r w:rsidR="00004E8B" w:rsidRPr="00F85F3E">
        <w:t>criminalidad, y</w:t>
      </w:r>
      <w:r w:rsidR="00F42E8F" w:rsidRPr="00F85F3E">
        <w:t xml:space="preserve"> reflejan</w:t>
      </w:r>
      <w:r w:rsidR="00004E8B" w:rsidRPr="00F85F3E">
        <w:t xml:space="preserve"> </w:t>
      </w:r>
      <w:r w:rsidR="008C4333" w:rsidRPr="00F85F3E">
        <w:t xml:space="preserve">los </w:t>
      </w:r>
      <w:r w:rsidR="00004E8B" w:rsidRPr="00F85F3E">
        <w:t xml:space="preserve">esfuerzos del Estado para combatirlos. </w:t>
      </w:r>
      <w:r w:rsidR="00F42E8F" w:rsidRPr="00F85F3E">
        <w:t xml:space="preserve">Sin embargo, la lucha contra este flagelo </w:t>
      </w:r>
      <w:r w:rsidR="006D10A8" w:rsidRPr="00F85F3E">
        <w:t>debe</w:t>
      </w:r>
      <w:r w:rsidR="00F42E8F" w:rsidRPr="00F85F3E">
        <w:t xml:space="preserve"> centrarse en la prevención, </w:t>
      </w:r>
      <w:r w:rsidR="00316EE2" w:rsidRPr="00F85F3E">
        <w:t xml:space="preserve">es decir, </w:t>
      </w:r>
      <w:r w:rsidR="008C4333" w:rsidRPr="00F85F3E">
        <w:t>sobre la</w:t>
      </w:r>
      <w:r w:rsidR="00F42E8F" w:rsidRPr="00F85F3E">
        <w:t xml:space="preserve">s </w:t>
      </w:r>
      <w:r w:rsidR="008C4333" w:rsidRPr="00F85F3E">
        <w:t xml:space="preserve">causas estructurales </w:t>
      </w:r>
      <w:r w:rsidR="00715244" w:rsidRPr="00F85F3E">
        <w:t xml:space="preserve">y </w:t>
      </w:r>
      <w:r w:rsidR="008C4333" w:rsidRPr="00F85F3E">
        <w:t xml:space="preserve">los factores </w:t>
      </w:r>
      <w:r w:rsidR="00F42E8F" w:rsidRPr="00F85F3E">
        <w:t>de riesgo</w:t>
      </w:r>
      <w:r w:rsidR="00BA6E7D" w:rsidRPr="00F85F3E">
        <w:t xml:space="preserve"> (</w:t>
      </w:r>
      <w:r w:rsidR="002F2742" w:rsidRPr="00F85F3E">
        <w:t xml:space="preserve">pobreza, </w:t>
      </w:r>
      <w:r w:rsidR="00BA6E7D" w:rsidRPr="00F85F3E">
        <w:t>familias desestructuradas, falta de acceso a servicios</w:t>
      </w:r>
      <w:r w:rsidR="00C054D1" w:rsidRPr="00F85F3E">
        <w:t>, entre otros</w:t>
      </w:r>
      <w:r w:rsidR="00BA6E7D" w:rsidRPr="00F85F3E">
        <w:t>)</w:t>
      </w:r>
      <w:r w:rsidR="00DB03EF" w:rsidRPr="00F85F3E">
        <w:t xml:space="preserve">, invirtiendo en políticas sociales y de desarrollo, construyendo barrios con infraestructuras, ofreciendo oportunidades y alternativas durables </w:t>
      </w:r>
      <w:r w:rsidR="00BA6E7D" w:rsidRPr="00F85F3E">
        <w:t>a</w:t>
      </w:r>
      <w:r w:rsidR="00DB03EF" w:rsidRPr="00F85F3E">
        <w:t xml:space="preserve"> los menores en situación de riesgo, ofreciendo una formación profesional de calidad y adoptando medidas de reinserción, entre otras</w:t>
      </w:r>
      <w:r w:rsidR="000D1DC0" w:rsidRPr="00F85F3E">
        <w:t xml:space="preserve">. </w:t>
      </w:r>
    </w:p>
    <w:p w:rsidR="005C49F1" w:rsidRPr="00F85F3E" w:rsidRDefault="000D1DC0" w:rsidP="00831859">
      <w:pPr>
        <w:pStyle w:val="SingleTxtG"/>
        <w:numPr>
          <w:ilvl w:val="0"/>
          <w:numId w:val="53"/>
        </w:numPr>
        <w:ind w:left="1134" w:firstLine="0"/>
        <w:rPr>
          <w:color w:val="1F497D"/>
        </w:rPr>
      </w:pPr>
      <w:r w:rsidRPr="00F85F3E">
        <w:t>Asimismo, los esfuerzos de lucha contra la inseguridad y criminalidad deben concentrarse en la educación, razón por la cual la Relatora Especial acoge con agrado la extens</w:t>
      </w:r>
      <w:r w:rsidR="00715244" w:rsidRPr="00F85F3E">
        <w:t>ión de la jornada escolar (</w:t>
      </w:r>
      <w:r w:rsidRPr="00F85F3E">
        <w:t xml:space="preserve">con jornadas lectivas que se extienden hasta la tarde, así como los sábados) e insta a las autoridades a que continúen adoptando medidas </w:t>
      </w:r>
      <w:r w:rsidR="00F42E8F" w:rsidRPr="00F85F3E">
        <w:t xml:space="preserve">de </w:t>
      </w:r>
      <w:r w:rsidRPr="00F85F3E">
        <w:t>reforzamiento</w:t>
      </w:r>
      <w:r w:rsidR="005C49F1" w:rsidRPr="00F85F3E">
        <w:t xml:space="preserve"> del</w:t>
      </w:r>
      <w:r w:rsidRPr="00F85F3E">
        <w:t xml:space="preserve"> sistem</w:t>
      </w:r>
      <w:r w:rsidR="00831859">
        <w:t xml:space="preserve">a </w:t>
      </w:r>
      <w:r w:rsidR="00715244" w:rsidRPr="00F85F3E">
        <w:t>educativo</w:t>
      </w:r>
      <w:r w:rsidRPr="00F85F3E">
        <w:t xml:space="preserve">. </w:t>
      </w:r>
      <w:r w:rsidR="002F2742" w:rsidRPr="00F85F3E">
        <w:t>La lucha contra la venta y explotación sexual de la niñez hay que realizarla también desde el sistema educativo, trabajando con la ni</w:t>
      </w:r>
      <w:r w:rsidR="005C49F1" w:rsidRPr="00F85F3E">
        <w:t>ñez sus temores, dudas y desconocimiento, con campañas de sensibilización y concienciación lideradas por la Secretaría de Educación.</w:t>
      </w:r>
      <w:r w:rsidR="002F2742" w:rsidRPr="00F85F3E">
        <w:t xml:space="preserve"> En este </w:t>
      </w:r>
      <w:r w:rsidR="00D42A03" w:rsidRPr="00F85F3E">
        <w:t>ámbito</w:t>
      </w:r>
      <w:r w:rsidR="002F2742" w:rsidRPr="00F85F3E">
        <w:t>, la Relatora Especial alaba</w:t>
      </w:r>
      <w:r w:rsidR="005C49F1" w:rsidRPr="00F85F3E">
        <w:t xml:space="preserve"> la labor de las ONG, con apoyo de</w:t>
      </w:r>
      <w:r w:rsidR="00464253">
        <w:t>l</w:t>
      </w:r>
      <w:r w:rsidR="005C49F1" w:rsidRPr="00F85F3E">
        <w:t xml:space="preserve"> ACNUDH, para dar a conocer los Protocolos Facultativos de la Convención </w:t>
      </w:r>
      <w:r w:rsidR="009F4363">
        <w:t xml:space="preserve">sobre </w:t>
      </w:r>
      <w:r w:rsidR="005C49F1" w:rsidRPr="00F85F3E">
        <w:t>los Derechos del Niño</w:t>
      </w:r>
      <w:r w:rsidR="002F2742" w:rsidRPr="00F85F3E">
        <w:t xml:space="preserve"> e insta a continuar trabajando en el empoderamiento de</w:t>
      </w:r>
      <w:r w:rsidR="005C49F1" w:rsidRPr="00F85F3E">
        <w:t xml:space="preserve"> la niñez </w:t>
      </w:r>
      <w:r w:rsidR="002F2742" w:rsidRPr="00F85F3E">
        <w:t>con este tipo de iniciativas consistentes en formar</w:t>
      </w:r>
      <w:r w:rsidR="00D42A03" w:rsidRPr="00F85F3E">
        <w:t xml:space="preserve"> a la niñez en derechos humanos</w:t>
      </w:r>
      <w:r w:rsidR="005C49F1" w:rsidRPr="00F85F3E">
        <w:t>.</w:t>
      </w:r>
    </w:p>
    <w:p w:rsidR="005C49F1" w:rsidRPr="00F85F3E" w:rsidRDefault="00101A5D" w:rsidP="00464253">
      <w:pPr>
        <w:pStyle w:val="SingleTxtG"/>
        <w:numPr>
          <w:ilvl w:val="0"/>
          <w:numId w:val="53"/>
        </w:numPr>
        <w:ind w:left="1134" w:firstLine="0"/>
      </w:pPr>
      <w:r w:rsidRPr="00F85F3E">
        <w:t>En conclusión</w:t>
      </w:r>
      <w:r w:rsidR="005C49F1" w:rsidRPr="00F85F3E">
        <w:t xml:space="preserve">, la Relatora Especial hace un llamado para que esta iniciativa presidencial, así como los fondos asignados a la misma (2,8 millones </w:t>
      </w:r>
      <w:r w:rsidR="00464253">
        <w:t>de dólares</w:t>
      </w:r>
      <w:r w:rsidR="005C49F1" w:rsidRPr="00F85F3E">
        <w:t xml:space="preserve">), sean reorientados para que la prevención, la educación y la protección de la niñez </w:t>
      </w:r>
      <w:r w:rsidRPr="00F85F3E">
        <w:t>constituyan las prioridades del nuevo Gobierno</w:t>
      </w:r>
      <w:r w:rsidR="005C49F1" w:rsidRPr="00F85F3E">
        <w:t xml:space="preserve">, dado que las medidas diseñadas no serán suficientes si no atacan las causas </w:t>
      </w:r>
      <w:r w:rsidRPr="00F85F3E">
        <w:t>y</w:t>
      </w:r>
      <w:r w:rsidR="005C49F1" w:rsidRPr="00F85F3E">
        <w:t xml:space="preserve"> factores que generan vulnerabilidad.</w:t>
      </w:r>
    </w:p>
    <w:p w:rsidR="004F522A" w:rsidRPr="00C115C8" w:rsidRDefault="00CA2A69" w:rsidP="004F522A">
      <w:pPr>
        <w:pStyle w:val="HChG"/>
      </w:pPr>
      <w:r>
        <w:tab/>
      </w:r>
      <w:r w:rsidR="004F522A" w:rsidRPr="00C115C8">
        <w:t>I</w:t>
      </w:r>
      <w:r w:rsidR="004F522A">
        <w:t>II</w:t>
      </w:r>
      <w:r w:rsidR="004F522A" w:rsidRPr="00C115C8">
        <w:t>.</w:t>
      </w:r>
      <w:r>
        <w:tab/>
      </w:r>
      <w:r w:rsidR="004F522A" w:rsidRPr="00C115C8">
        <w:t>Conclusiones y recomendaciones</w:t>
      </w:r>
    </w:p>
    <w:p w:rsidR="004F522A" w:rsidRPr="00C115C8" w:rsidRDefault="004F522A" w:rsidP="004F522A">
      <w:pPr>
        <w:pStyle w:val="H1G"/>
      </w:pPr>
      <w:r w:rsidRPr="00C115C8">
        <w:tab/>
        <w:t>A.</w:t>
      </w:r>
      <w:r w:rsidRPr="00C115C8">
        <w:tab/>
        <w:t>Conclusiones</w:t>
      </w:r>
    </w:p>
    <w:p w:rsidR="008A3D06" w:rsidRPr="0021253A" w:rsidRDefault="00EF6372" w:rsidP="00D0615D">
      <w:pPr>
        <w:pStyle w:val="SingleTxtG"/>
        <w:numPr>
          <w:ilvl w:val="0"/>
          <w:numId w:val="53"/>
        </w:numPr>
        <w:ind w:left="1134" w:firstLine="0"/>
        <w:rPr>
          <w:b/>
        </w:rPr>
      </w:pPr>
      <w:r w:rsidRPr="0021253A">
        <w:rPr>
          <w:b/>
        </w:rPr>
        <w:t>En base a la información recabada durante y después de su visita de seguimiento, la Relatora Especial concluye que los avances realizados por Honduras desde su primera visita de</w:t>
      </w:r>
      <w:r w:rsidR="00035DCD">
        <w:rPr>
          <w:b/>
        </w:rPr>
        <w:t xml:space="preserve"> 2012 </w:t>
      </w:r>
      <w:r w:rsidRPr="0021253A">
        <w:rPr>
          <w:b/>
        </w:rPr>
        <w:t>no han sido considerables</w:t>
      </w:r>
      <w:r w:rsidR="00035DCD" w:rsidRPr="00035DCD">
        <w:rPr>
          <w:b/>
        </w:rPr>
        <w:t xml:space="preserve"> </w:t>
      </w:r>
      <w:r w:rsidR="00035DCD">
        <w:rPr>
          <w:b/>
        </w:rPr>
        <w:t>en cuanto a la</w:t>
      </w:r>
      <w:r w:rsidR="00035DCD" w:rsidRPr="0021253A">
        <w:rPr>
          <w:b/>
        </w:rPr>
        <w:t xml:space="preserve"> prevención y eliminación de la venta y explotación sexual de la niñez</w:t>
      </w:r>
      <w:r w:rsidRPr="0021253A">
        <w:rPr>
          <w:b/>
        </w:rPr>
        <w:t xml:space="preserve">. Sin embargo, la Relatora Especial entiende que Honduras se encuentra en un momento </w:t>
      </w:r>
      <w:r w:rsidR="00A629BD" w:rsidRPr="0021253A">
        <w:rPr>
          <w:b/>
        </w:rPr>
        <w:t>excepcional</w:t>
      </w:r>
      <w:r w:rsidRPr="0021253A">
        <w:rPr>
          <w:b/>
        </w:rPr>
        <w:t xml:space="preserve"> para avanzar de manera </w:t>
      </w:r>
      <w:r w:rsidR="00035DCD">
        <w:rPr>
          <w:b/>
        </w:rPr>
        <w:t>sustantiva en la lucha contra los crímenes de</w:t>
      </w:r>
      <w:r w:rsidRPr="0021253A">
        <w:rPr>
          <w:b/>
        </w:rPr>
        <w:t xml:space="preserve"> venta y explotación sexual de la niñez. </w:t>
      </w:r>
      <w:r w:rsidR="00A629BD" w:rsidRPr="0021253A">
        <w:rPr>
          <w:b/>
        </w:rPr>
        <w:t xml:space="preserve">En particular, cuenta con </w:t>
      </w:r>
      <w:r w:rsidRPr="0021253A">
        <w:rPr>
          <w:b/>
        </w:rPr>
        <w:t xml:space="preserve">el impulso que supone la conformación de un nuevo Gobierno bajo el liderazgo de un nuevo Presidente, que </w:t>
      </w:r>
      <w:r w:rsidR="00A629BD" w:rsidRPr="0021253A">
        <w:rPr>
          <w:b/>
        </w:rPr>
        <w:t>dispone de toda</w:t>
      </w:r>
      <w:r w:rsidRPr="0021253A">
        <w:rPr>
          <w:b/>
        </w:rPr>
        <w:t xml:space="preserve"> una serie de reformas legales acometidas y políticas diseñadas</w:t>
      </w:r>
      <w:r w:rsidR="00A629BD" w:rsidRPr="0021253A">
        <w:rPr>
          <w:b/>
        </w:rPr>
        <w:t xml:space="preserve"> que están pendientes de capitalizar</w:t>
      </w:r>
      <w:r w:rsidRPr="0021253A">
        <w:rPr>
          <w:b/>
        </w:rPr>
        <w:t xml:space="preserve">. </w:t>
      </w:r>
    </w:p>
    <w:p w:rsidR="008A3D06" w:rsidRDefault="003722EB" w:rsidP="00464253">
      <w:pPr>
        <w:pStyle w:val="SingleTxtG"/>
        <w:numPr>
          <w:ilvl w:val="0"/>
          <w:numId w:val="53"/>
        </w:numPr>
        <w:ind w:left="1134" w:firstLine="0"/>
        <w:rPr>
          <w:b/>
        </w:rPr>
      </w:pPr>
      <w:r>
        <w:rPr>
          <w:b/>
        </w:rPr>
        <w:t>Entre los avances</w:t>
      </w:r>
      <w:r w:rsidR="00014ABD">
        <w:rPr>
          <w:b/>
        </w:rPr>
        <w:t xml:space="preserve"> </w:t>
      </w:r>
      <w:r>
        <w:rPr>
          <w:b/>
        </w:rPr>
        <w:t xml:space="preserve">realizados por el Estado </w:t>
      </w:r>
      <w:r w:rsidR="00464253">
        <w:rPr>
          <w:b/>
        </w:rPr>
        <w:t>h</w:t>
      </w:r>
      <w:r>
        <w:rPr>
          <w:b/>
        </w:rPr>
        <w:t>ondureño l</w:t>
      </w:r>
      <w:r w:rsidR="00EF6372" w:rsidRPr="0021253A">
        <w:rPr>
          <w:b/>
        </w:rPr>
        <w:t xml:space="preserve">a Relatora Especial destaca </w:t>
      </w:r>
      <w:r w:rsidR="004F3940">
        <w:rPr>
          <w:b/>
        </w:rPr>
        <w:t>la consolidación de la CICESCT</w:t>
      </w:r>
      <w:r>
        <w:rPr>
          <w:b/>
        </w:rPr>
        <w:t>,</w:t>
      </w:r>
      <w:r w:rsidR="004F3940">
        <w:rPr>
          <w:b/>
        </w:rPr>
        <w:t xml:space="preserve"> los incipientes logros obtenidos por la </w:t>
      </w:r>
      <w:r>
        <w:rPr>
          <w:b/>
        </w:rPr>
        <w:t xml:space="preserve">Fiscalía </w:t>
      </w:r>
      <w:r w:rsidR="009F4363" w:rsidRPr="008F65F2">
        <w:rPr>
          <w:b/>
          <w:bCs/>
        </w:rPr>
        <w:t>Especial</w:t>
      </w:r>
      <w:r w:rsidR="009F4363" w:rsidRPr="00F85F3E">
        <w:t xml:space="preserve"> </w:t>
      </w:r>
      <w:r>
        <w:rPr>
          <w:b/>
        </w:rPr>
        <w:t>de la Niñez, las reformas</w:t>
      </w:r>
      <w:r w:rsidR="00EF6372" w:rsidRPr="0021253A">
        <w:rPr>
          <w:b/>
        </w:rPr>
        <w:t xml:space="preserve"> legislativ</w:t>
      </w:r>
      <w:r>
        <w:rPr>
          <w:b/>
        </w:rPr>
        <w:t>a</w:t>
      </w:r>
      <w:r w:rsidR="00EF6372" w:rsidRPr="0021253A">
        <w:rPr>
          <w:b/>
        </w:rPr>
        <w:t>s acometid</w:t>
      </w:r>
      <w:r>
        <w:rPr>
          <w:b/>
        </w:rPr>
        <w:t>a</w:t>
      </w:r>
      <w:r w:rsidR="00EF6372" w:rsidRPr="0021253A">
        <w:rPr>
          <w:b/>
        </w:rPr>
        <w:t>s</w:t>
      </w:r>
      <w:r>
        <w:rPr>
          <w:b/>
        </w:rPr>
        <w:t>,</w:t>
      </w:r>
      <w:r w:rsidR="00E44BA5" w:rsidRPr="0021253A">
        <w:rPr>
          <w:b/>
        </w:rPr>
        <w:t xml:space="preserve"> así como la reciente creación del ente rector responsable de la política integral de protección de la niñez</w:t>
      </w:r>
      <w:r w:rsidR="00A629BD" w:rsidRPr="0021253A">
        <w:rPr>
          <w:b/>
        </w:rPr>
        <w:t>.</w:t>
      </w:r>
      <w:r w:rsidR="00EF6372" w:rsidRPr="0021253A">
        <w:rPr>
          <w:b/>
        </w:rPr>
        <w:t xml:space="preserve"> </w:t>
      </w:r>
      <w:r w:rsidR="00A629BD" w:rsidRPr="0021253A">
        <w:rPr>
          <w:b/>
        </w:rPr>
        <w:t>S</w:t>
      </w:r>
      <w:r w:rsidR="00EF6372" w:rsidRPr="0021253A">
        <w:rPr>
          <w:b/>
        </w:rPr>
        <w:t xml:space="preserve">in embargo, </w:t>
      </w:r>
      <w:r w:rsidR="008F32FE">
        <w:rPr>
          <w:b/>
        </w:rPr>
        <w:t xml:space="preserve">la Relatora Especial </w:t>
      </w:r>
      <w:r w:rsidR="00A629BD" w:rsidRPr="0021253A">
        <w:rPr>
          <w:b/>
        </w:rPr>
        <w:t>urge a las nuevas autoridades nacionales a demostrar u</w:t>
      </w:r>
      <w:r w:rsidR="00EF6372" w:rsidRPr="0021253A">
        <w:rPr>
          <w:b/>
        </w:rPr>
        <w:t xml:space="preserve">n mayor compromiso político </w:t>
      </w:r>
      <w:r w:rsidR="00A629BD" w:rsidRPr="0021253A">
        <w:rPr>
          <w:b/>
        </w:rPr>
        <w:t>en materia de la niñez</w:t>
      </w:r>
      <w:r w:rsidR="00EF6372" w:rsidRPr="0021253A">
        <w:rPr>
          <w:b/>
        </w:rPr>
        <w:t>,</w:t>
      </w:r>
      <w:r w:rsidR="00A629BD" w:rsidRPr="0021253A">
        <w:rPr>
          <w:b/>
        </w:rPr>
        <w:t xml:space="preserve"> para que la misma constituya una prioridad del nuevo Gobierno, que se vea reflejada</w:t>
      </w:r>
      <w:r w:rsidR="00EF6372" w:rsidRPr="0021253A">
        <w:rPr>
          <w:b/>
        </w:rPr>
        <w:t xml:space="preserve"> en la adopción </w:t>
      </w:r>
      <w:r w:rsidR="008A3D06" w:rsidRPr="0021253A">
        <w:rPr>
          <w:b/>
        </w:rPr>
        <w:t xml:space="preserve">y ejecución </w:t>
      </w:r>
      <w:r w:rsidR="00EF6372" w:rsidRPr="0021253A">
        <w:rPr>
          <w:b/>
        </w:rPr>
        <w:t>de un</w:t>
      </w:r>
      <w:r w:rsidR="003B296E" w:rsidRPr="0021253A">
        <w:rPr>
          <w:b/>
        </w:rPr>
        <w:t xml:space="preserve"> marco </w:t>
      </w:r>
      <w:r w:rsidR="003B296E" w:rsidRPr="0021253A">
        <w:rPr>
          <w:b/>
          <w:bCs/>
          <w:lang w:val="es-ES_tradnl"/>
        </w:rPr>
        <w:t xml:space="preserve">estratégico </w:t>
      </w:r>
      <w:r w:rsidR="00EF6372" w:rsidRPr="0021253A">
        <w:rPr>
          <w:b/>
        </w:rPr>
        <w:t>de protección</w:t>
      </w:r>
      <w:r w:rsidR="003B296E" w:rsidRPr="0021253A">
        <w:rPr>
          <w:b/>
        </w:rPr>
        <w:t xml:space="preserve"> integral</w:t>
      </w:r>
      <w:r w:rsidR="00014ABD">
        <w:rPr>
          <w:b/>
        </w:rPr>
        <w:t xml:space="preserve"> </w:t>
      </w:r>
      <w:r w:rsidR="00EF6372" w:rsidRPr="0021253A">
        <w:rPr>
          <w:b/>
        </w:rPr>
        <w:t>de</w:t>
      </w:r>
      <w:r w:rsidR="00EF6372" w:rsidRPr="00EF6372">
        <w:rPr>
          <w:b/>
        </w:rPr>
        <w:t xml:space="preserve"> la niñez</w:t>
      </w:r>
      <w:r w:rsidR="00A629BD">
        <w:rPr>
          <w:b/>
        </w:rPr>
        <w:t xml:space="preserve">, con asignación efectiva de recursos y </w:t>
      </w:r>
      <w:r w:rsidR="00EF6372" w:rsidRPr="00EF6372">
        <w:rPr>
          <w:b/>
        </w:rPr>
        <w:t>presupuesto</w:t>
      </w:r>
      <w:r w:rsidR="00A629BD">
        <w:rPr>
          <w:b/>
        </w:rPr>
        <w:t xml:space="preserve">, </w:t>
      </w:r>
      <w:r w:rsidR="00E44BA5">
        <w:rPr>
          <w:b/>
        </w:rPr>
        <w:t xml:space="preserve">bajo la responsabilidad </w:t>
      </w:r>
      <w:r w:rsidR="00E44BA5" w:rsidRPr="00E44BA5">
        <w:rPr>
          <w:b/>
        </w:rPr>
        <w:t xml:space="preserve">de la </w:t>
      </w:r>
      <w:r w:rsidR="00E44BA5">
        <w:rPr>
          <w:b/>
        </w:rPr>
        <w:t>DINAF</w:t>
      </w:r>
      <w:r>
        <w:rPr>
          <w:b/>
        </w:rPr>
        <w:t>, con el fin de lograr un impacto real en la mejora de la situación de la niñ</w:t>
      </w:r>
      <w:r w:rsidR="008F32FE">
        <w:rPr>
          <w:b/>
        </w:rPr>
        <w:t>ez hond</w:t>
      </w:r>
      <w:r>
        <w:rPr>
          <w:b/>
        </w:rPr>
        <w:t>ureña</w:t>
      </w:r>
      <w:r w:rsidR="00EF6372" w:rsidRPr="00EF6372">
        <w:rPr>
          <w:b/>
        </w:rPr>
        <w:t xml:space="preserve">. </w:t>
      </w:r>
    </w:p>
    <w:p w:rsidR="004F522A" w:rsidRPr="00C115C8" w:rsidRDefault="004F522A" w:rsidP="004F522A">
      <w:pPr>
        <w:pStyle w:val="H1G"/>
      </w:pPr>
      <w:r w:rsidRPr="00C115C8">
        <w:tab/>
        <w:t>B.</w:t>
      </w:r>
      <w:r w:rsidRPr="00C115C8">
        <w:tab/>
        <w:t>Recomendaciones</w:t>
      </w:r>
    </w:p>
    <w:p w:rsidR="009071E9" w:rsidRPr="00014ABD" w:rsidRDefault="00A629BD" w:rsidP="00014ABD">
      <w:pPr>
        <w:pStyle w:val="SingleTxtG"/>
        <w:numPr>
          <w:ilvl w:val="0"/>
          <w:numId w:val="53"/>
        </w:numPr>
        <w:ind w:left="1134" w:firstLine="0"/>
        <w:rPr>
          <w:b/>
          <w:bCs/>
        </w:rPr>
      </w:pPr>
      <w:r w:rsidRPr="00014ABD">
        <w:rPr>
          <w:b/>
          <w:bCs/>
        </w:rPr>
        <w:t>La Relatora Especial concibió su visita de seguimiento como una oportunidad única para dar apoyo a las autoridades nacionales en sus esfuerzos p</w:t>
      </w:r>
      <w:r w:rsidR="00184951" w:rsidRPr="00014ABD">
        <w:rPr>
          <w:b/>
          <w:bCs/>
        </w:rPr>
        <w:t>or</w:t>
      </w:r>
      <w:r w:rsidRPr="00014ABD">
        <w:rPr>
          <w:b/>
          <w:bCs/>
        </w:rPr>
        <w:t xml:space="preserve"> combatir y erradicar la venta y explotación sexual de la niñez</w:t>
      </w:r>
      <w:r w:rsidR="008A3D06" w:rsidRPr="00014ABD">
        <w:rPr>
          <w:b/>
          <w:bCs/>
        </w:rPr>
        <w:t xml:space="preserve"> y establecer un sistema de protección </w:t>
      </w:r>
      <w:r w:rsidR="00B316E3" w:rsidRPr="00014ABD">
        <w:rPr>
          <w:b/>
          <w:bCs/>
        </w:rPr>
        <w:t xml:space="preserve">integral </w:t>
      </w:r>
      <w:r w:rsidR="008A3D06" w:rsidRPr="00014ABD">
        <w:rPr>
          <w:b/>
          <w:bCs/>
        </w:rPr>
        <w:t>de la niñez</w:t>
      </w:r>
      <w:r w:rsidRPr="00014ABD">
        <w:rPr>
          <w:b/>
          <w:bCs/>
        </w:rPr>
        <w:t>. Aunque gran parte de las recomendaciones emitidas tras su primera visita oficial de 2012 siguen aún vigentes</w:t>
      </w:r>
      <w:r w:rsidR="00184951" w:rsidRPr="00014ABD">
        <w:rPr>
          <w:rStyle w:val="FootnoteReference"/>
          <w:b/>
          <w:bCs/>
        </w:rPr>
        <w:footnoteReference w:id="19"/>
      </w:r>
      <w:r w:rsidRPr="00014ABD">
        <w:rPr>
          <w:b/>
          <w:bCs/>
        </w:rPr>
        <w:t>, la Relatora Especial urge al Estado de Honduras a priorizar los siguientes tres ejes de recomendaciones, con el fin de lograr un avance sustancial en la lucha y prevención de la venta y explotación sexual de la niñez</w:t>
      </w:r>
      <w:r w:rsidR="008A3D06" w:rsidRPr="00014ABD">
        <w:rPr>
          <w:b/>
          <w:bCs/>
        </w:rPr>
        <w:t>, y lograr un impacto real sobre la situación y derechos de la niñez</w:t>
      </w:r>
      <w:r w:rsidRPr="00014ABD">
        <w:rPr>
          <w:b/>
          <w:bCs/>
        </w:rPr>
        <w:t xml:space="preserve">: </w:t>
      </w:r>
    </w:p>
    <w:p w:rsidR="004F522A" w:rsidRPr="00D0615D" w:rsidRDefault="00F30C85" w:rsidP="00D0615D">
      <w:pPr>
        <w:pStyle w:val="SingleTxtG"/>
        <w:ind w:firstLine="567"/>
        <w:rPr>
          <w:b/>
          <w:bCs/>
        </w:rPr>
      </w:pPr>
      <w:r w:rsidRPr="00D0615D">
        <w:rPr>
          <w:b/>
          <w:bCs/>
        </w:rPr>
        <w:t>a)</w:t>
      </w:r>
      <w:r w:rsidRPr="00D0615D">
        <w:rPr>
          <w:b/>
          <w:bCs/>
        </w:rPr>
        <w:tab/>
      </w:r>
      <w:r w:rsidR="00184951" w:rsidRPr="00D0615D">
        <w:rPr>
          <w:b/>
          <w:bCs/>
        </w:rPr>
        <w:t>Establecer un sistema de protección integral de la niñez, a través de un marco integral y plan estratégico</w:t>
      </w:r>
      <w:r w:rsidR="008A3D06" w:rsidRPr="00D0615D">
        <w:rPr>
          <w:b/>
          <w:bCs/>
        </w:rPr>
        <w:t xml:space="preserve">, que incida sobre la prevención y garantice la seguridad y protección de la niñez, así como su acceso </w:t>
      </w:r>
      <w:r w:rsidR="00A51835" w:rsidRPr="00D0615D">
        <w:rPr>
          <w:b/>
          <w:bCs/>
        </w:rPr>
        <w:t xml:space="preserve">a la justicia, asistencia, </w:t>
      </w:r>
      <w:r w:rsidR="008A3D06" w:rsidRPr="00D0615D">
        <w:rPr>
          <w:b/>
          <w:bCs/>
        </w:rPr>
        <w:t>rehabilitación</w:t>
      </w:r>
      <w:r w:rsidR="00A51835" w:rsidRPr="00D0615D">
        <w:rPr>
          <w:b/>
          <w:bCs/>
        </w:rPr>
        <w:t xml:space="preserve"> y reinserción</w:t>
      </w:r>
      <w:r w:rsidR="004F522A" w:rsidRPr="00D0615D">
        <w:rPr>
          <w:b/>
          <w:bCs/>
        </w:rPr>
        <w:t>:</w:t>
      </w:r>
    </w:p>
    <w:p w:rsidR="00A422F3" w:rsidRPr="00D0615D" w:rsidRDefault="00A422F3" w:rsidP="00831859">
      <w:pPr>
        <w:pStyle w:val="Bullet1G"/>
        <w:rPr>
          <w:b/>
          <w:bCs/>
        </w:rPr>
      </w:pPr>
      <w:r w:rsidRPr="00D0615D">
        <w:rPr>
          <w:b/>
          <w:bCs/>
        </w:rPr>
        <w:t xml:space="preserve">Capitalizar </w:t>
      </w:r>
      <w:r w:rsidR="00416532" w:rsidRPr="00D0615D">
        <w:rPr>
          <w:b/>
          <w:bCs/>
        </w:rPr>
        <w:t xml:space="preserve">los </w:t>
      </w:r>
      <w:r w:rsidR="00A06B02" w:rsidRPr="00D0615D">
        <w:rPr>
          <w:b/>
          <w:bCs/>
        </w:rPr>
        <w:t xml:space="preserve">recursos </w:t>
      </w:r>
      <w:r w:rsidR="00416532" w:rsidRPr="00D0615D">
        <w:rPr>
          <w:b/>
          <w:bCs/>
        </w:rPr>
        <w:t xml:space="preserve">existentes (en particular, la Política Pública y Plan de Acción </w:t>
      </w:r>
      <w:r w:rsidR="00831859" w:rsidRPr="00D0615D">
        <w:rPr>
          <w:b/>
          <w:bCs/>
        </w:rPr>
        <w:t xml:space="preserve">Nacional </w:t>
      </w:r>
      <w:r w:rsidR="00416532" w:rsidRPr="00D0615D">
        <w:rPr>
          <w:b/>
          <w:bCs/>
        </w:rPr>
        <w:t xml:space="preserve">en Derechos Humanos), </w:t>
      </w:r>
      <w:r w:rsidRPr="00D0615D">
        <w:rPr>
          <w:b/>
          <w:bCs/>
        </w:rPr>
        <w:t>replicar las buenas prácticas</w:t>
      </w:r>
      <w:r w:rsidR="00416532" w:rsidRPr="00D0615D">
        <w:rPr>
          <w:b/>
          <w:bCs/>
        </w:rPr>
        <w:t xml:space="preserve"> iniciadas,</w:t>
      </w:r>
      <w:r w:rsidRPr="00D0615D">
        <w:rPr>
          <w:b/>
          <w:bCs/>
        </w:rPr>
        <w:t xml:space="preserve"> y ejecutar las </w:t>
      </w:r>
      <w:r w:rsidR="00A06B02" w:rsidRPr="00D0615D">
        <w:rPr>
          <w:b/>
          <w:bCs/>
        </w:rPr>
        <w:t xml:space="preserve">recomendaciones </w:t>
      </w:r>
      <w:r w:rsidRPr="00D0615D">
        <w:rPr>
          <w:b/>
          <w:bCs/>
        </w:rPr>
        <w:t>pendientes</w:t>
      </w:r>
      <w:r w:rsidR="007501E4" w:rsidRPr="00D0615D">
        <w:rPr>
          <w:b/>
          <w:bCs/>
        </w:rPr>
        <w:t>, como la aprobación de</w:t>
      </w:r>
      <w:r w:rsidR="00416532" w:rsidRPr="00D0615D">
        <w:rPr>
          <w:b/>
          <w:bCs/>
        </w:rPr>
        <w:t xml:space="preserve"> </w:t>
      </w:r>
      <w:r w:rsidR="00BF5531" w:rsidRPr="00D0615D">
        <w:rPr>
          <w:b/>
          <w:bCs/>
        </w:rPr>
        <w:t>la ley nacional de adopciones</w:t>
      </w:r>
      <w:r w:rsidR="00A06B02" w:rsidRPr="00D0615D">
        <w:rPr>
          <w:b/>
          <w:bCs/>
        </w:rPr>
        <w:t>,</w:t>
      </w:r>
      <w:r w:rsidR="007501E4" w:rsidRPr="00D0615D">
        <w:rPr>
          <w:b/>
          <w:bCs/>
        </w:rPr>
        <w:t xml:space="preserve"> y la</w:t>
      </w:r>
      <w:r w:rsidR="00BF5531" w:rsidRPr="00D0615D">
        <w:rPr>
          <w:b/>
          <w:bCs/>
        </w:rPr>
        <w:t xml:space="preserve"> </w:t>
      </w:r>
      <w:r w:rsidR="007501E4" w:rsidRPr="00D0615D">
        <w:rPr>
          <w:b/>
          <w:bCs/>
        </w:rPr>
        <w:t xml:space="preserve">ratificación </w:t>
      </w:r>
      <w:r w:rsidR="007501E4" w:rsidRPr="00ED29A6">
        <w:rPr>
          <w:b/>
          <w:bCs/>
        </w:rPr>
        <w:t>de</w:t>
      </w:r>
      <w:r w:rsidR="00ED29A6" w:rsidRPr="00ED29A6">
        <w:rPr>
          <w:b/>
          <w:bCs/>
        </w:rPr>
        <w:t xml:space="preserve">l </w:t>
      </w:r>
      <w:r w:rsidR="00ED29A6" w:rsidRPr="008F65F2">
        <w:rPr>
          <w:b/>
          <w:bCs/>
        </w:rPr>
        <w:t>Convenio relativo a la Protección del Niño y a la Cooperación en Materia de Adopción Internacional,  de</w:t>
      </w:r>
      <w:r w:rsidR="00ED29A6">
        <w:t xml:space="preserve"> </w:t>
      </w:r>
      <w:r w:rsidR="00ED29A6">
        <w:rPr>
          <w:b/>
          <w:bCs/>
        </w:rPr>
        <w:t>L</w:t>
      </w:r>
      <w:r w:rsidR="00BF5531" w:rsidRPr="00D0615D">
        <w:rPr>
          <w:b/>
          <w:bCs/>
        </w:rPr>
        <w:t>a Haya</w:t>
      </w:r>
      <w:r w:rsidR="00ED29A6">
        <w:rPr>
          <w:b/>
          <w:bCs/>
        </w:rPr>
        <w:t>;</w:t>
      </w:r>
    </w:p>
    <w:p w:rsidR="007501E4" w:rsidRPr="00D0615D" w:rsidRDefault="00CE4969" w:rsidP="00C55BE9">
      <w:pPr>
        <w:pStyle w:val="Bullet1G"/>
        <w:rPr>
          <w:b/>
          <w:bCs/>
        </w:rPr>
      </w:pPr>
      <w:r w:rsidRPr="00D0615D">
        <w:rPr>
          <w:b/>
          <w:bCs/>
        </w:rPr>
        <w:t>Incidir sobre la prevención, mejorando el conocimiento sobre los factores de riego</w:t>
      </w:r>
      <w:r w:rsidR="009E436F" w:rsidRPr="00D0615D">
        <w:rPr>
          <w:b/>
          <w:bCs/>
        </w:rPr>
        <w:t>,</w:t>
      </w:r>
      <w:r w:rsidRPr="00D0615D">
        <w:rPr>
          <w:b/>
          <w:bCs/>
        </w:rPr>
        <w:t xml:space="preserve"> para abordarlos a través de</w:t>
      </w:r>
      <w:r w:rsidR="00014ABD" w:rsidRPr="00D0615D">
        <w:rPr>
          <w:b/>
          <w:bCs/>
        </w:rPr>
        <w:t xml:space="preserve"> </w:t>
      </w:r>
      <w:r w:rsidR="00E87EDB" w:rsidRPr="00D0615D">
        <w:rPr>
          <w:b/>
          <w:bCs/>
        </w:rPr>
        <w:t>la lucha contr</w:t>
      </w:r>
      <w:r w:rsidR="009E436F" w:rsidRPr="00D0615D">
        <w:rPr>
          <w:b/>
          <w:bCs/>
        </w:rPr>
        <w:t>a</w:t>
      </w:r>
      <w:r w:rsidR="00E87EDB" w:rsidRPr="00D0615D">
        <w:rPr>
          <w:b/>
          <w:bCs/>
        </w:rPr>
        <w:t xml:space="preserve"> la discriminación, la pobreza</w:t>
      </w:r>
      <w:r w:rsidR="009E436F" w:rsidRPr="00D0615D">
        <w:rPr>
          <w:b/>
          <w:bCs/>
        </w:rPr>
        <w:t xml:space="preserve"> y</w:t>
      </w:r>
      <w:r w:rsidR="00E87EDB" w:rsidRPr="00D0615D">
        <w:rPr>
          <w:b/>
          <w:bCs/>
        </w:rPr>
        <w:t xml:space="preserve"> la violencia, el acceso a</w:t>
      </w:r>
      <w:r w:rsidR="00014ABD" w:rsidRPr="00D0615D">
        <w:rPr>
          <w:b/>
          <w:bCs/>
        </w:rPr>
        <w:t xml:space="preserve"> </w:t>
      </w:r>
      <w:r w:rsidRPr="00D0615D">
        <w:rPr>
          <w:b/>
          <w:bCs/>
        </w:rPr>
        <w:t xml:space="preserve">la educación, </w:t>
      </w:r>
      <w:r w:rsidR="009E436F" w:rsidRPr="00D0615D">
        <w:rPr>
          <w:b/>
          <w:bCs/>
        </w:rPr>
        <w:t xml:space="preserve">incluida </w:t>
      </w:r>
      <w:r w:rsidR="00E87EDB" w:rsidRPr="00D0615D">
        <w:rPr>
          <w:b/>
          <w:bCs/>
        </w:rPr>
        <w:t xml:space="preserve">la educación sexual, </w:t>
      </w:r>
      <w:r w:rsidR="007501E4" w:rsidRPr="00D0615D">
        <w:rPr>
          <w:b/>
          <w:bCs/>
        </w:rPr>
        <w:t>el apoyo a las familias, la</w:t>
      </w:r>
      <w:r w:rsidR="00014ABD" w:rsidRPr="00D0615D">
        <w:rPr>
          <w:b/>
          <w:bCs/>
        </w:rPr>
        <w:t xml:space="preserve"> </w:t>
      </w:r>
      <w:r w:rsidR="007501E4" w:rsidRPr="00D0615D">
        <w:rPr>
          <w:b/>
          <w:bCs/>
          <w:lang w:val="es-HN"/>
        </w:rPr>
        <w:t xml:space="preserve">protección de la niñez en línea con la colaboración de los </w:t>
      </w:r>
      <w:r w:rsidR="00C55BE9">
        <w:rPr>
          <w:b/>
          <w:bCs/>
          <w:lang w:val="es-HN"/>
        </w:rPr>
        <w:t>p</w:t>
      </w:r>
      <w:r w:rsidR="005E0FBA" w:rsidRPr="00D0615D">
        <w:rPr>
          <w:b/>
          <w:bCs/>
          <w:lang w:val="es-HN"/>
        </w:rPr>
        <w:t>roveedores</w:t>
      </w:r>
      <w:r w:rsidR="007501E4" w:rsidRPr="00D0615D">
        <w:rPr>
          <w:b/>
          <w:bCs/>
          <w:lang w:val="es-HN"/>
        </w:rPr>
        <w:t xml:space="preserve"> de </w:t>
      </w:r>
      <w:r w:rsidR="00C55BE9">
        <w:rPr>
          <w:b/>
          <w:bCs/>
          <w:lang w:val="es-HN"/>
        </w:rPr>
        <w:t>s</w:t>
      </w:r>
      <w:r w:rsidR="007501E4" w:rsidRPr="00D0615D">
        <w:rPr>
          <w:b/>
          <w:bCs/>
          <w:lang w:val="es-HN"/>
        </w:rPr>
        <w:t>ervicios de Internet,</w:t>
      </w:r>
      <w:r w:rsidR="007501E4" w:rsidRPr="00D0615D">
        <w:rPr>
          <w:b/>
          <w:bCs/>
        </w:rPr>
        <w:t xml:space="preserve"> </w:t>
      </w:r>
      <w:r w:rsidR="00357E7D" w:rsidRPr="00D0615D">
        <w:rPr>
          <w:b/>
          <w:bCs/>
          <w:lang w:val="es-HN"/>
        </w:rPr>
        <w:t>y la lucha contra la tolerancia social respecto a la explotación sexual de la niñez;</w:t>
      </w:r>
    </w:p>
    <w:p w:rsidR="007501E4" w:rsidRPr="00D0615D" w:rsidRDefault="007501E4" w:rsidP="00D0615D">
      <w:pPr>
        <w:pStyle w:val="Bullet1G"/>
        <w:rPr>
          <w:b/>
          <w:bCs/>
        </w:rPr>
      </w:pPr>
      <w:r w:rsidRPr="00D0615D">
        <w:rPr>
          <w:b/>
          <w:bCs/>
        </w:rPr>
        <w:t>Reorientar el programa “Guardianes de la patria”, así como los fondos asignados al mismo, para abordar las causas y factores de vulnerabilidad de la niñez en riesgo, a través de medidas de prevención, edu</w:t>
      </w:r>
      <w:r w:rsidR="00B316E3" w:rsidRPr="00D0615D">
        <w:rPr>
          <w:b/>
          <w:bCs/>
        </w:rPr>
        <w:t>cación y protección de la niñez;</w:t>
      </w:r>
    </w:p>
    <w:p w:rsidR="008C6C07" w:rsidRPr="00D0615D" w:rsidRDefault="00357E7D" w:rsidP="00D0615D">
      <w:pPr>
        <w:pStyle w:val="Bullet1G"/>
        <w:rPr>
          <w:b/>
          <w:bCs/>
        </w:rPr>
      </w:pPr>
      <w:r w:rsidRPr="00D0615D">
        <w:rPr>
          <w:b/>
          <w:bCs/>
        </w:rPr>
        <w:t>Alentar los s</w:t>
      </w:r>
      <w:r w:rsidR="00E87EDB" w:rsidRPr="00D0615D">
        <w:rPr>
          <w:b/>
          <w:bCs/>
        </w:rPr>
        <w:t xml:space="preserve">eñalamientos y denuncias </w:t>
      </w:r>
      <w:r w:rsidRPr="00D0615D">
        <w:rPr>
          <w:b/>
          <w:bCs/>
        </w:rPr>
        <w:t xml:space="preserve">mediante la </w:t>
      </w:r>
      <w:r w:rsidR="00BC1947" w:rsidRPr="00D0615D">
        <w:rPr>
          <w:b/>
          <w:bCs/>
        </w:rPr>
        <w:t>creación</w:t>
      </w:r>
      <w:r w:rsidRPr="00D0615D">
        <w:rPr>
          <w:b/>
          <w:bCs/>
        </w:rPr>
        <w:t xml:space="preserve"> de </w:t>
      </w:r>
      <w:r w:rsidR="007501E4" w:rsidRPr="00D0615D">
        <w:rPr>
          <w:b/>
          <w:bCs/>
        </w:rPr>
        <w:t>mecanismos</w:t>
      </w:r>
      <w:r w:rsidRPr="00D0615D">
        <w:rPr>
          <w:b/>
          <w:bCs/>
        </w:rPr>
        <w:t xml:space="preserve"> de queja accesibles para la niñez y </w:t>
      </w:r>
      <w:r w:rsidR="00B316E3" w:rsidRPr="00D0615D">
        <w:rPr>
          <w:b/>
          <w:bCs/>
        </w:rPr>
        <w:t>campañas de</w:t>
      </w:r>
      <w:r w:rsidRPr="00D0615D">
        <w:rPr>
          <w:b/>
          <w:bCs/>
        </w:rPr>
        <w:t xml:space="preserve"> sensibilización sobre sus derechos</w:t>
      </w:r>
      <w:r w:rsidR="0080532B" w:rsidRPr="00D0615D">
        <w:rPr>
          <w:b/>
          <w:bCs/>
        </w:rPr>
        <w:t xml:space="preserve">; </w:t>
      </w:r>
      <w:r w:rsidR="00E210B7" w:rsidRPr="00D0615D">
        <w:rPr>
          <w:b/>
          <w:bCs/>
        </w:rPr>
        <w:t>asegurar</w:t>
      </w:r>
      <w:r w:rsidR="000D4798" w:rsidRPr="00D0615D">
        <w:rPr>
          <w:b/>
          <w:bCs/>
        </w:rPr>
        <w:t xml:space="preserve"> la continuidad y sostenibilidad de</w:t>
      </w:r>
      <w:r w:rsidR="00E67C7C" w:rsidRPr="00D0615D">
        <w:rPr>
          <w:b/>
          <w:bCs/>
        </w:rPr>
        <w:t xml:space="preserve"> la línea telefónica de asistencia a víctimas de trata</w:t>
      </w:r>
      <w:r w:rsidRPr="00D0615D">
        <w:rPr>
          <w:b/>
          <w:bCs/>
        </w:rPr>
        <w:t>;</w:t>
      </w:r>
    </w:p>
    <w:p w:rsidR="00B640EE" w:rsidRPr="00D0615D" w:rsidRDefault="00B640EE" w:rsidP="00062A91">
      <w:pPr>
        <w:pStyle w:val="Bullet1G"/>
        <w:rPr>
          <w:b/>
          <w:bCs/>
        </w:rPr>
      </w:pPr>
      <w:r w:rsidRPr="00D0615D">
        <w:rPr>
          <w:b/>
          <w:bCs/>
        </w:rPr>
        <w:t xml:space="preserve">Reforzar </w:t>
      </w:r>
      <w:r w:rsidR="00062A91">
        <w:rPr>
          <w:b/>
          <w:bCs/>
        </w:rPr>
        <w:t>e</w:t>
      </w:r>
      <w:r w:rsidR="00F1709E">
        <w:rPr>
          <w:b/>
          <w:bCs/>
        </w:rPr>
        <w:t xml:space="preserve">l </w:t>
      </w:r>
      <w:r w:rsidRPr="00D0615D">
        <w:rPr>
          <w:b/>
          <w:bCs/>
        </w:rPr>
        <w:t>CONADEH para que asegure una mejor accesibilidad a las niñas y niños</w:t>
      </w:r>
      <w:r w:rsidR="00014ABD" w:rsidRPr="00D0615D">
        <w:rPr>
          <w:b/>
          <w:bCs/>
        </w:rPr>
        <w:t xml:space="preserve"> </w:t>
      </w:r>
      <w:r w:rsidRPr="00D0615D">
        <w:rPr>
          <w:b/>
          <w:bCs/>
        </w:rPr>
        <w:t>en todo el territorio del país, y un mejor monitoreo y evaluación de los derechos de la niñez;</w:t>
      </w:r>
    </w:p>
    <w:p w:rsidR="00CE4969" w:rsidRPr="00D0615D" w:rsidRDefault="00D87D19" w:rsidP="00C55BE9">
      <w:pPr>
        <w:pStyle w:val="Bullet1G"/>
        <w:rPr>
          <w:b/>
          <w:bCs/>
        </w:rPr>
      </w:pPr>
      <w:r w:rsidRPr="00D0615D">
        <w:rPr>
          <w:b/>
          <w:bCs/>
        </w:rPr>
        <w:t>L</w:t>
      </w:r>
      <w:r w:rsidR="00CE4969" w:rsidRPr="00D0615D">
        <w:rPr>
          <w:b/>
          <w:bCs/>
        </w:rPr>
        <w:t>uchar contra la impunidad en</w:t>
      </w:r>
      <w:r w:rsidR="00C55BE9">
        <w:rPr>
          <w:b/>
          <w:bCs/>
        </w:rPr>
        <w:t xml:space="preserve"> </w:t>
      </w:r>
      <w:r w:rsidR="00CE4969" w:rsidRPr="00D0615D">
        <w:rPr>
          <w:b/>
          <w:bCs/>
        </w:rPr>
        <w:t xml:space="preserve">torno a los </w:t>
      </w:r>
      <w:r w:rsidR="00B316E3" w:rsidRPr="00D0615D">
        <w:rPr>
          <w:b/>
          <w:bCs/>
        </w:rPr>
        <w:t>crímenes</w:t>
      </w:r>
      <w:r w:rsidR="00CE4969" w:rsidRPr="00D0615D">
        <w:rPr>
          <w:b/>
          <w:bCs/>
        </w:rPr>
        <w:t xml:space="preserve"> de venta y explotación sexual de la niñez, mejorando y reforzando la investigación criminal</w:t>
      </w:r>
      <w:r w:rsidR="000D4702" w:rsidRPr="00D0615D">
        <w:rPr>
          <w:b/>
          <w:bCs/>
        </w:rPr>
        <w:t xml:space="preserve"> y</w:t>
      </w:r>
      <w:r w:rsidR="00CE4969" w:rsidRPr="00D0615D">
        <w:rPr>
          <w:b/>
          <w:bCs/>
        </w:rPr>
        <w:t xml:space="preserve"> sancionando a los perpetradores</w:t>
      </w:r>
      <w:r w:rsidR="00BB57CC" w:rsidRPr="00D0615D">
        <w:rPr>
          <w:b/>
          <w:bCs/>
        </w:rPr>
        <w:t>;</w:t>
      </w:r>
      <w:r w:rsidR="000D4702" w:rsidRPr="00D0615D">
        <w:rPr>
          <w:b/>
          <w:bCs/>
        </w:rPr>
        <w:t xml:space="preserve"> reestablec</w:t>
      </w:r>
      <w:r w:rsidR="00BB57CC" w:rsidRPr="00D0615D">
        <w:rPr>
          <w:b/>
          <w:bCs/>
        </w:rPr>
        <w:t>er</w:t>
      </w:r>
      <w:r w:rsidR="000D4702" w:rsidRPr="00D0615D">
        <w:rPr>
          <w:b/>
          <w:bCs/>
        </w:rPr>
        <w:t xml:space="preserve"> la</w:t>
      </w:r>
      <w:r w:rsidRPr="00D0615D">
        <w:rPr>
          <w:b/>
          <w:bCs/>
        </w:rPr>
        <w:t xml:space="preserve"> </w:t>
      </w:r>
      <w:r w:rsidR="000D4702" w:rsidRPr="00D0615D">
        <w:rPr>
          <w:b/>
          <w:bCs/>
        </w:rPr>
        <w:t>DATESI, dota</w:t>
      </w:r>
      <w:r w:rsidR="00BB57CC" w:rsidRPr="00D0615D">
        <w:rPr>
          <w:b/>
          <w:bCs/>
        </w:rPr>
        <w:t xml:space="preserve">r </w:t>
      </w:r>
      <w:r w:rsidR="000D4702" w:rsidRPr="00D0615D">
        <w:rPr>
          <w:b/>
          <w:bCs/>
        </w:rPr>
        <w:t>de más medios y recursos a la Fiscalía de la Niñez</w:t>
      </w:r>
      <w:r w:rsidR="00BB57CC" w:rsidRPr="00D0615D">
        <w:rPr>
          <w:b/>
          <w:bCs/>
        </w:rPr>
        <w:t xml:space="preserve">, abrir </w:t>
      </w:r>
      <w:r w:rsidR="000D4702" w:rsidRPr="00D0615D">
        <w:rPr>
          <w:b/>
          <w:bCs/>
        </w:rPr>
        <w:t>más centros integrados</w:t>
      </w:r>
      <w:r w:rsidR="00865C69" w:rsidRPr="00D0615D">
        <w:rPr>
          <w:b/>
          <w:bCs/>
        </w:rPr>
        <w:t xml:space="preserve"> de justicia,</w:t>
      </w:r>
      <w:r w:rsidR="00BB57CC" w:rsidRPr="00D0615D">
        <w:rPr>
          <w:b/>
          <w:bCs/>
        </w:rPr>
        <w:t xml:space="preserve"> y adoptar una </w:t>
      </w:r>
      <w:r w:rsidR="007501E4" w:rsidRPr="00D0615D">
        <w:rPr>
          <w:b/>
          <w:bCs/>
        </w:rPr>
        <w:t>estrategia</w:t>
      </w:r>
      <w:r w:rsidR="00BB57CC" w:rsidRPr="00D0615D">
        <w:rPr>
          <w:b/>
          <w:bCs/>
        </w:rPr>
        <w:t xml:space="preserve"> proactiva en materia de investigación y persecución penal</w:t>
      </w:r>
      <w:r w:rsidR="00CE4969" w:rsidRPr="00D0615D">
        <w:rPr>
          <w:b/>
          <w:bCs/>
        </w:rPr>
        <w:t>;</w:t>
      </w:r>
    </w:p>
    <w:p w:rsidR="00D87D19" w:rsidRPr="00D0615D" w:rsidRDefault="00F77682" w:rsidP="00D0615D">
      <w:pPr>
        <w:pStyle w:val="Bullet1G"/>
        <w:rPr>
          <w:b/>
          <w:bCs/>
        </w:rPr>
      </w:pPr>
      <w:r w:rsidRPr="00D0615D">
        <w:rPr>
          <w:b/>
          <w:bCs/>
        </w:rPr>
        <w:t xml:space="preserve">Aumentar el acceso de los niños y niñas víctimas de venta y explotación sexual a la justicia </w:t>
      </w:r>
      <w:r w:rsidR="00CF321F" w:rsidRPr="00D0615D">
        <w:rPr>
          <w:b/>
          <w:bCs/>
        </w:rPr>
        <w:t>y reparaciones</w:t>
      </w:r>
      <w:r w:rsidRPr="00D0615D">
        <w:rPr>
          <w:b/>
          <w:bCs/>
        </w:rPr>
        <w:t xml:space="preserve">, y reforzar los programas y servicios de </w:t>
      </w:r>
      <w:r w:rsidR="00CF321F" w:rsidRPr="00D0615D">
        <w:rPr>
          <w:b/>
          <w:bCs/>
        </w:rPr>
        <w:t>atención</w:t>
      </w:r>
      <w:r w:rsidRPr="00D0615D">
        <w:rPr>
          <w:b/>
          <w:bCs/>
        </w:rPr>
        <w:t>, protección</w:t>
      </w:r>
      <w:r w:rsidR="00D87D19" w:rsidRPr="00D0615D">
        <w:rPr>
          <w:b/>
          <w:bCs/>
        </w:rPr>
        <w:t xml:space="preserve">, </w:t>
      </w:r>
      <w:r w:rsidR="00CF321F" w:rsidRPr="00D0615D">
        <w:rPr>
          <w:b/>
          <w:bCs/>
        </w:rPr>
        <w:t>rehabilitación</w:t>
      </w:r>
      <w:r w:rsidR="00D87D19" w:rsidRPr="00D0615D">
        <w:rPr>
          <w:b/>
          <w:bCs/>
        </w:rPr>
        <w:t>, reintegración y seguimiento de los</w:t>
      </w:r>
      <w:r w:rsidR="008E4D7A" w:rsidRPr="00D0615D">
        <w:rPr>
          <w:b/>
          <w:bCs/>
        </w:rPr>
        <w:t xml:space="preserve"> niños y niñas víctimas</w:t>
      </w:r>
      <w:r w:rsidR="00D87D19" w:rsidRPr="00D0615D">
        <w:rPr>
          <w:b/>
          <w:bCs/>
        </w:rPr>
        <w:t>;</w:t>
      </w:r>
    </w:p>
    <w:p w:rsidR="00696F0B" w:rsidRPr="00D0615D" w:rsidRDefault="00696F0B" w:rsidP="00D0615D">
      <w:pPr>
        <w:pStyle w:val="Bullet1G"/>
        <w:rPr>
          <w:b/>
          <w:bCs/>
        </w:rPr>
      </w:pPr>
      <w:r w:rsidRPr="00D0615D">
        <w:rPr>
          <w:b/>
          <w:bCs/>
        </w:rPr>
        <w:t xml:space="preserve">Establecer un sistema centralizado y estandarizado de recolección de datos desglosados por sexo, edad, tipo de violación y medidas judiciales adoptadas; </w:t>
      </w:r>
    </w:p>
    <w:p w:rsidR="00CE4969" w:rsidRPr="00D0615D" w:rsidRDefault="00CE4969" w:rsidP="00D0615D">
      <w:pPr>
        <w:pStyle w:val="Bullet1G"/>
        <w:rPr>
          <w:b/>
          <w:bCs/>
        </w:rPr>
      </w:pPr>
      <w:r w:rsidRPr="00D0615D">
        <w:rPr>
          <w:b/>
          <w:bCs/>
        </w:rPr>
        <w:t xml:space="preserve">Crear un sistema de información, seguimiento y evaluación, con designación </w:t>
      </w:r>
      <w:r w:rsidR="00EA1600" w:rsidRPr="00D0615D">
        <w:rPr>
          <w:b/>
          <w:bCs/>
        </w:rPr>
        <w:t>de entidades responsables.</w:t>
      </w:r>
    </w:p>
    <w:p w:rsidR="00184951" w:rsidRPr="00D0615D" w:rsidRDefault="006E0AB7" w:rsidP="00C55BE9">
      <w:pPr>
        <w:pStyle w:val="SingleTxtG"/>
        <w:ind w:firstLine="567"/>
        <w:rPr>
          <w:b/>
          <w:bCs/>
        </w:rPr>
      </w:pPr>
      <w:r>
        <w:rPr>
          <w:b/>
          <w:bCs/>
        </w:rPr>
        <w:t>b)</w:t>
      </w:r>
      <w:r>
        <w:rPr>
          <w:b/>
          <w:bCs/>
        </w:rPr>
        <w:tab/>
      </w:r>
      <w:r w:rsidR="007457E3" w:rsidRPr="00D0615D">
        <w:rPr>
          <w:b/>
          <w:bCs/>
        </w:rPr>
        <w:t xml:space="preserve">Dotar del presupuesto </w:t>
      </w:r>
      <w:r w:rsidR="0080532B" w:rsidRPr="00D0615D">
        <w:rPr>
          <w:b/>
          <w:bCs/>
        </w:rPr>
        <w:t>necesario</w:t>
      </w:r>
      <w:r w:rsidR="007457E3" w:rsidRPr="00D0615D">
        <w:rPr>
          <w:b/>
          <w:bCs/>
        </w:rPr>
        <w:t xml:space="preserve"> y </w:t>
      </w:r>
      <w:r w:rsidR="0080532B" w:rsidRPr="00D0615D">
        <w:rPr>
          <w:b/>
          <w:bCs/>
        </w:rPr>
        <w:t xml:space="preserve">de manera </w:t>
      </w:r>
      <w:r w:rsidR="007457E3" w:rsidRPr="00D0615D">
        <w:rPr>
          <w:b/>
          <w:bCs/>
        </w:rPr>
        <w:t xml:space="preserve">sostenible a la DINAF, para que pueda desempeñar sus funciones </w:t>
      </w:r>
      <w:r w:rsidR="00445747" w:rsidRPr="00D0615D">
        <w:rPr>
          <w:b/>
          <w:bCs/>
        </w:rPr>
        <w:t>de</w:t>
      </w:r>
      <w:r w:rsidR="007457E3" w:rsidRPr="00D0615D">
        <w:rPr>
          <w:b/>
          <w:bCs/>
          <w:lang w:val="es-ES_tradnl"/>
        </w:rPr>
        <w:t xml:space="preserve"> </w:t>
      </w:r>
      <w:r w:rsidR="00445747" w:rsidRPr="00D0615D">
        <w:rPr>
          <w:b/>
          <w:bCs/>
          <w:lang w:val="es-ES_tradnl"/>
        </w:rPr>
        <w:t>coordinación</w:t>
      </w:r>
      <w:r w:rsidR="007457E3" w:rsidRPr="00D0615D">
        <w:rPr>
          <w:b/>
          <w:bCs/>
          <w:lang w:val="es-ES_tradnl"/>
        </w:rPr>
        <w:t xml:space="preserve"> y supervisión </w:t>
      </w:r>
      <w:r w:rsidR="00184951" w:rsidRPr="00D0615D">
        <w:rPr>
          <w:b/>
          <w:bCs/>
        </w:rPr>
        <w:t xml:space="preserve">de la </w:t>
      </w:r>
      <w:r w:rsidR="009E07FA" w:rsidRPr="00D0615D">
        <w:rPr>
          <w:b/>
          <w:bCs/>
        </w:rPr>
        <w:t xml:space="preserve">política </w:t>
      </w:r>
      <w:r w:rsidR="00445747" w:rsidRPr="00D0615D">
        <w:rPr>
          <w:b/>
          <w:bCs/>
        </w:rPr>
        <w:t>integra</w:t>
      </w:r>
      <w:r w:rsidR="007457E3" w:rsidRPr="00D0615D">
        <w:rPr>
          <w:b/>
          <w:bCs/>
        </w:rPr>
        <w:t>l</w:t>
      </w:r>
      <w:r w:rsidR="00184951" w:rsidRPr="00D0615D">
        <w:rPr>
          <w:b/>
          <w:bCs/>
        </w:rPr>
        <w:t xml:space="preserve"> de protección de la niñez</w:t>
      </w:r>
      <w:r w:rsidR="007457E3" w:rsidRPr="00D0615D">
        <w:rPr>
          <w:b/>
          <w:bCs/>
        </w:rPr>
        <w:t xml:space="preserve"> de manera efectiva</w:t>
      </w:r>
      <w:r w:rsidR="009E07FA" w:rsidRPr="00D0615D">
        <w:rPr>
          <w:b/>
          <w:bCs/>
        </w:rPr>
        <w:t xml:space="preserve">, </w:t>
      </w:r>
      <w:r w:rsidR="0080532B" w:rsidRPr="00D0615D">
        <w:rPr>
          <w:b/>
          <w:bCs/>
        </w:rPr>
        <w:t>as</w:t>
      </w:r>
      <w:r w:rsidR="00BB57CC" w:rsidRPr="00D0615D">
        <w:rPr>
          <w:b/>
          <w:bCs/>
        </w:rPr>
        <w:t>í</w:t>
      </w:r>
      <w:r w:rsidR="0080532B" w:rsidRPr="00D0615D">
        <w:rPr>
          <w:b/>
          <w:bCs/>
        </w:rPr>
        <w:t xml:space="preserve"> como </w:t>
      </w:r>
      <w:r w:rsidR="007457E3" w:rsidRPr="00D0615D">
        <w:rPr>
          <w:b/>
          <w:bCs/>
        </w:rPr>
        <w:t>definir</w:t>
      </w:r>
      <w:r w:rsidR="009E07FA" w:rsidRPr="00D0615D">
        <w:rPr>
          <w:b/>
          <w:bCs/>
        </w:rPr>
        <w:t xml:space="preserve"> las modalidades de articulación de la política </w:t>
      </w:r>
      <w:r w:rsidR="00865C69" w:rsidRPr="00D0615D">
        <w:rPr>
          <w:b/>
          <w:bCs/>
        </w:rPr>
        <w:t>integral</w:t>
      </w:r>
      <w:r w:rsidR="009E07FA" w:rsidRPr="00D0615D">
        <w:rPr>
          <w:b/>
          <w:bCs/>
        </w:rPr>
        <w:t xml:space="preserve"> </w:t>
      </w:r>
      <w:r w:rsidR="00865C69" w:rsidRPr="00D0615D">
        <w:rPr>
          <w:b/>
          <w:bCs/>
        </w:rPr>
        <w:t xml:space="preserve">de protección </w:t>
      </w:r>
      <w:r w:rsidR="009E07FA" w:rsidRPr="00D0615D">
        <w:rPr>
          <w:b/>
          <w:bCs/>
        </w:rPr>
        <w:t>de la niñez con la Política P</w:t>
      </w:r>
      <w:r w:rsidR="007457E3" w:rsidRPr="00D0615D">
        <w:rPr>
          <w:b/>
          <w:bCs/>
        </w:rPr>
        <w:t>ú</w:t>
      </w:r>
      <w:r w:rsidR="009E07FA" w:rsidRPr="00D0615D">
        <w:rPr>
          <w:b/>
          <w:bCs/>
        </w:rPr>
        <w:t>blica y Plan Nacional de Acción en Derechos Humanos</w:t>
      </w:r>
      <w:r w:rsidR="00D632DC" w:rsidRPr="00D0615D">
        <w:rPr>
          <w:b/>
          <w:bCs/>
        </w:rPr>
        <w:t>, y asignar los recursos necesarios para su ejecución, incluyendo a nivel local</w:t>
      </w:r>
      <w:r w:rsidR="009E07FA" w:rsidRPr="00D0615D">
        <w:rPr>
          <w:b/>
          <w:bCs/>
        </w:rPr>
        <w:t>;</w:t>
      </w:r>
    </w:p>
    <w:p w:rsidR="009E07FA" w:rsidRPr="00D0615D" w:rsidRDefault="006E0AB7" w:rsidP="008420A9">
      <w:pPr>
        <w:pStyle w:val="SingleTxtG"/>
        <w:ind w:firstLine="567"/>
        <w:rPr>
          <w:b/>
          <w:bCs/>
        </w:rPr>
      </w:pPr>
      <w:r>
        <w:rPr>
          <w:b/>
          <w:bCs/>
        </w:rPr>
        <w:t>c)</w:t>
      </w:r>
      <w:r>
        <w:rPr>
          <w:b/>
          <w:bCs/>
        </w:rPr>
        <w:tab/>
      </w:r>
      <w:r w:rsidR="00184951" w:rsidRPr="00D0615D">
        <w:rPr>
          <w:b/>
          <w:bCs/>
        </w:rPr>
        <w:t>Crear un marco coordinado de cooperación</w:t>
      </w:r>
      <w:r w:rsidR="00C83971" w:rsidRPr="00D0615D">
        <w:rPr>
          <w:b/>
          <w:bCs/>
        </w:rPr>
        <w:t xml:space="preserve"> para implementar la </w:t>
      </w:r>
      <w:r w:rsidR="00445747" w:rsidRPr="00D0615D">
        <w:rPr>
          <w:b/>
          <w:bCs/>
        </w:rPr>
        <w:t>política</w:t>
      </w:r>
      <w:r w:rsidR="00014ABD" w:rsidRPr="00D0615D">
        <w:rPr>
          <w:b/>
          <w:bCs/>
        </w:rPr>
        <w:t xml:space="preserve"> </w:t>
      </w:r>
      <w:r w:rsidR="00C83971" w:rsidRPr="00D0615D">
        <w:rPr>
          <w:b/>
          <w:bCs/>
        </w:rPr>
        <w:t>integra</w:t>
      </w:r>
      <w:r w:rsidR="00BB57CC" w:rsidRPr="00D0615D">
        <w:rPr>
          <w:b/>
          <w:bCs/>
        </w:rPr>
        <w:t>l</w:t>
      </w:r>
      <w:r w:rsidR="00C83971" w:rsidRPr="00D0615D">
        <w:rPr>
          <w:b/>
          <w:bCs/>
        </w:rPr>
        <w:t xml:space="preserve"> de protección de la niñez, con el apoyo de la cooperación internacional y el sistema de la</w:t>
      </w:r>
      <w:r w:rsidR="008420A9">
        <w:rPr>
          <w:b/>
          <w:bCs/>
        </w:rPr>
        <w:t>s Naciones Unidas</w:t>
      </w:r>
      <w:r w:rsidR="00C83971" w:rsidRPr="00D0615D">
        <w:rPr>
          <w:b/>
          <w:bCs/>
        </w:rPr>
        <w:t xml:space="preserve">, incidiendo </w:t>
      </w:r>
      <w:r w:rsidR="00BB57CC" w:rsidRPr="00D0615D">
        <w:rPr>
          <w:b/>
          <w:bCs/>
        </w:rPr>
        <w:t>sobre</w:t>
      </w:r>
      <w:r w:rsidR="007457E3" w:rsidRPr="00D0615D">
        <w:rPr>
          <w:b/>
          <w:bCs/>
        </w:rPr>
        <w:t xml:space="preserve"> </w:t>
      </w:r>
      <w:r w:rsidR="00C83971" w:rsidRPr="00D0615D">
        <w:rPr>
          <w:b/>
          <w:bCs/>
        </w:rPr>
        <w:t xml:space="preserve">la armonización del sistema de información, </w:t>
      </w:r>
      <w:r w:rsidR="00EA1600" w:rsidRPr="00D0615D">
        <w:rPr>
          <w:b/>
          <w:bCs/>
        </w:rPr>
        <w:t>seguimiento</w:t>
      </w:r>
      <w:r w:rsidR="00C83971" w:rsidRPr="00D0615D">
        <w:rPr>
          <w:b/>
          <w:bCs/>
        </w:rPr>
        <w:t xml:space="preserve"> y monitoreo, el fortalecimiento institucional y de capacidades, y la </w:t>
      </w:r>
      <w:r w:rsidR="00EA1600" w:rsidRPr="00D0615D">
        <w:rPr>
          <w:b/>
          <w:bCs/>
        </w:rPr>
        <w:t>cooperación</w:t>
      </w:r>
      <w:r w:rsidR="00C83971" w:rsidRPr="00D0615D">
        <w:rPr>
          <w:b/>
          <w:bCs/>
        </w:rPr>
        <w:t xml:space="preserve"> policial y judicial en la lucha contra </w:t>
      </w:r>
      <w:r w:rsidR="00865C69" w:rsidRPr="00D0615D">
        <w:rPr>
          <w:b/>
          <w:bCs/>
        </w:rPr>
        <w:t xml:space="preserve">la </w:t>
      </w:r>
      <w:r w:rsidR="00BB57CC" w:rsidRPr="00D0615D">
        <w:rPr>
          <w:b/>
          <w:bCs/>
        </w:rPr>
        <w:t>venta y explotación sexual de la niñez</w:t>
      </w:r>
      <w:r w:rsidR="00C83971" w:rsidRPr="00D0615D">
        <w:rPr>
          <w:b/>
          <w:bCs/>
        </w:rPr>
        <w:t xml:space="preserve"> y la ciberpedopornograf</w:t>
      </w:r>
      <w:r w:rsidR="00BB57CC" w:rsidRPr="00D0615D">
        <w:rPr>
          <w:b/>
          <w:bCs/>
        </w:rPr>
        <w:t>í</w:t>
      </w:r>
      <w:r w:rsidR="00C83971" w:rsidRPr="00D0615D">
        <w:rPr>
          <w:b/>
          <w:bCs/>
        </w:rPr>
        <w:t>a.</w:t>
      </w:r>
    </w:p>
    <w:p w:rsidR="00D63D48" w:rsidRPr="00014ABD" w:rsidRDefault="000F7BE0" w:rsidP="000F7BE0">
      <w:pPr>
        <w:pStyle w:val="SingleTxtG"/>
        <w:suppressAutoHyphens/>
        <w:spacing w:before="240" w:after="0"/>
        <w:jc w:val="center"/>
        <w:rPr>
          <w:u w:val="single"/>
        </w:rPr>
      </w:pPr>
      <w:r w:rsidRPr="00014ABD">
        <w:rPr>
          <w:u w:val="single"/>
        </w:rPr>
        <w:tab/>
      </w:r>
      <w:r w:rsidRPr="00014ABD">
        <w:rPr>
          <w:u w:val="single"/>
        </w:rPr>
        <w:tab/>
      </w:r>
      <w:r w:rsidRPr="00014ABD">
        <w:rPr>
          <w:u w:val="single"/>
        </w:rPr>
        <w:tab/>
      </w:r>
    </w:p>
    <w:sectPr w:rsidR="00D63D48" w:rsidRPr="00014ABD" w:rsidSect="00BA1AF4">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D3" w:rsidRDefault="00AC63D3">
      <w:r>
        <w:separator/>
      </w:r>
    </w:p>
  </w:endnote>
  <w:endnote w:type="continuationSeparator" w:id="0">
    <w:p w:rsidR="00AC63D3" w:rsidRDefault="00A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1C" w:rsidRPr="000C59AE" w:rsidRDefault="00C35B1C" w:rsidP="000C59AE">
    <w:pPr>
      <w:pStyle w:val="Footer"/>
      <w:tabs>
        <w:tab w:val="right" w:pos="9638"/>
      </w:tabs>
    </w:pPr>
    <w:r w:rsidRPr="000C59AE">
      <w:rPr>
        <w:b/>
        <w:sz w:val="18"/>
      </w:rPr>
      <w:fldChar w:fldCharType="begin"/>
    </w:r>
    <w:r w:rsidRPr="000C59AE">
      <w:rPr>
        <w:b/>
        <w:sz w:val="18"/>
      </w:rPr>
      <w:instrText xml:space="preserve"> PAGE  \* MERGEFORMAT </w:instrText>
    </w:r>
    <w:r w:rsidRPr="000C59AE">
      <w:rPr>
        <w:b/>
        <w:sz w:val="18"/>
      </w:rPr>
      <w:fldChar w:fldCharType="separate"/>
    </w:r>
    <w:r w:rsidR="00B47211">
      <w:rPr>
        <w:b/>
        <w:noProof/>
        <w:sz w:val="18"/>
      </w:rPr>
      <w:t>14</w:t>
    </w:r>
    <w:r w:rsidRPr="000C59A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1C" w:rsidRPr="000C59AE" w:rsidRDefault="00C35B1C" w:rsidP="000C59AE">
    <w:pPr>
      <w:pStyle w:val="Footer"/>
      <w:tabs>
        <w:tab w:val="right" w:pos="9638"/>
      </w:tabs>
      <w:rPr>
        <w:b/>
        <w:sz w:val="18"/>
      </w:rPr>
    </w:pPr>
    <w:r>
      <w:tab/>
    </w:r>
    <w:r w:rsidRPr="000C59AE">
      <w:rPr>
        <w:b/>
        <w:sz w:val="18"/>
      </w:rPr>
      <w:fldChar w:fldCharType="begin"/>
    </w:r>
    <w:r w:rsidRPr="000C59AE">
      <w:rPr>
        <w:b/>
        <w:sz w:val="18"/>
      </w:rPr>
      <w:instrText xml:space="preserve"> PAGE  \* MERGEFORMAT </w:instrText>
    </w:r>
    <w:r w:rsidRPr="000C59AE">
      <w:rPr>
        <w:b/>
        <w:sz w:val="18"/>
      </w:rPr>
      <w:fldChar w:fldCharType="separate"/>
    </w:r>
    <w:r w:rsidR="00B47211">
      <w:rPr>
        <w:b/>
        <w:noProof/>
        <w:sz w:val="18"/>
      </w:rPr>
      <w:t>13</w:t>
    </w:r>
    <w:r w:rsidRPr="000C59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75" w:rsidRDefault="00EA262D" w:rsidP="00AC7703">
    <w:pPr>
      <w:pStyle w:val="Footer"/>
      <w:spacing w:before="240"/>
      <w:rPr>
        <w:sz w:val="20"/>
      </w:rPr>
    </w:pPr>
    <w:r>
      <w:rPr>
        <w:noProof/>
        <w:sz w:val="20"/>
        <w:lang w:val="en-GB" w:eastAsia="en-GB"/>
      </w:rPr>
      <w:drawing>
        <wp:anchor distT="0" distB="0" distL="114300" distR="114300" simplePos="0" relativeHeight="251657216"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21775" w:rsidRPr="00D0615D">
      <w:rPr>
        <w:sz w:val="20"/>
      </w:rPr>
      <w:t>GE.14-</w:t>
    </w:r>
    <w:r w:rsidR="00E130CB">
      <w:rPr>
        <w:sz w:val="20"/>
      </w:rPr>
      <w:t>24627</w:t>
    </w:r>
    <w:r w:rsidR="00A108B6">
      <w:rPr>
        <w:sz w:val="20"/>
      </w:rPr>
      <w:t xml:space="preserve">  (S)</w:t>
    </w:r>
  </w:p>
  <w:p w:rsidR="00AC7703" w:rsidRPr="00AC7703" w:rsidRDefault="00AC7703" w:rsidP="00AC770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EA262D">
      <w:rPr>
        <w:rFonts w:ascii="C39T30Lfz" w:hAnsi="C39T30Lfz"/>
        <w:noProof/>
        <w:sz w:val="56"/>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D3" w:rsidRPr="001075E9" w:rsidRDefault="00AC63D3" w:rsidP="001075E9">
      <w:pPr>
        <w:tabs>
          <w:tab w:val="right" w:pos="2155"/>
        </w:tabs>
        <w:spacing w:after="80" w:line="240" w:lineRule="auto"/>
        <w:ind w:left="680"/>
        <w:rPr>
          <w:u w:val="single"/>
        </w:rPr>
      </w:pPr>
      <w:r>
        <w:rPr>
          <w:u w:val="single"/>
        </w:rPr>
        <w:tab/>
      </w:r>
    </w:p>
  </w:footnote>
  <w:footnote w:type="continuationSeparator" w:id="0">
    <w:p w:rsidR="00AC63D3" w:rsidRPr="001075E9" w:rsidRDefault="00AC63D3" w:rsidP="000A0938">
      <w:pPr>
        <w:tabs>
          <w:tab w:val="right" w:pos="2155"/>
        </w:tabs>
        <w:spacing w:after="80" w:line="240" w:lineRule="auto"/>
        <w:ind w:left="680"/>
        <w:rPr>
          <w:u w:val="single"/>
        </w:rPr>
      </w:pPr>
      <w:r>
        <w:rPr>
          <w:u w:val="single"/>
        </w:rPr>
        <w:tab/>
      </w:r>
    </w:p>
  </w:footnote>
  <w:footnote w:id="1">
    <w:p w:rsidR="00C35B1C" w:rsidRPr="00D0615D" w:rsidRDefault="00C35B1C" w:rsidP="00E21775">
      <w:pPr>
        <w:pStyle w:val="FootnoteText"/>
      </w:pPr>
      <w:r w:rsidRPr="00E21775">
        <w:rPr>
          <w:rStyle w:val="FootnoteReference"/>
          <w:sz w:val="20"/>
          <w:vertAlign w:val="baseline"/>
        </w:rPr>
        <w:tab/>
      </w:r>
      <w:r w:rsidRPr="0095668A">
        <w:rPr>
          <w:rStyle w:val="FootnoteReference"/>
          <w:sz w:val="20"/>
        </w:rPr>
        <w:t>*</w:t>
      </w:r>
      <w:r w:rsidRPr="00BA1AF4">
        <w:rPr>
          <w:rStyle w:val="FootnoteReference"/>
          <w:sz w:val="20"/>
          <w:vertAlign w:val="baseline"/>
        </w:rPr>
        <w:tab/>
      </w:r>
      <w:r w:rsidRPr="00D0615D">
        <w:t>El resumen del presente informe se distribuye en todos los idiomas oficiales. El informe, que figura en el anexo del resumen, se distribuye únicamente en español y en inglés.</w:t>
      </w:r>
    </w:p>
  </w:footnote>
  <w:footnote w:id="2">
    <w:p w:rsidR="00C35B1C" w:rsidRPr="00B8797C" w:rsidRDefault="00C35B1C" w:rsidP="00F6032F">
      <w:pPr>
        <w:pStyle w:val="FootnoteText"/>
      </w:pPr>
      <w:r>
        <w:tab/>
      </w:r>
      <w:r w:rsidRPr="00BA1AF4">
        <w:rPr>
          <w:rStyle w:val="FootnoteReference"/>
        </w:rPr>
        <w:footnoteRef/>
      </w:r>
      <w:r>
        <w:tab/>
        <w:t>E</w:t>
      </w:r>
      <w:r w:rsidRPr="00B8797C">
        <w:t xml:space="preserve">l Centro de Casa Alianza para niños de la calle y el </w:t>
      </w:r>
      <w:r>
        <w:t>Centro Regional y de Orientación</w:t>
      </w:r>
      <w:r w:rsidRPr="00B8797C">
        <w:t xml:space="preserve"> del IHNFA </w:t>
      </w:r>
      <w:r>
        <w:t>“Casitas Kennedy”, ambos en Tegucigalpa.</w:t>
      </w:r>
    </w:p>
  </w:footnote>
  <w:footnote w:id="3">
    <w:p w:rsidR="00534BBF" w:rsidRPr="00534BBF" w:rsidRDefault="00534BBF" w:rsidP="00F6032F">
      <w:pPr>
        <w:pStyle w:val="FootnoteText"/>
      </w:pPr>
      <w:r>
        <w:tab/>
      </w:r>
      <w:r>
        <w:rPr>
          <w:rStyle w:val="FootnoteReference"/>
        </w:rPr>
        <w:footnoteRef/>
      </w:r>
      <w:r w:rsidRPr="00534BBF">
        <w:tab/>
        <w:t>Asociación Compartir, Casa Alianza</w:t>
      </w:r>
      <w:r>
        <w:t xml:space="preserve">, </w:t>
      </w:r>
      <w:r w:rsidRPr="00534BBF">
        <w:t>COIPRODEN</w:t>
      </w:r>
      <w:r>
        <w:t xml:space="preserve">, </w:t>
      </w:r>
      <w:r w:rsidRPr="00534BBF">
        <w:t>Save the Children</w:t>
      </w:r>
      <w:r>
        <w:t xml:space="preserve"> y V</w:t>
      </w:r>
      <w:r w:rsidRPr="00534BBF">
        <w:t>isión Mundial.</w:t>
      </w:r>
    </w:p>
  </w:footnote>
  <w:footnote w:id="4">
    <w:p w:rsidR="00C35B1C" w:rsidRPr="00B8797C" w:rsidRDefault="00C35B1C" w:rsidP="00684BA1">
      <w:pPr>
        <w:pStyle w:val="FootnoteText"/>
      </w:pPr>
      <w:r w:rsidRPr="00534BBF">
        <w:tab/>
      </w:r>
      <w:r w:rsidRPr="00BA1AF4">
        <w:rPr>
          <w:rStyle w:val="FootnoteReference"/>
        </w:rPr>
        <w:footnoteRef/>
      </w:r>
      <w:r>
        <w:tab/>
      </w:r>
      <w:r w:rsidRPr="0021763D">
        <w:t>Embajadas de Alemania,</w:t>
      </w:r>
      <w:r>
        <w:t xml:space="preserve"> </w:t>
      </w:r>
      <w:r w:rsidR="00684BA1">
        <w:t xml:space="preserve">el </w:t>
      </w:r>
      <w:r>
        <w:t xml:space="preserve">Canadá, España, </w:t>
      </w:r>
      <w:r w:rsidR="00684BA1">
        <w:t xml:space="preserve">los </w:t>
      </w:r>
      <w:r>
        <w:t>Estados Unidos,</w:t>
      </w:r>
      <w:r w:rsidRPr="0021763D">
        <w:t xml:space="preserve"> </w:t>
      </w:r>
      <w:r w:rsidR="00684BA1">
        <w:t xml:space="preserve">el </w:t>
      </w:r>
      <w:r>
        <w:t>Japón y Suiza,</w:t>
      </w:r>
      <w:r w:rsidRPr="0021763D">
        <w:t xml:space="preserve"> y </w:t>
      </w:r>
      <w:r w:rsidR="00534BBF">
        <w:t xml:space="preserve">la </w:t>
      </w:r>
      <w:r w:rsidR="00684BA1">
        <w:t>d</w:t>
      </w:r>
      <w:r w:rsidR="00534BBF">
        <w:t xml:space="preserve">elegación de la Unión Europea </w:t>
      </w:r>
      <w:r w:rsidR="008C0742">
        <w:t xml:space="preserve">(UE) </w:t>
      </w:r>
      <w:r w:rsidR="00534BBF">
        <w:t>en Honduras</w:t>
      </w:r>
      <w:r w:rsidRPr="0021763D">
        <w:t>.</w:t>
      </w:r>
      <w:r w:rsidRPr="00B8797C">
        <w:t xml:space="preserve"> </w:t>
      </w:r>
    </w:p>
  </w:footnote>
  <w:footnote w:id="5">
    <w:p w:rsidR="00442A3C" w:rsidRPr="00442A3C" w:rsidRDefault="00442A3C" w:rsidP="00684BA1">
      <w:pPr>
        <w:pStyle w:val="FootnoteText"/>
      </w:pPr>
      <w:r>
        <w:tab/>
      </w:r>
      <w:r>
        <w:rPr>
          <w:rStyle w:val="FootnoteReference"/>
        </w:rPr>
        <w:footnoteRef/>
      </w:r>
      <w:r>
        <w:tab/>
      </w:r>
      <w:r w:rsidR="00684BA1">
        <w:t xml:space="preserve">La </w:t>
      </w:r>
      <w:r w:rsidR="00684BA1" w:rsidRPr="00AF7DD2">
        <w:t>Oficina del Alto Comisionado de las Naciones Unidas para los Derechos Humanos (</w:t>
      </w:r>
      <w:r w:rsidR="00684BA1">
        <w:t xml:space="preserve">ACNUDH), la </w:t>
      </w:r>
      <w:r w:rsidR="00684BA1" w:rsidRPr="00AF7DD2">
        <w:t>Organización de las Naciones Unidas para la</w:t>
      </w:r>
      <w:r w:rsidR="00684BA1">
        <w:rPr>
          <w:rFonts w:ascii="Helvetica" w:hAnsi="Helvetica" w:cs="Helvetica"/>
          <w:color w:val="333333"/>
          <w:sz w:val="21"/>
          <w:szCs w:val="21"/>
          <w:shd w:val="clear" w:color="auto" w:fill="FFFFFF"/>
        </w:rPr>
        <w:t xml:space="preserve"> </w:t>
      </w:r>
      <w:r w:rsidR="00684BA1" w:rsidRPr="00AF7DD2">
        <w:t>Alimentación y la Agricultura (</w:t>
      </w:r>
      <w:r w:rsidR="00684BA1">
        <w:t xml:space="preserve">FAO), la Organización Mundial de la Salud (OMS), el </w:t>
      </w:r>
      <w:r w:rsidR="00684BA1" w:rsidRPr="00AF7DD2">
        <w:t>Programa Conjunto de las Naciones Unidas sobre el VIH/SIDA (</w:t>
      </w:r>
      <w:r w:rsidR="00684BA1">
        <w:t xml:space="preserve">ONUSIDA), el Programa Mundial de Alimentos (PMA), el </w:t>
      </w:r>
      <w:r w:rsidR="00684BA1" w:rsidRPr="00AF7DD2">
        <w:t xml:space="preserve">Programa de las Naciones Unidas para el Desarrollo </w:t>
      </w:r>
      <w:r w:rsidR="00684BA1">
        <w:t xml:space="preserve">(PNUD), la </w:t>
      </w:r>
      <w:r w:rsidR="00684BA1" w:rsidRPr="00AF7DD2">
        <w:t>Unión Internacional de Telecomunicaciones (</w:t>
      </w:r>
      <w:r w:rsidR="00684BA1">
        <w:t>UIT) y</w:t>
      </w:r>
      <w:r w:rsidR="00684BA1" w:rsidRPr="00442A3C">
        <w:t xml:space="preserve"> </w:t>
      </w:r>
      <w:r w:rsidR="00684BA1">
        <w:t xml:space="preserve">el </w:t>
      </w:r>
      <w:r w:rsidR="00684BA1" w:rsidRPr="00AF7DD2">
        <w:t>Fondo de las Naciones Unidas para la Infancia (</w:t>
      </w:r>
      <w:r w:rsidR="00684BA1">
        <w:t>UNICEF).</w:t>
      </w:r>
    </w:p>
  </w:footnote>
  <w:footnote w:id="6">
    <w:p w:rsidR="00C35B1C" w:rsidRPr="005C10D6" w:rsidRDefault="00C35B1C" w:rsidP="00936EF1">
      <w:pPr>
        <w:pStyle w:val="FootnoteText"/>
      </w:pPr>
      <w:r>
        <w:tab/>
      </w:r>
      <w:r w:rsidRPr="00DC7DF7">
        <w:rPr>
          <w:vertAlign w:val="superscript"/>
        </w:rPr>
        <w:footnoteRef/>
      </w:r>
      <w:r w:rsidR="00DC7DF7">
        <w:tab/>
      </w:r>
      <w:r w:rsidR="00936EF1" w:rsidRPr="005C10D6">
        <w:t xml:space="preserve">UNICEF, </w:t>
      </w:r>
      <w:r w:rsidR="00936EF1" w:rsidRPr="00AF7DD2">
        <w:rPr>
          <w:i/>
          <w:iCs/>
        </w:rPr>
        <w:t>El estado mundial de la infancia de 2014 en cifras. Todos los niños y niñas cuentan. Revelando las disparidades para impulsar los derechos de la niñez</w:t>
      </w:r>
      <w:r w:rsidR="00936EF1">
        <w:t>, Nueva York, 2014, d</w:t>
      </w:r>
      <w:r w:rsidR="00936EF1" w:rsidRPr="00AF7DD2">
        <w:t xml:space="preserve">isponible en </w:t>
      </w:r>
      <w:hyperlink r:id="rId1" w:history="1">
        <w:r w:rsidR="00936EF1" w:rsidRPr="00AF7DD2">
          <w:t>https://www.unicef.es/sites/www.unicef.es/files/emi_2014_0.pdf</w:t>
        </w:r>
      </w:hyperlink>
      <w:r w:rsidR="00936EF1" w:rsidRPr="00AF7DD2">
        <w:t>.</w:t>
      </w:r>
      <w:r w:rsidR="00936EF1">
        <w:t xml:space="preserve"> </w:t>
      </w:r>
    </w:p>
  </w:footnote>
  <w:footnote w:id="7">
    <w:p w:rsidR="00BC2BCE" w:rsidRPr="00BC2BCE" w:rsidRDefault="00BC2BCE" w:rsidP="00936EF1">
      <w:pPr>
        <w:pStyle w:val="FootnoteText"/>
      </w:pPr>
      <w:r>
        <w:tab/>
      </w:r>
      <w:r>
        <w:rPr>
          <w:rStyle w:val="FootnoteReference"/>
        </w:rPr>
        <w:footnoteRef/>
      </w:r>
      <w:r>
        <w:tab/>
        <w:t xml:space="preserve">Primera Política Pública en Derechos Humanos y Plan Nacional de </w:t>
      </w:r>
      <w:r w:rsidR="00F6032F">
        <w:t>Acción en Derecho</w:t>
      </w:r>
      <w:r w:rsidR="009F4363">
        <w:t>s</w:t>
      </w:r>
      <w:r w:rsidR="00F6032F">
        <w:t xml:space="preserve"> Humanos, </w:t>
      </w:r>
      <w:r w:rsidR="00936EF1">
        <w:t xml:space="preserve">t. </w:t>
      </w:r>
      <w:r>
        <w:t>II, pág</w:t>
      </w:r>
      <w:r w:rsidR="00F6032F">
        <w:t>. </w:t>
      </w:r>
      <w:r>
        <w:t>27.</w:t>
      </w:r>
    </w:p>
  </w:footnote>
  <w:footnote w:id="8">
    <w:p w:rsidR="00C35B1C" w:rsidRPr="005C10D6" w:rsidRDefault="00C35B1C" w:rsidP="00DA79FC">
      <w:pPr>
        <w:pStyle w:val="FootnoteText"/>
      </w:pPr>
      <w:r w:rsidRPr="005C10D6">
        <w:tab/>
      </w:r>
      <w:r w:rsidRPr="005C10D6">
        <w:rPr>
          <w:rStyle w:val="FootnoteReference"/>
        </w:rPr>
        <w:footnoteRef/>
      </w:r>
      <w:r w:rsidRPr="005C10D6">
        <w:tab/>
        <w:t xml:space="preserve">PNUD, </w:t>
      </w:r>
      <w:r w:rsidRPr="005C10D6">
        <w:rPr>
          <w:i/>
        </w:rPr>
        <w:t xml:space="preserve">Informe sobre Desarrollo Humano 2013: El ascenso del Sur: </w:t>
      </w:r>
      <w:r w:rsidR="00936EF1">
        <w:rPr>
          <w:i/>
        </w:rPr>
        <w:t>P</w:t>
      </w:r>
      <w:r w:rsidRPr="005C10D6">
        <w:rPr>
          <w:i/>
        </w:rPr>
        <w:t>rogreso humano en un mundo diverso</w:t>
      </w:r>
      <w:r w:rsidR="00936EF1">
        <w:rPr>
          <w:i/>
        </w:rPr>
        <w:t xml:space="preserve">, </w:t>
      </w:r>
      <w:r w:rsidR="00936EF1" w:rsidRPr="00AF7DD2">
        <w:t>Nueva York, 2013, d</w:t>
      </w:r>
      <w:r w:rsidRPr="005C10D6">
        <w:t xml:space="preserve">isponible en </w:t>
      </w:r>
      <w:r w:rsidRPr="00F6032F">
        <w:t>http://www.ve.undp.org/content/dam/venezuela/</w:t>
      </w:r>
      <w:r w:rsidR="00DA79FC">
        <w:t xml:space="preserve"> </w:t>
      </w:r>
      <w:r w:rsidRPr="00F6032F">
        <w:t>docs/Publicaciones/</w:t>
      </w:r>
      <w:r w:rsidR="00DA79FC" w:rsidRPr="00F6032F">
        <w:t>undp_ve_IDH_2013.pdf</w:t>
      </w:r>
      <w:r w:rsidR="00DA79FC">
        <w:t>.</w:t>
      </w:r>
    </w:p>
  </w:footnote>
  <w:footnote w:id="9">
    <w:p w:rsidR="00C35B1C" w:rsidRPr="00AC0635" w:rsidRDefault="00C35B1C" w:rsidP="00B221CB">
      <w:pPr>
        <w:pStyle w:val="FootnoteText"/>
        <w:rPr>
          <w:szCs w:val="18"/>
        </w:rPr>
      </w:pPr>
      <w:r w:rsidRPr="005C10D6">
        <w:tab/>
      </w:r>
      <w:r w:rsidRPr="00F6032F">
        <w:rPr>
          <w:rStyle w:val="FootnoteReference"/>
        </w:rPr>
        <w:footnoteRef/>
      </w:r>
      <w:r w:rsidRPr="00F6032F">
        <w:tab/>
        <w:t xml:space="preserve">UNODC, </w:t>
      </w:r>
      <w:r w:rsidRPr="008F65F2">
        <w:rPr>
          <w:i/>
          <w:iCs/>
        </w:rPr>
        <w:t>Global Study on Homicide 2013</w:t>
      </w:r>
      <w:r w:rsidR="00E04065">
        <w:t>, d</w:t>
      </w:r>
      <w:r w:rsidRPr="00F6032F">
        <w:t xml:space="preserve">isponible en </w:t>
      </w:r>
      <w:r w:rsidR="00F6032F" w:rsidRPr="00F6032F">
        <w:t>http://www.unodc.org/documents/gsh/</w:t>
      </w:r>
      <w:r w:rsidR="00F6032F" w:rsidRPr="00F6032F">
        <w:br/>
        <w:t>pdfs/2014_GLOBAL_HOMICIDE_BOOK_web.pdf</w:t>
      </w:r>
      <w:r w:rsidR="00E04065">
        <w:rPr>
          <w:szCs w:val="18"/>
        </w:rPr>
        <w:t xml:space="preserve">; en español, véase </w:t>
      </w:r>
      <w:r w:rsidR="00E04065" w:rsidRPr="002F6675">
        <w:rPr>
          <w:i/>
          <w:iCs/>
        </w:rPr>
        <w:t>Estudio Mundial sobre el Homicidio</w:t>
      </w:r>
      <w:r w:rsidR="00E04065" w:rsidRPr="00F85F3E">
        <w:t xml:space="preserve"> </w:t>
      </w:r>
      <w:r w:rsidR="00E04065" w:rsidRPr="002F6675">
        <w:rPr>
          <w:i/>
          <w:iCs/>
        </w:rPr>
        <w:t>2013</w:t>
      </w:r>
      <w:r w:rsidR="00E04065">
        <w:rPr>
          <w:i/>
          <w:iCs/>
        </w:rPr>
        <w:t>. Resumen ejecutivo</w:t>
      </w:r>
      <w:r w:rsidR="00E04065" w:rsidRPr="00AF7DD2">
        <w:t xml:space="preserve">, disponible en </w:t>
      </w:r>
      <w:r w:rsidR="00001656" w:rsidRPr="00DA79FC">
        <w:t>https://www.unodc.org/documents/gsh/pdfs/</w:t>
      </w:r>
      <w:r w:rsidR="00001656">
        <w:t xml:space="preserve"> </w:t>
      </w:r>
      <w:r w:rsidR="00E04065" w:rsidRPr="00AF7DD2">
        <w:t>GLOBAL_HOMICIDE_Report_ExSum_spanish.pdf</w:t>
      </w:r>
      <w:r w:rsidR="00F6032F" w:rsidRPr="00AC0635">
        <w:rPr>
          <w:szCs w:val="18"/>
        </w:rPr>
        <w:t>.</w:t>
      </w:r>
    </w:p>
  </w:footnote>
  <w:footnote w:id="10">
    <w:p w:rsidR="00C35B1C" w:rsidRPr="00BE222F" w:rsidRDefault="00C35B1C" w:rsidP="00FC10B1">
      <w:pPr>
        <w:pStyle w:val="FootnoteText"/>
      </w:pPr>
      <w:r w:rsidRPr="00AC0635">
        <w:tab/>
      </w:r>
      <w:r w:rsidRPr="005C10D6">
        <w:rPr>
          <w:rStyle w:val="FootnoteReference"/>
        </w:rPr>
        <w:footnoteRef/>
      </w:r>
      <w:r w:rsidRPr="005C10D6">
        <w:tab/>
        <w:t xml:space="preserve">Observatorio de la Violencia, </w:t>
      </w:r>
      <w:r w:rsidRPr="00ED2697">
        <w:rPr>
          <w:i/>
        </w:rPr>
        <w:t>Mortalidad y Otros</w:t>
      </w:r>
      <w:r w:rsidRPr="005C10D6">
        <w:t>, Boletín Enero– Diciembre 2013, Edición N</w:t>
      </w:r>
      <w:r w:rsidR="00F6032F">
        <w:t>° </w:t>
      </w:r>
      <w:r w:rsidRPr="005C10D6">
        <w:t xml:space="preserve">32, Febrero de 2014. Disponible en </w:t>
      </w:r>
      <w:r w:rsidRPr="00F6032F">
        <w:t>http://www.iudpas.org/pdf/Boletines/Nacional/</w:t>
      </w:r>
      <w:r w:rsidR="00F6032F">
        <w:br/>
      </w:r>
      <w:r w:rsidRPr="00F6032F">
        <w:t>NEd32EneDic2013.pdf</w:t>
      </w:r>
      <w:r w:rsidR="00F6032F">
        <w:t>.</w:t>
      </w:r>
    </w:p>
  </w:footnote>
  <w:footnote w:id="11">
    <w:p w:rsidR="00133A35" w:rsidRPr="000C663A" w:rsidRDefault="00133A35" w:rsidP="00F6032F">
      <w:pPr>
        <w:pStyle w:val="FootnoteText"/>
      </w:pPr>
      <w:r>
        <w:tab/>
      </w:r>
      <w:r>
        <w:rPr>
          <w:rStyle w:val="FootnoteReference"/>
        </w:rPr>
        <w:footnoteRef/>
      </w:r>
      <w:r>
        <w:tab/>
      </w:r>
      <w:r w:rsidRPr="00F6032F">
        <w:t>http://www.oas.org/es/cidh/prensa/comunicados/2014/067.asp</w:t>
      </w:r>
      <w:r w:rsidR="00F6032F">
        <w:t>.</w:t>
      </w:r>
    </w:p>
  </w:footnote>
  <w:footnote w:id="12">
    <w:p w:rsidR="00133A35" w:rsidRPr="00133A35" w:rsidRDefault="00DC7DF7" w:rsidP="003919D9">
      <w:pPr>
        <w:pStyle w:val="FootnoteText"/>
      </w:pPr>
      <w:r>
        <w:tab/>
      </w:r>
      <w:r w:rsidR="00133A35">
        <w:rPr>
          <w:rStyle w:val="FootnoteReference"/>
        </w:rPr>
        <w:footnoteRef/>
      </w:r>
      <w:r>
        <w:tab/>
      </w:r>
      <w:r w:rsidR="00133A35">
        <w:t>Primera Política Pública en Derechos Humanos y Plan Nacional de Acción en Derecho</w:t>
      </w:r>
      <w:r w:rsidR="003E0515">
        <w:t>s</w:t>
      </w:r>
      <w:r w:rsidR="00133A35">
        <w:t xml:space="preserve"> Humanos, </w:t>
      </w:r>
      <w:r w:rsidR="008E639B">
        <w:t>t.</w:t>
      </w:r>
      <w:r w:rsidR="003919D9">
        <w:t xml:space="preserve"> </w:t>
      </w:r>
      <w:r w:rsidR="00133A35">
        <w:t>II, pág</w:t>
      </w:r>
      <w:r w:rsidR="00F6032F">
        <w:t>. </w:t>
      </w:r>
      <w:r w:rsidR="00133A35">
        <w:t>32.</w:t>
      </w:r>
    </w:p>
  </w:footnote>
  <w:footnote w:id="13">
    <w:p w:rsidR="00C35B1C" w:rsidRPr="00F6032F" w:rsidRDefault="00DC7DF7" w:rsidP="00FC10B1">
      <w:pPr>
        <w:pStyle w:val="FootnoteText"/>
      </w:pPr>
      <w:r w:rsidRPr="00DC7DF7">
        <w:tab/>
      </w:r>
      <w:r w:rsidR="00C35B1C" w:rsidRPr="00DC7DF7">
        <w:rPr>
          <w:vertAlign w:val="superscript"/>
          <w:lang w:val="en-GB"/>
        </w:rPr>
        <w:footnoteRef/>
      </w:r>
      <w:r w:rsidRPr="00F6032F">
        <w:tab/>
      </w:r>
      <w:r w:rsidR="00FC10B1">
        <w:t xml:space="preserve">Véase la nota 9 </w:t>
      </w:r>
      <w:r w:rsidR="00FC10B1" w:rsidRPr="008F65F2">
        <w:rPr>
          <w:i/>
          <w:iCs/>
        </w:rPr>
        <w:t>supra</w:t>
      </w:r>
      <w:r w:rsidR="00FC10B1">
        <w:t>.</w:t>
      </w:r>
    </w:p>
  </w:footnote>
  <w:footnote w:id="14">
    <w:p w:rsidR="00C35B1C" w:rsidRPr="00822150" w:rsidRDefault="00DC7DF7" w:rsidP="00FC10B1">
      <w:pPr>
        <w:pStyle w:val="FootnoteText"/>
      </w:pPr>
      <w:r>
        <w:tab/>
      </w:r>
      <w:r w:rsidR="00C35B1C" w:rsidRPr="00DC7DF7">
        <w:rPr>
          <w:vertAlign w:val="superscript"/>
        </w:rPr>
        <w:footnoteRef/>
      </w:r>
      <w:r w:rsidRPr="00DC7DF7">
        <w:rPr>
          <w:vertAlign w:val="superscript"/>
        </w:rPr>
        <w:tab/>
      </w:r>
      <w:r w:rsidR="00FC10B1">
        <w:t xml:space="preserve">Véase la nota 9 </w:t>
      </w:r>
      <w:r w:rsidR="00FC10B1" w:rsidRPr="008F65F2">
        <w:rPr>
          <w:i/>
          <w:iCs/>
        </w:rPr>
        <w:t>supra</w:t>
      </w:r>
      <w:r w:rsidR="00FC10B1">
        <w:t>.</w:t>
      </w:r>
    </w:p>
  </w:footnote>
  <w:footnote w:id="15">
    <w:p w:rsidR="00C35B1C" w:rsidRPr="00947880" w:rsidRDefault="00DC7DF7" w:rsidP="008141B1">
      <w:pPr>
        <w:pStyle w:val="FootnoteText"/>
      </w:pPr>
      <w:r>
        <w:tab/>
      </w:r>
      <w:r w:rsidR="00C35B1C">
        <w:rPr>
          <w:rStyle w:val="FootnoteReference"/>
        </w:rPr>
        <w:footnoteRef/>
      </w:r>
      <w:r>
        <w:tab/>
      </w:r>
      <w:r w:rsidR="00C35B1C" w:rsidRPr="00947880">
        <w:t>Canadá, España, Suiza, ACNUD</w:t>
      </w:r>
      <w:r w:rsidR="00EE7F77">
        <w:t>H</w:t>
      </w:r>
      <w:r w:rsidR="00C35B1C" w:rsidRPr="00947880">
        <w:t>, PNUD</w:t>
      </w:r>
      <w:r w:rsidR="008141B1">
        <w:t>,</w:t>
      </w:r>
      <w:r w:rsidR="00C35B1C" w:rsidRPr="00947880">
        <w:t xml:space="preserve"> UNICEF</w:t>
      </w:r>
      <w:r w:rsidR="008141B1">
        <w:t xml:space="preserve"> y UE</w:t>
      </w:r>
      <w:r w:rsidR="00C35B1C" w:rsidRPr="00947880">
        <w:t>.</w:t>
      </w:r>
    </w:p>
  </w:footnote>
  <w:footnote w:id="16">
    <w:p w:rsidR="00C35B1C" w:rsidRPr="00BE157C" w:rsidRDefault="00DC7DF7">
      <w:pPr>
        <w:pStyle w:val="FootnoteText"/>
      </w:pPr>
      <w:r>
        <w:tab/>
      </w:r>
      <w:r w:rsidR="00C35B1C">
        <w:rPr>
          <w:rStyle w:val="FootnoteReference"/>
        </w:rPr>
        <w:footnoteRef/>
      </w:r>
      <w:r>
        <w:tab/>
      </w:r>
      <w:r w:rsidR="00C35B1C" w:rsidRPr="00BE157C">
        <w:t>http://www.unicef.org/honduras/14352_26676.htm</w:t>
      </w:r>
      <w:r w:rsidR="00F6032F">
        <w:t>.</w:t>
      </w:r>
    </w:p>
  </w:footnote>
  <w:footnote w:id="17">
    <w:p w:rsidR="008B6A83" w:rsidRPr="00F6032F" w:rsidRDefault="00CA2A69" w:rsidP="00F6032F">
      <w:pPr>
        <w:pStyle w:val="FootnoteText"/>
      </w:pPr>
      <w:r>
        <w:tab/>
      </w:r>
      <w:r w:rsidR="008B6A83">
        <w:rPr>
          <w:rStyle w:val="FootnoteReference"/>
        </w:rPr>
        <w:footnoteRef/>
      </w:r>
      <w:r w:rsidR="008B6A83" w:rsidRPr="00C002D5">
        <w:tab/>
      </w:r>
      <w:r w:rsidR="008B6A83" w:rsidRPr="00F6032F">
        <w:t xml:space="preserve">El Ministerio Público cuenta con una Unidad Especializada contra la Explotación Sexual Comercial y Trata de Personas adscrita a la Fiscalía Especial de la Niñez. La Unidad de Trata de Personas, dependiente de la </w:t>
      </w:r>
      <w:r w:rsidR="007E18D6" w:rsidRPr="00F6032F">
        <w:t>Dirección</w:t>
      </w:r>
      <w:r w:rsidR="008B6A83" w:rsidRPr="00F6032F">
        <w:t xml:space="preserve"> Nacional de Servicios Especiales de </w:t>
      </w:r>
      <w:r w:rsidR="007E18D6" w:rsidRPr="00F6032F">
        <w:t>Investigación</w:t>
      </w:r>
      <w:r w:rsidR="008B6A83" w:rsidRPr="00F6032F">
        <w:t xml:space="preserve">, la Unidad de Delitos Especiales, dependiente de la </w:t>
      </w:r>
      <w:r w:rsidR="007E18D6" w:rsidRPr="00F6032F">
        <w:t>Dirección</w:t>
      </w:r>
      <w:r w:rsidR="008B6A83" w:rsidRPr="00F6032F">
        <w:t xml:space="preserve"> Nacional de </w:t>
      </w:r>
      <w:r w:rsidR="007E18D6" w:rsidRPr="00F6032F">
        <w:t>Investigación</w:t>
      </w:r>
      <w:r w:rsidR="008B6A83" w:rsidRPr="00F6032F">
        <w:t xml:space="preserve"> Criminal, la </w:t>
      </w:r>
      <w:r w:rsidR="007E18D6" w:rsidRPr="00F6032F">
        <w:t>División</w:t>
      </w:r>
      <w:r w:rsidR="008B6A83" w:rsidRPr="00F6032F">
        <w:t xml:space="preserve"> INTERPOL y la Unidad Transnacional de </w:t>
      </w:r>
      <w:r w:rsidR="007E18D6" w:rsidRPr="00F6032F">
        <w:t>Investigación</w:t>
      </w:r>
      <w:r w:rsidR="008B6A83" w:rsidRPr="00F6032F">
        <w:t xml:space="preserve"> Criminal, dependientes de la </w:t>
      </w:r>
      <w:r w:rsidR="007E18D6" w:rsidRPr="00F6032F">
        <w:t>Dirección</w:t>
      </w:r>
      <w:r w:rsidR="008B6A83" w:rsidRPr="00F6032F">
        <w:t xml:space="preserve"> General de la </w:t>
      </w:r>
      <w:r w:rsidR="007E18D6" w:rsidRPr="00F6032F">
        <w:t>Policía</w:t>
      </w:r>
      <w:r w:rsidR="008B6A83" w:rsidRPr="00F6032F">
        <w:t xml:space="preserve"> Nacional, tienen </w:t>
      </w:r>
      <w:r w:rsidR="007E18D6" w:rsidRPr="00F6032F">
        <w:t>agentes</w:t>
      </w:r>
      <w:r w:rsidR="008B6A83" w:rsidRPr="00F6032F">
        <w:t xml:space="preserve"> designados para la </w:t>
      </w:r>
      <w:r w:rsidR="007E18D6" w:rsidRPr="00F6032F">
        <w:t>investigación</w:t>
      </w:r>
      <w:r w:rsidR="008B6A83" w:rsidRPr="00F6032F">
        <w:t xml:space="preserve"> de</w:t>
      </w:r>
      <w:r w:rsidR="007E18D6" w:rsidRPr="00F6032F">
        <w:t xml:space="preserve"> estos delitos.</w:t>
      </w:r>
      <w:r w:rsidR="00BC2651" w:rsidRPr="00F6032F">
        <w:t xml:space="preserve"> Con posterioridad a la visita de seguimiento de la Relatora Especial, la Fiscalía Especial de la Niñez informó de la creación de la Agencia Técnica de Investigación para los delitos de trata de personas y pornografía infantil.</w:t>
      </w:r>
    </w:p>
  </w:footnote>
  <w:footnote w:id="18">
    <w:p w:rsidR="003972A5" w:rsidRPr="00F6032F" w:rsidRDefault="003972A5" w:rsidP="00F6032F">
      <w:pPr>
        <w:pStyle w:val="FootnoteText"/>
      </w:pPr>
      <w:r w:rsidRPr="00F6032F">
        <w:tab/>
      </w:r>
      <w:r w:rsidRPr="00F6032F">
        <w:rPr>
          <w:rStyle w:val="FootnoteReference"/>
        </w:rPr>
        <w:footnoteRef/>
      </w:r>
      <w:r w:rsidR="00CA2A69" w:rsidRPr="00F6032F">
        <w:tab/>
      </w:r>
      <w:r w:rsidRPr="00F6032F">
        <w:t xml:space="preserve">Según datos proporcionados por la Fiscalía </w:t>
      </w:r>
      <w:r w:rsidR="009F4363" w:rsidRPr="00F85F3E">
        <w:t xml:space="preserve">Especial </w:t>
      </w:r>
      <w:r w:rsidRPr="00F6032F">
        <w:t xml:space="preserve">de la Niñez, las estadísticas </w:t>
      </w:r>
      <w:r w:rsidR="00EB4CC2" w:rsidRPr="00F6032F">
        <w:t xml:space="preserve">en relación </w:t>
      </w:r>
      <w:r w:rsidRPr="00F6032F">
        <w:t xml:space="preserve">al delito de explotación sexual comercial </w:t>
      </w:r>
      <w:r w:rsidR="00EB4CC2" w:rsidRPr="00F6032F">
        <w:t>respecto al</w:t>
      </w:r>
      <w:r w:rsidRPr="00F6032F">
        <w:t xml:space="preserve"> </w:t>
      </w:r>
      <w:r w:rsidR="00EB4CC2" w:rsidRPr="00F6032F">
        <w:t>perí</w:t>
      </w:r>
      <w:r w:rsidRPr="00F6032F">
        <w:t>odo de 2009 a octubre de 2014 son las siguientes: 127 casos en proceso de investigación, 39 casos judicializados y</w:t>
      </w:r>
      <w:r w:rsidR="00EB4CC2" w:rsidRPr="00F6032F">
        <w:t xml:space="preserve"> </w:t>
      </w:r>
      <w:r w:rsidR="00F6032F">
        <w:t>31 casos sentenciados.</w:t>
      </w:r>
    </w:p>
  </w:footnote>
  <w:footnote w:id="19">
    <w:p w:rsidR="00184951" w:rsidRPr="00A422F3" w:rsidRDefault="00CA2A69" w:rsidP="00184951">
      <w:pPr>
        <w:pStyle w:val="FootnoteText"/>
        <w:rPr>
          <w:lang w:val="en-GB"/>
        </w:rPr>
      </w:pPr>
      <w:r w:rsidRPr="008F65F2">
        <w:tab/>
      </w:r>
      <w:r w:rsidR="00184951">
        <w:rPr>
          <w:rStyle w:val="FootnoteReference"/>
        </w:rPr>
        <w:footnoteRef/>
      </w:r>
      <w:r>
        <w:rPr>
          <w:lang w:val="en-GB"/>
        </w:rPr>
        <w:tab/>
      </w:r>
      <w:r w:rsidR="00184951" w:rsidRPr="00A422F3">
        <w:rPr>
          <w:lang w:val="en-GB"/>
        </w:rPr>
        <w:t>A/HRC/22/54/Add.2</w:t>
      </w:r>
      <w:r w:rsidR="00F6032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1C" w:rsidRPr="000C59AE" w:rsidRDefault="00C35B1C">
    <w:pPr>
      <w:pStyle w:val="Header"/>
    </w:pPr>
    <w:r>
      <w:t>A/HRC/28/</w:t>
    </w:r>
    <w:r w:rsidR="00CA2A69">
      <w:t>56</w:t>
    </w:r>
    <w: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1C" w:rsidRPr="000C59AE" w:rsidRDefault="0016226E" w:rsidP="000C59AE">
    <w:pPr>
      <w:pStyle w:val="Header"/>
      <w:jc w:val="right"/>
    </w:pPr>
    <w:r>
      <w:t>A/HRC/28/56</w:t>
    </w:r>
    <w:r w:rsidR="00C35B1C">
      <w:t>/Add.</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21CE3"/>
    <w:multiLevelType w:val="hybridMultilevel"/>
    <w:tmpl w:val="66C02FD8"/>
    <w:lvl w:ilvl="0" w:tplc="1F4E460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AF6D6F"/>
    <w:multiLevelType w:val="hybridMultilevel"/>
    <w:tmpl w:val="1C7C244C"/>
    <w:lvl w:ilvl="0" w:tplc="BA2CB110">
      <w:start w:val="1"/>
      <w:numFmt w:val="bullet"/>
      <w:lvlText w:val="•"/>
      <w:lvlJc w:val="left"/>
      <w:pPr>
        <w:tabs>
          <w:tab w:val="num" w:pos="720"/>
        </w:tabs>
        <w:ind w:left="720" w:hanging="360"/>
      </w:pPr>
      <w:rPr>
        <w:rFonts w:ascii="Times New Roman" w:hAnsi="Times New Roman" w:hint="default"/>
      </w:rPr>
    </w:lvl>
    <w:lvl w:ilvl="1" w:tplc="1EE6B6B6" w:tentative="1">
      <w:start w:val="1"/>
      <w:numFmt w:val="bullet"/>
      <w:lvlText w:val="•"/>
      <w:lvlJc w:val="left"/>
      <w:pPr>
        <w:tabs>
          <w:tab w:val="num" w:pos="1440"/>
        </w:tabs>
        <w:ind w:left="1440" w:hanging="360"/>
      </w:pPr>
      <w:rPr>
        <w:rFonts w:ascii="Times New Roman" w:hAnsi="Times New Roman" w:hint="default"/>
      </w:rPr>
    </w:lvl>
    <w:lvl w:ilvl="2" w:tplc="D93EC156" w:tentative="1">
      <w:start w:val="1"/>
      <w:numFmt w:val="bullet"/>
      <w:lvlText w:val="•"/>
      <w:lvlJc w:val="left"/>
      <w:pPr>
        <w:tabs>
          <w:tab w:val="num" w:pos="2160"/>
        </w:tabs>
        <w:ind w:left="2160" w:hanging="360"/>
      </w:pPr>
      <w:rPr>
        <w:rFonts w:ascii="Times New Roman" w:hAnsi="Times New Roman" w:hint="default"/>
      </w:rPr>
    </w:lvl>
    <w:lvl w:ilvl="3" w:tplc="800841D8" w:tentative="1">
      <w:start w:val="1"/>
      <w:numFmt w:val="bullet"/>
      <w:lvlText w:val="•"/>
      <w:lvlJc w:val="left"/>
      <w:pPr>
        <w:tabs>
          <w:tab w:val="num" w:pos="2880"/>
        </w:tabs>
        <w:ind w:left="2880" w:hanging="360"/>
      </w:pPr>
      <w:rPr>
        <w:rFonts w:ascii="Times New Roman" w:hAnsi="Times New Roman" w:hint="default"/>
      </w:rPr>
    </w:lvl>
    <w:lvl w:ilvl="4" w:tplc="805259EA" w:tentative="1">
      <w:start w:val="1"/>
      <w:numFmt w:val="bullet"/>
      <w:lvlText w:val="•"/>
      <w:lvlJc w:val="left"/>
      <w:pPr>
        <w:tabs>
          <w:tab w:val="num" w:pos="3600"/>
        </w:tabs>
        <w:ind w:left="3600" w:hanging="360"/>
      </w:pPr>
      <w:rPr>
        <w:rFonts w:ascii="Times New Roman" w:hAnsi="Times New Roman" w:hint="default"/>
      </w:rPr>
    </w:lvl>
    <w:lvl w:ilvl="5" w:tplc="0038A17C" w:tentative="1">
      <w:start w:val="1"/>
      <w:numFmt w:val="bullet"/>
      <w:lvlText w:val="•"/>
      <w:lvlJc w:val="left"/>
      <w:pPr>
        <w:tabs>
          <w:tab w:val="num" w:pos="4320"/>
        </w:tabs>
        <w:ind w:left="4320" w:hanging="360"/>
      </w:pPr>
      <w:rPr>
        <w:rFonts w:ascii="Times New Roman" w:hAnsi="Times New Roman" w:hint="default"/>
      </w:rPr>
    </w:lvl>
    <w:lvl w:ilvl="6" w:tplc="98BCD804" w:tentative="1">
      <w:start w:val="1"/>
      <w:numFmt w:val="bullet"/>
      <w:lvlText w:val="•"/>
      <w:lvlJc w:val="left"/>
      <w:pPr>
        <w:tabs>
          <w:tab w:val="num" w:pos="5040"/>
        </w:tabs>
        <w:ind w:left="5040" w:hanging="360"/>
      </w:pPr>
      <w:rPr>
        <w:rFonts w:ascii="Times New Roman" w:hAnsi="Times New Roman" w:hint="default"/>
      </w:rPr>
    </w:lvl>
    <w:lvl w:ilvl="7" w:tplc="8BEC6174" w:tentative="1">
      <w:start w:val="1"/>
      <w:numFmt w:val="bullet"/>
      <w:lvlText w:val="•"/>
      <w:lvlJc w:val="left"/>
      <w:pPr>
        <w:tabs>
          <w:tab w:val="num" w:pos="5760"/>
        </w:tabs>
        <w:ind w:left="5760" w:hanging="360"/>
      </w:pPr>
      <w:rPr>
        <w:rFonts w:ascii="Times New Roman" w:hAnsi="Times New Roman" w:hint="default"/>
      </w:rPr>
    </w:lvl>
    <w:lvl w:ilvl="8" w:tplc="07D835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59B3667"/>
    <w:multiLevelType w:val="hybridMultilevel"/>
    <w:tmpl w:val="A78404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00429B0"/>
    <w:multiLevelType w:val="hybridMultilevel"/>
    <w:tmpl w:val="E6528AEA"/>
    <w:lvl w:ilvl="0" w:tplc="510251DC">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123658C4"/>
    <w:multiLevelType w:val="hybridMultilevel"/>
    <w:tmpl w:val="6BFE88C0"/>
    <w:lvl w:ilvl="0" w:tplc="AE381D7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13F24EF8"/>
    <w:multiLevelType w:val="hybridMultilevel"/>
    <w:tmpl w:val="8A6CEB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53F51C4"/>
    <w:multiLevelType w:val="hybridMultilevel"/>
    <w:tmpl w:val="501A86BC"/>
    <w:lvl w:ilvl="0" w:tplc="C100D8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2E02FA2"/>
    <w:multiLevelType w:val="hybridMultilevel"/>
    <w:tmpl w:val="2C34412E"/>
    <w:lvl w:ilvl="0" w:tplc="9A4608A0">
      <w:start w:val="1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539"/>
    <w:multiLevelType w:val="hybridMultilevel"/>
    <w:tmpl w:val="55F64680"/>
    <w:lvl w:ilvl="0" w:tplc="163C7FCE">
      <w:start w:val="1"/>
      <w:numFmt w:val="decimal"/>
      <w:lvlText w:val="%1."/>
      <w:lvlJc w:val="left"/>
      <w:pPr>
        <w:ind w:left="1689" w:hanging="555"/>
      </w:pPr>
      <w:rPr>
        <w:rFonts w:hint="default"/>
        <w:b w:val="0"/>
        <w:bCs/>
        <w:i w:val="0"/>
        <w:iCs w:val="0"/>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212132"/>
    <w:multiLevelType w:val="hybridMultilevel"/>
    <w:tmpl w:val="6F88507E"/>
    <w:lvl w:ilvl="0" w:tplc="AA7A8DEE">
      <w:start w:val="35"/>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nsid w:val="39175737"/>
    <w:multiLevelType w:val="hybridMultilevel"/>
    <w:tmpl w:val="F6F6BD88"/>
    <w:lvl w:ilvl="0" w:tplc="9C18D20C">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3A406485"/>
    <w:multiLevelType w:val="hybridMultilevel"/>
    <w:tmpl w:val="94B674AC"/>
    <w:lvl w:ilvl="0" w:tplc="2B1C4604">
      <w:start w:val="22"/>
      <w:numFmt w:val="decimal"/>
      <w:lvlText w:val="%1."/>
      <w:lvlJc w:val="left"/>
      <w:pPr>
        <w:ind w:left="1500" w:hanging="360"/>
      </w:pPr>
      <w:rPr>
        <w:rFonts w:hint="default"/>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3">
    <w:nsid w:val="3E8B0BD9"/>
    <w:multiLevelType w:val="hybridMultilevel"/>
    <w:tmpl w:val="86E20A4C"/>
    <w:lvl w:ilvl="0" w:tplc="88FEEF1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41E1265A"/>
    <w:multiLevelType w:val="hybridMultilevel"/>
    <w:tmpl w:val="09FC7886"/>
    <w:lvl w:ilvl="0" w:tplc="2B9C733C">
      <w:start w:val="1"/>
      <w:numFmt w:val="bullet"/>
      <w:lvlText w:val="-"/>
      <w:lvlJc w:val="left"/>
      <w:pPr>
        <w:tabs>
          <w:tab w:val="num" w:pos="927"/>
        </w:tabs>
        <w:ind w:left="927" w:hanging="360"/>
      </w:pPr>
      <w:rPr>
        <w:rFonts w:ascii="Times New Roman" w:hAnsi="Times New Roman" w:hint="default"/>
      </w:rPr>
    </w:lvl>
    <w:lvl w:ilvl="1" w:tplc="515820C8">
      <w:start w:val="1"/>
      <w:numFmt w:val="bullet"/>
      <w:lvlText w:val="-"/>
      <w:lvlJc w:val="left"/>
      <w:pPr>
        <w:tabs>
          <w:tab w:val="num" w:pos="1647"/>
        </w:tabs>
        <w:ind w:left="1647" w:hanging="360"/>
      </w:pPr>
      <w:rPr>
        <w:rFonts w:ascii="Times New Roman" w:hAnsi="Times New Roman" w:hint="default"/>
      </w:rPr>
    </w:lvl>
    <w:lvl w:ilvl="2" w:tplc="23420996" w:tentative="1">
      <w:start w:val="1"/>
      <w:numFmt w:val="bullet"/>
      <w:lvlText w:val="-"/>
      <w:lvlJc w:val="left"/>
      <w:pPr>
        <w:tabs>
          <w:tab w:val="num" w:pos="2367"/>
        </w:tabs>
        <w:ind w:left="2367" w:hanging="360"/>
      </w:pPr>
      <w:rPr>
        <w:rFonts w:ascii="Times New Roman" w:hAnsi="Times New Roman" w:hint="default"/>
      </w:rPr>
    </w:lvl>
    <w:lvl w:ilvl="3" w:tplc="FD5C6080" w:tentative="1">
      <w:start w:val="1"/>
      <w:numFmt w:val="bullet"/>
      <w:lvlText w:val="-"/>
      <w:lvlJc w:val="left"/>
      <w:pPr>
        <w:tabs>
          <w:tab w:val="num" w:pos="3087"/>
        </w:tabs>
        <w:ind w:left="3087" w:hanging="360"/>
      </w:pPr>
      <w:rPr>
        <w:rFonts w:ascii="Times New Roman" w:hAnsi="Times New Roman" w:hint="default"/>
      </w:rPr>
    </w:lvl>
    <w:lvl w:ilvl="4" w:tplc="9CC84F50" w:tentative="1">
      <w:start w:val="1"/>
      <w:numFmt w:val="bullet"/>
      <w:lvlText w:val="-"/>
      <w:lvlJc w:val="left"/>
      <w:pPr>
        <w:tabs>
          <w:tab w:val="num" w:pos="3807"/>
        </w:tabs>
        <w:ind w:left="3807" w:hanging="360"/>
      </w:pPr>
      <w:rPr>
        <w:rFonts w:ascii="Times New Roman" w:hAnsi="Times New Roman" w:hint="default"/>
      </w:rPr>
    </w:lvl>
    <w:lvl w:ilvl="5" w:tplc="40D21A74" w:tentative="1">
      <w:start w:val="1"/>
      <w:numFmt w:val="bullet"/>
      <w:lvlText w:val="-"/>
      <w:lvlJc w:val="left"/>
      <w:pPr>
        <w:tabs>
          <w:tab w:val="num" w:pos="4527"/>
        </w:tabs>
        <w:ind w:left="4527" w:hanging="360"/>
      </w:pPr>
      <w:rPr>
        <w:rFonts w:ascii="Times New Roman" w:hAnsi="Times New Roman" w:hint="default"/>
      </w:rPr>
    </w:lvl>
    <w:lvl w:ilvl="6" w:tplc="2A9C30B2" w:tentative="1">
      <w:start w:val="1"/>
      <w:numFmt w:val="bullet"/>
      <w:lvlText w:val="-"/>
      <w:lvlJc w:val="left"/>
      <w:pPr>
        <w:tabs>
          <w:tab w:val="num" w:pos="5247"/>
        </w:tabs>
        <w:ind w:left="5247" w:hanging="360"/>
      </w:pPr>
      <w:rPr>
        <w:rFonts w:ascii="Times New Roman" w:hAnsi="Times New Roman" w:hint="default"/>
      </w:rPr>
    </w:lvl>
    <w:lvl w:ilvl="7" w:tplc="92EC0C8E" w:tentative="1">
      <w:start w:val="1"/>
      <w:numFmt w:val="bullet"/>
      <w:lvlText w:val="-"/>
      <w:lvlJc w:val="left"/>
      <w:pPr>
        <w:tabs>
          <w:tab w:val="num" w:pos="5967"/>
        </w:tabs>
        <w:ind w:left="5967" w:hanging="360"/>
      </w:pPr>
      <w:rPr>
        <w:rFonts w:ascii="Times New Roman" w:hAnsi="Times New Roman" w:hint="default"/>
      </w:rPr>
    </w:lvl>
    <w:lvl w:ilvl="8" w:tplc="264C8AE8" w:tentative="1">
      <w:start w:val="1"/>
      <w:numFmt w:val="bullet"/>
      <w:lvlText w:val="-"/>
      <w:lvlJc w:val="left"/>
      <w:pPr>
        <w:tabs>
          <w:tab w:val="num" w:pos="6687"/>
        </w:tabs>
        <w:ind w:left="6687" w:hanging="360"/>
      </w:pPr>
      <w:rPr>
        <w:rFonts w:ascii="Times New Roman" w:hAnsi="Times New Roman" w:hint="default"/>
      </w:rPr>
    </w:lvl>
  </w:abstractNum>
  <w:abstractNum w:abstractNumId="25">
    <w:nsid w:val="45CF5984"/>
    <w:multiLevelType w:val="hybridMultilevel"/>
    <w:tmpl w:val="D64C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696594"/>
    <w:multiLevelType w:val="hybridMultilevel"/>
    <w:tmpl w:val="4DA6323E"/>
    <w:lvl w:ilvl="0" w:tplc="DD56DFAE">
      <w:start w:val="1"/>
      <w:numFmt w:val="bullet"/>
      <w:lvlText w:val="•"/>
      <w:lvlJc w:val="left"/>
      <w:pPr>
        <w:tabs>
          <w:tab w:val="num" w:pos="720"/>
        </w:tabs>
        <w:ind w:left="720" w:hanging="360"/>
      </w:pPr>
      <w:rPr>
        <w:rFonts w:ascii="Arial" w:hAnsi="Arial" w:hint="default"/>
      </w:rPr>
    </w:lvl>
    <w:lvl w:ilvl="1" w:tplc="DAD24B02" w:tentative="1">
      <w:start w:val="1"/>
      <w:numFmt w:val="bullet"/>
      <w:lvlText w:val="•"/>
      <w:lvlJc w:val="left"/>
      <w:pPr>
        <w:tabs>
          <w:tab w:val="num" w:pos="1440"/>
        </w:tabs>
        <w:ind w:left="1440" w:hanging="360"/>
      </w:pPr>
      <w:rPr>
        <w:rFonts w:ascii="Arial" w:hAnsi="Arial" w:hint="default"/>
      </w:rPr>
    </w:lvl>
    <w:lvl w:ilvl="2" w:tplc="DB76B75A" w:tentative="1">
      <w:start w:val="1"/>
      <w:numFmt w:val="bullet"/>
      <w:lvlText w:val="•"/>
      <w:lvlJc w:val="left"/>
      <w:pPr>
        <w:tabs>
          <w:tab w:val="num" w:pos="2160"/>
        </w:tabs>
        <w:ind w:left="2160" w:hanging="360"/>
      </w:pPr>
      <w:rPr>
        <w:rFonts w:ascii="Arial" w:hAnsi="Arial" w:hint="default"/>
      </w:rPr>
    </w:lvl>
    <w:lvl w:ilvl="3" w:tplc="82AC661C" w:tentative="1">
      <w:start w:val="1"/>
      <w:numFmt w:val="bullet"/>
      <w:lvlText w:val="•"/>
      <w:lvlJc w:val="left"/>
      <w:pPr>
        <w:tabs>
          <w:tab w:val="num" w:pos="2880"/>
        </w:tabs>
        <w:ind w:left="2880" w:hanging="360"/>
      </w:pPr>
      <w:rPr>
        <w:rFonts w:ascii="Arial" w:hAnsi="Arial" w:hint="default"/>
      </w:rPr>
    </w:lvl>
    <w:lvl w:ilvl="4" w:tplc="B5FE59D6" w:tentative="1">
      <w:start w:val="1"/>
      <w:numFmt w:val="bullet"/>
      <w:lvlText w:val="•"/>
      <w:lvlJc w:val="left"/>
      <w:pPr>
        <w:tabs>
          <w:tab w:val="num" w:pos="3600"/>
        </w:tabs>
        <w:ind w:left="3600" w:hanging="360"/>
      </w:pPr>
      <w:rPr>
        <w:rFonts w:ascii="Arial" w:hAnsi="Arial" w:hint="default"/>
      </w:rPr>
    </w:lvl>
    <w:lvl w:ilvl="5" w:tplc="D9727FF2" w:tentative="1">
      <w:start w:val="1"/>
      <w:numFmt w:val="bullet"/>
      <w:lvlText w:val="•"/>
      <w:lvlJc w:val="left"/>
      <w:pPr>
        <w:tabs>
          <w:tab w:val="num" w:pos="4320"/>
        </w:tabs>
        <w:ind w:left="4320" w:hanging="360"/>
      </w:pPr>
      <w:rPr>
        <w:rFonts w:ascii="Arial" w:hAnsi="Arial" w:hint="default"/>
      </w:rPr>
    </w:lvl>
    <w:lvl w:ilvl="6" w:tplc="E39ED692" w:tentative="1">
      <w:start w:val="1"/>
      <w:numFmt w:val="bullet"/>
      <w:lvlText w:val="•"/>
      <w:lvlJc w:val="left"/>
      <w:pPr>
        <w:tabs>
          <w:tab w:val="num" w:pos="5040"/>
        </w:tabs>
        <w:ind w:left="5040" w:hanging="360"/>
      </w:pPr>
      <w:rPr>
        <w:rFonts w:ascii="Arial" w:hAnsi="Arial" w:hint="default"/>
      </w:rPr>
    </w:lvl>
    <w:lvl w:ilvl="7" w:tplc="4860F01E" w:tentative="1">
      <w:start w:val="1"/>
      <w:numFmt w:val="bullet"/>
      <w:lvlText w:val="•"/>
      <w:lvlJc w:val="left"/>
      <w:pPr>
        <w:tabs>
          <w:tab w:val="num" w:pos="5760"/>
        </w:tabs>
        <w:ind w:left="5760" w:hanging="360"/>
      </w:pPr>
      <w:rPr>
        <w:rFonts w:ascii="Arial" w:hAnsi="Arial" w:hint="default"/>
      </w:rPr>
    </w:lvl>
    <w:lvl w:ilvl="8" w:tplc="3B0EE62C" w:tentative="1">
      <w:start w:val="1"/>
      <w:numFmt w:val="bullet"/>
      <w:lvlText w:val="•"/>
      <w:lvlJc w:val="left"/>
      <w:pPr>
        <w:tabs>
          <w:tab w:val="num" w:pos="6480"/>
        </w:tabs>
        <w:ind w:left="6480" w:hanging="360"/>
      </w:pPr>
      <w:rPr>
        <w:rFonts w:ascii="Arial" w:hAnsi="Arial" w:hint="default"/>
      </w:rPr>
    </w:lvl>
  </w:abstractNum>
  <w:abstractNum w:abstractNumId="27">
    <w:nsid w:val="518653A1"/>
    <w:multiLevelType w:val="hybridMultilevel"/>
    <w:tmpl w:val="F298762E"/>
    <w:lvl w:ilvl="0" w:tplc="9F7E217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nsid w:val="5244528A"/>
    <w:multiLevelType w:val="hybridMultilevel"/>
    <w:tmpl w:val="78889DF8"/>
    <w:lvl w:ilvl="0" w:tplc="C69C05EA">
      <w:start w:val="8"/>
      <w:numFmt w:val="bullet"/>
      <w:lvlText w:val="-"/>
      <w:lvlJc w:val="left"/>
      <w:pPr>
        <w:ind w:left="284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9">
    <w:nsid w:val="54003E02"/>
    <w:multiLevelType w:val="hybridMultilevel"/>
    <w:tmpl w:val="828CB36C"/>
    <w:lvl w:ilvl="0" w:tplc="A338462C">
      <w:start w:val="1"/>
      <w:numFmt w:val="lowerLetter"/>
      <w:lvlText w:val="%1)"/>
      <w:lvlJc w:val="left"/>
      <w:pPr>
        <w:ind w:left="2259" w:hanging="570"/>
      </w:pPr>
      <w:rPr>
        <w:rFonts w:hint="default"/>
        <w:b/>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0">
    <w:nsid w:val="587A7E06"/>
    <w:multiLevelType w:val="hybridMultilevel"/>
    <w:tmpl w:val="5F220A78"/>
    <w:lvl w:ilvl="0" w:tplc="C69C05EA">
      <w:start w:val="8"/>
      <w:numFmt w:val="bullet"/>
      <w:lvlText w:val="-"/>
      <w:lvlJc w:val="left"/>
      <w:pPr>
        <w:ind w:left="284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1">
    <w:nsid w:val="5A537117"/>
    <w:multiLevelType w:val="hybridMultilevel"/>
    <w:tmpl w:val="032E7868"/>
    <w:lvl w:ilvl="0" w:tplc="C786FB6C">
      <w:start w:val="5"/>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C6B41D9"/>
    <w:multiLevelType w:val="hybridMultilevel"/>
    <w:tmpl w:val="C276D470"/>
    <w:lvl w:ilvl="0" w:tplc="08090001">
      <w:start w:val="1"/>
      <w:numFmt w:val="bullet"/>
      <w:lvlText w:val=""/>
      <w:lvlJc w:val="left"/>
      <w:pPr>
        <w:ind w:left="2979" w:hanging="360"/>
      </w:pPr>
      <w:rPr>
        <w:rFonts w:ascii="Symbol" w:hAnsi="Symbol" w:hint="default"/>
      </w:rPr>
    </w:lvl>
    <w:lvl w:ilvl="1" w:tplc="08090003" w:tentative="1">
      <w:start w:val="1"/>
      <w:numFmt w:val="bullet"/>
      <w:lvlText w:val="o"/>
      <w:lvlJc w:val="left"/>
      <w:pPr>
        <w:ind w:left="3699" w:hanging="360"/>
      </w:pPr>
      <w:rPr>
        <w:rFonts w:ascii="Courier New" w:hAnsi="Courier New" w:cs="Courier New" w:hint="default"/>
      </w:rPr>
    </w:lvl>
    <w:lvl w:ilvl="2" w:tplc="08090005" w:tentative="1">
      <w:start w:val="1"/>
      <w:numFmt w:val="bullet"/>
      <w:lvlText w:val=""/>
      <w:lvlJc w:val="left"/>
      <w:pPr>
        <w:ind w:left="4419" w:hanging="360"/>
      </w:pPr>
      <w:rPr>
        <w:rFonts w:ascii="Wingdings" w:hAnsi="Wingdings" w:hint="default"/>
      </w:rPr>
    </w:lvl>
    <w:lvl w:ilvl="3" w:tplc="08090001" w:tentative="1">
      <w:start w:val="1"/>
      <w:numFmt w:val="bullet"/>
      <w:lvlText w:val=""/>
      <w:lvlJc w:val="left"/>
      <w:pPr>
        <w:ind w:left="5139" w:hanging="360"/>
      </w:pPr>
      <w:rPr>
        <w:rFonts w:ascii="Symbol" w:hAnsi="Symbol" w:hint="default"/>
      </w:rPr>
    </w:lvl>
    <w:lvl w:ilvl="4" w:tplc="08090003" w:tentative="1">
      <w:start w:val="1"/>
      <w:numFmt w:val="bullet"/>
      <w:lvlText w:val="o"/>
      <w:lvlJc w:val="left"/>
      <w:pPr>
        <w:ind w:left="5859" w:hanging="360"/>
      </w:pPr>
      <w:rPr>
        <w:rFonts w:ascii="Courier New" w:hAnsi="Courier New" w:cs="Courier New" w:hint="default"/>
      </w:rPr>
    </w:lvl>
    <w:lvl w:ilvl="5" w:tplc="08090005" w:tentative="1">
      <w:start w:val="1"/>
      <w:numFmt w:val="bullet"/>
      <w:lvlText w:val=""/>
      <w:lvlJc w:val="left"/>
      <w:pPr>
        <w:ind w:left="6579" w:hanging="360"/>
      </w:pPr>
      <w:rPr>
        <w:rFonts w:ascii="Wingdings" w:hAnsi="Wingdings" w:hint="default"/>
      </w:rPr>
    </w:lvl>
    <w:lvl w:ilvl="6" w:tplc="08090001" w:tentative="1">
      <w:start w:val="1"/>
      <w:numFmt w:val="bullet"/>
      <w:lvlText w:val=""/>
      <w:lvlJc w:val="left"/>
      <w:pPr>
        <w:ind w:left="7299" w:hanging="360"/>
      </w:pPr>
      <w:rPr>
        <w:rFonts w:ascii="Symbol" w:hAnsi="Symbol" w:hint="default"/>
      </w:rPr>
    </w:lvl>
    <w:lvl w:ilvl="7" w:tplc="08090003" w:tentative="1">
      <w:start w:val="1"/>
      <w:numFmt w:val="bullet"/>
      <w:lvlText w:val="o"/>
      <w:lvlJc w:val="left"/>
      <w:pPr>
        <w:ind w:left="8019" w:hanging="360"/>
      </w:pPr>
      <w:rPr>
        <w:rFonts w:ascii="Courier New" w:hAnsi="Courier New" w:cs="Courier New" w:hint="default"/>
      </w:rPr>
    </w:lvl>
    <w:lvl w:ilvl="8" w:tplc="08090005" w:tentative="1">
      <w:start w:val="1"/>
      <w:numFmt w:val="bullet"/>
      <w:lvlText w:val=""/>
      <w:lvlJc w:val="left"/>
      <w:pPr>
        <w:ind w:left="8739" w:hanging="360"/>
      </w:pPr>
      <w:rPr>
        <w:rFonts w:ascii="Wingdings" w:hAnsi="Wingdings" w:hint="default"/>
      </w:rPr>
    </w:lvl>
  </w:abstractNum>
  <w:abstractNum w:abstractNumId="33">
    <w:nsid w:val="5D3D2F14"/>
    <w:multiLevelType w:val="hybridMultilevel"/>
    <w:tmpl w:val="061C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16F1E21"/>
    <w:multiLevelType w:val="hybridMultilevel"/>
    <w:tmpl w:val="8B4C868A"/>
    <w:lvl w:ilvl="0" w:tplc="4E628AAC">
      <w:start w:val="8"/>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6289789B"/>
    <w:multiLevelType w:val="hybridMultilevel"/>
    <w:tmpl w:val="56CC3358"/>
    <w:lvl w:ilvl="0" w:tplc="1A5A3974">
      <w:start w:val="1"/>
      <w:numFmt w:val="bullet"/>
      <w:lvlText w:val="•"/>
      <w:lvlJc w:val="left"/>
      <w:pPr>
        <w:tabs>
          <w:tab w:val="num" w:pos="720"/>
        </w:tabs>
        <w:ind w:left="720" w:hanging="360"/>
      </w:pPr>
      <w:rPr>
        <w:rFonts w:ascii="Arial" w:hAnsi="Arial" w:hint="default"/>
      </w:rPr>
    </w:lvl>
    <w:lvl w:ilvl="1" w:tplc="7F6E4478" w:tentative="1">
      <w:start w:val="1"/>
      <w:numFmt w:val="bullet"/>
      <w:lvlText w:val="•"/>
      <w:lvlJc w:val="left"/>
      <w:pPr>
        <w:tabs>
          <w:tab w:val="num" w:pos="1440"/>
        </w:tabs>
        <w:ind w:left="1440" w:hanging="360"/>
      </w:pPr>
      <w:rPr>
        <w:rFonts w:ascii="Arial" w:hAnsi="Arial" w:hint="default"/>
      </w:rPr>
    </w:lvl>
    <w:lvl w:ilvl="2" w:tplc="0748AB06" w:tentative="1">
      <w:start w:val="1"/>
      <w:numFmt w:val="bullet"/>
      <w:lvlText w:val="•"/>
      <w:lvlJc w:val="left"/>
      <w:pPr>
        <w:tabs>
          <w:tab w:val="num" w:pos="2160"/>
        </w:tabs>
        <w:ind w:left="2160" w:hanging="360"/>
      </w:pPr>
      <w:rPr>
        <w:rFonts w:ascii="Arial" w:hAnsi="Arial" w:hint="default"/>
      </w:rPr>
    </w:lvl>
    <w:lvl w:ilvl="3" w:tplc="7278C016" w:tentative="1">
      <w:start w:val="1"/>
      <w:numFmt w:val="bullet"/>
      <w:lvlText w:val="•"/>
      <w:lvlJc w:val="left"/>
      <w:pPr>
        <w:tabs>
          <w:tab w:val="num" w:pos="2880"/>
        </w:tabs>
        <w:ind w:left="2880" w:hanging="360"/>
      </w:pPr>
      <w:rPr>
        <w:rFonts w:ascii="Arial" w:hAnsi="Arial" w:hint="default"/>
      </w:rPr>
    </w:lvl>
    <w:lvl w:ilvl="4" w:tplc="8DE87DE2" w:tentative="1">
      <w:start w:val="1"/>
      <w:numFmt w:val="bullet"/>
      <w:lvlText w:val="•"/>
      <w:lvlJc w:val="left"/>
      <w:pPr>
        <w:tabs>
          <w:tab w:val="num" w:pos="3600"/>
        </w:tabs>
        <w:ind w:left="3600" w:hanging="360"/>
      </w:pPr>
      <w:rPr>
        <w:rFonts w:ascii="Arial" w:hAnsi="Arial" w:hint="default"/>
      </w:rPr>
    </w:lvl>
    <w:lvl w:ilvl="5" w:tplc="DD583DAA" w:tentative="1">
      <w:start w:val="1"/>
      <w:numFmt w:val="bullet"/>
      <w:lvlText w:val="•"/>
      <w:lvlJc w:val="left"/>
      <w:pPr>
        <w:tabs>
          <w:tab w:val="num" w:pos="4320"/>
        </w:tabs>
        <w:ind w:left="4320" w:hanging="360"/>
      </w:pPr>
      <w:rPr>
        <w:rFonts w:ascii="Arial" w:hAnsi="Arial" w:hint="default"/>
      </w:rPr>
    </w:lvl>
    <w:lvl w:ilvl="6" w:tplc="F9FA81F0" w:tentative="1">
      <w:start w:val="1"/>
      <w:numFmt w:val="bullet"/>
      <w:lvlText w:val="•"/>
      <w:lvlJc w:val="left"/>
      <w:pPr>
        <w:tabs>
          <w:tab w:val="num" w:pos="5040"/>
        </w:tabs>
        <w:ind w:left="5040" w:hanging="360"/>
      </w:pPr>
      <w:rPr>
        <w:rFonts w:ascii="Arial" w:hAnsi="Arial" w:hint="default"/>
      </w:rPr>
    </w:lvl>
    <w:lvl w:ilvl="7" w:tplc="40AA0582" w:tentative="1">
      <w:start w:val="1"/>
      <w:numFmt w:val="bullet"/>
      <w:lvlText w:val="•"/>
      <w:lvlJc w:val="left"/>
      <w:pPr>
        <w:tabs>
          <w:tab w:val="num" w:pos="5760"/>
        </w:tabs>
        <w:ind w:left="5760" w:hanging="360"/>
      </w:pPr>
      <w:rPr>
        <w:rFonts w:ascii="Arial" w:hAnsi="Arial" w:hint="default"/>
      </w:rPr>
    </w:lvl>
    <w:lvl w:ilvl="8" w:tplc="B7E8B2B6" w:tentative="1">
      <w:start w:val="1"/>
      <w:numFmt w:val="bullet"/>
      <w:lvlText w:val="•"/>
      <w:lvlJc w:val="left"/>
      <w:pPr>
        <w:tabs>
          <w:tab w:val="num" w:pos="6480"/>
        </w:tabs>
        <w:ind w:left="6480" w:hanging="360"/>
      </w:pPr>
      <w:rPr>
        <w:rFonts w:ascii="Arial" w:hAnsi="Arial" w:hint="default"/>
      </w:rPr>
    </w:lvl>
  </w:abstractNum>
  <w:abstractNum w:abstractNumId="37">
    <w:nsid w:val="64183408"/>
    <w:multiLevelType w:val="hybridMultilevel"/>
    <w:tmpl w:val="9B8E34E2"/>
    <w:lvl w:ilvl="0" w:tplc="08090001">
      <w:start w:val="1"/>
      <w:numFmt w:val="bullet"/>
      <w:lvlText w:val=""/>
      <w:lvlJc w:val="left"/>
      <w:pPr>
        <w:ind w:left="2979" w:hanging="360"/>
      </w:pPr>
      <w:rPr>
        <w:rFonts w:ascii="Symbol" w:hAnsi="Symbol" w:hint="default"/>
      </w:rPr>
    </w:lvl>
    <w:lvl w:ilvl="1" w:tplc="08090003" w:tentative="1">
      <w:start w:val="1"/>
      <w:numFmt w:val="bullet"/>
      <w:lvlText w:val="o"/>
      <w:lvlJc w:val="left"/>
      <w:pPr>
        <w:ind w:left="3699" w:hanging="360"/>
      </w:pPr>
      <w:rPr>
        <w:rFonts w:ascii="Courier New" w:hAnsi="Courier New" w:cs="Courier New" w:hint="default"/>
      </w:rPr>
    </w:lvl>
    <w:lvl w:ilvl="2" w:tplc="08090005" w:tentative="1">
      <w:start w:val="1"/>
      <w:numFmt w:val="bullet"/>
      <w:lvlText w:val=""/>
      <w:lvlJc w:val="left"/>
      <w:pPr>
        <w:ind w:left="4419" w:hanging="360"/>
      </w:pPr>
      <w:rPr>
        <w:rFonts w:ascii="Wingdings" w:hAnsi="Wingdings" w:hint="default"/>
      </w:rPr>
    </w:lvl>
    <w:lvl w:ilvl="3" w:tplc="08090001" w:tentative="1">
      <w:start w:val="1"/>
      <w:numFmt w:val="bullet"/>
      <w:lvlText w:val=""/>
      <w:lvlJc w:val="left"/>
      <w:pPr>
        <w:ind w:left="5139" w:hanging="360"/>
      </w:pPr>
      <w:rPr>
        <w:rFonts w:ascii="Symbol" w:hAnsi="Symbol" w:hint="default"/>
      </w:rPr>
    </w:lvl>
    <w:lvl w:ilvl="4" w:tplc="08090003" w:tentative="1">
      <w:start w:val="1"/>
      <w:numFmt w:val="bullet"/>
      <w:lvlText w:val="o"/>
      <w:lvlJc w:val="left"/>
      <w:pPr>
        <w:ind w:left="5859" w:hanging="360"/>
      </w:pPr>
      <w:rPr>
        <w:rFonts w:ascii="Courier New" w:hAnsi="Courier New" w:cs="Courier New" w:hint="default"/>
      </w:rPr>
    </w:lvl>
    <w:lvl w:ilvl="5" w:tplc="08090005" w:tentative="1">
      <w:start w:val="1"/>
      <w:numFmt w:val="bullet"/>
      <w:lvlText w:val=""/>
      <w:lvlJc w:val="left"/>
      <w:pPr>
        <w:ind w:left="6579" w:hanging="360"/>
      </w:pPr>
      <w:rPr>
        <w:rFonts w:ascii="Wingdings" w:hAnsi="Wingdings" w:hint="default"/>
      </w:rPr>
    </w:lvl>
    <w:lvl w:ilvl="6" w:tplc="08090001" w:tentative="1">
      <w:start w:val="1"/>
      <w:numFmt w:val="bullet"/>
      <w:lvlText w:val=""/>
      <w:lvlJc w:val="left"/>
      <w:pPr>
        <w:ind w:left="7299" w:hanging="360"/>
      </w:pPr>
      <w:rPr>
        <w:rFonts w:ascii="Symbol" w:hAnsi="Symbol" w:hint="default"/>
      </w:rPr>
    </w:lvl>
    <w:lvl w:ilvl="7" w:tplc="08090003" w:tentative="1">
      <w:start w:val="1"/>
      <w:numFmt w:val="bullet"/>
      <w:lvlText w:val="o"/>
      <w:lvlJc w:val="left"/>
      <w:pPr>
        <w:ind w:left="8019" w:hanging="360"/>
      </w:pPr>
      <w:rPr>
        <w:rFonts w:ascii="Courier New" w:hAnsi="Courier New" w:cs="Courier New" w:hint="default"/>
      </w:rPr>
    </w:lvl>
    <w:lvl w:ilvl="8" w:tplc="08090005" w:tentative="1">
      <w:start w:val="1"/>
      <w:numFmt w:val="bullet"/>
      <w:lvlText w:val=""/>
      <w:lvlJc w:val="left"/>
      <w:pPr>
        <w:ind w:left="8739" w:hanging="360"/>
      </w:pPr>
      <w:rPr>
        <w:rFonts w:ascii="Wingdings" w:hAnsi="Wingdings" w:hint="default"/>
      </w:rPr>
    </w:lvl>
  </w:abstractNum>
  <w:abstractNum w:abstractNumId="38">
    <w:nsid w:val="64833490"/>
    <w:multiLevelType w:val="hybridMultilevel"/>
    <w:tmpl w:val="8C68EF30"/>
    <w:lvl w:ilvl="0" w:tplc="6F7EB94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8792EEF"/>
    <w:multiLevelType w:val="hybridMultilevel"/>
    <w:tmpl w:val="EFD8D29C"/>
    <w:lvl w:ilvl="0" w:tplc="B16288A0">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0">
    <w:nsid w:val="68BA66D8"/>
    <w:multiLevelType w:val="hybridMultilevel"/>
    <w:tmpl w:val="55806D66"/>
    <w:lvl w:ilvl="0" w:tplc="7AF80BF0">
      <w:start w:val="1"/>
      <w:numFmt w:val="lowerLetter"/>
      <w:lvlText w:val="(%1)"/>
      <w:lvlJc w:val="left"/>
      <w:pPr>
        <w:ind w:left="2062" w:hanging="360"/>
      </w:pPr>
      <w:rPr>
        <w:rFonts w:hint="default"/>
        <w:b/>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4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B41772B"/>
    <w:multiLevelType w:val="hybridMultilevel"/>
    <w:tmpl w:val="70CA56EA"/>
    <w:lvl w:ilvl="0" w:tplc="F89E66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B8C1F3E"/>
    <w:multiLevelType w:val="hybridMultilevel"/>
    <w:tmpl w:val="6D468F34"/>
    <w:lvl w:ilvl="0" w:tplc="695A20F6">
      <w:start w:val="1"/>
      <w:numFmt w:val="bullet"/>
      <w:lvlText w:val="•"/>
      <w:lvlJc w:val="left"/>
      <w:pPr>
        <w:tabs>
          <w:tab w:val="num" w:pos="720"/>
        </w:tabs>
        <w:ind w:left="720" w:hanging="360"/>
      </w:pPr>
      <w:rPr>
        <w:rFonts w:ascii="Times New Roman" w:hAnsi="Times New Roman" w:hint="default"/>
      </w:rPr>
    </w:lvl>
    <w:lvl w:ilvl="1" w:tplc="F202EA3C" w:tentative="1">
      <w:start w:val="1"/>
      <w:numFmt w:val="bullet"/>
      <w:lvlText w:val="•"/>
      <w:lvlJc w:val="left"/>
      <w:pPr>
        <w:tabs>
          <w:tab w:val="num" w:pos="1440"/>
        </w:tabs>
        <w:ind w:left="1440" w:hanging="360"/>
      </w:pPr>
      <w:rPr>
        <w:rFonts w:ascii="Times New Roman" w:hAnsi="Times New Roman" w:hint="default"/>
      </w:rPr>
    </w:lvl>
    <w:lvl w:ilvl="2" w:tplc="B840FBFA" w:tentative="1">
      <w:start w:val="1"/>
      <w:numFmt w:val="bullet"/>
      <w:lvlText w:val="•"/>
      <w:lvlJc w:val="left"/>
      <w:pPr>
        <w:tabs>
          <w:tab w:val="num" w:pos="2160"/>
        </w:tabs>
        <w:ind w:left="2160" w:hanging="360"/>
      </w:pPr>
      <w:rPr>
        <w:rFonts w:ascii="Times New Roman" w:hAnsi="Times New Roman" w:hint="default"/>
      </w:rPr>
    </w:lvl>
    <w:lvl w:ilvl="3" w:tplc="49D2711C" w:tentative="1">
      <w:start w:val="1"/>
      <w:numFmt w:val="bullet"/>
      <w:lvlText w:val="•"/>
      <w:lvlJc w:val="left"/>
      <w:pPr>
        <w:tabs>
          <w:tab w:val="num" w:pos="2880"/>
        </w:tabs>
        <w:ind w:left="2880" w:hanging="360"/>
      </w:pPr>
      <w:rPr>
        <w:rFonts w:ascii="Times New Roman" w:hAnsi="Times New Roman" w:hint="default"/>
      </w:rPr>
    </w:lvl>
    <w:lvl w:ilvl="4" w:tplc="B0A4FFD0" w:tentative="1">
      <w:start w:val="1"/>
      <w:numFmt w:val="bullet"/>
      <w:lvlText w:val="•"/>
      <w:lvlJc w:val="left"/>
      <w:pPr>
        <w:tabs>
          <w:tab w:val="num" w:pos="3600"/>
        </w:tabs>
        <w:ind w:left="3600" w:hanging="360"/>
      </w:pPr>
      <w:rPr>
        <w:rFonts w:ascii="Times New Roman" w:hAnsi="Times New Roman" w:hint="default"/>
      </w:rPr>
    </w:lvl>
    <w:lvl w:ilvl="5" w:tplc="906AB230" w:tentative="1">
      <w:start w:val="1"/>
      <w:numFmt w:val="bullet"/>
      <w:lvlText w:val="•"/>
      <w:lvlJc w:val="left"/>
      <w:pPr>
        <w:tabs>
          <w:tab w:val="num" w:pos="4320"/>
        </w:tabs>
        <w:ind w:left="4320" w:hanging="360"/>
      </w:pPr>
      <w:rPr>
        <w:rFonts w:ascii="Times New Roman" w:hAnsi="Times New Roman" w:hint="default"/>
      </w:rPr>
    </w:lvl>
    <w:lvl w:ilvl="6" w:tplc="496C0B76" w:tentative="1">
      <w:start w:val="1"/>
      <w:numFmt w:val="bullet"/>
      <w:lvlText w:val="•"/>
      <w:lvlJc w:val="left"/>
      <w:pPr>
        <w:tabs>
          <w:tab w:val="num" w:pos="5040"/>
        </w:tabs>
        <w:ind w:left="5040" w:hanging="360"/>
      </w:pPr>
      <w:rPr>
        <w:rFonts w:ascii="Times New Roman" w:hAnsi="Times New Roman" w:hint="default"/>
      </w:rPr>
    </w:lvl>
    <w:lvl w:ilvl="7" w:tplc="2CB478B4" w:tentative="1">
      <w:start w:val="1"/>
      <w:numFmt w:val="bullet"/>
      <w:lvlText w:val="•"/>
      <w:lvlJc w:val="left"/>
      <w:pPr>
        <w:tabs>
          <w:tab w:val="num" w:pos="5760"/>
        </w:tabs>
        <w:ind w:left="5760" w:hanging="360"/>
      </w:pPr>
      <w:rPr>
        <w:rFonts w:ascii="Times New Roman" w:hAnsi="Times New Roman" w:hint="default"/>
      </w:rPr>
    </w:lvl>
    <w:lvl w:ilvl="8" w:tplc="FFD6512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BA4359F"/>
    <w:multiLevelType w:val="hybridMultilevel"/>
    <w:tmpl w:val="8A94ED74"/>
    <w:lvl w:ilvl="0" w:tplc="020026A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8E373F"/>
    <w:multiLevelType w:val="hybridMultilevel"/>
    <w:tmpl w:val="2D5EE708"/>
    <w:lvl w:ilvl="0" w:tplc="900829F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6F2637C"/>
    <w:multiLevelType w:val="hybridMultilevel"/>
    <w:tmpl w:val="9D4CDF9C"/>
    <w:lvl w:ilvl="0" w:tplc="E99246F0">
      <w:start w:val="1"/>
      <w:numFmt w:val="bullet"/>
      <w:lvlText w:val="•"/>
      <w:lvlJc w:val="left"/>
      <w:pPr>
        <w:tabs>
          <w:tab w:val="num" w:pos="720"/>
        </w:tabs>
        <w:ind w:left="720" w:hanging="360"/>
      </w:pPr>
      <w:rPr>
        <w:rFonts w:ascii="Arial" w:hAnsi="Arial" w:hint="default"/>
      </w:rPr>
    </w:lvl>
    <w:lvl w:ilvl="1" w:tplc="BBDC9794" w:tentative="1">
      <w:start w:val="1"/>
      <w:numFmt w:val="bullet"/>
      <w:lvlText w:val="•"/>
      <w:lvlJc w:val="left"/>
      <w:pPr>
        <w:tabs>
          <w:tab w:val="num" w:pos="1440"/>
        </w:tabs>
        <w:ind w:left="1440" w:hanging="360"/>
      </w:pPr>
      <w:rPr>
        <w:rFonts w:ascii="Arial" w:hAnsi="Arial" w:hint="default"/>
      </w:rPr>
    </w:lvl>
    <w:lvl w:ilvl="2" w:tplc="ACACDE8C" w:tentative="1">
      <w:start w:val="1"/>
      <w:numFmt w:val="bullet"/>
      <w:lvlText w:val="•"/>
      <w:lvlJc w:val="left"/>
      <w:pPr>
        <w:tabs>
          <w:tab w:val="num" w:pos="2160"/>
        </w:tabs>
        <w:ind w:left="2160" w:hanging="360"/>
      </w:pPr>
      <w:rPr>
        <w:rFonts w:ascii="Arial" w:hAnsi="Arial" w:hint="default"/>
      </w:rPr>
    </w:lvl>
    <w:lvl w:ilvl="3" w:tplc="46940C54" w:tentative="1">
      <w:start w:val="1"/>
      <w:numFmt w:val="bullet"/>
      <w:lvlText w:val="•"/>
      <w:lvlJc w:val="left"/>
      <w:pPr>
        <w:tabs>
          <w:tab w:val="num" w:pos="2880"/>
        </w:tabs>
        <w:ind w:left="2880" w:hanging="360"/>
      </w:pPr>
      <w:rPr>
        <w:rFonts w:ascii="Arial" w:hAnsi="Arial" w:hint="default"/>
      </w:rPr>
    </w:lvl>
    <w:lvl w:ilvl="4" w:tplc="62607B22" w:tentative="1">
      <w:start w:val="1"/>
      <w:numFmt w:val="bullet"/>
      <w:lvlText w:val="•"/>
      <w:lvlJc w:val="left"/>
      <w:pPr>
        <w:tabs>
          <w:tab w:val="num" w:pos="3600"/>
        </w:tabs>
        <w:ind w:left="3600" w:hanging="360"/>
      </w:pPr>
      <w:rPr>
        <w:rFonts w:ascii="Arial" w:hAnsi="Arial" w:hint="default"/>
      </w:rPr>
    </w:lvl>
    <w:lvl w:ilvl="5" w:tplc="2A0C5CC6" w:tentative="1">
      <w:start w:val="1"/>
      <w:numFmt w:val="bullet"/>
      <w:lvlText w:val="•"/>
      <w:lvlJc w:val="left"/>
      <w:pPr>
        <w:tabs>
          <w:tab w:val="num" w:pos="4320"/>
        </w:tabs>
        <w:ind w:left="4320" w:hanging="360"/>
      </w:pPr>
      <w:rPr>
        <w:rFonts w:ascii="Arial" w:hAnsi="Arial" w:hint="default"/>
      </w:rPr>
    </w:lvl>
    <w:lvl w:ilvl="6" w:tplc="84786632" w:tentative="1">
      <w:start w:val="1"/>
      <w:numFmt w:val="bullet"/>
      <w:lvlText w:val="•"/>
      <w:lvlJc w:val="left"/>
      <w:pPr>
        <w:tabs>
          <w:tab w:val="num" w:pos="5040"/>
        </w:tabs>
        <w:ind w:left="5040" w:hanging="360"/>
      </w:pPr>
      <w:rPr>
        <w:rFonts w:ascii="Arial" w:hAnsi="Arial" w:hint="default"/>
      </w:rPr>
    </w:lvl>
    <w:lvl w:ilvl="7" w:tplc="FFBEE4D6" w:tentative="1">
      <w:start w:val="1"/>
      <w:numFmt w:val="bullet"/>
      <w:lvlText w:val="•"/>
      <w:lvlJc w:val="left"/>
      <w:pPr>
        <w:tabs>
          <w:tab w:val="num" w:pos="5760"/>
        </w:tabs>
        <w:ind w:left="5760" w:hanging="360"/>
      </w:pPr>
      <w:rPr>
        <w:rFonts w:ascii="Arial" w:hAnsi="Arial" w:hint="default"/>
      </w:rPr>
    </w:lvl>
    <w:lvl w:ilvl="8" w:tplc="951489C0" w:tentative="1">
      <w:start w:val="1"/>
      <w:numFmt w:val="bullet"/>
      <w:lvlText w:val="•"/>
      <w:lvlJc w:val="left"/>
      <w:pPr>
        <w:tabs>
          <w:tab w:val="num" w:pos="6480"/>
        </w:tabs>
        <w:ind w:left="6480" w:hanging="360"/>
      </w:pPr>
      <w:rPr>
        <w:rFonts w:ascii="Arial" w:hAnsi="Arial" w:hint="default"/>
      </w:rPr>
    </w:lvl>
  </w:abstractNum>
  <w:abstractNum w:abstractNumId="48">
    <w:nsid w:val="781B7B33"/>
    <w:multiLevelType w:val="hybridMultilevel"/>
    <w:tmpl w:val="2A3A53B4"/>
    <w:lvl w:ilvl="0" w:tplc="C69C05EA">
      <w:start w:val="8"/>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4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7B3B6C32"/>
    <w:multiLevelType w:val="hybridMultilevel"/>
    <w:tmpl w:val="8A7A025C"/>
    <w:lvl w:ilvl="0" w:tplc="0F021E1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nsid w:val="7D741574"/>
    <w:multiLevelType w:val="hybridMultilevel"/>
    <w:tmpl w:val="AEF2E7AC"/>
    <w:lvl w:ilvl="0" w:tplc="7D8CD1AE">
      <w:start w:val="9"/>
      <w:numFmt w:val="bullet"/>
      <w:lvlText w:val="-"/>
      <w:lvlJc w:val="left"/>
      <w:pPr>
        <w:ind w:left="720" w:hanging="360"/>
      </w:pPr>
      <w:rPr>
        <w:rFonts w:ascii="Times New Roman" w:eastAsia="Calibri" w:hAnsi="Times New Roman" w:cs="Times New Roman" w:hint="default"/>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nsid w:val="7F547DA4"/>
    <w:multiLevelType w:val="hybridMultilevel"/>
    <w:tmpl w:val="1F5C671C"/>
    <w:lvl w:ilvl="0" w:tplc="CA98DD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1"/>
  </w:num>
  <w:num w:numId="2">
    <w:abstractNumId w:val="19"/>
  </w:num>
  <w:num w:numId="3">
    <w:abstractNumId w:val="49"/>
  </w:num>
  <w:num w:numId="4">
    <w:abstractNumId w:val="46"/>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27"/>
  </w:num>
  <w:num w:numId="18">
    <w:abstractNumId w:val="39"/>
  </w:num>
  <w:num w:numId="19">
    <w:abstractNumId w:val="51"/>
  </w:num>
  <w:num w:numId="20">
    <w:abstractNumId w:val="42"/>
  </w:num>
  <w:num w:numId="21">
    <w:abstractNumId w:val="38"/>
  </w:num>
  <w:num w:numId="22">
    <w:abstractNumId w:val="16"/>
  </w:num>
  <w:num w:numId="23">
    <w:abstractNumId w:val="45"/>
  </w:num>
  <w:num w:numId="24">
    <w:abstractNumId w:val="31"/>
  </w:num>
  <w:num w:numId="25">
    <w:abstractNumId w:val="40"/>
  </w:num>
  <w:num w:numId="26">
    <w:abstractNumId w:val="52"/>
  </w:num>
  <w:num w:numId="27">
    <w:abstractNumId w:val="23"/>
  </w:num>
  <w:num w:numId="28">
    <w:abstractNumId w:val="50"/>
  </w:num>
  <w:num w:numId="29">
    <w:abstractNumId w:val="21"/>
  </w:num>
  <w:num w:numId="30">
    <w:abstractNumId w:val="10"/>
  </w:num>
  <w:num w:numId="31">
    <w:abstractNumId w:val="26"/>
  </w:num>
  <w:num w:numId="32">
    <w:abstractNumId w:val="22"/>
  </w:num>
  <w:num w:numId="33">
    <w:abstractNumId w:val="24"/>
  </w:num>
  <w:num w:numId="34">
    <w:abstractNumId w:val="28"/>
  </w:num>
  <w:num w:numId="35">
    <w:abstractNumId w:val="30"/>
  </w:num>
  <w:num w:numId="36">
    <w:abstractNumId w:val="48"/>
  </w:num>
  <w:num w:numId="37">
    <w:abstractNumId w:val="35"/>
  </w:num>
  <w:num w:numId="38">
    <w:abstractNumId w:val="11"/>
  </w:num>
  <w:num w:numId="39">
    <w:abstractNumId w:val="13"/>
  </w:num>
  <w:num w:numId="40">
    <w:abstractNumId w:val="17"/>
  </w:num>
  <w:num w:numId="41">
    <w:abstractNumId w:val="25"/>
  </w:num>
  <w:num w:numId="42">
    <w:abstractNumId w:val="44"/>
  </w:num>
  <w:num w:numId="43">
    <w:abstractNumId w:val="12"/>
  </w:num>
  <w:num w:numId="44">
    <w:abstractNumId w:val="33"/>
  </w:num>
  <w:num w:numId="45">
    <w:abstractNumId w:val="29"/>
  </w:num>
  <w:num w:numId="46">
    <w:abstractNumId w:val="37"/>
  </w:num>
  <w:num w:numId="47">
    <w:abstractNumId w:val="32"/>
  </w:num>
  <w:num w:numId="48">
    <w:abstractNumId w:val="43"/>
  </w:num>
  <w:num w:numId="49">
    <w:abstractNumId w:val="47"/>
  </w:num>
  <w:num w:numId="50">
    <w:abstractNumId w:val="20"/>
  </w:num>
  <w:num w:numId="51">
    <w:abstractNumId w:val="36"/>
  </w:num>
  <w:num w:numId="52">
    <w:abstractNumId w:val="15"/>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61"/>
    <w:rsid w:val="00000EC9"/>
    <w:rsid w:val="000012A0"/>
    <w:rsid w:val="000015D0"/>
    <w:rsid w:val="00001656"/>
    <w:rsid w:val="00002BFE"/>
    <w:rsid w:val="00003232"/>
    <w:rsid w:val="00003F07"/>
    <w:rsid w:val="0000437D"/>
    <w:rsid w:val="000045F2"/>
    <w:rsid w:val="00004E8B"/>
    <w:rsid w:val="0000609A"/>
    <w:rsid w:val="00006AD0"/>
    <w:rsid w:val="00007021"/>
    <w:rsid w:val="00007254"/>
    <w:rsid w:val="00010E97"/>
    <w:rsid w:val="00011044"/>
    <w:rsid w:val="00011164"/>
    <w:rsid w:val="00012289"/>
    <w:rsid w:val="000136E6"/>
    <w:rsid w:val="0001400A"/>
    <w:rsid w:val="000145EC"/>
    <w:rsid w:val="00014ABD"/>
    <w:rsid w:val="00015191"/>
    <w:rsid w:val="00015426"/>
    <w:rsid w:val="0001558E"/>
    <w:rsid w:val="00015AF4"/>
    <w:rsid w:val="0001765F"/>
    <w:rsid w:val="0002031F"/>
    <w:rsid w:val="0002087D"/>
    <w:rsid w:val="00020FCB"/>
    <w:rsid w:val="000219E8"/>
    <w:rsid w:val="00021E87"/>
    <w:rsid w:val="00022923"/>
    <w:rsid w:val="0002391D"/>
    <w:rsid w:val="0002625C"/>
    <w:rsid w:val="000269BE"/>
    <w:rsid w:val="00026E66"/>
    <w:rsid w:val="000312C9"/>
    <w:rsid w:val="00031CE5"/>
    <w:rsid w:val="000320CF"/>
    <w:rsid w:val="0003255E"/>
    <w:rsid w:val="00032560"/>
    <w:rsid w:val="00035212"/>
    <w:rsid w:val="00035DCD"/>
    <w:rsid w:val="00035E89"/>
    <w:rsid w:val="00036D6E"/>
    <w:rsid w:val="00036E58"/>
    <w:rsid w:val="00037128"/>
    <w:rsid w:val="00040422"/>
    <w:rsid w:val="000409F6"/>
    <w:rsid w:val="00040A94"/>
    <w:rsid w:val="00040BD8"/>
    <w:rsid w:val="0004220A"/>
    <w:rsid w:val="00042BBB"/>
    <w:rsid w:val="00043123"/>
    <w:rsid w:val="00043913"/>
    <w:rsid w:val="00044364"/>
    <w:rsid w:val="00045664"/>
    <w:rsid w:val="000457D9"/>
    <w:rsid w:val="00047316"/>
    <w:rsid w:val="0005032A"/>
    <w:rsid w:val="000511E2"/>
    <w:rsid w:val="00051679"/>
    <w:rsid w:val="00051962"/>
    <w:rsid w:val="00051B3B"/>
    <w:rsid w:val="0005255A"/>
    <w:rsid w:val="0005301D"/>
    <w:rsid w:val="0005326D"/>
    <w:rsid w:val="00053458"/>
    <w:rsid w:val="00053863"/>
    <w:rsid w:val="00054018"/>
    <w:rsid w:val="00054795"/>
    <w:rsid w:val="00055221"/>
    <w:rsid w:val="0005751B"/>
    <w:rsid w:val="000576B4"/>
    <w:rsid w:val="000579A8"/>
    <w:rsid w:val="00060A41"/>
    <w:rsid w:val="00060C89"/>
    <w:rsid w:val="00061079"/>
    <w:rsid w:val="0006126D"/>
    <w:rsid w:val="00062A91"/>
    <w:rsid w:val="00065094"/>
    <w:rsid w:val="000666CE"/>
    <w:rsid w:val="000677B7"/>
    <w:rsid w:val="000703EF"/>
    <w:rsid w:val="00072B35"/>
    <w:rsid w:val="000748A1"/>
    <w:rsid w:val="00074B44"/>
    <w:rsid w:val="00075CFA"/>
    <w:rsid w:val="000778E6"/>
    <w:rsid w:val="000779F1"/>
    <w:rsid w:val="000802BB"/>
    <w:rsid w:val="00080409"/>
    <w:rsid w:val="00080B8B"/>
    <w:rsid w:val="00081284"/>
    <w:rsid w:val="00081909"/>
    <w:rsid w:val="0008243E"/>
    <w:rsid w:val="00082653"/>
    <w:rsid w:val="00082FA0"/>
    <w:rsid w:val="000846BF"/>
    <w:rsid w:val="00084B07"/>
    <w:rsid w:val="000858BA"/>
    <w:rsid w:val="00085A0A"/>
    <w:rsid w:val="00085C37"/>
    <w:rsid w:val="00086037"/>
    <w:rsid w:val="00086184"/>
    <w:rsid w:val="00086481"/>
    <w:rsid w:val="0008650D"/>
    <w:rsid w:val="00086840"/>
    <w:rsid w:val="00092757"/>
    <w:rsid w:val="000935DB"/>
    <w:rsid w:val="00093A3A"/>
    <w:rsid w:val="00093C5D"/>
    <w:rsid w:val="00095ED6"/>
    <w:rsid w:val="0009706B"/>
    <w:rsid w:val="00097D05"/>
    <w:rsid w:val="000A0938"/>
    <w:rsid w:val="000A1082"/>
    <w:rsid w:val="000A28A2"/>
    <w:rsid w:val="000A525C"/>
    <w:rsid w:val="000A79CE"/>
    <w:rsid w:val="000A7C7F"/>
    <w:rsid w:val="000B022B"/>
    <w:rsid w:val="000B06AF"/>
    <w:rsid w:val="000B1863"/>
    <w:rsid w:val="000B19E5"/>
    <w:rsid w:val="000B2880"/>
    <w:rsid w:val="000B2B44"/>
    <w:rsid w:val="000B3AC9"/>
    <w:rsid w:val="000B44C6"/>
    <w:rsid w:val="000B4DE3"/>
    <w:rsid w:val="000B4F89"/>
    <w:rsid w:val="000B507E"/>
    <w:rsid w:val="000B53CF"/>
    <w:rsid w:val="000B5471"/>
    <w:rsid w:val="000B57E7"/>
    <w:rsid w:val="000B7885"/>
    <w:rsid w:val="000B7B81"/>
    <w:rsid w:val="000B7E7C"/>
    <w:rsid w:val="000C062D"/>
    <w:rsid w:val="000C088B"/>
    <w:rsid w:val="000C10D6"/>
    <w:rsid w:val="000C1E7D"/>
    <w:rsid w:val="000C1ECA"/>
    <w:rsid w:val="000C326F"/>
    <w:rsid w:val="000C3D22"/>
    <w:rsid w:val="000C40CC"/>
    <w:rsid w:val="000C487A"/>
    <w:rsid w:val="000C4A8B"/>
    <w:rsid w:val="000C59AE"/>
    <w:rsid w:val="000C5CC8"/>
    <w:rsid w:val="000C663A"/>
    <w:rsid w:val="000C6B35"/>
    <w:rsid w:val="000C6D64"/>
    <w:rsid w:val="000C7184"/>
    <w:rsid w:val="000C75D4"/>
    <w:rsid w:val="000D1DC0"/>
    <w:rsid w:val="000D1F81"/>
    <w:rsid w:val="000D20C9"/>
    <w:rsid w:val="000D2C77"/>
    <w:rsid w:val="000D2C9A"/>
    <w:rsid w:val="000D3485"/>
    <w:rsid w:val="000D4702"/>
    <w:rsid w:val="000D4798"/>
    <w:rsid w:val="000D5485"/>
    <w:rsid w:val="000D5F7A"/>
    <w:rsid w:val="000D60BE"/>
    <w:rsid w:val="000D60D6"/>
    <w:rsid w:val="000E0B1B"/>
    <w:rsid w:val="000E0E72"/>
    <w:rsid w:val="000E129F"/>
    <w:rsid w:val="000E2023"/>
    <w:rsid w:val="000E35BE"/>
    <w:rsid w:val="000E36EF"/>
    <w:rsid w:val="000E3781"/>
    <w:rsid w:val="000E3F38"/>
    <w:rsid w:val="000E4593"/>
    <w:rsid w:val="000E48AE"/>
    <w:rsid w:val="000E6472"/>
    <w:rsid w:val="000E6794"/>
    <w:rsid w:val="000E68E0"/>
    <w:rsid w:val="000E6C3C"/>
    <w:rsid w:val="000E77BE"/>
    <w:rsid w:val="000F09DF"/>
    <w:rsid w:val="000F0A38"/>
    <w:rsid w:val="000F0D4B"/>
    <w:rsid w:val="000F0DA4"/>
    <w:rsid w:val="000F103D"/>
    <w:rsid w:val="000F231C"/>
    <w:rsid w:val="000F2E66"/>
    <w:rsid w:val="000F2F17"/>
    <w:rsid w:val="000F3B6F"/>
    <w:rsid w:val="000F41A3"/>
    <w:rsid w:val="000F4330"/>
    <w:rsid w:val="000F617A"/>
    <w:rsid w:val="000F61B2"/>
    <w:rsid w:val="000F74F0"/>
    <w:rsid w:val="000F75D9"/>
    <w:rsid w:val="000F7BE0"/>
    <w:rsid w:val="00100C54"/>
    <w:rsid w:val="00100F5D"/>
    <w:rsid w:val="00101846"/>
    <w:rsid w:val="00101A5D"/>
    <w:rsid w:val="00101DF7"/>
    <w:rsid w:val="0010219A"/>
    <w:rsid w:val="00102C2F"/>
    <w:rsid w:val="001035BD"/>
    <w:rsid w:val="001036D5"/>
    <w:rsid w:val="00103CB8"/>
    <w:rsid w:val="00103D38"/>
    <w:rsid w:val="00105B8F"/>
    <w:rsid w:val="00106101"/>
    <w:rsid w:val="00106201"/>
    <w:rsid w:val="001074BA"/>
    <w:rsid w:val="001075E9"/>
    <w:rsid w:val="0011181D"/>
    <w:rsid w:val="00111F85"/>
    <w:rsid w:val="00112755"/>
    <w:rsid w:val="00112782"/>
    <w:rsid w:val="00112FB0"/>
    <w:rsid w:val="001133C7"/>
    <w:rsid w:val="0011383B"/>
    <w:rsid w:val="00113881"/>
    <w:rsid w:val="00115028"/>
    <w:rsid w:val="0011502E"/>
    <w:rsid w:val="00115157"/>
    <w:rsid w:val="001162CE"/>
    <w:rsid w:val="001170DD"/>
    <w:rsid w:val="00117197"/>
    <w:rsid w:val="0011797F"/>
    <w:rsid w:val="00117E73"/>
    <w:rsid w:val="00120D04"/>
    <w:rsid w:val="001221FA"/>
    <w:rsid w:val="00123836"/>
    <w:rsid w:val="00123DAA"/>
    <w:rsid w:val="00123E8E"/>
    <w:rsid w:val="001243E2"/>
    <w:rsid w:val="00124874"/>
    <w:rsid w:val="00124BC7"/>
    <w:rsid w:val="00124FD7"/>
    <w:rsid w:val="001256E4"/>
    <w:rsid w:val="00126078"/>
    <w:rsid w:val="00126136"/>
    <w:rsid w:val="00126164"/>
    <w:rsid w:val="0012775A"/>
    <w:rsid w:val="001305D7"/>
    <w:rsid w:val="00130E16"/>
    <w:rsid w:val="0013131F"/>
    <w:rsid w:val="001323F5"/>
    <w:rsid w:val="00132D2C"/>
    <w:rsid w:val="00132D6C"/>
    <w:rsid w:val="00133355"/>
    <w:rsid w:val="001335AB"/>
    <w:rsid w:val="00133A35"/>
    <w:rsid w:val="00135F8F"/>
    <w:rsid w:val="00136C70"/>
    <w:rsid w:val="0013710B"/>
    <w:rsid w:val="00137F5D"/>
    <w:rsid w:val="00141446"/>
    <w:rsid w:val="0014149D"/>
    <w:rsid w:val="001414AD"/>
    <w:rsid w:val="00141647"/>
    <w:rsid w:val="00141EDA"/>
    <w:rsid w:val="00142403"/>
    <w:rsid w:val="001427C2"/>
    <w:rsid w:val="00142928"/>
    <w:rsid w:val="00142F52"/>
    <w:rsid w:val="00143120"/>
    <w:rsid w:val="0014447B"/>
    <w:rsid w:val="001447BF"/>
    <w:rsid w:val="001457DD"/>
    <w:rsid w:val="00147959"/>
    <w:rsid w:val="00147FC8"/>
    <w:rsid w:val="00151987"/>
    <w:rsid w:val="001525AE"/>
    <w:rsid w:val="00152FA5"/>
    <w:rsid w:val="00153F39"/>
    <w:rsid w:val="00153F98"/>
    <w:rsid w:val="001541A2"/>
    <w:rsid w:val="001549A6"/>
    <w:rsid w:val="0015518C"/>
    <w:rsid w:val="00155820"/>
    <w:rsid w:val="00156BD5"/>
    <w:rsid w:val="00156EF3"/>
    <w:rsid w:val="00157365"/>
    <w:rsid w:val="00161C88"/>
    <w:rsid w:val="00161DE7"/>
    <w:rsid w:val="0016226E"/>
    <w:rsid w:val="00163504"/>
    <w:rsid w:val="00163508"/>
    <w:rsid w:val="00164C81"/>
    <w:rsid w:val="00165542"/>
    <w:rsid w:val="00165D60"/>
    <w:rsid w:val="00166C34"/>
    <w:rsid w:val="00166CD1"/>
    <w:rsid w:val="0016719A"/>
    <w:rsid w:val="001679E5"/>
    <w:rsid w:val="00170133"/>
    <w:rsid w:val="0017097E"/>
    <w:rsid w:val="001709A4"/>
    <w:rsid w:val="001710C1"/>
    <w:rsid w:val="001714D2"/>
    <w:rsid w:val="00173093"/>
    <w:rsid w:val="001749BE"/>
    <w:rsid w:val="00174C54"/>
    <w:rsid w:val="00174CC3"/>
    <w:rsid w:val="00175468"/>
    <w:rsid w:val="001765BA"/>
    <w:rsid w:val="00176B5A"/>
    <w:rsid w:val="00176D2B"/>
    <w:rsid w:val="00177524"/>
    <w:rsid w:val="00180166"/>
    <w:rsid w:val="00180183"/>
    <w:rsid w:val="00180A45"/>
    <w:rsid w:val="00180ABE"/>
    <w:rsid w:val="00180B16"/>
    <w:rsid w:val="00181F61"/>
    <w:rsid w:val="00182458"/>
    <w:rsid w:val="00182CFA"/>
    <w:rsid w:val="001845C2"/>
    <w:rsid w:val="00184951"/>
    <w:rsid w:val="001854AB"/>
    <w:rsid w:val="001859B8"/>
    <w:rsid w:val="00185F04"/>
    <w:rsid w:val="00187AE4"/>
    <w:rsid w:val="00191B2D"/>
    <w:rsid w:val="00191CD3"/>
    <w:rsid w:val="00191E23"/>
    <w:rsid w:val="001924FE"/>
    <w:rsid w:val="00192B14"/>
    <w:rsid w:val="00192D62"/>
    <w:rsid w:val="00193766"/>
    <w:rsid w:val="001938B5"/>
    <w:rsid w:val="001939C8"/>
    <w:rsid w:val="0019406F"/>
    <w:rsid w:val="00194613"/>
    <w:rsid w:val="0019510D"/>
    <w:rsid w:val="00195F11"/>
    <w:rsid w:val="00196389"/>
    <w:rsid w:val="001967FC"/>
    <w:rsid w:val="0019749C"/>
    <w:rsid w:val="001A0117"/>
    <w:rsid w:val="001A0EDA"/>
    <w:rsid w:val="001A0F7F"/>
    <w:rsid w:val="001A12B5"/>
    <w:rsid w:val="001A12DD"/>
    <w:rsid w:val="001A146C"/>
    <w:rsid w:val="001A165B"/>
    <w:rsid w:val="001A1E88"/>
    <w:rsid w:val="001A236E"/>
    <w:rsid w:val="001A29CD"/>
    <w:rsid w:val="001A3270"/>
    <w:rsid w:val="001A40B6"/>
    <w:rsid w:val="001A44C9"/>
    <w:rsid w:val="001A47F4"/>
    <w:rsid w:val="001A4BA3"/>
    <w:rsid w:val="001A4DB1"/>
    <w:rsid w:val="001A5013"/>
    <w:rsid w:val="001A524E"/>
    <w:rsid w:val="001A58BE"/>
    <w:rsid w:val="001A5C63"/>
    <w:rsid w:val="001A5D1E"/>
    <w:rsid w:val="001A5EC0"/>
    <w:rsid w:val="001A6221"/>
    <w:rsid w:val="001A6D83"/>
    <w:rsid w:val="001A725F"/>
    <w:rsid w:val="001A7EBE"/>
    <w:rsid w:val="001B0930"/>
    <w:rsid w:val="001B0A76"/>
    <w:rsid w:val="001B0FE0"/>
    <w:rsid w:val="001B14FB"/>
    <w:rsid w:val="001B259C"/>
    <w:rsid w:val="001B2C6E"/>
    <w:rsid w:val="001B32AF"/>
    <w:rsid w:val="001B43A9"/>
    <w:rsid w:val="001B499C"/>
    <w:rsid w:val="001B5C96"/>
    <w:rsid w:val="001B6271"/>
    <w:rsid w:val="001B63DB"/>
    <w:rsid w:val="001B66B3"/>
    <w:rsid w:val="001B7705"/>
    <w:rsid w:val="001C2C2A"/>
    <w:rsid w:val="001C2E08"/>
    <w:rsid w:val="001C3119"/>
    <w:rsid w:val="001C3BEF"/>
    <w:rsid w:val="001C44E3"/>
    <w:rsid w:val="001C4D40"/>
    <w:rsid w:val="001C4DD6"/>
    <w:rsid w:val="001C59BA"/>
    <w:rsid w:val="001C634A"/>
    <w:rsid w:val="001C6881"/>
    <w:rsid w:val="001C71F4"/>
    <w:rsid w:val="001C7A89"/>
    <w:rsid w:val="001D0BF5"/>
    <w:rsid w:val="001D0D15"/>
    <w:rsid w:val="001D0D4E"/>
    <w:rsid w:val="001D1078"/>
    <w:rsid w:val="001D2C47"/>
    <w:rsid w:val="001D3A36"/>
    <w:rsid w:val="001D4B5A"/>
    <w:rsid w:val="001D50CB"/>
    <w:rsid w:val="001D53D9"/>
    <w:rsid w:val="001D5DAA"/>
    <w:rsid w:val="001D6E6B"/>
    <w:rsid w:val="001D7601"/>
    <w:rsid w:val="001D7612"/>
    <w:rsid w:val="001D7758"/>
    <w:rsid w:val="001D7C45"/>
    <w:rsid w:val="001E00C4"/>
    <w:rsid w:val="001E0FEB"/>
    <w:rsid w:val="001E15BB"/>
    <w:rsid w:val="001E17C4"/>
    <w:rsid w:val="001E207D"/>
    <w:rsid w:val="001E21DD"/>
    <w:rsid w:val="001E2547"/>
    <w:rsid w:val="001E2901"/>
    <w:rsid w:val="001E37E7"/>
    <w:rsid w:val="001E37EC"/>
    <w:rsid w:val="001E3FA3"/>
    <w:rsid w:val="001E4FAC"/>
    <w:rsid w:val="001E515B"/>
    <w:rsid w:val="001E57DA"/>
    <w:rsid w:val="001E5977"/>
    <w:rsid w:val="001E5DFC"/>
    <w:rsid w:val="001E63FA"/>
    <w:rsid w:val="001E6739"/>
    <w:rsid w:val="001E7530"/>
    <w:rsid w:val="001E785D"/>
    <w:rsid w:val="001F0896"/>
    <w:rsid w:val="001F09DC"/>
    <w:rsid w:val="001F0FD3"/>
    <w:rsid w:val="001F1514"/>
    <w:rsid w:val="001F21CC"/>
    <w:rsid w:val="001F30D1"/>
    <w:rsid w:val="001F3990"/>
    <w:rsid w:val="001F4330"/>
    <w:rsid w:val="001F44BA"/>
    <w:rsid w:val="001F46E2"/>
    <w:rsid w:val="001F49A9"/>
    <w:rsid w:val="001F7435"/>
    <w:rsid w:val="00200B18"/>
    <w:rsid w:val="002031ED"/>
    <w:rsid w:val="00204017"/>
    <w:rsid w:val="0020411F"/>
    <w:rsid w:val="002043CB"/>
    <w:rsid w:val="0020478B"/>
    <w:rsid w:val="00204E3F"/>
    <w:rsid w:val="00205210"/>
    <w:rsid w:val="002064C2"/>
    <w:rsid w:val="00206B97"/>
    <w:rsid w:val="002075CF"/>
    <w:rsid w:val="00211203"/>
    <w:rsid w:val="00211B0C"/>
    <w:rsid w:val="00211E3C"/>
    <w:rsid w:val="00211FD4"/>
    <w:rsid w:val="0021253A"/>
    <w:rsid w:val="00212FE2"/>
    <w:rsid w:val="00213553"/>
    <w:rsid w:val="0021355B"/>
    <w:rsid w:val="002136A6"/>
    <w:rsid w:val="00214CCE"/>
    <w:rsid w:val="00214F32"/>
    <w:rsid w:val="002151A7"/>
    <w:rsid w:val="00215AC0"/>
    <w:rsid w:val="00215E04"/>
    <w:rsid w:val="002170A2"/>
    <w:rsid w:val="0021728E"/>
    <w:rsid w:val="0021763D"/>
    <w:rsid w:val="002176EE"/>
    <w:rsid w:val="0021788B"/>
    <w:rsid w:val="002203B8"/>
    <w:rsid w:val="00220CC4"/>
    <w:rsid w:val="00220FCA"/>
    <w:rsid w:val="00221935"/>
    <w:rsid w:val="002219EE"/>
    <w:rsid w:val="00222AE7"/>
    <w:rsid w:val="0022312B"/>
    <w:rsid w:val="00223604"/>
    <w:rsid w:val="002240FA"/>
    <w:rsid w:val="00224C89"/>
    <w:rsid w:val="002259A9"/>
    <w:rsid w:val="00226BD5"/>
    <w:rsid w:val="002271DE"/>
    <w:rsid w:val="00227282"/>
    <w:rsid w:val="00230338"/>
    <w:rsid w:val="00232537"/>
    <w:rsid w:val="002328B4"/>
    <w:rsid w:val="00233442"/>
    <w:rsid w:val="00233F30"/>
    <w:rsid w:val="00234642"/>
    <w:rsid w:val="00234B26"/>
    <w:rsid w:val="00234C3B"/>
    <w:rsid w:val="002350C8"/>
    <w:rsid w:val="002353DF"/>
    <w:rsid w:val="00236393"/>
    <w:rsid w:val="0023715C"/>
    <w:rsid w:val="002414E2"/>
    <w:rsid w:val="0024175F"/>
    <w:rsid w:val="0024206B"/>
    <w:rsid w:val="00242A35"/>
    <w:rsid w:val="00243490"/>
    <w:rsid w:val="00243892"/>
    <w:rsid w:val="0024394F"/>
    <w:rsid w:val="00243CA5"/>
    <w:rsid w:val="0024443D"/>
    <w:rsid w:val="00244804"/>
    <w:rsid w:val="0024525B"/>
    <w:rsid w:val="0024640D"/>
    <w:rsid w:val="0024697A"/>
    <w:rsid w:val="00246E67"/>
    <w:rsid w:val="00247A74"/>
    <w:rsid w:val="00251B51"/>
    <w:rsid w:val="00251D19"/>
    <w:rsid w:val="002522AD"/>
    <w:rsid w:val="0025450E"/>
    <w:rsid w:val="002546CC"/>
    <w:rsid w:val="00254B62"/>
    <w:rsid w:val="00254DC4"/>
    <w:rsid w:val="00254EDB"/>
    <w:rsid w:val="002561C4"/>
    <w:rsid w:val="00257C4D"/>
    <w:rsid w:val="0026127D"/>
    <w:rsid w:val="0026180F"/>
    <w:rsid w:val="00261B80"/>
    <w:rsid w:val="0026275B"/>
    <w:rsid w:val="00263272"/>
    <w:rsid w:val="0026344C"/>
    <w:rsid w:val="002638D8"/>
    <w:rsid w:val="00264431"/>
    <w:rsid w:val="00264E5A"/>
    <w:rsid w:val="00265A6B"/>
    <w:rsid w:val="00265FD4"/>
    <w:rsid w:val="002668D2"/>
    <w:rsid w:val="00266D34"/>
    <w:rsid w:val="00267B30"/>
    <w:rsid w:val="00270A8B"/>
    <w:rsid w:val="002723E9"/>
    <w:rsid w:val="0027288E"/>
    <w:rsid w:val="00273DBF"/>
    <w:rsid w:val="00274902"/>
    <w:rsid w:val="00274EFB"/>
    <w:rsid w:val="002758B1"/>
    <w:rsid w:val="00275F21"/>
    <w:rsid w:val="0027640B"/>
    <w:rsid w:val="0027700E"/>
    <w:rsid w:val="0027704B"/>
    <w:rsid w:val="00277DD0"/>
    <w:rsid w:val="00277DED"/>
    <w:rsid w:val="00280979"/>
    <w:rsid w:val="002810C9"/>
    <w:rsid w:val="00282074"/>
    <w:rsid w:val="00282207"/>
    <w:rsid w:val="00282346"/>
    <w:rsid w:val="00283371"/>
    <w:rsid w:val="00284734"/>
    <w:rsid w:val="00284E5A"/>
    <w:rsid w:val="0028527F"/>
    <w:rsid w:val="00285CC3"/>
    <w:rsid w:val="002862C0"/>
    <w:rsid w:val="002865DA"/>
    <w:rsid w:val="00286EC8"/>
    <w:rsid w:val="002872A4"/>
    <w:rsid w:val="00287ABB"/>
    <w:rsid w:val="002900EA"/>
    <w:rsid w:val="00291D35"/>
    <w:rsid w:val="002925EC"/>
    <w:rsid w:val="00292F85"/>
    <w:rsid w:val="002936AA"/>
    <w:rsid w:val="00293DA4"/>
    <w:rsid w:val="00294E76"/>
    <w:rsid w:val="00295A5A"/>
    <w:rsid w:val="00296066"/>
    <w:rsid w:val="0029628A"/>
    <w:rsid w:val="00296746"/>
    <w:rsid w:val="00296B2C"/>
    <w:rsid w:val="002976AF"/>
    <w:rsid w:val="00297A3E"/>
    <w:rsid w:val="002A14B8"/>
    <w:rsid w:val="002A184C"/>
    <w:rsid w:val="002A1ED9"/>
    <w:rsid w:val="002A228C"/>
    <w:rsid w:val="002A2EFC"/>
    <w:rsid w:val="002A30AE"/>
    <w:rsid w:val="002A3D69"/>
    <w:rsid w:val="002A4631"/>
    <w:rsid w:val="002A4711"/>
    <w:rsid w:val="002A55F0"/>
    <w:rsid w:val="002A600E"/>
    <w:rsid w:val="002A6259"/>
    <w:rsid w:val="002B0F59"/>
    <w:rsid w:val="002B1FED"/>
    <w:rsid w:val="002B2766"/>
    <w:rsid w:val="002B2D6A"/>
    <w:rsid w:val="002B3222"/>
    <w:rsid w:val="002B3881"/>
    <w:rsid w:val="002B38A0"/>
    <w:rsid w:val="002B39D5"/>
    <w:rsid w:val="002B3A0E"/>
    <w:rsid w:val="002B3A59"/>
    <w:rsid w:val="002B4A6B"/>
    <w:rsid w:val="002B5663"/>
    <w:rsid w:val="002B7615"/>
    <w:rsid w:val="002B7D46"/>
    <w:rsid w:val="002C0B61"/>
    <w:rsid w:val="002C1499"/>
    <w:rsid w:val="002C1ACF"/>
    <w:rsid w:val="002C1BF3"/>
    <w:rsid w:val="002C239C"/>
    <w:rsid w:val="002C2B2C"/>
    <w:rsid w:val="002C2D61"/>
    <w:rsid w:val="002C3058"/>
    <w:rsid w:val="002C3DC6"/>
    <w:rsid w:val="002C4497"/>
    <w:rsid w:val="002C4920"/>
    <w:rsid w:val="002C4C47"/>
    <w:rsid w:val="002C54AD"/>
    <w:rsid w:val="002C5900"/>
    <w:rsid w:val="002C5CF4"/>
    <w:rsid w:val="002C7E1D"/>
    <w:rsid w:val="002D0F1B"/>
    <w:rsid w:val="002D16F0"/>
    <w:rsid w:val="002D1B8D"/>
    <w:rsid w:val="002D1EC9"/>
    <w:rsid w:val="002D1FE0"/>
    <w:rsid w:val="002D21D2"/>
    <w:rsid w:val="002D2CAD"/>
    <w:rsid w:val="002D36C9"/>
    <w:rsid w:val="002D3B7D"/>
    <w:rsid w:val="002D3F47"/>
    <w:rsid w:val="002D4D64"/>
    <w:rsid w:val="002D5111"/>
    <w:rsid w:val="002D5AAC"/>
    <w:rsid w:val="002D63EC"/>
    <w:rsid w:val="002D6D05"/>
    <w:rsid w:val="002D6E99"/>
    <w:rsid w:val="002D7BAD"/>
    <w:rsid w:val="002E0037"/>
    <w:rsid w:val="002E1768"/>
    <w:rsid w:val="002E2AA3"/>
    <w:rsid w:val="002E2D38"/>
    <w:rsid w:val="002E2DEB"/>
    <w:rsid w:val="002E4F88"/>
    <w:rsid w:val="002E53FE"/>
    <w:rsid w:val="002E55FE"/>
    <w:rsid w:val="002E6EDC"/>
    <w:rsid w:val="002E7161"/>
    <w:rsid w:val="002E7C35"/>
    <w:rsid w:val="002E7E09"/>
    <w:rsid w:val="002F00F5"/>
    <w:rsid w:val="002F03C1"/>
    <w:rsid w:val="002F1526"/>
    <w:rsid w:val="002F2742"/>
    <w:rsid w:val="002F38B3"/>
    <w:rsid w:val="002F4B8E"/>
    <w:rsid w:val="002F5A0B"/>
    <w:rsid w:val="002F5D8E"/>
    <w:rsid w:val="002F6779"/>
    <w:rsid w:val="002F6B19"/>
    <w:rsid w:val="00300834"/>
    <w:rsid w:val="00301299"/>
    <w:rsid w:val="00301558"/>
    <w:rsid w:val="003020F3"/>
    <w:rsid w:val="00303E5F"/>
    <w:rsid w:val="003041A0"/>
    <w:rsid w:val="0030599D"/>
    <w:rsid w:val="00305FE3"/>
    <w:rsid w:val="003075D2"/>
    <w:rsid w:val="0031104A"/>
    <w:rsid w:val="003117EF"/>
    <w:rsid w:val="003125EF"/>
    <w:rsid w:val="00312C63"/>
    <w:rsid w:val="00313431"/>
    <w:rsid w:val="003149AF"/>
    <w:rsid w:val="0031566F"/>
    <w:rsid w:val="00316EE2"/>
    <w:rsid w:val="003205B1"/>
    <w:rsid w:val="00320AB9"/>
    <w:rsid w:val="00320B6A"/>
    <w:rsid w:val="00321325"/>
    <w:rsid w:val="00321E7E"/>
    <w:rsid w:val="00322004"/>
    <w:rsid w:val="00322624"/>
    <w:rsid w:val="00322820"/>
    <w:rsid w:val="00322C22"/>
    <w:rsid w:val="003269C9"/>
    <w:rsid w:val="00326E98"/>
    <w:rsid w:val="00326FE7"/>
    <w:rsid w:val="00330AB2"/>
    <w:rsid w:val="003311BC"/>
    <w:rsid w:val="0033124D"/>
    <w:rsid w:val="00331645"/>
    <w:rsid w:val="00331AB8"/>
    <w:rsid w:val="00331C78"/>
    <w:rsid w:val="00332A29"/>
    <w:rsid w:val="003338F5"/>
    <w:rsid w:val="003343FC"/>
    <w:rsid w:val="00334658"/>
    <w:rsid w:val="00335F3D"/>
    <w:rsid w:val="00336ABA"/>
    <w:rsid w:val="00337741"/>
    <w:rsid w:val="0033788A"/>
    <w:rsid w:val="00337898"/>
    <w:rsid w:val="00337BDB"/>
    <w:rsid w:val="00337C3A"/>
    <w:rsid w:val="003402C2"/>
    <w:rsid w:val="0034106B"/>
    <w:rsid w:val="00342253"/>
    <w:rsid w:val="00342D04"/>
    <w:rsid w:val="00344691"/>
    <w:rsid w:val="003448B8"/>
    <w:rsid w:val="003463A0"/>
    <w:rsid w:val="003466AF"/>
    <w:rsid w:val="00346E05"/>
    <w:rsid w:val="00346F8A"/>
    <w:rsid w:val="0034732E"/>
    <w:rsid w:val="003473A1"/>
    <w:rsid w:val="003509E1"/>
    <w:rsid w:val="00350B26"/>
    <w:rsid w:val="00351309"/>
    <w:rsid w:val="003523C4"/>
    <w:rsid w:val="00352902"/>
    <w:rsid w:val="00353551"/>
    <w:rsid w:val="00353D9E"/>
    <w:rsid w:val="00354694"/>
    <w:rsid w:val="003549F2"/>
    <w:rsid w:val="00354EE9"/>
    <w:rsid w:val="0035509C"/>
    <w:rsid w:val="00356EAA"/>
    <w:rsid w:val="00356EBA"/>
    <w:rsid w:val="00357E7D"/>
    <w:rsid w:val="00357FD3"/>
    <w:rsid w:val="0036069E"/>
    <w:rsid w:val="00360F0E"/>
    <w:rsid w:val="00361D84"/>
    <w:rsid w:val="00361D91"/>
    <w:rsid w:val="003639CD"/>
    <w:rsid w:val="00363C1B"/>
    <w:rsid w:val="00363D0F"/>
    <w:rsid w:val="003647A1"/>
    <w:rsid w:val="003649A0"/>
    <w:rsid w:val="003653F0"/>
    <w:rsid w:val="003664BB"/>
    <w:rsid w:val="00367A4A"/>
    <w:rsid w:val="00367A4C"/>
    <w:rsid w:val="00367DEE"/>
    <w:rsid w:val="00370590"/>
    <w:rsid w:val="003705C1"/>
    <w:rsid w:val="0037095B"/>
    <w:rsid w:val="0037180E"/>
    <w:rsid w:val="00372089"/>
    <w:rsid w:val="003722EB"/>
    <w:rsid w:val="003724CA"/>
    <w:rsid w:val="003724EA"/>
    <w:rsid w:val="00374307"/>
    <w:rsid w:val="00374744"/>
    <w:rsid w:val="003749D4"/>
    <w:rsid w:val="00375EA2"/>
    <w:rsid w:val="00375F15"/>
    <w:rsid w:val="003763DF"/>
    <w:rsid w:val="003764A3"/>
    <w:rsid w:val="00376B6E"/>
    <w:rsid w:val="00380BF8"/>
    <w:rsid w:val="00380DC5"/>
    <w:rsid w:val="00381265"/>
    <w:rsid w:val="00381AAE"/>
    <w:rsid w:val="00381B2C"/>
    <w:rsid w:val="00381C24"/>
    <w:rsid w:val="00381E53"/>
    <w:rsid w:val="003822D0"/>
    <w:rsid w:val="003826FD"/>
    <w:rsid w:val="003828AA"/>
    <w:rsid w:val="00384582"/>
    <w:rsid w:val="0038580A"/>
    <w:rsid w:val="003864E9"/>
    <w:rsid w:val="003867A2"/>
    <w:rsid w:val="00387C76"/>
    <w:rsid w:val="00390948"/>
    <w:rsid w:val="00390B36"/>
    <w:rsid w:val="00391853"/>
    <w:rsid w:val="0039195A"/>
    <w:rsid w:val="003919D9"/>
    <w:rsid w:val="003933EA"/>
    <w:rsid w:val="0039397A"/>
    <w:rsid w:val="00393E7B"/>
    <w:rsid w:val="00394388"/>
    <w:rsid w:val="00394E00"/>
    <w:rsid w:val="0039565B"/>
    <w:rsid w:val="003958D0"/>
    <w:rsid w:val="00395AAB"/>
    <w:rsid w:val="0039638C"/>
    <w:rsid w:val="0039670B"/>
    <w:rsid w:val="003972A5"/>
    <w:rsid w:val="00397E74"/>
    <w:rsid w:val="00397F98"/>
    <w:rsid w:val="003A0514"/>
    <w:rsid w:val="003A16B3"/>
    <w:rsid w:val="003A1711"/>
    <w:rsid w:val="003A2E98"/>
    <w:rsid w:val="003A421F"/>
    <w:rsid w:val="003A485C"/>
    <w:rsid w:val="003A4BBE"/>
    <w:rsid w:val="003A4E1E"/>
    <w:rsid w:val="003A52C5"/>
    <w:rsid w:val="003A5500"/>
    <w:rsid w:val="003A5B77"/>
    <w:rsid w:val="003A6F46"/>
    <w:rsid w:val="003A78B3"/>
    <w:rsid w:val="003B020A"/>
    <w:rsid w:val="003B0A33"/>
    <w:rsid w:val="003B0B1B"/>
    <w:rsid w:val="003B172F"/>
    <w:rsid w:val="003B1A46"/>
    <w:rsid w:val="003B1D2C"/>
    <w:rsid w:val="003B296E"/>
    <w:rsid w:val="003B2BED"/>
    <w:rsid w:val="003B31C5"/>
    <w:rsid w:val="003B55AA"/>
    <w:rsid w:val="003B5B0A"/>
    <w:rsid w:val="003B6C12"/>
    <w:rsid w:val="003B6DD1"/>
    <w:rsid w:val="003B75E8"/>
    <w:rsid w:val="003C0D7A"/>
    <w:rsid w:val="003C0F21"/>
    <w:rsid w:val="003C11A7"/>
    <w:rsid w:val="003C2CBE"/>
    <w:rsid w:val="003C3FBF"/>
    <w:rsid w:val="003C5E0F"/>
    <w:rsid w:val="003C5F64"/>
    <w:rsid w:val="003C66AC"/>
    <w:rsid w:val="003C6A66"/>
    <w:rsid w:val="003C7377"/>
    <w:rsid w:val="003D000C"/>
    <w:rsid w:val="003D064D"/>
    <w:rsid w:val="003D0E87"/>
    <w:rsid w:val="003D240A"/>
    <w:rsid w:val="003D29E9"/>
    <w:rsid w:val="003D29FE"/>
    <w:rsid w:val="003D2F9A"/>
    <w:rsid w:val="003D3048"/>
    <w:rsid w:val="003D3368"/>
    <w:rsid w:val="003D36F2"/>
    <w:rsid w:val="003D3867"/>
    <w:rsid w:val="003D56AA"/>
    <w:rsid w:val="003D5A9F"/>
    <w:rsid w:val="003D7594"/>
    <w:rsid w:val="003E0515"/>
    <w:rsid w:val="003E08AD"/>
    <w:rsid w:val="003E0DFA"/>
    <w:rsid w:val="003E1ADE"/>
    <w:rsid w:val="003E2481"/>
    <w:rsid w:val="003E2E46"/>
    <w:rsid w:val="003E41C6"/>
    <w:rsid w:val="003E4592"/>
    <w:rsid w:val="003E4BFB"/>
    <w:rsid w:val="003E5BC5"/>
    <w:rsid w:val="003E5EA0"/>
    <w:rsid w:val="003E65A6"/>
    <w:rsid w:val="003E65D9"/>
    <w:rsid w:val="003F0BDF"/>
    <w:rsid w:val="003F2490"/>
    <w:rsid w:val="003F26B6"/>
    <w:rsid w:val="003F3A59"/>
    <w:rsid w:val="003F4166"/>
    <w:rsid w:val="003F4507"/>
    <w:rsid w:val="003F49C4"/>
    <w:rsid w:val="003F4EA8"/>
    <w:rsid w:val="003F7645"/>
    <w:rsid w:val="004002EC"/>
    <w:rsid w:val="00401B61"/>
    <w:rsid w:val="00402D90"/>
    <w:rsid w:val="00405152"/>
    <w:rsid w:val="00405F29"/>
    <w:rsid w:val="0040700F"/>
    <w:rsid w:val="004075B6"/>
    <w:rsid w:val="0041031F"/>
    <w:rsid w:val="004106BD"/>
    <w:rsid w:val="00411A87"/>
    <w:rsid w:val="004128BA"/>
    <w:rsid w:val="00412909"/>
    <w:rsid w:val="00412B7E"/>
    <w:rsid w:val="0041301A"/>
    <w:rsid w:val="004133F0"/>
    <w:rsid w:val="0041448D"/>
    <w:rsid w:val="0041459B"/>
    <w:rsid w:val="00414873"/>
    <w:rsid w:val="00414945"/>
    <w:rsid w:val="00414B2A"/>
    <w:rsid w:val="00416532"/>
    <w:rsid w:val="004166FF"/>
    <w:rsid w:val="004173FE"/>
    <w:rsid w:val="0042010B"/>
    <w:rsid w:val="00421848"/>
    <w:rsid w:val="00421AEB"/>
    <w:rsid w:val="00422081"/>
    <w:rsid w:val="004223E9"/>
    <w:rsid w:val="0042270A"/>
    <w:rsid w:val="00422CAF"/>
    <w:rsid w:val="00422F51"/>
    <w:rsid w:val="0042454A"/>
    <w:rsid w:val="0042593B"/>
    <w:rsid w:val="00425BA3"/>
    <w:rsid w:val="004267FB"/>
    <w:rsid w:val="00426A52"/>
    <w:rsid w:val="00427622"/>
    <w:rsid w:val="00430BEF"/>
    <w:rsid w:val="00432243"/>
    <w:rsid w:val="004322B7"/>
    <w:rsid w:val="0043286C"/>
    <w:rsid w:val="00432A34"/>
    <w:rsid w:val="00433067"/>
    <w:rsid w:val="0043398D"/>
    <w:rsid w:val="00433C55"/>
    <w:rsid w:val="00434116"/>
    <w:rsid w:val="00434AB3"/>
    <w:rsid w:val="004354DD"/>
    <w:rsid w:val="00436BBD"/>
    <w:rsid w:val="0043769D"/>
    <w:rsid w:val="00437ABF"/>
    <w:rsid w:val="0044080A"/>
    <w:rsid w:val="0044095C"/>
    <w:rsid w:val="0044120D"/>
    <w:rsid w:val="004418A1"/>
    <w:rsid w:val="00442632"/>
    <w:rsid w:val="00442A3C"/>
    <w:rsid w:val="00442D77"/>
    <w:rsid w:val="004433F2"/>
    <w:rsid w:val="004440D9"/>
    <w:rsid w:val="004445A9"/>
    <w:rsid w:val="00444784"/>
    <w:rsid w:val="00444890"/>
    <w:rsid w:val="00445747"/>
    <w:rsid w:val="00445EC0"/>
    <w:rsid w:val="004466EC"/>
    <w:rsid w:val="0044736B"/>
    <w:rsid w:val="004477F9"/>
    <w:rsid w:val="00447FD8"/>
    <w:rsid w:val="00450400"/>
    <w:rsid w:val="004508E8"/>
    <w:rsid w:val="004509A7"/>
    <w:rsid w:val="00450BB7"/>
    <w:rsid w:val="00451547"/>
    <w:rsid w:val="00451607"/>
    <w:rsid w:val="00451E59"/>
    <w:rsid w:val="00452D59"/>
    <w:rsid w:val="004543A5"/>
    <w:rsid w:val="00454AC4"/>
    <w:rsid w:val="00454BAB"/>
    <w:rsid w:val="00454C26"/>
    <w:rsid w:val="00454E07"/>
    <w:rsid w:val="004561FA"/>
    <w:rsid w:val="0045754D"/>
    <w:rsid w:val="004603AD"/>
    <w:rsid w:val="00460D42"/>
    <w:rsid w:val="00460D79"/>
    <w:rsid w:val="004613F0"/>
    <w:rsid w:val="00461DD8"/>
    <w:rsid w:val="004623EB"/>
    <w:rsid w:val="0046279F"/>
    <w:rsid w:val="0046345E"/>
    <w:rsid w:val="00464253"/>
    <w:rsid w:val="0046426E"/>
    <w:rsid w:val="0046480B"/>
    <w:rsid w:val="004659C4"/>
    <w:rsid w:val="00465CAC"/>
    <w:rsid w:val="0046703A"/>
    <w:rsid w:val="004676DB"/>
    <w:rsid w:val="00467A00"/>
    <w:rsid w:val="00467DEA"/>
    <w:rsid w:val="0047047E"/>
    <w:rsid w:val="00470AAB"/>
    <w:rsid w:val="0047105E"/>
    <w:rsid w:val="004713F7"/>
    <w:rsid w:val="004715E2"/>
    <w:rsid w:val="004726B7"/>
    <w:rsid w:val="0047466F"/>
    <w:rsid w:val="00476347"/>
    <w:rsid w:val="00476490"/>
    <w:rsid w:val="00476E2A"/>
    <w:rsid w:val="00477E4F"/>
    <w:rsid w:val="00477F48"/>
    <w:rsid w:val="00480434"/>
    <w:rsid w:val="004807EF"/>
    <w:rsid w:val="0048096C"/>
    <w:rsid w:val="00481A14"/>
    <w:rsid w:val="00482AC9"/>
    <w:rsid w:val="004831A1"/>
    <w:rsid w:val="00483724"/>
    <w:rsid w:val="004837D0"/>
    <w:rsid w:val="00484434"/>
    <w:rsid w:val="00485659"/>
    <w:rsid w:val="00486965"/>
    <w:rsid w:val="00487BD8"/>
    <w:rsid w:val="00487C51"/>
    <w:rsid w:val="00487DC3"/>
    <w:rsid w:val="00490745"/>
    <w:rsid w:val="00492909"/>
    <w:rsid w:val="00492B99"/>
    <w:rsid w:val="00492FC4"/>
    <w:rsid w:val="004936F0"/>
    <w:rsid w:val="00493A9D"/>
    <w:rsid w:val="004954A1"/>
    <w:rsid w:val="004973F4"/>
    <w:rsid w:val="00497B4F"/>
    <w:rsid w:val="00497F4B"/>
    <w:rsid w:val="004A084C"/>
    <w:rsid w:val="004A0BFE"/>
    <w:rsid w:val="004A12B1"/>
    <w:rsid w:val="004A17B8"/>
    <w:rsid w:val="004A197E"/>
    <w:rsid w:val="004A21E3"/>
    <w:rsid w:val="004A2927"/>
    <w:rsid w:val="004A40FE"/>
    <w:rsid w:val="004A4367"/>
    <w:rsid w:val="004A5B3C"/>
    <w:rsid w:val="004A667E"/>
    <w:rsid w:val="004A6CF2"/>
    <w:rsid w:val="004A741A"/>
    <w:rsid w:val="004A7E86"/>
    <w:rsid w:val="004B0176"/>
    <w:rsid w:val="004B0CF3"/>
    <w:rsid w:val="004B0D3C"/>
    <w:rsid w:val="004B18A3"/>
    <w:rsid w:val="004B19F2"/>
    <w:rsid w:val="004B1C1B"/>
    <w:rsid w:val="004B2638"/>
    <w:rsid w:val="004B2BAC"/>
    <w:rsid w:val="004B2D97"/>
    <w:rsid w:val="004B359F"/>
    <w:rsid w:val="004B4339"/>
    <w:rsid w:val="004B4802"/>
    <w:rsid w:val="004B4A2D"/>
    <w:rsid w:val="004B4F16"/>
    <w:rsid w:val="004B62CA"/>
    <w:rsid w:val="004B6995"/>
    <w:rsid w:val="004B7A2D"/>
    <w:rsid w:val="004B7F6C"/>
    <w:rsid w:val="004C01B4"/>
    <w:rsid w:val="004C03FA"/>
    <w:rsid w:val="004C0665"/>
    <w:rsid w:val="004C184C"/>
    <w:rsid w:val="004C2B74"/>
    <w:rsid w:val="004C4232"/>
    <w:rsid w:val="004C62B3"/>
    <w:rsid w:val="004C64A3"/>
    <w:rsid w:val="004C72D6"/>
    <w:rsid w:val="004C763B"/>
    <w:rsid w:val="004D0B73"/>
    <w:rsid w:val="004D0F3A"/>
    <w:rsid w:val="004D1A62"/>
    <w:rsid w:val="004D1E50"/>
    <w:rsid w:val="004D1EDD"/>
    <w:rsid w:val="004D26DC"/>
    <w:rsid w:val="004D3A9B"/>
    <w:rsid w:val="004D438B"/>
    <w:rsid w:val="004D4A81"/>
    <w:rsid w:val="004D4D68"/>
    <w:rsid w:val="004D4DA3"/>
    <w:rsid w:val="004D676C"/>
    <w:rsid w:val="004D6D7B"/>
    <w:rsid w:val="004E2655"/>
    <w:rsid w:val="004E3DB2"/>
    <w:rsid w:val="004E5070"/>
    <w:rsid w:val="004E56BE"/>
    <w:rsid w:val="004E57AA"/>
    <w:rsid w:val="004E6367"/>
    <w:rsid w:val="004E7AB2"/>
    <w:rsid w:val="004F0093"/>
    <w:rsid w:val="004F0AD0"/>
    <w:rsid w:val="004F0DB5"/>
    <w:rsid w:val="004F0FAA"/>
    <w:rsid w:val="004F110F"/>
    <w:rsid w:val="004F1B2B"/>
    <w:rsid w:val="004F216E"/>
    <w:rsid w:val="004F38A8"/>
    <w:rsid w:val="004F3940"/>
    <w:rsid w:val="004F3AE1"/>
    <w:rsid w:val="004F4DA3"/>
    <w:rsid w:val="004F50E8"/>
    <w:rsid w:val="004F522A"/>
    <w:rsid w:val="004F5A89"/>
    <w:rsid w:val="004F5C08"/>
    <w:rsid w:val="004F653C"/>
    <w:rsid w:val="004F67C2"/>
    <w:rsid w:val="004F6C9D"/>
    <w:rsid w:val="004F7D85"/>
    <w:rsid w:val="0050108D"/>
    <w:rsid w:val="005016AF"/>
    <w:rsid w:val="00503A38"/>
    <w:rsid w:val="00504719"/>
    <w:rsid w:val="00504CD6"/>
    <w:rsid w:val="00504E0B"/>
    <w:rsid w:val="00505E1B"/>
    <w:rsid w:val="005076AF"/>
    <w:rsid w:val="00507A84"/>
    <w:rsid w:val="00507D56"/>
    <w:rsid w:val="00510BFF"/>
    <w:rsid w:val="00511D09"/>
    <w:rsid w:val="0051236C"/>
    <w:rsid w:val="00512652"/>
    <w:rsid w:val="005128DE"/>
    <w:rsid w:val="00512A43"/>
    <w:rsid w:val="005137FE"/>
    <w:rsid w:val="00514DCF"/>
    <w:rsid w:val="005158C3"/>
    <w:rsid w:val="005158F9"/>
    <w:rsid w:val="00516236"/>
    <w:rsid w:val="005163BF"/>
    <w:rsid w:val="005171A0"/>
    <w:rsid w:val="00517457"/>
    <w:rsid w:val="00517927"/>
    <w:rsid w:val="00517B1D"/>
    <w:rsid w:val="0052069A"/>
    <w:rsid w:val="0052134E"/>
    <w:rsid w:val="0052159C"/>
    <w:rsid w:val="00521E03"/>
    <w:rsid w:val="005222F9"/>
    <w:rsid w:val="00522E12"/>
    <w:rsid w:val="00524356"/>
    <w:rsid w:val="00525509"/>
    <w:rsid w:val="00525F7E"/>
    <w:rsid w:val="00526111"/>
    <w:rsid w:val="00530231"/>
    <w:rsid w:val="005315EC"/>
    <w:rsid w:val="00531924"/>
    <w:rsid w:val="005319CB"/>
    <w:rsid w:val="005320C4"/>
    <w:rsid w:val="00532EFC"/>
    <w:rsid w:val="00534BBF"/>
    <w:rsid w:val="00537A57"/>
    <w:rsid w:val="00537C3F"/>
    <w:rsid w:val="005402D1"/>
    <w:rsid w:val="005423B4"/>
    <w:rsid w:val="00542DFF"/>
    <w:rsid w:val="00543991"/>
    <w:rsid w:val="00543F84"/>
    <w:rsid w:val="0054485A"/>
    <w:rsid w:val="00545EEC"/>
    <w:rsid w:val="00546A7F"/>
    <w:rsid w:val="00547B6D"/>
    <w:rsid w:val="00547C3B"/>
    <w:rsid w:val="00547C80"/>
    <w:rsid w:val="00551187"/>
    <w:rsid w:val="00551AE7"/>
    <w:rsid w:val="00552E9A"/>
    <w:rsid w:val="005531E2"/>
    <w:rsid w:val="005535CE"/>
    <w:rsid w:val="005539DA"/>
    <w:rsid w:val="00553BE1"/>
    <w:rsid w:val="005546DF"/>
    <w:rsid w:val="00554FBE"/>
    <w:rsid w:val="00555397"/>
    <w:rsid w:val="005566EF"/>
    <w:rsid w:val="00556747"/>
    <w:rsid w:val="0055724A"/>
    <w:rsid w:val="005574D1"/>
    <w:rsid w:val="00557562"/>
    <w:rsid w:val="00557801"/>
    <w:rsid w:val="00560874"/>
    <w:rsid w:val="00560C0A"/>
    <w:rsid w:val="0056201E"/>
    <w:rsid w:val="00562E84"/>
    <w:rsid w:val="0056300F"/>
    <w:rsid w:val="00563183"/>
    <w:rsid w:val="0056318D"/>
    <w:rsid w:val="00563BE9"/>
    <w:rsid w:val="00564422"/>
    <w:rsid w:val="00564B8D"/>
    <w:rsid w:val="00564BD9"/>
    <w:rsid w:val="00564D29"/>
    <w:rsid w:val="00565467"/>
    <w:rsid w:val="00565CE9"/>
    <w:rsid w:val="0056601B"/>
    <w:rsid w:val="0057023F"/>
    <w:rsid w:val="00570EB6"/>
    <w:rsid w:val="005714C0"/>
    <w:rsid w:val="00572807"/>
    <w:rsid w:val="00572BE0"/>
    <w:rsid w:val="00572E19"/>
    <w:rsid w:val="00574095"/>
    <w:rsid w:val="00575A88"/>
    <w:rsid w:val="00576BBD"/>
    <w:rsid w:val="0057711F"/>
    <w:rsid w:val="00577207"/>
    <w:rsid w:val="00580DF9"/>
    <w:rsid w:val="00581567"/>
    <w:rsid w:val="005832C4"/>
    <w:rsid w:val="00583761"/>
    <w:rsid w:val="00583DEC"/>
    <w:rsid w:val="00583FCF"/>
    <w:rsid w:val="005846E8"/>
    <w:rsid w:val="005848B1"/>
    <w:rsid w:val="00584FC6"/>
    <w:rsid w:val="0058618C"/>
    <w:rsid w:val="00586487"/>
    <w:rsid w:val="005868F0"/>
    <w:rsid w:val="00587F58"/>
    <w:rsid w:val="0059081D"/>
    <w:rsid w:val="00591E96"/>
    <w:rsid w:val="00592698"/>
    <w:rsid w:val="00592B5E"/>
    <w:rsid w:val="005938CA"/>
    <w:rsid w:val="0059407C"/>
    <w:rsid w:val="00594B38"/>
    <w:rsid w:val="005958BA"/>
    <w:rsid w:val="00595D4F"/>
    <w:rsid w:val="005961A1"/>
    <w:rsid w:val="005961C0"/>
    <w:rsid w:val="00596C16"/>
    <w:rsid w:val="0059735C"/>
    <w:rsid w:val="00597965"/>
    <w:rsid w:val="00597AAC"/>
    <w:rsid w:val="005A0AF3"/>
    <w:rsid w:val="005A125B"/>
    <w:rsid w:val="005A17B4"/>
    <w:rsid w:val="005A21A6"/>
    <w:rsid w:val="005A335A"/>
    <w:rsid w:val="005A3484"/>
    <w:rsid w:val="005A435B"/>
    <w:rsid w:val="005A4A58"/>
    <w:rsid w:val="005A5032"/>
    <w:rsid w:val="005A592D"/>
    <w:rsid w:val="005A629F"/>
    <w:rsid w:val="005A62BB"/>
    <w:rsid w:val="005A6DCE"/>
    <w:rsid w:val="005A78C2"/>
    <w:rsid w:val="005A799B"/>
    <w:rsid w:val="005B03C7"/>
    <w:rsid w:val="005B0EDF"/>
    <w:rsid w:val="005B0FBF"/>
    <w:rsid w:val="005B1618"/>
    <w:rsid w:val="005B1A23"/>
    <w:rsid w:val="005B2BCF"/>
    <w:rsid w:val="005B3519"/>
    <w:rsid w:val="005B4101"/>
    <w:rsid w:val="005B453B"/>
    <w:rsid w:val="005B4A72"/>
    <w:rsid w:val="005B4EF3"/>
    <w:rsid w:val="005B4F80"/>
    <w:rsid w:val="005B5ED2"/>
    <w:rsid w:val="005C001A"/>
    <w:rsid w:val="005C10D6"/>
    <w:rsid w:val="005C1927"/>
    <w:rsid w:val="005C2A88"/>
    <w:rsid w:val="005C2CD4"/>
    <w:rsid w:val="005C2EAC"/>
    <w:rsid w:val="005C37AB"/>
    <w:rsid w:val="005C38DB"/>
    <w:rsid w:val="005C3BAD"/>
    <w:rsid w:val="005C49F1"/>
    <w:rsid w:val="005C4E3A"/>
    <w:rsid w:val="005C565C"/>
    <w:rsid w:val="005C6469"/>
    <w:rsid w:val="005C75BC"/>
    <w:rsid w:val="005D00BC"/>
    <w:rsid w:val="005D05D2"/>
    <w:rsid w:val="005D09ED"/>
    <w:rsid w:val="005D3C16"/>
    <w:rsid w:val="005D4363"/>
    <w:rsid w:val="005D4BD6"/>
    <w:rsid w:val="005E035D"/>
    <w:rsid w:val="005E0FBA"/>
    <w:rsid w:val="005E1425"/>
    <w:rsid w:val="005E2174"/>
    <w:rsid w:val="005E33B1"/>
    <w:rsid w:val="005E3713"/>
    <w:rsid w:val="005E46EA"/>
    <w:rsid w:val="005E492C"/>
    <w:rsid w:val="005E4C3B"/>
    <w:rsid w:val="005E59DF"/>
    <w:rsid w:val="005E5D3A"/>
    <w:rsid w:val="005E6039"/>
    <w:rsid w:val="005E67D7"/>
    <w:rsid w:val="005E6B76"/>
    <w:rsid w:val="005E7190"/>
    <w:rsid w:val="005F0B42"/>
    <w:rsid w:val="005F18E1"/>
    <w:rsid w:val="005F1B43"/>
    <w:rsid w:val="005F2E82"/>
    <w:rsid w:val="005F2EA6"/>
    <w:rsid w:val="005F3C8F"/>
    <w:rsid w:val="005F4D9E"/>
    <w:rsid w:val="005F4DC2"/>
    <w:rsid w:val="005F668C"/>
    <w:rsid w:val="005F68EC"/>
    <w:rsid w:val="005F7627"/>
    <w:rsid w:val="005F7954"/>
    <w:rsid w:val="005F7C11"/>
    <w:rsid w:val="006001EE"/>
    <w:rsid w:val="0060165E"/>
    <w:rsid w:val="006016F3"/>
    <w:rsid w:val="006024C3"/>
    <w:rsid w:val="006025E5"/>
    <w:rsid w:val="00602643"/>
    <w:rsid w:val="006031A5"/>
    <w:rsid w:val="006032D2"/>
    <w:rsid w:val="00603611"/>
    <w:rsid w:val="0060380C"/>
    <w:rsid w:val="00603977"/>
    <w:rsid w:val="00603D6C"/>
    <w:rsid w:val="00603EC2"/>
    <w:rsid w:val="0060460D"/>
    <w:rsid w:val="00604702"/>
    <w:rsid w:val="006049F0"/>
    <w:rsid w:val="00604E7B"/>
    <w:rsid w:val="006050E8"/>
    <w:rsid w:val="00605127"/>
    <w:rsid w:val="006053E3"/>
    <w:rsid w:val="006056A4"/>
    <w:rsid w:val="00605ED9"/>
    <w:rsid w:val="006062A0"/>
    <w:rsid w:val="00606FD0"/>
    <w:rsid w:val="00607146"/>
    <w:rsid w:val="00607BB9"/>
    <w:rsid w:val="006110A1"/>
    <w:rsid w:val="00613279"/>
    <w:rsid w:val="00613667"/>
    <w:rsid w:val="00613BB8"/>
    <w:rsid w:val="00614CC1"/>
    <w:rsid w:val="00615141"/>
    <w:rsid w:val="00617B8A"/>
    <w:rsid w:val="006205F9"/>
    <w:rsid w:val="00620D3E"/>
    <w:rsid w:val="0062111B"/>
    <w:rsid w:val="006217DF"/>
    <w:rsid w:val="0062222B"/>
    <w:rsid w:val="00623180"/>
    <w:rsid w:val="006262F6"/>
    <w:rsid w:val="0062759E"/>
    <w:rsid w:val="00630842"/>
    <w:rsid w:val="006309FB"/>
    <w:rsid w:val="00630F01"/>
    <w:rsid w:val="0063127F"/>
    <w:rsid w:val="0063173C"/>
    <w:rsid w:val="0063177C"/>
    <w:rsid w:val="00631C48"/>
    <w:rsid w:val="0063202A"/>
    <w:rsid w:val="0063211C"/>
    <w:rsid w:val="0063250A"/>
    <w:rsid w:val="00632CCD"/>
    <w:rsid w:val="00633AAC"/>
    <w:rsid w:val="006349A9"/>
    <w:rsid w:val="00634E56"/>
    <w:rsid w:val="006354DF"/>
    <w:rsid w:val="00635D46"/>
    <w:rsid w:val="00636569"/>
    <w:rsid w:val="00636B49"/>
    <w:rsid w:val="00637FAE"/>
    <w:rsid w:val="006410AA"/>
    <w:rsid w:val="00641730"/>
    <w:rsid w:val="006425F0"/>
    <w:rsid w:val="0064312C"/>
    <w:rsid w:val="0064421C"/>
    <w:rsid w:val="00644726"/>
    <w:rsid w:val="0064612B"/>
    <w:rsid w:val="006473C1"/>
    <w:rsid w:val="00647597"/>
    <w:rsid w:val="006502FC"/>
    <w:rsid w:val="00650CA5"/>
    <w:rsid w:val="00651B88"/>
    <w:rsid w:val="00652388"/>
    <w:rsid w:val="00652F1C"/>
    <w:rsid w:val="006530C7"/>
    <w:rsid w:val="0065426D"/>
    <w:rsid w:val="00654A92"/>
    <w:rsid w:val="00656C86"/>
    <w:rsid w:val="00657097"/>
    <w:rsid w:val="00657227"/>
    <w:rsid w:val="00657C85"/>
    <w:rsid w:val="006608FE"/>
    <w:rsid w:val="00662206"/>
    <w:rsid w:val="00662699"/>
    <w:rsid w:val="006627F5"/>
    <w:rsid w:val="0066405E"/>
    <w:rsid w:val="006646A4"/>
    <w:rsid w:val="00664A78"/>
    <w:rsid w:val="006651F0"/>
    <w:rsid w:val="00665895"/>
    <w:rsid w:val="00666A24"/>
    <w:rsid w:val="00666C8D"/>
    <w:rsid w:val="00666EDD"/>
    <w:rsid w:val="00667C7E"/>
    <w:rsid w:val="00667D34"/>
    <w:rsid w:val="00667F51"/>
    <w:rsid w:val="0067084F"/>
    <w:rsid w:val="00670868"/>
    <w:rsid w:val="0067162F"/>
    <w:rsid w:val="00672516"/>
    <w:rsid w:val="00672A19"/>
    <w:rsid w:val="00672F8E"/>
    <w:rsid w:val="00674244"/>
    <w:rsid w:val="00674275"/>
    <w:rsid w:val="00674750"/>
    <w:rsid w:val="00675F99"/>
    <w:rsid w:val="006774DF"/>
    <w:rsid w:val="00677741"/>
    <w:rsid w:val="00677BEF"/>
    <w:rsid w:val="00680FC7"/>
    <w:rsid w:val="00683421"/>
    <w:rsid w:val="006840BC"/>
    <w:rsid w:val="0068429D"/>
    <w:rsid w:val="00684BA1"/>
    <w:rsid w:val="006857AF"/>
    <w:rsid w:val="006858A7"/>
    <w:rsid w:val="00686ADB"/>
    <w:rsid w:val="00686C68"/>
    <w:rsid w:val="00686DF5"/>
    <w:rsid w:val="00687E16"/>
    <w:rsid w:val="00687E8C"/>
    <w:rsid w:val="006904B9"/>
    <w:rsid w:val="00690D5D"/>
    <w:rsid w:val="00690FAC"/>
    <w:rsid w:val="006921BD"/>
    <w:rsid w:val="00692B0C"/>
    <w:rsid w:val="0069546B"/>
    <w:rsid w:val="00695689"/>
    <w:rsid w:val="00696CE1"/>
    <w:rsid w:val="00696F0B"/>
    <w:rsid w:val="00697D2A"/>
    <w:rsid w:val="006A0BC1"/>
    <w:rsid w:val="006A17BA"/>
    <w:rsid w:val="006A1DCB"/>
    <w:rsid w:val="006A3163"/>
    <w:rsid w:val="006A39F3"/>
    <w:rsid w:val="006A3DB3"/>
    <w:rsid w:val="006A4194"/>
    <w:rsid w:val="006A4207"/>
    <w:rsid w:val="006A46DD"/>
    <w:rsid w:val="006A4E01"/>
    <w:rsid w:val="006A5F30"/>
    <w:rsid w:val="006A74A4"/>
    <w:rsid w:val="006A7503"/>
    <w:rsid w:val="006A79E7"/>
    <w:rsid w:val="006A7A49"/>
    <w:rsid w:val="006B0B13"/>
    <w:rsid w:val="006B0BA4"/>
    <w:rsid w:val="006B149E"/>
    <w:rsid w:val="006B1D8D"/>
    <w:rsid w:val="006B1F5C"/>
    <w:rsid w:val="006B20FD"/>
    <w:rsid w:val="006B2B2C"/>
    <w:rsid w:val="006B2CB4"/>
    <w:rsid w:val="006B3090"/>
    <w:rsid w:val="006B32C4"/>
    <w:rsid w:val="006B394D"/>
    <w:rsid w:val="006B3BCC"/>
    <w:rsid w:val="006B3F56"/>
    <w:rsid w:val="006B403E"/>
    <w:rsid w:val="006B409E"/>
    <w:rsid w:val="006B6C6C"/>
    <w:rsid w:val="006C10AB"/>
    <w:rsid w:val="006C1C72"/>
    <w:rsid w:val="006C21F1"/>
    <w:rsid w:val="006C25BA"/>
    <w:rsid w:val="006C2A28"/>
    <w:rsid w:val="006C2CA8"/>
    <w:rsid w:val="006C3625"/>
    <w:rsid w:val="006C3855"/>
    <w:rsid w:val="006C3E8B"/>
    <w:rsid w:val="006C58EC"/>
    <w:rsid w:val="006C628B"/>
    <w:rsid w:val="006C77CB"/>
    <w:rsid w:val="006C7802"/>
    <w:rsid w:val="006C7D81"/>
    <w:rsid w:val="006D074E"/>
    <w:rsid w:val="006D0D88"/>
    <w:rsid w:val="006D10A8"/>
    <w:rsid w:val="006D1411"/>
    <w:rsid w:val="006D1F40"/>
    <w:rsid w:val="006D2498"/>
    <w:rsid w:val="006D40C9"/>
    <w:rsid w:val="006D474F"/>
    <w:rsid w:val="006D4992"/>
    <w:rsid w:val="006D4BE3"/>
    <w:rsid w:val="006D5BC2"/>
    <w:rsid w:val="006D5F24"/>
    <w:rsid w:val="006D76DB"/>
    <w:rsid w:val="006E017B"/>
    <w:rsid w:val="006E02AC"/>
    <w:rsid w:val="006E0329"/>
    <w:rsid w:val="006E0AB7"/>
    <w:rsid w:val="006E0D80"/>
    <w:rsid w:val="006E2814"/>
    <w:rsid w:val="006E2BAB"/>
    <w:rsid w:val="006E2D93"/>
    <w:rsid w:val="006E33A1"/>
    <w:rsid w:val="006E37B4"/>
    <w:rsid w:val="006E3890"/>
    <w:rsid w:val="006E3C75"/>
    <w:rsid w:val="006E46D8"/>
    <w:rsid w:val="006E546C"/>
    <w:rsid w:val="006E5E59"/>
    <w:rsid w:val="006E5F1A"/>
    <w:rsid w:val="006E6256"/>
    <w:rsid w:val="006E72E2"/>
    <w:rsid w:val="006E7306"/>
    <w:rsid w:val="006E7F35"/>
    <w:rsid w:val="006F0A05"/>
    <w:rsid w:val="006F0CA8"/>
    <w:rsid w:val="006F0E9C"/>
    <w:rsid w:val="006F1904"/>
    <w:rsid w:val="006F2723"/>
    <w:rsid w:val="006F35EE"/>
    <w:rsid w:val="006F3C27"/>
    <w:rsid w:val="006F3C5A"/>
    <w:rsid w:val="006F3C7B"/>
    <w:rsid w:val="006F49C7"/>
    <w:rsid w:val="006F4E34"/>
    <w:rsid w:val="006F5F87"/>
    <w:rsid w:val="006F6332"/>
    <w:rsid w:val="006F688F"/>
    <w:rsid w:val="006F7B4D"/>
    <w:rsid w:val="00701A27"/>
    <w:rsid w:val="00701BB6"/>
    <w:rsid w:val="00701C11"/>
    <w:rsid w:val="00701C1C"/>
    <w:rsid w:val="00702544"/>
    <w:rsid w:val="007026BC"/>
    <w:rsid w:val="00702FD1"/>
    <w:rsid w:val="007032FC"/>
    <w:rsid w:val="00703301"/>
    <w:rsid w:val="00703744"/>
    <w:rsid w:val="0070409F"/>
    <w:rsid w:val="00705233"/>
    <w:rsid w:val="00706673"/>
    <w:rsid w:val="007069CB"/>
    <w:rsid w:val="00706AD8"/>
    <w:rsid w:val="007103EA"/>
    <w:rsid w:val="00710CF8"/>
    <w:rsid w:val="0071274C"/>
    <w:rsid w:val="00713121"/>
    <w:rsid w:val="00713A0D"/>
    <w:rsid w:val="00713A5C"/>
    <w:rsid w:val="00713B47"/>
    <w:rsid w:val="00713D17"/>
    <w:rsid w:val="0071423B"/>
    <w:rsid w:val="00715029"/>
    <w:rsid w:val="00715244"/>
    <w:rsid w:val="00715798"/>
    <w:rsid w:val="00716C6F"/>
    <w:rsid w:val="00716DBE"/>
    <w:rsid w:val="00716DC1"/>
    <w:rsid w:val="00717DD9"/>
    <w:rsid w:val="007206AC"/>
    <w:rsid w:val="0072109E"/>
    <w:rsid w:val="007214B7"/>
    <w:rsid w:val="007219E5"/>
    <w:rsid w:val="00721D12"/>
    <w:rsid w:val="00721F5D"/>
    <w:rsid w:val="00722BEA"/>
    <w:rsid w:val="00723E37"/>
    <w:rsid w:val="007243AB"/>
    <w:rsid w:val="007253A0"/>
    <w:rsid w:val="00725D41"/>
    <w:rsid w:val="00726A56"/>
    <w:rsid w:val="00730830"/>
    <w:rsid w:val="00730D31"/>
    <w:rsid w:val="00731D8D"/>
    <w:rsid w:val="00732848"/>
    <w:rsid w:val="007338F1"/>
    <w:rsid w:val="00733B2E"/>
    <w:rsid w:val="00733B91"/>
    <w:rsid w:val="007342D7"/>
    <w:rsid w:val="007346DA"/>
    <w:rsid w:val="007348C3"/>
    <w:rsid w:val="00734C0E"/>
    <w:rsid w:val="00734D6D"/>
    <w:rsid w:val="00734E35"/>
    <w:rsid w:val="007356E3"/>
    <w:rsid w:val="0073620C"/>
    <w:rsid w:val="00736495"/>
    <w:rsid w:val="00737059"/>
    <w:rsid w:val="00737E7C"/>
    <w:rsid w:val="0074045B"/>
    <w:rsid w:val="00742A05"/>
    <w:rsid w:val="00745456"/>
    <w:rsid w:val="007455F5"/>
    <w:rsid w:val="007457E3"/>
    <w:rsid w:val="00745F8E"/>
    <w:rsid w:val="007464CC"/>
    <w:rsid w:val="00746814"/>
    <w:rsid w:val="00747278"/>
    <w:rsid w:val="007501E4"/>
    <w:rsid w:val="007503DE"/>
    <w:rsid w:val="0075191D"/>
    <w:rsid w:val="007521C5"/>
    <w:rsid w:val="007540F9"/>
    <w:rsid w:val="0075453B"/>
    <w:rsid w:val="00754866"/>
    <w:rsid w:val="00754AB6"/>
    <w:rsid w:val="0075552A"/>
    <w:rsid w:val="0075570D"/>
    <w:rsid w:val="00756D29"/>
    <w:rsid w:val="00757328"/>
    <w:rsid w:val="00757713"/>
    <w:rsid w:val="00757B42"/>
    <w:rsid w:val="00757E02"/>
    <w:rsid w:val="0076019F"/>
    <w:rsid w:val="00761273"/>
    <w:rsid w:val="00761633"/>
    <w:rsid w:val="00761E00"/>
    <w:rsid w:val="0076257F"/>
    <w:rsid w:val="00762FE8"/>
    <w:rsid w:val="00763A67"/>
    <w:rsid w:val="00764871"/>
    <w:rsid w:val="00764A6F"/>
    <w:rsid w:val="00766B20"/>
    <w:rsid w:val="007676ED"/>
    <w:rsid w:val="007678CE"/>
    <w:rsid w:val="007720BB"/>
    <w:rsid w:val="00772298"/>
    <w:rsid w:val="00772379"/>
    <w:rsid w:val="0077539C"/>
    <w:rsid w:val="0077584F"/>
    <w:rsid w:val="00775B36"/>
    <w:rsid w:val="0077629A"/>
    <w:rsid w:val="00776A91"/>
    <w:rsid w:val="00777501"/>
    <w:rsid w:val="00780166"/>
    <w:rsid w:val="00780917"/>
    <w:rsid w:val="00780DE0"/>
    <w:rsid w:val="00781191"/>
    <w:rsid w:val="007815AE"/>
    <w:rsid w:val="007820A1"/>
    <w:rsid w:val="007825EA"/>
    <w:rsid w:val="00782742"/>
    <w:rsid w:val="00782C6A"/>
    <w:rsid w:val="007833D0"/>
    <w:rsid w:val="007837E0"/>
    <w:rsid w:val="007838A4"/>
    <w:rsid w:val="00784A5F"/>
    <w:rsid w:val="00785732"/>
    <w:rsid w:val="007857D9"/>
    <w:rsid w:val="00785CD1"/>
    <w:rsid w:val="0078614B"/>
    <w:rsid w:val="0078638C"/>
    <w:rsid w:val="00786796"/>
    <w:rsid w:val="00786824"/>
    <w:rsid w:val="00786DDE"/>
    <w:rsid w:val="007870AC"/>
    <w:rsid w:val="007873A7"/>
    <w:rsid w:val="00787F0A"/>
    <w:rsid w:val="007901E4"/>
    <w:rsid w:val="00790B32"/>
    <w:rsid w:val="00790E6A"/>
    <w:rsid w:val="007933F4"/>
    <w:rsid w:val="007937FE"/>
    <w:rsid w:val="00794CDD"/>
    <w:rsid w:val="00795147"/>
    <w:rsid w:val="00795A64"/>
    <w:rsid w:val="00795BD1"/>
    <w:rsid w:val="00796B19"/>
    <w:rsid w:val="0079733E"/>
    <w:rsid w:val="00797FAB"/>
    <w:rsid w:val="007A000A"/>
    <w:rsid w:val="007A0077"/>
    <w:rsid w:val="007A0A93"/>
    <w:rsid w:val="007A0E3D"/>
    <w:rsid w:val="007A1578"/>
    <w:rsid w:val="007A1880"/>
    <w:rsid w:val="007A2CCD"/>
    <w:rsid w:val="007A2ECE"/>
    <w:rsid w:val="007A34B8"/>
    <w:rsid w:val="007A358C"/>
    <w:rsid w:val="007A3830"/>
    <w:rsid w:val="007A4056"/>
    <w:rsid w:val="007A51C4"/>
    <w:rsid w:val="007A5346"/>
    <w:rsid w:val="007A5BFE"/>
    <w:rsid w:val="007A5D64"/>
    <w:rsid w:val="007A69A2"/>
    <w:rsid w:val="007A6A79"/>
    <w:rsid w:val="007A6B05"/>
    <w:rsid w:val="007A7E49"/>
    <w:rsid w:val="007B0379"/>
    <w:rsid w:val="007B12CE"/>
    <w:rsid w:val="007B20E8"/>
    <w:rsid w:val="007B25DB"/>
    <w:rsid w:val="007B28CD"/>
    <w:rsid w:val="007B2A12"/>
    <w:rsid w:val="007B2B80"/>
    <w:rsid w:val="007B2BB6"/>
    <w:rsid w:val="007B2C06"/>
    <w:rsid w:val="007B2DBF"/>
    <w:rsid w:val="007B2EB4"/>
    <w:rsid w:val="007B3EE1"/>
    <w:rsid w:val="007B522A"/>
    <w:rsid w:val="007B6186"/>
    <w:rsid w:val="007B63BD"/>
    <w:rsid w:val="007C007F"/>
    <w:rsid w:val="007C0184"/>
    <w:rsid w:val="007C09AC"/>
    <w:rsid w:val="007C09B2"/>
    <w:rsid w:val="007C0CFD"/>
    <w:rsid w:val="007C1EBB"/>
    <w:rsid w:val="007C27C2"/>
    <w:rsid w:val="007C2903"/>
    <w:rsid w:val="007C33AE"/>
    <w:rsid w:val="007C4D7A"/>
    <w:rsid w:val="007C5038"/>
    <w:rsid w:val="007C7495"/>
    <w:rsid w:val="007D1BE3"/>
    <w:rsid w:val="007D1C2C"/>
    <w:rsid w:val="007D2CF8"/>
    <w:rsid w:val="007D2EF0"/>
    <w:rsid w:val="007D338A"/>
    <w:rsid w:val="007D3C67"/>
    <w:rsid w:val="007D4657"/>
    <w:rsid w:val="007D46BD"/>
    <w:rsid w:val="007D4B79"/>
    <w:rsid w:val="007D5519"/>
    <w:rsid w:val="007D6339"/>
    <w:rsid w:val="007D6425"/>
    <w:rsid w:val="007D6FF9"/>
    <w:rsid w:val="007E0453"/>
    <w:rsid w:val="007E05F3"/>
    <w:rsid w:val="007E0808"/>
    <w:rsid w:val="007E16BD"/>
    <w:rsid w:val="007E18D6"/>
    <w:rsid w:val="007E2871"/>
    <w:rsid w:val="007E55BF"/>
    <w:rsid w:val="007E56BF"/>
    <w:rsid w:val="007F0C8D"/>
    <w:rsid w:val="007F0EB8"/>
    <w:rsid w:val="007F1607"/>
    <w:rsid w:val="007F2B43"/>
    <w:rsid w:val="007F3138"/>
    <w:rsid w:val="007F3377"/>
    <w:rsid w:val="007F40E9"/>
    <w:rsid w:val="007F4220"/>
    <w:rsid w:val="007F45CC"/>
    <w:rsid w:val="007F47E9"/>
    <w:rsid w:val="007F4A8C"/>
    <w:rsid w:val="007F5EC9"/>
    <w:rsid w:val="007F7FB9"/>
    <w:rsid w:val="00802055"/>
    <w:rsid w:val="00802180"/>
    <w:rsid w:val="00802199"/>
    <w:rsid w:val="00803048"/>
    <w:rsid w:val="008032C4"/>
    <w:rsid w:val="008032D5"/>
    <w:rsid w:val="00804AF4"/>
    <w:rsid w:val="00805250"/>
    <w:rsid w:val="0080532B"/>
    <w:rsid w:val="00805344"/>
    <w:rsid w:val="0080594A"/>
    <w:rsid w:val="00805ACA"/>
    <w:rsid w:val="00806A9D"/>
    <w:rsid w:val="00806F27"/>
    <w:rsid w:val="00810156"/>
    <w:rsid w:val="008101FD"/>
    <w:rsid w:val="00810A3D"/>
    <w:rsid w:val="00810C34"/>
    <w:rsid w:val="008111E3"/>
    <w:rsid w:val="00811351"/>
    <w:rsid w:val="008123CE"/>
    <w:rsid w:val="008126D0"/>
    <w:rsid w:val="00812B48"/>
    <w:rsid w:val="00813793"/>
    <w:rsid w:val="00813F67"/>
    <w:rsid w:val="008140BA"/>
    <w:rsid w:val="008141B1"/>
    <w:rsid w:val="00814612"/>
    <w:rsid w:val="008148D2"/>
    <w:rsid w:val="00814C10"/>
    <w:rsid w:val="00815F80"/>
    <w:rsid w:val="00816523"/>
    <w:rsid w:val="0081658F"/>
    <w:rsid w:val="00816E75"/>
    <w:rsid w:val="00816E8B"/>
    <w:rsid w:val="00816FC6"/>
    <w:rsid w:val="008172D3"/>
    <w:rsid w:val="0081735A"/>
    <w:rsid w:val="0082077D"/>
    <w:rsid w:val="00820B05"/>
    <w:rsid w:val="00820B82"/>
    <w:rsid w:val="00821127"/>
    <w:rsid w:val="00822150"/>
    <w:rsid w:val="008245F2"/>
    <w:rsid w:val="00824BBB"/>
    <w:rsid w:val="008252FC"/>
    <w:rsid w:val="00825C75"/>
    <w:rsid w:val="00825D36"/>
    <w:rsid w:val="0082616C"/>
    <w:rsid w:val="008277F9"/>
    <w:rsid w:val="00827B57"/>
    <w:rsid w:val="00827D88"/>
    <w:rsid w:val="008308A6"/>
    <w:rsid w:val="00830923"/>
    <w:rsid w:val="00831859"/>
    <w:rsid w:val="00831FB7"/>
    <w:rsid w:val="00833538"/>
    <w:rsid w:val="0083429B"/>
    <w:rsid w:val="00834B71"/>
    <w:rsid w:val="00834C23"/>
    <w:rsid w:val="00834D64"/>
    <w:rsid w:val="0083579E"/>
    <w:rsid w:val="00836048"/>
    <w:rsid w:val="00836D1E"/>
    <w:rsid w:val="00836E63"/>
    <w:rsid w:val="008372E5"/>
    <w:rsid w:val="00840123"/>
    <w:rsid w:val="00840490"/>
    <w:rsid w:val="00840701"/>
    <w:rsid w:val="00841163"/>
    <w:rsid w:val="00841606"/>
    <w:rsid w:val="008420A9"/>
    <w:rsid w:val="00843BB0"/>
    <w:rsid w:val="00844244"/>
    <w:rsid w:val="0084526E"/>
    <w:rsid w:val="00846730"/>
    <w:rsid w:val="0084698B"/>
    <w:rsid w:val="00846B64"/>
    <w:rsid w:val="00846D55"/>
    <w:rsid w:val="00847C65"/>
    <w:rsid w:val="00847E39"/>
    <w:rsid w:val="00850F93"/>
    <w:rsid w:val="00851AA3"/>
    <w:rsid w:val="00851B66"/>
    <w:rsid w:val="00852FED"/>
    <w:rsid w:val="008531E5"/>
    <w:rsid w:val="0085358E"/>
    <w:rsid w:val="00853E9E"/>
    <w:rsid w:val="00854B51"/>
    <w:rsid w:val="00854CD1"/>
    <w:rsid w:val="0085543F"/>
    <w:rsid w:val="0085634B"/>
    <w:rsid w:val="00856FAF"/>
    <w:rsid w:val="00857BFA"/>
    <w:rsid w:val="008600C4"/>
    <w:rsid w:val="008606B7"/>
    <w:rsid w:val="0086074F"/>
    <w:rsid w:val="00860DDC"/>
    <w:rsid w:val="00861989"/>
    <w:rsid w:val="008628EE"/>
    <w:rsid w:val="00862C42"/>
    <w:rsid w:val="008639A8"/>
    <w:rsid w:val="00863FF5"/>
    <w:rsid w:val="0086445C"/>
    <w:rsid w:val="0086456F"/>
    <w:rsid w:val="00865634"/>
    <w:rsid w:val="00865C69"/>
    <w:rsid w:val="008661DA"/>
    <w:rsid w:val="00870326"/>
    <w:rsid w:val="008709B7"/>
    <w:rsid w:val="00870BFD"/>
    <w:rsid w:val="00871A70"/>
    <w:rsid w:val="0087327B"/>
    <w:rsid w:val="0087338A"/>
    <w:rsid w:val="00874C59"/>
    <w:rsid w:val="00875190"/>
    <w:rsid w:val="00877137"/>
    <w:rsid w:val="008772DD"/>
    <w:rsid w:val="0087731B"/>
    <w:rsid w:val="00880EDB"/>
    <w:rsid w:val="008828ED"/>
    <w:rsid w:val="00882F20"/>
    <w:rsid w:val="0088499C"/>
    <w:rsid w:val="00884CFA"/>
    <w:rsid w:val="008859D7"/>
    <w:rsid w:val="00885C40"/>
    <w:rsid w:val="00885CEE"/>
    <w:rsid w:val="00885DE1"/>
    <w:rsid w:val="00885F3C"/>
    <w:rsid w:val="00886CF4"/>
    <w:rsid w:val="008875EF"/>
    <w:rsid w:val="00890BC1"/>
    <w:rsid w:val="00890C10"/>
    <w:rsid w:val="00890D23"/>
    <w:rsid w:val="008911F8"/>
    <w:rsid w:val="0089231B"/>
    <w:rsid w:val="00893605"/>
    <w:rsid w:val="008939D9"/>
    <w:rsid w:val="00894E61"/>
    <w:rsid w:val="00895510"/>
    <w:rsid w:val="00896661"/>
    <w:rsid w:val="00896B52"/>
    <w:rsid w:val="008975D3"/>
    <w:rsid w:val="00897CCC"/>
    <w:rsid w:val="00897FEF"/>
    <w:rsid w:val="008A00CD"/>
    <w:rsid w:val="008A08D7"/>
    <w:rsid w:val="008A13AB"/>
    <w:rsid w:val="008A1EB3"/>
    <w:rsid w:val="008A255E"/>
    <w:rsid w:val="008A3CA4"/>
    <w:rsid w:val="008A3D06"/>
    <w:rsid w:val="008A4CB8"/>
    <w:rsid w:val="008A4DB8"/>
    <w:rsid w:val="008A5C64"/>
    <w:rsid w:val="008A5DCF"/>
    <w:rsid w:val="008A6443"/>
    <w:rsid w:val="008A6B24"/>
    <w:rsid w:val="008A6F1F"/>
    <w:rsid w:val="008A70BA"/>
    <w:rsid w:val="008A70FC"/>
    <w:rsid w:val="008B061C"/>
    <w:rsid w:val="008B1565"/>
    <w:rsid w:val="008B27E4"/>
    <w:rsid w:val="008B2BB8"/>
    <w:rsid w:val="008B3457"/>
    <w:rsid w:val="008B379D"/>
    <w:rsid w:val="008B5978"/>
    <w:rsid w:val="008B5D17"/>
    <w:rsid w:val="008B5DE9"/>
    <w:rsid w:val="008B5F44"/>
    <w:rsid w:val="008B60F5"/>
    <w:rsid w:val="008B6A83"/>
    <w:rsid w:val="008B74F5"/>
    <w:rsid w:val="008C02B8"/>
    <w:rsid w:val="008C05F7"/>
    <w:rsid w:val="008C0649"/>
    <w:rsid w:val="008C0742"/>
    <w:rsid w:val="008C18FB"/>
    <w:rsid w:val="008C1A1B"/>
    <w:rsid w:val="008C255E"/>
    <w:rsid w:val="008C28A6"/>
    <w:rsid w:val="008C363D"/>
    <w:rsid w:val="008C3911"/>
    <w:rsid w:val="008C3E9A"/>
    <w:rsid w:val="008C4333"/>
    <w:rsid w:val="008C60B8"/>
    <w:rsid w:val="008C667C"/>
    <w:rsid w:val="008C6C07"/>
    <w:rsid w:val="008C745B"/>
    <w:rsid w:val="008C77CD"/>
    <w:rsid w:val="008D1C6D"/>
    <w:rsid w:val="008D284C"/>
    <w:rsid w:val="008D3BDD"/>
    <w:rsid w:val="008D4B77"/>
    <w:rsid w:val="008D6DA3"/>
    <w:rsid w:val="008D779A"/>
    <w:rsid w:val="008D79DE"/>
    <w:rsid w:val="008D79F9"/>
    <w:rsid w:val="008E0011"/>
    <w:rsid w:val="008E0502"/>
    <w:rsid w:val="008E05E7"/>
    <w:rsid w:val="008E0640"/>
    <w:rsid w:val="008E1509"/>
    <w:rsid w:val="008E1713"/>
    <w:rsid w:val="008E43DF"/>
    <w:rsid w:val="008E4458"/>
    <w:rsid w:val="008E47B7"/>
    <w:rsid w:val="008E4D7A"/>
    <w:rsid w:val="008E4EDE"/>
    <w:rsid w:val="008E5353"/>
    <w:rsid w:val="008E6302"/>
    <w:rsid w:val="008E6335"/>
    <w:rsid w:val="008E639B"/>
    <w:rsid w:val="008E7C62"/>
    <w:rsid w:val="008E7C96"/>
    <w:rsid w:val="008F18D4"/>
    <w:rsid w:val="008F2007"/>
    <w:rsid w:val="008F235F"/>
    <w:rsid w:val="008F2B94"/>
    <w:rsid w:val="008F2FDE"/>
    <w:rsid w:val="008F32FE"/>
    <w:rsid w:val="008F3B55"/>
    <w:rsid w:val="008F4339"/>
    <w:rsid w:val="008F44AD"/>
    <w:rsid w:val="008F4B49"/>
    <w:rsid w:val="008F52C2"/>
    <w:rsid w:val="008F639E"/>
    <w:rsid w:val="008F65F2"/>
    <w:rsid w:val="008F67D5"/>
    <w:rsid w:val="008F7064"/>
    <w:rsid w:val="009006B2"/>
    <w:rsid w:val="0090210A"/>
    <w:rsid w:val="0090236B"/>
    <w:rsid w:val="009032DF"/>
    <w:rsid w:val="00903C71"/>
    <w:rsid w:val="00903FE8"/>
    <w:rsid w:val="009046B5"/>
    <w:rsid w:val="0090473D"/>
    <w:rsid w:val="009047A6"/>
    <w:rsid w:val="00904F60"/>
    <w:rsid w:val="00906696"/>
    <w:rsid w:val="00906890"/>
    <w:rsid w:val="009071E9"/>
    <w:rsid w:val="0091082F"/>
    <w:rsid w:val="009111FA"/>
    <w:rsid w:val="009114F3"/>
    <w:rsid w:val="009118CC"/>
    <w:rsid w:val="009122E6"/>
    <w:rsid w:val="00912D7E"/>
    <w:rsid w:val="00913678"/>
    <w:rsid w:val="00913827"/>
    <w:rsid w:val="009146E5"/>
    <w:rsid w:val="00915393"/>
    <w:rsid w:val="0091579C"/>
    <w:rsid w:val="009162F8"/>
    <w:rsid w:val="00916B24"/>
    <w:rsid w:val="009170CC"/>
    <w:rsid w:val="00921834"/>
    <w:rsid w:val="00921AA9"/>
    <w:rsid w:val="009225B6"/>
    <w:rsid w:val="00924B00"/>
    <w:rsid w:val="00924FCA"/>
    <w:rsid w:val="009251B0"/>
    <w:rsid w:val="00926272"/>
    <w:rsid w:val="009304F6"/>
    <w:rsid w:val="009305B0"/>
    <w:rsid w:val="00930799"/>
    <w:rsid w:val="0093126A"/>
    <w:rsid w:val="00932316"/>
    <w:rsid w:val="009331E0"/>
    <w:rsid w:val="00933ABF"/>
    <w:rsid w:val="00933B8E"/>
    <w:rsid w:val="00933BE6"/>
    <w:rsid w:val="00933D29"/>
    <w:rsid w:val="00933FD6"/>
    <w:rsid w:val="009357A5"/>
    <w:rsid w:val="00936546"/>
    <w:rsid w:val="0093657F"/>
    <w:rsid w:val="0093669B"/>
    <w:rsid w:val="00936EF1"/>
    <w:rsid w:val="00936F3D"/>
    <w:rsid w:val="00940376"/>
    <w:rsid w:val="00940BCA"/>
    <w:rsid w:val="009415A4"/>
    <w:rsid w:val="00941C36"/>
    <w:rsid w:val="00941C7E"/>
    <w:rsid w:val="00941D89"/>
    <w:rsid w:val="009423FA"/>
    <w:rsid w:val="00942AB8"/>
    <w:rsid w:val="00942E1C"/>
    <w:rsid w:val="00942F77"/>
    <w:rsid w:val="00942F9E"/>
    <w:rsid w:val="00943365"/>
    <w:rsid w:val="00944476"/>
    <w:rsid w:val="00945F7A"/>
    <w:rsid w:val="0094643E"/>
    <w:rsid w:val="00946CF8"/>
    <w:rsid w:val="00947880"/>
    <w:rsid w:val="0094796C"/>
    <w:rsid w:val="00947D0D"/>
    <w:rsid w:val="00951972"/>
    <w:rsid w:val="00951C0B"/>
    <w:rsid w:val="00953148"/>
    <w:rsid w:val="00953DA3"/>
    <w:rsid w:val="00954D1A"/>
    <w:rsid w:val="009560D4"/>
    <w:rsid w:val="0095668A"/>
    <w:rsid w:val="00957076"/>
    <w:rsid w:val="00957119"/>
    <w:rsid w:val="009574F8"/>
    <w:rsid w:val="00960524"/>
    <w:rsid w:val="00960933"/>
    <w:rsid w:val="00961093"/>
    <w:rsid w:val="00961A7D"/>
    <w:rsid w:val="009620C4"/>
    <w:rsid w:val="00965574"/>
    <w:rsid w:val="00965F6D"/>
    <w:rsid w:val="00966411"/>
    <w:rsid w:val="009665B8"/>
    <w:rsid w:val="00967FEA"/>
    <w:rsid w:val="00970260"/>
    <w:rsid w:val="00970AE9"/>
    <w:rsid w:val="00973719"/>
    <w:rsid w:val="00973745"/>
    <w:rsid w:val="00973D8B"/>
    <w:rsid w:val="00975BEF"/>
    <w:rsid w:val="00976DEF"/>
    <w:rsid w:val="009770C7"/>
    <w:rsid w:val="0098083E"/>
    <w:rsid w:val="009813DC"/>
    <w:rsid w:val="009814AA"/>
    <w:rsid w:val="00981648"/>
    <w:rsid w:val="00981CA2"/>
    <w:rsid w:val="00982987"/>
    <w:rsid w:val="00982D76"/>
    <w:rsid w:val="009854C4"/>
    <w:rsid w:val="009860DE"/>
    <w:rsid w:val="009860E2"/>
    <w:rsid w:val="00986560"/>
    <w:rsid w:val="0098696B"/>
    <w:rsid w:val="00986E19"/>
    <w:rsid w:val="00987D1A"/>
    <w:rsid w:val="00987D22"/>
    <w:rsid w:val="009901C6"/>
    <w:rsid w:val="00990BB4"/>
    <w:rsid w:val="009910FA"/>
    <w:rsid w:val="00991194"/>
    <w:rsid w:val="00991250"/>
    <w:rsid w:val="0099149F"/>
    <w:rsid w:val="00991680"/>
    <w:rsid w:val="009929DA"/>
    <w:rsid w:val="009945E1"/>
    <w:rsid w:val="009947F7"/>
    <w:rsid w:val="00994BCF"/>
    <w:rsid w:val="009955B3"/>
    <w:rsid w:val="009965C9"/>
    <w:rsid w:val="009966F3"/>
    <w:rsid w:val="009A0D28"/>
    <w:rsid w:val="009A0ED5"/>
    <w:rsid w:val="009A1E34"/>
    <w:rsid w:val="009A233C"/>
    <w:rsid w:val="009A2475"/>
    <w:rsid w:val="009A2AED"/>
    <w:rsid w:val="009A2C40"/>
    <w:rsid w:val="009A3567"/>
    <w:rsid w:val="009A3DC7"/>
    <w:rsid w:val="009A4289"/>
    <w:rsid w:val="009A4641"/>
    <w:rsid w:val="009A50EF"/>
    <w:rsid w:val="009A616D"/>
    <w:rsid w:val="009A7893"/>
    <w:rsid w:val="009A7DA2"/>
    <w:rsid w:val="009B10F1"/>
    <w:rsid w:val="009B1A83"/>
    <w:rsid w:val="009B241E"/>
    <w:rsid w:val="009B3947"/>
    <w:rsid w:val="009B4FA3"/>
    <w:rsid w:val="009B65A9"/>
    <w:rsid w:val="009B72CF"/>
    <w:rsid w:val="009B741C"/>
    <w:rsid w:val="009B76E3"/>
    <w:rsid w:val="009B7940"/>
    <w:rsid w:val="009B7A2E"/>
    <w:rsid w:val="009B7D78"/>
    <w:rsid w:val="009C04FE"/>
    <w:rsid w:val="009C0760"/>
    <w:rsid w:val="009C11B7"/>
    <w:rsid w:val="009C16BB"/>
    <w:rsid w:val="009C1735"/>
    <w:rsid w:val="009C1B50"/>
    <w:rsid w:val="009C3CDB"/>
    <w:rsid w:val="009C469D"/>
    <w:rsid w:val="009C4703"/>
    <w:rsid w:val="009C4A36"/>
    <w:rsid w:val="009C50EF"/>
    <w:rsid w:val="009C5305"/>
    <w:rsid w:val="009C6A2A"/>
    <w:rsid w:val="009C6CE7"/>
    <w:rsid w:val="009C7029"/>
    <w:rsid w:val="009C7931"/>
    <w:rsid w:val="009C7D86"/>
    <w:rsid w:val="009C7F4A"/>
    <w:rsid w:val="009D06B5"/>
    <w:rsid w:val="009D0D08"/>
    <w:rsid w:val="009D1A32"/>
    <w:rsid w:val="009D1CDD"/>
    <w:rsid w:val="009D345D"/>
    <w:rsid w:val="009D47CC"/>
    <w:rsid w:val="009D593D"/>
    <w:rsid w:val="009D618C"/>
    <w:rsid w:val="009D7589"/>
    <w:rsid w:val="009E07FA"/>
    <w:rsid w:val="009E18A6"/>
    <w:rsid w:val="009E1D7D"/>
    <w:rsid w:val="009E266A"/>
    <w:rsid w:val="009E28E4"/>
    <w:rsid w:val="009E40B5"/>
    <w:rsid w:val="009E436F"/>
    <w:rsid w:val="009E4B9C"/>
    <w:rsid w:val="009E4DD4"/>
    <w:rsid w:val="009E52FE"/>
    <w:rsid w:val="009E566B"/>
    <w:rsid w:val="009E5768"/>
    <w:rsid w:val="009E6516"/>
    <w:rsid w:val="009E7591"/>
    <w:rsid w:val="009E78C4"/>
    <w:rsid w:val="009F0374"/>
    <w:rsid w:val="009F0C24"/>
    <w:rsid w:val="009F1218"/>
    <w:rsid w:val="009F18C4"/>
    <w:rsid w:val="009F1EEC"/>
    <w:rsid w:val="009F28D5"/>
    <w:rsid w:val="009F2D76"/>
    <w:rsid w:val="009F317C"/>
    <w:rsid w:val="009F3E0A"/>
    <w:rsid w:val="009F3E23"/>
    <w:rsid w:val="009F4363"/>
    <w:rsid w:val="009F47AB"/>
    <w:rsid w:val="009F4FAF"/>
    <w:rsid w:val="009F58E6"/>
    <w:rsid w:val="009F6752"/>
    <w:rsid w:val="00A0039F"/>
    <w:rsid w:val="00A00BCF"/>
    <w:rsid w:val="00A00CB2"/>
    <w:rsid w:val="00A016B0"/>
    <w:rsid w:val="00A02482"/>
    <w:rsid w:val="00A02B3B"/>
    <w:rsid w:val="00A02CA1"/>
    <w:rsid w:val="00A06902"/>
    <w:rsid w:val="00A06B02"/>
    <w:rsid w:val="00A06DBE"/>
    <w:rsid w:val="00A07F81"/>
    <w:rsid w:val="00A100AC"/>
    <w:rsid w:val="00A108B6"/>
    <w:rsid w:val="00A10C4E"/>
    <w:rsid w:val="00A11FEB"/>
    <w:rsid w:val="00A120AA"/>
    <w:rsid w:val="00A12E35"/>
    <w:rsid w:val="00A13056"/>
    <w:rsid w:val="00A13ADE"/>
    <w:rsid w:val="00A14228"/>
    <w:rsid w:val="00A14ABC"/>
    <w:rsid w:val="00A15056"/>
    <w:rsid w:val="00A152AC"/>
    <w:rsid w:val="00A15FC3"/>
    <w:rsid w:val="00A162CA"/>
    <w:rsid w:val="00A17A17"/>
    <w:rsid w:val="00A2035B"/>
    <w:rsid w:val="00A21174"/>
    <w:rsid w:val="00A21729"/>
    <w:rsid w:val="00A21E58"/>
    <w:rsid w:val="00A221A6"/>
    <w:rsid w:val="00A23786"/>
    <w:rsid w:val="00A23FDF"/>
    <w:rsid w:val="00A25F01"/>
    <w:rsid w:val="00A25FDC"/>
    <w:rsid w:val="00A27724"/>
    <w:rsid w:val="00A3019E"/>
    <w:rsid w:val="00A3078C"/>
    <w:rsid w:val="00A308B4"/>
    <w:rsid w:val="00A31412"/>
    <w:rsid w:val="00A3221F"/>
    <w:rsid w:val="00A32996"/>
    <w:rsid w:val="00A32DF9"/>
    <w:rsid w:val="00A32E9D"/>
    <w:rsid w:val="00A33DF8"/>
    <w:rsid w:val="00A34B0C"/>
    <w:rsid w:val="00A350FA"/>
    <w:rsid w:val="00A35B16"/>
    <w:rsid w:val="00A36927"/>
    <w:rsid w:val="00A3696F"/>
    <w:rsid w:val="00A36B0D"/>
    <w:rsid w:val="00A36D27"/>
    <w:rsid w:val="00A37249"/>
    <w:rsid w:val="00A373E6"/>
    <w:rsid w:val="00A40862"/>
    <w:rsid w:val="00A41C27"/>
    <w:rsid w:val="00A422F3"/>
    <w:rsid w:val="00A43ECA"/>
    <w:rsid w:val="00A44A13"/>
    <w:rsid w:val="00A45977"/>
    <w:rsid w:val="00A47DFD"/>
    <w:rsid w:val="00A47E1A"/>
    <w:rsid w:val="00A500CE"/>
    <w:rsid w:val="00A51835"/>
    <w:rsid w:val="00A518F8"/>
    <w:rsid w:val="00A52488"/>
    <w:rsid w:val="00A527C4"/>
    <w:rsid w:val="00A53A95"/>
    <w:rsid w:val="00A53EA0"/>
    <w:rsid w:val="00A5545E"/>
    <w:rsid w:val="00A5610B"/>
    <w:rsid w:val="00A56B7D"/>
    <w:rsid w:val="00A56DAF"/>
    <w:rsid w:val="00A60159"/>
    <w:rsid w:val="00A60A73"/>
    <w:rsid w:val="00A615D7"/>
    <w:rsid w:val="00A62386"/>
    <w:rsid w:val="00A629BD"/>
    <w:rsid w:val="00A62E7F"/>
    <w:rsid w:val="00A63E87"/>
    <w:rsid w:val="00A65313"/>
    <w:rsid w:val="00A658D3"/>
    <w:rsid w:val="00A66206"/>
    <w:rsid w:val="00A66351"/>
    <w:rsid w:val="00A67D28"/>
    <w:rsid w:val="00A71226"/>
    <w:rsid w:val="00A7165D"/>
    <w:rsid w:val="00A719A7"/>
    <w:rsid w:val="00A7222B"/>
    <w:rsid w:val="00A724CC"/>
    <w:rsid w:val="00A72773"/>
    <w:rsid w:val="00A728EC"/>
    <w:rsid w:val="00A72D5A"/>
    <w:rsid w:val="00A7393B"/>
    <w:rsid w:val="00A74CF3"/>
    <w:rsid w:val="00A74D62"/>
    <w:rsid w:val="00A75F52"/>
    <w:rsid w:val="00A76049"/>
    <w:rsid w:val="00A77227"/>
    <w:rsid w:val="00A77722"/>
    <w:rsid w:val="00A807BA"/>
    <w:rsid w:val="00A815FC"/>
    <w:rsid w:val="00A8186F"/>
    <w:rsid w:val="00A81B13"/>
    <w:rsid w:val="00A82F2C"/>
    <w:rsid w:val="00A84417"/>
    <w:rsid w:val="00A84A72"/>
    <w:rsid w:val="00A85361"/>
    <w:rsid w:val="00A85E4D"/>
    <w:rsid w:val="00A85FCA"/>
    <w:rsid w:val="00A867FA"/>
    <w:rsid w:val="00A86CFE"/>
    <w:rsid w:val="00A86E6F"/>
    <w:rsid w:val="00A86F78"/>
    <w:rsid w:val="00A9081C"/>
    <w:rsid w:val="00A90CC7"/>
    <w:rsid w:val="00A917B3"/>
    <w:rsid w:val="00A91959"/>
    <w:rsid w:val="00A92731"/>
    <w:rsid w:val="00A9460D"/>
    <w:rsid w:val="00A95997"/>
    <w:rsid w:val="00A977A9"/>
    <w:rsid w:val="00A97863"/>
    <w:rsid w:val="00A97CE5"/>
    <w:rsid w:val="00AA020C"/>
    <w:rsid w:val="00AA0895"/>
    <w:rsid w:val="00AA0D39"/>
    <w:rsid w:val="00AA12F6"/>
    <w:rsid w:val="00AA1C3C"/>
    <w:rsid w:val="00AA1D59"/>
    <w:rsid w:val="00AA3232"/>
    <w:rsid w:val="00AA39ED"/>
    <w:rsid w:val="00AA3D0E"/>
    <w:rsid w:val="00AA67E7"/>
    <w:rsid w:val="00AA7047"/>
    <w:rsid w:val="00AA7596"/>
    <w:rsid w:val="00AB05F9"/>
    <w:rsid w:val="00AB0BAF"/>
    <w:rsid w:val="00AB1B1D"/>
    <w:rsid w:val="00AB2098"/>
    <w:rsid w:val="00AB2262"/>
    <w:rsid w:val="00AB2CA1"/>
    <w:rsid w:val="00AB2ED0"/>
    <w:rsid w:val="00AB3186"/>
    <w:rsid w:val="00AB3521"/>
    <w:rsid w:val="00AB3E0F"/>
    <w:rsid w:val="00AB4B51"/>
    <w:rsid w:val="00AB4EB2"/>
    <w:rsid w:val="00AB506D"/>
    <w:rsid w:val="00AB5920"/>
    <w:rsid w:val="00AB6200"/>
    <w:rsid w:val="00AB77D5"/>
    <w:rsid w:val="00AB78E0"/>
    <w:rsid w:val="00AB7DB4"/>
    <w:rsid w:val="00AC0635"/>
    <w:rsid w:val="00AC0700"/>
    <w:rsid w:val="00AC0A18"/>
    <w:rsid w:val="00AC21BE"/>
    <w:rsid w:val="00AC27B9"/>
    <w:rsid w:val="00AC2B82"/>
    <w:rsid w:val="00AC2F2F"/>
    <w:rsid w:val="00AC33FA"/>
    <w:rsid w:val="00AC3984"/>
    <w:rsid w:val="00AC45B2"/>
    <w:rsid w:val="00AC4695"/>
    <w:rsid w:val="00AC4967"/>
    <w:rsid w:val="00AC4C9F"/>
    <w:rsid w:val="00AC5B35"/>
    <w:rsid w:val="00AC5D23"/>
    <w:rsid w:val="00AC625C"/>
    <w:rsid w:val="00AC63D3"/>
    <w:rsid w:val="00AC6429"/>
    <w:rsid w:val="00AC7703"/>
    <w:rsid w:val="00AD0F8C"/>
    <w:rsid w:val="00AD10D2"/>
    <w:rsid w:val="00AD153C"/>
    <w:rsid w:val="00AD218C"/>
    <w:rsid w:val="00AD3B23"/>
    <w:rsid w:val="00AD3E32"/>
    <w:rsid w:val="00AD4165"/>
    <w:rsid w:val="00AD42F5"/>
    <w:rsid w:val="00AD73AE"/>
    <w:rsid w:val="00AD7ACE"/>
    <w:rsid w:val="00AD7D64"/>
    <w:rsid w:val="00AE07AE"/>
    <w:rsid w:val="00AE08AE"/>
    <w:rsid w:val="00AE1A57"/>
    <w:rsid w:val="00AE2323"/>
    <w:rsid w:val="00AE28AF"/>
    <w:rsid w:val="00AE303E"/>
    <w:rsid w:val="00AE4A8C"/>
    <w:rsid w:val="00AE5902"/>
    <w:rsid w:val="00AE5C22"/>
    <w:rsid w:val="00AE6F66"/>
    <w:rsid w:val="00AE713F"/>
    <w:rsid w:val="00AE7702"/>
    <w:rsid w:val="00AF12B0"/>
    <w:rsid w:val="00AF1536"/>
    <w:rsid w:val="00AF260B"/>
    <w:rsid w:val="00AF2990"/>
    <w:rsid w:val="00AF2F66"/>
    <w:rsid w:val="00AF36BA"/>
    <w:rsid w:val="00AF467C"/>
    <w:rsid w:val="00AF6238"/>
    <w:rsid w:val="00AF6C2E"/>
    <w:rsid w:val="00AF7B10"/>
    <w:rsid w:val="00B005A2"/>
    <w:rsid w:val="00B0061E"/>
    <w:rsid w:val="00B0230E"/>
    <w:rsid w:val="00B02629"/>
    <w:rsid w:val="00B032C5"/>
    <w:rsid w:val="00B04728"/>
    <w:rsid w:val="00B04B91"/>
    <w:rsid w:val="00B05DEF"/>
    <w:rsid w:val="00B06056"/>
    <w:rsid w:val="00B06FC8"/>
    <w:rsid w:val="00B07061"/>
    <w:rsid w:val="00B07A3A"/>
    <w:rsid w:val="00B103D7"/>
    <w:rsid w:val="00B10CC7"/>
    <w:rsid w:val="00B13CFD"/>
    <w:rsid w:val="00B143A2"/>
    <w:rsid w:val="00B15E04"/>
    <w:rsid w:val="00B16E8E"/>
    <w:rsid w:val="00B173AF"/>
    <w:rsid w:val="00B17C06"/>
    <w:rsid w:val="00B213EC"/>
    <w:rsid w:val="00B21A4E"/>
    <w:rsid w:val="00B221CB"/>
    <w:rsid w:val="00B224F6"/>
    <w:rsid w:val="00B229FA"/>
    <w:rsid w:val="00B23245"/>
    <w:rsid w:val="00B23712"/>
    <w:rsid w:val="00B2374F"/>
    <w:rsid w:val="00B23DF4"/>
    <w:rsid w:val="00B23EE3"/>
    <w:rsid w:val="00B246E4"/>
    <w:rsid w:val="00B26151"/>
    <w:rsid w:val="00B26B2E"/>
    <w:rsid w:val="00B27AC5"/>
    <w:rsid w:val="00B27C52"/>
    <w:rsid w:val="00B307CD"/>
    <w:rsid w:val="00B30C13"/>
    <w:rsid w:val="00B316E3"/>
    <w:rsid w:val="00B3274F"/>
    <w:rsid w:val="00B32BED"/>
    <w:rsid w:val="00B334B5"/>
    <w:rsid w:val="00B338D2"/>
    <w:rsid w:val="00B33F0A"/>
    <w:rsid w:val="00B35BE1"/>
    <w:rsid w:val="00B373D1"/>
    <w:rsid w:val="00B37CA0"/>
    <w:rsid w:val="00B419DF"/>
    <w:rsid w:val="00B41B92"/>
    <w:rsid w:val="00B42AA2"/>
    <w:rsid w:val="00B4453F"/>
    <w:rsid w:val="00B44AC8"/>
    <w:rsid w:val="00B4503D"/>
    <w:rsid w:val="00B46127"/>
    <w:rsid w:val="00B47211"/>
    <w:rsid w:val="00B47E61"/>
    <w:rsid w:val="00B47F31"/>
    <w:rsid w:val="00B50663"/>
    <w:rsid w:val="00B50B13"/>
    <w:rsid w:val="00B51488"/>
    <w:rsid w:val="00B51A2B"/>
    <w:rsid w:val="00B52054"/>
    <w:rsid w:val="00B526D6"/>
    <w:rsid w:val="00B528D4"/>
    <w:rsid w:val="00B53D43"/>
    <w:rsid w:val="00B547D4"/>
    <w:rsid w:val="00B55AF4"/>
    <w:rsid w:val="00B5649F"/>
    <w:rsid w:val="00B56A78"/>
    <w:rsid w:val="00B56DAB"/>
    <w:rsid w:val="00B604FB"/>
    <w:rsid w:val="00B6094C"/>
    <w:rsid w:val="00B609CB"/>
    <w:rsid w:val="00B616FB"/>
    <w:rsid w:val="00B62458"/>
    <w:rsid w:val="00B629E4"/>
    <w:rsid w:val="00B633C7"/>
    <w:rsid w:val="00B6350A"/>
    <w:rsid w:val="00B6385C"/>
    <w:rsid w:val="00B63969"/>
    <w:rsid w:val="00B640EE"/>
    <w:rsid w:val="00B6456C"/>
    <w:rsid w:val="00B659F9"/>
    <w:rsid w:val="00B6632B"/>
    <w:rsid w:val="00B665C9"/>
    <w:rsid w:val="00B67185"/>
    <w:rsid w:val="00B67DB6"/>
    <w:rsid w:val="00B70396"/>
    <w:rsid w:val="00B705AE"/>
    <w:rsid w:val="00B70CC5"/>
    <w:rsid w:val="00B70D2F"/>
    <w:rsid w:val="00B71D28"/>
    <w:rsid w:val="00B726D9"/>
    <w:rsid w:val="00B732E2"/>
    <w:rsid w:val="00B73556"/>
    <w:rsid w:val="00B73B1A"/>
    <w:rsid w:val="00B73BEE"/>
    <w:rsid w:val="00B7518B"/>
    <w:rsid w:val="00B7590B"/>
    <w:rsid w:val="00B7606F"/>
    <w:rsid w:val="00B77AD1"/>
    <w:rsid w:val="00B80FB0"/>
    <w:rsid w:val="00B832F9"/>
    <w:rsid w:val="00B833E7"/>
    <w:rsid w:val="00B8364B"/>
    <w:rsid w:val="00B8378F"/>
    <w:rsid w:val="00B83FE2"/>
    <w:rsid w:val="00B849B7"/>
    <w:rsid w:val="00B852F8"/>
    <w:rsid w:val="00B85A12"/>
    <w:rsid w:val="00B85C13"/>
    <w:rsid w:val="00B866DC"/>
    <w:rsid w:val="00B86855"/>
    <w:rsid w:val="00B8694C"/>
    <w:rsid w:val="00B874EA"/>
    <w:rsid w:val="00B8797C"/>
    <w:rsid w:val="00B906BE"/>
    <w:rsid w:val="00B907F0"/>
    <w:rsid w:val="00B917CD"/>
    <w:rsid w:val="00B91C19"/>
    <w:rsid w:val="00B93A49"/>
    <w:rsid w:val="00B943AA"/>
    <w:rsid w:val="00B954A3"/>
    <w:rsid w:val="00B95555"/>
    <w:rsid w:val="00B957A0"/>
    <w:rsid w:val="00B96D71"/>
    <w:rsid w:val="00BA038E"/>
    <w:rsid w:val="00BA0C43"/>
    <w:rsid w:val="00BA1A4C"/>
    <w:rsid w:val="00BA1AF4"/>
    <w:rsid w:val="00BA20CD"/>
    <w:rsid w:val="00BA288B"/>
    <w:rsid w:val="00BA2C39"/>
    <w:rsid w:val="00BA2F40"/>
    <w:rsid w:val="00BA480F"/>
    <w:rsid w:val="00BA678E"/>
    <w:rsid w:val="00BA6E7D"/>
    <w:rsid w:val="00BA6E8E"/>
    <w:rsid w:val="00BA7253"/>
    <w:rsid w:val="00BA7C2F"/>
    <w:rsid w:val="00BB0238"/>
    <w:rsid w:val="00BB033B"/>
    <w:rsid w:val="00BB13C5"/>
    <w:rsid w:val="00BB1E44"/>
    <w:rsid w:val="00BB22F8"/>
    <w:rsid w:val="00BB2BE9"/>
    <w:rsid w:val="00BB2E1E"/>
    <w:rsid w:val="00BB488B"/>
    <w:rsid w:val="00BB49E8"/>
    <w:rsid w:val="00BB4E3E"/>
    <w:rsid w:val="00BB57CC"/>
    <w:rsid w:val="00BB5B98"/>
    <w:rsid w:val="00BB66B9"/>
    <w:rsid w:val="00BB6704"/>
    <w:rsid w:val="00BB7011"/>
    <w:rsid w:val="00BB7233"/>
    <w:rsid w:val="00BB7BDC"/>
    <w:rsid w:val="00BB7D62"/>
    <w:rsid w:val="00BC161C"/>
    <w:rsid w:val="00BC1947"/>
    <w:rsid w:val="00BC19C1"/>
    <w:rsid w:val="00BC2651"/>
    <w:rsid w:val="00BC290A"/>
    <w:rsid w:val="00BC2BCE"/>
    <w:rsid w:val="00BC313F"/>
    <w:rsid w:val="00BC3E13"/>
    <w:rsid w:val="00BC3FC2"/>
    <w:rsid w:val="00BC5482"/>
    <w:rsid w:val="00BC659D"/>
    <w:rsid w:val="00BC67FD"/>
    <w:rsid w:val="00BC71C6"/>
    <w:rsid w:val="00BC731F"/>
    <w:rsid w:val="00BC7ADA"/>
    <w:rsid w:val="00BD00DE"/>
    <w:rsid w:val="00BD0CC2"/>
    <w:rsid w:val="00BD12B2"/>
    <w:rsid w:val="00BD17BB"/>
    <w:rsid w:val="00BD2F30"/>
    <w:rsid w:val="00BD33EE"/>
    <w:rsid w:val="00BD4DCE"/>
    <w:rsid w:val="00BD4E30"/>
    <w:rsid w:val="00BD50A6"/>
    <w:rsid w:val="00BD58B9"/>
    <w:rsid w:val="00BD7561"/>
    <w:rsid w:val="00BD7C31"/>
    <w:rsid w:val="00BD7D4C"/>
    <w:rsid w:val="00BE0CDC"/>
    <w:rsid w:val="00BE0FE0"/>
    <w:rsid w:val="00BE157C"/>
    <w:rsid w:val="00BE15F6"/>
    <w:rsid w:val="00BE17CE"/>
    <w:rsid w:val="00BE222F"/>
    <w:rsid w:val="00BE36DF"/>
    <w:rsid w:val="00BE37CB"/>
    <w:rsid w:val="00BE39E2"/>
    <w:rsid w:val="00BE42B8"/>
    <w:rsid w:val="00BE44D0"/>
    <w:rsid w:val="00BE5C51"/>
    <w:rsid w:val="00BE734D"/>
    <w:rsid w:val="00BE7DE1"/>
    <w:rsid w:val="00BF1A24"/>
    <w:rsid w:val="00BF2804"/>
    <w:rsid w:val="00BF29DF"/>
    <w:rsid w:val="00BF2F08"/>
    <w:rsid w:val="00BF338F"/>
    <w:rsid w:val="00BF371D"/>
    <w:rsid w:val="00BF3A2D"/>
    <w:rsid w:val="00BF487D"/>
    <w:rsid w:val="00BF4F20"/>
    <w:rsid w:val="00BF5531"/>
    <w:rsid w:val="00BF6D98"/>
    <w:rsid w:val="00BF6F49"/>
    <w:rsid w:val="00BF7137"/>
    <w:rsid w:val="00C002D5"/>
    <w:rsid w:val="00C01A2B"/>
    <w:rsid w:val="00C0291A"/>
    <w:rsid w:val="00C035C7"/>
    <w:rsid w:val="00C03FF8"/>
    <w:rsid w:val="00C04172"/>
    <w:rsid w:val="00C04AF0"/>
    <w:rsid w:val="00C051E8"/>
    <w:rsid w:val="00C054D1"/>
    <w:rsid w:val="00C060E8"/>
    <w:rsid w:val="00C0682B"/>
    <w:rsid w:val="00C074A0"/>
    <w:rsid w:val="00C07EE3"/>
    <w:rsid w:val="00C07F2B"/>
    <w:rsid w:val="00C114B8"/>
    <w:rsid w:val="00C115C8"/>
    <w:rsid w:val="00C1164C"/>
    <w:rsid w:val="00C116D6"/>
    <w:rsid w:val="00C12CC3"/>
    <w:rsid w:val="00C140F0"/>
    <w:rsid w:val="00C14721"/>
    <w:rsid w:val="00C14D92"/>
    <w:rsid w:val="00C14E7F"/>
    <w:rsid w:val="00C16B51"/>
    <w:rsid w:val="00C17669"/>
    <w:rsid w:val="00C17B24"/>
    <w:rsid w:val="00C17B48"/>
    <w:rsid w:val="00C17EA7"/>
    <w:rsid w:val="00C20412"/>
    <w:rsid w:val="00C2137F"/>
    <w:rsid w:val="00C226DC"/>
    <w:rsid w:val="00C232D5"/>
    <w:rsid w:val="00C240A8"/>
    <w:rsid w:val="00C24B08"/>
    <w:rsid w:val="00C25996"/>
    <w:rsid w:val="00C263A6"/>
    <w:rsid w:val="00C30679"/>
    <w:rsid w:val="00C31425"/>
    <w:rsid w:val="00C31572"/>
    <w:rsid w:val="00C315BF"/>
    <w:rsid w:val="00C31ADB"/>
    <w:rsid w:val="00C31FFA"/>
    <w:rsid w:val="00C3232E"/>
    <w:rsid w:val="00C32585"/>
    <w:rsid w:val="00C33C2F"/>
    <w:rsid w:val="00C35B1C"/>
    <w:rsid w:val="00C366AD"/>
    <w:rsid w:val="00C36E62"/>
    <w:rsid w:val="00C40FFE"/>
    <w:rsid w:val="00C41F08"/>
    <w:rsid w:val="00C42F46"/>
    <w:rsid w:val="00C43C51"/>
    <w:rsid w:val="00C464EE"/>
    <w:rsid w:val="00C46A72"/>
    <w:rsid w:val="00C473BA"/>
    <w:rsid w:val="00C47C0F"/>
    <w:rsid w:val="00C5034C"/>
    <w:rsid w:val="00C50417"/>
    <w:rsid w:val="00C50601"/>
    <w:rsid w:val="00C52905"/>
    <w:rsid w:val="00C53431"/>
    <w:rsid w:val="00C55186"/>
    <w:rsid w:val="00C55BE9"/>
    <w:rsid w:val="00C5689B"/>
    <w:rsid w:val="00C56F59"/>
    <w:rsid w:val="00C5790C"/>
    <w:rsid w:val="00C57C7C"/>
    <w:rsid w:val="00C57EB6"/>
    <w:rsid w:val="00C60F0C"/>
    <w:rsid w:val="00C6214C"/>
    <w:rsid w:val="00C649FA"/>
    <w:rsid w:val="00C65DF3"/>
    <w:rsid w:val="00C66689"/>
    <w:rsid w:val="00C666F3"/>
    <w:rsid w:val="00C67BDE"/>
    <w:rsid w:val="00C67BFC"/>
    <w:rsid w:val="00C700E7"/>
    <w:rsid w:val="00C704CA"/>
    <w:rsid w:val="00C70B96"/>
    <w:rsid w:val="00C70FA9"/>
    <w:rsid w:val="00C71911"/>
    <w:rsid w:val="00C71DDD"/>
    <w:rsid w:val="00C71E3C"/>
    <w:rsid w:val="00C71EE8"/>
    <w:rsid w:val="00C72CC6"/>
    <w:rsid w:val="00C730CC"/>
    <w:rsid w:val="00C73B13"/>
    <w:rsid w:val="00C73F7B"/>
    <w:rsid w:val="00C76C6E"/>
    <w:rsid w:val="00C76E7E"/>
    <w:rsid w:val="00C77739"/>
    <w:rsid w:val="00C805C9"/>
    <w:rsid w:val="00C80F1C"/>
    <w:rsid w:val="00C825BA"/>
    <w:rsid w:val="00C83390"/>
    <w:rsid w:val="00C83835"/>
    <w:rsid w:val="00C83971"/>
    <w:rsid w:val="00C849EF"/>
    <w:rsid w:val="00C84A65"/>
    <w:rsid w:val="00C8532E"/>
    <w:rsid w:val="00C869F5"/>
    <w:rsid w:val="00C86EDE"/>
    <w:rsid w:val="00C86F09"/>
    <w:rsid w:val="00C86F1A"/>
    <w:rsid w:val="00C90D68"/>
    <w:rsid w:val="00C91E1E"/>
    <w:rsid w:val="00C920AD"/>
    <w:rsid w:val="00C9280A"/>
    <w:rsid w:val="00C9377C"/>
    <w:rsid w:val="00C941B7"/>
    <w:rsid w:val="00C94EB4"/>
    <w:rsid w:val="00C94F0C"/>
    <w:rsid w:val="00C95CEC"/>
    <w:rsid w:val="00C97617"/>
    <w:rsid w:val="00C976AA"/>
    <w:rsid w:val="00C97A16"/>
    <w:rsid w:val="00CA1679"/>
    <w:rsid w:val="00CA18BA"/>
    <w:rsid w:val="00CA2A69"/>
    <w:rsid w:val="00CA2DE2"/>
    <w:rsid w:val="00CA4612"/>
    <w:rsid w:val="00CA4EFD"/>
    <w:rsid w:val="00CA5110"/>
    <w:rsid w:val="00CA53D6"/>
    <w:rsid w:val="00CA5CF9"/>
    <w:rsid w:val="00CA6CFE"/>
    <w:rsid w:val="00CA71C4"/>
    <w:rsid w:val="00CB0A66"/>
    <w:rsid w:val="00CB12DA"/>
    <w:rsid w:val="00CB138E"/>
    <w:rsid w:val="00CB1C61"/>
    <w:rsid w:val="00CB22E1"/>
    <w:rsid w:val="00CB29FB"/>
    <w:rsid w:val="00CB2C80"/>
    <w:rsid w:val="00CB345D"/>
    <w:rsid w:val="00CB374C"/>
    <w:rsid w:val="00CB46D7"/>
    <w:rsid w:val="00CB6CC0"/>
    <w:rsid w:val="00CB718D"/>
    <w:rsid w:val="00CB78E4"/>
    <w:rsid w:val="00CB7F2F"/>
    <w:rsid w:val="00CC0A43"/>
    <w:rsid w:val="00CC15FC"/>
    <w:rsid w:val="00CC207E"/>
    <w:rsid w:val="00CC3074"/>
    <w:rsid w:val="00CC4397"/>
    <w:rsid w:val="00CC5518"/>
    <w:rsid w:val="00CC57CA"/>
    <w:rsid w:val="00CC7159"/>
    <w:rsid w:val="00CD0145"/>
    <w:rsid w:val="00CD12D7"/>
    <w:rsid w:val="00CD1841"/>
    <w:rsid w:val="00CD186B"/>
    <w:rsid w:val="00CD37A4"/>
    <w:rsid w:val="00CD38C7"/>
    <w:rsid w:val="00CD49D8"/>
    <w:rsid w:val="00CD51BE"/>
    <w:rsid w:val="00CD52A4"/>
    <w:rsid w:val="00CD55D6"/>
    <w:rsid w:val="00CD64EF"/>
    <w:rsid w:val="00CD6618"/>
    <w:rsid w:val="00CD7B9C"/>
    <w:rsid w:val="00CE076B"/>
    <w:rsid w:val="00CE10AF"/>
    <w:rsid w:val="00CE112D"/>
    <w:rsid w:val="00CE2990"/>
    <w:rsid w:val="00CE2BF6"/>
    <w:rsid w:val="00CE34F5"/>
    <w:rsid w:val="00CE4969"/>
    <w:rsid w:val="00CE4CDA"/>
    <w:rsid w:val="00CE6F8A"/>
    <w:rsid w:val="00CE70A3"/>
    <w:rsid w:val="00CE7527"/>
    <w:rsid w:val="00CE760C"/>
    <w:rsid w:val="00CE7B97"/>
    <w:rsid w:val="00CF07C0"/>
    <w:rsid w:val="00CF115B"/>
    <w:rsid w:val="00CF1634"/>
    <w:rsid w:val="00CF29D6"/>
    <w:rsid w:val="00CF321F"/>
    <w:rsid w:val="00CF361F"/>
    <w:rsid w:val="00CF367A"/>
    <w:rsid w:val="00CF36B2"/>
    <w:rsid w:val="00CF3841"/>
    <w:rsid w:val="00CF38E3"/>
    <w:rsid w:val="00CF4148"/>
    <w:rsid w:val="00CF4CE4"/>
    <w:rsid w:val="00CF5350"/>
    <w:rsid w:val="00CF617E"/>
    <w:rsid w:val="00CF6199"/>
    <w:rsid w:val="00CF6456"/>
    <w:rsid w:val="00CF6688"/>
    <w:rsid w:val="00CF6915"/>
    <w:rsid w:val="00CF696C"/>
    <w:rsid w:val="00CF7400"/>
    <w:rsid w:val="00D0088A"/>
    <w:rsid w:val="00D0212C"/>
    <w:rsid w:val="00D0244C"/>
    <w:rsid w:val="00D028C8"/>
    <w:rsid w:val="00D02DE5"/>
    <w:rsid w:val="00D02EF5"/>
    <w:rsid w:val="00D03A71"/>
    <w:rsid w:val="00D03ADD"/>
    <w:rsid w:val="00D042F3"/>
    <w:rsid w:val="00D0481E"/>
    <w:rsid w:val="00D0615D"/>
    <w:rsid w:val="00D06AE1"/>
    <w:rsid w:val="00D06C07"/>
    <w:rsid w:val="00D07171"/>
    <w:rsid w:val="00D078D4"/>
    <w:rsid w:val="00D10820"/>
    <w:rsid w:val="00D10E0F"/>
    <w:rsid w:val="00D11C2A"/>
    <w:rsid w:val="00D12A50"/>
    <w:rsid w:val="00D12C5F"/>
    <w:rsid w:val="00D1496D"/>
    <w:rsid w:val="00D15038"/>
    <w:rsid w:val="00D15506"/>
    <w:rsid w:val="00D15A23"/>
    <w:rsid w:val="00D15F44"/>
    <w:rsid w:val="00D16517"/>
    <w:rsid w:val="00D17A4E"/>
    <w:rsid w:val="00D207B2"/>
    <w:rsid w:val="00D21281"/>
    <w:rsid w:val="00D21DAB"/>
    <w:rsid w:val="00D227D6"/>
    <w:rsid w:val="00D2485D"/>
    <w:rsid w:val="00D248DA"/>
    <w:rsid w:val="00D24FDF"/>
    <w:rsid w:val="00D250C7"/>
    <w:rsid w:val="00D25285"/>
    <w:rsid w:val="00D2698F"/>
    <w:rsid w:val="00D3048E"/>
    <w:rsid w:val="00D31099"/>
    <w:rsid w:val="00D3150D"/>
    <w:rsid w:val="00D31639"/>
    <w:rsid w:val="00D31714"/>
    <w:rsid w:val="00D32401"/>
    <w:rsid w:val="00D328A2"/>
    <w:rsid w:val="00D341FD"/>
    <w:rsid w:val="00D349A1"/>
    <w:rsid w:val="00D34C5F"/>
    <w:rsid w:val="00D35F4A"/>
    <w:rsid w:val="00D36671"/>
    <w:rsid w:val="00D3686F"/>
    <w:rsid w:val="00D36A2C"/>
    <w:rsid w:val="00D36D8B"/>
    <w:rsid w:val="00D3704E"/>
    <w:rsid w:val="00D3776C"/>
    <w:rsid w:val="00D379D7"/>
    <w:rsid w:val="00D404B7"/>
    <w:rsid w:val="00D40C56"/>
    <w:rsid w:val="00D41149"/>
    <w:rsid w:val="00D41914"/>
    <w:rsid w:val="00D41B0C"/>
    <w:rsid w:val="00D42A03"/>
    <w:rsid w:val="00D4309D"/>
    <w:rsid w:val="00D43257"/>
    <w:rsid w:val="00D4373D"/>
    <w:rsid w:val="00D43781"/>
    <w:rsid w:val="00D447AD"/>
    <w:rsid w:val="00D46B7C"/>
    <w:rsid w:val="00D46C8E"/>
    <w:rsid w:val="00D47E76"/>
    <w:rsid w:val="00D509E2"/>
    <w:rsid w:val="00D514FC"/>
    <w:rsid w:val="00D5244F"/>
    <w:rsid w:val="00D52742"/>
    <w:rsid w:val="00D52745"/>
    <w:rsid w:val="00D55A34"/>
    <w:rsid w:val="00D560F8"/>
    <w:rsid w:val="00D607AD"/>
    <w:rsid w:val="00D60E23"/>
    <w:rsid w:val="00D62341"/>
    <w:rsid w:val="00D632DC"/>
    <w:rsid w:val="00D63D48"/>
    <w:rsid w:val="00D647D5"/>
    <w:rsid w:val="00D64C66"/>
    <w:rsid w:val="00D65B4E"/>
    <w:rsid w:val="00D6681B"/>
    <w:rsid w:val="00D66AD0"/>
    <w:rsid w:val="00D67FE6"/>
    <w:rsid w:val="00D721AD"/>
    <w:rsid w:val="00D72598"/>
    <w:rsid w:val="00D730B2"/>
    <w:rsid w:val="00D738F9"/>
    <w:rsid w:val="00D73972"/>
    <w:rsid w:val="00D73D83"/>
    <w:rsid w:val="00D74628"/>
    <w:rsid w:val="00D75215"/>
    <w:rsid w:val="00D75CAD"/>
    <w:rsid w:val="00D762B8"/>
    <w:rsid w:val="00D77CB0"/>
    <w:rsid w:val="00D80429"/>
    <w:rsid w:val="00D80521"/>
    <w:rsid w:val="00D80D86"/>
    <w:rsid w:val="00D81625"/>
    <w:rsid w:val="00D8221D"/>
    <w:rsid w:val="00D82709"/>
    <w:rsid w:val="00D82E8C"/>
    <w:rsid w:val="00D838E1"/>
    <w:rsid w:val="00D83D5E"/>
    <w:rsid w:val="00D841D3"/>
    <w:rsid w:val="00D85134"/>
    <w:rsid w:val="00D853A3"/>
    <w:rsid w:val="00D85EF1"/>
    <w:rsid w:val="00D86931"/>
    <w:rsid w:val="00D86DE1"/>
    <w:rsid w:val="00D87D19"/>
    <w:rsid w:val="00D87F55"/>
    <w:rsid w:val="00D87FE9"/>
    <w:rsid w:val="00D90138"/>
    <w:rsid w:val="00D90145"/>
    <w:rsid w:val="00D90F23"/>
    <w:rsid w:val="00D91979"/>
    <w:rsid w:val="00D939D8"/>
    <w:rsid w:val="00D94548"/>
    <w:rsid w:val="00D97076"/>
    <w:rsid w:val="00D971E2"/>
    <w:rsid w:val="00D9734C"/>
    <w:rsid w:val="00D975EF"/>
    <w:rsid w:val="00D976E4"/>
    <w:rsid w:val="00D97D40"/>
    <w:rsid w:val="00DA10BA"/>
    <w:rsid w:val="00DA1D06"/>
    <w:rsid w:val="00DA20E4"/>
    <w:rsid w:val="00DA2AED"/>
    <w:rsid w:val="00DA2B15"/>
    <w:rsid w:val="00DA2FD6"/>
    <w:rsid w:val="00DA36A9"/>
    <w:rsid w:val="00DA3737"/>
    <w:rsid w:val="00DA491F"/>
    <w:rsid w:val="00DA539B"/>
    <w:rsid w:val="00DA5C61"/>
    <w:rsid w:val="00DA6B90"/>
    <w:rsid w:val="00DA79FC"/>
    <w:rsid w:val="00DA7E10"/>
    <w:rsid w:val="00DB0191"/>
    <w:rsid w:val="00DB03EF"/>
    <w:rsid w:val="00DB0495"/>
    <w:rsid w:val="00DB1B85"/>
    <w:rsid w:val="00DB1C49"/>
    <w:rsid w:val="00DB2A1A"/>
    <w:rsid w:val="00DB388B"/>
    <w:rsid w:val="00DB51D6"/>
    <w:rsid w:val="00DB53E7"/>
    <w:rsid w:val="00DB555B"/>
    <w:rsid w:val="00DB5ADE"/>
    <w:rsid w:val="00DB74E8"/>
    <w:rsid w:val="00DB77FA"/>
    <w:rsid w:val="00DB7CD7"/>
    <w:rsid w:val="00DC0372"/>
    <w:rsid w:val="00DC0A7C"/>
    <w:rsid w:val="00DC15FC"/>
    <w:rsid w:val="00DC19A4"/>
    <w:rsid w:val="00DC2AE2"/>
    <w:rsid w:val="00DC3687"/>
    <w:rsid w:val="00DC383B"/>
    <w:rsid w:val="00DC4D8F"/>
    <w:rsid w:val="00DC5616"/>
    <w:rsid w:val="00DC5B03"/>
    <w:rsid w:val="00DC68C4"/>
    <w:rsid w:val="00DC6920"/>
    <w:rsid w:val="00DC6FEF"/>
    <w:rsid w:val="00DC7DF7"/>
    <w:rsid w:val="00DC7FA9"/>
    <w:rsid w:val="00DD05F7"/>
    <w:rsid w:val="00DD071E"/>
    <w:rsid w:val="00DD0EE0"/>
    <w:rsid w:val="00DD1E20"/>
    <w:rsid w:val="00DD2A42"/>
    <w:rsid w:val="00DD2BB2"/>
    <w:rsid w:val="00DD37EC"/>
    <w:rsid w:val="00DD3E49"/>
    <w:rsid w:val="00DD42A3"/>
    <w:rsid w:val="00DD44B3"/>
    <w:rsid w:val="00DD5010"/>
    <w:rsid w:val="00DD5BA6"/>
    <w:rsid w:val="00DD5C19"/>
    <w:rsid w:val="00DD6087"/>
    <w:rsid w:val="00DD6D6E"/>
    <w:rsid w:val="00DE1366"/>
    <w:rsid w:val="00DE1F20"/>
    <w:rsid w:val="00DE20D1"/>
    <w:rsid w:val="00DE229F"/>
    <w:rsid w:val="00DE2ADE"/>
    <w:rsid w:val="00DE32F0"/>
    <w:rsid w:val="00DE3DB5"/>
    <w:rsid w:val="00DE56EB"/>
    <w:rsid w:val="00DE5C38"/>
    <w:rsid w:val="00DE66FA"/>
    <w:rsid w:val="00DE6935"/>
    <w:rsid w:val="00DE70DE"/>
    <w:rsid w:val="00DE744E"/>
    <w:rsid w:val="00DE78BF"/>
    <w:rsid w:val="00DE7AC0"/>
    <w:rsid w:val="00DF08F1"/>
    <w:rsid w:val="00DF2EB4"/>
    <w:rsid w:val="00DF47E6"/>
    <w:rsid w:val="00DF52F6"/>
    <w:rsid w:val="00DF5CC0"/>
    <w:rsid w:val="00DF5E81"/>
    <w:rsid w:val="00DF7973"/>
    <w:rsid w:val="00DF7A24"/>
    <w:rsid w:val="00DF7F64"/>
    <w:rsid w:val="00E000BE"/>
    <w:rsid w:val="00E00561"/>
    <w:rsid w:val="00E00871"/>
    <w:rsid w:val="00E00D21"/>
    <w:rsid w:val="00E011F7"/>
    <w:rsid w:val="00E015E7"/>
    <w:rsid w:val="00E023D3"/>
    <w:rsid w:val="00E03FC1"/>
    <w:rsid w:val="00E04065"/>
    <w:rsid w:val="00E0464E"/>
    <w:rsid w:val="00E047B4"/>
    <w:rsid w:val="00E051A1"/>
    <w:rsid w:val="00E060B8"/>
    <w:rsid w:val="00E0614B"/>
    <w:rsid w:val="00E0616F"/>
    <w:rsid w:val="00E068A3"/>
    <w:rsid w:val="00E076D4"/>
    <w:rsid w:val="00E07E73"/>
    <w:rsid w:val="00E10653"/>
    <w:rsid w:val="00E10762"/>
    <w:rsid w:val="00E11382"/>
    <w:rsid w:val="00E114DD"/>
    <w:rsid w:val="00E11E5B"/>
    <w:rsid w:val="00E12456"/>
    <w:rsid w:val="00E126FE"/>
    <w:rsid w:val="00E130CB"/>
    <w:rsid w:val="00E131B3"/>
    <w:rsid w:val="00E1445A"/>
    <w:rsid w:val="00E146E0"/>
    <w:rsid w:val="00E1595A"/>
    <w:rsid w:val="00E163CC"/>
    <w:rsid w:val="00E2051E"/>
    <w:rsid w:val="00E210B7"/>
    <w:rsid w:val="00E2123A"/>
    <w:rsid w:val="00E214E9"/>
    <w:rsid w:val="00E21775"/>
    <w:rsid w:val="00E22CF7"/>
    <w:rsid w:val="00E231DB"/>
    <w:rsid w:val="00E236DF"/>
    <w:rsid w:val="00E240CD"/>
    <w:rsid w:val="00E2497C"/>
    <w:rsid w:val="00E24AC8"/>
    <w:rsid w:val="00E253ED"/>
    <w:rsid w:val="00E25CB1"/>
    <w:rsid w:val="00E26718"/>
    <w:rsid w:val="00E268D9"/>
    <w:rsid w:val="00E26DF3"/>
    <w:rsid w:val="00E270E3"/>
    <w:rsid w:val="00E31187"/>
    <w:rsid w:val="00E31B6E"/>
    <w:rsid w:val="00E326AF"/>
    <w:rsid w:val="00E32866"/>
    <w:rsid w:val="00E32F82"/>
    <w:rsid w:val="00E33251"/>
    <w:rsid w:val="00E33D4F"/>
    <w:rsid w:val="00E33E72"/>
    <w:rsid w:val="00E360EB"/>
    <w:rsid w:val="00E36558"/>
    <w:rsid w:val="00E365A0"/>
    <w:rsid w:val="00E376EF"/>
    <w:rsid w:val="00E41185"/>
    <w:rsid w:val="00E411BC"/>
    <w:rsid w:val="00E42683"/>
    <w:rsid w:val="00E42BD1"/>
    <w:rsid w:val="00E435A9"/>
    <w:rsid w:val="00E438C7"/>
    <w:rsid w:val="00E4475E"/>
    <w:rsid w:val="00E44BA5"/>
    <w:rsid w:val="00E44C19"/>
    <w:rsid w:val="00E455DE"/>
    <w:rsid w:val="00E457CF"/>
    <w:rsid w:val="00E457F0"/>
    <w:rsid w:val="00E45AB1"/>
    <w:rsid w:val="00E45B4B"/>
    <w:rsid w:val="00E45FAE"/>
    <w:rsid w:val="00E464FD"/>
    <w:rsid w:val="00E46B11"/>
    <w:rsid w:val="00E47D6A"/>
    <w:rsid w:val="00E51B6C"/>
    <w:rsid w:val="00E52997"/>
    <w:rsid w:val="00E5313A"/>
    <w:rsid w:val="00E5333C"/>
    <w:rsid w:val="00E533B2"/>
    <w:rsid w:val="00E53945"/>
    <w:rsid w:val="00E539C0"/>
    <w:rsid w:val="00E53CC8"/>
    <w:rsid w:val="00E53DC8"/>
    <w:rsid w:val="00E53EFF"/>
    <w:rsid w:val="00E55399"/>
    <w:rsid w:val="00E556D5"/>
    <w:rsid w:val="00E56AEB"/>
    <w:rsid w:val="00E607C0"/>
    <w:rsid w:val="00E60D69"/>
    <w:rsid w:val="00E613D9"/>
    <w:rsid w:val="00E63452"/>
    <w:rsid w:val="00E635E2"/>
    <w:rsid w:val="00E645AB"/>
    <w:rsid w:val="00E64E95"/>
    <w:rsid w:val="00E65FC8"/>
    <w:rsid w:val="00E6636D"/>
    <w:rsid w:val="00E66A25"/>
    <w:rsid w:val="00E66EA7"/>
    <w:rsid w:val="00E66FEC"/>
    <w:rsid w:val="00E6774B"/>
    <w:rsid w:val="00E67C7C"/>
    <w:rsid w:val="00E67F12"/>
    <w:rsid w:val="00E67FC0"/>
    <w:rsid w:val="00E70E9B"/>
    <w:rsid w:val="00E7159E"/>
    <w:rsid w:val="00E721EE"/>
    <w:rsid w:val="00E731C6"/>
    <w:rsid w:val="00E733B8"/>
    <w:rsid w:val="00E73F76"/>
    <w:rsid w:val="00E74BF6"/>
    <w:rsid w:val="00E7500C"/>
    <w:rsid w:val="00E751DE"/>
    <w:rsid w:val="00E75448"/>
    <w:rsid w:val="00E7574C"/>
    <w:rsid w:val="00E7582C"/>
    <w:rsid w:val="00E814F5"/>
    <w:rsid w:val="00E81611"/>
    <w:rsid w:val="00E81977"/>
    <w:rsid w:val="00E81AB7"/>
    <w:rsid w:val="00E841D2"/>
    <w:rsid w:val="00E845B3"/>
    <w:rsid w:val="00E845B5"/>
    <w:rsid w:val="00E85FDB"/>
    <w:rsid w:val="00E86204"/>
    <w:rsid w:val="00E87EDB"/>
    <w:rsid w:val="00E91A51"/>
    <w:rsid w:val="00E92EA4"/>
    <w:rsid w:val="00E932EE"/>
    <w:rsid w:val="00E93861"/>
    <w:rsid w:val="00E93B43"/>
    <w:rsid w:val="00E941A8"/>
    <w:rsid w:val="00E949EC"/>
    <w:rsid w:val="00E94A5D"/>
    <w:rsid w:val="00E95319"/>
    <w:rsid w:val="00E95742"/>
    <w:rsid w:val="00E97CDC"/>
    <w:rsid w:val="00E97E7E"/>
    <w:rsid w:val="00EA08EC"/>
    <w:rsid w:val="00EA0C98"/>
    <w:rsid w:val="00EA1600"/>
    <w:rsid w:val="00EA1784"/>
    <w:rsid w:val="00EA1B88"/>
    <w:rsid w:val="00EA262D"/>
    <w:rsid w:val="00EA2BD0"/>
    <w:rsid w:val="00EA353A"/>
    <w:rsid w:val="00EA3DD0"/>
    <w:rsid w:val="00EA4F00"/>
    <w:rsid w:val="00EA6750"/>
    <w:rsid w:val="00EA79AB"/>
    <w:rsid w:val="00EB0DB4"/>
    <w:rsid w:val="00EB0E2F"/>
    <w:rsid w:val="00EB10B4"/>
    <w:rsid w:val="00EB12C7"/>
    <w:rsid w:val="00EB146F"/>
    <w:rsid w:val="00EB307F"/>
    <w:rsid w:val="00EB4217"/>
    <w:rsid w:val="00EB4231"/>
    <w:rsid w:val="00EB46D2"/>
    <w:rsid w:val="00EB499C"/>
    <w:rsid w:val="00EB4CC2"/>
    <w:rsid w:val="00EC004D"/>
    <w:rsid w:val="00EC0BF0"/>
    <w:rsid w:val="00EC1971"/>
    <w:rsid w:val="00EC1B4F"/>
    <w:rsid w:val="00EC4241"/>
    <w:rsid w:val="00EC4258"/>
    <w:rsid w:val="00EC4322"/>
    <w:rsid w:val="00EC4E15"/>
    <w:rsid w:val="00EC51C3"/>
    <w:rsid w:val="00EC5BFE"/>
    <w:rsid w:val="00EC5C6D"/>
    <w:rsid w:val="00EC6006"/>
    <w:rsid w:val="00EC61B3"/>
    <w:rsid w:val="00EC6F30"/>
    <w:rsid w:val="00EC75C0"/>
    <w:rsid w:val="00EC7B21"/>
    <w:rsid w:val="00ED0469"/>
    <w:rsid w:val="00ED0ECF"/>
    <w:rsid w:val="00ED139A"/>
    <w:rsid w:val="00ED2697"/>
    <w:rsid w:val="00ED2837"/>
    <w:rsid w:val="00ED29A6"/>
    <w:rsid w:val="00ED3303"/>
    <w:rsid w:val="00ED40B3"/>
    <w:rsid w:val="00ED471E"/>
    <w:rsid w:val="00ED4AE9"/>
    <w:rsid w:val="00ED5F65"/>
    <w:rsid w:val="00ED6729"/>
    <w:rsid w:val="00ED7912"/>
    <w:rsid w:val="00EE140E"/>
    <w:rsid w:val="00EE2C67"/>
    <w:rsid w:val="00EE3103"/>
    <w:rsid w:val="00EE3A0D"/>
    <w:rsid w:val="00EE460F"/>
    <w:rsid w:val="00EE5540"/>
    <w:rsid w:val="00EE57D4"/>
    <w:rsid w:val="00EE59CF"/>
    <w:rsid w:val="00EE5C71"/>
    <w:rsid w:val="00EE5D86"/>
    <w:rsid w:val="00EE6527"/>
    <w:rsid w:val="00EE6C58"/>
    <w:rsid w:val="00EE7F77"/>
    <w:rsid w:val="00EF0420"/>
    <w:rsid w:val="00EF1360"/>
    <w:rsid w:val="00EF137F"/>
    <w:rsid w:val="00EF16B3"/>
    <w:rsid w:val="00EF25FC"/>
    <w:rsid w:val="00EF3220"/>
    <w:rsid w:val="00EF382D"/>
    <w:rsid w:val="00EF61CB"/>
    <w:rsid w:val="00EF6372"/>
    <w:rsid w:val="00EF6E74"/>
    <w:rsid w:val="00F00A28"/>
    <w:rsid w:val="00F0122C"/>
    <w:rsid w:val="00F013C6"/>
    <w:rsid w:val="00F0166C"/>
    <w:rsid w:val="00F0171A"/>
    <w:rsid w:val="00F02651"/>
    <w:rsid w:val="00F026FF"/>
    <w:rsid w:val="00F02C33"/>
    <w:rsid w:val="00F03764"/>
    <w:rsid w:val="00F04FD2"/>
    <w:rsid w:val="00F0549A"/>
    <w:rsid w:val="00F065B2"/>
    <w:rsid w:val="00F0744B"/>
    <w:rsid w:val="00F07803"/>
    <w:rsid w:val="00F11EAE"/>
    <w:rsid w:val="00F11F59"/>
    <w:rsid w:val="00F12505"/>
    <w:rsid w:val="00F12981"/>
    <w:rsid w:val="00F12C61"/>
    <w:rsid w:val="00F12CD7"/>
    <w:rsid w:val="00F13987"/>
    <w:rsid w:val="00F15077"/>
    <w:rsid w:val="00F15078"/>
    <w:rsid w:val="00F15310"/>
    <w:rsid w:val="00F1612C"/>
    <w:rsid w:val="00F16A48"/>
    <w:rsid w:val="00F1709E"/>
    <w:rsid w:val="00F172F0"/>
    <w:rsid w:val="00F17719"/>
    <w:rsid w:val="00F202EA"/>
    <w:rsid w:val="00F20571"/>
    <w:rsid w:val="00F20AE9"/>
    <w:rsid w:val="00F215D2"/>
    <w:rsid w:val="00F22486"/>
    <w:rsid w:val="00F22CAE"/>
    <w:rsid w:val="00F22CD4"/>
    <w:rsid w:val="00F231E7"/>
    <w:rsid w:val="00F23CF5"/>
    <w:rsid w:val="00F23EAB"/>
    <w:rsid w:val="00F24F76"/>
    <w:rsid w:val="00F25FC1"/>
    <w:rsid w:val="00F2636D"/>
    <w:rsid w:val="00F30C85"/>
    <w:rsid w:val="00F310D9"/>
    <w:rsid w:val="00F31228"/>
    <w:rsid w:val="00F33053"/>
    <w:rsid w:val="00F33585"/>
    <w:rsid w:val="00F33CCA"/>
    <w:rsid w:val="00F34BC6"/>
    <w:rsid w:val="00F35920"/>
    <w:rsid w:val="00F359A5"/>
    <w:rsid w:val="00F35B54"/>
    <w:rsid w:val="00F35C7E"/>
    <w:rsid w:val="00F36744"/>
    <w:rsid w:val="00F36C25"/>
    <w:rsid w:val="00F37B94"/>
    <w:rsid w:val="00F40169"/>
    <w:rsid w:val="00F4054E"/>
    <w:rsid w:val="00F42E8F"/>
    <w:rsid w:val="00F432C9"/>
    <w:rsid w:val="00F43AC1"/>
    <w:rsid w:val="00F44CB3"/>
    <w:rsid w:val="00F45A56"/>
    <w:rsid w:val="00F4608F"/>
    <w:rsid w:val="00F46DED"/>
    <w:rsid w:val="00F47005"/>
    <w:rsid w:val="00F47D16"/>
    <w:rsid w:val="00F47DBF"/>
    <w:rsid w:val="00F47E55"/>
    <w:rsid w:val="00F50ABA"/>
    <w:rsid w:val="00F50FF0"/>
    <w:rsid w:val="00F52C1E"/>
    <w:rsid w:val="00F53307"/>
    <w:rsid w:val="00F5365F"/>
    <w:rsid w:val="00F53E17"/>
    <w:rsid w:val="00F54457"/>
    <w:rsid w:val="00F54B1F"/>
    <w:rsid w:val="00F55CC3"/>
    <w:rsid w:val="00F5632F"/>
    <w:rsid w:val="00F56D36"/>
    <w:rsid w:val="00F57447"/>
    <w:rsid w:val="00F57479"/>
    <w:rsid w:val="00F574E3"/>
    <w:rsid w:val="00F5762D"/>
    <w:rsid w:val="00F6032F"/>
    <w:rsid w:val="00F60CDB"/>
    <w:rsid w:val="00F60ED0"/>
    <w:rsid w:val="00F610C4"/>
    <w:rsid w:val="00F646B3"/>
    <w:rsid w:val="00F647D4"/>
    <w:rsid w:val="00F657A9"/>
    <w:rsid w:val="00F67BC2"/>
    <w:rsid w:val="00F67CCA"/>
    <w:rsid w:val="00F704E9"/>
    <w:rsid w:val="00F70839"/>
    <w:rsid w:val="00F70A81"/>
    <w:rsid w:val="00F71049"/>
    <w:rsid w:val="00F71130"/>
    <w:rsid w:val="00F71D4B"/>
    <w:rsid w:val="00F720B3"/>
    <w:rsid w:val="00F72165"/>
    <w:rsid w:val="00F72292"/>
    <w:rsid w:val="00F72E3F"/>
    <w:rsid w:val="00F73139"/>
    <w:rsid w:val="00F74643"/>
    <w:rsid w:val="00F7523E"/>
    <w:rsid w:val="00F76561"/>
    <w:rsid w:val="00F766D3"/>
    <w:rsid w:val="00F76BBF"/>
    <w:rsid w:val="00F77340"/>
    <w:rsid w:val="00F77682"/>
    <w:rsid w:val="00F80782"/>
    <w:rsid w:val="00F80EED"/>
    <w:rsid w:val="00F80F5F"/>
    <w:rsid w:val="00F81830"/>
    <w:rsid w:val="00F81FC0"/>
    <w:rsid w:val="00F821FD"/>
    <w:rsid w:val="00F82951"/>
    <w:rsid w:val="00F8381B"/>
    <w:rsid w:val="00F83C11"/>
    <w:rsid w:val="00F84A24"/>
    <w:rsid w:val="00F85353"/>
    <w:rsid w:val="00F85ABC"/>
    <w:rsid w:val="00F85F3E"/>
    <w:rsid w:val="00F86C11"/>
    <w:rsid w:val="00F87EB5"/>
    <w:rsid w:val="00F90120"/>
    <w:rsid w:val="00F90DD9"/>
    <w:rsid w:val="00F9255A"/>
    <w:rsid w:val="00F92B50"/>
    <w:rsid w:val="00F93E76"/>
    <w:rsid w:val="00F93EA7"/>
    <w:rsid w:val="00F943DE"/>
    <w:rsid w:val="00F95B40"/>
    <w:rsid w:val="00F96E1E"/>
    <w:rsid w:val="00F973B5"/>
    <w:rsid w:val="00F97701"/>
    <w:rsid w:val="00F97DB2"/>
    <w:rsid w:val="00FA200D"/>
    <w:rsid w:val="00FA2389"/>
    <w:rsid w:val="00FA2675"/>
    <w:rsid w:val="00FA2C30"/>
    <w:rsid w:val="00FA30BE"/>
    <w:rsid w:val="00FA35E9"/>
    <w:rsid w:val="00FA3D8C"/>
    <w:rsid w:val="00FA5090"/>
    <w:rsid w:val="00FA5D66"/>
    <w:rsid w:val="00FA7531"/>
    <w:rsid w:val="00FA75B4"/>
    <w:rsid w:val="00FB0A30"/>
    <w:rsid w:val="00FB1F2E"/>
    <w:rsid w:val="00FB29BF"/>
    <w:rsid w:val="00FB2CCF"/>
    <w:rsid w:val="00FB366B"/>
    <w:rsid w:val="00FB39D3"/>
    <w:rsid w:val="00FB3AC9"/>
    <w:rsid w:val="00FB3C66"/>
    <w:rsid w:val="00FB3E2A"/>
    <w:rsid w:val="00FB420F"/>
    <w:rsid w:val="00FB490A"/>
    <w:rsid w:val="00FB5B83"/>
    <w:rsid w:val="00FB6CD8"/>
    <w:rsid w:val="00FB7046"/>
    <w:rsid w:val="00FB7316"/>
    <w:rsid w:val="00FC04BE"/>
    <w:rsid w:val="00FC10B1"/>
    <w:rsid w:val="00FC11DF"/>
    <w:rsid w:val="00FC1797"/>
    <w:rsid w:val="00FC17BF"/>
    <w:rsid w:val="00FC217C"/>
    <w:rsid w:val="00FC23D9"/>
    <w:rsid w:val="00FC3F3A"/>
    <w:rsid w:val="00FC4377"/>
    <w:rsid w:val="00FC713A"/>
    <w:rsid w:val="00FC7214"/>
    <w:rsid w:val="00FD0311"/>
    <w:rsid w:val="00FD0608"/>
    <w:rsid w:val="00FD0759"/>
    <w:rsid w:val="00FD10C0"/>
    <w:rsid w:val="00FD1B61"/>
    <w:rsid w:val="00FD21C2"/>
    <w:rsid w:val="00FD25E7"/>
    <w:rsid w:val="00FD2B34"/>
    <w:rsid w:val="00FD2EF7"/>
    <w:rsid w:val="00FD33E7"/>
    <w:rsid w:val="00FD387A"/>
    <w:rsid w:val="00FD3974"/>
    <w:rsid w:val="00FD3B30"/>
    <w:rsid w:val="00FD3DCB"/>
    <w:rsid w:val="00FD4001"/>
    <w:rsid w:val="00FD4BE5"/>
    <w:rsid w:val="00FD51D9"/>
    <w:rsid w:val="00FD5495"/>
    <w:rsid w:val="00FD668B"/>
    <w:rsid w:val="00FD682B"/>
    <w:rsid w:val="00FD6B8E"/>
    <w:rsid w:val="00FD7319"/>
    <w:rsid w:val="00FD7C31"/>
    <w:rsid w:val="00FD7C80"/>
    <w:rsid w:val="00FD7D7D"/>
    <w:rsid w:val="00FE0342"/>
    <w:rsid w:val="00FE0B60"/>
    <w:rsid w:val="00FE1556"/>
    <w:rsid w:val="00FE1713"/>
    <w:rsid w:val="00FE1CB8"/>
    <w:rsid w:val="00FE2749"/>
    <w:rsid w:val="00FE2851"/>
    <w:rsid w:val="00FE2E5A"/>
    <w:rsid w:val="00FE331A"/>
    <w:rsid w:val="00FE4694"/>
    <w:rsid w:val="00FE48FA"/>
    <w:rsid w:val="00FE4E15"/>
    <w:rsid w:val="00FE5906"/>
    <w:rsid w:val="00FE6090"/>
    <w:rsid w:val="00FE61F3"/>
    <w:rsid w:val="00FE6228"/>
    <w:rsid w:val="00FE6911"/>
    <w:rsid w:val="00FE6EFD"/>
    <w:rsid w:val="00FE71A2"/>
    <w:rsid w:val="00FE7FA8"/>
    <w:rsid w:val="00FF0CF3"/>
    <w:rsid w:val="00FF110E"/>
    <w:rsid w:val="00FF2C1E"/>
    <w:rsid w:val="00FF2DB6"/>
    <w:rsid w:val="00FF3B58"/>
    <w:rsid w:val="00FF3C37"/>
    <w:rsid w:val="00FF487E"/>
    <w:rsid w:val="00FF4BD1"/>
    <w:rsid w:val="00FF4F82"/>
    <w:rsid w:val="00FF5323"/>
    <w:rsid w:val="00FF65F2"/>
    <w:rsid w:val="00FF67D7"/>
    <w:rsid w:val="00FF719C"/>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rsid w:val="00766B20"/>
    <w:rPr>
      <w:sz w:val="16"/>
      <w:szCs w:val="16"/>
    </w:rPr>
  </w:style>
  <w:style w:type="paragraph" w:styleId="CommentText">
    <w:name w:val="annotation text"/>
    <w:basedOn w:val="Normal"/>
    <w:link w:val="CommentTextChar"/>
    <w:rsid w:val="00766B20"/>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uiPriority w:val="99"/>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CommentTextChar">
    <w:name w:val="Comment Text Char"/>
    <w:link w:val="CommentText"/>
    <w:rsid w:val="00766B20"/>
    <w:rPr>
      <w:lang w:val="es-ES" w:eastAsia="es-ES"/>
    </w:rPr>
  </w:style>
  <w:style w:type="paragraph" w:styleId="CommentSubject">
    <w:name w:val="annotation subject"/>
    <w:basedOn w:val="CommentText"/>
    <w:next w:val="CommentText"/>
    <w:link w:val="CommentSubjectChar"/>
    <w:rsid w:val="00766B20"/>
    <w:rPr>
      <w:b/>
      <w:bCs/>
    </w:rPr>
  </w:style>
  <w:style w:type="character" w:customStyle="1" w:styleId="CommentSubjectChar">
    <w:name w:val="Comment Subject Char"/>
    <w:link w:val="CommentSubject"/>
    <w:rsid w:val="00766B20"/>
    <w:rPr>
      <w:b/>
      <w:bCs/>
      <w:lang w:val="es-ES" w:eastAsia="es-ES"/>
    </w:rPr>
  </w:style>
  <w:style w:type="paragraph" w:styleId="BalloonText">
    <w:name w:val="Balloon Text"/>
    <w:basedOn w:val="Normal"/>
    <w:link w:val="BalloonTextChar"/>
    <w:rsid w:val="00766B20"/>
    <w:pPr>
      <w:spacing w:line="240" w:lineRule="auto"/>
    </w:pPr>
    <w:rPr>
      <w:rFonts w:ascii="Tahoma" w:hAnsi="Tahoma"/>
      <w:sz w:val="16"/>
      <w:szCs w:val="16"/>
    </w:rPr>
  </w:style>
  <w:style w:type="character" w:customStyle="1" w:styleId="BalloonTextChar">
    <w:name w:val="Balloon Text Char"/>
    <w:link w:val="BalloonText"/>
    <w:rsid w:val="00766B20"/>
    <w:rPr>
      <w:rFonts w:ascii="Tahoma" w:hAnsi="Tahoma" w:cs="Tahoma"/>
      <w:sz w:val="16"/>
      <w:szCs w:val="16"/>
      <w:lang w:val="es-ES" w:eastAsia="es-ES"/>
    </w:rPr>
  </w:style>
  <w:style w:type="paragraph" w:styleId="ListParagraph">
    <w:name w:val="List Paragraph"/>
    <w:basedOn w:val="Normal"/>
    <w:uiPriority w:val="34"/>
    <w:qFormat/>
    <w:rsid w:val="00CC57CA"/>
    <w:pPr>
      <w:ind w:left="720"/>
    </w:pPr>
  </w:style>
  <w:style w:type="character" w:customStyle="1" w:styleId="apple-converted-space">
    <w:name w:val="apple-converted-space"/>
    <w:basedOn w:val="DefaultParagraphFont"/>
    <w:rsid w:val="00B52054"/>
  </w:style>
  <w:style w:type="paragraph" w:styleId="Revision">
    <w:name w:val="Revision"/>
    <w:hidden/>
    <w:uiPriority w:val="99"/>
    <w:semiHidden/>
    <w:rsid w:val="00075CFA"/>
    <w:rPr>
      <w:lang w:val="es-ES" w:eastAsia="es-ES"/>
    </w:rPr>
  </w:style>
  <w:style w:type="paragraph" w:customStyle="1" w:styleId="Default">
    <w:name w:val="Default"/>
    <w:rsid w:val="003D56AA"/>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rsid w:val="00766B20"/>
    <w:rPr>
      <w:sz w:val="16"/>
      <w:szCs w:val="16"/>
    </w:rPr>
  </w:style>
  <w:style w:type="paragraph" w:styleId="CommentText">
    <w:name w:val="annotation text"/>
    <w:basedOn w:val="Normal"/>
    <w:link w:val="CommentTextChar"/>
    <w:rsid w:val="00766B20"/>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uiPriority w:val="99"/>
    <w:semiHidden/>
    <w:rsid w:val="00313431"/>
    <w:rPr>
      <w:rFonts w:ascii="Courier New" w:hAnsi="Courier New" w:cs="Courier New"/>
      <w:sz w:val="20"/>
      <w:szCs w:val="20"/>
    </w:rPr>
  </w:style>
  <w:style w:type="paragraph" w:styleId="NormalWeb">
    <w:name w:val="Normal (Web)"/>
    <w:basedOn w:val="Normal"/>
    <w:uiPriority w:val="99"/>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CommentTextChar">
    <w:name w:val="Comment Text Char"/>
    <w:link w:val="CommentText"/>
    <w:rsid w:val="00766B20"/>
    <w:rPr>
      <w:lang w:val="es-ES" w:eastAsia="es-ES"/>
    </w:rPr>
  </w:style>
  <w:style w:type="paragraph" w:styleId="CommentSubject">
    <w:name w:val="annotation subject"/>
    <w:basedOn w:val="CommentText"/>
    <w:next w:val="CommentText"/>
    <w:link w:val="CommentSubjectChar"/>
    <w:rsid w:val="00766B20"/>
    <w:rPr>
      <w:b/>
      <w:bCs/>
    </w:rPr>
  </w:style>
  <w:style w:type="character" w:customStyle="1" w:styleId="CommentSubjectChar">
    <w:name w:val="Comment Subject Char"/>
    <w:link w:val="CommentSubject"/>
    <w:rsid w:val="00766B20"/>
    <w:rPr>
      <w:b/>
      <w:bCs/>
      <w:lang w:val="es-ES" w:eastAsia="es-ES"/>
    </w:rPr>
  </w:style>
  <w:style w:type="paragraph" w:styleId="BalloonText">
    <w:name w:val="Balloon Text"/>
    <w:basedOn w:val="Normal"/>
    <w:link w:val="BalloonTextChar"/>
    <w:rsid w:val="00766B20"/>
    <w:pPr>
      <w:spacing w:line="240" w:lineRule="auto"/>
    </w:pPr>
    <w:rPr>
      <w:rFonts w:ascii="Tahoma" w:hAnsi="Tahoma"/>
      <w:sz w:val="16"/>
      <w:szCs w:val="16"/>
    </w:rPr>
  </w:style>
  <w:style w:type="character" w:customStyle="1" w:styleId="BalloonTextChar">
    <w:name w:val="Balloon Text Char"/>
    <w:link w:val="BalloonText"/>
    <w:rsid w:val="00766B20"/>
    <w:rPr>
      <w:rFonts w:ascii="Tahoma" w:hAnsi="Tahoma" w:cs="Tahoma"/>
      <w:sz w:val="16"/>
      <w:szCs w:val="16"/>
      <w:lang w:val="es-ES" w:eastAsia="es-ES"/>
    </w:rPr>
  </w:style>
  <w:style w:type="paragraph" w:styleId="ListParagraph">
    <w:name w:val="List Paragraph"/>
    <w:basedOn w:val="Normal"/>
    <w:uiPriority w:val="34"/>
    <w:qFormat/>
    <w:rsid w:val="00CC57CA"/>
    <w:pPr>
      <w:ind w:left="720"/>
    </w:pPr>
  </w:style>
  <w:style w:type="character" w:customStyle="1" w:styleId="apple-converted-space">
    <w:name w:val="apple-converted-space"/>
    <w:basedOn w:val="DefaultParagraphFont"/>
    <w:rsid w:val="00B52054"/>
  </w:style>
  <w:style w:type="paragraph" w:styleId="Revision">
    <w:name w:val="Revision"/>
    <w:hidden/>
    <w:uiPriority w:val="99"/>
    <w:semiHidden/>
    <w:rsid w:val="00075CFA"/>
    <w:rPr>
      <w:lang w:val="es-ES" w:eastAsia="es-ES"/>
    </w:rPr>
  </w:style>
  <w:style w:type="paragraph" w:customStyle="1" w:styleId="Default">
    <w:name w:val="Default"/>
    <w:rsid w:val="003D56AA"/>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3622">
      <w:bodyDiv w:val="1"/>
      <w:marLeft w:val="0"/>
      <w:marRight w:val="0"/>
      <w:marTop w:val="0"/>
      <w:marBottom w:val="0"/>
      <w:divBdr>
        <w:top w:val="none" w:sz="0" w:space="0" w:color="auto"/>
        <w:left w:val="none" w:sz="0" w:space="0" w:color="auto"/>
        <w:bottom w:val="none" w:sz="0" w:space="0" w:color="auto"/>
        <w:right w:val="none" w:sz="0" w:space="0" w:color="auto"/>
      </w:divBdr>
    </w:div>
    <w:div w:id="133643256">
      <w:bodyDiv w:val="1"/>
      <w:marLeft w:val="0"/>
      <w:marRight w:val="0"/>
      <w:marTop w:val="0"/>
      <w:marBottom w:val="0"/>
      <w:divBdr>
        <w:top w:val="none" w:sz="0" w:space="0" w:color="auto"/>
        <w:left w:val="none" w:sz="0" w:space="0" w:color="auto"/>
        <w:bottom w:val="none" w:sz="0" w:space="0" w:color="auto"/>
        <w:right w:val="none" w:sz="0" w:space="0" w:color="auto"/>
      </w:divBdr>
    </w:div>
    <w:div w:id="168452365">
      <w:bodyDiv w:val="1"/>
      <w:marLeft w:val="0"/>
      <w:marRight w:val="0"/>
      <w:marTop w:val="0"/>
      <w:marBottom w:val="0"/>
      <w:divBdr>
        <w:top w:val="none" w:sz="0" w:space="0" w:color="auto"/>
        <w:left w:val="none" w:sz="0" w:space="0" w:color="auto"/>
        <w:bottom w:val="none" w:sz="0" w:space="0" w:color="auto"/>
        <w:right w:val="none" w:sz="0" w:space="0" w:color="auto"/>
      </w:divBdr>
    </w:div>
    <w:div w:id="243682603">
      <w:bodyDiv w:val="1"/>
      <w:marLeft w:val="0"/>
      <w:marRight w:val="0"/>
      <w:marTop w:val="0"/>
      <w:marBottom w:val="0"/>
      <w:divBdr>
        <w:top w:val="none" w:sz="0" w:space="0" w:color="auto"/>
        <w:left w:val="none" w:sz="0" w:space="0" w:color="auto"/>
        <w:bottom w:val="none" w:sz="0" w:space="0" w:color="auto"/>
        <w:right w:val="none" w:sz="0" w:space="0" w:color="auto"/>
      </w:divBdr>
    </w:div>
    <w:div w:id="249970354">
      <w:bodyDiv w:val="1"/>
      <w:marLeft w:val="0"/>
      <w:marRight w:val="0"/>
      <w:marTop w:val="0"/>
      <w:marBottom w:val="0"/>
      <w:divBdr>
        <w:top w:val="none" w:sz="0" w:space="0" w:color="auto"/>
        <w:left w:val="none" w:sz="0" w:space="0" w:color="auto"/>
        <w:bottom w:val="none" w:sz="0" w:space="0" w:color="auto"/>
        <w:right w:val="none" w:sz="0" w:space="0" w:color="auto"/>
      </w:divBdr>
    </w:div>
    <w:div w:id="250236795">
      <w:bodyDiv w:val="1"/>
      <w:marLeft w:val="0"/>
      <w:marRight w:val="0"/>
      <w:marTop w:val="0"/>
      <w:marBottom w:val="0"/>
      <w:divBdr>
        <w:top w:val="none" w:sz="0" w:space="0" w:color="auto"/>
        <w:left w:val="none" w:sz="0" w:space="0" w:color="auto"/>
        <w:bottom w:val="none" w:sz="0" w:space="0" w:color="auto"/>
        <w:right w:val="none" w:sz="0" w:space="0" w:color="auto"/>
      </w:divBdr>
      <w:divsChild>
        <w:div w:id="394015928">
          <w:marLeft w:val="547"/>
          <w:marRight w:val="0"/>
          <w:marTop w:val="0"/>
          <w:marBottom w:val="0"/>
          <w:divBdr>
            <w:top w:val="none" w:sz="0" w:space="0" w:color="auto"/>
            <w:left w:val="none" w:sz="0" w:space="0" w:color="auto"/>
            <w:bottom w:val="none" w:sz="0" w:space="0" w:color="auto"/>
            <w:right w:val="none" w:sz="0" w:space="0" w:color="auto"/>
          </w:divBdr>
        </w:div>
        <w:div w:id="912659344">
          <w:marLeft w:val="547"/>
          <w:marRight w:val="0"/>
          <w:marTop w:val="0"/>
          <w:marBottom w:val="0"/>
          <w:divBdr>
            <w:top w:val="none" w:sz="0" w:space="0" w:color="auto"/>
            <w:left w:val="none" w:sz="0" w:space="0" w:color="auto"/>
            <w:bottom w:val="none" w:sz="0" w:space="0" w:color="auto"/>
            <w:right w:val="none" w:sz="0" w:space="0" w:color="auto"/>
          </w:divBdr>
        </w:div>
        <w:div w:id="1987732793">
          <w:marLeft w:val="547"/>
          <w:marRight w:val="0"/>
          <w:marTop w:val="0"/>
          <w:marBottom w:val="0"/>
          <w:divBdr>
            <w:top w:val="none" w:sz="0" w:space="0" w:color="auto"/>
            <w:left w:val="none" w:sz="0" w:space="0" w:color="auto"/>
            <w:bottom w:val="none" w:sz="0" w:space="0" w:color="auto"/>
            <w:right w:val="none" w:sz="0" w:space="0" w:color="auto"/>
          </w:divBdr>
        </w:div>
      </w:divsChild>
    </w:div>
    <w:div w:id="274749821">
      <w:bodyDiv w:val="1"/>
      <w:marLeft w:val="0"/>
      <w:marRight w:val="0"/>
      <w:marTop w:val="0"/>
      <w:marBottom w:val="0"/>
      <w:divBdr>
        <w:top w:val="none" w:sz="0" w:space="0" w:color="auto"/>
        <w:left w:val="none" w:sz="0" w:space="0" w:color="auto"/>
        <w:bottom w:val="none" w:sz="0" w:space="0" w:color="auto"/>
        <w:right w:val="none" w:sz="0" w:space="0" w:color="auto"/>
      </w:divBdr>
    </w:div>
    <w:div w:id="395131068">
      <w:bodyDiv w:val="1"/>
      <w:marLeft w:val="0"/>
      <w:marRight w:val="0"/>
      <w:marTop w:val="0"/>
      <w:marBottom w:val="0"/>
      <w:divBdr>
        <w:top w:val="none" w:sz="0" w:space="0" w:color="auto"/>
        <w:left w:val="none" w:sz="0" w:space="0" w:color="auto"/>
        <w:bottom w:val="none" w:sz="0" w:space="0" w:color="auto"/>
        <w:right w:val="none" w:sz="0" w:space="0" w:color="auto"/>
      </w:divBdr>
    </w:div>
    <w:div w:id="440757574">
      <w:bodyDiv w:val="1"/>
      <w:marLeft w:val="0"/>
      <w:marRight w:val="0"/>
      <w:marTop w:val="0"/>
      <w:marBottom w:val="0"/>
      <w:divBdr>
        <w:top w:val="none" w:sz="0" w:space="0" w:color="auto"/>
        <w:left w:val="none" w:sz="0" w:space="0" w:color="auto"/>
        <w:bottom w:val="none" w:sz="0" w:space="0" w:color="auto"/>
        <w:right w:val="none" w:sz="0" w:space="0" w:color="auto"/>
      </w:divBdr>
    </w:div>
    <w:div w:id="525024917">
      <w:bodyDiv w:val="1"/>
      <w:marLeft w:val="0"/>
      <w:marRight w:val="0"/>
      <w:marTop w:val="0"/>
      <w:marBottom w:val="0"/>
      <w:divBdr>
        <w:top w:val="none" w:sz="0" w:space="0" w:color="auto"/>
        <w:left w:val="none" w:sz="0" w:space="0" w:color="auto"/>
        <w:bottom w:val="none" w:sz="0" w:space="0" w:color="auto"/>
        <w:right w:val="none" w:sz="0" w:space="0" w:color="auto"/>
      </w:divBdr>
    </w:div>
    <w:div w:id="541409610">
      <w:bodyDiv w:val="1"/>
      <w:marLeft w:val="0"/>
      <w:marRight w:val="0"/>
      <w:marTop w:val="0"/>
      <w:marBottom w:val="0"/>
      <w:divBdr>
        <w:top w:val="none" w:sz="0" w:space="0" w:color="auto"/>
        <w:left w:val="none" w:sz="0" w:space="0" w:color="auto"/>
        <w:bottom w:val="none" w:sz="0" w:space="0" w:color="auto"/>
        <w:right w:val="none" w:sz="0" w:space="0" w:color="auto"/>
      </w:divBdr>
    </w:div>
    <w:div w:id="615790439">
      <w:bodyDiv w:val="1"/>
      <w:marLeft w:val="0"/>
      <w:marRight w:val="0"/>
      <w:marTop w:val="0"/>
      <w:marBottom w:val="0"/>
      <w:divBdr>
        <w:top w:val="none" w:sz="0" w:space="0" w:color="auto"/>
        <w:left w:val="none" w:sz="0" w:space="0" w:color="auto"/>
        <w:bottom w:val="none" w:sz="0" w:space="0" w:color="auto"/>
        <w:right w:val="none" w:sz="0" w:space="0" w:color="auto"/>
      </w:divBdr>
    </w:div>
    <w:div w:id="649676633">
      <w:bodyDiv w:val="1"/>
      <w:marLeft w:val="0"/>
      <w:marRight w:val="0"/>
      <w:marTop w:val="0"/>
      <w:marBottom w:val="0"/>
      <w:divBdr>
        <w:top w:val="none" w:sz="0" w:space="0" w:color="auto"/>
        <w:left w:val="none" w:sz="0" w:space="0" w:color="auto"/>
        <w:bottom w:val="none" w:sz="0" w:space="0" w:color="auto"/>
        <w:right w:val="none" w:sz="0" w:space="0" w:color="auto"/>
      </w:divBdr>
    </w:div>
    <w:div w:id="681707305">
      <w:bodyDiv w:val="1"/>
      <w:marLeft w:val="0"/>
      <w:marRight w:val="0"/>
      <w:marTop w:val="0"/>
      <w:marBottom w:val="0"/>
      <w:divBdr>
        <w:top w:val="none" w:sz="0" w:space="0" w:color="auto"/>
        <w:left w:val="none" w:sz="0" w:space="0" w:color="auto"/>
        <w:bottom w:val="none" w:sz="0" w:space="0" w:color="auto"/>
        <w:right w:val="none" w:sz="0" w:space="0" w:color="auto"/>
      </w:divBdr>
    </w:div>
    <w:div w:id="709914860">
      <w:bodyDiv w:val="1"/>
      <w:marLeft w:val="0"/>
      <w:marRight w:val="0"/>
      <w:marTop w:val="0"/>
      <w:marBottom w:val="0"/>
      <w:divBdr>
        <w:top w:val="none" w:sz="0" w:space="0" w:color="auto"/>
        <w:left w:val="none" w:sz="0" w:space="0" w:color="auto"/>
        <w:bottom w:val="none" w:sz="0" w:space="0" w:color="auto"/>
        <w:right w:val="none" w:sz="0" w:space="0" w:color="auto"/>
      </w:divBdr>
      <w:divsChild>
        <w:div w:id="2561675">
          <w:marLeft w:val="0"/>
          <w:marRight w:val="0"/>
          <w:marTop w:val="0"/>
          <w:marBottom w:val="0"/>
          <w:divBdr>
            <w:top w:val="none" w:sz="0" w:space="0" w:color="auto"/>
            <w:left w:val="none" w:sz="0" w:space="0" w:color="auto"/>
            <w:bottom w:val="none" w:sz="0" w:space="0" w:color="auto"/>
            <w:right w:val="none" w:sz="0" w:space="0" w:color="auto"/>
          </w:divBdr>
        </w:div>
        <w:div w:id="93940331">
          <w:marLeft w:val="0"/>
          <w:marRight w:val="0"/>
          <w:marTop w:val="0"/>
          <w:marBottom w:val="0"/>
          <w:divBdr>
            <w:top w:val="none" w:sz="0" w:space="0" w:color="auto"/>
            <w:left w:val="none" w:sz="0" w:space="0" w:color="auto"/>
            <w:bottom w:val="none" w:sz="0" w:space="0" w:color="auto"/>
            <w:right w:val="none" w:sz="0" w:space="0" w:color="auto"/>
          </w:divBdr>
        </w:div>
        <w:div w:id="455222582">
          <w:marLeft w:val="0"/>
          <w:marRight w:val="0"/>
          <w:marTop w:val="0"/>
          <w:marBottom w:val="0"/>
          <w:divBdr>
            <w:top w:val="none" w:sz="0" w:space="0" w:color="auto"/>
            <w:left w:val="none" w:sz="0" w:space="0" w:color="auto"/>
            <w:bottom w:val="none" w:sz="0" w:space="0" w:color="auto"/>
            <w:right w:val="none" w:sz="0" w:space="0" w:color="auto"/>
          </w:divBdr>
        </w:div>
        <w:div w:id="958923162">
          <w:marLeft w:val="0"/>
          <w:marRight w:val="0"/>
          <w:marTop w:val="0"/>
          <w:marBottom w:val="0"/>
          <w:divBdr>
            <w:top w:val="none" w:sz="0" w:space="0" w:color="auto"/>
            <w:left w:val="none" w:sz="0" w:space="0" w:color="auto"/>
            <w:bottom w:val="none" w:sz="0" w:space="0" w:color="auto"/>
            <w:right w:val="none" w:sz="0" w:space="0" w:color="auto"/>
          </w:divBdr>
        </w:div>
        <w:div w:id="959343227">
          <w:marLeft w:val="0"/>
          <w:marRight w:val="0"/>
          <w:marTop w:val="0"/>
          <w:marBottom w:val="0"/>
          <w:divBdr>
            <w:top w:val="none" w:sz="0" w:space="0" w:color="auto"/>
            <w:left w:val="none" w:sz="0" w:space="0" w:color="auto"/>
            <w:bottom w:val="none" w:sz="0" w:space="0" w:color="auto"/>
            <w:right w:val="none" w:sz="0" w:space="0" w:color="auto"/>
          </w:divBdr>
        </w:div>
        <w:div w:id="1039284743">
          <w:marLeft w:val="0"/>
          <w:marRight w:val="0"/>
          <w:marTop w:val="0"/>
          <w:marBottom w:val="0"/>
          <w:divBdr>
            <w:top w:val="none" w:sz="0" w:space="0" w:color="auto"/>
            <w:left w:val="none" w:sz="0" w:space="0" w:color="auto"/>
            <w:bottom w:val="none" w:sz="0" w:space="0" w:color="auto"/>
            <w:right w:val="none" w:sz="0" w:space="0" w:color="auto"/>
          </w:divBdr>
        </w:div>
        <w:div w:id="1751852041">
          <w:marLeft w:val="0"/>
          <w:marRight w:val="0"/>
          <w:marTop w:val="0"/>
          <w:marBottom w:val="0"/>
          <w:divBdr>
            <w:top w:val="none" w:sz="0" w:space="0" w:color="auto"/>
            <w:left w:val="none" w:sz="0" w:space="0" w:color="auto"/>
            <w:bottom w:val="none" w:sz="0" w:space="0" w:color="auto"/>
            <w:right w:val="none" w:sz="0" w:space="0" w:color="auto"/>
          </w:divBdr>
        </w:div>
      </w:divsChild>
    </w:div>
    <w:div w:id="712270681">
      <w:bodyDiv w:val="1"/>
      <w:marLeft w:val="0"/>
      <w:marRight w:val="0"/>
      <w:marTop w:val="0"/>
      <w:marBottom w:val="0"/>
      <w:divBdr>
        <w:top w:val="none" w:sz="0" w:space="0" w:color="auto"/>
        <w:left w:val="none" w:sz="0" w:space="0" w:color="auto"/>
        <w:bottom w:val="none" w:sz="0" w:space="0" w:color="auto"/>
        <w:right w:val="none" w:sz="0" w:space="0" w:color="auto"/>
      </w:divBdr>
    </w:div>
    <w:div w:id="735592313">
      <w:bodyDiv w:val="1"/>
      <w:marLeft w:val="0"/>
      <w:marRight w:val="0"/>
      <w:marTop w:val="0"/>
      <w:marBottom w:val="0"/>
      <w:divBdr>
        <w:top w:val="none" w:sz="0" w:space="0" w:color="auto"/>
        <w:left w:val="none" w:sz="0" w:space="0" w:color="auto"/>
        <w:bottom w:val="none" w:sz="0" w:space="0" w:color="auto"/>
        <w:right w:val="none" w:sz="0" w:space="0" w:color="auto"/>
      </w:divBdr>
    </w:div>
    <w:div w:id="837574851">
      <w:bodyDiv w:val="1"/>
      <w:marLeft w:val="0"/>
      <w:marRight w:val="0"/>
      <w:marTop w:val="0"/>
      <w:marBottom w:val="0"/>
      <w:divBdr>
        <w:top w:val="none" w:sz="0" w:space="0" w:color="auto"/>
        <w:left w:val="none" w:sz="0" w:space="0" w:color="auto"/>
        <w:bottom w:val="none" w:sz="0" w:space="0" w:color="auto"/>
        <w:right w:val="none" w:sz="0" w:space="0" w:color="auto"/>
      </w:divBdr>
    </w:div>
    <w:div w:id="853149401">
      <w:bodyDiv w:val="1"/>
      <w:marLeft w:val="0"/>
      <w:marRight w:val="0"/>
      <w:marTop w:val="0"/>
      <w:marBottom w:val="0"/>
      <w:divBdr>
        <w:top w:val="none" w:sz="0" w:space="0" w:color="auto"/>
        <w:left w:val="none" w:sz="0" w:space="0" w:color="auto"/>
        <w:bottom w:val="none" w:sz="0" w:space="0" w:color="auto"/>
        <w:right w:val="none" w:sz="0" w:space="0" w:color="auto"/>
      </w:divBdr>
    </w:div>
    <w:div w:id="876427748">
      <w:bodyDiv w:val="1"/>
      <w:marLeft w:val="0"/>
      <w:marRight w:val="0"/>
      <w:marTop w:val="0"/>
      <w:marBottom w:val="0"/>
      <w:divBdr>
        <w:top w:val="none" w:sz="0" w:space="0" w:color="auto"/>
        <w:left w:val="none" w:sz="0" w:space="0" w:color="auto"/>
        <w:bottom w:val="none" w:sz="0" w:space="0" w:color="auto"/>
        <w:right w:val="none" w:sz="0" w:space="0" w:color="auto"/>
      </w:divBdr>
    </w:div>
    <w:div w:id="921450585">
      <w:bodyDiv w:val="1"/>
      <w:marLeft w:val="0"/>
      <w:marRight w:val="0"/>
      <w:marTop w:val="0"/>
      <w:marBottom w:val="0"/>
      <w:divBdr>
        <w:top w:val="none" w:sz="0" w:space="0" w:color="auto"/>
        <w:left w:val="none" w:sz="0" w:space="0" w:color="auto"/>
        <w:bottom w:val="none" w:sz="0" w:space="0" w:color="auto"/>
        <w:right w:val="none" w:sz="0" w:space="0" w:color="auto"/>
      </w:divBdr>
    </w:div>
    <w:div w:id="979845690">
      <w:bodyDiv w:val="1"/>
      <w:marLeft w:val="0"/>
      <w:marRight w:val="0"/>
      <w:marTop w:val="0"/>
      <w:marBottom w:val="0"/>
      <w:divBdr>
        <w:top w:val="none" w:sz="0" w:space="0" w:color="auto"/>
        <w:left w:val="none" w:sz="0" w:space="0" w:color="auto"/>
        <w:bottom w:val="none" w:sz="0" w:space="0" w:color="auto"/>
        <w:right w:val="none" w:sz="0" w:space="0" w:color="auto"/>
      </w:divBdr>
      <w:divsChild>
        <w:div w:id="1017389693">
          <w:marLeft w:val="547"/>
          <w:marRight w:val="0"/>
          <w:marTop w:val="91"/>
          <w:marBottom w:val="0"/>
          <w:divBdr>
            <w:top w:val="none" w:sz="0" w:space="0" w:color="auto"/>
            <w:left w:val="none" w:sz="0" w:space="0" w:color="auto"/>
            <w:bottom w:val="none" w:sz="0" w:space="0" w:color="auto"/>
            <w:right w:val="none" w:sz="0" w:space="0" w:color="auto"/>
          </w:divBdr>
        </w:div>
      </w:divsChild>
    </w:div>
    <w:div w:id="1072503056">
      <w:bodyDiv w:val="1"/>
      <w:marLeft w:val="0"/>
      <w:marRight w:val="0"/>
      <w:marTop w:val="0"/>
      <w:marBottom w:val="0"/>
      <w:divBdr>
        <w:top w:val="none" w:sz="0" w:space="0" w:color="auto"/>
        <w:left w:val="none" w:sz="0" w:space="0" w:color="auto"/>
        <w:bottom w:val="none" w:sz="0" w:space="0" w:color="auto"/>
        <w:right w:val="none" w:sz="0" w:space="0" w:color="auto"/>
      </w:divBdr>
    </w:div>
    <w:div w:id="1084574695">
      <w:bodyDiv w:val="1"/>
      <w:marLeft w:val="0"/>
      <w:marRight w:val="0"/>
      <w:marTop w:val="0"/>
      <w:marBottom w:val="0"/>
      <w:divBdr>
        <w:top w:val="none" w:sz="0" w:space="0" w:color="auto"/>
        <w:left w:val="none" w:sz="0" w:space="0" w:color="auto"/>
        <w:bottom w:val="none" w:sz="0" w:space="0" w:color="auto"/>
        <w:right w:val="none" w:sz="0" w:space="0" w:color="auto"/>
      </w:divBdr>
    </w:div>
    <w:div w:id="1116097888">
      <w:bodyDiv w:val="1"/>
      <w:marLeft w:val="0"/>
      <w:marRight w:val="0"/>
      <w:marTop w:val="0"/>
      <w:marBottom w:val="0"/>
      <w:divBdr>
        <w:top w:val="none" w:sz="0" w:space="0" w:color="auto"/>
        <w:left w:val="none" w:sz="0" w:space="0" w:color="auto"/>
        <w:bottom w:val="none" w:sz="0" w:space="0" w:color="auto"/>
        <w:right w:val="none" w:sz="0" w:space="0" w:color="auto"/>
      </w:divBdr>
    </w:div>
    <w:div w:id="1211384300">
      <w:bodyDiv w:val="1"/>
      <w:marLeft w:val="0"/>
      <w:marRight w:val="0"/>
      <w:marTop w:val="0"/>
      <w:marBottom w:val="0"/>
      <w:divBdr>
        <w:top w:val="none" w:sz="0" w:space="0" w:color="auto"/>
        <w:left w:val="none" w:sz="0" w:space="0" w:color="auto"/>
        <w:bottom w:val="none" w:sz="0" w:space="0" w:color="auto"/>
        <w:right w:val="none" w:sz="0" w:space="0" w:color="auto"/>
      </w:divBdr>
    </w:div>
    <w:div w:id="1261987386">
      <w:bodyDiv w:val="1"/>
      <w:marLeft w:val="0"/>
      <w:marRight w:val="0"/>
      <w:marTop w:val="0"/>
      <w:marBottom w:val="0"/>
      <w:divBdr>
        <w:top w:val="none" w:sz="0" w:space="0" w:color="auto"/>
        <w:left w:val="none" w:sz="0" w:space="0" w:color="auto"/>
        <w:bottom w:val="none" w:sz="0" w:space="0" w:color="auto"/>
        <w:right w:val="none" w:sz="0" w:space="0" w:color="auto"/>
      </w:divBdr>
    </w:div>
    <w:div w:id="1284649603">
      <w:bodyDiv w:val="1"/>
      <w:marLeft w:val="0"/>
      <w:marRight w:val="0"/>
      <w:marTop w:val="0"/>
      <w:marBottom w:val="0"/>
      <w:divBdr>
        <w:top w:val="none" w:sz="0" w:space="0" w:color="auto"/>
        <w:left w:val="none" w:sz="0" w:space="0" w:color="auto"/>
        <w:bottom w:val="none" w:sz="0" w:space="0" w:color="auto"/>
        <w:right w:val="none" w:sz="0" w:space="0" w:color="auto"/>
      </w:divBdr>
      <w:divsChild>
        <w:div w:id="1196848715">
          <w:marLeft w:val="446"/>
          <w:marRight w:val="0"/>
          <w:marTop w:val="0"/>
          <w:marBottom w:val="0"/>
          <w:divBdr>
            <w:top w:val="none" w:sz="0" w:space="0" w:color="auto"/>
            <w:left w:val="none" w:sz="0" w:space="0" w:color="auto"/>
            <w:bottom w:val="none" w:sz="0" w:space="0" w:color="auto"/>
            <w:right w:val="none" w:sz="0" w:space="0" w:color="auto"/>
          </w:divBdr>
        </w:div>
        <w:div w:id="1446581565">
          <w:marLeft w:val="446"/>
          <w:marRight w:val="0"/>
          <w:marTop w:val="0"/>
          <w:marBottom w:val="0"/>
          <w:divBdr>
            <w:top w:val="none" w:sz="0" w:space="0" w:color="auto"/>
            <w:left w:val="none" w:sz="0" w:space="0" w:color="auto"/>
            <w:bottom w:val="none" w:sz="0" w:space="0" w:color="auto"/>
            <w:right w:val="none" w:sz="0" w:space="0" w:color="auto"/>
          </w:divBdr>
        </w:div>
      </w:divsChild>
    </w:div>
    <w:div w:id="1295865161">
      <w:bodyDiv w:val="1"/>
      <w:marLeft w:val="0"/>
      <w:marRight w:val="0"/>
      <w:marTop w:val="0"/>
      <w:marBottom w:val="0"/>
      <w:divBdr>
        <w:top w:val="none" w:sz="0" w:space="0" w:color="auto"/>
        <w:left w:val="none" w:sz="0" w:space="0" w:color="auto"/>
        <w:bottom w:val="none" w:sz="0" w:space="0" w:color="auto"/>
        <w:right w:val="none" w:sz="0" w:space="0" w:color="auto"/>
      </w:divBdr>
    </w:div>
    <w:div w:id="1298874350">
      <w:bodyDiv w:val="1"/>
      <w:marLeft w:val="0"/>
      <w:marRight w:val="0"/>
      <w:marTop w:val="0"/>
      <w:marBottom w:val="0"/>
      <w:divBdr>
        <w:top w:val="none" w:sz="0" w:space="0" w:color="auto"/>
        <w:left w:val="none" w:sz="0" w:space="0" w:color="auto"/>
        <w:bottom w:val="none" w:sz="0" w:space="0" w:color="auto"/>
        <w:right w:val="none" w:sz="0" w:space="0" w:color="auto"/>
      </w:divBdr>
    </w:div>
    <w:div w:id="1315528265">
      <w:bodyDiv w:val="1"/>
      <w:marLeft w:val="0"/>
      <w:marRight w:val="0"/>
      <w:marTop w:val="0"/>
      <w:marBottom w:val="0"/>
      <w:divBdr>
        <w:top w:val="none" w:sz="0" w:space="0" w:color="auto"/>
        <w:left w:val="none" w:sz="0" w:space="0" w:color="auto"/>
        <w:bottom w:val="none" w:sz="0" w:space="0" w:color="auto"/>
        <w:right w:val="none" w:sz="0" w:space="0" w:color="auto"/>
      </w:divBdr>
    </w:div>
    <w:div w:id="1373774245">
      <w:bodyDiv w:val="1"/>
      <w:marLeft w:val="0"/>
      <w:marRight w:val="0"/>
      <w:marTop w:val="0"/>
      <w:marBottom w:val="0"/>
      <w:divBdr>
        <w:top w:val="none" w:sz="0" w:space="0" w:color="auto"/>
        <w:left w:val="none" w:sz="0" w:space="0" w:color="auto"/>
        <w:bottom w:val="none" w:sz="0" w:space="0" w:color="auto"/>
        <w:right w:val="none" w:sz="0" w:space="0" w:color="auto"/>
      </w:divBdr>
    </w:div>
    <w:div w:id="1378626817">
      <w:bodyDiv w:val="1"/>
      <w:marLeft w:val="0"/>
      <w:marRight w:val="0"/>
      <w:marTop w:val="0"/>
      <w:marBottom w:val="0"/>
      <w:divBdr>
        <w:top w:val="none" w:sz="0" w:space="0" w:color="auto"/>
        <w:left w:val="none" w:sz="0" w:space="0" w:color="auto"/>
        <w:bottom w:val="none" w:sz="0" w:space="0" w:color="auto"/>
        <w:right w:val="none" w:sz="0" w:space="0" w:color="auto"/>
      </w:divBdr>
    </w:div>
    <w:div w:id="1416320915">
      <w:bodyDiv w:val="1"/>
      <w:marLeft w:val="0"/>
      <w:marRight w:val="0"/>
      <w:marTop w:val="0"/>
      <w:marBottom w:val="0"/>
      <w:divBdr>
        <w:top w:val="none" w:sz="0" w:space="0" w:color="auto"/>
        <w:left w:val="none" w:sz="0" w:space="0" w:color="auto"/>
        <w:bottom w:val="none" w:sz="0" w:space="0" w:color="auto"/>
        <w:right w:val="none" w:sz="0" w:space="0" w:color="auto"/>
      </w:divBdr>
    </w:div>
    <w:div w:id="1501382929">
      <w:bodyDiv w:val="1"/>
      <w:marLeft w:val="0"/>
      <w:marRight w:val="0"/>
      <w:marTop w:val="0"/>
      <w:marBottom w:val="0"/>
      <w:divBdr>
        <w:top w:val="none" w:sz="0" w:space="0" w:color="auto"/>
        <w:left w:val="none" w:sz="0" w:space="0" w:color="auto"/>
        <w:bottom w:val="none" w:sz="0" w:space="0" w:color="auto"/>
        <w:right w:val="none" w:sz="0" w:space="0" w:color="auto"/>
      </w:divBdr>
    </w:div>
    <w:div w:id="1529947991">
      <w:bodyDiv w:val="1"/>
      <w:marLeft w:val="0"/>
      <w:marRight w:val="0"/>
      <w:marTop w:val="0"/>
      <w:marBottom w:val="0"/>
      <w:divBdr>
        <w:top w:val="none" w:sz="0" w:space="0" w:color="auto"/>
        <w:left w:val="none" w:sz="0" w:space="0" w:color="auto"/>
        <w:bottom w:val="none" w:sz="0" w:space="0" w:color="auto"/>
        <w:right w:val="none" w:sz="0" w:space="0" w:color="auto"/>
      </w:divBdr>
      <w:divsChild>
        <w:div w:id="742727484">
          <w:marLeft w:val="0"/>
          <w:marRight w:val="0"/>
          <w:marTop w:val="67"/>
          <w:marBottom w:val="0"/>
          <w:divBdr>
            <w:top w:val="none" w:sz="0" w:space="0" w:color="auto"/>
            <w:left w:val="none" w:sz="0" w:space="0" w:color="auto"/>
            <w:bottom w:val="none" w:sz="0" w:space="0" w:color="auto"/>
            <w:right w:val="none" w:sz="0" w:space="0" w:color="auto"/>
          </w:divBdr>
        </w:div>
      </w:divsChild>
    </w:div>
    <w:div w:id="1535649583">
      <w:bodyDiv w:val="1"/>
      <w:marLeft w:val="0"/>
      <w:marRight w:val="0"/>
      <w:marTop w:val="0"/>
      <w:marBottom w:val="0"/>
      <w:divBdr>
        <w:top w:val="none" w:sz="0" w:space="0" w:color="auto"/>
        <w:left w:val="none" w:sz="0" w:space="0" w:color="auto"/>
        <w:bottom w:val="none" w:sz="0" w:space="0" w:color="auto"/>
        <w:right w:val="none" w:sz="0" w:space="0" w:color="auto"/>
      </w:divBdr>
    </w:div>
    <w:div w:id="1568804296">
      <w:bodyDiv w:val="1"/>
      <w:marLeft w:val="0"/>
      <w:marRight w:val="0"/>
      <w:marTop w:val="0"/>
      <w:marBottom w:val="0"/>
      <w:divBdr>
        <w:top w:val="none" w:sz="0" w:space="0" w:color="auto"/>
        <w:left w:val="none" w:sz="0" w:space="0" w:color="auto"/>
        <w:bottom w:val="none" w:sz="0" w:space="0" w:color="auto"/>
        <w:right w:val="none" w:sz="0" w:space="0" w:color="auto"/>
      </w:divBdr>
    </w:div>
    <w:div w:id="1654794774">
      <w:bodyDiv w:val="1"/>
      <w:marLeft w:val="0"/>
      <w:marRight w:val="0"/>
      <w:marTop w:val="0"/>
      <w:marBottom w:val="0"/>
      <w:divBdr>
        <w:top w:val="none" w:sz="0" w:space="0" w:color="auto"/>
        <w:left w:val="none" w:sz="0" w:space="0" w:color="auto"/>
        <w:bottom w:val="none" w:sz="0" w:space="0" w:color="auto"/>
        <w:right w:val="none" w:sz="0" w:space="0" w:color="auto"/>
      </w:divBdr>
    </w:div>
    <w:div w:id="1794784899">
      <w:bodyDiv w:val="1"/>
      <w:marLeft w:val="0"/>
      <w:marRight w:val="0"/>
      <w:marTop w:val="0"/>
      <w:marBottom w:val="0"/>
      <w:divBdr>
        <w:top w:val="none" w:sz="0" w:space="0" w:color="auto"/>
        <w:left w:val="none" w:sz="0" w:space="0" w:color="auto"/>
        <w:bottom w:val="none" w:sz="0" w:space="0" w:color="auto"/>
        <w:right w:val="none" w:sz="0" w:space="0" w:color="auto"/>
      </w:divBdr>
    </w:div>
    <w:div w:id="1821580312">
      <w:bodyDiv w:val="1"/>
      <w:marLeft w:val="0"/>
      <w:marRight w:val="0"/>
      <w:marTop w:val="0"/>
      <w:marBottom w:val="0"/>
      <w:divBdr>
        <w:top w:val="none" w:sz="0" w:space="0" w:color="auto"/>
        <w:left w:val="none" w:sz="0" w:space="0" w:color="auto"/>
        <w:bottom w:val="none" w:sz="0" w:space="0" w:color="auto"/>
        <w:right w:val="none" w:sz="0" w:space="0" w:color="auto"/>
      </w:divBdr>
    </w:div>
    <w:div w:id="1832864137">
      <w:bodyDiv w:val="1"/>
      <w:marLeft w:val="0"/>
      <w:marRight w:val="0"/>
      <w:marTop w:val="0"/>
      <w:marBottom w:val="0"/>
      <w:divBdr>
        <w:top w:val="none" w:sz="0" w:space="0" w:color="auto"/>
        <w:left w:val="none" w:sz="0" w:space="0" w:color="auto"/>
        <w:bottom w:val="none" w:sz="0" w:space="0" w:color="auto"/>
        <w:right w:val="none" w:sz="0" w:space="0" w:color="auto"/>
      </w:divBdr>
    </w:div>
    <w:div w:id="1856993630">
      <w:bodyDiv w:val="1"/>
      <w:marLeft w:val="0"/>
      <w:marRight w:val="0"/>
      <w:marTop w:val="0"/>
      <w:marBottom w:val="0"/>
      <w:divBdr>
        <w:top w:val="none" w:sz="0" w:space="0" w:color="auto"/>
        <w:left w:val="none" w:sz="0" w:space="0" w:color="auto"/>
        <w:bottom w:val="none" w:sz="0" w:space="0" w:color="auto"/>
        <w:right w:val="none" w:sz="0" w:space="0" w:color="auto"/>
      </w:divBdr>
    </w:div>
    <w:div w:id="1944603066">
      <w:bodyDiv w:val="1"/>
      <w:marLeft w:val="0"/>
      <w:marRight w:val="0"/>
      <w:marTop w:val="0"/>
      <w:marBottom w:val="0"/>
      <w:divBdr>
        <w:top w:val="none" w:sz="0" w:space="0" w:color="auto"/>
        <w:left w:val="none" w:sz="0" w:space="0" w:color="auto"/>
        <w:bottom w:val="none" w:sz="0" w:space="0" w:color="auto"/>
        <w:right w:val="none" w:sz="0" w:space="0" w:color="auto"/>
      </w:divBdr>
    </w:div>
    <w:div w:id="2063284960">
      <w:bodyDiv w:val="1"/>
      <w:marLeft w:val="0"/>
      <w:marRight w:val="0"/>
      <w:marTop w:val="0"/>
      <w:marBottom w:val="0"/>
      <w:divBdr>
        <w:top w:val="none" w:sz="0" w:space="0" w:color="auto"/>
        <w:left w:val="none" w:sz="0" w:space="0" w:color="auto"/>
        <w:bottom w:val="none" w:sz="0" w:space="0" w:color="auto"/>
        <w:right w:val="none" w:sz="0" w:space="0" w:color="auto"/>
      </w:divBdr>
    </w:div>
    <w:div w:id="2111850220">
      <w:bodyDiv w:val="1"/>
      <w:marLeft w:val="0"/>
      <w:marRight w:val="0"/>
      <w:marTop w:val="0"/>
      <w:marBottom w:val="0"/>
      <w:divBdr>
        <w:top w:val="none" w:sz="0" w:space="0" w:color="auto"/>
        <w:left w:val="none" w:sz="0" w:space="0" w:color="auto"/>
        <w:bottom w:val="none" w:sz="0" w:space="0" w:color="auto"/>
        <w:right w:val="none" w:sz="0" w:space="0" w:color="auto"/>
      </w:divBdr>
    </w:div>
    <w:div w:id="2117556223">
      <w:bodyDiv w:val="1"/>
      <w:marLeft w:val="0"/>
      <w:marRight w:val="0"/>
      <w:marTop w:val="0"/>
      <w:marBottom w:val="0"/>
      <w:divBdr>
        <w:top w:val="none" w:sz="0" w:space="0" w:color="auto"/>
        <w:left w:val="none" w:sz="0" w:space="0" w:color="auto"/>
        <w:bottom w:val="none" w:sz="0" w:space="0" w:color="auto"/>
        <w:right w:val="none" w:sz="0" w:space="0" w:color="auto"/>
      </w:divBdr>
      <w:divsChild>
        <w:div w:id="200285016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icef.es/sites/www.unicef.es/files/emi_2014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AA8D3-8946-4A38-B265-49A4A4D4DF89}"/>
</file>

<file path=customXml/itemProps2.xml><?xml version="1.0" encoding="utf-8"?>
<ds:datastoreItem xmlns:ds="http://schemas.openxmlformats.org/officeDocument/2006/customXml" ds:itemID="{03B8DF01-BB7F-421F-89E7-527BE718BAD7}"/>
</file>

<file path=customXml/itemProps3.xml><?xml version="1.0" encoding="utf-8"?>
<ds:datastoreItem xmlns:ds="http://schemas.openxmlformats.org/officeDocument/2006/customXml" ds:itemID="{CA227A02-6D6E-4DF6-A785-FD05E219E764}"/>
</file>

<file path=customXml/itemProps4.xml><?xml version="1.0" encoding="utf-8"?>
<ds:datastoreItem xmlns:ds="http://schemas.openxmlformats.org/officeDocument/2006/customXml" ds:itemID="{89693FC9-51AD-43B6-BDC5-112B582188DB}"/>
</file>

<file path=docProps/app.xml><?xml version="1.0" encoding="utf-8"?>
<Properties xmlns="http://schemas.openxmlformats.org/officeDocument/2006/extended-properties" xmlns:vt="http://schemas.openxmlformats.org/officeDocument/2006/docPropsVTypes">
  <Template>A</Template>
  <TotalTime>0</TotalTime>
  <Pages>14</Pages>
  <Words>6190</Words>
  <Characters>35285</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A/HRC/19/63   -11-17516</vt:lpstr>
      <vt:lpstr>A/HRC/19/63   -11-17516</vt:lpstr>
    </vt:vector>
  </TitlesOfParts>
  <Company>OHCHR</Company>
  <LinksUpToDate>false</LinksUpToDate>
  <CharactersWithSpaces>41393</CharactersWithSpaces>
  <SharedDoc>false</SharedDoc>
  <HLinks>
    <vt:vector size="6" baseType="variant">
      <vt:variant>
        <vt:i4>65623</vt:i4>
      </vt:variant>
      <vt:variant>
        <vt:i4>0</vt:i4>
      </vt:variant>
      <vt:variant>
        <vt:i4>0</vt:i4>
      </vt:variant>
      <vt:variant>
        <vt:i4>5</vt:i4>
      </vt:variant>
      <vt:variant>
        <vt:lpwstr>https://www.unicef.es/sites/www.unicef.es/files/emi_2014_0.pdf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sale of children, Mission to Honduras in Spanish</dc:title>
  <dc:subject>Final</dc:subject>
  <dc:creator>Romina Meriño MacKay</dc:creator>
  <cp:lastModifiedBy>Valeriano De Castro</cp:lastModifiedBy>
  <cp:revision>2</cp:revision>
  <cp:lastPrinted>2014-12-18T13:14:00Z</cp:lastPrinted>
  <dcterms:created xsi:type="dcterms:W3CDTF">2015-01-05T16:19:00Z</dcterms:created>
  <dcterms:modified xsi:type="dcterms:W3CDTF">2015-01-05T16:19:00Z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