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625DD" w:rsidTr="00E806EE">
        <w:trPr>
          <w:trHeight w:val="851"/>
        </w:trPr>
        <w:tc>
          <w:tcPr>
            <w:tcW w:w="1259" w:type="dxa"/>
            <w:tcBorders>
              <w:top w:val="nil"/>
              <w:left w:val="nil"/>
              <w:bottom w:val="single" w:sz="4" w:space="0" w:color="auto"/>
              <w:right w:val="nil"/>
            </w:tcBorders>
          </w:tcPr>
          <w:p w:rsidR="00446DE4" w:rsidRPr="0091248F"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0625DD"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625DD" w:rsidRDefault="00F55DCC" w:rsidP="00F55DCC">
            <w:pPr>
              <w:jc w:val="right"/>
            </w:pPr>
            <w:r w:rsidRPr="000625DD">
              <w:rPr>
                <w:sz w:val="40"/>
              </w:rPr>
              <w:t>A</w:t>
            </w:r>
            <w:r w:rsidR="00FE0534">
              <w:t>/HRC/29/51</w:t>
            </w:r>
          </w:p>
        </w:tc>
      </w:tr>
      <w:tr w:rsidR="003107FA" w:rsidRPr="000625DD" w:rsidTr="00E806EE">
        <w:trPr>
          <w:trHeight w:val="2835"/>
        </w:trPr>
        <w:tc>
          <w:tcPr>
            <w:tcW w:w="1259" w:type="dxa"/>
            <w:tcBorders>
              <w:top w:val="single" w:sz="4" w:space="0" w:color="auto"/>
              <w:left w:val="nil"/>
              <w:bottom w:val="single" w:sz="12" w:space="0" w:color="auto"/>
              <w:right w:val="nil"/>
            </w:tcBorders>
          </w:tcPr>
          <w:p w:rsidR="003107FA" w:rsidRPr="000625DD"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0625DD" w:rsidRDefault="007004A6" w:rsidP="00EF5BDB">
            <w:pPr>
              <w:spacing w:before="120" w:line="420" w:lineRule="exact"/>
              <w:rPr>
                <w:b/>
                <w:sz w:val="40"/>
                <w:szCs w:val="40"/>
              </w:rPr>
            </w:pPr>
            <w:r>
              <w:rPr>
                <w:b/>
                <w:sz w:val="40"/>
                <w:szCs w:val="40"/>
              </w:rPr>
              <w:t>Advance E</w:t>
            </w:r>
            <w:bookmarkStart w:id="0" w:name="_GoBack"/>
            <w:bookmarkEnd w:id="0"/>
            <w:r>
              <w:rPr>
                <w:b/>
                <w:sz w:val="40"/>
                <w:szCs w:val="40"/>
              </w:rPr>
              <w:t>dited Version</w:t>
            </w:r>
          </w:p>
        </w:tc>
        <w:tc>
          <w:tcPr>
            <w:tcW w:w="2930" w:type="dxa"/>
            <w:tcBorders>
              <w:top w:val="single" w:sz="4" w:space="0" w:color="auto"/>
              <w:left w:val="nil"/>
              <w:bottom w:val="single" w:sz="12" w:space="0" w:color="auto"/>
              <w:right w:val="nil"/>
            </w:tcBorders>
          </w:tcPr>
          <w:p w:rsidR="003107FA" w:rsidRPr="000625DD" w:rsidRDefault="00F55DCC" w:rsidP="00F55DCC">
            <w:pPr>
              <w:spacing w:before="240" w:line="240" w:lineRule="exact"/>
            </w:pPr>
            <w:r w:rsidRPr="000625DD">
              <w:t>Distr.: General</w:t>
            </w:r>
          </w:p>
          <w:p w:rsidR="00F55DCC" w:rsidRPr="000625DD" w:rsidRDefault="0064525B" w:rsidP="00E706DF">
            <w:pPr>
              <w:spacing w:line="240" w:lineRule="exact"/>
            </w:pPr>
            <w:r>
              <w:t>1</w:t>
            </w:r>
            <w:r w:rsidR="000A04C0">
              <w:t>6</w:t>
            </w:r>
            <w:r w:rsidR="00FE0534">
              <w:t xml:space="preserve"> </w:t>
            </w:r>
            <w:r w:rsidR="00FD1185">
              <w:t>June</w:t>
            </w:r>
            <w:r w:rsidR="00FE0534">
              <w:t xml:space="preserve"> </w:t>
            </w:r>
            <w:r w:rsidR="00F55DCC" w:rsidRPr="000625DD">
              <w:t>2015</w:t>
            </w:r>
          </w:p>
          <w:p w:rsidR="00F55DCC" w:rsidRPr="000625DD" w:rsidRDefault="00F55DCC" w:rsidP="00F55DCC">
            <w:pPr>
              <w:spacing w:line="240" w:lineRule="exact"/>
            </w:pPr>
          </w:p>
          <w:p w:rsidR="00F55DCC" w:rsidRPr="000625DD" w:rsidRDefault="00F55DCC" w:rsidP="00F55DCC">
            <w:pPr>
              <w:spacing w:line="240" w:lineRule="exact"/>
            </w:pPr>
            <w:r w:rsidRPr="000625DD">
              <w:t>Original: English</w:t>
            </w:r>
          </w:p>
        </w:tc>
      </w:tr>
    </w:tbl>
    <w:p w:rsidR="00F55DCC" w:rsidRPr="000625DD" w:rsidRDefault="00F55DCC" w:rsidP="00F55DCC">
      <w:pPr>
        <w:spacing w:before="120"/>
        <w:rPr>
          <w:b/>
          <w:bCs/>
          <w:sz w:val="24"/>
          <w:szCs w:val="24"/>
        </w:rPr>
      </w:pPr>
      <w:r w:rsidRPr="000625DD">
        <w:rPr>
          <w:b/>
          <w:bCs/>
          <w:sz w:val="24"/>
          <w:szCs w:val="24"/>
        </w:rPr>
        <w:t>Human Rights Council</w:t>
      </w:r>
    </w:p>
    <w:p w:rsidR="00F55DCC" w:rsidRPr="000625DD" w:rsidRDefault="00F55DCC" w:rsidP="00F55DCC">
      <w:pPr>
        <w:rPr>
          <w:b/>
          <w:bCs/>
        </w:rPr>
      </w:pPr>
      <w:r w:rsidRPr="000625DD">
        <w:rPr>
          <w:b/>
          <w:bCs/>
        </w:rPr>
        <w:t xml:space="preserve">Twenty-ninth </w:t>
      </w:r>
      <w:proofErr w:type="gramStart"/>
      <w:r w:rsidRPr="000625DD">
        <w:rPr>
          <w:b/>
          <w:bCs/>
        </w:rPr>
        <w:t>session</w:t>
      </w:r>
      <w:proofErr w:type="gramEnd"/>
    </w:p>
    <w:p w:rsidR="00F55DCC" w:rsidRPr="000625DD" w:rsidRDefault="00F55DCC" w:rsidP="00746312">
      <w:r w:rsidRPr="000625DD">
        <w:t>Agenda item 3</w:t>
      </w:r>
      <w:r w:rsidR="00746312" w:rsidRPr="000625DD">
        <w:t xml:space="preserve"> </w:t>
      </w:r>
    </w:p>
    <w:p w:rsidR="00F55DCC" w:rsidRPr="000625DD" w:rsidRDefault="00F55DCC" w:rsidP="00F55DCC">
      <w:r w:rsidRPr="000625DD">
        <w:rPr>
          <w:b/>
          <w:bCs/>
        </w:rPr>
        <w:t xml:space="preserve">Promotion and protection of all human rights, civil, </w:t>
      </w:r>
      <w:r w:rsidRPr="000625DD">
        <w:rPr>
          <w:b/>
          <w:bCs/>
        </w:rPr>
        <w:br/>
        <w:t xml:space="preserve">political, economic, social and cultural rights, </w:t>
      </w:r>
      <w:r w:rsidRPr="000625DD">
        <w:rPr>
          <w:b/>
          <w:bCs/>
        </w:rPr>
        <w:br/>
        <w:t>including the right to development</w:t>
      </w:r>
    </w:p>
    <w:p w:rsidR="00F55DCC" w:rsidRPr="00FE0534" w:rsidRDefault="00F55DCC" w:rsidP="009D3206">
      <w:pPr>
        <w:pStyle w:val="HChG"/>
      </w:pPr>
      <w:r w:rsidRPr="00FE0534">
        <w:tab/>
      </w:r>
      <w:r w:rsidRPr="00FE0534">
        <w:tab/>
      </w:r>
      <w:r w:rsidR="00FE0534" w:rsidRPr="00FE0534">
        <w:rPr>
          <w:rFonts w:eastAsia="SimSun"/>
        </w:rPr>
        <w:t>Report of the Special Rapporteur on the promotion and protection of human rights and fundamental freedoms while</w:t>
      </w:r>
      <w:r w:rsidR="009D3206">
        <w:rPr>
          <w:rFonts w:eastAsia="SimSun"/>
        </w:rPr>
        <w:t> </w:t>
      </w:r>
      <w:r w:rsidR="00FE0534" w:rsidRPr="00FE0534">
        <w:rPr>
          <w:rFonts w:eastAsia="SimSun"/>
        </w:rPr>
        <w:t>countering terrorism, Ben Emmerson</w:t>
      </w:r>
      <w:r w:rsidR="001D3BCC" w:rsidRPr="000A04C0">
        <w:rPr>
          <w:rStyle w:val="FootnoteReference"/>
          <w:rFonts w:eastAsia="SimSun"/>
          <w:b w:val="0"/>
          <w:bCs/>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082338" w:rsidRPr="000625DD" w:rsidTr="005E6DBB">
        <w:trPr>
          <w:jc w:val="center"/>
        </w:trPr>
        <w:tc>
          <w:tcPr>
            <w:tcW w:w="9637" w:type="dxa"/>
            <w:shd w:val="clear" w:color="auto" w:fill="auto"/>
          </w:tcPr>
          <w:p w:rsidR="008E1155" w:rsidRPr="000625DD" w:rsidRDefault="008E1155" w:rsidP="005E6DBB">
            <w:pPr>
              <w:spacing w:before="240" w:after="120"/>
              <w:ind w:left="255"/>
              <w:rPr>
                <w:i/>
                <w:sz w:val="24"/>
              </w:rPr>
            </w:pPr>
            <w:r w:rsidRPr="000625DD">
              <w:rPr>
                <w:i/>
                <w:sz w:val="24"/>
              </w:rPr>
              <w:t>Summary</w:t>
            </w:r>
          </w:p>
        </w:tc>
      </w:tr>
      <w:tr w:rsidR="008E1155" w:rsidRPr="000625DD" w:rsidTr="005E6DBB">
        <w:trPr>
          <w:jc w:val="center"/>
        </w:trPr>
        <w:tc>
          <w:tcPr>
            <w:tcW w:w="9637" w:type="dxa"/>
            <w:shd w:val="clear" w:color="auto" w:fill="auto"/>
          </w:tcPr>
          <w:p w:rsidR="008E1155" w:rsidRPr="000625DD" w:rsidRDefault="00FE0534" w:rsidP="0064525B">
            <w:pPr>
              <w:pStyle w:val="SingleTxtG"/>
              <w:ind w:firstLine="567"/>
            </w:pPr>
            <w:r>
              <w:t>Th</w:t>
            </w:r>
            <w:r w:rsidR="0064525B">
              <w:t>e present report</w:t>
            </w:r>
            <w:r>
              <w:t xml:space="preserve"> is the fourth annual report submitted to the Human Rights Council by the Special Rapporteur on the promotion and protection of human rights and fundamental freedoms while countering terrorism, Ben Emmerson.</w:t>
            </w:r>
          </w:p>
        </w:tc>
      </w:tr>
      <w:tr w:rsidR="00082338" w:rsidRPr="000625DD" w:rsidTr="005E6DBB">
        <w:trPr>
          <w:jc w:val="center"/>
        </w:trPr>
        <w:tc>
          <w:tcPr>
            <w:tcW w:w="9637" w:type="dxa"/>
            <w:shd w:val="clear" w:color="auto" w:fill="auto"/>
          </w:tcPr>
          <w:p w:rsidR="000D31BA" w:rsidRPr="000625DD" w:rsidRDefault="00FE0534" w:rsidP="00B549D6">
            <w:pPr>
              <w:pStyle w:val="SingleTxtG"/>
              <w:ind w:firstLine="567"/>
            </w:pPr>
            <w:r>
              <w:t xml:space="preserve">In </w:t>
            </w:r>
            <w:r w:rsidR="00B13B65">
              <w:t>section</w:t>
            </w:r>
            <w:r>
              <w:t xml:space="preserve"> II, the Special Rapporteur lists </w:t>
            </w:r>
            <w:r w:rsidR="0064525B">
              <w:t>the</w:t>
            </w:r>
            <w:r>
              <w:t xml:space="preserve"> key activities </w:t>
            </w:r>
            <w:r w:rsidR="0064525B">
              <w:t xml:space="preserve">he </w:t>
            </w:r>
            <w:r>
              <w:t>undert</w:t>
            </w:r>
            <w:r w:rsidR="0064525B">
              <w:t>oo</w:t>
            </w:r>
            <w:r>
              <w:t>k from 17 December 2013 to 31 December 2014</w:t>
            </w:r>
            <w:r w:rsidR="006E244E">
              <w:t xml:space="preserve"> and, i</w:t>
            </w:r>
            <w:r>
              <w:t xml:space="preserve">n </w:t>
            </w:r>
            <w:r w:rsidR="00B13B65">
              <w:t>section</w:t>
            </w:r>
            <w:r>
              <w:t xml:space="preserve"> III, </w:t>
            </w:r>
            <w:r w:rsidR="00AF21C1">
              <w:t>he</w:t>
            </w:r>
            <w:r>
              <w:t xml:space="preserve"> </w:t>
            </w:r>
            <w:r w:rsidR="00401800">
              <w:t xml:space="preserve">examines </w:t>
            </w:r>
            <w:r>
              <w:t xml:space="preserve">the </w:t>
            </w:r>
            <w:proofErr w:type="gramStart"/>
            <w:r>
              <w:t>humans</w:t>
            </w:r>
            <w:proofErr w:type="gramEnd"/>
            <w:r>
              <w:t xml:space="preserve"> rights challenges posed by the fight against </w:t>
            </w:r>
            <w:r w:rsidR="0064525B">
              <w:t xml:space="preserve">the Islamic State </w:t>
            </w:r>
            <w:r w:rsidR="00B549D6">
              <w:t>in</w:t>
            </w:r>
            <w:r w:rsidR="0064525B">
              <w:t xml:space="preserve"> Iraq and the Levant</w:t>
            </w:r>
            <w:r>
              <w:t xml:space="preserve"> and makes recommendations to States.</w:t>
            </w:r>
          </w:p>
        </w:tc>
      </w:tr>
      <w:tr w:rsidR="008E1155" w:rsidRPr="000625DD" w:rsidTr="005E6DBB">
        <w:trPr>
          <w:jc w:val="center"/>
        </w:trPr>
        <w:tc>
          <w:tcPr>
            <w:tcW w:w="9637" w:type="dxa"/>
            <w:shd w:val="clear" w:color="auto" w:fill="auto"/>
          </w:tcPr>
          <w:p w:rsidR="008E1155" w:rsidRPr="000625DD" w:rsidRDefault="008E1155" w:rsidP="008E1155"/>
        </w:tc>
      </w:tr>
    </w:tbl>
    <w:p w:rsidR="006214D1" w:rsidRPr="000625DD" w:rsidRDefault="006214D1" w:rsidP="008E1155"/>
    <w:p w:rsidR="00FE0534" w:rsidRDefault="00FE0534" w:rsidP="00FE0534">
      <w:pPr>
        <w:pStyle w:val="HChG"/>
        <w:pageBreakBefore/>
        <w:rPr>
          <w:i/>
          <w:sz w:val="18"/>
          <w:lang w:val="fr-CH"/>
        </w:rPr>
      </w:pPr>
      <w:r>
        <w:rPr>
          <w:b w:val="0"/>
          <w:lang w:val="fr-CH"/>
        </w:rPr>
        <w:lastRenderedPageBreak/>
        <w:t>Contents</w:t>
      </w:r>
    </w:p>
    <w:p w:rsidR="00FE0534" w:rsidRDefault="00FE0534" w:rsidP="00FE0534">
      <w:pPr>
        <w:tabs>
          <w:tab w:val="right" w:pos="8929"/>
          <w:tab w:val="right" w:pos="9638"/>
        </w:tabs>
        <w:spacing w:after="120"/>
        <w:ind w:left="283"/>
        <w:rPr>
          <w:lang w:val="fr-FR"/>
        </w:rPr>
      </w:pPr>
      <w:r>
        <w:rPr>
          <w:i/>
          <w:sz w:val="18"/>
          <w:lang w:val="fr-CH"/>
        </w:rPr>
        <w:tab/>
        <w:t>Paragraphs</w:t>
      </w:r>
      <w:r>
        <w:rPr>
          <w:i/>
          <w:sz w:val="18"/>
          <w:lang w:val="fr-CH"/>
        </w:rPr>
        <w:tab/>
        <w:t>Page</w:t>
      </w:r>
    </w:p>
    <w:p w:rsidR="00FE0534" w:rsidRPr="009A73CC" w:rsidRDefault="00FE0534" w:rsidP="00FE0534">
      <w:pPr>
        <w:tabs>
          <w:tab w:val="right" w:pos="850"/>
          <w:tab w:val="left" w:pos="1134"/>
          <w:tab w:val="left" w:pos="1559"/>
          <w:tab w:val="left" w:pos="1984"/>
          <w:tab w:val="left" w:leader="dot" w:pos="7654"/>
          <w:tab w:val="right" w:pos="8929"/>
          <w:tab w:val="right" w:pos="9638"/>
        </w:tabs>
        <w:spacing w:after="120"/>
        <w:rPr>
          <w:lang w:val="fr-FR"/>
        </w:rPr>
      </w:pPr>
      <w:r>
        <w:rPr>
          <w:lang w:val="fr-FR"/>
        </w:rPr>
        <w:tab/>
        <w:t>I.</w:t>
      </w:r>
      <w:r>
        <w:rPr>
          <w:lang w:val="fr-FR"/>
        </w:rPr>
        <w:tab/>
        <w:t>Introduction</w:t>
      </w:r>
      <w:r>
        <w:rPr>
          <w:lang w:val="fr-FR"/>
        </w:rPr>
        <w:tab/>
      </w:r>
      <w:r>
        <w:rPr>
          <w:lang w:val="fr-FR"/>
        </w:rPr>
        <w:tab/>
        <w:t>1</w:t>
      </w:r>
      <w:r>
        <w:rPr>
          <w:lang w:val="fr-FR"/>
        </w:rPr>
        <w:tab/>
      </w:r>
      <w:r w:rsidRPr="009A73CC">
        <w:rPr>
          <w:lang w:val="fr-FR"/>
        </w:rPr>
        <w:t>3</w:t>
      </w:r>
    </w:p>
    <w:p w:rsidR="00FE0534" w:rsidRPr="009A73CC" w:rsidRDefault="00FE0534" w:rsidP="00FE0534">
      <w:pPr>
        <w:tabs>
          <w:tab w:val="right" w:pos="850"/>
          <w:tab w:val="left" w:pos="1134"/>
          <w:tab w:val="left" w:pos="1559"/>
          <w:tab w:val="left" w:pos="1984"/>
          <w:tab w:val="left" w:leader="dot" w:pos="7654"/>
          <w:tab w:val="right" w:pos="8929"/>
          <w:tab w:val="right" w:pos="9638"/>
        </w:tabs>
        <w:spacing w:after="120"/>
      </w:pPr>
      <w:r w:rsidRPr="009A73CC">
        <w:rPr>
          <w:lang w:val="fr-FR"/>
        </w:rPr>
        <w:tab/>
      </w:r>
      <w:r w:rsidRPr="009A73CC">
        <w:t>II.</w:t>
      </w:r>
      <w:r w:rsidRPr="009A73CC">
        <w:tab/>
        <w:t>Activit</w:t>
      </w:r>
      <w:r w:rsidR="008F1C83" w:rsidRPr="009A73CC">
        <w:t>ies of the Special Rapporteur</w:t>
      </w:r>
      <w:r w:rsidR="008F1C83" w:rsidRPr="009A73CC">
        <w:tab/>
      </w:r>
      <w:r w:rsidR="008F1C83" w:rsidRPr="009A73CC">
        <w:tab/>
      </w:r>
      <w:r w:rsidRPr="009A73CC">
        <w:t>2</w:t>
      </w:r>
      <w:r w:rsidRPr="009A73CC">
        <w:rPr>
          <w:rFonts w:ascii="Symbol" w:hAnsi="Symbol" w:cs="Symbol"/>
        </w:rPr>
        <w:t></w:t>
      </w:r>
      <w:r w:rsidR="008F1C83" w:rsidRPr="009A73CC">
        <w:rPr>
          <w:rFonts w:ascii="Symbol" w:hAnsi="Symbol" w:cs="Symbol"/>
        </w:rPr>
        <w:t></w:t>
      </w:r>
      <w:r w:rsidRPr="009A73CC">
        <w:tab/>
        <w:t>3</w:t>
      </w:r>
    </w:p>
    <w:p w:rsidR="00FE0534" w:rsidRPr="009A73CC" w:rsidRDefault="00FE0534" w:rsidP="009A73CC">
      <w:pPr>
        <w:tabs>
          <w:tab w:val="right" w:pos="850"/>
          <w:tab w:val="left" w:pos="1134"/>
          <w:tab w:val="left" w:pos="1985"/>
          <w:tab w:val="left" w:leader="dot" w:pos="7654"/>
          <w:tab w:val="right" w:pos="8929"/>
          <w:tab w:val="right" w:pos="9638"/>
        </w:tabs>
        <w:spacing w:after="120"/>
      </w:pPr>
      <w:r w:rsidRPr="009A73CC">
        <w:tab/>
        <w:t>III.</w:t>
      </w:r>
      <w:r w:rsidRPr="009A73CC">
        <w:tab/>
        <w:t xml:space="preserve">Human rights in the fight against </w:t>
      </w:r>
      <w:r w:rsidR="00401800" w:rsidRPr="009A73CC">
        <w:t xml:space="preserve">the Islamic State </w:t>
      </w:r>
      <w:r w:rsidR="00B549D6" w:rsidRPr="009A73CC">
        <w:t>in</w:t>
      </w:r>
      <w:r w:rsidR="00401800" w:rsidRPr="009A73CC">
        <w:t xml:space="preserve"> Iraq and the Levant</w:t>
      </w:r>
      <w:r w:rsidRPr="009A73CC">
        <w:tab/>
      </w:r>
      <w:r w:rsidRPr="009A73CC">
        <w:tab/>
      </w:r>
      <w:r w:rsidR="008F1C83" w:rsidRPr="009A73CC">
        <w:t>10</w:t>
      </w:r>
      <w:r w:rsidR="004E5A9B" w:rsidRPr="009A73CC">
        <w:t>–</w:t>
      </w:r>
      <w:r w:rsidR="003625E7" w:rsidRPr="009A73CC">
        <w:t>59</w:t>
      </w:r>
      <w:r w:rsidRPr="009A73CC">
        <w:tab/>
      </w:r>
      <w:r w:rsidR="009A73CC">
        <w:t>3</w:t>
      </w:r>
    </w:p>
    <w:p w:rsidR="00FE0534" w:rsidRPr="009A73CC" w:rsidRDefault="00FE0534" w:rsidP="00FE0534">
      <w:pPr>
        <w:tabs>
          <w:tab w:val="right" w:pos="850"/>
          <w:tab w:val="left" w:pos="1134"/>
          <w:tab w:val="left" w:pos="1559"/>
          <w:tab w:val="left" w:pos="1984"/>
          <w:tab w:val="left" w:leader="dot" w:pos="7654"/>
          <w:tab w:val="right" w:pos="8929"/>
          <w:tab w:val="right" w:pos="9638"/>
        </w:tabs>
        <w:spacing w:after="120"/>
      </w:pPr>
      <w:r w:rsidRPr="009A73CC">
        <w:tab/>
      </w:r>
      <w:r w:rsidRPr="009A73CC">
        <w:tab/>
        <w:t>A.</w:t>
      </w:r>
      <w:r w:rsidRPr="009A73CC">
        <w:tab/>
        <w:t>Background</w:t>
      </w:r>
      <w:r w:rsidRPr="009A73CC">
        <w:tab/>
      </w:r>
      <w:r w:rsidRPr="009A73CC">
        <w:tab/>
      </w:r>
      <w:r w:rsidR="008F1C83" w:rsidRPr="009A73CC">
        <w:t>13</w:t>
      </w:r>
      <w:r w:rsidR="004E5A9B" w:rsidRPr="009A73CC">
        <w:t>–</w:t>
      </w:r>
      <w:r w:rsidR="008F1C83" w:rsidRPr="009A73CC">
        <w:t>20</w:t>
      </w:r>
      <w:r w:rsidRPr="009A73CC">
        <w:tab/>
      </w:r>
      <w:r w:rsidR="003625E7" w:rsidRPr="009A73CC">
        <w:t>4</w:t>
      </w:r>
    </w:p>
    <w:p w:rsidR="00FE0534" w:rsidRPr="009A73CC" w:rsidRDefault="00FE0534" w:rsidP="00C6469A">
      <w:pPr>
        <w:tabs>
          <w:tab w:val="right" w:pos="850"/>
          <w:tab w:val="left" w:pos="1134"/>
          <w:tab w:val="left" w:pos="1559"/>
          <w:tab w:val="left" w:pos="1984"/>
          <w:tab w:val="left" w:leader="dot" w:pos="7654"/>
          <w:tab w:val="right" w:pos="8929"/>
          <w:tab w:val="right" w:pos="9638"/>
        </w:tabs>
        <w:spacing w:after="120"/>
      </w:pPr>
      <w:r w:rsidRPr="009A73CC">
        <w:tab/>
      </w:r>
      <w:r w:rsidRPr="009A73CC">
        <w:tab/>
        <w:t>B.</w:t>
      </w:r>
      <w:r w:rsidRPr="009A73CC">
        <w:tab/>
      </w:r>
      <w:r w:rsidR="006E244E" w:rsidRPr="009A73CC">
        <w:t>L</w:t>
      </w:r>
      <w:r w:rsidRPr="009A73CC">
        <w:t>egal framework</w:t>
      </w:r>
      <w:r w:rsidRPr="009A73CC">
        <w:tab/>
      </w:r>
      <w:r w:rsidRPr="009A73CC">
        <w:tab/>
      </w:r>
      <w:r w:rsidR="008F1C83" w:rsidRPr="009A73CC">
        <w:t>21</w:t>
      </w:r>
      <w:r w:rsidR="004E5A9B" w:rsidRPr="009A73CC">
        <w:t>–</w:t>
      </w:r>
      <w:r w:rsidR="008F1C83" w:rsidRPr="009A73CC">
        <w:t>23</w:t>
      </w:r>
      <w:r w:rsidRPr="009A73CC">
        <w:tab/>
      </w:r>
      <w:r w:rsidR="003625E7" w:rsidRPr="009A73CC">
        <w:t>7</w:t>
      </w:r>
    </w:p>
    <w:p w:rsidR="00FE0534" w:rsidRPr="009A73CC" w:rsidRDefault="00FE0534" w:rsidP="000A5115">
      <w:pPr>
        <w:tabs>
          <w:tab w:val="right" w:pos="850"/>
          <w:tab w:val="left" w:pos="1134"/>
          <w:tab w:val="left" w:pos="1559"/>
          <w:tab w:val="left" w:pos="1984"/>
          <w:tab w:val="left" w:leader="dot" w:pos="7654"/>
          <w:tab w:val="right" w:pos="8929"/>
          <w:tab w:val="right" w:pos="9638"/>
        </w:tabs>
        <w:spacing w:after="120"/>
      </w:pPr>
      <w:r w:rsidRPr="009A73CC">
        <w:tab/>
      </w:r>
      <w:r w:rsidRPr="009A73CC">
        <w:tab/>
        <w:t>C.</w:t>
      </w:r>
      <w:r w:rsidRPr="009A73CC">
        <w:tab/>
        <w:t xml:space="preserve">Human rights and humanitarian law violations attributable to </w:t>
      </w:r>
      <w:r w:rsidR="00401800" w:rsidRPr="009A73CC">
        <w:t xml:space="preserve">the </w:t>
      </w:r>
      <w:r w:rsidR="00E258E2" w:rsidRPr="009A73CC">
        <w:br/>
      </w:r>
      <w:r w:rsidR="00E258E2" w:rsidRPr="009A73CC">
        <w:tab/>
      </w:r>
      <w:r w:rsidR="00E258E2" w:rsidRPr="009A73CC">
        <w:tab/>
      </w:r>
      <w:r w:rsidR="00E258E2" w:rsidRPr="009A73CC">
        <w:tab/>
      </w:r>
      <w:r w:rsidR="00401800" w:rsidRPr="009A73CC">
        <w:t xml:space="preserve">Islamic State </w:t>
      </w:r>
      <w:r w:rsidR="000A5115" w:rsidRPr="009A73CC">
        <w:t>in</w:t>
      </w:r>
      <w:r w:rsidR="00401800" w:rsidRPr="009A73CC">
        <w:t xml:space="preserve"> Iraq and the Levant</w:t>
      </w:r>
      <w:r w:rsidRPr="009A73CC">
        <w:t xml:space="preserve"> </w:t>
      </w:r>
      <w:r w:rsidRPr="009A73CC">
        <w:tab/>
      </w:r>
      <w:r w:rsidRPr="009A73CC">
        <w:tab/>
      </w:r>
      <w:r w:rsidR="008F1C83" w:rsidRPr="009A73CC">
        <w:t>24</w:t>
      </w:r>
      <w:r w:rsidR="004E5A9B" w:rsidRPr="009A73CC">
        <w:t>–</w:t>
      </w:r>
      <w:r w:rsidR="008F1C83" w:rsidRPr="009A73CC">
        <w:t>31</w:t>
      </w:r>
      <w:r w:rsidRPr="009A73CC">
        <w:tab/>
      </w:r>
      <w:r w:rsidR="00EA5D67" w:rsidRPr="009A73CC">
        <w:t>7</w:t>
      </w:r>
    </w:p>
    <w:p w:rsidR="00FE0534" w:rsidRPr="009A73CC" w:rsidRDefault="00FE0534" w:rsidP="00FE0534">
      <w:pPr>
        <w:tabs>
          <w:tab w:val="right" w:pos="850"/>
          <w:tab w:val="left" w:pos="1134"/>
          <w:tab w:val="left" w:pos="1559"/>
          <w:tab w:val="left" w:pos="1984"/>
          <w:tab w:val="left" w:leader="dot" w:pos="7654"/>
          <w:tab w:val="right" w:pos="8929"/>
          <w:tab w:val="right" w:pos="9638"/>
        </w:tabs>
        <w:spacing w:after="120"/>
      </w:pPr>
      <w:r w:rsidRPr="009A73CC">
        <w:tab/>
      </w:r>
      <w:r w:rsidRPr="009A73CC">
        <w:tab/>
        <w:t>D.</w:t>
      </w:r>
      <w:r w:rsidRPr="009A73CC">
        <w:tab/>
        <w:t>Accountability</w:t>
      </w:r>
      <w:r w:rsidRPr="009A73CC">
        <w:tab/>
      </w:r>
      <w:r w:rsidRPr="009A73CC">
        <w:tab/>
      </w:r>
      <w:r w:rsidR="008F1C83" w:rsidRPr="009A73CC">
        <w:t>32</w:t>
      </w:r>
      <w:r w:rsidR="004E5A9B" w:rsidRPr="009A73CC">
        <w:t>–</w:t>
      </w:r>
      <w:r w:rsidR="008F1C83" w:rsidRPr="009A73CC">
        <w:t>34</w:t>
      </w:r>
      <w:r w:rsidRPr="009A73CC">
        <w:tab/>
      </w:r>
      <w:r w:rsidR="003625E7" w:rsidRPr="009A73CC">
        <w:t>11</w:t>
      </w:r>
    </w:p>
    <w:p w:rsidR="00FE0534" w:rsidRPr="009A73CC" w:rsidRDefault="00FE0534" w:rsidP="00C6469A">
      <w:pPr>
        <w:tabs>
          <w:tab w:val="right" w:pos="850"/>
          <w:tab w:val="left" w:pos="1134"/>
          <w:tab w:val="left" w:pos="1559"/>
          <w:tab w:val="left" w:pos="1984"/>
          <w:tab w:val="left" w:leader="dot" w:pos="7654"/>
          <w:tab w:val="right" w:pos="8929"/>
          <w:tab w:val="right" w:pos="9638"/>
        </w:tabs>
        <w:spacing w:after="120"/>
      </w:pPr>
      <w:r w:rsidRPr="009A73CC">
        <w:tab/>
      </w:r>
      <w:r w:rsidRPr="009A73CC">
        <w:tab/>
        <w:t>E.</w:t>
      </w:r>
      <w:r w:rsidRPr="009A73CC">
        <w:tab/>
      </w:r>
      <w:r w:rsidR="006E244E" w:rsidRPr="009A73CC">
        <w:t>R</w:t>
      </w:r>
      <w:r w:rsidRPr="009A73CC">
        <w:t>esponse of the Security Council</w:t>
      </w:r>
      <w:r w:rsidRPr="009A73CC">
        <w:tab/>
      </w:r>
      <w:r w:rsidRPr="009A73CC">
        <w:tab/>
      </w:r>
      <w:r w:rsidR="008F1C83" w:rsidRPr="009A73CC">
        <w:t>35</w:t>
      </w:r>
      <w:r w:rsidR="004E5A9B" w:rsidRPr="009A73CC">
        <w:t>–</w:t>
      </w:r>
      <w:r w:rsidR="008F1C83" w:rsidRPr="009A73CC">
        <w:t>45</w:t>
      </w:r>
      <w:r w:rsidRPr="009A73CC">
        <w:tab/>
      </w:r>
      <w:r w:rsidR="003625E7" w:rsidRPr="009A73CC">
        <w:t>12</w:t>
      </w:r>
    </w:p>
    <w:p w:rsidR="00FE0534" w:rsidRPr="009A73CC" w:rsidRDefault="00FE0534" w:rsidP="00B549D6">
      <w:pPr>
        <w:tabs>
          <w:tab w:val="right" w:pos="850"/>
          <w:tab w:val="left" w:pos="1134"/>
          <w:tab w:val="left" w:pos="1559"/>
          <w:tab w:val="left" w:pos="1984"/>
          <w:tab w:val="left" w:leader="dot" w:pos="7654"/>
          <w:tab w:val="right" w:pos="8929"/>
          <w:tab w:val="right" w:pos="9638"/>
        </w:tabs>
        <w:spacing w:after="120"/>
      </w:pPr>
      <w:r w:rsidRPr="009A73CC">
        <w:tab/>
      </w:r>
      <w:r w:rsidRPr="009A73CC">
        <w:tab/>
        <w:t>F.</w:t>
      </w:r>
      <w:r w:rsidRPr="009A73CC">
        <w:tab/>
      </w:r>
      <w:r w:rsidR="006E244E" w:rsidRPr="009A73CC">
        <w:t>I</w:t>
      </w:r>
      <w:r w:rsidRPr="009A73CC">
        <w:t xml:space="preserve">mpact on civilians of the military response to </w:t>
      </w:r>
      <w:r w:rsidR="00B13B65" w:rsidRPr="009A73CC">
        <w:t>the</w:t>
      </w:r>
      <w:r w:rsidR="00B13B65" w:rsidRPr="009A73CC">
        <w:br/>
      </w:r>
      <w:r w:rsidR="00B13B65" w:rsidRPr="009A73CC">
        <w:rPr>
          <w:rStyle w:val="preferred"/>
        </w:rPr>
        <w:tab/>
      </w:r>
      <w:r w:rsidR="00B13B65" w:rsidRPr="009A73CC">
        <w:rPr>
          <w:rStyle w:val="preferred"/>
        </w:rPr>
        <w:tab/>
      </w:r>
      <w:r w:rsidR="00B13B65" w:rsidRPr="009A73CC">
        <w:rPr>
          <w:rStyle w:val="preferred"/>
        </w:rPr>
        <w:tab/>
        <w:t>Islamic State in Iraq and the Levant</w:t>
      </w:r>
      <w:r w:rsidRPr="009A73CC">
        <w:tab/>
      </w:r>
      <w:r w:rsidRPr="009A73CC">
        <w:tab/>
      </w:r>
      <w:r w:rsidR="008F1C83" w:rsidRPr="009A73CC">
        <w:t>46</w:t>
      </w:r>
      <w:r w:rsidR="004E5A9B" w:rsidRPr="009A73CC">
        <w:t>–</w:t>
      </w:r>
      <w:r w:rsidR="008F1C83" w:rsidRPr="009A73CC">
        <w:t>58</w:t>
      </w:r>
      <w:r w:rsidRPr="009A73CC">
        <w:tab/>
      </w:r>
      <w:r w:rsidR="003625E7" w:rsidRPr="009A73CC">
        <w:t>15</w:t>
      </w:r>
    </w:p>
    <w:p w:rsidR="00FE0534" w:rsidRPr="009A73CC" w:rsidRDefault="00FE0534" w:rsidP="00C6469A">
      <w:pPr>
        <w:tabs>
          <w:tab w:val="right" w:pos="850"/>
          <w:tab w:val="left" w:pos="1134"/>
          <w:tab w:val="left" w:pos="1559"/>
          <w:tab w:val="left" w:pos="1984"/>
          <w:tab w:val="left" w:leader="dot" w:pos="7654"/>
          <w:tab w:val="right" w:pos="8929"/>
          <w:tab w:val="right" w:pos="9638"/>
        </w:tabs>
        <w:spacing w:after="120"/>
      </w:pPr>
      <w:r w:rsidRPr="009A73CC">
        <w:tab/>
      </w:r>
      <w:r w:rsidRPr="009A73CC">
        <w:tab/>
        <w:t>G.</w:t>
      </w:r>
      <w:r w:rsidRPr="009A73CC">
        <w:tab/>
      </w:r>
      <w:r w:rsidR="006E244E" w:rsidRPr="009A73CC">
        <w:t>R</w:t>
      </w:r>
      <w:r w:rsidRPr="009A73CC">
        <w:t>ole of the Security Council in authori</w:t>
      </w:r>
      <w:r w:rsidR="00401800" w:rsidRPr="009A73CC">
        <w:t>z</w:t>
      </w:r>
      <w:r w:rsidRPr="009A73CC">
        <w:t>ing the use of force</w:t>
      </w:r>
      <w:r w:rsidRPr="009A73CC">
        <w:tab/>
      </w:r>
      <w:r w:rsidRPr="009A73CC">
        <w:tab/>
      </w:r>
      <w:r w:rsidR="008F1C83" w:rsidRPr="009A73CC">
        <w:t>59</w:t>
      </w:r>
      <w:r w:rsidRPr="009A73CC">
        <w:tab/>
      </w:r>
      <w:r w:rsidR="00F4525D" w:rsidRPr="009A73CC">
        <w:t>19</w:t>
      </w:r>
    </w:p>
    <w:p w:rsidR="00FE0534" w:rsidRDefault="00FE0534" w:rsidP="00812FA4">
      <w:pPr>
        <w:tabs>
          <w:tab w:val="right" w:pos="850"/>
          <w:tab w:val="left" w:pos="1134"/>
          <w:tab w:val="left" w:pos="1559"/>
          <w:tab w:val="left" w:pos="1984"/>
          <w:tab w:val="left" w:leader="dot" w:pos="7654"/>
          <w:tab w:val="right" w:pos="8929"/>
          <w:tab w:val="right" w:pos="9638"/>
        </w:tabs>
        <w:spacing w:after="120"/>
      </w:pPr>
      <w:r w:rsidRPr="009A73CC">
        <w:tab/>
        <w:t>IV.</w:t>
      </w:r>
      <w:r w:rsidRPr="009A73CC">
        <w:tab/>
        <w:t xml:space="preserve">Conclusions and recommendations </w:t>
      </w:r>
      <w:r w:rsidRPr="009A73CC">
        <w:tab/>
      </w:r>
      <w:r w:rsidRPr="009A73CC">
        <w:tab/>
      </w:r>
      <w:r w:rsidR="008F1C83" w:rsidRPr="009A73CC">
        <w:t>60</w:t>
      </w:r>
      <w:r w:rsidR="004E5A9B" w:rsidRPr="009A73CC">
        <w:t>–</w:t>
      </w:r>
      <w:r w:rsidR="008F1C83" w:rsidRPr="009A73CC">
        <w:t>63</w:t>
      </w:r>
      <w:r w:rsidRPr="009A73CC">
        <w:tab/>
      </w:r>
      <w:r w:rsidR="00812FA4">
        <w:t>20</w:t>
      </w:r>
    </w:p>
    <w:p w:rsidR="00FE0534" w:rsidRDefault="00FE0534" w:rsidP="00FE0534">
      <w:pPr>
        <w:pStyle w:val="HChG"/>
      </w:pPr>
      <w:r>
        <w:br w:type="page"/>
      </w:r>
      <w:r>
        <w:lastRenderedPageBreak/>
        <w:tab/>
        <w:t>I.</w:t>
      </w:r>
      <w:r>
        <w:tab/>
        <w:t>Introduction</w:t>
      </w:r>
    </w:p>
    <w:p w:rsidR="00FE0534" w:rsidRDefault="00450324" w:rsidP="00450324">
      <w:pPr>
        <w:pStyle w:val="SingleTxtG"/>
      </w:pPr>
      <w:r>
        <w:t>1.</w:t>
      </w:r>
      <w:r>
        <w:tab/>
      </w:r>
      <w:r w:rsidR="00FE0534">
        <w:t xml:space="preserve">The present report is submitted to the Human Rights Council pursuant to </w:t>
      </w:r>
      <w:r w:rsidR="006E244E">
        <w:t xml:space="preserve">its </w:t>
      </w:r>
      <w:r w:rsidR="00FE0534">
        <w:t xml:space="preserve">resolution 22/8. In the report, the Special Rapporteur lists </w:t>
      </w:r>
      <w:r w:rsidR="0064525B">
        <w:t>the</w:t>
      </w:r>
      <w:r w:rsidR="00FE0534">
        <w:t xml:space="preserve"> key activities </w:t>
      </w:r>
      <w:r w:rsidR="0064525B">
        <w:t xml:space="preserve">he </w:t>
      </w:r>
      <w:r w:rsidR="00FE0534">
        <w:t>undert</w:t>
      </w:r>
      <w:r w:rsidR="0064525B">
        <w:t>oo</w:t>
      </w:r>
      <w:r w:rsidR="00FE0534">
        <w:t>k from 17 December to 31 December 2014</w:t>
      </w:r>
      <w:r w:rsidR="0064525B">
        <w:t>,</w:t>
      </w:r>
      <w:r w:rsidR="00FE0534">
        <w:t xml:space="preserve"> focuses on the </w:t>
      </w:r>
      <w:proofErr w:type="gramStart"/>
      <w:r w:rsidR="00FE0534">
        <w:t>humans</w:t>
      </w:r>
      <w:proofErr w:type="gramEnd"/>
      <w:r w:rsidR="00FE0534">
        <w:t xml:space="preserve"> rights challenges posed by the fight against </w:t>
      </w:r>
      <w:r w:rsidR="0064525B">
        <w:t xml:space="preserve">the Islamic State </w:t>
      </w:r>
      <w:r w:rsidR="00B13B65" w:rsidRPr="000A5115">
        <w:t>in</w:t>
      </w:r>
      <w:r w:rsidR="0064525B">
        <w:t xml:space="preserve"> Iraq and the Levant</w:t>
      </w:r>
      <w:r w:rsidR="00890F1E">
        <w:t xml:space="preserve"> </w:t>
      </w:r>
      <w:r w:rsidR="00FE0534">
        <w:t>and makes recommendations.</w:t>
      </w:r>
      <w:r w:rsidR="004E5A9B">
        <w:t xml:space="preserve"> </w:t>
      </w:r>
    </w:p>
    <w:p w:rsidR="00FE0534" w:rsidRDefault="00FE0534" w:rsidP="00FE0534">
      <w:pPr>
        <w:pStyle w:val="HChG"/>
        <w:rPr>
          <w:lang w:eastAsia="hi-IN" w:bidi="hi-IN"/>
        </w:rPr>
      </w:pPr>
      <w:r>
        <w:tab/>
        <w:t>II.</w:t>
      </w:r>
      <w:r>
        <w:tab/>
        <w:t>Activities of the Special Rapporteur</w:t>
      </w:r>
    </w:p>
    <w:p w:rsidR="00FE0534" w:rsidRDefault="00450324" w:rsidP="00450324">
      <w:pPr>
        <w:pStyle w:val="SingleTxtG"/>
        <w:rPr>
          <w:lang w:eastAsia="hi-IN" w:bidi="hi-IN"/>
        </w:rPr>
      </w:pPr>
      <w:r>
        <w:rPr>
          <w:lang w:eastAsia="hi-IN" w:bidi="hi-IN"/>
        </w:rPr>
        <w:t>2.</w:t>
      </w:r>
      <w:r>
        <w:rPr>
          <w:lang w:eastAsia="hi-IN" w:bidi="hi-IN"/>
        </w:rPr>
        <w:tab/>
      </w:r>
      <w:r w:rsidR="00FE0534">
        <w:t xml:space="preserve">On 13 February 2014, the Special Rapporteur participated as a speaker in a panel discussion entitled “Debating </w:t>
      </w:r>
      <w:r w:rsidR="00FE0534">
        <w:rPr>
          <w:i/>
          <w:iCs/>
        </w:rPr>
        <w:t>Kadi II</w:t>
      </w:r>
      <w:r w:rsidR="00FE0534">
        <w:t>: United Nations Ombudsperson v. judicial review in Security Council sanctions decision-making” at the London School of Economics.</w:t>
      </w:r>
    </w:p>
    <w:p w:rsidR="00FE0534" w:rsidRDefault="00450324" w:rsidP="00450324">
      <w:pPr>
        <w:pStyle w:val="SingleTxtG"/>
      </w:pPr>
      <w:r>
        <w:t>3.</w:t>
      </w:r>
      <w:r>
        <w:tab/>
      </w:r>
      <w:r w:rsidR="00FE0534">
        <w:t>From 23 to 25 February, the Special Rapporteur participated in an expert seminar on the theme “The right to privacy in the digital age”, hosted by the Permanent Missions of Austria, Brazil, Germany, Liechtenstein, Mexico, Norway and Switzerland and facilitated by the Geneva Academy of International Humanitarian Law and Human Rights, in Geneva.</w:t>
      </w:r>
    </w:p>
    <w:p w:rsidR="00FE0534" w:rsidRDefault="00450324" w:rsidP="00450324">
      <w:pPr>
        <w:pStyle w:val="SingleTxtG"/>
      </w:pPr>
      <w:r>
        <w:t>4.</w:t>
      </w:r>
      <w:r>
        <w:tab/>
      </w:r>
      <w:r w:rsidR="00FE0534">
        <w:t>On 11 March, the Special Rapporteur presented</w:t>
      </w:r>
      <w:r w:rsidR="00D6504A">
        <w:t xml:space="preserve"> to the Human Rights Council</w:t>
      </w:r>
      <w:r w:rsidR="00FE0534">
        <w:t xml:space="preserve"> his report on the use of remotely piloted aircraft, or drones, in extraterritorial lethal counter-terrorism operations, including in the context of asymmetrical armed conflict, and its impact</w:t>
      </w:r>
      <w:r w:rsidR="00D6504A">
        <w:t xml:space="preserve"> on civilians</w:t>
      </w:r>
      <w:r w:rsidR="00FE0534">
        <w:t xml:space="preserve"> (</w:t>
      </w:r>
      <w:hyperlink r:id="rId9" w:history="1">
        <w:r w:rsidR="00FE0534">
          <w:rPr>
            <w:rStyle w:val="Hyperlink"/>
          </w:rPr>
          <w:t>A/HRC/25/59</w:t>
        </w:r>
      </w:hyperlink>
      <w:r w:rsidR="00FE0534">
        <w:t>). He also held an interactive dialogue with the Council on his visits to Burkina Faso (</w:t>
      </w:r>
      <w:hyperlink r:id="rId10" w:history="1">
        <w:r w:rsidR="00FE0534">
          <w:rPr>
            <w:rStyle w:val="Hyperlink"/>
          </w:rPr>
          <w:t>A/HRC/25/59/Add.1</w:t>
        </w:r>
      </w:hyperlink>
      <w:r w:rsidR="00FE0534">
        <w:t>) and Chile (</w:t>
      </w:r>
      <w:hyperlink r:id="rId11" w:history="1">
        <w:r w:rsidR="00FE0534">
          <w:rPr>
            <w:rStyle w:val="Hyperlink"/>
          </w:rPr>
          <w:t>A/HCR/25/59/Add.2</w:t>
        </w:r>
      </w:hyperlink>
      <w:r w:rsidR="00FE0534">
        <w:t>).</w:t>
      </w:r>
    </w:p>
    <w:p w:rsidR="00FE0534" w:rsidRDefault="00450324" w:rsidP="00450324">
      <w:pPr>
        <w:pStyle w:val="SingleTxtG"/>
      </w:pPr>
      <w:r>
        <w:t>5.</w:t>
      </w:r>
      <w:r>
        <w:tab/>
      </w:r>
      <w:r w:rsidR="00FE0534">
        <w:t>On 12 March,</w:t>
      </w:r>
      <w:r w:rsidR="00D6504A">
        <w:t xml:space="preserve"> the</w:t>
      </w:r>
      <w:r w:rsidR="00FE0534">
        <w:t xml:space="preserve"> Special Rapporteur participated as a panellist in a side event on the topic “Human rights and drones” and held a press conference </w:t>
      </w:r>
      <w:r w:rsidR="00D6504A">
        <w:t>during</w:t>
      </w:r>
      <w:r w:rsidR="00FE0534">
        <w:t xml:space="preserve"> the twenty-fifth session of the Human Rights Council.</w:t>
      </w:r>
    </w:p>
    <w:p w:rsidR="00FE0534" w:rsidRDefault="00450324" w:rsidP="00450324">
      <w:pPr>
        <w:pStyle w:val="SingleTxtG"/>
      </w:pPr>
      <w:r>
        <w:t>6.</w:t>
      </w:r>
      <w:r>
        <w:tab/>
      </w:r>
      <w:r w:rsidR="00FE0534">
        <w:t>On 22 September,</w:t>
      </w:r>
      <w:r w:rsidR="00D6504A" w:rsidRPr="00D6504A">
        <w:t xml:space="preserve"> </w:t>
      </w:r>
      <w:r w:rsidR="00D6504A">
        <w:t>during the twenty-seventh session of the Human Rights Council,</w:t>
      </w:r>
      <w:r w:rsidR="00FE0534">
        <w:t xml:space="preserve"> the Special Rapporteur participated in </w:t>
      </w:r>
      <w:r w:rsidR="00D6504A">
        <w:t xml:space="preserve">a </w:t>
      </w:r>
      <w:r w:rsidR="00FE0534">
        <w:t xml:space="preserve">panel discussion on </w:t>
      </w:r>
      <w:r w:rsidR="00D6504A">
        <w:t xml:space="preserve">the topic </w:t>
      </w:r>
      <w:r w:rsidR="00FE0534">
        <w:t>“Ensuring use of remotely piloted aircraft or armed drones in counter</w:t>
      </w:r>
      <w:r w:rsidR="001F2DD5">
        <w:t>-</w:t>
      </w:r>
      <w:r w:rsidR="00FE0534">
        <w:t xml:space="preserve">terrorism and military operations in accordance with international law, including international human rights and humanitarian law”. The panel discussion </w:t>
      </w:r>
      <w:r w:rsidR="00D6504A">
        <w:t>was held</w:t>
      </w:r>
      <w:r w:rsidR="00FE0534">
        <w:t xml:space="preserve"> pursuant to Human Rights Council resolution 25/22. </w:t>
      </w:r>
    </w:p>
    <w:p w:rsidR="00FE0534" w:rsidRDefault="00450324" w:rsidP="00450324">
      <w:pPr>
        <w:pStyle w:val="SingleTxtG"/>
      </w:pPr>
      <w:r>
        <w:t>7.</w:t>
      </w:r>
      <w:r>
        <w:tab/>
      </w:r>
      <w:r w:rsidR="00FE0534" w:rsidRPr="00177CCA">
        <w:t>On 30 September</w:t>
      </w:r>
      <w:r w:rsidR="00FE0534">
        <w:t xml:space="preserve">, the Special Rapporteur participated in a hearing on </w:t>
      </w:r>
      <w:r w:rsidR="00C6469A">
        <w:t xml:space="preserve">the topic </w:t>
      </w:r>
      <w:r w:rsidR="00FE0534">
        <w:t>“Drones and targeted killings: the need to uphold human rights” before the Committee on Legal Affairs and Human Rights of the Parliamentary Assembly of the Council of Europe</w:t>
      </w:r>
      <w:r w:rsidR="003E6298">
        <w:t>,</w:t>
      </w:r>
      <w:r w:rsidR="00FE0534">
        <w:t xml:space="preserve"> in Strasbourg</w:t>
      </w:r>
      <w:r w:rsidR="00C6469A">
        <w:t>, France</w:t>
      </w:r>
      <w:r w:rsidR="00FE0534">
        <w:t>.</w:t>
      </w:r>
    </w:p>
    <w:p w:rsidR="00FE0534" w:rsidRDefault="00450324" w:rsidP="00450324">
      <w:pPr>
        <w:pStyle w:val="SingleTxtG"/>
      </w:pPr>
      <w:r>
        <w:t>8.</w:t>
      </w:r>
      <w:r>
        <w:tab/>
      </w:r>
      <w:r w:rsidR="00FE0534">
        <w:t xml:space="preserve">On 2 October, the Special Rapporteur participated in a panel discussion on </w:t>
      </w:r>
      <w:r w:rsidR="001C6B81">
        <w:t xml:space="preserve">the </w:t>
      </w:r>
      <w:r w:rsidR="001C6B81" w:rsidRPr="00E706DF">
        <w:t>s</w:t>
      </w:r>
      <w:r w:rsidR="00FE0534" w:rsidRPr="00E706DF">
        <w:t>ecuriti</w:t>
      </w:r>
      <w:r w:rsidR="001C6B81" w:rsidRPr="00E706DF">
        <w:t>z</w:t>
      </w:r>
      <w:r w:rsidR="00FE0534" w:rsidRPr="00E706DF">
        <w:t>ation</w:t>
      </w:r>
      <w:r w:rsidR="00FE0534">
        <w:t xml:space="preserve"> of public policy in a post-9/11 world</w:t>
      </w:r>
      <w:r w:rsidR="0059558F">
        <w:t>,</w:t>
      </w:r>
      <w:r w:rsidR="00FE0534">
        <w:t xml:space="preserve"> organized by Amnesty International in London.</w:t>
      </w:r>
    </w:p>
    <w:p w:rsidR="00FE0534" w:rsidRDefault="00450324" w:rsidP="00450324">
      <w:pPr>
        <w:pStyle w:val="SingleTxtG"/>
      </w:pPr>
      <w:r>
        <w:t>9.</w:t>
      </w:r>
      <w:r>
        <w:tab/>
      </w:r>
      <w:r w:rsidR="00FE0534">
        <w:t xml:space="preserve">On 23 October, the Special Rapporteur presented </w:t>
      </w:r>
      <w:r w:rsidR="001C6B81">
        <w:t xml:space="preserve">to the General Assembly </w:t>
      </w:r>
      <w:r w:rsidR="00FE0534">
        <w:t xml:space="preserve">his report on the use of mass digital surveillance for counter-terrorism purposes and the implications of bulk access technology for the right to privacy under </w:t>
      </w:r>
      <w:r w:rsidR="00E36C1B">
        <w:t>article </w:t>
      </w:r>
      <w:r w:rsidR="00FE0534">
        <w:t xml:space="preserve">17 of the International Covenant on Civil and Political Rights </w:t>
      </w:r>
      <w:r w:rsidR="00706ABB">
        <w:t>(</w:t>
      </w:r>
      <w:r w:rsidR="00706ABB" w:rsidRPr="00706ABB">
        <w:t>A/69/397</w:t>
      </w:r>
      <w:r w:rsidR="00706ABB">
        <w:t>)</w:t>
      </w:r>
      <w:r w:rsidR="00FE0534">
        <w:t>.</w:t>
      </w:r>
    </w:p>
    <w:p w:rsidR="00FE0534" w:rsidRDefault="00FE0534" w:rsidP="00B549D6">
      <w:pPr>
        <w:pStyle w:val="HChG"/>
      </w:pPr>
      <w:r>
        <w:tab/>
        <w:t>III.</w:t>
      </w:r>
      <w:r>
        <w:tab/>
        <w:t xml:space="preserve">Human </w:t>
      </w:r>
      <w:r w:rsidR="00401800">
        <w:t>r</w:t>
      </w:r>
      <w:r>
        <w:t xml:space="preserve">ights in the </w:t>
      </w:r>
      <w:r w:rsidR="00401800">
        <w:t>f</w:t>
      </w:r>
      <w:r>
        <w:t xml:space="preserve">ight </w:t>
      </w:r>
      <w:r w:rsidR="00401800">
        <w:t>a</w:t>
      </w:r>
      <w:r>
        <w:t xml:space="preserve">gainst </w:t>
      </w:r>
      <w:r w:rsidR="00401800">
        <w:t xml:space="preserve">the Islamic State </w:t>
      </w:r>
      <w:r w:rsidR="00B549D6">
        <w:t>in</w:t>
      </w:r>
      <w:r w:rsidR="00401800">
        <w:t xml:space="preserve"> Iraq and the Levant</w:t>
      </w:r>
    </w:p>
    <w:p w:rsidR="00FE0534" w:rsidRDefault="00450324" w:rsidP="00450324">
      <w:pPr>
        <w:pStyle w:val="SingleTxtG"/>
      </w:pPr>
      <w:r>
        <w:t>10.</w:t>
      </w:r>
      <w:r>
        <w:tab/>
      </w:r>
      <w:r w:rsidR="00890F1E">
        <w:t>I</w:t>
      </w:r>
      <w:r w:rsidR="00FE0534">
        <w:t xml:space="preserve">n recent years, </w:t>
      </w:r>
      <w:r w:rsidR="0059558F">
        <w:t xml:space="preserve">the Islamic State </w:t>
      </w:r>
      <w:r w:rsidR="0059558F" w:rsidRPr="000A5115">
        <w:t>in</w:t>
      </w:r>
      <w:r w:rsidR="0059558F">
        <w:t xml:space="preserve"> Iraq and the Levant (</w:t>
      </w:r>
      <w:r w:rsidR="00890F1E">
        <w:t>ISIL</w:t>
      </w:r>
      <w:r w:rsidR="0059558F">
        <w:t>)</w:t>
      </w:r>
      <w:r w:rsidR="00890F1E">
        <w:t xml:space="preserve"> has </w:t>
      </w:r>
      <w:r w:rsidR="00FE0534">
        <w:t xml:space="preserve">emerged as a key actor in the Middle </w:t>
      </w:r>
      <w:proofErr w:type="gramStart"/>
      <w:r w:rsidR="00FE0534">
        <w:t>East</w:t>
      </w:r>
      <w:proofErr w:type="gramEnd"/>
      <w:r w:rsidR="00FE0534">
        <w:t xml:space="preserve"> and</w:t>
      </w:r>
      <w:r w:rsidR="00890F1E">
        <w:t>,</w:t>
      </w:r>
      <w:r w:rsidR="00FE0534">
        <w:t xml:space="preserve"> reportedly</w:t>
      </w:r>
      <w:r w:rsidR="00890F1E">
        <w:t>,</w:t>
      </w:r>
      <w:r w:rsidR="00FE0534">
        <w:t xml:space="preserve"> beyond. One of many radical groups that found fertile ground in the violent environments created by decades of instability in Iraq and the more recent conflict in </w:t>
      </w:r>
      <w:r w:rsidR="00003B9D">
        <w:t xml:space="preserve">the </w:t>
      </w:r>
      <w:r w:rsidR="00FE0534">
        <w:t>Syria</w:t>
      </w:r>
      <w:r w:rsidR="00003B9D">
        <w:t>n Arab Republic</w:t>
      </w:r>
      <w:r w:rsidR="00FE0534">
        <w:t>, it has in the past two years become a well-organized, dominant armed force control</w:t>
      </w:r>
      <w:r w:rsidR="00890F1E">
        <w:t>ling</w:t>
      </w:r>
      <w:r w:rsidR="00FE0534">
        <w:t xml:space="preserve"> large swathes of populated areas in both Iraq</w:t>
      </w:r>
      <w:r w:rsidR="00890F1E">
        <w:t xml:space="preserve"> and the Syrian Arab Republic</w:t>
      </w:r>
      <w:r w:rsidR="00FE0534">
        <w:t>.</w:t>
      </w:r>
      <w:r w:rsidR="00FE0534" w:rsidRPr="007C4BD4">
        <w:rPr>
          <w:rStyle w:val="FootnoteReference"/>
        </w:rPr>
        <w:footnoteReference w:id="3"/>
      </w:r>
      <w:r w:rsidR="00FE0534">
        <w:t xml:space="preserve"> A self-proclaimed </w:t>
      </w:r>
      <w:r w:rsidR="00414B8E">
        <w:t>c</w:t>
      </w:r>
      <w:r w:rsidR="00FE0534">
        <w:t>aliphate, it attracts a significant number of individuals from around the world to join its ranks. Deeply rooted in sectarian distrust and an absence of inclusive, participatory processes,</w:t>
      </w:r>
      <w:r w:rsidR="00FE0534" w:rsidRPr="007C4BD4">
        <w:rPr>
          <w:rStyle w:val="FootnoteReference"/>
        </w:rPr>
        <w:footnoteReference w:id="4"/>
      </w:r>
      <w:r w:rsidR="00FE0534">
        <w:t xml:space="preserve"> ISIL has become a symbol of brutality, extreme violence, cruelty and terror</w:t>
      </w:r>
      <w:r w:rsidR="00890F1E">
        <w:t>, all of which it has</w:t>
      </w:r>
      <w:r w:rsidR="00FE0534">
        <w:t xml:space="preserve"> imposed on those living under its rule. </w:t>
      </w:r>
    </w:p>
    <w:p w:rsidR="00FE0534" w:rsidRDefault="00450324" w:rsidP="00450324">
      <w:pPr>
        <w:pStyle w:val="SingleTxtG"/>
      </w:pPr>
      <w:r>
        <w:t>11.</w:t>
      </w:r>
      <w:r>
        <w:tab/>
      </w:r>
      <w:r w:rsidR="00FE0534" w:rsidRPr="005B4B6B">
        <w:t>There is evidence that</w:t>
      </w:r>
      <w:r w:rsidR="00FE0534">
        <w:t xml:space="preserve"> ISIL has committed serious violations of international law, including genocide, crimes against humanity, war crimes and serious violations of human rights law. The Security Council has determined that ISIL represents a threat to international peace and security, has unequivocally condemned the gross and systematic abuses of human rights by ISIL and has stressed the need to bring perpetrators, including foreign terrorist fighters, to justice, but has failed to take more decisive action or to refer the situation to the International Criminal Court. </w:t>
      </w:r>
    </w:p>
    <w:p w:rsidR="00FE0534" w:rsidRDefault="00450324" w:rsidP="00450324">
      <w:pPr>
        <w:pStyle w:val="SingleTxtG"/>
        <w:rPr>
          <w:lang w:eastAsia="hi-IN" w:bidi="hi-IN"/>
        </w:rPr>
      </w:pPr>
      <w:r>
        <w:rPr>
          <w:lang w:eastAsia="hi-IN" w:bidi="hi-IN"/>
        </w:rPr>
        <w:t>12.</w:t>
      </w:r>
      <w:r>
        <w:rPr>
          <w:lang w:eastAsia="hi-IN" w:bidi="hi-IN"/>
        </w:rPr>
        <w:tab/>
      </w:r>
      <w:r w:rsidR="00FE0534">
        <w:t xml:space="preserve">The United Nations </w:t>
      </w:r>
      <w:r w:rsidR="00D53B44">
        <w:t>h</w:t>
      </w:r>
      <w:r w:rsidR="00FE0534">
        <w:t xml:space="preserve">uman </w:t>
      </w:r>
      <w:r w:rsidR="00D53B44">
        <w:t>r</w:t>
      </w:r>
      <w:r w:rsidR="00FE0534">
        <w:t xml:space="preserve">ights bodies, including the Human Rights Council, the </w:t>
      </w:r>
      <w:r w:rsidR="00D53B44">
        <w:t xml:space="preserve">Office of the </w:t>
      </w:r>
      <w:r w:rsidR="00890F1E">
        <w:t xml:space="preserve">United Nations </w:t>
      </w:r>
      <w:r w:rsidR="00FE0534">
        <w:t>High Commissioner</w:t>
      </w:r>
      <w:r w:rsidR="00890F1E">
        <w:t xml:space="preserve"> for Human Rights</w:t>
      </w:r>
      <w:r w:rsidR="00355F76">
        <w:t xml:space="preserve"> (OHCHR) and</w:t>
      </w:r>
      <w:r w:rsidR="00FE0534">
        <w:t xml:space="preserve"> </w:t>
      </w:r>
      <w:r w:rsidR="00D53B44">
        <w:t xml:space="preserve">the </w:t>
      </w:r>
      <w:r w:rsidR="00FE0534">
        <w:t>treaty bodies</w:t>
      </w:r>
      <w:r w:rsidR="00355F76">
        <w:t>,</w:t>
      </w:r>
      <w:r w:rsidR="00FE0534">
        <w:t xml:space="preserve"> </w:t>
      </w:r>
      <w:r w:rsidR="00355F76">
        <w:t>as well as</w:t>
      </w:r>
      <w:r w:rsidR="00FE0534">
        <w:t xml:space="preserve"> </w:t>
      </w:r>
      <w:r w:rsidR="00D53B44">
        <w:t>s</w:t>
      </w:r>
      <w:r w:rsidR="00FE0534">
        <w:t xml:space="preserve">pecial </w:t>
      </w:r>
      <w:r w:rsidR="00D53B44">
        <w:t>p</w:t>
      </w:r>
      <w:r w:rsidR="00FE0534">
        <w:t>rocedures</w:t>
      </w:r>
      <w:r w:rsidR="00890F1E">
        <w:t xml:space="preserve"> mandate holders</w:t>
      </w:r>
      <w:r w:rsidR="00D53B44">
        <w:t>,</w:t>
      </w:r>
      <w:r w:rsidR="00FE0534">
        <w:t xml:space="preserve"> have addressed various aspects of the situation in Iraq and </w:t>
      </w:r>
      <w:r w:rsidR="00051321">
        <w:t>the Syrian Arab Republic</w:t>
      </w:r>
      <w:r w:rsidR="00FE0534">
        <w:t xml:space="preserve">, including ISIL. The present report aims to contribute to this work by addressing the human rights issues linked to the actions carried out by ISIL, the adequacy of the response of the Security Council and the civilian impact of the military </w:t>
      </w:r>
      <w:r w:rsidR="00D53B44">
        <w:t xml:space="preserve">action </w:t>
      </w:r>
      <w:r w:rsidR="00FE0534">
        <w:t>taken by States engaged in combating ISIL.</w:t>
      </w:r>
      <w:r w:rsidR="00FE0534" w:rsidRPr="007C4BD4">
        <w:rPr>
          <w:rStyle w:val="FootnoteReference"/>
        </w:rPr>
        <w:footnoteReference w:id="5"/>
      </w:r>
    </w:p>
    <w:p w:rsidR="00FE0534" w:rsidRDefault="00FE0534" w:rsidP="00FE0534">
      <w:pPr>
        <w:pStyle w:val="H1G"/>
        <w:ind w:left="0" w:firstLine="0"/>
      </w:pPr>
      <w:r>
        <w:rPr>
          <w:lang w:eastAsia="hi-IN" w:bidi="hi-IN"/>
        </w:rPr>
        <w:tab/>
        <w:t>A.</w:t>
      </w:r>
      <w:r>
        <w:rPr>
          <w:lang w:eastAsia="hi-IN" w:bidi="hi-IN"/>
        </w:rPr>
        <w:tab/>
        <w:t>Background</w:t>
      </w:r>
    </w:p>
    <w:p w:rsidR="00FE0534" w:rsidRDefault="00450324" w:rsidP="00450324">
      <w:pPr>
        <w:pStyle w:val="SingleTxtG"/>
      </w:pPr>
      <w:r>
        <w:t>13.</w:t>
      </w:r>
      <w:r>
        <w:tab/>
      </w:r>
      <w:r w:rsidR="005B4B6B">
        <w:t xml:space="preserve">The origins of </w:t>
      </w:r>
      <w:r w:rsidR="00FE0534">
        <w:t>ISIL can be traced back to the immediate aftermath of the conflict in Iraq in 2004, when Al-Qa</w:t>
      </w:r>
      <w:r w:rsidR="009E3D70">
        <w:t>i</w:t>
      </w:r>
      <w:r w:rsidR="00FE0534">
        <w:t>da in Iraq was established by Abu Musa</w:t>
      </w:r>
      <w:r w:rsidR="00756233">
        <w:t>b</w:t>
      </w:r>
      <w:r w:rsidR="00FE0534">
        <w:t xml:space="preserve"> al</w:t>
      </w:r>
      <w:r w:rsidR="00756233">
        <w:t>-</w:t>
      </w:r>
      <w:r w:rsidR="00FE0534">
        <w:t xml:space="preserve">Zarqawi. Sectarian, ethnic and religious discrimination had been rife in Iraq. However, the new </w:t>
      </w:r>
      <w:r w:rsidR="005B4B6B">
        <w:t>G</w:t>
      </w:r>
      <w:r w:rsidR="00FE0534">
        <w:t xml:space="preserve">overnment and the “de-Baathification” of public service were clear indications that despite new power arrangements, divides along sectarian lines would continue in the post-conflict context. This was heavily exploited by </w:t>
      </w:r>
      <w:r w:rsidR="005B4B6B">
        <w:t>Al-Qa</w:t>
      </w:r>
      <w:r w:rsidR="009E3D70">
        <w:t>i</w:t>
      </w:r>
      <w:r w:rsidR="005B4B6B">
        <w:t>da in Iraq</w:t>
      </w:r>
      <w:r w:rsidR="00FE0534">
        <w:t xml:space="preserve"> and by its successor, </w:t>
      </w:r>
      <w:r w:rsidR="005D771A">
        <w:t xml:space="preserve">the </w:t>
      </w:r>
      <w:r w:rsidR="00FE0534">
        <w:t xml:space="preserve">Islamic State of Iraq (ISI), which was founded following the death of </w:t>
      </w:r>
      <w:r w:rsidR="00756233">
        <w:t>Al-</w:t>
      </w:r>
      <w:r w:rsidR="00FE0534">
        <w:t xml:space="preserve">Zarqawi in 2006. </w:t>
      </w:r>
    </w:p>
    <w:p w:rsidR="00FE0534" w:rsidRDefault="00450324" w:rsidP="00450324">
      <w:pPr>
        <w:pStyle w:val="SingleTxtG"/>
      </w:pPr>
      <w:r>
        <w:t>14.</w:t>
      </w:r>
      <w:r>
        <w:tab/>
      </w:r>
      <w:r w:rsidR="00FE0534">
        <w:t>In 2010, ISI appointed Abu</w:t>
      </w:r>
      <w:r w:rsidR="00756233">
        <w:t xml:space="preserve"> </w:t>
      </w:r>
      <w:r w:rsidR="00FE0534">
        <w:t xml:space="preserve">Bakr </w:t>
      </w:r>
      <w:r w:rsidR="00FE0534" w:rsidRPr="00CF0845">
        <w:t>a</w:t>
      </w:r>
      <w:r w:rsidR="00FE0534">
        <w:t xml:space="preserve">l-Baghdadi as its new leader. Under his leadership, ISI regrouped and became increasingly organized. In 2011, with </w:t>
      </w:r>
      <w:r w:rsidR="00051321">
        <w:t>the Syrian Arab Republic</w:t>
      </w:r>
      <w:r w:rsidR="00FE0534">
        <w:t xml:space="preserve"> descending into violence, ISI sent a number of operatives to join local radical militants in </w:t>
      </w:r>
      <w:r w:rsidR="00051321">
        <w:t>the Syrian Arab Republic</w:t>
      </w:r>
      <w:r w:rsidR="00FE0534">
        <w:t xml:space="preserve">. The Jabhat </w:t>
      </w:r>
      <w:r w:rsidR="00B13B65" w:rsidRPr="000A5115">
        <w:t>a</w:t>
      </w:r>
      <w:r w:rsidR="00FE0534" w:rsidRPr="000A5115">
        <w:t>l</w:t>
      </w:r>
      <w:r w:rsidR="00FE0534">
        <w:t xml:space="preserve">-Nusra armed group was formed. In April 2013, </w:t>
      </w:r>
      <w:r w:rsidR="001E648E">
        <w:t>A</w:t>
      </w:r>
      <w:r w:rsidR="00F73B91">
        <w:t>l-</w:t>
      </w:r>
      <w:r w:rsidR="00FE0534">
        <w:t xml:space="preserve">Baghdadi announced </w:t>
      </w:r>
      <w:r w:rsidR="00355F76">
        <w:t>the</w:t>
      </w:r>
      <w:r w:rsidR="00FE0534">
        <w:t xml:space="preserve"> merger of ISI and Jabhat al-Nusra </w:t>
      </w:r>
      <w:r w:rsidR="00355F76">
        <w:t>into</w:t>
      </w:r>
      <w:r w:rsidR="00FE0534">
        <w:t xml:space="preserve"> </w:t>
      </w:r>
      <w:r w:rsidR="005D771A">
        <w:t xml:space="preserve">the </w:t>
      </w:r>
      <w:r w:rsidR="00FE0534">
        <w:t xml:space="preserve">Islamic State </w:t>
      </w:r>
      <w:r w:rsidR="00355F76">
        <w:t xml:space="preserve">in </w:t>
      </w:r>
      <w:r w:rsidR="00FE0534">
        <w:t>Iraq and the Levant. Following a power struggle between the leader of Jabhat al-Nusra and the leader of ISI, the two groups formally split, with Jabhat al-Nusra affiliating itself to Al-Qa</w:t>
      </w:r>
      <w:r w:rsidR="009E3D70">
        <w:t>i</w:t>
      </w:r>
      <w:r w:rsidR="00FE0534">
        <w:t>da, and the formal disavowal of ISIL by Al-Qa</w:t>
      </w:r>
      <w:r w:rsidR="009E3D70">
        <w:t>i</w:t>
      </w:r>
      <w:r w:rsidR="00FE0534">
        <w:t>da. Abu</w:t>
      </w:r>
      <w:r w:rsidR="00756233">
        <w:t xml:space="preserve"> </w:t>
      </w:r>
      <w:r w:rsidR="00FE0534">
        <w:t xml:space="preserve">Bakr al-Baghdadi became the leader of the new armed group, ISIL, which gained control of territory in </w:t>
      </w:r>
      <w:r w:rsidR="00051321">
        <w:t>the n</w:t>
      </w:r>
      <w:r w:rsidR="00FE0534">
        <w:t xml:space="preserve">orth </w:t>
      </w:r>
      <w:r w:rsidR="00051321">
        <w:t>of the Syrian Arab Republic</w:t>
      </w:r>
      <w:r w:rsidR="00FE0534">
        <w:t xml:space="preserve"> and Iraq previously controlled by ISI and </w:t>
      </w:r>
      <w:r w:rsidR="000A5115">
        <w:t>Jabhat a</w:t>
      </w:r>
      <w:r w:rsidR="00FE0534">
        <w:t>l-Nusra.</w:t>
      </w:r>
      <w:r w:rsidR="00FE0534" w:rsidRPr="007C4BD4">
        <w:rPr>
          <w:rStyle w:val="FootnoteReference"/>
        </w:rPr>
        <w:footnoteReference w:id="6"/>
      </w:r>
      <w:r w:rsidR="00FE0534">
        <w:t xml:space="preserve"> </w:t>
      </w:r>
    </w:p>
    <w:p w:rsidR="00FE0534" w:rsidRDefault="00450324" w:rsidP="00450324">
      <w:pPr>
        <w:pStyle w:val="SingleTxtG"/>
      </w:pPr>
      <w:r>
        <w:t>15.</w:t>
      </w:r>
      <w:r>
        <w:tab/>
      </w:r>
      <w:r w:rsidR="00FE0534">
        <w:t xml:space="preserve">Since </w:t>
      </w:r>
      <w:r w:rsidR="000A5115">
        <w:t>the</w:t>
      </w:r>
      <w:r w:rsidR="00FE0534">
        <w:t xml:space="preserve"> inception</w:t>
      </w:r>
      <w:r w:rsidR="000A5115">
        <w:t xml:space="preserve"> of ISIL</w:t>
      </w:r>
      <w:r w:rsidR="00FE0534">
        <w:t xml:space="preserve">, </w:t>
      </w:r>
      <w:r w:rsidR="000A5115">
        <w:t>its</w:t>
      </w:r>
      <w:r w:rsidR="007E5951">
        <w:t xml:space="preserve"> priority </w:t>
      </w:r>
      <w:r w:rsidR="00FE0534">
        <w:t>has been the construction of a so-called State.</w:t>
      </w:r>
      <w:r w:rsidR="00FE0534" w:rsidRPr="007C4BD4">
        <w:rPr>
          <w:rStyle w:val="FootnoteReference"/>
        </w:rPr>
        <w:footnoteReference w:id="7"/>
      </w:r>
      <w:r w:rsidR="00FE0534">
        <w:t xml:space="preserve"> In pursuance of this goal, on 29 June 2014, </w:t>
      </w:r>
      <w:r w:rsidR="00D13BA8">
        <w:t xml:space="preserve">the leader of </w:t>
      </w:r>
      <w:r w:rsidR="00FE0534">
        <w:t xml:space="preserve">ISIL renamed the group </w:t>
      </w:r>
      <w:r w:rsidR="00D13BA8">
        <w:t xml:space="preserve">the </w:t>
      </w:r>
      <w:r w:rsidR="00FE0534">
        <w:t xml:space="preserve">“Islamic State” and declared it a </w:t>
      </w:r>
      <w:r w:rsidR="00D13BA8">
        <w:t>c</w:t>
      </w:r>
      <w:r w:rsidR="00FE0534">
        <w:t>aliphate.</w:t>
      </w:r>
      <w:r w:rsidR="004E5A9B">
        <w:t xml:space="preserve"> </w:t>
      </w:r>
      <w:r w:rsidR="00FE0534">
        <w:t xml:space="preserve">ISIL now controls territory in Iraq and </w:t>
      </w:r>
      <w:r w:rsidR="00051321">
        <w:t>the Syrian Arab Republic</w:t>
      </w:r>
      <w:r w:rsidR="00FE0534">
        <w:t xml:space="preserve"> in which an estimated </w:t>
      </w:r>
      <w:r w:rsidR="00C91B83">
        <w:t xml:space="preserve">8 </w:t>
      </w:r>
      <w:r w:rsidR="00FE0534">
        <w:t>million individuals live. At the time of writing, in Iraq, ISIL control</w:t>
      </w:r>
      <w:r w:rsidR="0047585C">
        <w:t>led</w:t>
      </w:r>
      <w:r w:rsidR="00FE0534">
        <w:t xml:space="preserve"> swathes of territory in the provinces of Anbar, Ninewa, Salah al-Din, Kirkuk, Diyala, Babil and Erbil, with Iraqi forces making gains in several areas, notably recapturing Tikrit in April 2015. In </w:t>
      </w:r>
      <w:r w:rsidR="00051321">
        <w:t>the Syrian Arab Republic</w:t>
      </w:r>
      <w:r w:rsidR="00FE0534">
        <w:t>, ISIL control</w:t>
      </w:r>
      <w:r w:rsidR="0047585C">
        <w:t>led</w:t>
      </w:r>
      <w:r w:rsidR="00FE0534">
        <w:t xml:space="preserve"> large swathes of territory in the governorates of Aleppo, Ar-Raqqah, Idlib, Al-Hasakah and Dayr Az-Zawr. It has also been reported that ISIL directly controls territory in other countries, including Libya.</w:t>
      </w:r>
      <w:r w:rsidR="00FE0534" w:rsidRPr="007C4BD4">
        <w:rPr>
          <w:rStyle w:val="FootnoteReference"/>
        </w:rPr>
        <w:footnoteReference w:id="8"/>
      </w:r>
      <w:r w:rsidR="00FE0534">
        <w:t xml:space="preserve"> In addition, it has been reported that several groups around the globe have pledged allegiance to ISIL</w:t>
      </w:r>
      <w:r w:rsidR="00D366EC">
        <w:t>,</w:t>
      </w:r>
      <w:r w:rsidR="00FE0534" w:rsidRPr="007C4BD4">
        <w:rPr>
          <w:rStyle w:val="FootnoteReference"/>
        </w:rPr>
        <w:footnoteReference w:id="9"/>
      </w:r>
      <w:r w:rsidR="00FE0534">
        <w:t xml:space="preserve"> and in some cases, there has been an “extension” of the territory of the </w:t>
      </w:r>
      <w:r w:rsidR="009A4848">
        <w:t>c</w:t>
      </w:r>
      <w:r w:rsidR="00FE0534">
        <w:t>aliphate.</w:t>
      </w:r>
      <w:r w:rsidR="00FE0534" w:rsidRPr="007C4BD4">
        <w:rPr>
          <w:rStyle w:val="FootnoteReference"/>
        </w:rPr>
        <w:footnoteReference w:id="10"/>
      </w:r>
      <w:r w:rsidR="004E5A9B">
        <w:t xml:space="preserve"> </w:t>
      </w:r>
    </w:p>
    <w:p w:rsidR="00FE0534" w:rsidRDefault="00450324" w:rsidP="00450324">
      <w:pPr>
        <w:pStyle w:val="SingleTxtG"/>
      </w:pPr>
      <w:r>
        <w:t>16.</w:t>
      </w:r>
      <w:r>
        <w:tab/>
      </w:r>
      <w:r w:rsidR="00FE0534">
        <w:t xml:space="preserve">ISIL has consolidated its financial capacity by expanding its control over natural resources in both </w:t>
      </w:r>
      <w:r w:rsidR="00051321">
        <w:t>the Syrian Arab Republic</w:t>
      </w:r>
      <w:r w:rsidR="00FE0534">
        <w:t xml:space="preserve"> and Iraq, notably by seiz</w:t>
      </w:r>
      <w:r w:rsidR="009A4848">
        <w:t>ing</w:t>
      </w:r>
      <w:r w:rsidR="00FE0534">
        <w:t xml:space="preserve"> oilfields in </w:t>
      </w:r>
      <w:r w:rsidR="00C704BB">
        <w:t>both countries</w:t>
      </w:r>
      <w:r w:rsidR="00FE0534">
        <w:t>. It has also been alleged that ISIL seized the reserves of the Iraqi Central Bank held in Mosul in June 2014. ISIL has reportedly received substantial financial support from foreign States, wealthy individuals and charit</w:t>
      </w:r>
      <w:r w:rsidR="00F85D4A">
        <w:t>able</w:t>
      </w:r>
      <w:r w:rsidR="00FE0534">
        <w:t xml:space="preserve"> organi</w:t>
      </w:r>
      <w:r w:rsidR="00F85D4A">
        <w:t>z</w:t>
      </w:r>
      <w:r w:rsidR="00FE0534">
        <w:t xml:space="preserve">ations. </w:t>
      </w:r>
    </w:p>
    <w:p w:rsidR="00FE0534" w:rsidRDefault="00450324" w:rsidP="00450324">
      <w:pPr>
        <w:pStyle w:val="SingleTxtG"/>
      </w:pPr>
      <w:r>
        <w:t>17.</w:t>
      </w:r>
      <w:r>
        <w:tab/>
      </w:r>
      <w:r w:rsidR="00F85D4A">
        <w:t xml:space="preserve">The </w:t>
      </w:r>
      <w:r w:rsidR="00FE0534">
        <w:t xml:space="preserve">military capacity </w:t>
      </w:r>
      <w:r w:rsidR="00F85D4A">
        <w:t xml:space="preserve">of ISIL </w:t>
      </w:r>
      <w:r w:rsidR="00FE0534">
        <w:t xml:space="preserve">has continued to grow, largely </w:t>
      </w:r>
      <w:r w:rsidR="00F85D4A">
        <w:t>as a result of</w:t>
      </w:r>
      <w:r w:rsidR="00FE0534">
        <w:t xml:space="preserve"> looting weapons and military hardware from other Syrian armed belligerents a</w:t>
      </w:r>
      <w:r w:rsidR="00F85D4A">
        <w:t>nd</w:t>
      </w:r>
      <w:r w:rsidR="00FE0534">
        <w:t xml:space="preserve"> from the Iraqi army after its successful military campaign in Iraq. It is believed that arms and support provided to other more moderate armed groups have ultimately fallen into the hands of ISIL. I</w:t>
      </w:r>
      <w:r w:rsidR="00F85D4A">
        <w:t>SIL</w:t>
      </w:r>
      <w:r w:rsidR="00FE0534">
        <w:t xml:space="preserve"> has also purchased military hardware through local markets. </w:t>
      </w:r>
    </w:p>
    <w:p w:rsidR="00FE0534" w:rsidRDefault="00450324" w:rsidP="00450324">
      <w:pPr>
        <w:pStyle w:val="SingleTxtG"/>
      </w:pPr>
      <w:r>
        <w:t>18.</w:t>
      </w:r>
      <w:r>
        <w:tab/>
      </w:r>
      <w:r w:rsidR="00FE0534">
        <w:t xml:space="preserve">The expansion of ISIL has been helped by the </w:t>
      </w:r>
      <w:r w:rsidR="00C704BB">
        <w:t>in</w:t>
      </w:r>
      <w:r w:rsidR="00FE0534">
        <w:t>flow of foreign fighters. While figures vary, it is possible that more than 20,000 foreign</w:t>
      </w:r>
      <w:r w:rsidR="00C704BB">
        <w:t>ers</w:t>
      </w:r>
      <w:r w:rsidR="00FE0534">
        <w:t xml:space="preserve"> have joined the ranks of non-State armed groups in Iraq and </w:t>
      </w:r>
      <w:r w:rsidR="00051321">
        <w:t>the Syrian Arab Republic</w:t>
      </w:r>
      <w:r w:rsidR="00FE0534">
        <w:t>,</w:t>
      </w:r>
      <w:r w:rsidR="00FE0534" w:rsidRPr="007C4BD4">
        <w:rPr>
          <w:rStyle w:val="FootnoteReference"/>
        </w:rPr>
        <w:footnoteReference w:id="11"/>
      </w:r>
      <w:r w:rsidR="00FE0534">
        <w:t xml:space="preserve"> from at least 80 countries from all parts of the globe.</w:t>
      </w:r>
      <w:r w:rsidR="00FE0534" w:rsidRPr="007C4BD4">
        <w:rPr>
          <w:rStyle w:val="FootnoteReference"/>
        </w:rPr>
        <w:footnoteReference w:id="12"/>
      </w:r>
      <w:r w:rsidR="00FE0534">
        <w:t xml:space="preserve"> It is reported that most have joined the ranks of ISIL </w:t>
      </w:r>
      <w:r w:rsidR="00414B8E">
        <w:t>owing</w:t>
      </w:r>
      <w:r w:rsidR="00FE0534">
        <w:t xml:space="preserve"> to </w:t>
      </w:r>
      <w:r w:rsidR="00414B8E">
        <w:t>it</w:t>
      </w:r>
      <w:r w:rsidR="00FE0534">
        <w:t>s perceived success,</w:t>
      </w:r>
      <w:r w:rsidR="00FE0534" w:rsidRPr="007C4BD4">
        <w:rPr>
          <w:rStyle w:val="FootnoteReference"/>
        </w:rPr>
        <w:footnoteReference w:id="13"/>
      </w:r>
      <w:r w:rsidR="00FE0534">
        <w:t xml:space="preserve"> the ease with which one can join a</w:t>
      </w:r>
      <w:r w:rsidR="00414B8E">
        <w:t>nd</w:t>
      </w:r>
      <w:r w:rsidR="00FE0534">
        <w:t xml:space="preserve"> its online presence and propaganda.</w:t>
      </w:r>
      <w:r w:rsidR="00FE0534" w:rsidRPr="007C4BD4">
        <w:rPr>
          <w:rStyle w:val="FootnoteReference"/>
        </w:rPr>
        <w:footnoteReference w:id="14"/>
      </w:r>
      <w:r w:rsidR="00FE0534">
        <w:t xml:space="preserve"> The proclamation by </w:t>
      </w:r>
      <w:r w:rsidR="00414B8E">
        <w:t xml:space="preserve">its </w:t>
      </w:r>
      <w:r w:rsidR="00FE0534">
        <w:t xml:space="preserve">leader </w:t>
      </w:r>
      <w:r w:rsidR="00414B8E">
        <w:t>of ISIL</w:t>
      </w:r>
      <w:r w:rsidR="00FE0534">
        <w:t xml:space="preserve"> </w:t>
      </w:r>
      <w:r w:rsidR="00414B8E">
        <w:t xml:space="preserve">as </w:t>
      </w:r>
      <w:r w:rsidR="00FE0534">
        <w:t xml:space="preserve">a </w:t>
      </w:r>
      <w:r w:rsidR="00414B8E">
        <w:t>c</w:t>
      </w:r>
      <w:r w:rsidR="00FE0534">
        <w:t>aliphate</w:t>
      </w:r>
      <w:r w:rsidR="00FE0534" w:rsidRPr="007C4BD4">
        <w:rPr>
          <w:rStyle w:val="FootnoteReference"/>
        </w:rPr>
        <w:footnoteReference w:id="15"/>
      </w:r>
      <w:r w:rsidR="00FE0534">
        <w:t xml:space="preserve"> has reportedly galvani</w:t>
      </w:r>
      <w:r w:rsidR="00414B8E">
        <w:t>z</w:t>
      </w:r>
      <w:r w:rsidR="00FE0534">
        <w:t>ed support from radicali</w:t>
      </w:r>
      <w:r w:rsidR="00414B8E">
        <w:t>z</w:t>
      </w:r>
      <w:r w:rsidR="00FE0534">
        <w:t>ed individuals and groups around the world. Individuals join ISIL not only to fight, but also to assist in the building of a “State”, with ISIL promoting a sense of religious duty,</w:t>
      </w:r>
      <w:r w:rsidR="00FE0534" w:rsidRPr="007C4BD4">
        <w:rPr>
          <w:rStyle w:val="FootnoteReference"/>
        </w:rPr>
        <w:footnoteReference w:id="16"/>
      </w:r>
      <w:r w:rsidR="00FE0534">
        <w:t xml:space="preserve"> attracting individuals from diverse backgrounds.</w:t>
      </w:r>
      <w:r w:rsidR="00FE0534" w:rsidRPr="007C4BD4">
        <w:rPr>
          <w:rStyle w:val="FootnoteReference"/>
        </w:rPr>
        <w:footnoteReference w:id="17"/>
      </w:r>
      <w:r w:rsidR="00FE0534">
        <w:t xml:space="preserve"> Many of these recruits are reportedly experienced fighters, or have the ability to attract others through propaganda.</w:t>
      </w:r>
      <w:r w:rsidR="00FE0534" w:rsidRPr="007C4BD4">
        <w:rPr>
          <w:rStyle w:val="FootnoteReference"/>
        </w:rPr>
        <w:footnoteReference w:id="18"/>
      </w:r>
      <w:r w:rsidR="00FE0534">
        <w:t xml:space="preserve"> Foreign nationals play a prominent role in </w:t>
      </w:r>
      <w:r w:rsidR="00A96403">
        <w:t xml:space="preserve">the </w:t>
      </w:r>
      <w:r w:rsidR="00FE0534">
        <w:t>religious, education</w:t>
      </w:r>
      <w:r w:rsidR="00A96403">
        <w:t>al</w:t>
      </w:r>
      <w:r w:rsidR="00FE0534">
        <w:t xml:space="preserve"> and judiciary “systems” </w:t>
      </w:r>
      <w:r w:rsidR="00A96403">
        <w:t xml:space="preserve">of ISIL, </w:t>
      </w:r>
      <w:r w:rsidR="00FE0534">
        <w:t>which further radicalizes communities under its authority.</w:t>
      </w:r>
      <w:r w:rsidR="00FE0534" w:rsidRPr="007C4BD4">
        <w:rPr>
          <w:rStyle w:val="FootnoteReference"/>
        </w:rPr>
        <w:footnoteReference w:id="19"/>
      </w:r>
      <w:r w:rsidR="00FE0534">
        <w:t xml:space="preserve"> It has been reported that </w:t>
      </w:r>
      <w:r w:rsidR="00DB66B3">
        <w:t>the</w:t>
      </w:r>
      <w:r w:rsidR="00FE0534">
        <w:t xml:space="preserve"> military leadership structures </w:t>
      </w:r>
      <w:r w:rsidR="00DB66B3">
        <w:t xml:space="preserve">of ISIL </w:t>
      </w:r>
      <w:r w:rsidR="00FE0534">
        <w:t>are largely dominated by foreign fighters.</w:t>
      </w:r>
      <w:r w:rsidR="00FE0534" w:rsidRPr="007C4BD4">
        <w:rPr>
          <w:rStyle w:val="FootnoteReference"/>
        </w:rPr>
        <w:footnoteReference w:id="20"/>
      </w:r>
    </w:p>
    <w:p w:rsidR="00FE0534" w:rsidRDefault="00450324" w:rsidP="00450324">
      <w:pPr>
        <w:pStyle w:val="SingleTxtG"/>
      </w:pPr>
      <w:r>
        <w:t>19.</w:t>
      </w:r>
      <w:r>
        <w:tab/>
      </w:r>
      <w:r w:rsidR="00FE0534">
        <w:t xml:space="preserve">ISIL has consolidated its control over the populations in the territory it holds. By taking advantage of the instability in both Iraq and </w:t>
      </w:r>
      <w:r w:rsidR="00051321">
        <w:t>the Syrian Arab Republic</w:t>
      </w:r>
      <w:r w:rsidR="00FE0534">
        <w:t>,</w:t>
      </w:r>
      <w:r w:rsidR="00FE0534" w:rsidRPr="007C4BD4">
        <w:rPr>
          <w:rStyle w:val="FootnoteReference"/>
        </w:rPr>
        <w:footnoteReference w:id="21"/>
      </w:r>
      <w:r w:rsidR="00FE0534">
        <w:t xml:space="preserve"> its ideology and financial capabilities have found resonance among socially and economically desperate communities. It has exploited the existing social fragmentations among sectarian and tribal lines to secure a new network of alliances</w:t>
      </w:r>
      <w:r w:rsidR="00144666">
        <w:t>.</w:t>
      </w:r>
      <w:r w:rsidR="00FE0534" w:rsidRPr="007C4BD4">
        <w:rPr>
          <w:rStyle w:val="FootnoteReference"/>
        </w:rPr>
        <w:footnoteReference w:id="22"/>
      </w:r>
      <w:r w:rsidR="00FE0534">
        <w:t xml:space="preserve"> Most importantly, through the use of tactics that instil terror in the population, including </w:t>
      </w:r>
      <w:r w:rsidR="00DB66B3">
        <w:t xml:space="preserve">the </w:t>
      </w:r>
      <w:r w:rsidR="00FE0534">
        <w:t>calculated use of public brutality and indoctrination, as well as the establishment of monopoli</w:t>
      </w:r>
      <w:r w:rsidR="00DB66B3">
        <w:t>s</w:t>
      </w:r>
      <w:r w:rsidR="00FE0534">
        <w:t xml:space="preserve">tic control over basic services, ISIL has ensured the submission of </w:t>
      </w:r>
      <w:r w:rsidR="00DB66B3">
        <w:t xml:space="preserve">the </w:t>
      </w:r>
      <w:r w:rsidR="00FE0534">
        <w:t>communities under its control</w:t>
      </w:r>
      <w:r w:rsidR="00756C22">
        <w:t>.</w:t>
      </w:r>
      <w:r w:rsidR="00FE0534" w:rsidRPr="007C4BD4">
        <w:rPr>
          <w:rStyle w:val="FootnoteReference"/>
        </w:rPr>
        <w:footnoteReference w:id="23"/>
      </w:r>
      <w:r w:rsidR="004E5A9B">
        <w:t xml:space="preserve"> </w:t>
      </w:r>
    </w:p>
    <w:p w:rsidR="00FE0534" w:rsidRPr="00FD1185" w:rsidRDefault="00450324" w:rsidP="00450324">
      <w:pPr>
        <w:pStyle w:val="SingleTxtG"/>
        <w:rPr>
          <w:bCs/>
          <w:lang w:eastAsia="hi-IN" w:bidi="hi-IN"/>
        </w:rPr>
      </w:pPr>
      <w:r w:rsidRPr="00FD1185">
        <w:rPr>
          <w:bCs/>
          <w:lang w:eastAsia="hi-IN" w:bidi="hi-IN"/>
        </w:rPr>
        <w:t>20.</w:t>
      </w:r>
      <w:r w:rsidRPr="00FD1185">
        <w:rPr>
          <w:bCs/>
          <w:lang w:eastAsia="hi-IN" w:bidi="hi-IN"/>
        </w:rPr>
        <w:tab/>
      </w:r>
      <w:r w:rsidR="00FE0534">
        <w:t>ISIL is an organized group</w:t>
      </w:r>
      <w:r w:rsidR="00FE0534" w:rsidRPr="007C4BD4">
        <w:rPr>
          <w:rStyle w:val="FootnoteReference"/>
        </w:rPr>
        <w:footnoteReference w:id="24"/>
      </w:r>
      <w:r w:rsidR="00FE0534">
        <w:t xml:space="preserve"> </w:t>
      </w:r>
      <w:r w:rsidR="00DB66B3">
        <w:t>that</w:t>
      </w:r>
      <w:r w:rsidR="00FE0534">
        <w:t xml:space="preserve"> functions under a fo</w:t>
      </w:r>
      <w:r w:rsidR="00CF0845">
        <w:t>r</w:t>
      </w:r>
      <w:r w:rsidR="00FE0534">
        <w:t>mali</w:t>
      </w:r>
      <w:r w:rsidR="00FD1185">
        <w:t>z</w:t>
      </w:r>
      <w:r w:rsidR="00FE0534">
        <w:t>ed command with an essentially vertical and hierarchical command structure</w:t>
      </w:r>
      <w:r w:rsidR="00144666">
        <w:t>.</w:t>
      </w:r>
      <w:r w:rsidR="00FE0534" w:rsidRPr="007C4BD4">
        <w:rPr>
          <w:rStyle w:val="FootnoteReference"/>
        </w:rPr>
        <w:footnoteReference w:id="25"/>
      </w:r>
      <w:r w:rsidR="00FE0534">
        <w:t xml:space="preserve"> It is composed of an armed force, an administrative wing and a religious wing, all under the control of the self-proclaimed caliph, </w:t>
      </w:r>
      <w:r w:rsidR="001E648E">
        <w:t>A</w:t>
      </w:r>
      <w:r w:rsidR="00FE0534">
        <w:t>l-Baghdadi</w:t>
      </w:r>
      <w:r w:rsidR="00144666">
        <w:t>.</w:t>
      </w:r>
      <w:r w:rsidR="00FE0534" w:rsidRPr="007C4BD4">
        <w:rPr>
          <w:rStyle w:val="FootnoteReference"/>
        </w:rPr>
        <w:footnoteReference w:id="26"/>
      </w:r>
      <w:r w:rsidR="00FE0534">
        <w:t xml:space="preserve"> It operates a harsh, rigid administrative system </w:t>
      </w:r>
      <w:r w:rsidR="00CF0845">
        <w:t xml:space="preserve">that is </w:t>
      </w:r>
      <w:r w:rsidR="00FE0534">
        <w:t>based on provinces</w:t>
      </w:r>
      <w:r w:rsidR="00CF0845">
        <w:t xml:space="preserve"> and</w:t>
      </w:r>
      <w:r w:rsidR="00FE0534">
        <w:t xml:space="preserve"> comprises the Al-Hisbah morality police, the general police force, courts and entities managing recruitment, tribal relations and education</w:t>
      </w:r>
      <w:r w:rsidR="00144666">
        <w:t>.</w:t>
      </w:r>
      <w:r w:rsidR="00FE0534" w:rsidRPr="007C4BD4">
        <w:rPr>
          <w:rStyle w:val="FootnoteReference"/>
        </w:rPr>
        <w:footnoteReference w:id="27"/>
      </w:r>
      <w:r w:rsidR="00FE0534">
        <w:t xml:space="preserve"> </w:t>
      </w:r>
    </w:p>
    <w:p w:rsidR="00FE0534" w:rsidRDefault="00FE0534" w:rsidP="00A8586B">
      <w:pPr>
        <w:pStyle w:val="H1G"/>
        <w:ind w:left="0" w:firstLine="0"/>
      </w:pPr>
      <w:r>
        <w:rPr>
          <w:lang w:eastAsia="hi-IN" w:bidi="hi-IN"/>
        </w:rPr>
        <w:tab/>
        <w:t>B.</w:t>
      </w:r>
      <w:r>
        <w:rPr>
          <w:lang w:eastAsia="hi-IN" w:bidi="hi-IN"/>
        </w:rPr>
        <w:tab/>
      </w:r>
      <w:r w:rsidR="00A8586B">
        <w:rPr>
          <w:lang w:eastAsia="hi-IN" w:bidi="hi-IN"/>
        </w:rPr>
        <w:t>L</w:t>
      </w:r>
      <w:r>
        <w:rPr>
          <w:lang w:eastAsia="hi-IN" w:bidi="hi-IN"/>
        </w:rPr>
        <w:t>egal framework</w:t>
      </w:r>
    </w:p>
    <w:p w:rsidR="00FE0534" w:rsidRDefault="00450324" w:rsidP="00450324">
      <w:pPr>
        <w:pStyle w:val="SingleTxtG"/>
      </w:pPr>
      <w:r>
        <w:t>21.</w:t>
      </w:r>
      <w:r>
        <w:tab/>
      </w:r>
      <w:r w:rsidR="00FE0534">
        <w:t>The Special Rapporteur has previously recalled the criteria for the existence of armed conflicts of a non-international character</w:t>
      </w:r>
      <w:r w:rsidR="00756C22">
        <w:t>,</w:t>
      </w:r>
      <w:r w:rsidR="00FE0534" w:rsidRPr="007C4BD4">
        <w:rPr>
          <w:rStyle w:val="FootnoteReference"/>
        </w:rPr>
        <w:footnoteReference w:id="28"/>
      </w:r>
      <w:r w:rsidR="00FE0534">
        <w:t xml:space="preserve"> namely the intensity and protraction of the conflict and the degree of organization of the parties. It is generally accepted that ISIL is a sufficiently organi</w:t>
      </w:r>
      <w:r w:rsidR="00BC4BB5">
        <w:t>z</w:t>
      </w:r>
      <w:r w:rsidR="00FE0534">
        <w:t xml:space="preserve">ed non-State armed group to be considered as a party to the non-international armed conflicts in Iraq and </w:t>
      </w:r>
      <w:r w:rsidR="00051321">
        <w:t>the Syrian Arab Republic</w:t>
      </w:r>
      <w:r w:rsidR="00756C22">
        <w:t>,</w:t>
      </w:r>
      <w:r w:rsidR="00FE0534" w:rsidRPr="007C4BD4">
        <w:rPr>
          <w:rStyle w:val="FootnoteReference"/>
        </w:rPr>
        <w:footnoteReference w:id="29"/>
      </w:r>
      <w:r w:rsidR="00FE0534">
        <w:t xml:space="preserve"> and that the situations in both </w:t>
      </w:r>
      <w:r w:rsidR="00A8586B">
        <w:t>countries</w:t>
      </w:r>
      <w:r w:rsidR="00FE0534">
        <w:t xml:space="preserve"> amount to armed conflicts of a non-international character</w:t>
      </w:r>
      <w:r w:rsidR="00EA5D67">
        <w:t>.</w:t>
      </w:r>
      <w:r w:rsidR="00FE0534" w:rsidRPr="007C4BD4">
        <w:rPr>
          <w:rStyle w:val="FootnoteReference"/>
        </w:rPr>
        <w:footnoteReference w:id="30"/>
      </w:r>
    </w:p>
    <w:p w:rsidR="00FE0534" w:rsidRDefault="00450324" w:rsidP="00450324">
      <w:pPr>
        <w:pStyle w:val="SingleTxtG"/>
      </w:pPr>
      <w:r>
        <w:t>22.</w:t>
      </w:r>
      <w:r>
        <w:tab/>
      </w:r>
      <w:r w:rsidR="00FE0534">
        <w:t xml:space="preserve">International humanitarian law applicable to armed conflicts of a non-international character is applicable in both Iraq and </w:t>
      </w:r>
      <w:r w:rsidR="00051321">
        <w:t>the Syrian Arab Republic</w:t>
      </w:r>
      <w:r w:rsidR="00EA5D67">
        <w:t>.</w:t>
      </w:r>
      <w:r w:rsidR="00FE0534" w:rsidRPr="007C4BD4">
        <w:rPr>
          <w:rStyle w:val="FootnoteReference"/>
        </w:rPr>
        <w:footnoteReference w:id="31"/>
      </w:r>
      <w:r w:rsidR="00FE0534">
        <w:t xml:space="preserve"> All parties to the conflict, including ISIL, are therefore bound by </w:t>
      </w:r>
      <w:r w:rsidR="00C05CD1">
        <w:t>c</w:t>
      </w:r>
      <w:r w:rsidR="00FE0534">
        <w:t xml:space="preserve">ommon </w:t>
      </w:r>
      <w:r w:rsidR="00C05CD1">
        <w:t>a</w:t>
      </w:r>
      <w:r w:rsidR="00E36C1B">
        <w:t>rticle </w:t>
      </w:r>
      <w:r w:rsidR="00FE0534">
        <w:t>3 of the Geneva Conventions, which establishes minimum standards concerning the treatment and protection of civilians, those no longer actively participating in the hostilities and civilian objects</w:t>
      </w:r>
      <w:r w:rsidR="009F743D">
        <w:t xml:space="preserve">. They are also bound </w:t>
      </w:r>
      <w:r w:rsidR="00FE0534">
        <w:t xml:space="preserve">by the customary law norms contained in </w:t>
      </w:r>
      <w:r w:rsidR="00C05CD1">
        <w:t>the p</w:t>
      </w:r>
      <w:r w:rsidR="00FE0534">
        <w:t xml:space="preserve">rotocol </w:t>
      </w:r>
      <w:r w:rsidR="00C05CD1">
        <w:t xml:space="preserve">additional </w:t>
      </w:r>
      <w:r w:rsidR="00FE0534">
        <w:t>to the Geneva Conventions</w:t>
      </w:r>
      <w:r w:rsidR="00C05CD1">
        <w:t xml:space="preserve"> of 12 August 1949 relating to the protection of victims of non-international armed conflicts</w:t>
      </w:r>
      <w:r w:rsidR="00FE0534">
        <w:t xml:space="preserve">. </w:t>
      </w:r>
    </w:p>
    <w:p w:rsidR="00FE0534" w:rsidRPr="00FD1185" w:rsidRDefault="00450324" w:rsidP="00450324">
      <w:pPr>
        <w:pStyle w:val="SingleTxtG"/>
        <w:rPr>
          <w:bCs/>
          <w:lang w:eastAsia="hi-IN" w:bidi="hi-IN"/>
        </w:rPr>
      </w:pPr>
      <w:r w:rsidRPr="00FD1185">
        <w:rPr>
          <w:bCs/>
          <w:lang w:eastAsia="hi-IN" w:bidi="hi-IN"/>
        </w:rPr>
        <w:t>23.</w:t>
      </w:r>
      <w:r w:rsidRPr="00FD1185">
        <w:rPr>
          <w:bCs/>
          <w:lang w:eastAsia="hi-IN" w:bidi="hi-IN"/>
        </w:rPr>
        <w:tab/>
      </w:r>
      <w:r w:rsidR="00FE0534">
        <w:t xml:space="preserve">In addition, it is now well </w:t>
      </w:r>
      <w:r w:rsidR="00C05CD1">
        <w:t>establish</w:t>
      </w:r>
      <w:r w:rsidR="00FE0534">
        <w:t>ed that in a situation of armed conflict, international human rights law continues to apply, and both international human rights law and international humanitarian law frameworks will act in a complementary and mutually reinforcing way.</w:t>
      </w:r>
      <w:r w:rsidR="00FE0534" w:rsidRPr="007C4BD4">
        <w:rPr>
          <w:rStyle w:val="FootnoteReference"/>
        </w:rPr>
        <w:footnoteReference w:id="32"/>
      </w:r>
      <w:r w:rsidR="00FE0534">
        <w:t xml:space="preserve"> Both Iraq and </w:t>
      </w:r>
      <w:r w:rsidR="00051321">
        <w:t>the Syrian Arab Republic</w:t>
      </w:r>
      <w:r w:rsidR="00FE0534">
        <w:t xml:space="preserve"> are part</w:t>
      </w:r>
      <w:r w:rsidR="00920DC1">
        <w:t>ies</w:t>
      </w:r>
      <w:r w:rsidR="00FE0534">
        <w:t xml:space="preserve"> to the major human rights treaties and a number of optional protocols</w:t>
      </w:r>
      <w:r w:rsidR="00EA5D67">
        <w:t>.</w:t>
      </w:r>
      <w:r w:rsidR="00FE0534" w:rsidRPr="007C4BD4">
        <w:rPr>
          <w:rStyle w:val="FootnoteReference"/>
        </w:rPr>
        <w:footnoteReference w:id="33"/>
      </w:r>
      <w:r w:rsidR="00FE0534">
        <w:t xml:space="preserve"> </w:t>
      </w:r>
    </w:p>
    <w:p w:rsidR="00FE0534" w:rsidRDefault="00FE0534" w:rsidP="003D780C">
      <w:pPr>
        <w:pStyle w:val="H1G"/>
        <w:ind w:left="0" w:firstLine="0"/>
      </w:pPr>
      <w:r>
        <w:rPr>
          <w:lang w:eastAsia="hi-IN" w:bidi="hi-IN"/>
        </w:rPr>
        <w:tab/>
        <w:t>C.</w:t>
      </w:r>
      <w:r>
        <w:rPr>
          <w:lang w:eastAsia="hi-IN" w:bidi="hi-IN"/>
        </w:rPr>
        <w:tab/>
        <w:t xml:space="preserve">Human </w:t>
      </w:r>
      <w:r w:rsidR="00E258E2">
        <w:rPr>
          <w:lang w:eastAsia="hi-IN" w:bidi="hi-IN"/>
        </w:rPr>
        <w:t>r</w:t>
      </w:r>
      <w:r>
        <w:rPr>
          <w:lang w:eastAsia="hi-IN" w:bidi="hi-IN"/>
        </w:rPr>
        <w:t xml:space="preserve">ights and </w:t>
      </w:r>
      <w:r w:rsidR="00E258E2">
        <w:rPr>
          <w:lang w:eastAsia="hi-IN" w:bidi="hi-IN"/>
        </w:rPr>
        <w:t>h</w:t>
      </w:r>
      <w:r>
        <w:rPr>
          <w:lang w:eastAsia="hi-IN" w:bidi="hi-IN"/>
        </w:rPr>
        <w:t xml:space="preserve">umanitarian </w:t>
      </w:r>
      <w:r w:rsidR="00E258E2">
        <w:rPr>
          <w:lang w:eastAsia="hi-IN" w:bidi="hi-IN"/>
        </w:rPr>
        <w:t>l</w:t>
      </w:r>
      <w:r>
        <w:rPr>
          <w:lang w:eastAsia="hi-IN" w:bidi="hi-IN"/>
        </w:rPr>
        <w:t xml:space="preserve">aw violations attributable to </w:t>
      </w:r>
      <w:r w:rsidR="003D780C">
        <w:rPr>
          <w:lang w:eastAsia="hi-IN" w:bidi="hi-IN"/>
        </w:rPr>
        <w:t xml:space="preserve">the </w:t>
      </w:r>
      <w:r w:rsidR="000A5115">
        <w:rPr>
          <w:lang w:eastAsia="hi-IN" w:bidi="hi-IN"/>
        </w:rPr>
        <w:tab/>
      </w:r>
      <w:r w:rsidR="000A5115">
        <w:rPr>
          <w:lang w:eastAsia="hi-IN" w:bidi="hi-IN"/>
        </w:rPr>
        <w:tab/>
      </w:r>
      <w:r w:rsidR="003D780C">
        <w:rPr>
          <w:lang w:eastAsia="hi-IN" w:bidi="hi-IN"/>
        </w:rPr>
        <w:t xml:space="preserve">Islamic State in Iraq and the Levant </w:t>
      </w:r>
    </w:p>
    <w:p w:rsidR="00FE0534" w:rsidRPr="00320C8E" w:rsidRDefault="00450324" w:rsidP="00450324">
      <w:pPr>
        <w:pStyle w:val="SingleTxtG"/>
      </w:pPr>
      <w:r w:rsidRPr="00320C8E">
        <w:t>24.</w:t>
      </w:r>
      <w:r w:rsidRPr="00320C8E">
        <w:tab/>
      </w:r>
      <w:r w:rsidR="00FE0534">
        <w:t xml:space="preserve">The Independent </w:t>
      </w:r>
      <w:r w:rsidR="00FE0534" w:rsidRPr="00320C8E">
        <w:t>International Commission of Inquiry on the Syrian Arab Republic</w:t>
      </w:r>
      <w:r w:rsidR="00E258E2">
        <w:t>,</w:t>
      </w:r>
      <w:r w:rsidR="00FE0534" w:rsidRPr="00320C8E">
        <w:t xml:space="preserve"> established on 22 August 2011 </w:t>
      </w:r>
      <w:r w:rsidR="00A06A21" w:rsidRPr="00320C8E">
        <w:t xml:space="preserve">by </w:t>
      </w:r>
      <w:r w:rsidR="00A06A21" w:rsidRPr="00D626EA">
        <w:t>Human Rights Council</w:t>
      </w:r>
      <w:r w:rsidR="00A06A21">
        <w:t xml:space="preserve"> </w:t>
      </w:r>
      <w:r w:rsidR="00A06A21" w:rsidRPr="00A06A21">
        <w:t>resolution S-17/1</w:t>
      </w:r>
      <w:r w:rsidR="00756C22" w:rsidRPr="00D626EA">
        <w:t>,</w:t>
      </w:r>
      <w:r w:rsidR="00FE0534" w:rsidRPr="00D626EA">
        <w:t xml:space="preserve"> the</w:t>
      </w:r>
      <w:r w:rsidR="00FE0534" w:rsidRPr="00320C8E">
        <w:t xml:space="preserve"> United Nations Assistance Mission for Iraq and </w:t>
      </w:r>
      <w:r w:rsidR="003D780C">
        <w:t>OHCHR</w:t>
      </w:r>
      <w:r w:rsidR="00756C22">
        <w:t>,</w:t>
      </w:r>
      <w:r w:rsidR="00FE0534" w:rsidRPr="007C4BD4">
        <w:rPr>
          <w:rStyle w:val="FootnoteReference"/>
        </w:rPr>
        <w:footnoteReference w:id="34"/>
      </w:r>
      <w:r w:rsidR="00FE0534" w:rsidRPr="00320C8E">
        <w:t xml:space="preserve"> as well as a number of </w:t>
      </w:r>
      <w:r w:rsidR="003D780C">
        <w:t>non-governmental organizations</w:t>
      </w:r>
      <w:r w:rsidR="00FE0534" w:rsidRPr="00320C8E">
        <w:t>, have extensively investigated and documented grave and systematic violations of international law by ISIL that could amount to genocide, crimes against humanity, war crimes and gross human rights violations,</w:t>
      </w:r>
      <w:r w:rsidR="00FE0534" w:rsidRPr="007C4BD4">
        <w:rPr>
          <w:rStyle w:val="FootnoteReference"/>
        </w:rPr>
        <w:footnoteReference w:id="35"/>
      </w:r>
      <w:r w:rsidR="00FE0534" w:rsidRPr="00320C8E">
        <w:t xml:space="preserve"> including widespread and systematic attack</w:t>
      </w:r>
      <w:r w:rsidR="00C35CAE">
        <w:t>s</w:t>
      </w:r>
      <w:r w:rsidR="00FE0534" w:rsidRPr="00320C8E">
        <w:t xml:space="preserve"> on the civilian population</w:t>
      </w:r>
      <w:r w:rsidR="00574C3B">
        <w:t>.</w:t>
      </w:r>
      <w:r w:rsidR="00FE0534" w:rsidRPr="007C4BD4">
        <w:rPr>
          <w:rStyle w:val="FootnoteReference"/>
        </w:rPr>
        <w:footnoteReference w:id="36"/>
      </w:r>
      <w:r w:rsidR="00FE0534" w:rsidRPr="00320C8E">
        <w:t xml:space="preserve"> </w:t>
      </w:r>
    </w:p>
    <w:p w:rsidR="00FE0534" w:rsidRDefault="00450324" w:rsidP="00450324">
      <w:pPr>
        <w:pStyle w:val="SingleTxtG"/>
      </w:pPr>
      <w:r>
        <w:t>25.</w:t>
      </w:r>
      <w:r>
        <w:tab/>
      </w:r>
      <w:r w:rsidR="00FE0534" w:rsidRPr="00320C8E">
        <w:t xml:space="preserve">It has been reported that ISIL has specifically targeted religious and ethnic groups in both Iraq and </w:t>
      </w:r>
      <w:r w:rsidR="00051321">
        <w:t>the Syrian Arab Republic</w:t>
      </w:r>
      <w:r w:rsidR="00FE0534" w:rsidRPr="00320C8E">
        <w:t xml:space="preserve"> and </w:t>
      </w:r>
      <w:r w:rsidR="00C35CAE">
        <w:t xml:space="preserve">has </w:t>
      </w:r>
      <w:r w:rsidR="00FE0534" w:rsidRPr="00320C8E">
        <w:t>committed acts of violence against civilians because of their affiliation or perceived affiliation to an ethnic or religious group</w:t>
      </w:r>
      <w:r w:rsidR="00574C3B">
        <w:t>.</w:t>
      </w:r>
      <w:r w:rsidR="00FE0534" w:rsidRPr="007C4BD4">
        <w:rPr>
          <w:rStyle w:val="FootnoteReference"/>
        </w:rPr>
        <w:footnoteReference w:id="37"/>
      </w:r>
      <w:r w:rsidR="00FE0534" w:rsidRPr="00320C8E">
        <w:t xml:space="preserve"> Where </w:t>
      </w:r>
      <w:r w:rsidR="00FE0534" w:rsidRPr="00046DA1">
        <w:t>ISI</w:t>
      </w:r>
      <w:r w:rsidR="00046DA1" w:rsidRPr="00046DA1">
        <w:t>L</w:t>
      </w:r>
      <w:r w:rsidR="00FE0534" w:rsidRPr="00320C8E">
        <w:t xml:space="preserve"> has occupied areas with diverse religious and ethnic communities, minorities</w:t>
      </w:r>
      <w:r w:rsidR="00FE0534" w:rsidRPr="007C4BD4">
        <w:rPr>
          <w:rStyle w:val="FootnoteReference"/>
        </w:rPr>
        <w:footnoteReference w:id="38"/>
      </w:r>
      <w:r w:rsidR="00FE0534" w:rsidRPr="00320C8E">
        <w:t xml:space="preserve"> have been forced to assimilate or flee, ISIL imposing disciplinary sanctions, destroying religious sites and carrying out systematic expulsions. In Iraq, there are reports of a pattern </w:t>
      </w:r>
      <w:r w:rsidR="003D780C">
        <w:t xml:space="preserve">of violence </w:t>
      </w:r>
      <w:r w:rsidR="00FE0534" w:rsidRPr="00320C8E">
        <w:t>against the Yezidis</w:t>
      </w:r>
      <w:r w:rsidR="003D780C">
        <w:t xml:space="preserve"> and, specifically,</w:t>
      </w:r>
      <w:r w:rsidR="00FE0534" w:rsidRPr="00320C8E">
        <w:t xml:space="preserve"> </w:t>
      </w:r>
      <w:r w:rsidR="003D780C">
        <w:t xml:space="preserve">of </w:t>
      </w:r>
      <w:r w:rsidR="00FE0534" w:rsidRPr="00320C8E">
        <w:t xml:space="preserve">men </w:t>
      </w:r>
      <w:r w:rsidR="003D780C">
        <w:t>being</w:t>
      </w:r>
      <w:r w:rsidR="003D780C" w:rsidRPr="00320C8E">
        <w:t xml:space="preserve"> </w:t>
      </w:r>
      <w:r w:rsidR="00FE0534" w:rsidRPr="00320C8E">
        <w:t>separated from women and young children</w:t>
      </w:r>
      <w:r w:rsidR="009F743D">
        <w:t>,</w:t>
      </w:r>
      <w:r w:rsidR="003D780C">
        <w:t xml:space="preserve"> then </w:t>
      </w:r>
      <w:r w:rsidR="00FE0534" w:rsidRPr="00320C8E">
        <w:t>taken to ditches and summarily executed.</w:t>
      </w:r>
      <w:r w:rsidR="00FE0534" w:rsidRPr="007C4BD4">
        <w:rPr>
          <w:rStyle w:val="FootnoteReference"/>
        </w:rPr>
        <w:footnoteReference w:id="39"/>
      </w:r>
      <w:r w:rsidR="00FE0534" w:rsidRPr="00320C8E">
        <w:t xml:space="preserve"> It </w:t>
      </w:r>
      <w:r w:rsidR="003D780C">
        <w:t>has been</w:t>
      </w:r>
      <w:r w:rsidR="003D780C" w:rsidRPr="00320C8E">
        <w:t xml:space="preserve"> </w:t>
      </w:r>
      <w:r w:rsidR="00FE0534" w:rsidRPr="00320C8E">
        <w:t>reported that at least 700 men were killed</w:t>
      </w:r>
      <w:r w:rsidR="00DC3F08">
        <w:t xml:space="preserve"> in August 2014</w:t>
      </w:r>
      <w:r w:rsidR="00FE0534" w:rsidRPr="00320C8E">
        <w:t xml:space="preserve"> after being rounded up, separated from the women and forced to convert. Those who refused were taken to a farm and</w:t>
      </w:r>
      <w:r w:rsidR="00DF19B4">
        <w:t>,</w:t>
      </w:r>
      <w:r w:rsidR="00FE0534" w:rsidRPr="00320C8E">
        <w:t xml:space="preserve"> after </w:t>
      </w:r>
      <w:r w:rsidR="00DF19B4">
        <w:t xml:space="preserve">being made to </w:t>
      </w:r>
      <w:r w:rsidR="00FE0534" w:rsidRPr="00320C8E">
        <w:t>hand over</w:t>
      </w:r>
      <w:r w:rsidR="00DC3F08">
        <w:t xml:space="preserve"> </w:t>
      </w:r>
      <w:r w:rsidR="00DC3F08" w:rsidRPr="00320C8E">
        <w:t>their possessions</w:t>
      </w:r>
      <w:r w:rsidR="00FE0534" w:rsidRPr="00320C8E">
        <w:t xml:space="preserve">, were ordered to </w:t>
      </w:r>
      <w:r w:rsidR="00DC3F08">
        <w:t xml:space="preserve">lie </w:t>
      </w:r>
      <w:r w:rsidR="00FE0534" w:rsidRPr="00320C8E">
        <w:t>face down</w:t>
      </w:r>
      <w:r w:rsidR="00DC3F08">
        <w:t xml:space="preserve"> on the ground</w:t>
      </w:r>
      <w:r w:rsidR="00DF19B4">
        <w:t xml:space="preserve"> and</w:t>
      </w:r>
      <w:r w:rsidR="00DC3F08">
        <w:t xml:space="preserve"> were</w:t>
      </w:r>
      <w:r w:rsidR="00FE0534" w:rsidRPr="00320C8E">
        <w:t xml:space="preserve"> filmed by members of ISIL before being shot several times.</w:t>
      </w:r>
      <w:r w:rsidR="00FE0534" w:rsidRPr="007C4BD4">
        <w:rPr>
          <w:rStyle w:val="FootnoteReference"/>
        </w:rPr>
        <w:footnoteReference w:id="40"/>
      </w:r>
      <w:r w:rsidR="00FE0534" w:rsidRPr="00320C8E">
        <w:t xml:space="preserve"> These acts may, if confirmed, amount to genocide</w:t>
      </w:r>
      <w:r w:rsidR="00FE0534" w:rsidRPr="007C4BD4">
        <w:rPr>
          <w:rStyle w:val="FootnoteReference"/>
        </w:rPr>
        <w:footnoteReference w:id="41"/>
      </w:r>
      <w:r w:rsidR="00FE0534" w:rsidRPr="00320C8E">
        <w:t xml:space="preserve"> as defined in the Convention on the Prevention and Punishment of the Crime of Genocide. Other acts, including summary executions</w:t>
      </w:r>
      <w:r w:rsidR="00756C22">
        <w:t>,</w:t>
      </w:r>
      <w:r w:rsidR="00FE0534" w:rsidRPr="007C4BD4">
        <w:rPr>
          <w:rStyle w:val="FootnoteReference"/>
        </w:rPr>
        <w:footnoteReference w:id="42"/>
      </w:r>
      <w:r w:rsidR="00FE0534" w:rsidRPr="00320C8E">
        <w:t xml:space="preserve"> abductions on a mass scale</w:t>
      </w:r>
      <w:r w:rsidR="00FE0534" w:rsidRPr="007C4BD4">
        <w:rPr>
          <w:rStyle w:val="FootnoteReference"/>
        </w:rPr>
        <w:footnoteReference w:id="43"/>
      </w:r>
      <w:r w:rsidR="00FE0534" w:rsidRPr="00320C8E">
        <w:t xml:space="preserve"> </w:t>
      </w:r>
      <w:r w:rsidR="00DF19B4">
        <w:t>and</w:t>
      </w:r>
      <w:r w:rsidR="00DF19B4" w:rsidRPr="00320C8E">
        <w:t xml:space="preserve"> </w:t>
      </w:r>
      <w:r w:rsidR="00FE0534" w:rsidRPr="00320C8E">
        <w:t>forced conversions</w:t>
      </w:r>
      <w:r w:rsidR="00DF19B4">
        <w:t>,</w:t>
      </w:r>
      <w:r w:rsidR="00FE0534" w:rsidRPr="00320C8E">
        <w:t xml:space="preserve"> may amount to crimes against humanity and war crimes. In </w:t>
      </w:r>
      <w:r w:rsidR="00051321">
        <w:t>the Syrian Arab Republic</w:t>
      </w:r>
      <w:r w:rsidR="00FE0534" w:rsidRPr="00320C8E">
        <w:t xml:space="preserve">, it </w:t>
      </w:r>
      <w:r w:rsidR="00DF19B4">
        <w:t>has been</w:t>
      </w:r>
      <w:r w:rsidR="00DF19B4" w:rsidRPr="00320C8E">
        <w:t xml:space="preserve"> </w:t>
      </w:r>
      <w:r w:rsidR="00FE0534" w:rsidRPr="00320C8E">
        <w:t xml:space="preserve">reported that ISIL may have committed </w:t>
      </w:r>
      <w:r w:rsidR="00DC3F08">
        <w:t>a</w:t>
      </w:r>
      <w:r w:rsidR="00FE0534" w:rsidRPr="00320C8E">
        <w:t xml:space="preserve"> crime against humanity </w:t>
      </w:r>
      <w:r w:rsidR="00DC3F08">
        <w:t>by</w:t>
      </w:r>
      <w:r w:rsidR="00FE0534" w:rsidRPr="00320C8E">
        <w:t xml:space="preserve"> forcibl</w:t>
      </w:r>
      <w:r w:rsidR="00DC3F08">
        <w:t>y</w:t>
      </w:r>
      <w:r w:rsidR="00FE0534" w:rsidRPr="00320C8E">
        <w:t xml:space="preserve"> displac</w:t>
      </w:r>
      <w:r w:rsidR="00DC3F08">
        <w:t>ing</w:t>
      </w:r>
      <w:r w:rsidR="00FE0534" w:rsidRPr="00320C8E">
        <w:t xml:space="preserve"> </w:t>
      </w:r>
      <w:r w:rsidR="00DC3F08">
        <w:t xml:space="preserve">the </w:t>
      </w:r>
      <w:r w:rsidR="00FE0534" w:rsidRPr="00320C8E">
        <w:t>Kurdish</w:t>
      </w:r>
      <w:r w:rsidR="00FE0534">
        <w:t xml:space="preserve"> population in Ar-Raqqah governorate.</w:t>
      </w:r>
      <w:r w:rsidR="00FE0534" w:rsidRPr="007C4BD4">
        <w:rPr>
          <w:rStyle w:val="FootnoteReference"/>
        </w:rPr>
        <w:footnoteReference w:id="44"/>
      </w:r>
      <w:r w:rsidR="00FE0534">
        <w:t xml:space="preserve"> </w:t>
      </w:r>
    </w:p>
    <w:p w:rsidR="00FE0534" w:rsidRDefault="00450324" w:rsidP="00450324">
      <w:pPr>
        <w:pStyle w:val="SingleTxtG"/>
      </w:pPr>
      <w:r>
        <w:t>26.</w:t>
      </w:r>
      <w:r>
        <w:tab/>
      </w:r>
      <w:r w:rsidR="00557E97">
        <w:t xml:space="preserve">The </w:t>
      </w:r>
      <w:r w:rsidR="00FE0534">
        <w:t xml:space="preserve">alleged responsibility </w:t>
      </w:r>
      <w:r w:rsidR="00557E97">
        <w:t xml:space="preserve">of ISIL </w:t>
      </w:r>
      <w:r w:rsidR="00FE0534">
        <w:t>for unlawful killings, including massacres</w:t>
      </w:r>
      <w:r w:rsidR="00557E97">
        <w:t>,</w:t>
      </w:r>
      <w:r w:rsidR="00FE0534" w:rsidRPr="007C4BD4">
        <w:rPr>
          <w:rStyle w:val="FootnoteReference"/>
        </w:rPr>
        <w:footnoteReference w:id="45"/>
      </w:r>
      <w:r w:rsidR="00FE0534">
        <w:t xml:space="preserve"> has also been reported</w:t>
      </w:r>
      <w:r w:rsidR="00756C22">
        <w:t>.</w:t>
      </w:r>
      <w:r w:rsidR="00FE0534" w:rsidRPr="007C4BD4">
        <w:rPr>
          <w:rStyle w:val="FootnoteReference"/>
        </w:rPr>
        <w:footnoteReference w:id="46"/>
      </w:r>
      <w:r w:rsidR="00FE0534">
        <w:t xml:space="preserve"> Summary executions</w:t>
      </w:r>
      <w:r w:rsidR="00F9506F">
        <w:t xml:space="preserve"> and</w:t>
      </w:r>
      <w:r w:rsidR="00FE0534">
        <w:t xml:space="preserve"> enforced disappearances </w:t>
      </w:r>
      <w:r w:rsidR="007B7D42">
        <w:t>of</w:t>
      </w:r>
      <w:r w:rsidR="00FE0534">
        <w:t xml:space="preserve"> individuals ISIL views as challeng</w:t>
      </w:r>
      <w:r w:rsidR="00F9506F">
        <w:t>ing</w:t>
      </w:r>
      <w:r w:rsidR="00FE0534">
        <w:t xml:space="preserve"> its dominance or opposin</w:t>
      </w:r>
      <w:r w:rsidR="00F9506F">
        <w:t>g</w:t>
      </w:r>
      <w:r w:rsidR="00FE0534">
        <w:t xml:space="preserve"> it, through a policy of declaring </w:t>
      </w:r>
      <w:r w:rsidR="00F9506F">
        <w:t>them</w:t>
      </w:r>
      <w:r w:rsidR="00FE0534">
        <w:t xml:space="preserve"> to be heretic</w:t>
      </w:r>
      <w:r w:rsidR="00F9506F">
        <w:t>s</w:t>
      </w:r>
      <w:r w:rsidR="00FE0534">
        <w:t xml:space="preserve"> or infidel</w:t>
      </w:r>
      <w:r w:rsidR="00F9506F">
        <w:t>s</w:t>
      </w:r>
      <w:r w:rsidR="00FE0534">
        <w:t xml:space="preserve"> in order to justify the attacks, has also been widely documented in </w:t>
      </w:r>
      <w:r w:rsidR="00051321">
        <w:t>the Syrian Arab Republic</w:t>
      </w:r>
      <w:r w:rsidR="00FE0534" w:rsidRPr="007C4BD4">
        <w:rPr>
          <w:rStyle w:val="FootnoteReference"/>
        </w:rPr>
        <w:footnoteReference w:id="47"/>
      </w:r>
      <w:r w:rsidR="00FE0534">
        <w:t xml:space="preserve"> and in Iraq</w:t>
      </w:r>
      <w:r w:rsidR="00756C22">
        <w:t>.</w:t>
      </w:r>
      <w:r w:rsidR="00FE0534" w:rsidRPr="007C4BD4">
        <w:rPr>
          <w:rStyle w:val="FootnoteReference"/>
        </w:rPr>
        <w:footnoteReference w:id="48"/>
      </w:r>
      <w:r w:rsidR="00FE0534">
        <w:t xml:space="preserve"> Individuals targeted include police officers, public servants, members of parliament, tribal and religious leaders, </w:t>
      </w:r>
      <w:r w:rsidR="00F9506F">
        <w:t xml:space="preserve">election </w:t>
      </w:r>
      <w:r w:rsidR="00FE0534">
        <w:t xml:space="preserve">candidates </w:t>
      </w:r>
      <w:r w:rsidR="00F9506F">
        <w:t>and</w:t>
      </w:r>
      <w:r w:rsidR="00FE0534">
        <w:t xml:space="preserve"> hors de combats fighters. Sometimes, individuals are found guilty by ISIL “courts” before being executed</w:t>
      </w:r>
      <w:r w:rsidR="00756C22">
        <w:t>,</w:t>
      </w:r>
      <w:r w:rsidR="00FE0534" w:rsidRPr="007C4BD4">
        <w:rPr>
          <w:rStyle w:val="FootnoteReference"/>
        </w:rPr>
        <w:footnoteReference w:id="49"/>
      </w:r>
      <w:r w:rsidR="00FE0534">
        <w:t xml:space="preserve"> in the absence of any due process.</w:t>
      </w:r>
      <w:r w:rsidR="004E5A9B">
        <w:t xml:space="preserve"> </w:t>
      </w:r>
      <w:r w:rsidR="00FE0534">
        <w:t xml:space="preserve">In an effort to control the flow of information and limit freedom of expression, journalists and human rights defenders have been summarily executed, abducted, </w:t>
      </w:r>
      <w:r w:rsidR="00ED3C14">
        <w:t xml:space="preserve">made to </w:t>
      </w:r>
      <w:r w:rsidR="00FE0534">
        <w:t>disappear and tortured</w:t>
      </w:r>
      <w:r w:rsidR="00756C22">
        <w:t>.</w:t>
      </w:r>
      <w:r w:rsidR="00FE0534" w:rsidRPr="007C4BD4">
        <w:rPr>
          <w:rStyle w:val="FootnoteReference"/>
        </w:rPr>
        <w:footnoteReference w:id="50"/>
      </w:r>
      <w:r w:rsidR="00FE0534">
        <w:t xml:space="preserve"> There are also scores of allegations of torture and ill-treatment of individuals in detention centres, as well as summary punishments for theft, watching football matches, smoking, improper </w:t>
      </w:r>
      <w:r w:rsidR="004A1650">
        <w:t>attire</w:t>
      </w:r>
      <w:r w:rsidR="00FE0534">
        <w:t xml:space="preserve">, not attending Friday prayers </w:t>
      </w:r>
      <w:r w:rsidR="004A1650">
        <w:t>and</w:t>
      </w:r>
      <w:r w:rsidR="00FE0534">
        <w:t xml:space="preserve"> having tattoos,</w:t>
      </w:r>
      <w:r w:rsidR="00FE0534" w:rsidRPr="007C4BD4">
        <w:rPr>
          <w:rStyle w:val="FootnoteReference"/>
        </w:rPr>
        <w:footnoteReference w:id="51"/>
      </w:r>
      <w:r w:rsidR="00FE0534">
        <w:t xml:space="preserve"> in breach of ISIL edicts. </w:t>
      </w:r>
    </w:p>
    <w:p w:rsidR="00FE0534" w:rsidRDefault="00450324" w:rsidP="00450324">
      <w:pPr>
        <w:pStyle w:val="SingleTxtG"/>
      </w:pPr>
      <w:r>
        <w:t>27.</w:t>
      </w:r>
      <w:r>
        <w:tab/>
      </w:r>
      <w:r w:rsidR="00FE0534">
        <w:t xml:space="preserve">ISIL has been particularly brutal and discriminatory against women. </w:t>
      </w:r>
      <w:r w:rsidR="00ED3C14">
        <w:t>Information collected indicates that, i</w:t>
      </w:r>
      <w:r w:rsidR="00FE0534">
        <w:t xml:space="preserve">n addition to confining </w:t>
      </w:r>
      <w:r w:rsidR="00ED3C14">
        <w:t xml:space="preserve">women largely </w:t>
      </w:r>
      <w:r w:rsidR="00FE0534">
        <w:t xml:space="preserve">to their </w:t>
      </w:r>
      <w:r w:rsidR="00ED3C14">
        <w:t>homes and</w:t>
      </w:r>
      <w:r w:rsidR="00FE0534">
        <w:t xml:space="preserve"> dictating what they must wear, with whom they may socialize and where they may work</w:t>
      </w:r>
      <w:r w:rsidR="00574C3B">
        <w:t>,</w:t>
      </w:r>
      <w:r w:rsidR="00FE0534" w:rsidRPr="007C4BD4">
        <w:rPr>
          <w:rStyle w:val="FootnoteReference"/>
        </w:rPr>
        <w:footnoteReference w:id="52"/>
      </w:r>
      <w:r w:rsidR="00FE0534">
        <w:t xml:space="preserve"> </w:t>
      </w:r>
      <w:r w:rsidR="00ED3C14">
        <w:t>ISIS elements have committed</w:t>
      </w:r>
      <w:r w:rsidR="00FE0534">
        <w:t xml:space="preserve"> sexual and gender-based violence, which may constitute war crimes and amount to crimes against humanity. It is reported that Yezidi women </w:t>
      </w:r>
      <w:r w:rsidR="005A5DD7">
        <w:t xml:space="preserve">in </w:t>
      </w:r>
      <w:r w:rsidR="00FE0534">
        <w:t>particular</w:t>
      </w:r>
      <w:r w:rsidR="005A5DD7">
        <w:t xml:space="preserve"> have been</w:t>
      </w:r>
      <w:r w:rsidR="00FE0534">
        <w:t xml:space="preserve"> </w:t>
      </w:r>
      <w:r w:rsidR="005A5DD7">
        <w:t xml:space="preserve">the </w:t>
      </w:r>
      <w:r w:rsidR="00FE0534">
        <w:t>target</w:t>
      </w:r>
      <w:r w:rsidR="005A5DD7">
        <w:t xml:space="preserve"> of</w:t>
      </w:r>
      <w:r w:rsidR="00FE0534">
        <w:t xml:space="preserve"> killings, widespread and systematic enslavement, including </w:t>
      </w:r>
      <w:r w:rsidR="00FE0534" w:rsidRPr="007D3155">
        <w:t>sexual slavery</w:t>
      </w:r>
      <w:r w:rsidR="005A5DD7">
        <w:t>, and rape; women have also been sold</w:t>
      </w:r>
      <w:r w:rsidR="00FE0534" w:rsidRPr="007D3155">
        <w:t xml:space="preserve"> and forc</w:t>
      </w:r>
      <w:r w:rsidR="005A5DD7">
        <w:t>ibly</w:t>
      </w:r>
      <w:r w:rsidR="00FE0534" w:rsidRPr="007D3155">
        <w:t xml:space="preserve"> transfer</w:t>
      </w:r>
      <w:r w:rsidR="005A5DD7">
        <w:t>red</w:t>
      </w:r>
      <w:r w:rsidR="00FE0534" w:rsidRPr="007D3155">
        <w:rPr>
          <w:rStyle w:val="FootnoteReference"/>
        </w:rPr>
        <w:footnoteReference w:id="53"/>
      </w:r>
      <w:r w:rsidR="00FE0534">
        <w:t xml:space="preserve"> from </w:t>
      </w:r>
      <w:r w:rsidR="005A5DD7">
        <w:t>n</w:t>
      </w:r>
      <w:r w:rsidR="00FE0534">
        <w:t xml:space="preserve">orthern Iraq to areas under ISIL control in </w:t>
      </w:r>
      <w:r w:rsidR="00051321">
        <w:t>the Syrian Arab Republic</w:t>
      </w:r>
      <w:r w:rsidR="00574C3B">
        <w:t>,</w:t>
      </w:r>
      <w:r w:rsidR="00FE0534">
        <w:t xml:space="preserve"> where many remain in captivity</w:t>
      </w:r>
      <w:r w:rsidR="00574C3B">
        <w:t>.</w:t>
      </w:r>
      <w:r w:rsidR="00FE0534" w:rsidRPr="007C4BD4">
        <w:rPr>
          <w:rStyle w:val="FootnoteReference"/>
        </w:rPr>
        <w:footnoteReference w:id="54"/>
      </w:r>
      <w:r w:rsidR="00FE0534">
        <w:t xml:space="preserve"> There are also credible reports about the rape of girls as young as </w:t>
      </w:r>
      <w:r w:rsidR="005A5DD7">
        <w:t xml:space="preserve">6 </w:t>
      </w:r>
      <w:r w:rsidR="00FE0534">
        <w:t>year</w:t>
      </w:r>
      <w:r w:rsidR="00266478">
        <w:t>s</w:t>
      </w:r>
      <w:r w:rsidR="00FE0534">
        <w:t xml:space="preserve"> old</w:t>
      </w:r>
      <w:r w:rsidR="00756C22">
        <w:t>.</w:t>
      </w:r>
      <w:r w:rsidR="00FE0534" w:rsidRPr="007C4BD4">
        <w:rPr>
          <w:rStyle w:val="FootnoteReference"/>
        </w:rPr>
        <w:footnoteReference w:id="55"/>
      </w:r>
      <w:r w:rsidR="00FE0534">
        <w:t xml:space="preserve"> The targeting of homosexual men on the basis of their sexuality has also been highlighted.</w:t>
      </w:r>
    </w:p>
    <w:p w:rsidR="00FE0534" w:rsidRDefault="00450324" w:rsidP="00450324">
      <w:pPr>
        <w:pStyle w:val="SingleTxtG"/>
      </w:pPr>
      <w:r>
        <w:t>28.</w:t>
      </w:r>
      <w:r>
        <w:tab/>
      </w:r>
      <w:r w:rsidR="00FE0534">
        <w:t xml:space="preserve">The abuse and violence </w:t>
      </w:r>
      <w:r w:rsidR="006F03F8">
        <w:t>perpetrated by</w:t>
      </w:r>
      <w:r w:rsidR="00FE0534">
        <w:t xml:space="preserve"> ISIL against children has been widely documented</w:t>
      </w:r>
      <w:r w:rsidR="00574C3B">
        <w:t>.</w:t>
      </w:r>
      <w:r w:rsidR="00FE0534" w:rsidRPr="007C4BD4">
        <w:rPr>
          <w:rStyle w:val="FootnoteReference"/>
        </w:rPr>
        <w:footnoteReference w:id="56"/>
      </w:r>
      <w:r w:rsidR="00FE0534">
        <w:t xml:space="preserve"> This includes summary executions, arbitrary detention, torture, cruel and inhuman treatment and kidnapping. In a particularly disturbing development, education is </w:t>
      </w:r>
      <w:r w:rsidR="006F03F8">
        <w:t xml:space="preserve">being </w:t>
      </w:r>
      <w:r w:rsidR="00FE0534">
        <w:t>used as a tool for indoctrination</w:t>
      </w:r>
      <w:r w:rsidR="005A5DD7">
        <w:t>.</w:t>
      </w:r>
      <w:r w:rsidR="00FE0534" w:rsidRPr="007C4BD4">
        <w:rPr>
          <w:rStyle w:val="FootnoteReference"/>
        </w:rPr>
        <w:footnoteReference w:id="57"/>
      </w:r>
      <w:r w:rsidR="00FE0534">
        <w:t xml:space="preserve"> </w:t>
      </w:r>
      <w:r w:rsidR="005A5DD7">
        <w:t>C</w:t>
      </w:r>
      <w:r w:rsidR="00FE0534">
        <w:t>hildren are reportedly made to watch videos of beheadings</w:t>
      </w:r>
      <w:r w:rsidR="00FE0534" w:rsidRPr="007C4BD4">
        <w:rPr>
          <w:rStyle w:val="FootnoteReference"/>
        </w:rPr>
        <w:footnoteReference w:id="58"/>
      </w:r>
      <w:r w:rsidR="00FE0534">
        <w:t xml:space="preserve"> </w:t>
      </w:r>
      <w:r w:rsidR="001F2DA3">
        <w:t>and</w:t>
      </w:r>
      <w:r w:rsidR="00FE0534">
        <w:t xml:space="preserve"> mass executions to desensitize them to forms of violence employed by ISIL. </w:t>
      </w:r>
      <w:r w:rsidR="005A5DD7">
        <w:t xml:space="preserve">The existence of </w:t>
      </w:r>
      <w:r w:rsidR="00FE0534">
        <w:t>“</w:t>
      </w:r>
      <w:r w:rsidR="005A5DD7">
        <w:t>c</w:t>
      </w:r>
      <w:r w:rsidR="00FE0534">
        <w:t>ub camps” in which children are taught to use weapons and trained to be deployed as suicide bombers ha</w:t>
      </w:r>
      <w:r w:rsidR="005A5DD7">
        <w:t>s</w:t>
      </w:r>
      <w:r w:rsidR="00FE0534">
        <w:t xml:space="preserve"> been reported,</w:t>
      </w:r>
      <w:r w:rsidR="00FE0534" w:rsidRPr="007C4BD4">
        <w:rPr>
          <w:rStyle w:val="FootnoteReference"/>
        </w:rPr>
        <w:footnoteReference w:id="59"/>
      </w:r>
      <w:r w:rsidR="00FE0534">
        <w:t xml:space="preserve"> and children have been used as executioners. It is also reported that children as young as </w:t>
      </w:r>
      <w:r w:rsidR="005A5DD7">
        <w:t>8</w:t>
      </w:r>
      <w:r w:rsidR="00FE0534">
        <w:t xml:space="preserve">, and possibly </w:t>
      </w:r>
      <w:r w:rsidR="005A5DD7">
        <w:t>5</w:t>
      </w:r>
      <w:r w:rsidR="00FE0534">
        <w:t xml:space="preserve">, have been trained and used </w:t>
      </w:r>
      <w:r w:rsidR="005A5DD7">
        <w:t xml:space="preserve">in </w:t>
      </w:r>
      <w:r w:rsidR="00FE0534">
        <w:t>active combat roles.</w:t>
      </w:r>
      <w:r w:rsidR="004E5A9B">
        <w:t xml:space="preserve"> </w:t>
      </w:r>
      <w:r w:rsidR="00FE0534">
        <w:t>If true, this would constitute a war crime and a violation of the Optional Protocol to the Convention on the Rights of the Child</w:t>
      </w:r>
      <w:r w:rsidR="00711C48">
        <w:t xml:space="preserve"> on</w:t>
      </w:r>
      <w:r w:rsidR="00711C48" w:rsidRPr="00711C48">
        <w:t xml:space="preserve"> the involvement of children in armed conflict</w:t>
      </w:r>
      <w:r w:rsidR="00574C3B">
        <w:t>.</w:t>
      </w:r>
      <w:r w:rsidR="00FE0534">
        <w:t xml:space="preserve"> </w:t>
      </w:r>
    </w:p>
    <w:p w:rsidR="00FE0534" w:rsidRDefault="00450324" w:rsidP="00450324">
      <w:pPr>
        <w:pStyle w:val="SingleTxtG"/>
      </w:pPr>
      <w:r>
        <w:t>29.</w:t>
      </w:r>
      <w:r>
        <w:tab/>
      </w:r>
      <w:r w:rsidR="00FE0534">
        <w:t>In summary, ISIL has engaged in widespread and systematic human rights and humanitarian law violations of the most serious kind</w:t>
      </w:r>
      <w:r w:rsidR="005A5DD7">
        <w:t>s</w:t>
      </w:r>
      <w:r w:rsidR="00574C3B">
        <w:t>.</w:t>
      </w:r>
      <w:r w:rsidR="00FE0534" w:rsidRPr="007C4BD4">
        <w:rPr>
          <w:rStyle w:val="FootnoteReference"/>
        </w:rPr>
        <w:footnoteReference w:id="60"/>
      </w:r>
      <w:r w:rsidR="00FE0534">
        <w:t xml:space="preserve"> </w:t>
      </w:r>
      <w:r w:rsidR="005A5DD7">
        <w:t xml:space="preserve">Such violations </w:t>
      </w:r>
      <w:r w:rsidR="00FE0534">
        <w:t>ha</w:t>
      </w:r>
      <w:r w:rsidR="005A5DD7">
        <w:t>ve</w:t>
      </w:r>
      <w:r w:rsidR="00FE0534">
        <w:t xml:space="preserve"> been most thoroughly documented in connection with ISIL actions in </w:t>
      </w:r>
      <w:r w:rsidR="00051321">
        <w:t>the Syrian Arab Republic</w:t>
      </w:r>
      <w:r w:rsidR="00FE0534">
        <w:t xml:space="preserve"> by the Independent </w:t>
      </w:r>
      <w:r w:rsidR="001F2DA3">
        <w:t xml:space="preserve">International </w:t>
      </w:r>
      <w:r w:rsidR="00FE0534">
        <w:t xml:space="preserve">Commission of Inquiry, but </w:t>
      </w:r>
      <w:r w:rsidR="005A5DD7">
        <w:t xml:space="preserve">have </w:t>
      </w:r>
      <w:r w:rsidR="00FE0534">
        <w:t>also been widely reported by reliable sources in Iraq. The methods used include public beheadings, shootings, stoning</w:t>
      </w:r>
      <w:r w:rsidR="001F2DA3">
        <w:t>,</w:t>
      </w:r>
      <w:r w:rsidR="00FE0534" w:rsidRPr="007C4BD4">
        <w:rPr>
          <w:rStyle w:val="FootnoteReference"/>
        </w:rPr>
        <w:footnoteReference w:id="61"/>
      </w:r>
      <w:r w:rsidR="00FE0534">
        <w:t xml:space="preserve"> amputations and lashings</w:t>
      </w:r>
      <w:r w:rsidR="007307D9">
        <w:t xml:space="preserve">, with individuals urged to attend executions, following which </w:t>
      </w:r>
      <w:r w:rsidR="007307D9">
        <w:rPr>
          <w:rStyle w:val="normal1"/>
        </w:rPr>
        <w:t>the corpses are placed on public display, often on crosses, for up to three days</w:t>
      </w:r>
      <w:r w:rsidR="00F07989">
        <w:rPr>
          <w:rStyle w:val="normal1"/>
        </w:rPr>
        <w:t>.</w:t>
      </w:r>
      <w:r w:rsidR="00FE0534" w:rsidRPr="007C4BD4">
        <w:rPr>
          <w:rStyle w:val="FootnoteReference"/>
        </w:rPr>
        <w:footnoteReference w:id="62"/>
      </w:r>
      <w:r w:rsidR="00FE0534">
        <w:rPr>
          <w:rStyle w:val="normal1"/>
        </w:rPr>
        <w:t xml:space="preserve"> </w:t>
      </w:r>
      <w:r w:rsidR="00F07989">
        <w:rPr>
          <w:rStyle w:val="normal1"/>
        </w:rPr>
        <w:t xml:space="preserve">In addition, victims’ </w:t>
      </w:r>
      <w:r w:rsidR="00FE0534">
        <w:rPr>
          <w:rStyle w:val="normal1"/>
        </w:rPr>
        <w:t>heads have been placed on spikes alongside park railings</w:t>
      </w:r>
      <w:r w:rsidR="00574C3B">
        <w:rPr>
          <w:rStyle w:val="normal1"/>
        </w:rPr>
        <w:t>,</w:t>
      </w:r>
      <w:r w:rsidR="00FE0534">
        <w:rPr>
          <w:rStyle w:val="normal1"/>
        </w:rPr>
        <w:t xml:space="preserve"> in squares and </w:t>
      </w:r>
      <w:r w:rsidR="00930560">
        <w:rPr>
          <w:rStyle w:val="normal1"/>
        </w:rPr>
        <w:t xml:space="preserve">on the </w:t>
      </w:r>
      <w:r w:rsidR="00FE0534">
        <w:t>roundabouts of the larger towns</w:t>
      </w:r>
      <w:r w:rsidR="00574C3B">
        <w:t>.</w:t>
      </w:r>
      <w:r w:rsidR="00FE0534" w:rsidRPr="007C4BD4">
        <w:rPr>
          <w:rStyle w:val="FootnoteReference"/>
        </w:rPr>
        <w:footnoteReference w:id="63"/>
      </w:r>
      <w:r w:rsidR="00FE0534">
        <w:rPr>
          <w:rStyle w:val="normal1"/>
        </w:rPr>
        <w:t xml:space="preserve"> </w:t>
      </w:r>
      <w:r w:rsidR="00FE0534">
        <w:t xml:space="preserve">The displaying of </w:t>
      </w:r>
      <w:r w:rsidR="00FE0534">
        <w:rPr>
          <w:rStyle w:val="normal1"/>
        </w:rPr>
        <w:t>mutilated bodies serves as a warning to the local population of the consequences of failure to submit to the armed group’s authority</w:t>
      </w:r>
      <w:r w:rsidR="00574C3B">
        <w:rPr>
          <w:rStyle w:val="normal1"/>
        </w:rPr>
        <w:t>,</w:t>
      </w:r>
      <w:r w:rsidR="00FE0534" w:rsidRPr="007C4BD4">
        <w:rPr>
          <w:rStyle w:val="FootnoteReference"/>
        </w:rPr>
        <w:footnoteReference w:id="64"/>
      </w:r>
      <w:r w:rsidR="00FE0534">
        <w:rPr>
          <w:rStyle w:val="normal1"/>
        </w:rPr>
        <w:t xml:space="preserve"> to deter those who may oppose the group’s rule and </w:t>
      </w:r>
      <w:r w:rsidR="005A1EA6">
        <w:rPr>
          <w:rStyle w:val="normal1"/>
        </w:rPr>
        <w:t xml:space="preserve">to </w:t>
      </w:r>
      <w:r w:rsidR="00FE0534">
        <w:rPr>
          <w:rStyle w:val="normal1"/>
        </w:rPr>
        <w:t>spread terror among the population.</w:t>
      </w:r>
      <w:r w:rsidR="00FE0534" w:rsidRPr="007C4BD4">
        <w:rPr>
          <w:rStyle w:val="FootnoteReference"/>
        </w:rPr>
        <w:footnoteReference w:id="65"/>
      </w:r>
      <w:r w:rsidR="00FE0534">
        <w:rPr>
          <w:rStyle w:val="normal1"/>
        </w:rPr>
        <w:t xml:space="preserve"> </w:t>
      </w:r>
      <w:r w:rsidR="00930560">
        <w:rPr>
          <w:rStyle w:val="normal1"/>
        </w:rPr>
        <w:t>The</w:t>
      </w:r>
      <w:r w:rsidR="00FE0534">
        <w:rPr>
          <w:rStyle w:val="normal1"/>
        </w:rPr>
        <w:t xml:space="preserve"> attacks </w:t>
      </w:r>
      <w:r w:rsidR="00930560">
        <w:rPr>
          <w:rStyle w:val="normal1"/>
        </w:rPr>
        <w:t xml:space="preserve">perpetrated by ISIL </w:t>
      </w:r>
      <w:r w:rsidR="00FE0534">
        <w:rPr>
          <w:rStyle w:val="normal1"/>
        </w:rPr>
        <w:t>on churches and historic monuments</w:t>
      </w:r>
      <w:r w:rsidR="005A1EA6">
        <w:t xml:space="preserve"> that</w:t>
      </w:r>
      <w:r w:rsidR="00FE0534">
        <w:t xml:space="preserve"> do not </w:t>
      </w:r>
      <w:r w:rsidR="005A1EA6">
        <w:t>represent</w:t>
      </w:r>
      <w:r w:rsidR="00FE0534">
        <w:t xml:space="preserve"> military </w:t>
      </w:r>
      <w:r w:rsidR="005A1EA6">
        <w:t>targets</w:t>
      </w:r>
      <w:r w:rsidR="00FE0534">
        <w:t xml:space="preserve"> are apparently committed to enforce religious and ideological hegemony and to instil fear in minority populations.</w:t>
      </w:r>
      <w:r w:rsidR="00FE0534" w:rsidRPr="007C4BD4">
        <w:rPr>
          <w:rStyle w:val="FootnoteReference"/>
        </w:rPr>
        <w:footnoteReference w:id="66"/>
      </w:r>
      <w:r w:rsidR="00FE0534">
        <w:t xml:space="preserve"> </w:t>
      </w:r>
      <w:r w:rsidR="00FE0534">
        <w:rPr>
          <w:rStyle w:val="normal1"/>
        </w:rPr>
        <w:t xml:space="preserve">The </w:t>
      </w:r>
      <w:r w:rsidR="00FE0534">
        <w:t xml:space="preserve">systematic </w:t>
      </w:r>
      <w:r w:rsidR="005A1EA6">
        <w:t xml:space="preserve">and </w:t>
      </w:r>
      <w:r w:rsidR="00FE0534">
        <w:t>targeted assassination and abduction of community, political and religious leaders, government employees, education professionals, journalists and health workers</w:t>
      </w:r>
      <w:r w:rsidR="00FE0534" w:rsidRPr="007C4BD4">
        <w:rPr>
          <w:rStyle w:val="FootnoteReference"/>
        </w:rPr>
        <w:footnoteReference w:id="67"/>
      </w:r>
      <w:r w:rsidR="00FE0534">
        <w:t xml:space="preserve"> also appear to be aimed at </w:t>
      </w:r>
      <w:r w:rsidR="00930560">
        <w:t xml:space="preserve">demonstrating the </w:t>
      </w:r>
      <w:r w:rsidR="00FE0534">
        <w:t xml:space="preserve">supremacy </w:t>
      </w:r>
      <w:r w:rsidR="00930560">
        <w:t xml:space="preserve">of ISIL </w:t>
      </w:r>
      <w:r w:rsidR="00FE0534">
        <w:t xml:space="preserve">in areas it controls. </w:t>
      </w:r>
      <w:r w:rsidR="00FE0534">
        <w:rPr>
          <w:rStyle w:val="normal1"/>
        </w:rPr>
        <w:t xml:space="preserve">The brutal nature and overall scale of abuses appears </w:t>
      </w:r>
      <w:r w:rsidR="00711C48">
        <w:rPr>
          <w:rStyle w:val="normal1"/>
        </w:rPr>
        <w:t xml:space="preserve">to be </w:t>
      </w:r>
      <w:r w:rsidR="00FE0534">
        <w:rPr>
          <w:rStyle w:val="normal1"/>
        </w:rPr>
        <w:t xml:space="preserve">intended to reinforce the group’s absolute monopoly on political and social life </w:t>
      </w:r>
      <w:r w:rsidR="005A1EA6">
        <w:rPr>
          <w:rStyle w:val="normal1"/>
        </w:rPr>
        <w:t xml:space="preserve">and </w:t>
      </w:r>
      <w:r w:rsidR="00FE0534">
        <w:rPr>
          <w:rStyle w:val="normal1"/>
        </w:rPr>
        <w:t xml:space="preserve">to enforce compliance and conformity among communities under </w:t>
      </w:r>
      <w:r w:rsidR="00A1790B">
        <w:rPr>
          <w:rStyle w:val="normal1"/>
        </w:rPr>
        <w:t>its</w:t>
      </w:r>
      <w:r w:rsidR="00FE0534">
        <w:rPr>
          <w:rStyle w:val="normal1"/>
        </w:rPr>
        <w:t xml:space="preserve"> control</w:t>
      </w:r>
      <w:r w:rsidR="00756C22">
        <w:rPr>
          <w:rStyle w:val="normal1"/>
        </w:rPr>
        <w:t>.</w:t>
      </w:r>
      <w:r w:rsidR="00FE0534" w:rsidRPr="007C4BD4">
        <w:rPr>
          <w:rStyle w:val="FootnoteReference"/>
        </w:rPr>
        <w:footnoteReference w:id="68"/>
      </w:r>
      <w:r w:rsidR="00FE0534">
        <w:rPr>
          <w:rStyle w:val="normal1"/>
        </w:rPr>
        <w:t xml:space="preserve"> </w:t>
      </w:r>
      <w:r w:rsidR="00FE0534">
        <w:t xml:space="preserve">The result is that </w:t>
      </w:r>
      <w:r w:rsidR="00FE0534">
        <w:rPr>
          <w:rStyle w:val="normal1"/>
        </w:rPr>
        <w:t>civilians who remain in ISIL-controlled areas live in a state of constant and almost unimaginable fear</w:t>
      </w:r>
      <w:r w:rsidR="00574C3B">
        <w:rPr>
          <w:rStyle w:val="normal1"/>
        </w:rPr>
        <w:t>.</w:t>
      </w:r>
      <w:r w:rsidR="00FE0534" w:rsidRPr="007C4BD4">
        <w:rPr>
          <w:rStyle w:val="FootnoteReference"/>
        </w:rPr>
        <w:footnoteReference w:id="69"/>
      </w:r>
      <w:r w:rsidR="00FE0534">
        <w:rPr>
          <w:rStyle w:val="normal1"/>
        </w:rPr>
        <w:t xml:space="preserve"> </w:t>
      </w:r>
    </w:p>
    <w:p w:rsidR="00FE0534" w:rsidRDefault="00450324" w:rsidP="00450324">
      <w:pPr>
        <w:pStyle w:val="SingleTxtG"/>
      </w:pPr>
      <w:r>
        <w:t>30.</w:t>
      </w:r>
      <w:r>
        <w:tab/>
      </w:r>
      <w:r w:rsidR="00FE0534">
        <w:t xml:space="preserve">Some still argue that human rights, as a body of law, can only bind States, and cannot or should not apply to non-State armed groups. However, as the Special Rapporteur has previously highlighted in other contexts, a central tenet of international human rights law </w:t>
      </w:r>
      <w:r w:rsidR="00A1790B">
        <w:t xml:space="preserve">is </w:t>
      </w:r>
      <w:r w:rsidR="00FE0534">
        <w:t xml:space="preserve">that it must keep pace with a changing world. Human rights apply at all times, inherently belong to individuals and are </w:t>
      </w:r>
      <w:proofErr w:type="gramStart"/>
      <w:r w:rsidR="00FE0534">
        <w:t>key</w:t>
      </w:r>
      <w:proofErr w:type="gramEnd"/>
      <w:r w:rsidR="00FE0534">
        <w:t xml:space="preserve"> to individual dignity. Increasingly, non-State armed groups control parts of territories </w:t>
      </w:r>
      <w:r w:rsidR="00A1790B">
        <w:t>i</w:t>
      </w:r>
      <w:r w:rsidR="00FE0534">
        <w:t xml:space="preserve">n which populations live. This is the </w:t>
      </w:r>
      <w:r w:rsidR="00A1790B">
        <w:t>case</w:t>
      </w:r>
      <w:r w:rsidR="00FE0534">
        <w:t xml:space="preserve"> with ISIL</w:t>
      </w:r>
      <w:r w:rsidR="00A1790B">
        <w:t>,</w:t>
      </w:r>
      <w:r w:rsidR="00FE0534">
        <w:t xml:space="preserve"> which now controls large swathes of territory </w:t>
      </w:r>
      <w:r w:rsidR="00A1790B">
        <w:t>i</w:t>
      </w:r>
      <w:r w:rsidR="00FE0534">
        <w:t>n which millions of individuals live</w:t>
      </w:r>
      <w:r w:rsidR="00A1790B">
        <w:t>;</w:t>
      </w:r>
      <w:r w:rsidR="00FE0534">
        <w:t xml:space="preserve"> </w:t>
      </w:r>
      <w:r w:rsidR="00A1790B">
        <w:t xml:space="preserve">it </w:t>
      </w:r>
      <w:r w:rsidR="00FE0534">
        <w:t>has declared itself a “State”, and runs both a civil and a military administration, including the establishment of a “court” system. The threshold for ISIL to be bound by human rights obligations has clearly been met</w:t>
      </w:r>
      <w:r w:rsidR="008068B1">
        <w:t>.</w:t>
      </w:r>
      <w:r w:rsidR="00FE0534" w:rsidRPr="007C4BD4">
        <w:rPr>
          <w:rStyle w:val="FootnoteReference"/>
        </w:rPr>
        <w:footnoteReference w:id="70"/>
      </w:r>
      <w:r w:rsidR="00FE0534">
        <w:t xml:space="preserve"> This means, at a minimum, that ISIL is bound under international law to respect core human rights obligations, such as the right to life, the absolute prohibition of torture, cruel, inhuman and degrading treatment, the prohibition of slavery and the prohibition of enforced disappearance, as well as </w:t>
      </w:r>
      <w:r w:rsidR="006200E3">
        <w:t xml:space="preserve">the right to </w:t>
      </w:r>
      <w:r w:rsidR="00FE0534">
        <w:t xml:space="preserve">freedom of thought, conscience and religion. </w:t>
      </w:r>
    </w:p>
    <w:p w:rsidR="00FE0534" w:rsidRPr="00FD1185" w:rsidRDefault="00450324" w:rsidP="00450324">
      <w:pPr>
        <w:pStyle w:val="SingleTxtG"/>
        <w:rPr>
          <w:bCs/>
          <w:lang w:eastAsia="hi-IN" w:bidi="hi-IN"/>
        </w:rPr>
      </w:pPr>
      <w:r w:rsidRPr="00FD1185">
        <w:rPr>
          <w:bCs/>
          <w:lang w:eastAsia="hi-IN" w:bidi="hi-IN"/>
        </w:rPr>
        <w:t>31.</w:t>
      </w:r>
      <w:r w:rsidRPr="00FD1185">
        <w:rPr>
          <w:bCs/>
          <w:lang w:eastAsia="hi-IN" w:bidi="hi-IN"/>
        </w:rPr>
        <w:tab/>
      </w:r>
      <w:r w:rsidR="00FE0534">
        <w:t>In addition, where ISIL engages in violations that are unrelated to the conflict and not direct consequence</w:t>
      </w:r>
      <w:r w:rsidR="006200E3">
        <w:t>s of it</w:t>
      </w:r>
      <w:r w:rsidR="00FE0534">
        <w:t>, the governing legal framework should be international human rights law. In practice, this means that ISIL is legally bound to respect freedom of expression, freedom of assembly</w:t>
      </w:r>
      <w:r w:rsidR="006200E3">
        <w:t xml:space="preserve"> and</w:t>
      </w:r>
      <w:r w:rsidR="00FE0534">
        <w:t xml:space="preserve"> freedom of movement. These rights should be protected without discrimination on any of the grounds prohibited by international law. The right to a fair trial should also be guaranteed.</w:t>
      </w:r>
      <w:r w:rsidR="004E5A9B">
        <w:t xml:space="preserve"> </w:t>
      </w:r>
      <w:r w:rsidR="00FE0534">
        <w:t xml:space="preserve">In areas of substantive overlap between international human rights and international humanitarian law, </w:t>
      </w:r>
      <w:r w:rsidR="006200E3">
        <w:t xml:space="preserve">the </w:t>
      </w:r>
      <w:r w:rsidR="00FE0534">
        <w:t xml:space="preserve">principles that provide assistance in determining which framework is applicable are those of </w:t>
      </w:r>
      <w:r w:rsidR="00FE0534">
        <w:rPr>
          <w:i/>
        </w:rPr>
        <w:t>lex specialis</w:t>
      </w:r>
      <w:r w:rsidR="00FE0534" w:rsidRPr="007C4BD4">
        <w:rPr>
          <w:rStyle w:val="FootnoteReference"/>
        </w:rPr>
        <w:footnoteReference w:id="71"/>
      </w:r>
      <w:r w:rsidR="00FE0534">
        <w:t xml:space="preserve"> and effective control: the more effective control ISIL has over a territory or individuals, the greater is the extent to which human rights law will constitute the appropriate legal framework.</w:t>
      </w:r>
      <w:r w:rsidR="00FE0534" w:rsidRPr="007C4BD4">
        <w:rPr>
          <w:rStyle w:val="FootnoteReference"/>
        </w:rPr>
        <w:footnoteReference w:id="72"/>
      </w:r>
    </w:p>
    <w:p w:rsidR="00FE0534" w:rsidRDefault="00FE0534" w:rsidP="00FE0534">
      <w:pPr>
        <w:pStyle w:val="H1G"/>
        <w:ind w:left="0" w:firstLine="0"/>
        <w:rPr>
          <w:szCs w:val="16"/>
        </w:rPr>
      </w:pPr>
      <w:r>
        <w:rPr>
          <w:lang w:eastAsia="hi-IN" w:bidi="hi-IN"/>
        </w:rPr>
        <w:tab/>
        <w:t>D.</w:t>
      </w:r>
      <w:r>
        <w:rPr>
          <w:lang w:eastAsia="hi-IN" w:bidi="hi-IN"/>
        </w:rPr>
        <w:tab/>
        <w:t>Accountability</w:t>
      </w:r>
    </w:p>
    <w:p w:rsidR="00FE0534" w:rsidRDefault="00450324" w:rsidP="00450324">
      <w:pPr>
        <w:pStyle w:val="SingleTxtG"/>
        <w:rPr>
          <w:szCs w:val="16"/>
        </w:rPr>
      </w:pPr>
      <w:r>
        <w:rPr>
          <w:szCs w:val="16"/>
        </w:rPr>
        <w:t>32.</w:t>
      </w:r>
      <w:r>
        <w:rPr>
          <w:szCs w:val="16"/>
        </w:rPr>
        <w:tab/>
      </w:r>
      <w:r w:rsidR="00D735AA">
        <w:rPr>
          <w:szCs w:val="16"/>
        </w:rPr>
        <w:t xml:space="preserve">As the </w:t>
      </w:r>
      <w:r w:rsidR="00D735AA" w:rsidRPr="00FE0534">
        <w:t xml:space="preserve">Security Council </w:t>
      </w:r>
      <w:r w:rsidR="00D735AA">
        <w:t xml:space="preserve">recalled </w:t>
      </w:r>
      <w:r w:rsidR="00D735AA" w:rsidRPr="00FE0534">
        <w:t xml:space="preserve">in </w:t>
      </w:r>
      <w:r w:rsidR="00D735AA">
        <w:t xml:space="preserve">its </w:t>
      </w:r>
      <w:r w:rsidR="00D735AA" w:rsidRPr="00FE0534">
        <w:t>resolution 2170 (2014)</w:t>
      </w:r>
      <w:r w:rsidR="00D735AA">
        <w:t xml:space="preserve">, </w:t>
      </w:r>
      <w:r w:rsidR="00D735AA">
        <w:rPr>
          <w:szCs w:val="16"/>
        </w:rPr>
        <w:t>a</w:t>
      </w:r>
      <w:r w:rsidR="00FE0534">
        <w:rPr>
          <w:szCs w:val="16"/>
        </w:rPr>
        <w:t>ccountability for all gross or serious violations of international human rights law and international humanitarian law is essential to ensure justice, provide redress to the victims and prevent future violations</w:t>
      </w:r>
      <w:r w:rsidR="008068B1">
        <w:rPr>
          <w:szCs w:val="16"/>
        </w:rPr>
        <w:t>.</w:t>
      </w:r>
      <w:r w:rsidR="00FE0534">
        <w:rPr>
          <w:szCs w:val="16"/>
        </w:rPr>
        <w:t xml:space="preserve"> The </w:t>
      </w:r>
      <w:r w:rsidR="00024D1F">
        <w:rPr>
          <w:szCs w:val="16"/>
        </w:rPr>
        <w:t xml:space="preserve">Governments </w:t>
      </w:r>
      <w:r w:rsidR="00FE0534">
        <w:rPr>
          <w:szCs w:val="16"/>
        </w:rPr>
        <w:t xml:space="preserve">of Iraq and </w:t>
      </w:r>
      <w:r w:rsidR="00051321">
        <w:rPr>
          <w:szCs w:val="16"/>
        </w:rPr>
        <w:t>the Syrian Arab Republic</w:t>
      </w:r>
      <w:r w:rsidR="00FE0534">
        <w:rPr>
          <w:szCs w:val="16"/>
        </w:rPr>
        <w:t xml:space="preserve"> bear primary responsibility for protecting persons under their jurisdiction and ensuring accountability for the commission of grave crimes. This implies a duty to take action so that violations are prevented, stopped and not repeated; to investigate alleged violations effectively, promptly, thoroughly and impartially and, where required, to bring alleged perpetrators to justice in accordance </w:t>
      </w:r>
      <w:r w:rsidR="00D735AA">
        <w:rPr>
          <w:szCs w:val="16"/>
        </w:rPr>
        <w:t xml:space="preserve">with </w:t>
      </w:r>
      <w:r w:rsidR="00FE0534">
        <w:rPr>
          <w:szCs w:val="16"/>
        </w:rPr>
        <w:t>domestic and international law</w:t>
      </w:r>
      <w:r w:rsidR="00024D1F">
        <w:rPr>
          <w:szCs w:val="16"/>
        </w:rPr>
        <w:t>;</w:t>
      </w:r>
      <w:r w:rsidR="00FE0534">
        <w:rPr>
          <w:szCs w:val="16"/>
        </w:rPr>
        <w:t xml:space="preserve"> and to provide adequate remedy and redress to victims. Domestic courts in Iraq and </w:t>
      </w:r>
      <w:r w:rsidR="00051321">
        <w:rPr>
          <w:szCs w:val="16"/>
        </w:rPr>
        <w:t>the Syrian Arab Republic</w:t>
      </w:r>
      <w:r w:rsidR="00FE0534">
        <w:rPr>
          <w:szCs w:val="16"/>
        </w:rPr>
        <w:t xml:space="preserve"> have jurisdiction over all violations committed in their territories, whether by nationals or foreigners, and they should exercise their jurisdiction where it is possible to do so. </w:t>
      </w:r>
    </w:p>
    <w:p w:rsidR="00FE0534" w:rsidRDefault="00450324" w:rsidP="00450324">
      <w:pPr>
        <w:pStyle w:val="SingleTxtG"/>
        <w:rPr>
          <w:szCs w:val="16"/>
        </w:rPr>
      </w:pPr>
      <w:r>
        <w:rPr>
          <w:szCs w:val="16"/>
        </w:rPr>
        <w:t>33.</w:t>
      </w:r>
      <w:r>
        <w:rPr>
          <w:szCs w:val="16"/>
        </w:rPr>
        <w:tab/>
      </w:r>
      <w:r w:rsidR="00FE0534">
        <w:rPr>
          <w:szCs w:val="16"/>
        </w:rPr>
        <w:t xml:space="preserve">However, in </w:t>
      </w:r>
      <w:r w:rsidR="00D735AA">
        <w:rPr>
          <w:szCs w:val="16"/>
        </w:rPr>
        <w:t xml:space="preserve">the </w:t>
      </w:r>
      <w:r w:rsidR="00FE0534">
        <w:rPr>
          <w:szCs w:val="16"/>
        </w:rPr>
        <w:t>light of the operational obstacles to the effective exercise of jurisdiction, and bearing in mind concerns regarding respect for the right to a fair trial that have been expressed regarding the judicial systems in both Iraq</w:t>
      </w:r>
      <w:r w:rsidR="00FE0534" w:rsidRPr="007C4BD4">
        <w:rPr>
          <w:rStyle w:val="FootnoteReference"/>
        </w:rPr>
        <w:footnoteReference w:id="73"/>
      </w:r>
      <w:r w:rsidR="00FE0534">
        <w:rPr>
          <w:szCs w:val="16"/>
        </w:rPr>
        <w:t xml:space="preserve"> and </w:t>
      </w:r>
      <w:r w:rsidR="00051321">
        <w:rPr>
          <w:szCs w:val="16"/>
        </w:rPr>
        <w:t>the Syrian Arab Republic</w:t>
      </w:r>
      <w:r w:rsidR="008068B1">
        <w:rPr>
          <w:szCs w:val="16"/>
        </w:rPr>
        <w:t>,</w:t>
      </w:r>
      <w:r w:rsidR="00FE0534" w:rsidRPr="007C4BD4">
        <w:rPr>
          <w:rStyle w:val="FootnoteReference"/>
        </w:rPr>
        <w:footnoteReference w:id="74"/>
      </w:r>
      <w:r w:rsidR="00FE0534">
        <w:rPr>
          <w:szCs w:val="16"/>
        </w:rPr>
        <w:t xml:space="preserve"> the involvement of the International Criminal Court or the creation of an </w:t>
      </w:r>
      <w:r w:rsidR="00FE0534" w:rsidRPr="00450324">
        <w:rPr>
          <w:iCs/>
          <w:szCs w:val="16"/>
        </w:rPr>
        <w:t>ad hoc</w:t>
      </w:r>
      <w:r w:rsidR="00FE0534">
        <w:rPr>
          <w:szCs w:val="16"/>
        </w:rPr>
        <w:t xml:space="preserve"> </w:t>
      </w:r>
      <w:r w:rsidR="00F1384A">
        <w:rPr>
          <w:szCs w:val="16"/>
        </w:rPr>
        <w:t xml:space="preserve">international </w:t>
      </w:r>
      <w:r w:rsidR="00FE0534">
        <w:rPr>
          <w:szCs w:val="16"/>
        </w:rPr>
        <w:t>tribunal to investigate and prosecute the crimes allegedly committed by</w:t>
      </w:r>
      <w:r w:rsidR="00F1384A">
        <w:rPr>
          <w:szCs w:val="16"/>
        </w:rPr>
        <w:t>,</w:t>
      </w:r>
      <w:r w:rsidR="00FE0534">
        <w:rPr>
          <w:szCs w:val="16"/>
        </w:rPr>
        <w:t xml:space="preserve"> </w:t>
      </w:r>
      <w:r w:rsidR="00FE0534" w:rsidRPr="00450324">
        <w:rPr>
          <w:iCs/>
          <w:szCs w:val="16"/>
        </w:rPr>
        <w:t>inter alia</w:t>
      </w:r>
      <w:r w:rsidR="00F1384A" w:rsidRPr="00450324">
        <w:rPr>
          <w:iCs/>
          <w:szCs w:val="16"/>
        </w:rPr>
        <w:t>,</w:t>
      </w:r>
      <w:r w:rsidR="00FE0534">
        <w:rPr>
          <w:szCs w:val="16"/>
        </w:rPr>
        <w:t xml:space="preserve"> ISIL must be regarded as a priority</w:t>
      </w:r>
      <w:r w:rsidR="008068B1">
        <w:rPr>
          <w:szCs w:val="16"/>
        </w:rPr>
        <w:t>.</w:t>
      </w:r>
      <w:r w:rsidR="00FE0534" w:rsidRPr="007C4BD4">
        <w:rPr>
          <w:rStyle w:val="FootnoteReference"/>
        </w:rPr>
        <w:footnoteReference w:id="75"/>
      </w:r>
      <w:r w:rsidR="00FE0534">
        <w:rPr>
          <w:szCs w:val="16"/>
        </w:rPr>
        <w:t xml:space="preserve"> The Special Rapporteur joins the call made by the United Nations High Commissioner for Human Rights, the Independent International Commission of Inquiry on the Syrian Arab Republic and others for the involvement of the International Criminal Court regarding the situation in both Iraq and </w:t>
      </w:r>
      <w:r w:rsidR="00051321">
        <w:rPr>
          <w:szCs w:val="16"/>
        </w:rPr>
        <w:t>the Syrian Arab Republic</w:t>
      </w:r>
      <w:r w:rsidR="00FE0534">
        <w:rPr>
          <w:szCs w:val="16"/>
        </w:rPr>
        <w:t xml:space="preserve">. The failure of the Security Council to refer the situation in </w:t>
      </w:r>
      <w:r w:rsidR="00051321">
        <w:rPr>
          <w:szCs w:val="16"/>
        </w:rPr>
        <w:t>the Syrian Arab Republic</w:t>
      </w:r>
      <w:r w:rsidR="00FE0534">
        <w:rPr>
          <w:szCs w:val="16"/>
        </w:rPr>
        <w:t xml:space="preserve"> to the Court has contributed to crimes continuing to be committed unabated</w:t>
      </w:r>
      <w:r w:rsidR="008068B1">
        <w:rPr>
          <w:szCs w:val="16"/>
        </w:rPr>
        <w:t>.</w:t>
      </w:r>
      <w:r w:rsidR="00FE0534" w:rsidRPr="007C4BD4">
        <w:rPr>
          <w:rStyle w:val="FootnoteReference"/>
        </w:rPr>
        <w:footnoteReference w:id="76"/>
      </w:r>
      <w:r w:rsidR="00FE0534">
        <w:rPr>
          <w:szCs w:val="16"/>
        </w:rPr>
        <w:t xml:space="preserve"> As neither Iraq nor </w:t>
      </w:r>
      <w:r w:rsidR="00051321">
        <w:rPr>
          <w:szCs w:val="16"/>
        </w:rPr>
        <w:t>the Syrian Arab Republic</w:t>
      </w:r>
      <w:r w:rsidR="00FE0534">
        <w:rPr>
          <w:szCs w:val="16"/>
        </w:rPr>
        <w:t xml:space="preserve"> </w:t>
      </w:r>
      <w:proofErr w:type="gramStart"/>
      <w:r w:rsidR="00FE0534">
        <w:t>are</w:t>
      </w:r>
      <w:proofErr w:type="gramEnd"/>
      <w:r w:rsidR="00FE0534">
        <w:t xml:space="preserve"> </w:t>
      </w:r>
      <w:r w:rsidR="00F1384A">
        <w:t>p</w:t>
      </w:r>
      <w:r w:rsidR="00FE0534">
        <w:t xml:space="preserve">arties to the Rome Statute, the </w:t>
      </w:r>
      <w:r w:rsidR="00024D1F">
        <w:t xml:space="preserve">Court </w:t>
      </w:r>
      <w:r w:rsidR="00FE0534">
        <w:t xml:space="preserve">has no territorial jurisdiction over crimes committed on their soil. The Prosecutor of the </w:t>
      </w:r>
      <w:r w:rsidR="00024D1F">
        <w:t xml:space="preserve">Court </w:t>
      </w:r>
      <w:r w:rsidR="00FE0534">
        <w:t>has reviewed th</w:t>
      </w:r>
      <w:r w:rsidR="00024D1F">
        <w:t>os</w:t>
      </w:r>
      <w:r w:rsidR="00FE0534">
        <w:t xml:space="preserve">e cases </w:t>
      </w:r>
      <w:r w:rsidR="00D47583">
        <w:t>in</w:t>
      </w:r>
      <w:r w:rsidR="00FE0534">
        <w:t xml:space="preserve"> which the </w:t>
      </w:r>
      <w:r w:rsidR="00024D1F">
        <w:t xml:space="preserve">Court </w:t>
      </w:r>
      <w:r w:rsidR="00D47583">
        <w:t>c</w:t>
      </w:r>
      <w:r w:rsidR="00FE0534">
        <w:t xml:space="preserve">ould </w:t>
      </w:r>
      <w:r w:rsidR="00D47583">
        <w:t>exercise</w:t>
      </w:r>
      <w:r w:rsidR="00FE0534">
        <w:t xml:space="preserve"> personal jurisdiction over alleged perpetrators who are nationals of a State </w:t>
      </w:r>
      <w:r w:rsidR="00D47583">
        <w:t>p</w:t>
      </w:r>
      <w:r w:rsidR="00FE0534">
        <w:t xml:space="preserve">arty </w:t>
      </w:r>
      <w:r w:rsidR="00D47583">
        <w:t xml:space="preserve">to the Rome Statute, </w:t>
      </w:r>
      <w:r w:rsidR="00FE0534">
        <w:t xml:space="preserve">but has </w:t>
      </w:r>
      <w:r w:rsidR="00D47583">
        <w:t xml:space="preserve">said </w:t>
      </w:r>
      <w:r w:rsidR="00FE0534">
        <w:t xml:space="preserve">that the prospects of </w:t>
      </w:r>
      <w:r w:rsidR="00D47583">
        <w:t xml:space="preserve">the </w:t>
      </w:r>
      <w:r w:rsidR="00024D1F">
        <w:t>Court</w:t>
      </w:r>
      <w:r w:rsidR="00D47583">
        <w:t xml:space="preserve"> </w:t>
      </w:r>
      <w:r w:rsidR="00FE0534">
        <w:t xml:space="preserve">investigating and prosecuting those </w:t>
      </w:r>
      <w:r w:rsidR="00D47583">
        <w:t xml:space="preserve">with </w:t>
      </w:r>
      <w:r w:rsidR="00FE0534">
        <w:t>most responsib</w:t>
      </w:r>
      <w:r w:rsidR="00D47583">
        <w:t>i</w:t>
      </w:r>
      <w:r w:rsidR="00FE0534">
        <w:t>l</w:t>
      </w:r>
      <w:r w:rsidR="00D47583">
        <w:t>ity</w:t>
      </w:r>
      <w:r w:rsidR="00FE0534">
        <w:t xml:space="preserve"> in </w:t>
      </w:r>
      <w:r w:rsidR="00D47583">
        <w:t xml:space="preserve">the </w:t>
      </w:r>
      <w:r w:rsidR="00FE0534">
        <w:t>ISIL leadership would be remote.</w:t>
      </w:r>
      <w:r w:rsidR="00FE0534" w:rsidRPr="007C4BD4">
        <w:rPr>
          <w:rStyle w:val="FootnoteReference"/>
        </w:rPr>
        <w:footnoteReference w:id="77"/>
      </w:r>
      <w:r w:rsidR="004E5A9B">
        <w:t xml:space="preserve"> </w:t>
      </w:r>
      <w:r w:rsidR="00FE0534">
        <w:t xml:space="preserve">In the absence of a Security Council resolution referring the situation to the </w:t>
      </w:r>
      <w:r w:rsidR="00024D1F">
        <w:t>Court</w:t>
      </w:r>
      <w:r w:rsidR="00FE0534">
        <w:t>, t</w:t>
      </w:r>
      <w:r w:rsidR="00FE0534">
        <w:rPr>
          <w:szCs w:val="16"/>
        </w:rPr>
        <w:t xml:space="preserve">he Special Rapporteur calls on the Governments of Iraq and </w:t>
      </w:r>
      <w:r w:rsidR="00051321">
        <w:rPr>
          <w:szCs w:val="16"/>
        </w:rPr>
        <w:t>the Syrian Arab Republic</w:t>
      </w:r>
      <w:r w:rsidR="00FE0534">
        <w:rPr>
          <w:szCs w:val="16"/>
        </w:rPr>
        <w:t xml:space="preserve"> to become parties without delay to the Rome Statute and to accept the jurisdiction of the </w:t>
      </w:r>
      <w:r w:rsidR="00024D1F">
        <w:rPr>
          <w:szCs w:val="16"/>
        </w:rPr>
        <w:t xml:space="preserve">Court </w:t>
      </w:r>
      <w:r w:rsidR="00FE0534">
        <w:rPr>
          <w:szCs w:val="16"/>
        </w:rPr>
        <w:t xml:space="preserve">over the current situation under </w:t>
      </w:r>
      <w:r w:rsidR="00D47583">
        <w:rPr>
          <w:szCs w:val="16"/>
        </w:rPr>
        <w:t>a</w:t>
      </w:r>
      <w:r w:rsidR="00E36C1B">
        <w:rPr>
          <w:szCs w:val="16"/>
        </w:rPr>
        <w:t>rticle </w:t>
      </w:r>
      <w:r w:rsidR="00FE0534">
        <w:rPr>
          <w:szCs w:val="16"/>
        </w:rPr>
        <w:t>12</w:t>
      </w:r>
      <w:r w:rsidR="00D47583">
        <w:rPr>
          <w:szCs w:val="16"/>
        </w:rPr>
        <w:t xml:space="preserve"> </w:t>
      </w:r>
      <w:r w:rsidR="00FE0534">
        <w:rPr>
          <w:szCs w:val="16"/>
        </w:rPr>
        <w:t xml:space="preserve">(3). </w:t>
      </w:r>
    </w:p>
    <w:p w:rsidR="00FE0534" w:rsidRPr="00FD1185" w:rsidRDefault="00450324" w:rsidP="00450324">
      <w:pPr>
        <w:pStyle w:val="SingleTxtG"/>
        <w:rPr>
          <w:bCs/>
          <w:lang w:eastAsia="hi-IN" w:bidi="hi-IN"/>
        </w:rPr>
      </w:pPr>
      <w:r w:rsidRPr="00FD1185">
        <w:rPr>
          <w:bCs/>
          <w:lang w:eastAsia="hi-IN" w:bidi="hi-IN"/>
        </w:rPr>
        <w:t>34.</w:t>
      </w:r>
      <w:r w:rsidRPr="00FD1185">
        <w:rPr>
          <w:bCs/>
          <w:lang w:eastAsia="hi-IN" w:bidi="hi-IN"/>
        </w:rPr>
        <w:tab/>
      </w:r>
      <w:r w:rsidR="00FE0534">
        <w:rPr>
          <w:szCs w:val="16"/>
        </w:rPr>
        <w:t xml:space="preserve">In addition, where it is suspected that returning foreign fighters have committed war crimes or international crimes, courts in the countries of nationality </w:t>
      </w:r>
      <w:r w:rsidR="00D47583">
        <w:rPr>
          <w:szCs w:val="16"/>
        </w:rPr>
        <w:t xml:space="preserve">of those fighters </w:t>
      </w:r>
      <w:r w:rsidR="00FE0534">
        <w:rPr>
          <w:szCs w:val="16"/>
        </w:rPr>
        <w:t xml:space="preserve">should exercise extraterritorial jurisdiction for the crimes committed, where </w:t>
      </w:r>
      <w:r w:rsidR="00D47583">
        <w:rPr>
          <w:szCs w:val="16"/>
        </w:rPr>
        <w:t>i</w:t>
      </w:r>
      <w:r w:rsidR="00FE0534">
        <w:rPr>
          <w:szCs w:val="16"/>
        </w:rPr>
        <w:t>t is available under national law</w:t>
      </w:r>
      <w:r w:rsidR="008068B1">
        <w:rPr>
          <w:szCs w:val="16"/>
        </w:rPr>
        <w:t>.</w:t>
      </w:r>
      <w:r w:rsidR="00FE0534" w:rsidRPr="007C4BD4">
        <w:rPr>
          <w:rStyle w:val="FootnoteReference"/>
        </w:rPr>
        <w:footnoteReference w:id="78"/>
      </w:r>
      <w:r w:rsidR="00FE0534">
        <w:rPr>
          <w:szCs w:val="16"/>
        </w:rPr>
        <w:t xml:space="preserve"> </w:t>
      </w:r>
      <w:r w:rsidR="001660D7">
        <w:rPr>
          <w:szCs w:val="16"/>
        </w:rPr>
        <w:t>A</w:t>
      </w:r>
      <w:r w:rsidR="00FE0534">
        <w:rPr>
          <w:szCs w:val="16"/>
        </w:rPr>
        <w:t xml:space="preserve">s recommended by the </w:t>
      </w:r>
      <w:r w:rsidR="001660D7">
        <w:rPr>
          <w:szCs w:val="16"/>
        </w:rPr>
        <w:t>Independent International</w:t>
      </w:r>
      <w:r w:rsidR="00FE0534">
        <w:rPr>
          <w:szCs w:val="16"/>
        </w:rPr>
        <w:t xml:space="preserve"> Commission of Inquiry</w:t>
      </w:r>
      <w:r w:rsidR="001660D7">
        <w:rPr>
          <w:szCs w:val="16"/>
        </w:rPr>
        <w:t xml:space="preserve"> on the Syrian Arab Republic</w:t>
      </w:r>
      <w:r w:rsidR="00FE0534">
        <w:rPr>
          <w:szCs w:val="16"/>
        </w:rPr>
        <w:t>, the principle of universal jurisdiction should be used in accordance with national law to investigate and prosecute persons and groups implicated in egregious violations</w:t>
      </w:r>
      <w:r w:rsidR="008068B1">
        <w:rPr>
          <w:szCs w:val="16"/>
        </w:rPr>
        <w:t>.</w:t>
      </w:r>
      <w:r w:rsidR="00FE0534" w:rsidRPr="007C4BD4">
        <w:rPr>
          <w:rStyle w:val="FootnoteReference"/>
        </w:rPr>
        <w:footnoteReference w:id="79"/>
      </w:r>
      <w:r w:rsidR="00FE0534">
        <w:rPr>
          <w:szCs w:val="16"/>
        </w:rPr>
        <w:t xml:space="preserve"> In this respect, the Special Rapporteur takes note of the decision of the Commission to share information with States willing to exercise their jurisdiction over the crimes committed in </w:t>
      </w:r>
      <w:r w:rsidR="00051321">
        <w:rPr>
          <w:szCs w:val="16"/>
        </w:rPr>
        <w:t>the Syrian Arab Republic</w:t>
      </w:r>
      <w:r w:rsidR="008068B1">
        <w:rPr>
          <w:szCs w:val="16"/>
        </w:rPr>
        <w:t>.</w:t>
      </w:r>
      <w:r w:rsidR="00FE0534" w:rsidRPr="007C4BD4">
        <w:rPr>
          <w:rStyle w:val="FootnoteReference"/>
        </w:rPr>
        <w:footnoteReference w:id="80"/>
      </w:r>
      <w:r w:rsidR="00FE0534">
        <w:rPr>
          <w:szCs w:val="16"/>
        </w:rPr>
        <w:t xml:space="preserve"> As noted by the Commission, every measure should be taken to ensure that individuals responsible for serious violations of international law are held to account</w:t>
      </w:r>
      <w:r w:rsidR="008068B1">
        <w:rPr>
          <w:szCs w:val="16"/>
        </w:rPr>
        <w:t>.</w:t>
      </w:r>
      <w:r w:rsidR="00FE0534" w:rsidRPr="007C4BD4">
        <w:rPr>
          <w:rStyle w:val="FootnoteReference"/>
        </w:rPr>
        <w:footnoteReference w:id="81"/>
      </w:r>
    </w:p>
    <w:p w:rsidR="00FE0534" w:rsidRDefault="00FE0534" w:rsidP="00024D1F">
      <w:pPr>
        <w:pStyle w:val="H1G"/>
        <w:ind w:left="0" w:firstLine="0"/>
      </w:pPr>
      <w:r>
        <w:rPr>
          <w:lang w:eastAsia="hi-IN" w:bidi="hi-IN"/>
        </w:rPr>
        <w:tab/>
        <w:t>E.</w:t>
      </w:r>
      <w:r>
        <w:rPr>
          <w:lang w:eastAsia="hi-IN" w:bidi="hi-IN"/>
        </w:rPr>
        <w:tab/>
      </w:r>
      <w:r w:rsidR="00024D1F">
        <w:rPr>
          <w:lang w:eastAsia="hi-IN" w:bidi="hi-IN"/>
        </w:rPr>
        <w:t>R</w:t>
      </w:r>
      <w:r>
        <w:rPr>
          <w:lang w:eastAsia="hi-IN" w:bidi="hi-IN"/>
        </w:rPr>
        <w:t>esponse of the Security Council</w:t>
      </w:r>
    </w:p>
    <w:p w:rsidR="00FE0534" w:rsidRDefault="00450324" w:rsidP="00450324">
      <w:pPr>
        <w:pStyle w:val="SingleTxtG"/>
      </w:pPr>
      <w:r>
        <w:t>35.</w:t>
      </w:r>
      <w:r>
        <w:tab/>
      </w:r>
      <w:r w:rsidR="00FE0534" w:rsidRPr="006A2BED">
        <w:t>As the Security Council was unable to reach consensus on the issue of accountability</w:t>
      </w:r>
      <w:r w:rsidR="00FE0534">
        <w:t xml:space="preserve"> for international crimes, it has focused on ISIL as a terrorist group. ISIL has been included in the Council</w:t>
      </w:r>
      <w:r w:rsidR="00290A24">
        <w:t>’</w:t>
      </w:r>
      <w:r w:rsidR="00FE0534">
        <w:t xml:space="preserve">s comprehensive international counter-terrorism framework, </w:t>
      </w:r>
      <w:r w:rsidR="001E318C">
        <w:t xml:space="preserve">which was </w:t>
      </w:r>
      <w:r w:rsidR="00FE0534">
        <w:t xml:space="preserve">adopted under Chapter VII </w:t>
      </w:r>
      <w:r w:rsidR="006A2BED">
        <w:t xml:space="preserve">of the Charter of the United Nations </w:t>
      </w:r>
      <w:r w:rsidR="006A2BED">
        <w:rPr>
          <w:rStyle w:val="preferred"/>
        </w:rPr>
        <w:t xml:space="preserve">and Statute </w:t>
      </w:r>
      <w:r w:rsidR="006A2BED" w:rsidRPr="006A2BED">
        <w:rPr>
          <w:rStyle w:val="Emphasis"/>
          <w:i w:val="0"/>
          <w:iCs w:val="0"/>
        </w:rPr>
        <w:t>of</w:t>
      </w:r>
      <w:r w:rsidR="006A2BED" w:rsidRPr="006A2BED">
        <w:rPr>
          <w:rStyle w:val="preferred"/>
          <w:i/>
          <w:iCs/>
        </w:rPr>
        <w:t xml:space="preserve"> </w:t>
      </w:r>
      <w:r w:rsidR="006A2BED" w:rsidRPr="006A2BED">
        <w:rPr>
          <w:rStyle w:val="Emphasis"/>
          <w:i w:val="0"/>
          <w:iCs w:val="0"/>
        </w:rPr>
        <w:t>the</w:t>
      </w:r>
      <w:r w:rsidR="006A2BED">
        <w:rPr>
          <w:rStyle w:val="preferred"/>
        </w:rPr>
        <w:t xml:space="preserve"> International Court </w:t>
      </w:r>
      <w:r w:rsidR="006A2BED" w:rsidRPr="006A2BED">
        <w:rPr>
          <w:rStyle w:val="Emphasis"/>
          <w:i w:val="0"/>
          <w:iCs w:val="0"/>
        </w:rPr>
        <w:t>of</w:t>
      </w:r>
      <w:r w:rsidR="006A2BED" w:rsidRPr="006A2BED">
        <w:rPr>
          <w:rStyle w:val="preferred"/>
          <w:i/>
          <w:iCs/>
        </w:rPr>
        <w:t xml:space="preserve"> </w:t>
      </w:r>
      <w:r w:rsidR="006A2BED">
        <w:rPr>
          <w:rStyle w:val="preferred"/>
        </w:rPr>
        <w:t>Justice</w:t>
      </w:r>
      <w:r w:rsidR="00255F99">
        <w:rPr>
          <w:rStyle w:val="preferred"/>
        </w:rPr>
        <w:t>,</w:t>
      </w:r>
      <w:r w:rsidR="006A2BED">
        <w:rPr>
          <w:rStyle w:val="preferred"/>
        </w:rPr>
        <w:t xml:space="preserve"> </w:t>
      </w:r>
      <w:r w:rsidR="00FE0534">
        <w:t xml:space="preserve">and </w:t>
      </w:r>
      <w:r w:rsidR="001E318C">
        <w:t xml:space="preserve">is </w:t>
      </w:r>
      <w:r w:rsidR="00FE0534">
        <w:t>legally binding on all States</w:t>
      </w:r>
      <w:r w:rsidR="008703C2">
        <w:t xml:space="preserve"> Members of the United Nations</w:t>
      </w:r>
      <w:r w:rsidR="00FE0534">
        <w:t xml:space="preserve">, following a determination that international terrorism associated with Al-Qaida represents a threat to international peace and security. In addition, the Council has taken measures relating to “foreign terrorist fighters”. </w:t>
      </w:r>
    </w:p>
    <w:p w:rsidR="00FE0534" w:rsidRDefault="00450324" w:rsidP="00450324">
      <w:pPr>
        <w:pStyle w:val="SingleTxtG"/>
      </w:pPr>
      <w:r>
        <w:t>36.</w:t>
      </w:r>
      <w:r>
        <w:tab/>
      </w:r>
      <w:r w:rsidR="00FE0534">
        <w:t xml:space="preserve">On 30 May 2013, the Security Council </w:t>
      </w:r>
      <w:r w:rsidR="00024D1F">
        <w:t xml:space="preserve">added </w:t>
      </w:r>
      <w:r w:rsidR="00FE0534">
        <w:t xml:space="preserve">ISIL </w:t>
      </w:r>
      <w:r w:rsidR="00024D1F">
        <w:t xml:space="preserve">to </w:t>
      </w:r>
      <w:r w:rsidR="00FE0534">
        <w:t xml:space="preserve">the Al-Qaida Sanctions </w:t>
      </w:r>
      <w:r w:rsidR="00B940E0">
        <w:t>L</w:t>
      </w:r>
      <w:r w:rsidR="00FE0534">
        <w:t xml:space="preserve">ist as an alias for Al-Qaida in Iraq (QE.J.115.04). As </w:t>
      </w:r>
      <w:r w:rsidR="00B940E0">
        <w:t xml:space="preserve">the </w:t>
      </w:r>
      <w:r w:rsidR="001E318C">
        <w:t xml:space="preserve">Council </w:t>
      </w:r>
      <w:r w:rsidR="00FE0534">
        <w:t>makes clear</w:t>
      </w:r>
      <w:r w:rsidR="00B940E0">
        <w:t xml:space="preserve"> in its resolution 1989 (2011)</w:t>
      </w:r>
      <w:r w:rsidR="00FE0534">
        <w:t>, any individual or entity designated by the Security Council Sanctions Committee as associated with Al-Qaida, which includes any form of support for the activities of Al-Qaida, or any cell, affiliate, splinter group or derivative ther</w:t>
      </w:r>
      <w:r w:rsidR="009E3D70">
        <w:t>e</w:t>
      </w:r>
      <w:r w:rsidR="00FE0534">
        <w:t>of</w:t>
      </w:r>
      <w:r w:rsidR="00255F99">
        <w:t>,</w:t>
      </w:r>
      <w:r w:rsidR="00FE0534">
        <w:t xml:space="preserve"> may be listed. Despite </w:t>
      </w:r>
      <w:r w:rsidR="00C4012F">
        <w:t xml:space="preserve">the fact that </w:t>
      </w:r>
      <w:r w:rsidR="00FE0534">
        <w:t xml:space="preserve">ISIL </w:t>
      </w:r>
      <w:r w:rsidR="00C4012F">
        <w:t xml:space="preserve">has </w:t>
      </w:r>
      <w:r w:rsidR="00FE0534">
        <w:t xml:space="preserve">severed </w:t>
      </w:r>
      <w:r w:rsidR="00C4012F">
        <w:t xml:space="preserve">its </w:t>
      </w:r>
      <w:r w:rsidR="00FE0534">
        <w:t>ties with Al-Qa</w:t>
      </w:r>
      <w:r w:rsidR="009E3D70">
        <w:t>i</w:t>
      </w:r>
      <w:r w:rsidR="00FE0534">
        <w:t xml:space="preserve">da, </w:t>
      </w:r>
      <w:r w:rsidR="00255F99">
        <w:t>the Council</w:t>
      </w:r>
      <w:r w:rsidR="00FE0534">
        <w:t xml:space="preserve"> consider</w:t>
      </w:r>
      <w:r w:rsidR="00255F99">
        <w:t>s</w:t>
      </w:r>
      <w:r w:rsidR="00FE0534">
        <w:t xml:space="preserve"> </w:t>
      </w:r>
      <w:r w:rsidR="00255F99">
        <w:t xml:space="preserve">it </w:t>
      </w:r>
      <w:r w:rsidR="00FE0534">
        <w:t>a splinter group of Al-Qa</w:t>
      </w:r>
      <w:r w:rsidR="009E3D70">
        <w:t>i</w:t>
      </w:r>
      <w:r w:rsidR="00FE0534">
        <w:t>da.</w:t>
      </w:r>
      <w:r w:rsidR="00FE0534" w:rsidRPr="007C4BD4">
        <w:rPr>
          <w:rStyle w:val="FootnoteReference"/>
        </w:rPr>
        <w:footnoteReference w:id="82"/>
      </w:r>
      <w:r w:rsidR="00FE0534">
        <w:t xml:space="preserve"> </w:t>
      </w:r>
    </w:p>
    <w:p w:rsidR="00FE0534" w:rsidRDefault="00450324" w:rsidP="00450324">
      <w:pPr>
        <w:pStyle w:val="SingleTxtG"/>
      </w:pPr>
      <w:r>
        <w:t>37.</w:t>
      </w:r>
      <w:r>
        <w:tab/>
      </w:r>
      <w:r w:rsidR="00FE0534">
        <w:t xml:space="preserve">As a consequence of this listing, ISIL is subject to the threefold </w:t>
      </w:r>
      <w:proofErr w:type="gramStart"/>
      <w:r w:rsidR="00FE0534">
        <w:t>sanctions</w:t>
      </w:r>
      <w:proofErr w:type="gramEnd"/>
      <w:r w:rsidR="00FE0534">
        <w:t xml:space="preserve"> regime imposed by the Security Council, namely: asset</w:t>
      </w:r>
      <w:r w:rsidR="00EA36B3">
        <w:t>s</w:t>
      </w:r>
      <w:r w:rsidR="00FE0534">
        <w:t xml:space="preserve"> freeze, travel ban and arms embargo. In addition, </w:t>
      </w:r>
      <w:r w:rsidR="00EA36B3">
        <w:t xml:space="preserve">the </w:t>
      </w:r>
      <w:r w:rsidR="00FE0534">
        <w:t>Council</w:t>
      </w:r>
      <w:r w:rsidR="00EA36B3">
        <w:t>, in its</w:t>
      </w:r>
      <w:r w:rsidR="00FE0534">
        <w:t xml:space="preserve"> resolution 2170</w:t>
      </w:r>
      <w:r w:rsidR="00EA36B3">
        <w:t xml:space="preserve"> (2014),</w:t>
      </w:r>
      <w:r w:rsidR="00FE0534">
        <w:t xml:space="preserve"> specifically </w:t>
      </w:r>
      <w:r w:rsidR="006644D3">
        <w:t>indicates</w:t>
      </w:r>
      <w:r w:rsidR="00FE0534">
        <w:t xml:space="preserve"> that individuals, groups, undertakings and entities that provide support to ISIL, broadly described as those financing, arming, planning or recruiting for ISIL through information and communications technologies</w:t>
      </w:r>
      <w:r w:rsidR="006644D3">
        <w:t>,</w:t>
      </w:r>
      <w:r w:rsidR="00FE0534">
        <w:t xml:space="preserve"> including the </w:t>
      </w:r>
      <w:r w:rsidR="006644D3">
        <w:t>I</w:t>
      </w:r>
      <w:r w:rsidR="00FE0534">
        <w:t xml:space="preserve">nternet and social media, can also be listed on the Al-Qaida </w:t>
      </w:r>
      <w:r w:rsidR="00EA36B3">
        <w:t>S</w:t>
      </w:r>
      <w:r w:rsidR="00FE0534">
        <w:t xml:space="preserve">anctions </w:t>
      </w:r>
      <w:r w:rsidR="00EA36B3">
        <w:t>L</w:t>
      </w:r>
      <w:r w:rsidR="00FE0534">
        <w:t xml:space="preserve">ist and </w:t>
      </w:r>
      <w:r w:rsidR="00EA36B3">
        <w:t xml:space="preserve">be </w:t>
      </w:r>
      <w:r w:rsidR="00FE0534">
        <w:t>subject to the same sanctions.</w:t>
      </w:r>
      <w:r w:rsidR="00FE0534" w:rsidRPr="007C4BD4">
        <w:rPr>
          <w:rStyle w:val="FootnoteReference"/>
        </w:rPr>
        <w:footnoteReference w:id="83"/>
      </w:r>
      <w:r w:rsidR="00FE0534">
        <w:rPr>
          <w:sz w:val="22"/>
        </w:rPr>
        <w:t xml:space="preserve"> </w:t>
      </w:r>
    </w:p>
    <w:p w:rsidR="00FE0534" w:rsidRDefault="00450324" w:rsidP="00450324">
      <w:pPr>
        <w:pStyle w:val="SingleTxtG"/>
      </w:pPr>
      <w:r>
        <w:t>38.</w:t>
      </w:r>
      <w:r>
        <w:tab/>
      </w:r>
      <w:r w:rsidR="00FE0534">
        <w:t xml:space="preserve">The Special Rapporteur has already provided a comprehensive overview of the various shortcomings </w:t>
      </w:r>
      <w:r w:rsidR="006644D3">
        <w:t xml:space="preserve">of </w:t>
      </w:r>
      <w:r w:rsidR="00FE0534">
        <w:t xml:space="preserve">the </w:t>
      </w:r>
      <w:r w:rsidR="006644D3">
        <w:t xml:space="preserve">sanctions regime </w:t>
      </w:r>
      <w:r w:rsidR="00EA36B3">
        <w:t xml:space="preserve">that </w:t>
      </w:r>
      <w:r w:rsidR="006644D3">
        <w:t xml:space="preserve">the </w:t>
      </w:r>
      <w:r w:rsidR="00FE0534">
        <w:t>U</w:t>
      </w:r>
      <w:r w:rsidR="006644D3">
        <w:t xml:space="preserve">nited </w:t>
      </w:r>
      <w:r w:rsidR="00FE0534">
        <w:t>N</w:t>
      </w:r>
      <w:r w:rsidR="006644D3">
        <w:t>ations</w:t>
      </w:r>
      <w:r w:rsidR="00FE0534">
        <w:t xml:space="preserve"> </w:t>
      </w:r>
      <w:r w:rsidR="006644D3">
        <w:t xml:space="preserve">has established with regard to </w:t>
      </w:r>
      <w:r w:rsidR="00FE0534">
        <w:t>Al-Qaida, in particular the quasi-legislative and quasi-judicial functions performed by the Security Council in administering the regime, in the absence of independent judicial review that can deliver an effective remedy at the level of the United Nations</w:t>
      </w:r>
      <w:r w:rsidR="006644D3">
        <w:t xml:space="preserve"> (see </w:t>
      </w:r>
      <w:r w:rsidR="006644D3" w:rsidRPr="00FE0534">
        <w:t>A/67/396</w:t>
      </w:r>
      <w:r w:rsidR="006644D3">
        <w:t>)</w:t>
      </w:r>
      <w:r w:rsidR="00756C22">
        <w:t>.</w:t>
      </w:r>
      <w:r w:rsidR="00FE0534">
        <w:t xml:space="preserve"> While acknowledging the significant improvements brought to the regime,</w:t>
      </w:r>
      <w:r w:rsidR="00FE0534" w:rsidRPr="007C4BD4">
        <w:rPr>
          <w:rStyle w:val="FootnoteReference"/>
        </w:rPr>
        <w:footnoteReference w:id="84"/>
      </w:r>
      <w:r w:rsidR="00FE0534">
        <w:t xml:space="preserve"> concerns remain that most of the shortcomings that had been identified still remain valid and that the regime continues to fall short of international minimum standards of due process. In particular, the Ombudsperson’s comprehensive reports are still not legally binding; the process still lacks transparency; the Ombudsperson still has limited access to confidential information, a challenge she describes as the most significant limitation to the effectiveness of the Ombudsperson process; and the institutional arrangements for the Office of the Ombudsperson still do not afford it proper safeguards for independence</w:t>
      </w:r>
      <w:r w:rsidR="008E54BF">
        <w:t>.</w:t>
      </w:r>
      <w:r w:rsidR="00FE0534" w:rsidRPr="007C4BD4">
        <w:rPr>
          <w:rStyle w:val="FootnoteReference"/>
        </w:rPr>
        <w:footnoteReference w:id="85"/>
      </w:r>
      <w:r w:rsidR="004E5A9B">
        <w:t xml:space="preserve"> </w:t>
      </w:r>
    </w:p>
    <w:p w:rsidR="00FE0534" w:rsidRDefault="00450324" w:rsidP="00450324">
      <w:pPr>
        <w:pStyle w:val="SingleTxtG"/>
      </w:pPr>
      <w:r>
        <w:t>39.</w:t>
      </w:r>
      <w:r>
        <w:tab/>
      </w:r>
      <w:r w:rsidR="00FE0534">
        <w:t xml:space="preserve">The Security Council has also taken decisive action against ISIL through a number of subsequent resolutions adopted under Chapter VII of the Charter of the United Nations. In </w:t>
      </w:r>
      <w:r w:rsidR="00EA36B3">
        <w:t xml:space="preserve">its </w:t>
      </w:r>
      <w:r w:rsidR="00FE0534">
        <w:t xml:space="preserve">resolution 2170 (2014), the Council condemned in the strongest terms the terrorist acts of ISIL and its continued gross, systematic and widespread abuses of human rights and violations of </w:t>
      </w:r>
      <w:r w:rsidR="008D0F59">
        <w:t xml:space="preserve">international </w:t>
      </w:r>
      <w:r w:rsidR="00FE0534">
        <w:t xml:space="preserve">humanitarian law. The Council emphasized the need to ensure that ISIL is held accountable for abuses of human rights and violations of international </w:t>
      </w:r>
      <w:r w:rsidR="008D0F59">
        <w:t xml:space="preserve">humanitarian </w:t>
      </w:r>
      <w:r w:rsidR="00FE0534">
        <w:t>law and stressed the need to bring to justice those within ISIL who commit terrorist acts</w:t>
      </w:r>
      <w:r w:rsidR="008E54BF">
        <w:t>,</w:t>
      </w:r>
      <w:r w:rsidR="00FE0534">
        <w:t xml:space="preserve"> as well as foreign terrorist fighters</w:t>
      </w:r>
      <w:r w:rsidR="008E54BF">
        <w:t>.</w:t>
      </w:r>
      <w:r w:rsidR="00FE0534">
        <w:t xml:space="preserve"> Recalling that threats to international peace and security caused by terrorist acts must be combated in accordance with international law, including international human rights and humanitarian law, it adopted a number of measures and sanctions to prevent the financing of ISIL, including revenues generated from control of oilfields and related infrastructure, kidnapping for ransom and donations</w:t>
      </w:r>
      <w:r w:rsidR="008E54BF">
        <w:t>.</w:t>
      </w:r>
      <w:r w:rsidR="00FE0534" w:rsidRPr="007C4BD4">
        <w:rPr>
          <w:rStyle w:val="FootnoteReference"/>
        </w:rPr>
        <w:footnoteReference w:id="86"/>
      </w:r>
      <w:r w:rsidR="00FE0534">
        <w:t xml:space="preserve"> </w:t>
      </w:r>
    </w:p>
    <w:p w:rsidR="00FE0534" w:rsidRDefault="00450324" w:rsidP="00450324">
      <w:pPr>
        <w:pStyle w:val="SingleTxtG"/>
      </w:pPr>
      <w:r>
        <w:t>40.</w:t>
      </w:r>
      <w:r>
        <w:tab/>
      </w:r>
      <w:r w:rsidR="00FE0534">
        <w:t>The threat posed by the influx of foreign fighters, albeit not a new phenomenon</w:t>
      </w:r>
      <w:r w:rsidR="008E54BF">
        <w:t>,</w:t>
      </w:r>
      <w:r w:rsidR="00FE0534" w:rsidRPr="007C4BD4">
        <w:rPr>
          <w:rStyle w:val="FootnoteReference"/>
        </w:rPr>
        <w:footnoteReference w:id="87"/>
      </w:r>
      <w:r w:rsidR="00FE0534">
        <w:t xml:space="preserve"> has gained increasing prominence in the context of the armed conflicts in Iraq and </w:t>
      </w:r>
      <w:r w:rsidR="00051321">
        <w:t>the Syrian Arab Republic</w:t>
      </w:r>
      <w:r w:rsidR="00FE0534">
        <w:t>. With States intent on preventing the ranks of ISIL from growing and exacerbating the conflict, as well as on preventing returning nationals from carrying out attacks on their own soil (so-called “blowback” attacks) or further radicali</w:t>
      </w:r>
      <w:r w:rsidR="00414B8E">
        <w:t>z</w:t>
      </w:r>
      <w:r w:rsidR="00FE0534">
        <w:t xml:space="preserve">ing their nationals, the Security Council took decisive action to address the issue of foreign fighters. </w:t>
      </w:r>
    </w:p>
    <w:p w:rsidR="00FE0534" w:rsidRDefault="00450324" w:rsidP="00450324">
      <w:pPr>
        <w:pStyle w:val="SingleTxtG"/>
      </w:pPr>
      <w:r>
        <w:t>41.</w:t>
      </w:r>
      <w:r>
        <w:tab/>
      </w:r>
      <w:r w:rsidR="00FE0534">
        <w:t xml:space="preserve">As already noted, </w:t>
      </w:r>
      <w:r w:rsidR="005B57C2">
        <w:t>in its</w:t>
      </w:r>
      <w:r w:rsidR="00FE0534">
        <w:t xml:space="preserve"> resolution 2170 (2014)</w:t>
      </w:r>
      <w:r w:rsidR="005B57C2">
        <w:t xml:space="preserve"> the Security Council</w:t>
      </w:r>
      <w:r w:rsidR="00FE0534">
        <w:t xml:space="preserve"> called upon Member States to take national measures to suppress the flow of </w:t>
      </w:r>
      <w:r w:rsidR="00EB3004">
        <w:t xml:space="preserve">foreign terrorist </w:t>
      </w:r>
      <w:r w:rsidR="00FE0534">
        <w:t xml:space="preserve">fighters joining ISIL and other individuals, groups and entities associated with Al-Qaida in Iraq and </w:t>
      </w:r>
      <w:r w:rsidR="00051321">
        <w:t>the Syrian Arab Republic</w:t>
      </w:r>
      <w:r w:rsidR="00FE0534">
        <w:t>.</w:t>
      </w:r>
      <w:r w:rsidR="004E5A9B">
        <w:t xml:space="preserve"> </w:t>
      </w:r>
      <w:r w:rsidR="00FE0534">
        <w:t xml:space="preserve">In </w:t>
      </w:r>
      <w:r w:rsidR="005B57C2">
        <w:t xml:space="preserve">its </w:t>
      </w:r>
      <w:r w:rsidR="00FE0534">
        <w:t>resolution 2178 (2014)</w:t>
      </w:r>
      <w:r w:rsidR="00EB3004">
        <w:t>,</w:t>
      </w:r>
      <w:r w:rsidR="00FE0534">
        <w:t xml:space="preserve"> the Council went further</w:t>
      </w:r>
      <w:r w:rsidR="00EB3004">
        <w:t>,</w:t>
      </w:r>
      <w:r w:rsidR="00FE0534">
        <w:t xml:space="preserve"> requiring States to adopt a number of measures regarding foreign terrorist fighters, defined as “individuals who travel to a State other than their State</w:t>
      </w:r>
      <w:r w:rsidR="00EB3004">
        <w:t>s</w:t>
      </w:r>
      <w:r w:rsidR="00FE0534">
        <w:t xml:space="preserve"> of residence or nationality for the purpose of the perpetration, planning</w:t>
      </w:r>
      <w:r w:rsidR="00EB3004">
        <w:t>,</w:t>
      </w:r>
      <w:r w:rsidR="00FE0534">
        <w:t xml:space="preserve"> or preparation of, or participation in, terrorist acts or </w:t>
      </w:r>
      <w:r w:rsidR="00EB3004">
        <w:t xml:space="preserve">the providing or </w:t>
      </w:r>
      <w:r w:rsidR="00FE0534">
        <w:t xml:space="preserve">receiving of terrorist training, including in connection with armed conflict”. </w:t>
      </w:r>
      <w:r w:rsidR="00EB3004">
        <w:t xml:space="preserve">In </w:t>
      </w:r>
      <w:r w:rsidR="005B57C2">
        <w:t>that</w:t>
      </w:r>
      <w:r w:rsidR="00FE0534">
        <w:t xml:space="preserve"> resolution</w:t>
      </w:r>
      <w:r w:rsidR="00EB3004">
        <w:t>, the Council</w:t>
      </w:r>
      <w:r w:rsidR="00FE0534">
        <w:t xml:space="preserve"> decide</w:t>
      </w:r>
      <w:r w:rsidR="00EB3004">
        <w:t>d</w:t>
      </w:r>
      <w:r w:rsidR="00FE0534">
        <w:t xml:space="preserve"> that Member States sh</w:t>
      </w:r>
      <w:r w:rsidR="004709A8">
        <w:t>ould</w:t>
      </w:r>
      <w:r w:rsidR="00FE0534">
        <w:t xml:space="preserve"> prevent the travel of foreign terrorist fighters</w:t>
      </w:r>
      <w:r w:rsidR="005B57C2">
        <w:t>, that they should</w:t>
      </w:r>
      <w:r w:rsidR="00FE0534">
        <w:t xml:space="preserve"> bring them to justice and </w:t>
      </w:r>
      <w:r w:rsidR="005B57C2">
        <w:t xml:space="preserve">that they should </w:t>
      </w:r>
      <w:r w:rsidR="00FE0534">
        <w:t>criminali</w:t>
      </w:r>
      <w:r w:rsidR="00EB3004">
        <w:t>z</w:t>
      </w:r>
      <w:r w:rsidR="00FE0534">
        <w:t xml:space="preserve">e a number of actions linked to </w:t>
      </w:r>
      <w:r w:rsidR="005B57C2">
        <w:t>such</w:t>
      </w:r>
      <w:r w:rsidR="00FE0534">
        <w:t xml:space="preserve"> fighters</w:t>
      </w:r>
      <w:r w:rsidR="005B57C2">
        <w:t xml:space="preserve"> concerning</w:t>
      </w:r>
      <w:r w:rsidR="00FE0534">
        <w:t xml:space="preserve"> travel</w:t>
      </w:r>
      <w:r w:rsidR="005B57C2">
        <w:t xml:space="preserve"> and</w:t>
      </w:r>
      <w:r w:rsidR="00FE0534">
        <w:t xml:space="preserve"> its funding and organi</w:t>
      </w:r>
      <w:r w:rsidR="00F85D4A">
        <w:t>z</w:t>
      </w:r>
      <w:r w:rsidR="00FE0534">
        <w:t xml:space="preserve">ation or facilitation </w:t>
      </w:r>
      <w:r w:rsidR="004709A8">
        <w:t>o</w:t>
      </w:r>
      <w:r w:rsidR="0059558F">
        <w:t>f</w:t>
      </w:r>
      <w:r w:rsidR="00FE0534">
        <w:t xml:space="preserve"> recruitment. </w:t>
      </w:r>
    </w:p>
    <w:p w:rsidR="00FE0534" w:rsidRDefault="00450324" w:rsidP="00450324">
      <w:pPr>
        <w:pStyle w:val="SingleTxtG"/>
      </w:pPr>
      <w:r>
        <w:t>42.</w:t>
      </w:r>
      <w:r>
        <w:tab/>
      </w:r>
      <w:r w:rsidR="003D5A04">
        <w:t>R</w:t>
      </w:r>
      <w:r w:rsidR="00FE0534">
        <w:t xml:space="preserve">esolution </w:t>
      </w:r>
      <w:r w:rsidR="003D5A04">
        <w:t>2178</w:t>
      </w:r>
      <w:r w:rsidR="005B57C2">
        <w:t xml:space="preserve"> (2014)</w:t>
      </w:r>
      <w:r w:rsidR="003D5A04">
        <w:t xml:space="preserve"> </w:t>
      </w:r>
      <w:r w:rsidR="00FE0534">
        <w:t xml:space="preserve">includes a </w:t>
      </w:r>
      <w:r w:rsidR="00EB3004">
        <w:t>specific</w:t>
      </w:r>
      <w:r w:rsidR="00FE0534">
        <w:t xml:space="preserve"> and comprehensive human rights clause.</w:t>
      </w:r>
      <w:r w:rsidR="00FE0534" w:rsidRPr="007C4BD4">
        <w:rPr>
          <w:rStyle w:val="FootnoteReference"/>
        </w:rPr>
        <w:footnoteReference w:id="88"/>
      </w:r>
      <w:r w:rsidR="00FE0534">
        <w:rPr>
          <w:rStyle w:val="FootnoteReference"/>
        </w:rPr>
        <w:t xml:space="preserve"> </w:t>
      </w:r>
      <w:r w:rsidR="00FE0534">
        <w:t>Significant concerns have nonetheless been expressed concerning the broad nature of some of the provisions and the lack of definition of the terms “terrorism” or “extremism”, which</w:t>
      </w:r>
      <w:r w:rsidR="003D5A04">
        <w:t>,</w:t>
      </w:r>
      <w:r w:rsidR="00FE0534">
        <w:t xml:space="preserve"> on the basis of past experience</w:t>
      </w:r>
      <w:r w:rsidR="003D5A04">
        <w:t>,</w:t>
      </w:r>
      <w:r w:rsidR="00FE0534">
        <w:t xml:space="preserve"> may lead some Governments to use the resolution to justify repressive measures against political dissenters with the apparent endorsement of the Security Council.</w:t>
      </w:r>
      <w:r w:rsidR="00FE0534" w:rsidRPr="007C4BD4">
        <w:rPr>
          <w:rStyle w:val="FootnoteReference"/>
        </w:rPr>
        <w:footnoteReference w:id="89"/>
      </w:r>
      <w:r w:rsidR="00FE0534">
        <w:t xml:space="preserve"> Similarly, the standard adopted for enforcement action</w:t>
      </w:r>
      <w:r w:rsidR="0079099C">
        <w:t xml:space="preserve">, that is, </w:t>
      </w:r>
      <w:r w:rsidR="00FE0534">
        <w:t xml:space="preserve">credible information that the individual will engage in the acts </w:t>
      </w:r>
      <w:r w:rsidR="00655AF8">
        <w:t xml:space="preserve">set out in </w:t>
      </w:r>
      <w:r w:rsidR="00FE0534">
        <w:t>th</w:t>
      </w:r>
      <w:r w:rsidR="0079099C">
        <w:t>e</w:t>
      </w:r>
      <w:r w:rsidR="00FE0534">
        <w:t xml:space="preserve"> resolution</w:t>
      </w:r>
      <w:r w:rsidR="0079099C">
        <w:t>,</w:t>
      </w:r>
      <w:r w:rsidR="00FE0534">
        <w:t xml:space="preserve"> arguably provides too </w:t>
      </w:r>
      <w:r w:rsidR="004709A8">
        <w:t>much</w:t>
      </w:r>
      <w:r w:rsidR="00FE0534">
        <w:t xml:space="preserve"> latitude to States and </w:t>
      </w:r>
      <w:r w:rsidR="0079099C">
        <w:t xml:space="preserve">could result in </w:t>
      </w:r>
      <w:r w:rsidR="00FE0534">
        <w:t>arbitrary enforcement action</w:t>
      </w:r>
      <w:r w:rsidR="0079099C">
        <w:t xml:space="preserve"> being taken</w:t>
      </w:r>
      <w:r w:rsidR="00FE0534">
        <w:t xml:space="preserve">. </w:t>
      </w:r>
    </w:p>
    <w:p w:rsidR="00FE0534" w:rsidRDefault="00450324" w:rsidP="00450324">
      <w:pPr>
        <w:pStyle w:val="SingleTxtG"/>
      </w:pPr>
      <w:r>
        <w:t>43.</w:t>
      </w:r>
      <w:r>
        <w:tab/>
      </w:r>
      <w:r w:rsidR="00655AF8">
        <w:t>In the same resolution, t</w:t>
      </w:r>
      <w:r w:rsidR="00FE0534">
        <w:t xml:space="preserve">he </w:t>
      </w:r>
      <w:r w:rsidR="00655AF8">
        <w:t xml:space="preserve">Security Council </w:t>
      </w:r>
      <w:r w:rsidR="00FE0534">
        <w:t xml:space="preserve">also calls upon Member States to require airlines to provide advance passenger information </w:t>
      </w:r>
      <w:r w:rsidR="0079099C">
        <w:t xml:space="preserve">to the appropriate national authorities in order </w:t>
      </w:r>
      <w:r w:rsidR="00FE0534">
        <w:t xml:space="preserve">to detect </w:t>
      </w:r>
      <w:r w:rsidR="0079099C">
        <w:t xml:space="preserve">when </w:t>
      </w:r>
      <w:r w:rsidR="00FE0534">
        <w:t>individuals who may fall under the definition of foreign terrorist fighters</w:t>
      </w:r>
      <w:r w:rsidR="0079099C">
        <w:t xml:space="preserve"> are travelling by civil</w:t>
      </w:r>
      <w:r w:rsidR="00655AF8">
        <w:t>ian</w:t>
      </w:r>
      <w:r w:rsidR="0079099C">
        <w:t xml:space="preserve"> aircraft</w:t>
      </w:r>
      <w:r w:rsidR="00FE0534">
        <w:t xml:space="preserve">. While </w:t>
      </w:r>
      <w:r w:rsidR="00655AF8">
        <w:t>it</w:t>
      </w:r>
      <w:r w:rsidR="00FE0534">
        <w:t xml:space="preserve"> is clear </w:t>
      </w:r>
      <w:r w:rsidR="00655AF8">
        <w:t xml:space="preserve">from the language of the resolution </w:t>
      </w:r>
      <w:r w:rsidR="00FE0534">
        <w:t>that this should not be done by resorting to profiling based on stereotypes founded on grounds of discrimination prohibited under international law, well-founded concern</w:t>
      </w:r>
      <w:r w:rsidR="00655AF8">
        <w:t xml:space="preserve"> has been expressed</w:t>
      </w:r>
      <w:r w:rsidR="00FE0534">
        <w:t xml:space="preserve"> about </w:t>
      </w:r>
      <w:r w:rsidR="00655AF8">
        <w:t xml:space="preserve">the </w:t>
      </w:r>
      <w:r w:rsidR="00FE0534">
        <w:t>practical implementation</w:t>
      </w:r>
      <w:r w:rsidR="00655AF8">
        <w:t xml:space="preserve"> of the resolution</w:t>
      </w:r>
      <w:r w:rsidR="00FE0534">
        <w:t xml:space="preserve">, as it may have a serious impact on a person’s right to privacy. </w:t>
      </w:r>
      <w:r w:rsidR="00FE0534">
        <w:rPr>
          <w:bCs/>
        </w:rPr>
        <w:t>Measures that interfere with the right to privacy must b</w:t>
      </w:r>
      <w:r w:rsidR="00655AF8">
        <w:rPr>
          <w:bCs/>
        </w:rPr>
        <w:t>e</w:t>
      </w:r>
      <w:r w:rsidR="00FE0534">
        <w:rPr>
          <w:bCs/>
        </w:rPr>
        <w:t xml:space="preserve"> authorized by domestic law that is accessible</w:t>
      </w:r>
      <w:r w:rsidR="00655AF8">
        <w:rPr>
          <w:bCs/>
        </w:rPr>
        <w:t xml:space="preserve"> and</w:t>
      </w:r>
      <w:r w:rsidR="00FE0534">
        <w:rPr>
          <w:bCs/>
        </w:rPr>
        <w:t xml:space="preserve"> precise and that conforms </w:t>
      </w:r>
      <w:r w:rsidR="00466227">
        <w:rPr>
          <w:bCs/>
        </w:rPr>
        <w:t>to</w:t>
      </w:r>
      <w:r w:rsidR="00FE0534">
        <w:rPr>
          <w:bCs/>
        </w:rPr>
        <w:t xml:space="preserve"> the requirements of the </w:t>
      </w:r>
      <w:r w:rsidR="00FE177A">
        <w:t xml:space="preserve">International </w:t>
      </w:r>
      <w:r w:rsidR="00FE0534">
        <w:rPr>
          <w:bCs/>
        </w:rPr>
        <w:t>Covenant</w:t>
      </w:r>
      <w:r w:rsidR="00FE177A">
        <w:rPr>
          <w:bCs/>
        </w:rPr>
        <w:t xml:space="preserve"> </w:t>
      </w:r>
      <w:r w:rsidR="00FE177A">
        <w:t>on Civil and Political Rights</w:t>
      </w:r>
      <w:r w:rsidR="00466227">
        <w:rPr>
          <w:bCs/>
        </w:rPr>
        <w:t>. Th</w:t>
      </w:r>
      <w:r w:rsidR="004709A8">
        <w:rPr>
          <w:bCs/>
        </w:rPr>
        <w:t>os</w:t>
      </w:r>
      <w:r w:rsidR="00466227">
        <w:rPr>
          <w:bCs/>
        </w:rPr>
        <w:t xml:space="preserve">e measures must also </w:t>
      </w:r>
      <w:r w:rsidR="00FE0534">
        <w:rPr>
          <w:bCs/>
        </w:rPr>
        <w:t xml:space="preserve">pursue a legitimate aim and </w:t>
      </w:r>
      <w:r w:rsidR="00466227">
        <w:rPr>
          <w:bCs/>
        </w:rPr>
        <w:t xml:space="preserve">they must </w:t>
      </w:r>
      <w:r w:rsidR="00FE0534">
        <w:rPr>
          <w:bCs/>
        </w:rPr>
        <w:t>meet the tests of necessity and proportionality</w:t>
      </w:r>
      <w:r w:rsidR="008E54BF">
        <w:rPr>
          <w:bCs/>
        </w:rPr>
        <w:t>.</w:t>
      </w:r>
      <w:r w:rsidR="00FE0534" w:rsidRPr="007C4BD4">
        <w:rPr>
          <w:rStyle w:val="FootnoteReference"/>
        </w:rPr>
        <w:footnoteReference w:id="90"/>
      </w:r>
    </w:p>
    <w:p w:rsidR="00FE0534" w:rsidRDefault="00450324" w:rsidP="00450324">
      <w:pPr>
        <w:pStyle w:val="SingleTxtG"/>
      </w:pPr>
      <w:r>
        <w:t>44.</w:t>
      </w:r>
      <w:r>
        <w:tab/>
      </w:r>
      <w:r w:rsidR="00FE0534">
        <w:t xml:space="preserve">In the view of the Special Rapporteur, the approach </w:t>
      </w:r>
      <w:r w:rsidR="00655AF8">
        <w:t xml:space="preserve">adopted by the Security Council </w:t>
      </w:r>
      <w:r w:rsidR="00FE0534">
        <w:t xml:space="preserve">to the phenomenon of foreign terrorist fighters </w:t>
      </w:r>
      <w:r w:rsidR="00655AF8">
        <w:t>could create</w:t>
      </w:r>
      <w:r w:rsidR="00FE0534">
        <w:t xml:space="preserve"> legal uncertainty in </w:t>
      </w:r>
      <w:r w:rsidR="00655AF8">
        <w:t>efforts to</w:t>
      </w:r>
      <w:r w:rsidR="00FE0534">
        <w:t xml:space="preserve"> identif</w:t>
      </w:r>
      <w:r w:rsidR="00655AF8">
        <w:t>y</w:t>
      </w:r>
      <w:r w:rsidR="00FE0534">
        <w:t xml:space="preserve"> those to whom it is intended to apply</w:t>
      </w:r>
      <w:r w:rsidR="00466227">
        <w:t>,</w:t>
      </w:r>
      <w:r w:rsidR="00FE0534">
        <w:t xml:space="preserve"> whether </w:t>
      </w:r>
      <w:r w:rsidR="00655AF8">
        <w:t>to</w:t>
      </w:r>
      <w:r w:rsidR="00466227">
        <w:t xml:space="preserve"> </w:t>
      </w:r>
      <w:r w:rsidR="00FE0534">
        <w:t>members of all non-State armed groups or those defined as terrorist groups under national law, international law, or both. The Council stresses the urgent need to implement these measures with respect to those fighters associated with ISIL</w:t>
      </w:r>
      <w:r w:rsidR="00655AF8">
        <w:t>, among others</w:t>
      </w:r>
      <w:r w:rsidR="00FE0534">
        <w:t>.</w:t>
      </w:r>
      <w:r w:rsidR="004E5A9B">
        <w:t xml:space="preserve"> </w:t>
      </w:r>
      <w:r w:rsidR="00FE0534">
        <w:t xml:space="preserve">However, the </w:t>
      </w:r>
      <w:r w:rsidR="00466227">
        <w:t xml:space="preserve">scope of the </w:t>
      </w:r>
      <w:r w:rsidR="00FE0534">
        <w:t xml:space="preserve">resolution </w:t>
      </w:r>
      <w:r w:rsidR="00466227">
        <w:t>is</w:t>
      </w:r>
      <w:r w:rsidR="00FE0534">
        <w:t xml:space="preserve"> not limited to foreign fighters directly associated with ISIL</w:t>
      </w:r>
      <w:r w:rsidR="00722D6F">
        <w:t xml:space="preserve"> but, rather,</w:t>
      </w:r>
      <w:r w:rsidR="00FE0534">
        <w:t xml:space="preserve"> depends on national implementing measures.</w:t>
      </w:r>
      <w:r w:rsidR="004E5A9B">
        <w:t xml:space="preserve"> </w:t>
      </w:r>
      <w:r w:rsidR="00FE0534">
        <w:t>The Special Rapporteur considers that States should ensure that</w:t>
      </w:r>
      <w:r w:rsidR="00722D6F">
        <w:t>,</w:t>
      </w:r>
      <w:r w:rsidR="00FE0534">
        <w:t xml:space="preserve"> in implementing resolution 2178 (2014)</w:t>
      </w:r>
      <w:r w:rsidR="004D41AA">
        <w:t>,</w:t>
      </w:r>
      <w:r w:rsidR="00FE0534">
        <w:t xml:space="preserve"> </w:t>
      </w:r>
      <w:r w:rsidR="004D41AA">
        <w:t>they</w:t>
      </w:r>
      <w:r w:rsidR="00FE0534">
        <w:t xml:space="preserve"> ensure that national measures are applied only to those individuals </w:t>
      </w:r>
      <w:r w:rsidR="00722D6F">
        <w:t xml:space="preserve">who </w:t>
      </w:r>
      <w:r w:rsidR="00FE0534">
        <w:t>are conclusively shown to meet the criteria laid down by the Council</w:t>
      </w:r>
      <w:r w:rsidR="004D41AA">
        <w:t>. They should also ensure that they</w:t>
      </w:r>
      <w:r w:rsidR="00FE0534">
        <w:t xml:space="preserve"> strictly observe the human rights provisions contained within the resolution itself, which include the right to independent and impartial adjudication and adequate due process</w:t>
      </w:r>
      <w:r w:rsidR="00722D6F">
        <w:t>,</w:t>
      </w:r>
      <w:r w:rsidR="00FE0534">
        <w:t xml:space="preserve"> and, more broadly, the principle of legality </w:t>
      </w:r>
      <w:r w:rsidR="0003086A">
        <w:t>enshrined</w:t>
      </w:r>
      <w:r w:rsidR="00FE0534">
        <w:t xml:space="preserve"> in </w:t>
      </w:r>
      <w:r w:rsidR="00E36C1B">
        <w:t>article </w:t>
      </w:r>
      <w:r w:rsidR="00FE0534">
        <w:t xml:space="preserve">15 of the </w:t>
      </w:r>
      <w:r w:rsidR="004D41AA">
        <w:t xml:space="preserve">International </w:t>
      </w:r>
      <w:r w:rsidR="004D41AA">
        <w:rPr>
          <w:bCs/>
        </w:rPr>
        <w:t xml:space="preserve">Covenant </w:t>
      </w:r>
      <w:r w:rsidR="004D41AA">
        <w:t>on Civil and Political Rights</w:t>
      </w:r>
      <w:r w:rsidR="008E54BF">
        <w:t>.</w:t>
      </w:r>
      <w:r w:rsidR="00FE0534" w:rsidRPr="007C4BD4">
        <w:rPr>
          <w:rStyle w:val="FootnoteReference"/>
        </w:rPr>
        <w:footnoteReference w:id="91"/>
      </w:r>
      <w:r w:rsidR="004E5A9B">
        <w:t xml:space="preserve"> </w:t>
      </w:r>
      <w:r w:rsidR="00FE0534">
        <w:t>Criminal liability, including any definition provided in the law, must be precisely framed and must respect the principle of legal certainty.</w:t>
      </w:r>
      <w:r w:rsidR="004E5A9B">
        <w:t xml:space="preserve"> </w:t>
      </w:r>
    </w:p>
    <w:p w:rsidR="00FE0534" w:rsidRPr="00FD1185" w:rsidRDefault="00450324" w:rsidP="00450324">
      <w:pPr>
        <w:pStyle w:val="SingleTxtG"/>
        <w:rPr>
          <w:bCs/>
          <w:lang w:eastAsia="hi-IN" w:bidi="hi-IN"/>
        </w:rPr>
      </w:pPr>
      <w:r w:rsidRPr="00FD1185">
        <w:rPr>
          <w:bCs/>
          <w:lang w:eastAsia="hi-IN" w:bidi="hi-IN"/>
        </w:rPr>
        <w:t>45.</w:t>
      </w:r>
      <w:r w:rsidRPr="00FD1185">
        <w:rPr>
          <w:bCs/>
          <w:lang w:eastAsia="hi-IN" w:bidi="hi-IN"/>
        </w:rPr>
        <w:tab/>
      </w:r>
      <w:r w:rsidR="00FE0534">
        <w:t xml:space="preserve">A number of other rights may also be affected by </w:t>
      </w:r>
      <w:r w:rsidR="0003086A">
        <w:t>national</w:t>
      </w:r>
      <w:r w:rsidR="00FE0534">
        <w:t xml:space="preserve"> measures to implement the resolution</w:t>
      </w:r>
      <w:r w:rsidR="00756C22">
        <w:t>.</w:t>
      </w:r>
      <w:r w:rsidR="00FE0534" w:rsidRPr="007C4BD4">
        <w:rPr>
          <w:rStyle w:val="FootnoteReference"/>
        </w:rPr>
        <w:footnoteReference w:id="92"/>
      </w:r>
      <w:r w:rsidR="00FE0534">
        <w:t xml:space="preserve"> Measures such as </w:t>
      </w:r>
      <w:r w:rsidR="0003086A">
        <w:t xml:space="preserve">the </w:t>
      </w:r>
      <w:r w:rsidR="00FE0534">
        <w:t xml:space="preserve">seizure and retention of passports or identity cards may </w:t>
      </w:r>
      <w:r w:rsidR="0003086A">
        <w:t>affect</w:t>
      </w:r>
      <w:r w:rsidR="00FE0534">
        <w:t xml:space="preserve"> freedom of movement; the stripping of citizenship can </w:t>
      </w:r>
      <w:r w:rsidR="0003086A">
        <w:t>affect</w:t>
      </w:r>
      <w:r w:rsidR="00FE0534">
        <w:t xml:space="preserve"> the prohibition of arbitrary deprivation of nationality or the absolute prohibition of refoulement; restrictions on travel, or bans from entering one’s country</w:t>
      </w:r>
      <w:r w:rsidR="0003086A">
        <w:t>,</w:t>
      </w:r>
      <w:r w:rsidR="00FE0534">
        <w:t xml:space="preserve"> can </w:t>
      </w:r>
      <w:r w:rsidR="0003086A">
        <w:t>affect</w:t>
      </w:r>
      <w:r w:rsidR="00FE0534">
        <w:t xml:space="preserve"> the right to work, to a family life</w:t>
      </w:r>
      <w:r w:rsidR="0003086A">
        <w:t xml:space="preserve"> and</w:t>
      </w:r>
      <w:r w:rsidR="00FE0534">
        <w:t xml:space="preserve"> to health; </w:t>
      </w:r>
      <w:r w:rsidR="0003086A">
        <w:t xml:space="preserve">and </w:t>
      </w:r>
      <w:r w:rsidR="00FE0534">
        <w:t xml:space="preserve">various types of house arrests or preventive detention can </w:t>
      </w:r>
      <w:r w:rsidR="0003086A">
        <w:t>affect</w:t>
      </w:r>
      <w:r w:rsidR="00FE0534">
        <w:t xml:space="preserve"> the right to safety and security. The right to a fair trial can be adversely affected by preventive measures, such as those </w:t>
      </w:r>
      <w:r w:rsidR="0003086A">
        <w:t>that</w:t>
      </w:r>
      <w:r w:rsidR="00FE0534">
        <w:t xml:space="preserve"> limit freedom of movement or touch upon the right to a nationality and are adopted by members of the executive, based on classified information, without the opportunity for adequate independent judicial review.</w:t>
      </w:r>
    </w:p>
    <w:p w:rsidR="00FE0534" w:rsidRPr="000A04C0" w:rsidRDefault="00FE0534" w:rsidP="000A04C0">
      <w:pPr>
        <w:pStyle w:val="H1G"/>
      </w:pPr>
      <w:r w:rsidRPr="000A04C0">
        <w:tab/>
        <w:t>F.</w:t>
      </w:r>
      <w:r w:rsidRPr="000A04C0">
        <w:tab/>
      </w:r>
      <w:r w:rsidR="00722D6F" w:rsidRPr="000A04C0">
        <w:t>I</w:t>
      </w:r>
      <w:r w:rsidRPr="000A04C0">
        <w:t>mpact on civilian</w:t>
      </w:r>
      <w:r w:rsidR="00352371" w:rsidRPr="000A04C0">
        <w:t>s</w:t>
      </w:r>
      <w:r w:rsidRPr="000A04C0">
        <w:t xml:space="preserve"> of the military response to </w:t>
      </w:r>
      <w:r w:rsidR="00722D6F" w:rsidRPr="000A04C0">
        <w:t xml:space="preserve">the Islamic State in Iraq </w:t>
      </w:r>
      <w:r w:rsidR="000A04C0">
        <w:t>a</w:t>
      </w:r>
      <w:r w:rsidR="00722D6F" w:rsidRPr="000A04C0">
        <w:t>nd the Levant</w:t>
      </w:r>
    </w:p>
    <w:p w:rsidR="00FE0534" w:rsidRDefault="00450324" w:rsidP="00450324">
      <w:pPr>
        <w:pStyle w:val="SingleTxtG"/>
      </w:pPr>
      <w:r>
        <w:t>46.</w:t>
      </w:r>
      <w:r>
        <w:tab/>
      </w:r>
      <w:r w:rsidR="00FE0534">
        <w:t>On 8 August 2014, the United States of America carried out air</w:t>
      </w:r>
      <w:r w:rsidR="00850960">
        <w:t xml:space="preserve"> </w:t>
      </w:r>
      <w:r w:rsidR="00FE0534">
        <w:t xml:space="preserve">strikes against ISIL positions close to Erbil in Iraq. On 23 September 2014, military action against ISIL started in </w:t>
      </w:r>
      <w:r w:rsidR="00051321">
        <w:t>the Syrian Arab Republic</w:t>
      </w:r>
      <w:r w:rsidR="00FE0534">
        <w:t>.</w:t>
      </w:r>
      <w:r w:rsidR="004E5A9B">
        <w:t xml:space="preserve"> </w:t>
      </w:r>
      <w:r w:rsidR="00FE0534">
        <w:t xml:space="preserve">The international coalition of States led by the United States against ISIL </w:t>
      </w:r>
      <w:r w:rsidR="00AB2073">
        <w:t>includes</w:t>
      </w:r>
      <w:r w:rsidR="00FE0534">
        <w:t xml:space="preserve"> over 60 partners,</w:t>
      </w:r>
      <w:r w:rsidR="00FE0534" w:rsidRPr="007C4BD4">
        <w:rPr>
          <w:rStyle w:val="FootnoteReference"/>
        </w:rPr>
        <w:footnoteReference w:id="93"/>
      </w:r>
      <w:r w:rsidR="00FE0534">
        <w:t xml:space="preserve"> with various levels of involvement, from carrying out air</w:t>
      </w:r>
      <w:r w:rsidR="00850960">
        <w:t xml:space="preserve"> </w:t>
      </w:r>
      <w:r w:rsidR="00FE0534">
        <w:t xml:space="preserve">strikes to providing advice. The </w:t>
      </w:r>
      <w:r w:rsidR="00AB2073">
        <w:t>States</w:t>
      </w:r>
      <w:r w:rsidR="00FE0534">
        <w:t xml:space="preserve"> involved in the coalition are different in Iraq and in </w:t>
      </w:r>
      <w:r w:rsidR="00051321">
        <w:t>the Syrian Arab Republic</w:t>
      </w:r>
      <w:r w:rsidR="00FE0534">
        <w:t xml:space="preserve">, with some </w:t>
      </w:r>
      <w:r w:rsidR="00AB2073">
        <w:t>S</w:t>
      </w:r>
      <w:r w:rsidR="00FE0534">
        <w:t xml:space="preserve">tates active in </w:t>
      </w:r>
      <w:r w:rsidR="00AB2073">
        <w:t xml:space="preserve">only </w:t>
      </w:r>
      <w:r w:rsidR="00FE0534">
        <w:t>one or the other.</w:t>
      </w:r>
      <w:r w:rsidR="00FE0534" w:rsidRPr="007C4BD4">
        <w:rPr>
          <w:rStyle w:val="FootnoteReference"/>
        </w:rPr>
        <w:footnoteReference w:id="94"/>
      </w:r>
      <w:r w:rsidR="00FE0534">
        <w:t xml:space="preserve"> By 27 March 2015</w:t>
      </w:r>
      <w:r w:rsidR="00AB2073">
        <w:t>,</w:t>
      </w:r>
      <w:r w:rsidR="00FE0534">
        <w:t xml:space="preserve"> the coalition had reported over 3,000 air</w:t>
      </w:r>
      <w:r w:rsidR="00850960">
        <w:t xml:space="preserve"> </w:t>
      </w:r>
      <w:r w:rsidR="00FE0534">
        <w:t xml:space="preserve">strikes in which more than 11,000 munitions had been released. The United States has been responsible for </w:t>
      </w:r>
      <w:r w:rsidR="00AB2073">
        <w:t>92 per cent of the</w:t>
      </w:r>
      <w:r w:rsidR="00FE0534">
        <w:t xml:space="preserve"> coalition air</w:t>
      </w:r>
      <w:r w:rsidR="00850960">
        <w:t xml:space="preserve"> </w:t>
      </w:r>
      <w:r w:rsidR="00FE0534">
        <w:t xml:space="preserve">strikes in </w:t>
      </w:r>
      <w:r w:rsidR="00051321">
        <w:t>the Syrian Arab Republic</w:t>
      </w:r>
      <w:r w:rsidR="00FE0534">
        <w:t xml:space="preserve"> and </w:t>
      </w:r>
      <w:r w:rsidR="00AB2073">
        <w:t xml:space="preserve">70 per cent of the coalition air strikes in </w:t>
      </w:r>
      <w:r w:rsidR="00FE0534">
        <w:t>Iraq.</w:t>
      </w:r>
    </w:p>
    <w:p w:rsidR="00FE0534" w:rsidRDefault="00450324" w:rsidP="00450324">
      <w:pPr>
        <w:pStyle w:val="SingleTxtG"/>
      </w:pPr>
      <w:r>
        <w:t>47.</w:t>
      </w:r>
      <w:r>
        <w:tab/>
      </w:r>
      <w:r w:rsidR="00FE0534">
        <w:t xml:space="preserve">According to the Government of the United States, the legal basis for the coalition’s use of force in Iraq is intervention by invitation, or consent. On 18 June 2014, at a </w:t>
      </w:r>
      <w:r w:rsidR="00A16069">
        <w:t xml:space="preserve">hearing of the United States </w:t>
      </w:r>
      <w:r w:rsidR="00FE0534">
        <w:t xml:space="preserve">Senate </w:t>
      </w:r>
      <w:r w:rsidR="00FE0534" w:rsidRPr="00A16069">
        <w:rPr>
          <w:lang w:val="en-US"/>
        </w:rPr>
        <w:t xml:space="preserve">Appropriations Defense </w:t>
      </w:r>
      <w:r w:rsidR="007679FB" w:rsidRPr="00A16069">
        <w:rPr>
          <w:lang w:val="en-US"/>
        </w:rPr>
        <w:t>S</w:t>
      </w:r>
      <w:r w:rsidR="00FE0534" w:rsidRPr="00A16069">
        <w:rPr>
          <w:lang w:val="en-US"/>
        </w:rPr>
        <w:t>ubcommittee</w:t>
      </w:r>
      <w:r w:rsidR="00FE0534">
        <w:t xml:space="preserve">, the </w:t>
      </w:r>
      <w:r w:rsidR="00722D6F">
        <w:t>C</w:t>
      </w:r>
      <w:r w:rsidR="00FE0534">
        <w:t xml:space="preserve">hairman of the Joint Chiefs of Staff, General Martin Dempsey, informed the </w:t>
      </w:r>
      <w:r w:rsidR="00722D6F">
        <w:t xml:space="preserve">Subcommittee </w:t>
      </w:r>
      <w:r w:rsidR="00FE0534">
        <w:t xml:space="preserve">that the </w:t>
      </w:r>
      <w:r w:rsidR="00722D6F">
        <w:t>G</w:t>
      </w:r>
      <w:r w:rsidR="00FE0534">
        <w:t>overnment</w:t>
      </w:r>
      <w:r w:rsidR="00722D6F">
        <w:t xml:space="preserve"> of Iraq</w:t>
      </w:r>
      <w:r w:rsidR="00FE0534">
        <w:t xml:space="preserve"> had requested U</w:t>
      </w:r>
      <w:r w:rsidR="00A16069">
        <w:t xml:space="preserve">nited </w:t>
      </w:r>
      <w:r w:rsidR="00FE0534">
        <w:t>S</w:t>
      </w:r>
      <w:r w:rsidR="00A16069">
        <w:t>tates</w:t>
      </w:r>
      <w:r w:rsidR="00FE0534">
        <w:t xml:space="preserve"> military air</w:t>
      </w:r>
      <w:r w:rsidR="00850960">
        <w:t xml:space="preserve"> </w:t>
      </w:r>
      <w:r w:rsidR="00FE0534">
        <w:t>strikes to help combat violence in Iraq led by ISIL.</w:t>
      </w:r>
      <w:r w:rsidR="00FE0534" w:rsidRPr="007C4BD4">
        <w:rPr>
          <w:rStyle w:val="FootnoteReference"/>
        </w:rPr>
        <w:footnoteReference w:id="95"/>
      </w:r>
      <w:r w:rsidR="00FE0534">
        <w:t xml:space="preserve"> This request for assistance by the </w:t>
      </w:r>
      <w:r w:rsidR="00A16069">
        <w:t>G</w:t>
      </w:r>
      <w:r w:rsidR="00FE0534">
        <w:t xml:space="preserve">overnment </w:t>
      </w:r>
      <w:r w:rsidR="00A16069">
        <w:t xml:space="preserve">of </w:t>
      </w:r>
      <w:r w:rsidR="00FE0534">
        <w:t>Iraq is solid legal ground on which to determine the legality of the air</w:t>
      </w:r>
      <w:r w:rsidR="00850960">
        <w:t xml:space="preserve"> </w:t>
      </w:r>
      <w:r w:rsidR="00FE0534">
        <w:t>strikes that take place on Iraqi territory.</w:t>
      </w:r>
      <w:r w:rsidR="00FE0534" w:rsidRPr="007C4BD4">
        <w:rPr>
          <w:rStyle w:val="FootnoteReference"/>
        </w:rPr>
        <w:footnoteReference w:id="96"/>
      </w:r>
      <w:r w:rsidR="00FE0534">
        <w:t xml:space="preserve"> </w:t>
      </w:r>
    </w:p>
    <w:p w:rsidR="00FE0534" w:rsidRDefault="00450324" w:rsidP="00450324">
      <w:pPr>
        <w:pStyle w:val="SingleTxtG"/>
      </w:pPr>
      <w:r>
        <w:t>48.</w:t>
      </w:r>
      <w:r>
        <w:tab/>
      </w:r>
      <w:r w:rsidR="00FE0534">
        <w:t xml:space="preserve">As the Government </w:t>
      </w:r>
      <w:r w:rsidR="00A16069">
        <w:t xml:space="preserve">of the Syrian Arab Republic </w:t>
      </w:r>
      <w:r w:rsidR="00FE0534">
        <w:t>did not explicitly provide consent for air</w:t>
      </w:r>
      <w:r w:rsidR="00850960">
        <w:t xml:space="preserve"> </w:t>
      </w:r>
      <w:r w:rsidR="00FE0534">
        <w:t xml:space="preserve">strikes against ISIL on its territory, the legal basis for the use of force on Syrian territory lies elsewhere. On 20 September 2014, the Minister </w:t>
      </w:r>
      <w:r w:rsidR="00722D6F">
        <w:t xml:space="preserve">for </w:t>
      </w:r>
      <w:r w:rsidR="00FE0534">
        <w:t>Foreign Affairs of Iraq sent a letter to the President of the Security Council</w:t>
      </w:r>
      <w:r w:rsidR="00EF4003">
        <w:t xml:space="preserve"> </w:t>
      </w:r>
      <w:r w:rsidR="00722D6F">
        <w:t>in which he</w:t>
      </w:r>
      <w:r w:rsidR="00FE0534">
        <w:t xml:space="preserve"> explained that ISIL had established a safe haven outside Iraq</w:t>
      </w:r>
      <w:r w:rsidR="00D85ACD">
        <w:t>i</w:t>
      </w:r>
      <w:r w:rsidR="00FE0534">
        <w:t xml:space="preserve"> borders</w:t>
      </w:r>
      <w:r w:rsidR="00D85ACD">
        <w:t xml:space="preserve"> that was</w:t>
      </w:r>
      <w:r w:rsidR="00FE0534">
        <w:t xml:space="preserve"> a direct threat to the security of </w:t>
      </w:r>
      <w:r w:rsidR="00D85ACD">
        <w:t xml:space="preserve">the </w:t>
      </w:r>
      <w:r w:rsidR="00FE0534">
        <w:t>people and territory</w:t>
      </w:r>
      <w:r w:rsidR="00D85ACD">
        <w:t xml:space="preserve"> of Iraq</w:t>
      </w:r>
      <w:r w:rsidR="00722D6F">
        <w:t xml:space="preserve"> (see </w:t>
      </w:r>
      <w:r w:rsidR="00722D6F" w:rsidRPr="00E31457">
        <w:rPr>
          <w:lang w:val="en-US"/>
        </w:rPr>
        <w:t>S/2014/691</w:t>
      </w:r>
      <w:r w:rsidR="00722D6F">
        <w:rPr>
          <w:lang w:val="en-US"/>
        </w:rPr>
        <w:t>, annex</w:t>
      </w:r>
      <w:r w:rsidR="00722D6F">
        <w:t>)</w:t>
      </w:r>
      <w:r w:rsidR="00FE0534">
        <w:t xml:space="preserve">. </w:t>
      </w:r>
      <w:r w:rsidR="00722D6F">
        <w:t>He also</w:t>
      </w:r>
      <w:r w:rsidR="00FE0534">
        <w:t xml:space="preserve"> explained that Iraq had requested the </w:t>
      </w:r>
      <w:r w:rsidR="00D85ACD">
        <w:t xml:space="preserve">United States </w:t>
      </w:r>
      <w:r w:rsidR="00FE0534">
        <w:t xml:space="preserve">to lead international efforts to strike ISIL sites and military strongholds with </w:t>
      </w:r>
      <w:r w:rsidR="00D85ACD">
        <w:t>the</w:t>
      </w:r>
      <w:r w:rsidR="00FE0534">
        <w:t xml:space="preserve"> express consent</w:t>
      </w:r>
      <w:r w:rsidR="00D85ACD">
        <w:t xml:space="preserve"> of Iraq</w:t>
      </w:r>
      <w:r w:rsidR="00FE0534">
        <w:t xml:space="preserve">. On 23 September 2014, in a letter to the </w:t>
      </w:r>
      <w:r w:rsidR="00D85ACD">
        <w:t>Secretary-General</w:t>
      </w:r>
      <w:r w:rsidR="00756C22">
        <w:t>,</w:t>
      </w:r>
      <w:r w:rsidR="00FE0534">
        <w:t xml:space="preserve"> the Permanent Representative </w:t>
      </w:r>
      <w:r w:rsidR="00EF4003">
        <w:t xml:space="preserve">of the United States </w:t>
      </w:r>
      <w:r w:rsidR="00FE0534">
        <w:t xml:space="preserve">referred to the serious threat </w:t>
      </w:r>
      <w:r w:rsidR="00EF4003">
        <w:t xml:space="preserve">faced by Iraq </w:t>
      </w:r>
      <w:r w:rsidR="00FE0534">
        <w:t xml:space="preserve">of continuing attacks from ISIL coming </w:t>
      </w:r>
      <w:r w:rsidR="00722D6F">
        <w:t>from</w:t>
      </w:r>
      <w:r w:rsidR="00FE0534">
        <w:t xml:space="preserve"> safe havens in </w:t>
      </w:r>
      <w:r w:rsidR="00051321">
        <w:t>the Syrian Arab Republic</w:t>
      </w:r>
      <w:r w:rsidR="00722D6F">
        <w:t xml:space="preserve"> (S/2014/695)</w:t>
      </w:r>
      <w:r w:rsidR="00FE0534">
        <w:t xml:space="preserve">. </w:t>
      </w:r>
      <w:r w:rsidR="007C49B0">
        <w:t>She</w:t>
      </w:r>
      <w:r w:rsidR="00FE0534">
        <w:t xml:space="preserve"> noted that “States must be able to defend themselves, in accordance with the inherent right of individual and collective self-defence … when, as is the case here, the government of the State where the threat is located is unwilling or unable to prevent the use of its territory for such attacks”. </w:t>
      </w:r>
      <w:r w:rsidR="007C49B0">
        <w:t>She</w:t>
      </w:r>
      <w:r w:rsidR="00722D6F">
        <w:t xml:space="preserve"> also said</w:t>
      </w:r>
      <w:r w:rsidR="00FE0534">
        <w:t xml:space="preserve"> that the </w:t>
      </w:r>
      <w:r w:rsidR="00EF4003">
        <w:t xml:space="preserve">United States </w:t>
      </w:r>
      <w:r w:rsidR="00FE0534">
        <w:t xml:space="preserve">had initiated necessary and proportionate military action in </w:t>
      </w:r>
      <w:r w:rsidR="00051321">
        <w:t>the Syrian Arab Republic</w:t>
      </w:r>
      <w:r w:rsidR="00FE0534">
        <w:t xml:space="preserve"> in order to eliminate the ongoing ISIL threat to Iraq, including by protecting Iraqi citizens from further attacks and by enabling Iraqi forces to regain control of Iraq</w:t>
      </w:r>
      <w:r w:rsidR="00EF4003">
        <w:t>i</w:t>
      </w:r>
      <w:r w:rsidR="00FE0534">
        <w:t xml:space="preserve"> borders. </w:t>
      </w:r>
    </w:p>
    <w:p w:rsidR="00FE0534" w:rsidRDefault="00450324" w:rsidP="00450324">
      <w:pPr>
        <w:pStyle w:val="SingleTxtG"/>
      </w:pPr>
      <w:r>
        <w:t>49.</w:t>
      </w:r>
      <w:r>
        <w:tab/>
      </w:r>
      <w:r w:rsidR="00FE0534">
        <w:t xml:space="preserve">The right to self-defence as an exception to the absolute prohibition on the use of force is enshrined in </w:t>
      </w:r>
      <w:r w:rsidR="00E36C1B">
        <w:t>article </w:t>
      </w:r>
      <w:r w:rsidR="00FE0534">
        <w:t>51 of the Charter of the United Nations and is contingent on a State facing an imminent risk of an armed attack on its territory. Under orthodox principles of international law, the use of force against an armed group located on the territory of another State is only justified on grounds of self-defence if the territorial State consents, if the actions of the group concerned are legally imputable to the territorial State or if the territorial State is harbouring the armed group concerned. International law may also recogni</w:t>
      </w:r>
      <w:r w:rsidR="00EF4003">
        <w:t>z</w:t>
      </w:r>
      <w:r w:rsidR="00FE0534">
        <w:t xml:space="preserve">e a right of cross-border pursuit where an armed group uses the territory of a bordering State as a place </w:t>
      </w:r>
      <w:r w:rsidR="00EF4003">
        <w:t>to</w:t>
      </w:r>
      <w:r w:rsidR="00FE0534">
        <w:t xml:space="preserve"> which to retreat </w:t>
      </w:r>
      <w:r w:rsidR="00EF4003">
        <w:t>in order to</w:t>
      </w:r>
      <w:r w:rsidR="00FE0534">
        <w:t xml:space="preserve"> regroup before recrossing the border for the purpose of returning to engage in armed conflict. </w:t>
      </w:r>
      <w:r w:rsidR="0088311A">
        <w:t>In the a</w:t>
      </w:r>
      <w:r w:rsidR="00FE0534">
        <w:t>bsen</w:t>
      </w:r>
      <w:r w:rsidR="0088311A">
        <w:t>ce of</w:t>
      </w:r>
      <w:r w:rsidR="00FE0534">
        <w:t xml:space="preserve"> such a connection, however, the extraterritorial use of force against a non-State armed group located on the territory of another State has traditionally been regarded as a violation of sovereignty. </w:t>
      </w:r>
    </w:p>
    <w:p w:rsidR="00FE0534" w:rsidRDefault="00450324" w:rsidP="00450324">
      <w:pPr>
        <w:pStyle w:val="SingleTxtG"/>
      </w:pPr>
      <w:r>
        <w:t>50.</w:t>
      </w:r>
      <w:r>
        <w:tab/>
      </w:r>
      <w:r w:rsidR="00FE0534">
        <w:t>However, as the Special Rapporteur has previously noted</w:t>
      </w:r>
      <w:r w:rsidR="00352371">
        <w:t>,</w:t>
      </w:r>
      <w:r w:rsidR="00FE0534" w:rsidRPr="007C4BD4">
        <w:rPr>
          <w:rStyle w:val="FootnoteReference"/>
        </w:rPr>
        <w:footnoteReference w:id="97"/>
      </w:r>
      <w:r w:rsidR="00FE0534">
        <w:t xml:space="preserve"> some States </w:t>
      </w:r>
      <w:r w:rsidR="007C49B0">
        <w:t>are now taking</w:t>
      </w:r>
      <w:r w:rsidR="00FE0534">
        <w:t xml:space="preserve"> the view that the right to self-defence can be exercised even where the non-State armed groups have no operational connection with the host State. States adopting this analysis hold that if, after a reasonable opportunity, the territorial State has failed effectively to neutralize a threat that emanates from an armed group operating within its borders, either because it is unable or unwilling to do so, then the State that is threatened with attack is entitled under the law of self-defence to cross the territorial State’s borders and use military force in self</w:t>
      </w:r>
      <w:r w:rsidR="00DE30AB">
        <w:t>-</w:t>
      </w:r>
      <w:r w:rsidR="00FE0534">
        <w:t xml:space="preserve">defence against the group that presents the threat. As the </w:t>
      </w:r>
      <w:r w:rsidR="007C49B0">
        <w:t xml:space="preserve">Permanent Representative of the </w:t>
      </w:r>
      <w:r w:rsidR="00FE0534">
        <w:t xml:space="preserve">United States noted in </w:t>
      </w:r>
      <w:r w:rsidR="007C49B0">
        <w:t xml:space="preserve">her </w:t>
      </w:r>
      <w:r w:rsidR="00FE0534">
        <w:t>letter to the Secretary-General, “</w:t>
      </w:r>
      <w:r w:rsidR="0088311A">
        <w:t>t</w:t>
      </w:r>
      <w:r w:rsidR="00FE0534">
        <w:t xml:space="preserve">he Syrian regime has shown </w:t>
      </w:r>
      <w:r w:rsidR="00D045B4">
        <w:t xml:space="preserve">that </w:t>
      </w:r>
      <w:r w:rsidR="00FE0534">
        <w:t>it cannot and will not confront these safe havens [used by ISIL for training, planning, financing, and carrying out attacks across Iraqi borders and against Iraqi people] effectively itself”.</w:t>
      </w:r>
      <w:r w:rsidR="004E5A9B">
        <w:t xml:space="preserve"> </w:t>
      </w:r>
      <w:r w:rsidR="00FE0534">
        <w:t xml:space="preserve">On this analysis, the United States and its coalition partners are entitled to use force in </w:t>
      </w:r>
      <w:r w:rsidR="00051321">
        <w:t>the Syrian Arab Republic</w:t>
      </w:r>
      <w:r w:rsidR="00FE0534">
        <w:t xml:space="preserve"> at the request of Iraq in order to defend Iraq and its people against attacks by ISIL</w:t>
      </w:r>
      <w:r w:rsidR="00D045B4">
        <w:t>,</w:t>
      </w:r>
      <w:r w:rsidR="00FE0534">
        <w:t xml:space="preserve"> which is operating in Iraq but is using Syrian territory for the purpose of planning and preparing its military operations, and they are entitled to enter Syrian territory for this purpose because the </w:t>
      </w:r>
      <w:r w:rsidR="00D045B4">
        <w:t>G</w:t>
      </w:r>
      <w:r w:rsidR="00FE0534">
        <w:t xml:space="preserve">overnment </w:t>
      </w:r>
      <w:r w:rsidR="00D045B4">
        <w:t xml:space="preserve">of the Syrian Arab Republic </w:t>
      </w:r>
      <w:r w:rsidR="00FE0534">
        <w:t xml:space="preserve">has shown itself unable or unwilling to deal with the threat emanating from ISIL. </w:t>
      </w:r>
    </w:p>
    <w:p w:rsidR="00FE0534" w:rsidRDefault="00450324" w:rsidP="00450324">
      <w:pPr>
        <w:pStyle w:val="SingleTxtG"/>
      </w:pPr>
      <w:r>
        <w:t>51.</w:t>
      </w:r>
      <w:r>
        <w:tab/>
      </w:r>
      <w:r w:rsidR="00FE0534">
        <w:t xml:space="preserve">Many of the </w:t>
      </w:r>
      <w:r w:rsidR="007C49B0">
        <w:t xml:space="preserve">8 </w:t>
      </w:r>
      <w:r w:rsidR="00FE0534">
        <w:t>million Iraqis and Syrian</w:t>
      </w:r>
      <w:r w:rsidR="00D045B4">
        <w:t>s</w:t>
      </w:r>
      <w:r w:rsidR="00FE0534">
        <w:t xml:space="preserve"> who live in ISIL-controlled territory live in urban areas. It has been reported, in Iraq and </w:t>
      </w:r>
      <w:r w:rsidR="00051321">
        <w:t>the Syrian Arab Republic</w:t>
      </w:r>
      <w:r w:rsidR="00FE0534">
        <w:t>, that ISIL deliberately places its fighters among civilians or in civilian areas, or uses civilian infrastructure, such as schools and hospitals, as military bases to conduct operations and shield its fighters from attack, or to ensure civilian casualties in the event of attack.</w:t>
      </w:r>
      <w:r w:rsidR="00FE0534" w:rsidRPr="007C4BD4">
        <w:rPr>
          <w:rStyle w:val="FootnoteReference"/>
        </w:rPr>
        <w:footnoteReference w:id="98"/>
      </w:r>
      <w:r w:rsidR="00FE0534">
        <w:t xml:space="preserve"> Major towns have been frequently targeted by coalition air</w:t>
      </w:r>
      <w:r w:rsidR="00850960">
        <w:t xml:space="preserve"> </w:t>
      </w:r>
      <w:r w:rsidR="00FE0534">
        <w:t>strikes, for example the heavy bombing of central Tikrit.</w:t>
      </w:r>
      <w:r w:rsidR="00FE0534" w:rsidRPr="007C4BD4">
        <w:rPr>
          <w:rStyle w:val="FootnoteReference"/>
        </w:rPr>
        <w:footnoteReference w:id="99"/>
      </w:r>
      <w:r w:rsidR="004E5A9B">
        <w:rPr>
          <w:rStyle w:val="FootnoteReference"/>
        </w:rPr>
        <w:t xml:space="preserve"> </w:t>
      </w:r>
      <w:r w:rsidR="00FE0534">
        <w:t>Basing forces among civilians and civilian infrastructure constitute</w:t>
      </w:r>
      <w:r w:rsidR="00D045B4">
        <w:t>s</w:t>
      </w:r>
      <w:r w:rsidR="00FE0534">
        <w:t xml:space="preserve"> </w:t>
      </w:r>
      <w:r w:rsidR="00D045B4">
        <w:t xml:space="preserve">a </w:t>
      </w:r>
      <w:r w:rsidR="00FE0534">
        <w:t xml:space="preserve">serious violation of applicable standards of international humanitarian law and can constitute </w:t>
      </w:r>
      <w:r w:rsidR="00D045B4">
        <w:t xml:space="preserve">a </w:t>
      </w:r>
      <w:r w:rsidR="00FE0534">
        <w:t>war crime. At the same time, however, international humanitarian law is clear that direct attacks against civilian objects are prohibited</w:t>
      </w:r>
      <w:r w:rsidR="00352371">
        <w:t>,</w:t>
      </w:r>
      <w:r w:rsidR="00FE0534" w:rsidRPr="007C4BD4">
        <w:rPr>
          <w:rStyle w:val="FootnoteReference"/>
        </w:rPr>
        <w:footnoteReference w:id="100"/>
      </w:r>
      <w:r w:rsidR="00FE0534">
        <w:t xml:space="preserve"> unless and for such time as they are military objectives</w:t>
      </w:r>
      <w:r w:rsidR="00352371">
        <w:t>.</w:t>
      </w:r>
      <w:r w:rsidR="00FE0534" w:rsidRPr="007C4BD4">
        <w:rPr>
          <w:rStyle w:val="FootnoteReference"/>
        </w:rPr>
        <w:footnoteReference w:id="101"/>
      </w:r>
      <w:r w:rsidR="004E5A9B">
        <w:t xml:space="preserve"> </w:t>
      </w:r>
      <w:r w:rsidR="00FE0534">
        <w:t xml:space="preserve">There is a presumption of civilian character for </w:t>
      </w:r>
      <w:r w:rsidR="00FE0534">
        <w:rPr>
          <w:rStyle w:val="normal1"/>
        </w:rPr>
        <w:t xml:space="preserve">objects normally dedicated to civilian purposes. In case of doubt, the principle of distinction and the requirement to </w:t>
      </w:r>
      <w:r w:rsidR="00C20CC3">
        <w:rPr>
          <w:rStyle w:val="normal1"/>
        </w:rPr>
        <w:t>do everything</w:t>
      </w:r>
      <w:r w:rsidR="00FE0534">
        <w:rPr>
          <w:rStyle w:val="normal1"/>
        </w:rPr>
        <w:t xml:space="preserve"> </w:t>
      </w:r>
      <w:r w:rsidR="00C20CC3">
        <w:rPr>
          <w:rStyle w:val="normal1"/>
        </w:rPr>
        <w:t xml:space="preserve">feasible </w:t>
      </w:r>
      <w:r w:rsidR="00FE0534">
        <w:rPr>
          <w:rStyle w:val="intro"/>
        </w:rPr>
        <w:t>to verify that target</w:t>
      </w:r>
      <w:r w:rsidR="00C20CC3">
        <w:rPr>
          <w:rStyle w:val="intro"/>
        </w:rPr>
        <w:t>s</w:t>
      </w:r>
      <w:r w:rsidR="00FE0534">
        <w:rPr>
          <w:rStyle w:val="intro"/>
        </w:rPr>
        <w:t xml:space="preserve"> </w:t>
      </w:r>
      <w:r w:rsidR="00C20CC3">
        <w:rPr>
          <w:rStyle w:val="intro"/>
        </w:rPr>
        <w:t>are</w:t>
      </w:r>
      <w:r w:rsidR="00FE0534">
        <w:rPr>
          <w:rStyle w:val="intro"/>
        </w:rPr>
        <w:t xml:space="preserve"> military objective</w:t>
      </w:r>
      <w:r w:rsidR="00C20CC3">
        <w:rPr>
          <w:rStyle w:val="intro"/>
        </w:rPr>
        <w:t>s,</w:t>
      </w:r>
      <w:r w:rsidR="00FE0534">
        <w:rPr>
          <w:rStyle w:val="intro"/>
        </w:rPr>
        <w:t xml:space="preserve"> not civilian object</w:t>
      </w:r>
      <w:r w:rsidR="00C20CC3">
        <w:rPr>
          <w:rStyle w:val="intro"/>
        </w:rPr>
        <w:t>s</w:t>
      </w:r>
      <w:r w:rsidR="00344A68">
        <w:rPr>
          <w:rStyle w:val="intro"/>
        </w:rPr>
        <w:t>, prevail</w:t>
      </w:r>
      <w:r w:rsidR="00352371">
        <w:rPr>
          <w:rStyle w:val="intro"/>
        </w:rPr>
        <w:t>.</w:t>
      </w:r>
      <w:r w:rsidR="00FE0534" w:rsidRPr="007C4BD4">
        <w:rPr>
          <w:rStyle w:val="FootnoteReference"/>
        </w:rPr>
        <w:footnoteReference w:id="102"/>
      </w:r>
      <w:r w:rsidR="00FE0534">
        <w:rPr>
          <w:rStyle w:val="intro"/>
        </w:rPr>
        <w:t xml:space="preserve"> </w:t>
      </w:r>
    </w:p>
    <w:p w:rsidR="00FE0534" w:rsidRDefault="00450324" w:rsidP="00450324">
      <w:pPr>
        <w:pStyle w:val="SingleTxtG"/>
      </w:pPr>
      <w:r>
        <w:t>52.</w:t>
      </w:r>
      <w:r>
        <w:tab/>
      </w:r>
      <w:r w:rsidR="00FE0534">
        <w:t>Accurate targeting can be a particular challenge in such an environment. Obtaining accurate intelligence is essential, but it has been reported that only 25 per cent of coalition air</w:t>
      </w:r>
      <w:r w:rsidR="00850960">
        <w:t xml:space="preserve"> </w:t>
      </w:r>
      <w:r w:rsidR="00FE0534">
        <w:t xml:space="preserve">strikes in </w:t>
      </w:r>
      <w:r w:rsidR="00051321">
        <w:t>the Syrian Arab Republic</w:t>
      </w:r>
      <w:r w:rsidR="00FE0534">
        <w:t>, and 5 per cent in Iraq, are pre-planned.</w:t>
      </w:r>
      <w:r w:rsidR="00FE0534" w:rsidRPr="007C4BD4">
        <w:rPr>
          <w:rStyle w:val="FootnoteReference"/>
        </w:rPr>
        <w:footnoteReference w:id="103"/>
      </w:r>
      <w:r w:rsidR="00FE0534">
        <w:t xml:space="preserve"> </w:t>
      </w:r>
      <w:r w:rsidR="00FE0534">
        <w:rPr>
          <w:bCs/>
        </w:rPr>
        <w:t>With few</w:t>
      </w:r>
      <w:r w:rsidR="00FE0534">
        <w:t xml:space="preserve"> personnel on the ground to provide accurate targeting, crews rely heavily on targets of opportunity. In recognition of this more challenging environment, the </w:t>
      </w:r>
      <w:r w:rsidR="00C64C87">
        <w:t xml:space="preserve">United States </w:t>
      </w:r>
      <w:r w:rsidR="00FE0534">
        <w:t>has confirmed that the recent high standards it demanded of its drone strikes in Pakistan</w:t>
      </w:r>
      <w:r w:rsidR="00C64C87">
        <w:t>,</w:t>
      </w:r>
      <w:r w:rsidR="00FE0534">
        <w:t xml:space="preserve"> which required </w:t>
      </w:r>
      <w:r w:rsidR="00F81D6B">
        <w:rPr>
          <w:iCs/>
        </w:rPr>
        <w:t>“</w:t>
      </w:r>
      <w:r w:rsidR="00FE0534">
        <w:rPr>
          <w:iCs/>
        </w:rPr>
        <w:t>a near certainty</w:t>
      </w:r>
      <w:r w:rsidR="00F81D6B">
        <w:rPr>
          <w:iCs/>
        </w:rPr>
        <w:t>”</w:t>
      </w:r>
      <w:r w:rsidR="00FE0534">
        <w:rPr>
          <w:i/>
          <w:iCs/>
        </w:rPr>
        <w:t xml:space="preserve"> </w:t>
      </w:r>
      <w:r w:rsidR="00FE0534">
        <w:t>that civilians would not be killed</w:t>
      </w:r>
      <w:r w:rsidR="00C64C87">
        <w:t>,</w:t>
      </w:r>
      <w:r w:rsidR="00FE0534">
        <w:t xml:space="preserve"> could not apply to Iraq or </w:t>
      </w:r>
      <w:r w:rsidR="00051321">
        <w:t>the Syrian Arab Republic</w:t>
      </w:r>
      <w:r w:rsidR="00FE0534">
        <w:t xml:space="preserve"> given the intense nature of the conflict.</w:t>
      </w:r>
      <w:r w:rsidR="00FE0534" w:rsidRPr="007C4BD4">
        <w:rPr>
          <w:rStyle w:val="FootnoteReference"/>
        </w:rPr>
        <w:footnoteReference w:id="104"/>
      </w:r>
      <w:r w:rsidR="00FE0534">
        <w:t xml:space="preserve"> In such circumstances, the coalition has a particular need for good aerial intelligence, surveillance and reconnaissance. This would not only allow planners to scout potential targets, but also to conduct </w:t>
      </w:r>
      <w:r w:rsidR="00C64C87">
        <w:t>b</w:t>
      </w:r>
      <w:r w:rsidR="00FE0534">
        <w:t xml:space="preserve">attle </w:t>
      </w:r>
      <w:r w:rsidR="00C64C87">
        <w:t>d</w:t>
      </w:r>
      <w:r w:rsidR="00FE0534">
        <w:t xml:space="preserve">amage </w:t>
      </w:r>
      <w:r w:rsidR="00C64C87">
        <w:t>a</w:t>
      </w:r>
      <w:r w:rsidR="00FE0534">
        <w:t xml:space="preserve">ssessments in the wake of strikes to gauge their effect on local populations, and so modify tactics accordingly. </w:t>
      </w:r>
    </w:p>
    <w:p w:rsidR="00FE0534" w:rsidRDefault="00450324" w:rsidP="00450324">
      <w:pPr>
        <w:pStyle w:val="SingleTxtG"/>
      </w:pPr>
      <w:r>
        <w:t>53.</w:t>
      </w:r>
      <w:r>
        <w:tab/>
      </w:r>
      <w:r w:rsidR="00FE0534">
        <w:t>The accurate identification of those directly participating in hostilities is critical to a proper application of the principles of distinction, proportionality and precaution. The Special Rapporteur recalls</w:t>
      </w:r>
      <w:r w:rsidR="00C64C87">
        <w:t xml:space="preserve"> that there is a lack of international consensus </w:t>
      </w:r>
      <w:r w:rsidR="00344A68">
        <w:t>o</w:t>
      </w:r>
      <w:r w:rsidR="00C64C87">
        <w:t>n the rules governing direct participation in hostilities.</w:t>
      </w:r>
      <w:r w:rsidR="00FE0534" w:rsidRPr="007C4BD4">
        <w:rPr>
          <w:rStyle w:val="FootnoteReference"/>
        </w:rPr>
        <w:footnoteReference w:id="105"/>
      </w:r>
      <w:r w:rsidR="004E5A9B">
        <w:t xml:space="preserve"> </w:t>
      </w:r>
      <w:r w:rsidR="00FE0534">
        <w:t xml:space="preserve">According to the </w:t>
      </w:r>
      <w:r w:rsidR="00C64C87" w:rsidRPr="00C64C87">
        <w:t>International Committee of the Red Cross</w:t>
      </w:r>
      <w:r w:rsidR="004219C7">
        <w:t>,</w:t>
      </w:r>
      <w:r w:rsidR="00905997">
        <w:t xml:space="preserve"> an individual may be considered as a member of a non-State armed group, and therefore targeted at any time, only if they have assumed a “continuous combat function” within that group.</w:t>
      </w:r>
      <w:r w:rsidR="00FE0534" w:rsidRPr="007C4BD4">
        <w:rPr>
          <w:rStyle w:val="FootnoteReference"/>
        </w:rPr>
        <w:footnoteReference w:id="106"/>
      </w:r>
      <w:r w:rsidR="00FE0534">
        <w:t xml:space="preserve"> If this criterion is not met, an individual who is otherwise affiliated with an armed group can be regarded as having protected civilian status and may be targeted with deadly force only if, and so long as, the individual is playing a direct part in the conduct of hostilities. States that are involved in the military action in both Iraq and </w:t>
      </w:r>
      <w:r w:rsidR="00051321">
        <w:t>the Syrian Arab Republic</w:t>
      </w:r>
      <w:r w:rsidR="00FE0534">
        <w:t>, including those States carrying out air</w:t>
      </w:r>
      <w:r w:rsidR="00850960">
        <w:t xml:space="preserve"> </w:t>
      </w:r>
      <w:r w:rsidR="00FE0534">
        <w:t>strikes, should disclose the criteria they adopt for direct participation in hostilities. This is critical to achieving transparency as to the forms of conduct that may expose</w:t>
      </w:r>
      <w:r w:rsidR="004E5A9B">
        <w:t xml:space="preserve"> </w:t>
      </w:r>
      <w:r w:rsidR="00FE0534">
        <w:t xml:space="preserve">civilians to deadly force, to evaluating whether any attack is lawful under international law, and for evaluating the number of civilian casualties resulting from an attack. </w:t>
      </w:r>
    </w:p>
    <w:p w:rsidR="00FE0534" w:rsidRDefault="00450324" w:rsidP="00450324">
      <w:pPr>
        <w:pStyle w:val="SingleTxtG"/>
      </w:pPr>
      <w:r>
        <w:t>54.</w:t>
      </w:r>
      <w:r>
        <w:tab/>
      </w:r>
      <w:r w:rsidR="00FE0534">
        <w:t>In Iraq, there have been numerous reports of civilian casualties in air</w:t>
      </w:r>
      <w:r w:rsidR="00850960">
        <w:t xml:space="preserve"> </w:t>
      </w:r>
      <w:r w:rsidR="00FE0534">
        <w:t>strikes and artillery operations attributed to Iraqi and associated forces, which raise serious questions as to the proportionality of those military operations.</w:t>
      </w:r>
      <w:r w:rsidR="00FE0534" w:rsidRPr="007C4BD4">
        <w:rPr>
          <w:rStyle w:val="FootnoteReference"/>
        </w:rPr>
        <w:footnoteReference w:id="107"/>
      </w:r>
      <w:r w:rsidR="00FE0534">
        <w:t xml:space="preserve"> In a welcome development, on 13</w:t>
      </w:r>
      <w:r w:rsidR="004219C7">
        <w:t> </w:t>
      </w:r>
      <w:r w:rsidR="00FE0534">
        <w:t xml:space="preserve">September 2014, the Prime Minister </w:t>
      </w:r>
      <w:r w:rsidR="00905997">
        <w:t xml:space="preserve">of Iraq </w:t>
      </w:r>
      <w:r w:rsidR="00FE0534">
        <w:t>ordered the Iraqi air force to suspend bombardments in civilian areas, including those controlled by ISIL, and expressed his commitment to protect</w:t>
      </w:r>
      <w:r w:rsidR="00344A68">
        <w:t>ing</w:t>
      </w:r>
      <w:r w:rsidR="00FE0534">
        <w:t xml:space="preserve"> civilians</w:t>
      </w:r>
      <w:r w:rsidR="004219C7">
        <w:t>.</w:t>
      </w:r>
      <w:r w:rsidR="00FE0534" w:rsidRPr="007C4BD4">
        <w:rPr>
          <w:rStyle w:val="FootnoteReference"/>
        </w:rPr>
        <w:footnoteReference w:id="108"/>
      </w:r>
      <w:r w:rsidR="004E5A9B">
        <w:t xml:space="preserve"> </w:t>
      </w:r>
      <w:r w:rsidR="00FE0534">
        <w:t xml:space="preserve">There are also confirmed instances in which Iraqi forces have dropped leaflets warning civilians to evacuate ISIL-controlled areas </w:t>
      </w:r>
      <w:r w:rsidR="007C49B0">
        <w:t xml:space="preserve">owing </w:t>
      </w:r>
      <w:r w:rsidR="00FE0534">
        <w:t>to impending military action.</w:t>
      </w:r>
    </w:p>
    <w:p w:rsidR="00FE0534" w:rsidRDefault="00450324" w:rsidP="00450324">
      <w:pPr>
        <w:pStyle w:val="SingleTxtG"/>
      </w:pPr>
      <w:r>
        <w:t>55.</w:t>
      </w:r>
      <w:r>
        <w:tab/>
      </w:r>
      <w:r w:rsidR="00FE0534">
        <w:t xml:space="preserve">In October 2013, the Government </w:t>
      </w:r>
      <w:r w:rsidR="00905997">
        <w:t xml:space="preserve">of the Syrian Arab Republic </w:t>
      </w:r>
      <w:r w:rsidR="00FE0534">
        <w:t>intensified its widespread and systematic attack against the civilian population of Aleppo for allegedly supporting or hosting armed groups.</w:t>
      </w:r>
      <w:r w:rsidR="004E5A9B">
        <w:t xml:space="preserve"> </w:t>
      </w:r>
      <w:r w:rsidR="00FE0534">
        <w:t xml:space="preserve">At the time of writing, </w:t>
      </w:r>
      <w:r w:rsidR="00905997">
        <w:t>g</w:t>
      </w:r>
      <w:r w:rsidR="00FE0534">
        <w:t>overnment forces were employing a similar strategy in Ar-Raqqah, the “capital” of ISIL, with apparent disregard for the principle of distinction.</w:t>
      </w:r>
      <w:r w:rsidR="00FE0534" w:rsidRPr="007C4BD4">
        <w:rPr>
          <w:rStyle w:val="FootnoteReference"/>
        </w:rPr>
        <w:footnoteReference w:id="109"/>
      </w:r>
      <w:r w:rsidR="004E5A9B">
        <w:t xml:space="preserve"> </w:t>
      </w:r>
      <w:r w:rsidR="00FE0534">
        <w:t>It has been reported that civilians were killed in indiscriminate and disproportionate attacks by the Government on ISIL-controlled areas of Aleppo, Ar-Raqqah, Dayr az-Zawr and Al-Hasakah governorates</w:t>
      </w:r>
      <w:r w:rsidR="001262C4">
        <w:t>.</w:t>
      </w:r>
      <w:r w:rsidR="00FE0534" w:rsidRPr="007C4BD4">
        <w:rPr>
          <w:rStyle w:val="FootnoteReference"/>
        </w:rPr>
        <w:footnoteReference w:id="110"/>
      </w:r>
      <w:r w:rsidR="00FE0534">
        <w:t xml:space="preserve"> On 18 October 2014, in Minbej (Aleppo), </w:t>
      </w:r>
      <w:r w:rsidR="006261FD">
        <w:t>g</w:t>
      </w:r>
      <w:r w:rsidR="00FE0534">
        <w:t xml:space="preserve">overnment forces reportedly hit a bakery, killing approximately 25 civilians. In </w:t>
      </w:r>
      <w:r w:rsidR="006261FD">
        <w:t xml:space="preserve">July 2014, in </w:t>
      </w:r>
      <w:r w:rsidR="00FE0534">
        <w:t>Al-Mayadin (Dayr az-Zawr), government air</w:t>
      </w:r>
      <w:r w:rsidR="00850960">
        <w:t xml:space="preserve"> </w:t>
      </w:r>
      <w:r w:rsidR="00FE0534">
        <w:t xml:space="preserve">strikes seemingly targeted a municipal building being used as an ISIL base, but also hit a market, killing 13 civilians. On 3 September 2014, in Al-Shula (Dayr az-Zawr), a </w:t>
      </w:r>
      <w:r w:rsidR="006261FD">
        <w:t>g</w:t>
      </w:r>
      <w:r w:rsidR="00FE0534">
        <w:t xml:space="preserve">overnment jet struck an ISIL checkpoint and reportedly killed 21 civilians, most of them children. </w:t>
      </w:r>
    </w:p>
    <w:p w:rsidR="00FE0534" w:rsidRDefault="00450324" w:rsidP="00450324">
      <w:pPr>
        <w:pStyle w:val="SingleTxtG"/>
      </w:pPr>
      <w:r>
        <w:t>56.</w:t>
      </w:r>
      <w:r>
        <w:tab/>
      </w:r>
      <w:r w:rsidR="00FE0534">
        <w:t xml:space="preserve">The coalition rarely cites casualty data, </w:t>
      </w:r>
      <w:r w:rsidR="007C49B0">
        <w:t>al</w:t>
      </w:r>
      <w:r w:rsidR="00FE0534">
        <w:t xml:space="preserve">though </w:t>
      </w:r>
      <w:r w:rsidR="006261FD">
        <w:t xml:space="preserve">the chief of the </w:t>
      </w:r>
      <w:r w:rsidR="00FE0534">
        <w:t xml:space="preserve">Air Force </w:t>
      </w:r>
      <w:r w:rsidR="006261FD">
        <w:t>of Jordan</w:t>
      </w:r>
      <w:r w:rsidR="00FE0534">
        <w:t xml:space="preserve"> estimated in February 2015 that the alliance had killed 7,000 ISIL militants</w:t>
      </w:r>
      <w:r w:rsidR="006261FD">
        <w:t>.</w:t>
      </w:r>
      <w:r w:rsidR="00FE0534" w:rsidRPr="007C4BD4">
        <w:rPr>
          <w:rStyle w:val="FootnoteReference"/>
        </w:rPr>
        <w:footnoteReference w:id="111"/>
      </w:r>
      <w:r w:rsidR="00FE0534">
        <w:t xml:space="preserve"> In contrast, the coalition has conceded no non-combatant deaths in seven months of air</w:t>
      </w:r>
      <w:r w:rsidR="00850960">
        <w:t xml:space="preserve"> </w:t>
      </w:r>
      <w:r w:rsidR="00FE0534">
        <w:t>strikes, despite clear indications to the contrary. Verification of fatalities remains difficult. That said</w:t>
      </w:r>
      <w:proofErr w:type="gramStart"/>
      <w:r w:rsidR="00FE0534">
        <w:t>,</w:t>
      </w:r>
      <w:proofErr w:type="gramEnd"/>
      <w:r w:rsidR="00FE0534">
        <w:t xml:space="preserve"> credible monitoring groups and media and social media sites in both Iraq and </w:t>
      </w:r>
      <w:r w:rsidR="00051321">
        <w:t>the Syrian Arab Republic</w:t>
      </w:r>
      <w:r w:rsidR="007C49B0">
        <w:t xml:space="preserve"> have recorded casualties</w:t>
      </w:r>
      <w:r w:rsidR="00FE0534">
        <w:t xml:space="preserve">. </w:t>
      </w:r>
      <w:r w:rsidR="007C49B0">
        <w:t>A p</w:t>
      </w:r>
      <w:r w:rsidR="00FE0534">
        <w:t xml:space="preserve">rovisional analysis by the not-for-profit </w:t>
      </w:r>
      <w:r w:rsidR="006261FD">
        <w:t xml:space="preserve">project </w:t>
      </w:r>
      <w:r w:rsidR="00FE0534">
        <w:t>Airwars.org indicates that an estimated 100 coalition air</w:t>
      </w:r>
      <w:r w:rsidR="00850960">
        <w:t xml:space="preserve"> </w:t>
      </w:r>
      <w:r w:rsidR="00FE0534">
        <w:t xml:space="preserve">strikes (out of more than 3,000) had been flagged for concern by </w:t>
      </w:r>
      <w:r w:rsidR="005F3B17">
        <w:t xml:space="preserve">27 </w:t>
      </w:r>
      <w:r w:rsidR="00FE0534">
        <w:t>March 2015.</w:t>
      </w:r>
      <w:r w:rsidR="004E5A9B">
        <w:t xml:space="preserve"> </w:t>
      </w:r>
      <w:r w:rsidR="007C49B0">
        <w:t>A</w:t>
      </w:r>
      <w:r w:rsidR="00FE0534">
        <w:t xml:space="preserve"> non-combatant death toll as high as 420, with over 100 additional claimed “friendly fire” fatalities</w:t>
      </w:r>
      <w:r w:rsidR="004F035A">
        <w:t>, were reported</w:t>
      </w:r>
      <w:r w:rsidR="00FE0534">
        <w:t>. These figures need to be treated with much caution</w:t>
      </w:r>
      <w:r w:rsidR="00344A68">
        <w:t xml:space="preserve"> as</w:t>
      </w:r>
      <w:r w:rsidR="00FE0534">
        <w:t xml:space="preserve"> many are single-source incidents, are poorly reported or are </w:t>
      </w:r>
      <w:r w:rsidR="004F035A">
        <w:t xml:space="preserve">linked to </w:t>
      </w:r>
      <w:r w:rsidR="00FE0534">
        <w:t>events in which the cause of death remains contested. Nevertheless, some cases are well-documented with eyewitness testimony</w:t>
      </w:r>
      <w:r w:rsidR="001905ED">
        <w:t>,</w:t>
      </w:r>
      <w:r w:rsidR="00FE0534">
        <w:t xml:space="preserve"> video and photographic evidence</w:t>
      </w:r>
      <w:r w:rsidR="001905ED">
        <w:t>,</w:t>
      </w:r>
      <w:r w:rsidR="00FE0534">
        <w:t xml:space="preserve"> missile fragments</w:t>
      </w:r>
      <w:r w:rsidR="001905ED">
        <w:t>,</w:t>
      </w:r>
      <w:r w:rsidR="00FE0534">
        <w:t xml:space="preserve"> named victims and/or confirmed coalition air</w:t>
      </w:r>
      <w:r w:rsidR="00850960">
        <w:t xml:space="preserve"> </w:t>
      </w:r>
      <w:r w:rsidR="00FE0534">
        <w:t>strikes at the location.</w:t>
      </w:r>
      <w:r w:rsidR="004E5A9B">
        <w:t xml:space="preserve"> </w:t>
      </w:r>
      <w:r w:rsidR="00FE0534">
        <w:t xml:space="preserve">According to </w:t>
      </w:r>
      <w:r w:rsidR="001905ED">
        <w:t>the United States Central Command</w:t>
      </w:r>
      <w:r w:rsidR="00FE0534">
        <w:t xml:space="preserve">, of </w:t>
      </w:r>
      <w:r w:rsidR="00344A68">
        <w:t xml:space="preserve">the </w:t>
      </w:r>
      <w:r w:rsidR="00FE0534">
        <w:t xml:space="preserve">38 incidents of concern it has examined, 34 have been discounted while </w:t>
      </w:r>
      <w:r w:rsidR="00FE0534">
        <w:rPr>
          <w:rFonts w:cs="Arial"/>
          <w:color w:val="222222"/>
        </w:rPr>
        <w:t>four civilian casualty allegations are currently being investigated in three separate investigations.</w:t>
      </w:r>
      <w:r w:rsidR="004E5A9B">
        <w:t xml:space="preserve"> </w:t>
      </w:r>
      <w:r w:rsidR="00FE0534">
        <w:t xml:space="preserve">Even so, </w:t>
      </w:r>
      <w:r w:rsidR="004F035A">
        <w:t>United States Central Command</w:t>
      </w:r>
      <w:r w:rsidR="004F035A" w:rsidDel="004F035A">
        <w:t xml:space="preserve"> </w:t>
      </w:r>
      <w:r w:rsidR="00FE0534">
        <w:t>continues to insist that “no non-combatant deaths from coalition air</w:t>
      </w:r>
      <w:r w:rsidR="00AB2073">
        <w:t xml:space="preserve"> </w:t>
      </w:r>
      <w:r w:rsidR="00FE0534">
        <w:t>strikes in either Iraq or Syria have officially been confirmed”.</w:t>
      </w:r>
      <w:r w:rsidR="00FE0534" w:rsidRPr="007C4BD4">
        <w:rPr>
          <w:rStyle w:val="FootnoteReference"/>
        </w:rPr>
        <w:footnoteReference w:id="112"/>
      </w:r>
      <w:r w:rsidR="00FE0534">
        <w:t xml:space="preserve"> This would appear highly questionable given the intensity of the air war and the accumulating evidence base. The </w:t>
      </w:r>
      <w:r w:rsidR="00046DA1">
        <w:t>Independent International</w:t>
      </w:r>
      <w:r w:rsidR="00FE0534">
        <w:t xml:space="preserve"> Commission of Inquiry on </w:t>
      </w:r>
      <w:r w:rsidR="00051321">
        <w:t>the Syrian Arab Republic</w:t>
      </w:r>
      <w:r w:rsidR="00FE0534">
        <w:t>, for example, first reported coalition-inflicted civilian casualties in November 2014.</w:t>
      </w:r>
      <w:r w:rsidR="00FE0534" w:rsidRPr="007C4BD4">
        <w:rPr>
          <w:rStyle w:val="FootnoteReference"/>
        </w:rPr>
        <w:footnoteReference w:id="113"/>
      </w:r>
    </w:p>
    <w:p w:rsidR="00FE0534" w:rsidRDefault="00450324" w:rsidP="00450324">
      <w:pPr>
        <w:pStyle w:val="SingleTxtG"/>
      </w:pPr>
      <w:r>
        <w:t>57.</w:t>
      </w:r>
      <w:r>
        <w:tab/>
      </w:r>
      <w:r w:rsidR="00FE0534">
        <w:t xml:space="preserve">There remains a significant absence of transparency with regard to coalition operations in both Iraq and </w:t>
      </w:r>
      <w:r w:rsidR="00051321">
        <w:t>the Syrian Arab Republic</w:t>
      </w:r>
      <w:r w:rsidR="00FE0534">
        <w:t>. Each nation participating in the air war operates under unique rules of engagement, and transparency levels differ significantly.</w:t>
      </w:r>
      <w:r w:rsidR="00FE0534" w:rsidRPr="007C4BD4">
        <w:rPr>
          <w:rStyle w:val="FootnoteReference"/>
        </w:rPr>
        <w:footnoteReference w:id="114"/>
      </w:r>
      <w:r w:rsidR="00FE0534">
        <w:t xml:space="preserve"> While the </w:t>
      </w:r>
      <w:r w:rsidR="001905ED">
        <w:t xml:space="preserve">United States </w:t>
      </w:r>
      <w:r w:rsidR="00FE0534">
        <w:t>and Canada routinely report the date and location of each strike, other nations only report weekly or monthly. In the case of Belgium and the Arab members of the coalition, no public reporting of any actions presently occurs. With air</w:t>
      </w:r>
      <w:r w:rsidR="00AB2073">
        <w:t xml:space="preserve"> </w:t>
      </w:r>
      <w:r w:rsidR="00FE0534">
        <w:t xml:space="preserve">strikes being carried out by multiple actors, including the Syrian and Iraqi air forces, as well as by </w:t>
      </w:r>
      <w:r w:rsidR="00D4707E">
        <w:t xml:space="preserve">the Islamic Republic of </w:t>
      </w:r>
      <w:r w:rsidR="00FE0534">
        <w:t xml:space="preserve">Iran </w:t>
      </w:r>
      <w:r w:rsidR="00290A24">
        <w:t>—</w:t>
      </w:r>
      <w:r w:rsidR="00FE0534">
        <w:t xml:space="preserve"> often at the same locations as coalition strikes </w:t>
      </w:r>
      <w:r w:rsidR="00290A24">
        <w:t>—</w:t>
      </w:r>
      <w:r w:rsidR="00FE0534">
        <w:t xml:space="preserve"> it remains impossible for affected civilians to know, in most circumstances, which </w:t>
      </w:r>
      <w:r w:rsidR="00D4707E">
        <w:t>S</w:t>
      </w:r>
      <w:r w:rsidR="00FE0534">
        <w:t xml:space="preserve">tate was responsible for an event, a concern noted by </w:t>
      </w:r>
      <w:r w:rsidR="00B86D4C">
        <w:t>the United Nations Assistance Mission for Iraq (</w:t>
      </w:r>
      <w:r w:rsidR="00FE0534">
        <w:rPr>
          <w:bCs/>
        </w:rPr>
        <w:t>UNAMI</w:t>
      </w:r>
      <w:r w:rsidR="00B86D4C">
        <w:rPr>
          <w:bCs/>
        </w:rPr>
        <w:t>)</w:t>
      </w:r>
      <w:r w:rsidR="00FE0534">
        <w:rPr>
          <w:bCs/>
        </w:rPr>
        <w:t>.</w:t>
      </w:r>
      <w:r w:rsidR="00FE0534" w:rsidRPr="007C4BD4">
        <w:rPr>
          <w:rStyle w:val="FootnoteReference"/>
        </w:rPr>
        <w:footnoteReference w:id="115"/>
      </w:r>
      <w:r w:rsidR="00FE0534">
        <w:rPr>
          <w:bCs/>
        </w:rPr>
        <w:t xml:space="preserve"> Transparency on the part of coalition States conducting these operations is therefore imperative.</w:t>
      </w:r>
    </w:p>
    <w:p w:rsidR="00FE0534" w:rsidRPr="00FD1185" w:rsidRDefault="00450324" w:rsidP="00450324">
      <w:pPr>
        <w:pStyle w:val="SingleTxtG"/>
        <w:rPr>
          <w:bCs/>
          <w:lang w:eastAsia="hi-IN" w:bidi="hi-IN"/>
        </w:rPr>
      </w:pPr>
      <w:r w:rsidRPr="00FD1185">
        <w:rPr>
          <w:bCs/>
          <w:lang w:eastAsia="hi-IN" w:bidi="hi-IN"/>
        </w:rPr>
        <w:t>58.</w:t>
      </w:r>
      <w:r w:rsidRPr="00FD1185">
        <w:rPr>
          <w:bCs/>
          <w:lang w:eastAsia="hi-IN" w:bidi="hi-IN"/>
        </w:rPr>
        <w:tab/>
      </w:r>
      <w:r w:rsidR="00FE0534">
        <w:t>The Special Rapporteur recalls that</w:t>
      </w:r>
      <w:r w:rsidR="004F035A">
        <w:t>,</w:t>
      </w:r>
      <w:r w:rsidR="00FE0534">
        <w:t xml:space="preserve"> in any case in which civilians have been, or appeared to have been, killed, the State responsible is under an obligation to conduct a prompt, independent and impartial fact-finding inquiry and to provide a detailed public explanation. This obligation is triggered whenever there is a plausible indication from any source that civilian casualties have been sustained, including where the facts are unclear or the information partial or circumstantial, and whether civilian casualties were anticipated or not</w:t>
      </w:r>
      <w:r w:rsidR="008A3D3E">
        <w:t>.</w:t>
      </w:r>
      <w:r w:rsidR="00FE0534" w:rsidRPr="007C4BD4">
        <w:rPr>
          <w:rStyle w:val="FootnoteReference"/>
        </w:rPr>
        <w:footnoteReference w:id="116"/>
      </w:r>
    </w:p>
    <w:p w:rsidR="00FE0534" w:rsidRDefault="00FE0534" w:rsidP="004F035A">
      <w:pPr>
        <w:pStyle w:val="H1G"/>
        <w:ind w:left="0" w:firstLine="0"/>
      </w:pPr>
      <w:r>
        <w:rPr>
          <w:lang w:eastAsia="hi-IN" w:bidi="hi-IN"/>
        </w:rPr>
        <w:tab/>
        <w:t>G.</w:t>
      </w:r>
      <w:r>
        <w:rPr>
          <w:lang w:eastAsia="hi-IN" w:bidi="hi-IN"/>
        </w:rPr>
        <w:tab/>
      </w:r>
      <w:r w:rsidR="004F035A">
        <w:rPr>
          <w:lang w:eastAsia="hi-IN" w:bidi="hi-IN"/>
        </w:rPr>
        <w:t>R</w:t>
      </w:r>
      <w:r>
        <w:rPr>
          <w:lang w:eastAsia="hi-IN" w:bidi="hi-IN"/>
        </w:rPr>
        <w:t>ole of the Security Council in authori</w:t>
      </w:r>
      <w:r w:rsidR="00D4707E">
        <w:rPr>
          <w:lang w:eastAsia="hi-IN" w:bidi="hi-IN"/>
        </w:rPr>
        <w:t>z</w:t>
      </w:r>
      <w:r>
        <w:rPr>
          <w:lang w:eastAsia="hi-IN" w:bidi="hi-IN"/>
        </w:rPr>
        <w:t>ing the use of force</w:t>
      </w:r>
    </w:p>
    <w:p w:rsidR="00FE0534" w:rsidRPr="00FD1185" w:rsidRDefault="00450324" w:rsidP="00780AE2">
      <w:pPr>
        <w:pStyle w:val="SingleTxtG"/>
      </w:pPr>
      <w:r w:rsidRPr="00FD1185">
        <w:t>59.</w:t>
      </w:r>
      <w:r w:rsidRPr="00FD1185">
        <w:tab/>
      </w:r>
      <w:r w:rsidR="00FE0534">
        <w:t>The actions of ISIL have undermined international peace and security, grossly and systematically abused the fundamental rights of civilians on a wide scale, gravely violated international humanitarian law and international human rights law and fractured the territorial integrity of two States.</w:t>
      </w:r>
      <w:r w:rsidR="004E5A9B">
        <w:t xml:space="preserve"> </w:t>
      </w:r>
      <w:r w:rsidR="00FE0534">
        <w:t>Nonethel</w:t>
      </w:r>
      <w:r w:rsidR="00D4707E">
        <w:t>e</w:t>
      </w:r>
      <w:r w:rsidR="00FE0534">
        <w:t xml:space="preserve">ss, </w:t>
      </w:r>
      <w:r w:rsidR="004F035A">
        <w:t xml:space="preserve">not all </w:t>
      </w:r>
      <w:r w:rsidR="00FE0534">
        <w:t xml:space="preserve">the permanent members of the Security Council </w:t>
      </w:r>
      <w:r w:rsidR="004F035A">
        <w:t xml:space="preserve">are </w:t>
      </w:r>
      <w:r w:rsidR="00FE0534">
        <w:t xml:space="preserve">in favour of </w:t>
      </w:r>
      <w:r w:rsidR="004F035A">
        <w:t xml:space="preserve">taking </w:t>
      </w:r>
      <w:r w:rsidR="00FE0534">
        <w:t xml:space="preserve">more robust military measures. As noted by the Secretary-General, the privileges of tenure and the veto power that </w:t>
      </w:r>
      <w:r w:rsidR="004F035A">
        <w:t xml:space="preserve">the </w:t>
      </w:r>
      <w:r w:rsidR="00FE0534">
        <w:t>permanent members of the Council have been granted under the Charter entail a particular responsibility to not employ their veto in situations of manifest failure to meet obligations relating to the responsibility to protect civilians</w:t>
      </w:r>
      <w:r w:rsidR="008A3D3E">
        <w:t>.</w:t>
      </w:r>
      <w:r w:rsidR="00FE0534" w:rsidRPr="007C4BD4">
        <w:rPr>
          <w:rStyle w:val="FootnoteReference"/>
        </w:rPr>
        <w:footnoteReference w:id="117"/>
      </w:r>
      <w:r w:rsidR="004E5A9B">
        <w:t xml:space="preserve"> </w:t>
      </w:r>
      <w:r w:rsidR="00FE0534">
        <w:t>The Special Rapporteur notes that</w:t>
      </w:r>
      <w:r w:rsidR="00D4707E">
        <w:t>,</w:t>
      </w:r>
      <w:r w:rsidR="00FE0534">
        <w:t xml:space="preserve"> </w:t>
      </w:r>
      <w:r w:rsidR="004F035A">
        <w:t xml:space="preserve">given </w:t>
      </w:r>
      <w:r w:rsidR="00FE0534">
        <w:t xml:space="preserve">the reports relating to the possible commission of acts of genocide, </w:t>
      </w:r>
      <w:r w:rsidR="004F035A">
        <w:t xml:space="preserve">Council </w:t>
      </w:r>
      <w:r w:rsidR="00D4707E">
        <w:t>m</w:t>
      </w:r>
      <w:r w:rsidR="00FE0534">
        <w:t>embers may have a more specific responsibility</w:t>
      </w:r>
      <w:r w:rsidR="00FE0534" w:rsidRPr="007C4BD4">
        <w:rPr>
          <w:rStyle w:val="FootnoteReference"/>
        </w:rPr>
        <w:footnoteReference w:id="118"/>
      </w:r>
      <w:r w:rsidR="00FE0534">
        <w:t xml:space="preserve"> </w:t>
      </w:r>
      <w:r w:rsidR="004F035A">
        <w:t>given that</w:t>
      </w:r>
      <w:r w:rsidR="00FE0534">
        <w:t xml:space="preserve"> they are all bound by the obligation to prevent this most serious of international crimes.</w:t>
      </w:r>
      <w:r w:rsidR="00FE0534" w:rsidRPr="007C4BD4">
        <w:rPr>
          <w:rStyle w:val="FootnoteReference"/>
        </w:rPr>
        <w:footnoteReference w:id="119"/>
      </w:r>
      <w:r w:rsidR="00FE0534">
        <w:t xml:space="preserve"> The Special Rapporteur notes with interest the broad support among many Member States, civil society g</w:t>
      </w:r>
      <w:r w:rsidR="00D4707E">
        <w:t>r</w:t>
      </w:r>
      <w:r w:rsidR="00FE0534">
        <w:t>oups and representatives of the United Nations for initiatives relating to a responsibility to refrain from using veto power</w:t>
      </w:r>
      <w:r w:rsidR="001F6D60">
        <w:t>s</w:t>
      </w:r>
      <w:r w:rsidR="00FE0534">
        <w:t xml:space="preserve"> to block action aimed at ending atrocity crimes.</w:t>
      </w:r>
      <w:r w:rsidR="004E5A9B">
        <w:t xml:space="preserve"> </w:t>
      </w:r>
    </w:p>
    <w:p w:rsidR="00FE0534" w:rsidRDefault="00FE0534" w:rsidP="00FE0534">
      <w:pPr>
        <w:pStyle w:val="HChG"/>
        <w:ind w:left="0" w:right="1267" w:firstLine="0"/>
        <w:rPr>
          <w:bCs/>
        </w:rPr>
      </w:pPr>
      <w:r>
        <w:rPr>
          <w:bCs/>
        </w:rPr>
        <w:tab/>
        <w:t>IV.</w:t>
      </w:r>
      <w:r>
        <w:rPr>
          <w:bCs/>
        </w:rPr>
        <w:tab/>
        <w:t>Conclusions and recommendations</w:t>
      </w:r>
    </w:p>
    <w:p w:rsidR="00FE0534" w:rsidRPr="00FD1185" w:rsidRDefault="00450324" w:rsidP="00450324">
      <w:pPr>
        <w:pStyle w:val="SingleTxtG"/>
      </w:pPr>
      <w:r w:rsidRPr="00FD1185">
        <w:t>60.</w:t>
      </w:r>
      <w:r w:rsidRPr="00FD1185">
        <w:tab/>
      </w:r>
      <w:r w:rsidR="00FE0534">
        <w:rPr>
          <w:b/>
          <w:bCs/>
        </w:rPr>
        <w:t xml:space="preserve">States are under an obligation to take measures to protect civilian populations from widespread and systematic acts of violence and terrorism. It is essential that any response be grounded in respect for international law, including international humanitarian law, international human rights law and refugee law. </w:t>
      </w:r>
    </w:p>
    <w:p w:rsidR="00FE0534" w:rsidRPr="00FD1185" w:rsidRDefault="00450324" w:rsidP="00450324">
      <w:pPr>
        <w:pStyle w:val="SingleTxtG"/>
      </w:pPr>
      <w:r w:rsidRPr="00FD1185">
        <w:t>61.</w:t>
      </w:r>
      <w:r w:rsidRPr="00FD1185">
        <w:tab/>
      </w:r>
      <w:r w:rsidR="00FE0534">
        <w:rPr>
          <w:b/>
          <w:bCs/>
        </w:rPr>
        <w:t xml:space="preserve">In </w:t>
      </w:r>
      <w:r w:rsidR="001F6D60">
        <w:rPr>
          <w:b/>
          <w:bCs/>
        </w:rPr>
        <w:t xml:space="preserve">the </w:t>
      </w:r>
      <w:r w:rsidR="00FE0534">
        <w:rPr>
          <w:b/>
          <w:bCs/>
        </w:rPr>
        <w:t xml:space="preserve">light of the grave international crimes and systematic human rights violations committed by ISIL forces in Iraq and </w:t>
      </w:r>
      <w:r w:rsidR="00051321">
        <w:rPr>
          <w:b/>
          <w:bCs/>
        </w:rPr>
        <w:t>the Syrian Arab Republic</w:t>
      </w:r>
      <w:r w:rsidR="00FE0534">
        <w:rPr>
          <w:b/>
          <w:bCs/>
        </w:rPr>
        <w:t>, the Special Rapporteur</w:t>
      </w:r>
      <w:r w:rsidR="00850232">
        <w:rPr>
          <w:b/>
          <w:bCs/>
        </w:rPr>
        <w:t>:</w:t>
      </w:r>
    </w:p>
    <w:p w:rsidR="00FE0534" w:rsidRPr="008F1C83" w:rsidRDefault="00FE0534" w:rsidP="00850232">
      <w:pPr>
        <w:pStyle w:val="Bullet1G"/>
        <w:numPr>
          <w:ilvl w:val="0"/>
          <w:numId w:val="0"/>
        </w:numPr>
        <w:ind w:left="1134" w:firstLine="567"/>
        <w:rPr>
          <w:b/>
        </w:rPr>
      </w:pPr>
      <w:r w:rsidRPr="00FD1185">
        <w:rPr>
          <w:bCs/>
        </w:rPr>
        <w:t>(a)</w:t>
      </w:r>
      <w:r w:rsidRPr="008F1C83">
        <w:rPr>
          <w:b/>
        </w:rPr>
        <w:tab/>
      </w:r>
      <w:r w:rsidR="001A61A3">
        <w:rPr>
          <w:b/>
        </w:rPr>
        <w:t>R</w:t>
      </w:r>
      <w:r w:rsidRPr="008F1C83">
        <w:rPr>
          <w:b/>
        </w:rPr>
        <w:t>ecommends to the Security Council that th</w:t>
      </w:r>
      <w:r w:rsidR="008F1C83" w:rsidRPr="008F1C83">
        <w:rPr>
          <w:b/>
        </w:rPr>
        <w:t xml:space="preserve">e situation in Iraq and </w:t>
      </w:r>
      <w:r w:rsidR="00051321">
        <w:rPr>
          <w:b/>
        </w:rPr>
        <w:t>the Syrian Arab Republic</w:t>
      </w:r>
      <w:r w:rsidR="008F1C83" w:rsidRPr="008F1C83">
        <w:rPr>
          <w:b/>
        </w:rPr>
        <w:t xml:space="preserve"> </w:t>
      </w:r>
      <w:r w:rsidRPr="008F1C83">
        <w:rPr>
          <w:b/>
        </w:rPr>
        <w:t>be referred to the I</w:t>
      </w:r>
      <w:r w:rsidR="00850232">
        <w:rPr>
          <w:b/>
        </w:rPr>
        <w:t xml:space="preserve">nternational </w:t>
      </w:r>
      <w:r w:rsidRPr="008F1C83">
        <w:rPr>
          <w:b/>
        </w:rPr>
        <w:t>C</w:t>
      </w:r>
      <w:r w:rsidR="00850232">
        <w:rPr>
          <w:b/>
        </w:rPr>
        <w:t xml:space="preserve">riminal </w:t>
      </w:r>
      <w:r w:rsidRPr="008F1C83">
        <w:rPr>
          <w:b/>
        </w:rPr>
        <w:t>C</w:t>
      </w:r>
      <w:r w:rsidR="00850232">
        <w:rPr>
          <w:b/>
        </w:rPr>
        <w:t>ourt</w:t>
      </w:r>
      <w:r w:rsidRPr="008F1C83">
        <w:rPr>
          <w:b/>
        </w:rPr>
        <w:t xml:space="preserve"> as a matter of urgen</w:t>
      </w:r>
      <w:r w:rsidR="008F1C83" w:rsidRPr="008F1C83">
        <w:rPr>
          <w:b/>
        </w:rPr>
        <w:t>cy</w:t>
      </w:r>
      <w:r w:rsidR="00850232">
        <w:rPr>
          <w:b/>
        </w:rPr>
        <w:t>,</w:t>
      </w:r>
      <w:r w:rsidR="008F1C83" w:rsidRPr="008F1C83">
        <w:rPr>
          <w:b/>
        </w:rPr>
        <w:t xml:space="preserve"> or that an ad hoc tribunal </w:t>
      </w:r>
      <w:r w:rsidRPr="008F1C83">
        <w:rPr>
          <w:b/>
        </w:rPr>
        <w:t>be established promptly to try those responsible;</w:t>
      </w:r>
    </w:p>
    <w:p w:rsidR="00FE0534" w:rsidRPr="008F1C83" w:rsidRDefault="00FE0534" w:rsidP="004F035A">
      <w:pPr>
        <w:pStyle w:val="Bullet1G"/>
        <w:numPr>
          <w:ilvl w:val="0"/>
          <w:numId w:val="0"/>
        </w:numPr>
        <w:ind w:left="1134" w:firstLine="567"/>
        <w:rPr>
          <w:b/>
        </w:rPr>
      </w:pPr>
      <w:r w:rsidRPr="00FD1185">
        <w:rPr>
          <w:bCs/>
        </w:rPr>
        <w:t>(</w:t>
      </w:r>
      <w:proofErr w:type="gramStart"/>
      <w:r w:rsidRPr="00FD1185">
        <w:rPr>
          <w:bCs/>
        </w:rPr>
        <w:t>b</w:t>
      </w:r>
      <w:proofErr w:type="gramEnd"/>
      <w:r w:rsidRPr="00FD1185">
        <w:rPr>
          <w:bCs/>
        </w:rPr>
        <w:t>)</w:t>
      </w:r>
      <w:r w:rsidRPr="008F1C83">
        <w:rPr>
          <w:b/>
        </w:rPr>
        <w:tab/>
      </w:r>
      <w:r w:rsidR="001A61A3">
        <w:rPr>
          <w:b/>
        </w:rPr>
        <w:t>C</w:t>
      </w:r>
      <w:r w:rsidRPr="008F1C83">
        <w:rPr>
          <w:b/>
        </w:rPr>
        <w:t xml:space="preserve">alls on Iraq and </w:t>
      </w:r>
      <w:r w:rsidR="00051321">
        <w:rPr>
          <w:b/>
        </w:rPr>
        <w:t>the Syrian Arab Republic</w:t>
      </w:r>
      <w:r w:rsidRPr="008F1C83">
        <w:rPr>
          <w:b/>
        </w:rPr>
        <w:t xml:space="preserve"> to become part</w:t>
      </w:r>
      <w:r w:rsidR="008F1C83" w:rsidRPr="008F1C83">
        <w:rPr>
          <w:b/>
        </w:rPr>
        <w:t xml:space="preserve">ies to the Rome Statute and </w:t>
      </w:r>
      <w:r w:rsidRPr="008F1C83">
        <w:rPr>
          <w:b/>
        </w:rPr>
        <w:t xml:space="preserve">to accept the jurisdiction of the </w:t>
      </w:r>
      <w:r w:rsidR="009A73CC" w:rsidRPr="008F1C83">
        <w:rPr>
          <w:b/>
        </w:rPr>
        <w:t>I</w:t>
      </w:r>
      <w:r w:rsidR="009A73CC">
        <w:rPr>
          <w:b/>
        </w:rPr>
        <w:t xml:space="preserve">nternational </w:t>
      </w:r>
      <w:r w:rsidR="009A73CC" w:rsidRPr="008F1C83">
        <w:rPr>
          <w:b/>
        </w:rPr>
        <w:t>C</w:t>
      </w:r>
      <w:r w:rsidR="009A73CC">
        <w:rPr>
          <w:b/>
        </w:rPr>
        <w:t xml:space="preserve">riminal </w:t>
      </w:r>
      <w:r w:rsidR="004F035A">
        <w:rPr>
          <w:b/>
        </w:rPr>
        <w:t>Court</w:t>
      </w:r>
      <w:r w:rsidR="004F035A" w:rsidRPr="008F1C83">
        <w:rPr>
          <w:b/>
        </w:rPr>
        <w:t xml:space="preserve"> </w:t>
      </w:r>
      <w:r w:rsidRPr="008F1C83">
        <w:rPr>
          <w:b/>
        </w:rPr>
        <w:t>over the current situation;</w:t>
      </w:r>
    </w:p>
    <w:p w:rsidR="00FE0534" w:rsidRPr="008F1C83" w:rsidRDefault="00FE0534" w:rsidP="004F035A">
      <w:pPr>
        <w:pStyle w:val="Bullet1G"/>
        <w:numPr>
          <w:ilvl w:val="0"/>
          <w:numId w:val="0"/>
        </w:numPr>
        <w:ind w:left="1134" w:firstLine="567"/>
        <w:rPr>
          <w:b/>
        </w:rPr>
      </w:pPr>
      <w:r w:rsidRPr="00FD1185">
        <w:rPr>
          <w:bCs/>
        </w:rPr>
        <w:t>(c)</w:t>
      </w:r>
      <w:r w:rsidRPr="008F1C83">
        <w:rPr>
          <w:b/>
        </w:rPr>
        <w:tab/>
      </w:r>
      <w:r w:rsidR="001A61A3">
        <w:rPr>
          <w:b/>
        </w:rPr>
        <w:t>R</w:t>
      </w:r>
      <w:r w:rsidRPr="008F1C83">
        <w:rPr>
          <w:b/>
        </w:rPr>
        <w:t>ecommends that States pr</w:t>
      </w:r>
      <w:r w:rsidR="008F1C83" w:rsidRPr="008F1C83">
        <w:rPr>
          <w:b/>
        </w:rPr>
        <w:t xml:space="preserve">osecute individuals who have </w:t>
      </w:r>
      <w:r w:rsidRPr="008F1C83">
        <w:rPr>
          <w:b/>
        </w:rPr>
        <w:t xml:space="preserve">committed such crimes where they are able to exercise jurisdiction. </w:t>
      </w:r>
    </w:p>
    <w:p w:rsidR="00FE0534" w:rsidRPr="00FD1185" w:rsidRDefault="00450324" w:rsidP="00450324">
      <w:pPr>
        <w:pStyle w:val="SingleTxtG"/>
      </w:pPr>
      <w:r w:rsidRPr="00FD1185">
        <w:t>62.</w:t>
      </w:r>
      <w:r w:rsidRPr="00FD1185">
        <w:tab/>
      </w:r>
      <w:r w:rsidR="00FE0534">
        <w:rPr>
          <w:b/>
          <w:bCs/>
        </w:rPr>
        <w:t xml:space="preserve">States must ensure that all the measures they adopt at </w:t>
      </w:r>
      <w:r w:rsidR="00850232">
        <w:rPr>
          <w:b/>
          <w:bCs/>
        </w:rPr>
        <w:t xml:space="preserve">the </w:t>
      </w:r>
      <w:r w:rsidR="00FE0534">
        <w:rPr>
          <w:b/>
          <w:bCs/>
        </w:rPr>
        <w:t xml:space="preserve">national level to address the threat </w:t>
      </w:r>
      <w:r w:rsidR="004F035A">
        <w:rPr>
          <w:b/>
          <w:bCs/>
        </w:rPr>
        <w:t xml:space="preserve">posed </w:t>
      </w:r>
      <w:r w:rsidR="00FE0534">
        <w:rPr>
          <w:b/>
          <w:bCs/>
        </w:rPr>
        <w:t>by ISIL and other such groups, including measures taken to implement Security Council resolution 2178 (2014), fully comply with their obligations under international human rights law</w:t>
      </w:r>
      <w:r w:rsidR="00850232">
        <w:rPr>
          <w:b/>
          <w:bCs/>
        </w:rPr>
        <w:t>,</w:t>
      </w:r>
      <w:r w:rsidR="00FE0534">
        <w:rPr>
          <w:b/>
          <w:bCs/>
        </w:rPr>
        <w:t xml:space="preserve"> as outlined in the present report. </w:t>
      </w:r>
    </w:p>
    <w:p w:rsidR="00FE0534" w:rsidRPr="00FD1185" w:rsidRDefault="00450324" w:rsidP="00450324">
      <w:pPr>
        <w:pStyle w:val="SingleTxtG"/>
        <w:rPr>
          <w:lang w:eastAsia="hi-IN" w:bidi="hi-IN"/>
        </w:rPr>
      </w:pPr>
      <w:r w:rsidRPr="00FD1185">
        <w:rPr>
          <w:lang w:eastAsia="hi-IN" w:bidi="hi-IN"/>
        </w:rPr>
        <w:t>63.</w:t>
      </w:r>
      <w:r w:rsidRPr="00FD1185">
        <w:rPr>
          <w:lang w:eastAsia="hi-IN" w:bidi="hi-IN"/>
        </w:rPr>
        <w:tab/>
      </w:r>
      <w:r w:rsidR="00FE0534">
        <w:rPr>
          <w:b/>
          <w:bCs/>
        </w:rPr>
        <w:t xml:space="preserve">All States engaged in military action against ISIL in Iraq and </w:t>
      </w:r>
      <w:r w:rsidR="00051321">
        <w:rPr>
          <w:b/>
          <w:bCs/>
        </w:rPr>
        <w:t>the Syrian Arab Republic</w:t>
      </w:r>
      <w:r w:rsidR="00FE0534">
        <w:rPr>
          <w:b/>
          <w:bCs/>
        </w:rPr>
        <w:t xml:space="preserve"> are under an obligation to conduct prompt, independent and impartial fact-finding inquiries in any case where there is a plausible indication that civilian casualties have been sustained, and to make public the results.</w:t>
      </w:r>
    </w:p>
    <w:p w:rsidR="005C3701" w:rsidRPr="00FD1185" w:rsidRDefault="005C3701" w:rsidP="00FD1185">
      <w:pPr>
        <w:spacing w:before="240"/>
        <w:ind w:left="1134" w:right="1134"/>
        <w:jc w:val="center"/>
        <w:rPr>
          <w:u w:val="single"/>
          <w:lang w:eastAsia="hi-IN" w:bidi="hi-IN"/>
        </w:rPr>
      </w:pPr>
      <w:r>
        <w:rPr>
          <w:u w:val="single"/>
          <w:lang w:eastAsia="hi-IN" w:bidi="hi-IN"/>
        </w:rPr>
        <w:tab/>
      </w:r>
      <w:r>
        <w:rPr>
          <w:u w:val="single"/>
          <w:lang w:eastAsia="hi-IN" w:bidi="hi-IN"/>
        </w:rPr>
        <w:tab/>
      </w:r>
      <w:r>
        <w:rPr>
          <w:u w:val="single"/>
          <w:lang w:eastAsia="hi-IN" w:bidi="hi-IN"/>
        </w:rPr>
        <w:tab/>
      </w:r>
    </w:p>
    <w:sectPr w:rsidR="005C3701" w:rsidRPr="00FD1185" w:rsidSect="009D3206">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DD" w:rsidRDefault="002216DD"/>
  </w:endnote>
  <w:endnote w:type="continuationSeparator" w:id="0">
    <w:p w:rsidR="002216DD" w:rsidRDefault="002216DD"/>
  </w:endnote>
  <w:endnote w:type="continuationNotice" w:id="1">
    <w:p w:rsidR="002216DD" w:rsidRDefault="00221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6F" w:rsidRPr="00F55DCC" w:rsidRDefault="00722D6F" w:rsidP="00F55DCC">
    <w:pPr>
      <w:pStyle w:val="Footer"/>
      <w:tabs>
        <w:tab w:val="right" w:pos="9638"/>
      </w:tabs>
    </w:pPr>
    <w:r w:rsidRPr="00F55DCC">
      <w:rPr>
        <w:b/>
        <w:sz w:val="18"/>
      </w:rPr>
      <w:fldChar w:fldCharType="begin"/>
    </w:r>
    <w:r w:rsidRPr="00F55DCC">
      <w:rPr>
        <w:b/>
        <w:sz w:val="18"/>
      </w:rPr>
      <w:instrText xml:space="preserve"> PAGE  \* MERGEFORMAT </w:instrText>
    </w:r>
    <w:r w:rsidRPr="00F55DCC">
      <w:rPr>
        <w:b/>
        <w:sz w:val="18"/>
      </w:rPr>
      <w:fldChar w:fldCharType="separate"/>
    </w:r>
    <w:r w:rsidR="007004A6">
      <w:rPr>
        <w:b/>
        <w:noProof/>
        <w:sz w:val="18"/>
      </w:rPr>
      <w:t>20</w:t>
    </w:r>
    <w:r w:rsidRPr="00F55D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6F" w:rsidRPr="00F55DCC" w:rsidRDefault="00722D6F" w:rsidP="00F55DCC">
    <w:pPr>
      <w:pStyle w:val="Footer"/>
      <w:tabs>
        <w:tab w:val="right" w:pos="9638"/>
      </w:tabs>
      <w:rPr>
        <w:b/>
        <w:sz w:val="18"/>
      </w:rPr>
    </w:pPr>
    <w:r>
      <w:tab/>
    </w:r>
    <w:r w:rsidRPr="00F55DCC">
      <w:rPr>
        <w:b/>
        <w:sz w:val="18"/>
      </w:rPr>
      <w:fldChar w:fldCharType="begin"/>
    </w:r>
    <w:r w:rsidRPr="00F55DCC">
      <w:rPr>
        <w:b/>
        <w:sz w:val="18"/>
      </w:rPr>
      <w:instrText xml:space="preserve"> PAGE  \* MERGEFORMAT </w:instrText>
    </w:r>
    <w:r w:rsidRPr="00F55DCC">
      <w:rPr>
        <w:b/>
        <w:sz w:val="18"/>
      </w:rPr>
      <w:fldChar w:fldCharType="separate"/>
    </w:r>
    <w:r w:rsidR="007004A6">
      <w:rPr>
        <w:b/>
        <w:noProof/>
        <w:sz w:val="18"/>
      </w:rPr>
      <w:t>19</w:t>
    </w:r>
    <w:r w:rsidRPr="00F55D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6F" w:rsidRPr="00F55DCC" w:rsidRDefault="000A04C0" w:rsidP="00542574">
    <w:r>
      <w:rPr>
        <w:noProof/>
        <w:lang w:eastAsia="en-GB"/>
      </w:rPr>
      <w:drawing>
        <wp:anchor distT="0" distB="0" distL="114300" distR="114300" simplePos="0" relativeHeight="251657728" behindDoc="0" locked="1" layoutInCell="1" allowOverlap="1">
          <wp:simplePos x="0" y="0"/>
          <wp:positionH relativeFrom="column">
            <wp:posOffset>5180330</wp:posOffset>
          </wp:positionH>
          <wp:positionV relativeFrom="paragraph">
            <wp:posOffset>-92075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722D6F">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DD" w:rsidRPr="000B175B" w:rsidRDefault="002216DD" w:rsidP="000B175B">
      <w:pPr>
        <w:tabs>
          <w:tab w:val="right" w:pos="2155"/>
        </w:tabs>
        <w:spacing w:after="80"/>
        <w:ind w:left="680"/>
        <w:rPr>
          <w:u w:val="single"/>
        </w:rPr>
      </w:pPr>
      <w:r>
        <w:rPr>
          <w:u w:val="single"/>
        </w:rPr>
        <w:tab/>
      </w:r>
    </w:p>
  </w:footnote>
  <w:footnote w:type="continuationSeparator" w:id="0">
    <w:p w:rsidR="002216DD" w:rsidRPr="00FC68B7" w:rsidRDefault="002216DD" w:rsidP="00FC68B7">
      <w:pPr>
        <w:tabs>
          <w:tab w:val="left" w:pos="2155"/>
        </w:tabs>
        <w:spacing w:after="80"/>
        <w:ind w:left="680"/>
        <w:rPr>
          <w:u w:val="single"/>
        </w:rPr>
      </w:pPr>
      <w:r>
        <w:rPr>
          <w:u w:val="single"/>
        </w:rPr>
        <w:tab/>
      </w:r>
    </w:p>
  </w:footnote>
  <w:footnote w:type="continuationNotice" w:id="1">
    <w:p w:rsidR="002216DD" w:rsidRDefault="002216DD"/>
  </w:footnote>
  <w:footnote w:id="2">
    <w:p w:rsidR="00722D6F" w:rsidRPr="001D3BCC" w:rsidRDefault="00722D6F">
      <w:pPr>
        <w:pStyle w:val="FootnoteText"/>
        <w:rPr>
          <w:lang w:val="en-GB"/>
        </w:rPr>
      </w:pPr>
      <w:r>
        <w:rPr>
          <w:lang w:val="en-GB"/>
        </w:rPr>
        <w:tab/>
      </w:r>
      <w:r w:rsidRPr="000A04C0">
        <w:rPr>
          <w:rStyle w:val="FootnoteReference"/>
          <w:sz w:val="20"/>
        </w:rPr>
        <w:t>*</w:t>
      </w:r>
      <w:r>
        <w:rPr>
          <w:lang w:val="en-GB"/>
        </w:rPr>
        <w:tab/>
      </w:r>
      <w:proofErr w:type="gramStart"/>
      <w:r>
        <w:rPr>
          <w:lang w:val="en-GB"/>
        </w:rPr>
        <w:t>Late submission.</w:t>
      </w:r>
      <w:proofErr w:type="gramEnd"/>
    </w:p>
  </w:footnote>
  <w:footnote w:id="3">
    <w:p w:rsidR="00722D6F" w:rsidRDefault="00722D6F" w:rsidP="00E71CB6">
      <w:pPr>
        <w:pStyle w:val="FootnoteText"/>
      </w:pPr>
      <w:r>
        <w:rPr>
          <w:lang w:val="en-GB"/>
        </w:rPr>
        <w:tab/>
      </w:r>
      <w:r w:rsidRPr="007C4BD4">
        <w:rPr>
          <w:rStyle w:val="FootnoteReference"/>
        </w:rPr>
        <w:footnoteRef/>
      </w:r>
      <w:r>
        <w:rPr>
          <w:lang w:val="en-GB"/>
        </w:rPr>
        <w:tab/>
        <w:t>See the r</w:t>
      </w:r>
      <w:r>
        <w:t xml:space="preserve">eport of the Independent International Commission of Inquiry on the Syrian Arab Republic entitled “Rule of terror: living under ISIS in Syria”, para. 5. </w:t>
      </w:r>
    </w:p>
  </w:footnote>
  <w:footnote w:id="4">
    <w:p w:rsidR="00722D6F" w:rsidRDefault="00722D6F" w:rsidP="00EB2C69">
      <w:pPr>
        <w:pStyle w:val="FootnoteText"/>
      </w:pPr>
      <w:r>
        <w:rPr>
          <w:lang w:val="en-GB"/>
        </w:rPr>
        <w:tab/>
      </w:r>
      <w:r w:rsidRPr="007C4BD4">
        <w:rPr>
          <w:rStyle w:val="FootnoteReference"/>
        </w:rPr>
        <w:footnoteRef/>
      </w:r>
      <w:r>
        <w:rPr>
          <w:lang w:val="en-GB"/>
        </w:rPr>
        <w:tab/>
        <w:t>See the r</w:t>
      </w:r>
      <w:r>
        <w:t>eport of the Office of the United Nations High Commissioner for Human Rights on the human rights situation in Iraq in the light of the abuses committed by the so-called Islamic State in Iraq and the Levant and associated groups (A/HRC/28/18), para. 2.</w:t>
      </w:r>
    </w:p>
  </w:footnote>
  <w:footnote w:id="5">
    <w:p w:rsidR="00722D6F" w:rsidRDefault="00722D6F" w:rsidP="008C2FF2">
      <w:pPr>
        <w:pStyle w:val="FootnoteText"/>
      </w:pPr>
      <w:r>
        <w:rPr>
          <w:lang w:val="en-GB"/>
        </w:rPr>
        <w:tab/>
      </w:r>
      <w:r w:rsidRPr="007C4BD4">
        <w:rPr>
          <w:rStyle w:val="FootnoteReference"/>
        </w:rPr>
        <w:footnoteRef/>
      </w:r>
      <w:r>
        <w:tab/>
        <w:t>The Special Rapporteur wishes to express his sincere thanks to Anne Charbord, Senior Legal Adviser to the Special Rapporteur on the promotion and protection of human rights while countering terrorism, for her contribution to the preparation of the present report; and to Chris Woods, who contributed factual research for the present report.</w:t>
      </w:r>
    </w:p>
  </w:footnote>
  <w:footnote w:id="6">
    <w:p w:rsidR="00722D6F" w:rsidRPr="00FE0534" w:rsidRDefault="00722D6F" w:rsidP="00ED3C14">
      <w:pPr>
        <w:pStyle w:val="FootnoteText"/>
        <w:rPr>
          <w:lang w:val="en-GB"/>
        </w:rPr>
      </w:pPr>
      <w:r>
        <w:rPr>
          <w:lang w:val="en-GB"/>
        </w:rPr>
        <w:tab/>
      </w:r>
      <w:r w:rsidRPr="007C4BD4">
        <w:rPr>
          <w:rStyle w:val="FootnoteReference"/>
        </w:rPr>
        <w:footnoteRef/>
      </w:r>
      <w:r>
        <w:rPr>
          <w:lang w:val="en-GB"/>
        </w:rPr>
        <w:tab/>
        <w:t xml:space="preserve">See </w:t>
      </w:r>
      <w:r w:rsidRPr="00B86D4C">
        <w:rPr>
          <w:lang w:val="en-GB"/>
        </w:rPr>
        <w:t>“Rule of terror”, para.</w:t>
      </w:r>
      <w:r>
        <w:rPr>
          <w:lang w:val="en-GB"/>
        </w:rPr>
        <w:t> </w:t>
      </w:r>
      <w:r w:rsidRPr="00FE0534">
        <w:rPr>
          <w:lang w:val="en-GB"/>
        </w:rPr>
        <w:t xml:space="preserve">5; </w:t>
      </w:r>
      <w:r w:rsidRPr="00B86D4C">
        <w:rPr>
          <w:lang w:val="en-GB"/>
        </w:rPr>
        <w:t>United Nations Assistance Mission for Iraq</w:t>
      </w:r>
      <w:r>
        <w:rPr>
          <w:lang w:val="en-GB"/>
        </w:rPr>
        <w:t xml:space="preserve"> (</w:t>
      </w:r>
      <w:r w:rsidRPr="00FE0534">
        <w:rPr>
          <w:lang w:val="en-GB"/>
        </w:rPr>
        <w:t>UNAMI</w:t>
      </w:r>
      <w:r>
        <w:rPr>
          <w:lang w:val="en-GB"/>
        </w:rPr>
        <w:t>)</w:t>
      </w:r>
      <w:r w:rsidRPr="00FE0534">
        <w:rPr>
          <w:lang w:val="en-GB"/>
        </w:rPr>
        <w:t xml:space="preserve">/OHCHR, </w:t>
      </w:r>
      <w:r>
        <w:rPr>
          <w:lang w:val="en-GB"/>
        </w:rPr>
        <w:t>“</w:t>
      </w:r>
      <w:r w:rsidRPr="00FE0534">
        <w:rPr>
          <w:lang w:val="en-GB"/>
        </w:rPr>
        <w:t xml:space="preserve">Report on the </w:t>
      </w:r>
      <w:r>
        <w:rPr>
          <w:lang w:val="en-GB"/>
        </w:rPr>
        <w:t>P</w:t>
      </w:r>
      <w:r w:rsidRPr="00FE0534">
        <w:rPr>
          <w:lang w:val="en-GB"/>
        </w:rPr>
        <w:t xml:space="preserve">rotection of Civilians in the </w:t>
      </w:r>
      <w:r>
        <w:rPr>
          <w:lang w:val="en-GB"/>
        </w:rPr>
        <w:t xml:space="preserve">Non International </w:t>
      </w:r>
      <w:r w:rsidRPr="00FE0534">
        <w:rPr>
          <w:lang w:val="en-GB"/>
        </w:rPr>
        <w:t>Armed Conflict in Iraq: 5 June–5 July 2014</w:t>
      </w:r>
      <w:r>
        <w:rPr>
          <w:lang w:val="en-GB"/>
        </w:rPr>
        <w:t>”</w:t>
      </w:r>
      <w:r w:rsidRPr="00FE0534">
        <w:rPr>
          <w:lang w:val="en-GB"/>
        </w:rPr>
        <w:t>, footnote 3</w:t>
      </w:r>
      <w:r w:rsidRPr="0068349C">
        <w:rPr>
          <w:lang w:val="en-GB"/>
        </w:rPr>
        <w:t xml:space="preserve">; </w:t>
      </w:r>
      <w:r w:rsidRPr="007E5951">
        <w:rPr>
          <w:lang w:val="en-GB"/>
        </w:rPr>
        <w:t>Report of the Analytical Support and Sanctions Monitoring Team on The Islamic State in Iraq and the Levant (S/2014/815</w:t>
      </w:r>
      <w:r>
        <w:rPr>
          <w:lang w:val="en-GB"/>
        </w:rPr>
        <w:t>)</w:t>
      </w:r>
      <w:r w:rsidRPr="007E5951">
        <w:rPr>
          <w:lang w:val="en-GB"/>
        </w:rPr>
        <w:t xml:space="preserve">, </w:t>
      </w:r>
      <w:r w:rsidRPr="0068349C">
        <w:rPr>
          <w:lang w:val="en-GB"/>
        </w:rPr>
        <w:t>paras. 1</w:t>
      </w:r>
      <w:r>
        <w:rPr>
          <w:lang w:val="en-GB"/>
        </w:rPr>
        <w:t>–</w:t>
      </w:r>
      <w:r w:rsidRPr="0068349C">
        <w:rPr>
          <w:lang w:val="en-GB"/>
        </w:rPr>
        <w:t>2, 6</w:t>
      </w:r>
      <w:r>
        <w:rPr>
          <w:lang w:val="en-GB"/>
        </w:rPr>
        <w:t>–</w:t>
      </w:r>
      <w:r w:rsidRPr="0068349C">
        <w:rPr>
          <w:lang w:val="en-GB"/>
        </w:rPr>
        <w:t>8 and 11</w:t>
      </w:r>
      <w:r>
        <w:rPr>
          <w:lang w:val="en-GB"/>
        </w:rPr>
        <w:t>–</w:t>
      </w:r>
      <w:r w:rsidRPr="0068349C">
        <w:rPr>
          <w:lang w:val="en-GB"/>
        </w:rPr>
        <w:t>17.</w:t>
      </w:r>
      <w:r w:rsidRPr="00FE0534">
        <w:rPr>
          <w:lang w:val="en-GB"/>
        </w:rPr>
        <w:t xml:space="preserve"> See also Patrick</w:t>
      </w:r>
      <w:r>
        <w:rPr>
          <w:lang w:val="en-GB"/>
        </w:rPr>
        <w:t> </w:t>
      </w:r>
      <w:r w:rsidRPr="00FE0534">
        <w:rPr>
          <w:lang w:val="en-GB"/>
        </w:rPr>
        <w:t xml:space="preserve">Cockburn, </w:t>
      </w:r>
      <w:r w:rsidRPr="00450324">
        <w:rPr>
          <w:i/>
          <w:iCs/>
          <w:lang w:val="en-GB"/>
        </w:rPr>
        <w:t xml:space="preserve">The </w:t>
      </w:r>
      <w:r>
        <w:rPr>
          <w:i/>
          <w:iCs/>
          <w:lang w:val="en-GB"/>
        </w:rPr>
        <w:t>R</w:t>
      </w:r>
      <w:r w:rsidRPr="00450324">
        <w:rPr>
          <w:i/>
          <w:iCs/>
          <w:lang w:val="en-GB"/>
        </w:rPr>
        <w:t>ise of Islamic State</w:t>
      </w:r>
      <w:r>
        <w:rPr>
          <w:i/>
          <w:iCs/>
          <w:lang w:val="en-GB"/>
        </w:rPr>
        <w:t>:</w:t>
      </w:r>
      <w:r w:rsidRPr="00450324">
        <w:rPr>
          <w:i/>
          <w:iCs/>
          <w:lang w:val="en-GB"/>
        </w:rPr>
        <w:t xml:space="preserve"> ISIS and the New Sunni Revolution</w:t>
      </w:r>
      <w:r w:rsidRPr="00FE0534">
        <w:rPr>
          <w:lang w:val="en-GB"/>
        </w:rPr>
        <w:t xml:space="preserve"> </w:t>
      </w:r>
      <w:r>
        <w:rPr>
          <w:lang w:val="en-GB"/>
        </w:rPr>
        <w:t xml:space="preserve">(London and New York, </w:t>
      </w:r>
      <w:r w:rsidRPr="00FE0534">
        <w:rPr>
          <w:lang w:val="en-GB"/>
        </w:rPr>
        <w:t>Verso Books, 2015</w:t>
      </w:r>
      <w:r>
        <w:rPr>
          <w:lang w:val="en-GB"/>
        </w:rPr>
        <w:t>)</w:t>
      </w:r>
      <w:r w:rsidRPr="00FE0534">
        <w:rPr>
          <w:lang w:val="en-GB"/>
        </w:rPr>
        <w:t xml:space="preserve">; </w:t>
      </w:r>
      <w:r w:rsidR="00756233">
        <w:rPr>
          <w:lang w:val="en-GB"/>
        </w:rPr>
        <w:t xml:space="preserve">and </w:t>
      </w:r>
      <w:r w:rsidRPr="00FE0534">
        <w:rPr>
          <w:lang w:val="en-GB"/>
        </w:rPr>
        <w:t>Jessica Stern</w:t>
      </w:r>
      <w:r>
        <w:rPr>
          <w:lang w:val="en-GB"/>
        </w:rPr>
        <w:t xml:space="preserve"> and</w:t>
      </w:r>
      <w:r w:rsidRPr="00FE0534">
        <w:rPr>
          <w:lang w:val="en-GB"/>
        </w:rPr>
        <w:t xml:space="preserve"> J</w:t>
      </w:r>
      <w:r>
        <w:rPr>
          <w:lang w:val="en-GB"/>
        </w:rPr>
        <w:t>.</w:t>
      </w:r>
      <w:r w:rsidRPr="00FE0534">
        <w:rPr>
          <w:lang w:val="en-GB"/>
        </w:rPr>
        <w:t>M</w:t>
      </w:r>
      <w:r>
        <w:rPr>
          <w:lang w:val="en-GB"/>
        </w:rPr>
        <w:t>.</w:t>
      </w:r>
      <w:r w:rsidRPr="00FE0534">
        <w:rPr>
          <w:lang w:val="en-GB"/>
        </w:rPr>
        <w:t xml:space="preserve"> Berger, </w:t>
      </w:r>
      <w:r w:rsidRPr="00450324">
        <w:rPr>
          <w:i/>
          <w:iCs/>
          <w:lang w:val="en-GB"/>
        </w:rPr>
        <w:t>ISIS: The State of Terror</w:t>
      </w:r>
      <w:r w:rsidRPr="00FE0534">
        <w:rPr>
          <w:lang w:val="en-GB"/>
        </w:rPr>
        <w:t xml:space="preserve"> </w:t>
      </w:r>
      <w:r>
        <w:rPr>
          <w:lang w:val="en-GB"/>
        </w:rPr>
        <w:t xml:space="preserve">(London, </w:t>
      </w:r>
      <w:r w:rsidRPr="00FE0534">
        <w:rPr>
          <w:lang w:val="en-GB"/>
        </w:rPr>
        <w:t>William Collins, 2015</w:t>
      </w:r>
      <w:r>
        <w:rPr>
          <w:lang w:val="en-GB"/>
        </w:rPr>
        <w:t>)</w:t>
      </w:r>
      <w:r w:rsidRPr="00FE0534">
        <w:rPr>
          <w:lang w:val="en-GB"/>
        </w:rPr>
        <w:t>.</w:t>
      </w:r>
    </w:p>
  </w:footnote>
  <w:footnote w:id="7">
    <w:p w:rsidR="00722D6F" w:rsidRPr="00FE0534" w:rsidRDefault="00722D6F" w:rsidP="00D366EC">
      <w:pPr>
        <w:pStyle w:val="FootnoteText"/>
        <w:rPr>
          <w:lang w:val="en-GB"/>
        </w:rPr>
      </w:pPr>
      <w:r>
        <w:rPr>
          <w:lang w:val="en-GB"/>
        </w:rPr>
        <w:tab/>
      </w:r>
      <w:r w:rsidRPr="007C4BD4">
        <w:rPr>
          <w:rStyle w:val="FootnoteReference"/>
        </w:rPr>
        <w:footnoteRef/>
      </w:r>
      <w:r>
        <w:rPr>
          <w:lang w:val="en-GB"/>
        </w:rPr>
        <w:tab/>
      </w:r>
      <w:r w:rsidRPr="00FE0534">
        <w:rPr>
          <w:lang w:val="en-GB"/>
        </w:rPr>
        <w:t>See Erin Marie Saltman and Charlie Winter</w:t>
      </w:r>
      <w:r w:rsidR="00D366EC">
        <w:rPr>
          <w:lang w:val="en-GB"/>
        </w:rPr>
        <w:t>,</w:t>
      </w:r>
      <w:r w:rsidRPr="00FE0534">
        <w:rPr>
          <w:lang w:val="en-GB"/>
        </w:rPr>
        <w:t xml:space="preserve"> </w:t>
      </w:r>
      <w:r w:rsidRPr="00450324">
        <w:rPr>
          <w:i/>
          <w:iCs/>
          <w:lang w:val="en-GB"/>
        </w:rPr>
        <w:t>Islamic State: The Changing Face of Modern Jihadism</w:t>
      </w:r>
      <w:r w:rsidRPr="00FE0534">
        <w:rPr>
          <w:lang w:val="en-GB"/>
        </w:rPr>
        <w:t xml:space="preserve">, </w:t>
      </w:r>
      <w:r>
        <w:rPr>
          <w:lang w:val="en-GB"/>
        </w:rPr>
        <w:t>(</w:t>
      </w:r>
      <w:r w:rsidRPr="00FE0534">
        <w:rPr>
          <w:lang w:val="en-GB"/>
        </w:rPr>
        <w:t>Quilliam</w:t>
      </w:r>
      <w:r>
        <w:rPr>
          <w:lang w:val="en-GB"/>
        </w:rPr>
        <w:t>,</w:t>
      </w:r>
      <w:r w:rsidRPr="00FE0534">
        <w:rPr>
          <w:lang w:val="en-GB"/>
        </w:rPr>
        <w:t xml:space="preserve"> 2014</w:t>
      </w:r>
      <w:r>
        <w:rPr>
          <w:lang w:val="en-GB"/>
        </w:rPr>
        <w:t>)</w:t>
      </w:r>
      <w:r w:rsidRPr="00FE0534">
        <w:rPr>
          <w:lang w:val="en-GB"/>
        </w:rPr>
        <w:t xml:space="preserve"> and Stern</w:t>
      </w:r>
      <w:r>
        <w:rPr>
          <w:lang w:val="en-GB"/>
        </w:rPr>
        <w:t xml:space="preserve"> and</w:t>
      </w:r>
      <w:r w:rsidRPr="00FE0534">
        <w:rPr>
          <w:lang w:val="en-GB"/>
        </w:rPr>
        <w:t xml:space="preserve"> Berger, </w:t>
      </w:r>
      <w:r w:rsidRPr="00932838">
        <w:rPr>
          <w:i/>
          <w:iCs/>
          <w:lang w:val="en-GB"/>
        </w:rPr>
        <w:t>ISIS: The State of Terror</w:t>
      </w:r>
      <w:r w:rsidRPr="00FE0534">
        <w:rPr>
          <w:lang w:val="en-GB"/>
        </w:rPr>
        <w:t xml:space="preserve"> </w:t>
      </w:r>
      <w:r>
        <w:rPr>
          <w:lang w:val="en-GB"/>
        </w:rPr>
        <w:t>(c</w:t>
      </w:r>
      <w:r w:rsidRPr="00FE0534">
        <w:rPr>
          <w:lang w:val="en-GB"/>
        </w:rPr>
        <w:t>hap</w:t>
      </w:r>
      <w:r>
        <w:rPr>
          <w:lang w:val="en-GB"/>
        </w:rPr>
        <w:t>.</w:t>
      </w:r>
      <w:r w:rsidRPr="00FE0534">
        <w:rPr>
          <w:lang w:val="en-GB"/>
        </w:rPr>
        <w:t xml:space="preserve"> 8</w:t>
      </w:r>
      <w:r>
        <w:rPr>
          <w:lang w:val="en-GB"/>
        </w:rPr>
        <w:t>)</w:t>
      </w:r>
      <w:r w:rsidRPr="00FE0534">
        <w:rPr>
          <w:lang w:val="en-GB"/>
        </w:rPr>
        <w:t>.</w:t>
      </w:r>
    </w:p>
  </w:footnote>
  <w:footnote w:id="8">
    <w:p w:rsidR="00722D6F" w:rsidRPr="00FE0534" w:rsidRDefault="00722D6F" w:rsidP="00C91B83">
      <w:pPr>
        <w:pStyle w:val="FootnoteText"/>
        <w:rPr>
          <w:lang w:val="en-GB"/>
        </w:rPr>
      </w:pPr>
      <w:r>
        <w:rPr>
          <w:lang w:val="en-GB"/>
        </w:rPr>
        <w:tab/>
      </w:r>
      <w:r w:rsidRPr="007C4BD4">
        <w:rPr>
          <w:rStyle w:val="FootnoteReference"/>
        </w:rPr>
        <w:footnoteRef/>
      </w:r>
      <w:r>
        <w:rPr>
          <w:lang w:val="en-GB"/>
        </w:rPr>
        <w:tab/>
      </w:r>
      <w:proofErr w:type="gramStart"/>
      <w:r w:rsidRPr="00FE0534">
        <w:rPr>
          <w:lang w:val="en-GB"/>
        </w:rPr>
        <w:t>In Barqa (Cyrenaica) in the east, Fezzan in the south, and Tripolitania in the west.</w:t>
      </w:r>
      <w:proofErr w:type="gramEnd"/>
      <w:r w:rsidRPr="00FE0534">
        <w:rPr>
          <w:lang w:val="en-GB"/>
        </w:rPr>
        <w:t xml:space="preserve"> See </w:t>
      </w:r>
      <w:r>
        <w:rPr>
          <w:lang w:val="en-GB"/>
        </w:rPr>
        <w:t xml:space="preserve">Eric Schmitt and David D. Kirkpatrick, “Islamic State sprouting limbs beyond its base”, </w:t>
      </w:r>
      <w:r w:rsidRPr="00450324">
        <w:rPr>
          <w:i/>
          <w:iCs/>
          <w:lang w:val="en-GB"/>
        </w:rPr>
        <w:t>New York Times</w:t>
      </w:r>
      <w:r>
        <w:rPr>
          <w:lang w:val="en-GB"/>
        </w:rPr>
        <w:t xml:space="preserve">, 14 February 2015. </w:t>
      </w:r>
      <w:proofErr w:type="gramStart"/>
      <w:r w:rsidRPr="00450324">
        <w:t xml:space="preserve">Available from </w:t>
      </w:r>
      <w:hyperlink r:id="rId1" w:history="1">
        <w:r w:rsidRPr="00450324">
          <w:rPr>
            <w:rStyle w:val="Hyperlink"/>
          </w:rPr>
          <w:t>www.nytimes.com/2015/02/15/world/middleeast/islamic-state-sprouting-limbs-beyond-mideast.html?_r=2</w:t>
        </w:r>
      </w:hyperlink>
      <w:r w:rsidRPr="00450324">
        <w:t>.</w:t>
      </w:r>
      <w:proofErr w:type="gramEnd"/>
      <w:r w:rsidRPr="00450324">
        <w:t xml:space="preserve"> </w:t>
      </w:r>
      <w:r w:rsidRPr="00FE0534">
        <w:rPr>
          <w:lang w:val="en-GB"/>
        </w:rPr>
        <w:t xml:space="preserve">See also Human Rights Watch, </w:t>
      </w:r>
      <w:r>
        <w:rPr>
          <w:lang w:val="en-GB"/>
        </w:rPr>
        <w:t>“</w:t>
      </w:r>
      <w:r w:rsidRPr="00FE0534">
        <w:rPr>
          <w:lang w:val="en-GB"/>
        </w:rPr>
        <w:t>Libya</w:t>
      </w:r>
      <w:r>
        <w:rPr>
          <w:lang w:val="en-GB"/>
        </w:rPr>
        <w:t>:</w:t>
      </w:r>
      <w:r w:rsidRPr="00FE0534">
        <w:rPr>
          <w:lang w:val="en-GB"/>
        </w:rPr>
        <w:t xml:space="preserve"> </w:t>
      </w:r>
      <w:r>
        <w:rPr>
          <w:lang w:val="en-GB"/>
        </w:rPr>
        <w:t>E</w:t>
      </w:r>
      <w:r w:rsidRPr="00FE0534">
        <w:rPr>
          <w:lang w:val="en-GB"/>
        </w:rPr>
        <w:t xml:space="preserve">xtremists </w:t>
      </w:r>
      <w:r>
        <w:rPr>
          <w:lang w:val="en-GB"/>
        </w:rPr>
        <w:t>T</w:t>
      </w:r>
      <w:r w:rsidRPr="00FE0534">
        <w:rPr>
          <w:lang w:val="en-GB"/>
        </w:rPr>
        <w:t xml:space="preserve">errorizing Derna </w:t>
      </w:r>
      <w:r>
        <w:rPr>
          <w:lang w:val="en-GB"/>
        </w:rPr>
        <w:t>R</w:t>
      </w:r>
      <w:r w:rsidRPr="00FE0534">
        <w:rPr>
          <w:lang w:val="en-GB"/>
        </w:rPr>
        <w:t>esidents</w:t>
      </w:r>
      <w:r>
        <w:rPr>
          <w:lang w:val="en-GB"/>
        </w:rPr>
        <w:t>”</w:t>
      </w:r>
      <w:r w:rsidRPr="00FE0534">
        <w:rPr>
          <w:lang w:val="en-GB"/>
        </w:rPr>
        <w:t xml:space="preserve">, </w:t>
      </w:r>
      <w:r>
        <w:rPr>
          <w:lang w:val="en-GB"/>
        </w:rPr>
        <w:t xml:space="preserve">27 </w:t>
      </w:r>
      <w:r w:rsidRPr="00FE0534">
        <w:rPr>
          <w:lang w:val="en-GB"/>
        </w:rPr>
        <w:t>November 2014</w:t>
      </w:r>
      <w:r>
        <w:rPr>
          <w:lang w:val="en-GB"/>
        </w:rPr>
        <w:t xml:space="preserve">. </w:t>
      </w:r>
      <w:proofErr w:type="gramStart"/>
      <w:r>
        <w:rPr>
          <w:lang w:val="en-GB"/>
        </w:rPr>
        <w:t>Available from</w:t>
      </w:r>
      <w:r w:rsidRPr="00FE0534">
        <w:rPr>
          <w:lang w:val="en-GB"/>
        </w:rPr>
        <w:t xml:space="preserve"> </w:t>
      </w:r>
      <w:hyperlink r:id="rId2" w:history="1">
        <w:r w:rsidRPr="009A4848">
          <w:rPr>
            <w:rStyle w:val="Hyperlink"/>
            <w:lang w:val="en-GB"/>
          </w:rPr>
          <w:t>www.hrw.org/news/2014/11/27/libya-extremists-terrorizing-derna-residents</w:t>
        </w:r>
      </w:hyperlink>
      <w:r w:rsidRPr="00FE0534">
        <w:rPr>
          <w:lang w:val="en-GB"/>
        </w:rPr>
        <w:t>.</w:t>
      </w:r>
      <w:proofErr w:type="gramEnd"/>
      <w:r w:rsidRPr="00FE0534">
        <w:rPr>
          <w:lang w:val="en-GB"/>
        </w:rPr>
        <w:t xml:space="preserve"> </w:t>
      </w:r>
    </w:p>
  </w:footnote>
  <w:footnote w:id="9">
    <w:p w:rsidR="00722D6F" w:rsidRPr="00FE0534" w:rsidRDefault="00722D6F" w:rsidP="00046DA1">
      <w:pPr>
        <w:pStyle w:val="FootnoteText"/>
        <w:rPr>
          <w:lang w:val="en-GB"/>
        </w:rPr>
      </w:pPr>
      <w:r>
        <w:rPr>
          <w:lang w:val="en-GB"/>
        </w:rPr>
        <w:tab/>
      </w:r>
      <w:r w:rsidRPr="007C4BD4">
        <w:rPr>
          <w:rStyle w:val="FootnoteReference"/>
        </w:rPr>
        <w:footnoteRef/>
      </w:r>
      <w:r>
        <w:rPr>
          <w:lang w:val="en-GB"/>
        </w:rPr>
        <w:tab/>
      </w:r>
      <w:r w:rsidRPr="00FE0534">
        <w:rPr>
          <w:lang w:val="en-GB"/>
        </w:rPr>
        <w:t>Boko Haram (Nigeria), Abu-Sayyaf (Philippines), Ansar Bait al-Maqdis (Egypt) and Ansar al-Sharia (Yemen)</w:t>
      </w:r>
      <w:r w:rsidR="00D366EC">
        <w:rPr>
          <w:lang w:val="en-GB"/>
        </w:rPr>
        <w:t>,</w:t>
      </w:r>
      <w:r w:rsidRPr="00FE0534">
        <w:rPr>
          <w:lang w:val="en-GB"/>
        </w:rPr>
        <w:t xml:space="preserve"> among others</w:t>
      </w:r>
      <w:r>
        <w:rPr>
          <w:lang w:val="en-GB"/>
        </w:rPr>
        <w:t>,</w:t>
      </w:r>
      <w:r w:rsidRPr="00FE0534">
        <w:rPr>
          <w:lang w:val="en-GB"/>
        </w:rPr>
        <w:t xml:space="preserve"> have all reported</w:t>
      </w:r>
      <w:r>
        <w:rPr>
          <w:lang w:val="en-GB"/>
        </w:rPr>
        <w:t>ly</w:t>
      </w:r>
      <w:r w:rsidRPr="00FE0534">
        <w:rPr>
          <w:lang w:val="en-GB"/>
        </w:rPr>
        <w:t xml:space="preserve"> pledged allegiance to </w:t>
      </w:r>
      <w:r>
        <w:rPr>
          <w:lang w:val="en-GB"/>
        </w:rPr>
        <w:t xml:space="preserve">the </w:t>
      </w:r>
      <w:r w:rsidRPr="00FE0534">
        <w:rPr>
          <w:lang w:val="en-GB"/>
        </w:rPr>
        <w:t xml:space="preserve">“Islamic State”. </w:t>
      </w:r>
    </w:p>
  </w:footnote>
  <w:footnote w:id="10">
    <w:p w:rsidR="00722D6F" w:rsidRDefault="00722D6F" w:rsidP="00D366EC">
      <w:pPr>
        <w:pStyle w:val="FootnoteText"/>
      </w:pPr>
      <w:r>
        <w:rPr>
          <w:lang w:val="en-GB"/>
        </w:rPr>
        <w:tab/>
      </w:r>
      <w:r w:rsidRPr="007C4BD4">
        <w:rPr>
          <w:rStyle w:val="FootnoteReference"/>
        </w:rPr>
        <w:footnoteRef/>
      </w:r>
      <w:r>
        <w:rPr>
          <w:lang w:val="en-GB"/>
        </w:rPr>
        <w:tab/>
      </w:r>
      <w:r w:rsidRPr="00FE0534">
        <w:rPr>
          <w:lang w:val="en-GB"/>
        </w:rPr>
        <w:t xml:space="preserve">See </w:t>
      </w:r>
      <w:r>
        <w:rPr>
          <w:lang w:val="en-GB"/>
        </w:rPr>
        <w:t>“</w:t>
      </w:r>
      <w:r w:rsidRPr="00FE0534">
        <w:rPr>
          <w:lang w:val="en-GB"/>
        </w:rPr>
        <w:t xml:space="preserve">Rule of </w:t>
      </w:r>
      <w:r>
        <w:rPr>
          <w:lang w:val="en-GB"/>
        </w:rPr>
        <w:t>t</w:t>
      </w:r>
      <w:r w:rsidRPr="00FE0534">
        <w:rPr>
          <w:lang w:val="en-GB"/>
        </w:rPr>
        <w:t>error</w:t>
      </w:r>
      <w:r>
        <w:rPr>
          <w:lang w:val="en-GB"/>
        </w:rPr>
        <w:t>”</w:t>
      </w:r>
      <w:r w:rsidRPr="00FE0534">
        <w:rPr>
          <w:lang w:val="en-GB"/>
        </w:rPr>
        <w:t xml:space="preserve"> </w:t>
      </w:r>
      <w:r>
        <w:rPr>
          <w:lang w:val="en-GB"/>
        </w:rPr>
        <w:t>para. </w:t>
      </w:r>
      <w:r w:rsidRPr="00FE0534">
        <w:rPr>
          <w:lang w:val="en-GB"/>
        </w:rPr>
        <w:t>17</w:t>
      </w:r>
      <w:r w:rsidR="00D366EC">
        <w:rPr>
          <w:lang w:val="en-GB"/>
        </w:rPr>
        <w:t>.</w:t>
      </w:r>
      <w:r>
        <w:rPr>
          <w:lang w:val="en-GB"/>
        </w:rPr>
        <w:t xml:space="preserve"> </w:t>
      </w:r>
      <w:r w:rsidRPr="000A5115">
        <w:rPr>
          <w:lang w:val="en-GB"/>
        </w:rPr>
        <w:t xml:space="preserve">On 13 November 2014, the leader of ISIL announced the expansion of </w:t>
      </w:r>
      <w:r w:rsidR="00D366EC">
        <w:rPr>
          <w:lang w:val="en-GB"/>
        </w:rPr>
        <w:t xml:space="preserve">the </w:t>
      </w:r>
      <w:r w:rsidRPr="000A5115">
        <w:rPr>
          <w:lang w:val="en-GB"/>
        </w:rPr>
        <w:t>Islamic State to “new lands” (Saudi Arabia, Yemen, Egypt, Libya and Algeria) following pledges made to him by various groups active in these territories. ISIL created new provinces in these countries and appointed “governors”.</w:t>
      </w:r>
      <w:r w:rsidRPr="00FE0534">
        <w:rPr>
          <w:lang w:val="en-GB"/>
        </w:rPr>
        <w:t xml:space="preserve"> </w:t>
      </w:r>
      <w:r w:rsidR="00D366EC">
        <w:rPr>
          <w:lang w:val="en-GB"/>
        </w:rPr>
        <w:t xml:space="preserve">See </w:t>
      </w:r>
      <w:r w:rsidRPr="00FE0534">
        <w:rPr>
          <w:lang w:val="en-GB"/>
        </w:rPr>
        <w:t>Stern</w:t>
      </w:r>
      <w:r>
        <w:rPr>
          <w:lang w:val="en-GB"/>
        </w:rPr>
        <w:t xml:space="preserve"> and</w:t>
      </w:r>
      <w:r w:rsidRPr="00FE0534">
        <w:rPr>
          <w:lang w:val="en-GB"/>
        </w:rPr>
        <w:t xml:space="preserve"> Berger, </w:t>
      </w:r>
      <w:r w:rsidRPr="00450324">
        <w:rPr>
          <w:i/>
          <w:iCs/>
          <w:lang w:val="en-GB"/>
        </w:rPr>
        <w:t>ISIS: The State of Terror</w:t>
      </w:r>
      <w:r w:rsidRPr="00FE0534">
        <w:rPr>
          <w:lang w:val="en-GB"/>
        </w:rPr>
        <w:t>.</w:t>
      </w:r>
    </w:p>
  </w:footnote>
  <w:footnote w:id="11">
    <w:p w:rsidR="00722D6F" w:rsidRPr="00FE0534" w:rsidRDefault="00722D6F" w:rsidP="001E648E">
      <w:pPr>
        <w:pStyle w:val="FootnoteText"/>
        <w:rPr>
          <w:lang w:val="en-GB"/>
        </w:rPr>
      </w:pPr>
      <w:r>
        <w:rPr>
          <w:lang w:val="en-GB"/>
        </w:rPr>
        <w:tab/>
      </w:r>
      <w:r w:rsidRPr="007C4BD4">
        <w:rPr>
          <w:rStyle w:val="FootnoteReference"/>
        </w:rPr>
        <w:footnoteRef/>
      </w:r>
      <w:r>
        <w:rPr>
          <w:lang w:val="en-GB"/>
        </w:rPr>
        <w:tab/>
      </w:r>
      <w:r w:rsidRPr="00FE0534">
        <w:rPr>
          <w:lang w:val="en-GB"/>
        </w:rPr>
        <w:t xml:space="preserve">See S/2014/815, </w:t>
      </w:r>
      <w:r>
        <w:rPr>
          <w:lang w:val="en-GB"/>
        </w:rPr>
        <w:t>para. </w:t>
      </w:r>
      <w:r w:rsidRPr="00FE0534">
        <w:rPr>
          <w:lang w:val="en-GB"/>
        </w:rPr>
        <w:t xml:space="preserve">14. See also </w:t>
      </w:r>
      <w:r w:rsidR="001E648E">
        <w:t xml:space="preserve">Peter R. Neumann, director of </w:t>
      </w:r>
      <w:r w:rsidR="001E648E">
        <w:rPr>
          <w:lang w:val="en-GB"/>
        </w:rPr>
        <w:t>the International Centre for the Study of Radicalisation and political violence (</w:t>
      </w:r>
      <w:r w:rsidRPr="00FE0534">
        <w:rPr>
          <w:lang w:val="en-GB"/>
        </w:rPr>
        <w:t>ICSR</w:t>
      </w:r>
      <w:r w:rsidR="001E648E">
        <w:rPr>
          <w:lang w:val="en-GB"/>
        </w:rPr>
        <w:t>)</w:t>
      </w:r>
      <w:r w:rsidRPr="00FE0534">
        <w:rPr>
          <w:lang w:val="en-GB"/>
        </w:rPr>
        <w:t>, “Foreign fighter total in Syria/Iraq now exceeds 20,000</w:t>
      </w:r>
      <w:r>
        <w:rPr>
          <w:lang w:val="en-GB"/>
        </w:rPr>
        <w:t>; surpasses Afghanistan conflict in the 1980s</w:t>
      </w:r>
      <w:r w:rsidRPr="00FE0534">
        <w:rPr>
          <w:lang w:val="en-GB"/>
        </w:rPr>
        <w:t>”, 26 January 2015.</w:t>
      </w:r>
      <w:r>
        <w:rPr>
          <w:lang w:val="en-GB"/>
        </w:rPr>
        <w:t xml:space="preserve"> </w:t>
      </w:r>
    </w:p>
  </w:footnote>
  <w:footnote w:id="12">
    <w:p w:rsidR="00722D6F" w:rsidRPr="00FE0534" w:rsidRDefault="00722D6F" w:rsidP="00046DA1">
      <w:pPr>
        <w:pStyle w:val="FootnoteText"/>
        <w:rPr>
          <w:lang w:val="en-GB"/>
        </w:rPr>
      </w:pPr>
      <w:r>
        <w:rPr>
          <w:lang w:val="en-GB"/>
        </w:rPr>
        <w:tab/>
      </w:r>
      <w:r w:rsidRPr="007C4BD4">
        <w:rPr>
          <w:rStyle w:val="FootnoteReference"/>
        </w:rPr>
        <w:footnoteRef/>
      </w:r>
      <w:r>
        <w:rPr>
          <w:lang w:val="en-GB"/>
        </w:rPr>
        <w:tab/>
      </w:r>
      <w:r w:rsidR="00D366EC">
        <w:rPr>
          <w:lang w:val="en-GB"/>
        </w:rPr>
        <w:t xml:space="preserve">See </w:t>
      </w:r>
      <w:r w:rsidRPr="00FE0534">
        <w:rPr>
          <w:lang w:val="en-GB"/>
        </w:rPr>
        <w:t xml:space="preserve">Richard Barrett, </w:t>
      </w:r>
      <w:r w:rsidRPr="00450324">
        <w:rPr>
          <w:i/>
          <w:iCs/>
          <w:lang w:val="en-GB"/>
        </w:rPr>
        <w:t>Foreign Fighters in Syria</w:t>
      </w:r>
      <w:r w:rsidRPr="00FE0534">
        <w:rPr>
          <w:lang w:val="en-GB"/>
        </w:rPr>
        <w:t xml:space="preserve"> </w:t>
      </w:r>
      <w:r>
        <w:rPr>
          <w:lang w:val="en-GB"/>
        </w:rPr>
        <w:t xml:space="preserve">(New York, </w:t>
      </w:r>
      <w:r w:rsidRPr="00FE0534">
        <w:rPr>
          <w:lang w:val="en-GB"/>
        </w:rPr>
        <w:t>The Soufan Group, 2014</w:t>
      </w:r>
      <w:r>
        <w:rPr>
          <w:lang w:val="en-GB"/>
        </w:rPr>
        <w:t>)</w:t>
      </w:r>
      <w:r w:rsidRPr="00FE0534">
        <w:rPr>
          <w:lang w:val="en-GB"/>
        </w:rPr>
        <w:t xml:space="preserve">. See also S/2014/815, </w:t>
      </w:r>
      <w:r>
        <w:rPr>
          <w:lang w:val="en-GB"/>
        </w:rPr>
        <w:t>para. </w:t>
      </w:r>
      <w:r w:rsidRPr="00FE0534">
        <w:rPr>
          <w:lang w:val="en-GB"/>
        </w:rPr>
        <w:t xml:space="preserve">87. </w:t>
      </w:r>
    </w:p>
  </w:footnote>
  <w:footnote w:id="13">
    <w:p w:rsidR="00722D6F" w:rsidRPr="00FE0534" w:rsidRDefault="00722D6F" w:rsidP="00FE0534">
      <w:pPr>
        <w:pStyle w:val="FootnoteText"/>
        <w:rPr>
          <w:lang w:val="en-GB"/>
        </w:rPr>
      </w:pPr>
      <w:r>
        <w:rPr>
          <w:lang w:val="en-GB"/>
        </w:rPr>
        <w:tab/>
      </w:r>
      <w:r w:rsidRPr="007C4BD4">
        <w:rPr>
          <w:rStyle w:val="FootnoteReference"/>
        </w:rPr>
        <w:footnoteRef/>
      </w:r>
      <w:r>
        <w:rPr>
          <w:lang w:val="en-GB"/>
        </w:rPr>
        <w:tab/>
        <w:t xml:space="preserve">See </w:t>
      </w:r>
      <w:r w:rsidRPr="00FE0534">
        <w:rPr>
          <w:lang w:val="en-GB"/>
        </w:rPr>
        <w:t xml:space="preserve">S/2014/815, </w:t>
      </w:r>
      <w:r>
        <w:rPr>
          <w:lang w:val="en-GB"/>
        </w:rPr>
        <w:t>para. </w:t>
      </w:r>
      <w:r w:rsidRPr="00FE0534">
        <w:rPr>
          <w:lang w:val="en-GB"/>
        </w:rPr>
        <w:t>14.</w:t>
      </w:r>
    </w:p>
  </w:footnote>
  <w:footnote w:id="14">
    <w:p w:rsidR="00722D6F" w:rsidRPr="00FE0534" w:rsidRDefault="00722D6F" w:rsidP="00D366EC">
      <w:pPr>
        <w:pStyle w:val="FootnoteText"/>
        <w:rPr>
          <w:lang w:val="en-GB"/>
        </w:rPr>
      </w:pPr>
      <w:r>
        <w:rPr>
          <w:lang w:val="en-GB"/>
        </w:rPr>
        <w:tab/>
      </w:r>
      <w:r w:rsidRPr="007C4BD4">
        <w:rPr>
          <w:rStyle w:val="FootnoteReference"/>
        </w:rPr>
        <w:footnoteRef/>
      </w:r>
      <w:r>
        <w:rPr>
          <w:lang w:val="en-GB"/>
        </w:rPr>
        <w:tab/>
      </w:r>
      <w:r w:rsidRPr="00FE0534">
        <w:rPr>
          <w:lang w:val="en-GB"/>
        </w:rPr>
        <w:t xml:space="preserve">See Saltman and </w:t>
      </w:r>
      <w:proofErr w:type="gramStart"/>
      <w:r w:rsidRPr="00FE0534">
        <w:rPr>
          <w:lang w:val="en-GB"/>
        </w:rPr>
        <w:t>Winter</w:t>
      </w:r>
      <w:proofErr w:type="gramEnd"/>
      <w:r w:rsidRPr="00FE0534">
        <w:rPr>
          <w:lang w:val="en-GB"/>
        </w:rPr>
        <w:t xml:space="preserve">, </w:t>
      </w:r>
      <w:r w:rsidRPr="00932838">
        <w:rPr>
          <w:i/>
          <w:iCs/>
          <w:lang w:val="en-GB"/>
        </w:rPr>
        <w:t>Islamic State</w:t>
      </w:r>
      <w:r>
        <w:rPr>
          <w:i/>
          <w:iCs/>
          <w:lang w:val="en-GB"/>
        </w:rPr>
        <w:t>.</w:t>
      </w:r>
    </w:p>
  </w:footnote>
  <w:footnote w:id="15">
    <w:p w:rsidR="00722D6F" w:rsidRPr="00FE0534" w:rsidRDefault="00722D6F" w:rsidP="009E7A50">
      <w:pPr>
        <w:pStyle w:val="FootnoteText"/>
        <w:rPr>
          <w:lang w:val="en-GB"/>
        </w:rPr>
      </w:pPr>
      <w:r>
        <w:rPr>
          <w:lang w:val="en-GB"/>
        </w:rPr>
        <w:tab/>
      </w:r>
      <w:r w:rsidRPr="007C4BD4">
        <w:rPr>
          <w:rStyle w:val="FootnoteReference"/>
        </w:rPr>
        <w:footnoteRef/>
      </w:r>
      <w:r>
        <w:rPr>
          <w:lang w:val="en-GB"/>
        </w:rPr>
        <w:tab/>
      </w:r>
      <w:r w:rsidRPr="00FE0534">
        <w:rPr>
          <w:lang w:val="en-GB"/>
        </w:rPr>
        <w:t xml:space="preserve">See “It ain’t half hot here, mum: </w:t>
      </w:r>
      <w:r>
        <w:rPr>
          <w:lang w:val="en-GB"/>
        </w:rPr>
        <w:t>w</w:t>
      </w:r>
      <w:r w:rsidRPr="00FE0534">
        <w:rPr>
          <w:lang w:val="en-GB"/>
        </w:rPr>
        <w:t>hy and how Westerners go to fight in S</w:t>
      </w:r>
      <w:r>
        <w:rPr>
          <w:lang w:val="en-GB"/>
        </w:rPr>
        <w:t xml:space="preserve">yria and Iraq”, </w:t>
      </w:r>
      <w:r w:rsidRPr="00450324">
        <w:rPr>
          <w:i/>
          <w:iCs/>
          <w:lang w:val="en-GB"/>
        </w:rPr>
        <w:t>The Economist</w:t>
      </w:r>
      <w:r w:rsidRPr="00FE0534">
        <w:rPr>
          <w:lang w:val="en-GB"/>
        </w:rPr>
        <w:t xml:space="preserve">, </w:t>
      </w:r>
      <w:r>
        <w:rPr>
          <w:lang w:val="en-GB"/>
        </w:rPr>
        <w:t>30 August 2014.</w:t>
      </w:r>
    </w:p>
  </w:footnote>
  <w:footnote w:id="16">
    <w:p w:rsidR="00722D6F" w:rsidRPr="00FE0534" w:rsidRDefault="00722D6F" w:rsidP="009E7A50">
      <w:pPr>
        <w:pStyle w:val="FootnoteText"/>
        <w:rPr>
          <w:lang w:val="en-GB"/>
        </w:rPr>
      </w:pPr>
      <w:r>
        <w:rPr>
          <w:lang w:val="en-GB"/>
        </w:rPr>
        <w:tab/>
      </w:r>
      <w:r w:rsidRPr="007C4BD4">
        <w:rPr>
          <w:rStyle w:val="FootnoteReference"/>
        </w:rPr>
        <w:footnoteRef/>
      </w:r>
      <w:r>
        <w:rPr>
          <w:lang w:val="en-GB"/>
        </w:rPr>
        <w:tab/>
      </w:r>
      <w:r w:rsidRPr="00FE0534">
        <w:rPr>
          <w:lang w:val="en-GB"/>
        </w:rPr>
        <w:t>See Stern</w:t>
      </w:r>
      <w:r>
        <w:rPr>
          <w:lang w:val="en-GB"/>
        </w:rPr>
        <w:t xml:space="preserve"> and</w:t>
      </w:r>
      <w:r w:rsidRPr="00FE0534">
        <w:rPr>
          <w:lang w:val="en-GB"/>
        </w:rPr>
        <w:t xml:space="preserve"> Berger, </w:t>
      </w:r>
      <w:r w:rsidRPr="00932838">
        <w:rPr>
          <w:i/>
          <w:iCs/>
          <w:lang w:val="en-GB"/>
        </w:rPr>
        <w:t>ISIS: The State of Terror</w:t>
      </w:r>
      <w:r w:rsidRPr="00FE0534">
        <w:rPr>
          <w:lang w:val="en-GB"/>
        </w:rPr>
        <w:t>.</w:t>
      </w:r>
    </w:p>
  </w:footnote>
  <w:footnote w:id="17">
    <w:p w:rsidR="00722D6F" w:rsidRPr="00FE0534" w:rsidRDefault="00722D6F" w:rsidP="00C35CAE">
      <w:pPr>
        <w:pStyle w:val="FootnoteText"/>
        <w:rPr>
          <w:lang w:val="en-GB"/>
        </w:rPr>
      </w:pPr>
      <w:r>
        <w:rPr>
          <w:lang w:val="en-GB"/>
        </w:rPr>
        <w:tab/>
      </w:r>
      <w:r w:rsidRPr="007C4BD4">
        <w:rPr>
          <w:rStyle w:val="FootnoteReference"/>
        </w:rPr>
        <w:footnoteRef/>
      </w:r>
      <w:r>
        <w:rPr>
          <w:lang w:val="en-GB"/>
        </w:rPr>
        <w:tab/>
        <w:t>S</w:t>
      </w:r>
      <w:r w:rsidRPr="00FE0534">
        <w:rPr>
          <w:lang w:val="en-GB"/>
        </w:rPr>
        <w:t xml:space="preserve">ee </w:t>
      </w:r>
      <w:r>
        <w:rPr>
          <w:lang w:val="en-GB"/>
        </w:rPr>
        <w:t>“</w:t>
      </w:r>
      <w:r w:rsidRPr="00FE0534">
        <w:rPr>
          <w:lang w:val="en-GB"/>
        </w:rPr>
        <w:t xml:space="preserve">Rule of </w:t>
      </w:r>
      <w:r>
        <w:rPr>
          <w:lang w:val="en-GB"/>
        </w:rPr>
        <w:t>t</w:t>
      </w:r>
      <w:r w:rsidRPr="00FE0534">
        <w:rPr>
          <w:lang w:val="en-GB"/>
        </w:rPr>
        <w:t>error</w:t>
      </w:r>
      <w:r>
        <w:rPr>
          <w:lang w:val="en-GB"/>
        </w:rPr>
        <w:t>”</w:t>
      </w:r>
      <w:r w:rsidRPr="00FE0534">
        <w:rPr>
          <w:lang w:val="en-GB"/>
        </w:rPr>
        <w:t xml:space="preserve">, </w:t>
      </w:r>
      <w:r>
        <w:rPr>
          <w:lang w:val="en-GB"/>
        </w:rPr>
        <w:t>paras. </w:t>
      </w:r>
      <w:proofErr w:type="gramStart"/>
      <w:r w:rsidRPr="00FE0534">
        <w:rPr>
          <w:lang w:val="en-GB"/>
        </w:rPr>
        <w:t>17 and 29.</w:t>
      </w:r>
      <w:proofErr w:type="gramEnd"/>
      <w:r>
        <w:rPr>
          <w:lang w:val="en-GB"/>
        </w:rPr>
        <w:t xml:space="preserve"> </w:t>
      </w:r>
      <w:r w:rsidRPr="00FE0534">
        <w:rPr>
          <w:lang w:val="en-GB"/>
        </w:rPr>
        <w:t>See also Stern</w:t>
      </w:r>
      <w:r>
        <w:rPr>
          <w:lang w:val="en-GB"/>
        </w:rPr>
        <w:t xml:space="preserve"> and</w:t>
      </w:r>
      <w:r w:rsidRPr="00FE0534">
        <w:rPr>
          <w:lang w:val="en-GB"/>
        </w:rPr>
        <w:t xml:space="preserve"> Berger, </w:t>
      </w:r>
      <w:r w:rsidRPr="00450324">
        <w:rPr>
          <w:i/>
          <w:iCs/>
          <w:lang w:val="en-GB"/>
        </w:rPr>
        <w:t>ISIS: The State of Terror</w:t>
      </w:r>
      <w:r w:rsidRPr="001E648E">
        <w:rPr>
          <w:lang w:val="en-GB"/>
        </w:rPr>
        <w:t xml:space="preserve">, which notes that in an article in </w:t>
      </w:r>
      <w:r w:rsidRPr="00450324">
        <w:rPr>
          <w:i/>
          <w:iCs/>
          <w:lang w:val="en-GB"/>
        </w:rPr>
        <w:t>Dabiq</w:t>
      </w:r>
      <w:r w:rsidRPr="001E648E">
        <w:rPr>
          <w:lang w:val="en-GB"/>
        </w:rPr>
        <w:t>, the online English-language magazine of ISIL, it asked for doctors, engineers, scholars and people with military, administrative and service expertise.</w:t>
      </w:r>
      <w:r w:rsidRPr="00FE0534">
        <w:rPr>
          <w:lang w:val="en-GB"/>
        </w:rPr>
        <w:t xml:space="preserve"> </w:t>
      </w:r>
    </w:p>
  </w:footnote>
  <w:footnote w:id="18">
    <w:p w:rsidR="00722D6F" w:rsidRPr="00FE0534" w:rsidRDefault="00722D6F" w:rsidP="009E7A50">
      <w:pPr>
        <w:pStyle w:val="FootnoteText"/>
        <w:rPr>
          <w:lang w:val="en-GB"/>
        </w:rPr>
      </w:pPr>
      <w:r>
        <w:rPr>
          <w:lang w:val="en-GB"/>
        </w:rPr>
        <w:tab/>
      </w:r>
      <w:r w:rsidRPr="007C4BD4">
        <w:rPr>
          <w:rStyle w:val="FootnoteReference"/>
        </w:rPr>
        <w:footnoteRef/>
      </w:r>
      <w:r>
        <w:rPr>
          <w:lang w:val="en-GB"/>
        </w:rPr>
        <w:tab/>
        <w:t xml:space="preserve">See </w:t>
      </w:r>
      <w:r w:rsidRPr="00FE0534">
        <w:rPr>
          <w:lang w:val="en-GB"/>
        </w:rPr>
        <w:t xml:space="preserve">Saltman and </w:t>
      </w:r>
      <w:proofErr w:type="gramStart"/>
      <w:r w:rsidRPr="00FE0534">
        <w:rPr>
          <w:lang w:val="en-GB"/>
        </w:rPr>
        <w:t>Winter</w:t>
      </w:r>
      <w:proofErr w:type="gramEnd"/>
      <w:r w:rsidRPr="00FE0534">
        <w:rPr>
          <w:lang w:val="en-GB"/>
        </w:rPr>
        <w:t xml:space="preserve">, </w:t>
      </w:r>
      <w:r w:rsidRPr="00932838">
        <w:rPr>
          <w:i/>
          <w:iCs/>
          <w:lang w:val="en-GB"/>
        </w:rPr>
        <w:t>Islamic State</w:t>
      </w:r>
      <w:r w:rsidRPr="00FE0534">
        <w:rPr>
          <w:lang w:val="en-GB"/>
        </w:rPr>
        <w:t>.</w:t>
      </w:r>
    </w:p>
  </w:footnote>
  <w:footnote w:id="19">
    <w:p w:rsidR="00722D6F" w:rsidRPr="00FE0534" w:rsidRDefault="00722D6F" w:rsidP="00D366EC">
      <w:pPr>
        <w:pStyle w:val="FootnoteText"/>
        <w:rPr>
          <w:lang w:val="en-GB"/>
        </w:rPr>
      </w:pPr>
      <w:r>
        <w:rPr>
          <w:lang w:val="en-GB"/>
        </w:rPr>
        <w:tab/>
      </w:r>
      <w:r w:rsidRPr="007C4BD4">
        <w:rPr>
          <w:rStyle w:val="FootnoteReference"/>
        </w:rPr>
        <w:footnoteRef/>
      </w:r>
      <w:r>
        <w:rPr>
          <w:lang w:val="en-GB"/>
        </w:rPr>
        <w:tab/>
        <w:t xml:space="preserve">See the report of the </w:t>
      </w:r>
      <w:r w:rsidRPr="00A96403">
        <w:rPr>
          <w:lang w:val="en-GB"/>
        </w:rPr>
        <w:t>Independent International Commission of Inquiry on the Syrian Arab Republic</w:t>
      </w:r>
      <w:r>
        <w:rPr>
          <w:lang w:val="en-GB"/>
        </w:rPr>
        <w:t xml:space="preserve"> (</w:t>
      </w:r>
      <w:r w:rsidRPr="00FE0534">
        <w:rPr>
          <w:lang w:val="en-GB"/>
        </w:rPr>
        <w:t>A/HRC/28/69</w:t>
      </w:r>
      <w:r>
        <w:rPr>
          <w:lang w:val="en-GB"/>
        </w:rPr>
        <w:t>)</w:t>
      </w:r>
      <w:r w:rsidRPr="00FE0534">
        <w:rPr>
          <w:lang w:val="en-GB"/>
        </w:rPr>
        <w:t xml:space="preserve">, </w:t>
      </w:r>
      <w:r>
        <w:rPr>
          <w:lang w:val="en-GB"/>
        </w:rPr>
        <w:t>para. </w:t>
      </w:r>
      <w:r w:rsidRPr="00FE0534">
        <w:rPr>
          <w:lang w:val="en-GB"/>
        </w:rPr>
        <w:t>127.</w:t>
      </w:r>
    </w:p>
  </w:footnote>
  <w:footnote w:id="20">
    <w:p w:rsidR="00722D6F" w:rsidRPr="00FE0534" w:rsidRDefault="00722D6F" w:rsidP="00C35CAE">
      <w:pPr>
        <w:pStyle w:val="FootnoteText"/>
        <w:rPr>
          <w:lang w:val="en-GB"/>
        </w:rPr>
      </w:pPr>
      <w:r>
        <w:rPr>
          <w:lang w:val="en-GB"/>
        </w:rPr>
        <w:tab/>
      </w:r>
      <w:r w:rsidRPr="007C4BD4">
        <w:rPr>
          <w:rStyle w:val="FootnoteReference"/>
        </w:rPr>
        <w:footnoteRef/>
      </w:r>
      <w:r>
        <w:rPr>
          <w:lang w:val="en-GB"/>
        </w:rPr>
        <w:tab/>
        <w:t>See “</w:t>
      </w:r>
      <w:r w:rsidRPr="00FE0534">
        <w:rPr>
          <w:lang w:val="en-GB"/>
        </w:rPr>
        <w:t xml:space="preserve">Rule of </w:t>
      </w:r>
      <w:r>
        <w:rPr>
          <w:lang w:val="en-GB"/>
        </w:rPr>
        <w:t>t</w:t>
      </w:r>
      <w:r w:rsidRPr="00FE0534">
        <w:rPr>
          <w:lang w:val="en-GB"/>
        </w:rPr>
        <w:t>error</w:t>
      </w:r>
      <w:r>
        <w:rPr>
          <w:lang w:val="en-GB"/>
        </w:rPr>
        <w:t>”</w:t>
      </w:r>
      <w:r w:rsidRPr="00FE0534">
        <w:rPr>
          <w:lang w:val="en-GB"/>
        </w:rPr>
        <w:t xml:space="preserve"> </w:t>
      </w:r>
      <w:r>
        <w:rPr>
          <w:lang w:val="en-GB"/>
        </w:rPr>
        <w:t>paras. </w:t>
      </w:r>
      <w:proofErr w:type="gramStart"/>
      <w:r w:rsidRPr="00FE0534">
        <w:rPr>
          <w:lang w:val="en-GB"/>
        </w:rPr>
        <w:t>12 and 13</w:t>
      </w:r>
      <w:r>
        <w:rPr>
          <w:lang w:val="en-GB"/>
        </w:rPr>
        <w:t>.</w:t>
      </w:r>
      <w:proofErr w:type="gramEnd"/>
    </w:p>
  </w:footnote>
  <w:footnote w:id="21">
    <w:p w:rsidR="00722D6F" w:rsidRPr="00FE0534" w:rsidRDefault="00722D6F" w:rsidP="00A96403">
      <w:pPr>
        <w:pStyle w:val="FootnoteText"/>
        <w:rPr>
          <w:lang w:val="en-GB"/>
        </w:rPr>
      </w:pPr>
      <w:r>
        <w:rPr>
          <w:lang w:val="en-GB"/>
        </w:rPr>
        <w:tab/>
      </w:r>
      <w:r w:rsidRPr="007C4BD4">
        <w:rPr>
          <w:rStyle w:val="FootnoteReference"/>
        </w:rPr>
        <w:footnoteRef/>
      </w:r>
      <w:r>
        <w:rPr>
          <w:lang w:val="en-GB"/>
        </w:rPr>
        <w:tab/>
        <w:t xml:space="preserve">See </w:t>
      </w:r>
      <w:r w:rsidRPr="00FE0534">
        <w:rPr>
          <w:lang w:val="en-GB"/>
        </w:rPr>
        <w:t xml:space="preserve">S/2014/815, </w:t>
      </w:r>
      <w:r>
        <w:rPr>
          <w:lang w:val="en-GB"/>
        </w:rPr>
        <w:t>para. </w:t>
      </w:r>
      <w:r w:rsidRPr="00FE0534">
        <w:rPr>
          <w:lang w:val="en-GB"/>
        </w:rPr>
        <w:t>8.</w:t>
      </w:r>
    </w:p>
  </w:footnote>
  <w:footnote w:id="22">
    <w:p w:rsidR="00722D6F" w:rsidRPr="002D207B" w:rsidRDefault="00722D6F" w:rsidP="00C35CAE">
      <w:pPr>
        <w:pStyle w:val="FootnoteText"/>
        <w:rPr>
          <w:lang w:val="es-ES"/>
        </w:rPr>
      </w:pPr>
      <w:r>
        <w:rPr>
          <w:lang w:val="en-GB"/>
        </w:rPr>
        <w:tab/>
      </w:r>
      <w:r w:rsidRPr="007C4BD4">
        <w:rPr>
          <w:rStyle w:val="FootnoteReference"/>
        </w:rPr>
        <w:footnoteRef/>
      </w:r>
      <w:r>
        <w:rPr>
          <w:lang w:val="en-GB"/>
        </w:rPr>
        <w:tab/>
        <w:t>See “</w:t>
      </w:r>
      <w:r w:rsidRPr="00FE0534">
        <w:rPr>
          <w:lang w:val="en-GB"/>
        </w:rPr>
        <w:t xml:space="preserve">Rule of </w:t>
      </w:r>
      <w:r>
        <w:rPr>
          <w:lang w:val="en-GB"/>
        </w:rPr>
        <w:t>t</w:t>
      </w:r>
      <w:r w:rsidRPr="00FE0534">
        <w:rPr>
          <w:lang w:val="en-GB"/>
        </w:rPr>
        <w:t>error</w:t>
      </w:r>
      <w:r>
        <w:rPr>
          <w:lang w:val="en-GB"/>
        </w:rPr>
        <w:t>”</w:t>
      </w:r>
      <w:r w:rsidRPr="00FE0534">
        <w:rPr>
          <w:lang w:val="en-GB"/>
        </w:rPr>
        <w:t xml:space="preserve">, </w:t>
      </w:r>
      <w:r>
        <w:rPr>
          <w:lang w:val="en-GB"/>
        </w:rPr>
        <w:t>para. </w:t>
      </w:r>
      <w:r w:rsidRPr="002D207B">
        <w:rPr>
          <w:lang w:val="es-ES"/>
        </w:rPr>
        <w:t>9.</w:t>
      </w:r>
    </w:p>
  </w:footnote>
  <w:footnote w:id="23">
    <w:p w:rsidR="00722D6F" w:rsidRPr="00FE0534" w:rsidRDefault="00722D6F" w:rsidP="00A96403">
      <w:pPr>
        <w:pStyle w:val="FootnoteText"/>
        <w:rPr>
          <w:lang w:val="en-GB"/>
        </w:rPr>
      </w:pPr>
      <w:r w:rsidRPr="002D207B">
        <w:rPr>
          <w:lang w:val="es-ES"/>
        </w:rPr>
        <w:tab/>
      </w:r>
      <w:r w:rsidRPr="007C4BD4">
        <w:rPr>
          <w:rStyle w:val="FootnoteReference"/>
        </w:rPr>
        <w:footnoteRef/>
      </w:r>
      <w:r w:rsidRPr="00450324">
        <w:rPr>
          <w:vertAlign w:val="superscript"/>
          <w:lang w:val="es-ES"/>
        </w:rPr>
        <w:tab/>
      </w:r>
      <w:r w:rsidRPr="00450324">
        <w:rPr>
          <w:lang w:val="es-ES"/>
        </w:rPr>
        <w:t>Ibid</w:t>
      </w:r>
      <w:r w:rsidR="009F743D" w:rsidRPr="00450324">
        <w:rPr>
          <w:lang w:val="es-ES"/>
        </w:rPr>
        <w:t>.</w:t>
      </w:r>
      <w:r w:rsidRPr="00450324">
        <w:rPr>
          <w:lang w:val="es-ES"/>
        </w:rPr>
        <w:t>, para. 1, and A/HRC/28/69, para. </w:t>
      </w:r>
      <w:r w:rsidRPr="00FE0534">
        <w:rPr>
          <w:lang w:val="en-GB"/>
        </w:rPr>
        <w:t xml:space="preserve">35. </w:t>
      </w:r>
    </w:p>
  </w:footnote>
  <w:footnote w:id="24">
    <w:p w:rsidR="00722D6F" w:rsidRPr="00FE0534" w:rsidRDefault="00722D6F" w:rsidP="00A96403">
      <w:pPr>
        <w:pStyle w:val="FootnoteText"/>
        <w:rPr>
          <w:lang w:val="en-GB"/>
        </w:rPr>
      </w:pPr>
      <w:r>
        <w:rPr>
          <w:lang w:val="en-GB"/>
        </w:rPr>
        <w:tab/>
      </w:r>
      <w:r w:rsidRPr="007C4BD4">
        <w:rPr>
          <w:rStyle w:val="FootnoteReference"/>
        </w:rPr>
        <w:footnoteRef/>
      </w:r>
      <w:r>
        <w:rPr>
          <w:lang w:val="en-GB"/>
        </w:rPr>
        <w:tab/>
      </w:r>
      <w:r w:rsidRPr="00FE0534">
        <w:rPr>
          <w:lang w:val="en-GB"/>
        </w:rPr>
        <w:t xml:space="preserve">See </w:t>
      </w:r>
      <w:r>
        <w:rPr>
          <w:lang w:val="en-GB"/>
        </w:rPr>
        <w:t xml:space="preserve">British Broadcasting Corporation, “UK paying experts to build Islamic State war crimes case”, 3 September 2014. </w:t>
      </w:r>
      <w:proofErr w:type="gramStart"/>
      <w:r>
        <w:rPr>
          <w:lang w:val="en-GB"/>
        </w:rPr>
        <w:t>A</w:t>
      </w:r>
      <w:r w:rsidRPr="00FE0534">
        <w:rPr>
          <w:lang w:val="en-GB"/>
        </w:rPr>
        <w:t xml:space="preserve">vailable </w:t>
      </w:r>
      <w:r>
        <w:rPr>
          <w:lang w:val="en-GB"/>
        </w:rPr>
        <w:t xml:space="preserve">from </w:t>
      </w:r>
      <w:hyperlink r:id="rId3" w:history="1">
        <w:r w:rsidRPr="00B86734">
          <w:rPr>
            <w:rStyle w:val="Hyperlink"/>
            <w:lang w:val="en-GB"/>
          </w:rPr>
          <w:t>www.bbc.co.uk/news/world-middle-east-29052475</w:t>
        </w:r>
      </w:hyperlink>
      <w:r>
        <w:rPr>
          <w:lang w:val="en-GB"/>
        </w:rPr>
        <w:t>.</w:t>
      </w:r>
      <w:proofErr w:type="gramEnd"/>
    </w:p>
  </w:footnote>
  <w:footnote w:id="25">
    <w:p w:rsidR="00722D6F" w:rsidRPr="00FE0534" w:rsidRDefault="00722D6F" w:rsidP="00C35CAE">
      <w:pPr>
        <w:pStyle w:val="FootnoteText"/>
        <w:rPr>
          <w:lang w:val="en-GB"/>
        </w:rPr>
      </w:pPr>
      <w:r>
        <w:rPr>
          <w:lang w:val="en-GB"/>
        </w:rPr>
        <w:tab/>
      </w:r>
      <w:r w:rsidRPr="007C4BD4">
        <w:rPr>
          <w:rStyle w:val="FootnoteReference"/>
        </w:rPr>
        <w:footnoteRef/>
      </w:r>
      <w:r>
        <w:rPr>
          <w:lang w:val="en-GB"/>
        </w:rPr>
        <w:tab/>
        <w:t>See “</w:t>
      </w:r>
      <w:r w:rsidRPr="00FE0534">
        <w:rPr>
          <w:lang w:val="en-GB"/>
        </w:rPr>
        <w:t xml:space="preserve">Rule of </w:t>
      </w:r>
      <w:r>
        <w:rPr>
          <w:lang w:val="en-GB"/>
        </w:rPr>
        <w:t>t</w:t>
      </w:r>
      <w:r w:rsidRPr="00FE0534">
        <w:rPr>
          <w:lang w:val="en-GB"/>
        </w:rPr>
        <w:t>error</w:t>
      </w:r>
      <w:r>
        <w:rPr>
          <w:lang w:val="en-GB"/>
        </w:rPr>
        <w:t>”</w:t>
      </w:r>
      <w:r w:rsidRPr="00FE0534">
        <w:rPr>
          <w:lang w:val="en-GB"/>
        </w:rPr>
        <w:t xml:space="preserve">, </w:t>
      </w:r>
      <w:r>
        <w:rPr>
          <w:lang w:val="en-GB"/>
        </w:rPr>
        <w:t>para. </w:t>
      </w:r>
      <w:r w:rsidRPr="00FE0534">
        <w:rPr>
          <w:lang w:val="en-GB"/>
        </w:rPr>
        <w:t xml:space="preserve">13. </w:t>
      </w:r>
    </w:p>
  </w:footnote>
  <w:footnote w:id="26">
    <w:p w:rsidR="00722D6F" w:rsidRPr="00FE0534" w:rsidRDefault="00722D6F" w:rsidP="00CF0845">
      <w:pPr>
        <w:pStyle w:val="FootnoteText"/>
        <w:rPr>
          <w:lang w:val="en-GB"/>
        </w:rPr>
      </w:pPr>
      <w:r>
        <w:rPr>
          <w:lang w:val="en-GB"/>
        </w:rPr>
        <w:tab/>
      </w:r>
      <w:r w:rsidRPr="007C4BD4">
        <w:rPr>
          <w:rStyle w:val="FootnoteReference"/>
        </w:rPr>
        <w:footnoteRef/>
      </w:r>
      <w:r>
        <w:rPr>
          <w:lang w:val="en-GB"/>
        </w:rPr>
        <w:tab/>
        <w:t xml:space="preserve">See </w:t>
      </w:r>
      <w:r w:rsidRPr="00FE0534">
        <w:rPr>
          <w:lang w:val="en-GB"/>
        </w:rPr>
        <w:t xml:space="preserve">S/2014/815, </w:t>
      </w:r>
      <w:r>
        <w:rPr>
          <w:lang w:val="en-GB"/>
        </w:rPr>
        <w:t>paras. </w:t>
      </w:r>
      <w:proofErr w:type="gramStart"/>
      <w:r w:rsidRPr="00FE0534">
        <w:rPr>
          <w:lang w:val="en-GB"/>
        </w:rPr>
        <w:t>13</w:t>
      </w:r>
      <w:r>
        <w:rPr>
          <w:lang w:val="en-GB"/>
        </w:rPr>
        <w:t>–</w:t>
      </w:r>
      <w:r w:rsidRPr="00FE0534">
        <w:rPr>
          <w:lang w:val="en-GB"/>
        </w:rPr>
        <w:t>17.</w:t>
      </w:r>
      <w:proofErr w:type="gramEnd"/>
    </w:p>
  </w:footnote>
  <w:footnote w:id="27">
    <w:p w:rsidR="00722D6F" w:rsidRPr="00FE0534" w:rsidRDefault="00722D6F" w:rsidP="00FE0534">
      <w:pPr>
        <w:pStyle w:val="FootnoteText"/>
        <w:rPr>
          <w:lang w:val="en-GB"/>
        </w:rPr>
      </w:pPr>
      <w:r>
        <w:rPr>
          <w:lang w:val="en-GB"/>
        </w:rPr>
        <w:tab/>
      </w:r>
      <w:r w:rsidRPr="007C4BD4">
        <w:rPr>
          <w:rStyle w:val="FootnoteReference"/>
        </w:rPr>
        <w:footnoteRef/>
      </w:r>
      <w:r>
        <w:rPr>
          <w:lang w:val="en-GB"/>
        </w:rPr>
        <w:tab/>
        <w:t xml:space="preserve">See </w:t>
      </w:r>
      <w:r w:rsidRPr="00FE0534">
        <w:rPr>
          <w:lang w:val="en-GB"/>
        </w:rPr>
        <w:t xml:space="preserve">A/HRC/28/69, </w:t>
      </w:r>
      <w:r>
        <w:rPr>
          <w:lang w:val="en-GB"/>
        </w:rPr>
        <w:t>para. </w:t>
      </w:r>
      <w:r w:rsidRPr="00FE0534">
        <w:rPr>
          <w:lang w:val="en-GB"/>
        </w:rPr>
        <w:t>36.</w:t>
      </w:r>
    </w:p>
  </w:footnote>
  <w:footnote w:id="28">
    <w:p w:rsidR="00722D6F" w:rsidRPr="00FE0534" w:rsidRDefault="00722D6F" w:rsidP="009F743D">
      <w:pPr>
        <w:pStyle w:val="FootnoteText"/>
        <w:rPr>
          <w:lang w:val="en-GB"/>
        </w:rPr>
      </w:pPr>
      <w:r>
        <w:rPr>
          <w:lang w:val="en-GB"/>
        </w:rPr>
        <w:tab/>
      </w:r>
      <w:r w:rsidRPr="007C4BD4">
        <w:rPr>
          <w:rStyle w:val="FootnoteReference"/>
        </w:rPr>
        <w:footnoteRef/>
      </w:r>
      <w:r>
        <w:rPr>
          <w:lang w:val="en-GB"/>
        </w:rPr>
        <w:tab/>
        <w:t xml:space="preserve">See the </w:t>
      </w:r>
      <w:r w:rsidRPr="003C3554">
        <w:rPr>
          <w:lang w:val="en-GB"/>
        </w:rPr>
        <w:t>Report of the Special Rapporteur on the promotion and</w:t>
      </w:r>
      <w:r>
        <w:rPr>
          <w:lang w:val="en-GB"/>
        </w:rPr>
        <w:t xml:space="preserve"> </w:t>
      </w:r>
      <w:r w:rsidRPr="003C3554">
        <w:rPr>
          <w:lang w:val="en-GB"/>
        </w:rPr>
        <w:t>protection of human rights and fundamental freedoms while</w:t>
      </w:r>
      <w:r>
        <w:rPr>
          <w:lang w:val="en-GB"/>
        </w:rPr>
        <w:t xml:space="preserve"> </w:t>
      </w:r>
      <w:r w:rsidRPr="003C3554">
        <w:rPr>
          <w:lang w:val="en-GB"/>
        </w:rPr>
        <w:t xml:space="preserve">countering terrorism </w:t>
      </w:r>
      <w:r>
        <w:rPr>
          <w:lang w:val="en-GB"/>
        </w:rPr>
        <w:t>(</w:t>
      </w:r>
      <w:r w:rsidRPr="00FE0534">
        <w:rPr>
          <w:lang w:val="en-GB"/>
        </w:rPr>
        <w:t>A/68/389</w:t>
      </w:r>
      <w:r>
        <w:rPr>
          <w:lang w:val="en-GB"/>
        </w:rPr>
        <w:t>)</w:t>
      </w:r>
      <w:r w:rsidRPr="00FE0534">
        <w:rPr>
          <w:lang w:val="en-GB"/>
        </w:rPr>
        <w:t xml:space="preserve">, </w:t>
      </w:r>
      <w:r>
        <w:rPr>
          <w:lang w:val="en-GB"/>
        </w:rPr>
        <w:t>para. </w:t>
      </w:r>
      <w:r w:rsidRPr="00FE0534">
        <w:rPr>
          <w:lang w:val="en-GB"/>
        </w:rPr>
        <w:t xml:space="preserve">63. </w:t>
      </w:r>
      <w:r w:rsidRPr="00E706DF">
        <w:rPr>
          <w:lang w:val="en-GB"/>
        </w:rPr>
        <w:t xml:space="preserve">See also International Committee of the Red Cross, “How is the term ‘armed conflictʼ defined in international humanitarian law?”, opinion paper, March 2008. </w:t>
      </w:r>
      <w:proofErr w:type="gramStart"/>
      <w:r w:rsidRPr="00E706DF">
        <w:rPr>
          <w:lang w:val="en-GB"/>
        </w:rPr>
        <w:t xml:space="preserve">Available from </w:t>
      </w:r>
      <w:hyperlink r:id="rId4" w:history="1">
        <w:r w:rsidRPr="00E706DF">
          <w:t>www.icrc.org/eng/assets/files/other/opinion-paper-armed-conflict.pdf</w:t>
        </w:r>
      </w:hyperlink>
      <w:r w:rsidRPr="00E706DF">
        <w:rPr>
          <w:lang w:val="en-GB"/>
        </w:rPr>
        <w:t>.</w:t>
      </w:r>
      <w:proofErr w:type="gramEnd"/>
      <w:r w:rsidRPr="00E706DF">
        <w:rPr>
          <w:lang w:val="en-GB"/>
        </w:rPr>
        <w:t xml:space="preserve"> See also </w:t>
      </w:r>
      <w:r w:rsidRPr="00E706DF">
        <w:rPr>
          <w:rStyle w:val="preferred"/>
        </w:rPr>
        <w:t>International Tribunal for the Prosecution of Persons Responsible for Serious Violations of International Humanitarian Law Committed in the Territory of the Former Yugoslavia since 1991</w:t>
      </w:r>
      <w:r w:rsidRPr="00450324">
        <w:rPr>
          <w:rStyle w:val="preferred"/>
        </w:rPr>
        <w:t>,</w:t>
      </w:r>
      <w:r w:rsidRPr="00E706DF">
        <w:rPr>
          <w:rStyle w:val="preferred"/>
        </w:rPr>
        <w:t xml:space="preserve"> </w:t>
      </w:r>
      <w:r w:rsidRPr="00E706DF">
        <w:rPr>
          <w:lang w:val="en-GB"/>
        </w:rPr>
        <w:t xml:space="preserve">case </w:t>
      </w:r>
      <w:proofErr w:type="gramStart"/>
      <w:r w:rsidRPr="00E706DF">
        <w:rPr>
          <w:lang w:val="en-GB"/>
        </w:rPr>
        <w:t>No</w:t>
      </w:r>
      <w:proofErr w:type="gramEnd"/>
      <w:r w:rsidRPr="00E706DF">
        <w:rPr>
          <w:lang w:val="en-GB"/>
        </w:rPr>
        <w:t>. </w:t>
      </w:r>
      <w:proofErr w:type="gramStart"/>
      <w:r w:rsidRPr="00E706DF">
        <w:rPr>
          <w:lang w:val="en-GB"/>
        </w:rPr>
        <w:t xml:space="preserve">IT-94-1-A, </w:t>
      </w:r>
      <w:r w:rsidRPr="00E706DF">
        <w:rPr>
          <w:i/>
          <w:iCs/>
          <w:lang w:val="en-GB"/>
        </w:rPr>
        <w:t>Prosecutor v. Duško Tadic</w:t>
      </w:r>
      <w:r w:rsidRPr="00E706DF">
        <w:rPr>
          <w:lang w:val="en-GB"/>
        </w:rPr>
        <w:t>, para.</w:t>
      </w:r>
      <w:proofErr w:type="gramEnd"/>
      <w:r w:rsidRPr="00E706DF">
        <w:rPr>
          <w:lang w:val="en-GB"/>
        </w:rPr>
        <w:t> </w:t>
      </w:r>
      <w:proofErr w:type="gramStart"/>
      <w:r w:rsidRPr="00E706DF">
        <w:rPr>
          <w:lang w:val="en-GB"/>
        </w:rPr>
        <w:t>70</w:t>
      </w:r>
      <w:r w:rsidR="009F743D">
        <w:rPr>
          <w:lang w:val="en-GB"/>
        </w:rPr>
        <w:t>,</w:t>
      </w:r>
      <w:proofErr w:type="gramEnd"/>
      <w:r w:rsidRPr="00E706DF">
        <w:rPr>
          <w:lang w:val="en-GB"/>
        </w:rPr>
        <w:t xml:space="preserve"> and </w:t>
      </w:r>
      <w:r w:rsidR="009F743D">
        <w:rPr>
          <w:lang w:val="en-GB"/>
        </w:rPr>
        <w:t xml:space="preserve">case </w:t>
      </w:r>
      <w:r w:rsidRPr="00E706DF">
        <w:rPr>
          <w:lang w:val="en-GB"/>
        </w:rPr>
        <w:t>No. </w:t>
      </w:r>
      <w:proofErr w:type="gramStart"/>
      <w:r w:rsidRPr="00E706DF">
        <w:rPr>
          <w:lang w:val="en-GB"/>
        </w:rPr>
        <w:t xml:space="preserve">IT-04-84-T, </w:t>
      </w:r>
      <w:r w:rsidRPr="00E706DF">
        <w:rPr>
          <w:i/>
          <w:iCs/>
          <w:lang w:val="en-GB"/>
        </w:rPr>
        <w:t>Prosecutor v. Ramush Haradinaj et al</w:t>
      </w:r>
      <w:r w:rsidRPr="00E706DF">
        <w:rPr>
          <w:lang w:val="en-GB"/>
        </w:rPr>
        <w:t>, paras.</w:t>
      </w:r>
      <w:proofErr w:type="gramEnd"/>
      <w:r w:rsidRPr="00E706DF">
        <w:rPr>
          <w:lang w:val="en-GB"/>
        </w:rPr>
        <w:t> </w:t>
      </w:r>
      <w:proofErr w:type="gramStart"/>
      <w:r w:rsidRPr="00E706DF">
        <w:rPr>
          <w:lang w:val="en-GB"/>
        </w:rPr>
        <w:t>49 and 60.</w:t>
      </w:r>
      <w:proofErr w:type="gramEnd"/>
    </w:p>
  </w:footnote>
  <w:footnote w:id="29">
    <w:p w:rsidR="00722D6F" w:rsidRPr="00FE0534" w:rsidRDefault="00722D6F" w:rsidP="00FE0534">
      <w:pPr>
        <w:pStyle w:val="FootnoteText"/>
        <w:rPr>
          <w:lang w:val="en-GB"/>
        </w:rPr>
      </w:pPr>
      <w:r>
        <w:rPr>
          <w:lang w:val="en-GB"/>
        </w:rPr>
        <w:tab/>
      </w:r>
      <w:r w:rsidRPr="007C4BD4">
        <w:rPr>
          <w:rStyle w:val="FootnoteReference"/>
        </w:rPr>
        <w:footnoteRef/>
      </w:r>
      <w:r>
        <w:rPr>
          <w:lang w:val="en-GB"/>
        </w:rPr>
        <w:tab/>
      </w:r>
      <w:r w:rsidRPr="00FE0534">
        <w:rPr>
          <w:lang w:val="en-GB"/>
        </w:rPr>
        <w:t xml:space="preserve">See A/68/389, </w:t>
      </w:r>
      <w:r>
        <w:rPr>
          <w:lang w:val="en-GB"/>
        </w:rPr>
        <w:t>para. </w:t>
      </w:r>
      <w:r w:rsidRPr="00FE0534">
        <w:rPr>
          <w:lang w:val="en-GB"/>
        </w:rPr>
        <w:t>66.</w:t>
      </w:r>
    </w:p>
  </w:footnote>
  <w:footnote w:id="30">
    <w:p w:rsidR="00722D6F" w:rsidRPr="00FE0534" w:rsidRDefault="00722D6F" w:rsidP="00A8586B">
      <w:pPr>
        <w:pStyle w:val="FootnoteText"/>
        <w:rPr>
          <w:lang w:val="en-GB"/>
        </w:rPr>
      </w:pPr>
      <w:r>
        <w:rPr>
          <w:lang w:val="en-GB"/>
        </w:rPr>
        <w:tab/>
      </w:r>
      <w:r w:rsidRPr="007C4BD4">
        <w:rPr>
          <w:rStyle w:val="FootnoteReference"/>
        </w:rPr>
        <w:footnoteRef/>
      </w:r>
      <w:r>
        <w:rPr>
          <w:lang w:val="en-GB"/>
        </w:rPr>
        <w:tab/>
      </w:r>
      <w:r w:rsidRPr="00FE0534">
        <w:rPr>
          <w:lang w:val="en-GB"/>
        </w:rPr>
        <w:t>For Iraq</w:t>
      </w:r>
      <w:r>
        <w:rPr>
          <w:lang w:val="en-GB"/>
        </w:rPr>
        <w:t>,</w:t>
      </w:r>
      <w:r w:rsidRPr="00FE0534">
        <w:rPr>
          <w:lang w:val="en-GB"/>
        </w:rPr>
        <w:t xml:space="preserve"> see A/HRC/28/18, </w:t>
      </w:r>
      <w:r>
        <w:rPr>
          <w:lang w:val="en-GB"/>
        </w:rPr>
        <w:t>para. </w:t>
      </w:r>
      <w:r w:rsidRPr="00FE0534">
        <w:rPr>
          <w:lang w:val="en-GB"/>
        </w:rPr>
        <w:t xml:space="preserve">13. For </w:t>
      </w:r>
      <w:r>
        <w:rPr>
          <w:lang w:val="en-GB"/>
        </w:rPr>
        <w:t>the Syrian Arab Republic,</w:t>
      </w:r>
      <w:r w:rsidRPr="00FE0534">
        <w:rPr>
          <w:lang w:val="en-GB"/>
        </w:rPr>
        <w:t xml:space="preserve"> see A/HRC/28/69, </w:t>
      </w:r>
      <w:r>
        <w:rPr>
          <w:lang w:val="en-GB"/>
        </w:rPr>
        <w:t>para. </w:t>
      </w:r>
      <w:r w:rsidRPr="00FE0534">
        <w:rPr>
          <w:lang w:val="en-GB"/>
        </w:rPr>
        <w:t xml:space="preserve">1. </w:t>
      </w:r>
      <w:r>
        <w:rPr>
          <w:lang w:val="en-GB"/>
        </w:rPr>
        <w:t xml:space="preserve">In his report on </w:t>
      </w:r>
      <w:r w:rsidRPr="00FE0534">
        <w:rPr>
          <w:lang w:val="en-GB"/>
        </w:rPr>
        <w:t>the implementation of S</w:t>
      </w:r>
      <w:r>
        <w:rPr>
          <w:lang w:val="en-GB"/>
        </w:rPr>
        <w:t xml:space="preserve">ecurity </w:t>
      </w:r>
      <w:r w:rsidRPr="00FE0534">
        <w:rPr>
          <w:lang w:val="en-GB"/>
        </w:rPr>
        <w:t>C</w:t>
      </w:r>
      <w:r>
        <w:rPr>
          <w:lang w:val="en-GB"/>
        </w:rPr>
        <w:t xml:space="preserve">ouncil </w:t>
      </w:r>
      <w:r w:rsidRPr="00FE0534">
        <w:rPr>
          <w:lang w:val="en-GB"/>
        </w:rPr>
        <w:t xml:space="preserve">resolutions 2139 </w:t>
      </w:r>
      <w:r>
        <w:rPr>
          <w:lang w:val="en-GB"/>
        </w:rPr>
        <w:t xml:space="preserve">(2014) </w:t>
      </w:r>
      <w:r w:rsidRPr="00FE0534">
        <w:rPr>
          <w:lang w:val="en-GB"/>
        </w:rPr>
        <w:t>and 2165</w:t>
      </w:r>
      <w:r>
        <w:rPr>
          <w:lang w:val="en-GB"/>
        </w:rPr>
        <w:t xml:space="preserve"> (2014), t</w:t>
      </w:r>
      <w:r w:rsidRPr="00FE0534">
        <w:rPr>
          <w:lang w:val="en-GB"/>
        </w:rPr>
        <w:t xml:space="preserve">he Secretary-General referred to a “complex, protracted regional conflict” </w:t>
      </w:r>
      <w:r>
        <w:rPr>
          <w:lang w:val="en-GB"/>
        </w:rPr>
        <w:t xml:space="preserve">(see </w:t>
      </w:r>
      <w:r w:rsidRPr="00FE0534">
        <w:rPr>
          <w:lang w:val="en-GB"/>
        </w:rPr>
        <w:t>S/2014/756</w:t>
      </w:r>
      <w:r>
        <w:rPr>
          <w:lang w:val="en-GB"/>
        </w:rPr>
        <w:t>, para. </w:t>
      </w:r>
      <w:r w:rsidRPr="00FE0534">
        <w:rPr>
          <w:lang w:val="en-GB"/>
        </w:rPr>
        <w:t>58</w:t>
      </w:r>
      <w:r>
        <w:rPr>
          <w:lang w:val="en-GB"/>
        </w:rPr>
        <w:t>)</w:t>
      </w:r>
      <w:r w:rsidRPr="00FE0534">
        <w:rPr>
          <w:lang w:val="en-GB"/>
        </w:rPr>
        <w:t>.</w:t>
      </w:r>
    </w:p>
  </w:footnote>
  <w:footnote w:id="31">
    <w:p w:rsidR="00722D6F" w:rsidRPr="00FE0534" w:rsidRDefault="00722D6F" w:rsidP="00C05CD1">
      <w:pPr>
        <w:pStyle w:val="FootnoteText"/>
        <w:rPr>
          <w:lang w:val="en-GB"/>
        </w:rPr>
      </w:pPr>
      <w:r>
        <w:rPr>
          <w:lang w:val="en-GB"/>
        </w:rPr>
        <w:tab/>
      </w:r>
      <w:r w:rsidRPr="007C4BD4">
        <w:rPr>
          <w:rStyle w:val="FootnoteReference"/>
        </w:rPr>
        <w:footnoteRef/>
      </w:r>
      <w:r>
        <w:rPr>
          <w:lang w:val="en-GB"/>
        </w:rPr>
        <w:tab/>
      </w:r>
      <w:r w:rsidRPr="00FE0534">
        <w:rPr>
          <w:lang w:val="en-GB"/>
        </w:rPr>
        <w:t xml:space="preserve">Neither Iraq nor </w:t>
      </w:r>
      <w:r>
        <w:rPr>
          <w:lang w:val="en-GB"/>
        </w:rPr>
        <w:t>the Syrian Arab Republic</w:t>
      </w:r>
      <w:r w:rsidRPr="00FE0534">
        <w:rPr>
          <w:lang w:val="en-GB"/>
        </w:rPr>
        <w:t xml:space="preserve"> have acceded to the </w:t>
      </w:r>
      <w:r>
        <w:rPr>
          <w:lang w:val="en-GB"/>
        </w:rPr>
        <w:t>p</w:t>
      </w:r>
      <w:r w:rsidRPr="00FE0534">
        <w:rPr>
          <w:lang w:val="en-GB"/>
        </w:rPr>
        <w:t xml:space="preserve">rotocol </w:t>
      </w:r>
      <w:r>
        <w:rPr>
          <w:lang w:val="en-GB"/>
        </w:rPr>
        <w:t>a</w:t>
      </w:r>
      <w:r w:rsidRPr="00FE0534">
        <w:rPr>
          <w:lang w:val="en-GB"/>
        </w:rPr>
        <w:t>dditional to the Geneva Conventions of 12 August 1949</w:t>
      </w:r>
      <w:r>
        <w:rPr>
          <w:lang w:val="en-GB"/>
        </w:rPr>
        <w:t>,</w:t>
      </w:r>
      <w:r w:rsidRPr="00FE0534">
        <w:rPr>
          <w:lang w:val="en-GB"/>
        </w:rPr>
        <w:t xml:space="preserve"> and relating to the </w:t>
      </w:r>
      <w:r>
        <w:rPr>
          <w:lang w:val="en-GB"/>
        </w:rPr>
        <w:t>p</w:t>
      </w:r>
      <w:r w:rsidRPr="00FE0534">
        <w:rPr>
          <w:lang w:val="en-GB"/>
        </w:rPr>
        <w:t xml:space="preserve">rotection of </w:t>
      </w:r>
      <w:r>
        <w:rPr>
          <w:lang w:val="en-GB"/>
        </w:rPr>
        <w:t>v</w:t>
      </w:r>
      <w:r w:rsidRPr="00FE0534">
        <w:rPr>
          <w:lang w:val="en-GB"/>
        </w:rPr>
        <w:t xml:space="preserve">ictims of </w:t>
      </w:r>
      <w:r>
        <w:rPr>
          <w:lang w:val="en-GB"/>
        </w:rPr>
        <w:t>n</w:t>
      </w:r>
      <w:r w:rsidRPr="00FE0534">
        <w:rPr>
          <w:lang w:val="en-GB"/>
        </w:rPr>
        <w:t>on-</w:t>
      </w:r>
      <w:r>
        <w:rPr>
          <w:lang w:val="en-GB"/>
        </w:rPr>
        <w:t>i</w:t>
      </w:r>
      <w:r w:rsidRPr="00FE0534">
        <w:rPr>
          <w:lang w:val="en-GB"/>
        </w:rPr>
        <w:t xml:space="preserve">nternational </w:t>
      </w:r>
      <w:r>
        <w:rPr>
          <w:lang w:val="en-GB"/>
        </w:rPr>
        <w:t>a</w:t>
      </w:r>
      <w:r w:rsidRPr="00FE0534">
        <w:rPr>
          <w:lang w:val="en-GB"/>
        </w:rPr>
        <w:t xml:space="preserve">rmed </w:t>
      </w:r>
      <w:r>
        <w:rPr>
          <w:lang w:val="en-GB"/>
        </w:rPr>
        <w:t>c</w:t>
      </w:r>
      <w:r w:rsidRPr="00FE0534">
        <w:rPr>
          <w:lang w:val="en-GB"/>
        </w:rPr>
        <w:t>onflicts. They are also not part</w:t>
      </w:r>
      <w:r>
        <w:rPr>
          <w:lang w:val="en-GB"/>
        </w:rPr>
        <w:t>ies</w:t>
      </w:r>
      <w:r w:rsidRPr="00FE0534">
        <w:rPr>
          <w:lang w:val="en-GB"/>
        </w:rPr>
        <w:t xml:space="preserve"> to the Rome Statute of the International Criminal Court.</w:t>
      </w:r>
    </w:p>
  </w:footnote>
  <w:footnote w:id="32">
    <w:p w:rsidR="00722D6F" w:rsidRPr="00FE0534" w:rsidRDefault="00722D6F" w:rsidP="009F743D">
      <w:pPr>
        <w:pStyle w:val="FootnoteText"/>
        <w:rPr>
          <w:lang w:val="en-GB"/>
        </w:rPr>
      </w:pPr>
      <w:r>
        <w:rPr>
          <w:lang w:val="en-GB"/>
        </w:rPr>
        <w:tab/>
      </w:r>
      <w:r w:rsidRPr="007C4BD4">
        <w:rPr>
          <w:rStyle w:val="FootnoteReference"/>
        </w:rPr>
        <w:footnoteRef/>
      </w:r>
      <w:r>
        <w:rPr>
          <w:lang w:val="en-GB"/>
        </w:rPr>
        <w:tab/>
      </w:r>
      <w:r w:rsidRPr="00FE0534">
        <w:rPr>
          <w:lang w:val="en-GB"/>
        </w:rPr>
        <w:t xml:space="preserve">For an overview of the legal framework applicable in </w:t>
      </w:r>
      <w:r>
        <w:rPr>
          <w:lang w:val="en-GB"/>
        </w:rPr>
        <w:t>the Syrian Arab Republic</w:t>
      </w:r>
      <w:r w:rsidRPr="00FE0534">
        <w:rPr>
          <w:lang w:val="en-GB"/>
        </w:rPr>
        <w:t xml:space="preserve">, see </w:t>
      </w:r>
      <w:r>
        <w:rPr>
          <w:lang w:val="en-GB"/>
        </w:rPr>
        <w:t>the r</w:t>
      </w:r>
      <w:r w:rsidRPr="00FE0534">
        <w:rPr>
          <w:lang w:val="en-GB"/>
        </w:rPr>
        <w:t xml:space="preserve">eport of the </w:t>
      </w:r>
      <w:r>
        <w:rPr>
          <w:lang w:val="en-GB"/>
        </w:rPr>
        <w:t>independent international c</w:t>
      </w:r>
      <w:r w:rsidRPr="00FE0534">
        <w:rPr>
          <w:lang w:val="en-GB"/>
        </w:rPr>
        <w:t xml:space="preserve">ommission of </w:t>
      </w:r>
      <w:r>
        <w:rPr>
          <w:lang w:val="en-GB"/>
        </w:rPr>
        <w:t>i</w:t>
      </w:r>
      <w:r w:rsidRPr="00FE0534">
        <w:rPr>
          <w:lang w:val="en-GB"/>
        </w:rPr>
        <w:t>nquiry</w:t>
      </w:r>
      <w:r>
        <w:rPr>
          <w:lang w:val="en-GB"/>
        </w:rPr>
        <w:t xml:space="preserve"> on the Syrian Arab Republic</w:t>
      </w:r>
      <w:r w:rsidRPr="00FE0534">
        <w:rPr>
          <w:lang w:val="en-GB"/>
        </w:rPr>
        <w:t xml:space="preserve"> </w:t>
      </w:r>
      <w:r>
        <w:rPr>
          <w:lang w:val="en-GB"/>
        </w:rPr>
        <w:t>(</w:t>
      </w:r>
      <w:r w:rsidRPr="00FE0534">
        <w:rPr>
          <w:lang w:val="en-GB"/>
        </w:rPr>
        <w:t>A/HRC/21/50</w:t>
      </w:r>
      <w:r>
        <w:rPr>
          <w:lang w:val="en-GB"/>
        </w:rPr>
        <w:t>)</w:t>
      </w:r>
      <w:r w:rsidR="009F743D">
        <w:rPr>
          <w:lang w:val="en-GB"/>
        </w:rPr>
        <w:t>,</w:t>
      </w:r>
      <w:r w:rsidRPr="00FE0534">
        <w:rPr>
          <w:lang w:val="en-GB"/>
        </w:rPr>
        <w:t xml:space="preserve"> </w:t>
      </w:r>
      <w:r>
        <w:rPr>
          <w:lang w:val="en-GB"/>
        </w:rPr>
        <w:t>a</w:t>
      </w:r>
      <w:r w:rsidRPr="00FE0534">
        <w:rPr>
          <w:lang w:val="en-GB"/>
        </w:rPr>
        <w:t>nnex 2.</w:t>
      </w:r>
    </w:p>
  </w:footnote>
  <w:footnote w:id="33">
    <w:p w:rsidR="00722D6F" w:rsidRPr="00FE0534" w:rsidRDefault="00722D6F" w:rsidP="009F743D">
      <w:pPr>
        <w:pStyle w:val="FootnoteText"/>
        <w:rPr>
          <w:lang w:val="en-GB"/>
        </w:rPr>
      </w:pPr>
      <w:r>
        <w:rPr>
          <w:lang w:val="en-GB"/>
        </w:rPr>
        <w:tab/>
      </w:r>
      <w:r w:rsidRPr="007C4BD4">
        <w:rPr>
          <w:rStyle w:val="FootnoteReference"/>
        </w:rPr>
        <w:footnoteRef/>
      </w:r>
      <w:r>
        <w:rPr>
          <w:lang w:val="en-GB"/>
        </w:rPr>
        <w:tab/>
      </w:r>
      <w:r w:rsidRPr="00FE0534">
        <w:rPr>
          <w:lang w:val="en-GB"/>
        </w:rPr>
        <w:t>For a full list, for Iraq</w:t>
      </w:r>
      <w:r>
        <w:rPr>
          <w:lang w:val="en-GB"/>
        </w:rPr>
        <w:t>,</w:t>
      </w:r>
      <w:r w:rsidRPr="00FE0534">
        <w:rPr>
          <w:lang w:val="en-GB"/>
        </w:rPr>
        <w:t xml:space="preserve"> </w:t>
      </w:r>
      <w:r w:rsidR="009F743D" w:rsidRPr="00FE0534">
        <w:rPr>
          <w:lang w:val="en-GB"/>
        </w:rPr>
        <w:t xml:space="preserve">see </w:t>
      </w:r>
      <w:r w:rsidRPr="00FE0534">
        <w:rPr>
          <w:lang w:val="en-GB"/>
        </w:rPr>
        <w:t xml:space="preserve">UNAMI/OHCHR, </w:t>
      </w:r>
      <w:r>
        <w:rPr>
          <w:lang w:val="en-GB"/>
        </w:rPr>
        <w:t>“R</w:t>
      </w:r>
      <w:r w:rsidRPr="00FE0534">
        <w:rPr>
          <w:lang w:val="en-GB"/>
        </w:rPr>
        <w:t xml:space="preserve">eport on the </w:t>
      </w:r>
      <w:r>
        <w:rPr>
          <w:lang w:val="en-GB"/>
        </w:rPr>
        <w:t>P</w:t>
      </w:r>
      <w:r w:rsidRPr="00FE0534">
        <w:rPr>
          <w:lang w:val="en-GB"/>
        </w:rPr>
        <w:t xml:space="preserve">rotection of </w:t>
      </w:r>
      <w:r>
        <w:rPr>
          <w:lang w:val="en-GB"/>
        </w:rPr>
        <w:t>C</w:t>
      </w:r>
      <w:r w:rsidRPr="00FE0534">
        <w:rPr>
          <w:lang w:val="en-GB"/>
        </w:rPr>
        <w:t xml:space="preserve">ivilians in the </w:t>
      </w:r>
      <w:r>
        <w:rPr>
          <w:lang w:val="en-GB"/>
        </w:rPr>
        <w:t>Non International A</w:t>
      </w:r>
      <w:r w:rsidRPr="00FE0534">
        <w:rPr>
          <w:lang w:val="en-GB"/>
        </w:rPr>
        <w:t xml:space="preserve">rmed </w:t>
      </w:r>
      <w:r>
        <w:rPr>
          <w:lang w:val="en-GB"/>
        </w:rPr>
        <w:t>C</w:t>
      </w:r>
      <w:r w:rsidRPr="00FE0534">
        <w:rPr>
          <w:lang w:val="en-GB"/>
        </w:rPr>
        <w:t>onflict in Iraq: 5 June–5 July 2014</w:t>
      </w:r>
      <w:r>
        <w:rPr>
          <w:lang w:val="en-GB"/>
        </w:rPr>
        <w:t>”</w:t>
      </w:r>
      <w:r w:rsidRPr="00FE0534">
        <w:rPr>
          <w:lang w:val="en-GB"/>
        </w:rPr>
        <w:t>, p.</w:t>
      </w:r>
      <w:r>
        <w:rPr>
          <w:lang w:val="en-GB"/>
        </w:rPr>
        <w:t xml:space="preserve"> </w:t>
      </w:r>
      <w:r w:rsidRPr="00FE0534">
        <w:rPr>
          <w:lang w:val="en-GB"/>
        </w:rPr>
        <w:t>6</w:t>
      </w:r>
      <w:r>
        <w:rPr>
          <w:lang w:val="en-GB"/>
        </w:rPr>
        <w:t>;</w:t>
      </w:r>
      <w:r w:rsidRPr="00FE0534">
        <w:rPr>
          <w:lang w:val="en-GB"/>
        </w:rPr>
        <w:t xml:space="preserve"> for </w:t>
      </w:r>
      <w:r w:rsidR="001E648E">
        <w:rPr>
          <w:lang w:val="en-GB"/>
        </w:rPr>
        <w:t xml:space="preserve">the </w:t>
      </w:r>
      <w:r w:rsidRPr="00FE0534">
        <w:rPr>
          <w:lang w:val="en-GB"/>
        </w:rPr>
        <w:t>Syria</w:t>
      </w:r>
      <w:r w:rsidR="001E648E">
        <w:rPr>
          <w:lang w:val="en-GB"/>
        </w:rPr>
        <w:t>n Arab Republic</w:t>
      </w:r>
      <w:r>
        <w:rPr>
          <w:lang w:val="en-GB"/>
        </w:rPr>
        <w:t>, see</w:t>
      </w:r>
      <w:r w:rsidRPr="00FE0534">
        <w:rPr>
          <w:lang w:val="en-GB"/>
        </w:rPr>
        <w:t xml:space="preserve"> A/HRC/21/50, </w:t>
      </w:r>
      <w:r>
        <w:rPr>
          <w:lang w:val="en-GB"/>
        </w:rPr>
        <w:t>a</w:t>
      </w:r>
      <w:r w:rsidRPr="00FE0534">
        <w:rPr>
          <w:lang w:val="en-GB"/>
        </w:rPr>
        <w:t xml:space="preserve">nnex 2, </w:t>
      </w:r>
      <w:r>
        <w:rPr>
          <w:lang w:val="en-GB"/>
        </w:rPr>
        <w:t>para. </w:t>
      </w:r>
      <w:r w:rsidRPr="00FE0534">
        <w:rPr>
          <w:lang w:val="en-GB"/>
        </w:rPr>
        <w:t>8.</w:t>
      </w:r>
    </w:p>
  </w:footnote>
  <w:footnote w:id="34">
    <w:p w:rsidR="00722D6F" w:rsidRPr="00FE0534" w:rsidRDefault="00722D6F" w:rsidP="00D626EA">
      <w:pPr>
        <w:pStyle w:val="FootnoteText"/>
        <w:rPr>
          <w:lang w:val="en-GB"/>
        </w:rPr>
      </w:pPr>
      <w:r>
        <w:rPr>
          <w:lang w:val="en-GB"/>
        </w:rPr>
        <w:tab/>
      </w:r>
      <w:r w:rsidRPr="007C4BD4">
        <w:rPr>
          <w:rStyle w:val="FootnoteReference"/>
        </w:rPr>
        <w:footnoteRef/>
      </w:r>
      <w:r>
        <w:rPr>
          <w:lang w:val="en-GB"/>
        </w:rPr>
        <w:tab/>
      </w:r>
      <w:r w:rsidRPr="00FE0534">
        <w:rPr>
          <w:lang w:val="en-GB"/>
        </w:rPr>
        <w:t xml:space="preserve">See A/HRC/28/18 and UNAMI/OHCHR </w:t>
      </w:r>
      <w:r>
        <w:rPr>
          <w:lang w:val="en-GB"/>
        </w:rPr>
        <w:t xml:space="preserve">“Report on the </w:t>
      </w:r>
      <w:r w:rsidRPr="00FE0534">
        <w:rPr>
          <w:lang w:val="en-GB"/>
        </w:rPr>
        <w:t>Protection of Civilian</w:t>
      </w:r>
      <w:r>
        <w:rPr>
          <w:lang w:val="en-GB"/>
        </w:rPr>
        <w:t xml:space="preserve">s </w:t>
      </w:r>
      <w:r w:rsidRPr="00FE0534">
        <w:rPr>
          <w:lang w:val="en-GB"/>
        </w:rPr>
        <w:t xml:space="preserve">in the </w:t>
      </w:r>
      <w:r>
        <w:rPr>
          <w:lang w:val="en-GB"/>
        </w:rPr>
        <w:t>Non International A</w:t>
      </w:r>
      <w:r w:rsidRPr="00FE0534">
        <w:rPr>
          <w:lang w:val="en-GB"/>
        </w:rPr>
        <w:t xml:space="preserve">rmed </w:t>
      </w:r>
      <w:r>
        <w:rPr>
          <w:lang w:val="en-GB"/>
        </w:rPr>
        <w:t>C</w:t>
      </w:r>
      <w:r w:rsidRPr="00FE0534">
        <w:rPr>
          <w:lang w:val="en-GB"/>
        </w:rPr>
        <w:t>onflict in Iraq: 5 June–5 July 2014</w:t>
      </w:r>
      <w:r>
        <w:rPr>
          <w:lang w:val="en-GB"/>
        </w:rPr>
        <w:t>”</w:t>
      </w:r>
      <w:r w:rsidRPr="00FE0534">
        <w:rPr>
          <w:lang w:val="en-GB"/>
        </w:rPr>
        <w:t>.</w:t>
      </w:r>
    </w:p>
  </w:footnote>
  <w:footnote w:id="35">
    <w:p w:rsidR="00722D6F" w:rsidRPr="00FE0534" w:rsidRDefault="00722D6F" w:rsidP="00755616">
      <w:pPr>
        <w:pStyle w:val="FootnoteText"/>
        <w:rPr>
          <w:lang w:val="en-GB"/>
        </w:rPr>
      </w:pPr>
      <w:r>
        <w:rPr>
          <w:lang w:val="en-GB"/>
        </w:rPr>
        <w:tab/>
      </w:r>
      <w:r w:rsidRPr="007C4BD4">
        <w:rPr>
          <w:rStyle w:val="FootnoteReference"/>
        </w:rPr>
        <w:footnoteRef/>
      </w:r>
      <w:r>
        <w:rPr>
          <w:lang w:val="en-GB"/>
        </w:rPr>
        <w:tab/>
      </w:r>
      <w:r w:rsidRPr="00FE0534">
        <w:rPr>
          <w:lang w:val="en-GB"/>
        </w:rPr>
        <w:t>See A/HRC/28/18</w:t>
      </w:r>
      <w:r>
        <w:rPr>
          <w:lang w:val="en-GB"/>
        </w:rPr>
        <w:t>,</w:t>
      </w:r>
      <w:r w:rsidRPr="00FE0534">
        <w:rPr>
          <w:lang w:val="en-GB"/>
        </w:rPr>
        <w:t xml:space="preserve"> </w:t>
      </w:r>
      <w:r>
        <w:rPr>
          <w:lang w:val="en-GB"/>
        </w:rPr>
        <w:t>para. </w:t>
      </w:r>
      <w:r w:rsidRPr="00FE0534">
        <w:rPr>
          <w:lang w:val="en-GB"/>
        </w:rPr>
        <w:t>76</w:t>
      </w:r>
      <w:r>
        <w:rPr>
          <w:lang w:val="en-GB"/>
        </w:rPr>
        <w:t>, and “</w:t>
      </w:r>
      <w:r w:rsidRPr="00FE0534">
        <w:rPr>
          <w:lang w:val="en-GB"/>
        </w:rPr>
        <w:t>Rule of terror</w:t>
      </w:r>
      <w:r>
        <w:rPr>
          <w:lang w:val="en-GB"/>
        </w:rPr>
        <w:t>”</w:t>
      </w:r>
      <w:r w:rsidRPr="00FE0534">
        <w:rPr>
          <w:lang w:val="en-GB"/>
        </w:rPr>
        <w:t xml:space="preserve">, </w:t>
      </w:r>
      <w:r>
        <w:rPr>
          <w:lang w:val="en-GB"/>
        </w:rPr>
        <w:t>paras. </w:t>
      </w:r>
      <w:proofErr w:type="gramStart"/>
      <w:r w:rsidRPr="00FE0534">
        <w:rPr>
          <w:lang w:val="en-GB"/>
        </w:rPr>
        <w:t>74, 77 and 78.</w:t>
      </w:r>
      <w:proofErr w:type="gramEnd"/>
    </w:p>
  </w:footnote>
  <w:footnote w:id="36">
    <w:p w:rsidR="00722D6F" w:rsidRPr="00922F7A" w:rsidRDefault="00722D6F" w:rsidP="00C35CAE">
      <w:pPr>
        <w:pStyle w:val="FootnoteText"/>
      </w:pPr>
      <w:r>
        <w:rPr>
          <w:lang w:val="en-GB"/>
        </w:rPr>
        <w:tab/>
      </w:r>
      <w:r w:rsidRPr="007C4BD4">
        <w:rPr>
          <w:rStyle w:val="FootnoteReference"/>
        </w:rPr>
        <w:footnoteRef/>
      </w:r>
      <w:r>
        <w:rPr>
          <w:lang w:val="en-GB"/>
        </w:rPr>
        <w:tab/>
      </w:r>
      <w:r w:rsidRPr="00FE0534">
        <w:rPr>
          <w:lang w:val="en-GB"/>
        </w:rPr>
        <w:t>See</w:t>
      </w:r>
      <w:r>
        <w:rPr>
          <w:lang w:val="en-GB"/>
        </w:rPr>
        <w:t>, for example,</w:t>
      </w:r>
      <w:r w:rsidRPr="00FE0534">
        <w:rPr>
          <w:lang w:val="en-GB"/>
        </w:rPr>
        <w:t xml:space="preserve"> </w:t>
      </w:r>
      <w:r w:rsidRPr="00C35CAE">
        <w:rPr>
          <w:lang w:val="en-GB"/>
        </w:rPr>
        <w:t>A/HRC/28/69</w:t>
      </w:r>
      <w:r w:rsidRPr="00FE0534">
        <w:rPr>
          <w:lang w:val="en-GB"/>
        </w:rPr>
        <w:t>, para</w:t>
      </w:r>
      <w:r>
        <w:rPr>
          <w:lang w:val="en-GB"/>
        </w:rPr>
        <w:t>. </w:t>
      </w:r>
      <w:r w:rsidRPr="00922F7A">
        <w:t>75.</w:t>
      </w:r>
    </w:p>
  </w:footnote>
  <w:footnote w:id="37">
    <w:p w:rsidR="00722D6F" w:rsidRPr="002D207B" w:rsidRDefault="00722D6F" w:rsidP="00FE0534">
      <w:pPr>
        <w:pStyle w:val="FootnoteText"/>
        <w:rPr>
          <w:lang w:val="en-GB"/>
        </w:rPr>
      </w:pPr>
      <w:r w:rsidRPr="00922F7A">
        <w:tab/>
      </w:r>
      <w:r w:rsidRPr="007C4BD4">
        <w:rPr>
          <w:rStyle w:val="FootnoteReference"/>
        </w:rPr>
        <w:footnoteRef/>
      </w:r>
      <w:r w:rsidRPr="00922F7A">
        <w:tab/>
        <w:t>See A/HRC/28/18, para. </w:t>
      </w:r>
      <w:r w:rsidRPr="002D207B">
        <w:rPr>
          <w:lang w:val="en-GB"/>
        </w:rPr>
        <w:t>16.</w:t>
      </w:r>
    </w:p>
  </w:footnote>
  <w:footnote w:id="38">
    <w:p w:rsidR="00722D6F" w:rsidRPr="002D207B" w:rsidRDefault="00722D6F" w:rsidP="00CA5BFB">
      <w:pPr>
        <w:pStyle w:val="FootnoteText"/>
        <w:rPr>
          <w:lang w:val="es-ES"/>
        </w:rPr>
      </w:pPr>
      <w:r w:rsidRPr="002D207B">
        <w:rPr>
          <w:lang w:val="en-GB"/>
        </w:rPr>
        <w:tab/>
      </w:r>
      <w:r w:rsidRPr="007C4BD4">
        <w:rPr>
          <w:rStyle w:val="FootnoteReference"/>
        </w:rPr>
        <w:footnoteRef/>
      </w:r>
      <w:r w:rsidRPr="00922F7A">
        <w:tab/>
      </w:r>
      <w:proofErr w:type="gramStart"/>
      <w:r>
        <w:t>Ibid.</w:t>
      </w:r>
      <w:r w:rsidRPr="00922F7A">
        <w:t>,</w:t>
      </w:r>
      <w:proofErr w:type="gramEnd"/>
      <w:r w:rsidRPr="00922F7A">
        <w:t xml:space="preserve"> para. </w:t>
      </w:r>
      <w:r w:rsidRPr="00FE0534">
        <w:rPr>
          <w:lang w:val="en-GB"/>
        </w:rPr>
        <w:t xml:space="preserve">16, and </w:t>
      </w:r>
      <w:r>
        <w:rPr>
          <w:lang w:val="en-GB"/>
        </w:rPr>
        <w:t>“</w:t>
      </w:r>
      <w:r w:rsidRPr="00FE0534">
        <w:rPr>
          <w:lang w:val="en-GB"/>
        </w:rPr>
        <w:t xml:space="preserve">Rule of </w:t>
      </w:r>
      <w:r>
        <w:rPr>
          <w:lang w:val="en-GB"/>
        </w:rPr>
        <w:t>t</w:t>
      </w:r>
      <w:r w:rsidRPr="00FE0534">
        <w:rPr>
          <w:lang w:val="en-GB"/>
        </w:rPr>
        <w:t>error</w:t>
      </w:r>
      <w:r>
        <w:rPr>
          <w:lang w:val="en-GB"/>
        </w:rPr>
        <w:t>”</w:t>
      </w:r>
      <w:r w:rsidRPr="00FE0534">
        <w:rPr>
          <w:lang w:val="en-GB"/>
        </w:rPr>
        <w:t xml:space="preserve">, </w:t>
      </w:r>
      <w:r>
        <w:rPr>
          <w:lang w:val="en-GB"/>
        </w:rPr>
        <w:t>paras. </w:t>
      </w:r>
      <w:r w:rsidRPr="002D207B">
        <w:rPr>
          <w:lang w:val="es-ES"/>
        </w:rPr>
        <w:t>24–31.</w:t>
      </w:r>
    </w:p>
  </w:footnote>
  <w:footnote w:id="39">
    <w:p w:rsidR="00722D6F" w:rsidRPr="002D207B" w:rsidRDefault="00722D6F" w:rsidP="00755616">
      <w:pPr>
        <w:pStyle w:val="FootnoteText"/>
        <w:rPr>
          <w:lang w:val="es-ES"/>
        </w:rPr>
      </w:pPr>
      <w:r w:rsidRPr="002D207B">
        <w:rPr>
          <w:lang w:val="es-ES"/>
        </w:rPr>
        <w:tab/>
      </w:r>
      <w:r w:rsidRPr="007C4BD4">
        <w:rPr>
          <w:rStyle w:val="FootnoteReference"/>
        </w:rPr>
        <w:footnoteRef/>
      </w:r>
      <w:r w:rsidRPr="002D207B">
        <w:rPr>
          <w:lang w:val="es-ES"/>
        </w:rPr>
        <w:tab/>
        <w:t>See A/HRC/28/18, para. 18.</w:t>
      </w:r>
    </w:p>
  </w:footnote>
  <w:footnote w:id="40">
    <w:p w:rsidR="00722D6F" w:rsidRPr="002D207B" w:rsidRDefault="00722D6F" w:rsidP="00FE0534">
      <w:pPr>
        <w:pStyle w:val="FootnoteText"/>
        <w:rPr>
          <w:lang w:val="es-ES"/>
        </w:rPr>
      </w:pPr>
      <w:r w:rsidRPr="002D207B">
        <w:rPr>
          <w:lang w:val="es-ES"/>
        </w:rPr>
        <w:tab/>
      </w:r>
      <w:r w:rsidRPr="007C4BD4">
        <w:rPr>
          <w:rStyle w:val="FootnoteReference"/>
        </w:rPr>
        <w:footnoteRef/>
      </w:r>
      <w:r w:rsidRPr="002D207B">
        <w:rPr>
          <w:lang w:val="es-ES"/>
        </w:rPr>
        <w:tab/>
        <w:t>Ibid., para. 19.</w:t>
      </w:r>
    </w:p>
  </w:footnote>
  <w:footnote w:id="41">
    <w:p w:rsidR="00722D6F" w:rsidRPr="00FE0534" w:rsidRDefault="00722D6F" w:rsidP="00755616">
      <w:pPr>
        <w:pStyle w:val="FootnoteText"/>
        <w:rPr>
          <w:lang w:val="en-GB"/>
        </w:rPr>
      </w:pPr>
      <w:r w:rsidRPr="002D207B">
        <w:rPr>
          <w:lang w:val="es-ES"/>
        </w:rPr>
        <w:tab/>
      </w:r>
      <w:r w:rsidRPr="007C4BD4">
        <w:rPr>
          <w:rStyle w:val="FootnoteReference"/>
        </w:rPr>
        <w:footnoteRef/>
      </w:r>
      <w:r w:rsidRPr="002D207B">
        <w:rPr>
          <w:lang w:val="es-ES"/>
        </w:rPr>
        <w:tab/>
        <w:t>Ibid., para. </w:t>
      </w:r>
      <w:r w:rsidRPr="00FE0534">
        <w:rPr>
          <w:lang w:val="en-GB"/>
        </w:rPr>
        <w:t>16.</w:t>
      </w:r>
    </w:p>
  </w:footnote>
  <w:footnote w:id="42">
    <w:p w:rsidR="00722D6F" w:rsidRPr="00922F7A" w:rsidRDefault="00722D6F" w:rsidP="00755616">
      <w:pPr>
        <w:pStyle w:val="FootnoteText"/>
      </w:pPr>
      <w:r>
        <w:rPr>
          <w:lang w:val="en-GB"/>
        </w:rPr>
        <w:tab/>
      </w:r>
      <w:r w:rsidRPr="007C4BD4">
        <w:rPr>
          <w:rStyle w:val="FootnoteReference"/>
        </w:rPr>
        <w:footnoteRef/>
      </w:r>
      <w:r w:rsidRPr="00922F7A">
        <w:rPr>
          <w:vertAlign w:val="superscript"/>
        </w:rPr>
        <w:tab/>
      </w:r>
      <w:proofErr w:type="gramStart"/>
      <w:r w:rsidRPr="00922F7A">
        <w:t>Ibid.,</w:t>
      </w:r>
      <w:proofErr w:type="gramEnd"/>
      <w:r w:rsidRPr="00922F7A">
        <w:t xml:space="preserve"> paras. </w:t>
      </w:r>
      <w:proofErr w:type="gramStart"/>
      <w:r w:rsidRPr="00922F7A">
        <w:t>19 and 28.</w:t>
      </w:r>
      <w:proofErr w:type="gramEnd"/>
      <w:r w:rsidRPr="00922F7A">
        <w:t xml:space="preserve"> </w:t>
      </w:r>
    </w:p>
  </w:footnote>
  <w:footnote w:id="43">
    <w:p w:rsidR="00722D6F" w:rsidRPr="00922F7A" w:rsidRDefault="00722D6F" w:rsidP="00755616">
      <w:pPr>
        <w:pStyle w:val="FootnoteText"/>
      </w:pPr>
      <w:r w:rsidRPr="00922F7A">
        <w:tab/>
      </w:r>
      <w:r w:rsidRPr="007C4BD4">
        <w:rPr>
          <w:rStyle w:val="FootnoteReference"/>
        </w:rPr>
        <w:footnoteRef/>
      </w:r>
      <w:r w:rsidRPr="00922F7A">
        <w:tab/>
      </w:r>
      <w:proofErr w:type="gramStart"/>
      <w:r w:rsidRPr="00922F7A">
        <w:t>Ibid.,</w:t>
      </w:r>
      <w:proofErr w:type="gramEnd"/>
      <w:r w:rsidRPr="00922F7A">
        <w:t xml:space="preserve"> paras. </w:t>
      </w:r>
      <w:proofErr w:type="gramStart"/>
      <w:r w:rsidRPr="00922F7A">
        <w:t>16</w:t>
      </w:r>
      <w:r>
        <w:rPr>
          <w:lang w:val="en-GB"/>
        </w:rPr>
        <w:t>–</w:t>
      </w:r>
      <w:r w:rsidRPr="00922F7A">
        <w:t>20.</w:t>
      </w:r>
      <w:proofErr w:type="gramEnd"/>
    </w:p>
  </w:footnote>
  <w:footnote w:id="44">
    <w:p w:rsidR="00722D6F" w:rsidRPr="00FE0534" w:rsidRDefault="00722D6F" w:rsidP="00755616">
      <w:pPr>
        <w:pStyle w:val="FootnoteText"/>
        <w:rPr>
          <w:lang w:val="en-GB"/>
        </w:rPr>
      </w:pPr>
      <w:r w:rsidRPr="00922F7A">
        <w:tab/>
      </w:r>
      <w:r w:rsidRPr="007C4BD4">
        <w:rPr>
          <w:rStyle w:val="FootnoteReference"/>
        </w:rPr>
        <w:footnoteRef/>
      </w:r>
      <w:r w:rsidRPr="00922F7A">
        <w:tab/>
      </w:r>
      <w:r>
        <w:t xml:space="preserve">See </w:t>
      </w:r>
      <w:r>
        <w:rPr>
          <w:lang w:val="en-GB"/>
        </w:rPr>
        <w:t>“</w:t>
      </w:r>
      <w:r w:rsidRPr="00FE0534">
        <w:rPr>
          <w:lang w:val="en-GB"/>
        </w:rPr>
        <w:t xml:space="preserve">Rule of </w:t>
      </w:r>
      <w:r>
        <w:rPr>
          <w:lang w:val="en-GB"/>
        </w:rPr>
        <w:t>t</w:t>
      </w:r>
      <w:r w:rsidRPr="00FE0534">
        <w:rPr>
          <w:lang w:val="en-GB"/>
        </w:rPr>
        <w:t>error</w:t>
      </w:r>
      <w:r>
        <w:rPr>
          <w:lang w:val="en-GB"/>
        </w:rPr>
        <w:t>”</w:t>
      </w:r>
      <w:r w:rsidRPr="00FE0534">
        <w:rPr>
          <w:lang w:val="en-GB"/>
        </w:rPr>
        <w:t xml:space="preserve">, </w:t>
      </w:r>
      <w:r>
        <w:rPr>
          <w:lang w:val="en-GB"/>
        </w:rPr>
        <w:t>para. </w:t>
      </w:r>
      <w:r w:rsidRPr="00FE0534">
        <w:rPr>
          <w:lang w:val="en-GB"/>
        </w:rPr>
        <w:t>29.</w:t>
      </w:r>
    </w:p>
  </w:footnote>
  <w:footnote w:id="45">
    <w:p w:rsidR="00722D6F" w:rsidRPr="00FE0534" w:rsidRDefault="00722D6F" w:rsidP="008D7895">
      <w:pPr>
        <w:pStyle w:val="FootnoteText"/>
        <w:rPr>
          <w:lang w:val="en-GB"/>
        </w:rPr>
      </w:pPr>
      <w:r>
        <w:rPr>
          <w:lang w:val="en-GB"/>
        </w:rPr>
        <w:tab/>
      </w:r>
      <w:r w:rsidRPr="007C4BD4">
        <w:rPr>
          <w:rStyle w:val="FootnoteReference"/>
        </w:rPr>
        <w:footnoteRef/>
      </w:r>
      <w:r w:rsidRPr="00845603">
        <w:rPr>
          <w:vertAlign w:val="superscript"/>
          <w:lang w:val="en-GB"/>
        </w:rPr>
        <w:tab/>
      </w:r>
      <w:r w:rsidRPr="00922F7A">
        <w:rPr>
          <w:lang w:val="en-GB"/>
        </w:rPr>
        <w:t>In</w:t>
      </w:r>
      <w:r>
        <w:rPr>
          <w:vertAlign w:val="superscript"/>
          <w:lang w:val="en-GB"/>
        </w:rPr>
        <w:t xml:space="preserve"> </w:t>
      </w:r>
      <w:r w:rsidRPr="00922F7A">
        <w:rPr>
          <w:lang w:val="en-GB"/>
        </w:rPr>
        <w:t>October</w:t>
      </w:r>
      <w:r>
        <w:rPr>
          <w:vertAlign w:val="superscript"/>
          <w:lang w:val="en-GB"/>
        </w:rPr>
        <w:t xml:space="preserve"> </w:t>
      </w:r>
      <w:r w:rsidRPr="00922F7A">
        <w:rPr>
          <w:lang w:val="en-GB"/>
        </w:rPr>
        <w:t>2013</w:t>
      </w:r>
      <w:r>
        <w:rPr>
          <w:lang w:val="en-GB"/>
        </w:rPr>
        <w:t>,</w:t>
      </w:r>
      <w:r>
        <w:rPr>
          <w:vertAlign w:val="superscript"/>
          <w:lang w:val="en-GB"/>
        </w:rPr>
        <w:t xml:space="preserve"> </w:t>
      </w:r>
      <w:r w:rsidRPr="00922F7A">
        <w:rPr>
          <w:lang w:val="en-GB"/>
        </w:rPr>
        <w:t>the Commission of Inquiry adopted the following working definition of a massacre: “an intentional</w:t>
      </w:r>
      <w:r w:rsidRPr="00FE0534">
        <w:rPr>
          <w:lang w:val="en-GB"/>
        </w:rPr>
        <w:t xml:space="preserve"> mass killing of civilians not directly participating in hostilities, or hors de combat fighters, by organized armed forces or groups in a single incident, in violation of international human rights or humanitarian law</w:t>
      </w:r>
      <w:r>
        <w:rPr>
          <w:lang w:val="en-GB"/>
        </w:rPr>
        <w:t>”</w:t>
      </w:r>
      <w:r w:rsidRPr="00FE0534">
        <w:rPr>
          <w:lang w:val="en-GB"/>
        </w:rPr>
        <w:t xml:space="preserve">. See A/HRC/28/69, </w:t>
      </w:r>
      <w:r>
        <w:rPr>
          <w:lang w:val="en-GB"/>
        </w:rPr>
        <w:t>a</w:t>
      </w:r>
      <w:r w:rsidRPr="00FE0534">
        <w:rPr>
          <w:lang w:val="en-GB"/>
        </w:rPr>
        <w:t>nnex II, para.</w:t>
      </w:r>
      <w:r>
        <w:rPr>
          <w:lang w:val="en-GB"/>
        </w:rPr>
        <w:t> </w:t>
      </w:r>
      <w:r w:rsidRPr="00FE0534">
        <w:rPr>
          <w:lang w:val="en-GB"/>
        </w:rPr>
        <w:t>1.</w:t>
      </w:r>
    </w:p>
  </w:footnote>
  <w:footnote w:id="46">
    <w:p w:rsidR="00722D6F" w:rsidRPr="00FE0534" w:rsidRDefault="00722D6F" w:rsidP="008D7895">
      <w:pPr>
        <w:pStyle w:val="FootnoteText"/>
        <w:rPr>
          <w:lang w:val="en-GB"/>
        </w:rPr>
      </w:pPr>
      <w:r>
        <w:rPr>
          <w:lang w:val="en-GB"/>
        </w:rPr>
        <w:tab/>
      </w:r>
      <w:r w:rsidRPr="007C4BD4">
        <w:rPr>
          <w:rStyle w:val="FootnoteReference"/>
        </w:rPr>
        <w:footnoteRef/>
      </w:r>
      <w:r w:rsidRPr="00FE0534">
        <w:rPr>
          <w:lang w:val="en-GB"/>
        </w:rPr>
        <w:tab/>
        <w:t xml:space="preserve">See A/HRC/28/69, </w:t>
      </w:r>
      <w:r>
        <w:rPr>
          <w:lang w:val="en-GB"/>
        </w:rPr>
        <w:t>a</w:t>
      </w:r>
      <w:r w:rsidRPr="00FE0534">
        <w:rPr>
          <w:lang w:val="en-GB"/>
        </w:rPr>
        <w:t xml:space="preserve">nnex II, </w:t>
      </w:r>
      <w:r>
        <w:rPr>
          <w:lang w:val="en-GB"/>
        </w:rPr>
        <w:t>paras. </w:t>
      </w:r>
      <w:proofErr w:type="gramStart"/>
      <w:r w:rsidRPr="00FE0534">
        <w:rPr>
          <w:lang w:val="en-GB"/>
        </w:rPr>
        <w:t>21</w:t>
      </w:r>
      <w:r>
        <w:rPr>
          <w:lang w:val="en-GB"/>
        </w:rPr>
        <w:t>–</w:t>
      </w:r>
      <w:r w:rsidRPr="00FE0534">
        <w:rPr>
          <w:lang w:val="en-GB"/>
        </w:rPr>
        <w:t>30.</w:t>
      </w:r>
      <w:proofErr w:type="gramEnd"/>
    </w:p>
  </w:footnote>
  <w:footnote w:id="47">
    <w:p w:rsidR="00722D6F" w:rsidRPr="00FE0534" w:rsidRDefault="00722D6F" w:rsidP="00F9506F">
      <w:pPr>
        <w:pStyle w:val="FootnoteText"/>
        <w:rPr>
          <w:lang w:val="en-GB"/>
        </w:rPr>
      </w:pPr>
      <w:r>
        <w:rPr>
          <w:lang w:val="en-GB"/>
        </w:rPr>
        <w:tab/>
      </w:r>
      <w:r w:rsidRPr="007C4BD4">
        <w:rPr>
          <w:rStyle w:val="FootnoteReference"/>
        </w:rPr>
        <w:footnoteRef/>
      </w:r>
      <w:r w:rsidRPr="00FE0534">
        <w:rPr>
          <w:lang w:val="en-GB"/>
        </w:rPr>
        <w:tab/>
      </w:r>
      <w:proofErr w:type="gramStart"/>
      <w:r w:rsidRPr="00FE0534">
        <w:rPr>
          <w:lang w:val="en-GB"/>
        </w:rPr>
        <w:t>Ibid</w:t>
      </w:r>
      <w:r>
        <w:rPr>
          <w:lang w:val="en-GB"/>
        </w:rPr>
        <w:t>.</w:t>
      </w:r>
      <w:r w:rsidRPr="00FE0534">
        <w:rPr>
          <w:lang w:val="en-GB"/>
        </w:rPr>
        <w:t>,</w:t>
      </w:r>
      <w:proofErr w:type="gramEnd"/>
      <w:r w:rsidRPr="00FE0534">
        <w:rPr>
          <w:lang w:val="en-GB"/>
        </w:rPr>
        <w:t xml:space="preserve"> </w:t>
      </w:r>
      <w:r>
        <w:rPr>
          <w:lang w:val="en-GB"/>
        </w:rPr>
        <w:t>annex II, paras. </w:t>
      </w:r>
      <w:r w:rsidRPr="00FE0534">
        <w:rPr>
          <w:lang w:val="en-GB"/>
        </w:rPr>
        <w:t>21</w:t>
      </w:r>
      <w:r>
        <w:rPr>
          <w:lang w:val="en-GB"/>
        </w:rPr>
        <w:t>–</w:t>
      </w:r>
      <w:r w:rsidRPr="00FE0534">
        <w:rPr>
          <w:lang w:val="en-GB"/>
        </w:rPr>
        <w:t>30</w:t>
      </w:r>
      <w:r>
        <w:rPr>
          <w:lang w:val="en-GB"/>
        </w:rPr>
        <w:t xml:space="preserve"> and</w:t>
      </w:r>
      <w:r w:rsidRPr="00FE0534">
        <w:rPr>
          <w:lang w:val="en-GB"/>
        </w:rPr>
        <w:t xml:space="preserve"> 68</w:t>
      </w:r>
      <w:r>
        <w:rPr>
          <w:lang w:val="en-GB"/>
        </w:rPr>
        <w:t>–</w:t>
      </w:r>
      <w:r w:rsidRPr="00FE0534">
        <w:rPr>
          <w:lang w:val="en-GB"/>
        </w:rPr>
        <w:t>79</w:t>
      </w:r>
      <w:r>
        <w:rPr>
          <w:lang w:val="en-GB"/>
        </w:rPr>
        <w:t>. See also</w:t>
      </w:r>
      <w:r w:rsidRPr="00FE0534">
        <w:rPr>
          <w:lang w:val="en-GB"/>
        </w:rPr>
        <w:t xml:space="preserve"> </w:t>
      </w:r>
      <w:r>
        <w:rPr>
          <w:lang w:val="en-GB"/>
        </w:rPr>
        <w:t>“</w:t>
      </w:r>
      <w:r w:rsidRPr="00FE0534">
        <w:rPr>
          <w:lang w:val="en-GB"/>
        </w:rPr>
        <w:t xml:space="preserve">Rule of </w:t>
      </w:r>
      <w:r>
        <w:rPr>
          <w:lang w:val="en-GB"/>
        </w:rPr>
        <w:t>t</w:t>
      </w:r>
      <w:r w:rsidRPr="00FE0534">
        <w:rPr>
          <w:lang w:val="en-GB"/>
        </w:rPr>
        <w:t>error</w:t>
      </w:r>
      <w:r>
        <w:rPr>
          <w:lang w:val="en-GB"/>
        </w:rPr>
        <w:t>”</w:t>
      </w:r>
      <w:r w:rsidRPr="00FE0534">
        <w:rPr>
          <w:lang w:val="en-GB"/>
        </w:rPr>
        <w:t xml:space="preserve">, </w:t>
      </w:r>
      <w:r>
        <w:rPr>
          <w:lang w:val="en-GB"/>
        </w:rPr>
        <w:t>para. </w:t>
      </w:r>
      <w:r w:rsidRPr="00FE0534">
        <w:rPr>
          <w:lang w:val="en-GB"/>
        </w:rPr>
        <w:t xml:space="preserve">32. </w:t>
      </w:r>
    </w:p>
  </w:footnote>
  <w:footnote w:id="48">
    <w:p w:rsidR="00722D6F" w:rsidRPr="00FE0534" w:rsidRDefault="00722D6F" w:rsidP="00922F7A">
      <w:pPr>
        <w:pStyle w:val="FootnoteText"/>
        <w:rPr>
          <w:lang w:val="en-GB"/>
        </w:rPr>
      </w:pPr>
      <w:r>
        <w:rPr>
          <w:lang w:val="en-GB"/>
        </w:rPr>
        <w:tab/>
      </w:r>
      <w:r w:rsidRPr="007C4BD4">
        <w:rPr>
          <w:rStyle w:val="FootnoteReference"/>
        </w:rPr>
        <w:footnoteRef/>
      </w:r>
      <w:r w:rsidRPr="00FE0534">
        <w:rPr>
          <w:lang w:val="en-GB"/>
        </w:rPr>
        <w:tab/>
        <w:t>See</w:t>
      </w:r>
      <w:r>
        <w:rPr>
          <w:lang w:val="en-GB"/>
        </w:rPr>
        <w:t xml:space="preserve">, for example, </w:t>
      </w:r>
      <w:r w:rsidRPr="00FE0534">
        <w:rPr>
          <w:lang w:val="en-GB"/>
        </w:rPr>
        <w:t xml:space="preserve">A/HRC/28/18, </w:t>
      </w:r>
      <w:r>
        <w:rPr>
          <w:lang w:val="en-GB"/>
        </w:rPr>
        <w:t>paras. </w:t>
      </w:r>
      <w:proofErr w:type="gramStart"/>
      <w:r w:rsidRPr="00FE0534">
        <w:rPr>
          <w:lang w:val="en-GB"/>
        </w:rPr>
        <w:t>29</w:t>
      </w:r>
      <w:r>
        <w:rPr>
          <w:lang w:val="en-GB"/>
        </w:rPr>
        <w:t>–</w:t>
      </w:r>
      <w:r w:rsidRPr="00FE0534">
        <w:rPr>
          <w:lang w:val="en-GB"/>
        </w:rPr>
        <w:t>34.</w:t>
      </w:r>
      <w:proofErr w:type="gramEnd"/>
    </w:p>
  </w:footnote>
  <w:footnote w:id="49">
    <w:p w:rsidR="00722D6F" w:rsidRPr="00FE0534" w:rsidRDefault="00722D6F" w:rsidP="00711C48">
      <w:pPr>
        <w:pStyle w:val="FootnoteText"/>
        <w:rPr>
          <w:lang w:val="en-GB"/>
        </w:rPr>
      </w:pPr>
      <w:r>
        <w:rPr>
          <w:lang w:val="en-GB"/>
        </w:rPr>
        <w:tab/>
      </w:r>
      <w:r w:rsidRPr="007C4BD4">
        <w:rPr>
          <w:rStyle w:val="FootnoteReference"/>
        </w:rPr>
        <w:footnoteRef/>
      </w:r>
      <w:r w:rsidRPr="00FE0534">
        <w:rPr>
          <w:lang w:val="en-GB"/>
        </w:rPr>
        <w:tab/>
      </w:r>
      <w:r>
        <w:rPr>
          <w:lang w:val="en-GB"/>
        </w:rPr>
        <w:t xml:space="preserve">See </w:t>
      </w:r>
      <w:r w:rsidRPr="00FE0534">
        <w:rPr>
          <w:lang w:val="en-GB"/>
        </w:rPr>
        <w:t>UNAM</w:t>
      </w:r>
      <w:r>
        <w:rPr>
          <w:lang w:val="en-GB"/>
        </w:rPr>
        <w:t>I/</w:t>
      </w:r>
      <w:r w:rsidRPr="00FE0534">
        <w:rPr>
          <w:lang w:val="en-GB"/>
        </w:rPr>
        <w:t>OHCHR</w:t>
      </w:r>
      <w:r>
        <w:rPr>
          <w:lang w:val="en-GB"/>
        </w:rPr>
        <w:t>, “</w:t>
      </w:r>
      <w:r w:rsidRPr="00FE0534">
        <w:rPr>
          <w:lang w:val="en-GB"/>
        </w:rPr>
        <w:t xml:space="preserve">Report on the </w:t>
      </w:r>
      <w:r>
        <w:rPr>
          <w:lang w:val="en-GB"/>
        </w:rPr>
        <w:t>P</w:t>
      </w:r>
      <w:r w:rsidRPr="00FE0534">
        <w:rPr>
          <w:lang w:val="en-GB"/>
        </w:rPr>
        <w:t>rotection of Civilians in Armed Conflict in Iraq</w:t>
      </w:r>
      <w:proofErr w:type="gramStart"/>
      <w:r>
        <w:rPr>
          <w:lang w:val="en-GB"/>
        </w:rPr>
        <w:t>:</w:t>
      </w:r>
      <w:proofErr w:type="gramEnd"/>
      <w:r w:rsidR="00711C48">
        <w:rPr>
          <w:lang w:val="en-GB"/>
        </w:rPr>
        <w:br/>
      </w:r>
      <w:r w:rsidRPr="00FE0534">
        <w:rPr>
          <w:lang w:val="en-GB"/>
        </w:rPr>
        <w:t xml:space="preserve">11 </w:t>
      </w:r>
      <w:r>
        <w:rPr>
          <w:lang w:val="en-GB"/>
        </w:rPr>
        <w:t>S</w:t>
      </w:r>
      <w:r w:rsidRPr="00FE0534">
        <w:rPr>
          <w:lang w:val="en-GB"/>
        </w:rPr>
        <w:t>eptember</w:t>
      </w:r>
      <w:r>
        <w:rPr>
          <w:lang w:val="en-GB"/>
        </w:rPr>
        <w:t>–</w:t>
      </w:r>
      <w:r w:rsidRPr="00FE0534">
        <w:rPr>
          <w:lang w:val="en-GB"/>
        </w:rPr>
        <w:t>10 December 2014</w:t>
      </w:r>
      <w:r>
        <w:rPr>
          <w:lang w:val="en-GB"/>
        </w:rPr>
        <w:t>”</w:t>
      </w:r>
      <w:r w:rsidRPr="00FE0534">
        <w:rPr>
          <w:lang w:val="en-GB"/>
        </w:rPr>
        <w:t>, p.</w:t>
      </w:r>
      <w:r>
        <w:rPr>
          <w:lang w:val="en-GB"/>
        </w:rPr>
        <w:t> </w:t>
      </w:r>
      <w:r w:rsidRPr="00FE0534">
        <w:rPr>
          <w:lang w:val="en-GB"/>
        </w:rPr>
        <w:t>10.</w:t>
      </w:r>
    </w:p>
  </w:footnote>
  <w:footnote w:id="50">
    <w:p w:rsidR="00722D6F" w:rsidRPr="007D3155" w:rsidRDefault="00722D6F" w:rsidP="00711C48">
      <w:pPr>
        <w:pStyle w:val="FootnoteText"/>
      </w:pPr>
      <w:r>
        <w:rPr>
          <w:lang w:val="en-GB"/>
        </w:rPr>
        <w:tab/>
      </w:r>
      <w:r w:rsidRPr="007C4BD4">
        <w:rPr>
          <w:rStyle w:val="FootnoteReference"/>
        </w:rPr>
        <w:footnoteRef/>
      </w:r>
      <w:r w:rsidRPr="00845603">
        <w:rPr>
          <w:vertAlign w:val="superscript"/>
          <w:lang w:val="en-GB"/>
        </w:rPr>
        <w:tab/>
      </w:r>
      <w:r w:rsidRPr="00FE0534">
        <w:rPr>
          <w:lang w:val="en-GB"/>
        </w:rPr>
        <w:t xml:space="preserve">See </w:t>
      </w:r>
      <w:r>
        <w:rPr>
          <w:lang w:val="en-GB"/>
        </w:rPr>
        <w:t>“</w:t>
      </w:r>
      <w:r w:rsidRPr="00FE0534">
        <w:rPr>
          <w:lang w:val="en-GB"/>
        </w:rPr>
        <w:t xml:space="preserve">Rule of </w:t>
      </w:r>
      <w:r>
        <w:rPr>
          <w:lang w:val="en-GB"/>
        </w:rPr>
        <w:t>t</w:t>
      </w:r>
      <w:r w:rsidRPr="00FE0534">
        <w:rPr>
          <w:lang w:val="en-GB"/>
        </w:rPr>
        <w:t>error</w:t>
      </w:r>
      <w:r>
        <w:rPr>
          <w:lang w:val="en-GB"/>
        </w:rPr>
        <w:t>”</w:t>
      </w:r>
      <w:r w:rsidRPr="00FE0534">
        <w:rPr>
          <w:lang w:val="en-GB"/>
        </w:rPr>
        <w:t xml:space="preserve">, </w:t>
      </w:r>
      <w:r>
        <w:rPr>
          <w:lang w:val="en-GB"/>
        </w:rPr>
        <w:t>paras. </w:t>
      </w:r>
      <w:proofErr w:type="gramStart"/>
      <w:r w:rsidRPr="007D3155">
        <w:t>39</w:t>
      </w:r>
      <w:r>
        <w:t>–</w:t>
      </w:r>
      <w:r w:rsidRPr="007D3155">
        <w:t>42</w:t>
      </w:r>
      <w:r w:rsidR="00711C48">
        <w:t>,</w:t>
      </w:r>
      <w:r w:rsidRPr="007D3155">
        <w:t xml:space="preserve"> </w:t>
      </w:r>
      <w:r w:rsidR="00711C48">
        <w:t xml:space="preserve">and </w:t>
      </w:r>
      <w:r w:rsidRPr="007D3155">
        <w:t>A/HRC/28/69</w:t>
      </w:r>
      <w:r>
        <w:t>,</w:t>
      </w:r>
      <w:r w:rsidRPr="007D3155">
        <w:t xml:space="preserve"> paras.</w:t>
      </w:r>
      <w:proofErr w:type="gramEnd"/>
      <w:r w:rsidRPr="007D3155">
        <w:t> </w:t>
      </w:r>
      <w:proofErr w:type="gramStart"/>
      <w:r w:rsidRPr="007D3155">
        <w:t>82–83.</w:t>
      </w:r>
      <w:proofErr w:type="gramEnd"/>
    </w:p>
  </w:footnote>
  <w:footnote w:id="51">
    <w:p w:rsidR="00722D6F" w:rsidRPr="00FE0534" w:rsidRDefault="00722D6F" w:rsidP="009E1C2A">
      <w:pPr>
        <w:pStyle w:val="FootnoteText"/>
        <w:rPr>
          <w:lang w:val="en-GB"/>
        </w:rPr>
      </w:pPr>
      <w:r w:rsidRPr="007D3155">
        <w:tab/>
      </w:r>
      <w:r w:rsidRPr="007C4BD4">
        <w:rPr>
          <w:rStyle w:val="FootnoteReference"/>
        </w:rPr>
        <w:footnoteRef/>
      </w:r>
      <w:r w:rsidRPr="007D3155">
        <w:tab/>
        <w:t>See A/HRC/28/18, para. </w:t>
      </w:r>
      <w:r w:rsidRPr="00FE0534">
        <w:rPr>
          <w:lang w:val="en-GB"/>
        </w:rPr>
        <w:t xml:space="preserve">49, </w:t>
      </w:r>
      <w:r>
        <w:rPr>
          <w:lang w:val="en-GB"/>
        </w:rPr>
        <w:t xml:space="preserve">and </w:t>
      </w:r>
      <w:r w:rsidRPr="00FE0534">
        <w:rPr>
          <w:lang w:val="en-GB"/>
        </w:rPr>
        <w:t xml:space="preserve">A/HRC/28/69, </w:t>
      </w:r>
      <w:r>
        <w:rPr>
          <w:lang w:val="en-GB"/>
        </w:rPr>
        <w:t>a</w:t>
      </w:r>
      <w:r w:rsidRPr="00FE0534">
        <w:rPr>
          <w:lang w:val="en-GB"/>
        </w:rPr>
        <w:t xml:space="preserve">nnex 2, </w:t>
      </w:r>
      <w:r>
        <w:rPr>
          <w:lang w:val="en-GB"/>
        </w:rPr>
        <w:t>paras. </w:t>
      </w:r>
      <w:proofErr w:type="gramStart"/>
      <w:r w:rsidRPr="00FE0534">
        <w:rPr>
          <w:lang w:val="en-GB"/>
        </w:rPr>
        <w:t>67</w:t>
      </w:r>
      <w:r>
        <w:rPr>
          <w:lang w:val="en-GB"/>
        </w:rPr>
        <w:t>–</w:t>
      </w:r>
      <w:r w:rsidRPr="00FE0534">
        <w:rPr>
          <w:lang w:val="en-GB"/>
        </w:rPr>
        <w:t>91</w:t>
      </w:r>
      <w:r>
        <w:rPr>
          <w:lang w:val="en-GB"/>
        </w:rPr>
        <w:t xml:space="preserve"> and 159</w:t>
      </w:r>
      <w:r w:rsidRPr="00FE0534">
        <w:rPr>
          <w:lang w:val="en-GB"/>
        </w:rPr>
        <w:t>.</w:t>
      </w:r>
      <w:proofErr w:type="gramEnd"/>
    </w:p>
  </w:footnote>
  <w:footnote w:id="52">
    <w:p w:rsidR="00722D6F" w:rsidRPr="00FE0534" w:rsidRDefault="00722D6F" w:rsidP="00ED3C14">
      <w:pPr>
        <w:pStyle w:val="FootnoteText"/>
        <w:rPr>
          <w:lang w:val="en-GB"/>
        </w:rPr>
      </w:pPr>
      <w:r>
        <w:rPr>
          <w:lang w:val="en-GB"/>
        </w:rPr>
        <w:tab/>
      </w:r>
      <w:r w:rsidRPr="007C4BD4">
        <w:rPr>
          <w:rStyle w:val="FootnoteReference"/>
        </w:rPr>
        <w:footnoteRef/>
      </w:r>
      <w:r w:rsidRPr="00FE0534">
        <w:rPr>
          <w:lang w:val="en-GB"/>
        </w:rPr>
        <w:tab/>
      </w:r>
      <w:r>
        <w:rPr>
          <w:lang w:val="en-GB"/>
        </w:rPr>
        <w:t>See “</w:t>
      </w:r>
      <w:r w:rsidRPr="00FE0534">
        <w:rPr>
          <w:lang w:val="en-GB"/>
        </w:rPr>
        <w:t xml:space="preserve">Rule of </w:t>
      </w:r>
      <w:r>
        <w:rPr>
          <w:lang w:val="en-GB"/>
        </w:rPr>
        <w:t>t</w:t>
      </w:r>
      <w:r w:rsidRPr="00FE0534">
        <w:rPr>
          <w:lang w:val="en-GB"/>
        </w:rPr>
        <w:t>error</w:t>
      </w:r>
      <w:r>
        <w:rPr>
          <w:lang w:val="en-GB"/>
        </w:rPr>
        <w:t>”</w:t>
      </w:r>
      <w:r w:rsidRPr="00FE0534">
        <w:rPr>
          <w:lang w:val="en-GB"/>
        </w:rPr>
        <w:t xml:space="preserve">, </w:t>
      </w:r>
      <w:r>
        <w:rPr>
          <w:lang w:val="en-GB"/>
        </w:rPr>
        <w:t>paras. </w:t>
      </w:r>
      <w:proofErr w:type="gramStart"/>
      <w:r w:rsidRPr="00FE0534">
        <w:rPr>
          <w:lang w:val="en-GB"/>
        </w:rPr>
        <w:t>47 and 48</w:t>
      </w:r>
      <w:r>
        <w:rPr>
          <w:lang w:val="en-GB"/>
        </w:rPr>
        <w:t>, and</w:t>
      </w:r>
      <w:r w:rsidRPr="00FE0534">
        <w:rPr>
          <w:lang w:val="en-GB"/>
        </w:rPr>
        <w:t xml:space="preserve"> A/HRC/28/69, </w:t>
      </w:r>
      <w:r>
        <w:rPr>
          <w:lang w:val="en-GB"/>
        </w:rPr>
        <w:t>para.</w:t>
      </w:r>
      <w:proofErr w:type="gramEnd"/>
      <w:r>
        <w:rPr>
          <w:lang w:val="en-GB"/>
        </w:rPr>
        <w:t> </w:t>
      </w:r>
      <w:r w:rsidRPr="00FE0534">
        <w:rPr>
          <w:lang w:val="en-GB"/>
        </w:rPr>
        <w:t>187.</w:t>
      </w:r>
    </w:p>
  </w:footnote>
  <w:footnote w:id="53">
    <w:p w:rsidR="00722D6F" w:rsidRPr="00FE0534" w:rsidRDefault="00722D6F" w:rsidP="009E1C2A">
      <w:pPr>
        <w:pStyle w:val="FootnoteText"/>
        <w:rPr>
          <w:lang w:val="en-GB"/>
        </w:rPr>
      </w:pPr>
      <w:r>
        <w:rPr>
          <w:lang w:val="en-GB"/>
        </w:rPr>
        <w:tab/>
      </w:r>
      <w:r w:rsidRPr="007C4BD4">
        <w:rPr>
          <w:rStyle w:val="FootnoteReference"/>
        </w:rPr>
        <w:footnoteRef/>
      </w:r>
      <w:r w:rsidRPr="00FE0534">
        <w:rPr>
          <w:lang w:val="en-GB"/>
        </w:rPr>
        <w:tab/>
      </w:r>
      <w:r>
        <w:rPr>
          <w:lang w:val="en-GB"/>
        </w:rPr>
        <w:t xml:space="preserve">See </w:t>
      </w:r>
      <w:r w:rsidRPr="00FE0534">
        <w:rPr>
          <w:lang w:val="en-GB"/>
        </w:rPr>
        <w:t xml:space="preserve">A/HRC/28/18, </w:t>
      </w:r>
      <w:r>
        <w:rPr>
          <w:lang w:val="en-GB"/>
        </w:rPr>
        <w:t>paras. </w:t>
      </w:r>
      <w:proofErr w:type="gramStart"/>
      <w:r w:rsidRPr="00FE0534">
        <w:rPr>
          <w:lang w:val="en-GB"/>
        </w:rPr>
        <w:t>35</w:t>
      </w:r>
      <w:r>
        <w:rPr>
          <w:lang w:val="en-GB"/>
        </w:rPr>
        <w:t>–</w:t>
      </w:r>
      <w:r w:rsidRPr="00FE0534">
        <w:rPr>
          <w:lang w:val="en-GB"/>
        </w:rPr>
        <w:t>43.</w:t>
      </w:r>
      <w:proofErr w:type="gramEnd"/>
    </w:p>
  </w:footnote>
  <w:footnote w:id="54">
    <w:p w:rsidR="00722D6F" w:rsidRPr="007D3155" w:rsidRDefault="00722D6F" w:rsidP="009E1C2A">
      <w:pPr>
        <w:pStyle w:val="FootnoteText"/>
      </w:pPr>
      <w:r>
        <w:rPr>
          <w:lang w:val="en-GB"/>
        </w:rPr>
        <w:tab/>
      </w:r>
      <w:r w:rsidRPr="007C4BD4">
        <w:rPr>
          <w:rStyle w:val="FootnoteReference"/>
        </w:rPr>
        <w:footnoteRef/>
      </w:r>
      <w:r w:rsidRPr="007D3155">
        <w:tab/>
        <w:t>See A/HRC/28/69, paras. </w:t>
      </w:r>
      <w:proofErr w:type="gramStart"/>
      <w:r w:rsidRPr="007D3155">
        <w:t>185–188.</w:t>
      </w:r>
      <w:proofErr w:type="gramEnd"/>
    </w:p>
  </w:footnote>
  <w:footnote w:id="55">
    <w:p w:rsidR="00722D6F" w:rsidRPr="00FE0534" w:rsidRDefault="00722D6F" w:rsidP="00FE0534">
      <w:pPr>
        <w:pStyle w:val="FootnoteText"/>
        <w:rPr>
          <w:lang w:val="en-GB"/>
        </w:rPr>
      </w:pPr>
      <w:r w:rsidRPr="007D3155">
        <w:tab/>
      </w:r>
      <w:r w:rsidRPr="007C4BD4">
        <w:rPr>
          <w:rStyle w:val="FootnoteReference"/>
        </w:rPr>
        <w:footnoteRef/>
      </w:r>
      <w:r w:rsidRPr="007D3155">
        <w:rPr>
          <w:vertAlign w:val="superscript"/>
        </w:rPr>
        <w:tab/>
      </w:r>
      <w:r w:rsidRPr="0031712E">
        <w:t>See</w:t>
      </w:r>
      <w:r w:rsidRPr="007D3155">
        <w:rPr>
          <w:vertAlign w:val="superscript"/>
        </w:rPr>
        <w:t xml:space="preserve"> </w:t>
      </w:r>
      <w:r w:rsidRPr="007D3155">
        <w:t>A/HRC/28/18, para. </w:t>
      </w:r>
      <w:r w:rsidRPr="00FE0534">
        <w:rPr>
          <w:lang w:val="en-GB"/>
        </w:rPr>
        <w:t xml:space="preserve">40. </w:t>
      </w:r>
    </w:p>
  </w:footnote>
  <w:footnote w:id="56">
    <w:p w:rsidR="00722D6F" w:rsidRPr="00FE0534" w:rsidRDefault="00722D6F" w:rsidP="009E1C2A">
      <w:pPr>
        <w:pStyle w:val="FootnoteText"/>
        <w:rPr>
          <w:lang w:val="en-GB"/>
        </w:rPr>
      </w:pPr>
      <w:r>
        <w:rPr>
          <w:lang w:val="en-GB"/>
        </w:rPr>
        <w:tab/>
      </w:r>
      <w:r w:rsidRPr="007C4BD4">
        <w:rPr>
          <w:rStyle w:val="FootnoteReference"/>
        </w:rPr>
        <w:footnoteRef/>
      </w:r>
      <w:r w:rsidRPr="00FE0534">
        <w:rPr>
          <w:lang w:val="en-GB"/>
        </w:rPr>
        <w:tab/>
      </w:r>
      <w:r>
        <w:rPr>
          <w:lang w:val="en-GB"/>
        </w:rPr>
        <w:t>See “</w:t>
      </w:r>
      <w:r w:rsidRPr="00FE0534">
        <w:rPr>
          <w:lang w:val="en-GB"/>
        </w:rPr>
        <w:t>Rule of terror</w:t>
      </w:r>
      <w:r>
        <w:rPr>
          <w:lang w:val="en-GB"/>
        </w:rPr>
        <w:t>”</w:t>
      </w:r>
      <w:r w:rsidRPr="00FE0534">
        <w:rPr>
          <w:lang w:val="en-GB"/>
        </w:rPr>
        <w:t xml:space="preserve">, </w:t>
      </w:r>
      <w:r>
        <w:rPr>
          <w:lang w:val="en-GB"/>
        </w:rPr>
        <w:t>paras. </w:t>
      </w:r>
      <w:proofErr w:type="gramStart"/>
      <w:r w:rsidRPr="00450324">
        <w:t>58–62; A/HRC/28/69, paras.</w:t>
      </w:r>
      <w:proofErr w:type="gramEnd"/>
      <w:r w:rsidRPr="00450324">
        <w:t> </w:t>
      </w:r>
      <w:proofErr w:type="gramStart"/>
      <w:r w:rsidRPr="007D3155">
        <w:t>205</w:t>
      </w:r>
      <w:r>
        <w:rPr>
          <w:lang w:val="en-GB"/>
        </w:rPr>
        <w:t>–</w:t>
      </w:r>
      <w:r w:rsidRPr="007D3155">
        <w:t xml:space="preserve">213; </w:t>
      </w:r>
      <w:r w:rsidR="00711C48">
        <w:t xml:space="preserve">and </w:t>
      </w:r>
      <w:r w:rsidRPr="007D3155">
        <w:t>A/HRC/28/18, paras.</w:t>
      </w:r>
      <w:proofErr w:type="gramEnd"/>
      <w:r w:rsidRPr="007D3155">
        <w:t> </w:t>
      </w:r>
      <w:proofErr w:type="gramStart"/>
      <w:r w:rsidRPr="00FE0534">
        <w:rPr>
          <w:lang w:val="en-GB"/>
        </w:rPr>
        <w:t>44</w:t>
      </w:r>
      <w:r>
        <w:rPr>
          <w:lang w:val="en-GB"/>
        </w:rPr>
        <w:t>–</w:t>
      </w:r>
      <w:r w:rsidRPr="00FE0534">
        <w:rPr>
          <w:lang w:val="en-GB"/>
        </w:rPr>
        <w:t>46.</w:t>
      </w:r>
      <w:proofErr w:type="gramEnd"/>
    </w:p>
  </w:footnote>
  <w:footnote w:id="57">
    <w:p w:rsidR="00722D6F" w:rsidRPr="00FE0534" w:rsidRDefault="00722D6F" w:rsidP="00FE0534">
      <w:pPr>
        <w:pStyle w:val="FootnoteText"/>
        <w:rPr>
          <w:lang w:val="en-GB"/>
        </w:rPr>
      </w:pPr>
      <w:r>
        <w:rPr>
          <w:lang w:val="en-GB"/>
        </w:rPr>
        <w:tab/>
      </w:r>
      <w:r w:rsidRPr="007C4BD4">
        <w:rPr>
          <w:rStyle w:val="FootnoteReference"/>
        </w:rPr>
        <w:footnoteRef/>
      </w:r>
      <w:r w:rsidRPr="00FE0534">
        <w:rPr>
          <w:lang w:val="en-GB"/>
        </w:rPr>
        <w:tab/>
      </w:r>
      <w:r>
        <w:rPr>
          <w:lang w:val="en-GB"/>
        </w:rPr>
        <w:t>See “</w:t>
      </w:r>
      <w:r w:rsidRPr="00FE0534">
        <w:rPr>
          <w:lang w:val="en-GB"/>
        </w:rPr>
        <w:t xml:space="preserve">Rule of </w:t>
      </w:r>
      <w:r>
        <w:rPr>
          <w:lang w:val="en-GB"/>
        </w:rPr>
        <w:t>t</w:t>
      </w:r>
      <w:r w:rsidRPr="00FE0534">
        <w:rPr>
          <w:lang w:val="en-GB"/>
        </w:rPr>
        <w:t>error</w:t>
      </w:r>
      <w:r>
        <w:rPr>
          <w:lang w:val="en-GB"/>
        </w:rPr>
        <w:t>”</w:t>
      </w:r>
      <w:r w:rsidRPr="00FE0534">
        <w:rPr>
          <w:lang w:val="en-GB"/>
        </w:rPr>
        <w:t xml:space="preserve">, </w:t>
      </w:r>
      <w:r>
        <w:rPr>
          <w:lang w:val="en-GB"/>
        </w:rPr>
        <w:t>para. </w:t>
      </w:r>
      <w:r w:rsidRPr="00FE0534">
        <w:rPr>
          <w:lang w:val="en-GB"/>
        </w:rPr>
        <w:t>60</w:t>
      </w:r>
      <w:r>
        <w:rPr>
          <w:lang w:val="en-GB"/>
        </w:rPr>
        <w:t>.</w:t>
      </w:r>
    </w:p>
  </w:footnote>
  <w:footnote w:id="58">
    <w:p w:rsidR="00722D6F" w:rsidRPr="00FE0534" w:rsidRDefault="00722D6F" w:rsidP="00FE0534">
      <w:pPr>
        <w:pStyle w:val="FootnoteText"/>
        <w:rPr>
          <w:lang w:val="en-GB"/>
        </w:rPr>
      </w:pPr>
      <w:r>
        <w:rPr>
          <w:lang w:val="en-GB"/>
        </w:rPr>
        <w:tab/>
      </w:r>
      <w:r w:rsidRPr="007C4BD4">
        <w:rPr>
          <w:rStyle w:val="FootnoteReference"/>
        </w:rPr>
        <w:footnoteRef/>
      </w:r>
      <w:r w:rsidRPr="00FE0534">
        <w:rPr>
          <w:lang w:val="en-GB"/>
        </w:rPr>
        <w:tab/>
      </w:r>
      <w:r>
        <w:rPr>
          <w:lang w:val="en-GB"/>
        </w:rPr>
        <w:t xml:space="preserve">See </w:t>
      </w:r>
      <w:r w:rsidRPr="00FE0534">
        <w:rPr>
          <w:lang w:val="en-GB"/>
        </w:rPr>
        <w:t xml:space="preserve">A/HRC/28/69, </w:t>
      </w:r>
      <w:r>
        <w:rPr>
          <w:lang w:val="en-GB"/>
        </w:rPr>
        <w:t>para. </w:t>
      </w:r>
      <w:r w:rsidRPr="00FE0534">
        <w:rPr>
          <w:lang w:val="en-GB"/>
        </w:rPr>
        <w:t>207</w:t>
      </w:r>
      <w:r>
        <w:rPr>
          <w:lang w:val="en-GB"/>
        </w:rPr>
        <w:t>.</w:t>
      </w:r>
    </w:p>
  </w:footnote>
  <w:footnote w:id="59">
    <w:p w:rsidR="00722D6F" w:rsidRPr="00FE0534" w:rsidRDefault="00722D6F" w:rsidP="00711C48">
      <w:pPr>
        <w:pStyle w:val="FootnoteText"/>
        <w:rPr>
          <w:lang w:val="en-GB"/>
        </w:rPr>
      </w:pPr>
      <w:r>
        <w:rPr>
          <w:lang w:val="en-GB"/>
        </w:rPr>
        <w:tab/>
      </w:r>
      <w:r w:rsidRPr="007C4BD4">
        <w:rPr>
          <w:rStyle w:val="FootnoteReference"/>
        </w:rPr>
        <w:footnoteRef/>
      </w:r>
      <w:r w:rsidRPr="00845603">
        <w:rPr>
          <w:vertAlign w:val="superscript"/>
          <w:lang w:val="en-GB"/>
        </w:rPr>
        <w:tab/>
      </w:r>
      <w:proofErr w:type="gramStart"/>
      <w:r w:rsidRPr="0031712E">
        <w:rPr>
          <w:lang w:val="en-GB"/>
        </w:rPr>
        <w:t>Ibid</w:t>
      </w:r>
      <w:r w:rsidR="00711C48">
        <w:rPr>
          <w:lang w:val="en-GB"/>
        </w:rPr>
        <w:t>.</w:t>
      </w:r>
      <w:r w:rsidRPr="00FE0534">
        <w:rPr>
          <w:lang w:val="en-GB"/>
        </w:rPr>
        <w:t>,</w:t>
      </w:r>
      <w:proofErr w:type="gramEnd"/>
      <w:r w:rsidRPr="00FE0534">
        <w:rPr>
          <w:lang w:val="en-GB"/>
        </w:rPr>
        <w:t xml:space="preserve"> </w:t>
      </w:r>
      <w:r>
        <w:rPr>
          <w:lang w:val="en-GB"/>
        </w:rPr>
        <w:t>para. </w:t>
      </w:r>
      <w:r w:rsidRPr="00FE0534">
        <w:rPr>
          <w:lang w:val="en-GB"/>
        </w:rPr>
        <w:t>70.</w:t>
      </w:r>
    </w:p>
  </w:footnote>
  <w:footnote w:id="60">
    <w:p w:rsidR="00722D6F" w:rsidRPr="00FE0534" w:rsidRDefault="00722D6F" w:rsidP="009E1C2A">
      <w:pPr>
        <w:pStyle w:val="FootnoteText"/>
        <w:rPr>
          <w:lang w:val="en-GB"/>
        </w:rPr>
      </w:pPr>
      <w:r>
        <w:rPr>
          <w:lang w:val="en-GB"/>
        </w:rPr>
        <w:tab/>
      </w:r>
      <w:r w:rsidRPr="007C4BD4">
        <w:rPr>
          <w:rStyle w:val="FootnoteReference"/>
        </w:rPr>
        <w:footnoteRef/>
      </w:r>
      <w:r w:rsidRPr="00FE0534">
        <w:rPr>
          <w:lang w:val="en-GB"/>
        </w:rPr>
        <w:tab/>
      </w:r>
      <w:r>
        <w:rPr>
          <w:lang w:val="en-GB"/>
        </w:rPr>
        <w:t>See “</w:t>
      </w:r>
      <w:r w:rsidRPr="00FE0534">
        <w:rPr>
          <w:lang w:val="en-GB"/>
        </w:rPr>
        <w:t xml:space="preserve">Rule of </w:t>
      </w:r>
      <w:r>
        <w:rPr>
          <w:lang w:val="en-GB"/>
        </w:rPr>
        <w:t>t</w:t>
      </w:r>
      <w:r w:rsidRPr="00FE0534">
        <w:rPr>
          <w:lang w:val="en-GB"/>
        </w:rPr>
        <w:t>error</w:t>
      </w:r>
      <w:r>
        <w:rPr>
          <w:lang w:val="en-GB"/>
        </w:rPr>
        <w:t>”,</w:t>
      </w:r>
      <w:r w:rsidRPr="00FE0534">
        <w:rPr>
          <w:lang w:val="en-GB"/>
        </w:rPr>
        <w:t xml:space="preserve"> </w:t>
      </w:r>
      <w:r>
        <w:rPr>
          <w:lang w:val="en-GB"/>
        </w:rPr>
        <w:t>para. </w:t>
      </w:r>
      <w:r w:rsidRPr="00FE0534">
        <w:rPr>
          <w:lang w:val="en-GB"/>
        </w:rPr>
        <w:t>77.</w:t>
      </w:r>
    </w:p>
  </w:footnote>
  <w:footnote w:id="61">
    <w:p w:rsidR="00722D6F" w:rsidRPr="00FE0534" w:rsidRDefault="00722D6F" w:rsidP="009E1C2A">
      <w:pPr>
        <w:pStyle w:val="FootnoteText"/>
        <w:rPr>
          <w:lang w:val="en-GB"/>
        </w:rPr>
      </w:pPr>
      <w:r>
        <w:rPr>
          <w:lang w:val="en-GB"/>
        </w:rPr>
        <w:tab/>
      </w:r>
      <w:r w:rsidRPr="007C4BD4">
        <w:rPr>
          <w:rStyle w:val="FootnoteReference"/>
        </w:rPr>
        <w:footnoteRef/>
      </w:r>
      <w:r w:rsidRPr="00FE0534">
        <w:rPr>
          <w:lang w:val="en-GB"/>
        </w:rPr>
        <w:tab/>
      </w:r>
      <w:proofErr w:type="gramStart"/>
      <w:r>
        <w:rPr>
          <w:lang w:val="en-GB"/>
        </w:rPr>
        <w:t>Ibid.</w:t>
      </w:r>
      <w:r w:rsidRPr="00FE0534">
        <w:rPr>
          <w:lang w:val="en-GB"/>
        </w:rPr>
        <w:t>,</w:t>
      </w:r>
      <w:proofErr w:type="gramEnd"/>
      <w:r w:rsidRPr="00FE0534">
        <w:rPr>
          <w:lang w:val="en-GB"/>
        </w:rPr>
        <w:t xml:space="preserve"> </w:t>
      </w:r>
      <w:r>
        <w:rPr>
          <w:lang w:val="en-GB"/>
        </w:rPr>
        <w:t>para. </w:t>
      </w:r>
      <w:r w:rsidRPr="00FE0534">
        <w:rPr>
          <w:lang w:val="en-GB"/>
        </w:rPr>
        <w:t>32.</w:t>
      </w:r>
    </w:p>
  </w:footnote>
  <w:footnote w:id="62">
    <w:p w:rsidR="00722D6F" w:rsidRPr="00FE0534" w:rsidRDefault="00722D6F" w:rsidP="0031712E">
      <w:pPr>
        <w:pStyle w:val="FootnoteText"/>
        <w:rPr>
          <w:lang w:val="en-GB"/>
        </w:rPr>
      </w:pPr>
      <w:r>
        <w:rPr>
          <w:lang w:val="en-GB"/>
        </w:rPr>
        <w:tab/>
      </w:r>
      <w:r w:rsidRPr="007C4BD4">
        <w:rPr>
          <w:rStyle w:val="FootnoteReference"/>
        </w:rPr>
        <w:footnoteRef/>
      </w:r>
      <w:r w:rsidRPr="00FE0534">
        <w:rPr>
          <w:lang w:val="en-GB"/>
        </w:rPr>
        <w:tab/>
      </w:r>
      <w:proofErr w:type="gramStart"/>
      <w:r>
        <w:rPr>
          <w:lang w:val="en-GB"/>
        </w:rPr>
        <w:t>Ibid.</w:t>
      </w:r>
      <w:r w:rsidRPr="00FE0534">
        <w:rPr>
          <w:lang w:val="en-GB"/>
        </w:rPr>
        <w:t>,</w:t>
      </w:r>
      <w:proofErr w:type="gramEnd"/>
      <w:r w:rsidRPr="00FE0534">
        <w:rPr>
          <w:lang w:val="en-GB"/>
        </w:rPr>
        <w:t xml:space="preserve"> </w:t>
      </w:r>
      <w:r>
        <w:rPr>
          <w:lang w:val="en-GB"/>
        </w:rPr>
        <w:t>para. </w:t>
      </w:r>
      <w:r w:rsidRPr="00FE0534">
        <w:rPr>
          <w:lang w:val="en-GB"/>
        </w:rPr>
        <w:t xml:space="preserve">36. See also </w:t>
      </w:r>
      <w:r>
        <w:rPr>
          <w:lang w:val="en-GB"/>
        </w:rPr>
        <w:t>the r</w:t>
      </w:r>
      <w:r w:rsidRPr="00B01DE8">
        <w:rPr>
          <w:lang w:val="en-GB"/>
        </w:rPr>
        <w:t>eport</w:t>
      </w:r>
      <w:r>
        <w:rPr>
          <w:lang w:val="en-GB"/>
        </w:rPr>
        <w:t>s</w:t>
      </w:r>
      <w:r w:rsidRPr="00B01DE8">
        <w:rPr>
          <w:lang w:val="en-GB"/>
        </w:rPr>
        <w:t xml:space="preserve"> of the </w:t>
      </w:r>
      <w:r w:rsidR="0031712E">
        <w:rPr>
          <w:lang w:val="en-GB"/>
        </w:rPr>
        <w:t>I</w:t>
      </w:r>
      <w:r w:rsidRPr="00B01DE8">
        <w:rPr>
          <w:lang w:val="en-GB"/>
        </w:rPr>
        <w:t xml:space="preserve">ndependent </w:t>
      </w:r>
      <w:r w:rsidR="0031712E">
        <w:rPr>
          <w:lang w:val="en-GB"/>
        </w:rPr>
        <w:t>I</w:t>
      </w:r>
      <w:r w:rsidRPr="00B01DE8">
        <w:rPr>
          <w:lang w:val="en-GB"/>
        </w:rPr>
        <w:t xml:space="preserve">nternational </w:t>
      </w:r>
      <w:r w:rsidR="0031712E">
        <w:rPr>
          <w:lang w:val="en-GB"/>
        </w:rPr>
        <w:t>C</w:t>
      </w:r>
      <w:r w:rsidRPr="00B01DE8">
        <w:rPr>
          <w:lang w:val="en-GB"/>
        </w:rPr>
        <w:t xml:space="preserve">ommission of </w:t>
      </w:r>
      <w:r w:rsidR="0031712E">
        <w:rPr>
          <w:lang w:val="en-GB"/>
        </w:rPr>
        <w:t>I</w:t>
      </w:r>
      <w:r w:rsidRPr="00B01DE8">
        <w:rPr>
          <w:lang w:val="en-GB"/>
        </w:rPr>
        <w:t>nquiry on the Syrian Arab Republic</w:t>
      </w:r>
      <w:r>
        <w:rPr>
          <w:lang w:val="en-GB"/>
        </w:rPr>
        <w:t xml:space="preserve"> (A/HRC/27/60)</w:t>
      </w:r>
      <w:r w:rsidRPr="00FE0534">
        <w:rPr>
          <w:lang w:val="en-GB"/>
        </w:rPr>
        <w:t xml:space="preserve"> </w:t>
      </w:r>
      <w:r>
        <w:rPr>
          <w:lang w:val="en-GB"/>
        </w:rPr>
        <w:t>paras. </w:t>
      </w:r>
      <w:proofErr w:type="gramStart"/>
      <w:r w:rsidRPr="00FE0534">
        <w:rPr>
          <w:lang w:val="en-GB"/>
        </w:rPr>
        <w:t>30</w:t>
      </w:r>
      <w:r w:rsidRPr="007D3155">
        <w:t>–</w:t>
      </w:r>
      <w:r w:rsidRPr="00FE0534">
        <w:rPr>
          <w:lang w:val="en-GB"/>
        </w:rPr>
        <w:t>38 and 65</w:t>
      </w:r>
      <w:r w:rsidRPr="007D3155">
        <w:t>–</w:t>
      </w:r>
      <w:r w:rsidRPr="00FE0534">
        <w:rPr>
          <w:lang w:val="en-GB"/>
        </w:rPr>
        <w:t xml:space="preserve">74, and </w:t>
      </w:r>
      <w:r>
        <w:rPr>
          <w:lang w:val="en-GB"/>
        </w:rPr>
        <w:t>A/HRC/25/65</w:t>
      </w:r>
      <w:r w:rsidRPr="00FE0534">
        <w:rPr>
          <w:lang w:val="en-GB"/>
        </w:rPr>
        <w:t>, paras</w:t>
      </w:r>
      <w:r>
        <w:rPr>
          <w:lang w:val="en-GB"/>
        </w:rPr>
        <w:t>.</w:t>
      </w:r>
      <w:proofErr w:type="gramEnd"/>
      <w:r>
        <w:rPr>
          <w:lang w:val="en-GB"/>
        </w:rPr>
        <w:t> </w:t>
      </w:r>
      <w:r w:rsidRPr="00FE0534">
        <w:rPr>
          <w:lang w:val="en-GB"/>
        </w:rPr>
        <w:t>25</w:t>
      </w:r>
      <w:r w:rsidRPr="007D3155">
        <w:t>–</w:t>
      </w:r>
      <w:r w:rsidRPr="00FE0534">
        <w:rPr>
          <w:lang w:val="en-GB"/>
        </w:rPr>
        <w:t>33 and 57</w:t>
      </w:r>
      <w:r w:rsidRPr="007D3155">
        <w:t>–</w:t>
      </w:r>
      <w:r w:rsidRPr="00FE0534">
        <w:rPr>
          <w:lang w:val="en-GB"/>
        </w:rPr>
        <w:t>6</w:t>
      </w:r>
      <w:r>
        <w:rPr>
          <w:lang w:val="en-GB"/>
        </w:rPr>
        <w:t>1</w:t>
      </w:r>
      <w:r w:rsidRPr="00FE0534">
        <w:rPr>
          <w:lang w:val="en-GB"/>
        </w:rPr>
        <w:t xml:space="preserve">. </w:t>
      </w:r>
      <w:r w:rsidRPr="0031712E">
        <w:rPr>
          <w:lang w:val="en-GB"/>
        </w:rPr>
        <w:t>I</w:t>
      </w:r>
      <w:r w:rsidRPr="001E648E">
        <w:rPr>
          <w:lang w:val="en-GB"/>
        </w:rPr>
        <w:t>n each case, it would be necessary to determine that the victims were civilians and not members of other armed groups</w:t>
      </w:r>
      <w:r w:rsidRPr="00FE0534">
        <w:rPr>
          <w:lang w:val="en-GB"/>
        </w:rPr>
        <w:t xml:space="preserve">. </w:t>
      </w:r>
    </w:p>
  </w:footnote>
  <w:footnote w:id="63">
    <w:p w:rsidR="00722D6F" w:rsidRPr="002D207B" w:rsidRDefault="00722D6F" w:rsidP="00930560">
      <w:pPr>
        <w:pStyle w:val="FootnoteText"/>
        <w:rPr>
          <w:lang w:val="es-ES"/>
        </w:rPr>
      </w:pPr>
      <w:r>
        <w:rPr>
          <w:lang w:val="en-GB"/>
        </w:rPr>
        <w:tab/>
      </w:r>
      <w:r w:rsidRPr="007C4BD4">
        <w:rPr>
          <w:rStyle w:val="FootnoteReference"/>
        </w:rPr>
        <w:footnoteRef/>
      </w:r>
      <w:r w:rsidRPr="00FE0534">
        <w:rPr>
          <w:lang w:val="en-GB"/>
        </w:rPr>
        <w:tab/>
      </w:r>
      <w:r w:rsidRPr="00C41AF4">
        <w:rPr>
          <w:lang w:val="en-GB"/>
        </w:rPr>
        <w:t>See</w:t>
      </w:r>
      <w:r>
        <w:rPr>
          <w:vertAlign w:val="superscript"/>
          <w:lang w:val="en-GB"/>
        </w:rPr>
        <w:t xml:space="preserve"> “</w:t>
      </w:r>
      <w:r w:rsidRPr="00FE0534">
        <w:rPr>
          <w:lang w:val="en-GB"/>
        </w:rPr>
        <w:t xml:space="preserve">Rule of </w:t>
      </w:r>
      <w:r>
        <w:rPr>
          <w:lang w:val="en-GB"/>
        </w:rPr>
        <w:t>t</w:t>
      </w:r>
      <w:r w:rsidRPr="00FE0534">
        <w:rPr>
          <w:lang w:val="en-GB"/>
        </w:rPr>
        <w:t>error</w:t>
      </w:r>
      <w:r>
        <w:rPr>
          <w:lang w:val="en-GB"/>
        </w:rPr>
        <w:t>”</w:t>
      </w:r>
      <w:r w:rsidRPr="00FE0534">
        <w:rPr>
          <w:lang w:val="en-GB"/>
        </w:rPr>
        <w:t xml:space="preserve">, </w:t>
      </w:r>
      <w:r>
        <w:rPr>
          <w:lang w:val="en-GB"/>
        </w:rPr>
        <w:t>paras. </w:t>
      </w:r>
      <w:r w:rsidRPr="002D207B">
        <w:rPr>
          <w:lang w:val="es-ES"/>
        </w:rPr>
        <w:t>33–35.</w:t>
      </w:r>
    </w:p>
  </w:footnote>
  <w:footnote w:id="64">
    <w:p w:rsidR="00722D6F" w:rsidRPr="00450324" w:rsidRDefault="00722D6F" w:rsidP="00930560">
      <w:pPr>
        <w:pStyle w:val="FootnoteText"/>
        <w:rPr>
          <w:lang w:val="es-ES"/>
        </w:rPr>
      </w:pPr>
      <w:r w:rsidRPr="002D207B">
        <w:rPr>
          <w:lang w:val="es-ES"/>
        </w:rPr>
        <w:tab/>
      </w:r>
      <w:r w:rsidRPr="007C4BD4">
        <w:rPr>
          <w:rStyle w:val="FootnoteReference"/>
        </w:rPr>
        <w:footnoteRef/>
      </w:r>
      <w:r w:rsidRPr="00450324">
        <w:rPr>
          <w:vertAlign w:val="superscript"/>
          <w:lang w:val="es-ES"/>
        </w:rPr>
        <w:tab/>
      </w:r>
      <w:r w:rsidRPr="00450324">
        <w:rPr>
          <w:lang w:val="es-ES"/>
        </w:rPr>
        <w:t xml:space="preserve">Ibid., para. 33. </w:t>
      </w:r>
    </w:p>
  </w:footnote>
  <w:footnote w:id="65">
    <w:p w:rsidR="00722D6F" w:rsidRPr="00450324" w:rsidRDefault="00722D6F" w:rsidP="00930560">
      <w:pPr>
        <w:pStyle w:val="FootnoteText"/>
        <w:rPr>
          <w:lang w:val="es-ES"/>
        </w:rPr>
      </w:pPr>
      <w:r w:rsidRPr="00450324">
        <w:rPr>
          <w:lang w:val="es-ES"/>
        </w:rPr>
        <w:tab/>
      </w:r>
      <w:r w:rsidRPr="007C4BD4">
        <w:rPr>
          <w:rStyle w:val="FootnoteReference"/>
        </w:rPr>
        <w:footnoteRef/>
      </w:r>
      <w:r w:rsidRPr="00450324">
        <w:rPr>
          <w:vertAlign w:val="superscript"/>
          <w:lang w:val="es-ES"/>
        </w:rPr>
        <w:tab/>
      </w:r>
      <w:r w:rsidRPr="00450324">
        <w:rPr>
          <w:lang w:val="es-ES"/>
        </w:rPr>
        <w:t>Ibid., para. 21.</w:t>
      </w:r>
    </w:p>
  </w:footnote>
  <w:footnote w:id="66">
    <w:p w:rsidR="00722D6F" w:rsidRPr="00FE0534" w:rsidRDefault="00722D6F" w:rsidP="009E1C2A">
      <w:pPr>
        <w:pStyle w:val="FootnoteText"/>
        <w:rPr>
          <w:lang w:val="en-GB"/>
        </w:rPr>
      </w:pPr>
      <w:r w:rsidRPr="00450324">
        <w:rPr>
          <w:lang w:val="es-ES"/>
        </w:rPr>
        <w:tab/>
      </w:r>
      <w:r w:rsidRPr="007C4BD4">
        <w:rPr>
          <w:rStyle w:val="FootnoteReference"/>
        </w:rPr>
        <w:footnoteRef/>
      </w:r>
      <w:r w:rsidRPr="00450324">
        <w:rPr>
          <w:lang w:val="es-ES"/>
        </w:rPr>
        <w:tab/>
        <w:t>Ibid.</w:t>
      </w:r>
      <w:r w:rsidRPr="002D207B">
        <w:rPr>
          <w:lang w:val="es-ES"/>
        </w:rPr>
        <w:t>, para. </w:t>
      </w:r>
      <w:r w:rsidRPr="00FE0534">
        <w:rPr>
          <w:lang w:val="en-GB"/>
        </w:rPr>
        <w:t>31.</w:t>
      </w:r>
    </w:p>
  </w:footnote>
  <w:footnote w:id="67">
    <w:p w:rsidR="00722D6F" w:rsidRPr="00FE0534" w:rsidRDefault="00722D6F" w:rsidP="00232FF5">
      <w:pPr>
        <w:pStyle w:val="FootnoteText"/>
        <w:rPr>
          <w:lang w:val="en-GB"/>
        </w:rPr>
      </w:pPr>
      <w:r>
        <w:rPr>
          <w:lang w:val="en-GB"/>
        </w:rPr>
        <w:tab/>
      </w:r>
      <w:r w:rsidRPr="007C4BD4">
        <w:rPr>
          <w:rStyle w:val="FootnoteReference"/>
        </w:rPr>
        <w:footnoteRef/>
      </w:r>
      <w:r w:rsidRPr="00845603">
        <w:rPr>
          <w:vertAlign w:val="superscript"/>
          <w:lang w:val="en-GB"/>
        </w:rPr>
        <w:tab/>
      </w:r>
      <w:r w:rsidRPr="0031712E">
        <w:rPr>
          <w:lang w:val="en-GB"/>
        </w:rPr>
        <w:t>See</w:t>
      </w:r>
      <w:r>
        <w:rPr>
          <w:vertAlign w:val="superscript"/>
          <w:lang w:val="en-GB"/>
        </w:rPr>
        <w:t xml:space="preserve"> </w:t>
      </w:r>
      <w:r w:rsidRPr="00FE0534">
        <w:rPr>
          <w:lang w:val="en-GB"/>
        </w:rPr>
        <w:t xml:space="preserve">UNAMI/OHCHR </w:t>
      </w:r>
      <w:r>
        <w:rPr>
          <w:lang w:val="en-GB"/>
        </w:rPr>
        <w:t>“</w:t>
      </w:r>
      <w:r w:rsidRPr="00FE0534">
        <w:rPr>
          <w:lang w:val="en-GB"/>
        </w:rPr>
        <w:t xml:space="preserve">Report on the </w:t>
      </w:r>
      <w:r>
        <w:rPr>
          <w:lang w:val="en-GB"/>
        </w:rPr>
        <w:t>P</w:t>
      </w:r>
      <w:r w:rsidRPr="00FE0534">
        <w:rPr>
          <w:lang w:val="en-GB"/>
        </w:rPr>
        <w:t>rotection of Civilians in Armed Conflict in Iraq</w:t>
      </w:r>
      <w:r>
        <w:rPr>
          <w:lang w:val="en-GB"/>
        </w:rPr>
        <w:t>:</w:t>
      </w:r>
      <w:r w:rsidRPr="00FE0534">
        <w:rPr>
          <w:lang w:val="en-GB"/>
        </w:rPr>
        <w:t xml:space="preserve"> 6 July</w:t>
      </w:r>
      <w:r w:rsidRPr="007D3155">
        <w:t>–</w:t>
      </w:r>
      <w:r w:rsidRPr="00FE0534">
        <w:rPr>
          <w:lang w:val="en-GB"/>
        </w:rPr>
        <w:t>10 September 2014</w:t>
      </w:r>
      <w:r>
        <w:rPr>
          <w:lang w:val="en-GB"/>
        </w:rPr>
        <w:t>”</w:t>
      </w:r>
      <w:r w:rsidRPr="00FE0534">
        <w:rPr>
          <w:lang w:val="en-GB"/>
        </w:rPr>
        <w:t>, p</w:t>
      </w:r>
      <w:r>
        <w:rPr>
          <w:lang w:val="en-GB"/>
        </w:rPr>
        <w:t>p. </w:t>
      </w:r>
      <w:r w:rsidRPr="00FE0534">
        <w:rPr>
          <w:lang w:val="en-GB"/>
        </w:rPr>
        <w:t>5</w:t>
      </w:r>
      <w:r w:rsidRPr="007D3155">
        <w:t>–</w:t>
      </w:r>
      <w:r w:rsidRPr="00FE0534">
        <w:rPr>
          <w:lang w:val="en-GB"/>
        </w:rPr>
        <w:t>8</w:t>
      </w:r>
      <w:r>
        <w:rPr>
          <w:lang w:val="en-GB"/>
        </w:rPr>
        <w:t>.</w:t>
      </w:r>
    </w:p>
  </w:footnote>
  <w:footnote w:id="68">
    <w:p w:rsidR="00722D6F" w:rsidRPr="00FE0534" w:rsidRDefault="00722D6F" w:rsidP="00232FF5">
      <w:pPr>
        <w:pStyle w:val="FootnoteText"/>
        <w:rPr>
          <w:lang w:val="en-GB"/>
        </w:rPr>
      </w:pPr>
      <w:r>
        <w:rPr>
          <w:lang w:val="en-GB"/>
        </w:rPr>
        <w:tab/>
      </w:r>
      <w:r w:rsidRPr="007C4BD4">
        <w:rPr>
          <w:rStyle w:val="FootnoteReference"/>
        </w:rPr>
        <w:footnoteRef/>
      </w:r>
      <w:r w:rsidRPr="00FE0534">
        <w:rPr>
          <w:lang w:val="en-GB"/>
        </w:rPr>
        <w:tab/>
      </w:r>
      <w:r w:rsidRPr="00C41AF4">
        <w:rPr>
          <w:lang w:val="en-GB"/>
        </w:rPr>
        <w:t>See</w:t>
      </w:r>
      <w:r>
        <w:rPr>
          <w:vertAlign w:val="superscript"/>
          <w:lang w:val="en-GB"/>
        </w:rPr>
        <w:t xml:space="preserve"> “</w:t>
      </w:r>
      <w:r w:rsidRPr="00FE0534">
        <w:rPr>
          <w:lang w:val="en-GB"/>
        </w:rPr>
        <w:t xml:space="preserve">Rule of </w:t>
      </w:r>
      <w:r>
        <w:rPr>
          <w:lang w:val="en-GB"/>
        </w:rPr>
        <w:t>t</w:t>
      </w:r>
      <w:r w:rsidRPr="00FE0534">
        <w:rPr>
          <w:lang w:val="en-GB"/>
        </w:rPr>
        <w:t>error</w:t>
      </w:r>
      <w:r>
        <w:rPr>
          <w:lang w:val="en-GB"/>
        </w:rPr>
        <w:t>”</w:t>
      </w:r>
      <w:r w:rsidRPr="00FE0534">
        <w:rPr>
          <w:lang w:val="en-GB"/>
        </w:rPr>
        <w:t xml:space="preserve">, </w:t>
      </w:r>
      <w:r>
        <w:rPr>
          <w:lang w:val="en-GB"/>
        </w:rPr>
        <w:t>para. </w:t>
      </w:r>
      <w:r w:rsidRPr="00FE0534">
        <w:rPr>
          <w:lang w:val="en-GB"/>
        </w:rPr>
        <w:t>30.</w:t>
      </w:r>
    </w:p>
  </w:footnote>
  <w:footnote w:id="69">
    <w:p w:rsidR="00722D6F" w:rsidRPr="00FE0534" w:rsidRDefault="00722D6F" w:rsidP="009E1C2A">
      <w:pPr>
        <w:pStyle w:val="FootnoteText"/>
        <w:rPr>
          <w:lang w:val="en-GB"/>
        </w:rPr>
      </w:pPr>
      <w:r>
        <w:rPr>
          <w:lang w:val="en-GB"/>
        </w:rPr>
        <w:tab/>
      </w:r>
      <w:r w:rsidRPr="007C4BD4">
        <w:rPr>
          <w:rStyle w:val="FootnoteReference"/>
        </w:rPr>
        <w:footnoteRef/>
      </w:r>
      <w:r w:rsidRPr="00FE0534">
        <w:rPr>
          <w:lang w:val="en-GB"/>
        </w:rPr>
        <w:tab/>
      </w:r>
      <w:proofErr w:type="gramStart"/>
      <w:r>
        <w:rPr>
          <w:lang w:val="en-GB"/>
        </w:rPr>
        <w:t>Ibid.</w:t>
      </w:r>
      <w:r w:rsidRPr="00FE0534">
        <w:rPr>
          <w:lang w:val="en-GB"/>
        </w:rPr>
        <w:t>,</w:t>
      </w:r>
      <w:proofErr w:type="gramEnd"/>
      <w:r w:rsidRPr="00FE0534">
        <w:rPr>
          <w:lang w:val="en-GB"/>
        </w:rPr>
        <w:t xml:space="preserve"> </w:t>
      </w:r>
      <w:r>
        <w:rPr>
          <w:lang w:val="en-GB"/>
        </w:rPr>
        <w:t>para. </w:t>
      </w:r>
      <w:r w:rsidRPr="00FE0534">
        <w:rPr>
          <w:lang w:val="en-GB"/>
        </w:rPr>
        <w:t>19.</w:t>
      </w:r>
    </w:p>
  </w:footnote>
  <w:footnote w:id="70">
    <w:p w:rsidR="00722D6F" w:rsidRPr="00FE0534" w:rsidRDefault="00722D6F" w:rsidP="00255F99">
      <w:pPr>
        <w:pStyle w:val="FootnoteText"/>
        <w:rPr>
          <w:lang w:val="en-GB"/>
        </w:rPr>
      </w:pPr>
      <w:r>
        <w:rPr>
          <w:lang w:val="en-GB"/>
        </w:rPr>
        <w:tab/>
      </w:r>
      <w:r w:rsidRPr="007C4BD4">
        <w:rPr>
          <w:rStyle w:val="FootnoteReference"/>
        </w:rPr>
        <w:footnoteRef/>
      </w:r>
      <w:r w:rsidRPr="00FE0534">
        <w:rPr>
          <w:lang w:val="en-GB"/>
        </w:rPr>
        <w:tab/>
      </w:r>
      <w:r>
        <w:rPr>
          <w:lang w:val="en-GB"/>
        </w:rPr>
        <w:t xml:space="preserve">See the statement by the President of the </w:t>
      </w:r>
      <w:r w:rsidRPr="00FE0534">
        <w:rPr>
          <w:lang w:val="en-GB"/>
        </w:rPr>
        <w:t>Security Council</w:t>
      </w:r>
      <w:r>
        <w:rPr>
          <w:lang w:val="en-GB"/>
        </w:rPr>
        <w:t xml:space="preserve"> on the situation in Iraq</w:t>
      </w:r>
      <w:r w:rsidRPr="00FE0534">
        <w:rPr>
          <w:lang w:val="en-GB"/>
        </w:rPr>
        <w:t xml:space="preserve"> </w:t>
      </w:r>
      <w:r>
        <w:rPr>
          <w:lang w:val="en-GB"/>
        </w:rPr>
        <w:t>(</w:t>
      </w:r>
      <w:r w:rsidRPr="00FE0534">
        <w:rPr>
          <w:lang w:val="en-GB"/>
        </w:rPr>
        <w:t>S/PRST/2014/20</w:t>
      </w:r>
      <w:r>
        <w:rPr>
          <w:lang w:val="en-GB"/>
        </w:rPr>
        <w:t>), p. 2</w:t>
      </w:r>
      <w:r w:rsidR="00255F99">
        <w:rPr>
          <w:lang w:val="en-GB"/>
        </w:rPr>
        <w:t xml:space="preserve">, and </w:t>
      </w:r>
      <w:r>
        <w:rPr>
          <w:lang w:val="en-GB"/>
        </w:rPr>
        <w:t>Security Council r</w:t>
      </w:r>
      <w:r w:rsidRPr="00FE0534">
        <w:rPr>
          <w:lang w:val="en-GB"/>
        </w:rPr>
        <w:t>esolution 2170 (2014)</w:t>
      </w:r>
      <w:r>
        <w:rPr>
          <w:lang w:val="en-GB"/>
        </w:rPr>
        <w:t xml:space="preserve">, para. </w:t>
      </w:r>
      <w:r w:rsidRPr="00FE0534">
        <w:rPr>
          <w:lang w:val="en-GB"/>
        </w:rPr>
        <w:t>3.</w:t>
      </w:r>
    </w:p>
  </w:footnote>
  <w:footnote w:id="71">
    <w:p w:rsidR="00722D6F" w:rsidRPr="00FE0534" w:rsidRDefault="00722D6F" w:rsidP="006200E3">
      <w:pPr>
        <w:pStyle w:val="FootnoteText"/>
        <w:rPr>
          <w:lang w:val="en-GB"/>
        </w:rPr>
      </w:pPr>
      <w:r>
        <w:rPr>
          <w:lang w:val="en-GB"/>
        </w:rPr>
        <w:tab/>
      </w:r>
      <w:r w:rsidRPr="007C4BD4">
        <w:rPr>
          <w:rStyle w:val="FootnoteReference"/>
        </w:rPr>
        <w:footnoteRef/>
      </w:r>
      <w:r w:rsidRPr="00FE0534">
        <w:rPr>
          <w:lang w:val="en-GB"/>
        </w:rPr>
        <w:tab/>
      </w:r>
      <w:r w:rsidRPr="0031712E">
        <w:rPr>
          <w:lang w:val="en-GB"/>
        </w:rPr>
        <w:t>See “Fragmentation of international law: difficulties arising from the diversification and expansion of international law – Report of the Study Group of the International Law Commission” (A/CN.4/L.682</w:t>
      </w:r>
      <w:r w:rsidR="0031712E">
        <w:rPr>
          <w:lang w:val="en-GB"/>
        </w:rPr>
        <w:t xml:space="preserve"> and Corr.1</w:t>
      </w:r>
      <w:r w:rsidRPr="0031712E">
        <w:rPr>
          <w:lang w:val="en-GB"/>
        </w:rPr>
        <w:t>), paras. </w:t>
      </w:r>
      <w:proofErr w:type="gramStart"/>
      <w:r w:rsidRPr="0031712E">
        <w:rPr>
          <w:lang w:val="en-GB"/>
        </w:rPr>
        <w:t>56</w:t>
      </w:r>
      <w:r w:rsidRPr="0031712E">
        <w:t>–</w:t>
      </w:r>
      <w:r w:rsidRPr="0031712E">
        <w:rPr>
          <w:lang w:val="en-GB"/>
        </w:rPr>
        <w:t>57.</w:t>
      </w:r>
      <w:proofErr w:type="gramEnd"/>
    </w:p>
  </w:footnote>
  <w:footnote w:id="72">
    <w:p w:rsidR="00722D6F" w:rsidRPr="00FE0534" w:rsidRDefault="00722D6F" w:rsidP="00E706DF">
      <w:pPr>
        <w:pStyle w:val="FootnoteText"/>
        <w:rPr>
          <w:lang w:val="en-GB"/>
        </w:rPr>
      </w:pPr>
      <w:r>
        <w:rPr>
          <w:lang w:val="en-GB"/>
        </w:rPr>
        <w:tab/>
      </w:r>
      <w:r w:rsidRPr="007C4BD4">
        <w:rPr>
          <w:rStyle w:val="FootnoteReference"/>
        </w:rPr>
        <w:footnoteRef/>
      </w:r>
      <w:r w:rsidRPr="00FE0534">
        <w:rPr>
          <w:lang w:val="en-GB"/>
        </w:rPr>
        <w:tab/>
        <w:t xml:space="preserve">See </w:t>
      </w:r>
      <w:r w:rsidRPr="00450324">
        <w:rPr>
          <w:i/>
          <w:iCs/>
          <w:lang w:val="en-GB"/>
        </w:rPr>
        <w:t>International legal protection of human rights in armed conflict</w:t>
      </w:r>
      <w:r w:rsidRPr="00FE0534">
        <w:rPr>
          <w:lang w:val="en-GB"/>
        </w:rPr>
        <w:t xml:space="preserve"> </w:t>
      </w:r>
      <w:r w:rsidRPr="006121D6">
        <w:rPr>
          <w:lang w:val="en-GB"/>
        </w:rPr>
        <w:t>(United Nations publication, Sales No.</w:t>
      </w:r>
      <w:r>
        <w:rPr>
          <w:lang w:val="en-GB"/>
        </w:rPr>
        <w:t xml:space="preserve"> E.11.XIV.3), </w:t>
      </w:r>
      <w:r w:rsidRPr="00FE0534">
        <w:rPr>
          <w:lang w:val="en-GB"/>
        </w:rPr>
        <w:t xml:space="preserve">p. 63. </w:t>
      </w:r>
      <w:r w:rsidRPr="00E706DF">
        <w:rPr>
          <w:lang w:val="en-GB"/>
        </w:rPr>
        <w:t xml:space="preserve">On the alleged violations, see, for example, </w:t>
      </w:r>
      <w:r w:rsidR="00E706DF">
        <w:rPr>
          <w:lang w:val="en-GB"/>
        </w:rPr>
        <w:t>the r</w:t>
      </w:r>
      <w:r w:rsidR="00E706DF" w:rsidRPr="00B01DE8">
        <w:rPr>
          <w:lang w:val="en-GB"/>
        </w:rPr>
        <w:t>eport</w:t>
      </w:r>
      <w:r w:rsidR="00E706DF">
        <w:rPr>
          <w:lang w:val="en-GB"/>
        </w:rPr>
        <w:t>s</w:t>
      </w:r>
      <w:r w:rsidR="00E706DF" w:rsidRPr="00B01DE8">
        <w:rPr>
          <w:lang w:val="en-GB"/>
        </w:rPr>
        <w:t xml:space="preserve"> of the </w:t>
      </w:r>
      <w:r w:rsidR="00E706DF">
        <w:rPr>
          <w:lang w:val="en-GB"/>
        </w:rPr>
        <w:t>I</w:t>
      </w:r>
      <w:r w:rsidR="00E706DF" w:rsidRPr="00B01DE8">
        <w:rPr>
          <w:lang w:val="en-GB"/>
        </w:rPr>
        <w:t xml:space="preserve">ndependent </w:t>
      </w:r>
      <w:r w:rsidR="00E706DF">
        <w:rPr>
          <w:lang w:val="en-GB"/>
        </w:rPr>
        <w:t>I</w:t>
      </w:r>
      <w:r w:rsidR="00E706DF" w:rsidRPr="00B01DE8">
        <w:rPr>
          <w:lang w:val="en-GB"/>
        </w:rPr>
        <w:t xml:space="preserve">nternational </w:t>
      </w:r>
      <w:r w:rsidR="00E706DF">
        <w:rPr>
          <w:lang w:val="en-GB"/>
        </w:rPr>
        <w:t>C</w:t>
      </w:r>
      <w:r w:rsidR="00E706DF" w:rsidRPr="00B01DE8">
        <w:rPr>
          <w:lang w:val="en-GB"/>
        </w:rPr>
        <w:t xml:space="preserve">ommission of </w:t>
      </w:r>
      <w:r w:rsidR="00E706DF">
        <w:rPr>
          <w:lang w:val="en-GB"/>
        </w:rPr>
        <w:t>I</w:t>
      </w:r>
      <w:r w:rsidR="00E706DF" w:rsidRPr="00B01DE8">
        <w:rPr>
          <w:lang w:val="en-GB"/>
        </w:rPr>
        <w:t>nquiry on the Syrian Arab Republic</w:t>
      </w:r>
      <w:r w:rsidR="00E706DF">
        <w:rPr>
          <w:lang w:val="en-GB"/>
        </w:rPr>
        <w:t xml:space="preserve"> </w:t>
      </w:r>
      <w:r w:rsidR="00E706DF" w:rsidRPr="00450324">
        <w:rPr>
          <w:lang w:val="en-GB"/>
        </w:rPr>
        <w:t>(</w:t>
      </w:r>
      <w:r w:rsidRPr="00E706DF">
        <w:rPr>
          <w:lang w:val="en-GB"/>
        </w:rPr>
        <w:t>A/HRC/21/50</w:t>
      </w:r>
      <w:r w:rsidR="00E706DF" w:rsidRPr="00450324">
        <w:rPr>
          <w:lang w:val="en-GB"/>
        </w:rPr>
        <w:t>)</w:t>
      </w:r>
      <w:r w:rsidRPr="00E706DF">
        <w:rPr>
          <w:lang w:val="en-GB"/>
        </w:rPr>
        <w:t>, para. </w:t>
      </w:r>
      <w:proofErr w:type="gramStart"/>
      <w:r w:rsidRPr="00E706DF">
        <w:rPr>
          <w:lang w:val="en-GB"/>
        </w:rPr>
        <w:t>134</w:t>
      </w:r>
      <w:r w:rsidR="00E706DF" w:rsidRPr="00E706DF">
        <w:rPr>
          <w:lang w:val="en-GB"/>
        </w:rPr>
        <w:t xml:space="preserve">, and </w:t>
      </w:r>
      <w:r w:rsidRPr="00E706DF">
        <w:rPr>
          <w:lang w:val="en-GB"/>
        </w:rPr>
        <w:t>A/HRC/25/65, para.</w:t>
      </w:r>
      <w:proofErr w:type="gramEnd"/>
      <w:r w:rsidRPr="00E706DF">
        <w:rPr>
          <w:lang w:val="en-GB"/>
        </w:rPr>
        <w:t xml:space="preserve"> 129; “Rule of terror”, para. 20; UNAMI/OHCHR, </w:t>
      </w:r>
      <w:r w:rsidR="00E706DF" w:rsidRPr="00E706DF">
        <w:rPr>
          <w:lang w:val="en-GB"/>
        </w:rPr>
        <w:t xml:space="preserve">“Report on the Protection of Civilians in Armed Conflict in Iraq: </w:t>
      </w:r>
      <w:r w:rsidRPr="00E706DF">
        <w:rPr>
          <w:lang w:val="en-GB"/>
        </w:rPr>
        <w:t xml:space="preserve">6 July–10 September 2014, p. 11; </w:t>
      </w:r>
      <w:r w:rsidR="00E706DF" w:rsidRPr="00E706DF">
        <w:rPr>
          <w:lang w:val="en-GB"/>
        </w:rPr>
        <w:t xml:space="preserve">and </w:t>
      </w:r>
      <w:r w:rsidRPr="00E706DF">
        <w:rPr>
          <w:lang w:val="en-GB"/>
        </w:rPr>
        <w:t>A/HRC/28/18</w:t>
      </w:r>
      <w:r w:rsidR="00E706DF" w:rsidRPr="00E706DF">
        <w:rPr>
          <w:lang w:val="en-GB"/>
        </w:rPr>
        <w:t>,</w:t>
      </w:r>
      <w:r w:rsidRPr="00E706DF">
        <w:rPr>
          <w:lang w:val="en-GB"/>
        </w:rPr>
        <w:t xml:space="preserve"> paras. </w:t>
      </w:r>
      <w:proofErr w:type="gramStart"/>
      <w:r w:rsidRPr="00E706DF">
        <w:rPr>
          <w:lang w:val="en-GB"/>
        </w:rPr>
        <w:t>48 and 49.</w:t>
      </w:r>
      <w:proofErr w:type="gramEnd"/>
      <w:r w:rsidRPr="00FE0534">
        <w:rPr>
          <w:lang w:val="en-GB"/>
        </w:rPr>
        <w:t xml:space="preserve"> </w:t>
      </w:r>
    </w:p>
  </w:footnote>
  <w:footnote w:id="73">
    <w:p w:rsidR="00722D6F" w:rsidRPr="00FE0534" w:rsidRDefault="00722D6F" w:rsidP="00C6469A">
      <w:pPr>
        <w:pStyle w:val="FootnoteText"/>
        <w:rPr>
          <w:lang w:val="en-GB"/>
        </w:rPr>
      </w:pPr>
      <w:r>
        <w:rPr>
          <w:lang w:val="en-GB"/>
        </w:rPr>
        <w:tab/>
      </w:r>
      <w:r w:rsidRPr="007C4BD4">
        <w:rPr>
          <w:rStyle w:val="FootnoteReference"/>
        </w:rPr>
        <w:footnoteRef/>
      </w:r>
      <w:r w:rsidRPr="00FE0534">
        <w:rPr>
          <w:lang w:val="en-GB"/>
        </w:rPr>
        <w:tab/>
        <w:t xml:space="preserve">See UNAMI/OHCHR, </w:t>
      </w:r>
      <w:r>
        <w:rPr>
          <w:lang w:val="en-GB"/>
        </w:rPr>
        <w:t>“</w:t>
      </w:r>
      <w:r w:rsidRPr="00FE0534">
        <w:rPr>
          <w:lang w:val="en-GB"/>
        </w:rPr>
        <w:t>Report on Human Rights in Iraq</w:t>
      </w:r>
      <w:r>
        <w:rPr>
          <w:lang w:val="en-GB"/>
        </w:rPr>
        <w:t>:</w:t>
      </w:r>
      <w:r w:rsidRPr="00FE0534">
        <w:rPr>
          <w:lang w:val="en-GB"/>
        </w:rPr>
        <w:t xml:space="preserve"> January</w:t>
      </w:r>
      <w:r>
        <w:rPr>
          <w:lang w:val="en-GB"/>
        </w:rPr>
        <w:t>–</w:t>
      </w:r>
      <w:r w:rsidRPr="00FE0534">
        <w:rPr>
          <w:lang w:val="en-GB"/>
        </w:rPr>
        <w:t>June 2014</w:t>
      </w:r>
      <w:r>
        <w:rPr>
          <w:lang w:val="en-GB"/>
        </w:rPr>
        <w:t>”</w:t>
      </w:r>
      <w:r w:rsidRPr="00FE0534">
        <w:rPr>
          <w:lang w:val="en-GB"/>
        </w:rPr>
        <w:t xml:space="preserve">. </w:t>
      </w:r>
    </w:p>
  </w:footnote>
  <w:footnote w:id="74">
    <w:p w:rsidR="00722D6F" w:rsidRPr="002D207B" w:rsidRDefault="00722D6F" w:rsidP="009E1C2A">
      <w:pPr>
        <w:pStyle w:val="FootnoteText"/>
        <w:rPr>
          <w:lang w:val="es-ES"/>
        </w:rPr>
      </w:pPr>
      <w:r>
        <w:rPr>
          <w:lang w:val="en-GB"/>
        </w:rPr>
        <w:tab/>
      </w:r>
      <w:r w:rsidRPr="007C4BD4">
        <w:rPr>
          <w:rStyle w:val="FootnoteReference"/>
        </w:rPr>
        <w:footnoteRef/>
      </w:r>
      <w:r w:rsidRPr="002D207B">
        <w:rPr>
          <w:lang w:val="es-ES"/>
        </w:rPr>
        <w:tab/>
        <w:t>See A/HRC/28/69, paras. 103–105.</w:t>
      </w:r>
    </w:p>
  </w:footnote>
  <w:footnote w:id="75">
    <w:p w:rsidR="00722D6F" w:rsidRPr="002D207B" w:rsidRDefault="00722D6F" w:rsidP="00FE0534">
      <w:pPr>
        <w:pStyle w:val="FootnoteText"/>
        <w:rPr>
          <w:lang w:val="es-ES"/>
        </w:rPr>
      </w:pPr>
      <w:r w:rsidRPr="002D207B">
        <w:rPr>
          <w:lang w:val="es-ES"/>
        </w:rPr>
        <w:tab/>
      </w:r>
      <w:r w:rsidRPr="007C4BD4">
        <w:rPr>
          <w:rStyle w:val="FootnoteReference"/>
        </w:rPr>
        <w:footnoteRef/>
      </w:r>
      <w:r w:rsidRPr="002D207B">
        <w:rPr>
          <w:lang w:val="es-ES"/>
        </w:rPr>
        <w:tab/>
        <w:t>Ibid., para. 146 (b).</w:t>
      </w:r>
    </w:p>
  </w:footnote>
  <w:footnote w:id="76">
    <w:p w:rsidR="00722D6F" w:rsidRPr="00FE0534" w:rsidRDefault="00722D6F" w:rsidP="0031712E">
      <w:pPr>
        <w:pStyle w:val="FootnoteText"/>
        <w:rPr>
          <w:lang w:val="en-GB"/>
        </w:rPr>
      </w:pPr>
      <w:r w:rsidRPr="002D207B">
        <w:rPr>
          <w:lang w:val="es-ES"/>
        </w:rPr>
        <w:tab/>
      </w:r>
      <w:r w:rsidRPr="007C4BD4">
        <w:rPr>
          <w:rStyle w:val="FootnoteReference"/>
        </w:rPr>
        <w:footnoteRef/>
      </w:r>
      <w:r w:rsidRPr="00FE0534">
        <w:rPr>
          <w:lang w:val="en-GB"/>
        </w:rPr>
        <w:tab/>
        <w:t xml:space="preserve">On 22 May 2014, despite the backing of 13 </w:t>
      </w:r>
      <w:r>
        <w:rPr>
          <w:lang w:val="en-GB"/>
        </w:rPr>
        <w:t xml:space="preserve">of its </w:t>
      </w:r>
      <w:r w:rsidRPr="00FE0534">
        <w:rPr>
          <w:lang w:val="en-GB"/>
        </w:rPr>
        <w:t xml:space="preserve">members, the Security Council was unable to adopt a resolution that would have referred the situation in </w:t>
      </w:r>
      <w:r>
        <w:rPr>
          <w:lang w:val="en-GB"/>
        </w:rPr>
        <w:t>the Syrian Arab Republic</w:t>
      </w:r>
      <w:r w:rsidRPr="00FE0534">
        <w:rPr>
          <w:lang w:val="en-GB"/>
        </w:rPr>
        <w:t xml:space="preserve"> to the I</w:t>
      </w:r>
      <w:r w:rsidR="0031712E">
        <w:rPr>
          <w:lang w:val="en-GB"/>
        </w:rPr>
        <w:t xml:space="preserve">nternational </w:t>
      </w:r>
      <w:r w:rsidRPr="00FE0534">
        <w:rPr>
          <w:lang w:val="en-GB"/>
        </w:rPr>
        <w:t>C</w:t>
      </w:r>
      <w:r w:rsidR="0031712E">
        <w:rPr>
          <w:lang w:val="en-GB"/>
        </w:rPr>
        <w:t xml:space="preserve">riminal </w:t>
      </w:r>
      <w:r w:rsidRPr="00FE0534">
        <w:rPr>
          <w:lang w:val="en-GB"/>
        </w:rPr>
        <w:t>C</w:t>
      </w:r>
      <w:r w:rsidR="0031712E">
        <w:rPr>
          <w:lang w:val="en-GB"/>
        </w:rPr>
        <w:t>ourt</w:t>
      </w:r>
      <w:r w:rsidRPr="00FE0534">
        <w:rPr>
          <w:lang w:val="en-GB"/>
        </w:rPr>
        <w:t xml:space="preserve"> </w:t>
      </w:r>
      <w:r>
        <w:rPr>
          <w:lang w:val="en-GB"/>
        </w:rPr>
        <w:t>as a result of</w:t>
      </w:r>
      <w:r w:rsidRPr="00FE0534">
        <w:rPr>
          <w:lang w:val="en-GB"/>
        </w:rPr>
        <w:t xml:space="preserve"> vetoes by </w:t>
      </w:r>
      <w:r>
        <w:rPr>
          <w:lang w:val="en-GB"/>
        </w:rPr>
        <w:t xml:space="preserve">two </w:t>
      </w:r>
      <w:r w:rsidRPr="00FE0534">
        <w:rPr>
          <w:lang w:val="en-GB"/>
        </w:rPr>
        <w:t>permanent members</w:t>
      </w:r>
      <w:r>
        <w:rPr>
          <w:lang w:val="en-GB"/>
        </w:rPr>
        <w:t>,</w:t>
      </w:r>
      <w:r w:rsidRPr="00FE0534">
        <w:rPr>
          <w:lang w:val="en-GB"/>
        </w:rPr>
        <w:t xml:space="preserve"> China</w:t>
      </w:r>
      <w:r>
        <w:rPr>
          <w:lang w:val="en-GB"/>
        </w:rPr>
        <w:t xml:space="preserve"> and the </w:t>
      </w:r>
      <w:r w:rsidRPr="00FE0534">
        <w:rPr>
          <w:lang w:val="en-GB"/>
        </w:rPr>
        <w:t>Russia</w:t>
      </w:r>
      <w:r>
        <w:rPr>
          <w:lang w:val="en-GB"/>
        </w:rPr>
        <w:t>n Federation</w:t>
      </w:r>
      <w:r w:rsidRPr="00FE0534">
        <w:rPr>
          <w:lang w:val="en-GB"/>
        </w:rPr>
        <w:t>.</w:t>
      </w:r>
    </w:p>
  </w:footnote>
  <w:footnote w:id="77">
    <w:p w:rsidR="00722D6F" w:rsidRPr="00450324" w:rsidRDefault="00722D6F" w:rsidP="00D47583">
      <w:pPr>
        <w:pStyle w:val="FootnoteText"/>
      </w:pPr>
      <w:r>
        <w:rPr>
          <w:lang w:val="en-GB"/>
        </w:rPr>
        <w:tab/>
      </w:r>
      <w:r w:rsidRPr="007C4BD4">
        <w:rPr>
          <w:rStyle w:val="FootnoteReference"/>
        </w:rPr>
        <w:footnoteRef/>
      </w:r>
      <w:r w:rsidRPr="00845603">
        <w:rPr>
          <w:vertAlign w:val="superscript"/>
          <w:lang w:val="en-GB"/>
        </w:rPr>
        <w:tab/>
      </w:r>
      <w:r w:rsidRPr="00FE0534">
        <w:rPr>
          <w:lang w:val="en-GB"/>
        </w:rPr>
        <w:t>S</w:t>
      </w:r>
      <w:r w:rsidR="00255F99">
        <w:rPr>
          <w:lang w:val="en-GB"/>
        </w:rPr>
        <w:t>ee the s</w:t>
      </w:r>
      <w:r w:rsidRPr="00FE0534">
        <w:rPr>
          <w:lang w:val="en-GB"/>
        </w:rPr>
        <w:t>tatement of the Prosecutor of the International Criminal Court, Fatou Bensouda, on the alleged crimes committed by ISIS, 8 April 2015.</w:t>
      </w:r>
      <w:r>
        <w:rPr>
          <w:lang w:val="en-GB"/>
        </w:rPr>
        <w:t xml:space="preserve"> </w:t>
      </w:r>
      <w:proofErr w:type="gramStart"/>
      <w:r w:rsidRPr="00450324">
        <w:t>Available from www.icc-cpi.int/en_menus/icc/press%20and%20media/press%20releases/Pages/otp-stat-08-04-2015-1.aspx</w:t>
      </w:r>
      <w:r>
        <w:t>.</w:t>
      </w:r>
      <w:proofErr w:type="gramEnd"/>
    </w:p>
  </w:footnote>
  <w:footnote w:id="78">
    <w:p w:rsidR="00722D6F" w:rsidRPr="002D207B" w:rsidRDefault="00722D6F" w:rsidP="00B940E0">
      <w:pPr>
        <w:pStyle w:val="FootnoteText"/>
        <w:rPr>
          <w:lang w:val="es-ES"/>
        </w:rPr>
      </w:pPr>
      <w:r w:rsidRPr="00450324">
        <w:tab/>
      </w:r>
      <w:r w:rsidRPr="007C4BD4">
        <w:rPr>
          <w:rStyle w:val="FootnoteReference"/>
        </w:rPr>
        <w:footnoteRef/>
      </w:r>
      <w:r w:rsidRPr="00FE0534">
        <w:rPr>
          <w:lang w:val="en-GB"/>
        </w:rPr>
        <w:tab/>
      </w:r>
      <w:r>
        <w:rPr>
          <w:lang w:val="en-GB"/>
        </w:rPr>
        <w:t>R</w:t>
      </w:r>
      <w:r w:rsidRPr="00FE0534">
        <w:rPr>
          <w:lang w:val="en-GB"/>
        </w:rPr>
        <w:t xml:space="preserve">eport of the United Nations High Commissioner for Human Rights on the protection of human rights and fundamental freedoms while countering terrorism </w:t>
      </w:r>
      <w:r>
        <w:rPr>
          <w:lang w:val="en-GB"/>
        </w:rPr>
        <w:t xml:space="preserve">(see </w:t>
      </w:r>
      <w:r w:rsidRPr="00FE0534">
        <w:rPr>
          <w:lang w:val="en-GB"/>
        </w:rPr>
        <w:t xml:space="preserve">A/HRC/28/28, </w:t>
      </w:r>
      <w:r>
        <w:rPr>
          <w:lang w:val="en-GB"/>
        </w:rPr>
        <w:t>para. </w:t>
      </w:r>
      <w:r w:rsidRPr="002D207B">
        <w:rPr>
          <w:lang w:val="es-ES"/>
        </w:rPr>
        <w:t xml:space="preserve">44). </w:t>
      </w:r>
    </w:p>
  </w:footnote>
  <w:footnote w:id="79">
    <w:p w:rsidR="00722D6F" w:rsidRPr="002D207B" w:rsidRDefault="00722D6F" w:rsidP="00FE0534">
      <w:pPr>
        <w:pStyle w:val="FootnoteText"/>
        <w:rPr>
          <w:lang w:val="es-ES"/>
        </w:rPr>
      </w:pPr>
      <w:r w:rsidRPr="002D207B">
        <w:rPr>
          <w:lang w:val="es-ES"/>
        </w:rPr>
        <w:tab/>
      </w:r>
      <w:r w:rsidRPr="007C4BD4">
        <w:rPr>
          <w:rStyle w:val="FootnoteReference"/>
        </w:rPr>
        <w:footnoteRef/>
      </w:r>
      <w:r w:rsidRPr="002D207B">
        <w:rPr>
          <w:lang w:val="es-ES"/>
        </w:rPr>
        <w:tab/>
        <w:t>See A/HRC/28/69, para. 145 (a).</w:t>
      </w:r>
    </w:p>
  </w:footnote>
  <w:footnote w:id="80">
    <w:p w:rsidR="00722D6F" w:rsidRPr="002E2233" w:rsidRDefault="00722D6F" w:rsidP="009E1C2A">
      <w:pPr>
        <w:pStyle w:val="FootnoteText"/>
        <w:rPr>
          <w:lang w:val="es-ES"/>
        </w:rPr>
      </w:pPr>
      <w:r w:rsidRPr="002D207B">
        <w:rPr>
          <w:lang w:val="es-ES"/>
        </w:rPr>
        <w:tab/>
      </w:r>
      <w:r w:rsidRPr="007C4BD4">
        <w:rPr>
          <w:rStyle w:val="FootnoteReference"/>
        </w:rPr>
        <w:footnoteRef/>
      </w:r>
      <w:r w:rsidRPr="002E2233">
        <w:rPr>
          <w:lang w:val="es-ES"/>
        </w:rPr>
        <w:tab/>
        <w:t>Ibid., paras. 106–107.</w:t>
      </w:r>
    </w:p>
  </w:footnote>
  <w:footnote w:id="81">
    <w:p w:rsidR="00722D6F" w:rsidRPr="002E2233" w:rsidRDefault="00722D6F" w:rsidP="00FE0534">
      <w:pPr>
        <w:pStyle w:val="FootnoteText"/>
        <w:rPr>
          <w:lang w:val="es-ES"/>
        </w:rPr>
      </w:pPr>
      <w:r w:rsidRPr="002E2233">
        <w:rPr>
          <w:lang w:val="es-ES"/>
        </w:rPr>
        <w:tab/>
      </w:r>
      <w:r w:rsidRPr="007C4BD4">
        <w:rPr>
          <w:rStyle w:val="FootnoteReference"/>
        </w:rPr>
        <w:footnoteRef/>
      </w:r>
      <w:r w:rsidRPr="002E2233">
        <w:rPr>
          <w:lang w:val="es-ES"/>
        </w:rPr>
        <w:tab/>
        <w:t>Ibid., para. 145 (a).</w:t>
      </w:r>
    </w:p>
  </w:footnote>
  <w:footnote w:id="82">
    <w:p w:rsidR="00722D6F" w:rsidRPr="00FE0534" w:rsidRDefault="00722D6F" w:rsidP="00FE0534">
      <w:pPr>
        <w:pStyle w:val="FootnoteText"/>
        <w:rPr>
          <w:lang w:val="en-GB"/>
        </w:rPr>
      </w:pPr>
      <w:r w:rsidRPr="002E2233">
        <w:rPr>
          <w:lang w:val="es-ES"/>
        </w:rPr>
        <w:tab/>
      </w:r>
      <w:r w:rsidRPr="007C4BD4">
        <w:rPr>
          <w:rStyle w:val="FootnoteReference"/>
        </w:rPr>
        <w:footnoteRef/>
      </w:r>
      <w:r w:rsidRPr="00845603">
        <w:rPr>
          <w:vertAlign w:val="superscript"/>
          <w:lang w:val="en-GB"/>
        </w:rPr>
        <w:tab/>
      </w:r>
      <w:proofErr w:type="gramStart"/>
      <w:r w:rsidRPr="00FE0534">
        <w:rPr>
          <w:lang w:val="en-GB"/>
        </w:rPr>
        <w:t>S</w:t>
      </w:r>
      <w:r w:rsidR="00255F99">
        <w:rPr>
          <w:lang w:val="en-GB"/>
        </w:rPr>
        <w:t>ee S</w:t>
      </w:r>
      <w:r w:rsidRPr="00FE0534">
        <w:rPr>
          <w:lang w:val="en-GB"/>
        </w:rPr>
        <w:t>ecurity Council resolution 2170</w:t>
      </w:r>
      <w:r>
        <w:rPr>
          <w:lang w:val="en-GB"/>
        </w:rPr>
        <w:t xml:space="preserve"> (2014),</w:t>
      </w:r>
      <w:r w:rsidRPr="00FE0534">
        <w:rPr>
          <w:lang w:val="en-GB"/>
        </w:rPr>
        <w:t xml:space="preserve"> </w:t>
      </w:r>
      <w:r>
        <w:rPr>
          <w:lang w:val="en-GB"/>
        </w:rPr>
        <w:t>para.</w:t>
      </w:r>
      <w:proofErr w:type="gramEnd"/>
      <w:r>
        <w:rPr>
          <w:lang w:val="en-GB"/>
        </w:rPr>
        <w:t> </w:t>
      </w:r>
      <w:r w:rsidRPr="00FE0534">
        <w:rPr>
          <w:lang w:val="en-GB"/>
        </w:rPr>
        <w:t>18.</w:t>
      </w:r>
    </w:p>
  </w:footnote>
  <w:footnote w:id="83">
    <w:p w:rsidR="00722D6F" w:rsidRPr="00FE0534" w:rsidRDefault="00722D6F" w:rsidP="00FE0534">
      <w:pPr>
        <w:pStyle w:val="FootnoteText"/>
        <w:rPr>
          <w:lang w:val="en-GB"/>
        </w:rPr>
      </w:pPr>
      <w:r>
        <w:rPr>
          <w:lang w:val="en-GB"/>
        </w:rPr>
        <w:tab/>
      </w:r>
      <w:r w:rsidRPr="007C4BD4">
        <w:rPr>
          <w:rStyle w:val="FootnoteReference"/>
        </w:rPr>
        <w:footnoteRef/>
      </w:r>
      <w:r>
        <w:rPr>
          <w:lang w:val="en-GB"/>
        </w:rPr>
        <w:tab/>
      </w:r>
      <w:proofErr w:type="gramStart"/>
      <w:r w:rsidRPr="00FE0534">
        <w:rPr>
          <w:lang w:val="en-GB"/>
        </w:rPr>
        <w:t>Ibid.</w:t>
      </w:r>
      <w:r>
        <w:rPr>
          <w:lang w:val="en-GB"/>
        </w:rPr>
        <w:t>,</w:t>
      </w:r>
      <w:proofErr w:type="gramEnd"/>
      <w:r w:rsidRPr="00FE0534">
        <w:rPr>
          <w:lang w:val="en-GB"/>
        </w:rPr>
        <w:t xml:space="preserve"> </w:t>
      </w:r>
      <w:r>
        <w:rPr>
          <w:lang w:val="en-GB"/>
        </w:rPr>
        <w:t>para. </w:t>
      </w:r>
      <w:r w:rsidRPr="00FE0534">
        <w:rPr>
          <w:lang w:val="en-GB"/>
        </w:rPr>
        <w:t>18.</w:t>
      </w:r>
    </w:p>
  </w:footnote>
  <w:footnote w:id="84">
    <w:p w:rsidR="00722D6F" w:rsidRPr="00FE0534" w:rsidRDefault="00722D6F" w:rsidP="00FE0534">
      <w:pPr>
        <w:pStyle w:val="FootnoteText"/>
        <w:rPr>
          <w:lang w:val="en-GB"/>
        </w:rPr>
      </w:pPr>
      <w:r>
        <w:rPr>
          <w:lang w:val="en-GB"/>
        </w:rPr>
        <w:tab/>
      </w:r>
      <w:r w:rsidRPr="007C4BD4">
        <w:rPr>
          <w:rStyle w:val="FootnoteReference"/>
        </w:rPr>
        <w:footnoteRef/>
      </w:r>
      <w:r w:rsidRPr="00FE0534">
        <w:rPr>
          <w:lang w:val="en-GB"/>
        </w:rPr>
        <w:tab/>
      </w:r>
      <w:proofErr w:type="gramStart"/>
      <w:r w:rsidRPr="00FE0534">
        <w:rPr>
          <w:lang w:val="en-GB"/>
        </w:rPr>
        <w:t xml:space="preserve">See </w:t>
      </w:r>
      <w:r>
        <w:rPr>
          <w:lang w:val="en-GB"/>
        </w:rPr>
        <w:t xml:space="preserve">Security Council </w:t>
      </w:r>
      <w:r w:rsidRPr="00FE0534">
        <w:rPr>
          <w:lang w:val="en-GB"/>
        </w:rPr>
        <w:t>resolutions 1904 (2009), 1989 (2011), 2083 (2012) and 2161 (2014).</w:t>
      </w:r>
      <w:proofErr w:type="gramEnd"/>
    </w:p>
  </w:footnote>
  <w:footnote w:id="85">
    <w:p w:rsidR="00722D6F" w:rsidRPr="002E2233" w:rsidRDefault="00722D6F" w:rsidP="00B64E31">
      <w:pPr>
        <w:pStyle w:val="FootnoteText"/>
      </w:pPr>
      <w:r w:rsidRPr="0031712E">
        <w:tab/>
      </w:r>
      <w:r w:rsidRPr="007C4BD4">
        <w:rPr>
          <w:rStyle w:val="FootnoteReference"/>
        </w:rPr>
        <w:footnoteRef/>
      </w:r>
      <w:r w:rsidRPr="002E2233">
        <w:tab/>
      </w:r>
      <w:r w:rsidR="004709A8">
        <w:t xml:space="preserve">See </w:t>
      </w:r>
      <w:r w:rsidR="00B64E31">
        <w:rPr>
          <w:lang w:val="en-GB"/>
        </w:rPr>
        <w:t>S</w:t>
      </w:r>
      <w:r w:rsidR="00B64E31" w:rsidRPr="00FE0534">
        <w:rPr>
          <w:lang w:val="en-GB"/>
        </w:rPr>
        <w:t>/2015/80</w:t>
      </w:r>
      <w:r w:rsidRPr="002E2233">
        <w:t>, paras. </w:t>
      </w:r>
      <w:proofErr w:type="gramStart"/>
      <w:r w:rsidR="00B64E31">
        <w:t>37</w:t>
      </w:r>
      <w:r w:rsidRPr="0031712E">
        <w:t>–</w:t>
      </w:r>
      <w:r>
        <w:t>53.</w:t>
      </w:r>
      <w:proofErr w:type="gramEnd"/>
      <w:r>
        <w:t xml:space="preserve"> </w:t>
      </w:r>
    </w:p>
  </w:footnote>
  <w:footnote w:id="86">
    <w:p w:rsidR="00722D6F" w:rsidRPr="00FE0534" w:rsidRDefault="00722D6F" w:rsidP="004709A8">
      <w:pPr>
        <w:pStyle w:val="FootnoteText"/>
        <w:rPr>
          <w:lang w:val="en-GB"/>
        </w:rPr>
      </w:pPr>
      <w:r w:rsidRPr="00450324">
        <w:tab/>
      </w:r>
      <w:r w:rsidRPr="007C4BD4">
        <w:rPr>
          <w:rStyle w:val="FootnoteReference"/>
        </w:rPr>
        <w:footnoteRef/>
      </w:r>
      <w:r w:rsidRPr="00FE0534">
        <w:rPr>
          <w:lang w:val="en-GB"/>
        </w:rPr>
        <w:tab/>
      </w:r>
      <w:proofErr w:type="gramStart"/>
      <w:r w:rsidRPr="00FE0534">
        <w:rPr>
          <w:lang w:val="en-GB"/>
        </w:rPr>
        <w:t xml:space="preserve">See Security Council resolution 2199 (2015), which builds on </w:t>
      </w:r>
      <w:r>
        <w:rPr>
          <w:lang w:val="en-GB"/>
        </w:rPr>
        <w:t xml:space="preserve">resolution </w:t>
      </w:r>
      <w:r w:rsidRPr="00FE0534">
        <w:rPr>
          <w:lang w:val="en-GB"/>
        </w:rPr>
        <w:t>2170</w:t>
      </w:r>
      <w:r>
        <w:rPr>
          <w:lang w:val="en-GB"/>
        </w:rPr>
        <w:t xml:space="preserve"> (</w:t>
      </w:r>
      <w:r>
        <w:t>2014)</w:t>
      </w:r>
      <w:r w:rsidRPr="00FE0534">
        <w:rPr>
          <w:lang w:val="en-GB"/>
        </w:rPr>
        <w:t xml:space="preserve"> by refining the range of tools available to block the financing of ISIL.</w:t>
      </w:r>
      <w:proofErr w:type="gramEnd"/>
      <w:r w:rsidRPr="00FE0534">
        <w:rPr>
          <w:lang w:val="en-GB"/>
        </w:rPr>
        <w:t xml:space="preserve"> </w:t>
      </w:r>
    </w:p>
  </w:footnote>
  <w:footnote w:id="87">
    <w:p w:rsidR="00722D6F" w:rsidRPr="00FE0534" w:rsidRDefault="00722D6F" w:rsidP="005B57C2">
      <w:pPr>
        <w:pStyle w:val="FootnoteText"/>
        <w:rPr>
          <w:lang w:val="en-GB"/>
        </w:rPr>
      </w:pPr>
      <w:r>
        <w:rPr>
          <w:lang w:val="en-GB"/>
        </w:rPr>
        <w:tab/>
      </w:r>
      <w:r w:rsidRPr="007C4BD4">
        <w:rPr>
          <w:rStyle w:val="FootnoteReference"/>
        </w:rPr>
        <w:footnoteRef/>
      </w:r>
      <w:r w:rsidRPr="00845603">
        <w:rPr>
          <w:vertAlign w:val="superscript"/>
          <w:lang w:val="en-GB"/>
        </w:rPr>
        <w:tab/>
      </w:r>
      <w:proofErr w:type="gramStart"/>
      <w:r w:rsidRPr="00FE0534">
        <w:rPr>
          <w:lang w:val="en-GB"/>
        </w:rPr>
        <w:t xml:space="preserve">See Geneva Academy of International Humanitarian Law and Human Rights, </w:t>
      </w:r>
      <w:r>
        <w:rPr>
          <w:lang w:val="en-GB"/>
        </w:rPr>
        <w:t>“</w:t>
      </w:r>
      <w:r w:rsidRPr="00FE0534">
        <w:rPr>
          <w:lang w:val="en-GB"/>
        </w:rPr>
        <w:t xml:space="preserve">Foreign </w:t>
      </w:r>
      <w:r>
        <w:rPr>
          <w:lang w:val="en-GB"/>
        </w:rPr>
        <w:t>f</w:t>
      </w:r>
      <w:r w:rsidRPr="00FE0534">
        <w:rPr>
          <w:lang w:val="en-GB"/>
        </w:rPr>
        <w:t xml:space="preserve">ighters under </w:t>
      </w:r>
      <w:r>
        <w:rPr>
          <w:lang w:val="en-GB"/>
        </w:rPr>
        <w:t>i</w:t>
      </w:r>
      <w:r w:rsidRPr="00FE0534">
        <w:rPr>
          <w:lang w:val="en-GB"/>
        </w:rPr>
        <w:t xml:space="preserve">nternational </w:t>
      </w:r>
      <w:r>
        <w:rPr>
          <w:lang w:val="en-GB"/>
        </w:rPr>
        <w:t>l</w:t>
      </w:r>
      <w:r w:rsidRPr="00FE0534">
        <w:rPr>
          <w:lang w:val="en-GB"/>
        </w:rPr>
        <w:t>aw</w:t>
      </w:r>
      <w:r>
        <w:rPr>
          <w:lang w:val="en-GB"/>
        </w:rPr>
        <w:t>”</w:t>
      </w:r>
      <w:r w:rsidRPr="00FE0534">
        <w:rPr>
          <w:lang w:val="en-GB"/>
        </w:rPr>
        <w:t>, Geneva Academy Briefing</w:t>
      </w:r>
      <w:r>
        <w:rPr>
          <w:lang w:val="en-GB"/>
        </w:rPr>
        <w:t xml:space="preserve"> No. </w:t>
      </w:r>
      <w:r w:rsidRPr="00FE0534">
        <w:rPr>
          <w:lang w:val="en-GB"/>
        </w:rPr>
        <w:t xml:space="preserve">7 </w:t>
      </w:r>
      <w:r>
        <w:rPr>
          <w:lang w:val="en-GB"/>
        </w:rPr>
        <w:t>(Geneva, Geneva Academy,</w:t>
      </w:r>
      <w:r w:rsidRPr="00FE0534">
        <w:rPr>
          <w:lang w:val="en-GB"/>
        </w:rPr>
        <w:t xml:space="preserve"> 2014</w:t>
      </w:r>
      <w:r>
        <w:rPr>
          <w:lang w:val="en-GB"/>
        </w:rPr>
        <w:t>)</w:t>
      </w:r>
      <w:r w:rsidRPr="00FE0534">
        <w:rPr>
          <w:lang w:val="en-GB"/>
        </w:rPr>
        <w:t>.</w:t>
      </w:r>
      <w:proofErr w:type="gramEnd"/>
      <w:r>
        <w:rPr>
          <w:lang w:val="en-GB"/>
        </w:rPr>
        <w:t xml:space="preserve"> </w:t>
      </w:r>
    </w:p>
  </w:footnote>
  <w:footnote w:id="88">
    <w:p w:rsidR="00722D6F" w:rsidRPr="00FE0534" w:rsidRDefault="00722D6F" w:rsidP="004709A8">
      <w:pPr>
        <w:pStyle w:val="FootnoteText"/>
        <w:rPr>
          <w:lang w:val="en-GB"/>
        </w:rPr>
      </w:pPr>
      <w:r>
        <w:rPr>
          <w:lang w:val="en-GB"/>
        </w:rPr>
        <w:tab/>
      </w:r>
      <w:r w:rsidRPr="007C4BD4">
        <w:rPr>
          <w:rStyle w:val="FootnoteReference"/>
        </w:rPr>
        <w:footnoteRef/>
      </w:r>
      <w:r w:rsidRPr="00845603">
        <w:rPr>
          <w:vertAlign w:val="superscript"/>
          <w:lang w:val="en-GB"/>
        </w:rPr>
        <w:tab/>
      </w:r>
      <w:r w:rsidR="004709A8" w:rsidRPr="00450324">
        <w:rPr>
          <w:lang w:val="en-GB"/>
        </w:rPr>
        <w:t>See</w:t>
      </w:r>
      <w:r w:rsidR="004709A8">
        <w:rPr>
          <w:vertAlign w:val="superscript"/>
          <w:lang w:val="en-GB"/>
        </w:rPr>
        <w:t xml:space="preserve"> </w:t>
      </w:r>
      <w:r w:rsidR="004709A8" w:rsidRPr="00450324">
        <w:rPr>
          <w:lang w:val="en-GB"/>
        </w:rPr>
        <w:t>General Assembly</w:t>
      </w:r>
      <w:r w:rsidR="004709A8">
        <w:rPr>
          <w:vertAlign w:val="superscript"/>
          <w:lang w:val="en-GB"/>
        </w:rPr>
        <w:t xml:space="preserve"> </w:t>
      </w:r>
      <w:r w:rsidR="004709A8">
        <w:rPr>
          <w:lang w:val="en-GB"/>
        </w:rPr>
        <w:t xml:space="preserve">resolution </w:t>
      </w:r>
      <w:r w:rsidRPr="00FE0534">
        <w:rPr>
          <w:lang w:val="en-GB"/>
        </w:rPr>
        <w:t>60/288</w:t>
      </w:r>
      <w:r>
        <w:rPr>
          <w:lang w:val="en-GB"/>
        </w:rPr>
        <w:t>.</w:t>
      </w:r>
    </w:p>
  </w:footnote>
  <w:footnote w:id="89">
    <w:p w:rsidR="00722D6F" w:rsidRPr="00FE0534" w:rsidRDefault="00722D6F" w:rsidP="004709A8">
      <w:pPr>
        <w:pStyle w:val="FootnoteText"/>
        <w:rPr>
          <w:lang w:val="en-GB"/>
        </w:rPr>
      </w:pPr>
      <w:r>
        <w:rPr>
          <w:lang w:val="en-GB"/>
        </w:rPr>
        <w:tab/>
      </w:r>
      <w:r w:rsidRPr="007C4BD4">
        <w:rPr>
          <w:rStyle w:val="FootnoteReference"/>
        </w:rPr>
        <w:footnoteRef/>
      </w:r>
      <w:r w:rsidRPr="00FE0534">
        <w:rPr>
          <w:lang w:val="en-GB"/>
        </w:rPr>
        <w:tab/>
        <w:t xml:space="preserve">See A/HRC/28/28, </w:t>
      </w:r>
      <w:r>
        <w:rPr>
          <w:lang w:val="en-GB"/>
        </w:rPr>
        <w:t>paras. </w:t>
      </w:r>
      <w:proofErr w:type="gramStart"/>
      <w:r w:rsidRPr="00FE0534">
        <w:rPr>
          <w:lang w:val="en-GB"/>
        </w:rPr>
        <w:t>46 and 47.</w:t>
      </w:r>
      <w:proofErr w:type="gramEnd"/>
      <w:r w:rsidRPr="00FE0534">
        <w:rPr>
          <w:lang w:val="en-GB"/>
        </w:rPr>
        <w:t xml:space="preserve"> See also Martin Scheinin, “Back to post-9/11 panic?</w:t>
      </w:r>
      <w:r>
        <w:rPr>
          <w:lang w:val="en-GB"/>
        </w:rPr>
        <w:t xml:space="preserve"> Security Council resolution on foreign freedom fighters</w:t>
      </w:r>
      <w:r w:rsidRPr="00FE0534">
        <w:rPr>
          <w:lang w:val="en-GB"/>
        </w:rPr>
        <w:t xml:space="preserve">”, </w:t>
      </w:r>
      <w:r w:rsidRPr="00450324">
        <w:rPr>
          <w:i/>
          <w:iCs/>
          <w:lang w:val="en-GB"/>
        </w:rPr>
        <w:t>Just Security</w:t>
      </w:r>
      <w:r w:rsidRPr="00FE0534">
        <w:rPr>
          <w:lang w:val="en-GB"/>
        </w:rPr>
        <w:t>, 23 September 2014</w:t>
      </w:r>
      <w:r w:rsidR="004709A8">
        <w:rPr>
          <w:lang w:val="en-GB"/>
        </w:rPr>
        <w:t>,</w:t>
      </w:r>
      <w:r>
        <w:rPr>
          <w:lang w:val="en-GB"/>
        </w:rPr>
        <w:t xml:space="preserve"> </w:t>
      </w:r>
      <w:r w:rsidR="004709A8">
        <w:rPr>
          <w:lang w:val="en-GB"/>
        </w:rPr>
        <w:t>a</w:t>
      </w:r>
      <w:r>
        <w:rPr>
          <w:lang w:val="en-GB"/>
        </w:rPr>
        <w:t xml:space="preserve">vailable from </w:t>
      </w:r>
      <w:r w:rsidRPr="003D5A04">
        <w:rPr>
          <w:lang w:val="en-GB"/>
        </w:rPr>
        <w:t>http://justsecurity.org/15407/post-911-panic-security-council-resolution-foreign-terrorist-fighters-scheinin/</w:t>
      </w:r>
      <w:r w:rsidR="004709A8">
        <w:rPr>
          <w:lang w:val="en-GB"/>
        </w:rPr>
        <w:t>,</w:t>
      </w:r>
      <w:r w:rsidRPr="00FE0534">
        <w:rPr>
          <w:lang w:val="en-GB"/>
        </w:rPr>
        <w:t xml:space="preserve"> and “A</w:t>
      </w:r>
      <w:r>
        <w:rPr>
          <w:lang w:val="en-GB"/>
        </w:rPr>
        <w:t> </w:t>
      </w:r>
      <w:r w:rsidRPr="00FE0534">
        <w:rPr>
          <w:lang w:val="en-GB"/>
        </w:rPr>
        <w:t xml:space="preserve">Comment on Security Council Res 2178 </w:t>
      </w:r>
      <w:r>
        <w:rPr>
          <w:lang w:val="en-GB"/>
        </w:rPr>
        <w:t xml:space="preserve">(Foreign Terrorist Fighters) </w:t>
      </w:r>
      <w:r w:rsidRPr="00FE0534">
        <w:rPr>
          <w:lang w:val="en-GB"/>
        </w:rPr>
        <w:t xml:space="preserve">as a </w:t>
      </w:r>
      <w:r>
        <w:rPr>
          <w:lang w:val="en-GB"/>
        </w:rPr>
        <w:t>ʽ</w:t>
      </w:r>
      <w:r w:rsidRPr="00FE0534">
        <w:rPr>
          <w:lang w:val="en-GB"/>
        </w:rPr>
        <w:t>Form</w:t>
      </w:r>
      <w:r>
        <w:rPr>
          <w:lang w:val="en-GB"/>
        </w:rPr>
        <w:t>’</w:t>
      </w:r>
      <w:r w:rsidRPr="00FE0534">
        <w:rPr>
          <w:lang w:val="en-GB"/>
        </w:rPr>
        <w:t xml:space="preserve"> of Global Governance”, </w:t>
      </w:r>
      <w:r w:rsidRPr="00450324">
        <w:rPr>
          <w:i/>
          <w:iCs/>
          <w:lang w:val="en-GB"/>
        </w:rPr>
        <w:t>Just Security</w:t>
      </w:r>
      <w:r w:rsidRPr="00FE0534">
        <w:rPr>
          <w:lang w:val="en-GB"/>
        </w:rPr>
        <w:t>, 6</w:t>
      </w:r>
      <w:r>
        <w:rPr>
          <w:lang w:val="en-GB"/>
        </w:rPr>
        <w:t> </w:t>
      </w:r>
      <w:r w:rsidRPr="00FE0534">
        <w:rPr>
          <w:lang w:val="en-GB"/>
        </w:rPr>
        <w:t>October 2014</w:t>
      </w:r>
      <w:r w:rsidR="004709A8">
        <w:rPr>
          <w:lang w:val="en-GB"/>
        </w:rPr>
        <w:t>,</w:t>
      </w:r>
      <w:r>
        <w:rPr>
          <w:lang w:val="en-GB"/>
        </w:rPr>
        <w:t xml:space="preserve"> </w:t>
      </w:r>
      <w:r w:rsidR="004709A8">
        <w:rPr>
          <w:lang w:val="en-GB"/>
        </w:rPr>
        <w:t>a</w:t>
      </w:r>
      <w:r>
        <w:rPr>
          <w:lang w:val="en-GB"/>
        </w:rPr>
        <w:t xml:space="preserve">vailable from </w:t>
      </w:r>
      <w:r w:rsidRPr="006935C3">
        <w:rPr>
          <w:lang w:val="en-GB"/>
        </w:rPr>
        <w:t>http://justsecurity.org/15989/comment-security-council-res-2178-foreign-fighters-form-global-governance/</w:t>
      </w:r>
      <w:r>
        <w:rPr>
          <w:lang w:val="en-GB"/>
        </w:rPr>
        <w:t>.</w:t>
      </w:r>
    </w:p>
  </w:footnote>
  <w:footnote w:id="90">
    <w:p w:rsidR="00722D6F" w:rsidRPr="00FE0534" w:rsidRDefault="00722D6F" w:rsidP="00655AF8">
      <w:pPr>
        <w:pStyle w:val="FootnoteText"/>
        <w:rPr>
          <w:lang w:val="en-GB"/>
        </w:rPr>
      </w:pPr>
      <w:r>
        <w:rPr>
          <w:lang w:val="en-GB"/>
        </w:rPr>
        <w:tab/>
      </w:r>
      <w:r w:rsidRPr="007C4BD4">
        <w:rPr>
          <w:rStyle w:val="FootnoteReference"/>
        </w:rPr>
        <w:footnoteRef/>
      </w:r>
      <w:r w:rsidRPr="00FE0534">
        <w:rPr>
          <w:lang w:val="en-GB"/>
        </w:rPr>
        <w:tab/>
      </w:r>
      <w:proofErr w:type="gramStart"/>
      <w:r w:rsidRPr="00FE0534">
        <w:rPr>
          <w:lang w:val="en-GB"/>
        </w:rPr>
        <w:t xml:space="preserve">See A/69/397 and </w:t>
      </w:r>
      <w:r>
        <w:rPr>
          <w:lang w:val="en-GB"/>
        </w:rPr>
        <w:t>the r</w:t>
      </w:r>
      <w:r w:rsidRPr="00FE0534">
        <w:rPr>
          <w:lang w:val="en-GB"/>
        </w:rPr>
        <w:t>eport</w:t>
      </w:r>
      <w:r>
        <w:rPr>
          <w:lang w:val="en-GB"/>
        </w:rPr>
        <w:t xml:space="preserve"> </w:t>
      </w:r>
      <w:r w:rsidRPr="00466227">
        <w:rPr>
          <w:lang w:val="en-GB"/>
        </w:rPr>
        <w:t xml:space="preserve">of </w:t>
      </w:r>
      <w:r>
        <w:rPr>
          <w:lang w:val="en-GB"/>
        </w:rPr>
        <w:t>OHCHR</w:t>
      </w:r>
      <w:r w:rsidRPr="00FE0534">
        <w:rPr>
          <w:lang w:val="en-GB"/>
        </w:rPr>
        <w:t xml:space="preserve"> </w:t>
      </w:r>
      <w:r>
        <w:rPr>
          <w:lang w:val="en-GB"/>
        </w:rPr>
        <w:t>on the right to privacy in the digital age</w:t>
      </w:r>
      <w:r w:rsidRPr="00FE0534">
        <w:rPr>
          <w:lang w:val="en-GB"/>
        </w:rPr>
        <w:t xml:space="preserve"> </w:t>
      </w:r>
      <w:r>
        <w:rPr>
          <w:lang w:val="en-GB"/>
        </w:rPr>
        <w:t>(</w:t>
      </w:r>
      <w:r w:rsidRPr="00FE0534">
        <w:rPr>
          <w:lang w:val="en-GB"/>
        </w:rPr>
        <w:t>A/HRC/27/37</w:t>
      </w:r>
      <w:r>
        <w:rPr>
          <w:lang w:val="en-GB"/>
        </w:rPr>
        <w:t>)</w:t>
      </w:r>
      <w:r w:rsidRPr="00FE0534">
        <w:rPr>
          <w:lang w:val="en-GB"/>
        </w:rPr>
        <w:t>.</w:t>
      </w:r>
      <w:proofErr w:type="gramEnd"/>
    </w:p>
  </w:footnote>
  <w:footnote w:id="91">
    <w:p w:rsidR="00722D6F" w:rsidRPr="00FE0534" w:rsidRDefault="00722D6F" w:rsidP="00FE0534">
      <w:pPr>
        <w:pStyle w:val="FootnoteText"/>
        <w:rPr>
          <w:lang w:val="en-GB"/>
        </w:rPr>
      </w:pPr>
      <w:r>
        <w:rPr>
          <w:lang w:val="en-GB"/>
        </w:rPr>
        <w:tab/>
      </w:r>
      <w:r w:rsidRPr="007C4BD4">
        <w:rPr>
          <w:rStyle w:val="FootnoteReference"/>
        </w:rPr>
        <w:footnoteRef/>
      </w:r>
      <w:r w:rsidRPr="00FE0534">
        <w:rPr>
          <w:lang w:val="en-GB"/>
        </w:rPr>
        <w:tab/>
        <w:t>See A/HRC/28/28</w:t>
      </w:r>
      <w:r>
        <w:rPr>
          <w:lang w:val="en-GB"/>
        </w:rPr>
        <w:t>,</w:t>
      </w:r>
      <w:r w:rsidRPr="00FE0534">
        <w:rPr>
          <w:lang w:val="en-GB"/>
        </w:rPr>
        <w:t xml:space="preserve"> paras</w:t>
      </w:r>
      <w:r>
        <w:rPr>
          <w:lang w:val="en-GB"/>
        </w:rPr>
        <w:t>. </w:t>
      </w:r>
      <w:proofErr w:type="gramStart"/>
      <w:r w:rsidRPr="00FE0534">
        <w:rPr>
          <w:lang w:val="en-GB"/>
        </w:rPr>
        <w:t>48 and 49.</w:t>
      </w:r>
      <w:proofErr w:type="gramEnd"/>
    </w:p>
  </w:footnote>
  <w:footnote w:id="92">
    <w:p w:rsidR="00722D6F" w:rsidRPr="00FE0534" w:rsidRDefault="00722D6F" w:rsidP="00FE0534">
      <w:pPr>
        <w:pStyle w:val="FootnoteText"/>
        <w:rPr>
          <w:lang w:val="en-GB"/>
        </w:rPr>
      </w:pPr>
      <w:r>
        <w:rPr>
          <w:lang w:val="en-GB"/>
        </w:rPr>
        <w:tab/>
      </w:r>
      <w:r w:rsidRPr="007C4BD4">
        <w:rPr>
          <w:rStyle w:val="FootnoteReference"/>
        </w:rPr>
        <w:footnoteRef/>
      </w:r>
      <w:r w:rsidRPr="00FE0534">
        <w:rPr>
          <w:lang w:val="en-GB"/>
        </w:rPr>
        <w:tab/>
      </w:r>
      <w:proofErr w:type="gramStart"/>
      <w:r w:rsidRPr="00FE0534">
        <w:rPr>
          <w:lang w:val="en-GB"/>
        </w:rPr>
        <w:t>Ibid</w:t>
      </w:r>
      <w:r>
        <w:rPr>
          <w:lang w:val="en-GB"/>
        </w:rPr>
        <w:t>.</w:t>
      </w:r>
      <w:r w:rsidRPr="00FE0534">
        <w:rPr>
          <w:lang w:val="en-GB"/>
        </w:rPr>
        <w:t>,</w:t>
      </w:r>
      <w:proofErr w:type="gramEnd"/>
      <w:r w:rsidRPr="00FE0534">
        <w:rPr>
          <w:lang w:val="en-GB"/>
        </w:rPr>
        <w:t xml:space="preserve"> paras</w:t>
      </w:r>
      <w:r>
        <w:rPr>
          <w:lang w:val="en-GB"/>
        </w:rPr>
        <w:t>. </w:t>
      </w:r>
      <w:proofErr w:type="gramStart"/>
      <w:r w:rsidRPr="00FE0534">
        <w:rPr>
          <w:lang w:val="en-GB"/>
        </w:rPr>
        <w:t>49 and 50.</w:t>
      </w:r>
      <w:proofErr w:type="gramEnd"/>
    </w:p>
  </w:footnote>
  <w:footnote w:id="93">
    <w:p w:rsidR="00722D6F" w:rsidRPr="00FE0534" w:rsidRDefault="00722D6F" w:rsidP="00FE0534">
      <w:pPr>
        <w:pStyle w:val="FootnoteText"/>
        <w:rPr>
          <w:lang w:val="en-GB"/>
        </w:rPr>
      </w:pPr>
      <w:r>
        <w:rPr>
          <w:lang w:val="en-GB"/>
        </w:rPr>
        <w:tab/>
      </w:r>
      <w:r w:rsidRPr="007C4BD4">
        <w:rPr>
          <w:rStyle w:val="FootnoteReference"/>
        </w:rPr>
        <w:footnoteRef/>
      </w:r>
      <w:r w:rsidRPr="00FE0534">
        <w:rPr>
          <w:lang w:val="en-GB"/>
        </w:rPr>
        <w:tab/>
        <w:t>See www.state.gov/s/seci/index.htm.</w:t>
      </w:r>
    </w:p>
  </w:footnote>
  <w:footnote w:id="94">
    <w:p w:rsidR="00722D6F" w:rsidRPr="00FE0534" w:rsidRDefault="00722D6F" w:rsidP="00AB2073">
      <w:pPr>
        <w:pStyle w:val="FootnoteText"/>
        <w:rPr>
          <w:lang w:val="en-GB"/>
        </w:rPr>
      </w:pPr>
      <w:r>
        <w:rPr>
          <w:lang w:val="en-GB"/>
        </w:rPr>
        <w:tab/>
      </w:r>
      <w:r w:rsidRPr="007C4BD4">
        <w:rPr>
          <w:rStyle w:val="FootnoteReference"/>
        </w:rPr>
        <w:footnoteRef/>
      </w:r>
      <w:r w:rsidRPr="008F1C83">
        <w:rPr>
          <w:vertAlign w:val="superscript"/>
          <w:lang w:val="en-GB"/>
        </w:rPr>
        <w:tab/>
      </w:r>
      <w:r w:rsidRPr="00FE0534">
        <w:rPr>
          <w:lang w:val="en-GB"/>
        </w:rPr>
        <w:t xml:space="preserve">Some </w:t>
      </w:r>
      <w:r w:rsidR="00DE30AB">
        <w:rPr>
          <w:lang w:val="en-GB"/>
        </w:rPr>
        <w:t xml:space="preserve">of the </w:t>
      </w:r>
      <w:r w:rsidRPr="00FE0534">
        <w:rPr>
          <w:lang w:val="en-GB"/>
        </w:rPr>
        <w:t xml:space="preserve">key actors in Iraq and </w:t>
      </w:r>
      <w:r>
        <w:rPr>
          <w:lang w:val="en-GB"/>
        </w:rPr>
        <w:t>the Syrian Arab Republic</w:t>
      </w:r>
      <w:r w:rsidR="00DE30AB">
        <w:rPr>
          <w:lang w:val="en-GB"/>
        </w:rPr>
        <w:t xml:space="preserve"> are</w:t>
      </w:r>
      <w:r w:rsidRPr="00FE0534">
        <w:rPr>
          <w:lang w:val="en-GB"/>
        </w:rPr>
        <w:t xml:space="preserve">: </w:t>
      </w:r>
      <w:r>
        <w:rPr>
          <w:lang w:val="en-GB"/>
        </w:rPr>
        <w:t xml:space="preserve">the </w:t>
      </w:r>
      <w:r w:rsidRPr="00FE0534">
        <w:rPr>
          <w:lang w:val="en-GB"/>
        </w:rPr>
        <w:t xml:space="preserve">United States, Canada, Jordan, Morocco and the United Kingdom, with intelligence-only flights in </w:t>
      </w:r>
      <w:r>
        <w:rPr>
          <w:lang w:val="en-GB"/>
        </w:rPr>
        <w:t>the Syrian Arab Republic</w:t>
      </w:r>
      <w:r w:rsidRPr="00FE0534">
        <w:rPr>
          <w:lang w:val="en-GB"/>
        </w:rPr>
        <w:t xml:space="preserve">; </w:t>
      </w:r>
      <w:r>
        <w:rPr>
          <w:lang w:val="en-GB"/>
        </w:rPr>
        <w:t>i</w:t>
      </w:r>
      <w:r w:rsidRPr="00FE0534">
        <w:rPr>
          <w:lang w:val="en-GB"/>
        </w:rPr>
        <w:t xml:space="preserve">n Iraq: Australia, Belgium, France, </w:t>
      </w:r>
      <w:r>
        <w:rPr>
          <w:lang w:val="en-GB"/>
        </w:rPr>
        <w:t xml:space="preserve">the </w:t>
      </w:r>
      <w:r w:rsidRPr="00FE0534">
        <w:rPr>
          <w:lang w:val="en-GB"/>
        </w:rPr>
        <w:t>U</w:t>
      </w:r>
      <w:r>
        <w:rPr>
          <w:lang w:val="en-GB"/>
        </w:rPr>
        <w:t xml:space="preserve">nited </w:t>
      </w:r>
      <w:r w:rsidRPr="00FE0534">
        <w:rPr>
          <w:lang w:val="en-GB"/>
        </w:rPr>
        <w:t>K</w:t>
      </w:r>
      <w:r>
        <w:rPr>
          <w:lang w:val="en-GB"/>
        </w:rPr>
        <w:t>ingdom</w:t>
      </w:r>
      <w:r w:rsidRPr="00FE0534">
        <w:rPr>
          <w:lang w:val="en-GB"/>
        </w:rPr>
        <w:t xml:space="preserve">, </w:t>
      </w:r>
      <w:r>
        <w:rPr>
          <w:lang w:val="en-GB"/>
        </w:rPr>
        <w:t>t</w:t>
      </w:r>
      <w:r w:rsidRPr="00FE0534">
        <w:rPr>
          <w:lang w:val="en-GB"/>
        </w:rPr>
        <w:t xml:space="preserve">he Netherlands and Denmark; </w:t>
      </w:r>
      <w:r>
        <w:rPr>
          <w:lang w:val="en-GB"/>
        </w:rPr>
        <w:t>i</w:t>
      </w:r>
      <w:r w:rsidRPr="00FE0534">
        <w:rPr>
          <w:lang w:val="en-GB"/>
        </w:rPr>
        <w:t xml:space="preserve">n </w:t>
      </w:r>
      <w:r>
        <w:rPr>
          <w:lang w:val="en-GB"/>
        </w:rPr>
        <w:t>the Syrian Arab Republic</w:t>
      </w:r>
      <w:r w:rsidRPr="00FE0534">
        <w:rPr>
          <w:lang w:val="en-GB"/>
        </w:rPr>
        <w:t>: Bahrain</w:t>
      </w:r>
      <w:r>
        <w:rPr>
          <w:lang w:val="en-GB"/>
        </w:rPr>
        <w:t>,</w:t>
      </w:r>
      <w:r w:rsidRPr="00FE0534">
        <w:rPr>
          <w:lang w:val="en-GB"/>
        </w:rPr>
        <w:t xml:space="preserve"> Saudi Arabia, the United Arab Emirates and Qatar. </w:t>
      </w:r>
    </w:p>
  </w:footnote>
  <w:footnote w:id="95">
    <w:p w:rsidR="00722D6F" w:rsidRPr="00FE0534" w:rsidRDefault="00722D6F" w:rsidP="00DE30AB">
      <w:pPr>
        <w:pStyle w:val="FootnoteText"/>
        <w:rPr>
          <w:lang w:val="en-GB"/>
        </w:rPr>
      </w:pPr>
      <w:r>
        <w:rPr>
          <w:lang w:val="en-GB"/>
        </w:rPr>
        <w:tab/>
      </w:r>
      <w:r w:rsidRPr="007C4BD4">
        <w:rPr>
          <w:rStyle w:val="FootnoteReference"/>
        </w:rPr>
        <w:footnoteRef/>
      </w:r>
      <w:r w:rsidRPr="008F1C83">
        <w:rPr>
          <w:vertAlign w:val="superscript"/>
          <w:lang w:val="en-GB"/>
        </w:rPr>
        <w:tab/>
      </w:r>
      <w:r w:rsidR="00DE30AB" w:rsidRPr="00450324">
        <w:rPr>
          <w:lang w:val="en-GB"/>
        </w:rPr>
        <w:t>See</w:t>
      </w:r>
      <w:r w:rsidR="00DE30AB">
        <w:rPr>
          <w:vertAlign w:val="superscript"/>
          <w:lang w:val="en-GB"/>
        </w:rPr>
        <w:t xml:space="preserve"> </w:t>
      </w:r>
      <w:r w:rsidR="00DE30AB" w:rsidRPr="00450324">
        <w:rPr>
          <w:lang w:val="en-GB"/>
        </w:rPr>
        <w:t>Andrew Marszal and Arron</w:t>
      </w:r>
      <w:r w:rsidR="00DE30AB">
        <w:rPr>
          <w:lang w:val="en-GB"/>
        </w:rPr>
        <w:t xml:space="preserve"> Merat, “</w:t>
      </w:r>
      <w:r w:rsidR="00DE30AB" w:rsidRPr="00DE30AB">
        <w:rPr>
          <w:lang w:val="en-GB"/>
        </w:rPr>
        <w:t>Iraq crisis: June 18 as it happened</w:t>
      </w:r>
      <w:r w:rsidR="00DE30AB">
        <w:rPr>
          <w:lang w:val="en-GB"/>
        </w:rPr>
        <w:t xml:space="preserve">”, </w:t>
      </w:r>
      <w:r w:rsidR="00DE30AB" w:rsidRPr="00450324">
        <w:rPr>
          <w:i/>
          <w:iCs/>
          <w:lang w:val="en-GB"/>
        </w:rPr>
        <w:t>The Telegraph</w:t>
      </w:r>
      <w:r w:rsidR="00DE30AB">
        <w:rPr>
          <w:lang w:val="en-GB"/>
        </w:rPr>
        <w:t xml:space="preserve">, 18 June 2104. </w:t>
      </w:r>
      <w:proofErr w:type="gramStart"/>
      <w:r w:rsidR="00DE30AB">
        <w:rPr>
          <w:lang w:val="en-GB"/>
        </w:rPr>
        <w:t xml:space="preserve">Available from </w:t>
      </w:r>
      <w:r w:rsidRPr="00FE0534">
        <w:rPr>
          <w:lang w:val="en-GB"/>
        </w:rPr>
        <w:t>www.telegraph.co.uk/news/worldnews/middleeast/iraq/10908057/Iraq-crisis-Isis-launch-overnight-attack-on-Iraqs-biggest-oil-refinery-live.html</w:t>
      </w:r>
      <w:r>
        <w:rPr>
          <w:lang w:val="en-GB"/>
        </w:rPr>
        <w:t>.</w:t>
      </w:r>
      <w:proofErr w:type="gramEnd"/>
    </w:p>
  </w:footnote>
  <w:footnote w:id="96">
    <w:p w:rsidR="00722D6F" w:rsidRPr="00F85D4A" w:rsidRDefault="00722D6F" w:rsidP="00A16069">
      <w:pPr>
        <w:pStyle w:val="FootnoteText"/>
      </w:pPr>
      <w:r>
        <w:rPr>
          <w:lang w:val="en-GB"/>
        </w:rPr>
        <w:tab/>
      </w:r>
      <w:r w:rsidRPr="007C4BD4">
        <w:rPr>
          <w:rStyle w:val="FootnoteReference"/>
        </w:rPr>
        <w:footnoteRef/>
      </w:r>
      <w:r w:rsidRPr="008F1C83">
        <w:rPr>
          <w:vertAlign w:val="superscript"/>
          <w:lang w:val="en-GB"/>
        </w:rPr>
        <w:tab/>
      </w:r>
      <w:r w:rsidRPr="00FE0534">
        <w:rPr>
          <w:lang w:val="en-GB"/>
        </w:rPr>
        <w:t>See Claus Kre</w:t>
      </w:r>
      <w:r>
        <w:rPr>
          <w:lang w:val="en-GB"/>
        </w:rPr>
        <w:t>ß</w:t>
      </w:r>
      <w:r w:rsidRPr="00FE0534">
        <w:rPr>
          <w:lang w:val="en-GB"/>
        </w:rPr>
        <w:t xml:space="preserve">, </w:t>
      </w:r>
      <w:r>
        <w:rPr>
          <w:lang w:val="en-GB"/>
        </w:rPr>
        <w:t>“</w:t>
      </w:r>
      <w:r w:rsidRPr="00FE0534">
        <w:rPr>
          <w:lang w:val="en-GB"/>
        </w:rPr>
        <w:t xml:space="preserve">The fine line between collective </w:t>
      </w:r>
      <w:r w:rsidRPr="00A16069">
        <w:t>self-defense</w:t>
      </w:r>
      <w:r w:rsidRPr="00FE0534">
        <w:rPr>
          <w:lang w:val="en-GB"/>
        </w:rPr>
        <w:t xml:space="preserve"> and interv</w:t>
      </w:r>
      <w:r>
        <w:rPr>
          <w:lang w:val="en-GB"/>
        </w:rPr>
        <w:t>e</w:t>
      </w:r>
      <w:r w:rsidRPr="00FE0534">
        <w:rPr>
          <w:lang w:val="en-GB"/>
        </w:rPr>
        <w:t xml:space="preserve">ntion by invitation: </w:t>
      </w:r>
      <w:r>
        <w:rPr>
          <w:lang w:val="en-GB"/>
        </w:rPr>
        <w:t>r</w:t>
      </w:r>
      <w:r w:rsidRPr="00FE0534">
        <w:rPr>
          <w:lang w:val="en-GB"/>
        </w:rPr>
        <w:t xml:space="preserve">eflections on the use of force against </w:t>
      </w:r>
      <w:r>
        <w:rPr>
          <w:lang w:val="en-GB"/>
        </w:rPr>
        <w:t>“</w:t>
      </w:r>
      <w:r w:rsidRPr="00FE0534">
        <w:rPr>
          <w:lang w:val="en-GB"/>
        </w:rPr>
        <w:t>IS</w:t>
      </w:r>
      <w:r>
        <w:rPr>
          <w:lang w:val="en-GB"/>
        </w:rPr>
        <w:t>”</w:t>
      </w:r>
      <w:r w:rsidRPr="00FE0534">
        <w:rPr>
          <w:lang w:val="en-GB"/>
        </w:rPr>
        <w:t xml:space="preserve"> in Syria</w:t>
      </w:r>
      <w:r>
        <w:rPr>
          <w:lang w:val="en-GB"/>
        </w:rPr>
        <w:t>”</w:t>
      </w:r>
      <w:r w:rsidRPr="00FE0534">
        <w:rPr>
          <w:lang w:val="en-GB"/>
        </w:rPr>
        <w:t xml:space="preserve">, </w:t>
      </w:r>
      <w:r w:rsidRPr="00450324">
        <w:rPr>
          <w:i/>
          <w:iCs/>
          <w:lang w:val="en-GB"/>
        </w:rPr>
        <w:t>Just Security</w:t>
      </w:r>
      <w:r w:rsidRPr="00FE0534">
        <w:rPr>
          <w:lang w:val="en-GB"/>
        </w:rPr>
        <w:t>, 17 February 2015.</w:t>
      </w:r>
      <w:r>
        <w:rPr>
          <w:lang w:val="en-GB"/>
        </w:rPr>
        <w:t xml:space="preserve"> </w:t>
      </w:r>
      <w:proofErr w:type="gramStart"/>
      <w:r w:rsidRPr="00F85D4A">
        <w:t>Available from http://justsecurity.org/20118/claus-kreb-force-isil-syria/</w:t>
      </w:r>
      <w:r>
        <w:t>.</w:t>
      </w:r>
      <w:proofErr w:type="gramEnd"/>
    </w:p>
  </w:footnote>
  <w:footnote w:id="97">
    <w:p w:rsidR="00722D6F" w:rsidRPr="005F3B17" w:rsidRDefault="00722D6F" w:rsidP="005F3B17">
      <w:pPr>
        <w:pStyle w:val="FootnoteText"/>
      </w:pPr>
      <w:r w:rsidRPr="00450324">
        <w:tab/>
      </w:r>
      <w:r w:rsidRPr="007C4BD4">
        <w:rPr>
          <w:rStyle w:val="FootnoteReference"/>
        </w:rPr>
        <w:footnoteRef/>
      </w:r>
      <w:r w:rsidRPr="005F3B17">
        <w:tab/>
        <w:t>See A/68/38</w:t>
      </w:r>
      <w:r>
        <w:t>9</w:t>
      </w:r>
      <w:r w:rsidRPr="005F3B17">
        <w:t>, paras. </w:t>
      </w:r>
      <w:proofErr w:type="gramStart"/>
      <w:r w:rsidRPr="005F3B17">
        <w:t>56–57.</w:t>
      </w:r>
      <w:proofErr w:type="gramEnd"/>
    </w:p>
  </w:footnote>
  <w:footnote w:id="98">
    <w:p w:rsidR="00722D6F" w:rsidRPr="00FE0534" w:rsidRDefault="00722D6F" w:rsidP="00DE30AB">
      <w:pPr>
        <w:pStyle w:val="FootnoteText"/>
        <w:rPr>
          <w:lang w:val="en-GB"/>
        </w:rPr>
      </w:pPr>
      <w:r>
        <w:rPr>
          <w:lang w:val="en-GB"/>
        </w:rPr>
        <w:tab/>
      </w:r>
      <w:r w:rsidRPr="007C4BD4">
        <w:rPr>
          <w:rStyle w:val="FootnoteReference"/>
        </w:rPr>
        <w:footnoteRef/>
      </w:r>
      <w:r w:rsidRPr="00FE0534">
        <w:rPr>
          <w:lang w:val="en-GB"/>
        </w:rPr>
        <w:tab/>
      </w:r>
      <w:r>
        <w:rPr>
          <w:lang w:val="en-GB"/>
        </w:rPr>
        <w:t xml:space="preserve">See </w:t>
      </w:r>
      <w:r w:rsidRPr="00FE0534">
        <w:rPr>
          <w:lang w:val="en-GB"/>
        </w:rPr>
        <w:t>OHCHR/UNAMI</w:t>
      </w:r>
      <w:r w:rsidR="00DE30AB">
        <w:rPr>
          <w:lang w:val="en-GB"/>
        </w:rPr>
        <w:t>, “</w:t>
      </w:r>
      <w:r w:rsidR="00DE30AB" w:rsidRPr="00FE0534">
        <w:rPr>
          <w:lang w:val="en-GB"/>
        </w:rPr>
        <w:t>Report on the Protection of Civilians in Armed Conflict in Iraq</w:t>
      </w:r>
      <w:r w:rsidR="00DE30AB">
        <w:rPr>
          <w:lang w:val="en-GB"/>
        </w:rPr>
        <w:t>:</w:t>
      </w:r>
      <w:r w:rsidR="00DE30AB" w:rsidRPr="00FE0534">
        <w:rPr>
          <w:lang w:val="en-GB"/>
        </w:rPr>
        <w:t xml:space="preserve"> 11 September–10</w:t>
      </w:r>
      <w:r w:rsidR="00DE30AB">
        <w:rPr>
          <w:lang w:val="en-GB"/>
        </w:rPr>
        <w:t> </w:t>
      </w:r>
      <w:r w:rsidR="00DE30AB" w:rsidRPr="00FE0534">
        <w:rPr>
          <w:lang w:val="en-GB"/>
        </w:rPr>
        <w:t>December 2014</w:t>
      </w:r>
      <w:r w:rsidR="00DE30AB">
        <w:rPr>
          <w:lang w:val="en-GB"/>
        </w:rPr>
        <w:t>”</w:t>
      </w:r>
      <w:r w:rsidRPr="00FE0534">
        <w:rPr>
          <w:lang w:val="en-GB"/>
        </w:rPr>
        <w:t>, p</w:t>
      </w:r>
      <w:r w:rsidR="00DE30AB">
        <w:rPr>
          <w:lang w:val="en-GB"/>
        </w:rPr>
        <w:t>p</w:t>
      </w:r>
      <w:r w:rsidRPr="00FE0534">
        <w:rPr>
          <w:lang w:val="en-GB"/>
        </w:rPr>
        <w:t>.</w:t>
      </w:r>
      <w:r>
        <w:rPr>
          <w:lang w:val="en-GB"/>
        </w:rPr>
        <w:t> </w:t>
      </w:r>
      <w:r w:rsidRPr="00FE0534">
        <w:rPr>
          <w:lang w:val="en-GB"/>
        </w:rPr>
        <w:t xml:space="preserve">10 and 17. </w:t>
      </w:r>
    </w:p>
  </w:footnote>
  <w:footnote w:id="99">
    <w:p w:rsidR="00722D6F" w:rsidRPr="00FE0534" w:rsidRDefault="00722D6F" w:rsidP="00780AE2">
      <w:pPr>
        <w:pStyle w:val="FootnoteText"/>
        <w:rPr>
          <w:lang w:val="en-GB"/>
        </w:rPr>
      </w:pPr>
      <w:r>
        <w:rPr>
          <w:lang w:val="en-GB"/>
        </w:rPr>
        <w:tab/>
      </w:r>
      <w:r w:rsidRPr="007C4BD4">
        <w:rPr>
          <w:rStyle w:val="FootnoteReference"/>
        </w:rPr>
        <w:footnoteRef/>
      </w:r>
      <w:r w:rsidRPr="00FE0534">
        <w:rPr>
          <w:lang w:val="en-GB"/>
        </w:rPr>
        <w:tab/>
      </w:r>
      <w:r>
        <w:rPr>
          <w:lang w:val="en-GB"/>
        </w:rPr>
        <w:t xml:space="preserve">See </w:t>
      </w:r>
      <w:r w:rsidRPr="00FE0534">
        <w:rPr>
          <w:lang w:val="en-GB"/>
        </w:rPr>
        <w:t>U</w:t>
      </w:r>
      <w:r>
        <w:rPr>
          <w:lang w:val="en-GB"/>
        </w:rPr>
        <w:t xml:space="preserve">nited </w:t>
      </w:r>
      <w:r w:rsidRPr="00FE0534">
        <w:rPr>
          <w:lang w:val="en-GB"/>
        </w:rPr>
        <w:t>S</w:t>
      </w:r>
      <w:r>
        <w:rPr>
          <w:lang w:val="en-GB"/>
        </w:rPr>
        <w:t>tates</w:t>
      </w:r>
      <w:r w:rsidRPr="00FE0534">
        <w:rPr>
          <w:lang w:val="en-GB"/>
        </w:rPr>
        <w:t xml:space="preserve"> Dep</w:t>
      </w:r>
      <w:r>
        <w:rPr>
          <w:lang w:val="en-GB"/>
        </w:rPr>
        <w:t>artmen</w:t>
      </w:r>
      <w:r w:rsidRPr="00FE0534">
        <w:rPr>
          <w:lang w:val="en-GB"/>
        </w:rPr>
        <w:t>t of Defense,</w:t>
      </w:r>
      <w:r>
        <w:rPr>
          <w:lang w:val="en-GB"/>
        </w:rPr>
        <w:t xml:space="preserve"> “</w:t>
      </w:r>
      <w:r w:rsidRPr="00FE0534">
        <w:rPr>
          <w:lang w:val="en-GB"/>
        </w:rPr>
        <w:t>Coalition Forces Conduct 17 Airstrikes in Tikrit</w:t>
      </w:r>
      <w:r>
        <w:rPr>
          <w:lang w:val="en-GB"/>
        </w:rPr>
        <w:t>”</w:t>
      </w:r>
      <w:r w:rsidRPr="00FE0534">
        <w:rPr>
          <w:lang w:val="en-GB"/>
        </w:rPr>
        <w:t xml:space="preserve">, </w:t>
      </w:r>
      <w:r>
        <w:rPr>
          <w:lang w:val="en-GB"/>
        </w:rPr>
        <w:t>26</w:t>
      </w:r>
      <w:r w:rsidRPr="00FE0534">
        <w:rPr>
          <w:lang w:val="en-GB"/>
        </w:rPr>
        <w:t xml:space="preserve"> March 2015</w:t>
      </w:r>
      <w:r>
        <w:rPr>
          <w:lang w:val="en-GB"/>
        </w:rPr>
        <w:t xml:space="preserve">. </w:t>
      </w:r>
      <w:proofErr w:type="gramStart"/>
      <w:r>
        <w:rPr>
          <w:lang w:val="en-GB"/>
        </w:rPr>
        <w:t>Available from </w:t>
      </w:r>
      <w:hyperlink r:id="rId5" w:history="1">
        <w:r w:rsidRPr="00190913">
          <w:rPr>
            <w:rStyle w:val="Hyperlink"/>
            <w:lang w:val="en-GB"/>
          </w:rPr>
          <w:t>www.defense.gov/news/newsarticle.aspx?id=128458</w:t>
        </w:r>
      </w:hyperlink>
      <w:r>
        <w:rPr>
          <w:lang w:val="en-GB"/>
        </w:rPr>
        <w:t>.</w:t>
      </w:r>
      <w:proofErr w:type="gramEnd"/>
    </w:p>
  </w:footnote>
  <w:footnote w:id="100">
    <w:p w:rsidR="00722D6F" w:rsidRPr="00FE0534" w:rsidRDefault="00722D6F" w:rsidP="00FE0534">
      <w:pPr>
        <w:pStyle w:val="FootnoteText"/>
        <w:rPr>
          <w:lang w:val="en-GB"/>
        </w:rPr>
      </w:pPr>
      <w:r>
        <w:rPr>
          <w:lang w:val="en-GB"/>
        </w:rPr>
        <w:tab/>
      </w:r>
      <w:r w:rsidRPr="007C4BD4">
        <w:rPr>
          <w:rStyle w:val="FootnoteReference"/>
        </w:rPr>
        <w:footnoteRef/>
      </w:r>
      <w:r w:rsidRPr="00FE0534">
        <w:rPr>
          <w:lang w:val="en-GB"/>
        </w:rPr>
        <w:tab/>
      </w:r>
      <w:r w:rsidR="00344A68">
        <w:rPr>
          <w:lang w:val="en-GB"/>
        </w:rPr>
        <w:t xml:space="preserve">See </w:t>
      </w:r>
      <w:r w:rsidR="0059558F">
        <w:rPr>
          <w:lang w:val="en-GB"/>
        </w:rPr>
        <w:t>International Committee of the Red Cross (</w:t>
      </w:r>
      <w:r w:rsidRPr="00FE0534">
        <w:rPr>
          <w:lang w:val="en-GB"/>
        </w:rPr>
        <w:t>ICRC</w:t>
      </w:r>
      <w:r w:rsidR="0059558F">
        <w:rPr>
          <w:lang w:val="en-GB"/>
        </w:rPr>
        <w:t>)</w:t>
      </w:r>
      <w:r w:rsidRPr="00FE0534">
        <w:rPr>
          <w:lang w:val="en-GB"/>
        </w:rPr>
        <w:t xml:space="preserve">, Customary International Humanitarian Law, </w:t>
      </w:r>
      <w:proofErr w:type="gramStart"/>
      <w:r w:rsidRPr="00FE0534">
        <w:rPr>
          <w:lang w:val="en-GB"/>
        </w:rPr>
        <w:t>rule</w:t>
      </w:r>
      <w:proofErr w:type="gramEnd"/>
      <w:r w:rsidRPr="00FE0534">
        <w:rPr>
          <w:lang w:val="en-GB"/>
        </w:rPr>
        <w:t xml:space="preserve"> 8.</w:t>
      </w:r>
    </w:p>
  </w:footnote>
  <w:footnote w:id="101">
    <w:p w:rsidR="00722D6F" w:rsidRPr="00FE0534" w:rsidRDefault="00722D6F" w:rsidP="00FE0534">
      <w:pPr>
        <w:pStyle w:val="FootnoteText"/>
        <w:rPr>
          <w:lang w:val="en-GB"/>
        </w:rPr>
      </w:pPr>
      <w:r>
        <w:rPr>
          <w:lang w:val="en-GB"/>
        </w:rPr>
        <w:tab/>
      </w:r>
      <w:r w:rsidRPr="007C4BD4">
        <w:rPr>
          <w:rStyle w:val="FootnoteReference"/>
        </w:rPr>
        <w:footnoteRef/>
      </w:r>
      <w:r w:rsidRPr="00FE0534">
        <w:rPr>
          <w:lang w:val="en-GB"/>
        </w:rPr>
        <w:tab/>
      </w:r>
      <w:proofErr w:type="gramStart"/>
      <w:r w:rsidRPr="00FE0534">
        <w:rPr>
          <w:lang w:val="en-GB"/>
        </w:rPr>
        <w:t>Ibid</w:t>
      </w:r>
      <w:r>
        <w:rPr>
          <w:lang w:val="en-GB"/>
        </w:rPr>
        <w:t>.</w:t>
      </w:r>
      <w:r w:rsidRPr="00FE0534">
        <w:rPr>
          <w:lang w:val="en-GB"/>
        </w:rPr>
        <w:t>,</w:t>
      </w:r>
      <w:proofErr w:type="gramEnd"/>
      <w:r w:rsidRPr="00FE0534">
        <w:rPr>
          <w:lang w:val="en-GB"/>
        </w:rPr>
        <w:t xml:space="preserve"> rule 10.</w:t>
      </w:r>
    </w:p>
  </w:footnote>
  <w:footnote w:id="102">
    <w:p w:rsidR="00722D6F" w:rsidRPr="00FE0534" w:rsidRDefault="00722D6F" w:rsidP="00FE0534">
      <w:pPr>
        <w:pStyle w:val="FootnoteText"/>
        <w:rPr>
          <w:lang w:val="en-GB"/>
        </w:rPr>
      </w:pPr>
      <w:r>
        <w:rPr>
          <w:lang w:val="en-GB"/>
        </w:rPr>
        <w:tab/>
      </w:r>
      <w:r w:rsidRPr="007C4BD4">
        <w:rPr>
          <w:rStyle w:val="FootnoteReference"/>
        </w:rPr>
        <w:footnoteRef/>
      </w:r>
      <w:r w:rsidRPr="00FE0534">
        <w:rPr>
          <w:lang w:val="en-GB"/>
        </w:rPr>
        <w:tab/>
      </w:r>
      <w:proofErr w:type="gramStart"/>
      <w:r w:rsidRPr="00FE0534">
        <w:rPr>
          <w:lang w:val="en-GB"/>
        </w:rPr>
        <w:t>Ibid</w:t>
      </w:r>
      <w:r>
        <w:rPr>
          <w:lang w:val="en-GB"/>
        </w:rPr>
        <w:t>.</w:t>
      </w:r>
      <w:r w:rsidRPr="00FE0534">
        <w:rPr>
          <w:lang w:val="en-GB"/>
        </w:rPr>
        <w:t>,</w:t>
      </w:r>
      <w:proofErr w:type="gramEnd"/>
      <w:r w:rsidRPr="00FE0534">
        <w:rPr>
          <w:lang w:val="en-GB"/>
        </w:rPr>
        <w:t xml:space="preserve"> rule 16.</w:t>
      </w:r>
    </w:p>
  </w:footnote>
  <w:footnote w:id="103">
    <w:p w:rsidR="00722D6F" w:rsidRPr="00FE0534" w:rsidRDefault="00722D6F" w:rsidP="00C64C87">
      <w:pPr>
        <w:pStyle w:val="FootnoteText"/>
        <w:rPr>
          <w:lang w:val="en-GB"/>
        </w:rPr>
      </w:pPr>
      <w:r>
        <w:rPr>
          <w:lang w:val="en-GB"/>
        </w:rPr>
        <w:tab/>
      </w:r>
      <w:r w:rsidRPr="007C4BD4">
        <w:rPr>
          <w:rStyle w:val="FootnoteReference"/>
        </w:rPr>
        <w:footnoteRef/>
      </w:r>
      <w:r w:rsidRPr="00FE0534">
        <w:rPr>
          <w:lang w:val="en-GB"/>
        </w:rPr>
        <w:tab/>
      </w:r>
      <w:r w:rsidR="00344A68">
        <w:rPr>
          <w:lang w:val="en-GB"/>
        </w:rPr>
        <w:t xml:space="preserve">See </w:t>
      </w:r>
      <w:r w:rsidRPr="00FE0534">
        <w:rPr>
          <w:lang w:val="en-GB"/>
        </w:rPr>
        <w:t>Eric Schmi</w:t>
      </w:r>
      <w:r>
        <w:rPr>
          <w:lang w:val="en-GB"/>
        </w:rPr>
        <w:t>t</w:t>
      </w:r>
      <w:r w:rsidRPr="00FE0534">
        <w:rPr>
          <w:lang w:val="en-GB"/>
        </w:rPr>
        <w:t>t,</w:t>
      </w:r>
      <w:r>
        <w:rPr>
          <w:lang w:val="en-GB"/>
        </w:rPr>
        <w:t xml:space="preserve"> “</w:t>
      </w:r>
      <w:r w:rsidRPr="00FE0534">
        <w:rPr>
          <w:lang w:val="en-GB"/>
        </w:rPr>
        <w:t>U.S. Adds Planes to Bolster Drive to Wipe Out ISIS</w:t>
      </w:r>
      <w:r>
        <w:rPr>
          <w:lang w:val="en-GB"/>
        </w:rPr>
        <w:t>”,</w:t>
      </w:r>
      <w:r w:rsidRPr="00FE0534">
        <w:rPr>
          <w:lang w:val="en-GB"/>
        </w:rPr>
        <w:t xml:space="preserve"> </w:t>
      </w:r>
      <w:r w:rsidRPr="00450324">
        <w:rPr>
          <w:i/>
          <w:iCs/>
          <w:lang w:val="en-GB"/>
        </w:rPr>
        <w:t>New York Times</w:t>
      </w:r>
      <w:r w:rsidRPr="00FE0534">
        <w:rPr>
          <w:lang w:val="en-GB"/>
        </w:rPr>
        <w:t xml:space="preserve">, </w:t>
      </w:r>
      <w:r>
        <w:rPr>
          <w:lang w:val="en-GB"/>
        </w:rPr>
        <w:t xml:space="preserve">26 </w:t>
      </w:r>
      <w:r w:rsidRPr="00FE0534">
        <w:rPr>
          <w:lang w:val="en-GB"/>
        </w:rPr>
        <w:t>November 2014</w:t>
      </w:r>
      <w:r>
        <w:rPr>
          <w:lang w:val="en-GB"/>
        </w:rPr>
        <w:t xml:space="preserve">. </w:t>
      </w:r>
      <w:proofErr w:type="gramStart"/>
      <w:r>
        <w:rPr>
          <w:lang w:val="en-GB"/>
        </w:rPr>
        <w:t>Available from</w:t>
      </w:r>
      <w:r w:rsidRPr="00FE0534">
        <w:rPr>
          <w:lang w:val="en-GB"/>
        </w:rPr>
        <w:t xml:space="preserve"> </w:t>
      </w:r>
      <w:hyperlink r:id="rId6" w:history="1">
        <w:r w:rsidRPr="00E752A2">
          <w:rPr>
            <w:rStyle w:val="Hyperlink"/>
            <w:lang w:val="en-GB"/>
          </w:rPr>
          <w:t>www.nytimes.com/2014/11/27/us/us-adds-air-power-but-isis-presents-elusive-target.html</w:t>
        </w:r>
      </w:hyperlink>
      <w:r>
        <w:rPr>
          <w:lang w:val="en-GB"/>
        </w:rPr>
        <w:t>.</w:t>
      </w:r>
      <w:proofErr w:type="gramEnd"/>
    </w:p>
  </w:footnote>
  <w:footnote w:id="104">
    <w:p w:rsidR="00722D6F" w:rsidRPr="00FE0534" w:rsidRDefault="00722D6F" w:rsidP="00C20CC3">
      <w:pPr>
        <w:pStyle w:val="FootnoteText"/>
        <w:rPr>
          <w:lang w:val="en-GB"/>
        </w:rPr>
      </w:pPr>
      <w:r>
        <w:rPr>
          <w:lang w:val="en-GB"/>
        </w:rPr>
        <w:tab/>
      </w:r>
      <w:r w:rsidRPr="007C4BD4">
        <w:rPr>
          <w:rStyle w:val="FootnoteReference"/>
        </w:rPr>
        <w:footnoteRef/>
      </w:r>
      <w:r w:rsidRPr="00FE0534">
        <w:rPr>
          <w:lang w:val="en-GB"/>
        </w:rPr>
        <w:tab/>
      </w:r>
      <w:r w:rsidR="00344A68">
        <w:rPr>
          <w:lang w:val="en-GB"/>
        </w:rPr>
        <w:t xml:space="preserve">See </w:t>
      </w:r>
      <w:r w:rsidRPr="00FE0534">
        <w:rPr>
          <w:lang w:val="en-GB"/>
        </w:rPr>
        <w:t xml:space="preserve">Michael Isikoff, </w:t>
      </w:r>
      <w:r>
        <w:rPr>
          <w:lang w:val="en-GB"/>
        </w:rPr>
        <w:t>“</w:t>
      </w:r>
      <w:r w:rsidRPr="00FE0534">
        <w:rPr>
          <w:lang w:val="en-GB"/>
        </w:rPr>
        <w:t>White House exempts Syria airstrikes from tight standards on civilian deaths</w:t>
      </w:r>
      <w:r>
        <w:rPr>
          <w:lang w:val="en-GB"/>
        </w:rPr>
        <w:t>”,</w:t>
      </w:r>
      <w:r w:rsidRPr="00FE0534">
        <w:rPr>
          <w:lang w:val="en-GB"/>
        </w:rPr>
        <w:t xml:space="preserve"> </w:t>
      </w:r>
      <w:r>
        <w:rPr>
          <w:lang w:val="en-GB"/>
        </w:rPr>
        <w:t xml:space="preserve">30 </w:t>
      </w:r>
      <w:r w:rsidRPr="00FE0534">
        <w:rPr>
          <w:lang w:val="en-GB"/>
        </w:rPr>
        <w:t>September 2014</w:t>
      </w:r>
      <w:r>
        <w:rPr>
          <w:lang w:val="en-GB"/>
        </w:rPr>
        <w:t xml:space="preserve">. </w:t>
      </w:r>
      <w:proofErr w:type="gramStart"/>
      <w:r>
        <w:rPr>
          <w:lang w:val="en-GB"/>
        </w:rPr>
        <w:t xml:space="preserve">Available from </w:t>
      </w:r>
      <w:hyperlink r:id="rId7" w:history="1">
        <w:r w:rsidRPr="00FE0534">
          <w:rPr>
            <w:lang w:val="en-GB"/>
          </w:rPr>
          <w:t>https://news.yahoo.com/white-house-exempts-syria-airstrikes-from-tight-standards-on-civilian-deaths-183724795.html</w:t>
        </w:r>
      </w:hyperlink>
      <w:r>
        <w:rPr>
          <w:lang w:val="en-GB"/>
        </w:rPr>
        <w:t>.</w:t>
      </w:r>
      <w:proofErr w:type="gramEnd"/>
    </w:p>
  </w:footnote>
  <w:footnote w:id="105">
    <w:p w:rsidR="00722D6F" w:rsidRPr="00FE0534" w:rsidRDefault="00722D6F" w:rsidP="0088311A">
      <w:pPr>
        <w:pStyle w:val="FootnoteText"/>
        <w:rPr>
          <w:lang w:val="en-GB"/>
        </w:rPr>
      </w:pPr>
      <w:r>
        <w:rPr>
          <w:lang w:val="en-GB"/>
        </w:rPr>
        <w:tab/>
      </w:r>
      <w:r w:rsidRPr="007C4BD4">
        <w:rPr>
          <w:rStyle w:val="FootnoteReference"/>
        </w:rPr>
        <w:footnoteRef/>
      </w:r>
      <w:r w:rsidRPr="00FE0534">
        <w:rPr>
          <w:lang w:val="en-GB"/>
        </w:rPr>
        <w:tab/>
        <w:t xml:space="preserve">See A/68/389, </w:t>
      </w:r>
      <w:r>
        <w:rPr>
          <w:lang w:val="en-GB"/>
        </w:rPr>
        <w:t>paras. </w:t>
      </w:r>
      <w:proofErr w:type="gramStart"/>
      <w:r w:rsidRPr="00FE0534">
        <w:rPr>
          <w:lang w:val="en-GB"/>
        </w:rPr>
        <w:t>69</w:t>
      </w:r>
      <w:r w:rsidRPr="00E31457">
        <w:t>–</w:t>
      </w:r>
      <w:r w:rsidRPr="00FE0534">
        <w:rPr>
          <w:lang w:val="en-GB"/>
        </w:rPr>
        <w:t>72.</w:t>
      </w:r>
      <w:proofErr w:type="gramEnd"/>
    </w:p>
  </w:footnote>
  <w:footnote w:id="106">
    <w:p w:rsidR="00722D6F" w:rsidRPr="00FE0534" w:rsidRDefault="00722D6F" w:rsidP="00344A68">
      <w:pPr>
        <w:pStyle w:val="FootnoteText"/>
        <w:rPr>
          <w:lang w:val="en-GB"/>
        </w:rPr>
      </w:pPr>
      <w:r>
        <w:rPr>
          <w:lang w:val="en-GB"/>
        </w:rPr>
        <w:tab/>
      </w:r>
      <w:r w:rsidRPr="007C4BD4">
        <w:rPr>
          <w:rStyle w:val="FootnoteReference"/>
        </w:rPr>
        <w:footnoteRef/>
      </w:r>
      <w:r w:rsidRPr="008F1C83">
        <w:rPr>
          <w:vertAlign w:val="superscript"/>
          <w:lang w:val="en-GB"/>
        </w:rPr>
        <w:tab/>
      </w:r>
      <w:r w:rsidRPr="00FE0534">
        <w:rPr>
          <w:lang w:val="en-GB"/>
        </w:rPr>
        <w:t xml:space="preserve">See Nils Melzer, </w:t>
      </w:r>
      <w:r>
        <w:rPr>
          <w:lang w:val="en-GB"/>
        </w:rPr>
        <w:t>“</w:t>
      </w:r>
      <w:r w:rsidRPr="00FE0534">
        <w:rPr>
          <w:lang w:val="en-GB"/>
        </w:rPr>
        <w:t>Interpretive guidance on the notion of direct participation in hostilities under international humanitarian law</w:t>
      </w:r>
      <w:r>
        <w:rPr>
          <w:lang w:val="en-GB"/>
        </w:rPr>
        <w:t>”</w:t>
      </w:r>
      <w:r w:rsidRPr="00FE0534">
        <w:rPr>
          <w:lang w:val="en-GB"/>
        </w:rPr>
        <w:t>,</w:t>
      </w:r>
      <w:r w:rsidR="00344A68">
        <w:rPr>
          <w:lang w:val="en-GB"/>
        </w:rPr>
        <w:t xml:space="preserve"> </w:t>
      </w:r>
      <w:r w:rsidRPr="00FE0534">
        <w:rPr>
          <w:lang w:val="en-GB"/>
        </w:rPr>
        <w:t>ICRC.</w:t>
      </w:r>
      <w:r>
        <w:rPr>
          <w:lang w:val="en-GB"/>
        </w:rPr>
        <w:t xml:space="preserve"> </w:t>
      </w:r>
      <w:proofErr w:type="gramStart"/>
      <w:r>
        <w:rPr>
          <w:lang w:val="en-GB"/>
        </w:rPr>
        <w:t xml:space="preserve">Available from </w:t>
      </w:r>
      <w:r w:rsidRPr="00C64C87">
        <w:rPr>
          <w:lang w:val="en-GB"/>
        </w:rPr>
        <w:t>www.icrc.org/eng/assets/files/other/icrc-002-0990.pdf</w:t>
      </w:r>
      <w:r>
        <w:rPr>
          <w:lang w:val="en-GB"/>
        </w:rPr>
        <w:t>.</w:t>
      </w:r>
      <w:proofErr w:type="gramEnd"/>
      <w:r w:rsidRPr="00FE0534">
        <w:rPr>
          <w:lang w:val="en-GB"/>
        </w:rPr>
        <w:t xml:space="preserve"> </w:t>
      </w:r>
    </w:p>
  </w:footnote>
  <w:footnote w:id="107">
    <w:p w:rsidR="00722D6F" w:rsidRPr="00FE0534" w:rsidRDefault="00722D6F" w:rsidP="00905997">
      <w:pPr>
        <w:pStyle w:val="FootnoteText"/>
        <w:rPr>
          <w:lang w:val="en-GB"/>
        </w:rPr>
      </w:pPr>
      <w:r>
        <w:rPr>
          <w:lang w:val="en-GB"/>
        </w:rPr>
        <w:tab/>
      </w:r>
      <w:r w:rsidRPr="007C4BD4">
        <w:rPr>
          <w:rStyle w:val="FootnoteReference"/>
        </w:rPr>
        <w:footnoteRef/>
      </w:r>
      <w:r w:rsidRPr="00FE0534">
        <w:rPr>
          <w:lang w:val="en-GB"/>
        </w:rPr>
        <w:tab/>
      </w:r>
      <w:r>
        <w:rPr>
          <w:lang w:val="en-GB"/>
        </w:rPr>
        <w:t xml:space="preserve">See </w:t>
      </w:r>
      <w:r w:rsidRPr="00FE0534">
        <w:rPr>
          <w:lang w:val="en-GB"/>
        </w:rPr>
        <w:t>UNAM</w:t>
      </w:r>
      <w:r>
        <w:rPr>
          <w:lang w:val="en-GB"/>
        </w:rPr>
        <w:t>I/</w:t>
      </w:r>
      <w:r w:rsidRPr="00FE0534">
        <w:rPr>
          <w:lang w:val="en-GB"/>
        </w:rPr>
        <w:t>OHCHR</w:t>
      </w:r>
      <w:r>
        <w:rPr>
          <w:lang w:val="en-GB"/>
        </w:rPr>
        <w:t>, “</w:t>
      </w:r>
      <w:r w:rsidRPr="00FE0534">
        <w:rPr>
          <w:lang w:val="en-GB"/>
        </w:rPr>
        <w:t xml:space="preserve">Report on the </w:t>
      </w:r>
      <w:r>
        <w:rPr>
          <w:lang w:val="en-GB"/>
        </w:rPr>
        <w:t>P</w:t>
      </w:r>
      <w:r w:rsidRPr="00FE0534">
        <w:rPr>
          <w:lang w:val="en-GB"/>
        </w:rPr>
        <w:t>rotection of Civilians in Armed Conflict in Iraq</w:t>
      </w:r>
      <w:r>
        <w:rPr>
          <w:lang w:val="en-GB"/>
        </w:rPr>
        <w:t>:</w:t>
      </w:r>
      <w:r w:rsidRPr="00FE0534">
        <w:rPr>
          <w:lang w:val="en-GB"/>
        </w:rPr>
        <w:t xml:space="preserve"> 11 Sept</w:t>
      </w:r>
      <w:r>
        <w:rPr>
          <w:lang w:val="en-GB"/>
        </w:rPr>
        <w:t>ember–</w:t>
      </w:r>
      <w:r w:rsidRPr="00FE0534">
        <w:rPr>
          <w:lang w:val="en-GB"/>
        </w:rPr>
        <w:t>10 December 2014</w:t>
      </w:r>
      <w:r>
        <w:rPr>
          <w:lang w:val="en-GB"/>
        </w:rPr>
        <w:t>”</w:t>
      </w:r>
      <w:r w:rsidRPr="00FE0534">
        <w:rPr>
          <w:lang w:val="en-GB"/>
        </w:rPr>
        <w:t>, p.</w:t>
      </w:r>
      <w:r>
        <w:rPr>
          <w:lang w:val="en-GB"/>
        </w:rPr>
        <w:t> </w:t>
      </w:r>
      <w:r w:rsidRPr="00FE0534">
        <w:rPr>
          <w:lang w:val="en-GB"/>
        </w:rPr>
        <w:t>17</w:t>
      </w:r>
      <w:r>
        <w:rPr>
          <w:lang w:val="en-GB"/>
        </w:rPr>
        <w:t>.</w:t>
      </w:r>
    </w:p>
  </w:footnote>
  <w:footnote w:id="108">
    <w:p w:rsidR="00722D6F" w:rsidRPr="00FE0534" w:rsidRDefault="00722D6F" w:rsidP="009A73CC">
      <w:pPr>
        <w:pStyle w:val="FootnoteText"/>
        <w:rPr>
          <w:lang w:val="en-GB"/>
        </w:rPr>
      </w:pPr>
      <w:r>
        <w:rPr>
          <w:lang w:val="en-GB"/>
        </w:rPr>
        <w:tab/>
      </w:r>
      <w:r w:rsidRPr="007C4BD4">
        <w:rPr>
          <w:rStyle w:val="FootnoteReference"/>
        </w:rPr>
        <w:footnoteRef/>
      </w:r>
      <w:r w:rsidRPr="00FE0534">
        <w:rPr>
          <w:lang w:val="en-GB"/>
        </w:rPr>
        <w:tab/>
      </w:r>
      <w:proofErr w:type="gramStart"/>
      <w:r>
        <w:rPr>
          <w:lang w:val="en-GB"/>
        </w:rPr>
        <w:t xml:space="preserve">See </w:t>
      </w:r>
      <w:r w:rsidR="009A73CC">
        <w:rPr>
          <w:lang w:val="en-GB"/>
        </w:rPr>
        <w:t>“</w:t>
      </w:r>
      <w:r w:rsidR="009A73CC" w:rsidRPr="009A73CC">
        <w:rPr>
          <w:lang w:val="en-GB"/>
        </w:rPr>
        <w:t>Iraq</w:t>
      </w:r>
      <w:r w:rsidR="009A73CC">
        <w:rPr>
          <w:lang w:val="en-GB"/>
        </w:rPr>
        <w:t>’</w:t>
      </w:r>
      <w:r w:rsidR="009A73CC" w:rsidRPr="009A73CC">
        <w:rPr>
          <w:lang w:val="en-GB"/>
        </w:rPr>
        <w:t>s prime minister halts airstrikes in civilian areas</w:t>
      </w:r>
      <w:r w:rsidR="009A73CC">
        <w:rPr>
          <w:lang w:val="en-GB"/>
        </w:rPr>
        <w:t xml:space="preserve">”, </w:t>
      </w:r>
      <w:r w:rsidR="009A73CC" w:rsidRPr="009A73CC">
        <w:rPr>
          <w:lang w:val="en-GB"/>
        </w:rPr>
        <w:t>Deutsche Welle</w:t>
      </w:r>
      <w:r w:rsidR="009A73CC">
        <w:rPr>
          <w:lang w:val="en-GB"/>
        </w:rPr>
        <w:t>, 13 September 2014.</w:t>
      </w:r>
      <w:proofErr w:type="gramEnd"/>
      <w:r w:rsidR="009A73CC">
        <w:rPr>
          <w:lang w:val="en-GB"/>
        </w:rPr>
        <w:t xml:space="preserve"> </w:t>
      </w:r>
      <w:proofErr w:type="gramStart"/>
      <w:r w:rsidR="009A73CC">
        <w:rPr>
          <w:lang w:val="en-GB"/>
        </w:rPr>
        <w:t xml:space="preserve">Available from </w:t>
      </w:r>
      <w:r w:rsidRPr="00FE0534">
        <w:rPr>
          <w:lang w:val="en-GB"/>
        </w:rPr>
        <w:t>www.dw.de/iraqs-prime-minister-halts-airstrikes-in-civilian-areas/a-17920325</w:t>
      </w:r>
      <w:r>
        <w:rPr>
          <w:lang w:val="en-GB"/>
        </w:rPr>
        <w:t>.</w:t>
      </w:r>
      <w:proofErr w:type="gramEnd"/>
    </w:p>
  </w:footnote>
  <w:footnote w:id="109">
    <w:p w:rsidR="00722D6F" w:rsidRPr="007004A6" w:rsidRDefault="00722D6F" w:rsidP="00FE0534">
      <w:pPr>
        <w:pStyle w:val="FootnoteText"/>
        <w:rPr>
          <w:lang w:val="en-GB"/>
        </w:rPr>
      </w:pPr>
      <w:r>
        <w:rPr>
          <w:lang w:val="en-GB"/>
        </w:rPr>
        <w:tab/>
      </w:r>
      <w:r w:rsidRPr="007C4BD4">
        <w:rPr>
          <w:rStyle w:val="FootnoteReference"/>
        </w:rPr>
        <w:footnoteRef/>
      </w:r>
      <w:r w:rsidRPr="007004A6">
        <w:rPr>
          <w:lang w:val="en-GB"/>
        </w:rPr>
        <w:tab/>
      </w:r>
      <w:r w:rsidRPr="007004A6">
        <w:rPr>
          <w:lang w:val="en-GB"/>
        </w:rPr>
        <w:t xml:space="preserve">See A/HRC/28/69, para. 50. </w:t>
      </w:r>
    </w:p>
  </w:footnote>
  <w:footnote w:id="110">
    <w:p w:rsidR="00722D6F" w:rsidRPr="00FE0534" w:rsidRDefault="00722D6F" w:rsidP="008D7895">
      <w:pPr>
        <w:pStyle w:val="FootnoteText"/>
        <w:rPr>
          <w:lang w:val="en-GB"/>
        </w:rPr>
      </w:pPr>
      <w:r w:rsidRPr="007004A6">
        <w:rPr>
          <w:lang w:val="en-GB"/>
        </w:rPr>
        <w:tab/>
      </w:r>
      <w:r w:rsidRPr="007C4BD4">
        <w:rPr>
          <w:rStyle w:val="FootnoteReference"/>
        </w:rPr>
        <w:footnoteRef/>
      </w:r>
      <w:r w:rsidRPr="007004A6">
        <w:rPr>
          <w:vertAlign w:val="superscript"/>
          <w:lang w:val="en-GB"/>
        </w:rPr>
        <w:tab/>
      </w:r>
      <w:r w:rsidRPr="007004A6">
        <w:rPr>
          <w:lang w:val="en-GB"/>
        </w:rPr>
        <w:t>Ibid., annex. 2, para. </w:t>
      </w:r>
      <w:r w:rsidRPr="00FE0534">
        <w:rPr>
          <w:lang w:val="en-GB"/>
        </w:rPr>
        <w:t>53.</w:t>
      </w:r>
    </w:p>
  </w:footnote>
  <w:footnote w:id="111">
    <w:p w:rsidR="00722D6F" w:rsidRPr="00FE0534" w:rsidRDefault="00722D6F" w:rsidP="00780AE2">
      <w:pPr>
        <w:pStyle w:val="FootnoteText"/>
        <w:rPr>
          <w:lang w:val="en-GB"/>
        </w:rPr>
      </w:pPr>
      <w:r>
        <w:rPr>
          <w:lang w:val="en-GB"/>
        </w:rPr>
        <w:tab/>
      </w:r>
      <w:r w:rsidRPr="007C4BD4">
        <w:rPr>
          <w:rStyle w:val="FootnoteReference"/>
        </w:rPr>
        <w:footnoteRef/>
      </w:r>
      <w:r w:rsidRPr="008F1C83">
        <w:rPr>
          <w:vertAlign w:val="superscript"/>
          <w:lang w:val="en-GB"/>
        </w:rPr>
        <w:tab/>
      </w:r>
      <w:r w:rsidRPr="005F3B17">
        <w:rPr>
          <w:lang w:val="en-GB"/>
        </w:rPr>
        <w:t>See</w:t>
      </w:r>
      <w:r>
        <w:rPr>
          <w:vertAlign w:val="superscript"/>
          <w:lang w:val="en-GB"/>
        </w:rPr>
        <w:t xml:space="preserve"> </w:t>
      </w:r>
      <w:r>
        <w:rPr>
          <w:lang w:val="en-GB"/>
        </w:rPr>
        <w:t>“</w:t>
      </w:r>
      <w:r w:rsidRPr="00FE0534">
        <w:rPr>
          <w:lang w:val="en-GB"/>
        </w:rPr>
        <w:t>Jordan: ISIS lost 20% of its military capabilities</w:t>
      </w:r>
      <w:r>
        <w:rPr>
          <w:lang w:val="en-GB"/>
        </w:rPr>
        <w:t>”</w:t>
      </w:r>
      <w:r w:rsidR="009A73CC">
        <w:rPr>
          <w:lang w:val="en-GB"/>
        </w:rPr>
        <w:t xml:space="preserve">, </w:t>
      </w:r>
      <w:r w:rsidRPr="00450324">
        <w:rPr>
          <w:i/>
          <w:iCs/>
          <w:lang w:val="en-GB"/>
        </w:rPr>
        <w:t>Al Arabiya</w:t>
      </w:r>
      <w:r>
        <w:rPr>
          <w:i/>
          <w:iCs/>
          <w:lang w:val="en-GB"/>
        </w:rPr>
        <w:t xml:space="preserve"> News</w:t>
      </w:r>
      <w:r w:rsidRPr="00FE0534">
        <w:rPr>
          <w:lang w:val="en-GB"/>
        </w:rPr>
        <w:t xml:space="preserve">, </w:t>
      </w:r>
      <w:r>
        <w:rPr>
          <w:lang w:val="en-GB"/>
        </w:rPr>
        <w:t xml:space="preserve">8 </w:t>
      </w:r>
      <w:r w:rsidRPr="00FE0534">
        <w:rPr>
          <w:lang w:val="en-GB"/>
        </w:rPr>
        <w:t>February 2015</w:t>
      </w:r>
      <w:r>
        <w:rPr>
          <w:lang w:val="en-GB"/>
        </w:rPr>
        <w:t xml:space="preserve">. </w:t>
      </w:r>
      <w:proofErr w:type="gramStart"/>
      <w:r>
        <w:rPr>
          <w:lang w:val="en-GB"/>
        </w:rPr>
        <w:t>Available from</w:t>
      </w:r>
      <w:r w:rsidRPr="00FE0534">
        <w:rPr>
          <w:lang w:val="en-GB"/>
        </w:rPr>
        <w:t xml:space="preserve"> </w:t>
      </w:r>
      <w:hyperlink r:id="rId8" w:history="1">
        <w:r w:rsidRPr="00FE0534">
          <w:rPr>
            <w:lang w:val="en-GB"/>
          </w:rPr>
          <w:t>http://english.alarabiya.net/en/News/middle-east/2015/02/08/Jordan-ISIS-lost-20-of-its-military-capabilities.html</w:t>
        </w:r>
      </w:hyperlink>
      <w:r>
        <w:rPr>
          <w:lang w:val="en-GB"/>
        </w:rPr>
        <w:t>.</w:t>
      </w:r>
      <w:proofErr w:type="gramEnd"/>
    </w:p>
  </w:footnote>
  <w:footnote w:id="112">
    <w:p w:rsidR="00722D6F" w:rsidRPr="00FE0534" w:rsidRDefault="00722D6F" w:rsidP="004F035A">
      <w:pPr>
        <w:pStyle w:val="FootnoteText"/>
        <w:rPr>
          <w:lang w:val="en-GB"/>
        </w:rPr>
      </w:pPr>
      <w:r>
        <w:rPr>
          <w:lang w:val="en-GB"/>
        </w:rPr>
        <w:tab/>
      </w:r>
      <w:r w:rsidRPr="007C4BD4">
        <w:rPr>
          <w:rStyle w:val="FootnoteReference"/>
        </w:rPr>
        <w:footnoteRef/>
      </w:r>
      <w:r w:rsidRPr="00FE0534">
        <w:rPr>
          <w:lang w:val="en-GB"/>
        </w:rPr>
        <w:tab/>
      </w:r>
      <w:proofErr w:type="gramStart"/>
      <w:r w:rsidRPr="00FE0534">
        <w:rPr>
          <w:lang w:val="en-GB"/>
        </w:rPr>
        <w:t>On</w:t>
      </w:r>
      <w:r w:rsidR="004F035A">
        <w:rPr>
          <w:lang w:val="en-GB"/>
        </w:rPr>
        <w:t>-</w:t>
      </w:r>
      <w:r w:rsidRPr="00FE0534">
        <w:rPr>
          <w:lang w:val="en-GB"/>
        </w:rPr>
        <w:t>the</w:t>
      </w:r>
      <w:r w:rsidR="004F035A">
        <w:rPr>
          <w:lang w:val="en-GB"/>
        </w:rPr>
        <w:t>-</w:t>
      </w:r>
      <w:r w:rsidRPr="00FE0534">
        <w:rPr>
          <w:lang w:val="en-GB"/>
        </w:rPr>
        <w:t>record e</w:t>
      </w:r>
      <w:r w:rsidR="004F035A">
        <w:rPr>
          <w:lang w:val="en-GB"/>
        </w:rPr>
        <w:t>-</w:t>
      </w:r>
      <w:r w:rsidRPr="00FE0534">
        <w:rPr>
          <w:lang w:val="en-GB"/>
        </w:rPr>
        <w:t xml:space="preserve">mail from </w:t>
      </w:r>
      <w:r w:rsidR="004F035A">
        <w:t>United States Central Command</w:t>
      </w:r>
      <w:r w:rsidR="004F035A" w:rsidDel="004F035A">
        <w:t xml:space="preserve"> </w:t>
      </w:r>
      <w:r w:rsidRPr="00FE0534">
        <w:rPr>
          <w:lang w:val="en-GB"/>
        </w:rPr>
        <w:t xml:space="preserve">spokesman Major Omar Villarreal, </w:t>
      </w:r>
      <w:r>
        <w:rPr>
          <w:lang w:val="en-GB"/>
        </w:rPr>
        <w:t xml:space="preserve">25 </w:t>
      </w:r>
      <w:r w:rsidRPr="00FE0534">
        <w:rPr>
          <w:lang w:val="en-GB"/>
        </w:rPr>
        <w:t>March 2015.</w:t>
      </w:r>
      <w:proofErr w:type="gramEnd"/>
    </w:p>
  </w:footnote>
  <w:footnote w:id="113">
    <w:p w:rsidR="00722D6F" w:rsidRPr="00FE0534" w:rsidRDefault="00722D6F" w:rsidP="00046DA1">
      <w:pPr>
        <w:pStyle w:val="FootnoteText"/>
        <w:rPr>
          <w:lang w:val="en-GB"/>
        </w:rPr>
      </w:pPr>
      <w:r>
        <w:rPr>
          <w:lang w:val="en-GB"/>
        </w:rPr>
        <w:tab/>
      </w:r>
      <w:r w:rsidRPr="007C4BD4">
        <w:rPr>
          <w:rStyle w:val="FootnoteReference"/>
        </w:rPr>
        <w:footnoteRef/>
      </w:r>
      <w:r w:rsidRPr="008F1C83">
        <w:rPr>
          <w:vertAlign w:val="superscript"/>
          <w:lang w:val="en-GB"/>
        </w:rPr>
        <w:tab/>
      </w:r>
      <w:r w:rsidRPr="005F3B17">
        <w:rPr>
          <w:lang w:val="en-GB"/>
        </w:rPr>
        <w:t>See</w:t>
      </w:r>
      <w:r>
        <w:rPr>
          <w:vertAlign w:val="superscript"/>
          <w:lang w:val="en-GB"/>
        </w:rPr>
        <w:t xml:space="preserve"> </w:t>
      </w:r>
      <w:r>
        <w:rPr>
          <w:lang w:val="en-GB"/>
        </w:rPr>
        <w:t>“</w:t>
      </w:r>
      <w:r w:rsidRPr="00FE0534">
        <w:rPr>
          <w:lang w:val="en-GB"/>
        </w:rPr>
        <w:t xml:space="preserve">Rule of </w:t>
      </w:r>
      <w:r>
        <w:rPr>
          <w:lang w:val="en-GB"/>
        </w:rPr>
        <w:t>t</w:t>
      </w:r>
      <w:r w:rsidRPr="00FE0534">
        <w:rPr>
          <w:lang w:val="en-GB"/>
        </w:rPr>
        <w:t>error</w:t>
      </w:r>
      <w:r>
        <w:rPr>
          <w:lang w:val="en-GB"/>
        </w:rPr>
        <w:t>”</w:t>
      </w:r>
      <w:r w:rsidRPr="00FE0534">
        <w:rPr>
          <w:lang w:val="en-GB"/>
        </w:rPr>
        <w:t xml:space="preserve">, </w:t>
      </w:r>
      <w:r>
        <w:rPr>
          <w:lang w:val="en-GB"/>
        </w:rPr>
        <w:t>para. </w:t>
      </w:r>
      <w:r w:rsidRPr="00FE0534">
        <w:rPr>
          <w:lang w:val="en-GB"/>
        </w:rPr>
        <w:t>23.</w:t>
      </w:r>
    </w:p>
  </w:footnote>
  <w:footnote w:id="114">
    <w:p w:rsidR="00722D6F" w:rsidRPr="00FE0534" w:rsidRDefault="00722D6F" w:rsidP="001905ED">
      <w:pPr>
        <w:pStyle w:val="FootnoteText"/>
        <w:rPr>
          <w:lang w:val="en-GB"/>
        </w:rPr>
      </w:pPr>
      <w:r>
        <w:rPr>
          <w:lang w:val="en-GB"/>
        </w:rPr>
        <w:tab/>
      </w:r>
      <w:r w:rsidRPr="007C4BD4">
        <w:rPr>
          <w:rStyle w:val="FootnoteReference"/>
        </w:rPr>
        <w:footnoteRef/>
      </w:r>
      <w:r w:rsidRPr="00FE0534">
        <w:rPr>
          <w:lang w:val="en-GB"/>
        </w:rPr>
        <w:tab/>
        <w:t xml:space="preserve">See Chris Woods, </w:t>
      </w:r>
      <w:r>
        <w:rPr>
          <w:lang w:val="en-GB"/>
        </w:rPr>
        <w:t>“</w:t>
      </w:r>
      <w:r w:rsidRPr="00FE0534">
        <w:rPr>
          <w:lang w:val="en-GB"/>
        </w:rPr>
        <w:t xml:space="preserve">Pentagon in Denial </w:t>
      </w:r>
      <w:proofErr w:type="gramStart"/>
      <w:r w:rsidRPr="00FE0534">
        <w:rPr>
          <w:lang w:val="en-GB"/>
        </w:rPr>
        <w:t>About</w:t>
      </w:r>
      <w:proofErr w:type="gramEnd"/>
      <w:r w:rsidRPr="00FE0534">
        <w:rPr>
          <w:lang w:val="en-GB"/>
        </w:rPr>
        <w:t xml:space="preserve"> Civilian Casualties of U.S. </w:t>
      </w:r>
      <w:r>
        <w:rPr>
          <w:lang w:val="en-GB"/>
        </w:rPr>
        <w:t>Airs</w:t>
      </w:r>
      <w:r w:rsidRPr="00FE0534">
        <w:rPr>
          <w:lang w:val="en-GB"/>
        </w:rPr>
        <w:t>trikes in Iraq and Syria,</w:t>
      </w:r>
      <w:r>
        <w:rPr>
          <w:lang w:val="en-GB"/>
        </w:rPr>
        <w:t>”</w:t>
      </w:r>
      <w:r w:rsidRPr="00FE0534">
        <w:rPr>
          <w:lang w:val="en-GB"/>
        </w:rPr>
        <w:t xml:space="preserve"> </w:t>
      </w:r>
      <w:r w:rsidRPr="00450324">
        <w:rPr>
          <w:i/>
          <w:iCs/>
          <w:lang w:val="en-GB"/>
        </w:rPr>
        <w:t>Foreign Policy</w:t>
      </w:r>
      <w:r w:rsidRPr="00FE0534">
        <w:rPr>
          <w:lang w:val="en-GB"/>
        </w:rPr>
        <w:t xml:space="preserve">, </w:t>
      </w:r>
      <w:r>
        <w:rPr>
          <w:lang w:val="en-GB"/>
        </w:rPr>
        <w:t xml:space="preserve">3 </w:t>
      </w:r>
      <w:r w:rsidRPr="00FE0534">
        <w:rPr>
          <w:lang w:val="en-GB"/>
        </w:rPr>
        <w:t>December 2014</w:t>
      </w:r>
      <w:r>
        <w:rPr>
          <w:lang w:val="en-GB"/>
        </w:rPr>
        <w:t xml:space="preserve">. </w:t>
      </w:r>
      <w:proofErr w:type="gramStart"/>
      <w:r>
        <w:rPr>
          <w:lang w:val="en-GB"/>
        </w:rPr>
        <w:t>Available from</w:t>
      </w:r>
      <w:r w:rsidRPr="00FE0534">
        <w:rPr>
          <w:lang w:val="en-GB"/>
        </w:rPr>
        <w:t xml:space="preserve"> </w:t>
      </w:r>
      <w:hyperlink r:id="rId9" w:history="1">
        <w:r w:rsidRPr="00FE0534">
          <w:rPr>
            <w:lang w:val="en-GB"/>
          </w:rPr>
          <w:t>http://foreignpolicy.com/2014/12/03/pentagon-in-denial-about-civilian-casualties-of-u-s-airstrikes-in-iraq-and-syria/</w:t>
        </w:r>
      </w:hyperlink>
      <w:r>
        <w:rPr>
          <w:lang w:val="en-GB"/>
        </w:rPr>
        <w:t>.</w:t>
      </w:r>
      <w:proofErr w:type="gramEnd"/>
    </w:p>
  </w:footnote>
  <w:footnote w:id="115">
    <w:p w:rsidR="00722D6F" w:rsidRPr="00FE0534" w:rsidRDefault="00722D6F" w:rsidP="00D4707E">
      <w:pPr>
        <w:pStyle w:val="FootnoteText"/>
        <w:rPr>
          <w:lang w:val="en-GB"/>
        </w:rPr>
      </w:pPr>
      <w:r>
        <w:rPr>
          <w:lang w:val="en-GB"/>
        </w:rPr>
        <w:tab/>
      </w:r>
      <w:r w:rsidRPr="007C4BD4">
        <w:rPr>
          <w:rStyle w:val="FootnoteReference"/>
        </w:rPr>
        <w:footnoteRef/>
      </w:r>
      <w:r w:rsidRPr="008F1C83">
        <w:rPr>
          <w:vertAlign w:val="superscript"/>
          <w:lang w:val="en-GB"/>
        </w:rPr>
        <w:tab/>
      </w:r>
      <w:r>
        <w:rPr>
          <w:lang w:val="en-GB"/>
        </w:rPr>
        <w:t xml:space="preserve">See </w:t>
      </w:r>
      <w:r w:rsidRPr="00FE0534">
        <w:rPr>
          <w:lang w:val="en-GB"/>
        </w:rPr>
        <w:t>UNAMI</w:t>
      </w:r>
      <w:r>
        <w:rPr>
          <w:lang w:val="en-GB"/>
        </w:rPr>
        <w:t>/</w:t>
      </w:r>
      <w:r w:rsidRPr="00FE0534">
        <w:rPr>
          <w:lang w:val="en-GB"/>
        </w:rPr>
        <w:t>OHCHR</w:t>
      </w:r>
      <w:r>
        <w:rPr>
          <w:lang w:val="en-GB"/>
        </w:rPr>
        <w:t>,</w:t>
      </w:r>
      <w:r w:rsidRPr="00FE0534">
        <w:rPr>
          <w:lang w:val="en-GB"/>
        </w:rPr>
        <w:t xml:space="preserve"> </w:t>
      </w:r>
      <w:r>
        <w:rPr>
          <w:lang w:val="en-GB"/>
        </w:rPr>
        <w:t>“</w:t>
      </w:r>
      <w:r w:rsidRPr="00FE0534">
        <w:rPr>
          <w:lang w:val="en-GB"/>
        </w:rPr>
        <w:t>Report on the Protection of Civilians in Armed Conflict in Iraq</w:t>
      </w:r>
      <w:r>
        <w:rPr>
          <w:lang w:val="en-GB"/>
        </w:rPr>
        <w:t>:</w:t>
      </w:r>
      <w:r w:rsidRPr="00FE0534">
        <w:rPr>
          <w:lang w:val="en-GB"/>
        </w:rPr>
        <w:t xml:space="preserve"> 11 September–10</w:t>
      </w:r>
      <w:r>
        <w:rPr>
          <w:lang w:val="en-GB"/>
        </w:rPr>
        <w:t> </w:t>
      </w:r>
      <w:r w:rsidRPr="00FE0534">
        <w:rPr>
          <w:lang w:val="en-GB"/>
        </w:rPr>
        <w:t>December 2014</w:t>
      </w:r>
      <w:r>
        <w:rPr>
          <w:lang w:val="en-GB"/>
        </w:rPr>
        <w:t>”</w:t>
      </w:r>
      <w:r w:rsidRPr="00FE0534">
        <w:rPr>
          <w:lang w:val="en-GB"/>
        </w:rPr>
        <w:t xml:space="preserve">, footnote 32. </w:t>
      </w:r>
    </w:p>
  </w:footnote>
  <w:footnote w:id="116">
    <w:p w:rsidR="00722D6F" w:rsidRPr="00B64E31" w:rsidRDefault="00722D6F" w:rsidP="0088311A">
      <w:pPr>
        <w:pStyle w:val="FootnoteText"/>
      </w:pPr>
      <w:r>
        <w:rPr>
          <w:lang w:val="en-GB"/>
        </w:rPr>
        <w:tab/>
      </w:r>
      <w:r w:rsidRPr="007C4BD4">
        <w:rPr>
          <w:rStyle w:val="FootnoteReference"/>
        </w:rPr>
        <w:footnoteRef/>
      </w:r>
      <w:r w:rsidRPr="007004A6">
        <w:rPr>
          <w:vertAlign w:val="superscript"/>
          <w:lang w:val="en-GB"/>
        </w:rPr>
        <w:tab/>
      </w:r>
      <w:r w:rsidRPr="00D4707E">
        <w:rPr>
          <w:lang w:val="en-GB"/>
        </w:rPr>
        <w:t xml:space="preserve">See </w:t>
      </w:r>
      <w:r w:rsidRPr="00B64E31">
        <w:t>A/68/389, paras. </w:t>
      </w:r>
      <w:proofErr w:type="gramStart"/>
      <w:r w:rsidRPr="00B64E31">
        <w:t>41</w:t>
      </w:r>
      <w:r w:rsidRPr="00E31457">
        <w:t>–</w:t>
      </w:r>
      <w:r w:rsidRPr="00B64E31">
        <w:t>45.</w:t>
      </w:r>
      <w:proofErr w:type="gramEnd"/>
    </w:p>
  </w:footnote>
  <w:footnote w:id="117">
    <w:p w:rsidR="00722D6F" w:rsidRPr="00FE0534" w:rsidRDefault="00722D6F" w:rsidP="00D4707E">
      <w:pPr>
        <w:pStyle w:val="FootnoteText"/>
        <w:rPr>
          <w:lang w:val="en-GB"/>
        </w:rPr>
      </w:pPr>
      <w:r w:rsidRPr="00B64E31">
        <w:tab/>
      </w:r>
      <w:r w:rsidRPr="007C4BD4">
        <w:rPr>
          <w:rStyle w:val="FootnoteReference"/>
        </w:rPr>
        <w:footnoteRef/>
      </w:r>
      <w:r w:rsidRPr="00B64E31">
        <w:tab/>
      </w:r>
      <w:r w:rsidRPr="00D4707E">
        <w:rPr>
          <w:lang w:val="en-GB"/>
        </w:rPr>
        <w:t xml:space="preserve">See </w:t>
      </w:r>
      <w:r>
        <w:rPr>
          <w:lang w:val="en-GB"/>
        </w:rPr>
        <w:t>the r</w:t>
      </w:r>
      <w:r w:rsidRPr="00D4707E">
        <w:rPr>
          <w:lang w:val="en-GB"/>
        </w:rPr>
        <w:t xml:space="preserve">eport of the Secretary-General </w:t>
      </w:r>
      <w:r>
        <w:rPr>
          <w:lang w:val="en-GB"/>
        </w:rPr>
        <w:t>on i</w:t>
      </w:r>
      <w:r w:rsidRPr="00D4707E">
        <w:rPr>
          <w:lang w:val="en-GB"/>
        </w:rPr>
        <w:t>mplementing the responsibility to protect</w:t>
      </w:r>
      <w:r>
        <w:rPr>
          <w:lang w:val="en-GB"/>
        </w:rPr>
        <w:t xml:space="preserve"> (</w:t>
      </w:r>
      <w:r w:rsidRPr="00B64E31">
        <w:t>A/63/677</w:t>
      </w:r>
      <w:r>
        <w:t>)</w:t>
      </w:r>
      <w:r w:rsidRPr="00B64E31">
        <w:t>, para. </w:t>
      </w:r>
      <w:r w:rsidRPr="00FE0534">
        <w:rPr>
          <w:lang w:val="en-GB"/>
        </w:rPr>
        <w:t>61.</w:t>
      </w:r>
    </w:p>
  </w:footnote>
  <w:footnote w:id="118">
    <w:p w:rsidR="00722D6F" w:rsidRPr="00FE0534" w:rsidRDefault="00722D6F" w:rsidP="009A73CC">
      <w:pPr>
        <w:pStyle w:val="FootnoteText"/>
        <w:rPr>
          <w:lang w:val="en-GB"/>
        </w:rPr>
      </w:pPr>
      <w:r>
        <w:rPr>
          <w:lang w:val="en-GB"/>
        </w:rPr>
        <w:tab/>
      </w:r>
      <w:r w:rsidRPr="007C4BD4">
        <w:rPr>
          <w:rStyle w:val="FootnoteReference"/>
        </w:rPr>
        <w:footnoteRef/>
      </w:r>
      <w:r w:rsidRPr="00FE0534">
        <w:rPr>
          <w:lang w:val="en-GB"/>
        </w:rPr>
        <w:tab/>
      </w:r>
      <w:r>
        <w:rPr>
          <w:lang w:val="en-GB"/>
        </w:rPr>
        <w:t>“A State’s</w:t>
      </w:r>
      <w:r w:rsidRPr="00FE0534">
        <w:rPr>
          <w:lang w:val="en-GB"/>
        </w:rPr>
        <w:t xml:space="preserve"> obligation to prevent, and the corresponding duty to act, arise at the instant that the State learns of</w:t>
      </w:r>
      <w:r>
        <w:rPr>
          <w:lang w:val="en-GB"/>
        </w:rPr>
        <w:t>,</w:t>
      </w:r>
      <w:r w:rsidRPr="00FE0534">
        <w:rPr>
          <w:lang w:val="en-GB"/>
        </w:rPr>
        <w:t xml:space="preserve"> </w:t>
      </w:r>
      <w:r>
        <w:rPr>
          <w:lang w:val="en-GB"/>
        </w:rPr>
        <w:t>o</w:t>
      </w:r>
      <w:r w:rsidRPr="00FE0534">
        <w:rPr>
          <w:lang w:val="en-GB"/>
        </w:rPr>
        <w:t>r should normally have learned of, the existence of a serious risk that genocide will be committed</w:t>
      </w:r>
      <w:r>
        <w:rPr>
          <w:lang w:val="en-GB"/>
        </w:rPr>
        <w:t>”</w:t>
      </w:r>
      <w:r w:rsidRPr="00FE0534">
        <w:rPr>
          <w:lang w:val="en-GB"/>
        </w:rPr>
        <w:t xml:space="preserve">. </w:t>
      </w:r>
      <w:r>
        <w:rPr>
          <w:lang w:val="en-GB"/>
        </w:rPr>
        <w:t xml:space="preserve">See the International Court of Justice, </w:t>
      </w:r>
      <w:r w:rsidRPr="00FE0534">
        <w:rPr>
          <w:lang w:val="en-GB"/>
        </w:rPr>
        <w:t xml:space="preserve">Application of the Convention on the </w:t>
      </w:r>
      <w:r w:rsidR="009A73CC">
        <w:rPr>
          <w:lang w:val="en-GB"/>
        </w:rPr>
        <w:t>P</w:t>
      </w:r>
      <w:r w:rsidRPr="00FE0534">
        <w:rPr>
          <w:lang w:val="en-GB"/>
        </w:rPr>
        <w:t xml:space="preserve">revention and </w:t>
      </w:r>
      <w:r w:rsidR="009A73CC">
        <w:rPr>
          <w:lang w:val="en-GB"/>
        </w:rPr>
        <w:t>P</w:t>
      </w:r>
      <w:r w:rsidRPr="00FE0534">
        <w:rPr>
          <w:lang w:val="en-GB"/>
        </w:rPr>
        <w:t xml:space="preserve">unishment of the </w:t>
      </w:r>
      <w:r w:rsidR="009A73CC">
        <w:rPr>
          <w:lang w:val="en-GB"/>
        </w:rPr>
        <w:t>C</w:t>
      </w:r>
      <w:r w:rsidRPr="00FE0534">
        <w:rPr>
          <w:lang w:val="en-GB"/>
        </w:rPr>
        <w:t xml:space="preserve">rime of </w:t>
      </w:r>
      <w:r w:rsidR="009A73CC">
        <w:rPr>
          <w:lang w:val="en-GB"/>
        </w:rPr>
        <w:t>G</w:t>
      </w:r>
      <w:r w:rsidRPr="00FE0534">
        <w:rPr>
          <w:lang w:val="en-GB"/>
        </w:rPr>
        <w:t>enocide (</w:t>
      </w:r>
      <w:r w:rsidRPr="00FD1185">
        <w:rPr>
          <w:i/>
          <w:iCs/>
          <w:lang w:val="en-GB"/>
        </w:rPr>
        <w:t>Bosnia and Herzegovina v. Serbia</w:t>
      </w:r>
      <w:r>
        <w:rPr>
          <w:i/>
          <w:iCs/>
          <w:lang w:val="en-GB"/>
        </w:rPr>
        <w:t xml:space="preserve"> and Montenegro</w:t>
      </w:r>
      <w:r w:rsidRPr="00FE0534">
        <w:rPr>
          <w:lang w:val="en-GB"/>
        </w:rPr>
        <w:t>)</w:t>
      </w:r>
      <w:r>
        <w:rPr>
          <w:lang w:val="en-GB"/>
        </w:rPr>
        <w:t xml:space="preserve"> </w:t>
      </w:r>
      <w:r w:rsidRPr="00FE0534">
        <w:rPr>
          <w:lang w:val="en-GB"/>
        </w:rPr>
        <w:t xml:space="preserve">(Merits), </w:t>
      </w:r>
      <w:r>
        <w:rPr>
          <w:lang w:val="en-GB"/>
        </w:rPr>
        <w:t xml:space="preserve">Judgement of 26 February </w:t>
      </w:r>
      <w:r w:rsidRPr="00FE0534">
        <w:rPr>
          <w:lang w:val="en-GB"/>
        </w:rPr>
        <w:t>2007, para</w:t>
      </w:r>
      <w:r>
        <w:rPr>
          <w:lang w:val="en-GB"/>
        </w:rPr>
        <w:t>s</w:t>
      </w:r>
      <w:r w:rsidRPr="00FE0534">
        <w:rPr>
          <w:lang w:val="en-GB"/>
        </w:rPr>
        <w:t xml:space="preserve">. </w:t>
      </w:r>
      <w:proofErr w:type="gramStart"/>
      <w:r w:rsidRPr="00FE0534">
        <w:rPr>
          <w:lang w:val="en-GB"/>
        </w:rPr>
        <w:t>430</w:t>
      </w:r>
      <w:r>
        <w:rPr>
          <w:lang w:val="en-GB"/>
        </w:rPr>
        <w:t xml:space="preserve"> and </w:t>
      </w:r>
      <w:r w:rsidRPr="00FE0534">
        <w:rPr>
          <w:lang w:val="en-GB"/>
        </w:rPr>
        <w:t>431.</w:t>
      </w:r>
      <w:proofErr w:type="gramEnd"/>
    </w:p>
  </w:footnote>
  <w:footnote w:id="119">
    <w:p w:rsidR="00722D6F" w:rsidRPr="00FE0534" w:rsidRDefault="00722D6F" w:rsidP="00C6469A">
      <w:pPr>
        <w:pStyle w:val="FootnoteText"/>
        <w:rPr>
          <w:lang w:val="en-GB"/>
        </w:rPr>
      </w:pPr>
      <w:r>
        <w:rPr>
          <w:lang w:val="en-GB"/>
        </w:rPr>
        <w:tab/>
      </w:r>
      <w:r w:rsidRPr="007C4BD4">
        <w:rPr>
          <w:rStyle w:val="FootnoteReference"/>
        </w:rPr>
        <w:footnoteRef/>
      </w:r>
      <w:r w:rsidRPr="00FE0534">
        <w:rPr>
          <w:lang w:val="en-GB"/>
        </w:rPr>
        <w:tab/>
        <w:t xml:space="preserve">All </w:t>
      </w:r>
      <w:r>
        <w:rPr>
          <w:lang w:val="en-GB"/>
        </w:rPr>
        <w:t>p</w:t>
      </w:r>
      <w:r w:rsidRPr="00FE0534">
        <w:rPr>
          <w:lang w:val="en-GB"/>
        </w:rPr>
        <w:t xml:space="preserve">ermanent </w:t>
      </w:r>
      <w:r>
        <w:rPr>
          <w:lang w:val="en-GB"/>
        </w:rPr>
        <w:t>m</w:t>
      </w:r>
      <w:r w:rsidRPr="00FE0534">
        <w:rPr>
          <w:lang w:val="en-GB"/>
        </w:rPr>
        <w:t xml:space="preserve">embers are bound by </w:t>
      </w:r>
      <w:r>
        <w:rPr>
          <w:lang w:val="en-GB"/>
        </w:rPr>
        <w:t>art. </w:t>
      </w:r>
      <w:proofErr w:type="gramStart"/>
      <w:r w:rsidRPr="00FE0534">
        <w:rPr>
          <w:lang w:val="en-GB"/>
        </w:rPr>
        <w:t>1 of the Convention</w:t>
      </w:r>
      <w:r>
        <w:rPr>
          <w:lang w:val="en-GB"/>
        </w:rPr>
        <w:t xml:space="preserve"> </w:t>
      </w:r>
      <w:r>
        <w:rPr>
          <w:rStyle w:val="admitted"/>
        </w:rPr>
        <w:t xml:space="preserve">on the Prevention and Punishment of the Crime of </w:t>
      </w:r>
      <w:r w:rsidRPr="001F6D60">
        <w:rPr>
          <w:rStyle w:val="Emphasis"/>
          <w:i w:val="0"/>
          <w:iCs w:val="0"/>
        </w:rPr>
        <w:t>Genocide</w:t>
      </w:r>
      <w:r w:rsidRPr="001F6D60">
        <w:rPr>
          <w:lang w:val="en-GB"/>
        </w:rPr>
        <w:t>.</w:t>
      </w:r>
      <w:proofErr w:type="gramEnd"/>
      <w:r w:rsidRPr="00FE0534">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6F" w:rsidRPr="00F55DCC" w:rsidRDefault="00722D6F">
    <w:pPr>
      <w:pStyle w:val="Header"/>
    </w:pPr>
    <w:r>
      <w:t>A/HRC/29/51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6F" w:rsidRPr="00F55DCC" w:rsidRDefault="00722D6F" w:rsidP="00F55DCC">
    <w:pPr>
      <w:pStyle w:val="Header"/>
      <w:jc w:val="right"/>
    </w:pPr>
    <w:r>
      <w:t>A/HRC/29/51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3A7E7B90"/>
    <w:lvl w:ilvl="0">
      <w:start w:val="9"/>
      <w:numFmt w:val="decimal"/>
      <w:lvlText w:val="%1."/>
      <w:lvlJc w:val="left"/>
      <w:pPr>
        <w:tabs>
          <w:tab w:val="num" w:pos="1778"/>
        </w:tabs>
        <w:ind w:left="1778"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B1FCB"/>
    <w:multiLevelType w:val="hybridMultilevel"/>
    <w:tmpl w:val="9000C988"/>
    <w:lvl w:ilvl="0" w:tplc="D44C218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E0020A3"/>
    <w:multiLevelType w:val="hybridMultilevel"/>
    <w:tmpl w:val="71ECF45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9E6EC5"/>
    <w:multiLevelType w:val="multilevel"/>
    <w:tmpl w:val="81EE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D80CD2"/>
    <w:multiLevelType w:val="hybridMultilevel"/>
    <w:tmpl w:val="D7428C3C"/>
    <w:lvl w:ilvl="0" w:tplc="810E81A2">
      <w:start w:val="1"/>
      <w:numFmt w:val="decimal"/>
      <w:lvlText w:val="%1."/>
      <w:lvlJc w:val="left"/>
      <w:pPr>
        <w:ind w:left="1689" w:hanging="555"/>
      </w:pPr>
      <w:rPr>
        <w:rFonts w:hint="default"/>
        <w:b w:val="0"/>
        <w:bCs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58A743C7"/>
    <w:multiLevelType w:val="hybridMultilevel"/>
    <w:tmpl w:val="D79048E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C651D7A"/>
    <w:multiLevelType w:val="hybridMultilevel"/>
    <w:tmpl w:val="8130A474"/>
    <w:lvl w:ilvl="0" w:tplc="64C2F5C0">
      <w:start w:val="1"/>
      <w:numFmt w:val="upp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7"/>
  </w:num>
  <w:num w:numId="2">
    <w:abstractNumId w:val="6"/>
  </w:num>
  <w:num w:numId="3">
    <w:abstractNumId w:val="12"/>
  </w:num>
  <w:num w:numId="4">
    <w:abstractNumId w:val="3"/>
  </w:num>
  <w:num w:numId="5">
    <w:abstractNumId w:val="1"/>
  </w:num>
  <w:num w:numId="6">
    <w:abstractNumId w:val="2"/>
  </w:num>
  <w:num w:numId="7">
    <w:abstractNumId w:val="11"/>
  </w:num>
  <w:num w:numId="8">
    <w:abstractNumId w:val="13"/>
  </w:num>
  <w:num w:numId="9">
    <w:abstractNumId w:val="5"/>
  </w:num>
  <w:num w:numId="10">
    <w:abstractNumId w:val="9"/>
  </w:num>
  <w:num w:numId="11">
    <w:abstractNumId w:val="0"/>
  </w:num>
  <w:num w:numId="12">
    <w:abstractNumId w:val="10"/>
  </w:num>
  <w:num w:numId="13">
    <w:abstractNumId w:val="4"/>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PH"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CC"/>
    <w:rsid w:val="00003B9D"/>
    <w:rsid w:val="00006269"/>
    <w:rsid w:val="00007F7F"/>
    <w:rsid w:val="00013ECE"/>
    <w:rsid w:val="00022DB5"/>
    <w:rsid w:val="00024D1F"/>
    <w:rsid w:val="0003086A"/>
    <w:rsid w:val="00031A69"/>
    <w:rsid w:val="00032C4E"/>
    <w:rsid w:val="00032C6D"/>
    <w:rsid w:val="0003632A"/>
    <w:rsid w:val="000403D1"/>
    <w:rsid w:val="000449AA"/>
    <w:rsid w:val="00046DA1"/>
    <w:rsid w:val="00050F6B"/>
    <w:rsid w:val="00051321"/>
    <w:rsid w:val="00053199"/>
    <w:rsid w:val="00053791"/>
    <w:rsid w:val="000625DD"/>
    <w:rsid w:val="000711F5"/>
    <w:rsid w:val="00072C8C"/>
    <w:rsid w:val="00073E70"/>
    <w:rsid w:val="00075B4D"/>
    <w:rsid w:val="00082338"/>
    <w:rsid w:val="000876EB"/>
    <w:rsid w:val="00091419"/>
    <w:rsid w:val="000931C0"/>
    <w:rsid w:val="000A04C0"/>
    <w:rsid w:val="000A23FE"/>
    <w:rsid w:val="000A5115"/>
    <w:rsid w:val="000B175B"/>
    <w:rsid w:val="000B3A0F"/>
    <w:rsid w:val="000B3B02"/>
    <w:rsid w:val="000B4A3B"/>
    <w:rsid w:val="000B5F9E"/>
    <w:rsid w:val="000C32E7"/>
    <w:rsid w:val="000D1851"/>
    <w:rsid w:val="000D31BA"/>
    <w:rsid w:val="000D5317"/>
    <w:rsid w:val="000E0415"/>
    <w:rsid w:val="001066C4"/>
    <w:rsid w:val="00113474"/>
    <w:rsid w:val="00116990"/>
    <w:rsid w:val="00121106"/>
    <w:rsid w:val="00122416"/>
    <w:rsid w:val="00122766"/>
    <w:rsid w:val="001258E9"/>
    <w:rsid w:val="001262C4"/>
    <w:rsid w:val="001408C9"/>
    <w:rsid w:val="00142609"/>
    <w:rsid w:val="00143E52"/>
    <w:rsid w:val="00144666"/>
    <w:rsid w:val="0014619B"/>
    <w:rsid w:val="00146D32"/>
    <w:rsid w:val="0015010D"/>
    <w:rsid w:val="001509BA"/>
    <w:rsid w:val="00155067"/>
    <w:rsid w:val="00161B51"/>
    <w:rsid w:val="00163226"/>
    <w:rsid w:val="00163C85"/>
    <w:rsid w:val="001660D7"/>
    <w:rsid w:val="00177CCA"/>
    <w:rsid w:val="00181F05"/>
    <w:rsid w:val="001826C8"/>
    <w:rsid w:val="00185B46"/>
    <w:rsid w:val="001905ED"/>
    <w:rsid w:val="00193676"/>
    <w:rsid w:val="00193A4D"/>
    <w:rsid w:val="001A61A3"/>
    <w:rsid w:val="001B4B04"/>
    <w:rsid w:val="001B75F4"/>
    <w:rsid w:val="001C0FCC"/>
    <w:rsid w:val="001C2474"/>
    <w:rsid w:val="001C4CB7"/>
    <w:rsid w:val="001C6663"/>
    <w:rsid w:val="001C6B81"/>
    <w:rsid w:val="001C7895"/>
    <w:rsid w:val="001D151E"/>
    <w:rsid w:val="001D26DF"/>
    <w:rsid w:val="001D3BCC"/>
    <w:rsid w:val="001D4B84"/>
    <w:rsid w:val="001D7EF4"/>
    <w:rsid w:val="001E2559"/>
    <w:rsid w:val="001E2790"/>
    <w:rsid w:val="001E318C"/>
    <w:rsid w:val="001E3511"/>
    <w:rsid w:val="001E648E"/>
    <w:rsid w:val="001F2DA3"/>
    <w:rsid w:val="001F2DD5"/>
    <w:rsid w:val="001F5053"/>
    <w:rsid w:val="001F5CC7"/>
    <w:rsid w:val="001F6D60"/>
    <w:rsid w:val="00207F46"/>
    <w:rsid w:val="00211E0B"/>
    <w:rsid w:val="00211E72"/>
    <w:rsid w:val="00214047"/>
    <w:rsid w:val="0022130F"/>
    <w:rsid w:val="002216DD"/>
    <w:rsid w:val="002329B1"/>
    <w:rsid w:val="00232D65"/>
    <w:rsid w:val="00232FF5"/>
    <w:rsid w:val="00237785"/>
    <w:rsid w:val="002410DD"/>
    <w:rsid w:val="00241466"/>
    <w:rsid w:val="00242493"/>
    <w:rsid w:val="00243994"/>
    <w:rsid w:val="00243C8E"/>
    <w:rsid w:val="00244C5A"/>
    <w:rsid w:val="00245720"/>
    <w:rsid w:val="002503BB"/>
    <w:rsid w:val="00252757"/>
    <w:rsid w:val="0025296A"/>
    <w:rsid w:val="00253D58"/>
    <w:rsid w:val="0025490E"/>
    <w:rsid w:val="00255F99"/>
    <w:rsid w:val="0025658F"/>
    <w:rsid w:val="00263299"/>
    <w:rsid w:val="00266478"/>
    <w:rsid w:val="00267A53"/>
    <w:rsid w:val="00270DA2"/>
    <w:rsid w:val="00271909"/>
    <w:rsid w:val="0027725F"/>
    <w:rsid w:val="00290A24"/>
    <w:rsid w:val="002970EE"/>
    <w:rsid w:val="002B3E10"/>
    <w:rsid w:val="002C21F0"/>
    <w:rsid w:val="002C75F4"/>
    <w:rsid w:val="002D207B"/>
    <w:rsid w:val="002D22CA"/>
    <w:rsid w:val="002D38F2"/>
    <w:rsid w:val="002E2233"/>
    <w:rsid w:val="002E5B30"/>
    <w:rsid w:val="002F63F2"/>
    <w:rsid w:val="003107FA"/>
    <w:rsid w:val="00311224"/>
    <w:rsid w:val="0031712E"/>
    <w:rsid w:val="00317977"/>
    <w:rsid w:val="00320C8E"/>
    <w:rsid w:val="003222E5"/>
    <w:rsid w:val="003229D8"/>
    <w:rsid w:val="003314D1"/>
    <w:rsid w:val="00335A2F"/>
    <w:rsid w:val="00341937"/>
    <w:rsid w:val="00344A68"/>
    <w:rsid w:val="003507D6"/>
    <w:rsid w:val="00352371"/>
    <w:rsid w:val="003542CA"/>
    <w:rsid w:val="00355F76"/>
    <w:rsid w:val="003625E7"/>
    <w:rsid w:val="00362D66"/>
    <w:rsid w:val="00362F4B"/>
    <w:rsid w:val="00365E5F"/>
    <w:rsid w:val="00381AC9"/>
    <w:rsid w:val="003822BA"/>
    <w:rsid w:val="00382970"/>
    <w:rsid w:val="00386A53"/>
    <w:rsid w:val="0039277A"/>
    <w:rsid w:val="00393C57"/>
    <w:rsid w:val="0039598B"/>
    <w:rsid w:val="003962F3"/>
    <w:rsid w:val="003972E0"/>
    <w:rsid w:val="003975ED"/>
    <w:rsid w:val="003A2CEB"/>
    <w:rsid w:val="003B0B9B"/>
    <w:rsid w:val="003B3245"/>
    <w:rsid w:val="003B5E7A"/>
    <w:rsid w:val="003B6D9C"/>
    <w:rsid w:val="003C0841"/>
    <w:rsid w:val="003C0E0F"/>
    <w:rsid w:val="003C1171"/>
    <w:rsid w:val="003C2CC4"/>
    <w:rsid w:val="003C3554"/>
    <w:rsid w:val="003C3C68"/>
    <w:rsid w:val="003D4B23"/>
    <w:rsid w:val="003D5A04"/>
    <w:rsid w:val="003D780C"/>
    <w:rsid w:val="003D7887"/>
    <w:rsid w:val="003E5971"/>
    <w:rsid w:val="003E5DCD"/>
    <w:rsid w:val="003E6298"/>
    <w:rsid w:val="003E685A"/>
    <w:rsid w:val="003F51A1"/>
    <w:rsid w:val="00401800"/>
    <w:rsid w:val="00406A2A"/>
    <w:rsid w:val="00414B8E"/>
    <w:rsid w:val="00417B10"/>
    <w:rsid w:val="004219C7"/>
    <w:rsid w:val="00424949"/>
    <w:rsid w:val="00424C80"/>
    <w:rsid w:val="004325CB"/>
    <w:rsid w:val="00435AD2"/>
    <w:rsid w:val="00440608"/>
    <w:rsid w:val="0044250A"/>
    <w:rsid w:val="0044503A"/>
    <w:rsid w:val="00445824"/>
    <w:rsid w:val="00446787"/>
    <w:rsid w:val="00446DE4"/>
    <w:rsid w:val="00447761"/>
    <w:rsid w:val="00450324"/>
    <w:rsid w:val="00451EC3"/>
    <w:rsid w:val="004561A6"/>
    <w:rsid w:val="00456AE2"/>
    <w:rsid w:val="0046188B"/>
    <w:rsid w:val="00466227"/>
    <w:rsid w:val="004709A8"/>
    <w:rsid w:val="004721B1"/>
    <w:rsid w:val="00472DAE"/>
    <w:rsid w:val="004746C5"/>
    <w:rsid w:val="0047585C"/>
    <w:rsid w:val="00476127"/>
    <w:rsid w:val="004764FD"/>
    <w:rsid w:val="004859EC"/>
    <w:rsid w:val="00496A15"/>
    <w:rsid w:val="00497E9A"/>
    <w:rsid w:val="004A1650"/>
    <w:rsid w:val="004B2F69"/>
    <w:rsid w:val="004B5482"/>
    <w:rsid w:val="004B75D2"/>
    <w:rsid w:val="004C0A39"/>
    <w:rsid w:val="004C10E6"/>
    <w:rsid w:val="004C3BD4"/>
    <w:rsid w:val="004C7F0E"/>
    <w:rsid w:val="004D1140"/>
    <w:rsid w:val="004D3F0D"/>
    <w:rsid w:val="004D41AA"/>
    <w:rsid w:val="004D6828"/>
    <w:rsid w:val="004E5A9B"/>
    <w:rsid w:val="004F035A"/>
    <w:rsid w:val="004F55ED"/>
    <w:rsid w:val="004F63D1"/>
    <w:rsid w:val="004F7A5C"/>
    <w:rsid w:val="00505A6A"/>
    <w:rsid w:val="005146A7"/>
    <w:rsid w:val="00517A60"/>
    <w:rsid w:val="0052176C"/>
    <w:rsid w:val="00522624"/>
    <w:rsid w:val="005226D6"/>
    <w:rsid w:val="005247EA"/>
    <w:rsid w:val="005261E5"/>
    <w:rsid w:val="005275BA"/>
    <w:rsid w:val="00532CBE"/>
    <w:rsid w:val="005363AE"/>
    <w:rsid w:val="005371D5"/>
    <w:rsid w:val="005420F2"/>
    <w:rsid w:val="00542574"/>
    <w:rsid w:val="005436AB"/>
    <w:rsid w:val="00546DBF"/>
    <w:rsid w:val="00553D76"/>
    <w:rsid w:val="005552B5"/>
    <w:rsid w:val="00557E97"/>
    <w:rsid w:val="0056117B"/>
    <w:rsid w:val="00562BBA"/>
    <w:rsid w:val="00571365"/>
    <w:rsid w:val="0057378F"/>
    <w:rsid w:val="00574C3B"/>
    <w:rsid w:val="00584002"/>
    <w:rsid w:val="00585C44"/>
    <w:rsid w:val="00587707"/>
    <w:rsid w:val="0059558F"/>
    <w:rsid w:val="00596201"/>
    <w:rsid w:val="005A1EA6"/>
    <w:rsid w:val="005A34CD"/>
    <w:rsid w:val="005A3D4C"/>
    <w:rsid w:val="005A5DD7"/>
    <w:rsid w:val="005B3DB3"/>
    <w:rsid w:val="005B4B6B"/>
    <w:rsid w:val="005B4D27"/>
    <w:rsid w:val="005B57C2"/>
    <w:rsid w:val="005B6E48"/>
    <w:rsid w:val="005C09E6"/>
    <w:rsid w:val="005C3701"/>
    <w:rsid w:val="005D2683"/>
    <w:rsid w:val="005D771A"/>
    <w:rsid w:val="005E1712"/>
    <w:rsid w:val="005E6717"/>
    <w:rsid w:val="005E6DBB"/>
    <w:rsid w:val="005F3B17"/>
    <w:rsid w:val="005F545A"/>
    <w:rsid w:val="005F5F4F"/>
    <w:rsid w:val="006110D5"/>
    <w:rsid w:val="00611FC4"/>
    <w:rsid w:val="006121D6"/>
    <w:rsid w:val="00614ECA"/>
    <w:rsid w:val="006176FB"/>
    <w:rsid w:val="006200E3"/>
    <w:rsid w:val="006214D1"/>
    <w:rsid w:val="00623BAE"/>
    <w:rsid w:val="006261FD"/>
    <w:rsid w:val="00633DE4"/>
    <w:rsid w:val="00634545"/>
    <w:rsid w:val="00635FFD"/>
    <w:rsid w:val="00640B26"/>
    <w:rsid w:val="00644A3D"/>
    <w:rsid w:val="0064525B"/>
    <w:rsid w:val="00652825"/>
    <w:rsid w:val="00652C32"/>
    <w:rsid w:val="00655AF8"/>
    <w:rsid w:val="00655B00"/>
    <w:rsid w:val="006644D3"/>
    <w:rsid w:val="00664941"/>
    <w:rsid w:val="00667166"/>
    <w:rsid w:val="00670741"/>
    <w:rsid w:val="00672F68"/>
    <w:rsid w:val="00675589"/>
    <w:rsid w:val="0068349C"/>
    <w:rsid w:val="00684B37"/>
    <w:rsid w:val="006935C3"/>
    <w:rsid w:val="00696BD6"/>
    <w:rsid w:val="006A2BED"/>
    <w:rsid w:val="006A6B9D"/>
    <w:rsid w:val="006A7392"/>
    <w:rsid w:val="006B3189"/>
    <w:rsid w:val="006B5260"/>
    <w:rsid w:val="006B7D65"/>
    <w:rsid w:val="006C080D"/>
    <w:rsid w:val="006C30FB"/>
    <w:rsid w:val="006C6DFF"/>
    <w:rsid w:val="006D6DA6"/>
    <w:rsid w:val="006E244E"/>
    <w:rsid w:val="006E4585"/>
    <w:rsid w:val="006E564B"/>
    <w:rsid w:val="006F03F8"/>
    <w:rsid w:val="006F13F0"/>
    <w:rsid w:val="006F2E6C"/>
    <w:rsid w:val="006F5035"/>
    <w:rsid w:val="007004A6"/>
    <w:rsid w:val="007065EB"/>
    <w:rsid w:val="0070668E"/>
    <w:rsid w:val="00706ABB"/>
    <w:rsid w:val="0071016D"/>
    <w:rsid w:val="007117E8"/>
    <w:rsid w:val="00711C48"/>
    <w:rsid w:val="0071375D"/>
    <w:rsid w:val="00720183"/>
    <w:rsid w:val="00722D6F"/>
    <w:rsid w:val="007230BA"/>
    <w:rsid w:val="0072632A"/>
    <w:rsid w:val="00726475"/>
    <w:rsid w:val="0072751B"/>
    <w:rsid w:val="007307D9"/>
    <w:rsid w:val="0074200B"/>
    <w:rsid w:val="00746312"/>
    <w:rsid w:val="00746B2A"/>
    <w:rsid w:val="007513F9"/>
    <w:rsid w:val="00751ABA"/>
    <w:rsid w:val="00754EB4"/>
    <w:rsid w:val="00755616"/>
    <w:rsid w:val="00756233"/>
    <w:rsid w:val="00756C22"/>
    <w:rsid w:val="00764A7E"/>
    <w:rsid w:val="007679FB"/>
    <w:rsid w:val="00780AE2"/>
    <w:rsid w:val="00787146"/>
    <w:rsid w:val="0079099C"/>
    <w:rsid w:val="00792789"/>
    <w:rsid w:val="007A6296"/>
    <w:rsid w:val="007A78ED"/>
    <w:rsid w:val="007B520B"/>
    <w:rsid w:val="007B557B"/>
    <w:rsid w:val="007B6BA5"/>
    <w:rsid w:val="007B7D42"/>
    <w:rsid w:val="007C1B62"/>
    <w:rsid w:val="007C25CE"/>
    <w:rsid w:val="007C3390"/>
    <w:rsid w:val="007C49B0"/>
    <w:rsid w:val="007C4BD4"/>
    <w:rsid w:val="007C4F4B"/>
    <w:rsid w:val="007D16D1"/>
    <w:rsid w:val="007D2CDC"/>
    <w:rsid w:val="007D3155"/>
    <w:rsid w:val="007D5327"/>
    <w:rsid w:val="007E5951"/>
    <w:rsid w:val="007F547B"/>
    <w:rsid w:val="007F5B5E"/>
    <w:rsid w:val="007F6611"/>
    <w:rsid w:val="00802425"/>
    <w:rsid w:val="0080390E"/>
    <w:rsid w:val="008068B1"/>
    <w:rsid w:val="00812DA8"/>
    <w:rsid w:val="00812FA4"/>
    <w:rsid w:val="008155C3"/>
    <w:rsid w:val="008175E9"/>
    <w:rsid w:val="0082163E"/>
    <w:rsid w:val="008223DB"/>
    <w:rsid w:val="0082243E"/>
    <w:rsid w:val="008242D7"/>
    <w:rsid w:val="00836081"/>
    <w:rsid w:val="00836C49"/>
    <w:rsid w:val="00837CEE"/>
    <w:rsid w:val="008454D4"/>
    <w:rsid w:val="00845603"/>
    <w:rsid w:val="00847D87"/>
    <w:rsid w:val="00850232"/>
    <w:rsid w:val="00850960"/>
    <w:rsid w:val="0085161F"/>
    <w:rsid w:val="00851B5B"/>
    <w:rsid w:val="00855A3D"/>
    <w:rsid w:val="00856CD2"/>
    <w:rsid w:val="00861BC6"/>
    <w:rsid w:val="00870146"/>
    <w:rsid w:val="008703C2"/>
    <w:rsid w:val="00871FD5"/>
    <w:rsid w:val="00872FC0"/>
    <w:rsid w:val="0087676D"/>
    <w:rsid w:val="0088311A"/>
    <w:rsid w:val="00890C85"/>
    <w:rsid w:val="00890F1E"/>
    <w:rsid w:val="00895B21"/>
    <w:rsid w:val="00895CCB"/>
    <w:rsid w:val="008979B1"/>
    <w:rsid w:val="008A3D3E"/>
    <w:rsid w:val="008A4539"/>
    <w:rsid w:val="008A6B25"/>
    <w:rsid w:val="008A6C4F"/>
    <w:rsid w:val="008C1D12"/>
    <w:rsid w:val="008C1E4D"/>
    <w:rsid w:val="008C2FF2"/>
    <w:rsid w:val="008C3FDF"/>
    <w:rsid w:val="008D0F59"/>
    <w:rsid w:val="008D13CF"/>
    <w:rsid w:val="008D7895"/>
    <w:rsid w:val="008E0E46"/>
    <w:rsid w:val="008E1155"/>
    <w:rsid w:val="008E1FD9"/>
    <w:rsid w:val="008E54BF"/>
    <w:rsid w:val="008F1C83"/>
    <w:rsid w:val="008F6624"/>
    <w:rsid w:val="008F7768"/>
    <w:rsid w:val="00903381"/>
    <w:rsid w:val="0090452C"/>
    <w:rsid w:val="00904971"/>
    <w:rsid w:val="00905997"/>
    <w:rsid w:val="00907C3F"/>
    <w:rsid w:val="0091248F"/>
    <w:rsid w:val="00920DC1"/>
    <w:rsid w:val="0092237C"/>
    <w:rsid w:val="00922F7A"/>
    <w:rsid w:val="0092397F"/>
    <w:rsid w:val="0093024D"/>
    <w:rsid w:val="00930560"/>
    <w:rsid w:val="0093707B"/>
    <w:rsid w:val="009400EB"/>
    <w:rsid w:val="009427E3"/>
    <w:rsid w:val="009530F1"/>
    <w:rsid w:val="00956D9B"/>
    <w:rsid w:val="00960B51"/>
    <w:rsid w:val="00963CBA"/>
    <w:rsid w:val="009654B7"/>
    <w:rsid w:val="00971D4F"/>
    <w:rsid w:val="00991261"/>
    <w:rsid w:val="009A0AFA"/>
    <w:rsid w:val="009A0B83"/>
    <w:rsid w:val="009A1659"/>
    <w:rsid w:val="009A4848"/>
    <w:rsid w:val="009A73CC"/>
    <w:rsid w:val="009B3800"/>
    <w:rsid w:val="009B3B61"/>
    <w:rsid w:val="009C547C"/>
    <w:rsid w:val="009C7DD6"/>
    <w:rsid w:val="009D22AC"/>
    <w:rsid w:val="009D3206"/>
    <w:rsid w:val="009D50DB"/>
    <w:rsid w:val="009E03D2"/>
    <w:rsid w:val="009E1C2A"/>
    <w:rsid w:val="009E1C4E"/>
    <w:rsid w:val="009E1F3C"/>
    <w:rsid w:val="009E3D70"/>
    <w:rsid w:val="009E7082"/>
    <w:rsid w:val="009E7A50"/>
    <w:rsid w:val="009F18FB"/>
    <w:rsid w:val="009F743D"/>
    <w:rsid w:val="00A002EC"/>
    <w:rsid w:val="00A01194"/>
    <w:rsid w:val="00A05E0B"/>
    <w:rsid w:val="00A06A21"/>
    <w:rsid w:val="00A101C7"/>
    <w:rsid w:val="00A1427D"/>
    <w:rsid w:val="00A16069"/>
    <w:rsid w:val="00A1790B"/>
    <w:rsid w:val="00A2105C"/>
    <w:rsid w:val="00A2227B"/>
    <w:rsid w:val="00A26ED3"/>
    <w:rsid w:val="00A31B02"/>
    <w:rsid w:val="00A43482"/>
    <w:rsid w:val="00A43731"/>
    <w:rsid w:val="00A4634F"/>
    <w:rsid w:val="00A51CF3"/>
    <w:rsid w:val="00A6124E"/>
    <w:rsid w:val="00A63B3D"/>
    <w:rsid w:val="00A643BB"/>
    <w:rsid w:val="00A72F22"/>
    <w:rsid w:val="00A748A6"/>
    <w:rsid w:val="00A75A85"/>
    <w:rsid w:val="00A8586B"/>
    <w:rsid w:val="00A879A4"/>
    <w:rsid w:val="00A87E95"/>
    <w:rsid w:val="00A90F01"/>
    <w:rsid w:val="00A92E29"/>
    <w:rsid w:val="00A92E72"/>
    <w:rsid w:val="00A96403"/>
    <w:rsid w:val="00AA23EB"/>
    <w:rsid w:val="00AA3119"/>
    <w:rsid w:val="00AB2073"/>
    <w:rsid w:val="00AC2878"/>
    <w:rsid w:val="00AC617B"/>
    <w:rsid w:val="00AD09E9"/>
    <w:rsid w:val="00AE6BB3"/>
    <w:rsid w:val="00AE7F6A"/>
    <w:rsid w:val="00AE7FB5"/>
    <w:rsid w:val="00AF0576"/>
    <w:rsid w:val="00AF21C1"/>
    <w:rsid w:val="00AF3829"/>
    <w:rsid w:val="00B01DE8"/>
    <w:rsid w:val="00B037F0"/>
    <w:rsid w:val="00B13B65"/>
    <w:rsid w:val="00B13E76"/>
    <w:rsid w:val="00B157E8"/>
    <w:rsid w:val="00B158D2"/>
    <w:rsid w:val="00B1663B"/>
    <w:rsid w:val="00B17B9E"/>
    <w:rsid w:val="00B2327D"/>
    <w:rsid w:val="00B264CB"/>
    <w:rsid w:val="00B26E55"/>
    <w:rsid w:val="00B2718F"/>
    <w:rsid w:val="00B30179"/>
    <w:rsid w:val="00B3317B"/>
    <w:rsid w:val="00B334DC"/>
    <w:rsid w:val="00B3631A"/>
    <w:rsid w:val="00B53012"/>
    <w:rsid w:val="00B53013"/>
    <w:rsid w:val="00B549D6"/>
    <w:rsid w:val="00B57855"/>
    <w:rsid w:val="00B64E31"/>
    <w:rsid w:val="00B67F5E"/>
    <w:rsid w:val="00B73E65"/>
    <w:rsid w:val="00B745A3"/>
    <w:rsid w:val="00B76F07"/>
    <w:rsid w:val="00B77040"/>
    <w:rsid w:val="00B8153C"/>
    <w:rsid w:val="00B819C2"/>
    <w:rsid w:val="00B81E12"/>
    <w:rsid w:val="00B8279F"/>
    <w:rsid w:val="00B8492E"/>
    <w:rsid w:val="00B867BA"/>
    <w:rsid w:val="00B86D4C"/>
    <w:rsid w:val="00B87110"/>
    <w:rsid w:val="00B940E0"/>
    <w:rsid w:val="00B955C7"/>
    <w:rsid w:val="00B97FA8"/>
    <w:rsid w:val="00BA1B85"/>
    <w:rsid w:val="00BA7D42"/>
    <w:rsid w:val="00BB0604"/>
    <w:rsid w:val="00BB14B7"/>
    <w:rsid w:val="00BB40A1"/>
    <w:rsid w:val="00BC1385"/>
    <w:rsid w:val="00BC4BB5"/>
    <w:rsid w:val="00BC74E9"/>
    <w:rsid w:val="00BC7EB6"/>
    <w:rsid w:val="00BD6CF5"/>
    <w:rsid w:val="00BE351F"/>
    <w:rsid w:val="00BE618E"/>
    <w:rsid w:val="00BF104D"/>
    <w:rsid w:val="00BF18E0"/>
    <w:rsid w:val="00BF7FBF"/>
    <w:rsid w:val="00C05CD1"/>
    <w:rsid w:val="00C065AA"/>
    <w:rsid w:val="00C20CC3"/>
    <w:rsid w:val="00C24693"/>
    <w:rsid w:val="00C35CAE"/>
    <w:rsid w:val="00C35F0B"/>
    <w:rsid w:val="00C36470"/>
    <w:rsid w:val="00C4012F"/>
    <w:rsid w:val="00C463DD"/>
    <w:rsid w:val="00C47D39"/>
    <w:rsid w:val="00C64458"/>
    <w:rsid w:val="00C6469A"/>
    <w:rsid w:val="00C64C87"/>
    <w:rsid w:val="00C671E4"/>
    <w:rsid w:val="00C704BB"/>
    <w:rsid w:val="00C745C3"/>
    <w:rsid w:val="00C8125F"/>
    <w:rsid w:val="00C87E84"/>
    <w:rsid w:val="00C91B83"/>
    <w:rsid w:val="00CA2A58"/>
    <w:rsid w:val="00CA3455"/>
    <w:rsid w:val="00CA5BFB"/>
    <w:rsid w:val="00CB2548"/>
    <w:rsid w:val="00CB6305"/>
    <w:rsid w:val="00CB6B7D"/>
    <w:rsid w:val="00CB739C"/>
    <w:rsid w:val="00CC0B55"/>
    <w:rsid w:val="00CD4FF4"/>
    <w:rsid w:val="00CD6995"/>
    <w:rsid w:val="00CE4A8F"/>
    <w:rsid w:val="00CF0214"/>
    <w:rsid w:val="00CF0845"/>
    <w:rsid w:val="00CF586F"/>
    <w:rsid w:val="00CF7D43"/>
    <w:rsid w:val="00D045B4"/>
    <w:rsid w:val="00D11129"/>
    <w:rsid w:val="00D13BA8"/>
    <w:rsid w:val="00D14FED"/>
    <w:rsid w:val="00D2031B"/>
    <w:rsid w:val="00D22332"/>
    <w:rsid w:val="00D226FD"/>
    <w:rsid w:val="00D24727"/>
    <w:rsid w:val="00D25FE2"/>
    <w:rsid w:val="00D26BB4"/>
    <w:rsid w:val="00D31B6B"/>
    <w:rsid w:val="00D36029"/>
    <w:rsid w:val="00D366EC"/>
    <w:rsid w:val="00D36CEC"/>
    <w:rsid w:val="00D37A28"/>
    <w:rsid w:val="00D43252"/>
    <w:rsid w:val="00D437CF"/>
    <w:rsid w:val="00D45AF8"/>
    <w:rsid w:val="00D4707E"/>
    <w:rsid w:val="00D47583"/>
    <w:rsid w:val="00D47BBC"/>
    <w:rsid w:val="00D53B44"/>
    <w:rsid w:val="00D550F9"/>
    <w:rsid w:val="00D572B0"/>
    <w:rsid w:val="00D626EA"/>
    <w:rsid w:val="00D62E90"/>
    <w:rsid w:val="00D64D36"/>
    <w:rsid w:val="00D6504A"/>
    <w:rsid w:val="00D653D4"/>
    <w:rsid w:val="00D735AA"/>
    <w:rsid w:val="00D76BE5"/>
    <w:rsid w:val="00D85ACD"/>
    <w:rsid w:val="00D937B3"/>
    <w:rsid w:val="00D96B3C"/>
    <w:rsid w:val="00D978C6"/>
    <w:rsid w:val="00DA539B"/>
    <w:rsid w:val="00DA634C"/>
    <w:rsid w:val="00DA67AD"/>
    <w:rsid w:val="00DB00CB"/>
    <w:rsid w:val="00DB18CE"/>
    <w:rsid w:val="00DB66B3"/>
    <w:rsid w:val="00DB6C62"/>
    <w:rsid w:val="00DC1434"/>
    <w:rsid w:val="00DC3F08"/>
    <w:rsid w:val="00DD102D"/>
    <w:rsid w:val="00DD583C"/>
    <w:rsid w:val="00DE1ECF"/>
    <w:rsid w:val="00DE30AB"/>
    <w:rsid w:val="00DE3EC0"/>
    <w:rsid w:val="00DE69CC"/>
    <w:rsid w:val="00DE79FF"/>
    <w:rsid w:val="00DF19B4"/>
    <w:rsid w:val="00E0270D"/>
    <w:rsid w:val="00E0763C"/>
    <w:rsid w:val="00E11593"/>
    <w:rsid w:val="00E12B6B"/>
    <w:rsid w:val="00E12C2A"/>
    <w:rsid w:val="00E12E56"/>
    <w:rsid w:val="00E130AB"/>
    <w:rsid w:val="00E258E2"/>
    <w:rsid w:val="00E261A5"/>
    <w:rsid w:val="00E3494C"/>
    <w:rsid w:val="00E36C1B"/>
    <w:rsid w:val="00E438D9"/>
    <w:rsid w:val="00E451B7"/>
    <w:rsid w:val="00E46F7E"/>
    <w:rsid w:val="00E5392A"/>
    <w:rsid w:val="00E5644E"/>
    <w:rsid w:val="00E56EC8"/>
    <w:rsid w:val="00E602FA"/>
    <w:rsid w:val="00E61CE9"/>
    <w:rsid w:val="00E63246"/>
    <w:rsid w:val="00E6735A"/>
    <w:rsid w:val="00E706DF"/>
    <w:rsid w:val="00E71CB6"/>
    <w:rsid w:val="00E7260F"/>
    <w:rsid w:val="00E806EE"/>
    <w:rsid w:val="00E81615"/>
    <w:rsid w:val="00E96630"/>
    <w:rsid w:val="00EA0DD8"/>
    <w:rsid w:val="00EA36B3"/>
    <w:rsid w:val="00EA3920"/>
    <w:rsid w:val="00EA5D67"/>
    <w:rsid w:val="00EA7A42"/>
    <w:rsid w:val="00EB0FB9"/>
    <w:rsid w:val="00EB2C69"/>
    <w:rsid w:val="00EB3004"/>
    <w:rsid w:val="00EB326F"/>
    <w:rsid w:val="00EC0D49"/>
    <w:rsid w:val="00EC60F4"/>
    <w:rsid w:val="00ED094A"/>
    <w:rsid w:val="00ED0CA9"/>
    <w:rsid w:val="00ED2850"/>
    <w:rsid w:val="00ED3C14"/>
    <w:rsid w:val="00ED7A2A"/>
    <w:rsid w:val="00EE5DEF"/>
    <w:rsid w:val="00EF1D7F"/>
    <w:rsid w:val="00EF4003"/>
    <w:rsid w:val="00EF534F"/>
    <w:rsid w:val="00EF5BDB"/>
    <w:rsid w:val="00F04437"/>
    <w:rsid w:val="00F07989"/>
    <w:rsid w:val="00F07FD9"/>
    <w:rsid w:val="00F1384A"/>
    <w:rsid w:val="00F158B7"/>
    <w:rsid w:val="00F21E33"/>
    <w:rsid w:val="00F23933"/>
    <w:rsid w:val="00F24119"/>
    <w:rsid w:val="00F25A8A"/>
    <w:rsid w:val="00F3150D"/>
    <w:rsid w:val="00F343A4"/>
    <w:rsid w:val="00F40E75"/>
    <w:rsid w:val="00F42CD9"/>
    <w:rsid w:val="00F43736"/>
    <w:rsid w:val="00F4525D"/>
    <w:rsid w:val="00F52936"/>
    <w:rsid w:val="00F55DCC"/>
    <w:rsid w:val="00F6728F"/>
    <w:rsid w:val="00F677CB"/>
    <w:rsid w:val="00F67A55"/>
    <w:rsid w:val="00F703AF"/>
    <w:rsid w:val="00F73B91"/>
    <w:rsid w:val="00F774AC"/>
    <w:rsid w:val="00F81D6B"/>
    <w:rsid w:val="00F84E49"/>
    <w:rsid w:val="00F8508B"/>
    <w:rsid w:val="00F85D4A"/>
    <w:rsid w:val="00F87430"/>
    <w:rsid w:val="00F9506F"/>
    <w:rsid w:val="00FA7DF3"/>
    <w:rsid w:val="00FC68B7"/>
    <w:rsid w:val="00FD1185"/>
    <w:rsid w:val="00FD1243"/>
    <w:rsid w:val="00FD3C3B"/>
    <w:rsid w:val="00FD517B"/>
    <w:rsid w:val="00FD7C12"/>
    <w:rsid w:val="00FE0534"/>
    <w:rsid w:val="00FE177A"/>
    <w:rsid w:val="00FE4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DE1ECF"/>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DE1EC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F55DCC"/>
    <w:rPr>
      <w:rFonts w:eastAsia="SimSun"/>
      <w:sz w:val="18"/>
    </w:rPr>
  </w:style>
  <w:style w:type="paragraph" w:styleId="BalloonText">
    <w:name w:val="Balloon Text"/>
    <w:basedOn w:val="Normal"/>
    <w:link w:val="BalloonTextChar"/>
    <w:rsid w:val="00AC617B"/>
    <w:pPr>
      <w:spacing w:line="240" w:lineRule="auto"/>
    </w:pPr>
    <w:rPr>
      <w:rFonts w:ascii="Tahoma" w:hAnsi="Tahoma"/>
      <w:sz w:val="16"/>
      <w:szCs w:val="16"/>
      <w:lang w:val="x-none"/>
    </w:rPr>
  </w:style>
  <w:style w:type="character" w:customStyle="1" w:styleId="BalloonTextChar">
    <w:name w:val="Balloon Text Char"/>
    <w:link w:val="BalloonText"/>
    <w:rsid w:val="00AC617B"/>
    <w:rPr>
      <w:rFonts w:ascii="Tahoma" w:hAnsi="Tahoma" w:cs="Tahoma"/>
      <w:sz w:val="16"/>
      <w:szCs w:val="16"/>
      <w:lang w:eastAsia="en-US"/>
    </w:rPr>
  </w:style>
  <w:style w:type="character" w:styleId="CommentReference">
    <w:name w:val="annotation reference"/>
    <w:rsid w:val="00F87430"/>
    <w:rPr>
      <w:sz w:val="16"/>
      <w:szCs w:val="16"/>
    </w:rPr>
  </w:style>
  <w:style w:type="paragraph" w:styleId="CommentText">
    <w:name w:val="annotation text"/>
    <w:basedOn w:val="Normal"/>
    <w:link w:val="CommentTextChar"/>
    <w:rsid w:val="00F87430"/>
  </w:style>
  <w:style w:type="character" w:customStyle="1" w:styleId="CommentTextChar">
    <w:name w:val="Comment Text Char"/>
    <w:link w:val="CommentText"/>
    <w:rsid w:val="00F87430"/>
    <w:rPr>
      <w:lang w:val="en-GB" w:eastAsia="en-US"/>
    </w:rPr>
  </w:style>
  <w:style w:type="paragraph" w:styleId="CommentSubject">
    <w:name w:val="annotation subject"/>
    <w:basedOn w:val="CommentText"/>
    <w:next w:val="CommentText"/>
    <w:link w:val="CommentSubjectChar"/>
    <w:rsid w:val="00F87430"/>
    <w:rPr>
      <w:b/>
      <w:bCs/>
    </w:rPr>
  </w:style>
  <w:style w:type="character" w:customStyle="1" w:styleId="CommentSubjectChar">
    <w:name w:val="Comment Subject Char"/>
    <w:link w:val="CommentSubject"/>
    <w:rsid w:val="00F87430"/>
    <w:rPr>
      <w:b/>
      <w:bCs/>
      <w:lang w:val="en-GB" w:eastAsia="en-US"/>
    </w:rPr>
  </w:style>
  <w:style w:type="paragraph" w:styleId="Revision">
    <w:name w:val="Revision"/>
    <w:hidden/>
    <w:uiPriority w:val="99"/>
    <w:semiHidden/>
    <w:rsid w:val="00F87430"/>
    <w:rPr>
      <w:lang w:eastAsia="en-US"/>
    </w:rPr>
  </w:style>
  <w:style w:type="character" w:customStyle="1" w:styleId="FootnoteCharacters">
    <w:name w:val="Footnote Characters"/>
    <w:rsid w:val="00FE0534"/>
    <w:rPr>
      <w:rFonts w:ascii="Times New Roman" w:hAnsi="Times New Roman" w:cs="Times New Roman"/>
      <w:sz w:val="18"/>
      <w:vertAlign w:val="superscript"/>
    </w:rPr>
  </w:style>
  <w:style w:type="character" w:customStyle="1" w:styleId="FootnoteReference1">
    <w:name w:val="Footnote Reference1"/>
    <w:rsid w:val="00FE0534"/>
    <w:rPr>
      <w:vertAlign w:val="superscript"/>
    </w:rPr>
  </w:style>
  <w:style w:type="character" w:customStyle="1" w:styleId="normal1">
    <w:name w:val="normal1"/>
    <w:basedOn w:val="DefaultParagraphFont"/>
    <w:rsid w:val="00FE0534"/>
  </w:style>
  <w:style w:type="character" w:customStyle="1" w:styleId="ms-formfieldlabel">
    <w:name w:val="ms-formfieldlabel"/>
    <w:basedOn w:val="DefaultParagraphFont"/>
    <w:rsid w:val="00FE0534"/>
  </w:style>
  <w:style w:type="character" w:customStyle="1" w:styleId="intro">
    <w:name w:val="intro"/>
    <w:basedOn w:val="DefaultParagraphFont"/>
    <w:rsid w:val="00FE0534"/>
  </w:style>
  <w:style w:type="paragraph" w:styleId="NormalWeb">
    <w:name w:val="Normal (Web)"/>
    <w:basedOn w:val="Normal"/>
    <w:rsid w:val="00FE0534"/>
    <w:pPr>
      <w:suppressAutoHyphens w:val="0"/>
      <w:spacing w:before="280" w:after="280" w:line="240" w:lineRule="auto"/>
    </w:pPr>
    <w:rPr>
      <w:rFonts w:eastAsia="SimSun"/>
      <w:sz w:val="24"/>
      <w:szCs w:val="24"/>
      <w:lang w:val="en-US" w:eastAsia="ar-SA"/>
    </w:rPr>
  </w:style>
  <w:style w:type="paragraph" w:customStyle="1" w:styleId="SingleTxt">
    <w:name w:val="__Single Txt"/>
    <w:basedOn w:val="Normal"/>
    <w:rsid w:val="00FE05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
      <w:lang w:eastAsia="ar-SA"/>
    </w:rPr>
  </w:style>
  <w:style w:type="paragraph" w:styleId="ListParagraph">
    <w:name w:val="List Paragraph"/>
    <w:basedOn w:val="Normal"/>
    <w:qFormat/>
    <w:rsid w:val="00FE0534"/>
    <w:pPr>
      <w:ind w:left="720"/>
    </w:pPr>
    <w:rPr>
      <w:lang w:eastAsia="ar-SA"/>
    </w:rPr>
  </w:style>
  <w:style w:type="paragraph" w:customStyle="1" w:styleId="FootnoteText1">
    <w:name w:val="Footnote Text1"/>
    <w:basedOn w:val="Normal"/>
    <w:rsid w:val="00FE0534"/>
    <w:rPr>
      <w:lang w:eastAsia="ar-SA"/>
    </w:rPr>
  </w:style>
  <w:style w:type="character" w:customStyle="1" w:styleId="preferred">
    <w:name w:val="preferred"/>
    <w:rsid w:val="00B86D4C"/>
  </w:style>
  <w:style w:type="character" w:styleId="Emphasis">
    <w:name w:val="Emphasis"/>
    <w:uiPriority w:val="20"/>
    <w:qFormat/>
    <w:rsid w:val="006A2BED"/>
    <w:rPr>
      <w:i/>
      <w:iCs/>
    </w:rPr>
  </w:style>
  <w:style w:type="character" w:customStyle="1" w:styleId="admitted">
    <w:name w:val="admitted"/>
    <w:rsid w:val="001F6D60"/>
  </w:style>
  <w:style w:type="character" w:styleId="Strong">
    <w:name w:val="Strong"/>
    <w:uiPriority w:val="22"/>
    <w:qFormat/>
    <w:rsid w:val="00024D1F"/>
    <w:rPr>
      <w:b/>
      <w:bCs/>
    </w:rPr>
  </w:style>
  <w:style w:type="character" w:customStyle="1" w:styleId="style14">
    <w:name w:val="style14"/>
    <w:rsid w:val="00024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DE1ECF"/>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DE1EC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F55DCC"/>
    <w:rPr>
      <w:rFonts w:eastAsia="SimSun"/>
      <w:sz w:val="18"/>
    </w:rPr>
  </w:style>
  <w:style w:type="paragraph" w:styleId="BalloonText">
    <w:name w:val="Balloon Text"/>
    <w:basedOn w:val="Normal"/>
    <w:link w:val="BalloonTextChar"/>
    <w:rsid w:val="00AC617B"/>
    <w:pPr>
      <w:spacing w:line="240" w:lineRule="auto"/>
    </w:pPr>
    <w:rPr>
      <w:rFonts w:ascii="Tahoma" w:hAnsi="Tahoma"/>
      <w:sz w:val="16"/>
      <w:szCs w:val="16"/>
      <w:lang w:val="x-none"/>
    </w:rPr>
  </w:style>
  <w:style w:type="character" w:customStyle="1" w:styleId="BalloonTextChar">
    <w:name w:val="Balloon Text Char"/>
    <w:link w:val="BalloonText"/>
    <w:rsid w:val="00AC617B"/>
    <w:rPr>
      <w:rFonts w:ascii="Tahoma" w:hAnsi="Tahoma" w:cs="Tahoma"/>
      <w:sz w:val="16"/>
      <w:szCs w:val="16"/>
      <w:lang w:eastAsia="en-US"/>
    </w:rPr>
  </w:style>
  <w:style w:type="character" w:styleId="CommentReference">
    <w:name w:val="annotation reference"/>
    <w:rsid w:val="00F87430"/>
    <w:rPr>
      <w:sz w:val="16"/>
      <w:szCs w:val="16"/>
    </w:rPr>
  </w:style>
  <w:style w:type="paragraph" w:styleId="CommentText">
    <w:name w:val="annotation text"/>
    <w:basedOn w:val="Normal"/>
    <w:link w:val="CommentTextChar"/>
    <w:rsid w:val="00F87430"/>
  </w:style>
  <w:style w:type="character" w:customStyle="1" w:styleId="CommentTextChar">
    <w:name w:val="Comment Text Char"/>
    <w:link w:val="CommentText"/>
    <w:rsid w:val="00F87430"/>
    <w:rPr>
      <w:lang w:val="en-GB" w:eastAsia="en-US"/>
    </w:rPr>
  </w:style>
  <w:style w:type="paragraph" w:styleId="CommentSubject">
    <w:name w:val="annotation subject"/>
    <w:basedOn w:val="CommentText"/>
    <w:next w:val="CommentText"/>
    <w:link w:val="CommentSubjectChar"/>
    <w:rsid w:val="00F87430"/>
    <w:rPr>
      <w:b/>
      <w:bCs/>
    </w:rPr>
  </w:style>
  <w:style w:type="character" w:customStyle="1" w:styleId="CommentSubjectChar">
    <w:name w:val="Comment Subject Char"/>
    <w:link w:val="CommentSubject"/>
    <w:rsid w:val="00F87430"/>
    <w:rPr>
      <w:b/>
      <w:bCs/>
      <w:lang w:val="en-GB" w:eastAsia="en-US"/>
    </w:rPr>
  </w:style>
  <w:style w:type="paragraph" w:styleId="Revision">
    <w:name w:val="Revision"/>
    <w:hidden/>
    <w:uiPriority w:val="99"/>
    <w:semiHidden/>
    <w:rsid w:val="00F87430"/>
    <w:rPr>
      <w:lang w:eastAsia="en-US"/>
    </w:rPr>
  </w:style>
  <w:style w:type="character" w:customStyle="1" w:styleId="FootnoteCharacters">
    <w:name w:val="Footnote Characters"/>
    <w:rsid w:val="00FE0534"/>
    <w:rPr>
      <w:rFonts w:ascii="Times New Roman" w:hAnsi="Times New Roman" w:cs="Times New Roman"/>
      <w:sz w:val="18"/>
      <w:vertAlign w:val="superscript"/>
    </w:rPr>
  </w:style>
  <w:style w:type="character" w:customStyle="1" w:styleId="FootnoteReference1">
    <w:name w:val="Footnote Reference1"/>
    <w:rsid w:val="00FE0534"/>
    <w:rPr>
      <w:vertAlign w:val="superscript"/>
    </w:rPr>
  </w:style>
  <w:style w:type="character" w:customStyle="1" w:styleId="normal1">
    <w:name w:val="normal1"/>
    <w:basedOn w:val="DefaultParagraphFont"/>
    <w:rsid w:val="00FE0534"/>
  </w:style>
  <w:style w:type="character" w:customStyle="1" w:styleId="ms-formfieldlabel">
    <w:name w:val="ms-formfieldlabel"/>
    <w:basedOn w:val="DefaultParagraphFont"/>
    <w:rsid w:val="00FE0534"/>
  </w:style>
  <w:style w:type="character" w:customStyle="1" w:styleId="intro">
    <w:name w:val="intro"/>
    <w:basedOn w:val="DefaultParagraphFont"/>
    <w:rsid w:val="00FE0534"/>
  </w:style>
  <w:style w:type="paragraph" w:styleId="NormalWeb">
    <w:name w:val="Normal (Web)"/>
    <w:basedOn w:val="Normal"/>
    <w:rsid w:val="00FE0534"/>
    <w:pPr>
      <w:suppressAutoHyphens w:val="0"/>
      <w:spacing w:before="280" w:after="280" w:line="240" w:lineRule="auto"/>
    </w:pPr>
    <w:rPr>
      <w:rFonts w:eastAsia="SimSun"/>
      <w:sz w:val="24"/>
      <w:szCs w:val="24"/>
      <w:lang w:val="en-US" w:eastAsia="ar-SA"/>
    </w:rPr>
  </w:style>
  <w:style w:type="paragraph" w:customStyle="1" w:styleId="SingleTxt">
    <w:name w:val="__Single Txt"/>
    <w:basedOn w:val="Normal"/>
    <w:rsid w:val="00FE05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
      <w:lang w:eastAsia="ar-SA"/>
    </w:rPr>
  </w:style>
  <w:style w:type="paragraph" w:styleId="ListParagraph">
    <w:name w:val="List Paragraph"/>
    <w:basedOn w:val="Normal"/>
    <w:qFormat/>
    <w:rsid w:val="00FE0534"/>
    <w:pPr>
      <w:ind w:left="720"/>
    </w:pPr>
    <w:rPr>
      <w:lang w:eastAsia="ar-SA"/>
    </w:rPr>
  </w:style>
  <w:style w:type="paragraph" w:customStyle="1" w:styleId="FootnoteText1">
    <w:name w:val="Footnote Text1"/>
    <w:basedOn w:val="Normal"/>
    <w:rsid w:val="00FE0534"/>
    <w:rPr>
      <w:lang w:eastAsia="ar-SA"/>
    </w:rPr>
  </w:style>
  <w:style w:type="character" w:customStyle="1" w:styleId="preferred">
    <w:name w:val="preferred"/>
    <w:rsid w:val="00B86D4C"/>
  </w:style>
  <w:style w:type="character" w:styleId="Emphasis">
    <w:name w:val="Emphasis"/>
    <w:uiPriority w:val="20"/>
    <w:qFormat/>
    <w:rsid w:val="006A2BED"/>
    <w:rPr>
      <w:i/>
      <w:iCs/>
    </w:rPr>
  </w:style>
  <w:style w:type="character" w:customStyle="1" w:styleId="admitted">
    <w:name w:val="admitted"/>
    <w:rsid w:val="001F6D60"/>
  </w:style>
  <w:style w:type="character" w:styleId="Strong">
    <w:name w:val="Strong"/>
    <w:uiPriority w:val="22"/>
    <w:qFormat/>
    <w:rsid w:val="00024D1F"/>
    <w:rPr>
      <w:b/>
      <w:bCs/>
    </w:rPr>
  </w:style>
  <w:style w:type="character" w:customStyle="1" w:styleId="style14">
    <w:name w:val="style14"/>
    <w:rsid w:val="0002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8238">
      <w:bodyDiv w:val="1"/>
      <w:marLeft w:val="0"/>
      <w:marRight w:val="0"/>
      <w:marTop w:val="0"/>
      <w:marBottom w:val="0"/>
      <w:divBdr>
        <w:top w:val="none" w:sz="0" w:space="0" w:color="auto"/>
        <w:left w:val="none" w:sz="0" w:space="0" w:color="auto"/>
        <w:bottom w:val="none" w:sz="0" w:space="0" w:color="auto"/>
        <w:right w:val="none" w:sz="0" w:space="0" w:color="auto"/>
      </w:divBdr>
      <w:divsChild>
        <w:div w:id="151483578">
          <w:marLeft w:val="0"/>
          <w:marRight w:val="0"/>
          <w:marTop w:val="0"/>
          <w:marBottom w:val="0"/>
          <w:divBdr>
            <w:top w:val="none" w:sz="0" w:space="0" w:color="auto"/>
            <w:left w:val="none" w:sz="0" w:space="0" w:color="auto"/>
            <w:bottom w:val="none" w:sz="0" w:space="0" w:color="auto"/>
            <w:right w:val="none" w:sz="0" w:space="0" w:color="auto"/>
          </w:divBdr>
        </w:div>
        <w:div w:id="574894914">
          <w:marLeft w:val="0"/>
          <w:marRight w:val="0"/>
          <w:marTop w:val="0"/>
          <w:marBottom w:val="0"/>
          <w:divBdr>
            <w:top w:val="none" w:sz="0" w:space="0" w:color="auto"/>
            <w:left w:val="none" w:sz="0" w:space="0" w:color="auto"/>
            <w:bottom w:val="none" w:sz="0" w:space="0" w:color="auto"/>
            <w:right w:val="none" w:sz="0" w:space="0" w:color="auto"/>
          </w:divBdr>
        </w:div>
        <w:div w:id="1033383834">
          <w:marLeft w:val="0"/>
          <w:marRight w:val="0"/>
          <w:marTop w:val="0"/>
          <w:marBottom w:val="0"/>
          <w:divBdr>
            <w:top w:val="none" w:sz="0" w:space="0" w:color="auto"/>
            <w:left w:val="none" w:sz="0" w:space="0" w:color="auto"/>
            <w:bottom w:val="none" w:sz="0" w:space="0" w:color="auto"/>
            <w:right w:val="none" w:sz="0" w:space="0" w:color="auto"/>
          </w:divBdr>
        </w:div>
      </w:divsChild>
    </w:div>
    <w:div w:id="1083995229">
      <w:bodyDiv w:val="1"/>
      <w:marLeft w:val="0"/>
      <w:marRight w:val="0"/>
      <w:marTop w:val="0"/>
      <w:marBottom w:val="0"/>
      <w:divBdr>
        <w:top w:val="none" w:sz="0" w:space="0" w:color="auto"/>
        <w:left w:val="none" w:sz="0" w:space="0" w:color="auto"/>
        <w:bottom w:val="none" w:sz="0" w:space="0" w:color="auto"/>
        <w:right w:val="none" w:sz="0" w:space="0" w:color="auto"/>
      </w:divBdr>
      <w:divsChild>
        <w:div w:id="50815932">
          <w:marLeft w:val="0"/>
          <w:marRight w:val="0"/>
          <w:marTop w:val="0"/>
          <w:marBottom w:val="0"/>
          <w:divBdr>
            <w:top w:val="none" w:sz="0" w:space="0" w:color="auto"/>
            <w:left w:val="none" w:sz="0" w:space="0" w:color="auto"/>
            <w:bottom w:val="none" w:sz="0" w:space="0" w:color="auto"/>
            <w:right w:val="none" w:sz="0" w:space="0" w:color="auto"/>
          </w:divBdr>
        </w:div>
        <w:div w:id="379594157">
          <w:marLeft w:val="0"/>
          <w:marRight w:val="0"/>
          <w:marTop w:val="0"/>
          <w:marBottom w:val="0"/>
          <w:divBdr>
            <w:top w:val="none" w:sz="0" w:space="0" w:color="auto"/>
            <w:left w:val="none" w:sz="0" w:space="0" w:color="auto"/>
            <w:bottom w:val="none" w:sz="0" w:space="0" w:color="auto"/>
            <w:right w:val="none" w:sz="0" w:space="0" w:color="auto"/>
          </w:divBdr>
        </w:div>
        <w:div w:id="1487436590">
          <w:marLeft w:val="0"/>
          <w:marRight w:val="0"/>
          <w:marTop w:val="0"/>
          <w:marBottom w:val="0"/>
          <w:divBdr>
            <w:top w:val="none" w:sz="0" w:space="0" w:color="auto"/>
            <w:left w:val="none" w:sz="0" w:space="0" w:color="auto"/>
            <w:bottom w:val="none" w:sz="0" w:space="0" w:color="auto"/>
            <w:right w:val="none" w:sz="0" w:space="0" w:color="auto"/>
          </w:divBdr>
        </w:div>
      </w:divsChild>
    </w:div>
    <w:div w:id="1170097038">
      <w:bodyDiv w:val="1"/>
      <w:marLeft w:val="0"/>
      <w:marRight w:val="0"/>
      <w:marTop w:val="0"/>
      <w:marBottom w:val="0"/>
      <w:divBdr>
        <w:top w:val="none" w:sz="0" w:space="0" w:color="auto"/>
        <w:left w:val="none" w:sz="0" w:space="0" w:color="auto"/>
        <w:bottom w:val="none" w:sz="0" w:space="0" w:color="auto"/>
        <w:right w:val="none" w:sz="0" w:space="0" w:color="auto"/>
      </w:divBdr>
    </w:div>
    <w:div w:id="151087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ocs.org/A/HCR/25/59/Add.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ndocs.org/A/HRC/25/59/Add.1"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undocs.org/A/HRC/25/59"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english.alarabiya.net/en/News/middle-east/2015/02/08/Jordan-ISIS-lost-20-of-its-military-capabilities.html" TargetMode="External"/><Relationship Id="rId3" Type="http://schemas.openxmlformats.org/officeDocument/2006/relationships/hyperlink" Target="file:///C:/Users/ISomova/AppData/Local/Temp/www.bbc.co.uk/news/world-middle-east-29052475" TargetMode="External"/><Relationship Id="rId7" Type="http://schemas.openxmlformats.org/officeDocument/2006/relationships/hyperlink" Target="https://news.yahoo.com/white-house-exempts-syria-airstrikes-from-tight-standards-on-civilian-deaths-183724795.html" TargetMode="External"/><Relationship Id="rId2" Type="http://schemas.openxmlformats.org/officeDocument/2006/relationships/hyperlink" Target="file:///C:/Users/ISomova/AppData/Local/Temp/www.hrw.org/news/2014/11/27/libya-extremists-terrorizing-derna-residents" TargetMode="External"/><Relationship Id="rId1" Type="http://schemas.openxmlformats.org/officeDocument/2006/relationships/hyperlink" Target="file:///C:/Users/ISomova/AppData/Local/Temp/www.nytimes.com/2015/02/15/world/middleeast/islamic-state-sprouting-limbs-beyond-mideast.html" TargetMode="External"/><Relationship Id="rId6" Type="http://schemas.openxmlformats.org/officeDocument/2006/relationships/hyperlink" Target="file:///C:/Users/ISomova/AppData/Local/Temp/www.nytimes.com/2014/11/27/us/us-adds-air-power-but-isis-presents-elusive-target.html" TargetMode="External"/><Relationship Id="rId5" Type="http://schemas.openxmlformats.org/officeDocument/2006/relationships/hyperlink" Target="file:///C:/Users/ISomova/AppData/Local/Temp/www.defense.gov/news/newsarticle.aspx" TargetMode="External"/><Relationship Id="rId4" Type="http://schemas.openxmlformats.org/officeDocument/2006/relationships/hyperlink" Target="http://www.icrc.org/eng/assets/files/other/opinion-paper-armed-conflict.pdf" TargetMode="External"/><Relationship Id="rId9" Type="http://schemas.openxmlformats.org/officeDocument/2006/relationships/hyperlink" Target="http://foreignpolicy.com/2014/12/03/pentagon-in-denial-about-civilian-casualties-of-u-s-airstrikes-in-iraq-and-sy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B2E4B4-F0E7-42A8-B8DB-D962664A2E18}"/>
</file>

<file path=customXml/itemProps2.xml><?xml version="1.0" encoding="utf-8"?>
<ds:datastoreItem xmlns:ds="http://schemas.openxmlformats.org/officeDocument/2006/customXml" ds:itemID="{D08D9E48-C1EB-4B5A-8431-541534325284}"/>
</file>

<file path=customXml/itemProps3.xml><?xml version="1.0" encoding="utf-8"?>
<ds:datastoreItem xmlns:ds="http://schemas.openxmlformats.org/officeDocument/2006/customXml" ds:itemID="{45BB55BE-F8EB-4355-A881-C2C9CA917CB3}"/>
</file>

<file path=customXml/itemProps4.xml><?xml version="1.0" encoding="utf-8"?>
<ds:datastoreItem xmlns:ds="http://schemas.openxmlformats.org/officeDocument/2006/customXml" ds:itemID="{6B4B4327-8490-482F-93F7-458E1FFE455A}"/>
</file>

<file path=docProps/app.xml><?xml version="1.0" encoding="utf-8"?>
<Properties xmlns="http://schemas.openxmlformats.org/officeDocument/2006/extended-properties" xmlns:vt="http://schemas.openxmlformats.org/officeDocument/2006/docPropsVTypes">
  <Template>A_E</Template>
  <TotalTime>2</TotalTime>
  <Pages>20</Pages>
  <Words>8080</Words>
  <Characters>46056</Characters>
  <Application>Microsoft Office Word</Application>
  <DocSecurity>0</DocSecurity>
  <Lines>383</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54028</CharactersWithSpaces>
  <SharedDoc>false</SharedDoc>
  <HLinks>
    <vt:vector size="72" baseType="variant">
      <vt:variant>
        <vt:i4>2883625</vt:i4>
      </vt:variant>
      <vt:variant>
        <vt:i4>6</vt:i4>
      </vt:variant>
      <vt:variant>
        <vt:i4>0</vt:i4>
      </vt:variant>
      <vt:variant>
        <vt:i4>5</vt:i4>
      </vt:variant>
      <vt:variant>
        <vt:lpwstr>http://undocs.org/A/HCR/25/59/Add.2</vt:lpwstr>
      </vt:variant>
      <vt:variant>
        <vt:lpwstr/>
      </vt:variant>
      <vt:variant>
        <vt:i4>3997752</vt:i4>
      </vt:variant>
      <vt:variant>
        <vt:i4>3</vt:i4>
      </vt:variant>
      <vt:variant>
        <vt:i4>0</vt:i4>
      </vt:variant>
      <vt:variant>
        <vt:i4>5</vt:i4>
      </vt:variant>
      <vt:variant>
        <vt:lpwstr>http://undocs.org/A/HRC/25/59/Add.1</vt:lpwstr>
      </vt:variant>
      <vt:variant>
        <vt:lpwstr/>
      </vt:variant>
      <vt:variant>
        <vt:i4>5767172</vt:i4>
      </vt:variant>
      <vt:variant>
        <vt:i4>0</vt:i4>
      </vt:variant>
      <vt:variant>
        <vt:i4>0</vt:i4>
      </vt:variant>
      <vt:variant>
        <vt:i4>5</vt:i4>
      </vt:variant>
      <vt:variant>
        <vt:lpwstr>http://undocs.org/A/HRC/25/59</vt:lpwstr>
      </vt:variant>
      <vt:variant>
        <vt:lpwstr/>
      </vt:variant>
      <vt:variant>
        <vt:i4>4784135</vt:i4>
      </vt:variant>
      <vt:variant>
        <vt:i4>24</vt:i4>
      </vt:variant>
      <vt:variant>
        <vt:i4>0</vt:i4>
      </vt:variant>
      <vt:variant>
        <vt:i4>5</vt:i4>
      </vt:variant>
      <vt:variant>
        <vt:lpwstr>http://foreignpolicy.com/2014/12/03/pentagon-in-denial-about-civilian-casualties-of-u-s-airstrikes-in-iraq-and-syria/</vt:lpwstr>
      </vt:variant>
      <vt:variant>
        <vt:lpwstr/>
      </vt:variant>
      <vt:variant>
        <vt:i4>6160415</vt:i4>
      </vt:variant>
      <vt:variant>
        <vt:i4>21</vt:i4>
      </vt:variant>
      <vt:variant>
        <vt:i4>0</vt:i4>
      </vt:variant>
      <vt:variant>
        <vt:i4>5</vt:i4>
      </vt:variant>
      <vt:variant>
        <vt:lpwstr>http://english.alarabiya.net/en/News/middle-east/2015/02/08/Jordan-ISIS-lost-20-of-its-military-capabilities.html</vt:lpwstr>
      </vt:variant>
      <vt:variant>
        <vt:lpwstr/>
      </vt:variant>
      <vt:variant>
        <vt:i4>7274530</vt:i4>
      </vt:variant>
      <vt:variant>
        <vt:i4>18</vt:i4>
      </vt:variant>
      <vt:variant>
        <vt:i4>0</vt:i4>
      </vt:variant>
      <vt:variant>
        <vt:i4>5</vt:i4>
      </vt:variant>
      <vt:variant>
        <vt:lpwstr>https://news.yahoo.com/white-house-exempts-syria-airstrikes-from-tight-standards-on-civilian-deaths-183724795.html</vt:lpwstr>
      </vt:variant>
      <vt:variant>
        <vt:lpwstr/>
      </vt:variant>
      <vt:variant>
        <vt:i4>5177426</vt:i4>
      </vt:variant>
      <vt:variant>
        <vt:i4>15</vt:i4>
      </vt:variant>
      <vt:variant>
        <vt:i4>0</vt:i4>
      </vt:variant>
      <vt:variant>
        <vt:i4>5</vt:i4>
      </vt:variant>
      <vt:variant>
        <vt:lpwstr>www.nytimes.com/2014/11/27/us/us-adds-air-power-but-isis-presents-elusive-target.html</vt:lpwstr>
      </vt:variant>
      <vt:variant>
        <vt:lpwstr/>
      </vt:variant>
      <vt:variant>
        <vt:i4>3014712</vt:i4>
      </vt:variant>
      <vt:variant>
        <vt:i4>12</vt:i4>
      </vt:variant>
      <vt:variant>
        <vt:i4>0</vt:i4>
      </vt:variant>
      <vt:variant>
        <vt:i4>5</vt:i4>
      </vt:variant>
      <vt:variant>
        <vt:lpwstr>www.defense.gov/news/newsarticle.aspx?id=128458</vt:lpwstr>
      </vt:variant>
      <vt:variant>
        <vt:lpwstr/>
      </vt:variant>
      <vt:variant>
        <vt:i4>3670053</vt:i4>
      </vt:variant>
      <vt:variant>
        <vt:i4>9</vt:i4>
      </vt:variant>
      <vt:variant>
        <vt:i4>0</vt:i4>
      </vt:variant>
      <vt:variant>
        <vt:i4>5</vt:i4>
      </vt:variant>
      <vt:variant>
        <vt:lpwstr>http://www.icrc.org/eng/assets/files/other/opinion-paper-armed-conflict.pdf</vt:lpwstr>
      </vt:variant>
      <vt:variant>
        <vt:lpwstr/>
      </vt:variant>
      <vt:variant>
        <vt:i4>852052</vt:i4>
      </vt:variant>
      <vt:variant>
        <vt:i4>6</vt:i4>
      </vt:variant>
      <vt:variant>
        <vt:i4>0</vt:i4>
      </vt:variant>
      <vt:variant>
        <vt:i4>5</vt:i4>
      </vt:variant>
      <vt:variant>
        <vt:lpwstr>www.bbc.co.uk/news/world-middle-east-29052475</vt:lpwstr>
      </vt:variant>
      <vt:variant>
        <vt:lpwstr/>
      </vt:variant>
      <vt:variant>
        <vt:i4>1376320</vt:i4>
      </vt:variant>
      <vt:variant>
        <vt:i4>3</vt:i4>
      </vt:variant>
      <vt:variant>
        <vt:i4>0</vt:i4>
      </vt:variant>
      <vt:variant>
        <vt:i4>5</vt:i4>
      </vt:variant>
      <vt:variant>
        <vt:lpwstr>www.hrw.org/news/2014/11/27/libya-extremists-terrorizing-derna-residents</vt:lpwstr>
      </vt:variant>
      <vt:variant>
        <vt:lpwstr/>
      </vt:variant>
      <vt:variant>
        <vt:i4>2949212</vt:i4>
      </vt:variant>
      <vt:variant>
        <vt:i4>0</vt:i4>
      </vt:variant>
      <vt:variant>
        <vt:i4>0</vt:i4>
      </vt:variant>
      <vt:variant>
        <vt:i4>5</vt:i4>
      </vt:variant>
      <vt:variant>
        <vt:lpwstr>www.nytimes.com/2015/02/15/world/middleeast/islamic-state-sprouting-limbs-beyond-mideast.html?_r=2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human rights and fundamental freedoms while countering terrorism - (AEV)</dc:title>
  <dc:creator>Hydaya Kangabe</dc:creator>
  <cp:lastModifiedBy>Somova Iuliia</cp:lastModifiedBy>
  <cp:revision>4</cp:revision>
  <cp:lastPrinted>2015-03-25T13:32:00Z</cp:lastPrinted>
  <dcterms:created xsi:type="dcterms:W3CDTF">2015-06-16T11:57:00Z</dcterms:created>
  <dcterms:modified xsi:type="dcterms:W3CDTF">2015-06-16T12:03:00Z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44200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