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D80" w:rsidRPr="00716756" w:rsidRDefault="00B17D80" w:rsidP="00716756">
      <w:pPr>
        <w:spacing w:line="20" w:lineRule="exact"/>
        <w:rPr>
          <w:sz w:val="2"/>
          <w:szCs w:val="2"/>
        </w:rPr>
      </w:pPr>
      <w:bookmarkStart w:id="0" w:name="_GoBack"/>
      <w:bookmarkEnd w:id="0"/>
    </w:p>
    <w:p w:rsidR="00716756" w:rsidRPr="00B7613D" w:rsidRDefault="00716756" w:rsidP="00B7613D">
      <w:pPr>
        <w:spacing w:line="240" w:lineRule="auto"/>
        <w:rPr>
          <w:sz w:val="2"/>
          <w:szCs w:val="2"/>
        </w:r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C35991" w:rsidTr="00E806EE">
        <w:trPr>
          <w:trHeight w:val="851"/>
        </w:trPr>
        <w:tc>
          <w:tcPr>
            <w:tcW w:w="1259" w:type="dxa"/>
            <w:tcBorders>
              <w:top w:val="nil"/>
              <w:left w:val="nil"/>
              <w:bottom w:val="single" w:sz="4" w:space="0" w:color="auto"/>
              <w:right w:val="nil"/>
            </w:tcBorders>
          </w:tcPr>
          <w:p w:rsidR="00446DE4" w:rsidRPr="005B1842" w:rsidRDefault="00446DE4" w:rsidP="00D439A2">
            <w:pPr>
              <w:tabs>
                <w:tab w:val="right" w:pos="850"/>
                <w:tab w:val="left" w:pos="1134"/>
                <w:tab w:val="right" w:leader="dot" w:pos="8504"/>
              </w:tabs>
              <w:spacing w:before="360"/>
            </w:pPr>
          </w:p>
        </w:tc>
        <w:tc>
          <w:tcPr>
            <w:tcW w:w="2236" w:type="dxa"/>
            <w:tcBorders>
              <w:top w:val="nil"/>
              <w:left w:val="nil"/>
              <w:bottom w:val="single" w:sz="4" w:space="0" w:color="auto"/>
              <w:right w:val="nil"/>
            </w:tcBorders>
            <w:vAlign w:val="bottom"/>
          </w:tcPr>
          <w:p w:rsidR="00446DE4" w:rsidRPr="00C35991" w:rsidRDefault="00A062A0" w:rsidP="00D439A2">
            <w:pPr>
              <w:spacing w:line="300" w:lineRule="exact"/>
              <w:rPr>
                <w:sz w:val="28"/>
                <w:szCs w:val="28"/>
              </w:rPr>
            </w:pPr>
            <w:r w:rsidRPr="006324BD">
              <w:rPr>
                <w:sz w:val="28"/>
                <w:szCs w:val="28"/>
              </w:rPr>
              <w:t>United Nations</w:t>
            </w:r>
          </w:p>
        </w:tc>
        <w:tc>
          <w:tcPr>
            <w:tcW w:w="6144" w:type="dxa"/>
            <w:gridSpan w:val="2"/>
            <w:tcBorders>
              <w:top w:val="nil"/>
              <w:left w:val="nil"/>
              <w:bottom w:val="single" w:sz="4" w:space="0" w:color="auto"/>
              <w:right w:val="nil"/>
            </w:tcBorders>
            <w:vAlign w:val="bottom"/>
          </w:tcPr>
          <w:p w:rsidR="00446DE4" w:rsidRPr="00C35991" w:rsidRDefault="00000F08" w:rsidP="007D2355">
            <w:pPr>
              <w:jc w:val="right"/>
            </w:pPr>
            <w:r w:rsidRPr="00C35991">
              <w:rPr>
                <w:sz w:val="40"/>
              </w:rPr>
              <w:t>A</w:t>
            </w:r>
            <w:r w:rsidRPr="00C35991">
              <w:t>/HRC/</w:t>
            </w:r>
            <w:r w:rsidR="007D2355">
              <w:t>30</w:t>
            </w:r>
            <w:r w:rsidRPr="00C35991">
              <w:t>/</w:t>
            </w:r>
            <w:r w:rsidR="007D2355">
              <w:t>42</w:t>
            </w:r>
            <w:r w:rsidR="00FB79CE">
              <w:t>/</w:t>
            </w:r>
            <w:r w:rsidR="007D2355">
              <w:t>Add.1</w:t>
            </w:r>
            <w:r w:rsidR="00232536">
              <w:t xml:space="preserve"> </w:t>
            </w:r>
          </w:p>
        </w:tc>
      </w:tr>
      <w:tr w:rsidR="00A062A0" w:rsidRPr="000F2EB0" w:rsidTr="00E806EE">
        <w:trPr>
          <w:trHeight w:val="2835"/>
        </w:trPr>
        <w:tc>
          <w:tcPr>
            <w:tcW w:w="1259" w:type="dxa"/>
            <w:tcBorders>
              <w:top w:val="single" w:sz="4" w:space="0" w:color="auto"/>
              <w:left w:val="nil"/>
              <w:bottom w:val="single" w:sz="12" w:space="0" w:color="auto"/>
              <w:right w:val="nil"/>
            </w:tcBorders>
          </w:tcPr>
          <w:p w:rsidR="00A062A0" w:rsidRPr="00C35991" w:rsidRDefault="00A062A0" w:rsidP="00A062A0">
            <w:pPr>
              <w:spacing w:before="120"/>
              <w:jc w:val="center"/>
            </w:pPr>
            <w:r>
              <w:rPr>
                <w:noProof/>
                <w:lang w:eastAsia="en-GB"/>
              </w:rPr>
              <w:drawing>
                <wp:inline distT="0" distB="0" distL="0" distR="0" wp14:anchorId="420D4037" wp14:editId="116548E9">
                  <wp:extent cx="714375" cy="590550"/>
                  <wp:effectExtent l="0" t="0" r="9525" b="0"/>
                  <wp:docPr id="40"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A062A0" w:rsidRPr="00C35991" w:rsidRDefault="00A062A0" w:rsidP="00A062A0">
            <w:pPr>
              <w:spacing w:before="120" w:line="420" w:lineRule="exact"/>
              <w:rPr>
                <w:b/>
                <w:sz w:val="40"/>
                <w:szCs w:val="40"/>
              </w:rPr>
            </w:pPr>
            <w:r w:rsidRPr="006324BD">
              <w:rPr>
                <w:b/>
                <w:sz w:val="40"/>
                <w:szCs w:val="40"/>
              </w:rPr>
              <w:t>General Assembly</w:t>
            </w:r>
          </w:p>
        </w:tc>
        <w:tc>
          <w:tcPr>
            <w:tcW w:w="2930" w:type="dxa"/>
            <w:tcBorders>
              <w:top w:val="single" w:sz="4" w:space="0" w:color="auto"/>
              <w:left w:val="nil"/>
              <w:bottom w:val="single" w:sz="12" w:space="0" w:color="auto"/>
              <w:right w:val="nil"/>
            </w:tcBorders>
          </w:tcPr>
          <w:p w:rsidR="00A062A0" w:rsidRPr="00524B65" w:rsidRDefault="00A062A0" w:rsidP="00A062A0">
            <w:pPr>
              <w:spacing w:before="240" w:line="240" w:lineRule="exact"/>
            </w:pPr>
            <w:r w:rsidRPr="00C35991">
              <w:t>Distr.: General</w:t>
            </w:r>
          </w:p>
          <w:p w:rsidR="00A062A0" w:rsidRPr="003970EE" w:rsidRDefault="00617E41" w:rsidP="00EC420B">
            <w:pPr>
              <w:spacing w:line="240" w:lineRule="exact"/>
            </w:pPr>
            <w:r>
              <w:t>1</w:t>
            </w:r>
            <w:r w:rsidR="00573545">
              <w:t>0</w:t>
            </w:r>
            <w:r w:rsidR="00581E27">
              <w:t xml:space="preserve"> August</w:t>
            </w:r>
            <w:r w:rsidR="00A062A0" w:rsidRPr="003970EE">
              <w:t xml:space="preserve"> 2015</w:t>
            </w:r>
          </w:p>
          <w:p w:rsidR="00A062A0" w:rsidRPr="003970EE" w:rsidRDefault="00A062A0" w:rsidP="00A062A0">
            <w:pPr>
              <w:spacing w:line="240" w:lineRule="exact"/>
            </w:pPr>
          </w:p>
          <w:p w:rsidR="00A062A0" w:rsidRPr="003970EE" w:rsidRDefault="00A062A0" w:rsidP="00A062A0">
            <w:pPr>
              <w:spacing w:line="240" w:lineRule="exact"/>
            </w:pPr>
            <w:r w:rsidRPr="003970EE">
              <w:t>Original: English</w:t>
            </w:r>
          </w:p>
        </w:tc>
      </w:tr>
    </w:tbl>
    <w:p w:rsidR="00000F08" w:rsidRPr="000F2EB0" w:rsidRDefault="00232536" w:rsidP="00744AC8">
      <w:pPr>
        <w:spacing w:before="120"/>
      </w:pPr>
      <w:r>
        <w:rPr>
          <w:b/>
          <w:sz w:val="24"/>
          <w:szCs w:val="24"/>
        </w:rPr>
        <w:t>H</w:t>
      </w:r>
      <w:r w:rsidR="00000F08" w:rsidRPr="00593806">
        <w:rPr>
          <w:b/>
          <w:sz w:val="24"/>
          <w:szCs w:val="24"/>
        </w:rPr>
        <w:t>uman Rights Council</w:t>
      </w:r>
      <w:r w:rsidR="00000F08" w:rsidRPr="000F2EB0">
        <w:rPr>
          <w:sz w:val="24"/>
          <w:szCs w:val="24"/>
        </w:rPr>
        <w:br/>
      </w:r>
      <w:r w:rsidR="00743B6D">
        <w:rPr>
          <w:b/>
        </w:rPr>
        <w:t>Thirtieth</w:t>
      </w:r>
      <w:r w:rsidR="00000F08" w:rsidRPr="000F2EB0">
        <w:rPr>
          <w:b/>
        </w:rPr>
        <w:t xml:space="preserve"> session</w:t>
      </w:r>
      <w:r w:rsidR="00000F08" w:rsidRPr="000F2EB0">
        <w:br/>
        <w:t>Agenda item 3</w:t>
      </w:r>
    </w:p>
    <w:p w:rsidR="00000F08" w:rsidRPr="000F2EB0" w:rsidRDefault="00000F08" w:rsidP="00D439A2">
      <w:pPr>
        <w:rPr>
          <w:b/>
          <w:bCs/>
        </w:rPr>
      </w:pPr>
      <w:r w:rsidRPr="000F2EB0">
        <w:rPr>
          <w:b/>
          <w:bCs/>
        </w:rPr>
        <w:t xml:space="preserve">Promotion and protection of all human rights, civil, </w:t>
      </w:r>
      <w:r w:rsidRPr="000F2EB0">
        <w:rPr>
          <w:b/>
          <w:bCs/>
        </w:rPr>
        <w:br/>
        <w:t>political, economic, social and cultural rights</w:t>
      </w:r>
      <w:proofErr w:type="gramStart"/>
      <w:r w:rsidRPr="000F2EB0">
        <w:rPr>
          <w:b/>
          <w:bCs/>
        </w:rPr>
        <w:t>,</w:t>
      </w:r>
      <w:proofErr w:type="gramEnd"/>
      <w:r w:rsidRPr="000F2EB0">
        <w:rPr>
          <w:b/>
          <w:bCs/>
        </w:rPr>
        <w:br/>
        <w:t>including the right to development</w:t>
      </w:r>
    </w:p>
    <w:p w:rsidR="00EA5738" w:rsidRDefault="005D6E3D" w:rsidP="002E637C">
      <w:pPr>
        <w:pStyle w:val="HChG"/>
        <w:spacing w:before="240" w:after="120"/>
        <w:rPr>
          <w:rFonts w:eastAsia="Calibri"/>
        </w:rPr>
      </w:pPr>
      <w:r w:rsidRPr="000F2EB0">
        <w:rPr>
          <w:rFonts w:eastAsia="Calibri"/>
        </w:rPr>
        <w:tab/>
      </w:r>
      <w:r w:rsidRPr="000F2EB0">
        <w:rPr>
          <w:rFonts w:eastAsia="Calibri"/>
        </w:rPr>
        <w:tab/>
        <w:t xml:space="preserve">Report of the Special Rapporteur on the </w:t>
      </w:r>
      <w:r w:rsidR="0038378B">
        <w:rPr>
          <w:rFonts w:eastAsia="Calibri"/>
        </w:rPr>
        <w:t xml:space="preserve">promotion </w:t>
      </w:r>
      <w:r w:rsidR="00964A20">
        <w:rPr>
          <w:rFonts w:eastAsia="Calibri"/>
        </w:rPr>
        <w:t>of truth, justice, r</w:t>
      </w:r>
      <w:r w:rsidR="00581715">
        <w:rPr>
          <w:rFonts w:eastAsia="Calibri"/>
        </w:rPr>
        <w:t>eparation and guarantees of non-recurrence</w:t>
      </w:r>
      <w:r w:rsidR="00964A20">
        <w:rPr>
          <w:rFonts w:eastAsia="Calibri"/>
        </w:rPr>
        <w:t xml:space="preserve">, </w:t>
      </w:r>
      <w:r w:rsidR="00C765DE">
        <w:rPr>
          <w:rFonts w:eastAsia="Calibri"/>
        </w:rPr>
        <w:br/>
      </w:r>
      <w:r w:rsidR="00964A20">
        <w:rPr>
          <w:rFonts w:eastAsia="Calibri"/>
        </w:rPr>
        <w:t>Pablo de Greiff</w:t>
      </w:r>
    </w:p>
    <w:p w:rsidR="005D6E3D" w:rsidRPr="00B7613D" w:rsidRDefault="00EA5738" w:rsidP="002E637C">
      <w:pPr>
        <w:pStyle w:val="H23G"/>
        <w:spacing w:before="120"/>
        <w:rPr>
          <w:rStyle w:val="FootnoteReference"/>
          <w:b w:val="0"/>
          <w:bCs/>
          <w:sz w:val="20"/>
          <w:vertAlign w:val="baseline"/>
        </w:rPr>
      </w:pPr>
      <w:r>
        <w:rPr>
          <w:rFonts w:eastAsia="Calibri"/>
        </w:rPr>
        <w:tab/>
      </w:r>
      <w:r>
        <w:rPr>
          <w:rFonts w:eastAsia="Calibri"/>
        </w:rPr>
        <w:tab/>
        <w:t>Addendum</w:t>
      </w:r>
    </w:p>
    <w:p w:rsidR="00EA5738" w:rsidRPr="00EA5738" w:rsidRDefault="00EA5738" w:rsidP="00697DD5">
      <w:pPr>
        <w:pStyle w:val="H1G"/>
        <w:spacing w:before="240"/>
        <w:rPr>
          <w:rFonts w:eastAsia="Calibri"/>
        </w:rPr>
      </w:pPr>
      <w:r>
        <w:rPr>
          <w:rFonts w:eastAsia="Calibri"/>
        </w:rPr>
        <w:tab/>
      </w:r>
      <w:r>
        <w:rPr>
          <w:rFonts w:eastAsia="Calibri"/>
        </w:rPr>
        <w:tab/>
        <w:t>Mission to Burundi (</w:t>
      </w:r>
      <w:r w:rsidR="007D1101" w:rsidRPr="00331093">
        <w:rPr>
          <w:rFonts w:eastAsia="Calibri"/>
        </w:rPr>
        <w:t>8</w:t>
      </w:r>
      <w:r w:rsidR="006366FA">
        <w:rPr>
          <w:rFonts w:eastAsia="Calibri"/>
        </w:rPr>
        <w:t>–</w:t>
      </w:r>
      <w:r w:rsidRPr="00331093">
        <w:rPr>
          <w:rFonts w:eastAsia="Calibri"/>
        </w:rPr>
        <w:t>1</w:t>
      </w:r>
      <w:r w:rsidR="007D1101" w:rsidRPr="00331093">
        <w:rPr>
          <w:rFonts w:eastAsia="Calibri"/>
        </w:rPr>
        <w:t>6</w:t>
      </w:r>
      <w:r w:rsidRPr="00331093">
        <w:rPr>
          <w:rFonts w:eastAsia="Calibri"/>
        </w:rPr>
        <w:t xml:space="preserve"> December 2014</w:t>
      </w:r>
      <w:r>
        <w:rPr>
          <w:rFonts w:eastAsia="Calibri"/>
        </w:rPr>
        <w:t>)</w:t>
      </w:r>
      <w:r w:rsidR="00232536" w:rsidRPr="00437FDD">
        <w:rPr>
          <w:rStyle w:val="FootnoteReference"/>
          <w:b w:val="0"/>
          <w:sz w:val="20"/>
          <w:vertAlign w:val="baseline"/>
          <w:lang w:val="en-US"/>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5E0" w:firstRow="1" w:lastRow="1" w:firstColumn="1" w:lastColumn="1" w:noHBand="0" w:noVBand="1"/>
      </w:tblPr>
      <w:tblGrid>
        <w:gridCol w:w="9637"/>
      </w:tblGrid>
      <w:tr w:rsidR="005D6E3D" w:rsidRPr="000F2EB0" w:rsidTr="002E637C">
        <w:trPr>
          <w:cantSplit/>
          <w:jc w:val="center"/>
        </w:trPr>
        <w:tc>
          <w:tcPr>
            <w:tcW w:w="9637" w:type="dxa"/>
            <w:tcBorders>
              <w:bottom w:val="nil"/>
            </w:tcBorders>
            <w:shd w:val="clear" w:color="auto" w:fill="auto"/>
          </w:tcPr>
          <w:p w:rsidR="005D6E3D" w:rsidRPr="003970EE" w:rsidRDefault="005D6E3D" w:rsidP="002E637C">
            <w:pPr>
              <w:spacing w:before="120" w:after="120"/>
              <w:ind w:left="255"/>
              <w:rPr>
                <w:i/>
                <w:sz w:val="24"/>
              </w:rPr>
            </w:pPr>
            <w:r w:rsidRPr="003970EE">
              <w:rPr>
                <w:i/>
                <w:sz w:val="24"/>
              </w:rPr>
              <w:t>Summary</w:t>
            </w:r>
          </w:p>
        </w:tc>
      </w:tr>
      <w:tr w:rsidR="0040150E" w:rsidRPr="000F2EB0" w:rsidTr="002E637C">
        <w:trPr>
          <w:cantSplit/>
          <w:jc w:val="center"/>
        </w:trPr>
        <w:tc>
          <w:tcPr>
            <w:tcW w:w="9637" w:type="dxa"/>
            <w:tcBorders>
              <w:top w:val="nil"/>
              <w:left w:val="single" w:sz="4" w:space="0" w:color="auto"/>
              <w:bottom w:val="nil"/>
              <w:right w:val="single" w:sz="4" w:space="0" w:color="auto"/>
            </w:tcBorders>
            <w:shd w:val="clear" w:color="auto" w:fill="auto"/>
          </w:tcPr>
          <w:p w:rsidR="0040150E" w:rsidRDefault="00800792" w:rsidP="00800792">
            <w:pPr>
              <w:pStyle w:val="SingleTxtG"/>
              <w:ind w:firstLine="567"/>
              <w:rPr>
                <w:lang w:eastAsia="en-GB"/>
              </w:rPr>
            </w:pPr>
            <w:r w:rsidRPr="0078689C">
              <w:rPr>
                <w:lang w:eastAsia="en-GB"/>
              </w:rPr>
              <w:t xml:space="preserve">Since the signing of the Arusha Agreement, and in particular the adoption of the 2005 Constitution, which institutionalizes the power-sharing arrangement, Burundi had made significant strides to end and overcome conflict up to April 2015. </w:t>
            </w:r>
            <w:r w:rsidRPr="00E86863">
              <w:rPr>
                <w:lang w:eastAsia="en-GB"/>
              </w:rPr>
              <w:t>Massive demobilization and reintegration efforts, combined with agreed ethnic representation in all official institutions, including the security sector, had further enabled the country to ensure a degree of stability since 2009.</w:t>
            </w:r>
            <w:r>
              <w:rPr>
                <w:lang w:eastAsia="en-GB"/>
              </w:rPr>
              <w:t xml:space="preserve"> </w:t>
            </w:r>
            <w:r w:rsidR="00956D43" w:rsidRPr="0098195C">
              <w:rPr>
                <w:lang w:eastAsia="en-GB"/>
              </w:rPr>
              <w:t xml:space="preserve">If Burundi </w:t>
            </w:r>
            <w:r w:rsidR="007D1101" w:rsidRPr="0098195C">
              <w:rPr>
                <w:lang w:eastAsia="en-GB"/>
              </w:rPr>
              <w:t xml:space="preserve">had </w:t>
            </w:r>
            <w:r w:rsidR="0040150E" w:rsidRPr="0098195C">
              <w:rPr>
                <w:lang w:eastAsia="en-GB"/>
              </w:rPr>
              <w:t>maintain</w:t>
            </w:r>
            <w:r w:rsidR="00956D43" w:rsidRPr="0098195C">
              <w:rPr>
                <w:lang w:eastAsia="en-GB"/>
              </w:rPr>
              <w:t>ed</w:t>
            </w:r>
            <w:r w:rsidR="0040150E" w:rsidRPr="0098195C">
              <w:rPr>
                <w:lang w:eastAsia="en-GB"/>
              </w:rPr>
              <w:t xml:space="preserve"> its commitment to the path it ha</w:t>
            </w:r>
            <w:r w:rsidR="00FC29E8" w:rsidRPr="0098195C">
              <w:rPr>
                <w:lang w:eastAsia="en-GB"/>
              </w:rPr>
              <w:t>d</w:t>
            </w:r>
            <w:r w:rsidR="0040150E" w:rsidRPr="0098195C">
              <w:rPr>
                <w:lang w:eastAsia="en-GB"/>
              </w:rPr>
              <w:t xml:space="preserve"> followed since the </w:t>
            </w:r>
            <w:r w:rsidR="00107576" w:rsidRPr="0098195C">
              <w:rPr>
                <w:lang w:eastAsia="en-GB"/>
              </w:rPr>
              <w:t xml:space="preserve">signing of the </w:t>
            </w:r>
            <w:r w:rsidR="0040150E" w:rsidRPr="0098195C">
              <w:rPr>
                <w:lang w:eastAsia="en-GB"/>
              </w:rPr>
              <w:t>Arusha Agreement</w:t>
            </w:r>
            <w:r w:rsidR="0066434F" w:rsidRPr="00E86863">
              <w:rPr>
                <w:lang w:eastAsia="en-GB"/>
              </w:rPr>
              <w:t xml:space="preserve"> up to the end of April 2015</w:t>
            </w:r>
            <w:r w:rsidR="0040150E" w:rsidRPr="0098195C">
              <w:rPr>
                <w:lang w:eastAsia="en-GB"/>
              </w:rPr>
              <w:t xml:space="preserve">, the challenge ahead </w:t>
            </w:r>
            <w:r w:rsidR="00FC29E8" w:rsidRPr="0098195C">
              <w:rPr>
                <w:lang w:eastAsia="en-GB"/>
              </w:rPr>
              <w:t>would</w:t>
            </w:r>
            <w:r w:rsidR="0040150E" w:rsidRPr="0098195C">
              <w:rPr>
                <w:lang w:eastAsia="en-GB"/>
              </w:rPr>
              <w:t xml:space="preserve"> </w:t>
            </w:r>
            <w:r w:rsidR="0066434F" w:rsidRPr="00E86863">
              <w:rPr>
                <w:lang w:eastAsia="en-GB"/>
              </w:rPr>
              <w:t xml:space="preserve">be </w:t>
            </w:r>
            <w:r w:rsidR="0040150E" w:rsidRPr="0098195C">
              <w:rPr>
                <w:lang w:eastAsia="en-GB"/>
              </w:rPr>
              <w:t>not only</w:t>
            </w:r>
            <w:r w:rsidR="00107576" w:rsidRPr="0098195C">
              <w:rPr>
                <w:lang w:eastAsia="en-GB"/>
              </w:rPr>
              <w:t xml:space="preserve"> one of </w:t>
            </w:r>
            <w:r w:rsidR="0040150E" w:rsidRPr="0098195C">
              <w:rPr>
                <w:lang w:eastAsia="en-GB"/>
              </w:rPr>
              <w:t>staying the course</w:t>
            </w:r>
            <w:r w:rsidR="00107576" w:rsidRPr="0098195C">
              <w:rPr>
                <w:lang w:eastAsia="en-GB"/>
              </w:rPr>
              <w:t>,</w:t>
            </w:r>
            <w:r w:rsidR="0040150E" w:rsidRPr="0098195C">
              <w:rPr>
                <w:lang w:eastAsia="en-GB"/>
              </w:rPr>
              <w:t xml:space="preserve"> but </w:t>
            </w:r>
            <w:r w:rsidR="004F730B" w:rsidRPr="0098195C">
              <w:rPr>
                <w:lang w:eastAsia="en-GB"/>
              </w:rPr>
              <w:t xml:space="preserve">of </w:t>
            </w:r>
            <w:r w:rsidR="0040150E" w:rsidRPr="0098195C">
              <w:rPr>
                <w:lang w:eastAsia="en-GB"/>
              </w:rPr>
              <w:t>accelerating the pace of transition to a rule</w:t>
            </w:r>
            <w:r w:rsidR="00107576" w:rsidRPr="0098195C">
              <w:rPr>
                <w:lang w:eastAsia="en-GB"/>
              </w:rPr>
              <w:t xml:space="preserve"> </w:t>
            </w:r>
            <w:r w:rsidR="0040150E" w:rsidRPr="0098195C">
              <w:rPr>
                <w:lang w:eastAsia="en-GB"/>
              </w:rPr>
              <w:t>of</w:t>
            </w:r>
            <w:r w:rsidR="00107576" w:rsidRPr="0098195C">
              <w:rPr>
                <w:lang w:eastAsia="en-GB"/>
              </w:rPr>
              <w:t xml:space="preserve"> </w:t>
            </w:r>
            <w:r w:rsidR="0040150E" w:rsidRPr="0098195C">
              <w:rPr>
                <w:lang w:eastAsia="en-GB"/>
              </w:rPr>
              <w:t>law-based society.</w:t>
            </w:r>
            <w:r w:rsidR="0040150E" w:rsidRPr="00F03E7A">
              <w:rPr>
                <w:lang w:eastAsia="en-GB"/>
              </w:rPr>
              <w:t xml:space="preserve"> Serious efforts to redress past massive violations </w:t>
            </w:r>
            <w:r w:rsidR="0040150E">
              <w:rPr>
                <w:lang w:eastAsia="en-GB"/>
              </w:rPr>
              <w:t>are required to</w:t>
            </w:r>
            <w:r w:rsidR="0040150E" w:rsidRPr="00F03E7A">
              <w:rPr>
                <w:lang w:eastAsia="en-GB"/>
              </w:rPr>
              <w:t xml:space="preserve"> demonstrate the authorities’ commitment </w:t>
            </w:r>
            <w:r w:rsidR="0040150E">
              <w:rPr>
                <w:lang w:eastAsia="en-GB"/>
              </w:rPr>
              <w:t>to</w:t>
            </w:r>
            <w:r w:rsidR="0040150E" w:rsidRPr="00F03E7A">
              <w:rPr>
                <w:lang w:eastAsia="en-GB"/>
              </w:rPr>
              <w:t xml:space="preserve"> break with the tradition of impunity</w:t>
            </w:r>
            <w:r w:rsidR="0040150E">
              <w:rPr>
                <w:lang w:eastAsia="en-GB"/>
              </w:rPr>
              <w:t>,</w:t>
            </w:r>
            <w:r w:rsidR="0040150E" w:rsidRPr="00F03E7A">
              <w:rPr>
                <w:lang w:eastAsia="en-GB"/>
              </w:rPr>
              <w:t xml:space="preserve"> which, in turn, </w:t>
            </w:r>
            <w:r w:rsidR="00FC29E8" w:rsidRPr="00F52A28">
              <w:rPr>
                <w:lang w:eastAsia="en-GB"/>
              </w:rPr>
              <w:t xml:space="preserve">would </w:t>
            </w:r>
            <w:r w:rsidR="0040150E" w:rsidRPr="00F52A28">
              <w:rPr>
                <w:lang w:eastAsia="en-GB"/>
              </w:rPr>
              <w:t>enable</w:t>
            </w:r>
            <w:r w:rsidR="0040150E" w:rsidRPr="00F03E7A">
              <w:rPr>
                <w:lang w:eastAsia="en-GB"/>
              </w:rPr>
              <w:t xml:space="preserve"> domestic institutions and mechanisms </w:t>
            </w:r>
            <w:r w:rsidR="00107576">
              <w:rPr>
                <w:lang w:eastAsia="en-GB"/>
              </w:rPr>
              <w:t xml:space="preserve">to </w:t>
            </w:r>
            <w:r w:rsidR="0040150E" w:rsidRPr="00F03E7A">
              <w:rPr>
                <w:lang w:eastAsia="en-GB"/>
              </w:rPr>
              <w:t xml:space="preserve">effectively protect human rights in the present. </w:t>
            </w:r>
            <w:r w:rsidR="0040150E">
              <w:rPr>
                <w:lang w:eastAsia="en-GB"/>
              </w:rPr>
              <w:t>T</w:t>
            </w:r>
            <w:r w:rsidR="0040150E" w:rsidRPr="00F03E7A">
              <w:rPr>
                <w:lang w:eastAsia="en-GB"/>
              </w:rPr>
              <w:t xml:space="preserve">ransitional justice initiatives </w:t>
            </w:r>
            <w:r w:rsidR="00FC29E8">
              <w:rPr>
                <w:lang w:eastAsia="en-GB"/>
              </w:rPr>
              <w:t>need to be</w:t>
            </w:r>
            <w:r w:rsidR="00107576">
              <w:rPr>
                <w:lang w:eastAsia="en-GB"/>
              </w:rPr>
              <w:t xml:space="preserve"> </w:t>
            </w:r>
            <w:r w:rsidR="0040150E">
              <w:rPr>
                <w:lang w:eastAsia="en-GB"/>
              </w:rPr>
              <w:t xml:space="preserve">intentionally </w:t>
            </w:r>
            <w:r w:rsidR="0040150E" w:rsidRPr="00F03E7A">
              <w:rPr>
                <w:lang w:eastAsia="en-GB"/>
              </w:rPr>
              <w:t>grounded in and</w:t>
            </w:r>
            <w:r w:rsidR="0040150E">
              <w:rPr>
                <w:lang w:eastAsia="en-GB"/>
              </w:rPr>
              <w:t xml:space="preserve"> </w:t>
            </w:r>
            <w:r w:rsidR="0040150E" w:rsidRPr="00F03E7A">
              <w:rPr>
                <w:lang w:eastAsia="en-GB"/>
              </w:rPr>
              <w:t>foster human right</w:t>
            </w:r>
            <w:r w:rsidR="0040150E">
              <w:rPr>
                <w:lang w:eastAsia="en-GB"/>
              </w:rPr>
              <w:t>s</w:t>
            </w:r>
            <w:r w:rsidR="00FC29E8">
              <w:rPr>
                <w:lang w:eastAsia="en-GB"/>
              </w:rPr>
              <w:t>. They</w:t>
            </w:r>
            <w:r w:rsidR="0040150E">
              <w:rPr>
                <w:lang w:eastAsia="en-GB"/>
              </w:rPr>
              <w:t xml:space="preserve"> </w:t>
            </w:r>
            <w:r w:rsidR="0040150E" w:rsidRPr="00F03E7A">
              <w:rPr>
                <w:lang w:eastAsia="en-GB"/>
              </w:rPr>
              <w:t xml:space="preserve">must not be used as instruments of </w:t>
            </w:r>
            <w:r w:rsidR="0040150E">
              <w:rPr>
                <w:lang w:eastAsia="en-GB"/>
              </w:rPr>
              <w:t>“</w:t>
            </w:r>
            <w:r w:rsidR="0040150E" w:rsidRPr="00F03E7A">
              <w:rPr>
                <w:lang w:eastAsia="en-GB"/>
              </w:rPr>
              <w:t>turn</w:t>
            </w:r>
            <w:r w:rsidR="00107576">
              <w:rPr>
                <w:lang w:eastAsia="en-GB"/>
              </w:rPr>
              <w:t>-</w:t>
            </w:r>
            <w:r w:rsidR="0040150E" w:rsidRPr="00F03E7A">
              <w:rPr>
                <w:lang w:eastAsia="en-GB"/>
              </w:rPr>
              <w:t>taking</w:t>
            </w:r>
            <w:r w:rsidR="0040150E">
              <w:rPr>
                <w:lang w:eastAsia="en-GB"/>
              </w:rPr>
              <w:t>”</w:t>
            </w:r>
            <w:r w:rsidR="0040150E" w:rsidRPr="00F03E7A">
              <w:rPr>
                <w:lang w:eastAsia="en-GB"/>
              </w:rPr>
              <w:t xml:space="preserve"> </w:t>
            </w:r>
            <w:r w:rsidR="00107576">
              <w:rPr>
                <w:lang w:eastAsia="en-GB"/>
              </w:rPr>
              <w:t xml:space="preserve">that </w:t>
            </w:r>
            <w:r w:rsidR="0040150E" w:rsidRPr="00F03E7A">
              <w:rPr>
                <w:lang w:eastAsia="en-GB"/>
              </w:rPr>
              <w:t>benefit</w:t>
            </w:r>
            <w:r w:rsidR="0040150E">
              <w:rPr>
                <w:lang w:eastAsia="en-GB"/>
              </w:rPr>
              <w:t xml:space="preserve"> only</w:t>
            </w:r>
            <w:r w:rsidR="0040150E" w:rsidRPr="00F03E7A">
              <w:rPr>
                <w:lang w:eastAsia="en-GB"/>
              </w:rPr>
              <w:t xml:space="preserve"> one side.</w:t>
            </w:r>
          </w:p>
        </w:tc>
      </w:tr>
      <w:tr w:rsidR="0040150E" w:rsidRPr="000F2EB0" w:rsidTr="002E637C">
        <w:trPr>
          <w:cantSplit/>
          <w:jc w:val="center"/>
        </w:trPr>
        <w:tc>
          <w:tcPr>
            <w:tcW w:w="9637" w:type="dxa"/>
            <w:tcBorders>
              <w:top w:val="nil"/>
              <w:left w:val="single" w:sz="4" w:space="0" w:color="auto"/>
              <w:bottom w:val="nil"/>
              <w:right w:val="single" w:sz="4" w:space="0" w:color="auto"/>
            </w:tcBorders>
            <w:shd w:val="clear" w:color="auto" w:fill="auto"/>
          </w:tcPr>
          <w:p w:rsidR="0040150E" w:rsidDel="0040150E" w:rsidRDefault="0040150E" w:rsidP="00744AC8">
            <w:pPr>
              <w:pStyle w:val="SingleTxtG"/>
              <w:ind w:firstLine="567"/>
              <w:rPr>
                <w:lang w:eastAsia="en-GB"/>
              </w:rPr>
            </w:pPr>
            <w:r w:rsidRPr="00F03E7A">
              <w:rPr>
                <w:lang w:eastAsia="en-GB"/>
              </w:rPr>
              <w:lastRenderedPageBreak/>
              <w:t xml:space="preserve">The independence of the recently established Truth and Reconciliation Commission will be central to </w:t>
            </w:r>
            <w:r w:rsidR="00107576">
              <w:rPr>
                <w:lang w:eastAsia="en-GB"/>
              </w:rPr>
              <w:t xml:space="preserve">its </w:t>
            </w:r>
            <w:r w:rsidRPr="00F03E7A">
              <w:rPr>
                <w:lang w:eastAsia="en-GB"/>
              </w:rPr>
              <w:t>gain</w:t>
            </w:r>
            <w:r w:rsidR="00107576">
              <w:rPr>
                <w:lang w:eastAsia="en-GB"/>
              </w:rPr>
              <w:t>ing</w:t>
            </w:r>
            <w:r w:rsidRPr="00F03E7A">
              <w:rPr>
                <w:lang w:eastAsia="en-GB"/>
              </w:rPr>
              <w:t xml:space="preserve"> credibility and </w:t>
            </w:r>
            <w:r w:rsidR="00107576">
              <w:rPr>
                <w:lang w:eastAsia="en-GB"/>
              </w:rPr>
              <w:t xml:space="preserve">the </w:t>
            </w:r>
            <w:r w:rsidRPr="00F03E7A">
              <w:rPr>
                <w:lang w:eastAsia="en-GB"/>
              </w:rPr>
              <w:t xml:space="preserve">trust of the population and victims. The risk of </w:t>
            </w:r>
            <w:r w:rsidR="00107576">
              <w:rPr>
                <w:lang w:eastAsia="en-GB"/>
              </w:rPr>
              <w:t xml:space="preserve">the Commission </w:t>
            </w:r>
            <w:r>
              <w:rPr>
                <w:lang w:eastAsia="en-GB"/>
              </w:rPr>
              <w:t xml:space="preserve">turning into </w:t>
            </w:r>
            <w:r w:rsidRPr="00F03E7A">
              <w:rPr>
                <w:lang w:eastAsia="en-GB"/>
              </w:rPr>
              <w:t xml:space="preserve">a </w:t>
            </w:r>
            <w:r>
              <w:rPr>
                <w:lang w:eastAsia="en-GB"/>
              </w:rPr>
              <w:t>“</w:t>
            </w:r>
            <w:r w:rsidR="00107576">
              <w:rPr>
                <w:lang w:eastAsia="en-GB"/>
              </w:rPr>
              <w:t>p</w:t>
            </w:r>
            <w:r w:rsidRPr="00F03E7A">
              <w:rPr>
                <w:lang w:eastAsia="en-GB"/>
              </w:rPr>
              <w:t xml:space="preserve">ardon </w:t>
            </w:r>
            <w:r w:rsidR="00107576">
              <w:rPr>
                <w:lang w:eastAsia="en-GB"/>
              </w:rPr>
              <w:t>c</w:t>
            </w:r>
            <w:r w:rsidRPr="00F03E7A">
              <w:rPr>
                <w:lang w:eastAsia="en-GB"/>
              </w:rPr>
              <w:t>ommission</w:t>
            </w:r>
            <w:r>
              <w:rPr>
                <w:lang w:eastAsia="en-GB"/>
              </w:rPr>
              <w:t>”</w:t>
            </w:r>
            <w:r w:rsidRPr="00F03E7A">
              <w:rPr>
                <w:lang w:eastAsia="en-GB"/>
              </w:rPr>
              <w:t xml:space="preserve"> should be taken seriously. </w:t>
            </w:r>
            <w:r w:rsidRPr="00B1707B">
              <w:rPr>
                <w:lang w:eastAsia="en-GB"/>
              </w:rPr>
              <w:t xml:space="preserve">Individual pardon agreements </w:t>
            </w:r>
            <w:r w:rsidR="00107576">
              <w:rPr>
                <w:lang w:eastAsia="en-GB"/>
              </w:rPr>
              <w:t xml:space="preserve">do </w:t>
            </w:r>
            <w:r w:rsidRPr="00B1707B">
              <w:rPr>
                <w:lang w:eastAsia="en-GB"/>
              </w:rPr>
              <w:t>not constitute an effective and comprehensive response to violation</w:t>
            </w:r>
            <w:r w:rsidR="00107576">
              <w:rPr>
                <w:lang w:eastAsia="en-GB"/>
              </w:rPr>
              <w:t>s</w:t>
            </w:r>
            <w:r w:rsidRPr="00B1707B">
              <w:rPr>
                <w:lang w:eastAsia="en-GB"/>
              </w:rPr>
              <w:t xml:space="preserve"> of the </w:t>
            </w:r>
            <w:r w:rsidR="00107576">
              <w:rPr>
                <w:lang w:eastAsia="en-GB"/>
              </w:rPr>
              <w:t xml:space="preserve">fundamental </w:t>
            </w:r>
            <w:r w:rsidRPr="00B1707B">
              <w:rPr>
                <w:lang w:eastAsia="en-GB"/>
              </w:rPr>
              <w:t xml:space="preserve">principle of the rule of law that </w:t>
            </w:r>
            <w:r w:rsidR="00D562BB">
              <w:rPr>
                <w:lang w:eastAsia="en-GB"/>
              </w:rPr>
              <w:t xml:space="preserve">have </w:t>
            </w:r>
            <w:r w:rsidRPr="00B1707B">
              <w:rPr>
                <w:lang w:eastAsia="en-GB"/>
              </w:rPr>
              <w:t>resulted from massive individual violations.</w:t>
            </w:r>
            <w:r>
              <w:rPr>
                <w:lang w:eastAsia="en-GB"/>
              </w:rPr>
              <w:t xml:space="preserve"> As important as a well-functioning truth commission is, the other pillars of transitional justice </w:t>
            </w:r>
            <w:r w:rsidR="00107576">
              <w:rPr>
                <w:lang w:eastAsia="en-GB"/>
              </w:rPr>
              <w:t xml:space="preserve">must </w:t>
            </w:r>
            <w:r>
              <w:rPr>
                <w:lang w:eastAsia="en-GB"/>
              </w:rPr>
              <w:t>not be relegated</w:t>
            </w:r>
            <w:r w:rsidR="00107576">
              <w:rPr>
                <w:lang w:eastAsia="en-GB"/>
              </w:rPr>
              <w:t xml:space="preserve"> to the back burner</w:t>
            </w:r>
            <w:r>
              <w:rPr>
                <w:lang w:eastAsia="en-GB"/>
              </w:rPr>
              <w:t xml:space="preserve">, as has happened in Burundi </w:t>
            </w:r>
            <w:r w:rsidR="00867411">
              <w:rPr>
                <w:lang w:eastAsia="en-GB"/>
              </w:rPr>
              <w:t>over</w:t>
            </w:r>
            <w:r>
              <w:rPr>
                <w:lang w:eastAsia="en-GB"/>
              </w:rPr>
              <w:t xml:space="preserve"> the </w:t>
            </w:r>
            <w:r w:rsidR="00050017">
              <w:rPr>
                <w:lang w:eastAsia="en-GB"/>
              </w:rPr>
              <w:t>p</w:t>
            </w:r>
            <w:r>
              <w:rPr>
                <w:lang w:eastAsia="en-GB"/>
              </w:rPr>
              <w:t xml:space="preserve">ast </w:t>
            </w:r>
            <w:r w:rsidR="00D562BB">
              <w:rPr>
                <w:lang w:eastAsia="en-GB"/>
              </w:rPr>
              <w:t>10</w:t>
            </w:r>
            <w:r>
              <w:rPr>
                <w:lang w:eastAsia="en-GB"/>
              </w:rPr>
              <w:t xml:space="preserve"> years. </w:t>
            </w:r>
          </w:p>
        </w:tc>
      </w:tr>
      <w:tr w:rsidR="00E4650C" w:rsidRPr="000F2EB0" w:rsidTr="002E637C">
        <w:trPr>
          <w:cantSplit/>
          <w:jc w:val="center"/>
        </w:trPr>
        <w:tc>
          <w:tcPr>
            <w:tcW w:w="9637" w:type="dxa"/>
            <w:tcBorders>
              <w:top w:val="nil"/>
              <w:left w:val="single" w:sz="4" w:space="0" w:color="auto"/>
              <w:bottom w:val="nil"/>
              <w:right w:val="single" w:sz="4" w:space="0" w:color="auto"/>
            </w:tcBorders>
            <w:shd w:val="clear" w:color="auto" w:fill="auto"/>
          </w:tcPr>
          <w:p w:rsidR="00E4650C" w:rsidDel="0040150E" w:rsidRDefault="00E4650C" w:rsidP="00744AC8">
            <w:pPr>
              <w:pStyle w:val="SingleTxtG"/>
              <w:ind w:firstLine="567"/>
              <w:rPr>
                <w:lang w:eastAsia="en-GB"/>
              </w:rPr>
            </w:pPr>
            <w:r w:rsidRPr="00F03E7A">
              <w:rPr>
                <w:lang w:eastAsia="en-GB"/>
              </w:rPr>
              <w:t xml:space="preserve">It is of </w:t>
            </w:r>
            <w:r w:rsidR="00800792" w:rsidRPr="0078689C">
              <w:rPr>
                <w:lang w:eastAsia="en-GB"/>
              </w:rPr>
              <w:t>grave</w:t>
            </w:r>
            <w:r w:rsidR="00800792">
              <w:rPr>
                <w:lang w:eastAsia="en-GB"/>
              </w:rPr>
              <w:t xml:space="preserve"> </w:t>
            </w:r>
            <w:r w:rsidRPr="00F03E7A">
              <w:rPr>
                <w:lang w:eastAsia="en-GB"/>
              </w:rPr>
              <w:t xml:space="preserve">concern that discussions </w:t>
            </w:r>
            <w:r>
              <w:rPr>
                <w:lang w:eastAsia="en-GB"/>
              </w:rPr>
              <w:t>regarding</w:t>
            </w:r>
            <w:r w:rsidRPr="00F03E7A">
              <w:rPr>
                <w:lang w:eastAsia="en-GB"/>
              </w:rPr>
              <w:t xml:space="preserve"> criminal justice for massive violations have </w:t>
            </w:r>
            <w:r>
              <w:rPr>
                <w:lang w:eastAsia="en-GB"/>
              </w:rPr>
              <w:t>come to a halt; they must not be further postponed</w:t>
            </w:r>
            <w:r w:rsidRPr="00F03E7A">
              <w:rPr>
                <w:lang w:eastAsia="en-GB"/>
              </w:rPr>
              <w:t xml:space="preserve">. </w:t>
            </w:r>
            <w:r>
              <w:rPr>
                <w:lang w:eastAsia="en-GB"/>
              </w:rPr>
              <w:t>T</w:t>
            </w:r>
            <w:r w:rsidRPr="00F03E7A">
              <w:rPr>
                <w:lang w:eastAsia="en-GB"/>
              </w:rPr>
              <w:t xml:space="preserve">he significantly expanded </w:t>
            </w:r>
            <w:r>
              <w:rPr>
                <w:lang w:eastAsia="en-GB"/>
              </w:rPr>
              <w:t>“</w:t>
            </w:r>
            <w:r w:rsidRPr="00F03E7A">
              <w:rPr>
                <w:lang w:eastAsia="en-GB"/>
              </w:rPr>
              <w:t>temporary</w:t>
            </w:r>
            <w:r>
              <w:rPr>
                <w:lang w:eastAsia="en-GB"/>
              </w:rPr>
              <w:t>”</w:t>
            </w:r>
            <w:r w:rsidRPr="00F03E7A">
              <w:rPr>
                <w:lang w:eastAsia="en-GB"/>
              </w:rPr>
              <w:t xml:space="preserve"> immunities regime </w:t>
            </w:r>
            <w:r>
              <w:rPr>
                <w:lang w:eastAsia="en-GB"/>
              </w:rPr>
              <w:t xml:space="preserve">has become an obstacle to all justice initiatives. </w:t>
            </w:r>
          </w:p>
        </w:tc>
      </w:tr>
      <w:tr w:rsidR="00E4650C" w:rsidRPr="000F2EB0" w:rsidTr="002E637C">
        <w:trPr>
          <w:cantSplit/>
          <w:jc w:val="center"/>
        </w:trPr>
        <w:tc>
          <w:tcPr>
            <w:tcW w:w="9637" w:type="dxa"/>
            <w:tcBorders>
              <w:top w:val="nil"/>
              <w:left w:val="single" w:sz="4" w:space="0" w:color="auto"/>
              <w:bottom w:val="nil"/>
              <w:right w:val="single" w:sz="4" w:space="0" w:color="auto"/>
            </w:tcBorders>
            <w:shd w:val="clear" w:color="auto" w:fill="auto"/>
          </w:tcPr>
          <w:p w:rsidR="00E4650C" w:rsidDel="0040150E" w:rsidRDefault="00E4650C" w:rsidP="00DC5EF3">
            <w:pPr>
              <w:pStyle w:val="SingleTxtG"/>
              <w:ind w:firstLine="567"/>
              <w:rPr>
                <w:lang w:eastAsia="en-GB"/>
              </w:rPr>
            </w:pPr>
            <w:r w:rsidRPr="00F03E7A">
              <w:rPr>
                <w:lang w:eastAsia="en-GB"/>
              </w:rPr>
              <w:t xml:space="preserve">Reparation initiatives have focused </w:t>
            </w:r>
            <w:r>
              <w:rPr>
                <w:lang w:eastAsia="en-GB"/>
              </w:rPr>
              <w:t xml:space="preserve">mainly </w:t>
            </w:r>
            <w:r w:rsidRPr="00F03E7A">
              <w:rPr>
                <w:lang w:eastAsia="en-GB"/>
              </w:rPr>
              <w:t xml:space="preserve">on the restitution of land. The independent and impartial functioning of the </w:t>
            </w:r>
            <w:r w:rsidR="00F52A28">
              <w:rPr>
                <w:lang w:eastAsia="en-GB"/>
              </w:rPr>
              <w:t xml:space="preserve">National </w:t>
            </w:r>
            <w:r w:rsidRPr="00F03E7A">
              <w:rPr>
                <w:lang w:eastAsia="en-GB"/>
              </w:rPr>
              <w:t xml:space="preserve">Commission on Land and Other Assets and the newly established Special Court are central pillars in ensuring that land issues are settled without consideration </w:t>
            </w:r>
            <w:r w:rsidR="00DC5EF3">
              <w:rPr>
                <w:lang w:eastAsia="en-GB"/>
              </w:rPr>
              <w:t>for</w:t>
            </w:r>
            <w:r w:rsidR="00DC5EF3" w:rsidRPr="00F03E7A">
              <w:rPr>
                <w:lang w:eastAsia="en-GB"/>
              </w:rPr>
              <w:t xml:space="preserve"> </w:t>
            </w:r>
            <w:r w:rsidRPr="00F03E7A">
              <w:rPr>
                <w:lang w:eastAsia="en-GB"/>
              </w:rPr>
              <w:t>political</w:t>
            </w:r>
            <w:r>
              <w:rPr>
                <w:lang w:eastAsia="en-GB"/>
              </w:rPr>
              <w:t>, ethnic</w:t>
            </w:r>
            <w:r w:rsidRPr="00F03E7A">
              <w:rPr>
                <w:lang w:eastAsia="en-GB"/>
              </w:rPr>
              <w:t xml:space="preserve"> or other affiliation. Broader land reform initiatives</w:t>
            </w:r>
            <w:r>
              <w:rPr>
                <w:lang w:eastAsia="en-GB"/>
              </w:rPr>
              <w:t>, including efforts to ensure women’s access to land,</w:t>
            </w:r>
            <w:r w:rsidRPr="00F03E7A">
              <w:rPr>
                <w:lang w:eastAsia="en-GB"/>
              </w:rPr>
              <w:t xml:space="preserve"> need to be undertaken</w:t>
            </w:r>
            <w:r>
              <w:rPr>
                <w:lang w:eastAsia="en-GB"/>
              </w:rPr>
              <w:t>.</w:t>
            </w:r>
            <w:r w:rsidRPr="00F03E7A">
              <w:rPr>
                <w:lang w:eastAsia="en-GB"/>
              </w:rPr>
              <w:t xml:space="preserve"> Comprehensive </w:t>
            </w:r>
            <w:r>
              <w:rPr>
                <w:lang w:eastAsia="en-GB"/>
              </w:rPr>
              <w:t xml:space="preserve">and feasible </w:t>
            </w:r>
            <w:r w:rsidRPr="00F03E7A">
              <w:rPr>
                <w:lang w:eastAsia="en-GB"/>
              </w:rPr>
              <w:t xml:space="preserve">reparation schemes need </w:t>
            </w:r>
            <w:r>
              <w:rPr>
                <w:lang w:eastAsia="en-GB"/>
              </w:rPr>
              <w:t xml:space="preserve">systematic treatment, with special attention to the needs of the most vulnerable and based on </w:t>
            </w:r>
            <w:r w:rsidRPr="00F03E7A">
              <w:rPr>
                <w:lang w:eastAsia="en-GB"/>
              </w:rPr>
              <w:t xml:space="preserve">a consultative </w:t>
            </w:r>
            <w:r>
              <w:rPr>
                <w:lang w:eastAsia="en-GB"/>
              </w:rPr>
              <w:t>process.</w:t>
            </w:r>
          </w:p>
        </w:tc>
      </w:tr>
      <w:tr w:rsidR="00E4650C" w:rsidRPr="000F2EB0" w:rsidTr="002E637C">
        <w:trPr>
          <w:cantSplit/>
          <w:jc w:val="center"/>
        </w:trPr>
        <w:tc>
          <w:tcPr>
            <w:tcW w:w="9637" w:type="dxa"/>
            <w:tcBorders>
              <w:top w:val="nil"/>
              <w:left w:val="single" w:sz="4" w:space="0" w:color="auto"/>
              <w:bottom w:val="nil"/>
              <w:right w:val="single" w:sz="4" w:space="0" w:color="auto"/>
            </w:tcBorders>
            <w:shd w:val="clear" w:color="auto" w:fill="auto"/>
          </w:tcPr>
          <w:p w:rsidR="00E4650C" w:rsidDel="0040150E" w:rsidRDefault="00F52A28" w:rsidP="00F52A28">
            <w:pPr>
              <w:pStyle w:val="SingleTxtG"/>
              <w:ind w:firstLine="567"/>
              <w:rPr>
                <w:lang w:eastAsia="en-GB"/>
              </w:rPr>
            </w:pPr>
            <w:r w:rsidRPr="0098195C">
              <w:rPr>
                <w:lang w:eastAsia="en-GB"/>
              </w:rPr>
              <w:t>Commendable a</w:t>
            </w:r>
            <w:r w:rsidR="00E4650C" w:rsidRPr="0098195C">
              <w:rPr>
                <w:lang w:eastAsia="en-GB"/>
              </w:rPr>
              <w:t xml:space="preserve">chievements in the area of demobilization, disarmament and reintegration </w:t>
            </w:r>
            <w:r w:rsidRPr="0098195C">
              <w:rPr>
                <w:lang w:eastAsia="en-GB"/>
              </w:rPr>
              <w:t>had been made as at the end of April 2015</w:t>
            </w:r>
            <w:r w:rsidR="00E4650C" w:rsidRPr="0098195C">
              <w:rPr>
                <w:lang w:eastAsia="en-GB"/>
              </w:rPr>
              <w:t xml:space="preserve">. However, continuing reform efforts in the security sector must </w:t>
            </w:r>
            <w:r w:rsidR="00867411" w:rsidRPr="0098195C">
              <w:rPr>
                <w:lang w:eastAsia="en-GB"/>
              </w:rPr>
              <w:t xml:space="preserve">be </w:t>
            </w:r>
            <w:r w:rsidR="00E4650C" w:rsidRPr="0098195C">
              <w:rPr>
                <w:lang w:eastAsia="en-GB"/>
              </w:rPr>
              <w:t>link</w:t>
            </w:r>
            <w:r w:rsidR="00867411" w:rsidRPr="0098195C">
              <w:rPr>
                <w:lang w:eastAsia="en-GB"/>
              </w:rPr>
              <w:t>ed</w:t>
            </w:r>
            <w:r w:rsidR="00E4650C" w:rsidRPr="0098195C">
              <w:rPr>
                <w:lang w:eastAsia="en-GB"/>
              </w:rPr>
              <w:t xml:space="preserve"> with justice considerations to ensure an institutional set-up that contributes to preventing future violations.</w:t>
            </w:r>
            <w:r w:rsidR="00E4650C" w:rsidRPr="00F03E7A">
              <w:rPr>
                <w:lang w:eastAsia="en-GB"/>
              </w:rPr>
              <w:t xml:space="preserve"> While </w:t>
            </w:r>
            <w:r w:rsidR="0014759C">
              <w:rPr>
                <w:lang w:eastAsia="en-GB"/>
              </w:rPr>
              <w:t xml:space="preserve">there is </w:t>
            </w:r>
            <w:r w:rsidR="00E4650C">
              <w:rPr>
                <w:lang w:eastAsia="en-GB"/>
              </w:rPr>
              <w:t xml:space="preserve">broad acknowledgement </w:t>
            </w:r>
            <w:r w:rsidR="00D562BB">
              <w:rPr>
                <w:lang w:eastAsia="en-GB"/>
              </w:rPr>
              <w:t xml:space="preserve">that </w:t>
            </w:r>
            <w:r w:rsidR="00E4650C" w:rsidRPr="00F03E7A">
              <w:rPr>
                <w:lang w:eastAsia="en-GB"/>
              </w:rPr>
              <w:t>reform</w:t>
            </w:r>
            <w:r w:rsidR="00E4650C">
              <w:rPr>
                <w:lang w:eastAsia="en-GB"/>
              </w:rPr>
              <w:t>s</w:t>
            </w:r>
            <w:r w:rsidR="00D562BB">
              <w:rPr>
                <w:lang w:eastAsia="en-GB"/>
              </w:rPr>
              <w:t xml:space="preserve"> are required</w:t>
            </w:r>
            <w:r w:rsidR="00E4650C" w:rsidRPr="00F03E7A">
              <w:rPr>
                <w:lang w:eastAsia="en-GB"/>
              </w:rPr>
              <w:t xml:space="preserve"> to establish an independent judiciary, the executive branch and the governing political party </w:t>
            </w:r>
            <w:r w:rsidR="00E4650C">
              <w:rPr>
                <w:lang w:eastAsia="en-GB"/>
              </w:rPr>
              <w:t xml:space="preserve">continue to </w:t>
            </w:r>
            <w:r w:rsidR="00FC29E8">
              <w:rPr>
                <w:lang w:eastAsia="en-GB"/>
              </w:rPr>
              <w:t>tightly</w:t>
            </w:r>
            <w:r w:rsidR="00E4650C">
              <w:rPr>
                <w:lang w:eastAsia="en-GB"/>
              </w:rPr>
              <w:t xml:space="preserve"> control </w:t>
            </w:r>
            <w:r w:rsidR="00E4650C" w:rsidRPr="00F03E7A">
              <w:rPr>
                <w:lang w:eastAsia="en-GB"/>
              </w:rPr>
              <w:t>the justice sector.</w:t>
            </w:r>
          </w:p>
        </w:tc>
      </w:tr>
      <w:tr w:rsidR="00203234" w:rsidRPr="000F2EB0" w:rsidTr="002E637C">
        <w:trPr>
          <w:cantSplit/>
          <w:jc w:val="center"/>
        </w:trPr>
        <w:tc>
          <w:tcPr>
            <w:tcW w:w="9637" w:type="dxa"/>
            <w:tcBorders>
              <w:top w:val="nil"/>
              <w:left w:val="single" w:sz="4" w:space="0" w:color="auto"/>
              <w:bottom w:val="nil"/>
              <w:right w:val="single" w:sz="4" w:space="0" w:color="auto"/>
            </w:tcBorders>
            <w:shd w:val="clear" w:color="auto" w:fill="auto"/>
          </w:tcPr>
          <w:p w:rsidR="00203234" w:rsidRDefault="0046460C" w:rsidP="008D6221">
            <w:pPr>
              <w:pStyle w:val="SingleTxtG"/>
              <w:ind w:firstLine="567"/>
              <w:rPr>
                <w:lang w:eastAsia="en-GB"/>
              </w:rPr>
            </w:pPr>
            <w:r w:rsidRPr="00F03E7A">
              <w:rPr>
                <w:lang w:eastAsia="en-GB"/>
              </w:rPr>
              <w:t xml:space="preserve">Burundian society </w:t>
            </w:r>
            <w:r>
              <w:rPr>
                <w:lang w:eastAsia="en-GB"/>
              </w:rPr>
              <w:t xml:space="preserve">still suffers the </w:t>
            </w:r>
            <w:r w:rsidR="0014759C">
              <w:rPr>
                <w:lang w:eastAsia="en-GB"/>
              </w:rPr>
              <w:t xml:space="preserve">effects of the </w:t>
            </w:r>
            <w:r w:rsidRPr="00F03E7A">
              <w:rPr>
                <w:lang w:eastAsia="en-GB"/>
              </w:rPr>
              <w:t xml:space="preserve">intergenerational transmission of violence. </w:t>
            </w:r>
            <w:r>
              <w:rPr>
                <w:lang w:eastAsia="en-GB"/>
              </w:rPr>
              <w:t>H</w:t>
            </w:r>
            <w:r w:rsidRPr="00F03E7A">
              <w:rPr>
                <w:lang w:eastAsia="en-GB"/>
              </w:rPr>
              <w:t xml:space="preserve">istorical narratives </w:t>
            </w:r>
            <w:r>
              <w:rPr>
                <w:lang w:eastAsia="en-GB"/>
              </w:rPr>
              <w:t xml:space="preserve">that replicate old divisions and reproduce fear are </w:t>
            </w:r>
            <w:r w:rsidRPr="00F03E7A">
              <w:rPr>
                <w:lang w:eastAsia="en-GB"/>
              </w:rPr>
              <w:t xml:space="preserve">transferred at the family and community levels. The absence of </w:t>
            </w:r>
            <w:r w:rsidR="00050017">
              <w:rPr>
                <w:lang w:eastAsia="en-GB"/>
              </w:rPr>
              <w:t xml:space="preserve">efforts to </w:t>
            </w:r>
            <w:r w:rsidRPr="00F03E7A">
              <w:rPr>
                <w:lang w:eastAsia="en-GB"/>
              </w:rPr>
              <w:t>teach</w:t>
            </w:r>
            <w:r w:rsidR="00050017">
              <w:rPr>
                <w:lang w:eastAsia="en-GB"/>
              </w:rPr>
              <w:t xml:space="preserve"> the country’s</w:t>
            </w:r>
            <w:r w:rsidRPr="00F03E7A">
              <w:rPr>
                <w:lang w:eastAsia="en-GB"/>
              </w:rPr>
              <w:t xml:space="preserve"> </w:t>
            </w:r>
            <w:r w:rsidR="00050017">
              <w:rPr>
                <w:lang w:eastAsia="en-GB"/>
              </w:rPr>
              <w:t>recent</w:t>
            </w:r>
            <w:r w:rsidRPr="00F03E7A">
              <w:rPr>
                <w:lang w:eastAsia="en-GB"/>
              </w:rPr>
              <w:t xml:space="preserve"> history with a view to fostering dialog</w:t>
            </w:r>
            <w:r w:rsidR="00965A61">
              <w:rPr>
                <w:lang w:eastAsia="en-GB"/>
              </w:rPr>
              <w:t>ue</w:t>
            </w:r>
            <w:r>
              <w:rPr>
                <w:lang w:eastAsia="en-GB"/>
              </w:rPr>
              <w:t>,</w:t>
            </w:r>
            <w:r w:rsidRPr="00F03E7A">
              <w:rPr>
                <w:lang w:eastAsia="en-GB"/>
              </w:rPr>
              <w:t xml:space="preserve"> </w:t>
            </w:r>
            <w:r>
              <w:rPr>
                <w:lang w:eastAsia="en-GB"/>
              </w:rPr>
              <w:t xml:space="preserve">coupled with </w:t>
            </w:r>
            <w:r w:rsidRPr="00F03E7A">
              <w:rPr>
                <w:lang w:eastAsia="en-GB"/>
              </w:rPr>
              <w:t>the scarcity of official</w:t>
            </w:r>
            <w:r>
              <w:rPr>
                <w:lang w:eastAsia="en-GB"/>
              </w:rPr>
              <w:t>ly supported (not controlled)</w:t>
            </w:r>
            <w:r w:rsidRPr="00F03E7A">
              <w:rPr>
                <w:lang w:eastAsia="en-GB"/>
              </w:rPr>
              <w:t xml:space="preserve"> memorial</w:t>
            </w:r>
            <w:r>
              <w:rPr>
                <w:lang w:eastAsia="en-GB"/>
              </w:rPr>
              <w:t xml:space="preserve"> and</w:t>
            </w:r>
            <w:r w:rsidRPr="00F03E7A">
              <w:rPr>
                <w:lang w:eastAsia="en-GB"/>
              </w:rPr>
              <w:t xml:space="preserve"> remembrance </w:t>
            </w:r>
            <w:r>
              <w:rPr>
                <w:lang w:eastAsia="en-GB"/>
              </w:rPr>
              <w:t>processes</w:t>
            </w:r>
            <w:r w:rsidR="006E6438">
              <w:rPr>
                <w:lang w:eastAsia="en-GB"/>
              </w:rPr>
              <w:t>,</w:t>
            </w:r>
            <w:r>
              <w:rPr>
                <w:lang w:eastAsia="en-GB"/>
              </w:rPr>
              <w:t xml:space="preserve"> as well as </w:t>
            </w:r>
            <w:r w:rsidR="00FC29E8">
              <w:rPr>
                <w:lang w:eastAsia="en-GB"/>
              </w:rPr>
              <w:t xml:space="preserve">a disregard </w:t>
            </w:r>
            <w:r w:rsidR="008D6221">
              <w:rPr>
                <w:lang w:eastAsia="en-GB"/>
              </w:rPr>
              <w:t xml:space="preserve">for </w:t>
            </w:r>
            <w:r w:rsidR="00FC29E8">
              <w:rPr>
                <w:lang w:eastAsia="en-GB"/>
              </w:rPr>
              <w:t xml:space="preserve">mass </w:t>
            </w:r>
            <w:r>
              <w:rPr>
                <w:lang w:eastAsia="en-GB"/>
              </w:rPr>
              <w:t xml:space="preserve">burial places, contribute to the replication of divisive stories. </w:t>
            </w:r>
          </w:p>
        </w:tc>
      </w:tr>
      <w:tr w:rsidR="00413D6F" w:rsidRPr="000F2EB0" w:rsidTr="002E637C">
        <w:trPr>
          <w:cantSplit/>
          <w:jc w:val="center"/>
        </w:trPr>
        <w:tc>
          <w:tcPr>
            <w:tcW w:w="9637" w:type="dxa"/>
            <w:tcBorders>
              <w:top w:val="nil"/>
            </w:tcBorders>
            <w:shd w:val="clear" w:color="auto" w:fill="auto"/>
          </w:tcPr>
          <w:p w:rsidR="00413D6F" w:rsidRPr="00F03E7A" w:rsidRDefault="00413D6F" w:rsidP="00474EF6">
            <w:pPr>
              <w:rPr>
                <w:rFonts w:cs="Arial"/>
                <w:i/>
                <w:color w:val="000000"/>
                <w:lang w:eastAsia="en-GB"/>
              </w:rPr>
            </w:pPr>
          </w:p>
        </w:tc>
      </w:tr>
    </w:tbl>
    <w:p w:rsidR="00EA5738" w:rsidRDefault="00000F08" w:rsidP="00EA5738">
      <w:pPr>
        <w:pStyle w:val="HChG"/>
        <w:ind w:left="0" w:firstLine="0"/>
        <w:rPr>
          <w:rFonts w:eastAsia="SimSun"/>
        </w:rPr>
      </w:pPr>
      <w:r w:rsidRPr="0046460C">
        <w:br w:type="page"/>
      </w:r>
      <w:r w:rsidR="00EA5738" w:rsidRPr="00310C20">
        <w:rPr>
          <w:rFonts w:eastAsia="SimSun"/>
        </w:rPr>
        <w:lastRenderedPageBreak/>
        <w:t>Annex</w:t>
      </w:r>
    </w:p>
    <w:p w:rsidR="00232536" w:rsidRPr="00E77465" w:rsidRDefault="00232536" w:rsidP="002E637C">
      <w:pPr>
        <w:pStyle w:val="H4G"/>
        <w:tabs>
          <w:tab w:val="left" w:pos="8505"/>
          <w:tab w:val="left" w:pos="9072"/>
        </w:tabs>
        <w:spacing w:before="120"/>
        <w:ind w:right="0"/>
        <w:jc w:val="right"/>
        <w:rPr>
          <w:iCs/>
          <w:lang w:val="en-US"/>
        </w:rPr>
      </w:pPr>
      <w:r w:rsidRPr="00E77465">
        <w:rPr>
          <w:iCs/>
          <w:lang w:val="en-US"/>
        </w:rPr>
        <w:t>[English and French only]</w:t>
      </w:r>
    </w:p>
    <w:p w:rsidR="00757365" w:rsidRPr="00757365" w:rsidRDefault="00EA5738" w:rsidP="00697DD5">
      <w:pPr>
        <w:pStyle w:val="HChG"/>
        <w:rPr>
          <w:rFonts w:eastAsia="SimSun"/>
        </w:rPr>
      </w:pPr>
      <w:r w:rsidRPr="00310C20">
        <w:rPr>
          <w:rFonts w:eastAsia="SimSun"/>
        </w:rPr>
        <w:tab/>
      </w:r>
      <w:r w:rsidRPr="00310C20">
        <w:rPr>
          <w:rFonts w:eastAsia="SimSun"/>
        </w:rPr>
        <w:tab/>
      </w:r>
      <w:r w:rsidRPr="00757365">
        <w:rPr>
          <w:rFonts w:eastAsia="SimSun"/>
        </w:rPr>
        <w:t xml:space="preserve">Report of the </w:t>
      </w:r>
      <w:r w:rsidR="000159EA" w:rsidRPr="00757365">
        <w:rPr>
          <w:rFonts w:eastAsia="Calibri"/>
        </w:rPr>
        <w:t>Special Rapporteur on the promotion of truth, justice, reparation and guarantees of non-recurrence, Pablo de Greiff</w:t>
      </w:r>
      <w:r w:rsidR="00F15AB0">
        <w:rPr>
          <w:rFonts w:eastAsia="Calibri"/>
        </w:rPr>
        <w:t>,</w:t>
      </w:r>
      <w:r w:rsidR="000159EA" w:rsidRPr="00757365">
        <w:rPr>
          <w:rFonts w:eastAsia="SimSun"/>
        </w:rPr>
        <w:t xml:space="preserve"> </w:t>
      </w:r>
      <w:r w:rsidRPr="00757365">
        <w:rPr>
          <w:rFonts w:eastAsia="SimSun"/>
        </w:rPr>
        <w:t xml:space="preserve">on his </w:t>
      </w:r>
      <w:r w:rsidR="00F15AB0">
        <w:rPr>
          <w:rFonts w:eastAsia="SimSun"/>
        </w:rPr>
        <w:t>m</w:t>
      </w:r>
      <w:r w:rsidRPr="00757365">
        <w:rPr>
          <w:rFonts w:eastAsia="SimSun"/>
        </w:rPr>
        <w:t xml:space="preserve">ission to </w:t>
      </w:r>
      <w:r w:rsidR="000159EA" w:rsidRPr="00757365">
        <w:rPr>
          <w:rFonts w:eastAsia="SimSun"/>
        </w:rPr>
        <w:t>Burundi</w:t>
      </w:r>
      <w:r w:rsidRPr="00757365">
        <w:rPr>
          <w:rFonts w:eastAsia="SimSun"/>
        </w:rPr>
        <w:t xml:space="preserve"> (</w:t>
      </w:r>
      <w:r w:rsidR="007D1101" w:rsidRPr="008D6221">
        <w:rPr>
          <w:rFonts w:eastAsia="SimSun"/>
        </w:rPr>
        <w:t>8</w:t>
      </w:r>
      <w:r w:rsidR="006366FA">
        <w:rPr>
          <w:rFonts w:eastAsia="SimSun"/>
        </w:rPr>
        <w:t>–</w:t>
      </w:r>
      <w:r w:rsidR="000159EA" w:rsidRPr="008D6221">
        <w:rPr>
          <w:rFonts w:eastAsia="SimSun"/>
        </w:rPr>
        <w:t>1</w:t>
      </w:r>
      <w:r w:rsidR="007D1101" w:rsidRPr="008D6221">
        <w:rPr>
          <w:rFonts w:eastAsia="SimSun"/>
        </w:rPr>
        <w:t>6</w:t>
      </w:r>
      <w:r w:rsidR="000159EA" w:rsidRPr="008D6221">
        <w:rPr>
          <w:rFonts w:eastAsia="SimSun"/>
        </w:rPr>
        <w:t xml:space="preserve"> </w:t>
      </w:r>
      <w:r w:rsidRPr="008D6221">
        <w:rPr>
          <w:rFonts w:eastAsia="SimSun"/>
        </w:rPr>
        <w:t>December 2014</w:t>
      </w:r>
      <w:r w:rsidRPr="00757365">
        <w:rPr>
          <w:rFonts w:eastAsia="SimSun"/>
        </w:rPr>
        <w:t>)</w:t>
      </w:r>
    </w:p>
    <w:p w:rsidR="00000F08" w:rsidRPr="002E637C" w:rsidRDefault="00000F08" w:rsidP="002E637C">
      <w:pPr>
        <w:pStyle w:val="HChG"/>
        <w:spacing w:before="240" w:after="120"/>
        <w:ind w:left="0" w:firstLine="0"/>
        <w:rPr>
          <w:b w:val="0"/>
        </w:rPr>
      </w:pPr>
      <w:r w:rsidRPr="002E637C">
        <w:rPr>
          <w:rFonts w:eastAsia="Calibri"/>
          <w:b w:val="0"/>
        </w:rPr>
        <w:t>Contents</w:t>
      </w:r>
    </w:p>
    <w:p w:rsidR="00000F08" w:rsidRPr="002E637C" w:rsidRDefault="00000F08" w:rsidP="00000F08">
      <w:pPr>
        <w:tabs>
          <w:tab w:val="right" w:pos="8929"/>
          <w:tab w:val="right" w:pos="9638"/>
        </w:tabs>
        <w:spacing w:after="120"/>
        <w:ind w:left="283"/>
        <w:rPr>
          <w:rFonts w:eastAsia="Calibri"/>
          <w:i/>
          <w:sz w:val="18"/>
        </w:rPr>
      </w:pPr>
      <w:r w:rsidRPr="002E637C">
        <w:rPr>
          <w:rFonts w:eastAsia="Calibri"/>
          <w:i/>
          <w:sz w:val="18"/>
        </w:rPr>
        <w:tab/>
      </w:r>
      <w:r w:rsidR="00A062A0" w:rsidRPr="002E637C">
        <w:rPr>
          <w:rFonts w:eastAsia="Calibri"/>
          <w:i/>
          <w:sz w:val="18"/>
        </w:rPr>
        <w:tab/>
      </w:r>
      <w:r w:rsidRPr="002E637C">
        <w:rPr>
          <w:rFonts w:eastAsia="Calibri"/>
          <w:i/>
          <w:sz w:val="18"/>
        </w:rPr>
        <w:t>Page</w:t>
      </w:r>
    </w:p>
    <w:p w:rsidR="0041378B" w:rsidRPr="002E637C" w:rsidRDefault="0041378B" w:rsidP="002E637C">
      <w:pPr>
        <w:tabs>
          <w:tab w:val="right" w:pos="850"/>
          <w:tab w:val="left" w:pos="1134"/>
          <w:tab w:val="left" w:pos="1559"/>
          <w:tab w:val="left" w:pos="1984"/>
          <w:tab w:val="left" w:leader="dot" w:pos="8931"/>
          <w:tab w:val="right" w:pos="9638"/>
        </w:tabs>
        <w:spacing w:after="120"/>
      </w:pPr>
      <w:r w:rsidRPr="002E637C">
        <w:tab/>
        <w:t>I.</w:t>
      </w:r>
      <w:r w:rsidRPr="002E637C">
        <w:tab/>
        <w:t>Introduction</w:t>
      </w:r>
      <w:r w:rsidR="00B654C3" w:rsidRPr="002E637C">
        <w:tab/>
      </w:r>
      <w:r w:rsidR="00A062A0" w:rsidRPr="002E637C">
        <w:tab/>
      </w:r>
      <w:r w:rsidR="00232536" w:rsidRPr="002E637C">
        <w:t>4</w:t>
      </w:r>
    </w:p>
    <w:p w:rsidR="00413D6F" w:rsidRPr="002E637C" w:rsidRDefault="00413D6F" w:rsidP="002E637C">
      <w:pPr>
        <w:tabs>
          <w:tab w:val="right" w:pos="850"/>
          <w:tab w:val="left" w:pos="1134"/>
          <w:tab w:val="left" w:pos="1559"/>
          <w:tab w:val="left" w:pos="1984"/>
          <w:tab w:val="left" w:leader="dot" w:pos="8931"/>
          <w:tab w:val="right" w:pos="9638"/>
        </w:tabs>
        <w:spacing w:after="120"/>
      </w:pPr>
      <w:r w:rsidRPr="002E637C">
        <w:tab/>
        <w:t>I</w:t>
      </w:r>
      <w:r w:rsidR="00F228C3" w:rsidRPr="002E637C">
        <w:t>I</w:t>
      </w:r>
      <w:r w:rsidRPr="002E637C">
        <w:t>.</w:t>
      </w:r>
      <w:r w:rsidRPr="002E637C">
        <w:tab/>
        <w:t>Context of the visit</w:t>
      </w:r>
      <w:r w:rsidR="00F228C3" w:rsidRPr="002E637C">
        <w:tab/>
      </w:r>
      <w:r w:rsidR="00F228C3" w:rsidRPr="002E637C">
        <w:tab/>
      </w:r>
      <w:r w:rsidR="00232536" w:rsidRPr="002E637C">
        <w:t>4</w:t>
      </w:r>
    </w:p>
    <w:p w:rsidR="0046460C" w:rsidRPr="002E637C" w:rsidRDefault="0046460C" w:rsidP="002E637C">
      <w:pPr>
        <w:tabs>
          <w:tab w:val="right" w:pos="850"/>
          <w:tab w:val="left" w:pos="1134"/>
          <w:tab w:val="left" w:pos="1559"/>
          <w:tab w:val="left" w:pos="1984"/>
          <w:tab w:val="left" w:leader="dot" w:pos="8931"/>
          <w:tab w:val="right" w:pos="9638"/>
        </w:tabs>
        <w:spacing w:after="120"/>
      </w:pPr>
      <w:r w:rsidRPr="002E637C">
        <w:tab/>
      </w:r>
      <w:r w:rsidRPr="002E637C">
        <w:tab/>
        <w:t>A.</w:t>
      </w:r>
      <w:r w:rsidRPr="002E637C">
        <w:tab/>
        <w:t>Political context</w:t>
      </w:r>
      <w:r w:rsidRPr="002E637C">
        <w:tab/>
      </w:r>
      <w:r w:rsidRPr="002E637C">
        <w:tab/>
      </w:r>
      <w:r w:rsidR="00232536" w:rsidRPr="002E637C">
        <w:t>4</w:t>
      </w:r>
    </w:p>
    <w:p w:rsidR="0046460C" w:rsidRPr="002E637C" w:rsidRDefault="0046460C" w:rsidP="002E637C">
      <w:pPr>
        <w:tabs>
          <w:tab w:val="right" w:pos="850"/>
          <w:tab w:val="left" w:pos="1134"/>
          <w:tab w:val="left" w:pos="1559"/>
          <w:tab w:val="left" w:pos="1984"/>
          <w:tab w:val="left" w:leader="dot" w:pos="8931"/>
          <w:tab w:val="right" w:pos="9638"/>
        </w:tabs>
        <w:spacing w:after="120"/>
      </w:pPr>
      <w:r w:rsidRPr="002E637C">
        <w:tab/>
      </w:r>
      <w:r w:rsidRPr="002E637C">
        <w:tab/>
        <w:t>B.</w:t>
      </w:r>
      <w:r w:rsidRPr="002E637C">
        <w:tab/>
        <w:t>General considerations</w:t>
      </w:r>
      <w:r w:rsidRPr="002E637C">
        <w:tab/>
      </w:r>
      <w:r w:rsidRPr="002E637C">
        <w:tab/>
      </w:r>
      <w:r w:rsidR="00B71CCF" w:rsidRPr="002E637C">
        <w:t>6</w:t>
      </w:r>
    </w:p>
    <w:p w:rsidR="0041378B" w:rsidRPr="002E637C" w:rsidRDefault="0041378B" w:rsidP="002E637C">
      <w:pPr>
        <w:tabs>
          <w:tab w:val="right" w:pos="850"/>
          <w:tab w:val="left" w:pos="1134"/>
          <w:tab w:val="left" w:pos="1559"/>
          <w:tab w:val="left" w:pos="1984"/>
          <w:tab w:val="left" w:leader="dot" w:pos="8931"/>
          <w:tab w:val="right" w:pos="9638"/>
        </w:tabs>
        <w:spacing w:after="120"/>
      </w:pPr>
      <w:r w:rsidRPr="002E637C">
        <w:tab/>
        <w:t>II</w:t>
      </w:r>
      <w:r w:rsidR="00413D6F" w:rsidRPr="002E637C">
        <w:t>I</w:t>
      </w:r>
      <w:r w:rsidRPr="002E637C">
        <w:t>.</w:t>
      </w:r>
      <w:r w:rsidRPr="002E637C">
        <w:tab/>
      </w:r>
      <w:r w:rsidR="0046460C" w:rsidRPr="002E637C">
        <w:t xml:space="preserve">Truth and </w:t>
      </w:r>
      <w:r w:rsidR="00F67D45" w:rsidRPr="002E637C">
        <w:t>R</w:t>
      </w:r>
      <w:r w:rsidR="0046460C" w:rsidRPr="002E637C">
        <w:t>econciliation Commission</w:t>
      </w:r>
      <w:r w:rsidR="00C23280">
        <w:tab/>
      </w:r>
      <w:r w:rsidR="005050F0" w:rsidRPr="002E637C">
        <w:tab/>
      </w:r>
      <w:r w:rsidR="00B71CCF" w:rsidRPr="002E637C">
        <w:t>7</w:t>
      </w:r>
    </w:p>
    <w:p w:rsidR="0041378B" w:rsidRPr="002E637C" w:rsidRDefault="0041378B" w:rsidP="002E637C">
      <w:pPr>
        <w:tabs>
          <w:tab w:val="right" w:pos="850"/>
          <w:tab w:val="left" w:pos="1134"/>
          <w:tab w:val="left" w:pos="1559"/>
          <w:tab w:val="left" w:pos="1984"/>
          <w:tab w:val="left" w:leader="dot" w:pos="8931"/>
          <w:tab w:val="right" w:pos="9638"/>
        </w:tabs>
        <w:spacing w:after="120"/>
      </w:pPr>
      <w:r w:rsidRPr="002E637C">
        <w:tab/>
      </w:r>
      <w:r w:rsidRPr="002E637C">
        <w:tab/>
        <w:t>A.</w:t>
      </w:r>
      <w:r w:rsidRPr="002E637C">
        <w:tab/>
      </w:r>
      <w:r w:rsidR="0046460C" w:rsidRPr="002E637C">
        <w:t>Context</w:t>
      </w:r>
      <w:r w:rsidR="000F2428" w:rsidRPr="002E637C">
        <w:tab/>
      </w:r>
      <w:r w:rsidR="00F228C3" w:rsidRPr="002E637C">
        <w:tab/>
      </w:r>
      <w:r w:rsidR="00B71CCF" w:rsidRPr="002E637C">
        <w:t>7</w:t>
      </w:r>
    </w:p>
    <w:p w:rsidR="0041378B" w:rsidRPr="002E637C" w:rsidRDefault="0041378B" w:rsidP="002E637C">
      <w:pPr>
        <w:tabs>
          <w:tab w:val="right" w:pos="850"/>
          <w:tab w:val="left" w:pos="1134"/>
          <w:tab w:val="left" w:pos="1559"/>
          <w:tab w:val="left" w:pos="1984"/>
          <w:tab w:val="left" w:leader="dot" w:pos="8931"/>
          <w:tab w:val="right" w:pos="9638"/>
        </w:tabs>
        <w:spacing w:after="120"/>
      </w:pPr>
      <w:r w:rsidRPr="002E637C">
        <w:tab/>
      </w:r>
      <w:r w:rsidRPr="002E637C">
        <w:tab/>
        <w:t>B.</w:t>
      </w:r>
      <w:r w:rsidRPr="002E637C">
        <w:tab/>
      </w:r>
      <w:r w:rsidR="0046460C" w:rsidRPr="002E637C">
        <w:t>Mandate, composition and structure</w:t>
      </w:r>
      <w:r w:rsidR="000F2428" w:rsidRPr="002E637C">
        <w:tab/>
      </w:r>
      <w:r w:rsidR="005050F0" w:rsidRPr="002E637C">
        <w:tab/>
      </w:r>
      <w:r w:rsidR="00232536" w:rsidRPr="002E637C">
        <w:t>7</w:t>
      </w:r>
    </w:p>
    <w:p w:rsidR="00792F5A" w:rsidRPr="002E637C" w:rsidRDefault="0046460C" w:rsidP="002E637C">
      <w:pPr>
        <w:tabs>
          <w:tab w:val="right" w:pos="850"/>
          <w:tab w:val="left" w:pos="1134"/>
          <w:tab w:val="left" w:pos="1559"/>
          <w:tab w:val="left" w:pos="1984"/>
          <w:tab w:val="left" w:leader="dot" w:pos="8931"/>
          <w:tab w:val="right" w:pos="9638"/>
        </w:tabs>
        <w:spacing w:after="120"/>
      </w:pPr>
      <w:r w:rsidRPr="002E637C">
        <w:tab/>
      </w:r>
      <w:r w:rsidRPr="002E637C">
        <w:tab/>
        <w:t>C.</w:t>
      </w:r>
      <w:r w:rsidRPr="002E637C">
        <w:tab/>
        <w:t xml:space="preserve">Potential challenges in the </w:t>
      </w:r>
      <w:r w:rsidR="00B71CCF" w:rsidRPr="002E637C">
        <w:t xml:space="preserve">functioning of the </w:t>
      </w:r>
      <w:r w:rsidR="00F67D45" w:rsidRPr="002E637C">
        <w:t>Commission</w:t>
      </w:r>
      <w:r w:rsidR="00C23280">
        <w:tab/>
      </w:r>
      <w:r w:rsidRPr="002E637C">
        <w:tab/>
      </w:r>
      <w:r w:rsidR="00232536" w:rsidRPr="002E637C">
        <w:t>7</w:t>
      </w:r>
    </w:p>
    <w:p w:rsidR="0041378B" w:rsidRPr="002E637C" w:rsidRDefault="00413D6F" w:rsidP="0098195C">
      <w:pPr>
        <w:tabs>
          <w:tab w:val="right" w:pos="850"/>
          <w:tab w:val="left" w:pos="1134"/>
          <w:tab w:val="left" w:pos="1559"/>
          <w:tab w:val="left" w:pos="1984"/>
          <w:tab w:val="left" w:leader="dot" w:pos="8931"/>
          <w:tab w:val="right" w:pos="9638"/>
        </w:tabs>
        <w:spacing w:after="120"/>
      </w:pPr>
      <w:r w:rsidRPr="002E637C">
        <w:tab/>
        <w:t>IV</w:t>
      </w:r>
      <w:r w:rsidR="0041378B" w:rsidRPr="002E637C">
        <w:t>.</w:t>
      </w:r>
      <w:r w:rsidR="0041378B" w:rsidRPr="002E637C">
        <w:tab/>
      </w:r>
      <w:r w:rsidR="0046460C">
        <w:t xml:space="preserve">Delay </w:t>
      </w:r>
      <w:r w:rsidR="0098195C">
        <w:t>in</w:t>
      </w:r>
      <w:r w:rsidR="0046460C">
        <w:t xml:space="preserve"> justice initiatives</w:t>
      </w:r>
      <w:r w:rsidR="000F2428" w:rsidRPr="002E637C">
        <w:tab/>
      </w:r>
      <w:r w:rsidR="009439A0" w:rsidRPr="002E637C">
        <w:tab/>
      </w:r>
      <w:r w:rsidR="00232536" w:rsidRPr="002E637C">
        <w:t>10</w:t>
      </w:r>
    </w:p>
    <w:p w:rsidR="0041378B" w:rsidRPr="002E637C" w:rsidRDefault="00B654C3" w:rsidP="00744AC8">
      <w:pPr>
        <w:tabs>
          <w:tab w:val="right" w:pos="850"/>
          <w:tab w:val="left" w:pos="1134"/>
          <w:tab w:val="left" w:pos="1559"/>
          <w:tab w:val="left" w:pos="1984"/>
          <w:tab w:val="left" w:leader="dot" w:pos="8931"/>
          <w:tab w:val="right" w:pos="9638"/>
        </w:tabs>
        <w:spacing w:after="120"/>
      </w:pPr>
      <w:r w:rsidRPr="002E637C">
        <w:tab/>
      </w:r>
      <w:r w:rsidRPr="002E637C">
        <w:tab/>
      </w:r>
      <w:r w:rsidR="0041378B" w:rsidRPr="002E637C">
        <w:t>A.</w:t>
      </w:r>
      <w:r w:rsidR="0041378B" w:rsidRPr="002E637C">
        <w:tab/>
      </w:r>
      <w:r w:rsidR="0046460C" w:rsidRPr="002E637C">
        <w:t>Stalemate in the creation of a speciali</w:t>
      </w:r>
      <w:r w:rsidR="00050017">
        <w:t>z</w:t>
      </w:r>
      <w:r w:rsidR="0046460C" w:rsidRPr="002E637C">
        <w:t>ed justice mechanism</w:t>
      </w:r>
      <w:r w:rsidR="000F2428" w:rsidRPr="002E637C">
        <w:tab/>
      </w:r>
      <w:r w:rsidR="009439A0" w:rsidRPr="002E637C">
        <w:tab/>
      </w:r>
      <w:r w:rsidR="00232536" w:rsidRPr="002E637C">
        <w:t>1</w:t>
      </w:r>
      <w:r w:rsidR="0056537A">
        <w:t>1</w:t>
      </w:r>
    </w:p>
    <w:p w:rsidR="0041378B" w:rsidRPr="002E637C" w:rsidRDefault="00B654C3" w:rsidP="00744AC8">
      <w:pPr>
        <w:tabs>
          <w:tab w:val="right" w:pos="850"/>
          <w:tab w:val="left" w:pos="1134"/>
          <w:tab w:val="left" w:pos="1559"/>
          <w:tab w:val="left" w:pos="1984"/>
          <w:tab w:val="left" w:leader="dot" w:pos="8931"/>
          <w:tab w:val="right" w:pos="9638"/>
        </w:tabs>
        <w:spacing w:after="120"/>
      </w:pPr>
      <w:r w:rsidRPr="002E637C">
        <w:tab/>
      </w:r>
      <w:r w:rsidRPr="002E637C">
        <w:tab/>
      </w:r>
      <w:r w:rsidR="0041378B" w:rsidRPr="002E637C">
        <w:t>B.</w:t>
      </w:r>
      <w:r w:rsidR="0041378B" w:rsidRPr="002E637C">
        <w:tab/>
      </w:r>
      <w:r w:rsidR="0046460C" w:rsidRPr="002E637C">
        <w:t>“</w:t>
      </w:r>
      <w:r w:rsidR="0046460C">
        <w:t xml:space="preserve">Temporary” </w:t>
      </w:r>
      <w:r w:rsidR="00413D6F">
        <w:t>immunities</w:t>
      </w:r>
      <w:r w:rsidR="000F2428" w:rsidRPr="002E637C">
        <w:tab/>
      </w:r>
      <w:r w:rsidR="005050F0" w:rsidRPr="002E637C">
        <w:tab/>
      </w:r>
      <w:r w:rsidR="00232536" w:rsidRPr="002E637C">
        <w:t>1</w:t>
      </w:r>
      <w:r w:rsidR="00B71CCF" w:rsidRPr="002E637C">
        <w:t>1</w:t>
      </w:r>
    </w:p>
    <w:p w:rsidR="0041378B" w:rsidRPr="002E637C" w:rsidRDefault="00B654C3" w:rsidP="00FF3354">
      <w:pPr>
        <w:tabs>
          <w:tab w:val="right" w:pos="850"/>
          <w:tab w:val="left" w:pos="1134"/>
          <w:tab w:val="left" w:pos="1559"/>
          <w:tab w:val="left" w:pos="1984"/>
          <w:tab w:val="left" w:leader="dot" w:pos="8931"/>
          <w:tab w:val="right" w:pos="9638"/>
        </w:tabs>
        <w:spacing w:after="120"/>
      </w:pPr>
      <w:r w:rsidRPr="002E637C">
        <w:tab/>
      </w:r>
      <w:r w:rsidRPr="002E637C">
        <w:tab/>
      </w:r>
      <w:r w:rsidR="0041378B" w:rsidRPr="002E637C">
        <w:t>C.</w:t>
      </w:r>
      <w:r w:rsidR="0041378B" w:rsidRPr="002E637C">
        <w:tab/>
      </w:r>
      <w:r w:rsidR="0098195C">
        <w:t xml:space="preserve">Is </w:t>
      </w:r>
      <w:r w:rsidR="0046460C">
        <w:t>the T</w:t>
      </w:r>
      <w:r w:rsidR="000C4C8B">
        <w:t xml:space="preserve">ruth and </w:t>
      </w:r>
      <w:r w:rsidR="0046460C">
        <w:t>R</w:t>
      </w:r>
      <w:r w:rsidR="000C4C8B">
        <w:t xml:space="preserve">econciliation </w:t>
      </w:r>
      <w:r w:rsidR="0046460C">
        <w:t>C</w:t>
      </w:r>
      <w:r w:rsidR="000C4C8B">
        <w:t xml:space="preserve">ommission </w:t>
      </w:r>
      <w:r w:rsidR="0046460C">
        <w:t>further delay</w:t>
      </w:r>
      <w:r w:rsidR="00FF3354">
        <w:t>ing</w:t>
      </w:r>
      <w:r w:rsidR="0046460C">
        <w:t xml:space="preserve"> justice?</w:t>
      </w:r>
      <w:r w:rsidR="000F2428" w:rsidRPr="002E637C">
        <w:tab/>
      </w:r>
      <w:r w:rsidR="009439A0" w:rsidRPr="002E637C">
        <w:tab/>
      </w:r>
      <w:r w:rsidR="00232536" w:rsidRPr="002E637C">
        <w:t>1</w:t>
      </w:r>
      <w:r w:rsidR="00B71CCF" w:rsidRPr="002E637C">
        <w:t>2</w:t>
      </w:r>
    </w:p>
    <w:p w:rsidR="0041378B" w:rsidRPr="002E637C" w:rsidRDefault="00B654C3" w:rsidP="002E637C">
      <w:pPr>
        <w:tabs>
          <w:tab w:val="right" w:pos="850"/>
          <w:tab w:val="left" w:pos="1134"/>
          <w:tab w:val="left" w:pos="1559"/>
          <w:tab w:val="left" w:pos="1984"/>
          <w:tab w:val="left" w:leader="dot" w:pos="8931"/>
          <w:tab w:val="right" w:pos="9638"/>
        </w:tabs>
        <w:spacing w:after="120"/>
      </w:pPr>
      <w:r w:rsidRPr="002E637C">
        <w:tab/>
      </w:r>
      <w:r w:rsidR="0041378B" w:rsidRPr="002E637C">
        <w:t>V.</w:t>
      </w:r>
      <w:r w:rsidR="0041378B" w:rsidRPr="002E637C">
        <w:tab/>
      </w:r>
      <w:r w:rsidR="0046460C">
        <w:t>Broader reparation efforts required</w:t>
      </w:r>
      <w:r w:rsidR="000F2428" w:rsidRPr="002E637C">
        <w:tab/>
      </w:r>
      <w:r w:rsidR="00763C4B" w:rsidRPr="002E637C">
        <w:tab/>
      </w:r>
      <w:r w:rsidR="00232536" w:rsidRPr="002E637C">
        <w:t>12</w:t>
      </w:r>
    </w:p>
    <w:p w:rsidR="00A43FD8" w:rsidRPr="002E637C" w:rsidRDefault="00A43FD8" w:rsidP="002E637C">
      <w:pPr>
        <w:tabs>
          <w:tab w:val="right" w:pos="850"/>
          <w:tab w:val="left" w:pos="1134"/>
          <w:tab w:val="left" w:pos="1559"/>
          <w:tab w:val="left" w:pos="1984"/>
          <w:tab w:val="left" w:leader="dot" w:pos="8931"/>
          <w:tab w:val="right" w:pos="9638"/>
        </w:tabs>
        <w:spacing w:after="120"/>
      </w:pPr>
      <w:r w:rsidRPr="000F2EB0">
        <w:tab/>
      </w:r>
      <w:r w:rsidRPr="000F2EB0">
        <w:tab/>
        <w:t>A.</w:t>
      </w:r>
      <w:r w:rsidRPr="000F2EB0">
        <w:tab/>
        <w:t>L</w:t>
      </w:r>
      <w:r w:rsidR="0046460C">
        <w:t>and restitution</w:t>
      </w:r>
      <w:r w:rsidR="00544CFC" w:rsidRPr="002E637C">
        <w:tab/>
      </w:r>
      <w:r w:rsidR="005050F0" w:rsidRPr="002E637C">
        <w:tab/>
      </w:r>
      <w:r w:rsidR="00232536" w:rsidRPr="002E637C">
        <w:t>12</w:t>
      </w:r>
    </w:p>
    <w:p w:rsidR="00A43FD8" w:rsidRPr="002E637C" w:rsidRDefault="00A43FD8" w:rsidP="002E637C">
      <w:pPr>
        <w:tabs>
          <w:tab w:val="right" w:pos="850"/>
          <w:tab w:val="left" w:pos="1134"/>
          <w:tab w:val="left" w:pos="1559"/>
          <w:tab w:val="left" w:pos="1984"/>
          <w:tab w:val="left" w:leader="dot" w:pos="8931"/>
          <w:tab w:val="right" w:pos="9638"/>
        </w:tabs>
        <w:spacing w:after="120"/>
      </w:pPr>
      <w:r w:rsidRPr="002E637C">
        <w:tab/>
      </w:r>
      <w:r w:rsidRPr="002E637C">
        <w:tab/>
        <w:t>B.</w:t>
      </w:r>
      <w:r w:rsidRPr="002E637C">
        <w:tab/>
      </w:r>
      <w:r w:rsidR="0046460C">
        <w:t>Need for broader land reform and land access for women</w:t>
      </w:r>
      <w:r w:rsidR="00C23280">
        <w:tab/>
      </w:r>
      <w:r w:rsidR="005050F0" w:rsidRPr="002E637C">
        <w:tab/>
      </w:r>
      <w:r w:rsidR="00232536" w:rsidRPr="002E637C">
        <w:t>1</w:t>
      </w:r>
      <w:r w:rsidR="00B71CCF" w:rsidRPr="002E637C">
        <w:t>4</w:t>
      </w:r>
    </w:p>
    <w:p w:rsidR="0046460C" w:rsidRPr="002E637C" w:rsidRDefault="00413D6F" w:rsidP="002E637C">
      <w:pPr>
        <w:tabs>
          <w:tab w:val="right" w:pos="850"/>
          <w:tab w:val="left" w:pos="1134"/>
          <w:tab w:val="left" w:pos="1559"/>
          <w:tab w:val="left" w:pos="1984"/>
          <w:tab w:val="left" w:leader="dot" w:pos="8931"/>
          <w:tab w:val="right" w:pos="9638"/>
        </w:tabs>
        <w:spacing w:after="120"/>
      </w:pPr>
      <w:r>
        <w:tab/>
      </w:r>
      <w:r>
        <w:tab/>
        <w:t>C</w:t>
      </w:r>
      <w:r w:rsidR="0046460C" w:rsidRPr="000F2EB0">
        <w:t>.</w:t>
      </w:r>
      <w:r w:rsidR="0046460C" w:rsidRPr="000F2EB0">
        <w:tab/>
      </w:r>
      <w:r w:rsidR="0046460C">
        <w:t>Comprehensive reparation programme</w:t>
      </w:r>
      <w:r w:rsidR="0046460C" w:rsidRPr="002E637C">
        <w:tab/>
      </w:r>
      <w:r w:rsidR="004D4541" w:rsidRPr="002E637C">
        <w:tab/>
      </w:r>
      <w:r w:rsidR="00232536" w:rsidRPr="002E637C">
        <w:t>14</w:t>
      </w:r>
    </w:p>
    <w:p w:rsidR="0046460C" w:rsidRPr="002E637C" w:rsidRDefault="00413D6F" w:rsidP="002E637C">
      <w:pPr>
        <w:tabs>
          <w:tab w:val="right" w:pos="850"/>
          <w:tab w:val="left" w:pos="1134"/>
          <w:tab w:val="left" w:pos="1559"/>
          <w:tab w:val="left" w:pos="1984"/>
          <w:tab w:val="left" w:leader="dot" w:pos="8931"/>
          <w:tab w:val="right" w:pos="9638"/>
        </w:tabs>
        <w:spacing w:after="120"/>
      </w:pPr>
      <w:r w:rsidRPr="002E637C">
        <w:tab/>
      </w:r>
      <w:r w:rsidRPr="002E637C">
        <w:tab/>
        <w:t>D</w:t>
      </w:r>
      <w:r w:rsidR="0046460C" w:rsidRPr="002E637C">
        <w:t>.</w:t>
      </w:r>
      <w:r w:rsidR="0046460C" w:rsidRPr="002E637C">
        <w:tab/>
      </w:r>
      <w:r w:rsidR="0046460C">
        <w:t xml:space="preserve">Immediate assistance </w:t>
      </w:r>
      <w:r>
        <w:t>programmes</w:t>
      </w:r>
      <w:r w:rsidR="00B71CCF">
        <w:t xml:space="preserve"> for victims</w:t>
      </w:r>
      <w:r w:rsidR="00C23280">
        <w:tab/>
      </w:r>
      <w:r w:rsidR="0046460C" w:rsidRPr="002E637C">
        <w:tab/>
      </w:r>
      <w:r w:rsidR="00232536" w:rsidRPr="002E637C">
        <w:t>15</w:t>
      </w:r>
    </w:p>
    <w:p w:rsidR="000F2428" w:rsidRPr="000F2EB0" w:rsidRDefault="000F2428" w:rsidP="002E637C">
      <w:pPr>
        <w:tabs>
          <w:tab w:val="right" w:pos="850"/>
          <w:tab w:val="left" w:pos="1134"/>
          <w:tab w:val="left" w:pos="1559"/>
          <w:tab w:val="left" w:pos="1984"/>
          <w:tab w:val="left" w:leader="dot" w:pos="8931"/>
          <w:tab w:val="right" w:pos="9638"/>
        </w:tabs>
        <w:spacing w:after="120"/>
      </w:pPr>
      <w:r w:rsidRPr="002E637C">
        <w:tab/>
        <w:t>V</w:t>
      </w:r>
      <w:r w:rsidR="00413D6F" w:rsidRPr="002E637C">
        <w:t>I</w:t>
      </w:r>
      <w:r w:rsidRPr="002E637C">
        <w:t>.</w:t>
      </w:r>
      <w:r w:rsidRPr="002E637C">
        <w:tab/>
      </w:r>
      <w:r w:rsidR="00413D6F" w:rsidRPr="002E637C">
        <w:t>Institutional reforms crucial to guarantee</w:t>
      </w:r>
      <w:r w:rsidR="0056537A">
        <w:t>ing</w:t>
      </w:r>
      <w:r w:rsidR="00413D6F" w:rsidRPr="002E637C">
        <w:t xml:space="preserve"> non-recurrence</w:t>
      </w:r>
      <w:r w:rsidRPr="002E637C">
        <w:tab/>
      </w:r>
      <w:r w:rsidR="003F3A7E" w:rsidRPr="002E637C">
        <w:tab/>
      </w:r>
      <w:r w:rsidR="00232536" w:rsidRPr="002E637C">
        <w:t>15</w:t>
      </w:r>
    </w:p>
    <w:p w:rsidR="003F3A7E" w:rsidRPr="002E637C" w:rsidRDefault="00413D6F" w:rsidP="002E637C">
      <w:pPr>
        <w:tabs>
          <w:tab w:val="right" w:pos="850"/>
          <w:tab w:val="left" w:pos="1134"/>
          <w:tab w:val="left" w:pos="1559"/>
          <w:tab w:val="left" w:pos="1984"/>
          <w:tab w:val="left" w:leader="dot" w:pos="8931"/>
          <w:tab w:val="right" w:pos="9638"/>
        </w:tabs>
        <w:spacing w:after="120"/>
      </w:pPr>
      <w:r w:rsidRPr="000F2EB0">
        <w:tab/>
      </w:r>
      <w:r w:rsidRPr="000F2EB0">
        <w:tab/>
        <w:t>A.</w:t>
      </w:r>
      <w:r w:rsidRPr="000F2EB0">
        <w:tab/>
      </w:r>
      <w:r>
        <w:t>Security sector reform</w:t>
      </w:r>
      <w:r w:rsidRPr="002E637C">
        <w:tab/>
      </w:r>
      <w:r w:rsidR="003F3A7E" w:rsidRPr="002E637C">
        <w:tab/>
      </w:r>
      <w:r w:rsidR="00232536" w:rsidRPr="002E637C">
        <w:t>15</w:t>
      </w:r>
    </w:p>
    <w:p w:rsidR="00413D6F" w:rsidRPr="002E637C" w:rsidRDefault="00413D6F" w:rsidP="002E637C">
      <w:pPr>
        <w:tabs>
          <w:tab w:val="right" w:pos="850"/>
          <w:tab w:val="left" w:pos="1134"/>
          <w:tab w:val="left" w:pos="1559"/>
          <w:tab w:val="left" w:pos="1984"/>
          <w:tab w:val="left" w:leader="dot" w:pos="8931"/>
          <w:tab w:val="right" w:pos="9638"/>
        </w:tabs>
        <w:spacing w:after="120"/>
      </w:pPr>
      <w:r w:rsidRPr="002E637C">
        <w:tab/>
      </w:r>
      <w:r w:rsidRPr="002E637C">
        <w:tab/>
        <w:t>B.</w:t>
      </w:r>
      <w:r w:rsidRPr="002E637C">
        <w:tab/>
      </w:r>
      <w:r>
        <w:t xml:space="preserve">Justice </w:t>
      </w:r>
      <w:proofErr w:type="gramStart"/>
      <w:r>
        <w:t>system</w:t>
      </w:r>
      <w:proofErr w:type="gramEnd"/>
      <w:r>
        <w:t xml:space="preserve"> reform</w:t>
      </w:r>
      <w:r w:rsidRPr="002E637C">
        <w:tab/>
      </w:r>
      <w:r w:rsidRPr="002E637C">
        <w:tab/>
      </w:r>
      <w:r w:rsidR="00232536" w:rsidRPr="002E637C">
        <w:t>1</w:t>
      </w:r>
      <w:r w:rsidR="0007539A" w:rsidRPr="002E637C">
        <w:t>8</w:t>
      </w:r>
    </w:p>
    <w:p w:rsidR="00413D6F" w:rsidRPr="002E637C" w:rsidRDefault="00413D6F" w:rsidP="002E637C">
      <w:pPr>
        <w:tabs>
          <w:tab w:val="right" w:pos="850"/>
          <w:tab w:val="left" w:pos="1134"/>
          <w:tab w:val="left" w:pos="1559"/>
          <w:tab w:val="left" w:pos="1984"/>
          <w:tab w:val="left" w:leader="dot" w:pos="8931"/>
          <w:tab w:val="right" w:pos="9638"/>
        </w:tabs>
        <w:spacing w:after="120"/>
      </w:pPr>
      <w:r>
        <w:tab/>
      </w:r>
      <w:r>
        <w:tab/>
        <w:t>C</w:t>
      </w:r>
      <w:r w:rsidRPr="000F2EB0">
        <w:t>.</w:t>
      </w:r>
      <w:r w:rsidRPr="000F2EB0">
        <w:tab/>
      </w:r>
      <w:r>
        <w:t>Access to justice and legal empowerment</w:t>
      </w:r>
      <w:r w:rsidRPr="002E637C">
        <w:tab/>
      </w:r>
      <w:r w:rsidR="003F3A7E" w:rsidRPr="002E637C">
        <w:tab/>
      </w:r>
      <w:r w:rsidR="00232536" w:rsidRPr="002E637C">
        <w:t>18</w:t>
      </w:r>
    </w:p>
    <w:p w:rsidR="000159EA" w:rsidRPr="002E637C" w:rsidRDefault="00413D6F" w:rsidP="002E637C">
      <w:pPr>
        <w:tabs>
          <w:tab w:val="right" w:pos="850"/>
          <w:tab w:val="left" w:pos="1134"/>
          <w:tab w:val="left" w:pos="1559"/>
          <w:tab w:val="left" w:pos="1984"/>
          <w:tab w:val="left" w:leader="dot" w:pos="8931"/>
          <w:tab w:val="right" w:pos="9638"/>
        </w:tabs>
        <w:spacing w:after="120"/>
      </w:pPr>
      <w:r w:rsidRPr="002E637C">
        <w:tab/>
      </w:r>
      <w:r w:rsidRPr="002E637C">
        <w:tab/>
        <w:t>D.</w:t>
      </w:r>
      <w:r w:rsidRPr="002E637C">
        <w:tab/>
      </w:r>
      <w:r>
        <w:t>Education, memorialization and archives</w:t>
      </w:r>
      <w:r w:rsidRPr="002E637C">
        <w:tab/>
      </w:r>
      <w:r w:rsidR="003F3A7E" w:rsidRPr="002E637C">
        <w:tab/>
      </w:r>
      <w:r w:rsidR="00232536" w:rsidRPr="002E637C">
        <w:t>1</w:t>
      </w:r>
      <w:r w:rsidR="0007539A" w:rsidRPr="002E637C">
        <w:t>9</w:t>
      </w:r>
    </w:p>
    <w:p w:rsidR="00413D6F" w:rsidRPr="000F2EB0" w:rsidRDefault="00413D6F" w:rsidP="002E637C">
      <w:pPr>
        <w:tabs>
          <w:tab w:val="right" w:pos="850"/>
          <w:tab w:val="left" w:pos="1134"/>
          <w:tab w:val="left" w:pos="1559"/>
          <w:tab w:val="left" w:pos="1984"/>
          <w:tab w:val="left" w:leader="dot" w:pos="8931"/>
          <w:tab w:val="right" w:pos="9638"/>
        </w:tabs>
        <w:spacing w:after="120"/>
      </w:pPr>
      <w:r w:rsidRPr="002E637C">
        <w:tab/>
        <w:t>VII.</w:t>
      </w:r>
      <w:r w:rsidRPr="002E637C">
        <w:tab/>
        <w:t>Observations and recommendations</w:t>
      </w:r>
      <w:r w:rsidRPr="002E637C">
        <w:tab/>
      </w:r>
      <w:r w:rsidR="00C16A73" w:rsidRPr="002E637C">
        <w:tab/>
      </w:r>
      <w:r w:rsidR="00232536" w:rsidRPr="002E637C">
        <w:t>20</w:t>
      </w:r>
    </w:p>
    <w:p w:rsidR="00413D6F" w:rsidRPr="002E637C" w:rsidRDefault="00413D6F" w:rsidP="002E637C">
      <w:pPr>
        <w:tabs>
          <w:tab w:val="right" w:pos="850"/>
          <w:tab w:val="left" w:pos="1134"/>
          <w:tab w:val="left" w:pos="1559"/>
          <w:tab w:val="left" w:pos="1984"/>
          <w:tab w:val="left" w:leader="dot" w:pos="8931"/>
          <w:tab w:val="right" w:pos="9638"/>
        </w:tabs>
        <w:spacing w:after="120"/>
      </w:pPr>
      <w:r w:rsidRPr="000F2EB0">
        <w:tab/>
      </w:r>
      <w:r w:rsidRPr="000F2EB0">
        <w:tab/>
        <w:t>A.</w:t>
      </w:r>
      <w:r w:rsidRPr="000F2EB0">
        <w:tab/>
      </w:r>
      <w:r w:rsidR="00F1644A">
        <w:t>O</w:t>
      </w:r>
      <w:r>
        <w:t>bservations</w:t>
      </w:r>
      <w:r w:rsidRPr="002E637C">
        <w:tab/>
      </w:r>
      <w:r w:rsidR="00C16A73" w:rsidRPr="002E637C">
        <w:tab/>
      </w:r>
      <w:r w:rsidR="00232536" w:rsidRPr="002E637C">
        <w:t>20</w:t>
      </w:r>
    </w:p>
    <w:p w:rsidR="000F2428" w:rsidRPr="002E637C" w:rsidRDefault="00413D6F" w:rsidP="002E637C">
      <w:pPr>
        <w:tabs>
          <w:tab w:val="right" w:pos="850"/>
          <w:tab w:val="left" w:pos="1134"/>
          <w:tab w:val="left" w:pos="1559"/>
          <w:tab w:val="left" w:pos="1984"/>
          <w:tab w:val="left" w:leader="dot" w:pos="8931"/>
          <w:tab w:val="right" w:pos="9638"/>
        </w:tabs>
        <w:spacing w:after="120"/>
      </w:pPr>
      <w:r w:rsidRPr="002E637C">
        <w:tab/>
      </w:r>
      <w:r w:rsidRPr="002E637C">
        <w:tab/>
        <w:t>B.</w:t>
      </w:r>
      <w:r w:rsidRPr="002E637C">
        <w:tab/>
      </w:r>
      <w:r>
        <w:t>Recommendations</w:t>
      </w:r>
      <w:r w:rsidRPr="002E637C">
        <w:tab/>
      </w:r>
      <w:r w:rsidR="00C16A73" w:rsidRPr="002E637C">
        <w:tab/>
      </w:r>
      <w:r w:rsidR="00232536" w:rsidRPr="002E637C">
        <w:t>2</w:t>
      </w:r>
      <w:r w:rsidR="0007539A" w:rsidRPr="002E637C">
        <w:t>2</w:t>
      </w:r>
    </w:p>
    <w:p w:rsidR="0041378B" w:rsidRPr="00B7613D" w:rsidRDefault="0041378B" w:rsidP="007F38C9">
      <w:pPr>
        <w:pStyle w:val="HChG"/>
      </w:pPr>
      <w:r w:rsidRPr="000F2EB0">
        <w:rPr>
          <w:rFonts w:eastAsia="Calibri"/>
        </w:rPr>
        <w:br w:type="page"/>
      </w:r>
      <w:r w:rsidR="00B654C3" w:rsidRPr="000F2EB0">
        <w:rPr>
          <w:rFonts w:eastAsia="Calibri"/>
        </w:rPr>
        <w:tab/>
      </w:r>
      <w:r w:rsidRPr="000F2EB0">
        <w:t>I.</w:t>
      </w:r>
      <w:r w:rsidR="00B654C3" w:rsidRPr="000F2EB0">
        <w:rPr>
          <w:lang w:eastAsia="fr-FR"/>
        </w:rPr>
        <w:tab/>
      </w:r>
      <w:r w:rsidRPr="000F2EB0">
        <w:rPr>
          <w:lang w:eastAsia="fr-FR"/>
        </w:rPr>
        <w:t>Introduction</w:t>
      </w:r>
    </w:p>
    <w:p w:rsidR="0046460C" w:rsidRDefault="00C71ACD" w:rsidP="00C71ACD">
      <w:pPr>
        <w:pStyle w:val="SingleTxtG"/>
      </w:pPr>
      <w:r>
        <w:rPr>
          <w:bCs/>
        </w:rPr>
        <w:t>1.</w:t>
      </w:r>
      <w:r>
        <w:rPr>
          <w:bCs/>
        </w:rPr>
        <w:tab/>
      </w:r>
      <w:r w:rsidR="0046460C">
        <w:t xml:space="preserve">Pursuant to Human Rights Council resolution </w:t>
      </w:r>
      <w:r w:rsidR="0046460C" w:rsidRPr="00532F97">
        <w:t>27</w:t>
      </w:r>
      <w:r w:rsidR="0046460C">
        <w:t>/</w:t>
      </w:r>
      <w:r w:rsidR="0046460C" w:rsidRPr="00532F97">
        <w:t>3</w:t>
      </w:r>
      <w:r w:rsidR="0046460C">
        <w:t>, the Special Rapporteur on the promotion of truth, justice, reparation and guarantees of non-recurrence, Pablo de Greiff, visit</w:t>
      </w:r>
      <w:r w:rsidR="00C765DE">
        <w:t>ed</w:t>
      </w:r>
      <w:r w:rsidR="0046460C">
        <w:t xml:space="preserve"> </w:t>
      </w:r>
      <w:r w:rsidR="0046460C" w:rsidRPr="00532F97">
        <w:t>Burundi</w:t>
      </w:r>
      <w:r w:rsidR="0046460C">
        <w:t xml:space="preserve"> from </w:t>
      </w:r>
      <w:r w:rsidR="008D6221">
        <w:t>8</w:t>
      </w:r>
      <w:r w:rsidR="0046460C" w:rsidRPr="008D6221">
        <w:t xml:space="preserve"> to 16 December 2014</w:t>
      </w:r>
      <w:r w:rsidR="0046460C">
        <w:t>, at the invitation of the Government.</w:t>
      </w:r>
    </w:p>
    <w:p w:rsidR="0046460C" w:rsidRDefault="00C71ACD" w:rsidP="00C71ACD">
      <w:pPr>
        <w:pStyle w:val="SingleTxtG"/>
      </w:pPr>
      <w:r>
        <w:rPr>
          <w:bCs/>
        </w:rPr>
        <w:t>2.</w:t>
      </w:r>
      <w:r>
        <w:rPr>
          <w:bCs/>
        </w:rPr>
        <w:tab/>
      </w:r>
      <w:r w:rsidR="0046460C">
        <w:t xml:space="preserve">The purpose of the visit was to </w:t>
      </w:r>
      <w:r w:rsidR="0046460C" w:rsidRPr="00532F97">
        <w:t xml:space="preserve">objectively and impartially </w:t>
      </w:r>
      <w:r w:rsidR="00C765DE">
        <w:t xml:space="preserve">assess </w:t>
      </w:r>
      <w:r w:rsidR="0046460C" w:rsidRPr="00532F97">
        <w:t xml:space="preserve">the work undertaken </w:t>
      </w:r>
      <w:r w:rsidR="0046460C">
        <w:t xml:space="preserve">by the Government in the areas of truth, justice, reparation and guarantees of non-recurrence, and to advise the authorities and </w:t>
      </w:r>
      <w:r w:rsidR="0046460C" w:rsidRPr="00532F97">
        <w:t xml:space="preserve">Burundian society </w:t>
      </w:r>
      <w:r w:rsidR="006E6438">
        <w:t>in</w:t>
      </w:r>
      <w:r w:rsidR="0046460C">
        <w:t xml:space="preserve"> their efforts </w:t>
      </w:r>
      <w:r w:rsidR="0046460C" w:rsidRPr="00532F97">
        <w:t xml:space="preserve">to adequately </w:t>
      </w:r>
      <w:r w:rsidR="00C765DE">
        <w:t xml:space="preserve">address </w:t>
      </w:r>
      <w:r w:rsidR="0046460C" w:rsidRPr="00532F97">
        <w:t xml:space="preserve">past violations </w:t>
      </w:r>
      <w:r w:rsidR="0046460C">
        <w:t>in the process of transitioning to an order based on the rule of law.</w:t>
      </w:r>
    </w:p>
    <w:p w:rsidR="0046460C" w:rsidRDefault="00C71ACD" w:rsidP="00C71ACD">
      <w:pPr>
        <w:pStyle w:val="SingleTxtG"/>
      </w:pPr>
      <w:r>
        <w:rPr>
          <w:bCs/>
        </w:rPr>
        <w:t>3.</w:t>
      </w:r>
      <w:r>
        <w:rPr>
          <w:bCs/>
        </w:rPr>
        <w:tab/>
      </w:r>
      <w:r w:rsidR="0046460C">
        <w:t xml:space="preserve">During his visit, the Special Rapporteur met with the </w:t>
      </w:r>
      <w:r w:rsidR="0046460C" w:rsidRPr="00F8659B">
        <w:t>First Vice</w:t>
      </w:r>
      <w:r w:rsidR="0046460C">
        <w:t>-</w:t>
      </w:r>
      <w:r w:rsidR="0046460C" w:rsidRPr="00F8659B">
        <w:t>President</w:t>
      </w:r>
      <w:r w:rsidR="0046460C">
        <w:t xml:space="preserve"> of the Republic</w:t>
      </w:r>
      <w:r w:rsidR="00034527">
        <w:t xml:space="preserve"> and</w:t>
      </w:r>
      <w:r w:rsidR="0046460C">
        <w:t xml:space="preserve"> </w:t>
      </w:r>
      <w:r w:rsidR="0046460C" w:rsidRPr="00F8659B">
        <w:t xml:space="preserve">the </w:t>
      </w:r>
      <w:r w:rsidR="0046460C">
        <w:t xml:space="preserve">Ministers </w:t>
      </w:r>
      <w:r w:rsidR="00C765DE">
        <w:t>of</w:t>
      </w:r>
      <w:r w:rsidR="0046460C">
        <w:t xml:space="preserve"> </w:t>
      </w:r>
      <w:r w:rsidR="0046460C" w:rsidRPr="00532F97">
        <w:t>Foreig</w:t>
      </w:r>
      <w:r w:rsidR="0046460C">
        <w:t>n</w:t>
      </w:r>
      <w:r w:rsidR="0046460C" w:rsidRPr="00532F97">
        <w:t xml:space="preserve"> Affairs</w:t>
      </w:r>
      <w:r w:rsidR="0046460C">
        <w:t>;</w:t>
      </w:r>
      <w:r w:rsidR="0046460C" w:rsidRPr="00532F97">
        <w:t xml:space="preserve"> </w:t>
      </w:r>
      <w:r w:rsidR="0046460C">
        <w:t xml:space="preserve">National Solidarity, Human Rights and Gender; Justice; Finance; </w:t>
      </w:r>
      <w:r w:rsidR="00C765DE">
        <w:t xml:space="preserve">the </w:t>
      </w:r>
      <w:r w:rsidR="0046460C" w:rsidRPr="00DE10F2">
        <w:t>Interior</w:t>
      </w:r>
      <w:r w:rsidR="0046460C">
        <w:t xml:space="preserve">; </w:t>
      </w:r>
      <w:r w:rsidR="00034527">
        <w:t xml:space="preserve">and </w:t>
      </w:r>
      <w:r w:rsidR="0046460C">
        <w:t xml:space="preserve">National Defence </w:t>
      </w:r>
      <w:r w:rsidR="0046460C" w:rsidRPr="00792B70">
        <w:t>and War Veterans</w:t>
      </w:r>
      <w:r w:rsidR="00034527">
        <w:t>.</w:t>
      </w:r>
      <w:r w:rsidR="0046460C">
        <w:t xml:space="preserve"> </w:t>
      </w:r>
      <w:r w:rsidR="00034527">
        <w:t>He also met with</w:t>
      </w:r>
      <w:r w:rsidR="00BC6750">
        <w:t xml:space="preserve"> </w:t>
      </w:r>
      <w:r w:rsidR="0046460C">
        <w:t xml:space="preserve">the National Permanent Commission on the fight against the proliferation of </w:t>
      </w:r>
      <w:proofErr w:type="gramStart"/>
      <w:r w:rsidR="0046460C">
        <w:t>smalls</w:t>
      </w:r>
      <w:proofErr w:type="gramEnd"/>
      <w:r w:rsidR="0046460C">
        <w:t xml:space="preserve"> arms and light weapons </w:t>
      </w:r>
      <w:r w:rsidR="00C765DE">
        <w:t>and</w:t>
      </w:r>
      <w:r w:rsidR="0046460C">
        <w:t xml:space="preserve"> the Commission for Justice and Human Rights of the National Assembly. He held meetings with the Chief Justice of the Supreme Court</w:t>
      </w:r>
      <w:r w:rsidR="00034527">
        <w:t>,</w:t>
      </w:r>
      <w:r w:rsidR="0046460C">
        <w:t xml:space="preserve"> the Special Court on L</w:t>
      </w:r>
      <w:r w:rsidR="0046460C" w:rsidRPr="007036E0">
        <w:t xml:space="preserve">and and </w:t>
      </w:r>
      <w:r w:rsidR="005E4B54">
        <w:t>O</w:t>
      </w:r>
      <w:r w:rsidR="0046460C" w:rsidRPr="007036E0">
        <w:t xml:space="preserve">ther </w:t>
      </w:r>
      <w:r w:rsidR="0046460C">
        <w:t>A</w:t>
      </w:r>
      <w:r w:rsidR="0046460C" w:rsidRPr="007036E0">
        <w:t>ssets</w:t>
      </w:r>
      <w:r w:rsidR="00034527">
        <w:t>,</w:t>
      </w:r>
      <w:r w:rsidR="0046460C">
        <w:t xml:space="preserve"> the President of the National Commission on Land and </w:t>
      </w:r>
      <w:r w:rsidR="005E4B54">
        <w:t>O</w:t>
      </w:r>
      <w:r w:rsidR="0046460C">
        <w:t>ther Assets</w:t>
      </w:r>
      <w:r w:rsidR="00034527">
        <w:t>,</w:t>
      </w:r>
      <w:r w:rsidR="0046460C">
        <w:t xml:space="preserve"> the </w:t>
      </w:r>
      <w:r w:rsidR="005E4B54">
        <w:t>Chair</w:t>
      </w:r>
      <w:r w:rsidR="0046460C">
        <w:t xml:space="preserve"> of the </w:t>
      </w:r>
      <w:r w:rsidR="00DC69E4">
        <w:t xml:space="preserve">independent </w:t>
      </w:r>
      <w:r w:rsidR="0046460C">
        <w:t xml:space="preserve">National Human Rights </w:t>
      </w:r>
      <w:r w:rsidR="00F1644A">
        <w:t xml:space="preserve">Commission </w:t>
      </w:r>
      <w:r w:rsidR="0046460C">
        <w:t xml:space="preserve">and the </w:t>
      </w:r>
      <w:r w:rsidR="006E6438">
        <w:t xml:space="preserve">Chair of the </w:t>
      </w:r>
      <w:r w:rsidR="0046460C">
        <w:t xml:space="preserve">former </w:t>
      </w:r>
      <w:r w:rsidR="00034527">
        <w:t>t</w:t>
      </w:r>
      <w:r w:rsidR="0046460C">
        <w:t xml:space="preserve">ripartite </w:t>
      </w:r>
      <w:r w:rsidR="00034527">
        <w:t>c</w:t>
      </w:r>
      <w:r w:rsidR="0046460C">
        <w:t xml:space="preserve">ommittee in charge of </w:t>
      </w:r>
      <w:r w:rsidR="005E4B54">
        <w:t>n</w:t>
      </w:r>
      <w:r w:rsidR="0046460C">
        <w:t xml:space="preserve">ational </w:t>
      </w:r>
      <w:r w:rsidR="005E4B54">
        <w:t>c</w:t>
      </w:r>
      <w:r w:rsidR="0046460C">
        <w:t xml:space="preserve">onsultations. </w:t>
      </w:r>
      <w:r w:rsidR="00F15AB0">
        <w:t>T</w:t>
      </w:r>
      <w:r w:rsidR="0046460C">
        <w:t xml:space="preserve">he Special Rapporteur </w:t>
      </w:r>
      <w:r w:rsidR="00F15AB0">
        <w:t>also met</w:t>
      </w:r>
      <w:r w:rsidR="0046460C">
        <w:t xml:space="preserve"> with the newly appointed Chair of the Truth and Reconciliation Commission. </w:t>
      </w:r>
      <w:r w:rsidR="00F15AB0">
        <w:t>I</w:t>
      </w:r>
      <w:r w:rsidR="0046460C">
        <w:t xml:space="preserve">n </w:t>
      </w:r>
      <w:r w:rsidR="0046460C" w:rsidRPr="00F8659B">
        <w:t>Bujumbura</w:t>
      </w:r>
      <w:r w:rsidR="0046460C">
        <w:t>, he</w:t>
      </w:r>
      <w:r w:rsidR="0046460C" w:rsidRPr="00290037">
        <w:t xml:space="preserve"> </w:t>
      </w:r>
      <w:r w:rsidR="00F15AB0">
        <w:t xml:space="preserve">met </w:t>
      </w:r>
      <w:r w:rsidR="0046460C">
        <w:t xml:space="preserve">with </w:t>
      </w:r>
      <w:r w:rsidR="0046460C" w:rsidRPr="00F8659B">
        <w:t>religious leaders</w:t>
      </w:r>
      <w:r w:rsidR="00034527">
        <w:t>,</w:t>
      </w:r>
      <w:r w:rsidR="0046460C" w:rsidRPr="00F8659B">
        <w:t xml:space="preserve"> </w:t>
      </w:r>
      <w:r w:rsidR="0046460C">
        <w:t>representatives of political parties</w:t>
      </w:r>
      <w:r w:rsidR="00034527">
        <w:t>,</w:t>
      </w:r>
      <w:r w:rsidR="0046460C">
        <w:t xml:space="preserve"> the Special Representative of the Secretary-General </w:t>
      </w:r>
      <w:r w:rsidR="00F15AB0">
        <w:t xml:space="preserve">and Head </w:t>
      </w:r>
      <w:r w:rsidR="0046460C">
        <w:t xml:space="preserve">of the United Nations Office </w:t>
      </w:r>
      <w:r w:rsidR="00F15AB0">
        <w:t>in</w:t>
      </w:r>
      <w:r w:rsidR="0046460C">
        <w:t xml:space="preserve"> Burundi</w:t>
      </w:r>
      <w:r w:rsidR="00034527">
        <w:t>,</w:t>
      </w:r>
      <w:r w:rsidR="0046460C">
        <w:t xml:space="preserve"> representatives of U</w:t>
      </w:r>
      <w:r w:rsidR="00F15AB0">
        <w:t xml:space="preserve">nited </w:t>
      </w:r>
      <w:r w:rsidR="0046460C">
        <w:t>N</w:t>
      </w:r>
      <w:r w:rsidR="00F15AB0">
        <w:t>ations</w:t>
      </w:r>
      <w:r w:rsidR="0046460C">
        <w:t xml:space="preserve"> agencies and </w:t>
      </w:r>
      <w:r w:rsidR="00BC6750">
        <w:t xml:space="preserve">members </w:t>
      </w:r>
      <w:r w:rsidR="00F15AB0">
        <w:t xml:space="preserve">of </w:t>
      </w:r>
      <w:r w:rsidR="0046460C">
        <w:t xml:space="preserve">the diplomatic corps. </w:t>
      </w:r>
      <w:r w:rsidR="00F15AB0">
        <w:t>During his</w:t>
      </w:r>
      <w:r w:rsidR="0046460C">
        <w:t xml:space="preserve"> visit, </w:t>
      </w:r>
      <w:r w:rsidR="00F15AB0">
        <w:t>t</w:t>
      </w:r>
      <w:r w:rsidR="0046460C">
        <w:t>he</w:t>
      </w:r>
      <w:r w:rsidR="00F15AB0">
        <w:t xml:space="preserve"> Special Rapporteur</w:t>
      </w:r>
      <w:r w:rsidR="0046460C">
        <w:t xml:space="preserve"> met with representatives of civil society and </w:t>
      </w:r>
      <w:r w:rsidR="0046460C" w:rsidRPr="00290037">
        <w:t xml:space="preserve">travelled to </w:t>
      </w:r>
      <w:r w:rsidR="0046460C">
        <w:t>meet</w:t>
      </w:r>
      <w:r w:rsidR="0046460C" w:rsidRPr="00290037">
        <w:t xml:space="preserve"> with victims of </w:t>
      </w:r>
      <w:r w:rsidR="00034527">
        <w:t xml:space="preserve">the </w:t>
      </w:r>
      <w:r w:rsidR="0046460C" w:rsidRPr="00290037">
        <w:t xml:space="preserve">massive violations that occurred in Bugendana, Gatumba, Itaba, Kibimba, Kimina and Nyambeho. </w:t>
      </w:r>
      <w:r w:rsidR="0046460C">
        <w:t xml:space="preserve">He thanks </w:t>
      </w:r>
      <w:r w:rsidR="00BC6750">
        <w:t>all those</w:t>
      </w:r>
      <w:r w:rsidR="0046460C">
        <w:t xml:space="preserve"> who shared their valuable and important experiences and insights.</w:t>
      </w:r>
    </w:p>
    <w:p w:rsidR="0046460C" w:rsidRDefault="00C71ACD" w:rsidP="00C71ACD">
      <w:pPr>
        <w:pStyle w:val="SingleTxtG"/>
      </w:pPr>
      <w:r>
        <w:rPr>
          <w:bCs/>
        </w:rPr>
        <w:t>4.</w:t>
      </w:r>
      <w:r>
        <w:rPr>
          <w:bCs/>
        </w:rPr>
        <w:tab/>
      </w:r>
      <w:r w:rsidR="0046460C">
        <w:t xml:space="preserve">The Special Rapporteur thanks the Government </w:t>
      </w:r>
      <w:r w:rsidR="00BC6750">
        <w:t xml:space="preserve">of Burundi </w:t>
      </w:r>
      <w:r w:rsidR="0046460C">
        <w:t xml:space="preserve">for </w:t>
      </w:r>
      <w:r w:rsidR="00F15AB0">
        <w:t>its</w:t>
      </w:r>
      <w:r w:rsidR="0046460C">
        <w:t xml:space="preserve"> invitation and cooperation</w:t>
      </w:r>
      <w:r w:rsidR="00F15AB0">
        <w:t>, and</w:t>
      </w:r>
      <w:r w:rsidR="0046460C">
        <w:t xml:space="preserve"> expresses his appreciation to the </w:t>
      </w:r>
      <w:r w:rsidR="0046460C" w:rsidRPr="00290037">
        <w:t xml:space="preserve">Human </w:t>
      </w:r>
      <w:r w:rsidR="0046460C">
        <w:t>R</w:t>
      </w:r>
      <w:r w:rsidR="0046460C" w:rsidRPr="00290037">
        <w:t xml:space="preserve">ights and Justice Section of the </w:t>
      </w:r>
      <w:r w:rsidR="00F15AB0">
        <w:t>United Nations Office in Burundi</w:t>
      </w:r>
      <w:r w:rsidR="0046460C">
        <w:t xml:space="preserve"> for its support.</w:t>
      </w:r>
    </w:p>
    <w:p w:rsidR="0046460C" w:rsidRPr="00C361BE" w:rsidRDefault="0046460C" w:rsidP="007F38C9">
      <w:pPr>
        <w:pStyle w:val="HChG"/>
      </w:pPr>
      <w:r w:rsidRPr="00C361BE">
        <w:tab/>
        <w:t>II.</w:t>
      </w:r>
      <w:r w:rsidRPr="00C361BE">
        <w:tab/>
      </w:r>
      <w:r w:rsidRPr="00F30873">
        <w:t>Context of</w:t>
      </w:r>
      <w:r w:rsidRPr="00C361BE">
        <w:t xml:space="preserve"> the visit</w:t>
      </w:r>
    </w:p>
    <w:p w:rsidR="0046460C" w:rsidRPr="0061071B" w:rsidRDefault="0046460C" w:rsidP="00FA0D09">
      <w:pPr>
        <w:pStyle w:val="H1G"/>
        <w:rPr>
          <w:lang w:val="en-US"/>
        </w:rPr>
      </w:pPr>
      <w:r>
        <w:tab/>
        <w:t>A.</w:t>
      </w:r>
      <w:r>
        <w:tab/>
      </w:r>
      <w:r w:rsidRPr="007F38C9">
        <w:t>Political</w:t>
      </w:r>
      <w:r>
        <w:t xml:space="preserve"> context</w:t>
      </w:r>
    </w:p>
    <w:p w:rsidR="0046460C" w:rsidRDefault="00C71ACD" w:rsidP="00C71ACD">
      <w:pPr>
        <w:pStyle w:val="SingleTxtG"/>
      </w:pPr>
      <w:r>
        <w:rPr>
          <w:bCs/>
        </w:rPr>
        <w:t>5.</w:t>
      </w:r>
      <w:r>
        <w:rPr>
          <w:bCs/>
        </w:rPr>
        <w:tab/>
      </w:r>
      <w:r w:rsidR="0046460C" w:rsidRPr="00967521">
        <w:t xml:space="preserve">Since gaining independence in 1962, Burundi has experienced </w:t>
      </w:r>
      <w:r w:rsidR="0046460C" w:rsidRPr="008B7544">
        <w:t xml:space="preserve">cycles of </w:t>
      </w:r>
      <w:r w:rsidR="0046460C" w:rsidRPr="00967521">
        <w:t>violence</w:t>
      </w:r>
      <w:r w:rsidR="00F30873">
        <w:t xml:space="preserve">, </w:t>
      </w:r>
      <w:r w:rsidR="00F30873" w:rsidRPr="00967521">
        <w:t>often ethnically motivated</w:t>
      </w:r>
      <w:r w:rsidR="00F30873" w:rsidRPr="00EB2A70">
        <w:t>,</w:t>
      </w:r>
      <w:r w:rsidR="0046460C">
        <w:t xml:space="preserve"> on a massive scale</w:t>
      </w:r>
      <w:r w:rsidR="0046460C" w:rsidRPr="00967521">
        <w:t xml:space="preserve">, </w:t>
      </w:r>
      <w:r w:rsidR="0046460C">
        <w:t>leading to gross human rights violations and serious violations of international humanitarian law. Those violations remained largely unaddressed</w:t>
      </w:r>
      <w:r w:rsidR="00F30873">
        <w:t xml:space="preserve"> and</w:t>
      </w:r>
      <w:r w:rsidR="0046460C">
        <w:t xml:space="preserve"> unleash</w:t>
      </w:r>
      <w:r w:rsidR="00F30873">
        <w:t>ed</w:t>
      </w:r>
      <w:r w:rsidR="0046460C">
        <w:t xml:space="preserve"> the intergenerational transmission of violence over decades. Watershed moments include events in 1965, 1972, 1988, 1991 and 1993</w:t>
      </w:r>
      <w:r w:rsidR="00F30873">
        <w:t>,</w:t>
      </w:r>
      <w:r w:rsidR="0046460C">
        <w:t xml:space="preserve"> and the subsequent civil war. The 2000 Arusha Peace and Reconciliation Agreement for Burundi (Arusha Agreement), together with </w:t>
      </w:r>
      <w:r w:rsidR="00F30873">
        <w:t>subsequent</w:t>
      </w:r>
      <w:r w:rsidR="0046460C">
        <w:t xml:space="preserve"> agreements with the two main rebel movements</w:t>
      </w:r>
      <w:r w:rsidR="006E6438">
        <w:t>,</w:t>
      </w:r>
      <w:r w:rsidR="00C23280">
        <w:t xml:space="preserve"> </w:t>
      </w:r>
      <w:r w:rsidR="0046460C">
        <w:t xml:space="preserve">the </w:t>
      </w:r>
      <w:r w:rsidR="00F30873">
        <w:t>National Council for the Defen</w:t>
      </w:r>
      <w:r w:rsidR="00BC6750">
        <w:t>c</w:t>
      </w:r>
      <w:r w:rsidR="00F30873">
        <w:t>e of Democracy–Forces for the Defen</w:t>
      </w:r>
      <w:r w:rsidR="00BC6750">
        <w:t>c</w:t>
      </w:r>
      <w:r w:rsidR="00F30873">
        <w:t>e of Democracy</w:t>
      </w:r>
      <w:r w:rsidR="00BC6750">
        <w:t>,</w:t>
      </w:r>
      <w:r w:rsidR="00F30873">
        <w:t xml:space="preserve"> in 2003</w:t>
      </w:r>
      <w:r w:rsidR="00BC6750">
        <w:t>,</w:t>
      </w:r>
      <w:r w:rsidR="00F30873">
        <w:t xml:space="preserve"> and</w:t>
      </w:r>
      <w:r w:rsidR="0046460C">
        <w:t xml:space="preserve"> </w:t>
      </w:r>
      <w:r w:rsidR="00F30873">
        <w:t>the Party for the Liberation of the Hutu People–National Forces for Liberation</w:t>
      </w:r>
      <w:r w:rsidR="00BC6750">
        <w:t>,</w:t>
      </w:r>
      <w:r w:rsidR="00F30873">
        <w:t xml:space="preserve"> in 2006</w:t>
      </w:r>
      <w:r w:rsidR="0046460C">
        <w:t xml:space="preserve">, and the 2005 Constitution established the framework for a higher degree of peace and stability than </w:t>
      </w:r>
      <w:r w:rsidR="00F30873">
        <w:t xml:space="preserve">that </w:t>
      </w:r>
      <w:r w:rsidR="0046460C">
        <w:t xml:space="preserve">known in the country since independence and for a significant transformation in </w:t>
      </w:r>
      <w:r w:rsidR="00AC6893">
        <w:t xml:space="preserve">intercommunity </w:t>
      </w:r>
      <w:r w:rsidR="0046460C">
        <w:t>relationship</w:t>
      </w:r>
      <w:r w:rsidR="00E22C1D">
        <w:t>s</w:t>
      </w:r>
      <w:r w:rsidR="0046460C">
        <w:t xml:space="preserve">. </w:t>
      </w:r>
    </w:p>
    <w:p w:rsidR="0046460C" w:rsidRDefault="00C71ACD" w:rsidP="00C71ACD">
      <w:pPr>
        <w:pStyle w:val="SingleTxtG"/>
      </w:pPr>
      <w:r>
        <w:rPr>
          <w:bCs/>
        </w:rPr>
        <w:t>6.</w:t>
      </w:r>
      <w:r>
        <w:rPr>
          <w:bCs/>
        </w:rPr>
        <w:tab/>
      </w:r>
      <w:r w:rsidR="0046460C">
        <w:t xml:space="preserve">Burundi arguably </w:t>
      </w:r>
      <w:r w:rsidR="00AC6893">
        <w:t>has</w:t>
      </w:r>
      <w:r w:rsidR="0046460C">
        <w:t xml:space="preserve"> the most complex consociational arrangement in the world. As</w:t>
      </w:r>
      <w:r w:rsidR="00AC6893">
        <w:t xml:space="preserve"> with</w:t>
      </w:r>
      <w:r w:rsidR="0046460C">
        <w:t xml:space="preserve"> all such arrangements, it </w:t>
      </w:r>
      <w:r w:rsidR="00AC6893">
        <w:t>seeks</w:t>
      </w:r>
      <w:r w:rsidR="0046460C">
        <w:t xml:space="preserve"> to reconcile majority claims with minority rights</w:t>
      </w:r>
      <w:r w:rsidR="00AC6893">
        <w:t>,</w:t>
      </w:r>
      <w:r w:rsidR="0046460C">
        <w:t xml:space="preserve"> in this case, through a fine</w:t>
      </w:r>
      <w:r w:rsidR="00C35201">
        <w:t xml:space="preserve">ly </w:t>
      </w:r>
      <w:r w:rsidR="0046460C">
        <w:t xml:space="preserve">tuned set of arrangements that combine proportionality with minority overrepresentation. The </w:t>
      </w:r>
      <w:r w:rsidR="00C35201">
        <w:t>P</w:t>
      </w:r>
      <w:r w:rsidR="0046460C">
        <w:t xml:space="preserve">resident </w:t>
      </w:r>
      <w:r w:rsidR="00C35201">
        <w:t>of the Republic must</w:t>
      </w:r>
      <w:r w:rsidR="0046460C">
        <w:t xml:space="preserve"> be assisted by two </w:t>
      </w:r>
      <w:r w:rsidR="00C35201">
        <w:t>V</w:t>
      </w:r>
      <w:r w:rsidR="0046460C">
        <w:t>ice-</w:t>
      </w:r>
      <w:r w:rsidR="00C35201">
        <w:t>P</w:t>
      </w:r>
      <w:r w:rsidR="0046460C">
        <w:t>residents, one Hutu</w:t>
      </w:r>
      <w:r w:rsidR="00C35201">
        <w:t xml:space="preserve"> and</w:t>
      </w:r>
      <w:r w:rsidR="0046460C">
        <w:t xml:space="preserve"> one Tutsi. All government positions </w:t>
      </w:r>
      <w:r w:rsidR="0046460C" w:rsidRPr="003E610A">
        <w:t xml:space="preserve">must be split 60/40 between Hutus and Tutsis, </w:t>
      </w:r>
      <w:r w:rsidR="00C35201" w:rsidRPr="003E610A">
        <w:t xml:space="preserve">with </w:t>
      </w:r>
      <w:r w:rsidR="0046460C" w:rsidRPr="003E610A">
        <w:t>the same proportion for representation in the National Assembly, if necessary by means of a cooptation mechanism. The Senate</w:t>
      </w:r>
      <w:r w:rsidR="00C35201" w:rsidRPr="003E610A">
        <w:t>, like the armed forces,</w:t>
      </w:r>
      <w:r w:rsidR="0046460C" w:rsidRPr="003E610A">
        <w:t xml:space="preserve"> is split 50/50 </w:t>
      </w:r>
      <w:r w:rsidR="00C35201" w:rsidRPr="003E610A">
        <w:t xml:space="preserve">between Hutus and Tutsis, </w:t>
      </w:r>
      <w:r w:rsidR="0046460C" w:rsidRPr="003E610A">
        <w:t>and regional balances are</w:t>
      </w:r>
      <w:r w:rsidR="00C35201" w:rsidRPr="003E610A">
        <w:t xml:space="preserve"> also</w:t>
      </w:r>
      <w:r w:rsidR="0046460C" w:rsidRPr="003E610A">
        <w:t xml:space="preserve"> mandated. </w:t>
      </w:r>
      <w:r w:rsidR="00C35201" w:rsidRPr="003E610A">
        <w:t>The arrangement is n</w:t>
      </w:r>
      <w:r w:rsidR="0046460C" w:rsidRPr="003E610A">
        <w:t>ot simply</w:t>
      </w:r>
      <w:r w:rsidR="0046460C">
        <w:t xml:space="preserve"> a power-sharing agreement, </w:t>
      </w:r>
      <w:r w:rsidR="00C35201">
        <w:t>but also</w:t>
      </w:r>
      <w:r w:rsidR="0046460C">
        <w:t xml:space="preserve"> stipulates that political parties must be ethnically and regionally integrated, and supermajority requirements (</w:t>
      </w:r>
      <w:r w:rsidR="00034527">
        <w:t xml:space="preserve">a </w:t>
      </w:r>
      <w:r w:rsidR="00C35201">
        <w:t>two-thirds</w:t>
      </w:r>
      <w:r w:rsidR="0046460C">
        <w:t xml:space="preserve"> quorum</w:t>
      </w:r>
      <w:r w:rsidR="00C35201">
        <w:t xml:space="preserve"> for legislative action</w:t>
      </w:r>
      <w:r w:rsidR="00863B73">
        <w:t>;</w:t>
      </w:r>
      <w:r w:rsidR="0046460C">
        <w:t xml:space="preserve"> a minimum of </w:t>
      </w:r>
      <w:r w:rsidR="00863B73">
        <w:t>two thirds</w:t>
      </w:r>
      <w:r w:rsidR="0046460C">
        <w:t xml:space="preserve"> of votes</w:t>
      </w:r>
      <w:r w:rsidR="00863B73">
        <w:t xml:space="preserve"> for a law</w:t>
      </w:r>
      <w:r w:rsidR="0046460C">
        <w:t xml:space="preserve"> to be adopted) further protect minority rights </w:t>
      </w:r>
      <w:r w:rsidR="00863B73">
        <w:t>and</w:t>
      </w:r>
      <w:r w:rsidR="0046460C">
        <w:t xml:space="preserve"> creat</w:t>
      </w:r>
      <w:r w:rsidR="00863B73">
        <w:t>e</w:t>
      </w:r>
      <w:r w:rsidR="0046460C">
        <w:t xml:space="preserve"> incentives for de-ethnicizing politics.</w:t>
      </w:r>
      <w:r w:rsidR="0046460C" w:rsidRPr="00C077B3">
        <w:rPr>
          <w:rStyle w:val="FootnoteReference"/>
        </w:rPr>
        <w:footnoteReference w:id="3"/>
      </w:r>
      <w:r w:rsidR="0046460C">
        <w:t xml:space="preserve"> </w:t>
      </w:r>
    </w:p>
    <w:p w:rsidR="0046460C" w:rsidRDefault="00C71ACD" w:rsidP="00C71ACD">
      <w:pPr>
        <w:pStyle w:val="SingleTxtG"/>
      </w:pPr>
      <w:r>
        <w:rPr>
          <w:bCs/>
        </w:rPr>
        <w:t>7.</w:t>
      </w:r>
      <w:r>
        <w:rPr>
          <w:bCs/>
        </w:rPr>
        <w:tab/>
      </w:r>
      <w:r w:rsidR="0046460C" w:rsidRPr="00AE718B">
        <w:t>The Arusha</w:t>
      </w:r>
      <w:r w:rsidR="0046460C">
        <w:t xml:space="preserve"> Agreement proposed </w:t>
      </w:r>
      <w:r w:rsidR="006C6DCE">
        <w:t>measures to</w:t>
      </w:r>
      <w:r w:rsidR="0046460C">
        <w:t xml:space="preserve"> combat impunity, including the establishment of </w:t>
      </w:r>
      <w:r w:rsidR="006C6DCE">
        <w:t xml:space="preserve">the </w:t>
      </w:r>
      <w:r w:rsidR="0046460C">
        <w:t xml:space="preserve">National Truth and Reconciliation Commission and </w:t>
      </w:r>
      <w:r w:rsidR="006C6DCE">
        <w:t xml:space="preserve">the </w:t>
      </w:r>
      <w:r w:rsidR="0046460C">
        <w:t xml:space="preserve">International Judicial Commission of Inquiry. Furthermore, </w:t>
      </w:r>
      <w:r w:rsidR="00DA268F">
        <w:t xml:space="preserve">it provided for </w:t>
      </w:r>
      <w:r w:rsidR="0046460C">
        <w:t>the Government to request the Security Council to establish an international criminal tribunal should the findings of the Commission of Inquiry report point to the existence of acts of genocide, war crimes and other crimes against humanity.</w:t>
      </w:r>
    </w:p>
    <w:p w:rsidR="0046460C" w:rsidRDefault="00C71ACD" w:rsidP="00C71ACD">
      <w:pPr>
        <w:pStyle w:val="SingleTxtG"/>
      </w:pPr>
      <w:r>
        <w:rPr>
          <w:bCs/>
        </w:rPr>
        <w:t>8.</w:t>
      </w:r>
      <w:r>
        <w:rPr>
          <w:bCs/>
        </w:rPr>
        <w:tab/>
      </w:r>
      <w:r w:rsidR="006C6DCE">
        <w:t>N</w:t>
      </w:r>
      <w:r w:rsidR="0046460C" w:rsidRPr="00621EFA">
        <w:t xml:space="preserve">ational </w:t>
      </w:r>
      <w:r w:rsidR="0046460C">
        <w:t>c</w:t>
      </w:r>
      <w:r w:rsidR="0046460C" w:rsidRPr="00621EFA">
        <w:t>onsultation</w:t>
      </w:r>
      <w:r w:rsidR="0046460C">
        <w:t>s</w:t>
      </w:r>
      <w:r w:rsidR="0046460C" w:rsidRPr="00621EFA">
        <w:t xml:space="preserve"> on transitional justice</w:t>
      </w:r>
      <w:r w:rsidR="0046460C">
        <w:t xml:space="preserve"> </w:t>
      </w:r>
      <w:r w:rsidR="00986576">
        <w:t>were undertaken</w:t>
      </w:r>
      <w:r w:rsidR="006C6DCE">
        <w:t xml:space="preserve"> in 2009, with t</w:t>
      </w:r>
      <w:r w:rsidR="0046460C">
        <w:t>he objective</w:t>
      </w:r>
      <w:r w:rsidR="006C6DCE">
        <w:t xml:space="preserve"> of</w:t>
      </w:r>
      <w:r w:rsidR="0046460C">
        <w:t xml:space="preserve"> elicit</w:t>
      </w:r>
      <w:r w:rsidR="006C6DCE">
        <w:t>ing</w:t>
      </w:r>
      <w:r w:rsidR="0046460C">
        <w:t xml:space="preserve"> views </w:t>
      </w:r>
      <w:r w:rsidR="006C6DCE">
        <w:t>on</w:t>
      </w:r>
      <w:r w:rsidR="0046460C">
        <w:t xml:space="preserve"> how to come to terms with the legacy of massive violations and end impunity with the ultimate aim of promoting national reconciliation.</w:t>
      </w:r>
      <w:r w:rsidR="0046460C" w:rsidRPr="00C077B3">
        <w:rPr>
          <w:rStyle w:val="FootnoteReference"/>
        </w:rPr>
        <w:footnoteReference w:id="4"/>
      </w:r>
    </w:p>
    <w:p w:rsidR="0046460C" w:rsidRDefault="00C71ACD" w:rsidP="00C71ACD">
      <w:pPr>
        <w:pStyle w:val="SingleTxtG"/>
      </w:pPr>
      <w:r>
        <w:rPr>
          <w:bCs/>
        </w:rPr>
        <w:t>9.</w:t>
      </w:r>
      <w:r>
        <w:rPr>
          <w:bCs/>
        </w:rPr>
        <w:tab/>
      </w:r>
      <w:r w:rsidR="00251A72">
        <w:t>T</w:t>
      </w:r>
      <w:r w:rsidR="0046460C">
        <w:t>he Truth and Reconciliation Commission was established</w:t>
      </w:r>
      <w:r w:rsidR="00251A72">
        <w:t>,</w:t>
      </w:r>
      <w:r w:rsidR="0046460C">
        <w:t xml:space="preserve"> and its members appointed in December 2014</w:t>
      </w:r>
      <w:r w:rsidR="00251A72">
        <w:t xml:space="preserve">, </w:t>
      </w:r>
      <w:r w:rsidR="00CD10D3">
        <w:t xml:space="preserve">that is, </w:t>
      </w:r>
      <w:r w:rsidR="00251A72">
        <w:t>14 years after the signing of the Arusha Agreement</w:t>
      </w:r>
      <w:r w:rsidR="0046460C">
        <w:t xml:space="preserve">. Simultaneously, </w:t>
      </w:r>
      <w:r w:rsidR="00251A72">
        <w:t>the United Nations Office in Burundi</w:t>
      </w:r>
      <w:r w:rsidR="0046460C" w:rsidRPr="001D0D1C">
        <w:t xml:space="preserve"> </w:t>
      </w:r>
      <w:r w:rsidR="0046460C">
        <w:t xml:space="preserve">completed </w:t>
      </w:r>
      <w:r w:rsidR="0046460C" w:rsidRPr="001D0D1C">
        <w:t>its Security Council mandate</w:t>
      </w:r>
      <w:r w:rsidR="0046460C">
        <w:t xml:space="preserve"> and </w:t>
      </w:r>
      <w:r w:rsidR="00251A72">
        <w:t>transferred its responsibilities to the United Nations country team.</w:t>
      </w:r>
      <w:r w:rsidR="0046460C" w:rsidRPr="001D0D1C">
        <w:t xml:space="preserve"> </w:t>
      </w:r>
    </w:p>
    <w:p w:rsidR="0046460C" w:rsidRDefault="00C71ACD" w:rsidP="00C71ACD">
      <w:pPr>
        <w:pStyle w:val="SingleTxtG"/>
      </w:pPr>
      <w:r>
        <w:rPr>
          <w:bCs/>
        </w:rPr>
        <w:t>10.</w:t>
      </w:r>
      <w:r>
        <w:rPr>
          <w:bCs/>
        </w:rPr>
        <w:tab/>
      </w:r>
      <w:r w:rsidR="00251A72">
        <w:t>At the time of t</w:t>
      </w:r>
      <w:r w:rsidR="0046460C">
        <w:t>he Special Rapporteur’s visit</w:t>
      </w:r>
      <w:r w:rsidR="00251A72">
        <w:t>,</w:t>
      </w:r>
      <w:r w:rsidR="0046460C">
        <w:t xml:space="preserve"> political campaign activities for the </w:t>
      </w:r>
      <w:r w:rsidR="00CD10D3">
        <w:t xml:space="preserve">2015 </w:t>
      </w:r>
      <w:r w:rsidR="0046460C">
        <w:t xml:space="preserve">elections </w:t>
      </w:r>
      <w:r w:rsidR="00251A72">
        <w:t xml:space="preserve">had </w:t>
      </w:r>
      <w:r w:rsidR="0046460C">
        <w:t xml:space="preserve">already started. </w:t>
      </w:r>
      <w:r w:rsidR="00251A72">
        <w:t xml:space="preserve">During </w:t>
      </w:r>
      <w:r w:rsidR="0046460C">
        <w:t xml:space="preserve">various meetings, </w:t>
      </w:r>
      <w:r w:rsidR="00251A72">
        <w:t>concern was</w:t>
      </w:r>
      <w:r w:rsidR="0046460C">
        <w:t xml:space="preserve"> expressed about different aspects of the upcoming political </w:t>
      </w:r>
      <w:r w:rsidR="00DA268F" w:rsidRPr="00FC20BE">
        <w:t>process</w:t>
      </w:r>
      <w:r w:rsidR="00251A72">
        <w:t xml:space="preserve">, including </w:t>
      </w:r>
      <w:r w:rsidR="0046460C">
        <w:t xml:space="preserve">whether the </w:t>
      </w:r>
      <w:r w:rsidR="00251A72">
        <w:t>incumbent P</w:t>
      </w:r>
      <w:r w:rsidR="0046460C">
        <w:t xml:space="preserve">resident would run again and the constitutionality of </w:t>
      </w:r>
      <w:r w:rsidR="006E6438">
        <w:t xml:space="preserve">that </w:t>
      </w:r>
      <w:r w:rsidR="0046460C">
        <w:t xml:space="preserve">option; the guarantees to parties </w:t>
      </w:r>
      <w:r w:rsidR="00251A72">
        <w:t>that they could</w:t>
      </w:r>
      <w:r w:rsidR="0046460C">
        <w:t xml:space="preserve"> run their campaigns freely and </w:t>
      </w:r>
      <w:r w:rsidR="00251A72">
        <w:t>without restrictions</w:t>
      </w:r>
      <w:r w:rsidR="0046460C">
        <w:t xml:space="preserve">; the effectiveness and impartiality of the electoral process; and, most seriously, the threat posed by the youth militias, in particular the </w:t>
      </w:r>
      <w:r w:rsidR="0046460C" w:rsidRPr="00E77544">
        <w:rPr>
          <w:i/>
        </w:rPr>
        <w:t>Imbonerakure</w:t>
      </w:r>
      <w:r w:rsidR="0046460C">
        <w:t>, which openly support</w:t>
      </w:r>
      <w:r w:rsidR="00A5304A">
        <w:t>ed</w:t>
      </w:r>
      <w:r w:rsidR="0046460C">
        <w:t xml:space="preserve"> the current Government. </w:t>
      </w:r>
    </w:p>
    <w:p w:rsidR="00C23280" w:rsidRPr="0098195C" w:rsidRDefault="00C71ACD" w:rsidP="00C71ACD">
      <w:pPr>
        <w:pStyle w:val="SingleTxtG"/>
      </w:pPr>
      <w:r w:rsidRPr="0098195C">
        <w:rPr>
          <w:bCs/>
        </w:rPr>
        <w:t>11.</w:t>
      </w:r>
      <w:r w:rsidRPr="0098195C">
        <w:rPr>
          <w:bCs/>
        </w:rPr>
        <w:tab/>
      </w:r>
      <w:r w:rsidR="00174960" w:rsidRPr="00E86863">
        <w:t>By the end of April 2015</w:t>
      </w:r>
      <w:r w:rsidR="0046460C" w:rsidRPr="0098195C">
        <w:t xml:space="preserve">, national and international observers </w:t>
      </w:r>
      <w:r w:rsidR="00CD10D3" w:rsidRPr="0098195C">
        <w:t>had</w:t>
      </w:r>
      <w:r w:rsidR="0046460C" w:rsidRPr="0098195C">
        <w:t xml:space="preserve"> express</w:t>
      </w:r>
      <w:r w:rsidR="00CD10D3" w:rsidRPr="0098195C">
        <w:t>ed</w:t>
      </w:r>
      <w:r w:rsidR="0046460C" w:rsidRPr="0098195C">
        <w:t xml:space="preserve"> alarm at the situation</w:t>
      </w:r>
      <w:r w:rsidR="002E6B95" w:rsidRPr="0098195C">
        <w:t xml:space="preserve"> in Burundi</w:t>
      </w:r>
      <w:r w:rsidR="0046460C" w:rsidRPr="0098195C">
        <w:t xml:space="preserve">. </w:t>
      </w:r>
      <w:r w:rsidR="00986576" w:rsidRPr="0098195C">
        <w:t xml:space="preserve">The decision of the ruling party to have </w:t>
      </w:r>
      <w:r w:rsidR="002E6B95" w:rsidRPr="0098195C">
        <w:t xml:space="preserve">the </w:t>
      </w:r>
      <w:r w:rsidR="00986576" w:rsidRPr="0098195C">
        <w:t>incumbent President</w:t>
      </w:r>
      <w:r w:rsidR="002E6B95" w:rsidRPr="0098195C">
        <w:t>,</w:t>
      </w:r>
      <w:r w:rsidR="00986576" w:rsidRPr="0098195C">
        <w:t xml:space="preserve"> </w:t>
      </w:r>
      <w:r w:rsidR="002E6B95" w:rsidRPr="0098195C">
        <w:t xml:space="preserve">Pierre </w:t>
      </w:r>
      <w:r w:rsidR="00986576" w:rsidRPr="0098195C">
        <w:t>Nkurunziza</w:t>
      </w:r>
      <w:r w:rsidR="002E6B95" w:rsidRPr="0098195C">
        <w:t>,</w:t>
      </w:r>
      <w:r w:rsidR="00986576" w:rsidRPr="0098195C">
        <w:t xml:space="preserve"> run for a third term unleashed protests that were met with a wave of killings, arbitrary arrests and intimidation by the police.</w:t>
      </w:r>
      <w:r w:rsidR="00986576" w:rsidRPr="0098195C">
        <w:rPr>
          <w:rStyle w:val="FootnoteReference"/>
        </w:rPr>
        <w:footnoteReference w:id="5"/>
      </w:r>
      <w:r w:rsidR="00986576" w:rsidRPr="0098195C">
        <w:t xml:space="preserve"> Rising hate speech, together with severe limitations </w:t>
      </w:r>
      <w:r w:rsidR="002E6B95" w:rsidRPr="0098195C">
        <w:t>to</w:t>
      </w:r>
      <w:r w:rsidR="00986576" w:rsidRPr="0098195C">
        <w:t xml:space="preserve"> the freedom</w:t>
      </w:r>
      <w:r w:rsidR="002E6B95" w:rsidRPr="0098195C">
        <w:t>s</w:t>
      </w:r>
      <w:r w:rsidR="00986576" w:rsidRPr="0098195C">
        <w:t xml:space="preserve"> of expression and peaceful assembly </w:t>
      </w:r>
      <w:r w:rsidR="00CD10D3" w:rsidRPr="0098195C">
        <w:t>were</w:t>
      </w:r>
      <w:r w:rsidR="00986576" w:rsidRPr="0098195C">
        <w:t xml:space="preserve"> </w:t>
      </w:r>
      <w:r w:rsidR="0046460C" w:rsidRPr="0098195C">
        <w:t>deeply concerning.</w:t>
      </w:r>
      <w:r w:rsidR="00F1644A" w:rsidRPr="0098195C">
        <w:t xml:space="preserve"> </w:t>
      </w:r>
    </w:p>
    <w:p w:rsidR="0046460C" w:rsidRPr="00F15CE5" w:rsidRDefault="0046460C" w:rsidP="002E637C">
      <w:pPr>
        <w:pStyle w:val="H1G"/>
      </w:pPr>
      <w:r>
        <w:tab/>
      </w:r>
      <w:r w:rsidRPr="00F15CE5">
        <w:t>B</w:t>
      </w:r>
      <w:r>
        <w:t>.</w:t>
      </w:r>
      <w:r>
        <w:tab/>
      </w:r>
      <w:r w:rsidRPr="00F15CE5">
        <w:t>General considerations</w:t>
      </w:r>
    </w:p>
    <w:p w:rsidR="0046460C" w:rsidRDefault="00C71ACD" w:rsidP="00C71ACD">
      <w:pPr>
        <w:pStyle w:val="SingleTxtG"/>
      </w:pPr>
      <w:r>
        <w:rPr>
          <w:bCs/>
        </w:rPr>
        <w:t>12.</w:t>
      </w:r>
      <w:r>
        <w:rPr>
          <w:bCs/>
        </w:rPr>
        <w:tab/>
      </w:r>
      <w:r w:rsidR="0046460C">
        <w:t xml:space="preserve">The Special Rapporteur </w:t>
      </w:r>
      <w:r w:rsidR="00DA268F">
        <w:t>has</w:t>
      </w:r>
      <w:r w:rsidR="0046460C">
        <w:t xml:space="preserve"> three overall</w:t>
      </w:r>
      <w:r w:rsidR="0046460C" w:rsidRPr="00D33134">
        <w:t xml:space="preserve"> considerations in mind</w:t>
      </w:r>
      <w:r w:rsidR="0046460C">
        <w:t>.</w:t>
      </w:r>
      <w:r w:rsidR="0046460C" w:rsidRPr="00D33134">
        <w:t xml:space="preserve"> </w:t>
      </w:r>
      <w:r w:rsidR="0046460C">
        <w:t xml:space="preserve">First, the </w:t>
      </w:r>
      <w:r w:rsidR="0046460C" w:rsidRPr="00F15CE5">
        <w:t xml:space="preserve">Arusha Agreement </w:t>
      </w:r>
      <w:r w:rsidR="0046460C">
        <w:t xml:space="preserve">took a broad approach to past violations and </w:t>
      </w:r>
      <w:r w:rsidR="00AE718B">
        <w:t>made</w:t>
      </w:r>
      <w:r w:rsidR="0046460C">
        <w:t xml:space="preserve"> </w:t>
      </w:r>
      <w:r w:rsidR="0046460C" w:rsidRPr="00F15CE5">
        <w:t>reference to truth</w:t>
      </w:r>
      <w:r w:rsidR="0046460C">
        <w:t xml:space="preserve"> and </w:t>
      </w:r>
      <w:r w:rsidR="0046460C" w:rsidRPr="00F15CE5">
        <w:t>justice mechanism</w:t>
      </w:r>
      <w:r w:rsidR="0046460C">
        <w:t>s and</w:t>
      </w:r>
      <w:r w:rsidR="0046460C" w:rsidRPr="00F15CE5">
        <w:t xml:space="preserve"> institutional reforms</w:t>
      </w:r>
      <w:r w:rsidR="0046460C">
        <w:t xml:space="preserve">. However, discussions at the domestic level, as well as with international actors over the past </w:t>
      </w:r>
      <w:proofErr w:type="gramStart"/>
      <w:r w:rsidR="0046460C">
        <w:t>decade,</w:t>
      </w:r>
      <w:proofErr w:type="gramEnd"/>
      <w:r w:rsidR="0046460C">
        <w:t xml:space="preserve"> </w:t>
      </w:r>
      <w:r w:rsidR="00CD10D3">
        <w:t xml:space="preserve">have </w:t>
      </w:r>
      <w:r w:rsidR="0046460C">
        <w:t xml:space="preserve">focused mainly on </w:t>
      </w:r>
      <w:r w:rsidR="0046460C" w:rsidRPr="00F15CE5">
        <w:t>the establishment of a truth commission</w:t>
      </w:r>
      <w:r w:rsidR="0046460C">
        <w:t xml:space="preserve">, relegating other transitional justice measures to the background. However, the four elements </w:t>
      </w:r>
      <w:r w:rsidR="00F97A98">
        <w:t>—</w:t>
      </w:r>
      <w:r w:rsidR="0046460C">
        <w:t xml:space="preserve"> </w:t>
      </w:r>
      <w:r w:rsidR="0046460C" w:rsidRPr="008A3C06">
        <w:t>truth,</w:t>
      </w:r>
      <w:r w:rsidR="0046460C">
        <w:t xml:space="preserve"> </w:t>
      </w:r>
      <w:r w:rsidR="0046460C" w:rsidRPr="008A3C06">
        <w:t>justice, reparation and guarantees of non-recurrence</w:t>
      </w:r>
      <w:r w:rsidR="0046460C">
        <w:t xml:space="preserve"> </w:t>
      </w:r>
      <w:r w:rsidR="00F97A98">
        <w:t>—</w:t>
      </w:r>
      <w:r w:rsidR="0046460C">
        <w:t xml:space="preserve"> </w:t>
      </w:r>
      <w:r w:rsidR="0046460C" w:rsidRPr="008A3C06">
        <w:t>should</w:t>
      </w:r>
      <w:r w:rsidR="0046460C">
        <w:t xml:space="preserve"> </w:t>
      </w:r>
      <w:r w:rsidR="0046460C" w:rsidRPr="008A3C06">
        <w:t xml:space="preserve">be </w:t>
      </w:r>
      <w:r w:rsidR="00AE718B">
        <w:t>viewed</w:t>
      </w:r>
      <w:r w:rsidR="00AE718B" w:rsidRPr="008A3C06">
        <w:t xml:space="preserve"> </w:t>
      </w:r>
      <w:r w:rsidR="0046460C" w:rsidRPr="008A3C06">
        <w:t xml:space="preserve">as </w:t>
      </w:r>
      <w:r w:rsidR="0046460C">
        <w:t>components</w:t>
      </w:r>
      <w:r w:rsidR="0046460C" w:rsidRPr="008A3C06">
        <w:t xml:space="preserve"> of a comprehensive policy, not </w:t>
      </w:r>
      <w:r w:rsidR="0046460C">
        <w:t xml:space="preserve">as </w:t>
      </w:r>
      <w:r w:rsidR="0046460C" w:rsidRPr="00D73431">
        <w:t xml:space="preserve">a menu from which </w:t>
      </w:r>
      <w:r w:rsidR="00744AC8">
        <w:t>G</w:t>
      </w:r>
      <w:r w:rsidR="0046460C" w:rsidRPr="00D73431">
        <w:t xml:space="preserve">overnments </w:t>
      </w:r>
      <w:r w:rsidR="0046460C">
        <w:t>can</w:t>
      </w:r>
      <w:r w:rsidR="0046460C" w:rsidRPr="00D73431">
        <w:t xml:space="preserve"> pick and choose </w:t>
      </w:r>
      <w:r w:rsidR="0046460C" w:rsidRPr="00C622DC">
        <w:t xml:space="preserve">or trade off </w:t>
      </w:r>
      <w:r w:rsidR="00AE718B">
        <w:t xml:space="preserve">one </w:t>
      </w:r>
      <w:r w:rsidR="0046460C">
        <w:t xml:space="preserve">measure </w:t>
      </w:r>
      <w:r w:rsidR="0046460C" w:rsidRPr="00C622DC">
        <w:t>against another</w:t>
      </w:r>
      <w:r w:rsidR="0046460C" w:rsidRPr="008A3C06">
        <w:t>.</w:t>
      </w:r>
      <w:r w:rsidR="0046460C" w:rsidRPr="00C077B3">
        <w:rPr>
          <w:rStyle w:val="FootnoteReference"/>
        </w:rPr>
        <w:footnoteReference w:id="6"/>
      </w:r>
      <w:r w:rsidR="0046460C" w:rsidRPr="008A3C06">
        <w:t xml:space="preserve"> </w:t>
      </w:r>
      <w:r w:rsidR="0046460C">
        <w:t xml:space="preserve">The Special Rapporteur </w:t>
      </w:r>
      <w:r w:rsidR="0046460C" w:rsidRPr="008A3C06">
        <w:t>recall</w:t>
      </w:r>
      <w:r w:rsidR="00AE718B">
        <w:t>s</w:t>
      </w:r>
      <w:r w:rsidR="0046460C" w:rsidRPr="008A3C06">
        <w:t xml:space="preserve"> that</w:t>
      </w:r>
      <w:r w:rsidR="00686B36">
        <w:t>,</w:t>
      </w:r>
      <w:r w:rsidR="0046460C" w:rsidRPr="008A3C06">
        <w:t xml:space="preserve"> </w:t>
      </w:r>
      <w:r w:rsidR="0046460C" w:rsidRPr="00E86863">
        <w:rPr>
          <w:iCs/>
        </w:rPr>
        <w:t>legally</w:t>
      </w:r>
      <w:r w:rsidR="0046460C" w:rsidRPr="008A3C06">
        <w:t>, there are well</w:t>
      </w:r>
      <w:r w:rsidR="00744AC8">
        <w:t>-</w:t>
      </w:r>
      <w:r w:rsidR="0046460C" w:rsidRPr="008A3C06">
        <w:t>established rights to truth,</w:t>
      </w:r>
      <w:r w:rsidR="0046460C" w:rsidRPr="00C077B3">
        <w:rPr>
          <w:rStyle w:val="FootnoteReference"/>
        </w:rPr>
        <w:footnoteReference w:id="7"/>
      </w:r>
      <w:r w:rsidR="0046460C" w:rsidRPr="008A3C06">
        <w:t xml:space="preserve"> justice</w:t>
      </w:r>
      <w:r w:rsidR="0046460C" w:rsidRPr="00C077B3">
        <w:rPr>
          <w:rStyle w:val="FootnoteReference"/>
        </w:rPr>
        <w:footnoteReference w:id="8"/>
      </w:r>
      <w:r w:rsidR="0046460C" w:rsidRPr="008A3C06">
        <w:t xml:space="preserve"> </w:t>
      </w:r>
      <w:r w:rsidR="00AE718B">
        <w:t xml:space="preserve">and </w:t>
      </w:r>
      <w:r w:rsidR="0046460C" w:rsidRPr="008A3C06">
        <w:t>reparation,</w:t>
      </w:r>
      <w:r w:rsidR="0046460C" w:rsidRPr="00C077B3">
        <w:rPr>
          <w:rStyle w:val="FootnoteReference"/>
        </w:rPr>
        <w:footnoteReference w:id="9"/>
      </w:r>
      <w:r w:rsidR="0046460C" w:rsidRPr="008A3C06">
        <w:t xml:space="preserve"> </w:t>
      </w:r>
      <w:r w:rsidR="0046460C">
        <w:t>and</w:t>
      </w:r>
      <w:r w:rsidR="0046460C" w:rsidRPr="008A3C06">
        <w:t xml:space="preserve"> to reforms that enable the realization of th</w:t>
      </w:r>
      <w:r w:rsidR="00AE718B">
        <w:t>o</w:t>
      </w:r>
      <w:r w:rsidR="0046460C" w:rsidRPr="008A3C06">
        <w:t>se rights</w:t>
      </w:r>
      <w:r w:rsidR="00686B36">
        <w:t xml:space="preserve">; </w:t>
      </w:r>
      <w:r w:rsidR="00686B36" w:rsidRPr="00E86863">
        <w:rPr>
          <w:iCs/>
        </w:rPr>
        <w:t>practically</w:t>
      </w:r>
      <w:r w:rsidR="0046460C">
        <w:t xml:space="preserve">, </w:t>
      </w:r>
      <w:r w:rsidR="0046460C" w:rsidRPr="008A3C06">
        <w:t xml:space="preserve">ample </w:t>
      </w:r>
      <w:r w:rsidR="00AE718B">
        <w:t xml:space="preserve">international </w:t>
      </w:r>
      <w:r w:rsidR="0046460C" w:rsidRPr="008A3C06">
        <w:t>experience ground</w:t>
      </w:r>
      <w:r w:rsidR="0046460C">
        <w:t>s</w:t>
      </w:r>
      <w:r w:rsidR="0046460C" w:rsidRPr="008A3C06">
        <w:t xml:space="preserve"> the claim that th</w:t>
      </w:r>
      <w:r w:rsidR="00AE718B">
        <w:t>o</w:t>
      </w:r>
      <w:r w:rsidR="0046460C" w:rsidRPr="008A3C06">
        <w:t xml:space="preserve">se measures work best when they support one another and no single </w:t>
      </w:r>
      <w:r w:rsidR="00AE718B">
        <w:t>measure</w:t>
      </w:r>
      <w:r w:rsidR="0046460C" w:rsidRPr="008A3C06">
        <w:t xml:space="preserve"> </w:t>
      </w:r>
      <w:r w:rsidR="00686B36">
        <w:t xml:space="preserve">alone </w:t>
      </w:r>
      <w:r w:rsidR="0046460C" w:rsidRPr="008A3C06">
        <w:t>can stand for the whole</w:t>
      </w:r>
      <w:r w:rsidR="00686B36">
        <w:t>; a</w:t>
      </w:r>
      <w:r w:rsidR="0046460C">
        <w:t>nd</w:t>
      </w:r>
      <w:r w:rsidR="0046460C" w:rsidRPr="008A3C06">
        <w:t xml:space="preserve"> </w:t>
      </w:r>
      <w:r w:rsidR="0046460C" w:rsidRPr="00E86863">
        <w:rPr>
          <w:iCs/>
        </w:rPr>
        <w:t>morally</w:t>
      </w:r>
      <w:r w:rsidR="0046460C" w:rsidRPr="008A3C06">
        <w:t xml:space="preserve">, there is an obligation to </w:t>
      </w:r>
      <w:r w:rsidR="00686B36">
        <w:t xml:space="preserve">provide </w:t>
      </w:r>
      <w:r w:rsidR="0046460C" w:rsidRPr="008A3C06">
        <w:t>redress</w:t>
      </w:r>
      <w:r w:rsidR="0046460C">
        <w:t>,</w:t>
      </w:r>
      <w:r w:rsidR="0046460C" w:rsidRPr="008A3C06">
        <w:t xml:space="preserve"> in the most comprehensive way</w:t>
      </w:r>
      <w:r w:rsidR="0046460C">
        <w:t>,</w:t>
      </w:r>
      <w:r w:rsidR="0046460C" w:rsidRPr="008A3C06">
        <w:t xml:space="preserve"> </w:t>
      </w:r>
      <w:r w:rsidR="00686B36">
        <w:t xml:space="preserve">to </w:t>
      </w:r>
      <w:r w:rsidR="0046460C" w:rsidRPr="008A3C06">
        <w:t xml:space="preserve">victims who have endured </w:t>
      </w:r>
      <w:r w:rsidR="0046460C" w:rsidRPr="00FD70C4">
        <w:t>untold</w:t>
      </w:r>
      <w:r w:rsidR="0046460C" w:rsidRPr="008A3C06">
        <w:t xml:space="preserve"> suffering and to </w:t>
      </w:r>
      <w:r w:rsidR="0046460C">
        <w:t>ensure</w:t>
      </w:r>
      <w:r w:rsidR="0046460C" w:rsidRPr="008A3C06">
        <w:t xml:space="preserve"> that such suffering is never again </w:t>
      </w:r>
      <w:r w:rsidR="0046460C">
        <w:t>repeated</w:t>
      </w:r>
      <w:r w:rsidR="0046460C" w:rsidRPr="008A3C06">
        <w:t>.</w:t>
      </w:r>
      <w:r w:rsidR="0046460C">
        <w:t xml:space="preserve"> </w:t>
      </w:r>
    </w:p>
    <w:p w:rsidR="0046460C" w:rsidRDefault="00C71ACD" w:rsidP="00C71ACD">
      <w:pPr>
        <w:pStyle w:val="SingleTxtG"/>
      </w:pPr>
      <w:r>
        <w:rPr>
          <w:bCs/>
        </w:rPr>
        <w:t>13.</w:t>
      </w:r>
      <w:r>
        <w:rPr>
          <w:bCs/>
        </w:rPr>
        <w:tab/>
      </w:r>
      <w:r w:rsidR="0046460C" w:rsidRPr="00AC1541">
        <w:t>Second</w:t>
      </w:r>
      <w:r w:rsidR="0046460C">
        <w:t xml:space="preserve">, a </w:t>
      </w:r>
      <w:r w:rsidR="00686B36">
        <w:t xml:space="preserve">wide </w:t>
      </w:r>
      <w:r w:rsidR="0046460C">
        <w:t xml:space="preserve">array of stakeholders expressed profound </w:t>
      </w:r>
      <w:r w:rsidR="00686B36">
        <w:t>concern</w:t>
      </w:r>
      <w:r w:rsidR="0046460C">
        <w:t xml:space="preserve"> that transitional justice measures might be implemented </w:t>
      </w:r>
      <w:r w:rsidR="0046460C" w:rsidRPr="00266957">
        <w:t xml:space="preserve">selectively </w:t>
      </w:r>
      <w:r w:rsidR="0046460C">
        <w:t xml:space="preserve">to </w:t>
      </w:r>
      <w:r w:rsidR="0046460C" w:rsidRPr="00266957">
        <w:t xml:space="preserve">benefit political allies and </w:t>
      </w:r>
      <w:r w:rsidR="0046460C" w:rsidRPr="003402F4">
        <w:t xml:space="preserve">sympathizers and </w:t>
      </w:r>
      <w:r w:rsidR="0046460C">
        <w:t xml:space="preserve">to </w:t>
      </w:r>
      <w:r w:rsidR="0046460C" w:rsidRPr="003402F4">
        <w:t xml:space="preserve">disfavour others. </w:t>
      </w:r>
      <w:r w:rsidR="0046460C" w:rsidRPr="008756C0">
        <w:t>Past e</w:t>
      </w:r>
      <w:r w:rsidR="0046460C" w:rsidRPr="003402F4">
        <w:t xml:space="preserve">xperience </w:t>
      </w:r>
      <w:r w:rsidR="0046460C">
        <w:t xml:space="preserve">in other countries </w:t>
      </w:r>
      <w:r w:rsidR="0046460C" w:rsidRPr="003402F4">
        <w:t xml:space="preserve">has </w:t>
      </w:r>
      <w:r w:rsidR="00AC1541">
        <w:t>shown</w:t>
      </w:r>
      <w:r w:rsidR="0046460C">
        <w:t xml:space="preserve"> </w:t>
      </w:r>
      <w:r w:rsidR="0046460C" w:rsidRPr="003402F4">
        <w:t xml:space="preserve">that the socially integrative potential of </w:t>
      </w:r>
      <w:r w:rsidR="0046460C" w:rsidRPr="008756C0">
        <w:t>transitional justice</w:t>
      </w:r>
      <w:r w:rsidR="0046460C" w:rsidRPr="003402F4">
        <w:t xml:space="preserve"> measures </w:t>
      </w:r>
      <w:r w:rsidR="0046460C">
        <w:t>stems from</w:t>
      </w:r>
      <w:r w:rsidR="0046460C" w:rsidRPr="003402F4">
        <w:t xml:space="preserve"> the same basic fact: transitional justice measures </w:t>
      </w:r>
      <w:r w:rsidR="0046460C">
        <w:t>are</w:t>
      </w:r>
      <w:r w:rsidR="0046460C" w:rsidRPr="003402F4">
        <w:t xml:space="preserve"> both grounded in and meant to foster human rights. </w:t>
      </w:r>
      <w:r w:rsidR="0046460C">
        <w:t>Hence, they must</w:t>
      </w:r>
      <w:r w:rsidR="0046460C" w:rsidRPr="00917562">
        <w:t xml:space="preserve"> never be used as instruments of </w:t>
      </w:r>
      <w:r w:rsidR="006851CB">
        <w:t>“</w:t>
      </w:r>
      <w:r w:rsidR="0046460C" w:rsidRPr="00917562">
        <w:t>turn-taking</w:t>
      </w:r>
      <w:r w:rsidR="006851CB">
        <w:t>”</w:t>
      </w:r>
      <w:r w:rsidR="00744AC8">
        <w:t>.</w:t>
      </w:r>
      <w:r w:rsidR="0046460C">
        <w:t xml:space="preserve"> </w:t>
      </w:r>
      <w:r w:rsidR="0046460C" w:rsidRPr="007A1F8F">
        <w:t>Transitional</w:t>
      </w:r>
      <w:r w:rsidR="0046460C" w:rsidRPr="003402F4">
        <w:t xml:space="preserve"> justice measures </w:t>
      </w:r>
      <w:r w:rsidR="0046460C">
        <w:t xml:space="preserve">must </w:t>
      </w:r>
      <w:r w:rsidR="0046460C" w:rsidRPr="003402F4">
        <w:t>be centred on rights</w:t>
      </w:r>
      <w:r w:rsidR="0046460C">
        <w:t>,</w:t>
      </w:r>
      <w:r w:rsidR="0046460C" w:rsidRPr="003402F4">
        <w:t xml:space="preserve"> not </w:t>
      </w:r>
      <w:r w:rsidR="0046460C" w:rsidRPr="00917562">
        <w:t>interests or considerations of expedienc</w:t>
      </w:r>
      <w:r w:rsidR="0046460C">
        <w:t>y</w:t>
      </w:r>
      <w:r w:rsidR="0046460C" w:rsidRPr="00917562">
        <w:t xml:space="preserve">. </w:t>
      </w:r>
      <w:r w:rsidR="0046460C">
        <w:t>T</w:t>
      </w:r>
      <w:r w:rsidR="0046460C" w:rsidRPr="00917562">
        <w:t xml:space="preserve">he necessary and </w:t>
      </w:r>
      <w:r w:rsidR="0046460C">
        <w:t xml:space="preserve">sufficient criterion for </w:t>
      </w:r>
      <w:r w:rsidR="0046460C" w:rsidRPr="00917562">
        <w:t>access</w:t>
      </w:r>
      <w:r w:rsidR="0046460C">
        <w:t>ing</w:t>
      </w:r>
      <w:r w:rsidR="0046460C" w:rsidRPr="00917562">
        <w:t xml:space="preserve"> th</w:t>
      </w:r>
      <w:r w:rsidR="006B24AD">
        <w:t>o</w:t>
      </w:r>
      <w:r w:rsidR="0046460C">
        <w:t>se measures</w:t>
      </w:r>
      <w:r w:rsidR="0046460C" w:rsidRPr="00917562">
        <w:t xml:space="preserve"> should be the violation of rights</w:t>
      </w:r>
      <w:r w:rsidR="0046460C">
        <w:t>;</w:t>
      </w:r>
      <w:r w:rsidR="0046460C" w:rsidRPr="00917562">
        <w:t xml:space="preserve"> factors such as ethnic identity, political affiliation</w:t>
      </w:r>
      <w:r w:rsidR="0046460C">
        <w:t xml:space="preserve"> or other considerations</w:t>
      </w:r>
      <w:r w:rsidR="0046460C" w:rsidRPr="00917562">
        <w:t xml:space="preserve"> </w:t>
      </w:r>
      <w:r w:rsidR="0046460C">
        <w:t xml:space="preserve">have no </w:t>
      </w:r>
      <w:r w:rsidR="0046460C" w:rsidRPr="00917562">
        <w:t>determining relevance</w:t>
      </w:r>
      <w:r w:rsidR="0046460C">
        <w:t xml:space="preserve">. </w:t>
      </w:r>
    </w:p>
    <w:p w:rsidR="0046460C" w:rsidRDefault="00C71ACD" w:rsidP="00C71ACD">
      <w:pPr>
        <w:pStyle w:val="SingleTxtG"/>
      </w:pPr>
      <w:r>
        <w:rPr>
          <w:bCs/>
        </w:rPr>
        <w:t>14.</w:t>
      </w:r>
      <w:r>
        <w:rPr>
          <w:bCs/>
        </w:rPr>
        <w:tab/>
      </w:r>
      <w:r w:rsidR="0046460C">
        <w:t>Third, redressing past massive violations and guaranteeing the rights of citizens in the present are connected issues</w:t>
      </w:r>
      <w:r w:rsidR="006B24AD">
        <w:t>;</w:t>
      </w:r>
      <w:r w:rsidR="0046460C">
        <w:t xml:space="preserve"> a tradition of impunity is both a manifestation and a cause of institutional weaknesses. </w:t>
      </w:r>
      <w:r w:rsidR="006B24AD">
        <w:t>It is o</w:t>
      </w:r>
      <w:r w:rsidR="0046460C">
        <w:t xml:space="preserve">nly when institutions show themselves capable of resolving conflicts </w:t>
      </w:r>
      <w:r w:rsidR="006B24AD">
        <w:t xml:space="preserve">that </w:t>
      </w:r>
      <w:r w:rsidR="0046460C">
        <w:t>they gain the trust of citizens, who then collaborate more with those institutions, which</w:t>
      </w:r>
      <w:r w:rsidR="006B24AD">
        <w:t>,</w:t>
      </w:r>
      <w:r w:rsidR="0046460C">
        <w:t xml:space="preserve"> in turn</w:t>
      </w:r>
      <w:r w:rsidR="006B24AD">
        <w:t>,</w:t>
      </w:r>
      <w:r w:rsidR="0046460C">
        <w:t xml:space="preserve"> enables them to solve problems more effectively. It is impossible to build legitimate, trustworthy institutions, which dislodge abusive practices, without accountability. Some of the challenges that Burundi faces today would be significantly easier to tackle had the country made more progress </w:t>
      </w:r>
      <w:r w:rsidR="006B24AD">
        <w:t>in addressing</w:t>
      </w:r>
      <w:r w:rsidR="0046460C">
        <w:t xml:space="preserve"> a history of impunity </w:t>
      </w:r>
      <w:r w:rsidR="007A1F8F">
        <w:t xml:space="preserve">that is </w:t>
      </w:r>
      <w:r w:rsidR="0046460C">
        <w:t xml:space="preserve">as long as its history of violations. </w:t>
      </w:r>
      <w:r w:rsidR="007A1F8F">
        <w:t>T</w:t>
      </w:r>
      <w:r w:rsidR="0046460C">
        <w:t xml:space="preserve">he Special Rapporteur has </w:t>
      </w:r>
      <w:r w:rsidR="007A1F8F">
        <w:t xml:space="preserve">already </w:t>
      </w:r>
      <w:r w:rsidR="0046460C">
        <w:t xml:space="preserve">argued </w:t>
      </w:r>
      <w:r w:rsidR="007A1F8F">
        <w:t xml:space="preserve">that </w:t>
      </w:r>
      <w:r w:rsidR="00CC4D45">
        <w:t xml:space="preserve">redressing past massive violations </w:t>
      </w:r>
      <w:r w:rsidR="0046460C">
        <w:t>do</w:t>
      </w:r>
      <w:r w:rsidR="00965A61">
        <w:t>es</w:t>
      </w:r>
      <w:r w:rsidR="0046460C">
        <w:t xml:space="preserve"> not stem from a retrospective interest </w:t>
      </w:r>
      <w:r w:rsidR="0046460C" w:rsidRPr="00A35DC5">
        <w:rPr>
          <w:iCs/>
        </w:rPr>
        <w:t>per se</w:t>
      </w:r>
      <w:r w:rsidR="0046460C">
        <w:t xml:space="preserve">. The aim, rather, is to provide recognition to victims </w:t>
      </w:r>
      <w:r w:rsidR="0046460C" w:rsidRPr="00E86863">
        <w:rPr>
          <w:iCs/>
        </w:rPr>
        <w:t>as rights holders</w:t>
      </w:r>
      <w:r w:rsidR="007A1F8F" w:rsidRPr="007D1101">
        <w:rPr>
          <w:iCs/>
        </w:rPr>
        <w:t>;</w:t>
      </w:r>
      <w:r w:rsidR="0046460C">
        <w:t xml:space="preserve"> to promote trust, especially in institutions</w:t>
      </w:r>
      <w:r w:rsidR="007A1F8F">
        <w:t>;</w:t>
      </w:r>
      <w:r w:rsidR="0046460C">
        <w:t xml:space="preserve"> to strengthen the rule of law</w:t>
      </w:r>
      <w:r w:rsidR="007A1F8F">
        <w:t>;</w:t>
      </w:r>
      <w:r w:rsidR="0046460C">
        <w:t xml:space="preserve"> and to foster reconciliation or social integration. The </w:t>
      </w:r>
      <w:r w:rsidR="0052245F">
        <w:t xml:space="preserve">present </w:t>
      </w:r>
      <w:r w:rsidR="0046460C">
        <w:t>report is written in th</w:t>
      </w:r>
      <w:r w:rsidR="0052245F">
        <w:t>at</w:t>
      </w:r>
      <w:r w:rsidR="0046460C">
        <w:t xml:space="preserve"> spirit.</w:t>
      </w:r>
    </w:p>
    <w:p w:rsidR="0046460C" w:rsidRPr="00CD5022" w:rsidRDefault="0046460C" w:rsidP="0052245F">
      <w:pPr>
        <w:pStyle w:val="HChG"/>
        <w:rPr>
          <w:lang w:eastAsia="en-GB"/>
        </w:rPr>
      </w:pPr>
      <w:r>
        <w:tab/>
      </w:r>
      <w:r w:rsidRPr="00BC651D">
        <w:t>I</w:t>
      </w:r>
      <w:r>
        <w:t>II.</w:t>
      </w:r>
      <w:r>
        <w:tab/>
      </w:r>
      <w:r>
        <w:rPr>
          <w:lang w:eastAsia="en-GB"/>
        </w:rPr>
        <w:t>Truth and Reconciliation Commission</w:t>
      </w:r>
    </w:p>
    <w:p w:rsidR="0046460C" w:rsidRPr="00446FD6" w:rsidRDefault="00D04463" w:rsidP="007F38C9">
      <w:pPr>
        <w:pStyle w:val="H1G"/>
        <w:rPr>
          <w:lang w:eastAsia="en-GB"/>
        </w:rPr>
      </w:pPr>
      <w:r>
        <w:rPr>
          <w:lang w:eastAsia="en-GB"/>
        </w:rPr>
        <w:tab/>
        <w:t>A.</w:t>
      </w:r>
      <w:r>
        <w:rPr>
          <w:lang w:eastAsia="en-GB"/>
        </w:rPr>
        <w:tab/>
      </w:r>
      <w:r w:rsidR="0046460C" w:rsidRPr="00B7613D">
        <w:t>Context</w:t>
      </w:r>
    </w:p>
    <w:p w:rsidR="0046460C" w:rsidRDefault="00C71ACD" w:rsidP="00C71ACD">
      <w:pPr>
        <w:pStyle w:val="SingleTxtG"/>
        <w:rPr>
          <w:rFonts w:cs="Arial"/>
          <w:color w:val="000000"/>
          <w:lang w:eastAsia="en-GB"/>
        </w:rPr>
      </w:pPr>
      <w:r>
        <w:rPr>
          <w:rFonts w:cs="Arial"/>
          <w:bCs/>
          <w:color w:val="000000"/>
          <w:lang w:eastAsia="en-GB"/>
        </w:rPr>
        <w:t>15.</w:t>
      </w:r>
      <w:r>
        <w:rPr>
          <w:rFonts w:cs="Arial"/>
          <w:bCs/>
          <w:color w:val="000000"/>
          <w:lang w:eastAsia="en-GB"/>
        </w:rPr>
        <w:tab/>
      </w:r>
      <w:r w:rsidR="007A1F8F">
        <w:rPr>
          <w:rFonts w:cs="Arial"/>
          <w:color w:val="000000"/>
          <w:lang w:eastAsia="en-GB"/>
        </w:rPr>
        <w:t>The 2000 Arusha Agreement p</w:t>
      </w:r>
      <w:r w:rsidR="0046460C">
        <w:rPr>
          <w:rFonts w:cs="Arial"/>
          <w:color w:val="000000"/>
          <w:lang w:eastAsia="en-GB"/>
        </w:rPr>
        <w:t>rovi</w:t>
      </w:r>
      <w:r w:rsidR="007A1F8F">
        <w:rPr>
          <w:rFonts w:cs="Arial"/>
          <w:color w:val="000000"/>
          <w:lang w:eastAsia="en-GB"/>
        </w:rPr>
        <w:t xml:space="preserve">ded </w:t>
      </w:r>
      <w:r w:rsidR="0046460C">
        <w:rPr>
          <w:rFonts w:cs="Arial"/>
          <w:color w:val="000000"/>
          <w:lang w:eastAsia="en-GB"/>
        </w:rPr>
        <w:t xml:space="preserve">for the establishment of a </w:t>
      </w:r>
      <w:r w:rsidR="00C1764D">
        <w:rPr>
          <w:rFonts w:cs="Arial"/>
          <w:color w:val="000000"/>
          <w:lang w:eastAsia="en-GB"/>
        </w:rPr>
        <w:t>n</w:t>
      </w:r>
      <w:r w:rsidR="0046460C">
        <w:rPr>
          <w:rFonts w:cs="Arial"/>
          <w:color w:val="000000"/>
          <w:lang w:eastAsia="en-GB"/>
        </w:rPr>
        <w:t xml:space="preserve">ational </w:t>
      </w:r>
      <w:r w:rsidR="00C1764D">
        <w:rPr>
          <w:rFonts w:cs="Arial"/>
          <w:color w:val="000000"/>
          <w:lang w:eastAsia="en-GB"/>
        </w:rPr>
        <w:t>t</w:t>
      </w:r>
      <w:r w:rsidR="0046460C">
        <w:rPr>
          <w:rFonts w:cs="Arial"/>
          <w:color w:val="000000"/>
          <w:lang w:eastAsia="en-GB"/>
        </w:rPr>
        <w:t xml:space="preserve">ruth and </w:t>
      </w:r>
      <w:r w:rsidR="00C1764D">
        <w:rPr>
          <w:rFonts w:cs="Arial"/>
          <w:color w:val="000000"/>
          <w:lang w:eastAsia="en-GB"/>
        </w:rPr>
        <w:t>r</w:t>
      </w:r>
      <w:r w:rsidR="0046460C">
        <w:rPr>
          <w:rFonts w:cs="Arial"/>
          <w:color w:val="000000"/>
          <w:lang w:eastAsia="en-GB"/>
        </w:rPr>
        <w:t xml:space="preserve">econciliation </w:t>
      </w:r>
      <w:r w:rsidR="00C1764D">
        <w:rPr>
          <w:rFonts w:cs="Arial"/>
          <w:color w:val="000000"/>
          <w:lang w:eastAsia="en-GB"/>
        </w:rPr>
        <w:t>c</w:t>
      </w:r>
      <w:r w:rsidR="0046460C">
        <w:rPr>
          <w:rFonts w:cs="Arial"/>
          <w:color w:val="000000"/>
          <w:lang w:eastAsia="en-GB"/>
        </w:rPr>
        <w:t xml:space="preserve">ommission. </w:t>
      </w:r>
      <w:r w:rsidR="008165F8">
        <w:rPr>
          <w:rFonts w:cs="Arial"/>
          <w:color w:val="000000"/>
          <w:lang w:eastAsia="en-GB"/>
        </w:rPr>
        <w:t>In its</w:t>
      </w:r>
      <w:r w:rsidR="008165F8" w:rsidRPr="0077229B">
        <w:rPr>
          <w:rFonts w:cs="Arial"/>
          <w:color w:val="000000"/>
          <w:lang w:eastAsia="en-GB"/>
        </w:rPr>
        <w:t xml:space="preserve"> </w:t>
      </w:r>
      <w:r w:rsidR="00892388">
        <w:rPr>
          <w:rFonts w:cs="Arial"/>
          <w:color w:val="000000"/>
          <w:lang w:eastAsia="en-GB"/>
        </w:rPr>
        <w:t xml:space="preserve">2005 </w:t>
      </w:r>
      <w:r w:rsidR="00C1764D">
        <w:rPr>
          <w:rFonts w:cs="Arial"/>
          <w:color w:val="000000"/>
          <w:lang w:eastAsia="en-GB"/>
        </w:rPr>
        <w:t>report</w:t>
      </w:r>
      <w:r w:rsidR="008165F8">
        <w:rPr>
          <w:rFonts w:cs="Arial"/>
          <w:color w:val="000000"/>
          <w:lang w:eastAsia="en-GB"/>
        </w:rPr>
        <w:t>,</w:t>
      </w:r>
      <w:r w:rsidR="00C1764D">
        <w:rPr>
          <w:rFonts w:cs="Arial"/>
          <w:color w:val="000000"/>
          <w:lang w:eastAsia="en-GB"/>
        </w:rPr>
        <w:t xml:space="preserve"> the assessment mission </w:t>
      </w:r>
      <w:r w:rsidR="008165F8">
        <w:rPr>
          <w:rFonts w:cs="Arial"/>
          <w:color w:val="000000"/>
          <w:lang w:eastAsia="en-GB"/>
        </w:rPr>
        <w:t xml:space="preserve">on </w:t>
      </w:r>
      <w:r w:rsidR="008165F8">
        <w:t>the establishment of an international judicial commission of inquiry for</w:t>
      </w:r>
      <w:r w:rsidR="008165F8" w:rsidDel="008165F8">
        <w:rPr>
          <w:rFonts w:cs="Arial"/>
          <w:color w:val="000000"/>
          <w:lang w:eastAsia="en-GB"/>
        </w:rPr>
        <w:t xml:space="preserve"> </w:t>
      </w:r>
      <w:r w:rsidR="00C1764D">
        <w:rPr>
          <w:rFonts w:cs="Arial"/>
          <w:color w:val="000000"/>
          <w:lang w:eastAsia="en-GB"/>
        </w:rPr>
        <w:t xml:space="preserve">Burundi </w:t>
      </w:r>
      <w:r w:rsidR="0046460C" w:rsidRPr="0077229B">
        <w:rPr>
          <w:rFonts w:cs="Arial"/>
          <w:color w:val="000000"/>
          <w:lang w:eastAsia="en-GB"/>
        </w:rPr>
        <w:t xml:space="preserve"> </w:t>
      </w:r>
      <w:r w:rsidR="00C1764D">
        <w:rPr>
          <w:rFonts w:cs="Arial"/>
          <w:color w:val="000000"/>
          <w:lang w:eastAsia="en-GB"/>
        </w:rPr>
        <w:t xml:space="preserve">recommended a twin mechanism consisting of </w:t>
      </w:r>
      <w:r w:rsidR="0046460C">
        <w:rPr>
          <w:rFonts w:cs="Arial"/>
          <w:color w:val="000000"/>
          <w:lang w:eastAsia="en-GB"/>
        </w:rPr>
        <w:t xml:space="preserve">a </w:t>
      </w:r>
      <w:r w:rsidR="00C1764D">
        <w:rPr>
          <w:rFonts w:cs="Arial"/>
          <w:color w:val="000000"/>
          <w:lang w:eastAsia="en-GB"/>
        </w:rPr>
        <w:t>t</w:t>
      </w:r>
      <w:r w:rsidR="0046460C" w:rsidRPr="0077229B">
        <w:rPr>
          <w:rFonts w:cs="Arial"/>
          <w:color w:val="000000"/>
          <w:lang w:eastAsia="en-GB"/>
        </w:rPr>
        <w:t xml:space="preserve">ruth </w:t>
      </w:r>
      <w:r w:rsidR="00C1764D">
        <w:rPr>
          <w:rFonts w:cs="Arial"/>
          <w:color w:val="000000"/>
          <w:lang w:eastAsia="en-GB"/>
        </w:rPr>
        <w:t>c</w:t>
      </w:r>
      <w:r w:rsidR="0046460C" w:rsidRPr="0077229B">
        <w:rPr>
          <w:rFonts w:cs="Arial"/>
          <w:color w:val="000000"/>
          <w:lang w:eastAsia="en-GB"/>
        </w:rPr>
        <w:t>ommission</w:t>
      </w:r>
      <w:r w:rsidR="0046460C">
        <w:rPr>
          <w:rFonts w:cs="Arial"/>
          <w:color w:val="000000"/>
          <w:lang w:eastAsia="en-GB"/>
        </w:rPr>
        <w:t xml:space="preserve"> (</w:t>
      </w:r>
      <w:r w:rsidR="00C1764D">
        <w:rPr>
          <w:rFonts w:cs="Arial"/>
          <w:color w:val="000000"/>
          <w:lang w:eastAsia="en-GB"/>
        </w:rPr>
        <w:t>composed of</w:t>
      </w:r>
      <w:r w:rsidR="0046460C">
        <w:rPr>
          <w:rFonts w:cs="Arial"/>
          <w:color w:val="000000"/>
          <w:lang w:eastAsia="en-GB"/>
        </w:rPr>
        <w:t xml:space="preserve"> national and international commissioners)</w:t>
      </w:r>
      <w:r w:rsidR="00C1764D">
        <w:rPr>
          <w:rFonts w:cs="Arial"/>
          <w:color w:val="000000"/>
          <w:lang w:eastAsia="en-GB"/>
        </w:rPr>
        <w:t xml:space="preserve"> and </w:t>
      </w:r>
      <w:r w:rsidR="0046460C" w:rsidRPr="0077229B">
        <w:rPr>
          <w:rFonts w:cs="Arial"/>
          <w:color w:val="000000"/>
          <w:lang w:eastAsia="en-GB"/>
        </w:rPr>
        <w:t>a special chamber w</w:t>
      </w:r>
      <w:r w:rsidR="0046460C">
        <w:rPr>
          <w:rFonts w:cs="Arial"/>
          <w:color w:val="000000"/>
          <w:lang w:eastAsia="en-GB"/>
        </w:rPr>
        <w:t>i</w:t>
      </w:r>
      <w:r w:rsidR="0046460C" w:rsidRPr="0077229B">
        <w:rPr>
          <w:rFonts w:cs="Arial"/>
          <w:color w:val="000000"/>
          <w:lang w:eastAsia="en-GB"/>
        </w:rPr>
        <w:t xml:space="preserve">thin </w:t>
      </w:r>
      <w:r w:rsidR="00C1764D">
        <w:rPr>
          <w:rFonts w:cs="Arial"/>
          <w:color w:val="000000"/>
          <w:lang w:eastAsia="en-GB"/>
        </w:rPr>
        <w:t>the court</w:t>
      </w:r>
      <w:r w:rsidR="0046460C" w:rsidRPr="0077229B">
        <w:rPr>
          <w:rFonts w:cs="Arial"/>
          <w:color w:val="000000"/>
          <w:lang w:eastAsia="en-GB"/>
        </w:rPr>
        <w:t xml:space="preserve"> system</w:t>
      </w:r>
      <w:r w:rsidR="008165F8">
        <w:rPr>
          <w:rFonts w:cs="Arial"/>
          <w:color w:val="000000"/>
          <w:lang w:eastAsia="en-GB"/>
        </w:rPr>
        <w:t xml:space="preserve"> </w:t>
      </w:r>
      <w:r w:rsidR="008165F8" w:rsidRPr="0077229B">
        <w:rPr>
          <w:rFonts w:cs="Arial"/>
          <w:color w:val="000000"/>
          <w:lang w:eastAsia="en-GB"/>
        </w:rPr>
        <w:t>(</w:t>
      </w:r>
      <w:r w:rsidR="008165F8">
        <w:rPr>
          <w:rFonts w:cs="Arial"/>
          <w:color w:val="000000"/>
          <w:lang w:eastAsia="en-GB"/>
        </w:rPr>
        <w:t>see S</w:t>
      </w:r>
      <w:r w:rsidR="008165F8" w:rsidRPr="0077229B">
        <w:rPr>
          <w:rFonts w:cs="Arial"/>
          <w:color w:val="000000"/>
          <w:lang w:eastAsia="en-GB"/>
        </w:rPr>
        <w:t>/2005/158</w:t>
      </w:r>
      <w:r w:rsidR="008165F8">
        <w:rPr>
          <w:rFonts w:cs="Arial"/>
          <w:color w:val="000000"/>
          <w:lang w:eastAsia="en-GB"/>
        </w:rPr>
        <w:t>, para. 53</w:t>
      </w:r>
      <w:r w:rsidR="008165F8" w:rsidRPr="0077229B">
        <w:rPr>
          <w:rFonts w:cs="Arial"/>
          <w:color w:val="000000"/>
          <w:lang w:eastAsia="en-GB"/>
        </w:rPr>
        <w:t>)</w:t>
      </w:r>
      <w:r w:rsidR="0046460C" w:rsidRPr="0077229B">
        <w:rPr>
          <w:rFonts w:cs="Arial"/>
          <w:color w:val="000000"/>
          <w:lang w:eastAsia="en-GB"/>
        </w:rPr>
        <w:t>.</w:t>
      </w:r>
      <w:r w:rsidR="0046460C">
        <w:rPr>
          <w:rFonts w:cs="Arial"/>
          <w:color w:val="000000"/>
          <w:lang w:eastAsia="en-GB"/>
        </w:rPr>
        <w:t xml:space="preserve"> I</w:t>
      </w:r>
      <w:r w:rsidR="0046460C" w:rsidRPr="0077229B">
        <w:rPr>
          <w:rFonts w:cs="Arial"/>
          <w:color w:val="000000"/>
          <w:lang w:eastAsia="en-GB"/>
        </w:rPr>
        <w:t xml:space="preserve">n 2011, a </w:t>
      </w:r>
      <w:r w:rsidR="00F83B0B">
        <w:rPr>
          <w:rFonts w:cs="Arial"/>
          <w:color w:val="000000"/>
          <w:lang w:eastAsia="en-GB"/>
        </w:rPr>
        <w:t>t</w:t>
      </w:r>
      <w:r w:rsidR="0046460C" w:rsidRPr="0077229B">
        <w:rPr>
          <w:rFonts w:cs="Arial"/>
          <w:color w:val="000000"/>
          <w:lang w:eastAsia="en-GB"/>
        </w:rPr>
        <w:t xml:space="preserve">echnical </w:t>
      </w:r>
      <w:r w:rsidR="00F83B0B">
        <w:rPr>
          <w:rFonts w:cs="Arial"/>
          <w:color w:val="000000"/>
          <w:lang w:eastAsia="en-GB"/>
        </w:rPr>
        <w:t>c</w:t>
      </w:r>
      <w:r w:rsidR="0046460C" w:rsidRPr="0077229B">
        <w:rPr>
          <w:rFonts w:cs="Arial"/>
          <w:color w:val="000000"/>
          <w:lang w:eastAsia="en-GB"/>
        </w:rPr>
        <w:t>ommittee</w:t>
      </w:r>
      <w:r w:rsidR="0046460C">
        <w:rPr>
          <w:rFonts w:cs="Arial"/>
          <w:color w:val="000000"/>
          <w:lang w:eastAsia="en-GB"/>
        </w:rPr>
        <w:t>,</w:t>
      </w:r>
      <w:r w:rsidR="0046460C" w:rsidRPr="0077229B">
        <w:rPr>
          <w:rFonts w:cs="Arial"/>
          <w:color w:val="000000"/>
          <w:lang w:eastAsia="en-GB"/>
        </w:rPr>
        <w:t xml:space="preserve"> chaired by the Minister of Foreign Affairs</w:t>
      </w:r>
      <w:r w:rsidR="0046460C">
        <w:rPr>
          <w:rFonts w:cs="Arial"/>
          <w:color w:val="000000"/>
          <w:lang w:eastAsia="en-GB"/>
        </w:rPr>
        <w:t>,</w:t>
      </w:r>
      <w:r w:rsidR="0046460C" w:rsidRPr="0077229B">
        <w:rPr>
          <w:rFonts w:cs="Arial"/>
          <w:color w:val="000000"/>
          <w:lang w:eastAsia="en-GB"/>
        </w:rPr>
        <w:t xml:space="preserve"> </w:t>
      </w:r>
      <w:r w:rsidR="0046460C">
        <w:rPr>
          <w:rFonts w:cs="Arial"/>
          <w:color w:val="000000"/>
          <w:lang w:eastAsia="en-GB"/>
        </w:rPr>
        <w:t xml:space="preserve">advised the </w:t>
      </w:r>
      <w:r w:rsidR="0046460C" w:rsidRPr="0077229B">
        <w:rPr>
          <w:rFonts w:cs="Arial"/>
          <w:color w:val="000000"/>
          <w:lang w:eastAsia="en-GB"/>
        </w:rPr>
        <w:t xml:space="preserve">Government on the set-up of such a </w:t>
      </w:r>
      <w:r w:rsidR="00185EE6">
        <w:rPr>
          <w:rFonts w:cs="Arial"/>
          <w:color w:val="000000"/>
          <w:lang w:eastAsia="en-GB"/>
        </w:rPr>
        <w:t>c</w:t>
      </w:r>
      <w:r w:rsidR="0046460C" w:rsidRPr="0077229B">
        <w:rPr>
          <w:rFonts w:cs="Arial"/>
          <w:color w:val="000000"/>
          <w:lang w:eastAsia="en-GB"/>
        </w:rPr>
        <w:t>ommission</w:t>
      </w:r>
      <w:r w:rsidR="0046460C">
        <w:rPr>
          <w:rFonts w:cs="Arial"/>
          <w:color w:val="000000"/>
          <w:lang w:eastAsia="en-GB"/>
        </w:rPr>
        <w:t xml:space="preserve"> and prepared a draft law</w:t>
      </w:r>
      <w:r w:rsidR="0046460C" w:rsidRPr="0077229B">
        <w:rPr>
          <w:rFonts w:cs="Arial"/>
          <w:color w:val="000000"/>
          <w:lang w:eastAsia="en-GB"/>
        </w:rPr>
        <w:t xml:space="preserve">. </w:t>
      </w:r>
      <w:r w:rsidR="0046460C">
        <w:rPr>
          <w:rFonts w:cs="Arial"/>
          <w:color w:val="000000"/>
          <w:lang w:eastAsia="en-GB"/>
        </w:rPr>
        <w:t>T</w:t>
      </w:r>
      <w:r w:rsidR="0046460C" w:rsidRPr="0077229B">
        <w:rPr>
          <w:rFonts w:cs="Arial"/>
          <w:color w:val="000000"/>
          <w:lang w:eastAsia="en-GB"/>
        </w:rPr>
        <w:t xml:space="preserve">he final </w:t>
      </w:r>
      <w:r w:rsidR="001622FF">
        <w:rPr>
          <w:rFonts w:cs="Arial"/>
          <w:color w:val="000000"/>
          <w:lang w:eastAsia="en-GB"/>
        </w:rPr>
        <w:t>L</w:t>
      </w:r>
      <w:r w:rsidR="0046460C" w:rsidRPr="0077229B">
        <w:rPr>
          <w:rFonts w:cs="Arial"/>
          <w:color w:val="000000"/>
          <w:lang w:eastAsia="en-GB"/>
        </w:rPr>
        <w:t xml:space="preserve">aw </w:t>
      </w:r>
      <w:r w:rsidR="001622FF">
        <w:rPr>
          <w:rFonts w:cs="Arial"/>
          <w:color w:val="000000"/>
          <w:lang w:eastAsia="en-GB"/>
        </w:rPr>
        <w:t xml:space="preserve">No. 1/18 on the establishment of a truth and reconciliation commission </w:t>
      </w:r>
      <w:r w:rsidR="003E5B46">
        <w:rPr>
          <w:rFonts w:cs="Arial"/>
          <w:color w:val="000000"/>
          <w:lang w:eastAsia="en-GB"/>
        </w:rPr>
        <w:t xml:space="preserve">— </w:t>
      </w:r>
      <w:r w:rsidR="0046460C">
        <w:rPr>
          <w:rFonts w:cs="Arial"/>
          <w:color w:val="000000"/>
          <w:lang w:eastAsia="en-GB"/>
        </w:rPr>
        <w:t>which departs significantly from earlier drafts</w:t>
      </w:r>
      <w:r w:rsidR="003E5B46">
        <w:rPr>
          <w:rFonts w:cs="Arial"/>
          <w:color w:val="000000"/>
          <w:lang w:eastAsia="en-GB"/>
        </w:rPr>
        <w:t xml:space="preserve"> </w:t>
      </w:r>
      <w:r w:rsidR="0046460C">
        <w:rPr>
          <w:rFonts w:cs="Arial"/>
          <w:color w:val="000000"/>
          <w:lang w:eastAsia="en-GB"/>
        </w:rPr>
        <w:t>—</w:t>
      </w:r>
      <w:r w:rsidR="003E5B46">
        <w:rPr>
          <w:rFonts w:cs="Arial"/>
          <w:color w:val="000000"/>
          <w:lang w:eastAsia="en-GB"/>
        </w:rPr>
        <w:t xml:space="preserve"> </w:t>
      </w:r>
      <w:r w:rsidR="0046460C" w:rsidRPr="0077229B">
        <w:rPr>
          <w:rFonts w:cs="Arial"/>
          <w:color w:val="000000"/>
          <w:lang w:eastAsia="en-GB"/>
        </w:rPr>
        <w:t xml:space="preserve">was adopted in </w:t>
      </w:r>
      <w:r w:rsidR="001622FF">
        <w:rPr>
          <w:rFonts w:cs="Arial"/>
          <w:color w:val="000000"/>
          <w:lang w:eastAsia="en-GB"/>
        </w:rPr>
        <w:t>May</w:t>
      </w:r>
      <w:r w:rsidR="0046460C" w:rsidRPr="0077229B">
        <w:rPr>
          <w:rFonts w:cs="Arial"/>
          <w:color w:val="000000"/>
          <w:lang w:eastAsia="en-GB"/>
        </w:rPr>
        <w:t xml:space="preserve"> 2014.</w:t>
      </w:r>
    </w:p>
    <w:p w:rsidR="0046460C" w:rsidRPr="00484E32" w:rsidRDefault="00D04463" w:rsidP="00734A8A">
      <w:pPr>
        <w:pStyle w:val="H1G"/>
        <w:rPr>
          <w:lang w:eastAsia="en-GB"/>
        </w:rPr>
      </w:pPr>
      <w:r>
        <w:rPr>
          <w:lang w:eastAsia="en-GB"/>
        </w:rPr>
        <w:tab/>
        <w:t>B.</w:t>
      </w:r>
      <w:r>
        <w:rPr>
          <w:lang w:eastAsia="en-GB"/>
        </w:rPr>
        <w:tab/>
      </w:r>
      <w:r w:rsidR="0046460C" w:rsidRPr="00492F3A">
        <w:rPr>
          <w:lang w:eastAsia="en-GB"/>
        </w:rPr>
        <w:t>Mandate, composition and structure</w:t>
      </w:r>
    </w:p>
    <w:p w:rsidR="0046460C" w:rsidRDefault="00C71ACD" w:rsidP="00C71ACD">
      <w:pPr>
        <w:pStyle w:val="SingleTxtG"/>
        <w:rPr>
          <w:rFonts w:cs="Arial"/>
          <w:color w:val="000000"/>
          <w:lang w:eastAsia="en-GB"/>
        </w:rPr>
      </w:pPr>
      <w:r>
        <w:rPr>
          <w:rFonts w:cs="Arial"/>
          <w:bCs/>
          <w:color w:val="000000"/>
          <w:lang w:eastAsia="en-GB"/>
        </w:rPr>
        <w:t>16.</w:t>
      </w:r>
      <w:r>
        <w:rPr>
          <w:rFonts w:cs="Arial"/>
          <w:bCs/>
          <w:color w:val="000000"/>
          <w:lang w:eastAsia="en-GB"/>
        </w:rPr>
        <w:tab/>
      </w:r>
      <w:r w:rsidR="0046460C">
        <w:rPr>
          <w:rFonts w:cs="Arial"/>
          <w:color w:val="000000"/>
          <w:lang w:eastAsia="en-GB"/>
        </w:rPr>
        <w:t>The Commission</w:t>
      </w:r>
      <w:r w:rsidR="001622FF">
        <w:rPr>
          <w:rFonts w:cs="Arial"/>
          <w:color w:val="000000"/>
          <w:lang w:eastAsia="en-GB"/>
        </w:rPr>
        <w:t xml:space="preserve"> has a </w:t>
      </w:r>
      <w:r w:rsidR="00185EE6">
        <w:rPr>
          <w:rFonts w:cs="Arial"/>
          <w:color w:val="000000"/>
          <w:lang w:eastAsia="en-GB"/>
        </w:rPr>
        <w:t>four</w:t>
      </w:r>
      <w:r w:rsidR="001622FF">
        <w:rPr>
          <w:rFonts w:cs="Arial"/>
          <w:color w:val="000000"/>
          <w:lang w:eastAsia="en-GB"/>
        </w:rPr>
        <w:t>-</w:t>
      </w:r>
      <w:r w:rsidR="0046460C">
        <w:rPr>
          <w:rFonts w:cs="Arial"/>
          <w:color w:val="000000"/>
          <w:lang w:eastAsia="en-GB"/>
        </w:rPr>
        <w:t xml:space="preserve">year mandate to investigate </w:t>
      </w:r>
      <w:r w:rsidR="001622FF">
        <w:rPr>
          <w:rFonts w:cs="Arial"/>
          <w:color w:val="000000"/>
          <w:lang w:eastAsia="en-GB"/>
        </w:rPr>
        <w:t>and establish the truth about the</w:t>
      </w:r>
      <w:r w:rsidR="0046460C">
        <w:rPr>
          <w:rFonts w:cs="Arial"/>
          <w:color w:val="000000"/>
          <w:lang w:eastAsia="en-GB"/>
        </w:rPr>
        <w:t xml:space="preserve"> gross violations of human rights and international humanitarian law </w:t>
      </w:r>
      <w:r w:rsidR="001622FF">
        <w:rPr>
          <w:rFonts w:cs="Arial"/>
          <w:color w:val="000000"/>
          <w:lang w:eastAsia="en-GB"/>
        </w:rPr>
        <w:t>committed</w:t>
      </w:r>
      <w:r w:rsidR="0046460C">
        <w:rPr>
          <w:rFonts w:cs="Arial"/>
          <w:color w:val="000000"/>
          <w:lang w:eastAsia="en-GB"/>
        </w:rPr>
        <w:t xml:space="preserve"> between 1 July 1962 and 4 December 2008. </w:t>
      </w:r>
      <w:r w:rsidR="001622FF">
        <w:rPr>
          <w:rFonts w:cs="Arial"/>
          <w:color w:val="000000"/>
          <w:lang w:eastAsia="en-GB"/>
        </w:rPr>
        <w:t>A</w:t>
      </w:r>
      <w:r w:rsidR="0046460C">
        <w:rPr>
          <w:rFonts w:cs="Arial"/>
          <w:color w:val="000000"/>
          <w:lang w:eastAsia="en-GB"/>
        </w:rPr>
        <w:t xml:space="preserve">mong other competences, </w:t>
      </w:r>
      <w:r w:rsidR="001622FF">
        <w:rPr>
          <w:rFonts w:cs="Arial"/>
          <w:color w:val="000000"/>
          <w:lang w:eastAsia="en-GB"/>
        </w:rPr>
        <w:t xml:space="preserve">the Commission </w:t>
      </w:r>
      <w:r w:rsidR="0046460C">
        <w:rPr>
          <w:rFonts w:cs="Arial"/>
          <w:color w:val="000000"/>
          <w:lang w:eastAsia="en-GB"/>
        </w:rPr>
        <w:t>is empowered to propose a reparations programme</w:t>
      </w:r>
      <w:r w:rsidR="001622FF">
        <w:rPr>
          <w:rFonts w:cs="Arial"/>
          <w:color w:val="000000"/>
          <w:lang w:eastAsia="en-GB"/>
        </w:rPr>
        <w:t>;</w:t>
      </w:r>
      <w:r w:rsidR="0046460C">
        <w:rPr>
          <w:rFonts w:cs="Arial"/>
          <w:color w:val="000000"/>
          <w:lang w:eastAsia="en-GB"/>
        </w:rPr>
        <w:t xml:space="preserve"> a programme to promote pardon and reconciliation</w:t>
      </w:r>
      <w:r w:rsidR="001622FF">
        <w:rPr>
          <w:rFonts w:cs="Arial"/>
          <w:color w:val="000000"/>
          <w:lang w:eastAsia="en-GB"/>
        </w:rPr>
        <w:t>;</w:t>
      </w:r>
      <w:r w:rsidR="0046460C">
        <w:rPr>
          <w:rFonts w:cs="Arial"/>
          <w:color w:val="000000"/>
          <w:lang w:eastAsia="en-GB"/>
        </w:rPr>
        <w:t xml:space="preserve"> the creation of memorials</w:t>
      </w:r>
      <w:r w:rsidR="001622FF">
        <w:rPr>
          <w:rFonts w:cs="Arial"/>
          <w:color w:val="000000"/>
          <w:lang w:eastAsia="en-GB"/>
        </w:rPr>
        <w:t>;</w:t>
      </w:r>
      <w:r w:rsidR="0046460C">
        <w:rPr>
          <w:rFonts w:cs="Arial"/>
          <w:color w:val="000000"/>
          <w:lang w:eastAsia="en-GB"/>
        </w:rPr>
        <w:t xml:space="preserve"> institutional reforms to ensure the non-recurrence of </w:t>
      </w:r>
      <w:r w:rsidR="001622FF">
        <w:rPr>
          <w:rFonts w:cs="Arial"/>
          <w:color w:val="000000"/>
          <w:lang w:eastAsia="en-GB"/>
        </w:rPr>
        <w:t>past</w:t>
      </w:r>
      <w:r w:rsidR="0046460C">
        <w:rPr>
          <w:rFonts w:cs="Arial"/>
          <w:color w:val="000000"/>
          <w:lang w:eastAsia="en-GB"/>
        </w:rPr>
        <w:t xml:space="preserve"> violations</w:t>
      </w:r>
      <w:r w:rsidR="001622FF">
        <w:rPr>
          <w:rFonts w:cs="Arial"/>
          <w:color w:val="000000"/>
          <w:lang w:eastAsia="en-GB"/>
        </w:rPr>
        <w:t>;</w:t>
      </w:r>
      <w:r w:rsidR="0046460C">
        <w:rPr>
          <w:rFonts w:cs="Arial"/>
          <w:color w:val="000000"/>
          <w:lang w:eastAsia="en-GB"/>
        </w:rPr>
        <w:t xml:space="preserve"> and </w:t>
      </w:r>
      <w:r w:rsidR="001622FF">
        <w:rPr>
          <w:rFonts w:cs="Arial"/>
          <w:color w:val="000000"/>
          <w:lang w:eastAsia="en-GB"/>
        </w:rPr>
        <w:t>the</w:t>
      </w:r>
      <w:r w:rsidR="0046460C">
        <w:rPr>
          <w:rFonts w:cs="Arial"/>
          <w:color w:val="000000"/>
          <w:lang w:eastAsia="en-GB"/>
        </w:rPr>
        <w:t xml:space="preserve"> rewriting of history.</w:t>
      </w:r>
    </w:p>
    <w:p w:rsidR="0046460C" w:rsidRDefault="00C71ACD" w:rsidP="00C71ACD">
      <w:pPr>
        <w:pStyle w:val="SingleTxtG"/>
        <w:rPr>
          <w:rFonts w:cs="Arial"/>
          <w:color w:val="000000"/>
          <w:lang w:eastAsia="en-GB"/>
        </w:rPr>
      </w:pPr>
      <w:r>
        <w:rPr>
          <w:rFonts w:cs="Arial"/>
          <w:bCs/>
          <w:color w:val="000000"/>
          <w:lang w:eastAsia="en-GB"/>
        </w:rPr>
        <w:t>17.</w:t>
      </w:r>
      <w:r>
        <w:rPr>
          <w:rFonts w:cs="Arial"/>
          <w:bCs/>
          <w:color w:val="000000"/>
          <w:lang w:eastAsia="en-GB"/>
        </w:rPr>
        <w:tab/>
      </w:r>
      <w:r w:rsidR="0046460C">
        <w:rPr>
          <w:rFonts w:cs="Arial"/>
          <w:color w:val="000000"/>
          <w:lang w:eastAsia="en-GB"/>
        </w:rPr>
        <w:t xml:space="preserve">The Commission is an independent institution composed of 11 members, </w:t>
      </w:r>
      <w:r w:rsidR="00834736">
        <w:rPr>
          <w:rFonts w:cs="Arial"/>
          <w:color w:val="000000"/>
          <w:lang w:eastAsia="en-GB"/>
        </w:rPr>
        <w:t xml:space="preserve">of </w:t>
      </w:r>
      <w:r w:rsidR="00892388">
        <w:rPr>
          <w:rFonts w:cs="Arial"/>
          <w:color w:val="000000"/>
          <w:lang w:eastAsia="en-GB"/>
        </w:rPr>
        <w:t xml:space="preserve">whom </w:t>
      </w:r>
      <w:r w:rsidR="00834736">
        <w:rPr>
          <w:rFonts w:cs="Arial"/>
          <w:color w:val="000000"/>
          <w:lang w:eastAsia="en-GB"/>
        </w:rPr>
        <w:t>at least 4</w:t>
      </w:r>
      <w:r w:rsidR="0046460C">
        <w:rPr>
          <w:rFonts w:cs="Arial"/>
          <w:color w:val="000000"/>
          <w:lang w:eastAsia="en-GB"/>
        </w:rPr>
        <w:t xml:space="preserve"> </w:t>
      </w:r>
      <w:r w:rsidR="00834736">
        <w:rPr>
          <w:rFonts w:cs="Arial"/>
          <w:color w:val="000000"/>
          <w:lang w:eastAsia="en-GB"/>
        </w:rPr>
        <w:t>must</w:t>
      </w:r>
      <w:r w:rsidR="0046460C">
        <w:rPr>
          <w:rFonts w:cs="Arial"/>
          <w:color w:val="000000"/>
          <w:lang w:eastAsia="en-GB"/>
        </w:rPr>
        <w:t xml:space="preserve"> be women and </w:t>
      </w:r>
      <w:r w:rsidR="00834736">
        <w:rPr>
          <w:rFonts w:cs="Arial"/>
          <w:color w:val="000000"/>
          <w:lang w:eastAsia="en-GB"/>
        </w:rPr>
        <w:t xml:space="preserve">1 must be a member </w:t>
      </w:r>
      <w:r w:rsidR="0046460C">
        <w:rPr>
          <w:rFonts w:cs="Arial"/>
          <w:color w:val="000000"/>
          <w:lang w:eastAsia="en-GB"/>
        </w:rPr>
        <w:t xml:space="preserve">of the Batwa community. The Commissioners work full time and </w:t>
      </w:r>
      <w:r w:rsidR="00834736">
        <w:rPr>
          <w:rFonts w:cs="Arial"/>
          <w:color w:val="000000"/>
          <w:lang w:eastAsia="en-GB"/>
        </w:rPr>
        <w:t xml:space="preserve">may </w:t>
      </w:r>
      <w:r w:rsidR="0046460C">
        <w:rPr>
          <w:rFonts w:cs="Arial"/>
          <w:color w:val="000000"/>
          <w:lang w:eastAsia="en-GB"/>
        </w:rPr>
        <w:t xml:space="preserve">not </w:t>
      </w:r>
      <w:r w:rsidR="00834736">
        <w:rPr>
          <w:rFonts w:cs="Arial"/>
          <w:color w:val="000000"/>
          <w:lang w:eastAsia="en-GB"/>
        </w:rPr>
        <w:t>exercise,</w:t>
      </w:r>
      <w:r w:rsidR="0046460C">
        <w:rPr>
          <w:rFonts w:cs="Arial"/>
          <w:color w:val="000000"/>
          <w:lang w:eastAsia="en-GB"/>
        </w:rPr>
        <w:t xml:space="preserve"> simultaneously</w:t>
      </w:r>
      <w:r w:rsidR="00834736">
        <w:rPr>
          <w:rFonts w:cs="Arial"/>
          <w:color w:val="000000"/>
          <w:lang w:eastAsia="en-GB"/>
        </w:rPr>
        <w:t>,</w:t>
      </w:r>
      <w:r w:rsidR="0046460C">
        <w:rPr>
          <w:rFonts w:cs="Arial"/>
          <w:color w:val="000000"/>
          <w:lang w:eastAsia="en-GB"/>
        </w:rPr>
        <w:t xml:space="preserve"> any other public or private fu</w:t>
      </w:r>
      <w:r w:rsidR="00484E32">
        <w:rPr>
          <w:rFonts w:cs="Arial"/>
          <w:color w:val="000000"/>
          <w:lang w:eastAsia="en-GB"/>
        </w:rPr>
        <w:t>nction.</w:t>
      </w:r>
    </w:p>
    <w:p w:rsidR="0046460C" w:rsidRDefault="00C71ACD" w:rsidP="00C71ACD">
      <w:pPr>
        <w:pStyle w:val="SingleTxtG"/>
        <w:rPr>
          <w:rFonts w:cs="Arial"/>
          <w:color w:val="000000"/>
          <w:lang w:eastAsia="en-GB"/>
        </w:rPr>
      </w:pPr>
      <w:r>
        <w:rPr>
          <w:rFonts w:cs="Arial"/>
          <w:bCs/>
          <w:color w:val="000000"/>
          <w:lang w:eastAsia="en-GB"/>
        </w:rPr>
        <w:t>18.</w:t>
      </w:r>
      <w:r>
        <w:rPr>
          <w:rFonts w:cs="Arial"/>
          <w:bCs/>
          <w:color w:val="000000"/>
          <w:lang w:eastAsia="en-GB"/>
        </w:rPr>
        <w:tab/>
      </w:r>
      <w:r w:rsidR="0046460C">
        <w:rPr>
          <w:rFonts w:cs="Arial"/>
          <w:color w:val="000000"/>
          <w:lang w:eastAsia="en-GB"/>
        </w:rPr>
        <w:t xml:space="preserve">The Commission </w:t>
      </w:r>
      <w:r w:rsidR="00834736">
        <w:rPr>
          <w:rFonts w:cs="Arial"/>
          <w:color w:val="000000"/>
          <w:lang w:eastAsia="en-GB"/>
        </w:rPr>
        <w:t>has</w:t>
      </w:r>
      <w:r w:rsidR="0046460C">
        <w:rPr>
          <w:rFonts w:cs="Arial"/>
          <w:color w:val="000000"/>
          <w:lang w:eastAsia="en-GB"/>
        </w:rPr>
        <w:t xml:space="preserve"> </w:t>
      </w:r>
      <w:r w:rsidR="00834736">
        <w:rPr>
          <w:rFonts w:cs="Arial"/>
          <w:color w:val="000000"/>
          <w:lang w:eastAsia="en-GB"/>
        </w:rPr>
        <w:t xml:space="preserve">a </w:t>
      </w:r>
      <w:r w:rsidR="0046460C">
        <w:rPr>
          <w:rFonts w:cs="Arial"/>
          <w:color w:val="000000"/>
          <w:lang w:eastAsia="en-GB"/>
        </w:rPr>
        <w:t xml:space="preserve">Plenary Assembly, a Bureau and </w:t>
      </w:r>
      <w:r w:rsidR="00BD574B">
        <w:rPr>
          <w:rFonts w:cs="Arial"/>
          <w:color w:val="000000"/>
          <w:lang w:eastAsia="en-GB"/>
        </w:rPr>
        <w:t>s</w:t>
      </w:r>
      <w:r w:rsidR="0046460C">
        <w:rPr>
          <w:rFonts w:cs="Arial"/>
          <w:color w:val="000000"/>
          <w:lang w:eastAsia="en-GB"/>
        </w:rPr>
        <w:t>ub</w:t>
      </w:r>
      <w:r w:rsidR="00834736">
        <w:rPr>
          <w:rFonts w:cs="Arial"/>
          <w:color w:val="000000"/>
          <w:lang w:eastAsia="en-GB"/>
        </w:rPr>
        <w:t>c</w:t>
      </w:r>
      <w:r w:rsidR="0046460C">
        <w:rPr>
          <w:rFonts w:cs="Arial"/>
          <w:color w:val="000000"/>
          <w:lang w:eastAsia="en-GB"/>
        </w:rPr>
        <w:t>ommissions and will be</w:t>
      </w:r>
      <w:r w:rsidR="00AF1E87">
        <w:rPr>
          <w:rFonts w:cs="Arial"/>
          <w:color w:val="000000"/>
          <w:lang w:eastAsia="en-GB"/>
        </w:rPr>
        <w:t xml:space="preserve">nefit from </w:t>
      </w:r>
      <w:r w:rsidR="00185EE6">
        <w:rPr>
          <w:rFonts w:cs="Arial"/>
          <w:color w:val="000000"/>
          <w:lang w:eastAsia="en-GB"/>
        </w:rPr>
        <w:t xml:space="preserve">the </w:t>
      </w:r>
      <w:r w:rsidR="0046460C">
        <w:rPr>
          <w:rFonts w:cs="Arial"/>
          <w:color w:val="000000"/>
          <w:lang w:eastAsia="en-GB"/>
        </w:rPr>
        <w:t>assist</w:t>
      </w:r>
      <w:r w:rsidR="00AF1E87">
        <w:rPr>
          <w:rFonts w:cs="Arial"/>
          <w:color w:val="000000"/>
          <w:lang w:eastAsia="en-GB"/>
        </w:rPr>
        <w:t>ance</w:t>
      </w:r>
      <w:r w:rsidR="0046460C">
        <w:rPr>
          <w:rFonts w:cs="Arial"/>
          <w:color w:val="000000"/>
          <w:lang w:eastAsia="en-GB"/>
        </w:rPr>
        <w:t xml:space="preserve"> </w:t>
      </w:r>
      <w:r w:rsidR="00185EE6">
        <w:rPr>
          <w:rFonts w:cs="Arial"/>
          <w:color w:val="000000"/>
          <w:lang w:eastAsia="en-GB"/>
        </w:rPr>
        <w:t>of</w:t>
      </w:r>
      <w:r w:rsidR="0046460C">
        <w:rPr>
          <w:rFonts w:cs="Arial"/>
          <w:color w:val="000000"/>
          <w:lang w:eastAsia="en-GB"/>
        </w:rPr>
        <w:t xml:space="preserve"> an </w:t>
      </w:r>
      <w:r w:rsidR="0046460C" w:rsidRPr="00EA74B7">
        <w:rPr>
          <w:rFonts w:cs="Arial"/>
          <w:color w:val="000000"/>
          <w:lang w:eastAsia="en-GB"/>
        </w:rPr>
        <w:t xml:space="preserve">international </w:t>
      </w:r>
      <w:r w:rsidR="00834736">
        <w:rPr>
          <w:rFonts w:cs="Arial"/>
          <w:color w:val="000000"/>
          <w:lang w:eastAsia="en-GB"/>
        </w:rPr>
        <w:t>A</w:t>
      </w:r>
      <w:r w:rsidR="0046460C" w:rsidRPr="00EA74B7">
        <w:rPr>
          <w:rFonts w:cs="Arial"/>
          <w:color w:val="000000"/>
          <w:lang w:eastAsia="en-GB"/>
        </w:rPr>
        <w:t xml:space="preserve">dvisory </w:t>
      </w:r>
      <w:r w:rsidR="00834736">
        <w:rPr>
          <w:rFonts w:cs="Arial"/>
          <w:color w:val="000000"/>
          <w:lang w:eastAsia="en-GB"/>
        </w:rPr>
        <w:t>C</w:t>
      </w:r>
      <w:r w:rsidR="0046460C" w:rsidRPr="00EA74B7">
        <w:rPr>
          <w:rFonts w:cs="Arial"/>
          <w:color w:val="000000"/>
          <w:lang w:eastAsia="en-GB"/>
        </w:rPr>
        <w:t xml:space="preserve">ouncil </w:t>
      </w:r>
      <w:r w:rsidR="00834736">
        <w:rPr>
          <w:rFonts w:cs="Arial"/>
          <w:color w:val="000000"/>
          <w:lang w:eastAsia="en-GB"/>
        </w:rPr>
        <w:t xml:space="preserve">made up </w:t>
      </w:r>
      <w:r w:rsidR="0046460C" w:rsidRPr="00EA74B7">
        <w:rPr>
          <w:rFonts w:cs="Arial"/>
          <w:color w:val="000000"/>
          <w:lang w:eastAsia="en-GB"/>
        </w:rPr>
        <w:t xml:space="preserve">of five </w:t>
      </w:r>
      <w:r w:rsidR="00AF1E87">
        <w:rPr>
          <w:rFonts w:cs="Arial"/>
          <w:color w:val="000000"/>
          <w:lang w:eastAsia="en-GB"/>
        </w:rPr>
        <w:t>high-ranking persons with</w:t>
      </w:r>
      <w:r w:rsidR="0046460C">
        <w:rPr>
          <w:rFonts w:cs="Arial"/>
          <w:color w:val="000000"/>
          <w:lang w:eastAsia="en-GB"/>
        </w:rPr>
        <w:t xml:space="preserve"> great moral authority</w:t>
      </w:r>
      <w:r w:rsidR="0046460C" w:rsidRPr="00EA74B7">
        <w:rPr>
          <w:rFonts w:cs="Arial"/>
          <w:color w:val="000000"/>
          <w:lang w:eastAsia="en-GB"/>
        </w:rPr>
        <w:t>. Th</w:t>
      </w:r>
      <w:r w:rsidR="00AF1E87">
        <w:rPr>
          <w:rFonts w:cs="Arial"/>
          <w:color w:val="000000"/>
          <w:lang w:eastAsia="en-GB"/>
        </w:rPr>
        <w:t>e</w:t>
      </w:r>
      <w:r w:rsidR="0046460C" w:rsidRPr="00EA74B7">
        <w:rPr>
          <w:rFonts w:cs="Arial"/>
          <w:color w:val="000000"/>
          <w:lang w:eastAsia="en-GB"/>
        </w:rPr>
        <w:t xml:space="preserve"> Council </w:t>
      </w:r>
      <w:r w:rsidR="00AF1E87">
        <w:rPr>
          <w:rFonts w:cs="Arial"/>
          <w:color w:val="000000"/>
          <w:lang w:eastAsia="en-GB"/>
        </w:rPr>
        <w:t xml:space="preserve">will provide ethical support, </w:t>
      </w:r>
      <w:r w:rsidR="0046460C">
        <w:rPr>
          <w:rFonts w:cs="Arial"/>
          <w:color w:val="000000"/>
          <w:lang w:eastAsia="en-GB"/>
        </w:rPr>
        <w:t>advice</w:t>
      </w:r>
      <w:r w:rsidR="0046460C" w:rsidRPr="00EA74B7">
        <w:rPr>
          <w:rFonts w:cs="Arial"/>
          <w:color w:val="000000"/>
          <w:lang w:eastAsia="en-GB"/>
        </w:rPr>
        <w:t xml:space="preserve"> and recommendations, and facilitate </w:t>
      </w:r>
      <w:r w:rsidR="0046460C">
        <w:rPr>
          <w:rFonts w:cs="Arial"/>
          <w:color w:val="000000"/>
          <w:lang w:eastAsia="en-GB"/>
        </w:rPr>
        <w:t>the Commission’s</w:t>
      </w:r>
      <w:r w:rsidR="0046460C" w:rsidRPr="00EA74B7">
        <w:rPr>
          <w:rFonts w:cs="Arial"/>
          <w:color w:val="000000"/>
          <w:lang w:eastAsia="en-GB"/>
        </w:rPr>
        <w:t xml:space="preserve"> relationship</w:t>
      </w:r>
      <w:r w:rsidR="0046460C">
        <w:rPr>
          <w:rFonts w:cs="Arial"/>
          <w:color w:val="000000"/>
          <w:lang w:eastAsia="en-GB"/>
        </w:rPr>
        <w:t>s</w:t>
      </w:r>
      <w:r w:rsidR="0046460C" w:rsidRPr="00EA74B7">
        <w:rPr>
          <w:rFonts w:cs="Arial"/>
          <w:color w:val="000000"/>
          <w:lang w:eastAsia="en-GB"/>
        </w:rPr>
        <w:t xml:space="preserve"> with national and international actors.</w:t>
      </w:r>
    </w:p>
    <w:p w:rsidR="0046460C" w:rsidRPr="00484E32" w:rsidRDefault="00D04463" w:rsidP="00734A8A">
      <w:pPr>
        <w:pStyle w:val="H1G"/>
        <w:rPr>
          <w:lang w:eastAsia="en-GB"/>
        </w:rPr>
      </w:pPr>
      <w:r>
        <w:rPr>
          <w:lang w:eastAsia="en-GB"/>
        </w:rPr>
        <w:tab/>
        <w:t>C.</w:t>
      </w:r>
      <w:r>
        <w:rPr>
          <w:lang w:eastAsia="en-GB"/>
        </w:rPr>
        <w:tab/>
      </w:r>
      <w:r w:rsidR="0046460C" w:rsidRPr="0052245F">
        <w:rPr>
          <w:lang w:eastAsia="en-GB"/>
        </w:rPr>
        <w:t>Potential</w:t>
      </w:r>
      <w:r w:rsidR="0046460C" w:rsidRPr="002D1884">
        <w:rPr>
          <w:lang w:eastAsia="en-GB"/>
        </w:rPr>
        <w:t xml:space="preserve"> challenges in the functioning of the Commission</w:t>
      </w:r>
    </w:p>
    <w:p w:rsidR="0046460C" w:rsidRPr="007F38C9" w:rsidRDefault="00D04463" w:rsidP="00892388">
      <w:pPr>
        <w:pStyle w:val="H23G"/>
      </w:pPr>
      <w:r>
        <w:rPr>
          <w:lang w:eastAsia="en-GB"/>
        </w:rPr>
        <w:tab/>
      </w:r>
      <w:r w:rsidRPr="00734A8A">
        <w:t>1.</w:t>
      </w:r>
      <w:r w:rsidRPr="00734A8A">
        <w:tab/>
      </w:r>
      <w:r w:rsidR="0046460C" w:rsidRPr="00734A8A">
        <w:t>Focus on pardon procedure</w:t>
      </w:r>
      <w:r w:rsidR="00185EE6">
        <w:t>,</w:t>
      </w:r>
      <w:r w:rsidR="0046460C" w:rsidRPr="00734A8A">
        <w:t xml:space="preserve"> sidelining </w:t>
      </w:r>
      <w:r w:rsidR="001A3C25">
        <w:t xml:space="preserve">the </w:t>
      </w:r>
      <w:r w:rsidR="0046460C" w:rsidRPr="00734A8A">
        <w:t>truth function</w:t>
      </w:r>
    </w:p>
    <w:p w:rsidR="0046460C" w:rsidRDefault="00C71ACD" w:rsidP="00C71ACD">
      <w:pPr>
        <w:pStyle w:val="SingleTxtG"/>
        <w:rPr>
          <w:rFonts w:cs="Arial"/>
          <w:color w:val="000000"/>
          <w:lang w:eastAsia="en-GB"/>
        </w:rPr>
      </w:pPr>
      <w:r>
        <w:rPr>
          <w:rFonts w:cs="Arial"/>
          <w:bCs/>
          <w:color w:val="000000"/>
          <w:lang w:eastAsia="en-GB"/>
        </w:rPr>
        <w:t>19.</w:t>
      </w:r>
      <w:r>
        <w:rPr>
          <w:rFonts w:cs="Arial"/>
          <w:bCs/>
          <w:color w:val="000000"/>
          <w:lang w:eastAsia="en-GB"/>
        </w:rPr>
        <w:tab/>
      </w:r>
      <w:r w:rsidR="0046460C">
        <w:rPr>
          <w:rFonts w:cs="Arial"/>
          <w:color w:val="000000"/>
          <w:lang w:eastAsia="en-GB"/>
        </w:rPr>
        <w:t xml:space="preserve">With the ostensible objective of reconciliation, the Commission is empowered to </w:t>
      </w:r>
      <w:r w:rsidR="00E25AAE">
        <w:rPr>
          <w:rFonts w:cs="Arial"/>
          <w:color w:val="000000"/>
          <w:lang w:eastAsia="en-GB"/>
        </w:rPr>
        <w:t xml:space="preserve">develop </w:t>
      </w:r>
      <w:r w:rsidR="0046460C">
        <w:rPr>
          <w:rFonts w:cs="Arial"/>
          <w:color w:val="000000"/>
          <w:lang w:eastAsia="en-GB"/>
        </w:rPr>
        <w:t xml:space="preserve">a procedure by which victims can </w:t>
      </w:r>
      <w:r w:rsidR="006851CB">
        <w:rPr>
          <w:rFonts w:cs="Arial"/>
          <w:color w:val="000000"/>
          <w:lang w:eastAsia="en-GB"/>
        </w:rPr>
        <w:t>“</w:t>
      </w:r>
      <w:r w:rsidR="0046460C">
        <w:rPr>
          <w:rFonts w:cs="Arial"/>
          <w:color w:val="000000"/>
          <w:lang w:eastAsia="en-GB"/>
        </w:rPr>
        <w:t>pardon</w:t>
      </w:r>
      <w:r w:rsidR="006851CB">
        <w:rPr>
          <w:rFonts w:cs="Arial"/>
          <w:color w:val="000000"/>
          <w:lang w:eastAsia="en-GB"/>
        </w:rPr>
        <w:t>”</w:t>
      </w:r>
      <w:r w:rsidR="0046460C">
        <w:rPr>
          <w:rFonts w:cs="Arial"/>
          <w:color w:val="000000"/>
          <w:lang w:eastAsia="en-GB"/>
        </w:rPr>
        <w:t xml:space="preserve"> perpetrators </w:t>
      </w:r>
      <w:r w:rsidR="00BC6C3E">
        <w:rPr>
          <w:rFonts w:cs="Arial"/>
          <w:color w:val="000000"/>
          <w:lang w:eastAsia="en-GB"/>
        </w:rPr>
        <w:t xml:space="preserve">who </w:t>
      </w:r>
      <w:r w:rsidR="0046460C">
        <w:rPr>
          <w:rFonts w:cs="Arial"/>
          <w:color w:val="000000"/>
          <w:lang w:eastAsia="en-GB"/>
        </w:rPr>
        <w:t xml:space="preserve">so request and express </w:t>
      </w:r>
      <w:r w:rsidR="00E25AAE">
        <w:rPr>
          <w:rFonts w:cs="Arial"/>
          <w:color w:val="000000"/>
          <w:lang w:eastAsia="en-GB"/>
        </w:rPr>
        <w:t>remorse</w:t>
      </w:r>
      <w:r w:rsidR="0046460C">
        <w:rPr>
          <w:rFonts w:cs="Arial"/>
          <w:color w:val="000000"/>
          <w:lang w:eastAsia="en-GB"/>
        </w:rPr>
        <w:t xml:space="preserve">. Based on views gathered during </w:t>
      </w:r>
      <w:r w:rsidR="00E25AAE">
        <w:rPr>
          <w:rFonts w:cs="Arial"/>
          <w:color w:val="000000"/>
          <w:lang w:eastAsia="en-GB"/>
        </w:rPr>
        <w:t>his</w:t>
      </w:r>
      <w:r w:rsidR="0046460C">
        <w:rPr>
          <w:rFonts w:cs="Arial"/>
          <w:color w:val="000000"/>
          <w:lang w:eastAsia="en-GB"/>
        </w:rPr>
        <w:t xml:space="preserve"> visit, the Special Rapporteur highlights </w:t>
      </w:r>
      <w:r w:rsidR="0046460C" w:rsidRPr="00BB6DD7">
        <w:rPr>
          <w:rFonts w:cs="Arial"/>
          <w:color w:val="000000"/>
          <w:lang w:eastAsia="en-GB"/>
        </w:rPr>
        <w:t xml:space="preserve">a </w:t>
      </w:r>
      <w:r w:rsidR="0046460C">
        <w:rPr>
          <w:rFonts w:cs="Arial"/>
          <w:color w:val="000000"/>
          <w:lang w:eastAsia="en-GB"/>
        </w:rPr>
        <w:t>serious</w:t>
      </w:r>
      <w:r w:rsidR="0046460C" w:rsidRPr="00BB6DD7">
        <w:rPr>
          <w:rFonts w:cs="Arial"/>
          <w:color w:val="000000"/>
          <w:lang w:eastAsia="en-GB"/>
        </w:rPr>
        <w:t xml:space="preserve"> </w:t>
      </w:r>
      <w:r w:rsidR="0046460C" w:rsidRPr="00A5781B">
        <w:rPr>
          <w:rFonts w:cs="Arial"/>
          <w:color w:val="000000"/>
          <w:lang w:eastAsia="en-GB"/>
        </w:rPr>
        <w:t>concern</w:t>
      </w:r>
      <w:r w:rsidR="0046460C" w:rsidRPr="00BB6DD7">
        <w:rPr>
          <w:rFonts w:cs="Arial"/>
          <w:color w:val="000000"/>
          <w:lang w:eastAsia="en-GB"/>
        </w:rPr>
        <w:t xml:space="preserve"> that the </w:t>
      </w:r>
      <w:r w:rsidR="0046460C">
        <w:rPr>
          <w:rFonts w:cs="Arial"/>
          <w:color w:val="000000"/>
          <w:lang w:eastAsia="en-GB"/>
        </w:rPr>
        <w:t xml:space="preserve">Commission’s </w:t>
      </w:r>
      <w:r w:rsidR="0046460C" w:rsidRPr="00BB6DD7">
        <w:rPr>
          <w:rFonts w:cs="Arial"/>
          <w:color w:val="000000"/>
          <w:lang w:eastAsia="en-GB"/>
        </w:rPr>
        <w:t xml:space="preserve">truth-seeking function </w:t>
      </w:r>
      <w:r w:rsidR="0046460C">
        <w:rPr>
          <w:rFonts w:cs="Arial"/>
          <w:color w:val="000000"/>
          <w:lang w:eastAsia="en-GB"/>
        </w:rPr>
        <w:t>might</w:t>
      </w:r>
      <w:r w:rsidR="0046460C" w:rsidRPr="00BB6DD7">
        <w:rPr>
          <w:rFonts w:cs="Arial"/>
          <w:color w:val="000000"/>
          <w:lang w:eastAsia="en-GB"/>
        </w:rPr>
        <w:t xml:space="preserve"> be sidelined by overemphasi</w:t>
      </w:r>
      <w:r w:rsidR="00E25AAE">
        <w:rPr>
          <w:rFonts w:cs="Arial"/>
          <w:color w:val="000000"/>
          <w:lang w:eastAsia="en-GB"/>
        </w:rPr>
        <w:t>s on</w:t>
      </w:r>
      <w:r w:rsidR="0046460C" w:rsidRPr="00BB6DD7">
        <w:rPr>
          <w:rFonts w:cs="Arial"/>
          <w:color w:val="000000"/>
          <w:lang w:eastAsia="en-GB"/>
        </w:rPr>
        <w:t xml:space="preserve"> </w:t>
      </w:r>
      <w:r w:rsidR="0046460C">
        <w:rPr>
          <w:rFonts w:cs="Arial"/>
          <w:color w:val="000000"/>
          <w:lang w:eastAsia="en-GB"/>
        </w:rPr>
        <w:t xml:space="preserve">the </w:t>
      </w:r>
      <w:r w:rsidR="0046460C" w:rsidRPr="00BB6DD7">
        <w:rPr>
          <w:rFonts w:cs="Arial"/>
          <w:color w:val="000000"/>
          <w:lang w:eastAsia="en-GB"/>
        </w:rPr>
        <w:t>pardon procedure, which</w:t>
      </w:r>
      <w:r w:rsidR="0046460C">
        <w:rPr>
          <w:rFonts w:cs="Arial"/>
          <w:color w:val="000000"/>
          <w:lang w:eastAsia="en-GB"/>
        </w:rPr>
        <w:t>,</w:t>
      </w:r>
      <w:r w:rsidR="0046460C" w:rsidRPr="00BB6DD7">
        <w:rPr>
          <w:rFonts w:cs="Arial"/>
          <w:color w:val="000000"/>
          <w:lang w:eastAsia="en-GB"/>
        </w:rPr>
        <w:t xml:space="preserve"> moreover</w:t>
      </w:r>
      <w:r w:rsidR="0046460C">
        <w:rPr>
          <w:rFonts w:cs="Arial"/>
          <w:color w:val="000000"/>
          <w:lang w:eastAsia="en-GB"/>
        </w:rPr>
        <w:t>,</w:t>
      </w:r>
      <w:r w:rsidR="0046460C" w:rsidRPr="00BB6DD7">
        <w:rPr>
          <w:rFonts w:cs="Arial"/>
          <w:color w:val="000000"/>
          <w:lang w:eastAsia="en-GB"/>
        </w:rPr>
        <w:t xml:space="preserve"> </w:t>
      </w:r>
      <w:r w:rsidR="0046460C">
        <w:rPr>
          <w:rFonts w:cs="Arial"/>
          <w:color w:val="000000"/>
          <w:lang w:eastAsia="en-GB"/>
        </w:rPr>
        <w:t>is</w:t>
      </w:r>
      <w:r w:rsidR="0046460C" w:rsidRPr="00BB6DD7">
        <w:rPr>
          <w:rFonts w:cs="Arial"/>
          <w:color w:val="000000"/>
          <w:lang w:eastAsia="en-GB"/>
        </w:rPr>
        <w:t xml:space="preserve"> </w:t>
      </w:r>
      <w:r w:rsidR="0046460C">
        <w:rPr>
          <w:rFonts w:cs="Arial"/>
          <w:color w:val="000000"/>
          <w:lang w:eastAsia="en-GB"/>
        </w:rPr>
        <w:t xml:space="preserve">being </w:t>
      </w:r>
      <w:r w:rsidR="0046460C" w:rsidRPr="00BB6DD7">
        <w:rPr>
          <w:rFonts w:cs="Arial"/>
          <w:color w:val="000000"/>
          <w:lang w:eastAsia="en-GB"/>
        </w:rPr>
        <w:t>conf</w:t>
      </w:r>
      <w:r w:rsidR="0046460C">
        <w:rPr>
          <w:rFonts w:cs="Arial"/>
          <w:color w:val="000000"/>
          <w:lang w:eastAsia="en-GB"/>
        </w:rPr>
        <w:t>lated</w:t>
      </w:r>
      <w:r w:rsidR="0046460C" w:rsidRPr="00BB6DD7">
        <w:rPr>
          <w:rFonts w:cs="Arial"/>
          <w:color w:val="000000"/>
          <w:lang w:eastAsia="en-GB"/>
        </w:rPr>
        <w:t xml:space="preserve"> with the obje</w:t>
      </w:r>
      <w:r w:rsidR="0046460C">
        <w:rPr>
          <w:rFonts w:cs="Arial"/>
          <w:color w:val="000000"/>
          <w:lang w:eastAsia="en-GB"/>
        </w:rPr>
        <w:t>ctive of reconciliation itself.</w:t>
      </w:r>
      <w:r w:rsidR="0046460C" w:rsidRPr="00BB6DD7">
        <w:rPr>
          <w:rFonts w:cs="Arial"/>
          <w:color w:val="000000"/>
          <w:lang w:eastAsia="en-GB"/>
        </w:rPr>
        <w:t xml:space="preserve"> </w:t>
      </w:r>
      <w:r w:rsidR="00E25AAE">
        <w:rPr>
          <w:rFonts w:cs="Arial"/>
          <w:color w:val="000000"/>
          <w:lang w:eastAsia="en-GB"/>
        </w:rPr>
        <w:t>There are</w:t>
      </w:r>
      <w:r w:rsidR="0046460C">
        <w:rPr>
          <w:rFonts w:cs="Arial"/>
          <w:color w:val="000000"/>
          <w:lang w:eastAsia="en-GB"/>
        </w:rPr>
        <w:t xml:space="preserve"> five main issues in th</w:t>
      </w:r>
      <w:r w:rsidR="00E25AAE">
        <w:rPr>
          <w:rFonts w:cs="Arial"/>
          <w:color w:val="000000"/>
          <w:lang w:eastAsia="en-GB"/>
        </w:rPr>
        <w:t>at</w:t>
      </w:r>
      <w:r w:rsidR="0046460C">
        <w:rPr>
          <w:rFonts w:cs="Arial"/>
          <w:color w:val="000000"/>
          <w:lang w:eastAsia="en-GB"/>
        </w:rPr>
        <w:t xml:space="preserve"> regard.</w:t>
      </w:r>
    </w:p>
    <w:p w:rsidR="0046460C" w:rsidRDefault="00C71ACD" w:rsidP="00C71ACD">
      <w:pPr>
        <w:pStyle w:val="SingleTxtG"/>
        <w:rPr>
          <w:rFonts w:cs="Arial"/>
          <w:color w:val="000000"/>
          <w:lang w:eastAsia="en-GB"/>
        </w:rPr>
      </w:pPr>
      <w:r>
        <w:rPr>
          <w:rFonts w:cs="Arial"/>
          <w:bCs/>
          <w:color w:val="000000"/>
          <w:lang w:eastAsia="en-GB"/>
        </w:rPr>
        <w:t>20.</w:t>
      </w:r>
      <w:r>
        <w:rPr>
          <w:rFonts w:cs="Arial"/>
          <w:bCs/>
          <w:color w:val="000000"/>
          <w:lang w:eastAsia="en-GB"/>
        </w:rPr>
        <w:tab/>
      </w:r>
      <w:r w:rsidR="0046460C">
        <w:rPr>
          <w:rFonts w:cs="Arial"/>
          <w:color w:val="000000"/>
          <w:lang w:eastAsia="en-GB"/>
        </w:rPr>
        <w:t>First, r</w:t>
      </w:r>
      <w:r w:rsidR="0046460C" w:rsidRPr="00320BF0">
        <w:rPr>
          <w:rFonts w:cs="Arial"/>
          <w:color w:val="000000"/>
          <w:lang w:eastAsia="en-GB"/>
        </w:rPr>
        <w:t xml:space="preserve">econciliation should not be conceived </w:t>
      </w:r>
      <w:r w:rsidR="0046460C">
        <w:rPr>
          <w:rFonts w:cs="Arial"/>
          <w:color w:val="000000"/>
          <w:lang w:eastAsia="en-GB"/>
        </w:rPr>
        <w:t xml:space="preserve">of </w:t>
      </w:r>
      <w:r w:rsidR="0046460C" w:rsidRPr="00320BF0">
        <w:rPr>
          <w:rFonts w:cs="Arial"/>
          <w:color w:val="000000"/>
          <w:lang w:eastAsia="en-GB"/>
        </w:rPr>
        <w:t>as an alternative to justice or an aim that can be achieved independently of the implementation of the comprehen</w:t>
      </w:r>
      <w:r w:rsidR="0046460C" w:rsidRPr="00903B7F">
        <w:rPr>
          <w:rFonts w:cs="Arial"/>
          <w:color w:val="000000"/>
          <w:lang w:eastAsia="en-GB"/>
        </w:rPr>
        <w:t xml:space="preserve">sive approach </w:t>
      </w:r>
      <w:r w:rsidR="00BC6C3E">
        <w:rPr>
          <w:rFonts w:cs="Arial"/>
          <w:color w:val="000000"/>
          <w:lang w:eastAsia="en-GB"/>
        </w:rPr>
        <w:t>comprising</w:t>
      </w:r>
      <w:r w:rsidR="0046460C" w:rsidRPr="00903B7F">
        <w:rPr>
          <w:rFonts w:cs="Arial"/>
          <w:color w:val="000000"/>
          <w:lang w:eastAsia="en-GB"/>
        </w:rPr>
        <w:t xml:space="preserve"> the four measures</w:t>
      </w:r>
      <w:r w:rsidR="00BC6C3E">
        <w:rPr>
          <w:rFonts w:cs="Arial"/>
          <w:color w:val="000000"/>
          <w:lang w:eastAsia="en-GB"/>
        </w:rPr>
        <w:t xml:space="preserve"> of truth, justice, reparations and guarantees of non-recurrence</w:t>
      </w:r>
      <w:r w:rsidR="0046460C" w:rsidRPr="00903B7F">
        <w:rPr>
          <w:rFonts w:cs="Arial"/>
          <w:color w:val="000000"/>
          <w:lang w:eastAsia="en-GB"/>
        </w:rPr>
        <w:t>.</w:t>
      </w:r>
      <w:r w:rsidR="0046460C" w:rsidRPr="00C077B3">
        <w:rPr>
          <w:rStyle w:val="FootnoteReference"/>
        </w:rPr>
        <w:footnoteReference w:id="10"/>
      </w:r>
      <w:r w:rsidR="0046460C" w:rsidRPr="00903B7F">
        <w:rPr>
          <w:rFonts w:cs="Arial"/>
          <w:color w:val="000000"/>
          <w:lang w:eastAsia="en-GB"/>
        </w:rPr>
        <w:t xml:space="preserve"> The approach taken in </w:t>
      </w:r>
      <w:r w:rsidR="00504D3D">
        <w:rPr>
          <w:rFonts w:cs="Arial"/>
          <w:color w:val="000000"/>
          <w:lang w:eastAsia="en-GB"/>
        </w:rPr>
        <w:t>L</w:t>
      </w:r>
      <w:r w:rsidR="0046460C" w:rsidRPr="00903B7F">
        <w:rPr>
          <w:rFonts w:cs="Arial"/>
          <w:color w:val="000000"/>
          <w:lang w:eastAsia="en-GB"/>
        </w:rPr>
        <w:t>aw</w:t>
      </w:r>
      <w:r w:rsidR="00504D3D">
        <w:rPr>
          <w:rFonts w:cs="Arial"/>
          <w:color w:val="000000"/>
          <w:lang w:eastAsia="en-GB"/>
        </w:rPr>
        <w:t xml:space="preserve"> </w:t>
      </w:r>
      <w:r w:rsidR="001A3C25">
        <w:rPr>
          <w:rFonts w:cs="Arial"/>
          <w:color w:val="000000"/>
          <w:lang w:eastAsia="en-GB"/>
        </w:rPr>
        <w:t xml:space="preserve">No. </w:t>
      </w:r>
      <w:r w:rsidR="00504D3D">
        <w:rPr>
          <w:rFonts w:cs="Arial"/>
          <w:color w:val="000000"/>
          <w:lang w:eastAsia="en-GB"/>
        </w:rPr>
        <w:t>1/18</w:t>
      </w:r>
      <w:r w:rsidR="0046460C" w:rsidRPr="00903B7F">
        <w:rPr>
          <w:rFonts w:cs="Arial"/>
          <w:color w:val="000000"/>
          <w:lang w:eastAsia="en-GB"/>
        </w:rPr>
        <w:t xml:space="preserve"> seems to reduce the multifaceted </w:t>
      </w:r>
      <w:r w:rsidR="0046460C">
        <w:rPr>
          <w:rFonts w:cs="Arial"/>
          <w:color w:val="000000"/>
          <w:lang w:eastAsia="en-GB"/>
        </w:rPr>
        <w:t xml:space="preserve">and </w:t>
      </w:r>
      <w:r w:rsidR="00504D3D">
        <w:rPr>
          <w:rFonts w:cs="Arial"/>
          <w:color w:val="000000"/>
          <w:lang w:eastAsia="en-GB"/>
        </w:rPr>
        <w:t>multi</w:t>
      </w:r>
      <w:r w:rsidR="0046460C">
        <w:rPr>
          <w:rFonts w:cs="Arial"/>
          <w:color w:val="000000"/>
          <w:lang w:eastAsia="en-GB"/>
        </w:rPr>
        <w:t>stage</w:t>
      </w:r>
      <w:r w:rsidR="0046460C" w:rsidRPr="00903B7F">
        <w:rPr>
          <w:rFonts w:cs="Arial"/>
          <w:color w:val="000000"/>
          <w:lang w:eastAsia="en-GB"/>
        </w:rPr>
        <w:t xml:space="preserve"> process of reconciliation to a </w:t>
      </w:r>
      <w:r w:rsidR="00504D3D">
        <w:rPr>
          <w:rFonts w:cs="Arial"/>
          <w:color w:val="000000"/>
          <w:lang w:eastAsia="en-GB"/>
        </w:rPr>
        <w:t xml:space="preserve">simple </w:t>
      </w:r>
      <w:r w:rsidR="0046460C">
        <w:rPr>
          <w:rFonts w:cs="Arial"/>
          <w:color w:val="000000"/>
          <w:lang w:eastAsia="en-GB"/>
        </w:rPr>
        <w:t>change</w:t>
      </w:r>
      <w:r w:rsidR="0046460C" w:rsidRPr="00903B7F">
        <w:rPr>
          <w:rFonts w:cs="Arial"/>
          <w:color w:val="000000"/>
          <w:lang w:eastAsia="en-GB"/>
        </w:rPr>
        <w:t xml:space="preserve"> of attitude</w:t>
      </w:r>
      <w:r w:rsidR="0046460C">
        <w:rPr>
          <w:rFonts w:cs="Arial"/>
          <w:color w:val="000000"/>
          <w:lang w:eastAsia="en-GB"/>
        </w:rPr>
        <w:t xml:space="preserve"> which can be brought about in face-to-face encounter</w:t>
      </w:r>
      <w:r w:rsidR="00CC4D45">
        <w:rPr>
          <w:rFonts w:cs="Arial"/>
          <w:color w:val="000000"/>
          <w:lang w:eastAsia="en-GB"/>
        </w:rPr>
        <w:t>s</w:t>
      </w:r>
      <w:r w:rsidR="0046460C" w:rsidRPr="00903B7F">
        <w:rPr>
          <w:rFonts w:cs="Arial"/>
          <w:color w:val="000000"/>
          <w:lang w:eastAsia="en-GB"/>
        </w:rPr>
        <w:t xml:space="preserve">. </w:t>
      </w:r>
      <w:r w:rsidR="00504D3D">
        <w:rPr>
          <w:rFonts w:cs="Arial"/>
          <w:color w:val="000000"/>
          <w:lang w:eastAsia="en-GB"/>
        </w:rPr>
        <w:t>However, c</w:t>
      </w:r>
      <w:r w:rsidR="0046460C" w:rsidRPr="00903B7F">
        <w:rPr>
          <w:rFonts w:cs="Arial"/>
          <w:color w:val="000000"/>
          <w:lang w:eastAsia="en-GB"/>
        </w:rPr>
        <w:t xml:space="preserve">ontributing to reconciliation efforts is ultimately a question of (re)establishing and enhancing trust in State institutions and </w:t>
      </w:r>
      <w:r w:rsidR="0046460C">
        <w:rPr>
          <w:rFonts w:cs="Arial"/>
          <w:color w:val="000000"/>
          <w:lang w:eastAsia="en-GB"/>
        </w:rPr>
        <w:t xml:space="preserve">among </w:t>
      </w:r>
      <w:r w:rsidR="0046460C" w:rsidRPr="00903B7F">
        <w:rPr>
          <w:rFonts w:cs="Arial"/>
          <w:color w:val="000000"/>
          <w:lang w:eastAsia="en-GB"/>
        </w:rPr>
        <w:t xml:space="preserve">individuals. </w:t>
      </w:r>
      <w:r w:rsidR="0046460C">
        <w:rPr>
          <w:rFonts w:cs="Arial"/>
          <w:color w:val="000000"/>
          <w:lang w:eastAsia="en-GB"/>
        </w:rPr>
        <w:t>Th</w:t>
      </w:r>
      <w:r w:rsidR="00504D3D">
        <w:rPr>
          <w:rFonts w:cs="Arial"/>
          <w:color w:val="000000"/>
          <w:lang w:eastAsia="en-GB"/>
        </w:rPr>
        <w:t>at</w:t>
      </w:r>
      <w:r w:rsidR="0046460C" w:rsidRPr="00903B7F">
        <w:rPr>
          <w:rFonts w:cs="Arial"/>
          <w:color w:val="000000"/>
          <w:lang w:eastAsia="en-GB"/>
        </w:rPr>
        <w:t xml:space="preserve"> trust is not simply bestowed, it needs to be </w:t>
      </w:r>
      <w:r w:rsidR="0046460C" w:rsidRPr="00E86863">
        <w:rPr>
          <w:rFonts w:cs="Arial"/>
          <w:iCs/>
          <w:color w:val="000000"/>
          <w:lang w:eastAsia="en-GB"/>
        </w:rPr>
        <w:t>earned.</w:t>
      </w:r>
      <w:r w:rsidR="0046460C">
        <w:rPr>
          <w:rFonts w:cs="Arial"/>
          <w:color w:val="000000"/>
          <w:lang w:eastAsia="en-GB"/>
        </w:rPr>
        <w:t xml:space="preserve"> Th</w:t>
      </w:r>
      <w:r w:rsidR="00504D3D">
        <w:rPr>
          <w:rFonts w:cs="Arial"/>
          <w:color w:val="000000"/>
          <w:lang w:eastAsia="en-GB"/>
        </w:rPr>
        <w:t>at</w:t>
      </w:r>
      <w:r w:rsidR="0046460C">
        <w:rPr>
          <w:rFonts w:cs="Arial"/>
          <w:color w:val="000000"/>
          <w:lang w:eastAsia="en-GB"/>
        </w:rPr>
        <w:t xml:space="preserve"> </w:t>
      </w:r>
      <w:r w:rsidR="0046460C" w:rsidRPr="00903B7F">
        <w:rPr>
          <w:rFonts w:cs="Arial"/>
          <w:color w:val="000000"/>
          <w:lang w:eastAsia="en-GB"/>
        </w:rPr>
        <w:t>trust results from the commitment to shared norms</w:t>
      </w:r>
      <w:r w:rsidR="0046460C">
        <w:rPr>
          <w:rFonts w:cs="Arial"/>
          <w:color w:val="000000"/>
          <w:lang w:eastAsia="en-GB"/>
        </w:rPr>
        <w:t>,</w:t>
      </w:r>
      <w:r w:rsidR="0046460C" w:rsidRPr="00903B7F">
        <w:rPr>
          <w:rFonts w:cs="Arial"/>
          <w:color w:val="000000"/>
          <w:lang w:eastAsia="en-GB"/>
        </w:rPr>
        <w:t xml:space="preserve"> manifested through </w:t>
      </w:r>
      <w:r w:rsidR="0046460C" w:rsidRPr="00E86863">
        <w:rPr>
          <w:rFonts w:cs="Arial"/>
          <w:iCs/>
          <w:color w:val="000000"/>
          <w:lang w:eastAsia="en-GB"/>
        </w:rPr>
        <w:t>action</w:t>
      </w:r>
      <w:r w:rsidR="0046460C" w:rsidRPr="00903B7F">
        <w:rPr>
          <w:rFonts w:cs="Arial"/>
          <w:color w:val="000000"/>
          <w:lang w:eastAsia="en-GB"/>
        </w:rPr>
        <w:t>, namely, an effort to disclose the truth, to sanction those responsible and to mitigate the consequences of great harms, accompanied by initiatives to prevent the recurrence of the violations.</w:t>
      </w:r>
      <w:r w:rsidR="0046460C">
        <w:rPr>
          <w:rFonts w:cs="Arial"/>
          <w:color w:val="000000"/>
          <w:lang w:eastAsia="en-GB"/>
        </w:rPr>
        <w:t xml:space="preserve"> S</w:t>
      </w:r>
      <w:r w:rsidR="0046460C" w:rsidRPr="00903B7F">
        <w:rPr>
          <w:rFonts w:cs="Arial"/>
          <w:color w:val="000000"/>
          <w:lang w:eastAsia="en-GB"/>
        </w:rPr>
        <w:t xml:space="preserve">ustainable </w:t>
      </w:r>
      <w:r w:rsidR="0046460C" w:rsidRPr="00E86863">
        <w:rPr>
          <w:rFonts w:cs="Arial"/>
          <w:iCs/>
          <w:color w:val="000000"/>
          <w:lang w:eastAsia="en-GB"/>
        </w:rPr>
        <w:t>national</w:t>
      </w:r>
      <w:r w:rsidR="0046460C" w:rsidRPr="00903B7F">
        <w:rPr>
          <w:rFonts w:cs="Arial"/>
          <w:color w:val="000000"/>
          <w:lang w:eastAsia="en-GB"/>
        </w:rPr>
        <w:t xml:space="preserve"> reconciliation cannot be achieved in the absence of such actions.</w:t>
      </w:r>
    </w:p>
    <w:p w:rsidR="0046460C" w:rsidRDefault="00C71ACD" w:rsidP="00C71ACD">
      <w:pPr>
        <w:pStyle w:val="SingleTxtG"/>
        <w:rPr>
          <w:rFonts w:cs="Arial"/>
          <w:color w:val="000000"/>
          <w:lang w:eastAsia="en-GB"/>
        </w:rPr>
      </w:pPr>
      <w:r>
        <w:rPr>
          <w:rFonts w:cs="Arial"/>
          <w:bCs/>
          <w:color w:val="000000"/>
          <w:lang w:eastAsia="en-GB"/>
        </w:rPr>
        <w:t>21.</w:t>
      </w:r>
      <w:r>
        <w:rPr>
          <w:rFonts w:cs="Arial"/>
          <w:bCs/>
          <w:color w:val="000000"/>
          <w:lang w:eastAsia="en-GB"/>
        </w:rPr>
        <w:tab/>
      </w:r>
      <w:r w:rsidR="0046460C">
        <w:rPr>
          <w:rFonts w:cs="Arial"/>
          <w:color w:val="000000"/>
          <w:lang w:eastAsia="en-GB"/>
        </w:rPr>
        <w:t>S</w:t>
      </w:r>
      <w:r w:rsidR="0046460C" w:rsidRPr="0069236C">
        <w:rPr>
          <w:rFonts w:cs="Arial"/>
          <w:color w:val="000000"/>
          <w:lang w:eastAsia="en-GB"/>
        </w:rPr>
        <w:t>econd</w:t>
      </w:r>
      <w:r w:rsidR="0046460C">
        <w:rPr>
          <w:rFonts w:cs="Arial"/>
          <w:color w:val="000000"/>
          <w:lang w:eastAsia="en-GB"/>
        </w:rPr>
        <w:t>,</w:t>
      </w:r>
      <w:r w:rsidR="0046460C" w:rsidRPr="0069236C">
        <w:rPr>
          <w:rFonts w:cs="Arial"/>
          <w:color w:val="000000"/>
          <w:lang w:eastAsia="en-GB"/>
        </w:rPr>
        <w:t xml:space="preserve"> while interpersonal </w:t>
      </w:r>
      <w:r w:rsidR="00D1001D">
        <w:rPr>
          <w:rFonts w:cs="Arial"/>
          <w:color w:val="000000"/>
          <w:lang w:eastAsia="en-GB"/>
        </w:rPr>
        <w:t>“</w:t>
      </w:r>
      <w:r w:rsidR="0046460C">
        <w:rPr>
          <w:rFonts w:cs="Arial"/>
          <w:color w:val="000000"/>
          <w:lang w:eastAsia="en-GB"/>
        </w:rPr>
        <w:t>rapprochement</w:t>
      </w:r>
      <w:r w:rsidR="00D1001D">
        <w:rPr>
          <w:rFonts w:cs="Arial"/>
          <w:color w:val="000000"/>
          <w:lang w:eastAsia="en-GB"/>
        </w:rPr>
        <w:t>”</w:t>
      </w:r>
      <w:r w:rsidR="001A3C25">
        <w:rPr>
          <w:rFonts w:cs="Arial"/>
          <w:color w:val="000000"/>
          <w:lang w:eastAsia="en-GB"/>
        </w:rPr>
        <w:t xml:space="preserve"> </w:t>
      </w:r>
      <w:r w:rsidR="00D1001D">
        <w:rPr>
          <w:rFonts w:cs="Arial"/>
          <w:color w:val="000000"/>
          <w:lang w:eastAsia="en-GB"/>
        </w:rPr>
        <w:t xml:space="preserve">— </w:t>
      </w:r>
      <w:r w:rsidR="0046460C" w:rsidRPr="0069236C">
        <w:rPr>
          <w:rFonts w:cs="Arial"/>
          <w:color w:val="000000"/>
          <w:lang w:eastAsia="en-GB"/>
        </w:rPr>
        <w:t>particularly at the local level</w:t>
      </w:r>
      <w:r w:rsidR="00D1001D">
        <w:rPr>
          <w:rFonts w:cs="Arial"/>
          <w:color w:val="000000"/>
          <w:lang w:eastAsia="en-GB"/>
        </w:rPr>
        <w:t xml:space="preserve"> </w:t>
      </w:r>
      <w:r w:rsidR="0046460C" w:rsidRPr="0069236C">
        <w:rPr>
          <w:rFonts w:cs="Arial"/>
          <w:color w:val="000000"/>
          <w:lang w:eastAsia="en-GB"/>
        </w:rPr>
        <w:t>—</w:t>
      </w:r>
      <w:r w:rsidR="00D1001D">
        <w:rPr>
          <w:rFonts w:cs="Arial"/>
          <w:color w:val="000000"/>
          <w:lang w:eastAsia="en-GB"/>
        </w:rPr>
        <w:t xml:space="preserve"> </w:t>
      </w:r>
      <w:r w:rsidR="0046460C">
        <w:rPr>
          <w:rFonts w:cs="Arial"/>
          <w:color w:val="000000"/>
          <w:lang w:eastAsia="en-GB"/>
        </w:rPr>
        <w:t xml:space="preserve">is important, </w:t>
      </w:r>
      <w:r w:rsidR="0046460C" w:rsidRPr="0069236C">
        <w:rPr>
          <w:rFonts w:cs="Arial"/>
          <w:color w:val="000000"/>
          <w:lang w:eastAsia="en-GB"/>
        </w:rPr>
        <w:t xml:space="preserve">massive violations </w:t>
      </w:r>
      <w:proofErr w:type="gramStart"/>
      <w:r w:rsidR="0046460C" w:rsidRPr="0069236C">
        <w:rPr>
          <w:rFonts w:cs="Arial"/>
          <w:color w:val="000000"/>
          <w:lang w:eastAsia="en-GB"/>
        </w:rPr>
        <w:t xml:space="preserve">are </w:t>
      </w:r>
      <w:r w:rsidR="0046460C">
        <w:rPr>
          <w:rFonts w:cs="Arial"/>
          <w:color w:val="000000"/>
          <w:lang w:eastAsia="en-GB"/>
        </w:rPr>
        <w:t>not only a violation</w:t>
      </w:r>
      <w:proofErr w:type="gramEnd"/>
      <w:r w:rsidR="0046460C">
        <w:rPr>
          <w:rFonts w:cs="Arial"/>
          <w:color w:val="000000"/>
          <w:lang w:eastAsia="en-GB"/>
        </w:rPr>
        <w:t xml:space="preserve"> of the rights of individuals</w:t>
      </w:r>
      <w:r w:rsidR="00504D3D">
        <w:rPr>
          <w:rFonts w:cs="Arial"/>
          <w:color w:val="000000"/>
          <w:lang w:eastAsia="en-GB"/>
        </w:rPr>
        <w:t>,</w:t>
      </w:r>
      <w:r w:rsidR="0046460C">
        <w:rPr>
          <w:rFonts w:cs="Arial"/>
          <w:color w:val="000000"/>
          <w:lang w:eastAsia="en-GB"/>
        </w:rPr>
        <w:t xml:space="preserve"> but also a fundamental violation of the principle of the rule of law. Individual </w:t>
      </w:r>
      <w:r w:rsidR="00D1001D">
        <w:rPr>
          <w:rFonts w:cs="Arial"/>
          <w:color w:val="000000"/>
          <w:lang w:eastAsia="en-GB"/>
        </w:rPr>
        <w:t>“</w:t>
      </w:r>
      <w:r w:rsidR="0046460C">
        <w:rPr>
          <w:rFonts w:cs="Arial"/>
          <w:color w:val="000000"/>
          <w:lang w:eastAsia="en-GB"/>
        </w:rPr>
        <w:t>pardon</w:t>
      </w:r>
      <w:r w:rsidR="00D1001D">
        <w:rPr>
          <w:rFonts w:cs="Arial"/>
          <w:color w:val="000000"/>
          <w:lang w:eastAsia="en-GB"/>
        </w:rPr>
        <w:t>”</w:t>
      </w:r>
      <w:r w:rsidR="0046460C">
        <w:rPr>
          <w:rFonts w:cs="Arial"/>
          <w:color w:val="000000"/>
          <w:lang w:eastAsia="en-GB"/>
        </w:rPr>
        <w:t xml:space="preserve"> agreements are not an effective and comprehensive response to </w:t>
      </w:r>
      <w:r w:rsidR="009534AB">
        <w:rPr>
          <w:rFonts w:cs="Arial"/>
          <w:color w:val="000000"/>
          <w:lang w:eastAsia="en-GB"/>
        </w:rPr>
        <w:t xml:space="preserve">such </w:t>
      </w:r>
      <w:r w:rsidR="0046460C">
        <w:rPr>
          <w:rFonts w:cs="Arial"/>
          <w:color w:val="000000"/>
          <w:lang w:eastAsia="en-GB"/>
        </w:rPr>
        <w:t xml:space="preserve">systemic and structural violations. </w:t>
      </w:r>
    </w:p>
    <w:p w:rsidR="0046460C" w:rsidRPr="00B7613D" w:rsidRDefault="00C71ACD" w:rsidP="00C71ACD">
      <w:pPr>
        <w:pStyle w:val="SingleTxtG"/>
        <w:rPr>
          <w:rFonts w:cs="Arial"/>
          <w:color w:val="000000"/>
          <w:lang w:eastAsia="en-GB"/>
        </w:rPr>
      </w:pPr>
      <w:r w:rsidRPr="00B7613D">
        <w:rPr>
          <w:rFonts w:cs="Arial"/>
          <w:bCs/>
          <w:color w:val="000000"/>
          <w:lang w:eastAsia="en-GB"/>
        </w:rPr>
        <w:t>22.</w:t>
      </w:r>
      <w:r w:rsidRPr="00B7613D">
        <w:rPr>
          <w:rFonts w:cs="Arial"/>
          <w:bCs/>
          <w:color w:val="000000"/>
          <w:lang w:eastAsia="en-GB"/>
        </w:rPr>
        <w:tab/>
      </w:r>
      <w:r w:rsidR="0046460C">
        <w:rPr>
          <w:rFonts w:cs="Arial"/>
          <w:color w:val="000000"/>
          <w:lang w:eastAsia="en-GB"/>
        </w:rPr>
        <w:t xml:space="preserve">Third, </w:t>
      </w:r>
      <w:r w:rsidR="00504D3D">
        <w:rPr>
          <w:rFonts w:cs="Arial"/>
          <w:color w:val="000000"/>
          <w:lang w:eastAsia="en-GB"/>
        </w:rPr>
        <w:t>L</w:t>
      </w:r>
      <w:r w:rsidR="0046460C">
        <w:rPr>
          <w:rFonts w:cs="Arial"/>
          <w:color w:val="000000"/>
          <w:lang w:eastAsia="en-GB"/>
        </w:rPr>
        <w:t>aw</w:t>
      </w:r>
      <w:r w:rsidR="00504D3D">
        <w:rPr>
          <w:rFonts w:cs="Arial"/>
          <w:color w:val="000000"/>
          <w:lang w:eastAsia="en-GB"/>
        </w:rPr>
        <w:t xml:space="preserve"> </w:t>
      </w:r>
      <w:r w:rsidR="001A3C25">
        <w:rPr>
          <w:rFonts w:cs="Arial"/>
          <w:color w:val="000000"/>
          <w:lang w:eastAsia="en-GB"/>
        </w:rPr>
        <w:t xml:space="preserve">No. </w:t>
      </w:r>
      <w:r w:rsidR="00504D3D">
        <w:rPr>
          <w:rFonts w:cs="Arial"/>
          <w:color w:val="000000"/>
          <w:lang w:eastAsia="en-GB"/>
        </w:rPr>
        <w:t>1/18</w:t>
      </w:r>
      <w:r w:rsidR="0046460C">
        <w:rPr>
          <w:rFonts w:cs="Arial"/>
          <w:color w:val="000000"/>
          <w:lang w:eastAsia="en-GB"/>
        </w:rPr>
        <w:t xml:space="preserve"> does not make a clear determination of the </w:t>
      </w:r>
      <w:r w:rsidR="0046460C" w:rsidRPr="00E86863">
        <w:rPr>
          <w:rFonts w:cs="Arial"/>
          <w:iCs/>
          <w:color w:val="000000"/>
          <w:lang w:eastAsia="en-GB"/>
        </w:rPr>
        <w:t>legal</w:t>
      </w:r>
      <w:r w:rsidR="0046460C">
        <w:rPr>
          <w:rFonts w:cs="Arial"/>
          <w:i/>
          <w:color w:val="000000"/>
          <w:lang w:eastAsia="en-GB"/>
        </w:rPr>
        <w:t xml:space="preserve"> </w:t>
      </w:r>
      <w:r w:rsidR="0046460C">
        <w:rPr>
          <w:rFonts w:cs="Arial"/>
          <w:color w:val="000000"/>
          <w:lang w:eastAsia="en-GB"/>
        </w:rPr>
        <w:t xml:space="preserve">consequences of a pardon. </w:t>
      </w:r>
      <w:r w:rsidR="00504D3D">
        <w:rPr>
          <w:rFonts w:cs="Arial"/>
          <w:color w:val="000000"/>
          <w:lang w:eastAsia="en-GB"/>
        </w:rPr>
        <w:t>Although</w:t>
      </w:r>
      <w:r w:rsidR="0046460C">
        <w:rPr>
          <w:rFonts w:cs="Arial"/>
          <w:color w:val="000000"/>
          <w:lang w:eastAsia="en-GB"/>
        </w:rPr>
        <w:t xml:space="preserve"> the Commission is not a judicial mechanism, pardon, in practice, could have legal implications. Th</w:t>
      </w:r>
      <w:r w:rsidR="00504D3D">
        <w:rPr>
          <w:rFonts w:cs="Arial"/>
          <w:color w:val="000000"/>
          <w:lang w:eastAsia="en-GB"/>
        </w:rPr>
        <w:t>e pardon</w:t>
      </w:r>
      <w:r w:rsidR="0046460C">
        <w:rPr>
          <w:rFonts w:cs="Arial"/>
          <w:color w:val="000000"/>
          <w:lang w:eastAsia="en-GB"/>
        </w:rPr>
        <w:t xml:space="preserve"> procedure could amount to a </w:t>
      </w:r>
      <w:r w:rsidR="0046460C" w:rsidRPr="00391574">
        <w:rPr>
          <w:rFonts w:cs="Arial"/>
          <w:iCs/>
          <w:color w:val="000000"/>
          <w:lang w:eastAsia="en-GB"/>
        </w:rPr>
        <w:t>de facto</w:t>
      </w:r>
      <w:r w:rsidR="0046460C">
        <w:rPr>
          <w:rFonts w:cs="Arial"/>
          <w:color w:val="000000"/>
          <w:lang w:eastAsia="en-GB"/>
        </w:rPr>
        <w:t xml:space="preserve"> amnesty, </w:t>
      </w:r>
      <w:r w:rsidR="00504D3D">
        <w:rPr>
          <w:rFonts w:cs="Arial"/>
          <w:color w:val="000000"/>
          <w:lang w:eastAsia="en-GB"/>
        </w:rPr>
        <w:t>one</w:t>
      </w:r>
      <w:r w:rsidR="0046460C">
        <w:rPr>
          <w:rFonts w:cs="Arial"/>
          <w:color w:val="000000"/>
          <w:lang w:eastAsia="en-GB"/>
        </w:rPr>
        <w:t xml:space="preserve"> </w:t>
      </w:r>
      <w:r w:rsidR="00CC66CD">
        <w:rPr>
          <w:rFonts w:cs="Arial"/>
          <w:color w:val="000000"/>
          <w:lang w:eastAsia="en-GB"/>
        </w:rPr>
        <w:t xml:space="preserve">to be </w:t>
      </w:r>
      <w:r w:rsidR="0046460C">
        <w:rPr>
          <w:rFonts w:cs="Arial"/>
          <w:color w:val="000000"/>
          <w:lang w:eastAsia="en-GB"/>
        </w:rPr>
        <w:t xml:space="preserve">granted by the same individual whose rights </w:t>
      </w:r>
      <w:r w:rsidR="00504D3D">
        <w:rPr>
          <w:rFonts w:cs="Arial"/>
          <w:color w:val="000000"/>
          <w:lang w:eastAsia="en-GB"/>
        </w:rPr>
        <w:t>were</w:t>
      </w:r>
      <w:r w:rsidR="0046460C">
        <w:rPr>
          <w:rFonts w:cs="Arial"/>
          <w:color w:val="000000"/>
          <w:lang w:eastAsia="en-GB"/>
        </w:rPr>
        <w:t xml:space="preserve"> violated. In cases of genocide, war crimes, crimes against humanity, crimes involving sexual violence or other gross human rights violations </w:t>
      </w:r>
      <w:r w:rsidR="009534AB">
        <w:rPr>
          <w:rFonts w:cs="Arial"/>
          <w:color w:val="000000"/>
          <w:lang w:eastAsia="en-GB"/>
        </w:rPr>
        <w:t xml:space="preserve">or </w:t>
      </w:r>
      <w:r w:rsidR="0046460C">
        <w:rPr>
          <w:rFonts w:cs="Arial"/>
          <w:color w:val="000000"/>
          <w:lang w:eastAsia="en-GB"/>
        </w:rPr>
        <w:t xml:space="preserve">serious violations of international humanitarian law, </w:t>
      </w:r>
      <w:r w:rsidR="00504D3D">
        <w:rPr>
          <w:rFonts w:cs="Arial"/>
          <w:color w:val="000000"/>
          <w:lang w:eastAsia="en-GB"/>
        </w:rPr>
        <w:t>amnesty</w:t>
      </w:r>
      <w:r w:rsidR="0046460C">
        <w:rPr>
          <w:rFonts w:cs="Arial"/>
          <w:color w:val="000000"/>
          <w:lang w:eastAsia="en-GB"/>
        </w:rPr>
        <w:t xml:space="preserve"> would be </w:t>
      </w:r>
      <w:r w:rsidR="00CC4D45">
        <w:rPr>
          <w:rFonts w:cs="Arial"/>
          <w:color w:val="000000"/>
          <w:lang w:eastAsia="en-GB"/>
        </w:rPr>
        <w:t>particularly</w:t>
      </w:r>
      <w:r w:rsidR="00BF3854">
        <w:rPr>
          <w:rFonts w:cs="Arial"/>
          <w:color w:val="000000"/>
          <w:lang w:eastAsia="en-GB"/>
        </w:rPr>
        <w:t xml:space="preserve"> objectionable</w:t>
      </w:r>
      <w:r w:rsidR="0046460C">
        <w:rPr>
          <w:rFonts w:cs="Arial"/>
          <w:color w:val="000000"/>
          <w:lang w:eastAsia="en-GB"/>
        </w:rPr>
        <w:t xml:space="preserve">. </w:t>
      </w:r>
    </w:p>
    <w:p w:rsidR="0046460C" w:rsidRDefault="00C71ACD" w:rsidP="00C71ACD">
      <w:pPr>
        <w:pStyle w:val="SingleTxtG"/>
        <w:rPr>
          <w:rFonts w:cs="Arial"/>
          <w:color w:val="000000"/>
          <w:lang w:eastAsia="en-GB"/>
        </w:rPr>
      </w:pPr>
      <w:r>
        <w:rPr>
          <w:rFonts w:cs="Arial"/>
          <w:bCs/>
          <w:color w:val="000000"/>
          <w:lang w:eastAsia="en-GB"/>
        </w:rPr>
        <w:t>23.</w:t>
      </w:r>
      <w:r>
        <w:rPr>
          <w:rFonts w:cs="Arial"/>
          <w:bCs/>
          <w:color w:val="000000"/>
          <w:lang w:eastAsia="en-GB"/>
        </w:rPr>
        <w:tab/>
      </w:r>
      <w:r w:rsidR="0046460C">
        <w:rPr>
          <w:rFonts w:cs="Arial"/>
          <w:color w:val="000000"/>
          <w:lang w:eastAsia="en-GB"/>
        </w:rPr>
        <w:t xml:space="preserve">Fourth, given the recurring cycles of violence in Burundi, some dating back decades, and the high number of </w:t>
      </w:r>
      <w:r w:rsidR="0046460C" w:rsidRPr="00062136">
        <w:rPr>
          <w:rFonts w:cs="Arial"/>
          <w:color w:val="000000"/>
          <w:lang w:eastAsia="en-GB"/>
        </w:rPr>
        <w:t>victims and perpetrators</w:t>
      </w:r>
      <w:r w:rsidR="0046460C">
        <w:rPr>
          <w:rFonts w:cs="Arial"/>
          <w:color w:val="000000"/>
          <w:lang w:eastAsia="en-GB"/>
        </w:rPr>
        <w:t xml:space="preserve">, </w:t>
      </w:r>
      <w:r w:rsidR="0046460C" w:rsidRPr="00062136">
        <w:rPr>
          <w:rFonts w:cs="Arial"/>
          <w:color w:val="000000"/>
          <w:lang w:eastAsia="en-GB"/>
        </w:rPr>
        <w:t xml:space="preserve">bringing together the appropriate parties </w:t>
      </w:r>
      <w:r w:rsidR="00504D3D">
        <w:rPr>
          <w:rFonts w:cs="Arial"/>
          <w:color w:val="000000"/>
          <w:lang w:eastAsia="en-GB"/>
        </w:rPr>
        <w:t>in</w:t>
      </w:r>
      <w:r w:rsidR="0046460C" w:rsidRPr="00062136">
        <w:rPr>
          <w:rFonts w:cs="Arial"/>
          <w:color w:val="000000"/>
          <w:lang w:eastAsia="en-GB"/>
        </w:rPr>
        <w:t xml:space="preserve"> </w:t>
      </w:r>
      <w:r w:rsidR="0046460C">
        <w:rPr>
          <w:rFonts w:cs="Arial"/>
          <w:color w:val="000000"/>
          <w:lang w:eastAsia="en-GB"/>
        </w:rPr>
        <w:t>the pardon procedure would</w:t>
      </w:r>
      <w:r w:rsidR="0046460C" w:rsidRPr="00062136">
        <w:rPr>
          <w:rFonts w:cs="Arial"/>
          <w:color w:val="000000"/>
          <w:lang w:eastAsia="en-GB"/>
        </w:rPr>
        <w:t xml:space="preserve"> be immensely </w:t>
      </w:r>
      <w:r w:rsidR="0046460C">
        <w:rPr>
          <w:rFonts w:cs="Arial"/>
          <w:color w:val="000000"/>
          <w:lang w:eastAsia="en-GB"/>
        </w:rPr>
        <w:t>complicated</w:t>
      </w:r>
      <w:r w:rsidR="0046460C" w:rsidRPr="00062136">
        <w:rPr>
          <w:rFonts w:cs="Arial"/>
          <w:color w:val="000000"/>
          <w:lang w:eastAsia="en-GB"/>
        </w:rPr>
        <w:t xml:space="preserve"> and</w:t>
      </w:r>
      <w:r w:rsidR="0046460C">
        <w:rPr>
          <w:rFonts w:cs="Arial"/>
          <w:color w:val="000000"/>
          <w:lang w:eastAsia="en-GB"/>
        </w:rPr>
        <w:t xml:space="preserve"> could lead to denials of</w:t>
      </w:r>
      <w:r w:rsidR="0046460C" w:rsidRPr="00062136">
        <w:rPr>
          <w:rFonts w:cs="Arial"/>
          <w:color w:val="000000"/>
          <w:lang w:eastAsia="en-GB"/>
        </w:rPr>
        <w:t xml:space="preserve"> fair and equal treatment. </w:t>
      </w:r>
      <w:r w:rsidR="0046460C">
        <w:rPr>
          <w:rFonts w:cs="Arial"/>
          <w:color w:val="000000"/>
          <w:lang w:eastAsia="en-GB"/>
        </w:rPr>
        <w:t xml:space="preserve">One major concern would be the overwhelming </w:t>
      </w:r>
      <w:r w:rsidR="0046460C" w:rsidRPr="00062136">
        <w:rPr>
          <w:rFonts w:cs="Arial"/>
          <w:color w:val="000000"/>
          <w:lang w:eastAsia="en-GB"/>
        </w:rPr>
        <w:t xml:space="preserve">institutional burden of </w:t>
      </w:r>
      <w:r w:rsidR="0046460C">
        <w:rPr>
          <w:rFonts w:cs="Arial"/>
          <w:color w:val="000000"/>
          <w:lang w:eastAsia="en-GB"/>
        </w:rPr>
        <w:t>a</w:t>
      </w:r>
      <w:r w:rsidR="0046460C" w:rsidRPr="00062136">
        <w:rPr>
          <w:rFonts w:cs="Arial"/>
          <w:color w:val="000000"/>
          <w:lang w:eastAsia="en-GB"/>
        </w:rPr>
        <w:t>chieving the correct victim-perpetrator pairings</w:t>
      </w:r>
      <w:r w:rsidR="0046460C">
        <w:rPr>
          <w:rFonts w:cs="Arial"/>
          <w:color w:val="000000"/>
          <w:lang w:eastAsia="en-GB"/>
        </w:rPr>
        <w:t xml:space="preserve">, which could absorb the majority of </w:t>
      </w:r>
      <w:r w:rsidR="00770D23">
        <w:rPr>
          <w:rFonts w:cs="Arial"/>
          <w:color w:val="000000"/>
          <w:lang w:eastAsia="en-GB"/>
        </w:rPr>
        <w:t xml:space="preserve">the Commission’s </w:t>
      </w:r>
      <w:r w:rsidR="0046460C">
        <w:rPr>
          <w:rFonts w:cs="Arial"/>
          <w:color w:val="000000"/>
          <w:lang w:eastAsia="en-GB"/>
        </w:rPr>
        <w:t>available resources and capacities</w:t>
      </w:r>
      <w:r w:rsidR="0046460C" w:rsidRPr="00062136">
        <w:rPr>
          <w:rFonts w:cs="Arial"/>
          <w:color w:val="000000"/>
          <w:lang w:eastAsia="en-GB"/>
        </w:rPr>
        <w:t>.</w:t>
      </w:r>
      <w:r w:rsidR="0046460C">
        <w:rPr>
          <w:rFonts w:cs="Arial"/>
          <w:color w:val="000000"/>
          <w:lang w:eastAsia="en-GB"/>
        </w:rPr>
        <w:t xml:space="preserve"> </w:t>
      </w:r>
    </w:p>
    <w:p w:rsidR="0046460C" w:rsidRPr="00062136" w:rsidRDefault="00C71ACD" w:rsidP="00C71ACD">
      <w:pPr>
        <w:pStyle w:val="SingleTxtG"/>
        <w:rPr>
          <w:rFonts w:cs="Arial"/>
          <w:color w:val="000000"/>
          <w:lang w:eastAsia="en-GB"/>
        </w:rPr>
      </w:pPr>
      <w:r w:rsidRPr="00062136">
        <w:rPr>
          <w:rFonts w:cs="Arial"/>
          <w:bCs/>
          <w:color w:val="000000"/>
          <w:lang w:eastAsia="en-GB"/>
        </w:rPr>
        <w:t>24.</w:t>
      </w:r>
      <w:r w:rsidRPr="00062136">
        <w:rPr>
          <w:rFonts w:cs="Arial"/>
          <w:bCs/>
          <w:color w:val="000000"/>
          <w:lang w:eastAsia="en-GB"/>
        </w:rPr>
        <w:tab/>
      </w:r>
      <w:r w:rsidR="0046460C">
        <w:rPr>
          <w:rFonts w:cs="Arial"/>
          <w:color w:val="000000"/>
          <w:lang w:eastAsia="en-GB"/>
        </w:rPr>
        <w:t xml:space="preserve">Finally, </w:t>
      </w:r>
      <w:r w:rsidR="001A3C25">
        <w:rPr>
          <w:rFonts w:cs="Arial"/>
          <w:color w:val="000000"/>
          <w:lang w:eastAsia="en-GB"/>
        </w:rPr>
        <w:t xml:space="preserve">and </w:t>
      </w:r>
      <w:r w:rsidR="0046460C">
        <w:rPr>
          <w:rFonts w:cs="Arial"/>
          <w:color w:val="000000"/>
          <w:lang w:eastAsia="en-GB"/>
        </w:rPr>
        <w:t xml:space="preserve">perhaps most importantly, the pardon mechanism </w:t>
      </w:r>
      <w:r w:rsidR="0046460C" w:rsidRPr="00397994">
        <w:rPr>
          <w:rFonts w:cs="Arial"/>
          <w:color w:val="000000"/>
          <w:lang w:eastAsia="en-GB"/>
        </w:rPr>
        <w:t>place</w:t>
      </w:r>
      <w:r w:rsidR="0046460C">
        <w:rPr>
          <w:rFonts w:cs="Arial"/>
          <w:color w:val="000000"/>
          <w:lang w:eastAsia="en-GB"/>
        </w:rPr>
        <w:t>s</w:t>
      </w:r>
      <w:r w:rsidR="0046460C" w:rsidRPr="00397994">
        <w:rPr>
          <w:rFonts w:cs="Arial"/>
          <w:color w:val="000000"/>
          <w:lang w:eastAsia="en-GB"/>
        </w:rPr>
        <w:t xml:space="preserve"> </w:t>
      </w:r>
      <w:r w:rsidR="0046460C">
        <w:rPr>
          <w:rFonts w:cs="Arial"/>
          <w:color w:val="000000"/>
          <w:lang w:eastAsia="en-GB"/>
        </w:rPr>
        <w:t xml:space="preserve">an </w:t>
      </w:r>
      <w:r w:rsidR="0046460C" w:rsidRPr="00397994">
        <w:rPr>
          <w:rFonts w:cs="Arial"/>
          <w:color w:val="000000"/>
          <w:lang w:eastAsia="en-GB"/>
        </w:rPr>
        <w:t>undue burden on victims.</w:t>
      </w:r>
      <w:r w:rsidR="0046460C">
        <w:rPr>
          <w:rFonts w:cs="Arial"/>
          <w:color w:val="000000"/>
          <w:lang w:eastAsia="en-GB"/>
        </w:rPr>
        <w:t xml:space="preserve"> E</w:t>
      </w:r>
      <w:r w:rsidR="0046460C" w:rsidRPr="00397994">
        <w:rPr>
          <w:rFonts w:cs="Arial"/>
          <w:color w:val="000000"/>
          <w:lang w:eastAsia="en-GB"/>
        </w:rPr>
        <w:t>ndorsed in the name of reconciliation</w:t>
      </w:r>
      <w:r w:rsidR="005714C3">
        <w:rPr>
          <w:rFonts w:cs="Arial"/>
          <w:color w:val="000000"/>
          <w:lang w:eastAsia="en-GB"/>
        </w:rPr>
        <w:t>,</w:t>
      </w:r>
      <w:r w:rsidR="0046460C" w:rsidRPr="00397994">
        <w:rPr>
          <w:rFonts w:cs="Arial"/>
          <w:color w:val="000000"/>
          <w:lang w:eastAsia="en-GB"/>
        </w:rPr>
        <w:t xml:space="preserve"> </w:t>
      </w:r>
      <w:r w:rsidR="0046460C">
        <w:rPr>
          <w:rFonts w:cs="Arial"/>
          <w:color w:val="000000"/>
          <w:lang w:eastAsia="en-GB"/>
        </w:rPr>
        <w:t xml:space="preserve">yet </w:t>
      </w:r>
      <w:r w:rsidR="0046460C" w:rsidRPr="00397994">
        <w:rPr>
          <w:rFonts w:cs="Arial"/>
          <w:color w:val="000000"/>
          <w:lang w:eastAsia="en-GB"/>
        </w:rPr>
        <w:t>in a situation in which safety risks have not</w:t>
      </w:r>
      <w:r w:rsidR="0046460C">
        <w:rPr>
          <w:rFonts w:cs="Arial"/>
          <w:color w:val="000000"/>
          <w:lang w:eastAsia="en-GB"/>
        </w:rPr>
        <w:t xml:space="preserve"> </w:t>
      </w:r>
      <w:r w:rsidR="0046460C" w:rsidRPr="00397994">
        <w:rPr>
          <w:rFonts w:cs="Arial"/>
          <w:color w:val="000000"/>
          <w:lang w:eastAsia="en-GB"/>
        </w:rPr>
        <w:t xml:space="preserve">been neutralized, </w:t>
      </w:r>
      <w:r w:rsidR="005714C3">
        <w:rPr>
          <w:rFonts w:cs="Arial"/>
          <w:color w:val="000000"/>
          <w:lang w:eastAsia="en-GB"/>
        </w:rPr>
        <w:t>such a</w:t>
      </w:r>
      <w:r w:rsidR="0046460C">
        <w:rPr>
          <w:rFonts w:cs="Arial"/>
          <w:color w:val="000000"/>
          <w:lang w:eastAsia="en-GB"/>
        </w:rPr>
        <w:t xml:space="preserve"> mechanism puts</w:t>
      </w:r>
      <w:r w:rsidR="0046460C" w:rsidRPr="00397994">
        <w:rPr>
          <w:rFonts w:cs="Arial"/>
          <w:color w:val="000000"/>
          <w:lang w:eastAsia="en-GB"/>
        </w:rPr>
        <w:t xml:space="preserve"> victims in a position </w:t>
      </w:r>
      <w:r w:rsidR="005714C3">
        <w:rPr>
          <w:rFonts w:cs="Arial"/>
          <w:color w:val="000000"/>
          <w:lang w:eastAsia="en-GB"/>
        </w:rPr>
        <w:t>whereby</w:t>
      </w:r>
      <w:r w:rsidR="0046460C">
        <w:rPr>
          <w:rFonts w:cs="Arial"/>
          <w:color w:val="000000"/>
          <w:lang w:eastAsia="en-GB"/>
        </w:rPr>
        <w:t xml:space="preserve"> refusal</w:t>
      </w:r>
      <w:r w:rsidR="0046460C" w:rsidRPr="00397994">
        <w:rPr>
          <w:rFonts w:cs="Arial"/>
          <w:color w:val="000000"/>
          <w:lang w:eastAsia="en-GB"/>
        </w:rPr>
        <w:t xml:space="preserve"> to pardon perpetrators</w:t>
      </w:r>
      <w:r w:rsidR="0046460C">
        <w:rPr>
          <w:rFonts w:cs="Arial"/>
          <w:color w:val="000000"/>
          <w:lang w:eastAsia="en-GB"/>
        </w:rPr>
        <w:t>, who</w:t>
      </w:r>
      <w:r w:rsidR="005714C3">
        <w:rPr>
          <w:rFonts w:cs="Arial"/>
          <w:color w:val="000000"/>
          <w:lang w:eastAsia="en-GB"/>
        </w:rPr>
        <w:t>,</w:t>
      </w:r>
      <w:r w:rsidR="0046460C">
        <w:rPr>
          <w:rFonts w:cs="Arial"/>
          <w:color w:val="000000"/>
          <w:lang w:eastAsia="en-GB"/>
        </w:rPr>
        <w:t xml:space="preserve"> in many cases may (still or again) occupy powerful posts, is nearly impossible and may be driven primarily by fear of reprisal</w:t>
      </w:r>
      <w:r w:rsidR="0046460C" w:rsidRPr="00397994">
        <w:rPr>
          <w:rFonts w:cs="Arial"/>
          <w:color w:val="000000"/>
          <w:lang w:eastAsia="en-GB"/>
        </w:rPr>
        <w:t xml:space="preserve">. </w:t>
      </w:r>
      <w:r w:rsidR="005714C3">
        <w:rPr>
          <w:rFonts w:cs="Arial"/>
          <w:color w:val="000000"/>
          <w:lang w:eastAsia="en-GB"/>
        </w:rPr>
        <w:t>Such</w:t>
      </w:r>
      <w:r w:rsidR="0046460C" w:rsidRPr="00397994">
        <w:rPr>
          <w:rFonts w:cs="Arial"/>
          <w:color w:val="000000"/>
          <w:lang w:eastAsia="en-GB"/>
        </w:rPr>
        <w:t xml:space="preserve"> pressure is inappropriate and</w:t>
      </w:r>
      <w:r w:rsidR="005714C3">
        <w:rPr>
          <w:rFonts w:cs="Arial"/>
          <w:color w:val="000000"/>
          <w:lang w:eastAsia="en-GB"/>
        </w:rPr>
        <w:t xml:space="preserve"> would</w:t>
      </w:r>
      <w:r w:rsidR="0046460C">
        <w:rPr>
          <w:rFonts w:cs="Arial"/>
          <w:color w:val="000000"/>
          <w:lang w:eastAsia="en-GB"/>
        </w:rPr>
        <w:t>,</w:t>
      </w:r>
      <w:r w:rsidR="0046460C" w:rsidRPr="00397994">
        <w:rPr>
          <w:rFonts w:cs="Arial"/>
          <w:color w:val="000000"/>
          <w:lang w:eastAsia="en-GB"/>
        </w:rPr>
        <w:t xml:space="preserve"> at the limit</w:t>
      </w:r>
      <w:r w:rsidR="0046460C">
        <w:rPr>
          <w:rFonts w:cs="Arial"/>
          <w:color w:val="000000"/>
          <w:lang w:eastAsia="en-GB"/>
        </w:rPr>
        <w:t>,</w:t>
      </w:r>
      <w:r w:rsidR="0046460C" w:rsidRPr="00397994">
        <w:rPr>
          <w:rFonts w:cs="Arial"/>
          <w:color w:val="000000"/>
          <w:lang w:eastAsia="en-GB"/>
        </w:rPr>
        <w:t xml:space="preserve"> constitute coercion.</w:t>
      </w:r>
      <w:r w:rsidR="0046460C">
        <w:rPr>
          <w:rFonts w:cs="Arial"/>
          <w:color w:val="000000"/>
          <w:lang w:eastAsia="en-GB"/>
        </w:rPr>
        <w:t xml:space="preserve"> </w:t>
      </w:r>
      <w:r w:rsidR="00CE70AE">
        <w:rPr>
          <w:rFonts w:cs="Arial"/>
          <w:color w:val="000000"/>
          <w:lang w:eastAsia="en-GB"/>
        </w:rPr>
        <w:t>P</w:t>
      </w:r>
      <w:r w:rsidR="0046460C">
        <w:rPr>
          <w:rFonts w:cs="Arial"/>
          <w:color w:val="000000"/>
          <w:lang w:eastAsia="en-GB"/>
        </w:rPr>
        <w:t>ublish</w:t>
      </w:r>
      <w:r w:rsidR="00CE70AE">
        <w:rPr>
          <w:rFonts w:cs="Arial"/>
          <w:color w:val="000000"/>
          <w:lang w:eastAsia="en-GB"/>
        </w:rPr>
        <w:t>ing</w:t>
      </w:r>
      <w:r w:rsidR="0046460C">
        <w:rPr>
          <w:rFonts w:cs="Arial"/>
          <w:color w:val="000000"/>
          <w:lang w:eastAsia="en-GB"/>
        </w:rPr>
        <w:t xml:space="preserve"> a list of victims who have granted pardons </w:t>
      </w:r>
      <w:r w:rsidR="00CE70AE">
        <w:rPr>
          <w:rFonts w:cs="Arial"/>
          <w:color w:val="000000"/>
          <w:lang w:eastAsia="en-GB"/>
        </w:rPr>
        <w:t xml:space="preserve">would </w:t>
      </w:r>
      <w:r w:rsidR="0046460C">
        <w:rPr>
          <w:rFonts w:cs="Arial"/>
          <w:color w:val="000000"/>
          <w:lang w:eastAsia="en-GB"/>
        </w:rPr>
        <w:t xml:space="preserve">only increase the pressure on and/or the risks to the victims. </w:t>
      </w:r>
      <w:r w:rsidR="000C4C8B">
        <w:rPr>
          <w:rFonts w:cs="Arial"/>
          <w:color w:val="000000"/>
          <w:lang w:eastAsia="en-GB"/>
        </w:rPr>
        <w:t>Indeed</w:t>
      </w:r>
      <w:r w:rsidR="0046460C" w:rsidRPr="00062136">
        <w:rPr>
          <w:rFonts w:cs="Arial"/>
          <w:color w:val="000000"/>
          <w:lang w:eastAsia="en-GB"/>
        </w:rPr>
        <w:t xml:space="preserve">, </w:t>
      </w:r>
      <w:r w:rsidR="0046460C">
        <w:rPr>
          <w:rFonts w:cs="Arial"/>
          <w:color w:val="000000"/>
          <w:lang w:eastAsia="en-GB"/>
        </w:rPr>
        <w:t xml:space="preserve">victims who have </w:t>
      </w:r>
      <w:r w:rsidR="0046460C" w:rsidRPr="00062136">
        <w:rPr>
          <w:rFonts w:cs="Arial"/>
          <w:color w:val="000000"/>
          <w:lang w:eastAsia="en-GB"/>
        </w:rPr>
        <w:t>suffered violence or trauma should benefit from special consideration and care to avoid retraumatization</w:t>
      </w:r>
      <w:r w:rsidR="0046460C">
        <w:rPr>
          <w:rFonts w:cs="Arial"/>
          <w:color w:val="000000"/>
          <w:lang w:eastAsia="en-GB"/>
        </w:rPr>
        <w:t>.</w:t>
      </w:r>
      <w:r w:rsidR="0046460C" w:rsidRPr="00062136">
        <w:rPr>
          <w:rFonts w:cs="Arial"/>
          <w:color w:val="000000"/>
          <w:lang w:eastAsia="en-GB"/>
        </w:rPr>
        <w:t xml:space="preserve"> </w:t>
      </w:r>
      <w:r w:rsidR="0046460C">
        <w:rPr>
          <w:rFonts w:cs="Arial"/>
          <w:color w:val="000000"/>
          <w:lang w:eastAsia="en-GB"/>
        </w:rPr>
        <w:t>For th</w:t>
      </w:r>
      <w:r w:rsidR="00CE70AE">
        <w:rPr>
          <w:rFonts w:cs="Arial"/>
          <w:color w:val="000000"/>
          <w:lang w:eastAsia="en-GB"/>
        </w:rPr>
        <w:t>o</w:t>
      </w:r>
      <w:r w:rsidR="0046460C">
        <w:rPr>
          <w:rFonts w:cs="Arial"/>
          <w:color w:val="000000"/>
          <w:lang w:eastAsia="en-GB"/>
        </w:rPr>
        <w:t xml:space="preserve">se reasons, the Special Rapporteur is </w:t>
      </w:r>
      <w:r w:rsidR="0046460C" w:rsidRPr="00062136">
        <w:rPr>
          <w:rFonts w:cs="Arial"/>
          <w:color w:val="000000"/>
          <w:lang w:eastAsia="en-GB"/>
        </w:rPr>
        <w:t xml:space="preserve">concerned that </w:t>
      </w:r>
      <w:r w:rsidR="0046460C">
        <w:rPr>
          <w:rFonts w:cs="Arial"/>
          <w:color w:val="000000"/>
          <w:lang w:eastAsia="en-GB"/>
        </w:rPr>
        <w:t>the pardon proce</w:t>
      </w:r>
      <w:r w:rsidR="00CE70AE">
        <w:rPr>
          <w:rFonts w:cs="Arial"/>
          <w:color w:val="000000"/>
          <w:lang w:eastAsia="en-GB"/>
        </w:rPr>
        <w:t>dure places an</w:t>
      </w:r>
      <w:r w:rsidR="0046460C">
        <w:rPr>
          <w:rFonts w:cs="Arial"/>
          <w:color w:val="000000"/>
          <w:lang w:eastAsia="en-GB"/>
        </w:rPr>
        <w:t xml:space="preserve"> </w:t>
      </w:r>
      <w:r w:rsidR="0046460C" w:rsidRPr="00062136">
        <w:rPr>
          <w:rFonts w:cs="Arial"/>
          <w:color w:val="000000"/>
          <w:lang w:eastAsia="en-GB"/>
        </w:rPr>
        <w:t xml:space="preserve">unnecessary burden </w:t>
      </w:r>
      <w:r w:rsidR="00CE70AE">
        <w:rPr>
          <w:rFonts w:cs="Arial"/>
          <w:color w:val="000000"/>
          <w:lang w:eastAsia="en-GB"/>
        </w:rPr>
        <w:t xml:space="preserve">on </w:t>
      </w:r>
      <w:r w:rsidR="0046460C" w:rsidRPr="00062136">
        <w:rPr>
          <w:rFonts w:cs="Arial"/>
          <w:color w:val="000000"/>
          <w:lang w:eastAsia="en-GB"/>
        </w:rPr>
        <w:t>victims</w:t>
      </w:r>
      <w:r w:rsidR="0046460C">
        <w:rPr>
          <w:rFonts w:cs="Arial"/>
          <w:color w:val="000000"/>
          <w:lang w:eastAsia="en-GB"/>
        </w:rPr>
        <w:t xml:space="preserve"> and, in the absence of comprehensive transitional justice measures, fails to contribute to reconciliation</w:t>
      </w:r>
      <w:r w:rsidR="0046460C" w:rsidRPr="00062136">
        <w:rPr>
          <w:rFonts w:cs="Arial"/>
          <w:color w:val="000000"/>
          <w:lang w:eastAsia="en-GB"/>
        </w:rPr>
        <w:t>.</w:t>
      </w:r>
      <w:r w:rsidR="0046460C" w:rsidRPr="00062136" w:rsidDel="00250860">
        <w:rPr>
          <w:rFonts w:cs="Arial"/>
          <w:color w:val="000000"/>
          <w:lang w:eastAsia="en-GB"/>
        </w:rPr>
        <w:t xml:space="preserve"> </w:t>
      </w:r>
    </w:p>
    <w:p w:rsidR="0046460C" w:rsidRDefault="00C71ACD" w:rsidP="00C71ACD">
      <w:pPr>
        <w:pStyle w:val="SingleTxtG"/>
        <w:rPr>
          <w:rFonts w:cs="Arial"/>
          <w:color w:val="000000"/>
          <w:lang w:eastAsia="en-GB"/>
        </w:rPr>
      </w:pPr>
      <w:r>
        <w:rPr>
          <w:rFonts w:cs="Arial"/>
          <w:bCs/>
          <w:color w:val="000000"/>
          <w:lang w:eastAsia="en-GB"/>
        </w:rPr>
        <w:t>25.</w:t>
      </w:r>
      <w:r>
        <w:rPr>
          <w:rFonts w:cs="Arial"/>
          <w:bCs/>
          <w:color w:val="000000"/>
          <w:lang w:eastAsia="en-GB"/>
        </w:rPr>
        <w:tab/>
      </w:r>
      <w:r w:rsidR="00CE70AE">
        <w:rPr>
          <w:rFonts w:cs="Arial"/>
          <w:color w:val="000000"/>
          <w:lang w:eastAsia="en-GB"/>
        </w:rPr>
        <w:t>T</w:t>
      </w:r>
      <w:r w:rsidR="0046460C">
        <w:rPr>
          <w:rFonts w:cs="Arial"/>
          <w:color w:val="000000"/>
          <w:lang w:eastAsia="en-GB"/>
        </w:rPr>
        <w:t xml:space="preserve">he Special Rapporteur stresses that the </w:t>
      </w:r>
      <w:r w:rsidR="00770D23">
        <w:rPr>
          <w:rFonts w:cs="Arial"/>
          <w:color w:val="000000"/>
          <w:lang w:eastAsia="en-GB"/>
        </w:rPr>
        <w:t xml:space="preserve">Commission’s </w:t>
      </w:r>
      <w:r w:rsidR="0046460C">
        <w:rPr>
          <w:rFonts w:cs="Arial"/>
          <w:color w:val="000000"/>
          <w:lang w:eastAsia="en-GB"/>
        </w:rPr>
        <w:t>success is contingent on placing appropriate emphasis on its truth-seeking and victims-tracing functions. G</w:t>
      </w:r>
      <w:r w:rsidR="0046460C" w:rsidRPr="001C5356">
        <w:rPr>
          <w:rFonts w:cs="Arial"/>
          <w:color w:val="000000"/>
          <w:lang w:eastAsia="en-GB"/>
        </w:rPr>
        <w:t xml:space="preserve">iven the large universe of victims and the multiplicity of the periods of violence, the Commission </w:t>
      </w:r>
      <w:r w:rsidR="00CE70AE">
        <w:rPr>
          <w:rFonts w:cs="Arial"/>
          <w:color w:val="000000"/>
          <w:lang w:eastAsia="en-GB"/>
        </w:rPr>
        <w:t>already has</w:t>
      </w:r>
      <w:r w:rsidR="0046460C">
        <w:rPr>
          <w:rFonts w:cs="Arial"/>
          <w:color w:val="000000"/>
          <w:lang w:eastAsia="en-GB"/>
        </w:rPr>
        <w:t xml:space="preserve"> an </w:t>
      </w:r>
      <w:r w:rsidR="0046460C" w:rsidRPr="001C5356">
        <w:rPr>
          <w:rFonts w:cs="Arial"/>
          <w:color w:val="000000"/>
          <w:lang w:eastAsia="en-GB"/>
        </w:rPr>
        <w:t xml:space="preserve">enormous task ahead </w:t>
      </w:r>
      <w:r w:rsidR="00CE70AE">
        <w:rPr>
          <w:rFonts w:cs="Arial"/>
          <w:color w:val="000000"/>
          <w:lang w:eastAsia="en-GB"/>
        </w:rPr>
        <w:t xml:space="preserve">to </w:t>
      </w:r>
      <w:r w:rsidR="0046460C" w:rsidRPr="001C5356">
        <w:rPr>
          <w:rFonts w:cs="Arial"/>
          <w:color w:val="000000"/>
          <w:lang w:eastAsia="en-GB"/>
        </w:rPr>
        <w:t xml:space="preserve">fulfil </w:t>
      </w:r>
      <w:r w:rsidR="0046460C">
        <w:rPr>
          <w:rFonts w:cs="Arial"/>
          <w:color w:val="000000"/>
          <w:lang w:eastAsia="en-GB"/>
        </w:rPr>
        <w:t>th</w:t>
      </w:r>
      <w:r w:rsidR="00CE70AE">
        <w:rPr>
          <w:rFonts w:cs="Arial"/>
          <w:color w:val="000000"/>
          <w:lang w:eastAsia="en-GB"/>
        </w:rPr>
        <w:t>o</w:t>
      </w:r>
      <w:r w:rsidR="0046460C">
        <w:rPr>
          <w:rFonts w:cs="Arial"/>
          <w:color w:val="000000"/>
          <w:lang w:eastAsia="en-GB"/>
        </w:rPr>
        <w:t>se functions only.</w:t>
      </w:r>
      <w:r w:rsidR="0046460C" w:rsidRPr="001C5356">
        <w:rPr>
          <w:rFonts w:cs="Arial"/>
          <w:color w:val="000000"/>
          <w:lang w:eastAsia="en-GB"/>
        </w:rPr>
        <w:t xml:space="preserve"> </w:t>
      </w:r>
    </w:p>
    <w:p w:rsidR="0046460C" w:rsidRPr="00B7613D" w:rsidRDefault="00D04463" w:rsidP="007F38C9">
      <w:pPr>
        <w:pStyle w:val="H23G"/>
      </w:pPr>
      <w:r>
        <w:rPr>
          <w:lang w:eastAsia="en-GB"/>
        </w:rPr>
        <w:tab/>
        <w:t>2.</w:t>
      </w:r>
      <w:r>
        <w:rPr>
          <w:lang w:eastAsia="en-GB"/>
        </w:rPr>
        <w:tab/>
      </w:r>
      <w:r w:rsidR="0046460C" w:rsidRPr="002D1884">
        <w:rPr>
          <w:lang w:eastAsia="en-GB"/>
        </w:rPr>
        <w:t>Independence of the Commission</w:t>
      </w:r>
    </w:p>
    <w:p w:rsidR="0046460C" w:rsidRDefault="00C71ACD" w:rsidP="00C71ACD">
      <w:pPr>
        <w:pStyle w:val="SingleTxtG"/>
        <w:rPr>
          <w:rFonts w:cs="Arial"/>
          <w:color w:val="000000"/>
          <w:lang w:eastAsia="en-GB"/>
        </w:rPr>
      </w:pPr>
      <w:r>
        <w:rPr>
          <w:rFonts w:cs="Arial"/>
          <w:bCs/>
          <w:color w:val="000000"/>
          <w:lang w:eastAsia="en-GB"/>
        </w:rPr>
        <w:t>26.</w:t>
      </w:r>
      <w:r>
        <w:rPr>
          <w:rFonts w:cs="Arial"/>
          <w:bCs/>
          <w:color w:val="000000"/>
          <w:lang w:eastAsia="en-GB"/>
        </w:rPr>
        <w:tab/>
      </w:r>
      <w:r w:rsidR="0046460C">
        <w:rPr>
          <w:rFonts w:cs="Arial"/>
          <w:color w:val="000000"/>
          <w:lang w:eastAsia="en-GB"/>
        </w:rPr>
        <w:t xml:space="preserve">Truth commissions, in large part, derive their power from the moral authority and competence of </w:t>
      </w:r>
      <w:r w:rsidR="00CE70AE">
        <w:rPr>
          <w:rFonts w:cs="Arial"/>
          <w:color w:val="000000"/>
          <w:lang w:eastAsia="en-GB"/>
        </w:rPr>
        <w:t xml:space="preserve">the </w:t>
      </w:r>
      <w:r w:rsidR="0046460C">
        <w:rPr>
          <w:rFonts w:cs="Arial"/>
          <w:color w:val="000000"/>
          <w:lang w:eastAsia="en-GB"/>
        </w:rPr>
        <w:t>commissioners.</w:t>
      </w:r>
      <w:r w:rsidR="0046460C" w:rsidRPr="00C077B3">
        <w:rPr>
          <w:rStyle w:val="FootnoteReference"/>
        </w:rPr>
        <w:footnoteReference w:id="11"/>
      </w:r>
      <w:r w:rsidR="0046460C">
        <w:rPr>
          <w:rFonts w:cs="Arial"/>
          <w:color w:val="000000"/>
          <w:lang w:eastAsia="en-GB"/>
        </w:rPr>
        <w:t xml:space="preserve"> </w:t>
      </w:r>
      <w:r w:rsidR="00CE70AE">
        <w:rPr>
          <w:rFonts w:cs="Arial"/>
          <w:color w:val="000000"/>
          <w:lang w:eastAsia="en-GB"/>
        </w:rPr>
        <w:t>L</w:t>
      </w:r>
      <w:r w:rsidR="0046460C">
        <w:rPr>
          <w:rFonts w:cs="Arial"/>
          <w:color w:val="000000"/>
          <w:lang w:eastAsia="en-GB"/>
        </w:rPr>
        <w:t>aw</w:t>
      </w:r>
      <w:r w:rsidR="00CE70AE">
        <w:rPr>
          <w:rFonts w:cs="Arial"/>
          <w:color w:val="000000"/>
          <w:lang w:eastAsia="en-GB"/>
        </w:rPr>
        <w:t xml:space="preserve"> </w:t>
      </w:r>
      <w:r w:rsidR="001A3C25">
        <w:rPr>
          <w:rFonts w:cs="Arial"/>
          <w:color w:val="000000"/>
          <w:lang w:eastAsia="en-GB"/>
        </w:rPr>
        <w:t xml:space="preserve">No. </w:t>
      </w:r>
      <w:r w:rsidR="00CE70AE">
        <w:rPr>
          <w:rFonts w:cs="Arial"/>
          <w:color w:val="000000"/>
          <w:lang w:eastAsia="en-GB"/>
        </w:rPr>
        <w:t>1/18</w:t>
      </w:r>
      <w:r w:rsidR="0046460C">
        <w:rPr>
          <w:rFonts w:cs="Arial"/>
          <w:color w:val="000000"/>
          <w:lang w:eastAsia="en-GB"/>
        </w:rPr>
        <w:t xml:space="preserve"> establishes </w:t>
      </w:r>
      <w:r w:rsidR="0046460C" w:rsidRPr="00F47F83">
        <w:rPr>
          <w:rFonts w:cs="Arial"/>
          <w:color w:val="000000"/>
          <w:lang w:eastAsia="en-GB"/>
        </w:rPr>
        <w:t>probity, integrity, technical competence and ability to bridge all kinds of divisions</w:t>
      </w:r>
      <w:r w:rsidR="0046460C">
        <w:rPr>
          <w:rFonts w:cs="Arial"/>
          <w:color w:val="000000"/>
          <w:lang w:eastAsia="en-GB"/>
        </w:rPr>
        <w:t xml:space="preserve"> a</w:t>
      </w:r>
      <w:r w:rsidR="0046460C" w:rsidRPr="00F47F83">
        <w:rPr>
          <w:rFonts w:cs="Arial"/>
          <w:color w:val="000000"/>
          <w:lang w:eastAsia="en-GB"/>
        </w:rPr>
        <w:t>s selection criteria</w:t>
      </w:r>
      <w:r w:rsidR="00770D23">
        <w:rPr>
          <w:rFonts w:cs="Arial"/>
          <w:color w:val="000000"/>
          <w:lang w:eastAsia="en-GB"/>
        </w:rPr>
        <w:t>.</w:t>
      </w:r>
      <w:r w:rsidR="0046460C">
        <w:rPr>
          <w:rFonts w:cs="Arial"/>
          <w:color w:val="000000"/>
          <w:lang w:eastAsia="en-GB"/>
        </w:rPr>
        <w:t xml:space="preserve"> The Commissioners must be impartial, have high moral standards, support reconciliation and not </w:t>
      </w:r>
      <w:r w:rsidR="00CE70AE">
        <w:rPr>
          <w:rFonts w:cs="Arial"/>
          <w:color w:val="000000"/>
          <w:lang w:eastAsia="en-GB"/>
        </w:rPr>
        <w:t>have committed</w:t>
      </w:r>
      <w:r w:rsidR="0046460C">
        <w:rPr>
          <w:rFonts w:cs="Arial"/>
          <w:color w:val="000000"/>
          <w:lang w:eastAsia="en-GB"/>
        </w:rPr>
        <w:t xml:space="preserve"> </w:t>
      </w:r>
      <w:r w:rsidR="00770D23">
        <w:rPr>
          <w:rFonts w:cs="Arial"/>
          <w:color w:val="000000"/>
          <w:lang w:eastAsia="en-GB"/>
        </w:rPr>
        <w:t xml:space="preserve">gross </w:t>
      </w:r>
      <w:r w:rsidR="00A66177">
        <w:rPr>
          <w:rFonts w:cs="Arial"/>
          <w:color w:val="000000"/>
          <w:lang w:eastAsia="en-GB"/>
        </w:rPr>
        <w:t xml:space="preserve">human rights </w:t>
      </w:r>
      <w:r w:rsidR="00770D23">
        <w:rPr>
          <w:rFonts w:cs="Arial"/>
          <w:color w:val="000000"/>
          <w:lang w:eastAsia="en-GB"/>
        </w:rPr>
        <w:t>violations</w:t>
      </w:r>
      <w:r w:rsidR="0046460C">
        <w:rPr>
          <w:rFonts w:cs="Arial"/>
          <w:color w:val="000000"/>
          <w:lang w:eastAsia="en-GB"/>
        </w:rPr>
        <w:t xml:space="preserve">. </w:t>
      </w:r>
    </w:p>
    <w:p w:rsidR="0046460C" w:rsidRDefault="00C71ACD" w:rsidP="00C71ACD">
      <w:pPr>
        <w:pStyle w:val="SingleTxtG"/>
        <w:rPr>
          <w:rFonts w:cs="Arial"/>
          <w:color w:val="000000"/>
          <w:lang w:eastAsia="en-GB"/>
        </w:rPr>
      </w:pPr>
      <w:r>
        <w:rPr>
          <w:rFonts w:cs="Arial"/>
          <w:bCs/>
          <w:color w:val="000000"/>
          <w:lang w:eastAsia="en-GB"/>
        </w:rPr>
        <w:t>27.</w:t>
      </w:r>
      <w:r>
        <w:rPr>
          <w:rFonts w:cs="Arial"/>
          <w:bCs/>
          <w:color w:val="000000"/>
          <w:lang w:eastAsia="en-GB"/>
        </w:rPr>
        <w:tab/>
      </w:r>
      <w:r w:rsidR="0046460C">
        <w:rPr>
          <w:rFonts w:cs="Arial"/>
          <w:color w:val="000000"/>
          <w:lang w:eastAsia="en-GB"/>
        </w:rPr>
        <w:t>F</w:t>
      </w:r>
      <w:r w:rsidR="00A66177">
        <w:rPr>
          <w:rFonts w:cs="Arial"/>
          <w:color w:val="000000"/>
          <w:lang w:eastAsia="en-GB"/>
        </w:rPr>
        <w:t>rom a short list of</w:t>
      </w:r>
      <w:r w:rsidR="0046460C" w:rsidRPr="00C23578">
        <w:rPr>
          <w:rFonts w:cs="Arial"/>
          <w:color w:val="000000"/>
          <w:lang w:eastAsia="en-GB"/>
        </w:rPr>
        <w:t xml:space="preserve"> 33 candidates</w:t>
      </w:r>
      <w:r w:rsidR="00A66177">
        <w:rPr>
          <w:rFonts w:cs="Arial"/>
          <w:color w:val="000000"/>
          <w:lang w:eastAsia="en-GB"/>
        </w:rPr>
        <w:t xml:space="preserve"> (out </w:t>
      </w:r>
      <w:r w:rsidR="0046460C">
        <w:rPr>
          <w:rFonts w:cs="Arial"/>
          <w:color w:val="000000"/>
          <w:lang w:eastAsia="en-GB"/>
        </w:rPr>
        <w:t>of over 700</w:t>
      </w:r>
      <w:r w:rsidR="00A66177">
        <w:rPr>
          <w:rFonts w:cs="Arial"/>
          <w:color w:val="000000"/>
          <w:lang w:eastAsia="en-GB"/>
        </w:rPr>
        <w:t xml:space="preserve"> applications)</w:t>
      </w:r>
      <w:r w:rsidR="0046460C">
        <w:rPr>
          <w:rFonts w:cs="Arial"/>
          <w:color w:val="000000"/>
          <w:lang w:eastAsia="en-GB"/>
        </w:rPr>
        <w:t>,</w:t>
      </w:r>
      <w:r w:rsidR="0046460C" w:rsidRPr="00C23578">
        <w:rPr>
          <w:rFonts w:cs="Arial"/>
          <w:color w:val="000000"/>
          <w:lang w:eastAsia="en-GB"/>
        </w:rPr>
        <w:t xml:space="preserve"> </w:t>
      </w:r>
      <w:r w:rsidR="0046460C">
        <w:rPr>
          <w:rFonts w:cs="Arial"/>
          <w:color w:val="000000"/>
          <w:lang w:eastAsia="en-GB"/>
        </w:rPr>
        <w:t>11</w:t>
      </w:r>
      <w:r w:rsidR="0046460C" w:rsidRPr="00C23578">
        <w:rPr>
          <w:rFonts w:cs="Arial"/>
          <w:color w:val="000000"/>
          <w:lang w:eastAsia="en-GB"/>
        </w:rPr>
        <w:t xml:space="preserve"> Commission</w:t>
      </w:r>
      <w:r w:rsidR="00A66177">
        <w:rPr>
          <w:rFonts w:cs="Arial"/>
          <w:color w:val="000000"/>
          <w:lang w:eastAsia="en-GB"/>
        </w:rPr>
        <w:t>ers,</w:t>
      </w:r>
      <w:r w:rsidR="0046460C" w:rsidRPr="006A14A7">
        <w:rPr>
          <w:rFonts w:cs="Arial"/>
          <w:color w:val="000000"/>
          <w:lang w:eastAsia="en-GB"/>
        </w:rPr>
        <w:t xml:space="preserve"> represent</w:t>
      </w:r>
      <w:r w:rsidR="00A66177">
        <w:rPr>
          <w:rFonts w:cs="Arial"/>
          <w:color w:val="000000"/>
          <w:lang w:eastAsia="en-GB"/>
        </w:rPr>
        <w:t>ing either</w:t>
      </w:r>
      <w:r w:rsidR="0046460C">
        <w:rPr>
          <w:rFonts w:cs="Arial"/>
          <w:color w:val="000000"/>
          <w:lang w:eastAsia="en-GB"/>
        </w:rPr>
        <w:t xml:space="preserve"> </w:t>
      </w:r>
      <w:r w:rsidR="0046460C" w:rsidRPr="006A14A7">
        <w:rPr>
          <w:rFonts w:cs="Arial"/>
          <w:color w:val="000000"/>
          <w:lang w:eastAsia="en-GB"/>
        </w:rPr>
        <w:t xml:space="preserve">political parties </w:t>
      </w:r>
      <w:r w:rsidR="0046460C">
        <w:rPr>
          <w:rFonts w:cs="Arial"/>
          <w:color w:val="000000"/>
          <w:lang w:eastAsia="en-GB"/>
        </w:rPr>
        <w:t>or members of</w:t>
      </w:r>
      <w:r w:rsidR="0046460C" w:rsidRPr="006A14A7">
        <w:rPr>
          <w:rFonts w:cs="Arial"/>
          <w:color w:val="000000"/>
          <w:lang w:eastAsia="en-GB"/>
        </w:rPr>
        <w:t xml:space="preserve"> religious groups</w:t>
      </w:r>
      <w:r w:rsidR="00A66177">
        <w:rPr>
          <w:rFonts w:cs="Arial"/>
          <w:color w:val="000000"/>
          <w:lang w:eastAsia="en-GB"/>
        </w:rPr>
        <w:t>, were appointed</w:t>
      </w:r>
      <w:r w:rsidR="00A66177" w:rsidRPr="00C23578">
        <w:rPr>
          <w:rFonts w:cs="Arial"/>
          <w:color w:val="000000"/>
          <w:lang w:eastAsia="en-GB"/>
        </w:rPr>
        <w:t xml:space="preserve"> </w:t>
      </w:r>
      <w:r w:rsidR="00A66177">
        <w:rPr>
          <w:rFonts w:cs="Arial"/>
          <w:color w:val="000000"/>
          <w:lang w:eastAsia="en-GB"/>
        </w:rPr>
        <w:t>in December 2014</w:t>
      </w:r>
      <w:r w:rsidR="0046460C">
        <w:rPr>
          <w:rFonts w:cs="Arial"/>
          <w:color w:val="000000"/>
          <w:lang w:eastAsia="en-GB"/>
        </w:rPr>
        <w:t>.</w:t>
      </w:r>
      <w:r w:rsidR="0046460C" w:rsidRPr="00C077B3">
        <w:rPr>
          <w:rStyle w:val="FootnoteReference"/>
        </w:rPr>
        <w:footnoteReference w:id="12"/>
      </w:r>
    </w:p>
    <w:p w:rsidR="0046460C" w:rsidRDefault="00C71ACD" w:rsidP="00C71ACD">
      <w:pPr>
        <w:pStyle w:val="SingleTxtG"/>
        <w:rPr>
          <w:rFonts w:cs="Arial"/>
          <w:color w:val="000000"/>
          <w:lang w:eastAsia="en-GB"/>
        </w:rPr>
      </w:pPr>
      <w:r>
        <w:rPr>
          <w:rFonts w:cs="Arial"/>
          <w:bCs/>
          <w:color w:val="000000"/>
          <w:lang w:eastAsia="en-GB"/>
        </w:rPr>
        <w:t>28.</w:t>
      </w:r>
      <w:r>
        <w:rPr>
          <w:rFonts w:cs="Arial"/>
          <w:bCs/>
          <w:color w:val="000000"/>
          <w:lang w:eastAsia="en-GB"/>
        </w:rPr>
        <w:tab/>
      </w:r>
      <w:r w:rsidR="0046460C" w:rsidRPr="00EF07FB">
        <w:rPr>
          <w:rFonts w:cs="Arial"/>
          <w:color w:val="000000"/>
          <w:lang w:eastAsia="en-GB"/>
        </w:rPr>
        <w:t>Many and various interlocutors</w:t>
      </w:r>
      <w:r w:rsidR="0046460C">
        <w:rPr>
          <w:rFonts w:cs="Arial"/>
          <w:color w:val="000000"/>
          <w:lang w:eastAsia="en-GB"/>
        </w:rPr>
        <w:t xml:space="preserve"> </w:t>
      </w:r>
      <w:r w:rsidR="004C2C5C">
        <w:rPr>
          <w:rFonts w:cs="Arial"/>
          <w:color w:val="000000"/>
          <w:lang w:eastAsia="en-GB"/>
        </w:rPr>
        <w:t xml:space="preserve">expressed </w:t>
      </w:r>
      <w:r w:rsidR="0046460C">
        <w:rPr>
          <w:rFonts w:cs="Arial"/>
          <w:color w:val="000000"/>
          <w:lang w:eastAsia="en-GB"/>
        </w:rPr>
        <w:t>reservations about the dearth of representation from non-governmental organi</w:t>
      </w:r>
      <w:r w:rsidR="004C2C5C">
        <w:rPr>
          <w:rFonts w:cs="Arial"/>
          <w:color w:val="000000"/>
          <w:lang w:eastAsia="en-GB"/>
        </w:rPr>
        <w:t>z</w:t>
      </w:r>
      <w:r w:rsidR="0046460C">
        <w:rPr>
          <w:rFonts w:cs="Arial"/>
          <w:color w:val="000000"/>
          <w:lang w:eastAsia="en-GB"/>
        </w:rPr>
        <w:t>ations</w:t>
      </w:r>
      <w:r w:rsidR="0046460C" w:rsidRPr="006A14A7">
        <w:rPr>
          <w:rFonts w:cs="Arial"/>
          <w:color w:val="000000"/>
          <w:lang w:eastAsia="en-GB"/>
        </w:rPr>
        <w:t xml:space="preserve"> among the Commissioners</w:t>
      </w:r>
      <w:r w:rsidR="0046460C">
        <w:rPr>
          <w:rFonts w:cs="Arial"/>
          <w:color w:val="000000"/>
          <w:lang w:eastAsia="en-GB"/>
        </w:rPr>
        <w:t xml:space="preserve">. </w:t>
      </w:r>
      <w:r w:rsidR="004C2C5C">
        <w:rPr>
          <w:rFonts w:cs="Arial"/>
          <w:color w:val="000000"/>
          <w:lang w:eastAsia="en-GB"/>
        </w:rPr>
        <w:t>During</w:t>
      </w:r>
      <w:r w:rsidR="004C2C5C" w:rsidRPr="00B5245F">
        <w:rPr>
          <w:rFonts w:cs="Arial"/>
          <w:color w:val="000000"/>
          <w:lang w:eastAsia="en-GB"/>
        </w:rPr>
        <w:t xml:space="preserve"> the </w:t>
      </w:r>
      <w:r w:rsidR="004C2C5C">
        <w:rPr>
          <w:rFonts w:cs="Arial"/>
          <w:color w:val="000000"/>
          <w:lang w:eastAsia="en-GB"/>
        </w:rPr>
        <w:t xml:space="preserve">transitional justice </w:t>
      </w:r>
      <w:r w:rsidR="004C2C5C" w:rsidRPr="00B5245F">
        <w:rPr>
          <w:rFonts w:cs="Arial"/>
          <w:color w:val="000000"/>
          <w:lang w:eastAsia="en-GB"/>
        </w:rPr>
        <w:t>consultations</w:t>
      </w:r>
      <w:r w:rsidR="004C2C5C">
        <w:rPr>
          <w:rFonts w:cs="Arial"/>
          <w:color w:val="000000"/>
          <w:lang w:eastAsia="en-GB"/>
        </w:rPr>
        <w:t xml:space="preserve"> in 2009</w:t>
      </w:r>
      <w:r w:rsidR="0046460C" w:rsidRPr="00B5245F">
        <w:rPr>
          <w:rFonts w:cs="Arial"/>
          <w:color w:val="000000"/>
          <w:lang w:eastAsia="en-GB"/>
        </w:rPr>
        <w:t xml:space="preserve">, </w:t>
      </w:r>
      <w:r w:rsidR="0046460C">
        <w:rPr>
          <w:rFonts w:cs="Arial"/>
          <w:color w:val="000000"/>
          <w:lang w:eastAsia="en-GB"/>
        </w:rPr>
        <w:t>many Burundians s</w:t>
      </w:r>
      <w:r w:rsidR="004C2C5C">
        <w:rPr>
          <w:rFonts w:cs="Arial"/>
          <w:color w:val="000000"/>
          <w:lang w:eastAsia="en-GB"/>
        </w:rPr>
        <w:t>tated that they were</w:t>
      </w:r>
      <w:r w:rsidR="0046460C">
        <w:rPr>
          <w:rFonts w:cs="Arial"/>
          <w:color w:val="000000"/>
          <w:lang w:eastAsia="en-GB"/>
        </w:rPr>
        <w:t xml:space="preserve"> in favour of civil society representation</w:t>
      </w:r>
      <w:r w:rsidR="004C2C5C">
        <w:rPr>
          <w:rFonts w:cs="Arial"/>
          <w:color w:val="000000"/>
          <w:lang w:eastAsia="en-GB"/>
        </w:rPr>
        <w:t xml:space="preserve"> in the future truth commission</w:t>
      </w:r>
      <w:r w:rsidR="0046460C">
        <w:rPr>
          <w:rFonts w:cs="Arial"/>
          <w:color w:val="000000"/>
          <w:lang w:eastAsia="en-GB"/>
        </w:rPr>
        <w:t xml:space="preserve">. The ultimate outcome has generated doubts about the transparency and integrity </w:t>
      </w:r>
      <w:r w:rsidR="0046460C" w:rsidRPr="00B5245F">
        <w:rPr>
          <w:rFonts w:cs="Arial"/>
          <w:color w:val="000000"/>
          <w:lang w:eastAsia="en-GB"/>
        </w:rPr>
        <w:t xml:space="preserve">of the </w:t>
      </w:r>
      <w:r w:rsidR="0046460C">
        <w:rPr>
          <w:rFonts w:cs="Arial"/>
          <w:color w:val="000000"/>
          <w:lang w:eastAsia="en-GB"/>
        </w:rPr>
        <w:t xml:space="preserve">selection </w:t>
      </w:r>
      <w:r w:rsidR="0046460C" w:rsidRPr="00B5245F">
        <w:rPr>
          <w:rFonts w:cs="Arial"/>
          <w:color w:val="000000"/>
          <w:lang w:eastAsia="en-GB"/>
        </w:rPr>
        <w:t>process</w:t>
      </w:r>
      <w:r w:rsidR="004C2C5C">
        <w:rPr>
          <w:rFonts w:cs="Arial"/>
          <w:color w:val="000000"/>
          <w:lang w:eastAsia="en-GB"/>
        </w:rPr>
        <w:t>,</w:t>
      </w:r>
      <w:r w:rsidR="0046460C" w:rsidRPr="00B5245F">
        <w:rPr>
          <w:rFonts w:cs="Arial"/>
          <w:color w:val="000000"/>
          <w:lang w:eastAsia="en-GB"/>
        </w:rPr>
        <w:t xml:space="preserve"> with </w:t>
      </w:r>
      <w:r w:rsidR="0046460C">
        <w:rPr>
          <w:rFonts w:cs="Arial"/>
          <w:color w:val="000000"/>
          <w:lang w:eastAsia="en-GB"/>
        </w:rPr>
        <w:t>allegations</w:t>
      </w:r>
      <w:r w:rsidR="0046460C" w:rsidRPr="00B5245F">
        <w:rPr>
          <w:rFonts w:cs="Arial"/>
          <w:color w:val="000000"/>
          <w:lang w:eastAsia="en-GB"/>
        </w:rPr>
        <w:t xml:space="preserve"> </w:t>
      </w:r>
      <w:r w:rsidR="004C2C5C">
        <w:rPr>
          <w:rFonts w:cs="Arial"/>
          <w:color w:val="000000"/>
          <w:lang w:eastAsia="en-GB"/>
        </w:rPr>
        <w:t xml:space="preserve">that there was </w:t>
      </w:r>
      <w:r w:rsidR="0046460C" w:rsidRPr="00B5245F">
        <w:rPr>
          <w:rFonts w:cs="Arial"/>
          <w:color w:val="000000"/>
          <w:lang w:eastAsia="en-GB"/>
        </w:rPr>
        <w:t>a pre-agreed select</w:t>
      </w:r>
      <w:r w:rsidR="004C2C5C">
        <w:rPr>
          <w:rFonts w:cs="Arial"/>
          <w:color w:val="000000"/>
          <w:lang w:eastAsia="en-GB"/>
        </w:rPr>
        <w:t>ion</w:t>
      </w:r>
      <w:r w:rsidR="0046460C">
        <w:rPr>
          <w:rFonts w:cs="Arial"/>
          <w:color w:val="000000"/>
          <w:lang w:eastAsia="en-GB"/>
        </w:rPr>
        <w:t>.</w:t>
      </w:r>
      <w:r w:rsidR="0046460C" w:rsidRPr="00B5245F">
        <w:rPr>
          <w:rFonts w:cs="Arial"/>
          <w:color w:val="000000"/>
          <w:lang w:eastAsia="en-GB"/>
        </w:rPr>
        <w:t xml:space="preserve"> </w:t>
      </w:r>
    </w:p>
    <w:p w:rsidR="0046460C" w:rsidRDefault="00C71ACD" w:rsidP="00C71ACD">
      <w:pPr>
        <w:pStyle w:val="SingleTxtG"/>
        <w:rPr>
          <w:rFonts w:cs="Arial"/>
          <w:color w:val="000000"/>
          <w:lang w:eastAsia="en-GB"/>
        </w:rPr>
      </w:pPr>
      <w:r>
        <w:rPr>
          <w:rFonts w:cs="Arial"/>
          <w:bCs/>
          <w:color w:val="000000"/>
          <w:lang w:eastAsia="en-GB"/>
        </w:rPr>
        <w:t>29.</w:t>
      </w:r>
      <w:r>
        <w:rPr>
          <w:rFonts w:cs="Arial"/>
          <w:bCs/>
          <w:color w:val="000000"/>
          <w:lang w:eastAsia="en-GB"/>
        </w:rPr>
        <w:tab/>
      </w:r>
      <w:r w:rsidR="0046460C" w:rsidRPr="006A14A7">
        <w:rPr>
          <w:rFonts w:cs="Arial"/>
          <w:color w:val="000000"/>
          <w:lang w:eastAsia="en-GB"/>
        </w:rPr>
        <w:t xml:space="preserve">The Special Rapporteur </w:t>
      </w:r>
      <w:r w:rsidR="0046460C">
        <w:rPr>
          <w:rFonts w:cs="Arial"/>
          <w:color w:val="000000"/>
          <w:lang w:eastAsia="en-GB"/>
        </w:rPr>
        <w:t xml:space="preserve">expresses regret at the decision </w:t>
      </w:r>
      <w:r w:rsidR="004C2C5C">
        <w:rPr>
          <w:rFonts w:cs="Arial"/>
          <w:color w:val="000000"/>
          <w:lang w:eastAsia="en-GB"/>
        </w:rPr>
        <w:t>not to include</w:t>
      </w:r>
      <w:r w:rsidR="0046460C">
        <w:rPr>
          <w:rFonts w:cs="Arial"/>
          <w:color w:val="000000"/>
          <w:lang w:eastAsia="en-GB"/>
        </w:rPr>
        <w:t xml:space="preserve"> a</w:t>
      </w:r>
      <w:r w:rsidR="004C2C5C">
        <w:rPr>
          <w:rFonts w:cs="Arial"/>
          <w:color w:val="000000"/>
          <w:lang w:eastAsia="en-GB"/>
        </w:rPr>
        <w:t xml:space="preserve"> significant</w:t>
      </w:r>
      <w:r w:rsidR="0046460C">
        <w:rPr>
          <w:rFonts w:cs="Arial"/>
          <w:color w:val="000000"/>
          <w:lang w:eastAsia="en-GB"/>
        </w:rPr>
        <w:t xml:space="preserve"> part of civil society </w:t>
      </w:r>
      <w:r w:rsidR="0048203E">
        <w:rPr>
          <w:rFonts w:cs="Arial"/>
          <w:color w:val="000000"/>
          <w:lang w:eastAsia="en-GB"/>
        </w:rPr>
        <w:t xml:space="preserve">— </w:t>
      </w:r>
      <w:r w:rsidR="0046460C">
        <w:rPr>
          <w:rFonts w:cs="Arial"/>
          <w:color w:val="000000"/>
          <w:lang w:eastAsia="en-GB"/>
        </w:rPr>
        <w:t>persons with c</w:t>
      </w:r>
      <w:r w:rsidR="00C7123B">
        <w:rPr>
          <w:rFonts w:cs="Arial"/>
          <w:color w:val="000000"/>
          <w:lang w:eastAsia="en-GB"/>
        </w:rPr>
        <w:t>ompetence</w:t>
      </w:r>
      <w:r w:rsidR="0046460C">
        <w:rPr>
          <w:rFonts w:cs="Arial"/>
          <w:color w:val="000000"/>
          <w:lang w:eastAsia="en-GB"/>
        </w:rPr>
        <w:t xml:space="preserve"> and expertise </w:t>
      </w:r>
      <w:r w:rsidR="004C2C5C">
        <w:rPr>
          <w:rFonts w:cs="Arial"/>
          <w:color w:val="000000"/>
          <w:lang w:eastAsia="en-GB"/>
        </w:rPr>
        <w:t>i</w:t>
      </w:r>
      <w:r w:rsidR="0046460C">
        <w:rPr>
          <w:rFonts w:cs="Arial"/>
          <w:color w:val="000000"/>
          <w:lang w:eastAsia="en-GB"/>
        </w:rPr>
        <w:t>n human rights and transitional justice</w:t>
      </w:r>
      <w:r w:rsidR="0048203E">
        <w:rPr>
          <w:rFonts w:cs="Arial"/>
          <w:color w:val="000000"/>
          <w:lang w:eastAsia="en-GB"/>
        </w:rPr>
        <w:t xml:space="preserve"> </w:t>
      </w:r>
      <w:r w:rsidR="0046460C">
        <w:rPr>
          <w:rFonts w:cs="Arial"/>
          <w:color w:val="000000"/>
          <w:lang w:eastAsia="en-GB"/>
        </w:rPr>
        <w:t>—</w:t>
      </w:r>
      <w:r w:rsidR="0048203E">
        <w:rPr>
          <w:rFonts w:cs="Arial"/>
          <w:color w:val="000000"/>
          <w:lang w:eastAsia="en-GB"/>
        </w:rPr>
        <w:t xml:space="preserve"> </w:t>
      </w:r>
      <w:r w:rsidR="0046460C">
        <w:rPr>
          <w:rFonts w:cs="Arial"/>
          <w:color w:val="000000"/>
          <w:lang w:eastAsia="en-GB"/>
        </w:rPr>
        <w:t>in the Commission’s membership</w:t>
      </w:r>
      <w:r w:rsidR="000141BD">
        <w:rPr>
          <w:rFonts w:cs="Arial"/>
          <w:color w:val="000000"/>
          <w:lang w:eastAsia="en-GB"/>
        </w:rPr>
        <w:t>, as, m</w:t>
      </w:r>
      <w:r w:rsidR="0046460C" w:rsidRPr="006A14A7">
        <w:rPr>
          <w:rFonts w:cs="Arial"/>
          <w:color w:val="000000"/>
          <w:lang w:eastAsia="en-GB"/>
        </w:rPr>
        <w:t>ore importantly, it deprives the Commission</w:t>
      </w:r>
      <w:r w:rsidR="00C13295">
        <w:rPr>
          <w:rFonts w:cs="Arial"/>
          <w:color w:val="000000"/>
          <w:lang w:eastAsia="en-GB"/>
        </w:rPr>
        <w:t>,</w:t>
      </w:r>
      <w:r w:rsidR="0046460C" w:rsidRPr="006A14A7">
        <w:rPr>
          <w:rFonts w:cs="Arial"/>
          <w:color w:val="000000"/>
          <w:lang w:eastAsia="en-GB"/>
        </w:rPr>
        <w:t xml:space="preserve"> </w:t>
      </w:r>
      <w:r w:rsidR="0046460C" w:rsidRPr="00E86863">
        <w:rPr>
          <w:rFonts w:cs="Arial"/>
          <w:iCs/>
          <w:color w:val="000000"/>
          <w:lang w:eastAsia="en-GB"/>
        </w:rPr>
        <w:t>ab initio</w:t>
      </w:r>
      <w:r w:rsidR="00C13295">
        <w:rPr>
          <w:rFonts w:cs="Arial"/>
          <w:i/>
          <w:color w:val="000000"/>
          <w:lang w:eastAsia="en-GB"/>
        </w:rPr>
        <w:t>,</w:t>
      </w:r>
      <w:r w:rsidR="0046460C" w:rsidRPr="006A14A7">
        <w:rPr>
          <w:rFonts w:cs="Arial"/>
          <w:color w:val="000000"/>
          <w:lang w:eastAsia="en-GB"/>
        </w:rPr>
        <w:t xml:space="preserve"> of a measure of confidence and credibility</w:t>
      </w:r>
      <w:r w:rsidR="000141BD">
        <w:rPr>
          <w:rFonts w:cs="Arial"/>
          <w:color w:val="000000"/>
          <w:lang w:eastAsia="en-GB"/>
        </w:rPr>
        <w:t xml:space="preserve"> that is</w:t>
      </w:r>
      <w:r w:rsidR="0046460C">
        <w:rPr>
          <w:rFonts w:cs="Arial"/>
          <w:color w:val="000000"/>
          <w:lang w:eastAsia="en-GB"/>
        </w:rPr>
        <w:t xml:space="preserve"> so needed in the process of truth-telling, which will </w:t>
      </w:r>
      <w:r w:rsidR="000141BD">
        <w:rPr>
          <w:rFonts w:cs="Arial"/>
          <w:color w:val="000000"/>
          <w:lang w:eastAsia="en-GB"/>
        </w:rPr>
        <w:t xml:space="preserve">now </w:t>
      </w:r>
      <w:r w:rsidR="0046460C">
        <w:rPr>
          <w:rFonts w:cs="Arial"/>
          <w:color w:val="000000"/>
          <w:lang w:eastAsia="en-GB"/>
        </w:rPr>
        <w:t xml:space="preserve">have to be built. </w:t>
      </w:r>
    </w:p>
    <w:p w:rsidR="0046460C" w:rsidRDefault="00C71ACD" w:rsidP="00C71ACD">
      <w:pPr>
        <w:pStyle w:val="SingleTxtG"/>
        <w:rPr>
          <w:rFonts w:cs="Arial"/>
          <w:color w:val="000000"/>
          <w:lang w:eastAsia="en-GB"/>
        </w:rPr>
      </w:pPr>
      <w:r>
        <w:rPr>
          <w:rFonts w:cs="Arial"/>
          <w:bCs/>
          <w:color w:val="000000"/>
          <w:lang w:eastAsia="en-GB"/>
        </w:rPr>
        <w:t>30.</w:t>
      </w:r>
      <w:r>
        <w:rPr>
          <w:rFonts w:cs="Arial"/>
          <w:bCs/>
          <w:color w:val="000000"/>
          <w:lang w:eastAsia="en-GB"/>
        </w:rPr>
        <w:tab/>
      </w:r>
      <w:r w:rsidR="0046460C">
        <w:rPr>
          <w:rFonts w:cs="Arial"/>
          <w:color w:val="000000"/>
          <w:lang w:eastAsia="en-GB"/>
        </w:rPr>
        <w:t>T</w:t>
      </w:r>
      <w:r w:rsidR="0046460C" w:rsidRPr="00BB6DD7">
        <w:rPr>
          <w:rFonts w:cs="Arial"/>
          <w:color w:val="000000"/>
          <w:lang w:eastAsia="en-GB"/>
        </w:rPr>
        <w:t>ruth commissions</w:t>
      </w:r>
      <w:r w:rsidR="0046460C">
        <w:rPr>
          <w:rFonts w:cs="Arial"/>
          <w:color w:val="000000"/>
          <w:lang w:eastAsia="en-GB"/>
        </w:rPr>
        <w:t xml:space="preserve"> in all contexts</w:t>
      </w:r>
      <w:r w:rsidR="0046460C" w:rsidRPr="00BB6DD7">
        <w:rPr>
          <w:rFonts w:cs="Arial"/>
          <w:color w:val="000000"/>
          <w:lang w:eastAsia="en-GB"/>
        </w:rPr>
        <w:t xml:space="preserve"> have </w:t>
      </w:r>
      <w:r w:rsidR="0046460C">
        <w:rPr>
          <w:rFonts w:cs="Arial"/>
          <w:color w:val="000000"/>
          <w:lang w:eastAsia="en-GB"/>
        </w:rPr>
        <w:t>relied</w:t>
      </w:r>
      <w:r w:rsidR="0046460C" w:rsidRPr="00BB6DD7">
        <w:rPr>
          <w:rFonts w:cs="Arial"/>
          <w:color w:val="000000"/>
          <w:lang w:eastAsia="en-GB"/>
        </w:rPr>
        <w:t xml:space="preserve"> on efforts</w:t>
      </w:r>
      <w:r w:rsidR="000141BD">
        <w:rPr>
          <w:rFonts w:cs="Arial"/>
          <w:color w:val="000000"/>
          <w:lang w:eastAsia="en-GB"/>
        </w:rPr>
        <w:t xml:space="preserve"> made beforehand</w:t>
      </w:r>
      <w:r w:rsidR="0046460C" w:rsidRPr="00BB6DD7">
        <w:rPr>
          <w:rFonts w:cs="Arial"/>
          <w:color w:val="000000"/>
          <w:lang w:eastAsia="en-GB"/>
        </w:rPr>
        <w:t xml:space="preserve"> by victims and </w:t>
      </w:r>
      <w:r w:rsidR="0046460C">
        <w:rPr>
          <w:rFonts w:cs="Arial"/>
          <w:color w:val="000000"/>
          <w:lang w:eastAsia="en-GB"/>
        </w:rPr>
        <w:t xml:space="preserve">other </w:t>
      </w:r>
      <w:r w:rsidR="0046460C" w:rsidRPr="00BB6DD7">
        <w:rPr>
          <w:rFonts w:cs="Arial"/>
          <w:color w:val="000000"/>
          <w:lang w:eastAsia="en-GB"/>
        </w:rPr>
        <w:t xml:space="preserve">organizations to collect and preserve evidence, </w:t>
      </w:r>
      <w:r w:rsidR="0046460C">
        <w:rPr>
          <w:rFonts w:cs="Arial"/>
          <w:color w:val="000000"/>
          <w:lang w:eastAsia="en-GB"/>
        </w:rPr>
        <w:t xml:space="preserve">and </w:t>
      </w:r>
      <w:r w:rsidR="000141BD">
        <w:rPr>
          <w:rFonts w:cs="Arial"/>
          <w:color w:val="000000"/>
          <w:lang w:eastAsia="en-GB"/>
        </w:rPr>
        <w:t xml:space="preserve">to </w:t>
      </w:r>
      <w:r w:rsidR="0046460C" w:rsidRPr="00BB6DD7">
        <w:rPr>
          <w:rFonts w:cs="Arial"/>
          <w:color w:val="000000"/>
          <w:lang w:eastAsia="en-GB"/>
        </w:rPr>
        <w:t xml:space="preserve">organize, encourage and support witnesses. The newly established Commission cannot afford to </w:t>
      </w:r>
      <w:r w:rsidR="0046460C">
        <w:rPr>
          <w:rFonts w:cs="Arial"/>
          <w:color w:val="000000"/>
          <w:lang w:eastAsia="en-GB"/>
        </w:rPr>
        <w:t>work</w:t>
      </w:r>
      <w:r w:rsidR="0046460C" w:rsidRPr="00BB6DD7">
        <w:rPr>
          <w:rFonts w:cs="Arial"/>
          <w:color w:val="000000"/>
          <w:lang w:eastAsia="en-GB"/>
        </w:rPr>
        <w:t xml:space="preserve"> without th</w:t>
      </w:r>
      <w:r w:rsidR="000141BD">
        <w:rPr>
          <w:rFonts w:cs="Arial"/>
          <w:color w:val="000000"/>
          <w:lang w:eastAsia="en-GB"/>
        </w:rPr>
        <w:t>o</w:t>
      </w:r>
      <w:r w:rsidR="0046460C" w:rsidRPr="00BB6DD7">
        <w:rPr>
          <w:rFonts w:cs="Arial"/>
          <w:color w:val="000000"/>
          <w:lang w:eastAsia="en-GB"/>
        </w:rPr>
        <w:t xml:space="preserve">se and </w:t>
      </w:r>
      <w:r w:rsidR="0046460C">
        <w:rPr>
          <w:rFonts w:cs="Arial"/>
          <w:color w:val="000000"/>
          <w:lang w:eastAsia="en-GB"/>
        </w:rPr>
        <w:t xml:space="preserve">other forms of assistance, </w:t>
      </w:r>
      <w:r w:rsidR="000141BD">
        <w:rPr>
          <w:rFonts w:cs="Arial"/>
          <w:color w:val="000000"/>
          <w:lang w:eastAsia="en-GB"/>
        </w:rPr>
        <w:t xml:space="preserve">which are </w:t>
      </w:r>
      <w:r w:rsidR="0046460C">
        <w:rPr>
          <w:rFonts w:cs="Arial"/>
          <w:color w:val="000000"/>
          <w:lang w:eastAsia="en-GB"/>
        </w:rPr>
        <w:t xml:space="preserve">all </w:t>
      </w:r>
      <w:r w:rsidR="0046460C" w:rsidRPr="00BB6DD7">
        <w:rPr>
          <w:rFonts w:cs="Arial"/>
          <w:color w:val="000000"/>
          <w:lang w:eastAsia="en-GB"/>
        </w:rPr>
        <w:t>depend</w:t>
      </w:r>
      <w:r w:rsidR="0046460C">
        <w:rPr>
          <w:rFonts w:cs="Arial"/>
          <w:color w:val="000000"/>
          <w:lang w:eastAsia="en-GB"/>
        </w:rPr>
        <w:t xml:space="preserve">ent on </w:t>
      </w:r>
      <w:r w:rsidR="0046460C" w:rsidRPr="00BB6DD7">
        <w:rPr>
          <w:rFonts w:cs="Arial"/>
          <w:color w:val="000000"/>
          <w:lang w:eastAsia="en-GB"/>
        </w:rPr>
        <w:t xml:space="preserve">the confidence of victims and </w:t>
      </w:r>
      <w:r w:rsidR="000141BD">
        <w:rPr>
          <w:rFonts w:cs="Arial"/>
          <w:color w:val="000000"/>
          <w:lang w:eastAsia="en-GB"/>
        </w:rPr>
        <w:t xml:space="preserve">on </w:t>
      </w:r>
      <w:r w:rsidR="0046460C" w:rsidRPr="00BB6DD7">
        <w:rPr>
          <w:rFonts w:cs="Arial"/>
          <w:color w:val="000000"/>
          <w:lang w:eastAsia="en-GB"/>
        </w:rPr>
        <w:t xml:space="preserve">other civil society organizations. </w:t>
      </w:r>
    </w:p>
    <w:p w:rsidR="0046460C" w:rsidRPr="00B7613D" w:rsidRDefault="00C71ACD" w:rsidP="00C71ACD">
      <w:pPr>
        <w:pStyle w:val="SingleTxtG"/>
        <w:rPr>
          <w:rFonts w:cs="Arial"/>
          <w:color w:val="000000"/>
          <w:lang w:eastAsia="en-GB"/>
        </w:rPr>
      </w:pPr>
      <w:r w:rsidRPr="00B7613D">
        <w:rPr>
          <w:rFonts w:cs="Arial"/>
          <w:bCs/>
          <w:color w:val="000000"/>
          <w:lang w:eastAsia="en-GB"/>
        </w:rPr>
        <w:t>31.</w:t>
      </w:r>
      <w:r w:rsidRPr="00B7613D">
        <w:rPr>
          <w:rFonts w:cs="Arial"/>
          <w:bCs/>
          <w:color w:val="000000"/>
          <w:lang w:eastAsia="en-GB"/>
        </w:rPr>
        <w:tab/>
      </w:r>
      <w:r w:rsidR="0046460C">
        <w:rPr>
          <w:rFonts w:cs="Arial"/>
          <w:color w:val="000000"/>
          <w:lang w:eastAsia="en-GB"/>
        </w:rPr>
        <w:t xml:space="preserve">The Special Rapporteur </w:t>
      </w:r>
      <w:r w:rsidR="000141BD">
        <w:rPr>
          <w:rFonts w:cs="Arial"/>
          <w:color w:val="000000"/>
          <w:lang w:eastAsia="en-GB"/>
        </w:rPr>
        <w:t xml:space="preserve">points out </w:t>
      </w:r>
      <w:r w:rsidR="0046460C">
        <w:rPr>
          <w:rFonts w:cs="Arial"/>
          <w:color w:val="000000"/>
          <w:lang w:eastAsia="en-GB"/>
        </w:rPr>
        <w:t xml:space="preserve">that </w:t>
      </w:r>
      <w:r w:rsidR="000141BD">
        <w:rPr>
          <w:rFonts w:cs="Arial"/>
          <w:color w:val="000000"/>
          <w:lang w:eastAsia="en-GB"/>
        </w:rPr>
        <w:t xml:space="preserve">the </w:t>
      </w:r>
      <w:r w:rsidR="0046460C">
        <w:rPr>
          <w:rFonts w:cs="Arial"/>
          <w:color w:val="000000"/>
          <w:lang w:eastAsia="en-GB"/>
        </w:rPr>
        <w:t xml:space="preserve">experts of the international </w:t>
      </w:r>
      <w:r w:rsidR="000141BD">
        <w:rPr>
          <w:rFonts w:cs="Arial"/>
          <w:color w:val="000000"/>
          <w:lang w:eastAsia="en-GB"/>
        </w:rPr>
        <w:t>A</w:t>
      </w:r>
      <w:r w:rsidR="0046460C">
        <w:rPr>
          <w:rFonts w:cs="Arial"/>
          <w:color w:val="000000"/>
          <w:lang w:eastAsia="en-GB"/>
        </w:rPr>
        <w:t xml:space="preserve">dvisory </w:t>
      </w:r>
      <w:r w:rsidR="000141BD">
        <w:rPr>
          <w:rFonts w:cs="Arial"/>
          <w:color w:val="000000"/>
          <w:lang w:eastAsia="en-GB"/>
        </w:rPr>
        <w:t>C</w:t>
      </w:r>
      <w:r w:rsidR="0046460C">
        <w:rPr>
          <w:rFonts w:cs="Arial"/>
          <w:color w:val="000000"/>
          <w:lang w:eastAsia="en-GB"/>
        </w:rPr>
        <w:t>ouncil (</w:t>
      </w:r>
      <w:r w:rsidR="000141BD">
        <w:rPr>
          <w:rFonts w:cs="Arial"/>
          <w:color w:val="000000"/>
          <w:lang w:eastAsia="en-GB"/>
        </w:rPr>
        <w:t xml:space="preserve">who are </w:t>
      </w:r>
      <w:r w:rsidR="0046460C">
        <w:rPr>
          <w:rFonts w:cs="Arial"/>
          <w:color w:val="000000"/>
          <w:lang w:eastAsia="en-GB"/>
        </w:rPr>
        <w:t xml:space="preserve">not parties to local disputes) can make significant contributions. To be useful, </w:t>
      </w:r>
      <w:r w:rsidR="001A3C25">
        <w:rPr>
          <w:rFonts w:cs="Arial"/>
          <w:color w:val="000000"/>
          <w:lang w:eastAsia="en-GB"/>
        </w:rPr>
        <w:t xml:space="preserve">the experts </w:t>
      </w:r>
      <w:r w:rsidR="0046460C">
        <w:rPr>
          <w:rFonts w:cs="Arial"/>
          <w:color w:val="000000"/>
          <w:lang w:eastAsia="en-GB"/>
        </w:rPr>
        <w:t xml:space="preserve">must be </w:t>
      </w:r>
      <w:r w:rsidR="000141BD">
        <w:rPr>
          <w:rFonts w:cs="Arial"/>
          <w:color w:val="000000"/>
          <w:lang w:eastAsia="en-GB"/>
        </w:rPr>
        <w:t xml:space="preserve">called </w:t>
      </w:r>
      <w:r w:rsidR="008165F8">
        <w:rPr>
          <w:rFonts w:cs="Arial"/>
          <w:color w:val="000000"/>
          <w:lang w:eastAsia="en-GB"/>
        </w:rPr>
        <w:t>up</w:t>
      </w:r>
      <w:r w:rsidR="000141BD">
        <w:rPr>
          <w:rFonts w:cs="Arial"/>
          <w:color w:val="000000"/>
          <w:lang w:eastAsia="en-GB"/>
        </w:rPr>
        <w:t xml:space="preserve">on </w:t>
      </w:r>
      <w:r w:rsidR="008165F8">
        <w:rPr>
          <w:rFonts w:cs="Arial"/>
          <w:color w:val="000000"/>
          <w:lang w:eastAsia="en-GB"/>
        </w:rPr>
        <w:t xml:space="preserve">to provide </w:t>
      </w:r>
      <w:r w:rsidR="0046460C">
        <w:rPr>
          <w:rFonts w:cs="Arial"/>
          <w:color w:val="000000"/>
          <w:lang w:eastAsia="en-GB"/>
        </w:rPr>
        <w:t xml:space="preserve">substantive advice and </w:t>
      </w:r>
      <w:r w:rsidR="001A3C25">
        <w:rPr>
          <w:rFonts w:cs="Arial"/>
          <w:color w:val="000000"/>
          <w:lang w:eastAsia="en-GB"/>
        </w:rPr>
        <w:t>the Advisory Council</w:t>
      </w:r>
      <w:r w:rsidR="003251EA">
        <w:rPr>
          <w:rFonts w:cs="Arial"/>
          <w:color w:val="000000"/>
          <w:lang w:eastAsia="en-GB"/>
        </w:rPr>
        <w:t xml:space="preserve"> must </w:t>
      </w:r>
      <w:r w:rsidR="0046460C">
        <w:rPr>
          <w:rFonts w:cs="Arial"/>
          <w:color w:val="000000"/>
          <w:lang w:eastAsia="en-GB"/>
        </w:rPr>
        <w:t xml:space="preserve">not </w:t>
      </w:r>
      <w:r w:rsidR="003251EA">
        <w:rPr>
          <w:rFonts w:cs="Arial"/>
          <w:color w:val="000000"/>
          <w:lang w:eastAsia="en-GB"/>
        </w:rPr>
        <w:t xml:space="preserve">be </w:t>
      </w:r>
      <w:r w:rsidR="00CE36DB">
        <w:rPr>
          <w:rFonts w:cs="Arial"/>
          <w:color w:val="000000"/>
          <w:lang w:eastAsia="en-GB"/>
        </w:rPr>
        <w:t xml:space="preserve">viewed </w:t>
      </w:r>
      <w:r w:rsidR="003251EA">
        <w:rPr>
          <w:rFonts w:cs="Arial"/>
          <w:color w:val="000000"/>
          <w:lang w:eastAsia="en-GB"/>
        </w:rPr>
        <w:t xml:space="preserve">merely </w:t>
      </w:r>
      <w:r w:rsidR="00CE36DB">
        <w:rPr>
          <w:rFonts w:cs="Arial"/>
          <w:color w:val="000000"/>
          <w:lang w:eastAsia="en-GB"/>
        </w:rPr>
        <w:t xml:space="preserve">as </w:t>
      </w:r>
      <w:r w:rsidR="0046460C">
        <w:rPr>
          <w:rFonts w:cs="Arial"/>
          <w:color w:val="000000"/>
          <w:lang w:eastAsia="en-GB"/>
        </w:rPr>
        <w:t>a networking and fundraising resource. Further</w:t>
      </w:r>
      <w:r w:rsidR="00CE36DB">
        <w:rPr>
          <w:rFonts w:cs="Arial"/>
          <w:color w:val="000000"/>
          <w:lang w:eastAsia="en-GB"/>
        </w:rPr>
        <w:t>more</w:t>
      </w:r>
      <w:r w:rsidR="0046460C">
        <w:rPr>
          <w:rFonts w:cs="Arial"/>
          <w:color w:val="000000"/>
          <w:lang w:eastAsia="en-GB"/>
        </w:rPr>
        <w:t xml:space="preserve">, the </w:t>
      </w:r>
      <w:r w:rsidR="00CE36DB">
        <w:rPr>
          <w:rFonts w:cs="Arial"/>
          <w:color w:val="000000"/>
          <w:lang w:eastAsia="en-GB"/>
        </w:rPr>
        <w:t>A</w:t>
      </w:r>
      <w:r w:rsidR="0046460C">
        <w:rPr>
          <w:rFonts w:cs="Arial"/>
          <w:color w:val="000000"/>
          <w:lang w:eastAsia="en-GB"/>
        </w:rPr>
        <w:t xml:space="preserve">dvisory </w:t>
      </w:r>
      <w:r w:rsidR="00CE36DB">
        <w:rPr>
          <w:rFonts w:cs="Arial"/>
          <w:color w:val="000000"/>
          <w:lang w:eastAsia="en-GB"/>
        </w:rPr>
        <w:t>C</w:t>
      </w:r>
      <w:r w:rsidR="0046460C">
        <w:rPr>
          <w:rFonts w:cs="Arial"/>
          <w:color w:val="000000"/>
          <w:lang w:eastAsia="en-GB"/>
        </w:rPr>
        <w:t>ouncil, by design, cannot make up for any deficiencies regarding the independence and capacity of the Commissioners</w:t>
      </w:r>
      <w:r w:rsidR="0046460C" w:rsidRPr="00F97A98">
        <w:rPr>
          <w:rFonts w:cs="Arial"/>
          <w:color w:val="000000"/>
          <w:lang w:eastAsia="en-GB"/>
        </w:rPr>
        <w:t>.</w:t>
      </w:r>
    </w:p>
    <w:p w:rsidR="0046460C" w:rsidRPr="00B7613D" w:rsidRDefault="00D04463" w:rsidP="007F38C9">
      <w:pPr>
        <w:pStyle w:val="H23G"/>
      </w:pPr>
      <w:r>
        <w:rPr>
          <w:lang w:eastAsia="en-GB"/>
        </w:rPr>
        <w:tab/>
        <w:t>3.</w:t>
      </w:r>
      <w:r>
        <w:rPr>
          <w:lang w:eastAsia="en-GB"/>
        </w:rPr>
        <w:tab/>
      </w:r>
      <w:r w:rsidR="0046460C" w:rsidRPr="002D1884">
        <w:rPr>
          <w:lang w:eastAsia="en-GB"/>
        </w:rPr>
        <w:t xml:space="preserve">Protection framework </w:t>
      </w:r>
    </w:p>
    <w:p w:rsidR="0046460C" w:rsidRDefault="00C71ACD" w:rsidP="00C71ACD">
      <w:pPr>
        <w:pStyle w:val="SingleTxtG"/>
        <w:rPr>
          <w:rFonts w:cs="Arial"/>
          <w:color w:val="000000"/>
          <w:lang w:eastAsia="en-GB"/>
        </w:rPr>
      </w:pPr>
      <w:r>
        <w:rPr>
          <w:rFonts w:cs="Arial"/>
          <w:bCs/>
          <w:color w:val="000000"/>
          <w:lang w:eastAsia="en-GB"/>
        </w:rPr>
        <w:t>32.</w:t>
      </w:r>
      <w:r>
        <w:rPr>
          <w:rFonts w:cs="Arial"/>
          <w:bCs/>
          <w:color w:val="000000"/>
          <w:lang w:eastAsia="en-GB"/>
        </w:rPr>
        <w:tab/>
      </w:r>
      <w:r w:rsidR="0046460C">
        <w:rPr>
          <w:rFonts w:cs="Arial"/>
          <w:color w:val="000000"/>
          <w:lang w:eastAsia="en-GB"/>
        </w:rPr>
        <w:t xml:space="preserve">The Special Rapporteur commends the importance </w:t>
      </w:r>
      <w:r w:rsidR="00CE36DB">
        <w:rPr>
          <w:rFonts w:cs="Arial"/>
          <w:color w:val="000000"/>
          <w:lang w:eastAsia="en-GB"/>
        </w:rPr>
        <w:t xml:space="preserve">that Law </w:t>
      </w:r>
      <w:r w:rsidR="001A3C25">
        <w:rPr>
          <w:rFonts w:cs="Arial"/>
          <w:color w:val="000000"/>
          <w:lang w:eastAsia="en-GB"/>
        </w:rPr>
        <w:t xml:space="preserve">No. </w:t>
      </w:r>
      <w:r w:rsidR="00CE36DB">
        <w:rPr>
          <w:rFonts w:cs="Arial"/>
          <w:color w:val="000000"/>
          <w:lang w:eastAsia="en-GB"/>
        </w:rPr>
        <w:t xml:space="preserve">1/18 </w:t>
      </w:r>
      <w:r w:rsidR="0046460C">
        <w:rPr>
          <w:rFonts w:cs="Arial"/>
          <w:color w:val="000000"/>
          <w:lang w:eastAsia="en-GB"/>
        </w:rPr>
        <w:t xml:space="preserve">attributes to the </w:t>
      </w:r>
      <w:r w:rsidR="00CE36DB">
        <w:rPr>
          <w:rFonts w:cs="Arial"/>
          <w:color w:val="000000"/>
          <w:lang w:eastAsia="en-GB"/>
        </w:rPr>
        <w:t>protection</w:t>
      </w:r>
      <w:r w:rsidR="0046460C">
        <w:rPr>
          <w:rFonts w:cs="Arial"/>
          <w:color w:val="000000"/>
          <w:lang w:eastAsia="en-GB"/>
        </w:rPr>
        <w:t xml:space="preserve"> of </w:t>
      </w:r>
      <w:r w:rsidR="0046460C" w:rsidRPr="00BB6DD7">
        <w:rPr>
          <w:rFonts w:cs="Arial"/>
          <w:color w:val="000000"/>
          <w:lang w:eastAsia="en-GB"/>
        </w:rPr>
        <w:t>victims and witness</w:t>
      </w:r>
      <w:r w:rsidR="00F319DE">
        <w:rPr>
          <w:rFonts w:cs="Arial"/>
          <w:color w:val="000000"/>
          <w:lang w:eastAsia="en-GB"/>
        </w:rPr>
        <w:t xml:space="preserve"> and the provision that</w:t>
      </w:r>
      <w:r w:rsidR="0046460C">
        <w:rPr>
          <w:rFonts w:cs="Arial"/>
          <w:color w:val="000000"/>
          <w:lang w:eastAsia="en-GB"/>
        </w:rPr>
        <w:t xml:space="preserve"> a witness protection law must be promulgated before field investigations can commence. Mindful that protection from various actors, including persons in </w:t>
      </w:r>
      <w:r w:rsidR="00F319DE">
        <w:rPr>
          <w:rFonts w:cs="Arial"/>
          <w:color w:val="000000"/>
          <w:lang w:eastAsia="en-GB"/>
        </w:rPr>
        <w:t>high-</w:t>
      </w:r>
      <w:r w:rsidR="0046460C">
        <w:rPr>
          <w:rFonts w:cs="Arial"/>
          <w:color w:val="000000"/>
          <w:lang w:eastAsia="en-GB"/>
        </w:rPr>
        <w:t>power official and other positions, demobili</w:t>
      </w:r>
      <w:r w:rsidR="00F319DE">
        <w:rPr>
          <w:rFonts w:cs="Arial"/>
          <w:color w:val="000000"/>
          <w:lang w:eastAsia="en-GB"/>
        </w:rPr>
        <w:t>z</w:t>
      </w:r>
      <w:r w:rsidR="0046460C">
        <w:rPr>
          <w:rFonts w:cs="Arial"/>
          <w:color w:val="000000"/>
          <w:lang w:eastAsia="en-GB"/>
        </w:rPr>
        <w:t xml:space="preserve">ed former rebels, amongst others, might be necessary, speedy adoption </w:t>
      </w:r>
      <w:r w:rsidR="003469B1">
        <w:rPr>
          <w:rFonts w:cs="Arial"/>
          <w:color w:val="000000"/>
          <w:lang w:eastAsia="en-GB"/>
        </w:rPr>
        <w:t xml:space="preserve">and implementation </w:t>
      </w:r>
      <w:r w:rsidR="0046460C">
        <w:rPr>
          <w:rFonts w:cs="Arial"/>
          <w:color w:val="000000"/>
          <w:lang w:eastAsia="en-GB"/>
        </w:rPr>
        <w:t>of the law is paramount.</w:t>
      </w:r>
    </w:p>
    <w:p w:rsidR="0046460C" w:rsidRDefault="00C71ACD" w:rsidP="00C71ACD">
      <w:pPr>
        <w:pStyle w:val="SingleTxtG"/>
        <w:rPr>
          <w:rFonts w:cs="Arial"/>
          <w:color w:val="000000"/>
          <w:lang w:eastAsia="en-GB"/>
        </w:rPr>
      </w:pPr>
      <w:r>
        <w:rPr>
          <w:rFonts w:cs="Arial"/>
          <w:bCs/>
          <w:color w:val="000000"/>
          <w:lang w:eastAsia="en-GB"/>
        </w:rPr>
        <w:t>33.</w:t>
      </w:r>
      <w:r>
        <w:rPr>
          <w:rFonts w:cs="Arial"/>
          <w:bCs/>
          <w:color w:val="000000"/>
          <w:lang w:eastAsia="en-GB"/>
        </w:rPr>
        <w:tab/>
      </w:r>
      <w:r w:rsidR="00F319DE">
        <w:rPr>
          <w:rFonts w:cs="Arial"/>
          <w:color w:val="000000"/>
          <w:lang w:eastAsia="en-GB"/>
        </w:rPr>
        <w:t>L</w:t>
      </w:r>
      <w:r w:rsidR="0046460C" w:rsidRPr="00BB6DD7">
        <w:rPr>
          <w:rFonts w:cs="Arial"/>
          <w:color w:val="000000"/>
          <w:lang w:eastAsia="en-GB"/>
        </w:rPr>
        <w:t>aw</w:t>
      </w:r>
      <w:r w:rsidR="00F319DE">
        <w:rPr>
          <w:rFonts w:cs="Arial"/>
          <w:color w:val="000000"/>
          <w:lang w:eastAsia="en-GB"/>
        </w:rPr>
        <w:t xml:space="preserve"> </w:t>
      </w:r>
      <w:r w:rsidR="001A3C25">
        <w:rPr>
          <w:rFonts w:cs="Arial"/>
          <w:color w:val="000000"/>
          <w:lang w:eastAsia="en-GB"/>
        </w:rPr>
        <w:t xml:space="preserve">No. </w:t>
      </w:r>
      <w:r w:rsidR="00F319DE">
        <w:rPr>
          <w:rFonts w:cs="Arial"/>
          <w:color w:val="000000"/>
          <w:lang w:eastAsia="en-GB"/>
        </w:rPr>
        <w:t>1/18</w:t>
      </w:r>
      <w:r w:rsidR="0046460C" w:rsidRPr="00BB6DD7">
        <w:rPr>
          <w:rFonts w:cs="Arial"/>
          <w:color w:val="000000"/>
          <w:lang w:eastAsia="en-GB"/>
        </w:rPr>
        <w:t xml:space="preserve"> </w:t>
      </w:r>
      <w:r w:rsidR="0046460C">
        <w:rPr>
          <w:rFonts w:cs="Arial"/>
          <w:color w:val="000000"/>
          <w:lang w:eastAsia="en-GB"/>
        </w:rPr>
        <w:t xml:space="preserve">also provides for the </w:t>
      </w:r>
      <w:r w:rsidR="0046460C" w:rsidRPr="00BB6DD7">
        <w:rPr>
          <w:rFonts w:cs="Arial"/>
          <w:color w:val="000000"/>
          <w:lang w:eastAsia="en-GB"/>
        </w:rPr>
        <w:t xml:space="preserve">establishment of </w:t>
      </w:r>
      <w:r w:rsidR="0046460C">
        <w:rPr>
          <w:rFonts w:cs="Arial"/>
          <w:color w:val="000000"/>
          <w:lang w:eastAsia="en-GB"/>
        </w:rPr>
        <w:t>a</w:t>
      </w:r>
      <w:r w:rsidR="0046460C" w:rsidRPr="00BB6DD7">
        <w:rPr>
          <w:rFonts w:cs="Arial"/>
          <w:color w:val="000000"/>
          <w:lang w:eastAsia="en-GB"/>
        </w:rPr>
        <w:t xml:space="preserve"> </w:t>
      </w:r>
      <w:r w:rsidR="00F319DE">
        <w:rPr>
          <w:rFonts w:cs="Arial"/>
          <w:color w:val="000000"/>
          <w:lang w:eastAsia="en-GB"/>
        </w:rPr>
        <w:t>v</w:t>
      </w:r>
      <w:r w:rsidR="0046460C" w:rsidRPr="00BB6DD7">
        <w:rPr>
          <w:rFonts w:cs="Arial"/>
          <w:color w:val="000000"/>
          <w:lang w:eastAsia="en-GB"/>
        </w:rPr>
        <w:t xml:space="preserve">ictim and </w:t>
      </w:r>
      <w:r w:rsidR="00F319DE">
        <w:rPr>
          <w:rFonts w:cs="Arial"/>
          <w:color w:val="000000"/>
          <w:lang w:eastAsia="en-GB"/>
        </w:rPr>
        <w:t>w</w:t>
      </w:r>
      <w:r w:rsidR="0046460C" w:rsidRPr="00BB6DD7">
        <w:rPr>
          <w:rFonts w:cs="Arial"/>
          <w:color w:val="000000"/>
          <w:lang w:eastAsia="en-GB"/>
        </w:rPr>
        <w:t xml:space="preserve">itness </w:t>
      </w:r>
      <w:r w:rsidR="00F319DE">
        <w:rPr>
          <w:rFonts w:cs="Arial"/>
          <w:color w:val="000000"/>
          <w:lang w:eastAsia="en-GB"/>
        </w:rPr>
        <w:t>p</w:t>
      </w:r>
      <w:r w:rsidR="0046460C" w:rsidRPr="00BB6DD7">
        <w:rPr>
          <w:rFonts w:cs="Arial"/>
          <w:color w:val="000000"/>
          <w:lang w:eastAsia="en-GB"/>
        </w:rPr>
        <w:t xml:space="preserve">rotection and </w:t>
      </w:r>
      <w:r w:rsidR="00F319DE">
        <w:rPr>
          <w:rFonts w:cs="Arial"/>
          <w:color w:val="000000"/>
          <w:lang w:eastAsia="en-GB"/>
        </w:rPr>
        <w:t>a</w:t>
      </w:r>
      <w:r w:rsidR="0046460C" w:rsidRPr="00BB6DD7">
        <w:rPr>
          <w:rFonts w:cs="Arial"/>
          <w:color w:val="000000"/>
          <w:lang w:eastAsia="en-GB"/>
        </w:rPr>
        <w:t xml:space="preserve">ssistance </w:t>
      </w:r>
      <w:r w:rsidR="00F319DE">
        <w:rPr>
          <w:rFonts w:cs="Arial"/>
          <w:color w:val="000000"/>
          <w:lang w:eastAsia="en-GB"/>
        </w:rPr>
        <w:t>u</w:t>
      </w:r>
      <w:r w:rsidR="0046460C">
        <w:rPr>
          <w:rFonts w:cs="Arial"/>
          <w:color w:val="000000"/>
          <w:lang w:eastAsia="en-GB"/>
        </w:rPr>
        <w:t>nit, composed of permanent Commission staff with speciali</w:t>
      </w:r>
      <w:r w:rsidR="00F319DE">
        <w:rPr>
          <w:rFonts w:cs="Arial"/>
          <w:color w:val="000000"/>
          <w:lang w:eastAsia="en-GB"/>
        </w:rPr>
        <w:t>z</w:t>
      </w:r>
      <w:r w:rsidR="0046460C">
        <w:rPr>
          <w:rFonts w:cs="Arial"/>
          <w:color w:val="000000"/>
          <w:lang w:eastAsia="en-GB"/>
        </w:rPr>
        <w:t>ed competencies</w:t>
      </w:r>
      <w:r w:rsidR="00F319DE">
        <w:rPr>
          <w:rFonts w:cs="Arial"/>
          <w:color w:val="000000"/>
          <w:lang w:eastAsia="en-GB"/>
        </w:rPr>
        <w:t>, and who</w:t>
      </w:r>
      <w:r w:rsidR="0046460C">
        <w:rPr>
          <w:rFonts w:cs="Arial"/>
          <w:color w:val="000000"/>
          <w:lang w:eastAsia="en-GB"/>
        </w:rPr>
        <w:t xml:space="preserve"> stand out for their impartiality and independence from political, economic or other interests</w:t>
      </w:r>
      <w:r w:rsidR="00F319DE">
        <w:rPr>
          <w:rFonts w:cs="Arial"/>
          <w:color w:val="000000"/>
          <w:lang w:eastAsia="en-GB"/>
        </w:rPr>
        <w:t>. V</w:t>
      </w:r>
      <w:r w:rsidR="0046460C">
        <w:rPr>
          <w:rFonts w:cs="Arial"/>
          <w:color w:val="000000"/>
          <w:lang w:eastAsia="en-GB"/>
        </w:rPr>
        <w:t xml:space="preserve">ictims and witnesses, regardless of background, </w:t>
      </w:r>
      <w:r w:rsidR="00F319DE">
        <w:rPr>
          <w:rFonts w:cs="Arial"/>
          <w:color w:val="000000"/>
          <w:lang w:eastAsia="en-GB"/>
        </w:rPr>
        <w:t xml:space="preserve">must </w:t>
      </w:r>
      <w:r w:rsidR="0046460C">
        <w:rPr>
          <w:rFonts w:cs="Arial"/>
          <w:color w:val="000000"/>
          <w:lang w:eastAsia="en-GB"/>
        </w:rPr>
        <w:t xml:space="preserve">feel safe to approach the Commission and </w:t>
      </w:r>
      <w:r w:rsidR="00F319DE">
        <w:rPr>
          <w:rFonts w:cs="Arial"/>
          <w:color w:val="000000"/>
          <w:lang w:eastAsia="en-GB"/>
        </w:rPr>
        <w:t>to</w:t>
      </w:r>
      <w:r w:rsidR="0046460C">
        <w:rPr>
          <w:rFonts w:cs="Arial"/>
          <w:color w:val="000000"/>
          <w:lang w:eastAsia="en-GB"/>
        </w:rPr>
        <w:t xml:space="preserve"> testify freely without fear of stigmatization or reprisal. </w:t>
      </w:r>
    </w:p>
    <w:p w:rsidR="0046460C" w:rsidRDefault="00C71ACD" w:rsidP="00C71ACD">
      <w:pPr>
        <w:pStyle w:val="SingleTxtG"/>
        <w:rPr>
          <w:rFonts w:cs="Arial"/>
          <w:color w:val="000000"/>
          <w:lang w:eastAsia="en-GB"/>
        </w:rPr>
      </w:pPr>
      <w:r>
        <w:rPr>
          <w:rFonts w:cs="Arial"/>
          <w:bCs/>
          <w:color w:val="000000"/>
          <w:lang w:eastAsia="en-GB"/>
        </w:rPr>
        <w:t>34.</w:t>
      </w:r>
      <w:r>
        <w:rPr>
          <w:rFonts w:cs="Arial"/>
          <w:bCs/>
          <w:color w:val="000000"/>
          <w:lang w:eastAsia="en-GB"/>
        </w:rPr>
        <w:tab/>
      </w:r>
      <w:r w:rsidR="0046460C">
        <w:rPr>
          <w:rFonts w:cs="Arial"/>
          <w:color w:val="000000"/>
          <w:lang w:eastAsia="en-GB"/>
        </w:rPr>
        <w:t xml:space="preserve">Protection measures </w:t>
      </w:r>
      <w:r w:rsidR="0046460C" w:rsidRPr="00782521">
        <w:rPr>
          <w:rFonts w:cs="Arial"/>
          <w:color w:val="000000"/>
          <w:lang w:eastAsia="en-GB"/>
        </w:rPr>
        <w:t xml:space="preserve">should </w:t>
      </w:r>
      <w:r w:rsidR="00F319DE">
        <w:rPr>
          <w:rFonts w:cs="Arial"/>
          <w:color w:val="000000"/>
          <w:lang w:eastAsia="en-GB"/>
        </w:rPr>
        <w:t xml:space="preserve">be </w:t>
      </w:r>
      <w:r w:rsidR="0046460C">
        <w:rPr>
          <w:rFonts w:cs="Arial"/>
          <w:color w:val="000000"/>
          <w:lang w:eastAsia="en-GB"/>
        </w:rPr>
        <w:t>broad</w:t>
      </w:r>
      <w:r w:rsidR="00F319DE">
        <w:rPr>
          <w:rFonts w:cs="Arial"/>
          <w:color w:val="000000"/>
          <w:lang w:eastAsia="en-GB"/>
        </w:rPr>
        <w:t xml:space="preserve"> in scope and</w:t>
      </w:r>
      <w:r w:rsidR="0046460C">
        <w:rPr>
          <w:rFonts w:cs="Arial"/>
          <w:color w:val="000000"/>
          <w:lang w:eastAsia="en-GB"/>
        </w:rPr>
        <w:t xml:space="preserve"> includ</w:t>
      </w:r>
      <w:r w:rsidR="00F319DE">
        <w:rPr>
          <w:rFonts w:cs="Arial"/>
          <w:color w:val="000000"/>
          <w:lang w:eastAsia="en-GB"/>
        </w:rPr>
        <w:t>e</w:t>
      </w:r>
      <w:r w:rsidR="0046460C">
        <w:rPr>
          <w:rFonts w:cs="Arial"/>
          <w:color w:val="000000"/>
          <w:lang w:eastAsia="en-GB"/>
        </w:rPr>
        <w:t xml:space="preserve"> </w:t>
      </w:r>
      <w:r w:rsidR="0046460C" w:rsidRPr="00782521">
        <w:rPr>
          <w:rFonts w:cs="Arial"/>
          <w:color w:val="000000"/>
          <w:lang w:eastAsia="en-GB"/>
        </w:rPr>
        <w:t>medical</w:t>
      </w:r>
      <w:r w:rsidR="0046460C">
        <w:rPr>
          <w:rFonts w:cs="Arial"/>
          <w:color w:val="000000"/>
          <w:lang w:eastAsia="en-GB"/>
        </w:rPr>
        <w:t xml:space="preserve"> and</w:t>
      </w:r>
      <w:r w:rsidR="0046460C" w:rsidRPr="00782521">
        <w:rPr>
          <w:rFonts w:cs="Arial"/>
          <w:color w:val="000000"/>
          <w:lang w:eastAsia="en-GB"/>
        </w:rPr>
        <w:t xml:space="preserve"> psycho</w:t>
      </w:r>
      <w:r w:rsidR="0046460C">
        <w:rPr>
          <w:rFonts w:cs="Arial"/>
          <w:color w:val="000000"/>
          <w:lang w:eastAsia="en-GB"/>
        </w:rPr>
        <w:t>social support and counselling and access to lawyers</w:t>
      </w:r>
      <w:r w:rsidR="0046460C" w:rsidRPr="00782521">
        <w:rPr>
          <w:rFonts w:cs="Arial"/>
          <w:color w:val="000000"/>
          <w:lang w:eastAsia="en-GB"/>
        </w:rPr>
        <w:t>.</w:t>
      </w:r>
      <w:r w:rsidR="0046460C">
        <w:rPr>
          <w:rFonts w:cs="Arial"/>
          <w:color w:val="000000"/>
          <w:lang w:eastAsia="en-GB"/>
        </w:rPr>
        <w:t xml:space="preserve"> The Special Rapporteur welcomes the envisaged special measures to assist traumati</w:t>
      </w:r>
      <w:r w:rsidR="00F319DE">
        <w:rPr>
          <w:rFonts w:cs="Arial"/>
          <w:color w:val="000000"/>
          <w:lang w:eastAsia="en-GB"/>
        </w:rPr>
        <w:t>z</w:t>
      </w:r>
      <w:r w:rsidR="0046460C">
        <w:rPr>
          <w:rFonts w:cs="Arial"/>
          <w:color w:val="000000"/>
          <w:lang w:eastAsia="en-GB"/>
        </w:rPr>
        <w:t xml:space="preserve">ed victims, children, older persons and victims of sexual violence. </w:t>
      </w:r>
    </w:p>
    <w:p w:rsidR="0046460C" w:rsidRPr="00B7613D" w:rsidRDefault="00D04463" w:rsidP="007F38C9">
      <w:pPr>
        <w:pStyle w:val="H23G"/>
      </w:pPr>
      <w:r>
        <w:rPr>
          <w:lang w:eastAsia="en-GB"/>
        </w:rPr>
        <w:tab/>
        <w:t>4.</w:t>
      </w:r>
      <w:r>
        <w:rPr>
          <w:lang w:eastAsia="en-GB"/>
        </w:rPr>
        <w:tab/>
      </w:r>
      <w:r w:rsidR="0046460C" w:rsidRPr="002D1884">
        <w:rPr>
          <w:lang w:eastAsia="en-GB"/>
        </w:rPr>
        <w:t>Gender perspective</w:t>
      </w:r>
    </w:p>
    <w:p w:rsidR="0046460C" w:rsidRPr="00B7613D" w:rsidRDefault="00C71ACD" w:rsidP="00C71ACD">
      <w:pPr>
        <w:pStyle w:val="SingleTxtG"/>
        <w:rPr>
          <w:rFonts w:cs="Arial"/>
          <w:color w:val="000000"/>
          <w:lang w:eastAsia="en-GB"/>
        </w:rPr>
      </w:pPr>
      <w:r w:rsidRPr="00B7613D">
        <w:rPr>
          <w:rFonts w:cs="Arial"/>
          <w:bCs/>
          <w:color w:val="000000"/>
          <w:lang w:eastAsia="en-GB"/>
        </w:rPr>
        <w:t>35.</w:t>
      </w:r>
      <w:r w:rsidRPr="00B7613D">
        <w:rPr>
          <w:rFonts w:cs="Arial"/>
          <w:bCs/>
          <w:color w:val="000000"/>
          <w:lang w:eastAsia="en-GB"/>
        </w:rPr>
        <w:tab/>
      </w:r>
      <w:r w:rsidR="001F639A">
        <w:rPr>
          <w:rFonts w:cs="Arial"/>
          <w:color w:val="000000"/>
          <w:lang w:eastAsia="en-GB"/>
        </w:rPr>
        <w:t xml:space="preserve">Law </w:t>
      </w:r>
      <w:r w:rsidR="001A3C25">
        <w:rPr>
          <w:rFonts w:cs="Arial"/>
          <w:color w:val="000000"/>
          <w:lang w:eastAsia="en-GB"/>
        </w:rPr>
        <w:t xml:space="preserve">No. </w:t>
      </w:r>
      <w:r w:rsidR="001F639A">
        <w:rPr>
          <w:rFonts w:cs="Arial"/>
          <w:color w:val="000000"/>
          <w:lang w:eastAsia="en-GB"/>
        </w:rPr>
        <w:t>1/18</w:t>
      </w:r>
      <w:r w:rsidR="0046460C">
        <w:rPr>
          <w:rFonts w:cs="Arial"/>
          <w:color w:val="000000"/>
          <w:lang w:eastAsia="en-GB"/>
        </w:rPr>
        <w:t xml:space="preserve"> provides for</w:t>
      </w:r>
      <w:r w:rsidR="001F639A">
        <w:rPr>
          <w:rFonts w:cs="Arial"/>
          <w:color w:val="000000"/>
          <w:lang w:eastAsia="en-GB"/>
        </w:rPr>
        <w:t xml:space="preserve"> the appointment of at least </w:t>
      </w:r>
      <w:r w:rsidR="0046460C">
        <w:rPr>
          <w:rFonts w:cs="Arial"/>
          <w:color w:val="000000"/>
          <w:lang w:eastAsia="en-GB"/>
        </w:rPr>
        <w:t>four women</w:t>
      </w:r>
      <w:r w:rsidR="001F639A">
        <w:rPr>
          <w:rFonts w:cs="Arial"/>
          <w:color w:val="000000"/>
          <w:lang w:eastAsia="en-GB"/>
        </w:rPr>
        <w:t xml:space="preserve"> commissioners</w:t>
      </w:r>
      <w:r w:rsidR="0046460C">
        <w:rPr>
          <w:rFonts w:cs="Arial"/>
          <w:color w:val="000000"/>
          <w:lang w:eastAsia="en-GB"/>
        </w:rPr>
        <w:t xml:space="preserve">. The participation of women increases the likelihood that the Commission will tackle gender issues; however, it neither guarantees that </w:t>
      </w:r>
      <w:r w:rsidR="001F639A">
        <w:rPr>
          <w:rFonts w:cs="Arial"/>
          <w:color w:val="000000"/>
          <w:lang w:eastAsia="en-GB"/>
        </w:rPr>
        <w:t>the Commission</w:t>
      </w:r>
      <w:r w:rsidR="0046460C">
        <w:rPr>
          <w:rFonts w:cs="Arial"/>
          <w:color w:val="000000"/>
          <w:lang w:eastAsia="en-GB"/>
        </w:rPr>
        <w:t xml:space="preserve"> will adopt a gender perspective</w:t>
      </w:r>
      <w:r w:rsidR="001F639A">
        <w:rPr>
          <w:rFonts w:cs="Arial"/>
          <w:color w:val="000000"/>
          <w:lang w:eastAsia="en-GB"/>
        </w:rPr>
        <w:t>,</w:t>
      </w:r>
      <w:r w:rsidR="0046460C">
        <w:rPr>
          <w:rFonts w:cs="Arial"/>
          <w:color w:val="000000"/>
          <w:lang w:eastAsia="en-GB"/>
        </w:rPr>
        <w:t xml:space="preserve"> nor </w:t>
      </w:r>
      <w:r w:rsidR="00C7123B">
        <w:rPr>
          <w:rFonts w:cs="Arial"/>
          <w:color w:val="000000"/>
          <w:lang w:eastAsia="en-GB"/>
        </w:rPr>
        <w:t>that</w:t>
      </w:r>
      <w:r w:rsidR="0046460C">
        <w:rPr>
          <w:rFonts w:cs="Arial"/>
          <w:color w:val="000000"/>
          <w:lang w:eastAsia="en-GB"/>
        </w:rPr>
        <w:t xml:space="preserve"> the </w:t>
      </w:r>
      <w:r w:rsidR="001F639A">
        <w:rPr>
          <w:rFonts w:cs="Arial"/>
          <w:color w:val="000000"/>
          <w:lang w:eastAsia="en-GB"/>
        </w:rPr>
        <w:t xml:space="preserve">set-up </w:t>
      </w:r>
      <w:r w:rsidR="0046460C">
        <w:rPr>
          <w:rFonts w:cs="Arial"/>
          <w:color w:val="000000"/>
          <w:lang w:eastAsia="en-GB"/>
        </w:rPr>
        <w:t xml:space="preserve">of a </w:t>
      </w:r>
      <w:r w:rsidR="00BD574B">
        <w:rPr>
          <w:rFonts w:cs="Arial"/>
          <w:color w:val="000000"/>
          <w:lang w:eastAsia="en-GB"/>
        </w:rPr>
        <w:t>s</w:t>
      </w:r>
      <w:r w:rsidR="0046460C">
        <w:rPr>
          <w:rFonts w:cs="Arial"/>
          <w:color w:val="000000"/>
          <w:lang w:eastAsia="en-GB"/>
        </w:rPr>
        <w:t>ub</w:t>
      </w:r>
      <w:r w:rsidR="001F639A">
        <w:rPr>
          <w:rFonts w:cs="Arial"/>
          <w:color w:val="000000"/>
          <w:lang w:eastAsia="en-GB"/>
        </w:rPr>
        <w:t>c</w:t>
      </w:r>
      <w:r w:rsidR="0046460C">
        <w:rPr>
          <w:rFonts w:cs="Arial"/>
          <w:color w:val="000000"/>
          <w:lang w:eastAsia="en-GB"/>
        </w:rPr>
        <w:t>ommission on gender, victims and witness protection</w:t>
      </w:r>
      <w:r w:rsidR="00E635E3">
        <w:rPr>
          <w:rFonts w:cs="Arial"/>
          <w:color w:val="000000"/>
          <w:lang w:eastAsia="en-GB"/>
        </w:rPr>
        <w:t xml:space="preserve"> will</w:t>
      </w:r>
      <w:r w:rsidR="0046460C">
        <w:rPr>
          <w:rFonts w:cs="Arial"/>
          <w:color w:val="000000"/>
          <w:lang w:eastAsia="en-GB"/>
        </w:rPr>
        <w:t>.</w:t>
      </w:r>
      <w:r w:rsidR="0046460C" w:rsidRPr="00C077B3">
        <w:rPr>
          <w:rStyle w:val="FootnoteReference"/>
        </w:rPr>
        <w:footnoteReference w:id="13"/>
      </w:r>
      <w:r w:rsidR="0046460C">
        <w:rPr>
          <w:rFonts w:cs="Arial"/>
          <w:color w:val="000000"/>
          <w:lang w:eastAsia="en-GB"/>
        </w:rPr>
        <w:t xml:space="preserve"> T</w:t>
      </w:r>
      <w:r w:rsidR="0046460C" w:rsidRPr="002811BC">
        <w:rPr>
          <w:rFonts w:cs="Arial"/>
          <w:color w:val="000000"/>
          <w:lang w:eastAsia="en-GB"/>
        </w:rPr>
        <w:t xml:space="preserve">he Commission </w:t>
      </w:r>
      <w:r w:rsidR="0046460C">
        <w:rPr>
          <w:rFonts w:cs="Arial"/>
          <w:color w:val="000000"/>
          <w:lang w:eastAsia="en-GB"/>
        </w:rPr>
        <w:t>faces</w:t>
      </w:r>
      <w:r w:rsidR="0046460C" w:rsidRPr="002811BC">
        <w:rPr>
          <w:rFonts w:cs="Arial"/>
          <w:color w:val="000000"/>
          <w:lang w:eastAsia="en-GB"/>
        </w:rPr>
        <w:t xml:space="preserve"> a </w:t>
      </w:r>
      <w:r w:rsidR="00776BE4">
        <w:rPr>
          <w:rFonts w:cs="Arial"/>
          <w:color w:val="000000"/>
          <w:lang w:eastAsia="en-GB"/>
        </w:rPr>
        <w:t>huge</w:t>
      </w:r>
      <w:r w:rsidR="0046460C" w:rsidRPr="002811BC">
        <w:rPr>
          <w:rFonts w:cs="Arial"/>
          <w:color w:val="000000"/>
          <w:lang w:eastAsia="en-GB"/>
        </w:rPr>
        <w:t xml:space="preserve"> task </w:t>
      </w:r>
      <w:r w:rsidR="00776BE4">
        <w:rPr>
          <w:rFonts w:cs="Arial"/>
          <w:color w:val="000000"/>
          <w:lang w:eastAsia="en-GB"/>
        </w:rPr>
        <w:t xml:space="preserve">in </w:t>
      </w:r>
      <w:r w:rsidR="0046460C" w:rsidRPr="002811BC">
        <w:rPr>
          <w:rFonts w:cs="Arial"/>
          <w:color w:val="000000"/>
          <w:lang w:eastAsia="en-GB"/>
        </w:rPr>
        <w:t>enabling the discovery of violations against women and girls, including</w:t>
      </w:r>
      <w:r w:rsidR="0046460C">
        <w:rPr>
          <w:rFonts w:cs="Arial"/>
          <w:color w:val="000000"/>
          <w:lang w:eastAsia="en-GB"/>
        </w:rPr>
        <w:t xml:space="preserve"> </w:t>
      </w:r>
      <w:r w:rsidR="0046460C" w:rsidRPr="002811BC">
        <w:rPr>
          <w:rFonts w:cs="Arial"/>
          <w:color w:val="000000"/>
          <w:lang w:eastAsia="en-GB"/>
        </w:rPr>
        <w:t>sexual and gender</w:t>
      </w:r>
      <w:r w:rsidR="0046460C">
        <w:rPr>
          <w:rFonts w:cs="Arial"/>
          <w:color w:val="000000"/>
          <w:lang w:eastAsia="en-GB"/>
        </w:rPr>
        <w:t>-</w:t>
      </w:r>
      <w:r w:rsidR="0046460C" w:rsidRPr="002811BC">
        <w:rPr>
          <w:rFonts w:cs="Arial"/>
          <w:color w:val="000000"/>
          <w:lang w:eastAsia="en-GB"/>
        </w:rPr>
        <w:t>based violence</w:t>
      </w:r>
      <w:r w:rsidR="0046460C">
        <w:rPr>
          <w:rFonts w:cs="Arial"/>
          <w:color w:val="000000"/>
          <w:lang w:eastAsia="en-GB"/>
        </w:rPr>
        <w:t>. Thus, capacit</w:t>
      </w:r>
      <w:r w:rsidR="00776BE4">
        <w:rPr>
          <w:rFonts w:cs="Arial"/>
          <w:color w:val="000000"/>
          <w:lang w:eastAsia="en-GB"/>
        </w:rPr>
        <w:t>y</w:t>
      </w:r>
      <w:r w:rsidR="0046460C">
        <w:rPr>
          <w:rFonts w:cs="Arial"/>
          <w:color w:val="000000"/>
          <w:lang w:eastAsia="en-GB"/>
        </w:rPr>
        <w:t xml:space="preserve"> on gender issues among Commissioners and </w:t>
      </w:r>
      <w:r w:rsidR="00776BE4">
        <w:rPr>
          <w:rFonts w:cs="Arial"/>
          <w:color w:val="000000"/>
          <w:lang w:eastAsia="en-GB"/>
        </w:rPr>
        <w:t>Commission</w:t>
      </w:r>
      <w:r w:rsidR="0046460C">
        <w:rPr>
          <w:rFonts w:cs="Arial"/>
          <w:color w:val="000000"/>
          <w:lang w:eastAsia="en-GB"/>
        </w:rPr>
        <w:t xml:space="preserve"> staff </w:t>
      </w:r>
      <w:r w:rsidR="00776BE4">
        <w:rPr>
          <w:rFonts w:cs="Arial"/>
          <w:color w:val="000000"/>
          <w:lang w:eastAsia="en-GB"/>
        </w:rPr>
        <w:t>is</w:t>
      </w:r>
      <w:r w:rsidR="0046460C">
        <w:rPr>
          <w:rFonts w:cs="Arial"/>
          <w:color w:val="000000"/>
          <w:lang w:eastAsia="en-GB"/>
        </w:rPr>
        <w:t xml:space="preserve"> crucial, as </w:t>
      </w:r>
      <w:r w:rsidR="00776BE4">
        <w:rPr>
          <w:rFonts w:cs="Arial"/>
          <w:color w:val="000000"/>
          <w:lang w:eastAsia="en-GB"/>
        </w:rPr>
        <w:t>are</w:t>
      </w:r>
      <w:r w:rsidR="0046460C">
        <w:rPr>
          <w:rFonts w:cs="Arial"/>
          <w:color w:val="000000"/>
          <w:lang w:eastAsia="en-GB"/>
        </w:rPr>
        <w:t xml:space="preserve"> the efforts of the </w:t>
      </w:r>
      <w:r w:rsidR="00BD574B">
        <w:rPr>
          <w:rFonts w:cs="Arial"/>
          <w:color w:val="000000"/>
          <w:lang w:eastAsia="en-GB"/>
        </w:rPr>
        <w:t>s</w:t>
      </w:r>
      <w:r w:rsidR="0046460C">
        <w:rPr>
          <w:rFonts w:cs="Arial"/>
          <w:color w:val="000000"/>
          <w:lang w:eastAsia="en-GB"/>
        </w:rPr>
        <w:t>ub</w:t>
      </w:r>
      <w:r w:rsidR="00776BE4">
        <w:rPr>
          <w:rFonts w:cs="Arial"/>
          <w:color w:val="000000"/>
          <w:lang w:eastAsia="en-GB"/>
        </w:rPr>
        <w:t>c</w:t>
      </w:r>
      <w:r w:rsidR="0046460C">
        <w:rPr>
          <w:rFonts w:cs="Arial"/>
          <w:color w:val="000000"/>
          <w:lang w:eastAsia="en-GB"/>
        </w:rPr>
        <w:t>ommission to mainstream a gender perspective in</w:t>
      </w:r>
      <w:r w:rsidR="001A3C25">
        <w:rPr>
          <w:rFonts w:cs="Arial"/>
          <w:color w:val="000000"/>
          <w:lang w:eastAsia="en-GB"/>
        </w:rPr>
        <w:t>to</w:t>
      </w:r>
      <w:r w:rsidR="0046460C">
        <w:rPr>
          <w:rFonts w:cs="Arial"/>
          <w:color w:val="000000"/>
          <w:lang w:eastAsia="en-GB"/>
        </w:rPr>
        <w:t xml:space="preserve"> the Commission’s work.</w:t>
      </w:r>
      <w:r w:rsidR="0046460C" w:rsidRPr="00C077B3">
        <w:rPr>
          <w:rStyle w:val="FootnoteReference"/>
        </w:rPr>
        <w:footnoteReference w:id="14"/>
      </w:r>
    </w:p>
    <w:p w:rsidR="0046460C" w:rsidRPr="00B7613D" w:rsidRDefault="00D04463" w:rsidP="007F38C9">
      <w:pPr>
        <w:pStyle w:val="H23G"/>
      </w:pPr>
      <w:r>
        <w:rPr>
          <w:lang w:eastAsia="en-GB"/>
        </w:rPr>
        <w:tab/>
        <w:t>5.</w:t>
      </w:r>
      <w:r>
        <w:rPr>
          <w:lang w:eastAsia="en-GB"/>
        </w:rPr>
        <w:tab/>
      </w:r>
      <w:r w:rsidR="0046460C" w:rsidRPr="002D1884">
        <w:rPr>
          <w:lang w:eastAsia="en-GB"/>
        </w:rPr>
        <w:t xml:space="preserve">Resources </w:t>
      </w:r>
    </w:p>
    <w:p w:rsidR="0046460C" w:rsidRPr="00B7613D" w:rsidRDefault="00C71ACD" w:rsidP="00C71ACD">
      <w:pPr>
        <w:pStyle w:val="SingleTxtG"/>
        <w:rPr>
          <w:rFonts w:cs="Arial"/>
          <w:color w:val="000000"/>
          <w:lang w:eastAsia="en-GB"/>
        </w:rPr>
      </w:pPr>
      <w:r w:rsidRPr="00B7613D">
        <w:rPr>
          <w:rFonts w:cs="Arial"/>
          <w:bCs/>
          <w:color w:val="000000"/>
          <w:lang w:eastAsia="en-GB"/>
        </w:rPr>
        <w:t>36.</w:t>
      </w:r>
      <w:r w:rsidRPr="00B7613D">
        <w:rPr>
          <w:rFonts w:cs="Arial"/>
          <w:bCs/>
          <w:color w:val="000000"/>
          <w:lang w:eastAsia="en-GB"/>
        </w:rPr>
        <w:tab/>
      </w:r>
      <w:r w:rsidR="0046460C">
        <w:rPr>
          <w:rFonts w:cs="Arial"/>
          <w:color w:val="000000"/>
          <w:lang w:eastAsia="en-GB"/>
        </w:rPr>
        <w:t>C</w:t>
      </w:r>
      <w:r w:rsidR="0046460C" w:rsidRPr="00A51946">
        <w:rPr>
          <w:rFonts w:cs="Arial"/>
          <w:color w:val="000000"/>
          <w:lang w:eastAsia="en-GB"/>
        </w:rPr>
        <w:t xml:space="preserve">ompared </w:t>
      </w:r>
      <w:r w:rsidR="0046460C">
        <w:rPr>
          <w:rFonts w:cs="Arial"/>
          <w:color w:val="000000"/>
          <w:lang w:eastAsia="en-GB"/>
        </w:rPr>
        <w:t>with</w:t>
      </w:r>
      <w:r w:rsidR="0046460C" w:rsidRPr="00A51946">
        <w:rPr>
          <w:rFonts w:cs="Arial"/>
          <w:color w:val="000000"/>
          <w:lang w:eastAsia="en-GB"/>
        </w:rPr>
        <w:t xml:space="preserve"> other expenditures</w:t>
      </w:r>
      <w:r w:rsidR="0046460C">
        <w:rPr>
          <w:rFonts w:cs="Arial"/>
          <w:color w:val="000000"/>
          <w:lang w:eastAsia="en-GB"/>
        </w:rPr>
        <w:t>,</w:t>
      </w:r>
      <w:r w:rsidR="0046460C" w:rsidRPr="00A51946">
        <w:rPr>
          <w:rFonts w:cs="Arial"/>
          <w:color w:val="000000"/>
          <w:lang w:eastAsia="en-GB"/>
        </w:rPr>
        <w:t xml:space="preserve"> truth commissions are relatively inexpensive</w:t>
      </w:r>
      <w:r w:rsidR="0046460C">
        <w:rPr>
          <w:rFonts w:cs="Arial"/>
          <w:color w:val="000000"/>
          <w:lang w:eastAsia="en-GB"/>
        </w:rPr>
        <w:t xml:space="preserve">; </w:t>
      </w:r>
      <w:r w:rsidR="003251EA">
        <w:rPr>
          <w:rFonts w:cs="Arial"/>
          <w:color w:val="000000"/>
          <w:lang w:eastAsia="en-GB"/>
        </w:rPr>
        <w:t>nonetheless</w:t>
      </w:r>
      <w:r w:rsidR="0046460C">
        <w:rPr>
          <w:rFonts w:cs="Arial"/>
          <w:color w:val="000000"/>
          <w:lang w:eastAsia="en-GB"/>
        </w:rPr>
        <w:t xml:space="preserve">, </w:t>
      </w:r>
      <w:r w:rsidR="0046460C" w:rsidRPr="00A51946">
        <w:rPr>
          <w:rFonts w:cs="Arial"/>
          <w:color w:val="000000"/>
          <w:lang w:eastAsia="en-GB"/>
        </w:rPr>
        <w:t>they still require significant resources, secured, ideally</w:t>
      </w:r>
      <w:r w:rsidR="0046460C">
        <w:rPr>
          <w:rFonts w:cs="Arial"/>
          <w:color w:val="000000"/>
          <w:lang w:eastAsia="en-GB"/>
        </w:rPr>
        <w:t>,</w:t>
      </w:r>
      <w:r w:rsidR="0046460C" w:rsidRPr="00A51946">
        <w:rPr>
          <w:rFonts w:cs="Arial"/>
          <w:color w:val="000000"/>
          <w:lang w:eastAsia="en-GB"/>
        </w:rPr>
        <w:t xml:space="preserve"> in advance.</w:t>
      </w:r>
      <w:r w:rsidR="0046460C" w:rsidRPr="00C077B3">
        <w:rPr>
          <w:rStyle w:val="FootnoteReference"/>
        </w:rPr>
        <w:footnoteReference w:id="15"/>
      </w:r>
      <w:r w:rsidR="0046460C" w:rsidRPr="00A51946">
        <w:rPr>
          <w:rFonts w:cs="Arial"/>
          <w:color w:val="000000"/>
          <w:lang w:eastAsia="en-GB"/>
        </w:rPr>
        <w:t xml:space="preserve"> </w:t>
      </w:r>
      <w:proofErr w:type="gramStart"/>
      <w:r w:rsidR="00776BE4">
        <w:rPr>
          <w:rFonts w:cs="Arial"/>
          <w:color w:val="000000"/>
          <w:lang w:eastAsia="en-GB"/>
        </w:rPr>
        <w:t>L</w:t>
      </w:r>
      <w:r w:rsidR="0046460C" w:rsidRPr="00A51946">
        <w:rPr>
          <w:rFonts w:cs="Arial"/>
          <w:color w:val="000000"/>
          <w:lang w:eastAsia="en-GB"/>
        </w:rPr>
        <w:t>aw</w:t>
      </w:r>
      <w:r w:rsidR="00776BE4">
        <w:rPr>
          <w:rFonts w:cs="Arial"/>
          <w:color w:val="000000"/>
          <w:lang w:eastAsia="en-GB"/>
        </w:rPr>
        <w:t xml:space="preserve"> </w:t>
      </w:r>
      <w:r w:rsidR="001A3C25">
        <w:rPr>
          <w:rFonts w:cs="Arial"/>
          <w:color w:val="000000"/>
          <w:lang w:eastAsia="en-GB"/>
        </w:rPr>
        <w:t xml:space="preserve">No. </w:t>
      </w:r>
      <w:r w:rsidR="00776BE4">
        <w:rPr>
          <w:rFonts w:cs="Arial"/>
          <w:color w:val="000000"/>
          <w:lang w:eastAsia="en-GB"/>
        </w:rPr>
        <w:t>1/18</w:t>
      </w:r>
      <w:r w:rsidR="0046460C" w:rsidRPr="00A51946">
        <w:rPr>
          <w:rFonts w:cs="Arial"/>
          <w:color w:val="000000"/>
          <w:lang w:eastAsia="en-GB"/>
        </w:rPr>
        <w:t xml:space="preserve"> </w:t>
      </w:r>
      <w:r w:rsidR="00301191">
        <w:rPr>
          <w:rFonts w:cs="Arial"/>
          <w:color w:val="000000"/>
          <w:lang w:eastAsia="en-GB"/>
        </w:rPr>
        <w:t xml:space="preserve">states </w:t>
      </w:r>
      <w:r w:rsidR="0046460C" w:rsidRPr="00A51946">
        <w:rPr>
          <w:rFonts w:cs="Arial"/>
          <w:color w:val="000000"/>
          <w:lang w:eastAsia="en-GB"/>
        </w:rPr>
        <w:t xml:space="preserve">that the </w:t>
      </w:r>
      <w:r w:rsidR="0009045D">
        <w:rPr>
          <w:rFonts w:cs="Arial"/>
          <w:color w:val="000000"/>
          <w:lang w:eastAsia="en-GB"/>
        </w:rPr>
        <w:t xml:space="preserve">Commission will be funded through the </w:t>
      </w:r>
      <w:r w:rsidR="0046460C">
        <w:rPr>
          <w:rFonts w:cs="Arial"/>
          <w:color w:val="000000"/>
          <w:lang w:eastAsia="en-GB"/>
        </w:rPr>
        <w:t xml:space="preserve">budget law and </w:t>
      </w:r>
      <w:r w:rsidR="0009045D">
        <w:rPr>
          <w:rFonts w:cs="Arial"/>
          <w:color w:val="000000"/>
          <w:lang w:eastAsia="en-GB"/>
        </w:rPr>
        <w:t xml:space="preserve">by </w:t>
      </w:r>
      <w:r w:rsidR="0046460C">
        <w:rPr>
          <w:rFonts w:cs="Arial"/>
          <w:color w:val="000000"/>
          <w:lang w:eastAsia="en-GB"/>
        </w:rPr>
        <w:t>national and international partners.</w:t>
      </w:r>
      <w:proofErr w:type="gramEnd"/>
      <w:r w:rsidR="0046460C">
        <w:rPr>
          <w:rFonts w:cs="Arial"/>
          <w:color w:val="000000"/>
          <w:lang w:eastAsia="en-GB"/>
        </w:rPr>
        <w:t xml:space="preserve"> </w:t>
      </w:r>
      <w:r w:rsidR="0009045D">
        <w:rPr>
          <w:rFonts w:cs="Arial"/>
          <w:color w:val="000000"/>
          <w:lang w:eastAsia="en-GB"/>
        </w:rPr>
        <w:t>T</w:t>
      </w:r>
      <w:r w:rsidR="0046460C">
        <w:rPr>
          <w:rFonts w:cs="Arial"/>
          <w:color w:val="000000"/>
          <w:lang w:eastAsia="en-GB"/>
        </w:rPr>
        <w:t xml:space="preserve">he Commission has been allocated an annual budget of approximately </w:t>
      </w:r>
      <w:r w:rsidR="0009045D">
        <w:rPr>
          <w:rFonts w:cs="Arial"/>
          <w:color w:val="000000"/>
          <w:lang w:eastAsia="en-GB"/>
        </w:rPr>
        <w:t>$</w:t>
      </w:r>
      <w:r w:rsidR="0046460C">
        <w:rPr>
          <w:rFonts w:cs="Arial"/>
          <w:color w:val="000000"/>
          <w:lang w:eastAsia="en-GB"/>
        </w:rPr>
        <w:t>941,300</w:t>
      </w:r>
      <w:r w:rsidR="0009045D">
        <w:rPr>
          <w:rFonts w:cs="Arial"/>
          <w:color w:val="000000"/>
          <w:lang w:eastAsia="en-GB"/>
        </w:rPr>
        <w:t xml:space="preserve"> for 2015</w:t>
      </w:r>
      <w:r w:rsidR="0046460C">
        <w:rPr>
          <w:rFonts w:cs="Arial"/>
          <w:color w:val="000000"/>
          <w:lang w:eastAsia="en-GB"/>
        </w:rPr>
        <w:t>. However, the</w:t>
      </w:r>
      <w:r w:rsidR="0009045D">
        <w:rPr>
          <w:rFonts w:cs="Arial"/>
          <w:color w:val="000000"/>
          <w:lang w:eastAsia="en-GB"/>
        </w:rPr>
        <w:t xml:space="preserve">re seems to be </w:t>
      </w:r>
      <w:r w:rsidR="0046460C" w:rsidRPr="00A51946">
        <w:rPr>
          <w:rFonts w:cs="Arial"/>
          <w:color w:val="000000"/>
          <w:lang w:eastAsia="en-GB"/>
        </w:rPr>
        <w:t>doub</w:t>
      </w:r>
      <w:r w:rsidR="0046460C">
        <w:rPr>
          <w:rFonts w:cs="Arial"/>
          <w:color w:val="000000"/>
          <w:lang w:eastAsia="en-GB"/>
        </w:rPr>
        <w:t>t</w:t>
      </w:r>
      <w:r w:rsidR="0009045D">
        <w:rPr>
          <w:rFonts w:cs="Arial"/>
          <w:color w:val="000000"/>
          <w:lang w:eastAsia="en-GB"/>
        </w:rPr>
        <w:t>s</w:t>
      </w:r>
      <w:r w:rsidR="0046460C">
        <w:rPr>
          <w:rFonts w:cs="Arial"/>
          <w:color w:val="000000"/>
          <w:lang w:eastAsia="en-GB"/>
        </w:rPr>
        <w:t xml:space="preserve"> about whether </w:t>
      </w:r>
      <w:r w:rsidR="0046460C" w:rsidRPr="00A51946">
        <w:rPr>
          <w:rFonts w:cs="Arial"/>
          <w:color w:val="000000"/>
          <w:lang w:eastAsia="en-GB"/>
        </w:rPr>
        <w:t xml:space="preserve">sufficient resources will be </w:t>
      </w:r>
      <w:r w:rsidR="0046460C">
        <w:rPr>
          <w:rFonts w:cs="Arial"/>
          <w:color w:val="000000"/>
          <w:lang w:eastAsia="en-GB"/>
        </w:rPr>
        <w:t>allocated</w:t>
      </w:r>
      <w:r w:rsidR="0046460C" w:rsidRPr="00A51946">
        <w:rPr>
          <w:rFonts w:cs="Arial"/>
          <w:color w:val="000000"/>
          <w:lang w:eastAsia="en-GB"/>
        </w:rPr>
        <w:t xml:space="preserve"> </w:t>
      </w:r>
      <w:r w:rsidR="0009045D">
        <w:rPr>
          <w:rFonts w:cs="Arial"/>
          <w:color w:val="000000"/>
          <w:lang w:eastAsia="en-GB"/>
        </w:rPr>
        <w:t xml:space="preserve">for the </w:t>
      </w:r>
      <w:r w:rsidR="003469B1">
        <w:rPr>
          <w:rFonts w:cs="Arial"/>
          <w:color w:val="000000"/>
          <w:lang w:eastAsia="en-GB"/>
        </w:rPr>
        <w:t xml:space="preserve">entire </w:t>
      </w:r>
      <w:r w:rsidR="0009045D">
        <w:rPr>
          <w:rFonts w:cs="Arial"/>
          <w:color w:val="000000"/>
          <w:lang w:eastAsia="en-GB"/>
        </w:rPr>
        <w:t xml:space="preserve">duration of </w:t>
      </w:r>
      <w:r w:rsidR="0046460C">
        <w:rPr>
          <w:rFonts w:cs="Arial"/>
          <w:color w:val="000000"/>
          <w:lang w:eastAsia="en-GB"/>
        </w:rPr>
        <w:t xml:space="preserve">the Commission’s </w:t>
      </w:r>
      <w:r w:rsidR="0009045D">
        <w:rPr>
          <w:rFonts w:cs="Arial"/>
          <w:color w:val="000000"/>
          <w:lang w:eastAsia="en-GB"/>
        </w:rPr>
        <w:t>mandate</w:t>
      </w:r>
      <w:r w:rsidR="0046460C">
        <w:rPr>
          <w:rFonts w:cs="Arial"/>
          <w:color w:val="000000"/>
          <w:lang w:eastAsia="en-GB"/>
        </w:rPr>
        <w:t>. S</w:t>
      </w:r>
      <w:r w:rsidR="0046460C" w:rsidRPr="00A51946">
        <w:rPr>
          <w:rFonts w:cs="Arial"/>
          <w:color w:val="000000"/>
          <w:lang w:eastAsia="en-GB"/>
        </w:rPr>
        <w:t xml:space="preserve">carcity of resources and unstable flows </w:t>
      </w:r>
      <w:r w:rsidR="0046460C">
        <w:rPr>
          <w:rFonts w:cs="Arial"/>
          <w:color w:val="000000"/>
          <w:lang w:eastAsia="en-GB"/>
        </w:rPr>
        <w:t>could</w:t>
      </w:r>
      <w:r w:rsidR="0046460C" w:rsidRPr="00A51946">
        <w:rPr>
          <w:rFonts w:cs="Arial"/>
          <w:color w:val="000000"/>
          <w:lang w:eastAsia="en-GB"/>
        </w:rPr>
        <w:t xml:space="preserve"> severely hamper</w:t>
      </w:r>
      <w:r w:rsidR="0046460C">
        <w:rPr>
          <w:rFonts w:cs="Arial"/>
          <w:color w:val="000000"/>
          <w:lang w:eastAsia="en-GB"/>
        </w:rPr>
        <w:t xml:space="preserve"> </w:t>
      </w:r>
      <w:r w:rsidR="0009045D">
        <w:rPr>
          <w:rFonts w:cs="Arial"/>
          <w:color w:val="000000"/>
          <w:lang w:eastAsia="en-GB"/>
        </w:rPr>
        <w:t xml:space="preserve">the </w:t>
      </w:r>
      <w:r w:rsidR="0046460C">
        <w:rPr>
          <w:rFonts w:cs="Arial"/>
          <w:color w:val="000000"/>
          <w:lang w:eastAsia="en-GB"/>
        </w:rPr>
        <w:t>work</w:t>
      </w:r>
      <w:r w:rsidR="0009045D">
        <w:rPr>
          <w:rFonts w:cs="Arial"/>
          <w:color w:val="000000"/>
          <w:lang w:eastAsia="en-GB"/>
        </w:rPr>
        <w:t xml:space="preserve"> of the Commission</w:t>
      </w:r>
      <w:r w:rsidR="0046460C">
        <w:rPr>
          <w:rFonts w:cs="Arial"/>
          <w:color w:val="000000"/>
          <w:lang w:eastAsia="en-GB"/>
        </w:rPr>
        <w:t xml:space="preserve">. </w:t>
      </w:r>
    </w:p>
    <w:p w:rsidR="0046460C" w:rsidRDefault="00B36B32" w:rsidP="0009045D">
      <w:pPr>
        <w:pStyle w:val="HChG"/>
        <w:rPr>
          <w:rFonts w:cs="Arial"/>
          <w:color w:val="000000"/>
          <w:szCs w:val="28"/>
          <w:lang w:eastAsia="en-GB"/>
        </w:rPr>
      </w:pPr>
      <w:r>
        <w:rPr>
          <w:rFonts w:cs="Arial"/>
          <w:color w:val="000000"/>
          <w:szCs w:val="28"/>
          <w:lang w:eastAsia="en-GB"/>
        </w:rPr>
        <w:tab/>
      </w:r>
      <w:r w:rsidR="0046460C" w:rsidRPr="008B1227">
        <w:rPr>
          <w:rFonts w:cs="Arial"/>
          <w:color w:val="000000"/>
          <w:szCs w:val="28"/>
          <w:lang w:eastAsia="en-GB"/>
        </w:rPr>
        <w:t>IV.</w:t>
      </w:r>
      <w:r>
        <w:rPr>
          <w:rFonts w:cs="Arial"/>
          <w:color w:val="000000"/>
          <w:szCs w:val="28"/>
          <w:lang w:eastAsia="en-GB"/>
        </w:rPr>
        <w:tab/>
      </w:r>
      <w:r w:rsidR="0046460C" w:rsidRPr="009D6968">
        <w:rPr>
          <w:rStyle w:val="HChGChar"/>
          <w:b/>
        </w:rPr>
        <w:t xml:space="preserve">Delay </w:t>
      </w:r>
      <w:r w:rsidR="0009045D">
        <w:rPr>
          <w:rStyle w:val="HChGChar"/>
          <w:b/>
        </w:rPr>
        <w:t>in</w:t>
      </w:r>
      <w:r w:rsidR="0046460C" w:rsidRPr="009D6968">
        <w:rPr>
          <w:rStyle w:val="HChGChar"/>
          <w:b/>
        </w:rPr>
        <w:t xml:space="preserve"> justice </w:t>
      </w:r>
      <w:r w:rsidR="0046460C" w:rsidRPr="007F38C9">
        <w:rPr>
          <w:rStyle w:val="HChGChar"/>
          <w:b/>
        </w:rPr>
        <w:t>initiatives</w:t>
      </w:r>
      <w:r w:rsidR="0046460C" w:rsidRPr="008B1227">
        <w:rPr>
          <w:rFonts w:cs="Arial"/>
          <w:color w:val="000000"/>
          <w:szCs w:val="28"/>
          <w:lang w:eastAsia="en-GB"/>
        </w:rPr>
        <w:t xml:space="preserve"> </w:t>
      </w:r>
    </w:p>
    <w:p w:rsidR="0046460C" w:rsidRPr="00E07B18" w:rsidRDefault="00C71ACD" w:rsidP="00C71ACD">
      <w:pPr>
        <w:pStyle w:val="SingleTxtG"/>
      </w:pPr>
      <w:r w:rsidRPr="00E07B18">
        <w:rPr>
          <w:bCs/>
        </w:rPr>
        <w:t>37.</w:t>
      </w:r>
      <w:r w:rsidRPr="00E07B18">
        <w:rPr>
          <w:bCs/>
        </w:rPr>
        <w:tab/>
      </w:r>
      <w:r w:rsidR="0046460C">
        <w:t xml:space="preserve">The Arusha Agreement set out a comprehensive approach </w:t>
      </w:r>
      <w:r w:rsidR="0009045D">
        <w:t xml:space="preserve">to </w:t>
      </w:r>
      <w:r w:rsidR="0046460C">
        <w:t>and the normative boundaries of the post-conflict transitional justice mechanisms</w:t>
      </w:r>
      <w:r w:rsidR="0009045D">
        <w:t xml:space="preserve"> in</w:t>
      </w:r>
      <w:r w:rsidR="0046460C">
        <w:t xml:space="preserve"> Burundi</w:t>
      </w:r>
      <w:r w:rsidR="0009045D">
        <w:t xml:space="preserve">, </w:t>
      </w:r>
      <w:r w:rsidR="0046460C">
        <w:t>includ</w:t>
      </w:r>
      <w:r w:rsidR="0009045D">
        <w:t>ing</w:t>
      </w:r>
      <w:r w:rsidR="0046460C">
        <w:t xml:space="preserve"> p</w:t>
      </w:r>
      <w:r w:rsidR="0046460C" w:rsidRPr="00E07B18">
        <w:t xml:space="preserve">rinciples and measures </w:t>
      </w:r>
      <w:r w:rsidR="0046460C">
        <w:t>to ensure</w:t>
      </w:r>
      <w:r w:rsidR="0046460C" w:rsidRPr="00E07B18">
        <w:t xml:space="preserve"> justice for past atrocities.</w:t>
      </w:r>
      <w:r w:rsidR="0046460C" w:rsidRPr="00C077B3">
        <w:rPr>
          <w:rStyle w:val="FootnoteReference"/>
        </w:rPr>
        <w:footnoteReference w:id="16"/>
      </w:r>
      <w:r w:rsidR="0046460C" w:rsidRPr="00E07B18">
        <w:t xml:space="preserve"> The Agreement </w:t>
      </w:r>
      <w:r w:rsidR="001D3620">
        <w:t>i</w:t>
      </w:r>
      <w:r w:rsidR="0046460C" w:rsidRPr="00E07B18">
        <w:t xml:space="preserve">s an </w:t>
      </w:r>
      <w:r w:rsidR="0046460C" w:rsidRPr="001D3620">
        <w:t>example</w:t>
      </w:r>
      <w:r w:rsidR="0046460C" w:rsidRPr="00E07B18">
        <w:t xml:space="preserve"> of a positive trend in international law </w:t>
      </w:r>
      <w:r w:rsidR="0046460C">
        <w:t>that</w:t>
      </w:r>
      <w:r w:rsidR="001D3620">
        <w:t>,</w:t>
      </w:r>
      <w:r w:rsidR="0046460C">
        <w:t xml:space="preserve"> to secure</w:t>
      </w:r>
      <w:r w:rsidR="0046460C" w:rsidRPr="00E07B18">
        <w:t xml:space="preserve"> peace</w:t>
      </w:r>
      <w:r w:rsidR="0046460C">
        <w:t xml:space="preserve">, justice </w:t>
      </w:r>
      <w:r w:rsidR="0046460C" w:rsidRPr="00E07B18">
        <w:t>cannot be sacrific</w:t>
      </w:r>
      <w:r w:rsidR="0046460C">
        <w:t>ed</w:t>
      </w:r>
      <w:r w:rsidR="0046460C" w:rsidRPr="00E07B18">
        <w:t>. Th</w:t>
      </w:r>
      <w:r w:rsidR="001D3620">
        <w:t>at</w:t>
      </w:r>
      <w:r w:rsidR="0046460C">
        <w:t xml:space="preserve"> notion</w:t>
      </w:r>
      <w:r w:rsidR="0046460C" w:rsidRPr="00E07B18">
        <w:t xml:space="preserve"> recognizes that a culture of impunity is at the heart of many cycles of violence. Criminal justice has long been considered an effective way to </w:t>
      </w:r>
      <w:r w:rsidR="0046460C">
        <w:t>help</w:t>
      </w:r>
      <w:r w:rsidR="0046460C" w:rsidRPr="00E07B18">
        <w:t xml:space="preserve"> break th</w:t>
      </w:r>
      <w:r w:rsidR="001D3620">
        <w:t>at</w:t>
      </w:r>
      <w:r w:rsidR="0046460C" w:rsidRPr="00E07B18">
        <w:t xml:space="preserve"> cycle, in particular through its norm-affirming function and </w:t>
      </w:r>
      <w:r w:rsidR="001D3620">
        <w:t xml:space="preserve">the </w:t>
      </w:r>
      <w:r w:rsidR="0046460C" w:rsidRPr="00E07B18">
        <w:t>clear message that no one is above the law.</w:t>
      </w:r>
      <w:r w:rsidR="0046460C" w:rsidRPr="00C077B3">
        <w:rPr>
          <w:rStyle w:val="FootnoteReference"/>
        </w:rPr>
        <w:footnoteReference w:id="17"/>
      </w:r>
      <w:r w:rsidR="0046460C">
        <w:t xml:space="preserve"> </w:t>
      </w:r>
    </w:p>
    <w:p w:rsidR="0046460C" w:rsidRPr="00E07B18" w:rsidRDefault="00C71ACD" w:rsidP="00C71ACD">
      <w:pPr>
        <w:pStyle w:val="SingleTxtG"/>
      </w:pPr>
      <w:r w:rsidRPr="00E07B18">
        <w:rPr>
          <w:bCs/>
        </w:rPr>
        <w:t>38.</w:t>
      </w:r>
      <w:r w:rsidRPr="00E07B18">
        <w:rPr>
          <w:bCs/>
        </w:rPr>
        <w:tab/>
      </w:r>
      <w:r w:rsidR="0046460C" w:rsidRPr="00E07B18">
        <w:t>The Arusha Agreement also reaffirm</w:t>
      </w:r>
      <w:r w:rsidR="001D3620">
        <w:t>s</w:t>
      </w:r>
      <w:r w:rsidR="0046460C" w:rsidRPr="00E07B18">
        <w:t xml:space="preserve"> </w:t>
      </w:r>
      <w:r w:rsidR="0046460C">
        <w:t>pre-existing</w:t>
      </w:r>
      <w:r w:rsidR="0046460C" w:rsidRPr="00E07B18">
        <w:t xml:space="preserve"> obligations under international law</w:t>
      </w:r>
      <w:r w:rsidR="0046460C" w:rsidRPr="00C077B3">
        <w:rPr>
          <w:rStyle w:val="FootnoteReference"/>
        </w:rPr>
        <w:footnoteReference w:id="18"/>
      </w:r>
      <w:r w:rsidR="0046460C" w:rsidRPr="00E07B18">
        <w:t xml:space="preserve"> to investigate and prosecute those responsible for genocide, war crimes and crimes against humanity</w:t>
      </w:r>
      <w:r w:rsidR="001D3620">
        <w:t>,</w:t>
      </w:r>
      <w:r w:rsidR="0046460C">
        <w:t xml:space="preserve"> and preclude</w:t>
      </w:r>
      <w:r w:rsidR="001D3620">
        <w:t>s</w:t>
      </w:r>
      <w:r w:rsidR="0046460C">
        <w:t xml:space="preserve"> amnesties for those crimes</w:t>
      </w:r>
      <w:r w:rsidR="0046460C" w:rsidRPr="00E07B18">
        <w:t>.</w:t>
      </w:r>
      <w:r w:rsidR="0046460C" w:rsidRPr="00C077B3">
        <w:rPr>
          <w:rStyle w:val="FootnoteReference"/>
        </w:rPr>
        <w:footnoteReference w:id="19"/>
      </w:r>
      <w:r w:rsidR="0046460C" w:rsidRPr="00E07B18">
        <w:t xml:space="preserve"> The 2009 </w:t>
      </w:r>
      <w:r w:rsidR="001D3620">
        <w:t>n</w:t>
      </w:r>
      <w:r w:rsidR="0046460C" w:rsidRPr="00E07B18">
        <w:t xml:space="preserve">ational </w:t>
      </w:r>
      <w:r w:rsidR="001D3620">
        <w:t>c</w:t>
      </w:r>
      <w:r w:rsidR="0046460C" w:rsidRPr="00E07B18">
        <w:t xml:space="preserve">onsultations </w:t>
      </w:r>
      <w:r w:rsidR="0046460C">
        <w:t xml:space="preserve">followed the </w:t>
      </w:r>
      <w:r w:rsidR="001D3620">
        <w:t>same</w:t>
      </w:r>
      <w:r w:rsidR="0046460C">
        <w:t xml:space="preserve"> approach</w:t>
      </w:r>
      <w:r w:rsidR="001D3620">
        <w:t xml:space="preserve"> as the Agreement,</w:t>
      </w:r>
      <w:r w:rsidR="0046460C" w:rsidRPr="00C077B3">
        <w:rPr>
          <w:rStyle w:val="FootnoteReference"/>
        </w:rPr>
        <w:footnoteReference w:id="20"/>
      </w:r>
      <w:r w:rsidR="0046460C" w:rsidRPr="00E07B18">
        <w:t xml:space="preserve"> </w:t>
      </w:r>
      <w:r w:rsidR="001D3620">
        <w:t>however, de</w:t>
      </w:r>
      <w:r w:rsidR="0046460C" w:rsidRPr="00E07B18">
        <w:t xml:space="preserve">spite </w:t>
      </w:r>
      <w:r w:rsidR="0046460C">
        <w:t xml:space="preserve">well-defined </w:t>
      </w:r>
      <w:r w:rsidR="0046460C" w:rsidRPr="00E07B18">
        <w:t xml:space="preserve">legal commitments, the prohibition against amnesties </w:t>
      </w:r>
      <w:r w:rsidR="001D3620">
        <w:t xml:space="preserve">has, </w:t>
      </w:r>
      <w:r w:rsidR="0046460C">
        <w:t>in practice</w:t>
      </w:r>
      <w:r w:rsidR="001D3620">
        <w:t>,</w:t>
      </w:r>
      <w:r w:rsidR="0046460C" w:rsidRPr="00E07B18">
        <w:t xml:space="preserve"> been largely circumvented</w:t>
      </w:r>
      <w:r w:rsidR="0046460C">
        <w:t>,</w:t>
      </w:r>
      <w:r w:rsidR="0046460C" w:rsidRPr="00E07B18">
        <w:t xml:space="preserve"> and 15 years after </w:t>
      </w:r>
      <w:r w:rsidR="001D3620">
        <w:t xml:space="preserve">the signing of the </w:t>
      </w:r>
      <w:r w:rsidR="0046460C" w:rsidRPr="00E07B18">
        <w:t>Arusha</w:t>
      </w:r>
      <w:r w:rsidR="001D3620">
        <w:t xml:space="preserve"> Agreement,</w:t>
      </w:r>
      <w:r w:rsidR="0046460C" w:rsidRPr="00E07B18">
        <w:t xml:space="preserve"> the implementation of </w:t>
      </w:r>
      <w:r w:rsidR="0046460C">
        <w:t>its</w:t>
      </w:r>
      <w:r w:rsidR="0046460C" w:rsidRPr="00E07B18">
        <w:t xml:space="preserve"> justice pillar remains an empty promise. </w:t>
      </w:r>
    </w:p>
    <w:p w:rsidR="0046460C" w:rsidRPr="00246BCB" w:rsidRDefault="00D04463" w:rsidP="001D3620">
      <w:pPr>
        <w:pStyle w:val="H1G"/>
      </w:pPr>
      <w:r>
        <w:tab/>
        <w:t>A.</w:t>
      </w:r>
      <w:r>
        <w:tab/>
      </w:r>
      <w:r w:rsidR="0046460C" w:rsidRPr="00246BCB">
        <w:t>Stalemate in the creation of a speciali</w:t>
      </w:r>
      <w:r w:rsidR="001D3620">
        <w:t>z</w:t>
      </w:r>
      <w:r w:rsidR="0046460C" w:rsidRPr="00246BCB">
        <w:t>ed justice mechanism</w:t>
      </w:r>
    </w:p>
    <w:p w:rsidR="0046460C" w:rsidRPr="00E07B18" w:rsidRDefault="00C71ACD" w:rsidP="00C71ACD">
      <w:pPr>
        <w:pStyle w:val="SingleTxtG"/>
      </w:pPr>
      <w:r w:rsidRPr="00E07B18">
        <w:rPr>
          <w:bCs/>
        </w:rPr>
        <w:t>39.</w:t>
      </w:r>
      <w:r w:rsidRPr="00E07B18">
        <w:rPr>
          <w:bCs/>
        </w:rPr>
        <w:tab/>
      </w:r>
      <w:r w:rsidR="0046460C" w:rsidRPr="00E07B18">
        <w:t>The establishment of a speciali</w:t>
      </w:r>
      <w:r w:rsidR="00587902">
        <w:t>z</w:t>
      </w:r>
      <w:r w:rsidR="0046460C" w:rsidRPr="00E07B18">
        <w:t>ed justice mechanism for the prosecution of crimes such a</w:t>
      </w:r>
      <w:r w:rsidR="0046460C">
        <w:t>s</w:t>
      </w:r>
      <w:r w:rsidR="0046460C" w:rsidRPr="00E07B18">
        <w:t xml:space="preserve"> genocide, crimes against humanity or war crimes, as </w:t>
      </w:r>
      <w:r w:rsidR="00A16047">
        <w:t>provided for</w:t>
      </w:r>
      <w:r w:rsidR="0046460C" w:rsidRPr="00E07B18">
        <w:t xml:space="preserve"> in the Arusha </w:t>
      </w:r>
      <w:r w:rsidR="0046460C">
        <w:t>A</w:t>
      </w:r>
      <w:r w:rsidR="0046460C" w:rsidRPr="00E07B18">
        <w:t>greement, has been continuously delayed</w:t>
      </w:r>
      <w:r w:rsidR="003469B1">
        <w:t>, including</w:t>
      </w:r>
      <w:r w:rsidR="0046460C" w:rsidRPr="00E07B18">
        <w:t xml:space="preserve"> </w:t>
      </w:r>
      <w:r w:rsidR="00A16047">
        <w:t>by</w:t>
      </w:r>
      <w:r w:rsidR="0046460C" w:rsidRPr="00E07B18">
        <w:t xml:space="preserve"> protracted negotiations with the international community</w:t>
      </w:r>
      <w:r w:rsidR="0046460C">
        <w:t>. N</w:t>
      </w:r>
      <w:r w:rsidR="0046460C" w:rsidRPr="00E07B18">
        <w:t xml:space="preserve">o specific proposals are currently on the table. </w:t>
      </w:r>
      <w:r w:rsidR="0046460C">
        <w:t>Furthermore, t</w:t>
      </w:r>
      <w:r w:rsidR="0046460C" w:rsidRPr="00E07B18">
        <w:t xml:space="preserve">he existing legal </w:t>
      </w:r>
      <w:r w:rsidR="0046460C">
        <w:t xml:space="preserve">domestic </w:t>
      </w:r>
      <w:r w:rsidR="0046460C" w:rsidRPr="00E07B18">
        <w:t xml:space="preserve">framework only permits the prosecution of </w:t>
      </w:r>
      <w:r w:rsidR="00A16047">
        <w:t>such</w:t>
      </w:r>
      <w:r w:rsidR="0046460C" w:rsidRPr="00E07B18">
        <w:t xml:space="preserve"> crime</w:t>
      </w:r>
      <w:r w:rsidR="0046460C">
        <w:t>s</w:t>
      </w:r>
      <w:r w:rsidR="0046460C" w:rsidRPr="00E07B18">
        <w:t xml:space="preserve"> </w:t>
      </w:r>
      <w:r w:rsidR="00A16047">
        <w:t xml:space="preserve">that </w:t>
      </w:r>
      <w:r w:rsidR="0046460C" w:rsidRPr="00A34839">
        <w:t>occurr</w:t>
      </w:r>
      <w:r w:rsidR="00A16047">
        <w:t>ed</w:t>
      </w:r>
      <w:r w:rsidR="0046460C" w:rsidRPr="00A34839">
        <w:t xml:space="preserve"> </w:t>
      </w:r>
      <w:r w:rsidR="00C14601">
        <w:t>after</w:t>
      </w:r>
      <w:r w:rsidR="00C14601" w:rsidRPr="00A34839">
        <w:t xml:space="preserve"> </w:t>
      </w:r>
      <w:r w:rsidR="0046460C" w:rsidRPr="00A34839">
        <w:t>2003</w:t>
      </w:r>
      <w:r w:rsidR="0046460C" w:rsidRPr="00E07B18">
        <w:t>.</w:t>
      </w:r>
      <w:r w:rsidR="0046460C" w:rsidRPr="00C077B3">
        <w:rPr>
          <w:rStyle w:val="FootnoteReference"/>
        </w:rPr>
        <w:footnoteReference w:id="21"/>
      </w:r>
      <w:r w:rsidR="0046460C">
        <w:t xml:space="preserve"> Th</w:t>
      </w:r>
      <w:r w:rsidR="0046460C" w:rsidRPr="00E07B18">
        <w:t xml:space="preserve">e stalemate </w:t>
      </w:r>
      <w:r w:rsidR="0046460C">
        <w:t xml:space="preserve">in the creation of </w:t>
      </w:r>
      <w:r w:rsidR="0046460C" w:rsidRPr="00E07B18">
        <w:t>a speciali</w:t>
      </w:r>
      <w:r w:rsidR="00A16047">
        <w:t>z</w:t>
      </w:r>
      <w:r w:rsidR="0046460C" w:rsidRPr="00E07B18">
        <w:t xml:space="preserve">ed justice mechanism </w:t>
      </w:r>
      <w:r w:rsidR="00A16047">
        <w:t xml:space="preserve">has </w:t>
      </w:r>
      <w:r w:rsidR="0046460C">
        <w:t xml:space="preserve">effectively </w:t>
      </w:r>
      <w:r w:rsidR="0046460C" w:rsidRPr="00E07B18">
        <w:t xml:space="preserve">blocked any form of prosecution for crimes </w:t>
      </w:r>
      <w:r w:rsidR="0046460C">
        <w:t xml:space="preserve">occurring </w:t>
      </w:r>
      <w:r w:rsidR="0046460C" w:rsidRPr="00E07B18">
        <w:t xml:space="preserve">before 2003, </w:t>
      </w:r>
      <w:r w:rsidR="0046460C">
        <w:t>including</w:t>
      </w:r>
      <w:r w:rsidR="0046460C" w:rsidRPr="00E07B18">
        <w:t xml:space="preserve"> </w:t>
      </w:r>
      <w:r w:rsidR="00A16047">
        <w:t xml:space="preserve">during </w:t>
      </w:r>
      <w:r w:rsidR="0046460C" w:rsidRPr="00E07B18">
        <w:t xml:space="preserve">the period </w:t>
      </w:r>
      <w:r w:rsidR="0046460C">
        <w:t xml:space="preserve">with the </w:t>
      </w:r>
      <w:r w:rsidR="0046460C" w:rsidRPr="00E07B18">
        <w:t xml:space="preserve">highest </w:t>
      </w:r>
      <w:r w:rsidR="0046460C">
        <w:t>reported level</w:t>
      </w:r>
      <w:r w:rsidR="0046460C" w:rsidRPr="00E07B18">
        <w:t xml:space="preserve"> of violence. </w:t>
      </w:r>
    </w:p>
    <w:p w:rsidR="0046460C" w:rsidRPr="00246BCB" w:rsidRDefault="00874743" w:rsidP="00025066">
      <w:pPr>
        <w:pStyle w:val="H1G"/>
      </w:pPr>
      <w:r>
        <w:tab/>
        <w:t>B.</w:t>
      </w:r>
      <w:r>
        <w:tab/>
      </w:r>
      <w:r w:rsidR="00F93B4C">
        <w:t>“</w:t>
      </w:r>
      <w:r w:rsidR="0046460C" w:rsidRPr="00246BCB">
        <w:t>Temporary</w:t>
      </w:r>
      <w:r w:rsidR="00F93B4C">
        <w:t>”</w:t>
      </w:r>
      <w:r w:rsidR="0046460C" w:rsidRPr="00246BCB">
        <w:t xml:space="preserve"> immunities </w:t>
      </w:r>
    </w:p>
    <w:p w:rsidR="0046460C" w:rsidRPr="00E07B18" w:rsidRDefault="00C71ACD" w:rsidP="00C71ACD">
      <w:pPr>
        <w:pStyle w:val="SingleTxtG"/>
      </w:pPr>
      <w:r w:rsidRPr="00E07B18">
        <w:rPr>
          <w:bCs/>
        </w:rPr>
        <w:t>40.</w:t>
      </w:r>
      <w:r w:rsidRPr="00E07B18">
        <w:rPr>
          <w:bCs/>
        </w:rPr>
        <w:tab/>
      </w:r>
      <w:r w:rsidR="00A16047" w:rsidRPr="000E653F">
        <w:t>I</w:t>
      </w:r>
      <w:r w:rsidR="0046460C" w:rsidRPr="000E653F">
        <w:t xml:space="preserve">n accordance with the peace accords, </w:t>
      </w:r>
      <w:r w:rsidR="00A16047" w:rsidRPr="000E653F">
        <w:t xml:space="preserve">temporary immunity legislation </w:t>
      </w:r>
      <w:r w:rsidR="0046460C" w:rsidRPr="000E653F">
        <w:t xml:space="preserve">barred the prosecution </w:t>
      </w:r>
      <w:r w:rsidR="000E653F">
        <w:t>for</w:t>
      </w:r>
      <w:r w:rsidR="000E653F" w:rsidRPr="000E653F">
        <w:t xml:space="preserve"> </w:t>
      </w:r>
      <w:r w:rsidR="0046460C" w:rsidRPr="000E653F">
        <w:t xml:space="preserve">past massive violations </w:t>
      </w:r>
      <w:r w:rsidR="000E2B47" w:rsidRPr="000E653F">
        <w:t xml:space="preserve">as ordinary crimes </w:t>
      </w:r>
      <w:r w:rsidR="0046460C" w:rsidRPr="000E653F">
        <w:t xml:space="preserve">before domestic courts, even if </w:t>
      </w:r>
      <w:r w:rsidR="00A16047" w:rsidRPr="000E653F">
        <w:t xml:space="preserve">they were </w:t>
      </w:r>
      <w:r w:rsidR="0046460C" w:rsidRPr="000E653F">
        <w:t>not termed acts of genocide, crimes against humanity or</w:t>
      </w:r>
      <w:r w:rsidR="0046460C" w:rsidRPr="00E07B18">
        <w:t xml:space="preserve"> war crimes.</w:t>
      </w:r>
      <w:r w:rsidR="0046460C" w:rsidRPr="00C077B3">
        <w:rPr>
          <w:rStyle w:val="FootnoteReference"/>
        </w:rPr>
        <w:footnoteReference w:id="22"/>
      </w:r>
      <w:r w:rsidR="0046460C" w:rsidRPr="00E07B18">
        <w:t xml:space="preserve"> Initially, </w:t>
      </w:r>
      <w:r w:rsidR="00A16047">
        <w:t xml:space="preserve">the granting of </w:t>
      </w:r>
      <w:r w:rsidR="0046460C" w:rsidRPr="00E07B18">
        <w:t>temporary immunities w</w:t>
      </w:r>
      <w:r w:rsidR="00A16047">
        <w:t>as</w:t>
      </w:r>
      <w:r w:rsidR="0046460C" w:rsidRPr="00E07B18">
        <w:t xml:space="preserve"> limited to political leaders of insurgent movements living in exile to enable them to return to </w:t>
      </w:r>
      <w:r w:rsidR="0046460C">
        <w:t>the country</w:t>
      </w:r>
      <w:r w:rsidR="0046460C" w:rsidRPr="00E07B18">
        <w:t>. In th</w:t>
      </w:r>
      <w:r w:rsidR="00A16047">
        <w:t>at</w:t>
      </w:r>
      <w:r w:rsidR="0046460C" w:rsidRPr="00E07B18">
        <w:t xml:space="preserve"> respect, the </w:t>
      </w:r>
      <w:r w:rsidR="0046460C">
        <w:t xml:space="preserve">immunities </w:t>
      </w:r>
      <w:r w:rsidR="0046460C" w:rsidRPr="00E07B18">
        <w:t>regime was an essential component for the successful implementation of the power-sharing provisions in the peace accords.</w:t>
      </w:r>
      <w:r w:rsidR="0046460C" w:rsidRPr="00C077B3">
        <w:rPr>
          <w:rStyle w:val="FootnoteReference"/>
        </w:rPr>
        <w:footnoteReference w:id="23"/>
      </w:r>
      <w:r w:rsidR="0046460C" w:rsidRPr="00E07B18">
        <w:t xml:space="preserve"> </w:t>
      </w:r>
      <w:r w:rsidR="0046460C">
        <w:t>A</w:t>
      </w:r>
      <w:r w:rsidR="0046460C" w:rsidRPr="00E07B18">
        <w:t>cts of genocide, crimes against humanity and war crimes</w:t>
      </w:r>
      <w:r w:rsidR="0046460C">
        <w:t xml:space="preserve"> were explicitly excluded</w:t>
      </w:r>
      <w:r w:rsidR="0046460C" w:rsidRPr="00E07B18">
        <w:t>.</w:t>
      </w:r>
      <w:r w:rsidR="0046460C" w:rsidRPr="00C077B3">
        <w:rPr>
          <w:rStyle w:val="FootnoteReference"/>
        </w:rPr>
        <w:footnoteReference w:id="24"/>
      </w:r>
      <w:r w:rsidR="0046460C">
        <w:t xml:space="preserve"> </w:t>
      </w:r>
    </w:p>
    <w:p w:rsidR="0046460C" w:rsidRPr="00E07B18" w:rsidRDefault="00C71ACD" w:rsidP="00C71ACD">
      <w:pPr>
        <w:pStyle w:val="SingleTxtG"/>
      </w:pPr>
      <w:r w:rsidRPr="00E07B18">
        <w:rPr>
          <w:bCs/>
        </w:rPr>
        <w:t>41.</w:t>
      </w:r>
      <w:r w:rsidRPr="00E07B18">
        <w:rPr>
          <w:bCs/>
        </w:rPr>
        <w:tab/>
      </w:r>
      <w:r w:rsidR="0046460C" w:rsidRPr="00E07B18">
        <w:t xml:space="preserve">The </w:t>
      </w:r>
      <w:r w:rsidR="00A16047">
        <w:t xml:space="preserve">use and interpretation </w:t>
      </w:r>
      <w:r w:rsidR="0046460C">
        <w:t>of the</w:t>
      </w:r>
      <w:r w:rsidR="0046460C" w:rsidRPr="00E07B18">
        <w:t xml:space="preserve"> temporary immunities gradually expanded in </w:t>
      </w:r>
      <w:r w:rsidR="00A16047">
        <w:t>scope</w:t>
      </w:r>
      <w:r w:rsidR="0046460C" w:rsidRPr="00E07B18">
        <w:t xml:space="preserve">. Initially limited to the period of the transition, which </w:t>
      </w:r>
      <w:r w:rsidR="0046460C">
        <w:t>came to its constitutionally</w:t>
      </w:r>
      <w:r w:rsidR="003E610A">
        <w:t xml:space="preserve"> </w:t>
      </w:r>
      <w:r w:rsidR="0046460C">
        <w:t xml:space="preserve">mandated end </w:t>
      </w:r>
      <w:r w:rsidR="0046460C" w:rsidRPr="00E07B18">
        <w:t xml:space="preserve">in 2005, the current legislation extends </w:t>
      </w:r>
      <w:r w:rsidR="0046460C">
        <w:t>the</w:t>
      </w:r>
      <w:r w:rsidR="0046460C" w:rsidRPr="00E07B18">
        <w:t xml:space="preserve"> immunit</w:t>
      </w:r>
      <w:r w:rsidR="0046460C">
        <w:t>ies</w:t>
      </w:r>
      <w:r w:rsidR="0046460C" w:rsidRPr="00E07B18">
        <w:t xml:space="preserve"> until the establishment of the Truth and Reconciliation Commission and the Special Tribunal.</w:t>
      </w:r>
      <w:r w:rsidR="0046460C" w:rsidRPr="00C077B3">
        <w:rPr>
          <w:rStyle w:val="FootnoteReference"/>
        </w:rPr>
        <w:footnoteReference w:id="25"/>
      </w:r>
      <w:r w:rsidR="0046460C" w:rsidRPr="00E07B18">
        <w:t xml:space="preserve"> </w:t>
      </w:r>
      <w:r w:rsidR="0046460C">
        <w:t>G</w:t>
      </w:r>
      <w:r w:rsidR="0046460C" w:rsidRPr="00E07B18">
        <w:t xml:space="preserve">iven the current </w:t>
      </w:r>
      <w:r w:rsidR="00C14601">
        <w:t xml:space="preserve">deadlock </w:t>
      </w:r>
      <w:r w:rsidR="00A16047">
        <w:t>regarding</w:t>
      </w:r>
      <w:r w:rsidR="00C14601">
        <w:t xml:space="preserve"> the</w:t>
      </w:r>
      <w:r w:rsidR="0046460C" w:rsidRPr="00E07B18">
        <w:t xml:space="preserve"> establish</w:t>
      </w:r>
      <w:r w:rsidR="00C14601">
        <w:t xml:space="preserve">ment of </w:t>
      </w:r>
      <w:r w:rsidR="0046460C" w:rsidRPr="00E07B18">
        <w:t xml:space="preserve">a </w:t>
      </w:r>
      <w:r w:rsidR="0046460C">
        <w:t xml:space="preserve">specialized judicial mechanism, </w:t>
      </w:r>
      <w:r w:rsidR="0046460C" w:rsidRPr="00E07B18">
        <w:t xml:space="preserve">the benefits of temporary immunity </w:t>
      </w:r>
      <w:r w:rsidR="00A16047">
        <w:t xml:space="preserve">may be extended </w:t>
      </w:r>
      <w:r w:rsidR="0046460C" w:rsidRPr="00E07B18">
        <w:t>for many years</w:t>
      </w:r>
      <w:r w:rsidR="0046460C">
        <w:t>.</w:t>
      </w:r>
      <w:r w:rsidR="0046460C" w:rsidRPr="00E07B18">
        <w:t xml:space="preserve"> </w:t>
      </w:r>
    </w:p>
    <w:p w:rsidR="0046460C" w:rsidRPr="00E07B18" w:rsidRDefault="00C71ACD" w:rsidP="00C71ACD">
      <w:pPr>
        <w:pStyle w:val="SingleTxtG"/>
      </w:pPr>
      <w:r w:rsidRPr="00E07B18">
        <w:rPr>
          <w:bCs/>
        </w:rPr>
        <w:t>42.</w:t>
      </w:r>
      <w:r w:rsidRPr="00E07B18">
        <w:rPr>
          <w:bCs/>
        </w:rPr>
        <w:tab/>
      </w:r>
      <w:r w:rsidR="0046460C">
        <w:t xml:space="preserve">Similarly, </w:t>
      </w:r>
      <w:r w:rsidR="0046460C" w:rsidRPr="00E07B18">
        <w:t xml:space="preserve">the range of beneficiaries of temporary immunity </w:t>
      </w:r>
      <w:r w:rsidR="00A16047">
        <w:t xml:space="preserve">has </w:t>
      </w:r>
      <w:r w:rsidR="0046460C">
        <w:t xml:space="preserve">gradually </w:t>
      </w:r>
      <w:r w:rsidR="0046460C" w:rsidRPr="00E07B18">
        <w:t>expanded</w:t>
      </w:r>
      <w:r w:rsidR="0046460C">
        <w:t xml:space="preserve">. </w:t>
      </w:r>
      <w:r w:rsidR="00A16047">
        <w:t>In addition to</w:t>
      </w:r>
      <w:r w:rsidR="0046460C">
        <w:t xml:space="preserve"> </w:t>
      </w:r>
      <w:r w:rsidR="0046460C" w:rsidRPr="00E07B18">
        <w:t>political leaders of insurgent movements living in exile</w:t>
      </w:r>
      <w:r w:rsidR="0046460C">
        <w:t>,</w:t>
      </w:r>
      <w:r w:rsidR="006D102B">
        <w:t xml:space="preserve"> immunity may also be granted to </w:t>
      </w:r>
      <w:r w:rsidR="0046460C" w:rsidRPr="00E07B18">
        <w:t xml:space="preserve">the leadership of the </w:t>
      </w:r>
      <w:r w:rsidR="00034527">
        <w:t>National Council for the Defence of Democracy–Forces for the Defence of Democracy</w:t>
      </w:r>
      <w:r w:rsidR="0046460C" w:rsidRPr="00E07B18">
        <w:t xml:space="preserve">, ordinary combatants </w:t>
      </w:r>
      <w:r w:rsidR="0046460C">
        <w:t>and</w:t>
      </w:r>
      <w:r w:rsidR="0046460C" w:rsidRPr="00E07B18">
        <w:t xml:space="preserve"> </w:t>
      </w:r>
      <w:r w:rsidR="006D102B">
        <w:t>former</w:t>
      </w:r>
      <w:r w:rsidR="0046460C">
        <w:t xml:space="preserve"> </w:t>
      </w:r>
      <w:r w:rsidR="0046460C" w:rsidRPr="00E07B18">
        <w:t xml:space="preserve">members of the government security forces. </w:t>
      </w:r>
      <w:r w:rsidR="006D102B">
        <w:t>I</w:t>
      </w:r>
      <w:r w:rsidR="0046460C" w:rsidRPr="00E07B18">
        <w:t>mmunities w</w:t>
      </w:r>
      <w:r w:rsidR="0046460C">
        <w:t>ere</w:t>
      </w:r>
      <w:r w:rsidR="006D102B">
        <w:t xml:space="preserve"> also</w:t>
      </w:r>
      <w:r w:rsidR="0046460C" w:rsidRPr="00E07B18">
        <w:t xml:space="preserve"> extended to political prisoners</w:t>
      </w:r>
      <w:r w:rsidR="0046460C">
        <w:t>,</w:t>
      </w:r>
      <w:r w:rsidR="0046460C" w:rsidRPr="00E07B18">
        <w:t xml:space="preserve"> without </w:t>
      </w:r>
      <w:r w:rsidR="0046460C">
        <w:t>reference to a specific</w:t>
      </w:r>
      <w:r w:rsidR="0046460C" w:rsidRPr="00E07B18">
        <w:t xml:space="preserve"> defini</w:t>
      </w:r>
      <w:r w:rsidR="0046460C">
        <w:t xml:space="preserve">tion, and convicted </w:t>
      </w:r>
      <w:r w:rsidR="0046460C" w:rsidRPr="00E07B18">
        <w:t xml:space="preserve">detainees. A series of ministerial orders </w:t>
      </w:r>
      <w:r w:rsidR="0046460C">
        <w:t xml:space="preserve">led to </w:t>
      </w:r>
      <w:r w:rsidR="0046460C" w:rsidRPr="00E07B18">
        <w:t>the release of over 3</w:t>
      </w:r>
      <w:r w:rsidR="006D102B">
        <w:t>,</w:t>
      </w:r>
      <w:r w:rsidR="0046460C" w:rsidRPr="00E07B18">
        <w:t>000 prisoners</w:t>
      </w:r>
      <w:r w:rsidR="006D102B">
        <w:t xml:space="preserve">, which </w:t>
      </w:r>
      <w:r w:rsidR="0046460C" w:rsidRPr="00E07B18">
        <w:t>ha</w:t>
      </w:r>
      <w:r w:rsidR="006D102B">
        <w:t>s</w:t>
      </w:r>
      <w:r w:rsidR="0046460C" w:rsidRPr="00E07B18">
        <w:t xml:space="preserve"> </w:t>
      </w:r>
      <w:r w:rsidR="0046460C">
        <w:t xml:space="preserve">been </w:t>
      </w:r>
      <w:r w:rsidR="006D102B">
        <w:t xml:space="preserve">a source of </w:t>
      </w:r>
      <w:r w:rsidR="0046460C" w:rsidRPr="00E07B18">
        <w:t>controvers</w:t>
      </w:r>
      <w:r w:rsidR="006D102B">
        <w:t>y</w:t>
      </w:r>
      <w:r w:rsidR="0046460C" w:rsidRPr="00E07B18">
        <w:t xml:space="preserve"> in Burundian society</w:t>
      </w:r>
      <w:r w:rsidR="0046460C">
        <w:t>; a case presented by</w:t>
      </w:r>
      <w:r w:rsidR="0046460C" w:rsidRPr="00E07B18">
        <w:t xml:space="preserve"> local human rights groups </w:t>
      </w:r>
      <w:r w:rsidR="006D102B">
        <w:t>before</w:t>
      </w:r>
      <w:r w:rsidR="0046460C">
        <w:t xml:space="preserve"> the Constitutional Court</w:t>
      </w:r>
      <w:r w:rsidR="00F603C3">
        <w:t xml:space="preserve"> </w:t>
      </w:r>
      <w:r w:rsidR="0046460C" w:rsidRPr="00E07B18">
        <w:t>challeng</w:t>
      </w:r>
      <w:r w:rsidR="00F603C3">
        <w:t>ing</w:t>
      </w:r>
      <w:r w:rsidR="0046460C">
        <w:t xml:space="preserve"> </w:t>
      </w:r>
      <w:r w:rsidR="0046460C" w:rsidRPr="00E07B18">
        <w:t>the ministerial orders</w:t>
      </w:r>
      <w:r w:rsidR="0046460C">
        <w:t xml:space="preserve"> was declared inadmissible. The undisciplined expansion of both the subjects and temporal scope of the immunities suggest that</w:t>
      </w:r>
      <w:r w:rsidR="00F603C3">
        <w:t xml:space="preserve">, </w:t>
      </w:r>
      <w:r w:rsidR="00F603C3" w:rsidRPr="00353D79">
        <w:t>de facto</w:t>
      </w:r>
      <w:r w:rsidR="00F603C3">
        <w:t>,</w:t>
      </w:r>
      <w:r w:rsidR="0046460C">
        <w:t xml:space="preserve"> </w:t>
      </w:r>
      <w:r w:rsidR="00F603C3">
        <w:t xml:space="preserve">they </w:t>
      </w:r>
      <w:r w:rsidR="0046460C">
        <w:t>ha</w:t>
      </w:r>
      <w:r w:rsidR="00F603C3">
        <w:t>ve</w:t>
      </w:r>
      <w:r w:rsidR="0046460C">
        <w:t xml:space="preserve"> become a permanent amnesty scheme</w:t>
      </w:r>
      <w:r w:rsidR="00F603C3">
        <w:t xml:space="preserve">; </w:t>
      </w:r>
      <w:r w:rsidR="0046460C">
        <w:t>the benefits</w:t>
      </w:r>
      <w:r w:rsidR="00F603C3">
        <w:t xml:space="preserve"> </w:t>
      </w:r>
      <w:r w:rsidR="0046460C">
        <w:t>are hardly temporary and are contrary to the initial legislation</w:t>
      </w:r>
      <w:r w:rsidR="006851CB">
        <w:t>’</w:t>
      </w:r>
      <w:r w:rsidR="0046460C">
        <w:t>s exclusion of atrocity crimes. Against this background, the G</w:t>
      </w:r>
      <w:r w:rsidR="0046460C" w:rsidRPr="00E07B18">
        <w:t xml:space="preserve">overnment </w:t>
      </w:r>
      <w:r w:rsidR="0046460C">
        <w:t>must</w:t>
      </w:r>
      <w:r w:rsidR="0046460C" w:rsidRPr="00E07B18">
        <w:t xml:space="preserve"> </w:t>
      </w:r>
      <w:r w:rsidR="00F603C3">
        <w:t>initiate</w:t>
      </w:r>
      <w:r w:rsidR="0046460C" w:rsidRPr="00E07B18">
        <w:t xml:space="preserve"> serious discussions with all relevant stakeholders, including civil society, on </w:t>
      </w:r>
      <w:r w:rsidR="0046460C">
        <w:t xml:space="preserve">how to reassert, at minimum, the original boundaries of the immunities regime or more generally, </w:t>
      </w:r>
      <w:r w:rsidR="00F603C3">
        <w:t>on</w:t>
      </w:r>
      <w:r w:rsidR="0046460C">
        <w:t xml:space="preserve"> whether they still serve their legitimate purpose. In any case, </w:t>
      </w:r>
      <w:r w:rsidR="0046460C" w:rsidRPr="00FA0016">
        <w:t>amnesties covering genocide, crimes against humanity, war crimes</w:t>
      </w:r>
      <w:r w:rsidR="00F603C3">
        <w:t>,</w:t>
      </w:r>
      <w:r w:rsidR="0046460C" w:rsidRPr="00FA0016">
        <w:t xml:space="preserve"> gross human rights violations </w:t>
      </w:r>
      <w:r w:rsidR="003469B1">
        <w:t>or</w:t>
      </w:r>
      <w:r w:rsidR="003469B1" w:rsidRPr="00FA0016">
        <w:t xml:space="preserve"> </w:t>
      </w:r>
      <w:r w:rsidR="0046460C" w:rsidRPr="00FA0016">
        <w:t>serious violations of international humanitarian law</w:t>
      </w:r>
      <w:r w:rsidR="00F603C3">
        <w:t>,</w:t>
      </w:r>
      <w:r w:rsidR="0046460C" w:rsidRPr="00FA0016">
        <w:t xml:space="preserve"> either </w:t>
      </w:r>
      <w:r w:rsidR="0046460C" w:rsidRPr="00353D79">
        <w:rPr>
          <w:iCs/>
        </w:rPr>
        <w:t>de jure</w:t>
      </w:r>
      <w:r w:rsidR="0046460C" w:rsidRPr="00FA0016">
        <w:t xml:space="preserve"> or </w:t>
      </w:r>
      <w:r w:rsidR="0046460C" w:rsidRPr="00353D79">
        <w:rPr>
          <w:iCs/>
        </w:rPr>
        <w:t>de facto</w:t>
      </w:r>
      <w:r w:rsidR="0046460C" w:rsidRPr="00FA0016">
        <w:t>, are inadmissible under international law.</w:t>
      </w:r>
    </w:p>
    <w:p w:rsidR="0046460C" w:rsidRPr="002D1884" w:rsidRDefault="00A262D3" w:rsidP="00D22C79">
      <w:pPr>
        <w:pStyle w:val="H1G"/>
      </w:pPr>
      <w:r>
        <w:tab/>
        <w:t>C.</w:t>
      </w:r>
      <w:r>
        <w:tab/>
      </w:r>
      <w:r w:rsidR="00D22C79">
        <w:t>I</w:t>
      </w:r>
      <w:r w:rsidR="0046460C" w:rsidRPr="002D1884">
        <w:t xml:space="preserve">s the </w:t>
      </w:r>
      <w:r w:rsidR="000C4C8B">
        <w:t>T</w:t>
      </w:r>
      <w:r w:rsidR="00F603C3">
        <w:t xml:space="preserve">ruth and </w:t>
      </w:r>
      <w:r w:rsidR="000C4C8B">
        <w:t>R</w:t>
      </w:r>
      <w:r w:rsidR="00F603C3">
        <w:t>econciliation</w:t>
      </w:r>
      <w:r w:rsidR="000C4C8B">
        <w:t xml:space="preserve"> Commission </w:t>
      </w:r>
      <w:r w:rsidR="0046460C" w:rsidRPr="002D1884">
        <w:t>further delay</w:t>
      </w:r>
      <w:r w:rsidR="00D22C79">
        <w:t>ing</w:t>
      </w:r>
      <w:r w:rsidR="0046460C" w:rsidRPr="002D1884">
        <w:t xml:space="preserve"> justice? </w:t>
      </w:r>
    </w:p>
    <w:p w:rsidR="0046460C" w:rsidRPr="00E07B18" w:rsidRDefault="00C71ACD" w:rsidP="00C71ACD">
      <w:pPr>
        <w:pStyle w:val="SingleTxtG"/>
      </w:pPr>
      <w:r w:rsidRPr="00E07B18">
        <w:rPr>
          <w:bCs/>
        </w:rPr>
        <w:t>43.</w:t>
      </w:r>
      <w:r w:rsidRPr="00E07B18">
        <w:rPr>
          <w:bCs/>
        </w:rPr>
        <w:tab/>
      </w:r>
      <w:r w:rsidR="00F603C3">
        <w:t>I</w:t>
      </w:r>
      <w:r w:rsidR="0046460C" w:rsidRPr="00E07B18">
        <w:t xml:space="preserve">n contrast to </w:t>
      </w:r>
      <w:r w:rsidR="00F603C3">
        <w:t>earlier</w:t>
      </w:r>
      <w:r w:rsidR="0046460C" w:rsidRPr="00E07B18">
        <w:t xml:space="preserve"> drafts</w:t>
      </w:r>
      <w:r w:rsidR="00F603C3">
        <w:t xml:space="preserve">, </w:t>
      </w:r>
      <w:r w:rsidR="0046460C" w:rsidRPr="00E07B18">
        <w:t xml:space="preserve">the enacted version </w:t>
      </w:r>
      <w:r w:rsidR="00F603C3">
        <w:t xml:space="preserve">of Law </w:t>
      </w:r>
      <w:r w:rsidR="000E653F">
        <w:t xml:space="preserve">No. </w:t>
      </w:r>
      <w:r w:rsidR="00F603C3">
        <w:t xml:space="preserve">1/18 </w:t>
      </w:r>
      <w:r w:rsidR="0046460C" w:rsidRPr="00E07B18">
        <w:t xml:space="preserve">does not include reference to a judicial mechanism. Moreover, the Government has stated that the Truth and Reconciliation Commission </w:t>
      </w:r>
      <w:r w:rsidR="0046460C">
        <w:t xml:space="preserve">must </w:t>
      </w:r>
      <w:r w:rsidR="0046460C" w:rsidRPr="00E07B18">
        <w:t xml:space="preserve">conclude its work before </w:t>
      </w:r>
      <w:r w:rsidR="0046460C">
        <w:t xml:space="preserve">the Government </w:t>
      </w:r>
      <w:r w:rsidR="0046460C" w:rsidRPr="00E07B18">
        <w:t>decid</w:t>
      </w:r>
      <w:r w:rsidR="0046460C">
        <w:t>e</w:t>
      </w:r>
      <w:r w:rsidR="00F603C3">
        <w:t>s</w:t>
      </w:r>
      <w:r w:rsidR="0046460C" w:rsidRPr="00E07B18">
        <w:t xml:space="preserve"> how to proceed with judicial investigations.</w:t>
      </w:r>
      <w:r w:rsidR="0046460C">
        <w:t xml:space="preserve"> </w:t>
      </w:r>
      <w:r w:rsidR="0046460C" w:rsidRPr="00E07B18">
        <w:t xml:space="preserve">Article 61 of </w:t>
      </w:r>
      <w:r w:rsidR="00F603C3">
        <w:t>L</w:t>
      </w:r>
      <w:r w:rsidR="0046460C" w:rsidRPr="00E07B18">
        <w:t>aw</w:t>
      </w:r>
      <w:r w:rsidR="00F603C3">
        <w:t xml:space="preserve"> </w:t>
      </w:r>
      <w:r w:rsidR="000E653F">
        <w:t xml:space="preserve">No. </w:t>
      </w:r>
      <w:r w:rsidR="00F603C3">
        <w:t>1/18</w:t>
      </w:r>
      <w:r w:rsidR="0046460C" w:rsidRPr="00E07B18">
        <w:t xml:space="preserve"> seems to suspend all </w:t>
      </w:r>
      <w:r w:rsidR="0046460C">
        <w:t xml:space="preserve">criminal </w:t>
      </w:r>
      <w:r w:rsidR="0046460C" w:rsidRPr="00E07B18">
        <w:t xml:space="preserve">proceedings until </w:t>
      </w:r>
      <w:r w:rsidR="00F603C3">
        <w:t>the Commission issues its conclusions</w:t>
      </w:r>
      <w:r w:rsidR="0046460C" w:rsidRPr="00E07B18">
        <w:t>. Th</w:t>
      </w:r>
      <w:r w:rsidR="003D405B">
        <w:t>at</w:t>
      </w:r>
      <w:r w:rsidR="0046460C" w:rsidRPr="00E07B18">
        <w:t xml:space="preserve"> is a </w:t>
      </w:r>
      <w:r w:rsidR="0046460C">
        <w:t xml:space="preserve">disturbing </w:t>
      </w:r>
      <w:r w:rsidR="0046460C" w:rsidRPr="00E07B18">
        <w:t xml:space="preserve">departure from </w:t>
      </w:r>
      <w:r w:rsidR="003D405B">
        <w:t xml:space="preserve">the </w:t>
      </w:r>
      <w:r w:rsidR="0046460C" w:rsidRPr="00E07B18">
        <w:t>commitments made at Arusha.</w:t>
      </w:r>
    </w:p>
    <w:p w:rsidR="0046460C" w:rsidRDefault="00C71ACD" w:rsidP="00C71ACD">
      <w:pPr>
        <w:pStyle w:val="SingleTxtG"/>
      </w:pPr>
      <w:r>
        <w:rPr>
          <w:bCs/>
        </w:rPr>
        <w:t>44.</w:t>
      </w:r>
      <w:r>
        <w:rPr>
          <w:bCs/>
        </w:rPr>
        <w:tab/>
      </w:r>
      <w:r w:rsidR="0046460C" w:rsidRPr="00E07B18">
        <w:t xml:space="preserve">It </w:t>
      </w:r>
      <w:r w:rsidR="003D405B">
        <w:t>took</w:t>
      </w:r>
      <w:r w:rsidR="0046460C" w:rsidRPr="00E07B18">
        <w:t xml:space="preserve"> almost 14 years </w:t>
      </w:r>
      <w:r w:rsidR="003D405B">
        <w:t>after</w:t>
      </w:r>
      <w:r w:rsidR="0046460C" w:rsidRPr="00E07B18">
        <w:t xml:space="preserve"> </w:t>
      </w:r>
      <w:r w:rsidR="0046460C">
        <w:t>the</w:t>
      </w:r>
      <w:r w:rsidR="003D405B">
        <w:t xml:space="preserve"> signing of the</w:t>
      </w:r>
      <w:r w:rsidR="0046460C">
        <w:t xml:space="preserve"> </w:t>
      </w:r>
      <w:r w:rsidR="0046460C" w:rsidRPr="00E07B18">
        <w:t xml:space="preserve">Arusha </w:t>
      </w:r>
      <w:r w:rsidR="0046460C">
        <w:t xml:space="preserve">Agreement </w:t>
      </w:r>
      <w:r w:rsidR="0046460C" w:rsidRPr="00E07B18">
        <w:t xml:space="preserve">to establish the </w:t>
      </w:r>
      <w:r w:rsidR="0046460C">
        <w:t>Truth and Reconciliation Commission</w:t>
      </w:r>
      <w:r w:rsidR="0046460C" w:rsidRPr="00E07B18">
        <w:t xml:space="preserve">, and it may take </w:t>
      </w:r>
      <w:r w:rsidR="003D405B">
        <w:t>another 5</w:t>
      </w:r>
      <w:r w:rsidR="0046460C" w:rsidRPr="00E07B18">
        <w:t xml:space="preserve"> years before the Commission concludes its work. </w:t>
      </w:r>
      <w:r w:rsidR="0046460C">
        <w:t>Burundi cannot afford to put off justice considerations any longer. Making concrete</w:t>
      </w:r>
      <w:r w:rsidR="0046460C" w:rsidRPr="00762CFE">
        <w:t xml:space="preserve"> the </w:t>
      </w:r>
      <w:r w:rsidR="0046460C">
        <w:t xml:space="preserve">promise made in Arusha </w:t>
      </w:r>
      <w:r w:rsidR="003D405B">
        <w:t xml:space="preserve">to </w:t>
      </w:r>
      <w:r w:rsidR="0046460C" w:rsidRPr="00762CFE">
        <w:t xml:space="preserve">implement the justice </w:t>
      </w:r>
      <w:r w:rsidR="0046460C">
        <w:t>mechanism</w:t>
      </w:r>
      <w:r w:rsidR="0046460C" w:rsidRPr="00762CFE">
        <w:t xml:space="preserve"> would demonstrate that the pardon procedure </w:t>
      </w:r>
      <w:r w:rsidR="003D405B">
        <w:t>provided for in L</w:t>
      </w:r>
      <w:r w:rsidR="0046460C" w:rsidRPr="00762CFE">
        <w:t>aw</w:t>
      </w:r>
      <w:r w:rsidR="003D405B">
        <w:t xml:space="preserve"> </w:t>
      </w:r>
      <w:r w:rsidR="000E653F">
        <w:t xml:space="preserve">No. </w:t>
      </w:r>
      <w:r w:rsidR="003D405B">
        <w:t>1/18</w:t>
      </w:r>
      <w:r w:rsidR="0046460C" w:rsidRPr="00762CFE">
        <w:t xml:space="preserve"> </w:t>
      </w:r>
      <w:r w:rsidR="0046460C">
        <w:t xml:space="preserve">can be </w:t>
      </w:r>
      <w:r w:rsidR="0046460C" w:rsidRPr="00762CFE">
        <w:t xml:space="preserve">compatible with justice and </w:t>
      </w:r>
      <w:r w:rsidR="00396177">
        <w:t xml:space="preserve">that </w:t>
      </w:r>
      <w:r w:rsidR="0046460C" w:rsidRPr="00762CFE">
        <w:t xml:space="preserve">reconciliation </w:t>
      </w:r>
      <w:r w:rsidR="00396177">
        <w:t xml:space="preserve">is not sought through </w:t>
      </w:r>
      <w:r w:rsidR="0046460C" w:rsidRPr="00762CFE">
        <w:t>yet another inequitable transfer of burden to victims</w:t>
      </w:r>
      <w:r w:rsidR="0046460C">
        <w:t xml:space="preserve"> – that is, the</w:t>
      </w:r>
      <w:r w:rsidR="0046460C" w:rsidRPr="00762CFE">
        <w:t xml:space="preserve"> sacrifice</w:t>
      </w:r>
      <w:r w:rsidR="0046460C">
        <w:t xml:space="preserve"> of</w:t>
      </w:r>
      <w:r w:rsidR="0046460C" w:rsidRPr="00762CFE">
        <w:t xml:space="preserve"> their right to justice.</w:t>
      </w:r>
    </w:p>
    <w:p w:rsidR="0046460C" w:rsidRPr="00E07B18" w:rsidRDefault="00C71ACD" w:rsidP="00C71ACD">
      <w:pPr>
        <w:pStyle w:val="SingleTxtG"/>
      </w:pPr>
      <w:r w:rsidRPr="00E07B18">
        <w:rPr>
          <w:bCs/>
        </w:rPr>
        <w:t>45.</w:t>
      </w:r>
      <w:r w:rsidRPr="00E07B18">
        <w:rPr>
          <w:bCs/>
        </w:rPr>
        <w:tab/>
      </w:r>
      <w:r w:rsidR="0046460C">
        <w:t>Furthermore, t</w:t>
      </w:r>
      <w:r w:rsidR="0046460C" w:rsidRPr="00E07B18">
        <w:t xml:space="preserve">he passage of time increases obstacles to judicial procedures, including the death of victims and witnesses. </w:t>
      </w:r>
      <w:r w:rsidR="0046460C">
        <w:t>J</w:t>
      </w:r>
      <w:r w:rsidR="0046460C" w:rsidRPr="00E07B18">
        <w:t xml:space="preserve">udicial investigations and prosecutions always rest upon </w:t>
      </w:r>
      <w:r w:rsidR="0046460C">
        <w:t>important but time-consuming and time-sensitive</w:t>
      </w:r>
      <w:r w:rsidR="0046460C" w:rsidRPr="00E07B18">
        <w:t xml:space="preserve"> preparatory work</w:t>
      </w:r>
      <w:r w:rsidR="00C14601">
        <w:t xml:space="preserve">, of which </w:t>
      </w:r>
      <w:r w:rsidR="0046460C" w:rsidRPr="00E07B18">
        <w:t xml:space="preserve">gathering </w:t>
      </w:r>
      <w:r w:rsidR="0046460C">
        <w:t>and preserving</w:t>
      </w:r>
      <w:r w:rsidR="0046460C" w:rsidRPr="00E07B18">
        <w:t xml:space="preserve"> relevant evidence and documentation</w:t>
      </w:r>
      <w:r w:rsidR="00C14601">
        <w:t xml:space="preserve"> is foremost</w:t>
      </w:r>
      <w:r w:rsidR="0046460C">
        <w:t xml:space="preserve">. </w:t>
      </w:r>
    </w:p>
    <w:p w:rsidR="0046460C" w:rsidRPr="00E07B18" w:rsidRDefault="00C71ACD" w:rsidP="00C71ACD">
      <w:pPr>
        <w:pStyle w:val="SingleTxtG"/>
      </w:pPr>
      <w:r w:rsidRPr="00E07B18">
        <w:rPr>
          <w:bCs/>
        </w:rPr>
        <w:t>46.</w:t>
      </w:r>
      <w:r w:rsidRPr="00E07B18">
        <w:rPr>
          <w:bCs/>
        </w:rPr>
        <w:tab/>
      </w:r>
      <w:r w:rsidR="0046460C" w:rsidRPr="00E07B18">
        <w:t>The preparatory work also require</w:t>
      </w:r>
      <w:r w:rsidR="0046460C">
        <w:t>s</w:t>
      </w:r>
      <w:r w:rsidR="0046460C" w:rsidRPr="00E07B18">
        <w:t xml:space="preserve"> </w:t>
      </w:r>
      <w:r w:rsidR="003D405B">
        <w:t xml:space="preserve">the </w:t>
      </w:r>
      <w:r w:rsidR="0046460C">
        <w:t>develop</w:t>
      </w:r>
      <w:r w:rsidR="003D405B">
        <w:t>ment of</w:t>
      </w:r>
      <w:r w:rsidR="0046460C" w:rsidRPr="00E07B18">
        <w:t xml:space="preserve"> a prosecutorial strategy</w:t>
      </w:r>
      <w:r w:rsidR="003D405B">
        <w:t>,</w:t>
      </w:r>
      <w:r w:rsidR="0046460C" w:rsidRPr="00E07B18">
        <w:t xml:space="preserve"> which account</w:t>
      </w:r>
      <w:r w:rsidR="0046460C">
        <w:t>s for</w:t>
      </w:r>
      <w:r w:rsidR="0046460C" w:rsidRPr="00E07B18">
        <w:t xml:space="preserve"> the magnitude of the task and existing constraints.</w:t>
      </w:r>
      <w:r w:rsidR="0046460C" w:rsidRPr="00C077B3">
        <w:rPr>
          <w:rStyle w:val="FootnoteReference"/>
        </w:rPr>
        <w:footnoteReference w:id="26"/>
      </w:r>
      <w:r w:rsidR="0046460C" w:rsidRPr="00E07B18">
        <w:t xml:space="preserve"> To safeguard the impartiality of prosecutors is paramount in order to prevent criminal justice </w:t>
      </w:r>
      <w:r w:rsidR="0046460C">
        <w:t xml:space="preserve">from </w:t>
      </w:r>
      <w:r w:rsidR="0046460C" w:rsidRPr="00E07B18">
        <w:t>becoming an instrument of the powerful.</w:t>
      </w:r>
      <w:r w:rsidR="0046460C">
        <w:t xml:space="preserve"> </w:t>
      </w:r>
    </w:p>
    <w:p w:rsidR="0046460C" w:rsidRDefault="00A262D3" w:rsidP="00734A8A">
      <w:pPr>
        <w:pStyle w:val="HChG"/>
        <w:rPr>
          <w:lang w:eastAsia="en-GB"/>
        </w:rPr>
      </w:pPr>
      <w:r>
        <w:rPr>
          <w:lang w:eastAsia="en-GB"/>
        </w:rPr>
        <w:tab/>
      </w:r>
      <w:r w:rsidR="000C23A9">
        <w:rPr>
          <w:lang w:eastAsia="en-GB"/>
        </w:rPr>
        <w:t>V.</w:t>
      </w:r>
      <w:r w:rsidR="000C23A9">
        <w:rPr>
          <w:lang w:eastAsia="en-GB"/>
        </w:rPr>
        <w:tab/>
      </w:r>
      <w:r w:rsidR="0046460C">
        <w:rPr>
          <w:lang w:eastAsia="en-GB"/>
        </w:rPr>
        <w:t>Broader reparation efforts required</w:t>
      </w:r>
    </w:p>
    <w:p w:rsidR="0046460C" w:rsidRPr="0046460C" w:rsidRDefault="00C71ACD" w:rsidP="00C71ACD">
      <w:pPr>
        <w:pStyle w:val="SingleTxtG"/>
        <w:rPr>
          <w:lang w:eastAsia="en-GB"/>
        </w:rPr>
      </w:pPr>
      <w:r w:rsidRPr="0046460C">
        <w:rPr>
          <w:bCs/>
          <w:lang w:eastAsia="en-GB"/>
        </w:rPr>
        <w:t>47.</w:t>
      </w:r>
      <w:r w:rsidRPr="0046460C">
        <w:rPr>
          <w:bCs/>
          <w:lang w:eastAsia="en-GB"/>
        </w:rPr>
        <w:tab/>
      </w:r>
      <w:r w:rsidR="0046460C" w:rsidRPr="0046460C">
        <w:rPr>
          <w:lang w:eastAsia="en-GB"/>
        </w:rPr>
        <w:t xml:space="preserve">Reparation initiatives in Burundi have focused mainly on </w:t>
      </w:r>
      <w:r w:rsidR="00C14601">
        <w:rPr>
          <w:lang w:eastAsia="en-GB"/>
        </w:rPr>
        <w:t>land</w:t>
      </w:r>
      <w:r w:rsidR="00C14601" w:rsidRPr="0046460C">
        <w:rPr>
          <w:lang w:eastAsia="en-GB"/>
        </w:rPr>
        <w:t xml:space="preserve"> </w:t>
      </w:r>
      <w:r w:rsidR="0046460C" w:rsidRPr="0046460C">
        <w:rPr>
          <w:lang w:eastAsia="en-GB"/>
        </w:rPr>
        <w:t>restitution and largely omitted other aspects of reparation.</w:t>
      </w:r>
      <w:r w:rsidR="0046460C" w:rsidRPr="00C077B3">
        <w:rPr>
          <w:rStyle w:val="FootnoteReference"/>
        </w:rPr>
        <w:footnoteReference w:id="27"/>
      </w:r>
      <w:r w:rsidR="0046460C" w:rsidRPr="0046460C">
        <w:rPr>
          <w:lang w:eastAsia="en-GB"/>
        </w:rPr>
        <w:t xml:space="preserve"> </w:t>
      </w:r>
    </w:p>
    <w:p w:rsidR="0046460C" w:rsidRPr="0046460C" w:rsidRDefault="00C1139A" w:rsidP="00734A8A">
      <w:pPr>
        <w:pStyle w:val="H1G"/>
        <w:rPr>
          <w:lang w:eastAsia="en-GB"/>
        </w:rPr>
      </w:pPr>
      <w:r>
        <w:rPr>
          <w:lang w:eastAsia="en-GB"/>
        </w:rPr>
        <w:tab/>
        <w:t>A.</w:t>
      </w:r>
      <w:r>
        <w:rPr>
          <w:lang w:eastAsia="en-GB"/>
        </w:rPr>
        <w:tab/>
      </w:r>
      <w:r w:rsidR="0046460C" w:rsidRPr="0046460C">
        <w:rPr>
          <w:lang w:eastAsia="en-GB"/>
        </w:rPr>
        <w:t xml:space="preserve">Land restitution </w:t>
      </w:r>
    </w:p>
    <w:p w:rsidR="0046460C" w:rsidRPr="0046460C" w:rsidRDefault="00C71ACD" w:rsidP="00C71ACD">
      <w:pPr>
        <w:pStyle w:val="SingleTxtG"/>
        <w:rPr>
          <w:lang w:eastAsia="en-GB"/>
        </w:rPr>
      </w:pPr>
      <w:r w:rsidRPr="0046460C">
        <w:rPr>
          <w:bCs/>
          <w:lang w:eastAsia="en-GB"/>
        </w:rPr>
        <w:t>48.</w:t>
      </w:r>
      <w:r w:rsidRPr="0046460C">
        <w:rPr>
          <w:bCs/>
          <w:lang w:eastAsia="en-GB"/>
        </w:rPr>
        <w:tab/>
      </w:r>
      <w:r w:rsidR="0046460C" w:rsidRPr="00F1302D">
        <w:rPr>
          <w:lang w:eastAsia="en-GB"/>
        </w:rPr>
        <w:t>Against</w:t>
      </w:r>
      <w:r w:rsidR="0046460C" w:rsidRPr="0046460C">
        <w:rPr>
          <w:lang w:eastAsia="en-GB"/>
        </w:rPr>
        <w:t xml:space="preserve"> the background of strong demographic growth, increasing scarcity of arable land and the return of </w:t>
      </w:r>
      <w:r w:rsidR="00FA1C6F">
        <w:rPr>
          <w:lang w:eastAsia="en-GB"/>
        </w:rPr>
        <w:t>some</w:t>
      </w:r>
      <w:r w:rsidR="00FA1C6F" w:rsidRPr="0046460C">
        <w:rPr>
          <w:lang w:eastAsia="en-GB"/>
        </w:rPr>
        <w:t xml:space="preserve"> </w:t>
      </w:r>
      <w:r w:rsidR="0046460C" w:rsidRPr="0046460C">
        <w:rPr>
          <w:lang w:eastAsia="en-GB"/>
        </w:rPr>
        <w:t xml:space="preserve">800,000 refugees over the </w:t>
      </w:r>
      <w:r w:rsidR="00C13295">
        <w:rPr>
          <w:lang w:eastAsia="en-GB"/>
        </w:rPr>
        <w:t>l</w:t>
      </w:r>
      <w:r w:rsidR="0046460C" w:rsidRPr="0046460C">
        <w:rPr>
          <w:lang w:eastAsia="en-GB"/>
        </w:rPr>
        <w:t>ast decade, the issue of land is crucially important in the country’s post-conflict development. The problem is aggravated by the reliance of more than 90 per</w:t>
      </w:r>
      <w:r w:rsidR="00FA1C6F">
        <w:rPr>
          <w:lang w:eastAsia="en-GB"/>
        </w:rPr>
        <w:t xml:space="preserve"> </w:t>
      </w:r>
      <w:r w:rsidR="0046460C" w:rsidRPr="0046460C">
        <w:rPr>
          <w:lang w:eastAsia="en-GB"/>
        </w:rPr>
        <w:t xml:space="preserve">cent of the population on agriculture for their livelihood. </w:t>
      </w:r>
      <w:r w:rsidR="002F62BB">
        <w:rPr>
          <w:lang w:eastAsia="en-GB"/>
        </w:rPr>
        <w:t>T</w:t>
      </w:r>
      <w:r w:rsidR="0046460C" w:rsidRPr="0046460C">
        <w:rPr>
          <w:lang w:eastAsia="en-GB"/>
        </w:rPr>
        <w:t>he majority of land disputes relat</w:t>
      </w:r>
      <w:r w:rsidR="002F62BB">
        <w:rPr>
          <w:lang w:eastAsia="en-GB"/>
        </w:rPr>
        <w:t>e</w:t>
      </w:r>
      <w:r w:rsidR="0046460C" w:rsidRPr="0046460C">
        <w:rPr>
          <w:lang w:eastAsia="en-GB"/>
        </w:rPr>
        <w:t xml:space="preserve"> to claims raised by returnees </w:t>
      </w:r>
      <w:r w:rsidR="00FA1C6F">
        <w:rPr>
          <w:lang w:eastAsia="en-GB"/>
        </w:rPr>
        <w:t xml:space="preserve">(mostly Hutus) </w:t>
      </w:r>
      <w:r w:rsidR="0046460C" w:rsidRPr="0046460C">
        <w:rPr>
          <w:lang w:eastAsia="en-GB"/>
        </w:rPr>
        <w:t xml:space="preserve">of the 1972 massive violations against those </w:t>
      </w:r>
      <w:r w:rsidR="00FA1C6F">
        <w:rPr>
          <w:lang w:eastAsia="en-GB"/>
        </w:rPr>
        <w:t xml:space="preserve">(frequently Tutsis) </w:t>
      </w:r>
      <w:r w:rsidR="0046460C" w:rsidRPr="0046460C">
        <w:rPr>
          <w:lang w:eastAsia="en-GB"/>
        </w:rPr>
        <w:t>who subsequently acquired the assets.</w:t>
      </w:r>
    </w:p>
    <w:p w:rsidR="0046460C" w:rsidRPr="0046460C" w:rsidRDefault="00C71ACD" w:rsidP="00C71ACD">
      <w:pPr>
        <w:pStyle w:val="SingleTxtG"/>
        <w:rPr>
          <w:lang w:eastAsia="en-GB"/>
        </w:rPr>
      </w:pPr>
      <w:r w:rsidRPr="0046460C">
        <w:rPr>
          <w:bCs/>
          <w:lang w:eastAsia="en-GB"/>
        </w:rPr>
        <w:t>49.</w:t>
      </w:r>
      <w:r w:rsidRPr="0046460C">
        <w:rPr>
          <w:bCs/>
          <w:lang w:eastAsia="en-GB"/>
        </w:rPr>
        <w:tab/>
      </w:r>
      <w:r w:rsidR="0046460C" w:rsidRPr="0046460C">
        <w:rPr>
          <w:lang w:eastAsia="en-GB"/>
        </w:rPr>
        <w:t xml:space="preserve">Until 2011, the Land Code retained the principle of </w:t>
      </w:r>
      <w:r w:rsidR="006851CB">
        <w:rPr>
          <w:lang w:eastAsia="en-GB"/>
        </w:rPr>
        <w:t>“</w:t>
      </w:r>
      <w:r w:rsidR="0046460C" w:rsidRPr="0046460C">
        <w:rPr>
          <w:lang w:eastAsia="en-GB"/>
        </w:rPr>
        <w:t>acquisitive prescription</w:t>
      </w:r>
      <w:r w:rsidR="006851CB">
        <w:rPr>
          <w:lang w:eastAsia="en-GB"/>
        </w:rPr>
        <w:t>”</w:t>
      </w:r>
      <w:r w:rsidR="0046460C" w:rsidRPr="0046460C">
        <w:rPr>
          <w:lang w:eastAsia="en-GB"/>
        </w:rPr>
        <w:t xml:space="preserve"> after 30 years, irrespective of the buyer’s </w:t>
      </w:r>
      <w:r w:rsidR="006851CB">
        <w:rPr>
          <w:lang w:eastAsia="en-GB"/>
        </w:rPr>
        <w:t>“</w:t>
      </w:r>
      <w:r w:rsidR="0046460C" w:rsidRPr="0046460C">
        <w:rPr>
          <w:lang w:eastAsia="en-GB"/>
        </w:rPr>
        <w:t>good faith</w:t>
      </w:r>
      <w:r w:rsidR="006851CB">
        <w:rPr>
          <w:lang w:eastAsia="en-GB"/>
        </w:rPr>
        <w:t>”</w:t>
      </w:r>
      <w:r w:rsidR="00C94201">
        <w:rPr>
          <w:lang w:eastAsia="en-GB"/>
        </w:rPr>
        <w:t>.</w:t>
      </w:r>
      <w:r w:rsidR="0046460C" w:rsidRPr="0046460C">
        <w:rPr>
          <w:lang w:eastAsia="en-GB"/>
        </w:rPr>
        <w:t xml:space="preserve"> Between 2002 and 2011, th</w:t>
      </w:r>
      <w:r w:rsidR="00FA1C6F">
        <w:rPr>
          <w:lang w:eastAsia="en-GB"/>
        </w:rPr>
        <w:t>at</w:t>
      </w:r>
      <w:r w:rsidR="0046460C" w:rsidRPr="0046460C">
        <w:rPr>
          <w:lang w:eastAsia="en-GB"/>
        </w:rPr>
        <w:t xml:space="preserve"> resulted in the unconditional acquisition of land occupied three decades earlier, </w:t>
      </w:r>
      <w:r w:rsidR="00FA1C6F">
        <w:rPr>
          <w:lang w:eastAsia="en-GB"/>
        </w:rPr>
        <w:t>that is,</w:t>
      </w:r>
      <w:r w:rsidR="0046460C" w:rsidRPr="0046460C">
        <w:rPr>
          <w:lang w:eastAsia="en-GB"/>
        </w:rPr>
        <w:t xml:space="preserve"> between 1972 and 1981. The issue </w:t>
      </w:r>
      <w:r w:rsidR="00FA1C6F">
        <w:rPr>
          <w:lang w:eastAsia="en-GB"/>
        </w:rPr>
        <w:t>wa</w:t>
      </w:r>
      <w:r w:rsidR="0046460C" w:rsidRPr="0046460C">
        <w:rPr>
          <w:lang w:eastAsia="en-GB"/>
        </w:rPr>
        <w:t>s complicated by the 1972 decision of the War Council</w:t>
      </w:r>
      <w:r w:rsidR="0046460C" w:rsidRPr="00C077B3">
        <w:rPr>
          <w:rStyle w:val="FootnoteReference"/>
        </w:rPr>
        <w:footnoteReference w:id="28"/>
      </w:r>
      <w:r w:rsidR="0046460C" w:rsidRPr="0046460C">
        <w:rPr>
          <w:lang w:eastAsia="en-GB"/>
        </w:rPr>
        <w:t xml:space="preserve"> to sentence rebels to death and confiscate their land and other assets. </w:t>
      </w:r>
    </w:p>
    <w:p w:rsidR="0046460C" w:rsidRPr="0046460C" w:rsidRDefault="00C71ACD" w:rsidP="00C71ACD">
      <w:pPr>
        <w:pStyle w:val="SingleTxtG"/>
        <w:rPr>
          <w:lang w:eastAsia="en-GB"/>
        </w:rPr>
      </w:pPr>
      <w:r w:rsidRPr="0046460C">
        <w:rPr>
          <w:bCs/>
          <w:lang w:eastAsia="en-GB"/>
        </w:rPr>
        <w:t>50.</w:t>
      </w:r>
      <w:r w:rsidRPr="0046460C">
        <w:rPr>
          <w:bCs/>
          <w:lang w:eastAsia="en-GB"/>
        </w:rPr>
        <w:tab/>
      </w:r>
      <w:r w:rsidR="0046460C" w:rsidRPr="0046460C">
        <w:rPr>
          <w:lang w:eastAsia="en-GB"/>
        </w:rPr>
        <w:t xml:space="preserve">The Arusha Agreement guarantees the right to property and the basic principle of the restitution of land to all refugees and </w:t>
      </w:r>
      <w:r w:rsidR="0046460C" w:rsidRPr="0046460C">
        <w:rPr>
          <w:i/>
          <w:lang w:eastAsia="en-GB"/>
        </w:rPr>
        <w:t>sinistrés</w:t>
      </w:r>
      <w:r w:rsidR="00FA1C6F">
        <w:rPr>
          <w:iCs/>
          <w:lang w:eastAsia="en-GB"/>
        </w:rPr>
        <w:t>,</w:t>
      </w:r>
      <w:r w:rsidR="0046460C" w:rsidRPr="00C077B3">
        <w:rPr>
          <w:rStyle w:val="FootnoteReference"/>
        </w:rPr>
        <w:footnoteReference w:id="29"/>
      </w:r>
      <w:r w:rsidR="0046460C" w:rsidRPr="0046460C">
        <w:rPr>
          <w:lang w:eastAsia="en-GB"/>
        </w:rPr>
        <w:t xml:space="preserve"> refer</w:t>
      </w:r>
      <w:r w:rsidR="00FA1C6F">
        <w:rPr>
          <w:lang w:eastAsia="en-GB"/>
        </w:rPr>
        <w:t>ring</w:t>
      </w:r>
      <w:r w:rsidR="0046460C" w:rsidRPr="0046460C">
        <w:rPr>
          <w:lang w:eastAsia="en-GB"/>
        </w:rPr>
        <w:t xml:space="preserve"> to fair compensation when the recovery of the property proves impossible.</w:t>
      </w:r>
      <w:r w:rsidR="0046460C" w:rsidRPr="00C077B3">
        <w:rPr>
          <w:rStyle w:val="FootnoteReference"/>
        </w:rPr>
        <w:footnoteReference w:id="30"/>
      </w:r>
      <w:r w:rsidR="0046460C" w:rsidRPr="0046460C">
        <w:rPr>
          <w:lang w:eastAsia="en-GB"/>
        </w:rPr>
        <w:t xml:space="preserve"> The Agreement </w:t>
      </w:r>
      <w:r w:rsidR="00FA1C6F">
        <w:rPr>
          <w:lang w:eastAsia="en-GB"/>
        </w:rPr>
        <w:t xml:space="preserve">provides for the </w:t>
      </w:r>
      <w:r w:rsidR="0046460C" w:rsidRPr="0046460C">
        <w:rPr>
          <w:lang w:eastAsia="en-GB"/>
        </w:rPr>
        <w:t>establish</w:t>
      </w:r>
      <w:r w:rsidR="00FA1C6F">
        <w:rPr>
          <w:lang w:eastAsia="en-GB"/>
        </w:rPr>
        <w:t>ment of</w:t>
      </w:r>
      <w:r w:rsidR="0046460C" w:rsidRPr="0046460C">
        <w:rPr>
          <w:lang w:eastAsia="en-GB"/>
        </w:rPr>
        <w:t xml:space="preserve"> a </w:t>
      </w:r>
      <w:r w:rsidR="00BD574B">
        <w:rPr>
          <w:lang w:eastAsia="en-GB"/>
        </w:rPr>
        <w:t>n</w:t>
      </w:r>
      <w:r w:rsidR="0046460C" w:rsidRPr="0046460C">
        <w:rPr>
          <w:lang w:eastAsia="en-GB"/>
        </w:rPr>
        <w:t xml:space="preserve">ational </w:t>
      </w:r>
      <w:r w:rsidR="00BD574B">
        <w:rPr>
          <w:lang w:eastAsia="en-GB"/>
        </w:rPr>
        <w:t>c</w:t>
      </w:r>
      <w:r w:rsidR="0046460C" w:rsidRPr="0046460C">
        <w:rPr>
          <w:lang w:eastAsia="en-GB"/>
        </w:rPr>
        <w:t xml:space="preserve">ommission to coordinate the return of refugees and </w:t>
      </w:r>
      <w:r w:rsidR="0046460C" w:rsidRPr="0046460C">
        <w:rPr>
          <w:i/>
          <w:lang w:eastAsia="en-GB"/>
        </w:rPr>
        <w:t>sinistrés</w:t>
      </w:r>
      <w:r w:rsidR="002F62BB">
        <w:rPr>
          <w:lang w:eastAsia="en-GB"/>
        </w:rPr>
        <w:t>, which, s</w:t>
      </w:r>
      <w:r w:rsidR="0046460C" w:rsidRPr="0046460C">
        <w:rPr>
          <w:lang w:eastAsia="en-GB"/>
        </w:rPr>
        <w:t xml:space="preserve">hortly after the 2005 elections, </w:t>
      </w:r>
      <w:r w:rsidR="002F62BB">
        <w:rPr>
          <w:lang w:eastAsia="en-GB"/>
        </w:rPr>
        <w:t xml:space="preserve">was replaced by </w:t>
      </w:r>
      <w:r w:rsidR="00BD574B">
        <w:rPr>
          <w:lang w:eastAsia="en-GB"/>
        </w:rPr>
        <w:t>the</w:t>
      </w:r>
      <w:r w:rsidR="0046460C" w:rsidRPr="0046460C">
        <w:rPr>
          <w:lang w:eastAsia="en-GB"/>
        </w:rPr>
        <w:t xml:space="preserve"> National Commission on Land and Other Assets.</w:t>
      </w:r>
      <w:r w:rsidR="0046460C" w:rsidRPr="00C077B3">
        <w:rPr>
          <w:rStyle w:val="FootnoteReference"/>
        </w:rPr>
        <w:footnoteReference w:id="31"/>
      </w:r>
      <w:r w:rsidR="0046460C" w:rsidRPr="0046460C">
        <w:rPr>
          <w:lang w:eastAsia="en-GB"/>
        </w:rPr>
        <w:t xml:space="preserve"> </w:t>
      </w:r>
    </w:p>
    <w:p w:rsidR="0046460C" w:rsidRPr="0046460C" w:rsidRDefault="00C71ACD" w:rsidP="00C71ACD">
      <w:pPr>
        <w:pStyle w:val="SingleTxtG"/>
        <w:rPr>
          <w:lang w:eastAsia="en-GB"/>
        </w:rPr>
      </w:pPr>
      <w:r w:rsidRPr="0046460C">
        <w:rPr>
          <w:bCs/>
          <w:lang w:eastAsia="en-GB"/>
        </w:rPr>
        <w:t>51.</w:t>
      </w:r>
      <w:r w:rsidRPr="0046460C">
        <w:rPr>
          <w:bCs/>
          <w:lang w:eastAsia="en-GB"/>
        </w:rPr>
        <w:tab/>
      </w:r>
      <w:r w:rsidR="0046460C" w:rsidRPr="0046460C">
        <w:rPr>
          <w:lang w:eastAsia="en-GB"/>
        </w:rPr>
        <w:t>Initially under the guardianship of the First Vice-President, th</w:t>
      </w:r>
      <w:r w:rsidR="00BF4CA3">
        <w:rPr>
          <w:lang w:eastAsia="en-GB"/>
        </w:rPr>
        <w:t>e</w:t>
      </w:r>
      <w:r w:rsidR="0046460C" w:rsidRPr="0046460C">
        <w:rPr>
          <w:lang w:eastAsia="en-GB"/>
        </w:rPr>
        <w:t xml:space="preserve"> </w:t>
      </w:r>
      <w:r w:rsidR="00BF4CA3">
        <w:rPr>
          <w:lang w:eastAsia="en-GB"/>
        </w:rPr>
        <w:t xml:space="preserve">National </w:t>
      </w:r>
      <w:r w:rsidR="0046460C" w:rsidRPr="0046460C">
        <w:rPr>
          <w:lang w:eastAsia="en-GB"/>
        </w:rPr>
        <w:t>Commission was regarded as fairly independent of the Government and the political majority</w:t>
      </w:r>
      <w:r w:rsidR="007E1866">
        <w:rPr>
          <w:lang w:eastAsia="en-GB"/>
        </w:rPr>
        <w:t>, and t</w:t>
      </w:r>
      <w:r w:rsidR="0046460C" w:rsidRPr="0046460C">
        <w:rPr>
          <w:lang w:eastAsia="en-GB"/>
        </w:rPr>
        <w:t xml:space="preserve">he public perceived </w:t>
      </w:r>
      <w:r w:rsidR="007E1866">
        <w:rPr>
          <w:lang w:eastAsia="en-GB"/>
        </w:rPr>
        <w:t>it</w:t>
      </w:r>
      <w:r w:rsidR="0046460C" w:rsidRPr="0046460C">
        <w:rPr>
          <w:lang w:eastAsia="en-GB"/>
        </w:rPr>
        <w:t xml:space="preserve"> as contributing to </w:t>
      </w:r>
      <w:r w:rsidR="007E1866">
        <w:rPr>
          <w:lang w:eastAsia="en-GB"/>
        </w:rPr>
        <w:t>the</w:t>
      </w:r>
      <w:r w:rsidR="0046460C" w:rsidRPr="0046460C">
        <w:rPr>
          <w:lang w:eastAsia="en-GB"/>
        </w:rPr>
        <w:t xml:space="preserve"> reconciliatory objective. </w:t>
      </w:r>
      <w:r w:rsidR="007E1866">
        <w:rPr>
          <w:lang w:eastAsia="en-GB"/>
        </w:rPr>
        <w:t xml:space="preserve">To </w:t>
      </w:r>
      <w:r w:rsidR="0046460C" w:rsidRPr="0046460C">
        <w:rPr>
          <w:lang w:eastAsia="en-GB"/>
        </w:rPr>
        <w:t xml:space="preserve">consider an individual case, the respective Commission </w:t>
      </w:r>
      <w:r w:rsidR="005267E9">
        <w:rPr>
          <w:lang w:eastAsia="en-GB"/>
        </w:rPr>
        <w:t xml:space="preserve">was </w:t>
      </w:r>
      <w:r w:rsidR="0046460C" w:rsidRPr="0046460C">
        <w:rPr>
          <w:lang w:eastAsia="en-GB"/>
        </w:rPr>
        <w:t xml:space="preserve">composed of two public servants, one judge, a representative of civil society and a member of a religious confession. </w:t>
      </w:r>
      <w:r w:rsidR="007E1866">
        <w:rPr>
          <w:lang w:eastAsia="en-GB"/>
        </w:rPr>
        <w:t>Such</w:t>
      </w:r>
      <w:r w:rsidR="0046460C" w:rsidRPr="0046460C">
        <w:rPr>
          <w:lang w:eastAsia="en-GB"/>
        </w:rPr>
        <w:t xml:space="preserve"> composition reportedly contributed to its success at settling cases amiably. In the absence of agreement, the Commission typically decided that the parties should split the land. </w:t>
      </w:r>
    </w:p>
    <w:p w:rsidR="0046460C" w:rsidRPr="0046460C" w:rsidRDefault="00C71ACD" w:rsidP="00C71ACD">
      <w:pPr>
        <w:pStyle w:val="SingleTxtG"/>
        <w:rPr>
          <w:lang w:eastAsia="en-GB"/>
        </w:rPr>
      </w:pPr>
      <w:r w:rsidRPr="0046460C">
        <w:rPr>
          <w:bCs/>
          <w:lang w:eastAsia="en-GB"/>
        </w:rPr>
        <w:t>52.</w:t>
      </w:r>
      <w:r w:rsidRPr="0046460C">
        <w:rPr>
          <w:bCs/>
          <w:lang w:eastAsia="en-GB"/>
        </w:rPr>
        <w:tab/>
      </w:r>
      <w:r w:rsidR="0046460C" w:rsidRPr="0046460C">
        <w:rPr>
          <w:lang w:eastAsia="en-GB"/>
        </w:rPr>
        <w:t>A 2009 legislative amendment altered the composition</w:t>
      </w:r>
      <w:r w:rsidR="00C00113">
        <w:rPr>
          <w:lang w:eastAsia="en-GB"/>
        </w:rPr>
        <w:t>, inter alia,</w:t>
      </w:r>
      <w:r w:rsidR="0046460C" w:rsidRPr="0046460C">
        <w:rPr>
          <w:lang w:eastAsia="en-GB"/>
        </w:rPr>
        <w:t xml:space="preserve"> of the</w:t>
      </w:r>
      <w:r w:rsidR="00C00113">
        <w:rPr>
          <w:lang w:eastAsia="en-GB"/>
        </w:rPr>
        <w:t xml:space="preserve"> Commission</w:t>
      </w:r>
      <w:r w:rsidR="0046460C" w:rsidRPr="0046460C">
        <w:rPr>
          <w:lang w:eastAsia="en-GB"/>
        </w:rPr>
        <w:t xml:space="preserve"> (removing the presence of a judge and a religious figure) and strengthened the Commission’s power vis-à-vis the courts. The latter development led to both a growing rivalry between the Commission and the justice sector and increasing legal uncertainty. The 2013 legal revision placed the Commission under the guardianship of the President of the Republic. </w:t>
      </w:r>
    </w:p>
    <w:p w:rsidR="0046460C" w:rsidRPr="0046460C" w:rsidRDefault="00C71ACD" w:rsidP="00C71ACD">
      <w:pPr>
        <w:pStyle w:val="SingleTxtG"/>
        <w:rPr>
          <w:lang w:eastAsia="en-GB"/>
        </w:rPr>
      </w:pPr>
      <w:r w:rsidRPr="0046460C">
        <w:rPr>
          <w:bCs/>
          <w:lang w:eastAsia="en-GB"/>
        </w:rPr>
        <w:t>53.</w:t>
      </w:r>
      <w:r w:rsidRPr="0046460C">
        <w:rPr>
          <w:bCs/>
          <w:lang w:eastAsia="en-GB"/>
        </w:rPr>
        <w:tab/>
      </w:r>
      <w:r w:rsidR="0046460C" w:rsidRPr="0046460C">
        <w:rPr>
          <w:lang w:eastAsia="en-GB"/>
        </w:rPr>
        <w:t xml:space="preserve">The Special Rapporteur was informed that the Commission </w:t>
      </w:r>
      <w:r w:rsidR="00880190">
        <w:rPr>
          <w:lang w:eastAsia="en-GB"/>
        </w:rPr>
        <w:t xml:space="preserve">had </w:t>
      </w:r>
      <w:r w:rsidR="0046460C" w:rsidRPr="0046460C">
        <w:rPr>
          <w:lang w:eastAsia="en-GB"/>
        </w:rPr>
        <w:t>decided about 40</w:t>
      </w:r>
      <w:r w:rsidR="00C00113">
        <w:rPr>
          <w:lang w:eastAsia="en-GB"/>
        </w:rPr>
        <w:t>,</w:t>
      </w:r>
      <w:r w:rsidR="0046460C" w:rsidRPr="0046460C">
        <w:rPr>
          <w:lang w:eastAsia="en-GB"/>
        </w:rPr>
        <w:t>000 of the total of 50</w:t>
      </w:r>
      <w:r w:rsidR="00C00113">
        <w:rPr>
          <w:lang w:eastAsia="en-GB"/>
        </w:rPr>
        <w:t>,</w:t>
      </w:r>
      <w:r w:rsidR="0046460C" w:rsidRPr="0046460C">
        <w:rPr>
          <w:lang w:eastAsia="en-GB"/>
        </w:rPr>
        <w:t xml:space="preserve">000 land claims. Various interlocutors reported that some of the Commission’s decisions </w:t>
      </w:r>
      <w:r w:rsidR="00C00113">
        <w:rPr>
          <w:lang w:eastAsia="en-GB"/>
        </w:rPr>
        <w:t xml:space="preserve">were </w:t>
      </w:r>
      <w:r w:rsidR="0046460C" w:rsidRPr="0046460C">
        <w:rPr>
          <w:lang w:eastAsia="en-GB"/>
        </w:rPr>
        <w:t>increasingly seen</w:t>
      </w:r>
      <w:r w:rsidR="00C00113">
        <w:rPr>
          <w:lang w:eastAsia="en-GB"/>
        </w:rPr>
        <w:t>,</w:t>
      </w:r>
      <w:r w:rsidR="0046460C" w:rsidRPr="0046460C">
        <w:rPr>
          <w:lang w:eastAsia="en-GB"/>
        </w:rPr>
        <w:t xml:space="preserve"> </w:t>
      </w:r>
      <w:r w:rsidR="0046460C" w:rsidRPr="00CA69B2">
        <w:rPr>
          <w:iCs/>
          <w:lang w:eastAsia="en-GB"/>
        </w:rPr>
        <w:t>a priori</w:t>
      </w:r>
      <w:r w:rsidR="00C00113">
        <w:rPr>
          <w:iCs/>
          <w:lang w:eastAsia="en-GB"/>
        </w:rPr>
        <w:t>, as</w:t>
      </w:r>
      <w:r w:rsidR="0046460C" w:rsidRPr="0046460C">
        <w:rPr>
          <w:lang w:eastAsia="en-GB"/>
        </w:rPr>
        <w:t xml:space="preserve"> favouring the restitution of land to the </w:t>
      </w:r>
      <w:r w:rsidR="0046460C" w:rsidRPr="00D22C79">
        <w:rPr>
          <w:i/>
          <w:lang w:eastAsia="en-GB"/>
        </w:rPr>
        <w:t>sinistrés</w:t>
      </w:r>
      <w:r w:rsidR="005267E9" w:rsidRPr="00D22C79">
        <w:rPr>
          <w:lang w:eastAsia="en-GB"/>
        </w:rPr>
        <w:t xml:space="preserve"> over the good faith buyer</w:t>
      </w:r>
      <w:r w:rsidR="00CA69B2" w:rsidRPr="00D22C79">
        <w:rPr>
          <w:lang w:eastAsia="en-GB"/>
        </w:rPr>
        <w:t xml:space="preserve"> —</w:t>
      </w:r>
      <w:r w:rsidR="0046460C" w:rsidRPr="00D22C79">
        <w:rPr>
          <w:lang w:eastAsia="en-GB"/>
        </w:rPr>
        <w:t xml:space="preserve"> who</w:t>
      </w:r>
      <w:r w:rsidR="00CA69B2" w:rsidRPr="00D22C79">
        <w:rPr>
          <w:lang w:eastAsia="en-GB"/>
        </w:rPr>
        <w:t>se</w:t>
      </w:r>
      <w:r w:rsidR="0046460C" w:rsidRPr="00D22C79">
        <w:rPr>
          <w:lang w:eastAsia="en-GB"/>
        </w:rPr>
        <w:t xml:space="preserve"> land </w:t>
      </w:r>
      <w:r w:rsidR="00D22C79">
        <w:rPr>
          <w:lang w:eastAsia="en-GB"/>
        </w:rPr>
        <w:t>had</w:t>
      </w:r>
      <w:r w:rsidR="00CA69B2" w:rsidRPr="00D22C79">
        <w:rPr>
          <w:lang w:eastAsia="en-GB"/>
        </w:rPr>
        <w:t xml:space="preserve"> </w:t>
      </w:r>
      <w:r w:rsidR="00D22C79">
        <w:rPr>
          <w:lang w:eastAsia="en-GB"/>
        </w:rPr>
        <w:t xml:space="preserve">been </w:t>
      </w:r>
      <w:r w:rsidR="0046460C" w:rsidRPr="00D22C79">
        <w:rPr>
          <w:lang w:eastAsia="en-GB"/>
        </w:rPr>
        <w:t>expropriated, frequently without compensation.</w:t>
      </w:r>
      <w:r w:rsidR="0046460C" w:rsidRPr="0046460C">
        <w:rPr>
          <w:lang w:eastAsia="en-GB"/>
        </w:rPr>
        <w:t xml:space="preserve"> Some suggest that </w:t>
      </w:r>
      <w:r w:rsidR="00C00113">
        <w:rPr>
          <w:lang w:eastAsia="en-GB"/>
        </w:rPr>
        <w:t>cases</w:t>
      </w:r>
      <w:r w:rsidR="0046460C" w:rsidRPr="0046460C">
        <w:rPr>
          <w:lang w:eastAsia="en-GB"/>
        </w:rPr>
        <w:t xml:space="preserve"> were decided based on affiliation. Th</w:t>
      </w:r>
      <w:r w:rsidR="00C00113">
        <w:rPr>
          <w:lang w:eastAsia="en-GB"/>
        </w:rPr>
        <w:t>at</w:t>
      </w:r>
      <w:r w:rsidR="0046460C" w:rsidRPr="0046460C">
        <w:rPr>
          <w:lang w:eastAsia="en-GB"/>
        </w:rPr>
        <w:t xml:space="preserve"> generated serious concern about the resurrection of ethnically based tensions</w:t>
      </w:r>
      <w:r w:rsidR="00C00113">
        <w:rPr>
          <w:lang w:eastAsia="en-GB"/>
        </w:rPr>
        <w:t>,</w:t>
      </w:r>
      <w:r w:rsidR="0046460C" w:rsidRPr="0046460C">
        <w:rPr>
          <w:lang w:eastAsia="en-GB"/>
        </w:rPr>
        <w:t xml:space="preserve"> contrary to the Commission’s mandate to contribute to the respect of human rights, reconciliation and social peace.</w:t>
      </w:r>
      <w:r w:rsidR="0046460C" w:rsidRPr="00C077B3">
        <w:rPr>
          <w:rStyle w:val="FootnoteReference"/>
        </w:rPr>
        <w:footnoteReference w:id="32"/>
      </w:r>
      <w:r w:rsidR="0046460C" w:rsidRPr="0046460C">
        <w:rPr>
          <w:lang w:eastAsia="en-GB"/>
        </w:rPr>
        <w:t xml:space="preserve"> </w:t>
      </w:r>
    </w:p>
    <w:p w:rsidR="0046460C" w:rsidRPr="0046460C" w:rsidRDefault="00C71ACD" w:rsidP="00C71ACD">
      <w:pPr>
        <w:pStyle w:val="SingleTxtG"/>
        <w:rPr>
          <w:lang w:eastAsia="en-GB"/>
        </w:rPr>
      </w:pPr>
      <w:r w:rsidRPr="0046460C">
        <w:rPr>
          <w:bCs/>
          <w:lang w:eastAsia="en-GB"/>
        </w:rPr>
        <w:t>54.</w:t>
      </w:r>
      <w:r w:rsidRPr="0046460C">
        <w:rPr>
          <w:bCs/>
          <w:lang w:eastAsia="en-GB"/>
        </w:rPr>
        <w:tab/>
      </w:r>
      <w:r w:rsidR="0046460C" w:rsidRPr="0046460C">
        <w:rPr>
          <w:lang w:eastAsia="en-GB"/>
        </w:rPr>
        <w:t xml:space="preserve">In the face of increasing contention over the Commission’s work, the high number of property cases dealt with by the ordinary justice system, rivalry </w:t>
      </w:r>
      <w:r w:rsidR="002F62BB">
        <w:rPr>
          <w:lang w:eastAsia="en-GB"/>
        </w:rPr>
        <w:t>with</w:t>
      </w:r>
      <w:r w:rsidR="002F62BB" w:rsidRPr="0046460C">
        <w:rPr>
          <w:lang w:eastAsia="en-GB"/>
        </w:rPr>
        <w:t xml:space="preserve"> </w:t>
      </w:r>
      <w:r w:rsidR="0046460C" w:rsidRPr="0046460C">
        <w:rPr>
          <w:lang w:eastAsia="en-GB"/>
        </w:rPr>
        <w:t xml:space="preserve">the courts and the ensuing legal uncertainty, </w:t>
      </w:r>
      <w:r w:rsidR="00A23919">
        <w:rPr>
          <w:lang w:eastAsia="en-GB"/>
        </w:rPr>
        <w:t>the</w:t>
      </w:r>
      <w:r w:rsidR="0046460C" w:rsidRPr="0046460C">
        <w:rPr>
          <w:lang w:eastAsia="en-GB"/>
        </w:rPr>
        <w:t xml:space="preserve"> Special Court on Land and Other Assets was established in 2014. The two-tier</w:t>
      </w:r>
      <w:r w:rsidR="00BC42A3">
        <w:rPr>
          <w:lang w:eastAsia="en-GB"/>
        </w:rPr>
        <w:t>ed</w:t>
      </w:r>
      <w:r w:rsidR="0046460C" w:rsidRPr="0046460C">
        <w:rPr>
          <w:lang w:eastAsia="en-GB"/>
        </w:rPr>
        <w:t xml:space="preserve"> Court is composed of magistrates and jurists appointed by </w:t>
      </w:r>
      <w:r w:rsidR="002F62BB">
        <w:rPr>
          <w:lang w:eastAsia="en-GB"/>
        </w:rPr>
        <w:t>the executive</w:t>
      </w:r>
      <w:r w:rsidR="0046460C" w:rsidRPr="0046460C">
        <w:rPr>
          <w:lang w:eastAsia="en-GB"/>
        </w:rPr>
        <w:t xml:space="preserve">. It </w:t>
      </w:r>
      <w:r w:rsidR="00F872DF">
        <w:rPr>
          <w:lang w:eastAsia="en-GB"/>
        </w:rPr>
        <w:t>h</w:t>
      </w:r>
      <w:r w:rsidR="0046460C" w:rsidRPr="0046460C">
        <w:rPr>
          <w:lang w:eastAsia="en-GB"/>
        </w:rPr>
        <w:t>as</w:t>
      </w:r>
      <w:r w:rsidR="00F872DF">
        <w:rPr>
          <w:lang w:eastAsia="en-GB"/>
        </w:rPr>
        <w:t xml:space="preserve"> a</w:t>
      </w:r>
      <w:r w:rsidR="0046460C" w:rsidRPr="0046460C">
        <w:rPr>
          <w:lang w:eastAsia="en-GB"/>
        </w:rPr>
        <w:t xml:space="preserve"> </w:t>
      </w:r>
      <w:r w:rsidR="00880190">
        <w:rPr>
          <w:lang w:eastAsia="en-GB"/>
        </w:rPr>
        <w:t>seven</w:t>
      </w:r>
      <w:r w:rsidR="00F872DF">
        <w:rPr>
          <w:lang w:eastAsia="en-GB"/>
        </w:rPr>
        <w:t>-</w:t>
      </w:r>
      <w:r w:rsidR="0046460C" w:rsidRPr="0046460C">
        <w:rPr>
          <w:lang w:eastAsia="en-GB"/>
        </w:rPr>
        <w:t>year</w:t>
      </w:r>
      <w:r w:rsidR="00F872DF">
        <w:rPr>
          <w:lang w:eastAsia="en-GB"/>
        </w:rPr>
        <w:t xml:space="preserve"> mandate</w:t>
      </w:r>
      <w:r w:rsidR="0046460C" w:rsidRPr="0046460C">
        <w:rPr>
          <w:lang w:eastAsia="en-GB"/>
        </w:rPr>
        <w:t xml:space="preserve"> and is competent to hear appeals of either party </w:t>
      </w:r>
      <w:r w:rsidR="002F62BB">
        <w:rPr>
          <w:lang w:eastAsia="en-GB"/>
        </w:rPr>
        <w:t>against</w:t>
      </w:r>
      <w:r w:rsidR="002F62BB" w:rsidRPr="0046460C">
        <w:rPr>
          <w:lang w:eastAsia="en-GB"/>
        </w:rPr>
        <w:t xml:space="preserve"> </w:t>
      </w:r>
      <w:r w:rsidR="0046460C" w:rsidRPr="0046460C">
        <w:rPr>
          <w:lang w:eastAsia="en-GB"/>
        </w:rPr>
        <w:t xml:space="preserve">decisions of the National Commission (even </w:t>
      </w:r>
      <w:r w:rsidR="00F872DF">
        <w:rPr>
          <w:lang w:eastAsia="en-GB"/>
        </w:rPr>
        <w:t xml:space="preserve">those taken </w:t>
      </w:r>
      <w:r w:rsidR="0046460C" w:rsidRPr="0046460C">
        <w:rPr>
          <w:lang w:eastAsia="en-GB"/>
        </w:rPr>
        <w:t>prior to the creation</w:t>
      </w:r>
      <w:r w:rsidR="00F872DF">
        <w:rPr>
          <w:lang w:eastAsia="en-GB"/>
        </w:rPr>
        <w:t xml:space="preserve"> of the Court</w:t>
      </w:r>
      <w:r w:rsidR="0046460C" w:rsidRPr="0046460C">
        <w:rPr>
          <w:lang w:eastAsia="en-GB"/>
        </w:rPr>
        <w:t xml:space="preserve">). </w:t>
      </w:r>
    </w:p>
    <w:p w:rsidR="0046460C" w:rsidRPr="0046460C" w:rsidRDefault="00C71ACD" w:rsidP="00C71ACD">
      <w:pPr>
        <w:pStyle w:val="SingleTxtG"/>
        <w:rPr>
          <w:lang w:eastAsia="en-GB"/>
        </w:rPr>
      </w:pPr>
      <w:r w:rsidRPr="0046460C">
        <w:rPr>
          <w:bCs/>
          <w:lang w:eastAsia="en-GB"/>
        </w:rPr>
        <w:t>55.</w:t>
      </w:r>
      <w:r w:rsidRPr="0046460C">
        <w:rPr>
          <w:bCs/>
          <w:lang w:eastAsia="en-GB"/>
        </w:rPr>
        <w:tab/>
      </w:r>
      <w:r w:rsidR="0046460C" w:rsidRPr="0046460C">
        <w:rPr>
          <w:lang w:eastAsia="en-GB"/>
        </w:rPr>
        <w:t xml:space="preserve">The Special Rapporteur highlights the importance of both the National Commission and the Special Court functioning independently and impartially, free from considerations related to ethnic or political motivations or objectives. He also underlines that </w:t>
      </w:r>
      <w:r w:rsidR="00F872DF">
        <w:rPr>
          <w:lang w:eastAsia="en-GB"/>
        </w:rPr>
        <w:t xml:space="preserve">the </w:t>
      </w:r>
      <w:r w:rsidR="0046460C" w:rsidRPr="0046460C">
        <w:rPr>
          <w:lang w:eastAsia="en-GB"/>
        </w:rPr>
        <w:t xml:space="preserve">Constitution </w:t>
      </w:r>
      <w:r w:rsidR="00F872DF">
        <w:rPr>
          <w:lang w:eastAsia="en-GB"/>
        </w:rPr>
        <w:t xml:space="preserve">of Burundi </w:t>
      </w:r>
      <w:r w:rsidR="0046460C" w:rsidRPr="0046460C">
        <w:rPr>
          <w:lang w:eastAsia="en-GB"/>
        </w:rPr>
        <w:t xml:space="preserve">and the Arusha Agreement </w:t>
      </w:r>
      <w:r w:rsidR="00F872DF">
        <w:rPr>
          <w:lang w:eastAsia="en-GB"/>
        </w:rPr>
        <w:t>provide for</w:t>
      </w:r>
      <w:r w:rsidR="0046460C" w:rsidRPr="0046460C">
        <w:rPr>
          <w:lang w:eastAsia="en-GB"/>
        </w:rPr>
        <w:t xml:space="preserve"> just and fair compensation in cases of expropriation.</w:t>
      </w:r>
    </w:p>
    <w:p w:rsidR="0046460C" w:rsidRPr="0046460C" w:rsidRDefault="00C1139A" w:rsidP="00F872DF">
      <w:pPr>
        <w:pStyle w:val="H1G"/>
        <w:rPr>
          <w:lang w:eastAsia="en-GB"/>
        </w:rPr>
      </w:pPr>
      <w:r>
        <w:rPr>
          <w:lang w:eastAsia="en-GB"/>
        </w:rPr>
        <w:tab/>
        <w:t>B.</w:t>
      </w:r>
      <w:r>
        <w:rPr>
          <w:lang w:eastAsia="en-GB"/>
        </w:rPr>
        <w:tab/>
      </w:r>
      <w:r w:rsidR="0046460C" w:rsidRPr="0046460C">
        <w:rPr>
          <w:lang w:eastAsia="en-GB"/>
        </w:rPr>
        <w:t>Need for broader land reform and land access for women</w:t>
      </w:r>
    </w:p>
    <w:p w:rsidR="0046460C" w:rsidRPr="0046460C" w:rsidRDefault="00C71ACD" w:rsidP="00C71ACD">
      <w:pPr>
        <w:pStyle w:val="SingleTxtG"/>
        <w:rPr>
          <w:lang w:eastAsia="en-GB"/>
        </w:rPr>
      </w:pPr>
      <w:r w:rsidRPr="0046460C">
        <w:rPr>
          <w:bCs/>
          <w:lang w:eastAsia="en-GB"/>
        </w:rPr>
        <w:t>56.</w:t>
      </w:r>
      <w:r w:rsidRPr="0046460C">
        <w:rPr>
          <w:bCs/>
          <w:lang w:eastAsia="en-GB"/>
        </w:rPr>
        <w:tab/>
      </w:r>
      <w:r w:rsidR="0046460C" w:rsidRPr="00F2414C">
        <w:t xml:space="preserve">Even the supporters of the </w:t>
      </w:r>
      <w:r w:rsidR="00BC42A3">
        <w:t xml:space="preserve">National </w:t>
      </w:r>
      <w:r w:rsidR="0046460C" w:rsidRPr="00F2414C">
        <w:t>Commission</w:t>
      </w:r>
      <w:r w:rsidR="0046460C">
        <w:t xml:space="preserve"> </w:t>
      </w:r>
      <w:r w:rsidR="00F872DF">
        <w:t>on Land</w:t>
      </w:r>
      <w:r w:rsidR="00BC42A3">
        <w:t xml:space="preserve"> and Other Assets</w:t>
      </w:r>
      <w:r w:rsidR="00F872DF">
        <w:t xml:space="preserve"> </w:t>
      </w:r>
      <w:r w:rsidR="0046460C">
        <w:t>and the Special Court</w:t>
      </w:r>
      <w:r w:rsidR="0046460C" w:rsidRPr="00F2414C">
        <w:t xml:space="preserve"> </w:t>
      </w:r>
      <w:r w:rsidR="0046460C">
        <w:t>recognize that th</w:t>
      </w:r>
      <w:r w:rsidR="00F872DF">
        <w:t>o</w:t>
      </w:r>
      <w:r w:rsidR="0046460C">
        <w:t xml:space="preserve">se bodies </w:t>
      </w:r>
      <w:r w:rsidR="0046460C" w:rsidRPr="00F2414C">
        <w:t>cannot</w:t>
      </w:r>
      <w:r w:rsidR="0046460C">
        <w:t xml:space="preserve"> resolve </w:t>
      </w:r>
      <w:r w:rsidR="0046460C" w:rsidRPr="00F2414C">
        <w:t>the delicate issue of land.</w:t>
      </w:r>
      <w:r w:rsidR="0046460C">
        <w:t xml:space="preserve"> Rather, </w:t>
      </w:r>
      <w:r w:rsidR="0046460C" w:rsidRPr="00F2414C">
        <w:t xml:space="preserve">broader initiatives </w:t>
      </w:r>
      <w:r w:rsidR="0046460C">
        <w:t>for the rational use of land are required.</w:t>
      </w:r>
      <w:r w:rsidR="0046460C" w:rsidRPr="00F2414C">
        <w:t xml:space="preserve"> Efforts at restitution</w:t>
      </w:r>
      <w:r w:rsidR="0046460C">
        <w:t>,</w:t>
      </w:r>
      <w:r w:rsidR="0046460C" w:rsidRPr="00F2414C">
        <w:t xml:space="preserve"> at best</w:t>
      </w:r>
      <w:r w:rsidR="0046460C">
        <w:t>,</w:t>
      </w:r>
      <w:r w:rsidR="0046460C" w:rsidRPr="00F2414C">
        <w:t xml:space="preserve"> lead back to the </w:t>
      </w:r>
      <w:r w:rsidR="0046460C" w:rsidRPr="00A35DC5">
        <w:rPr>
          <w:iCs/>
        </w:rPr>
        <w:t>status quo ante</w:t>
      </w:r>
      <w:r w:rsidR="0046460C" w:rsidRPr="00F2414C">
        <w:t>, which</w:t>
      </w:r>
      <w:r w:rsidR="00880190">
        <w:t>,</w:t>
      </w:r>
      <w:r w:rsidR="0046460C" w:rsidRPr="00F2414C">
        <w:t xml:space="preserve"> </w:t>
      </w:r>
      <w:r w:rsidR="0046460C">
        <w:t>while</w:t>
      </w:r>
      <w:r w:rsidR="0046460C" w:rsidRPr="00F2414C">
        <w:t xml:space="preserve"> important </w:t>
      </w:r>
      <w:r w:rsidR="002F62BB">
        <w:t>for</w:t>
      </w:r>
      <w:r w:rsidR="0046460C" w:rsidRPr="00F2414C">
        <w:t xml:space="preserve"> the neutralization of u</w:t>
      </w:r>
      <w:r w:rsidR="0046460C">
        <w:t>nfair dispossession</w:t>
      </w:r>
      <w:r w:rsidR="00880190">
        <w:t>,</w:t>
      </w:r>
      <w:r w:rsidR="0046460C">
        <w:t xml:space="preserve"> does not guarantee either just overall distribution or sustainable development.</w:t>
      </w:r>
      <w:r w:rsidR="0046460C" w:rsidRPr="00C077B3">
        <w:rPr>
          <w:rStyle w:val="FootnoteReference"/>
        </w:rPr>
        <w:footnoteReference w:id="33"/>
      </w:r>
      <w:r w:rsidR="0046460C">
        <w:t xml:space="preserve"> </w:t>
      </w:r>
    </w:p>
    <w:p w:rsidR="0046460C" w:rsidRPr="001A2DAD" w:rsidRDefault="00C71ACD" w:rsidP="00C71ACD">
      <w:pPr>
        <w:pStyle w:val="SingleTxtG"/>
      </w:pPr>
      <w:r w:rsidRPr="001A2DAD">
        <w:rPr>
          <w:bCs/>
        </w:rPr>
        <w:t>57.</w:t>
      </w:r>
      <w:r w:rsidRPr="001A2DAD">
        <w:rPr>
          <w:bCs/>
        </w:rPr>
        <w:tab/>
      </w:r>
      <w:r w:rsidR="00F872DF">
        <w:rPr>
          <w:lang w:eastAsia="en-GB"/>
        </w:rPr>
        <w:t>S</w:t>
      </w:r>
      <w:r w:rsidR="0046460C" w:rsidRPr="0046460C">
        <w:rPr>
          <w:lang w:eastAsia="en-GB"/>
        </w:rPr>
        <w:t xml:space="preserve">uccession rights </w:t>
      </w:r>
      <w:r w:rsidR="00F872DF">
        <w:rPr>
          <w:lang w:eastAsia="en-GB"/>
        </w:rPr>
        <w:t xml:space="preserve">in Burundi </w:t>
      </w:r>
      <w:r w:rsidR="0046460C" w:rsidRPr="0046460C">
        <w:rPr>
          <w:lang w:eastAsia="en-GB"/>
        </w:rPr>
        <w:t xml:space="preserve">are </w:t>
      </w:r>
      <w:r w:rsidR="002F62BB" w:rsidRPr="0046460C">
        <w:rPr>
          <w:lang w:eastAsia="en-GB"/>
        </w:rPr>
        <w:t>regulated by customary law</w:t>
      </w:r>
      <w:r w:rsidR="002F62BB">
        <w:rPr>
          <w:lang w:eastAsia="en-GB"/>
        </w:rPr>
        <w:t>,</w:t>
      </w:r>
      <w:r w:rsidR="0046460C" w:rsidRPr="00C077B3">
        <w:rPr>
          <w:rStyle w:val="FootnoteReference"/>
        </w:rPr>
        <w:footnoteReference w:id="34"/>
      </w:r>
      <w:r w:rsidR="0046460C" w:rsidRPr="0046460C">
        <w:rPr>
          <w:lang w:eastAsia="en-GB"/>
        </w:rPr>
        <w:t xml:space="preserve"> which does not guarantee the right of women and girls to inherit land.</w:t>
      </w:r>
      <w:r w:rsidR="0046460C" w:rsidRPr="00C077B3">
        <w:rPr>
          <w:rStyle w:val="FootnoteReference"/>
        </w:rPr>
        <w:footnoteReference w:id="35"/>
      </w:r>
      <w:r w:rsidR="0046460C" w:rsidRPr="00F2414C" w:rsidDel="00860748">
        <w:t xml:space="preserve"> </w:t>
      </w:r>
      <w:r w:rsidR="0046460C">
        <w:t>A significant number of households headed by single mothers are at risk because of a</w:t>
      </w:r>
      <w:r w:rsidR="0046460C" w:rsidRPr="0046460C">
        <w:rPr>
          <w:lang w:eastAsia="en-GB"/>
        </w:rPr>
        <w:t xml:space="preserve"> reported erosion of a customary usufruct</w:t>
      </w:r>
      <w:r w:rsidR="00CA69B2">
        <w:rPr>
          <w:lang w:eastAsia="en-GB"/>
        </w:rPr>
        <w:t xml:space="preserve"> that</w:t>
      </w:r>
      <w:r w:rsidR="0046460C" w:rsidRPr="0046460C">
        <w:rPr>
          <w:lang w:eastAsia="en-GB"/>
        </w:rPr>
        <w:t xml:space="preserve"> unmarried women or widows used to obtain to satisfy their alimentary needs when the land was inherited by the male heir. Furthermore, women seem to remain disadvantaged </w:t>
      </w:r>
      <w:r w:rsidR="00F872DF">
        <w:rPr>
          <w:lang w:eastAsia="en-GB"/>
        </w:rPr>
        <w:t>with regard to</w:t>
      </w:r>
      <w:r w:rsidR="0046460C" w:rsidRPr="0046460C">
        <w:rPr>
          <w:lang w:eastAsia="en-GB"/>
        </w:rPr>
        <w:t xml:space="preserve"> the purchase of land as the emergent market reflects dominant gender hierarchies. </w:t>
      </w:r>
    </w:p>
    <w:p w:rsidR="0046460C" w:rsidRPr="0046460C" w:rsidRDefault="00C1139A" w:rsidP="00734A8A">
      <w:pPr>
        <w:pStyle w:val="H1G"/>
        <w:rPr>
          <w:lang w:eastAsia="en-GB"/>
        </w:rPr>
      </w:pPr>
      <w:r>
        <w:rPr>
          <w:lang w:eastAsia="en-GB"/>
        </w:rPr>
        <w:tab/>
        <w:t>C.</w:t>
      </w:r>
      <w:r>
        <w:rPr>
          <w:lang w:eastAsia="en-GB"/>
        </w:rPr>
        <w:tab/>
      </w:r>
      <w:r w:rsidR="0046460C" w:rsidRPr="002D1884">
        <w:rPr>
          <w:lang w:eastAsia="en-GB"/>
        </w:rPr>
        <w:t>Comprehensive reparation programme</w:t>
      </w:r>
      <w:r w:rsidR="0046460C" w:rsidRPr="0046460C">
        <w:rPr>
          <w:lang w:eastAsia="en-GB"/>
        </w:rPr>
        <w:t xml:space="preserve"> </w:t>
      </w:r>
    </w:p>
    <w:p w:rsidR="0046460C" w:rsidRDefault="00C71ACD" w:rsidP="00C71ACD">
      <w:pPr>
        <w:pStyle w:val="SingleTxtG"/>
      </w:pPr>
      <w:r>
        <w:rPr>
          <w:bCs/>
        </w:rPr>
        <w:t>58.</w:t>
      </w:r>
      <w:r>
        <w:rPr>
          <w:bCs/>
        </w:rPr>
        <w:tab/>
      </w:r>
      <w:r w:rsidR="0046460C" w:rsidRPr="00860748">
        <w:t>Law</w:t>
      </w:r>
      <w:r w:rsidR="005E0F39">
        <w:t xml:space="preserve"> No.</w:t>
      </w:r>
      <w:r w:rsidR="00F872DF">
        <w:t xml:space="preserve"> 1/18</w:t>
      </w:r>
      <w:r w:rsidR="0046460C" w:rsidRPr="00860748">
        <w:t xml:space="preserve"> empowers the </w:t>
      </w:r>
      <w:r w:rsidR="00F872DF">
        <w:t xml:space="preserve">Truth and Reconciliation </w:t>
      </w:r>
      <w:r w:rsidR="0046460C">
        <w:t>C</w:t>
      </w:r>
      <w:r w:rsidR="0046460C" w:rsidRPr="00860748">
        <w:t xml:space="preserve">ommission to make recommendations </w:t>
      </w:r>
      <w:r w:rsidR="0046460C">
        <w:t>regarding a reparations programme and</w:t>
      </w:r>
      <w:r w:rsidR="0046460C" w:rsidRPr="00860748">
        <w:t xml:space="preserve"> to issue </w:t>
      </w:r>
      <w:r w:rsidR="0046460C">
        <w:t xml:space="preserve">immediate </w:t>
      </w:r>
      <w:r w:rsidR="0046460C" w:rsidRPr="00860748">
        <w:t xml:space="preserve">reparation </w:t>
      </w:r>
      <w:r w:rsidR="0046460C">
        <w:t xml:space="preserve">orders </w:t>
      </w:r>
      <w:r w:rsidR="0046460C" w:rsidRPr="00A97EF9">
        <w:t xml:space="preserve">if </w:t>
      </w:r>
      <w:r w:rsidR="006851CB">
        <w:t>“</w:t>
      </w:r>
      <w:r w:rsidR="0046460C" w:rsidRPr="00860748">
        <w:t>the circumstances and the means allow it</w:t>
      </w:r>
      <w:r w:rsidR="006851CB">
        <w:t>”</w:t>
      </w:r>
      <w:r w:rsidR="0046460C" w:rsidRPr="00860748">
        <w:t>.</w:t>
      </w:r>
      <w:r w:rsidR="0046460C">
        <w:t xml:space="preserve"> T</w:t>
      </w:r>
      <w:r w:rsidR="0046460C" w:rsidRPr="00860748">
        <w:t>he law stipulates that reparations should take into account the harm suffered by the victims</w:t>
      </w:r>
      <w:r w:rsidR="0046460C">
        <w:t xml:space="preserve"> and</w:t>
      </w:r>
      <w:r w:rsidR="0046460C" w:rsidRPr="00860748">
        <w:t xml:space="preserve"> </w:t>
      </w:r>
      <w:r w:rsidR="008A43AD">
        <w:t>“</w:t>
      </w:r>
      <w:r w:rsidR="0046460C" w:rsidRPr="00860748">
        <w:t>the available resources and the realities of the country</w:t>
      </w:r>
      <w:r w:rsidR="008A43AD">
        <w:t>”</w:t>
      </w:r>
      <w:r w:rsidR="0046460C" w:rsidRPr="00860748">
        <w:t>.</w:t>
      </w:r>
      <w:r w:rsidR="0046460C">
        <w:t xml:space="preserve"> </w:t>
      </w:r>
    </w:p>
    <w:p w:rsidR="0046460C" w:rsidRPr="0046460C" w:rsidRDefault="00C71ACD" w:rsidP="00C71ACD">
      <w:pPr>
        <w:pStyle w:val="SingleTxtG"/>
      </w:pPr>
      <w:r w:rsidRPr="0046460C">
        <w:rPr>
          <w:bCs/>
        </w:rPr>
        <w:t>59.</w:t>
      </w:r>
      <w:r w:rsidRPr="0046460C">
        <w:rPr>
          <w:bCs/>
        </w:rPr>
        <w:tab/>
      </w:r>
      <w:r w:rsidR="0046460C" w:rsidRPr="0046460C">
        <w:t>Many ambiguities concerning reparations in the law need to be clarified</w:t>
      </w:r>
      <w:r w:rsidR="00A82BB2">
        <w:t xml:space="preserve">, </w:t>
      </w:r>
      <w:r w:rsidR="0046460C" w:rsidRPr="0046460C">
        <w:t>includ</w:t>
      </w:r>
      <w:r w:rsidR="00A82BB2">
        <w:t>ing</w:t>
      </w:r>
      <w:r w:rsidR="0046460C" w:rsidRPr="0046460C">
        <w:t xml:space="preserve"> the aforementioned conditionalities</w:t>
      </w:r>
      <w:r w:rsidR="00A82BB2">
        <w:t xml:space="preserve"> relating to resources</w:t>
      </w:r>
      <w:r w:rsidR="0046460C" w:rsidRPr="0046460C">
        <w:t>. Burundi faces significant resource constraints,</w:t>
      </w:r>
      <w:r w:rsidR="0046460C" w:rsidRPr="00C077B3">
        <w:rPr>
          <w:rStyle w:val="FootnoteReference"/>
        </w:rPr>
        <w:footnoteReference w:id="36"/>
      </w:r>
      <w:r w:rsidR="0046460C" w:rsidRPr="0046460C">
        <w:t xml:space="preserve"> as manifested by its high poverty rate, its heavy reliance on </w:t>
      </w:r>
      <w:r w:rsidR="0046460C" w:rsidRPr="0046460C">
        <w:rPr>
          <w:lang w:eastAsia="en-GB"/>
        </w:rPr>
        <w:t>donors to cover parts of its budget and the low levels of foreign direct investment.</w:t>
      </w:r>
      <w:r w:rsidR="0046460C" w:rsidRPr="0046460C">
        <w:t xml:space="preserve"> </w:t>
      </w:r>
      <w:r w:rsidR="00125C6C">
        <w:t xml:space="preserve">Nonetheless, </w:t>
      </w:r>
      <w:r w:rsidR="00125C6C" w:rsidRPr="0046460C">
        <w:t>space for action exists</w:t>
      </w:r>
      <w:r w:rsidR="00125C6C">
        <w:t xml:space="preserve"> w</w:t>
      </w:r>
      <w:r w:rsidR="0046460C" w:rsidRPr="0046460C">
        <w:t xml:space="preserve">ithin those constraints. </w:t>
      </w:r>
    </w:p>
    <w:p w:rsidR="0046460C" w:rsidRPr="0046460C" w:rsidRDefault="00C71ACD" w:rsidP="00C71ACD">
      <w:pPr>
        <w:pStyle w:val="SingleTxtG"/>
      </w:pPr>
      <w:r w:rsidRPr="0046460C">
        <w:rPr>
          <w:bCs/>
        </w:rPr>
        <w:t>60.</w:t>
      </w:r>
      <w:r w:rsidRPr="0046460C">
        <w:rPr>
          <w:bCs/>
        </w:rPr>
        <w:tab/>
      </w:r>
      <w:r w:rsidR="00125C6C">
        <w:t>There is n</w:t>
      </w:r>
      <w:r w:rsidR="0046460C" w:rsidRPr="0046460C">
        <w:t xml:space="preserve">o obvious direct correlation between the degree of socioeconomic development of a country and the magnitude of its reparation programmes. Some countries with relatively wealthy economies have established programmes that are not particularly munificent; </w:t>
      </w:r>
      <w:r w:rsidR="00125C6C">
        <w:t>while other</w:t>
      </w:r>
      <w:r w:rsidR="0046460C" w:rsidRPr="0046460C">
        <w:t xml:space="preserve"> countries with comparatively smaller economies have established programmes that distribute relatively large benefits.</w:t>
      </w:r>
      <w:r w:rsidR="0046460C" w:rsidRPr="00C077B3">
        <w:rPr>
          <w:rStyle w:val="FootnoteReference"/>
        </w:rPr>
        <w:footnoteReference w:id="37"/>
      </w:r>
      <w:r w:rsidR="0046460C" w:rsidRPr="0046460C">
        <w:t xml:space="preserve"> </w:t>
      </w:r>
    </w:p>
    <w:p w:rsidR="0046460C" w:rsidRPr="0046460C" w:rsidRDefault="00C71ACD" w:rsidP="00C71ACD">
      <w:pPr>
        <w:pStyle w:val="SingleTxtG"/>
      </w:pPr>
      <w:r w:rsidRPr="0046460C">
        <w:rPr>
          <w:bCs/>
        </w:rPr>
        <w:t>61.</w:t>
      </w:r>
      <w:r w:rsidRPr="0046460C">
        <w:rPr>
          <w:bCs/>
        </w:rPr>
        <w:tab/>
      </w:r>
      <w:r w:rsidR="0046460C" w:rsidRPr="0046460C">
        <w:t xml:space="preserve">Overall, the record shows that political factors, rather than economic constraints, </w:t>
      </w:r>
      <w:r w:rsidR="00125C6C">
        <w:t>determine</w:t>
      </w:r>
      <w:r w:rsidR="0046460C" w:rsidRPr="0046460C">
        <w:t xml:space="preserve"> the existence </w:t>
      </w:r>
      <w:r w:rsidR="00125C6C">
        <w:t xml:space="preserve">and shape </w:t>
      </w:r>
      <w:r w:rsidR="0046460C" w:rsidRPr="0046460C">
        <w:t>of reparation programmes. The Special Rapporteur remind</w:t>
      </w:r>
      <w:r w:rsidR="00125C6C">
        <w:t>s</w:t>
      </w:r>
      <w:r w:rsidR="0046460C" w:rsidRPr="0046460C">
        <w:t xml:space="preserve"> the Government</w:t>
      </w:r>
      <w:r w:rsidR="00125C6C">
        <w:t xml:space="preserve"> of Burundi</w:t>
      </w:r>
      <w:r w:rsidR="0046460C" w:rsidRPr="0046460C">
        <w:t xml:space="preserve"> that economic constraints do not displace legal obligations. </w:t>
      </w:r>
    </w:p>
    <w:p w:rsidR="0046460C" w:rsidRPr="0046460C" w:rsidRDefault="00C71ACD" w:rsidP="00C71ACD">
      <w:pPr>
        <w:pStyle w:val="SingleTxtG"/>
      </w:pPr>
      <w:r w:rsidRPr="0046460C">
        <w:rPr>
          <w:bCs/>
        </w:rPr>
        <w:t>62.</w:t>
      </w:r>
      <w:r w:rsidRPr="0046460C">
        <w:rPr>
          <w:bCs/>
        </w:rPr>
        <w:tab/>
      </w:r>
      <w:r w:rsidR="0046460C" w:rsidRPr="0046460C">
        <w:t>Similarly, he underscore</w:t>
      </w:r>
      <w:r w:rsidR="00125C6C">
        <w:t>s</w:t>
      </w:r>
      <w:r w:rsidR="0046460C" w:rsidRPr="0046460C">
        <w:t xml:space="preserve"> that </w:t>
      </w:r>
      <w:r w:rsidR="00BA0753">
        <w:t xml:space="preserve">there </w:t>
      </w:r>
      <w:r w:rsidR="00BA0753" w:rsidRPr="0046460C">
        <w:t>should</w:t>
      </w:r>
      <w:r w:rsidR="00C33A30">
        <w:t xml:space="preserve"> be</w:t>
      </w:r>
      <w:r w:rsidR="00BA0753" w:rsidRPr="0046460C">
        <w:t xml:space="preserve"> no confus</w:t>
      </w:r>
      <w:r w:rsidR="00BA0753">
        <w:t>ion</w:t>
      </w:r>
      <w:r w:rsidR="00BA0753" w:rsidRPr="0046460C">
        <w:t xml:space="preserve"> or trade-off </w:t>
      </w:r>
      <w:r w:rsidR="00BA0753">
        <w:t xml:space="preserve">between </w:t>
      </w:r>
      <w:r w:rsidR="0046460C" w:rsidRPr="0046460C">
        <w:t xml:space="preserve">reparation programmes and development initiatives. Given </w:t>
      </w:r>
      <w:r w:rsidR="005E0F39">
        <w:t>the</w:t>
      </w:r>
      <w:r w:rsidR="005E0F39" w:rsidRPr="0046460C">
        <w:t xml:space="preserve"> </w:t>
      </w:r>
      <w:r w:rsidR="0046460C" w:rsidRPr="0046460C">
        <w:t>circumstances</w:t>
      </w:r>
      <w:r w:rsidR="005E0F39">
        <w:t xml:space="preserve"> in Burundi</w:t>
      </w:r>
      <w:r w:rsidR="0046460C" w:rsidRPr="0046460C">
        <w:t>, both are necessary</w:t>
      </w:r>
      <w:r w:rsidR="00BA0753">
        <w:t>;</w:t>
      </w:r>
      <w:r w:rsidR="0046460C" w:rsidRPr="0046460C">
        <w:t xml:space="preserve"> each is independently justified</w:t>
      </w:r>
      <w:r w:rsidR="00BA0753">
        <w:t>;</w:t>
      </w:r>
      <w:r w:rsidR="0046460C" w:rsidRPr="0046460C">
        <w:t xml:space="preserve"> and the synergies between them can be maximized. </w:t>
      </w:r>
      <w:r w:rsidR="00BA0753">
        <w:t>However, r</w:t>
      </w:r>
      <w:r w:rsidR="0046460C" w:rsidRPr="0046460C">
        <w:t xml:space="preserve">eparations involve explicit recognition of responsibility for rights violations. </w:t>
      </w:r>
    </w:p>
    <w:p w:rsidR="0046460C" w:rsidRPr="0046460C" w:rsidRDefault="00C71ACD" w:rsidP="00C71ACD">
      <w:pPr>
        <w:pStyle w:val="SingleTxtG"/>
        <w:rPr>
          <w:lang w:eastAsia="en-GB"/>
        </w:rPr>
      </w:pPr>
      <w:r w:rsidRPr="0046460C">
        <w:rPr>
          <w:bCs/>
          <w:lang w:eastAsia="en-GB"/>
        </w:rPr>
        <w:t>63.</w:t>
      </w:r>
      <w:r w:rsidRPr="0046460C">
        <w:rPr>
          <w:bCs/>
          <w:lang w:eastAsia="en-GB"/>
        </w:rPr>
        <w:tab/>
      </w:r>
      <w:r w:rsidR="0046460C" w:rsidRPr="0046460C">
        <w:rPr>
          <w:lang w:eastAsia="en-GB"/>
        </w:rPr>
        <w:t xml:space="preserve">Given its mandate, the Truth and Reconciliation Commission should initiate discussions about the design of a </w:t>
      </w:r>
      <w:r w:rsidR="00BA0753">
        <w:rPr>
          <w:lang w:eastAsia="en-GB"/>
        </w:rPr>
        <w:t xml:space="preserve">reparations </w:t>
      </w:r>
      <w:r w:rsidR="0046460C" w:rsidRPr="0046460C">
        <w:rPr>
          <w:lang w:eastAsia="en-GB"/>
        </w:rPr>
        <w:t xml:space="preserve">programme and involve civil society and victims from the </w:t>
      </w:r>
      <w:r w:rsidR="00BA0753">
        <w:rPr>
          <w:lang w:eastAsia="en-GB"/>
        </w:rPr>
        <w:t>outset</w:t>
      </w:r>
      <w:r w:rsidR="0046460C" w:rsidRPr="0046460C">
        <w:rPr>
          <w:lang w:eastAsia="en-GB"/>
        </w:rPr>
        <w:t>. Th</w:t>
      </w:r>
      <w:r w:rsidR="00BA0753">
        <w:rPr>
          <w:lang w:eastAsia="en-GB"/>
        </w:rPr>
        <w:t>at</w:t>
      </w:r>
      <w:r w:rsidR="0046460C" w:rsidRPr="0046460C">
        <w:rPr>
          <w:lang w:eastAsia="en-GB"/>
        </w:rPr>
        <w:t xml:space="preserve"> would help ensure that the final programme not only truly addresses the harm </w:t>
      </w:r>
      <w:r w:rsidR="00F46EB7">
        <w:rPr>
          <w:lang w:eastAsia="en-GB"/>
        </w:rPr>
        <w:t>suffered</w:t>
      </w:r>
      <w:r w:rsidR="00BA0753">
        <w:rPr>
          <w:lang w:eastAsia="en-GB"/>
        </w:rPr>
        <w:t>,</w:t>
      </w:r>
      <w:r w:rsidR="00F46EB7" w:rsidRPr="0046460C">
        <w:rPr>
          <w:lang w:eastAsia="en-GB"/>
        </w:rPr>
        <w:t xml:space="preserve"> </w:t>
      </w:r>
      <w:r w:rsidR="0046460C" w:rsidRPr="0046460C">
        <w:rPr>
          <w:lang w:eastAsia="en-GB"/>
        </w:rPr>
        <w:t>but also enables the victims</w:t>
      </w:r>
      <w:r w:rsidR="00BA0753">
        <w:rPr>
          <w:lang w:eastAsia="en-GB"/>
        </w:rPr>
        <w:t xml:space="preserve">, </w:t>
      </w:r>
      <w:r w:rsidR="00BA0753" w:rsidRPr="0046460C">
        <w:rPr>
          <w:lang w:eastAsia="en-GB"/>
        </w:rPr>
        <w:t>particularly women and girls</w:t>
      </w:r>
      <w:r w:rsidR="00BA0753">
        <w:rPr>
          <w:lang w:eastAsia="en-GB"/>
        </w:rPr>
        <w:t>,</w:t>
      </w:r>
      <w:r w:rsidR="0046460C" w:rsidRPr="0046460C">
        <w:rPr>
          <w:lang w:eastAsia="en-GB"/>
        </w:rPr>
        <w:t xml:space="preserve"> to overcome pre-existing patterns of discrimination and inequalities.</w:t>
      </w:r>
      <w:r w:rsidR="0046460C" w:rsidRPr="00C077B3">
        <w:rPr>
          <w:rStyle w:val="FootnoteReference"/>
        </w:rPr>
        <w:footnoteReference w:id="38"/>
      </w:r>
      <w:r w:rsidR="0046460C" w:rsidRPr="0046460C">
        <w:rPr>
          <w:lang w:eastAsia="en-GB"/>
        </w:rPr>
        <w:t xml:space="preserve"> </w:t>
      </w:r>
    </w:p>
    <w:p w:rsidR="0046460C" w:rsidRPr="0046460C" w:rsidRDefault="00C71ACD" w:rsidP="00C71ACD">
      <w:pPr>
        <w:pStyle w:val="SingleTxtG"/>
        <w:rPr>
          <w:lang w:eastAsia="en-GB"/>
        </w:rPr>
      </w:pPr>
      <w:r w:rsidRPr="0046460C">
        <w:rPr>
          <w:bCs/>
          <w:lang w:eastAsia="en-GB"/>
        </w:rPr>
        <w:t>64.</w:t>
      </w:r>
      <w:r w:rsidRPr="0046460C">
        <w:rPr>
          <w:bCs/>
          <w:lang w:eastAsia="en-GB"/>
        </w:rPr>
        <w:tab/>
      </w:r>
      <w:r w:rsidR="0046460C" w:rsidRPr="0046460C">
        <w:rPr>
          <w:lang w:eastAsia="en-GB"/>
        </w:rPr>
        <w:t>To th</w:t>
      </w:r>
      <w:r w:rsidR="00BA0753">
        <w:rPr>
          <w:lang w:eastAsia="en-GB"/>
        </w:rPr>
        <w:t>at</w:t>
      </w:r>
      <w:r w:rsidR="0046460C" w:rsidRPr="0046460C">
        <w:rPr>
          <w:lang w:eastAsia="en-GB"/>
        </w:rPr>
        <w:t xml:space="preserve"> end, any future reparations programme should include support for education</w:t>
      </w:r>
      <w:r w:rsidR="00BA0753">
        <w:rPr>
          <w:lang w:eastAsia="en-GB"/>
        </w:rPr>
        <w:t xml:space="preserve">, which </w:t>
      </w:r>
      <w:r w:rsidR="0046460C" w:rsidRPr="0046460C">
        <w:rPr>
          <w:lang w:eastAsia="en-GB"/>
        </w:rPr>
        <w:t xml:space="preserve">can be an important tool for the reintegration of victims </w:t>
      </w:r>
      <w:r w:rsidR="0075349B">
        <w:rPr>
          <w:lang w:eastAsia="en-GB"/>
        </w:rPr>
        <w:t xml:space="preserve">by </w:t>
      </w:r>
      <w:r w:rsidR="0046460C" w:rsidRPr="0046460C">
        <w:rPr>
          <w:lang w:eastAsia="en-GB"/>
        </w:rPr>
        <w:t>provid</w:t>
      </w:r>
      <w:r w:rsidR="0075349B">
        <w:rPr>
          <w:lang w:eastAsia="en-GB"/>
        </w:rPr>
        <w:t>ing</w:t>
      </w:r>
      <w:r w:rsidR="0046460C" w:rsidRPr="0046460C">
        <w:rPr>
          <w:lang w:eastAsia="en-GB"/>
        </w:rPr>
        <w:t xml:space="preserve"> opportunities to develop their capabilities</w:t>
      </w:r>
      <w:r w:rsidR="0075349B">
        <w:rPr>
          <w:lang w:eastAsia="en-GB"/>
        </w:rPr>
        <w:t xml:space="preserve"> and</w:t>
      </w:r>
      <w:r w:rsidR="0046460C" w:rsidRPr="0046460C">
        <w:rPr>
          <w:lang w:eastAsia="en-GB"/>
        </w:rPr>
        <w:t xml:space="preserve"> increas</w:t>
      </w:r>
      <w:r w:rsidR="0075349B">
        <w:rPr>
          <w:lang w:eastAsia="en-GB"/>
        </w:rPr>
        <w:t>ing</w:t>
      </w:r>
      <w:r w:rsidR="0046460C" w:rsidRPr="0046460C">
        <w:rPr>
          <w:lang w:eastAsia="en-GB"/>
        </w:rPr>
        <w:t xml:space="preserve"> their ability to ensure a sustainable income and thereby overcome patterns of discrimination. Education programmes </w:t>
      </w:r>
      <w:r w:rsidR="00F46EB7">
        <w:rPr>
          <w:lang w:eastAsia="en-GB"/>
        </w:rPr>
        <w:t>also</w:t>
      </w:r>
      <w:r w:rsidR="00F46EB7" w:rsidRPr="0046460C">
        <w:rPr>
          <w:lang w:eastAsia="en-GB"/>
        </w:rPr>
        <w:t xml:space="preserve"> </w:t>
      </w:r>
      <w:r w:rsidR="0046460C" w:rsidRPr="0046460C">
        <w:rPr>
          <w:lang w:eastAsia="en-GB"/>
        </w:rPr>
        <w:t xml:space="preserve">contribute to the transformation of mindsets about conflict and human rights violations. However, </w:t>
      </w:r>
      <w:r w:rsidR="0075349B">
        <w:rPr>
          <w:lang w:eastAsia="en-GB"/>
        </w:rPr>
        <w:t>such</w:t>
      </w:r>
      <w:r w:rsidR="0046460C" w:rsidRPr="0046460C">
        <w:rPr>
          <w:lang w:eastAsia="en-GB"/>
        </w:rPr>
        <w:t xml:space="preserve"> initiatives </w:t>
      </w:r>
      <w:r w:rsidR="0075349B">
        <w:rPr>
          <w:lang w:eastAsia="en-GB"/>
        </w:rPr>
        <w:t xml:space="preserve">that </w:t>
      </w:r>
      <w:r w:rsidR="0046460C" w:rsidRPr="0046460C">
        <w:rPr>
          <w:lang w:eastAsia="en-GB"/>
        </w:rPr>
        <w:t>target direct and/or indirect victims must not be confused with the State’s duty to ensure access to education for the entire population or with development programmes.</w:t>
      </w:r>
      <w:r w:rsidR="0046460C" w:rsidRPr="00C077B3">
        <w:rPr>
          <w:rStyle w:val="FootnoteReference"/>
        </w:rPr>
        <w:footnoteReference w:id="39"/>
      </w:r>
      <w:r w:rsidR="00FD649C">
        <w:rPr>
          <w:lang w:eastAsia="en-GB"/>
        </w:rPr>
        <w:t xml:space="preserve"> </w:t>
      </w:r>
    </w:p>
    <w:p w:rsidR="0046460C" w:rsidRPr="0046460C" w:rsidRDefault="00C71ACD" w:rsidP="00C71ACD">
      <w:pPr>
        <w:pStyle w:val="SingleTxtG"/>
        <w:rPr>
          <w:lang w:eastAsia="en-GB"/>
        </w:rPr>
      </w:pPr>
      <w:r w:rsidRPr="0046460C">
        <w:rPr>
          <w:bCs/>
          <w:lang w:eastAsia="en-GB"/>
        </w:rPr>
        <w:t>65.</w:t>
      </w:r>
      <w:r w:rsidRPr="0046460C">
        <w:rPr>
          <w:bCs/>
          <w:lang w:eastAsia="en-GB"/>
        </w:rPr>
        <w:tab/>
      </w:r>
      <w:r w:rsidR="0046460C" w:rsidRPr="0046460C">
        <w:rPr>
          <w:lang w:eastAsia="en-GB"/>
        </w:rPr>
        <w:t xml:space="preserve">The Truth and Reconciliation Commission </w:t>
      </w:r>
      <w:r w:rsidR="0075349B">
        <w:rPr>
          <w:lang w:eastAsia="en-GB"/>
        </w:rPr>
        <w:t xml:space="preserve">must </w:t>
      </w:r>
      <w:r w:rsidR="0046460C" w:rsidRPr="0046460C">
        <w:rPr>
          <w:lang w:eastAsia="en-GB"/>
        </w:rPr>
        <w:t xml:space="preserve">ensure that </w:t>
      </w:r>
      <w:r w:rsidR="0075349B" w:rsidRPr="0046460C">
        <w:rPr>
          <w:lang w:eastAsia="en-GB"/>
        </w:rPr>
        <w:t xml:space="preserve">rights </w:t>
      </w:r>
      <w:r w:rsidR="0075349B">
        <w:rPr>
          <w:lang w:eastAsia="en-GB"/>
        </w:rPr>
        <w:t xml:space="preserve">are </w:t>
      </w:r>
      <w:r w:rsidR="0075349B" w:rsidRPr="0046460C">
        <w:rPr>
          <w:lang w:eastAsia="en-GB"/>
        </w:rPr>
        <w:t>at the centre</w:t>
      </w:r>
      <w:r w:rsidR="0075349B">
        <w:rPr>
          <w:lang w:eastAsia="en-GB"/>
        </w:rPr>
        <w:t xml:space="preserve"> of </w:t>
      </w:r>
      <w:r w:rsidR="0046460C" w:rsidRPr="0046460C">
        <w:rPr>
          <w:lang w:eastAsia="en-GB"/>
        </w:rPr>
        <w:t>its recommendations on reparations</w:t>
      </w:r>
      <w:r w:rsidR="00F46EB7">
        <w:rPr>
          <w:lang w:eastAsia="en-GB"/>
        </w:rPr>
        <w:t>. T</w:t>
      </w:r>
      <w:r w:rsidR="0046460C" w:rsidRPr="0046460C">
        <w:rPr>
          <w:lang w:eastAsia="en-GB"/>
        </w:rPr>
        <w:t xml:space="preserve">he violation of rights, </w:t>
      </w:r>
      <w:r w:rsidR="005267E9">
        <w:rPr>
          <w:lang w:eastAsia="en-GB"/>
        </w:rPr>
        <w:t xml:space="preserve">and not </w:t>
      </w:r>
      <w:r w:rsidR="0046460C" w:rsidRPr="0046460C">
        <w:rPr>
          <w:lang w:eastAsia="en-GB"/>
        </w:rPr>
        <w:t xml:space="preserve">other considerations, including ethnicity or political affiliation, </w:t>
      </w:r>
      <w:r w:rsidR="00F46EB7">
        <w:rPr>
          <w:lang w:eastAsia="en-GB"/>
        </w:rPr>
        <w:t>is</w:t>
      </w:r>
      <w:r w:rsidR="0046460C" w:rsidRPr="0046460C">
        <w:rPr>
          <w:lang w:eastAsia="en-GB"/>
        </w:rPr>
        <w:t xml:space="preserve"> the sufficient condition for accessing benefits. The Special Rapporteur emphasizes that transitional justice measures, reparations included, must never be used as instruments of </w:t>
      </w:r>
      <w:r w:rsidR="006851CB">
        <w:rPr>
          <w:lang w:eastAsia="en-GB"/>
        </w:rPr>
        <w:t>“</w:t>
      </w:r>
      <w:r w:rsidR="0046460C" w:rsidRPr="0046460C">
        <w:rPr>
          <w:lang w:eastAsia="en-GB"/>
        </w:rPr>
        <w:t>turn</w:t>
      </w:r>
      <w:r w:rsidR="0075349B">
        <w:rPr>
          <w:lang w:eastAsia="en-GB"/>
        </w:rPr>
        <w:t>-</w:t>
      </w:r>
      <w:r w:rsidR="0046460C" w:rsidRPr="0046460C">
        <w:rPr>
          <w:lang w:eastAsia="en-GB"/>
        </w:rPr>
        <w:t>taking</w:t>
      </w:r>
      <w:r w:rsidR="006851CB">
        <w:rPr>
          <w:lang w:eastAsia="en-GB"/>
        </w:rPr>
        <w:t>”</w:t>
      </w:r>
      <w:r w:rsidR="0046460C" w:rsidRPr="0046460C">
        <w:rPr>
          <w:lang w:eastAsia="en-GB"/>
        </w:rPr>
        <w:t xml:space="preserve">. </w:t>
      </w:r>
    </w:p>
    <w:p w:rsidR="0046460C" w:rsidRPr="0046460C" w:rsidRDefault="00C1139A" w:rsidP="0075349B">
      <w:pPr>
        <w:pStyle w:val="H1G"/>
        <w:rPr>
          <w:lang w:eastAsia="en-GB"/>
        </w:rPr>
      </w:pPr>
      <w:r>
        <w:rPr>
          <w:lang w:eastAsia="en-GB"/>
        </w:rPr>
        <w:tab/>
        <w:t>D.</w:t>
      </w:r>
      <w:r>
        <w:rPr>
          <w:lang w:eastAsia="en-GB"/>
        </w:rPr>
        <w:tab/>
      </w:r>
      <w:r w:rsidR="0046460C" w:rsidRPr="0046460C">
        <w:rPr>
          <w:lang w:eastAsia="en-GB"/>
        </w:rPr>
        <w:t>Immediate assistance programmes</w:t>
      </w:r>
      <w:r w:rsidR="0075349B">
        <w:rPr>
          <w:lang w:eastAsia="en-GB"/>
        </w:rPr>
        <w:t xml:space="preserve"> for victims</w:t>
      </w:r>
    </w:p>
    <w:p w:rsidR="0046460C" w:rsidRPr="00783C6C" w:rsidRDefault="00C71ACD" w:rsidP="00C71ACD">
      <w:pPr>
        <w:pStyle w:val="SingleTxtG"/>
      </w:pPr>
      <w:r w:rsidRPr="00783C6C">
        <w:rPr>
          <w:bCs/>
        </w:rPr>
        <w:t>66.</w:t>
      </w:r>
      <w:r w:rsidRPr="00783C6C">
        <w:rPr>
          <w:bCs/>
        </w:rPr>
        <w:tab/>
      </w:r>
      <w:r w:rsidR="0046460C">
        <w:t>B</w:t>
      </w:r>
      <w:r w:rsidR="0046460C" w:rsidRPr="00AF7B44">
        <w:t xml:space="preserve">ecause the needs of </w:t>
      </w:r>
      <w:r w:rsidR="00F46EB7">
        <w:t xml:space="preserve">some </w:t>
      </w:r>
      <w:r w:rsidR="0046460C" w:rsidRPr="00AF7B44">
        <w:t xml:space="preserve">victims </w:t>
      </w:r>
      <w:r w:rsidR="0075349B">
        <w:t xml:space="preserve">— </w:t>
      </w:r>
      <w:r w:rsidR="0046460C" w:rsidRPr="00AF7B44">
        <w:t>including elderly or infirm widows, orphans and internally displaced persons</w:t>
      </w:r>
      <w:r w:rsidR="0075349B">
        <w:t xml:space="preserve"> </w:t>
      </w:r>
      <w:r w:rsidR="0046460C" w:rsidRPr="00AF7B44">
        <w:t>—</w:t>
      </w:r>
      <w:r w:rsidR="0075349B">
        <w:t xml:space="preserve"> are </w:t>
      </w:r>
      <w:r w:rsidR="0075349B" w:rsidRPr="00AF7B44">
        <w:t>particular</w:t>
      </w:r>
      <w:r w:rsidR="0075349B">
        <w:t xml:space="preserve">ly </w:t>
      </w:r>
      <w:r w:rsidR="0075349B" w:rsidRPr="00AF7B44">
        <w:t xml:space="preserve">pressing </w:t>
      </w:r>
      <w:r w:rsidR="0046460C" w:rsidRPr="00AF7B44">
        <w:t xml:space="preserve">and cannot wait until the </w:t>
      </w:r>
      <w:r w:rsidR="00F46EB7">
        <w:t>Commission</w:t>
      </w:r>
      <w:r w:rsidR="00F46EB7" w:rsidRPr="00AF7B44">
        <w:t xml:space="preserve"> </w:t>
      </w:r>
      <w:r w:rsidR="0046460C" w:rsidRPr="00AF7B44">
        <w:t>has concluded its work</w:t>
      </w:r>
      <w:r w:rsidR="0075349B">
        <w:t xml:space="preserve"> to be addressed</w:t>
      </w:r>
      <w:r w:rsidR="0046460C" w:rsidRPr="00AF7B44">
        <w:t xml:space="preserve">, </w:t>
      </w:r>
      <w:r w:rsidR="0075349B">
        <w:t>immediate</w:t>
      </w:r>
      <w:r w:rsidR="0046460C" w:rsidRPr="00AF7B44">
        <w:t xml:space="preserve"> assistance program</w:t>
      </w:r>
      <w:r w:rsidR="0046460C">
        <w:t>me</w:t>
      </w:r>
      <w:r w:rsidR="0046460C" w:rsidRPr="00AF7B44">
        <w:t xml:space="preserve">s for </w:t>
      </w:r>
      <w:r w:rsidR="0075349B">
        <w:t>such persons,</w:t>
      </w:r>
      <w:r w:rsidR="0046460C" w:rsidRPr="00AF7B44">
        <w:t xml:space="preserve"> among other vulnerable groups</w:t>
      </w:r>
      <w:r w:rsidR="0075349B">
        <w:t>,</w:t>
      </w:r>
      <w:r w:rsidR="0046460C" w:rsidRPr="00AF7B44">
        <w:t xml:space="preserve"> should be established. </w:t>
      </w:r>
      <w:r w:rsidR="0075349B">
        <w:t>Such</w:t>
      </w:r>
      <w:r w:rsidR="0046460C" w:rsidRPr="00AF7B44">
        <w:t xml:space="preserve"> program</w:t>
      </w:r>
      <w:r w:rsidR="0046460C">
        <w:t>me</w:t>
      </w:r>
      <w:r w:rsidR="0046460C" w:rsidRPr="00783C6C">
        <w:t>s,</w:t>
      </w:r>
      <w:r w:rsidR="0046460C">
        <w:t xml:space="preserve"> </w:t>
      </w:r>
      <w:r w:rsidR="0046460C" w:rsidRPr="00783C6C">
        <w:t>like humanitarian assistance program</w:t>
      </w:r>
      <w:r w:rsidR="0046460C">
        <w:t>me</w:t>
      </w:r>
      <w:r w:rsidR="0046460C" w:rsidRPr="00783C6C">
        <w:t>s</w:t>
      </w:r>
      <w:r w:rsidR="0046460C">
        <w:t>,</w:t>
      </w:r>
      <w:r w:rsidR="0046460C" w:rsidRPr="00783C6C">
        <w:t xml:space="preserve"> are meant to help victims meet their most urgent needs, including </w:t>
      </w:r>
      <w:r w:rsidR="0075349B">
        <w:t>with regard to</w:t>
      </w:r>
      <w:r w:rsidR="0046460C" w:rsidRPr="00783C6C">
        <w:t xml:space="preserve"> health</w:t>
      </w:r>
      <w:r w:rsidR="0075349B">
        <w:t xml:space="preserve"> </w:t>
      </w:r>
      <w:r w:rsidR="0046460C">
        <w:t>care</w:t>
      </w:r>
      <w:r w:rsidR="0046460C" w:rsidRPr="00783C6C">
        <w:t>, education and shelter.</w:t>
      </w:r>
      <w:r w:rsidR="00C64443">
        <w:t xml:space="preserve"> </w:t>
      </w:r>
    </w:p>
    <w:p w:rsidR="0046460C" w:rsidRPr="002D1884" w:rsidRDefault="00C1139A" w:rsidP="00734A8A">
      <w:pPr>
        <w:pStyle w:val="HChG"/>
        <w:rPr>
          <w:lang w:eastAsia="en-GB"/>
        </w:rPr>
      </w:pPr>
      <w:r>
        <w:rPr>
          <w:lang w:eastAsia="en-GB"/>
        </w:rPr>
        <w:tab/>
      </w:r>
      <w:r w:rsidR="0046460C" w:rsidRPr="002D1884">
        <w:rPr>
          <w:lang w:eastAsia="en-GB"/>
        </w:rPr>
        <w:t>VI.</w:t>
      </w:r>
      <w:r>
        <w:rPr>
          <w:lang w:eastAsia="en-GB"/>
        </w:rPr>
        <w:tab/>
      </w:r>
      <w:r w:rsidR="0046460C" w:rsidRPr="002D1884">
        <w:rPr>
          <w:lang w:eastAsia="en-GB"/>
        </w:rPr>
        <w:t>Institutional reforms crucial to guarantee</w:t>
      </w:r>
      <w:r w:rsidR="0075349B">
        <w:rPr>
          <w:lang w:eastAsia="en-GB"/>
        </w:rPr>
        <w:t>ing</w:t>
      </w:r>
      <w:r w:rsidR="0046460C" w:rsidRPr="002D1884">
        <w:rPr>
          <w:lang w:eastAsia="en-GB"/>
        </w:rPr>
        <w:t xml:space="preserve"> non-recurrence </w:t>
      </w:r>
    </w:p>
    <w:p w:rsidR="0046460C" w:rsidRPr="00D3346F" w:rsidRDefault="00C71ACD" w:rsidP="00C71ACD">
      <w:pPr>
        <w:pStyle w:val="SingleTxtG"/>
        <w:rPr>
          <w:lang w:eastAsia="en-GB"/>
        </w:rPr>
      </w:pPr>
      <w:r w:rsidRPr="00D3346F">
        <w:rPr>
          <w:bCs/>
          <w:lang w:eastAsia="en-GB"/>
        </w:rPr>
        <w:t>67.</w:t>
      </w:r>
      <w:r w:rsidRPr="00D3346F">
        <w:rPr>
          <w:bCs/>
          <w:lang w:eastAsia="en-GB"/>
        </w:rPr>
        <w:tab/>
      </w:r>
      <w:r w:rsidR="0046460C">
        <w:rPr>
          <w:lang w:eastAsia="en-GB"/>
        </w:rPr>
        <w:t xml:space="preserve">While the peace agreements, the 2005 </w:t>
      </w:r>
      <w:r w:rsidR="00F46EB7">
        <w:rPr>
          <w:lang w:eastAsia="en-GB"/>
        </w:rPr>
        <w:t>C</w:t>
      </w:r>
      <w:r w:rsidR="0046460C">
        <w:rPr>
          <w:lang w:eastAsia="en-GB"/>
        </w:rPr>
        <w:t>onstitution and the massive demobilization and reintegration process</w:t>
      </w:r>
      <w:r w:rsidR="0075349B">
        <w:rPr>
          <w:lang w:eastAsia="en-GB"/>
        </w:rPr>
        <w:t>es</w:t>
      </w:r>
      <w:r w:rsidR="0046460C">
        <w:rPr>
          <w:lang w:eastAsia="en-GB"/>
        </w:rPr>
        <w:t xml:space="preserve"> have created a</w:t>
      </w:r>
      <w:r w:rsidR="00F46EB7">
        <w:rPr>
          <w:lang w:eastAsia="en-GB"/>
        </w:rPr>
        <w:t xml:space="preserve"> solid</w:t>
      </w:r>
      <w:r w:rsidR="0046460C">
        <w:rPr>
          <w:lang w:eastAsia="en-GB"/>
        </w:rPr>
        <w:t xml:space="preserve"> basis to prevent the recurrence of violence</w:t>
      </w:r>
      <w:r w:rsidR="0075349B">
        <w:rPr>
          <w:lang w:eastAsia="en-GB"/>
        </w:rPr>
        <w:t xml:space="preserve"> in Burundi</w:t>
      </w:r>
      <w:r w:rsidR="0046460C">
        <w:rPr>
          <w:lang w:eastAsia="en-GB"/>
        </w:rPr>
        <w:t xml:space="preserve">, there are several areas that merit </w:t>
      </w:r>
      <w:r w:rsidR="00F46EB7">
        <w:rPr>
          <w:lang w:eastAsia="en-GB"/>
        </w:rPr>
        <w:t xml:space="preserve">immediately </w:t>
      </w:r>
      <w:r w:rsidR="0046460C">
        <w:rPr>
          <w:lang w:eastAsia="en-GB"/>
        </w:rPr>
        <w:t xml:space="preserve">more concentrated efforts. </w:t>
      </w:r>
    </w:p>
    <w:p w:rsidR="0046460C" w:rsidRPr="004316D1" w:rsidRDefault="00C1139A" w:rsidP="00734A8A">
      <w:pPr>
        <w:pStyle w:val="H1G"/>
        <w:rPr>
          <w:lang w:eastAsia="en-GB"/>
        </w:rPr>
      </w:pPr>
      <w:r>
        <w:rPr>
          <w:lang w:eastAsia="en-GB"/>
        </w:rPr>
        <w:tab/>
        <w:t>A.</w:t>
      </w:r>
      <w:r>
        <w:rPr>
          <w:lang w:eastAsia="en-GB"/>
        </w:rPr>
        <w:tab/>
      </w:r>
      <w:r w:rsidR="0046460C" w:rsidRPr="004316D1">
        <w:rPr>
          <w:lang w:eastAsia="en-GB"/>
        </w:rPr>
        <w:t>Security sector reform</w:t>
      </w:r>
    </w:p>
    <w:p w:rsidR="00C64443" w:rsidRPr="0098195C" w:rsidRDefault="00C71ACD" w:rsidP="00C71ACD">
      <w:pPr>
        <w:pStyle w:val="SingleTxtG"/>
      </w:pPr>
      <w:r w:rsidRPr="0098195C">
        <w:rPr>
          <w:bCs/>
        </w:rPr>
        <w:t>68.</w:t>
      </w:r>
      <w:r w:rsidRPr="0098195C">
        <w:rPr>
          <w:bCs/>
        </w:rPr>
        <w:tab/>
      </w:r>
      <w:r w:rsidR="0046460C" w:rsidRPr="0098195C">
        <w:t>In accordance with the</w:t>
      </w:r>
      <w:r w:rsidR="0075349B" w:rsidRPr="0098195C">
        <w:t xml:space="preserve"> parameters of the</w:t>
      </w:r>
      <w:r w:rsidR="0046460C" w:rsidRPr="0098195C">
        <w:t xml:space="preserve"> </w:t>
      </w:r>
      <w:r w:rsidR="003012AD" w:rsidRPr="0098195C">
        <w:t xml:space="preserve">various </w:t>
      </w:r>
      <w:r w:rsidR="0046460C" w:rsidRPr="0098195C">
        <w:t xml:space="preserve">peace agreements, </w:t>
      </w:r>
      <w:r w:rsidR="00D22C79" w:rsidRPr="0098195C">
        <w:t xml:space="preserve">by the end of April 2015, </w:t>
      </w:r>
      <w:r w:rsidR="0046460C" w:rsidRPr="0098195C">
        <w:t>Burundi ha</w:t>
      </w:r>
      <w:r w:rsidR="00DD651C" w:rsidRPr="0098195C">
        <w:t>d</w:t>
      </w:r>
      <w:r w:rsidR="0046460C" w:rsidRPr="0098195C">
        <w:t xml:space="preserve"> undertaken </w:t>
      </w:r>
      <w:r w:rsidR="009D5A62" w:rsidRPr="0098195C">
        <w:t xml:space="preserve">commendable, </w:t>
      </w:r>
      <w:r w:rsidR="0046460C" w:rsidRPr="0098195C">
        <w:t>wide-ranging security sector reform efforts, involving the demobilization of ex-combatants and the integration of large numbers into the military and police forces.</w:t>
      </w:r>
    </w:p>
    <w:p w:rsidR="0046460C" w:rsidRPr="0046460C" w:rsidRDefault="00C71ACD" w:rsidP="00C71ACD">
      <w:pPr>
        <w:pStyle w:val="SingleTxtG"/>
      </w:pPr>
      <w:r w:rsidRPr="0046460C">
        <w:rPr>
          <w:bCs/>
        </w:rPr>
        <w:t>69.</w:t>
      </w:r>
      <w:r w:rsidRPr="0046460C">
        <w:rPr>
          <w:bCs/>
        </w:rPr>
        <w:tab/>
      </w:r>
      <w:r w:rsidR="0046460C" w:rsidRPr="0046460C">
        <w:t>The integration process was a highly prominent feature of the post</w:t>
      </w:r>
      <w:r w:rsidR="003012AD">
        <w:t>-</w:t>
      </w:r>
      <w:r w:rsidR="0046460C" w:rsidRPr="0046460C">
        <w:t>war transition. Following decades of a close to mono-ethnic security sector, the guarantee of ethnic parity in the national defen</w:t>
      </w:r>
      <w:r w:rsidR="003012AD">
        <w:t>c</w:t>
      </w:r>
      <w:r w:rsidR="0046460C" w:rsidRPr="0046460C">
        <w:t xml:space="preserve">e force, the national police and the </w:t>
      </w:r>
      <w:r w:rsidR="00871B1D" w:rsidRPr="0046460C">
        <w:t>intelligen</w:t>
      </w:r>
      <w:r w:rsidR="00871B1D">
        <w:t>ce</w:t>
      </w:r>
      <w:r w:rsidR="00871B1D" w:rsidRPr="0046460C">
        <w:t xml:space="preserve"> </w:t>
      </w:r>
      <w:r w:rsidR="0046460C" w:rsidRPr="0046460C">
        <w:t>services was a key demand in Arusha, with subsequent successful implementation. According to observers, inter-ethnic tensions in the security sector, especially in the military, no longer</w:t>
      </w:r>
      <w:r w:rsidR="003012AD">
        <w:t xml:space="preserve"> seem</w:t>
      </w:r>
      <w:r w:rsidR="00DD651C">
        <w:t>ed</w:t>
      </w:r>
      <w:r w:rsidR="003012AD">
        <w:t xml:space="preserve"> to be</w:t>
      </w:r>
      <w:r w:rsidR="0046460C" w:rsidRPr="0046460C">
        <w:t xml:space="preserve"> an issue.</w:t>
      </w:r>
      <w:r w:rsidR="0046460C" w:rsidRPr="00780C6E">
        <w:t xml:space="preserve"> </w:t>
      </w:r>
      <w:r w:rsidR="0046460C" w:rsidRPr="0046460C">
        <w:t xml:space="preserve">The quota-based integration policies </w:t>
      </w:r>
      <w:r w:rsidR="0046460C" w:rsidRPr="009D5A62">
        <w:t>ha</w:t>
      </w:r>
      <w:r w:rsidR="00DD651C" w:rsidRPr="009D5A62">
        <w:t>d</w:t>
      </w:r>
      <w:r w:rsidR="009D5A62">
        <w:t xml:space="preserve"> </w:t>
      </w:r>
      <w:r w:rsidR="0046460C" w:rsidRPr="0046460C">
        <w:t>contributed to stability and to minimizing the potential for future inter-ethnic violence.</w:t>
      </w:r>
    </w:p>
    <w:p w:rsidR="0046460C" w:rsidRPr="0046460C" w:rsidRDefault="00C71ACD" w:rsidP="00C71ACD">
      <w:pPr>
        <w:pStyle w:val="SingleTxtG"/>
      </w:pPr>
      <w:r w:rsidRPr="0046460C">
        <w:rPr>
          <w:bCs/>
        </w:rPr>
        <w:t>70.</w:t>
      </w:r>
      <w:r w:rsidRPr="0046460C">
        <w:rPr>
          <w:bCs/>
        </w:rPr>
        <w:tab/>
      </w:r>
      <w:r w:rsidR="0046460C" w:rsidRPr="0046460C">
        <w:t xml:space="preserve">Strong support from partners </w:t>
      </w:r>
      <w:r w:rsidR="00DD651C" w:rsidRPr="009D5A62">
        <w:t>had</w:t>
      </w:r>
      <w:r w:rsidR="00DD651C">
        <w:t xml:space="preserve"> </w:t>
      </w:r>
      <w:r w:rsidR="0046460C" w:rsidRPr="0046460C">
        <w:t>contributed to th</w:t>
      </w:r>
      <w:r w:rsidR="003012AD">
        <w:t>o</w:t>
      </w:r>
      <w:r w:rsidR="0046460C" w:rsidRPr="0046460C">
        <w:t xml:space="preserve">se advances. The </w:t>
      </w:r>
      <w:r w:rsidR="003012AD">
        <w:t>Strategic F</w:t>
      </w:r>
      <w:r w:rsidR="0046460C" w:rsidRPr="0046460C">
        <w:t xml:space="preserve">ramework for </w:t>
      </w:r>
      <w:r w:rsidR="003012AD">
        <w:t>Growth and Poverty Reduction</w:t>
      </w:r>
      <w:r w:rsidR="00BC42A3">
        <w:t xml:space="preserve"> —</w:t>
      </w:r>
      <w:r w:rsidR="003012AD">
        <w:t xml:space="preserve"> </w:t>
      </w:r>
      <w:r w:rsidR="005E0F39">
        <w:t>phases</w:t>
      </w:r>
      <w:r w:rsidR="003012AD">
        <w:t xml:space="preserve"> </w:t>
      </w:r>
      <w:r w:rsidR="0046460C" w:rsidRPr="00A35DC5">
        <w:t>I and II</w:t>
      </w:r>
      <w:r w:rsidR="00BC42A3">
        <w:t xml:space="preserve"> —</w:t>
      </w:r>
      <w:r w:rsidR="0046460C" w:rsidRPr="0046460C">
        <w:t xml:space="preserve"> </w:t>
      </w:r>
      <w:r w:rsidR="003012AD">
        <w:t>consider</w:t>
      </w:r>
      <w:r w:rsidR="00015AF4">
        <w:t>ed</w:t>
      </w:r>
      <w:r w:rsidR="0046460C" w:rsidRPr="0046460C">
        <w:t xml:space="preserve"> </w:t>
      </w:r>
      <w:r w:rsidR="003012AD">
        <w:t>d</w:t>
      </w:r>
      <w:r w:rsidR="0046460C" w:rsidRPr="0046460C">
        <w:t>emobilization, disarmament</w:t>
      </w:r>
      <w:r w:rsidR="005E0F39">
        <w:t xml:space="preserve"> </w:t>
      </w:r>
      <w:r w:rsidR="0046460C" w:rsidRPr="0046460C">
        <w:t xml:space="preserve">and reintegration and </w:t>
      </w:r>
      <w:r w:rsidR="003012AD">
        <w:t>s</w:t>
      </w:r>
      <w:r w:rsidR="0046460C" w:rsidRPr="0046460C">
        <w:t>ecurity sector reform as key components</w:t>
      </w:r>
      <w:r w:rsidR="002A3C55">
        <w:t xml:space="preserve"> and t</w:t>
      </w:r>
      <w:r w:rsidR="0046460C" w:rsidRPr="0046460C">
        <w:t xml:space="preserve">he Government </w:t>
      </w:r>
      <w:r w:rsidR="009D5A62">
        <w:t xml:space="preserve">had </w:t>
      </w:r>
      <w:r w:rsidR="0046460C" w:rsidRPr="0046460C">
        <w:t>adopted a national security strategy in 2013. The Special Rapporteur welcome</w:t>
      </w:r>
      <w:r w:rsidR="00DD651C">
        <w:t>d</w:t>
      </w:r>
      <w:r w:rsidR="0046460C" w:rsidRPr="0046460C">
        <w:t xml:space="preserve"> th</w:t>
      </w:r>
      <w:r w:rsidR="00814886">
        <w:t>o</w:t>
      </w:r>
      <w:r w:rsidR="0046460C" w:rsidRPr="0046460C">
        <w:t>se commitments and underline</w:t>
      </w:r>
      <w:r w:rsidR="00DD651C">
        <w:t>d</w:t>
      </w:r>
      <w:r w:rsidR="0046460C" w:rsidRPr="0046460C">
        <w:t xml:space="preserve"> the importance of tackling the remaining issues, </w:t>
      </w:r>
      <w:r w:rsidR="002A3C55">
        <w:t>which are</w:t>
      </w:r>
      <w:r w:rsidR="00617E41">
        <w:t xml:space="preserve"> </w:t>
      </w:r>
      <w:proofErr w:type="gramStart"/>
      <w:r w:rsidR="00617E41">
        <w:t xml:space="preserve">essential </w:t>
      </w:r>
      <w:r w:rsidR="0046460C" w:rsidRPr="0046460C">
        <w:t xml:space="preserve"> </w:t>
      </w:r>
      <w:r w:rsidR="002A3C55">
        <w:t>to</w:t>
      </w:r>
      <w:proofErr w:type="gramEnd"/>
      <w:r w:rsidR="0046460C" w:rsidRPr="0046460C">
        <w:t xml:space="preserve"> the prevention of future violations. </w:t>
      </w:r>
    </w:p>
    <w:p w:rsidR="0046460C" w:rsidRPr="0046460C" w:rsidRDefault="00C71ACD" w:rsidP="00C71ACD">
      <w:pPr>
        <w:pStyle w:val="SingleTxtG"/>
      </w:pPr>
      <w:r w:rsidRPr="0046460C">
        <w:rPr>
          <w:bCs/>
        </w:rPr>
        <w:t>71.</w:t>
      </w:r>
      <w:r w:rsidRPr="0046460C">
        <w:rPr>
          <w:bCs/>
        </w:rPr>
        <w:tab/>
      </w:r>
      <w:r w:rsidR="0046460C" w:rsidRPr="0046460C">
        <w:t>Burundi’s approach to military</w:t>
      </w:r>
      <w:r w:rsidR="00F46EB7">
        <w:t xml:space="preserve">, </w:t>
      </w:r>
      <w:r w:rsidR="0046460C" w:rsidRPr="0046460C">
        <w:t xml:space="preserve">police </w:t>
      </w:r>
      <w:r w:rsidR="00F46EB7">
        <w:t xml:space="preserve">and intelligence </w:t>
      </w:r>
      <w:r w:rsidR="0046460C" w:rsidRPr="0046460C">
        <w:t>reform has omitted the link between security and justice</w:t>
      </w:r>
      <w:r w:rsidR="00814886">
        <w:t xml:space="preserve">, which </w:t>
      </w:r>
      <w:r w:rsidR="0046460C" w:rsidRPr="0046460C">
        <w:t>risks undermining the security sector reform process and fail</w:t>
      </w:r>
      <w:r w:rsidR="00814886">
        <w:t>ing</w:t>
      </w:r>
      <w:r w:rsidR="0046460C" w:rsidRPr="0046460C">
        <w:t xml:space="preserve"> to ensure the non</w:t>
      </w:r>
      <w:r w:rsidR="0046460C" w:rsidRPr="0046460C">
        <w:rPr>
          <w:rFonts w:ascii="Cambria Math" w:hAnsi="Cambria Math" w:cs="Cambria Math"/>
        </w:rPr>
        <w:t>‐</w:t>
      </w:r>
      <w:r w:rsidR="0046460C" w:rsidRPr="0046460C">
        <w:t xml:space="preserve">recurrence of violence. More recent incidents, such as acts of violence committed by youth </w:t>
      </w:r>
      <w:r w:rsidR="0013673E">
        <w:t xml:space="preserve">militias </w:t>
      </w:r>
      <w:r w:rsidR="0046460C" w:rsidRPr="0046460C">
        <w:t>affiliated with political</w:t>
      </w:r>
      <w:r w:rsidR="0013673E">
        <w:t xml:space="preserve"> </w:t>
      </w:r>
      <w:r w:rsidR="0046460C" w:rsidRPr="0046460C">
        <w:t>parties</w:t>
      </w:r>
      <w:r w:rsidR="00814886">
        <w:t>,</w:t>
      </w:r>
      <w:r w:rsidR="0046460C" w:rsidRPr="0046460C">
        <w:t xml:space="preserve"> underline the need for sustained and comprehensive reform</w:t>
      </w:r>
      <w:r w:rsidR="00C216B9">
        <w:t xml:space="preserve"> (see para. 10 above)</w:t>
      </w:r>
      <w:r w:rsidR="00814886">
        <w:t>,</w:t>
      </w:r>
      <w:r w:rsidR="0046460C" w:rsidRPr="0046460C">
        <w:t xml:space="preserve"> </w:t>
      </w:r>
      <w:r w:rsidR="00814886">
        <w:t>as they</w:t>
      </w:r>
      <w:r w:rsidR="0046460C" w:rsidRPr="0046460C">
        <w:t xml:space="preserve"> constitute a risk well beyond the election</w:t>
      </w:r>
      <w:r w:rsidR="00F46EB7">
        <w:t xml:space="preserve"> period</w:t>
      </w:r>
      <w:r w:rsidR="0046460C" w:rsidRPr="00C077B3">
        <w:rPr>
          <w:rStyle w:val="FootnoteReference"/>
        </w:rPr>
        <w:footnoteReference w:id="40"/>
      </w:r>
      <w:r w:rsidR="0046460C" w:rsidRPr="0046460C">
        <w:t xml:space="preserve"> and a concern </w:t>
      </w:r>
      <w:r w:rsidR="00AE278F">
        <w:t>for</w:t>
      </w:r>
      <w:r w:rsidR="0046460C" w:rsidRPr="0046460C">
        <w:t xml:space="preserve"> sustaining democratic control over the security sector. To th</w:t>
      </w:r>
      <w:r w:rsidR="00814886">
        <w:t>at</w:t>
      </w:r>
      <w:r w:rsidR="0046460C" w:rsidRPr="0046460C">
        <w:t xml:space="preserve"> end, </w:t>
      </w:r>
      <w:r w:rsidR="00AE278F">
        <w:t>more</w:t>
      </w:r>
      <w:r w:rsidR="00AE278F" w:rsidRPr="0046460C">
        <w:t xml:space="preserve"> </w:t>
      </w:r>
      <w:r w:rsidR="0046460C" w:rsidRPr="0046460C">
        <w:t xml:space="preserve">efforts in the following three areas are crucial. </w:t>
      </w:r>
    </w:p>
    <w:p w:rsidR="0046460C" w:rsidRPr="007F38C9" w:rsidRDefault="00C1139A" w:rsidP="007F38C9">
      <w:pPr>
        <w:pStyle w:val="H23G"/>
      </w:pPr>
      <w:r>
        <w:tab/>
        <w:t>1.</w:t>
      </w:r>
      <w:r>
        <w:tab/>
      </w:r>
      <w:r w:rsidR="0046460C" w:rsidRPr="0046460C">
        <w:t>Professionalization</w:t>
      </w:r>
    </w:p>
    <w:p w:rsidR="0046460C" w:rsidRPr="00B7613D" w:rsidRDefault="00C71ACD" w:rsidP="00C71ACD">
      <w:pPr>
        <w:pStyle w:val="SingleTxtG"/>
        <w:rPr>
          <w:bCs/>
        </w:rPr>
      </w:pPr>
      <w:r w:rsidRPr="00B7613D">
        <w:rPr>
          <w:bCs/>
        </w:rPr>
        <w:t>72.</w:t>
      </w:r>
      <w:r w:rsidRPr="00B7613D">
        <w:rPr>
          <w:bCs/>
        </w:rPr>
        <w:tab/>
      </w:r>
      <w:r w:rsidR="0046460C" w:rsidRPr="0046460C">
        <w:t xml:space="preserve">Popular perceptions of the security sector, in particular the armed forces, </w:t>
      </w:r>
      <w:r w:rsidR="0046460C" w:rsidRPr="0098195C">
        <w:t>ha</w:t>
      </w:r>
      <w:r w:rsidR="00DD651C" w:rsidRPr="0098195C">
        <w:t>d</w:t>
      </w:r>
      <w:r w:rsidR="0046460C" w:rsidRPr="0098195C">
        <w:t xml:space="preserve"> improved over the past years.</w:t>
      </w:r>
      <w:r w:rsidR="0046460C" w:rsidRPr="0046460C">
        <w:t xml:space="preserve"> Prior to the events</w:t>
      </w:r>
      <w:r w:rsidR="0079747C">
        <w:t xml:space="preserve"> </w:t>
      </w:r>
      <w:r w:rsidR="0079747C" w:rsidRPr="0098195C">
        <w:t>that took place in April 2015</w:t>
      </w:r>
      <w:r w:rsidR="0098195C">
        <w:t>,</w:t>
      </w:r>
      <w:r w:rsidR="0046460C" w:rsidRPr="0098195C">
        <w:t xml:space="preserve"> resulting from </w:t>
      </w:r>
      <w:r w:rsidR="00E635E3" w:rsidRPr="0098195C">
        <w:t xml:space="preserve">the </w:t>
      </w:r>
      <w:r w:rsidR="00814886" w:rsidRPr="0098195C">
        <w:t xml:space="preserve">announcement by </w:t>
      </w:r>
      <w:r w:rsidR="0046460C" w:rsidRPr="0098195C">
        <w:t xml:space="preserve">the incumbent President </w:t>
      </w:r>
      <w:r w:rsidR="00814886" w:rsidRPr="0098195C">
        <w:t xml:space="preserve">that he intended </w:t>
      </w:r>
      <w:r w:rsidR="0046460C" w:rsidRPr="0098195C">
        <w:t xml:space="preserve">to run for a third term, attitudes towards the police had also started </w:t>
      </w:r>
      <w:r w:rsidR="00814886" w:rsidRPr="0098195C">
        <w:t xml:space="preserve">to </w:t>
      </w:r>
      <w:r w:rsidR="0046460C" w:rsidRPr="0098195C">
        <w:t>chang</w:t>
      </w:r>
      <w:r w:rsidR="00814886" w:rsidRPr="0098195C">
        <w:t>e</w:t>
      </w:r>
      <w:r w:rsidR="0046460C" w:rsidRPr="0046460C">
        <w:t>.</w:t>
      </w:r>
      <w:r w:rsidR="0046460C" w:rsidRPr="00C077B3">
        <w:rPr>
          <w:rStyle w:val="FootnoteReference"/>
        </w:rPr>
        <w:footnoteReference w:id="41"/>
      </w:r>
      <w:r w:rsidR="0046460C" w:rsidRPr="0046460C">
        <w:t xml:space="preserve"> Programmes such as </w:t>
      </w:r>
      <w:r w:rsidR="00C94201">
        <w:t>p</w:t>
      </w:r>
      <w:r w:rsidR="0046460C" w:rsidRPr="0046460C">
        <w:t>roximity/</w:t>
      </w:r>
      <w:r w:rsidR="00C94201">
        <w:t>c</w:t>
      </w:r>
      <w:r w:rsidR="0046460C" w:rsidRPr="0046460C">
        <w:t xml:space="preserve">ommunity </w:t>
      </w:r>
      <w:r w:rsidR="00C94201">
        <w:t>p</w:t>
      </w:r>
      <w:r w:rsidR="0046460C" w:rsidRPr="0046460C">
        <w:t xml:space="preserve">olicing, </w:t>
      </w:r>
      <w:r w:rsidR="00C94201">
        <w:t>m</w:t>
      </w:r>
      <w:r w:rsidR="0046460C" w:rsidRPr="0046460C">
        <w:t xml:space="preserve">ilitary </w:t>
      </w:r>
      <w:r w:rsidR="00C94201">
        <w:t>e</w:t>
      </w:r>
      <w:r w:rsidR="0046460C" w:rsidRPr="0046460C">
        <w:t xml:space="preserve">thics and </w:t>
      </w:r>
      <w:r w:rsidR="00C94201">
        <w:t>o</w:t>
      </w:r>
      <w:r w:rsidR="0046460C" w:rsidRPr="0046460C">
        <w:t xml:space="preserve">pen </w:t>
      </w:r>
      <w:r w:rsidR="00C94201">
        <w:t>d</w:t>
      </w:r>
      <w:r w:rsidR="0046460C" w:rsidRPr="0046460C">
        <w:t xml:space="preserve">ays </w:t>
      </w:r>
      <w:r w:rsidR="00AE278F" w:rsidRPr="00AE278F">
        <w:t>had contributed to that</w:t>
      </w:r>
      <w:r w:rsidR="00803A5D">
        <w:t xml:space="preserve">. </w:t>
      </w:r>
      <w:r w:rsidR="0046460C" w:rsidRPr="0046460C">
        <w:t>However</w:t>
      </w:r>
      <w:r w:rsidR="0046460C" w:rsidRPr="0098195C">
        <w:t xml:space="preserve">, </w:t>
      </w:r>
      <w:r w:rsidR="00803A5D" w:rsidRPr="0098195C">
        <w:t xml:space="preserve">the events </w:t>
      </w:r>
      <w:r w:rsidR="00067444" w:rsidRPr="0098195C">
        <w:t>since</w:t>
      </w:r>
      <w:r w:rsidR="00803A5D" w:rsidRPr="0098195C">
        <w:t xml:space="preserve"> 25 April</w:t>
      </w:r>
      <w:r w:rsidR="00352AE0" w:rsidRPr="0098195C">
        <w:t xml:space="preserve"> 2015</w:t>
      </w:r>
      <w:r w:rsidR="00803A5D" w:rsidRPr="0098195C">
        <w:t xml:space="preserve"> demonstrated</w:t>
      </w:r>
      <w:r w:rsidR="00803A5D">
        <w:t xml:space="preserve"> that the police functions as an extended arm of the governing party</w:t>
      </w:r>
      <w:r w:rsidR="0013673E">
        <w:t>, supressing peaceful protests</w:t>
      </w:r>
      <w:r w:rsidR="00AE278F">
        <w:t xml:space="preserve"> </w:t>
      </w:r>
      <w:r w:rsidR="00352AE0">
        <w:t xml:space="preserve">with </w:t>
      </w:r>
      <w:r w:rsidR="00AE278F">
        <w:t>violen</w:t>
      </w:r>
      <w:r w:rsidR="00352AE0">
        <w:t>ce</w:t>
      </w:r>
      <w:r w:rsidR="00803A5D">
        <w:t>. T</w:t>
      </w:r>
      <w:r w:rsidR="0046460C" w:rsidRPr="0046460C">
        <w:t>he national intelligence service still ranks the lowest in terms of public perception, with particular concerns about it fulfilling its constitutionally-mandated role in an apolitical and non-partisan manner.</w:t>
      </w:r>
      <w:r w:rsidR="0046460C" w:rsidRPr="00C077B3">
        <w:rPr>
          <w:rStyle w:val="FootnoteReference"/>
        </w:rPr>
        <w:footnoteReference w:id="42"/>
      </w:r>
      <w:r w:rsidR="0046460C" w:rsidRPr="0046460C">
        <w:t xml:space="preserve"> </w:t>
      </w:r>
    </w:p>
    <w:p w:rsidR="0046460C" w:rsidRPr="0046460C" w:rsidRDefault="00C71ACD" w:rsidP="00C71ACD">
      <w:pPr>
        <w:pStyle w:val="SingleTxtG"/>
      </w:pPr>
      <w:r w:rsidRPr="0046460C">
        <w:rPr>
          <w:bCs/>
        </w:rPr>
        <w:t>73.</w:t>
      </w:r>
      <w:r w:rsidRPr="0046460C">
        <w:rPr>
          <w:bCs/>
        </w:rPr>
        <w:tab/>
      </w:r>
      <w:r w:rsidR="0046460C" w:rsidRPr="0046460C">
        <w:t xml:space="preserve">In a security sector previously involved in massive violations, traditional professionalization efforts are important but insufficient to restore trust, particularly </w:t>
      </w:r>
      <w:r w:rsidR="00352AE0" w:rsidRPr="00A35DC5">
        <w:rPr>
          <w:iCs/>
        </w:rPr>
        <w:t>with regard to</w:t>
      </w:r>
      <w:r w:rsidR="0046460C" w:rsidRPr="0046460C">
        <w:t xml:space="preserve"> victims and other marginalized groups. An institution that is being re</w:t>
      </w:r>
      <w:r w:rsidR="0046460C" w:rsidRPr="0046460C">
        <w:rPr>
          <w:rFonts w:ascii="Cambria Math" w:hAnsi="Cambria Math" w:cs="Cambria Math"/>
        </w:rPr>
        <w:t>‐</w:t>
      </w:r>
      <w:r w:rsidR="0046460C" w:rsidRPr="0046460C">
        <w:t>established or reformed must come to terms with its abusive past and demarcate a new beginning</w:t>
      </w:r>
      <w:r w:rsidR="00352AE0">
        <w:t xml:space="preserve"> to</w:t>
      </w:r>
      <w:r w:rsidR="0046460C" w:rsidRPr="0046460C">
        <w:t xml:space="preserve"> distanc</w:t>
      </w:r>
      <w:r w:rsidR="00352AE0">
        <w:t>e</w:t>
      </w:r>
      <w:r w:rsidR="0046460C" w:rsidRPr="0046460C">
        <w:t xml:space="preserve"> it from its legacy. To th</w:t>
      </w:r>
      <w:r w:rsidR="00352AE0">
        <w:t>at</w:t>
      </w:r>
      <w:r w:rsidR="0046460C" w:rsidRPr="0046460C">
        <w:t xml:space="preserve"> end, educating both new recruits and long</w:t>
      </w:r>
      <w:r w:rsidR="00352AE0">
        <w:t>-</w:t>
      </w:r>
      <w:r w:rsidR="0046460C" w:rsidRPr="0046460C">
        <w:t xml:space="preserve">standing members </w:t>
      </w:r>
      <w:r w:rsidR="00DD651C">
        <w:t>on th</w:t>
      </w:r>
      <w:r w:rsidR="00067444">
        <w:t>at</w:t>
      </w:r>
      <w:r w:rsidR="00DD651C">
        <w:t xml:space="preserve"> abusive past </w:t>
      </w:r>
      <w:r w:rsidR="0046460C" w:rsidRPr="0046460C">
        <w:t xml:space="preserve">is central to </w:t>
      </w:r>
      <w:r w:rsidR="00352AE0">
        <w:t>forging</w:t>
      </w:r>
      <w:r w:rsidR="0046460C" w:rsidRPr="0046460C">
        <w:t xml:space="preserve"> a new institutional identity. </w:t>
      </w:r>
    </w:p>
    <w:p w:rsidR="0046460C" w:rsidRPr="0046460C" w:rsidRDefault="00C71ACD" w:rsidP="00C71ACD">
      <w:pPr>
        <w:pStyle w:val="SingleTxtG"/>
      </w:pPr>
      <w:r w:rsidRPr="0046460C">
        <w:rPr>
          <w:bCs/>
        </w:rPr>
        <w:t>74.</w:t>
      </w:r>
      <w:r w:rsidRPr="0046460C">
        <w:rPr>
          <w:bCs/>
        </w:rPr>
        <w:tab/>
      </w:r>
      <w:r w:rsidR="0046460C" w:rsidRPr="0046460C">
        <w:t xml:space="preserve">The composition of the police continues to pose legitimacy, management and discipline challenges, particularly as no screening has occurred since </w:t>
      </w:r>
      <w:r w:rsidR="00352AE0">
        <w:t>its</w:t>
      </w:r>
      <w:r w:rsidR="00AE278F" w:rsidRPr="0046460C">
        <w:t xml:space="preserve"> </w:t>
      </w:r>
      <w:r w:rsidR="0046460C" w:rsidRPr="0046460C">
        <w:t>creation</w:t>
      </w:r>
      <w:r w:rsidR="00803A5D">
        <w:t xml:space="preserve"> in 2004</w:t>
      </w:r>
      <w:r w:rsidR="0046460C" w:rsidRPr="0046460C">
        <w:t xml:space="preserve">. The </w:t>
      </w:r>
      <w:proofErr w:type="gramStart"/>
      <w:r w:rsidR="0046460C" w:rsidRPr="0046460C">
        <w:t>police’s</w:t>
      </w:r>
      <w:proofErr w:type="gramEnd"/>
      <w:r w:rsidR="0046460C" w:rsidRPr="0046460C">
        <w:t xml:space="preserve"> understand</w:t>
      </w:r>
      <w:r w:rsidR="00352AE0">
        <w:t>ing of its</w:t>
      </w:r>
      <w:r w:rsidR="0046460C" w:rsidRPr="0046460C">
        <w:t xml:space="preserve"> role with respect to the population, civil society and the media needs significant enhancement.</w:t>
      </w:r>
    </w:p>
    <w:p w:rsidR="0046460C" w:rsidRPr="007F38C9" w:rsidRDefault="00C1139A" w:rsidP="00352AE0">
      <w:pPr>
        <w:pStyle w:val="H23G"/>
      </w:pPr>
      <w:r>
        <w:tab/>
        <w:t>2.</w:t>
      </w:r>
      <w:r>
        <w:tab/>
      </w:r>
      <w:r w:rsidR="0046460C" w:rsidRPr="0046460C">
        <w:t xml:space="preserve">Civilian </w:t>
      </w:r>
      <w:r w:rsidR="00352AE0">
        <w:t>o</w:t>
      </w:r>
      <w:r w:rsidR="0046460C" w:rsidRPr="0046460C">
        <w:t xml:space="preserve">versight </w:t>
      </w:r>
    </w:p>
    <w:p w:rsidR="0046460C" w:rsidRPr="0046460C" w:rsidRDefault="00C71ACD" w:rsidP="00C71ACD">
      <w:pPr>
        <w:pStyle w:val="SingleTxtG"/>
      </w:pPr>
      <w:r w:rsidRPr="0046460C">
        <w:rPr>
          <w:bCs/>
        </w:rPr>
        <w:t>75.</w:t>
      </w:r>
      <w:r w:rsidRPr="0046460C">
        <w:rPr>
          <w:bCs/>
        </w:rPr>
        <w:tab/>
      </w:r>
      <w:r w:rsidR="0046460C" w:rsidRPr="0046460C">
        <w:t xml:space="preserve">In recent years, Burundi has developed multiple accountability (oversight) mechanisms in the security sector, most directly derived from the </w:t>
      </w:r>
      <w:r w:rsidR="00352AE0">
        <w:t>C</w:t>
      </w:r>
      <w:r w:rsidR="0046460C" w:rsidRPr="0046460C">
        <w:t xml:space="preserve">onstitution, such as parliamentary oversight committees, the </w:t>
      </w:r>
      <w:r w:rsidR="00352AE0">
        <w:t>O</w:t>
      </w:r>
      <w:r w:rsidR="0046460C" w:rsidRPr="0046460C">
        <w:t xml:space="preserve">ffice of the Ombudsman and the </w:t>
      </w:r>
      <w:r w:rsidR="00352AE0">
        <w:t>i</w:t>
      </w:r>
      <w:r w:rsidR="0046460C" w:rsidRPr="0046460C">
        <w:t>ndependent National Human Rights Commission. Th</w:t>
      </w:r>
      <w:r w:rsidR="00352AE0">
        <w:t>o</w:t>
      </w:r>
      <w:r w:rsidR="0046460C" w:rsidRPr="0046460C">
        <w:t xml:space="preserve">se oversight bodies </w:t>
      </w:r>
      <w:r w:rsidR="002B0280">
        <w:t xml:space="preserve">remain weak and </w:t>
      </w:r>
      <w:r w:rsidR="00AE278F">
        <w:t>should</w:t>
      </w:r>
      <w:r w:rsidR="00AE278F" w:rsidRPr="0046460C">
        <w:t xml:space="preserve"> </w:t>
      </w:r>
      <w:r w:rsidR="0046460C" w:rsidRPr="0046460C">
        <w:t>be strengthened, particularly through more systematic resourcing, adequate legislation regulating and distinguishing their role and competencies, and political signals encouraging cooperation with th</w:t>
      </w:r>
      <w:r w:rsidR="00352AE0">
        <w:t>o</w:t>
      </w:r>
      <w:r w:rsidR="0046460C" w:rsidRPr="0046460C">
        <w:t>se bodies.</w:t>
      </w:r>
      <w:r w:rsidR="0046460C" w:rsidRPr="00C077B3">
        <w:rPr>
          <w:rStyle w:val="FootnoteReference"/>
        </w:rPr>
        <w:footnoteReference w:id="43"/>
      </w:r>
      <w:r w:rsidR="0046460C" w:rsidRPr="0046460C">
        <w:t xml:space="preserve"> </w:t>
      </w:r>
      <w:r w:rsidR="00352AE0">
        <w:t>E</w:t>
      </w:r>
      <w:r w:rsidR="0046460C" w:rsidRPr="0046460C">
        <w:t xml:space="preserve">normous deficiencies in civilian oversight </w:t>
      </w:r>
      <w:r w:rsidR="00352AE0">
        <w:t>of</w:t>
      </w:r>
      <w:r w:rsidR="00352AE0" w:rsidRPr="0046460C">
        <w:t xml:space="preserve"> the national intelligence service</w:t>
      </w:r>
      <w:r w:rsidR="00352AE0">
        <w:t xml:space="preserve"> </w:t>
      </w:r>
      <w:r w:rsidR="0046460C" w:rsidRPr="0046460C">
        <w:t xml:space="preserve">still exist, leading to a </w:t>
      </w:r>
      <w:r w:rsidR="00AE278F">
        <w:t xml:space="preserve">complete </w:t>
      </w:r>
      <w:r w:rsidR="0046460C" w:rsidRPr="0046460C">
        <w:t xml:space="preserve">lack of accountability. </w:t>
      </w:r>
    </w:p>
    <w:p w:rsidR="0046460C" w:rsidRPr="0046460C" w:rsidRDefault="00C71ACD" w:rsidP="00C71ACD">
      <w:pPr>
        <w:pStyle w:val="SingleTxtG"/>
      </w:pPr>
      <w:r w:rsidRPr="0046460C">
        <w:rPr>
          <w:bCs/>
        </w:rPr>
        <w:t>76.</w:t>
      </w:r>
      <w:r w:rsidRPr="0046460C">
        <w:rPr>
          <w:bCs/>
        </w:rPr>
        <w:tab/>
      </w:r>
      <w:r w:rsidR="0046460C" w:rsidRPr="00DC69E4">
        <w:t>Coordination</w:t>
      </w:r>
      <w:r w:rsidR="0046460C" w:rsidRPr="0046460C">
        <w:t xml:space="preserve"> between oversight mechanisms </w:t>
      </w:r>
      <w:r w:rsidR="00067444">
        <w:t>should also</w:t>
      </w:r>
      <w:r w:rsidR="00AE278F">
        <w:t xml:space="preserve"> </w:t>
      </w:r>
      <w:r w:rsidR="0046460C" w:rsidRPr="0046460C">
        <w:t xml:space="preserve">be strengthened. For example, </w:t>
      </w:r>
      <w:r w:rsidR="00067444">
        <w:t xml:space="preserve">in </w:t>
      </w:r>
      <w:r w:rsidR="0046460C" w:rsidRPr="0046460C">
        <w:t>a recent audit report</w:t>
      </w:r>
      <w:r w:rsidR="00067444">
        <w:t>,</w:t>
      </w:r>
      <w:r w:rsidR="0046460C" w:rsidRPr="00C077B3">
        <w:rPr>
          <w:rStyle w:val="FootnoteReference"/>
        </w:rPr>
        <w:footnoteReference w:id="44"/>
      </w:r>
      <w:r w:rsidR="0046460C" w:rsidRPr="0046460C">
        <w:t xml:space="preserve"> the Inspector General </w:t>
      </w:r>
      <w:r w:rsidR="00352AE0">
        <w:t>for</w:t>
      </w:r>
      <w:r w:rsidR="0046460C" w:rsidRPr="0046460C">
        <w:t xml:space="preserve"> Public Security, responsible for internal police oversight, noted that coordination with other oversight institutions, such as the Ombudsman, the National Human Rights Commission and civil society, </w:t>
      </w:r>
      <w:r w:rsidR="00067444">
        <w:t>wa</w:t>
      </w:r>
      <w:r w:rsidR="0046460C" w:rsidRPr="0046460C">
        <w:t xml:space="preserve">s non-existent. </w:t>
      </w:r>
      <w:r w:rsidR="00352AE0">
        <w:t>In the present report, t</w:t>
      </w:r>
      <w:r w:rsidR="0046460C" w:rsidRPr="0046460C">
        <w:t xml:space="preserve">he </w:t>
      </w:r>
      <w:r w:rsidR="00352AE0">
        <w:t xml:space="preserve">Special Rapporteur </w:t>
      </w:r>
      <w:r w:rsidR="0046460C" w:rsidRPr="0046460C">
        <w:t xml:space="preserve">makes recommendations </w:t>
      </w:r>
      <w:r w:rsidR="00352AE0">
        <w:t xml:space="preserve">aimed at </w:t>
      </w:r>
      <w:r w:rsidR="0046460C" w:rsidRPr="0046460C">
        <w:t>remedy</w:t>
      </w:r>
      <w:r w:rsidR="00352AE0">
        <w:t>ing</w:t>
      </w:r>
      <w:r w:rsidR="0046460C" w:rsidRPr="0046460C">
        <w:t xml:space="preserve"> th</w:t>
      </w:r>
      <w:r w:rsidR="00352AE0">
        <w:t>o</w:t>
      </w:r>
      <w:r w:rsidR="0046460C" w:rsidRPr="0046460C">
        <w:t xml:space="preserve">se deficiencies and suggests measures to strengthen the autonomy and independence of the </w:t>
      </w:r>
      <w:r w:rsidR="00352AE0" w:rsidRPr="0046460C">
        <w:t xml:space="preserve">Inspector General </w:t>
      </w:r>
      <w:r w:rsidR="00352AE0">
        <w:t>for</w:t>
      </w:r>
      <w:r w:rsidR="00352AE0" w:rsidRPr="0046460C">
        <w:t xml:space="preserve"> Public Security</w:t>
      </w:r>
      <w:r w:rsidR="0046460C" w:rsidRPr="0046460C">
        <w:t xml:space="preserve">. Furthermore, overlapping roles and responsibilities between the Ministry of Public Security and the Directorate General of the Police have contributed to a lack of effective oversight. </w:t>
      </w:r>
      <w:r w:rsidR="00067444">
        <w:t>It is hoped that t</w:t>
      </w:r>
      <w:r w:rsidR="0046460C" w:rsidRPr="0046460C">
        <w:t>he revision of the organic law on the National Police will be an important step to</w:t>
      </w:r>
      <w:r w:rsidR="00B87C9D">
        <w:t>wards</w:t>
      </w:r>
      <w:r w:rsidR="0046460C" w:rsidRPr="0046460C">
        <w:t xml:space="preserve"> </w:t>
      </w:r>
      <w:r w:rsidR="00AE278F">
        <w:t>address</w:t>
      </w:r>
      <w:r w:rsidR="00B87C9D">
        <w:t>ing</w:t>
      </w:r>
      <w:r w:rsidR="00AE278F" w:rsidRPr="0046460C">
        <w:t xml:space="preserve"> </w:t>
      </w:r>
      <w:r w:rsidR="0046460C" w:rsidRPr="0046460C">
        <w:t>th</w:t>
      </w:r>
      <w:r w:rsidR="00B87C9D">
        <w:t>at</w:t>
      </w:r>
      <w:r w:rsidR="0046460C" w:rsidRPr="0046460C">
        <w:t xml:space="preserve"> shortcoming. </w:t>
      </w:r>
    </w:p>
    <w:p w:rsidR="0046460C" w:rsidRPr="0046460C" w:rsidRDefault="00C71ACD" w:rsidP="00C71ACD">
      <w:pPr>
        <w:pStyle w:val="SingleTxtG"/>
      </w:pPr>
      <w:r w:rsidRPr="0046460C">
        <w:rPr>
          <w:bCs/>
        </w:rPr>
        <w:t>77.</w:t>
      </w:r>
      <w:r w:rsidRPr="0046460C">
        <w:rPr>
          <w:bCs/>
        </w:rPr>
        <w:tab/>
      </w:r>
      <w:r w:rsidR="0046460C" w:rsidRPr="0046460C">
        <w:t xml:space="preserve">Civil society groups such as the media, human rights organizations and other </w:t>
      </w:r>
      <w:r w:rsidR="00B87C9D">
        <w:t>non-governmental organizations</w:t>
      </w:r>
      <w:r w:rsidR="0046460C" w:rsidRPr="0046460C">
        <w:t xml:space="preserve"> should provide informal accountability. The Special Rapporteur welcomes policy documents in the area of the security sector </w:t>
      </w:r>
      <w:r w:rsidR="00067444">
        <w:t xml:space="preserve">that </w:t>
      </w:r>
      <w:r w:rsidR="0046460C" w:rsidRPr="0046460C">
        <w:t>recogniz</w:t>
      </w:r>
      <w:r w:rsidR="00067444">
        <w:t>e</w:t>
      </w:r>
      <w:r w:rsidR="0046460C" w:rsidRPr="0046460C">
        <w:t xml:space="preserve"> the importance of inclu</w:t>
      </w:r>
      <w:r w:rsidR="00B87C9D">
        <w:t>ding</w:t>
      </w:r>
      <w:r w:rsidR="0046460C" w:rsidRPr="0046460C">
        <w:t xml:space="preserve"> civil society.</w:t>
      </w:r>
      <w:r w:rsidR="0046460C" w:rsidRPr="00C077B3">
        <w:rPr>
          <w:rStyle w:val="FootnoteReference"/>
        </w:rPr>
        <w:footnoteReference w:id="45"/>
      </w:r>
      <w:r w:rsidR="0046460C" w:rsidRPr="0046460C">
        <w:t xml:space="preserve"> </w:t>
      </w:r>
    </w:p>
    <w:p w:rsidR="0046460C" w:rsidRPr="0046460C" w:rsidRDefault="00C1139A" w:rsidP="00734A8A">
      <w:pPr>
        <w:pStyle w:val="H23G"/>
      </w:pPr>
      <w:r>
        <w:tab/>
        <w:t>3.</w:t>
      </w:r>
      <w:r>
        <w:tab/>
      </w:r>
      <w:r w:rsidR="0046460C" w:rsidRPr="0046460C">
        <w:t>Vetting</w:t>
      </w:r>
    </w:p>
    <w:p w:rsidR="0046460C" w:rsidRPr="0046460C" w:rsidRDefault="00C71ACD" w:rsidP="00C71ACD">
      <w:pPr>
        <w:pStyle w:val="SingleTxtG"/>
      </w:pPr>
      <w:r w:rsidRPr="0046460C">
        <w:rPr>
          <w:bCs/>
        </w:rPr>
        <w:t>78.</w:t>
      </w:r>
      <w:r w:rsidRPr="0046460C">
        <w:rPr>
          <w:bCs/>
        </w:rPr>
        <w:tab/>
      </w:r>
      <w:r w:rsidR="0046460C" w:rsidRPr="0046460C">
        <w:t xml:space="preserve">The Arusha Agreement </w:t>
      </w:r>
      <w:r w:rsidR="00B87C9D">
        <w:t xml:space="preserve">provides that </w:t>
      </w:r>
      <w:r w:rsidR="0046460C" w:rsidRPr="0046460C">
        <w:t xml:space="preserve">all persons found guilty of acts of genocide, </w:t>
      </w:r>
      <w:r w:rsidR="0046460C" w:rsidRPr="00E86863">
        <w:rPr>
          <w:iCs/>
        </w:rPr>
        <w:t>coup</w:t>
      </w:r>
      <w:r w:rsidR="00640DE7" w:rsidRPr="00E86863">
        <w:rPr>
          <w:iCs/>
        </w:rPr>
        <w:t>s</w:t>
      </w:r>
      <w:r w:rsidR="0046460C" w:rsidRPr="00E86863">
        <w:rPr>
          <w:iCs/>
        </w:rPr>
        <w:t xml:space="preserve"> d’état</w:t>
      </w:r>
      <w:r w:rsidR="0046460C" w:rsidRPr="0046460C">
        <w:t xml:space="preserve">, </w:t>
      </w:r>
      <w:r w:rsidR="00640DE7">
        <w:t>violation of the Constitution</w:t>
      </w:r>
      <w:r w:rsidR="001E1638">
        <w:t xml:space="preserve"> and</w:t>
      </w:r>
      <w:r w:rsidR="00640DE7">
        <w:t xml:space="preserve"> </w:t>
      </w:r>
      <w:r w:rsidR="0046460C" w:rsidRPr="0046460C">
        <w:t xml:space="preserve">human rights </w:t>
      </w:r>
      <w:r w:rsidR="00640DE7">
        <w:t>and</w:t>
      </w:r>
      <w:r w:rsidR="0046460C" w:rsidRPr="0046460C">
        <w:t xml:space="preserve"> war crimes shall be excluded from both the national police and the armed forces.</w:t>
      </w:r>
      <w:r w:rsidR="0046460C" w:rsidRPr="00C077B3">
        <w:rPr>
          <w:rStyle w:val="FootnoteReference"/>
        </w:rPr>
        <w:footnoteReference w:id="46"/>
      </w:r>
      <w:r w:rsidR="0046460C" w:rsidRPr="0046460C">
        <w:t xml:space="preserve"> Following </w:t>
      </w:r>
      <w:r w:rsidR="00B87C9D">
        <w:t xml:space="preserve">the </w:t>
      </w:r>
      <w:r w:rsidR="0046460C" w:rsidRPr="0046460C">
        <w:t>Arusha</w:t>
      </w:r>
      <w:r w:rsidR="00B87C9D">
        <w:t xml:space="preserve"> negotiations</w:t>
      </w:r>
      <w:r w:rsidR="0046460C" w:rsidRPr="0046460C">
        <w:t>, the notion of vetting was enshrined in</w:t>
      </w:r>
      <w:r w:rsidR="00B87C9D">
        <w:t xml:space="preserve">, </w:t>
      </w:r>
      <w:r w:rsidR="00B87C9D" w:rsidRPr="00067444">
        <w:t>inter alia</w:t>
      </w:r>
      <w:r w:rsidR="0046460C" w:rsidRPr="0046460C">
        <w:t>, the 2004 organic laws on the National Defence Forces and the National Police</w:t>
      </w:r>
      <w:r w:rsidR="00B87C9D">
        <w:t>, while t</w:t>
      </w:r>
      <w:r w:rsidR="0046460C" w:rsidRPr="0046460C">
        <w:t>he Electoral Code stipulat</w:t>
      </w:r>
      <w:r w:rsidR="00640DE7">
        <w:t>e</w:t>
      </w:r>
      <w:r w:rsidR="00A23919">
        <w:t>d</w:t>
      </w:r>
      <w:r w:rsidR="0046460C" w:rsidRPr="0046460C">
        <w:t xml:space="preserve"> that elected officials </w:t>
      </w:r>
      <w:r w:rsidR="00A23919">
        <w:t xml:space="preserve">would </w:t>
      </w:r>
      <w:r w:rsidR="0046460C" w:rsidRPr="0046460C">
        <w:t xml:space="preserve">automatically lose their </w:t>
      </w:r>
      <w:r w:rsidR="00640DE7">
        <w:t>mandates</w:t>
      </w:r>
      <w:r w:rsidR="0046460C" w:rsidRPr="0046460C">
        <w:t xml:space="preserve"> if responsibility for </w:t>
      </w:r>
      <w:r w:rsidR="00640DE7">
        <w:t xml:space="preserve">such </w:t>
      </w:r>
      <w:r w:rsidR="0046460C" w:rsidRPr="0046460C">
        <w:t xml:space="preserve">serious crimes </w:t>
      </w:r>
      <w:r w:rsidR="00A23919">
        <w:t>wa</w:t>
      </w:r>
      <w:r w:rsidR="00640DE7">
        <w:t>s</w:t>
      </w:r>
      <w:r w:rsidR="0046460C" w:rsidRPr="0046460C">
        <w:t xml:space="preserve"> established by the Special Tribunal or the </w:t>
      </w:r>
      <w:r w:rsidR="00DC69E4">
        <w:t>n</w:t>
      </w:r>
      <w:r w:rsidR="0046460C" w:rsidRPr="0046460C">
        <w:t>ational Truth and Reconciliation Commission.</w:t>
      </w:r>
    </w:p>
    <w:p w:rsidR="0046460C" w:rsidRPr="0046460C" w:rsidRDefault="00C71ACD" w:rsidP="00C71ACD">
      <w:pPr>
        <w:pStyle w:val="SingleTxtG"/>
      </w:pPr>
      <w:r w:rsidRPr="0046460C">
        <w:rPr>
          <w:bCs/>
        </w:rPr>
        <w:t>79.</w:t>
      </w:r>
      <w:r w:rsidRPr="0046460C">
        <w:rPr>
          <w:bCs/>
        </w:rPr>
        <w:tab/>
      </w:r>
      <w:r w:rsidR="00640DE7" w:rsidRPr="00A23919">
        <w:t>De</w:t>
      </w:r>
      <w:r w:rsidR="0046460C" w:rsidRPr="00A23919">
        <w:t>spite th</w:t>
      </w:r>
      <w:r w:rsidR="00DC69E4" w:rsidRPr="00A23919">
        <w:t>o</w:t>
      </w:r>
      <w:r w:rsidR="0046460C" w:rsidRPr="00A23919">
        <w:t>se</w:t>
      </w:r>
      <w:r w:rsidR="0046460C" w:rsidRPr="0046460C">
        <w:t xml:space="preserve"> legal requirements, no process has </w:t>
      </w:r>
      <w:r w:rsidR="00640DE7">
        <w:t xml:space="preserve">yet </w:t>
      </w:r>
      <w:r w:rsidR="0046460C" w:rsidRPr="0046460C">
        <w:t>been established to vet and exclude officials who were involved in serious violations</w:t>
      </w:r>
      <w:r w:rsidR="00640DE7">
        <w:t xml:space="preserve"> in the past</w:t>
      </w:r>
      <w:r w:rsidR="0046460C" w:rsidRPr="0046460C">
        <w:t>. Recent policy documents</w:t>
      </w:r>
      <w:r w:rsidR="00A23919">
        <w:t>,</w:t>
      </w:r>
      <w:r w:rsidR="0046460C" w:rsidRPr="0046460C">
        <w:t xml:space="preserve"> such as the </w:t>
      </w:r>
      <w:r w:rsidR="00A23919">
        <w:t>N</w:t>
      </w:r>
      <w:r w:rsidR="0046460C" w:rsidRPr="0046460C">
        <w:t xml:space="preserve">ational </w:t>
      </w:r>
      <w:r w:rsidR="00A23919">
        <w:t>S</w:t>
      </w:r>
      <w:r w:rsidR="0046460C" w:rsidRPr="0046460C">
        <w:t xml:space="preserve">ecurity </w:t>
      </w:r>
      <w:r w:rsidR="00A23919">
        <w:t>S</w:t>
      </w:r>
      <w:r w:rsidR="0046460C" w:rsidRPr="0046460C">
        <w:t xml:space="preserve">trategy and the </w:t>
      </w:r>
      <w:r w:rsidR="00A23919">
        <w:t>S</w:t>
      </w:r>
      <w:r w:rsidR="00640DE7">
        <w:t xml:space="preserve">trategic </w:t>
      </w:r>
      <w:r w:rsidR="00A23919">
        <w:t>F</w:t>
      </w:r>
      <w:r w:rsidR="00640DE7">
        <w:t xml:space="preserve">ramework </w:t>
      </w:r>
      <w:r w:rsidR="00A23919">
        <w:t>for</w:t>
      </w:r>
      <w:r w:rsidR="00640DE7">
        <w:t xml:space="preserve"> </w:t>
      </w:r>
      <w:r w:rsidR="00A23919">
        <w:t>Growth and P</w:t>
      </w:r>
      <w:r w:rsidR="00640DE7">
        <w:t xml:space="preserve">overty </w:t>
      </w:r>
      <w:r w:rsidR="00A23919">
        <w:t>R</w:t>
      </w:r>
      <w:r w:rsidR="00640DE7">
        <w:t>eduction</w:t>
      </w:r>
      <w:r w:rsidR="00A23919">
        <w:t>,</w:t>
      </w:r>
      <w:r w:rsidR="0046460C" w:rsidRPr="0046460C">
        <w:t xml:space="preserve"> fail to address the issue</w:t>
      </w:r>
      <w:r w:rsidR="00640DE7">
        <w:t xml:space="preserve"> and n</w:t>
      </w:r>
      <w:r w:rsidR="0046460C" w:rsidRPr="0046460C">
        <w:t xml:space="preserve">o discussions appear </w:t>
      </w:r>
      <w:r w:rsidR="00640DE7">
        <w:t xml:space="preserve">to be </w:t>
      </w:r>
      <w:r w:rsidR="0046460C" w:rsidRPr="0046460C">
        <w:t>under</w:t>
      </w:r>
      <w:r w:rsidR="00640DE7">
        <w:t xml:space="preserve"> </w:t>
      </w:r>
      <w:r w:rsidR="0046460C" w:rsidRPr="0046460C">
        <w:t xml:space="preserve">way on vetting. </w:t>
      </w:r>
    </w:p>
    <w:p w:rsidR="00FC374C" w:rsidRPr="0046460C" w:rsidRDefault="00C71ACD" w:rsidP="00C71ACD">
      <w:pPr>
        <w:pStyle w:val="SingleTxtG"/>
      </w:pPr>
      <w:r w:rsidRPr="0046460C">
        <w:rPr>
          <w:bCs/>
        </w:rPr>
        <w:t>80.</w:t>
      </w:r>
      <w:r w:rsidRPr="0046460C">
        <w:rPr>
          <w:bCs/>
        </w:rPr>
        <w:tab/>
      </w:r>
      <w:r w:rsidR="0046460C" w:rsidRPr="0046460C">
        <w:t>While acknowledging the significant challenges in establishing a comprehensive vetting programme, the Special Rapporteur recommends some targeted first steps</w:t>
      </w:r>
      <w:r w:rsidR="00640DE7">
        <w:t>, which</w:t>
      </w:r>
      <w:r w:rsidR="0046460C" w:rsidRPr="0046460C">
        <w:t xml:space="preserve"> could include conducting a census and registration programme to determine the pool of personnel to screen for past human rights </w:t>
      </w:r>
      <w:r w:rsidR="00FC374C">
        <w:t>violations</w:t>
      </w:r>
      <w:r w:rsidR="0046460C" w:rsidRPr="0046460C">
        <w:t>. Th</w:t>
      </w:r>
      <w:r w:rsidR="00FC374C">
        <w:t>o</w:t>
      </w:r>
      <w:r w:rsidR="0046460C" w:rsidRPr="0046460C">
        <w:t xml:space="preserve">se processes must be transparent and adhere to due process standards. </w:t>
      </w:r>
    </w:p>
    <w:p w:rsidR="0046460C" w:rsidRPr="0046460C" w:rsidRDefault="00C71ACD" w:rsidP="00C71ACD">
      <w:pPr>
        <w:pStyle w:val="SingleTxtG"/>
      </w:pPr>
      <w:r w:rsidRPr="0046460C">
        <w:rPr>
          <w:bCs/>
        </w:rPr>
        <w:t>81.</w:t>
      </w:r>
      <w:r w:rsidRPr="0046460C">
        <w:rPr>
          <w:bCs/>
        </w:rPr>
        <w:tab/>
      </w:r>
      <w:r w:rsidR="0046460C" w:rsidRPr="0046460C">
        <w:t xml:space="preserve">As </w:t>
      </w:r>
      <w:r w:rsidR="00FC374C">
        <w:t xml:space="preserve">provided for in </w:t>
      </w:r>
      <w:r w:rsidR="0046460C" w:rsidRPr="0046460C">
        <w:t xml:space="preserve">the 2004 organic law on the National Police, vetting programmes could be linked to recruitment policies and promotion schemes; however, the mandated policy appears not to have been implemented. </w:t>
      </w:r>
    </w:p>
    <w:p w:rsidR="0046460C" w:rsidRPr="004316D1" w:rsidRDefault="00C1139A" w:rsidP="00734A8A">
      <w:pPr>
        <w:pStyle w:val="H1G"/>
        <w:rPr>
          <w:lang w:eastAsia="en-GB"/>
        </w:rPr>
      </w:pPr>
      <w:r>
        <w:rPr>
          <w:lang w:eastAsia="en-GB"/>
        </w:rPr>
        <w:tab/>
      </w:r>
      <w:r w:rsidRPr="001E1638">
        <w:rPr>
          <w:lang w:eastAsia="en-GB"/>
        </w:rPr>
        <w:t>B.</w:t>
      </w:r>
      <w:r w:rsidRPr="001E1638">
        <w:rPr>
          <w:lang w:eastAsia="en-GB"/>
        </w:rPr>
        <w:tab/>
      </w:r>
      <w:r w:rsidR="0046460C" w:rsidRPr="001B038C">
        <w:rPr>
          <w:lang w:eastAsia="en-GB"/>
        </w:rPr>
        <w:t xml:space="preserve">Justice </w:t>
      </w:r>
      <w:proofErr w:type="gramStart"/>
      <w:r w:rsidR="0046460C" w:rsidRPr="001B038C">
        <w:rPr>
          <w:lang w:eastAsia="en-GB"/>
        </w:rPr>
        <w:t>system</w:t>
      </w:r>
      <w:proofErr w:type="gramEnd"/>
      <w:r w:rsidR="0046460C" w:rsidRPr="001B038C">
        <w:rPr>
          <w:lang w:eastAsia="en-GB"/>
        </w:rPr>
        <w:t xml:space="preserve"> reform</w:t>
      </w:r>
    </w:p>
    <w:p w:rsidR="0046460C" w:rsidRPr="00D3346F" w:rsidRDefault="00C71ACD" w:rsidP="00C71ACD">
      <w:pPr>
        <w:pStyle w:val="SingleTxtG"/>
        <w:rPr>
          <w:lang w:eastAsia="en-GB"/>
        </w:rPr>
      </w:pPr>
      <w:r w:rsidRPr="00D3346F">
        <w:rPr>
          <w:bCs/>
          <w:lang w:eastAsia="en-GB"/>
        </w:rPr>
        <w:t>82.</w:t>
      </w:r>
      <w:r w:rsidRPr="00D3346F">
        <w:rPr>
          <w:bCs/>
          <w:lang w:eastAsia="en-GB"/>
        </w:rPr>
        <w:tab/>
      </w:r>
      <w:r w:rsidR="0046460C">
        <w:rPr>
          <w:lang w:eastAsia="en-GB"/>
        </w:rPr>
        <w:t xml:space="preserve">The Arusha Agreement identified lack of respect for the principle of the separation of powers and the independence of the judiciary </w:t>
      </w:r>
      <w:r w:rsidR="00F80C3A">
        <w:rPr>
          <w:lang w:eastAsia="en-GB"/>
        </w:rPr>
        <w:t xml:space="preserve">as being </w:t>
      </w:r>
      <w:r w:rsidR="0046460C">
        <w:rPr>
          <w:lang w:eastAsia="en-GB"/>
        </w:rPr>
        <w:t>among the main causes of violence and insecurity in Burundi</w:t>
      </w:r>
      <w:r w:rsidR="001B038C">
        <w:rPr>
          <w:lang w:eastAsia="en-GB"/>
        </w:rPr>
        <w:t>,</w:t>
      </w:r>
      <w:r w:rsidR="0046460C">
        <w:rPr>
          <w:lang w:eastAsia="en-GB"/>
        </w:rPr>
        <w:t xml:space="preserve"> in </w:t>
      </w:r>
      <w:r w:rsidR="0046460C" w:rsidRPr="00D3346F">
        <w:rPr>
          <w:lang w:eastAsia="en-GB"/>
        </w:rPr>
        <w:t>the post-colonial period</w:t>
      </w:r>
      <w:r w:rsidR="0046460C">
        <w:rPr>
          <w:lang w:eastAsia="en-GB"/>
        </w:rPr>
        <w:t>.</w:t>
      </w:r>
      <w:r w:rsidR="0046460C" w:rsidRPr="00C077B3">
        <w:rPr>
          <w:rStyle w:val="FootnoteReference"/>
        </w:rPr>
        <w:footnoteReference w:id="47"/>
      </w:r>
      <w:r w:rsidR="0046460C" w:rsidRPr="00D3346F">
        <w:rPr>
          <w:lang w:eastAsia="en-GB"/>
        </w:rPr>
        <w:t xml:space="preserve"> </w:t>
      </w:r>
      <w:r w:rsidR="0046460C">
        <w:rPr>
          <w:lang w:eastAsia="en-GB"/>
        </w:rPr>
        <w:t>Under</w:t>
      </w:r>
      <w:r w:rsidR="0046460C" w:rsidRPr="00D3346F">
        <w:rPr>
          <w:lang w:eastAsia="en-GB"/>
        </w:rPr>
        <w:t xml:space="preserve"> the </w:t>
      </w:r>
      <w:r w:rsidR="0046460C" w:rsidRPr="00A35DC5">
        <w:rPr>
          <w:iCs/>
          <w:lang w:eastAsia="en-GB"/>
        </w:rPr>
        <w:t>Sectoral Policy of the Ministry of Justice 2011-2015</w:t>
      </w:r>
      <w:r w:rsidR="0046460C" w:rsidRPr="00D3346F">
        <w:rPr>
          <w:lang w:eastAsia="en-GB"/>
        </w:rPr>
        <w:t xml:space="preserve">, some </w:t>
      </w:r>
      <w:r w:rsidR="0046460C">
        <w:rPr>
          <w:lang w:eastAsia="en-GB"/>
        </w:rPr>
        <w:t>improvements included an</w:t>
      </w:r>
      <w:r w:rsidR="0046460C" w:rsidRPr="00D3346F">
        <w:rPr>
          <w:lang w:eastAsia="en-GB"/>
        </w:rPr>
        <w:t xml:space="preserve"> increase in the number of judges</w:t>
      </w:r>
      <w:r w:rsidR="00064B98">
        <w:rPr>
          <w:lang w:eastAsia="en-GB"/>
        </w:rPr>
        <w:t xml:space="preserve"> and jurisdictions and </w:t>
      </w:r>
      <w:r w:rsidR="0046460C">
        <w:rPr>
          <w:lang w:eastAsia="en-GB"/>
        </w:rPr>
        <w:t>better</w:t>
      </w:r>
      <w:r w:rsidR="0046460C" w:rsidRPr="00D3346F">
        <w:rPr>
          <w:lang w:eastAsia="en-GB"/>
        </w:rPr>
        <w:t xml:space="preserve"> working conditions</w:t>
      </w:r>
      <w:r w:rsidR="0046460C">
        <w:rPr>
          <w:lang w:eastAsia="en-GB"/>
        </w:rPr>
        <w:t xml:space="preserve"> for judges. The 2009 Criminal Code abolished the death penalty and criminalized genocide, war crimes, crimes against humanity, torture and sexual violence</w:t>
      </w:r>
      <w:r w:rsidR="00F80C3A">
        <w:rPr>
          <w:lang w:eastAsia="en-GB"/>
        </w:rPr>
        <w:t>, while t</w:t>
      </w:r>
      <w:r w:rsidR="0046460C">
        <w:rPr>
          <w:lang w:eastAsia="en-GB"/>
        </w:rPr>
        <w:t>he 2013 Criminal Procedure Code established reparation for cases of torture.</w:t>
      </w:r>
      <w:r w:rsidR="0046460C" w:rsidRPr="00C077B3">
        <w:rPr>
          <w:rStyle w:val="FootnoteReference"/>
        </w:rPr>
        <w:footnoteReference w:id="48"/>
      </w:r>
      <w:r w:rsidR="0046460C">
        <w:rPr>
          <w:lang w:eastAsia="en-GB"/>
        </w:rPr>
        <w:t xml:space="preserve"> In 2014, advances in the recruitment of judges included, for the first time, a competitive process and </w:t>
      </w:r>
      <w:r w:rsidR="0046460C" w:rsidRPr="00206B0B">
        <w:rPr>
          <w:lang w:eastAsia="en-GB"/>
        </w:rPr>
        <w:t>initial professional training</w:t>
      </w:r>
      <w:r w:rsidR="001B038C">
        <w:rPr>
          <w:lang w:eastAsia="en-GB"/>
        </w:rPr>
        <w:t xml:space="preserve"> and t</w:t>
      </w:r>
      <w:r w:rsidR="0046460C" w:rsidRPr="00D3346F">
        <w:rPr>
          <w:lang w:eastAsia="en-GB"/>
        </w:rPr>
        <w:t xml:space="preserve">he number of women </w:t>
      </w:r>
      <w:r w:rsidR="0046460C">
        <w:rPr>
          <w:lang w:eastAsia="en-GB"/>
        </w:rPr>
        <w:t xml:space="preserve">judges has reportedly </w:t>
      </w:r>
      <w:r w:rsidR="0046460C" w:rsidRPr="00D3346F">
        <w:rPr>
          <w:lang w:eastAsia="en-GB"/>
        </w:rPr>
        <w:t xml:space="preserve">increased </w:t>
      </w:r>
      <w:r w:rsidR="00064B98">
        <w:rPr>
          <w:lang w:eastAsia="en-GB"/>
        </w:rPr>
        <w:t>recently</w:t>
      </w:r>
      <w:r w:rsidR="0046460C" w:rsidRPr="00D3346F">
        <w:rPr>
          <w:lang w:eastAsia="en-GB"/>
        </w:rPr>
        <w:t xml:space="preserve">. </w:t>
      </w:r>
    </w:p>
    <w:p w:rsidR="0046460C" w:rsidRPr="00D3346F" w:rsidRDefault="00C71ACD" w:rsidP="00C71ACD">
      <w:pPr>
        <w:pStyle w:val="SingleTxtG"/>
        <w:rPr>
          <w:lang w:eastAsia="en-GB"/>
        </w:rPr>
      </w:pPr>
      <w:r w:rsidRPr="00D3346F">
        <w:rPr>
          <w:bCs/>
          <w:lang w:eastAsia="en-GB"/>
        </w:rPr>
        <w:t>83.</w:t>
      </w:r>
      <w:r w:rsidRPr="00D3346F">
        <w:rPr>
          <w:bCs/>
          <w:lang w:eastAsia="en-GB"/>
        </w:rPr>
        <w:tab/>
      </w:r>
      <w:r w:rsidR="00AF6D0D">
        <w:rPr>
          <w:lang w:eastAsia="en-GB"/>
        </w:rPr>
        <w:t>However</w:t>
      </w:r>
      <w:r w:rsidR="0046460C" w:rsidRPr="00BF7E36">
        <w:rPr>
          <w:lang w:eastAsia="en-GB"/>
        </w:rPr>
        <w:t xml:space="preserve">, crucial </w:t>
      </w:r>
      <w:r w:rsidR="0046460C">
        <w:rPr>
          <w:lang w:eastAsia="en-GB"/>
        </w:rPr>
        <w:t>legal and practical barriers to</w:t>
      </w:r>
      <w:r w:rsidR="0046460C" w:rsidRPr="00BF7E36">
        <w:rPr>
          <w:lang w:eastAsia="en-GB"/>
        </w:rPr>
        <w:t xml:space="preserve"> the </w:t>
      </w:r>
      <w:r w:rsidR="0046460C">
        <w:rPr>
          <w:lang w:eastAsia="en-GB"/>
        </w:rPr>
        <w:t>functioning of the judiciary</w:t>
      </w:r>
      <w:r w:rsidR="00F80C3A">
        <w:rPr>
          <w:lang w:eastAsia="en-GB"/>
        </w:rPr>
        <w:t xml:space="preserve"> remain</w:t>
      </w:r>
      <w:r w:rsidR="0046460C">
        <w:rPr>
          <w:lang w:eastAsia="en-GB"/>
        </w:rPr>
        <w:t>, starting with the appointment and career development of judges.</w:t>
      </w:r>
      <w:r w:rsidR="0046460C" w:rsidRPr="00C077B3">
        <w:rPr>
          <w:rStyle w:val="FootnoteReference"/>
        </w:rPr>
        <w:footnoteReference w:id="49"/>
      </w:r>
      <w:r w:rsidR="0046460C">
        <w:rPr>
          <w:lang w:eastAsia="en-GB"/>
        </w:rPr>
        <w:t xml:space="preserve"> </w:t>
      </w:r>
      <w:r w:rsidR="0046460C" w:rsidRPr="00D3346F">
        <w:rPr>
          <w:lang w:eastAsia="en-GB"/>
        </w:rPr>
        <w:t>Life tenure of judges</w:t>
      </w:r>
      <w:r w:rsidR="0046460C">
        <w:rPr>
          <w:lang w:eastAsia="en-GB"/>
        </w:rPr>
        <w:t xml:space="preserve"> is </w:t>
      </w:r>
      <w:r w:rsidR="0046460C" w:rsidRPr="00D3346F">
        <w:rPr>
          <w:lang w:eastAsia="en-GB"/>
        </w:rPr>
        <w:t xml:space="preserve">limited by a provision allowing for their discretionary </w:t>
      </w:r>
      <w:r w:rsidR="0046460C">
        <w:rPr>
          <w:lang w:eastAsia="en-GB"/>
        </w:rPr>
        <w:t xml:space="preserve">transfer </w:t>
      </w:r>
      <w:r w:rsidR="0046460C" w:rsidRPr="00D3346F">
        <w:rPr>
          <w:lang w:eastAsia="en-GB"/>
        </w:rPr>
        <w:t xml:space="preserve">to </w:t>
      </w:r>
      <w:r w:rsidR="008D6257">
        <w:rPr>
          <w:lang w:eastAsia="en-GB"/>
        </w:rPr>
        <w:t>an</w:t>
      </w:r>
      <w:r w:rsidR="0046460C" w:rsidRPr="00D3346F">
        <w:rPr>
          <w:lang w:eastAsia="en-GB"/>
        </w:rPr>
        <w:t xml:space="preserve">other jurisdiction. </w:t>
      </w:r>
      <w:r w:rsidR="0046460C">
        <w:rPr>
          <w:lang w:eastAsia="en-GB"/>
        </w:rPr>
        <w:t>The direct supervisor initiates d</w:t>
      </w:r>
      <w:r w:rsidR="0046460C" w:rsidRPr="00D3346F">
        <w:rPr>
          <w:lang w:eastAsia="en-GB"/>
        </w:rPr>
        <w:t xml:space="preserve">isciplinary measures for </w:t>
      </w:r>
      <w:r w:rsidR="0046460C">
        <w:rPr>
          <w:lang w:eastAsia="en-GB"/>
        </w:rPr>
        <w:t xml:space="preserve">lesser degree </w:t>
      </w:r>
      <w:r w:rsidR="0046460C" w:rsidRPr="00D3346F">
        <w:rPr>
          <w:lang w:eastAsia="en-GB"/>
        </w:rPr>
        <w:t xml:space="preserve">infractions, while </w:t>
      </w:r>
      <w:r w:rsidR="0046460C">
        <w:rPr>
          <w:lang w:eastAsia="en-GB"/>
        </w:rPr>
        <w:t xml:space="preserve">the executive controls </w:t>
      </w:r>
      <w:r w:rsidR="0046460C" w:rsidRPr="00D3346F">
        <w:rPr>
          <w:lang w:eastAsia="en-GB"/>
        </w:rPr>
        <w:t xml:space="preserve">the suspension of ordinary judges. </w:t>
      </w:r>
      <w:r w:rsidR="008D6257">
        <w:rPr>
          <w:lang w:eastAsia="en-GB"/>
        </w:rPr>
        <w:t>Alt</w:t>
      </w:r>
      <w:r w:rsidR="0046460C" w:rsidRPr="00D3346F">
        <w:rPr>
          <w:lang w:eastAsia="en-GB"/>
        </w:rPr>
        <w:t xml:space="preserve">hough the dismissal of judges and the suspension of the Presidents of the Supreme </w:t>
      </w:r>
      <w:r w:rsidR="00064B98">
        <w:rPr>
          <w:lang w:eastAsia="en-GB"/>
        </w:rPr>
        <w:t xml:space="preserve">and Constitutional </w:t>
      </w:r>
      <w:r w:rsidR="0046460C" w:rsidRPr="00D3346F">
        <w:rPr>
          <w:lang w:eastAsia="en-GB"/>
        </w:rPr>
        <w:t>Court</w:t>
      </w:r>
      <w:r w:rsidR="00064B98">
        <w:rPr>
          <w:lang w:eastAsia="en-GB"/>
        </w:rPr>
        <w:t>s</w:t>
      </w:r>
      <w:r w:rsidR="0046460C" w:rsidRPr="00D3346F">
        <w:rPr>
          <w:lang w:eastAsia="en-GB"/>
        </w:rPr>
        <w:t xml:space="preserve"> as well </w:t>
      </w:r>
      <w:r w:rsidR="008D6257">
        <w:rPr>
          <w:lang w:eastAsia="en-GB"/>
        </w:rPr>
        <w:t xml:space="preserve">of </w:t>
      </w:r>
      <w:r w:rsidR="0046460C" w:rsidRPr="00D3346F">
        <w:rPr>
          <w:lang w:eastAsia="en-GB"/>
        </w:rPr>
        <w:t>the General</w:t>
      </w:r>
      <w:r w:rsidR="008D6257">
        <w:rPr>
          <w:lang w:eastAsia="en-GB"/>
        </w:rPr>
        <w:t xml:space="preserve"> </w:t>
      </w:r>
      <w:r w:rsidR="0046460C" w:rsidRPr="00D3346F">
        <w:rPr>
          <w:lang w:eastAsia="en-GB"/>
        </w:rPr>
        <w:t xml:space="preserve">Prosecutor require </w:t>
      </w:r>
      <w:r w:rsidR="008D6257">
        <w:rPr>
          <w:lang w:eastAsia="en-GB"/>
        </w:rPr>
        <w:t xml:space="preserve">the </w:t>
      </w:r>
      <w:r w:rsidR="0046460C" w:rsidRPr="00D3346F">
        <w:rPr>
          <w:lang w:eastAsia="en-GB"/>
        </w:rPr>
        <w:t xml:space="preserve">prior opinion of the Superior Judicial Council, </w:t>
      </w:r>
      <w:r w:rsidR="008D6257">
        <w:rPr>
          <w:lang w:eastAsia="en-GB"/>
        </w:rPr>
        <w:t xml:space="preserve">it is </w:t>
      </w:r>
      <w:r w:rsidR="0046460C" w:rsidRPr="00D3346F">
        <w:rPr>
          <w:lang w:eastAsia="en-GB"/>
        </w:rPr>
        <w:t xml:space="preserve">the </w:t>
      </w:r>
      <w:r w:rsidR="0046460C">
        <w:rPr>
          <w:lang w:eastAsia="en-GB"/>
        </w:rPr>
        <w:t xml:space="preserve">executive </w:t>
      </w:r>
      <w:r w:rsidR="008D6257">
        <w:rPr>
          <w:lang w:eastAsia="en-GB"/>
        </w:rPr>
        <w:t xml:space="preserve">that </w:t>
      </w:r>
      <w:r w:rsidR="0046460C">
        <w:rPr>
          <w:lang w:eastAsia="en-GB"/>
        </w:rPr>
        <w:t xml:space="preserve">controls the </w:t>
      </w:r>
      <w:r w:rsidR="0046460C" w:rsidRPr="00D3346F">
        <w:rPr>
          <w:lang w:eastAsia="en-GB"/>
        </w:rPr>
        <w:t>Council</w:t>
      </w:r>
      <w:r w:rsidR="002B0280">
        <w:rPr>
          <w:lang w:eastAsia="en-GB"/>
        </w:rPr>
        <w:t xml:space="preserve"> (see para. 85</w:t>
      </w:r>
      <w:r w:rsidR="001B038C">
        <w:rPr>
          <w:lang w:eastAsia="en-GB"/>
        </w:rPr>
        <w:t xml:space="preserve"> below</w:t>
      </w:r>
      <w:r w:rsidR="002B0280">
        <w:rPr>
          <w:lang w:eastAsia="en-GB"/>
        </w:rPr>
        <w:t>)</w:t>
      </w:r>
      <w:r w:rsidR="0046460C" w:rsidRPr="00D3346F">
        <w:rPr>
          <w:lang w:eastAsia="en-GB"/>
        </w:rPr>
        <w:t xml:space="preserve">. </w:t>
      </w:r>
    </w:p>
    <w:p w:rsidR="0046460C" w:rsidRDefault="00C71ACD" w:rsidP="00C71ACD">
      <w:pPr>
        <w:pStyle w:val="SingleTxtG"/>
        <w:rPr>
          <w:lang w:eastAsia="en-GB"/>
        </w:rPr>
      </w:pPr>
      <w:r>
        <w:rPr>
          <w:bCs/>
          <w:lang w:eastAsia="en-GB"/>
        </w:rPr>
        <w:t>84.</w:t>
      </w:r>
      <w:r>
        <w:rPr>
          <w:bCs/>
          <w:lang w:eastAsia="en-GB"/>
        </w:rPr>
        <w:tab/>
      </w:r>
      <w:r w:rsidR="0046460C">
        <w:rPr>
          <w:lang w:eastAsia="en-GB"/>
        </w:rPr>
        <w:t xml:space="preserve">Financial autonomy and adequate resourcing are prerequisites for </w:t>
      </w:r>
      <w:r w:rsidR="008D6257">
        <w:rPr>
          <w:lang w:eastAsia="en-GB"/>
        </w:rPr>
        <w:t xml:space="preserve">the </w:t>
      </w:r>
      <w:r w:rsidR="00BF28C5">
        <w:rPr>
          <w:lang w:eastAsia="en-GB"/>
        </w:rPr>
        <w:t xml:space="preserve">independent and effective </w:t>
      </w:r>
      <w:r w:rsidR="0046460C">
        <w:rPr>
          <w:lang w:eastAsia="en-GB"/>
        </w:rPr>
        <w:t>function</w:t>
      </w:r>
      <w:r w:rsidR="00BF28C5">
        <w:rPr>
          <w:lang w:eastAsia="en-GB"/>
        </w:rPr>
        <w:t>ing of the judiciary</w:t>
      </w:r>
      <w:r w:rsidR="0046460C">
        <w:rPr>
          <w:lang w:eastAsia="en-GB"/>
        </w:rPr>
        <w:t xml:space="preserve">. </w:t>
      </w:r>
      <w:r w:rsidR="00BF28C5">
        <w:rPr>
          <w:lang w:eastAsia="en-GB"/>
        </w:rPr>
        <w:t>I</w:t>
      </w:r>
      <w:r w:rsidR="0046460C" w:rsidRPr="00D3346F">
        <w:rPr>
          <w:lang w:eastAsia="en-GB"/>
        </w:rPr>
        <w:t xml:space="preserve">nformation </w:t>
      </w:r>
      <w:r w:rsidR="00BF28C5">
        <w:rPr>
          <w:lang w:eastAsia="en-GB"/>
        </w:rPr>
        <w:t xml:space="preserve">received </w:t>
      </w:r>
      <w:r w:rsidR="0046460C">
        <w:rPr>
          <w:lang w:eastAsia="en-GB"/>
        </w:rPr>
        <w:t>indicat</w:t>
      </w:r>
      <w:r w:rsidR="00BF28C5">
        <w:rPr>
          <w:lang w:eastAsia="en-GB"/>
        </w:rPr>
        <w:t>es</w:t>
      </w:r>
      <w:r w:rsidR="0046460C" w:rsidRPr="00D3346F">
        <w:rPr>
          <w:lang w:eastAsia="en-GB"/>
        </w:rPr>
        <w:t xml:space="preserve"> that </w:t>
      </w:r>
      <w:r w:rsidR="0046460C">
        <w:rPr>
          <w:lang w:eastAsia="en-GB"/>
        </w:rPr>
        <w:t xml:space="preserve">only </w:t>
      </w:r>
      <w:r w:rsidR="0046460C" w:rsidRPr="00D3346F">
        <w:rPr>
          <w:lang w:eastAsia="en-GB"/>
        </w:rPr>
        <w:t xml:space="preserve">about </w:t>
      </w:r>
      <w:r w:rsidR="008D6257">
        <w:rPr>
          <w:lang w:eastAsia="en-GB"/>
        </w:rPr>
        <w:t>2</w:t>
      </w:r>
      <w:r w:rsidR="0046460C" w:rsidRPr="00D3346F">
        <w:rPr>
          <w:lang w:eastAsia="en-GB"/>
        </w:rPr>
        <w:t xml:space="preserve"> per</w:t>
      </w:r>
      <w:r w:rsidR="008D6257">
        <w:rPr>
          <w:lang w:eastAsia="en-GB"/>
        </w:rPr>
        <w:t xml:space="preserve"> </w:t>
      </w:r>
      <w:r w:rsidR="0046460C" w:rsidRPr="00D3346F">
        <w:rPr>
          <w:lang w:eastAsia="en-GB"/>
        </w:rPr>
        <w:t>cent of the national annual budget</w:t>
      </w:r>
      <w:r w:rsidR="008D6257">
        <w:rPr>
          <w:lang w:eastAsia="en-GB"/>
        </w:rPr>
        <w:t xml:space="preserve"> is allocated to </w:t>
      </w:r>
      <w:r w:rsidR="008D6257" w:rsidRPr="00D3346F">
        <w:rPr>
          <w:lang w:eastAsia="en-GB"/>
        </w:rPr>
        <w:t>the justice system</w:t>
      </w:r>
      <w:r w:rsidR="0046460C" w:rsidRPr="00D3346F">
        <w:rPr>
          <w:lang w:eastAsia="en-GB"/>
        </w:rPr>
        <w:t xml:space="preserve">, </w:t>
      </w:r>
      <w:r w:rsidR="0046460C">
        <w:rPr>
          <w:lang w:eastAsia="en-GB"/>
        </w:rPr>
        <w:t>an</w:t>
      </w:r>
      <w:r w:rsidR="0046460C" w:rsidRPr="00D3346F">
        <w:rPr>
          <w:lang w:eastAsia="en-GB"/>
        </w:rPr>
        <w:t xml:space="preserve"> insufficient </w:t>
      </w:r>
      <w:r w:rsidR="0046460C">
        <w:rPr>
          <w:lang w:eastAsia="en-GB"/>
        </w:rPr>
        <w:t>amount</w:t>
      </w:r>
      <w:r w:rsidR="0046460C" w:rsidRPr="00D3346F">
        <w:rPr>
          <w:lang w:eastAsia="en-GB"/>
        </w:rPr>
        <w:t xml:space="preserve"> to </w:t>
      </w:r>
      <w:r w:rsidR="008D6257">
        <w:rPr>
          <w:lang w:eastAsia="en-GB"/>
        </w:rPr>
        <w:t xml:space="preserve">enable it to adequately </w:t>
      </w:r>
      <w:r w:rsidR="0046460C">
        <w:rPr>
          <w:lang w:eastAsia="en-GB"/>
        </w:rPr>
        <w:t xml:space="preserve">discharge its </w:t>
      </w:r>
      <w:r w:rsidR="0046460C" w:rsidRPr="00D3346F">
        <w:rPr>
          <w:lang w:eastAsia="en-GB"/>
        </w:rPr>
        <w:t>function</w:t>
      </w:r>
      <w:r w:rsidR="0046460C">
        <w:rPr>
          <w:lang w:eastAsia="en-GB"/>
        </w:rPr>
        <w:t>s</w:t>
      </w:r>
      <w:r w:rsidR="0046460C" w:rsidRPr="00D3346F">
        <w:rPr>
          <w:lang w:eastAsia="en-GB"/>
        </w:rPr>
        <w:t xml:space="preserve">. </w:t>
      </w:r>
      <w:r w:rsidR="0046460C">
        <w:rPr>
          <w:lang w:eastAsia="en-GB"/>
        </w:rPr>
        <w:t>In some jurisdictions, the most basic resources and equipment are not available.</w:t>
      </w:r>
      <w:r w:rsidR="0046460C" w:rsidDel="00A641F0">
        <w:rPr>
          <w:lang w:eastAsia="en-GB"/>
        </w:rPr>
        <w:t xml:space="preserve"> </w:t>
      </w:r>
      <w:r w:rsidR="00275699">
        <w:rPr>
          <w:lang w:eastAsia="en-GB"/>
        </w:rPr>
        <w:t>Although t</w:t>
      </w:r>
      <w:r w:rsidR="00275699" w:rsidRPr="00D3346F">
        <w:rPr>
          <w:lang w:eastAsia="en-GB"/>
        </w:rPr>
        <w:t xml:space="preserve">he </w:t>
      </w:r>
      <w:r w:rsidR="0046460C" w:rsidRPr="00D3346F">
        <w:rPr>
          <w:lang w:eastAsia="en-GB"/>
        </w:rPr>
        <w:t xml:space="preserve">Supreme Court, the Constitutional Court and the Superior Judicial Council each have their own budget, </w:t>
      </w:r>
      <w:r w:rsidR="00275699">
        <w:rPr>
          <w:lang w:eastAsia="en-GB"/>
        </w:rPr>
        <w:t xml:space="preserve">they </w:t>
      </w:r>
      <w:r w:rsidR="0046460C" w:rsidRPr="00D3346F">
        <w:rPr>
          <w:lang w:eastAsia="en-GB"/>
        </w:rPr>
        <w:t>are included in the global</w:t>
      </w:r>
      <w:r w:rsidR="0046460C">
        <w:rPr>
          <w:lang w:eastAsia="en-GB"/>
        </w:rPr>
        <w:t>, annual</w:t>
      </w:r>
      <w:r w:rsidR="0046460C" w:rsidRPr="00D3346F">
        <w:rPr>
          <w:lang w:eastAsia="en-GB"/>
        </w:rPr>
        <w:t xml:space="preserve"> allocat</w:t>
      </w:r>
      <w:r w:rsidR="0046460C">
        <w:rPr>
          <w:lang w:eastAsia="en-GB"/>
        </w:rPr>
        <w:t>ion of</w:t>
      </w:r>
      <w:r w:rsidR="0046460C" w:rsidRPr="00D3346F">
        <w:rPr>
          <w:lang w:eastAsia="en-GB"/>
        </w:rPr>
        <w:t xml:space="preserve"> the Ministry of Justice</w:t>
      </w:r>
      <w:r w:rsidR="0046460C">
        <w:rPr>
          <w:lang w:eastAsia="en-GB"/>
        </w:rPr>
        <w:t xml:space="preserve"> which </w:t>
      </w:r>
      <w:r w:rsidR="0046460C" w:rsidRPr="00D3346F">
        <w:rPr>
          <w:lang w:eastAsia="en-GB"/>
        </w:rPr>
        <w:t>administer</w:t>
      </w:r>
      <w:r w:rsidR="0046460C">
        <w:rPr>
          <w:lang w:eastAsia="en-GB"/>
        </w:rPr>
        <w:t>s</w:t>
      </w:r>
      <w:r w:rsidR="0046460C" w:rsidRPr="00D3346F">
        <w:rPr>
          <w:lang w:eastAsia="en-GB"/>
        </w:rPr>
        <w:t xml:space="preserve"> </w:t>
      </w:r>
      <w:r w:rsidR="00275699">
        <w:rPr>
          <w:lang w:eastAsia="en-GB"/>
        </w:rPr>
        <w:t>all</w:t>
      </w:r>
      <w:r w:rsidR="00C23280">
        <w:rPr>
          <w:lang w:eastAsia="en-GB"/>
        </w:rPr>
        <w:t xml:space="preserve"> </w:t>
      </w:r>
      <w:r w:rsidR="008D6257">
        <w:rPr>
          <w:lang w:eastAsia="en-GB"/>
        </w:rPr>
        <w:t>budgets</w:t>
      </w:r>
      <w:r w:rsidR="00275699">
        <w:rPr>
          <w:lang w:eastAsia="en-GB"/>
        </w:rPr>
        <w:t xml:space="preserve"> in </w:t>
      </w:r>
      <w:r w:rsidR="001E1638">
        <w:rPr>
          <w:lang w:eastAsia="en-GB"/>
        </w:rPr>
        <w:t xml:space="preserve">the </w:t>
      </w:r>
      <w:r w:rsidR="00275699">
        <w:rPr>
          <w:lang w:eastAsia="en-GB"/>
        </w:rPr>
        <w:t>sector</w:t>
      </w:r>
      <w:r w:rsidR="0046460C" w:rsidRPr="00D3346F">
        <w:rPr>
          <w:lang w:eastAsia="en-GB"/>
        </w:rPr>
        <w:t>.</w:t>
      </w:r>
      <w:r w:rsidR="0046460C" w:rsidRPr="00E41D86">
        <w:rPr>
          <w:lang w:eastAsia="en-GB"/>
        </w:rPr>
        <w:t xml:space="preserve"> </w:t>
      </w:r>
    </w:p>
    <w:p w:rsidR="0046460C" w:rsidRDefault="00C71ACD" w:rsidP="00C71ACD">
      <w:pPr>
        <w:pStyle w:val="SingleTxtG"/>
        <w:rPr>
          <w:lang w:eastAsia="en-GB"/>
        </w:rPr>
      </w:pPr>
      <w:r>
        <w:rPr>
          <w:bCs/>
          <w:lang w:eastAsia="en-GB"/>
        </w:rPr>
        <w:t>85.</w:t>
      </w:r>
      <w:r>
        <w:rPr>
          <w:bCs/>
          <w:lang w:eastAsia="en-GB"/>
        </w:rPr>
        <w:tab/>
      </w:r>
      <w:r w:rsidR="0046460C">
        <w:rPr>
          <w:lang w:eastAsia="en-GB"/>
        </w:rPr>
        <w:t xml:space="preserve">Many of the structural barriers to judicial independence have been the focus of </w:t>
      </w:r>
      <w:r w:rsidR="008D6257">
        <w:rPr>
          <w:lang w:eastAsia="en-GB"/>
        </w:rPr>
        <w:t>much discussion</w:t>
      </w:r>
      <w:r w:rsidR="0046460C">
        <w:rPr>
          <w:lang w:eastAsia="en-GB"/>
        </w:rPr>
        <w:t xml:space="preserve"> in the past, but follow-through is lacking. For example, the</w:t>
      </w:r>
      <w:r w:rsidR="0046460C" w:rsidRPr="00D3346F">
        <w:rPr>
          <w:lang w:eastAsia="en-GB"/>
        </w:rPr>
        <w:t xml:space="preserve"> </w:t>
      </w:r>
      <w:r w:rsidR="0046460C">
        <w:rPr>
          <w:lang w:eastAsia="en-GB"/>
        </w:rPr>
        <w:t xml:space="preserve">discussions </w:t>
      </w:r>
      <w:r w:rsidR="001B038C">
        <w:rPr>
          <w:lang w:eastAsia="en-GB"/>
        </w:rPr>
        <w:t>during</w:t>
      </w:r>
      <w:r w:rsidR="0046460C">
        <w:rPr>
          <w:lang w:eastAsia="en-GB"/>
        </w:rPr>
        <w:t xml:space="preserve"> the </w:t>
      </w:r>
      <w:r w:rsidR="008D6257">
        <w:rPr>
          <w:lang w:eastAsia="en-GB"/>
        </w:rPr>
        <w:t>Estates General o</w:t>
      </w:r>
      <w:r w:rsidR="00DC69E4">
        <w:rPr>
          <w:lang w:eastAsia="en-GB"/>
        </w:rPr>
        <w:t>n</w:t>
      </w:r>
      <w:r w:rsidR="008D6257">
        <w:rPr>
          <w:lang w:eastAsia="en-GB"/>
        </w:rPr>
        <w:t xml:space="preserve"> Justice</w:t>
      </w:r>
      <w:r w:rsidR="001B038C">
        <w:rPr>
          <w:lang w:eastAsia="en-GB"/>
        </w:rPr>
        <w:t xml:space="preserve"> in 2013</w:t>
      </w:r>
      <w:r w:rsidR="0046460C">
        <w:rPr>
          <w:lang w:eastAsia="en-GB"/>
        </w:rPr>
        <w:t xml:space="preserve"> have not </w:t>
      </w:r>
      <w:r w:rsidR="00735ADB">
        <w:rPr>
          <w:lang w:eastAsia="en-GB"/>
        </w:rPr>
        <w:t>yet</w:t>
      </w:r>
      <w:r w:rsidR="00BF28C5">
        <w:rPr>
          <w:lang w:eastAsia="en-GB"/>
        </w:rPr>
        <w:t xml:space="preserve"> </w:t>
      </w:r>
      <w:r w:rsidR="0046460C">
        <w:rPr>
          <w:lang w:eastAsia="en-GB"/>
        </w:rPr>
        <w:t xml:space="preserve">been fully published. </w:t>
      </w:r>
      <w:r w:rsidR="00BF28C5">
        <w:rPr>
          <w:lang w:eastAsia="en-GB"/>
        </w:rPr>
        <w:t xml:space="preserve">A </w:t>
      </w:r>
      <w:r w:rsidR="0046460C" w:rsidRPr="00D3346F">
        <w:rPr>
          <w:lang w:eastAsia="en-GB"/>
        </w:rPr>
        <w:t>main issue discussed was the composition of the</w:t>
      </w:r>
      <w:r w:rsidR="0046460C">
        <w:rPr>
          <w:lang w:eastAsia="en-GB"/>
        </w:rPr>
        <w:t xml:space="preserve"> Superior Judicial Council</w:t>
      </w:r>
      <w:r w:rsidR="0046460C" w:rsidRPr="00D3346F">
        <w:rPr>
          <w:lang w:eastAsia="en-GB"/>
        </w:rPr>
        <w:t xml:space="preserve">. The </w:t>
      </w:r>
      <w:r w:rsidR="0046460C">
        <w:rPr>
          <w:lang w:eastAsia="en-GB"/>
        </w:rPr>
        <w:t xml:space="preserve">17-member </w:t>
      </w:r>
      <w:r w:rsidR="0046460C" w:rsidRPr="00D3346F">
        <w:rPr>
          <w:lang w:eastAsia="en-GB"/>
        </w:rPr>
        <w:t xml:space="preserve">Council </w:t>
      </w:r>
      <w:r w:rsidR="0046460C">
        <w:rPr>
          <w:lang w:eastAsia="en-GB"/>
        </w:rPr>
        <w:t>is</w:t>
      </w:r>
      <w:r w:rsidR="0046460C" w:rsidRPr="00D3346F">
        <w:rPr>
          <w:lang w:eastAsia="en-GB"/>
        </w:rPr>
        <w:t xml:space="preserve"> chaired by the President of the Republic, </w:t>
      </w:r>
      <w:r w:rsidR="0046460C">
        <w:rPr>
          <w:lang w:eastAsia="en-GB"/>
        </w:rPr>
        <w:t>assisted by</w:t>
      </w:r>
      <w:r w:rsidR="0046460C" w:rsidRPr="00D3346F">
        <w:rPr>
          <w:lang w:eastAsia="en-GB"/>
        </w:rPr>
        <w:t xml:space="preserve"> the Minister of Justice</w:t>
      </w:r>
      <w:r w:rsidR="00735ADB">
        <w:rPr>
          <w:lang w:eastAsia="en-GB"/>
        </w:rPr>
        <w:t>: t</w:t>
      </w:r>
      <w:r w:rsidR="0046460C">
        <w:rPr>
          <w:lang w:eastAsia="en-GB"/>
        </w:rPr>
        <w:t xml:space="preserve">he executive designates </w:t>
      </w:r>
      <w:r w:rsidR="00735ADB">
        <w:rPr>
          <w:lang w:eastAsia="en-GB"/>
        </w:rPr>
        <w:t>5</w:t>
      </w:r>
      <w:r w:rsidR="0046460C" w:rsidRPr="00D3346F">
        <w:rPr>
          <w:lang w:eastAsia="en-GB"/>
        </w:rPr>
        <w:t xml:space="preserve"> members</w:t>
      </w:r>
      <w:r w:rsidR="008A417C">
        <w:rPr>
          <w:lang w:eastAsia="en-GB"/>
        </w:rPr>
        <w:t xml:space="preserve"> and appoints </w:t>
      </w:r>
      <w:r w:rsidR="001A7993">
        <w:rPr>
          <w:lang w:eastAsia="en-GB"/>
        </w:rPr>
        <w:t>3</w:t>
      </w:r>
      <w:r w:rsidR="008A417C">
        <w:rPr>
          <w:lang w:eastAsia="en-GB"/>
        </w:rPr>
        <w:t xml:space="preserve"> private-sector lawyers</w:t>
      </w:r>
      <w:r w:rsidR="0046460C">
        <w:rPr>
          <w:lang w:eastAsia="en-GB"/>
        </w:rPr>
        <w:t>,</w:t>
      </w:r>
      <w:r w:rsidR="0046460C" w:rsidRPr="00D3346F">
        <w:rPr>
          <w:lang w:eastAsia="en-GB"/>
        </w:rPr>
        <w:t xml:space="preserve"> </w:t>
      </w:r>
      <w:r w:rsidR="008A417C">
        <w:rPr>
          <w:lang w:eastAsia="en-GB"/>
        </w:rPr>
        <w:t xml:space="preserve">and </w:t>
      </w:r>
      <w:r w:rsidR="00735ADB">
        <w:rPr>
          <w:lang w:eastAsia="en-GB"/>
        </w:rPr>
        <w:t>7</w:t>
      </w:r>
      <w:r w:rsidR="0046460C" w:rsidRPr="00D3346F">
        <w:rPr>
          <w:lang w:eastAsia="en-GB"/>
        </w:rPr>
        <w:t xml:space="preserve"> judges </w:t>
      </w:r>
      <w:r w:rsidR="0046460C">
        <w:rPr>
          <w:lang w:eastAsia="en-GB"/>
        </w:rPr>
        <w:t xml:space="preserve">are </w:t>
      </w:r>
      <w:r w:rsidR="0046460C" w:rsidRPr="00D3346F">
        <w:rPr>
          <w:lang w:eastAsia="en-GB"/>
        </w:rPr>
        <w:t>elected by their peers.</w:t>
      </w:r>
      <w:r w:rsidR="0046460C">
        <w:rPr>
          <w:lang w:eastAsia="en-GB"/>
        </w:rPr>
        <w:t xml:space="preserve"> Hence the majority of the Council members are either part of or appointed by </w:t>
      </w:r>
      <w:r w:rsidR="00735ADB">
        <w:rPr>
          <w:lang w:eastAsia="en-GB"/>
        </w:rPr>
        <w:t>the executive</w:t>
      </w:r>
      <w:r w:rsidR="0046460C" w:rsidRPr="00D3346F">
        <w:rPr>
          <w:lang w:eastAsia="en-GB"/>
        </w:rPr>
        <w:t xml:space="preserve">. </w:t>
      </w:r>
      <w:r w:rsidR="0046460C">
        <w:rPr>
          <w:lang w:eastAsia="en-GB"/>
        </w:rPr>
        <w:t>A</w:t>
      </w:r>
      <w:r w:rsidR="0046460C" w:rsidRPr="006B69E6">
        <w:rPr>
          <w:lang w:eastAsia="en-GB"/>
        </w:rPr>
        <w:t xml:space="preserve"> constitutional reform project</w:t>
      </w:r>
      <w:r w:rsidR="0046460C">
        <w:rPr>
          <w:lang w:eastAsia="en-GB"/>
        </w:rPr>
        <w:t xml:space="preserve"> aimed at, </w:t>
      </w:r>
      <w:r w:rsidR="0046460C" w:rsidRPr="008A417C">
        <w:rPr>
          <w:iCs/>
          <w:lang w:eastAsia="en-GB"/>
        </w:rPr>
        <w:t>inter alia</w:t>
      </w:r>
      <w:r w:rsidR="0046460C">
        <w:rPr>
          <w:lang w:eastAsia="en-GB"/>
        </w:rPr>
        <w:t xml:space="preserve">, </w:t>
      </w:r>
      <w:r w:rsidR="0046460C" w:rsidRPr="006B69E6">
        <w:rPr>
          <w:lang w:eastAsia="en-GB"/>
        </w:rPr>
        <w:t>altering the composition</w:t>
      </w:r>
      <w:r w:rsidR="00735ADB">
        <w:rPr>
          <w:lang w:eastAsia="en-GB"/>
        </w:rPr>
        <w:t xml:space="preserve"> of the Council</w:t>
      </w:r>
      <w:r w:rsidR="0046460C" w:rsidRPr="006B69E6">
        <w:rPr>
          <w:lang w:eastAsia="en-GB"/>
        </w:rPr>
        <w:t xml:space="preserve"> </w:t>
      </w:r>
      <w:r w:rsidR="00735ADB">
        <w:rPr>
          <w:lang w:eastAsia="en-GB"/>
        </w:rPr>
        <w:t xml:space="preserve">in order </w:t>
      </w:r>
      <w:r w:rsidR="0046460C" w:rsidRPr="006B69E6">
        <w:rPr>
          <w:lang w:eastAsia="en-GB"/>
        </w:rPr>
        <w:t xml:space="preserve">to </w:t>
      </w:r>
      <w:r w:rsidR="00735ADB">
        <w:rPr>
          <w:lang w:eastAsia="en-GB"/>
        </w:rPr>
        <w:t>reduce</w:t>
      </w:r>
      <w:r w:rsidR="0046460C" w:rsidRPr="006B69E6">
        <w:rPr>
          <w:lang w:eastAsia="en-GB"/>
        </w:rPr>
        <w:t xml:space="preserve"> executive interference in the administration of justice was </w:t>
      </w:r>
      <w:r w:rsidR="0046460C">
        <w:rPr>
          <w:lang w:eastAsia="en-GB"/>
        </w:rPr>
        <w:t xml:space="preserve">not adopted by </w:t>
      </w:r>
      <w:r w:rsidR="0046460C" w:rsidRPr="006B69E6">
        <w:rPr>
          <w:lang w:eastAsia="en-GB"/>
        </w:rPr>
        <w:t>Parliament</w:t>
      </w:r>
      <w:r w:rsidR="0046460C">
        <w:rPr>
          <w:lang w:eastAsia="en-GB"/>
        </w:rPr>
        <w:t xml:space="preserve"> in 2014</w:t>
      </w:r>
      <w:r w:rsidR="0046460C" w:rsidRPr="006B69E6">
        <w:rPr>
          <w:lang w:eastAsia="en-GB"/>
        </w:rPr>
        <w:t xml:space="preserve">. </w:t>
      </w:r>
    </w:p>
    <w:p w:rsidR="0046460C" w:rsidRPr="004316D1" w:rsidRDefault="00C1139A" w:rsidP="00734A8A">
      <w:pPr>
        <w:pStyle w:val="H1G"/>
        <w:rPr>
          <w:lang w:eastAsia="en-GB"/>
        </w:rPr>
      </w:pPr>
      <w:r>
        <w:rPr>
          <w:lang w:eastAsia="en-GB"/>
        </w:rPr>
        <w:tab/>
        <w:t>C.</w:t>
      </w:r>
      <w:r>
        <w:rPr>
          <w:lang w:eastAsia="en-GB"/>
        </w:rPr>
        <w:tab/>
      </w:r>
      <w:r w:rsidR="0046460C" w:rsidRPr="004316D1">
        <w:rPr>
          <w:lang w:eastAsia="en-GB"/>
        </w:rPr>
        <w:t>Access to justice and legal empowerment</w:t>
      </w:r>
    </w:p>
    <w:p w:rsidR="0046460C" w:rsidRPr="00D3346F" w:rsidRDefault="00C71ACD" w:rsidP="00C71ACD">
      <w:pPr>
        <w:pStyle w:val="SingleTxtG"/>
        <w:rPr>
          <w:lang w:eastAsia="en-GB"/>
        </w:rPr>
      </w:pPr>
      <w:r w:rsidRPr="00D3346F">
        <w:rPr>
          <w:bCs/>
          <w:lang w:eastAsia="en-GB"/>
        </w:rPr>
        <w:t>86.</w:t>
      </w:r>
      <w:r w:rsidRPr="00D3346F">
        <w:rPr>
          <w:bCs/>
          <w:lang w:eastAsia="en-GB"/>
        </w:rPr>
        <w:tab/>
      </w:r>
      <w:r w:rsidR="0046460C">
        <w:rPr>
          <w:lang w:eastAsia="en-GB"/>
        </w:rPr>
        <w:t>In recent years, t</w:t>
      </w:r>
      <w:r w:rsidR="0046460C" w:rsidRPr="00D3346F">
        <w:rPr>
          <w:lang w:eastAsia="en-GB"/>
        </w:rPr>
        <w:t xml:space="preserve">he publication of </w:t>
      </w:r>
      <w:r w:rsidR="0046460C">
        <w:rPr>
          <w:lang w:eastAsia="en-GB"/>
        </w:rPr>
        <w:t>legislation</w:t>
      </w:r>
      <w:r w:rsidR="00735ADB">
        <w:rPr>
          <w:lang w:eastAsia="en-GB"/>
        </w:rPr>
        <w:t>,</w:t>
      </w:r>
      <w:r w:rsidR="0046460C" w:rsidRPr="00D3346F">
        <w:rPr>
          <w:lang w:eastAsia="en-GB"/>
        </w:rPr>
        <w:t xml:space="preserve"> bylaws </w:t>
      </w:r>
      <w:r w:rsidR="0046460C">
        <w:rPr>
          <w:lang w:eastAsia="en-GB"/>
        </w:rPr>
        <w:t>and</w:t>
      </w:r>
      <w:r w:rsidR="0046460C" w:rsidRPr="00D3346F">
        <w:rPr>
          <w:lang w:eastAsia="en-GB"/>
        </w:rPr>
        <w:t xml:space="preserve"> a guide on the use of judicial services,</w:t>
      </w:r>
      <w:r w:rsidR="0046460C">
        <w:rPr>
          <w:lang w:eastAsia="en-GB"/>
        </w:rPr>
        <w:t xml:space="preserve"> </w:t>
      </w:r>
      <w:r w:rsidR="002B0280">
        <w:rPr>
          <w:lang w:eastAsia="en-GB"/>
        </w:rPr>
        <w:t>in addition to</w:t>
      </w:r>
      <w:r w:rsidR="0046460C">
        <w:rPr>
          <w:lang w:eastAsia="en-GB"/>
        </w:rPr>
        <w:t xml:space="preserve"> </w:t>
      </w:r>
      <w:r w:rsidR="0046460C" w:rsidRPr="00D3346F">
        <w:rPr>
          <w:lang w:eastAsia="en-GB"/>
        </w:rPr>
        <w:t>the establishment of information desks in the different jurisdictions</w:t>
      </w:r>
      <w:r w:rsidR="008A417C">
        <w:rPr>
          <w:lang w:eastAsia="en-GB"/>
        </w:rPr>
        <w:t>,</w:t>
      </w:r>
      <w:r w:rsidR="0046460C" w:rsidRPr="00D3346F">
        <w:rPr>
          <w:lang w:eastAsia="en-GB"/>
        </w:rPr>
        <w:t xml:space="preserve"> have improved access to justice</w:t>
      </w:r>
      <w:r w:rsidR="00F971F4" w:rsidRPr="00F971F4">
        <w:rPr>
          <w:lang w:eastAsia="en-GB"/>
        </w:rPr>
        <w:t xml:space="preserve"> </w:t>
      </w:r>
      <w:r w:rsidR="00F971F4">
        <w:rPr>
          <w:lang w:eastAsia="en-GB"/>
        </w:rPr>
        <w:t>to some extent</w:t>
      </w:r>
      <w:r w:rsidR="0046460C">
        <w:rPr>
          <w:lang w:eastAsia="en-GB"/>
        </w:rPr>
        <w:t xml:space="preserve">. </w:t>
      </w:r>
      <w:r w:rsidR="00735ADB">
        <w:rPr>
          <w:lang w:eastAsia="en-GB"/>
        </w:rPr>
        <w:t>However, t</w:t>
      </w:r>
      <w:r w:rsidR="0046460C">
        <w:rPr>
          <w:lang w:eastAsia="en-GB"/>
        </w:rPr>
        <w:t>he lack of systematic translation of legal texts into Kirundi hamper</w:t>
      </w:r>
      <w:r w:rsidR="00F971F4">
        <w:rPr>
          <w:lang w:eastAsia="en-GB"/>
        </w:rPr>
        <w:t>s</w:t>
      </w:r>
      <w:r w:rsidR="0046460C">
        <w:rPr>
          <w:lang w:eastAsia="en-GB"/>
        </w:rPr>
        <w:t xml:space="preserve"> </w:t>
      </w:r>
      <w:r w:rsidR="0046460C" w:rsidRPr="00D3346F">
        <w:rPr>
          <w:lang w:eastAsia="en-GB"/>
        </w:rPr>
        <w:t xml:space="preserve">the </w:t>
      </w:r>
      <w:r w:rsidR="0046460C">
        <w:rPr>
          <w:lang w:eastAsia="en-GB"/>
        </w:rPr>
        <w:t>rights claims of approximately</w:t>
      </w:r>
      <w:r w:rsidR="0046460C" w:rsidRPr="00D3346F">
        <w:rPr>
          <w:lang w:eastAsia="en-GB"/>
        </w:rPr>
        <w:t xml:space="preserve"> 90 per</w:t>
      </w:r>
      <w:r w:rsidR="00735ADB">
        <w:rPr>
          <w:lang w:eastAsia="en-GB"/>
        </w:rPr>
        <w:t xml:space="preserve"> </w:t>
      </w:r>
      <w:r w:rsidR="0046460C" w:rsidRPr="00D3346F">
        <w:rPr>
          <w:lang w:eastAsia="en-GB"/>
        </w:rPr>
        <w:t xml:space="preserve">cent </w:t>
      </w:r>
      <w:r w:rsidR="00735ADB">
        <w:rPr>
          <w:lang w:eastAsia="en-GB"/>
        </w:rPr>
        <w:t xml:space="preserve">of the population, who do not speak </w:t>
      </w:r>
      <w:r w:rsidR="0046460C" w:rsidRPr="00D3346F">
        <w:rPr>
          <w:lang w:eastAsia="en-GB"/>
        </w:rPr>
        <w:t>French</w:t>
      </w:r>
      <w:r w:rsidR="0046460C">
        <w:rPr>
          <w:lang w:eastAsia="en-GB"/>
        </w:rPr>
        <w:t xml:space="preserve">. </w:t>
      </w:r>
    </w:p>
    <w:p w:rsidR="0046460C" w:rsidRPr="00D3346F" w:rsidRDefault="00C71ACD" w:rsidP="00C71ACD">
      <w:pPr>
        <w:pStyle w:val="SingleTxtG"/>
        <w:rPr>
          <w:lang w:eastAsia="en-GB"/>
        </w:rPr>
      </w:pPr>
      <w:r w:rsidRPr="00D3346F">
        <w:rPr>
          <w:bCs/>
          <w:lang w:eastAsia="en-GB"/>
        </w:rPr>
        <w:t>87.</w:t>
      </w:r>
      <w:r w:rsidRPr="00D3346F">
        <w:rPr>
          <w:bCs/>
          <w:lang w:eastAsia="en-GB"/>
        </w:rPr>
        <w:tab/>
      </w:r>
      <w:r w:rsidR="0046460C">
        <w:rPr>
          <w:lang w:eastAsia="en-GB"/>
        </w:rPr>
        <w:t>A</w:t>
      </w:r>
      <w:r w:rsidR="0046460C" w:rsidRPr="00D3346F">
        <w:rPr>
          <w:lang w:eastAsia="en-GB"/>
        </w:rPr>
        <w:t xml:space="preserve">ccess to justice remains a </w:t>
      </w:r>
      <w:r w:rsidR="00A777AD" w:rsidRPr="00D3346F">
        <w:rPr>
          <w:lang w:eastAsia="en-GB"/>
        </w:rPr>
        <w:t>c</w:t>
      </w:r>
      <w:r w:rsidR="00A777AD">
        <w:rPr>
          <w:lang w:eastAsia="en-GB"/>
        </w:rPr>
        <w:t>o</w:t>
      </w:r>
      <w:r w:rsidR="00A777AD" w:rsidRPr="00D3346F">
        <w:rPr>
          <w:lang w:eastAsia="en-GB"/>
        </w:rPr>
        <w:t>ncern</w:t>
      </w:r>
      <w:r w:rsidR="0046460C" w:rsidRPr="00D3346F">
        <w:rPr>
          <w:lang w:eastAsia="en-GB"/>
        </w:rPr>
        <w:t xml:space="preserve"> given the cost implications and the</w:t>
      </w:r>
      <w:r w:rsidR="0046460C">
        <w:rPr>
          <w:lang w:eastAsia="en-GB"/>
        </w:rPr>
        <w:t xml:space="preserve"> </w:t>
      </w:r>
      <w:r w:rsidR="0046460C" w:rsidRPr="00D3346F">
        <w:rPr>
          <w:lang w:eastAsia="en-GB"/>
        </w:rPr>
        <w:t xml:space="preserve">high poverty rate. While the authorities have </w:t>
      </w:r>
      <w:r w:rsidR="00F46A11">
        <w:rPr>
          <w:lang w:eastAsia="en-GB"/>
        </w:rPr>
        <w:t xml:space="preserve">reportedly </w:t>
      </w:r>
      <w:r w:rsidR="008A417C">
        <w:rPr>
          <w:lang w:eastAsia="en-GB"/>
        </w:rPr>
        <w:t>developed</w:t>
      </w:r>
      <w:r w:rsidR="0046460C" w:rsidRPr="00D3346F">
        <w:rPr>
          <w:lang w:eastAsia="en-GB"/>
        </w:rPr>
        <w:t xml:space="preserve"> a </w:t>
      </w:r>
      <w:r w:rsidR="00F971F4">
        <w:rPr>
          <w:lang w:eastAsia="en-GB"/>
        </w:rPr>
        <w:t xml:space="preserve">legal aid </w:t>
      </w:r>
      <w:r w:rsidR="0046460C" w:rsidRPr="00D3346F">
        <w:rPr>
          <w:lang w:eastAsia="en-GB"/>
        </w:rPr>
        <w:t xml:space="preserve">strategy and </w:t>
      </w:r>
      <w:r w:rsidR="00F46A11">
        <w:rPr>
          <w:lang w:eastAsia="en-GB"/>
        </w:rPr>
        <w:t xml:space="preserve">designated </w:t>
      </w:r>
      <w:r w:rsidR="0046460C" w:rsidRPr="00D3346F">
        <w:rPr>
          <w:lang w:eastAsia="en-GB"/>
        </w:rPr>
        <w:t>a separate line in the 2015 budget, no legal framework to administer a corresponding fund ha</w:t>
      </w:r>
      <w:r w:rsidR="00F971F4">
        <w:rPr>
          <w:lang w:eastAsia="en-GB"/>
        </w:rPr>
        <w:t>s</w:t>
      </w:r>
      <w:r w:rsidR="0046460C" w:rsidRPr="00D3346F">
        <w:rPr>
          <w:lang w:eastAsia="en-GB"/>
        </w:rPr>
        <w:t xml:space="preserve"> been created. </w:t>
      </w:r>
      <w:r w:rsidR="0046460C">
        <w:rPr>
          <w:lang w:eastAsia="en-GB"/>
        </w:rPr>
        <w:t xml:space="preserve">Provinces lack </w:t>
      </w:r>
      <w:r w:rsidR="0046460C" w:rsidRPr="00D3346F">
        <w:rPr>
          <w:lang w:eastAsia="en-GB"/>
        </w:rPr>
        <w:t xml:space="preserve">lawyers, which deprives </w:t>
      </w:r>
      <w:r w:rsidR="0046460C">
        <w:rPr>
          <w:lang w:eastAsia="en-GB"/>
        </w:rPr>
        <w:t>most</w:t>
      </w:r>
      <w:r w:rsidR="0046460C" w:rsidRPr="00D3346F">
        <w:rPr>
          <w:lang w:eastAsia="en-GB"/>
        </w:rPr>
        <w:t xml:space="preserve"> of the </w:t>
      </w:r>
      <w:r w:rsidR="00F971F4">
        <w:rPr>
          <w:lang w:eastAsia="en-GB"/>
        </w:rPr>
        <w:t xml:space="preserve">rural </w:t>
      </w:r>
      <w:r w:rsidR="0046460C" w:rsidRPr="00D3346F">
        <w:rPr>
          <w:lang w:eastAsia="en-GB"/>
        </w:rPr>
        <w:t>population of legal assistance.</w:t>
      </w:r>
    </w:p>
    <w:p w:rsidR="0046460C" w:rsidRPr="00D3346F" w:rsidRDefault="00C71ACD" w:rsidP="00C71ACD">
      <w:pPr>
        <w:pStyle w:val="SingleTxtG"/>
        <w:rPr>
          <w:lang w:eastAsia="en-GB"/>
        </w:rPr>
      </w:pPr>
      <w:r w:rsidRPr="00D3346F">
        <w:rPr>
          <w:bCs/>
          <w:lang w:eastAsia="en-GB"/>
        </w:rPr>
        <w:t>88.</w:t>
      </w:r>
      <w:r w:rsidRPr="00D3346F">
        <w:rPr>
          <w:bCs/>
          <w:lang w:eastAsia="en-GB"/>
        </w:rPr>
        <w:tab/>
      </w:r>
      <w:r w:rsidR="0046460C">
        <w:rPr>
          <w:lang w:eastAsia="en-GB"/>
        </w:rPr>
        <w:t xml:space="preserve">The </w:t>
      </w:r>
      <w:r w:rsidR="00381D64">
        <w:rPr>
          <w:lang w:eastAsia="en-GB"/>
        </w:rPr>
        <w:t>B</w:t>
      </w:r>
      <w:r w:rsidR="0046460C">
        <w:rPr>
          <w:lang w:eastAsia="en-GB"/>
        </w:rPr>
        <w:t>ar and non-governmental organizations have developed p</w:t>
      </w:r>
      <w:r w:rsidR="0046460C" w:rsidRPr="00D3346F">
        <w:rPr>
          <w:lang w:eastAsia="en-GB"/>
        </w:rPr>
        <w:t xml:space="preserve">ilot projects </w:t>
      </w:r>
      <w:r w:rsidR="00F46A11">
        <w:rPr>
          <w:lang w:eastAsia="en-GB"/>
        </w:rPr>
        <w:t>to provide</w:t>
      </w:r>
      <w:r w:rsidR="0046460C" w:rsidRPr="00D3346F">
        <w:rPr>
          <w:lang w:eastAsia="en-GB"/>
        </w:rPr>
        <w:t xml:space="preserve"> legal aid for the most vulnerable groups</w:t>
      </w:r>
      <w:r w:rsidR="0046460C">
        <w:rPr>
          <w:lang w:eastAsia="en-GB"/>
        </w:rPr>
        <w:t xml:space="preserve">. </w:t>
      </w:r>
      <w:r w:rsidR="0046460C" w:rsidRPr="00D3346F">
        <w:rPr>
          <w:lang w:eastAsia="en-GB"/>
        </w:rPr>
        <w:t>The Special Rapporteur welcomes th</w:t>
      </w:r>
      <w:r w:rsidR="00F46A11">
        <w:rPr>
          <w:lang w:eastAsia="en-GB"/>
        </w:rPr>
        <w:t>o</w:t>
      </w:r>
      <w:r w:rsidR="00F971F4">
        <w:rPr>
          <w:lang w:eastAsia="en-GB"/>
        </w:rPr>
        <w:t>se</w:t>
      </w:r>
      <w:r w:rsidR="0046460C" w:rsidRPr="00D3346F">
        <w:rPr>
          <w:lang w:eastAsia="en-GB"/>
        </w:rPr>
        <w:t xml:space="preserve"> efforts to enhance legal empowerment of the population</w:t>
      </w:r>
      <w:r w:rsidR="0046460C">
        <w:rPr>
          <w:lang w:eastAsia="en-GB"/>
        </w:rPr>
        <w:t xml:space="preserve"> and encourages their expansion. </w:t>
      </w:r>
    </w:p>
    <w:p w:rsidR="0046460C" w:rsidRPr="004316D1" w:rsidRDefault="00021714" w:rsidP="00734A8A">
      <w:pPr>
        <w:pStyle w:val="H1G"/>
        <w:rPr>
          <w:lang w:val="en-US" w:eastAsia="en-GB"/>
        </w:rPr>
      </w:pPr>
      <w:r>
        <w:rPr>
          <w:lang w:val="en-US" w:eastAsia="en-GB"/>
        </w:rPr>
        <w:tab/>
        <w:t>D.</w:t>
      </w:r>
      <w:r>
        <w:rPr>
          <w:lang w:val="en-US" w:eastAsia="en-GB"/>
        </w:rPr>
        <w:tab/>
      </w:r>
      <w:r w:rsidR="0046460C" w:rsidRPr="004316D1">
        <w:rPr>
          <w:lang w:val="en-US" w:eastAsia="en-GB"/>
        </w:rPr>
        <w:t>Education, memorialization and archives</w:t>
      </w:r>
    </w:p>
    <w:p w:rsidR="0046460C" w:rsidRPr="0046460C" w:rsidRDefault="00C71ACD" w:rsidP="00C71ACD">
      <w:pPr>
        <w:pStyle w:val="SingleTxtG"/>
        <w:rPr>
          <w:lang w:val="en-US" w:eastAsia="en-GB"/>
        </w:rPr>
      </w:pPr>
      <w:r w:rsidRPr="0046460C">
        <w:rPr>
          <w:bCs/>
          <w:lang w:val="en-US" w:eastAsia="en-GB"/>
        </w:rPr>
        <w:t>89.</w:t>
      </w:r>
      <w:r w:rsidRPr="0046460C">
        <w:rPr>
          <w:bCs/>
          <w:lang w:val="en-US" w:eastAsia="en-GB"/>
        </w:rPr>
        <w:tab/>
      </w:r>
      <w:r w:rsidR="0046460C" w:rsidRPr="0046460C">
        <w:rPr>
          <w:lang w:val="en-US" w:eastAsia="en-GB"/>
        </w:rPr>
        <w:t>The Special Rapporteur emphasize</w:t>
      </w:r>
      <w:r w:rsidR="00F46A11">
        <w:rPr>
          <w:lang w:val="en-US" w:eastAsia="en-GB"/>
        </w:rPr>
        <w:t>s</w:t>
      </w:r>
      <w:r w:rsidR="0046460C" w:rsidRPr="0046460C">
        <w:rPr>
          <w:lang w:val="en-US" w:eastAsia="en-GB"/>
        </w:rPr>
        <w:t xml:space="preserve"> the importance of initiatives in three areas that lie at the intersection of institutional, cultural and individual spheres, all contribut</w:t>
      </w:r>
      <w:r w:rsidR="00F971F4">
        <w:rPr>
          <w:lang w:val="en-US" w:eastAsia="en-GB"/>
        </w:rPr>
        <w:t>ing</w:t>
      </w:r>
      <w:r w:rsidR="0046460C" w:rsidRPr="0046460C">
        <w:rPr>
          <w:lang w:val="en-US" w:eastAsia="en-GB"/>
        </w:rPr>
        <w:t xml:space="preserve"> to </w:t>
      </w:r>
      <w:r w:rsidR="00F46A11">
        <w:rPr>
          <w:lang w:val="en-US" w:eastAsia="en-GB"/>
        </w:rPr>
        <w:t>the</w:t>
      </w:r>
      <w:r w:rsidR="0046460C" w:rsidRPr="0046460C">
        <w:rPr>
          <w:lang w:val="en-US" w:eastAsia="en-GB"/>
        </w:rPr>
        <w:t xml:space="preserve"> effort to prevent similar violations</w:t>
      </w:r>
      <w:r w:rsidR="008A417C">
        <w:rPr>
          <w:lang w:val="en-US" w:eastAsia="en-GB"/>
        </w:rPr>
        <w:t xml:space="preserve"> in the future</w:t>
      </w:r>
      <w:r w:rsidR="0046460C" w:rsidRPr="0046460C">
        <w:rPr>
          <w:lang w:val="en-US" w:eastAsia="en-GB"/>
        </w:rPr>
        <w:t xml:space="preserve">. </w:t>
      </w:r>
    </w:p>
    <w:p w:rsidR="0046460C" w:rsidRPr="0046460C" w:rsidRDefault="00021714" w:rsidP="00734A8A">
      <w:pPr>
        <w:pStyle w:val="H23G"/>
        <w:rPr>
          <w:lang w:val="en-US" w:eastAsia="en-GB"/>
        </w:rPr>
      </w:pPr>
      <w:r>
        <w:rPr>
          <w:lang w:val="en-US" w:eastAsia="en-GB"/>
        </w:rPr>
        <w:tab/>
        <w:t>1.</w:t>
      </w:r>
      <w:r>
        <w:rPr>
          <w:lang w:val="en-US" w:eastAsia="en-GB"/>
        </w:rPr>
        <w:tab/>
      </w:r>
      <w:r w:rsidR="0046460C" w:rsidRPr="0046460C">
        <w:rPr>
          <w:lang w:val="en-US" w:eastAsia="en-GB"/>
        </w:rPr>
        <w:t>Education</w:t>
      </w:r>
    </w:p>
    <w:p w:rsidR="0046460C" w:rsidRPr="0046460C" w:rsidRDefault="00C71ACD" w:rsidP="00C71ACD">
      <w:pPr>
        <w:pStyle w:val="SingleTxtG"/>
        <w:rPr>
          <w:lang w:val="en-US"/>
        </w:rPr>
      </w:pPr>
      <w:r w:rsidRPr="0046460C">
        <w:rPr>
          <w:bCs/>
          <w:lang w:val="en-US"/>
        </w:rPr>
        <w:t>90.</w:t>
      </w:r>
      <w:r w:rsidRPr="0046460C">
        <w:rPr>
          <w:bCs/>
          <w:lang w:val="en-US"/>
        </w:rPr>
        <w:tab/>
      </w:r>
      <w:r w:rsidR="0046460C" w:rsidRPr="0046460C">
        <w:rPr>
          <w:lang w:val="en-US" w:eastAsia="en-GB"/>
        </w:rPr>
        <w:t>The Arusha Agreement refer</w:t>
      </w:r>
      <w:r w:rsidR="00F971F4">
        <w:rPr>
          <w:lang w:val="en-US" w:eastAsia="en-GB"/>
        </w:rPr>
        <w:t>r</w:t>
      </w:r>
      <w:r w:rsidR="0046460C" w:rsidRPr="0046460C">
        <w:rPr>
          <w:lang w:val="en-US" w:eastAsia="en-GB"/>
        </w:rPr>
        <w:t>e</w:t>
      </w:r>
      <w:r w:rsidR="00F971F4">
        <w:rPr>
          <w:lang w:val="en-US" w:eastAsia="en-GB"/>
        </w:rPr>
        <w:t>d</w:t>
      </w:r>
      <w:r w:rsidR="0046460C" w:rsidRPr="0046460C">
        <w:rPr>
          <w:lang w:val="en-US" w:eastAsia="en-GB"/>
        </w:rPr>
        <w:t xml:space="preserve"> to the diverging interpretations of the past as one of the root causes of the conflict.</w:t>
      </w:r>
      <w:r w:rsidR="0046460C" w:rsidRPr="00C077B3">
        <w:rPr>
          <w:rStyle w:val="FootnoteReference"/>
        </w:rPr>
        <w:footnoteReference w:id="50"/>
      </w:r>
      <w:r w:rsidR="0046460C" w:rsidRPr="0046460C">
        <w:rPr>
          <w:lang w:val="en-US" w:eastAsia="en-GB"/>
        </w:rPr>
        <w:t xml:space="preserve"> Despite some initial efforts,</w:t>
      </w:r>
      <w:r w:rsidR="0046460C" w:rsidRPr="00C077B3">
        <w:rPr>
          <w:rStyle w:val="FootnoteReference"/>
        </w:rPr>
        <w:footnoteReference w:id="51"/>
      </w:r>
      <w:r w:rsidR="0046460C" w:rsidRPr="0046460C">
        <w:rPr>
          <w:lang w:val="en-US" w:eastAsia="en-GB"/>
        </w:rPr>
        <w:t xml:space="preserve"> a shared </w:t>
      </w:r>
      <w:r w:rsidR="008A417C">
        <w:rPr>
          <w:lang w:val="en-US" w:eastAsia="en-GB"/>
        </w:rPr>
        <w:t xml:space="preserve">post-independence </w:t>
      </w:r>
      <w:r w:rsidR="0046460C" w:rsidRPr="0046460C">
        <w:rPr>
          <w:lang w:val="en-US" w:eastAsia="en-GB"/>
        </w:rPr>
        <w:t xml:space="preserve">historical narrative is missing. Formal teaching </w:t>
      </w:r>
      <w:r w:rsidR="0079747C">
        <w:rPr>
          <w:lang w:val="en-US" w:eastAsia="en-GB"/>
        </w:rPr>
        <w:t>of</w:t>
      </w:r>
      <w:r w:rsidR="00C94201">
        <w:rPr>
          <w:lang w:val="en-US" w:eastAsia="en-GB"/>
        </w:rPr>
        <w:t xml:space="preserve"> the</w:t>
      </w:r>
      <w:r w:rsidR="0046460C" w:rsidRPr="0046460C">
        <w:rPr>
          <w:lang w:val="en-US" w:eastAsia="en-GB"/>
        </w:rPr>
        <w:t xml:space="preserve"> recent history</w:t>
      </w:r>
      <w:r w:rsidR="00C94201">
        <w:rPr>
          <w:lang w:val="en-US" w:eastAsia="en-GB"/>
        </w:rPr>
        <w:t xml:space="preserve"> of Burundi</w:t>
      </w:r>
      <w:r w:rsidR="0046460C" w:rsidRPr="0046460C">
        <w:rPr>
          <w:lang w:val="en-US" w:eastAsia="en-GB"/>
        </w:rPr>
        <w:t xml:space="preserve"> </w:t>
      </w:r>
      <w:r w:rsidR="00DC69E4">
        <w:rPr>
          <w:lang w:val="en-US" w:eastAsia="en-GB"/>
        </w:rPr>
        <w:t xml:space="preserve">is </w:t>
      </w:r>
      <w:r w:rsidR="0046460C" w:rsidRPr="0046460C">
        <w:rPr>
          <w:lang w:val="en-US" w:eastAsia="en-GB"/>
        </w:rPr>
        <w:t>currently limited to a timeline that lists key events</w:t>
      </w:r>
      <w:r w:rsidR="00F46A11">
        <w:rPr>
          <w:lang w:val="en-US" w:eastAsia="en-GB"/>
        </w:rPr>
        <w:t>,</w:t>
      </w:r>
      <w:r w:rsidR="0046460C" w:rsidRPr="0046460C">
        <w:rPr>
          <w:lang w:val="en-US" w:eastAsia="en-GB"/>
        </w:rPr>
        <w:t xml:space="preserve"> but provides neither context nor analysis</w:t>
      </w:r>
      <w:r w:rsidR="0046460C" w:rsidRPr="0098195C">
        <w:rPr>
          <w:lang w:val="en-US" w:eastAsia="en-GB"/>
        </w:rPr>
        <w:t>.</w:t>
      </w:r>
      <w:r w:rsidR="0046460C" w:rsidRPr="0098195C">
        <w:rPr>
          <w:rStyle w:val="FootnoteReference"/>
        </w:rPr>
        <w:footnoteReference w:id="52"/>
      </w:r>
      <w:r w:rsidR="0046460C" w:rsidRPr="0046460C">
        <w:rPr>
          <w:lang w:val="en-US" w:eastAsia="en-GB"/>
        </w:rPr>
        <w:t xml:space="preserve"> Consequently, at the family and community level</w:t>
      </w:r>
      <w:r w:rsidR="00F971F4">
        <w:rPr>
          <w:lang w:val="en-US" w:eastAsia="en-GB"/>
        </w:rPr>
        <w:t>s</w:t>
      </w:r>
      <w:r w:rsidR="0046460C" w:rsidRPr="0046460C">
        <w:rPr>
          <w:lang w:val="en-US" w:eastAsia="en-GB"/>
        </w:rPr>
        <w:t>, informal narratives, which replicate old divisions of identity and reproduce fear and injustice, are transmitted</w:t>
      </w:r>
      <w:r w:rsidR="0046460C" w:rsidRPr="001E1638">
        <w:rPr>
          <w:rStyle w:val="FootnoteReference"/>
        </w:rPr>
        <w:footnoteReference w:id="53"/>
      </w:r>
      <w:r w:rsidR="0046460C" w:rsidRPr="0046460C">
        <w:rPr>
          <w:lang w:val="en-US" w:eastAsia="en-GB"/>
        </w:rPr>
        <w:t xml:space="preserve"> </w:t>
      </w:r>
      <w:r w:rsidR="00F46A11">
        <w:rPr>
          <w:lang w:val="en-US" w:eastAsia="en-GB"/>
        </w:rPr>
        <w:t>and</w:t>
      </w:r>
      <w:r w:rsidR="0046460C" w:rsidRPr="0046460C">
        <w:rPr>
          <w:lang w:val="en-US" w:eastAsia="en-GB"/>
        </w:rPr>
        <w:t xml:space="preserve"> further </w:t>
      </w:r>
      <w:r w:rsidR="0046460C" w:rsidRPr="0046460C">
        <w:rPr>
          <w:lang w:val="en-US"/>
        </w:rPr>
        <w:t>aggravated by a lack of institutional memorialization</w:t>
      </w:r>
      <w:r w:rsidR="00F46A11">
        <w:rPr>
          <w:lang w:val="en-US"/>
        </w:rPr>
        <w:t xml:space="preserve"> </w:t>
      </w:r>
      <w:proofErr w:type="gramStart"/>
      <w:r w:rsidR="00F46A11">
        <w:rPr>
          <w:lang w:val="en-US"/>
        </w:rPr>
        <w:t>processes</w:t>
      </w:r>
      <w:r w:rsidR="0046460C" w:rsidRPr="0046460C">
        <w:rPr>
          <w:lang w:val="en-US"/>
        </w:rPr>
        <w:t>.</w:t>
      </w:r>
      <w:proofErr w:type="gramEnd"/>
      <w:r w:rsidR="0046460C" w:rsidRPr="0046460C">
        <w:rPr>
          <w:lang w:val="en-US"/>
        </w:rPr>
        <w:t xml:space="preserve"> </w:t>
      </w:r>
    </w:p>
    <w:p w:rsidR="0046460C" w:rsidRPr="0046460C" w:rsidRDefault="00C71ACD" w:rsidP="00C71ACD">
      <w:pPr>
        <w:pStyle w:val="SingleTxtG"/>
        <w:rPr>
          <w:lang w:val="en-US" w:eastAsia="en-GB"/>
        </w:rPr>
      </w:pPr>
      <w:r w:rsidRPr="0046460C">
        <w:rPr>
          <w:bCs/>
          <w:lang w:val="en-US" w:eastAsia="en-GB"/>
        </w:rPr>
        <w:t>91.</w:t>
      </w:r>
      <w:r w:rsidRPr="0046460C">
        <w:rPr>
          <w:bCs/>
          <w:lang w:val="en-US" w:eastAsia="en-GB"/>
        </w:rPr>
        <w:tab/>
      </w:r>
      <w:r w:rsidR="00F46A11">
        <w:rPr>
          <w:lang w:val="en-US"/>
        </w:rPr>
        <w:t>L</w:t>
      </w:r>
      <w:r w:rsidR="0046460C" w:rsidRPr="0046460C">
        <w:rPr>
          <w:lang w:val="en-US"/>
        </w:rPr>
        <w:t>aw</w:t>
      </w:r>
      <w:r w:rsidR="00F46A11">
        <w:rPr>
          <w:lang w:val="en-US"/>
        </w:rPr>
        <w:t xml:space="preserve"> </w:t>
      </w:r>
      <w:r w:rsidR="009F0CD1">
        <w:rPr>
          <w:lang w:val="en-US"/>
        </w:rPr>
        <w:t xml:space="preserve">No. </w:t>
      </w:r>
      <w:r w:rsidR="00F46A11">
        <w:rPr>
          <w:lang w:val="en-US"/>
        </w:rPr>
        <w:t>1/18</w:t>
      </w:r>
      <w:r w:rsidR="0046460C" w:rsidRPr="0046460C">
        <w:rPr>
          <w:lang w:val="en-US"/>
        </w:rPr>
        <w:t xml:space="preserve"> </w:t>
      </w:r>
      <w:r w:rsidR="00F46A11">
        <w:rPr>
          <w:lang w:val="en-US"/>
        </w:rPr>
        <w:t xml:space="preserve">provides </w:t>
      </w:r>
      <w:r w:rsidR="0046460C" w:rsidRPr="0046460C">
        <w:rPr>
          <w:lang w:val="en-US"/>
        </w:rPr>
        <w:t xml:space="preserve">for the Truth and Reconciliation Commission </w:t>
      </w:r>
      <w:r w:rsidR="009452B3">
        <w:rPr>
          <w:lang w:val="en-US"/>
        </w:rPr>
        <w:t xml:space="preserve">to play a key role </w:t>
      </w:r>
      <w:r w:rsidR="0046460C" w:rsidRPr="0046460C">
        <w:rPr>
          <w:lang w:val="en-US"/>
        </w:rPr>
        <w:t xml:space="preserve">in proposing measures and contributing to the rewriting of Burundian history in order to arrive at a commonly shared historical narrative. Welcoming this, </w:t>
      </w:r>
      <w:r w:rsidR="0046460C" w:rsidRPr="0046460C">
        <w:rPr>
          <w:lang w:val="en-US" w:eastAsia="en-GB"/>
        </w:rPr>
        <w:t xml:space="preserve">the Special Rapporteur emphasizes that truth commissions on their own are not the most suitable instruments for a </w:t>
      </w:r>
      <w:r w:rsidR="006851CB">
        <w:rPr>
          <w:lang w:val="en-US" w:eastAsia="en-GB"/>
        </w:rPr>
        <w:t>“</w:t>
      </w:r>
      <w:r w:rsidR="0046460C" w:rsidRPr="0046460C">
        <w:rPr>
          <w:lang w:val="en-US" w:eastAsia="en-GB"/>
        </w:rPr>
        <w:t>final</w:t>
      </w:r>
      <w:r w:rsidR="006851CB">
        <w:rPr>
          <w:lang w:val="en-US" w:eastAsia="en-GB"/>
        </w:rPr>
        <w:t>”</w:t>
      </w:r>
      <w:r w:rsidR="0046460C" w:rsidRPr="0046460C">
        <w:rPr>
          <w:lang w:val="en-US" w:eastAsia="en-GB"/>
        </w:rPr>
        <w:t xml:space="preserve"> rewriting of history. However, through independent and impartial investigations and meticulous attachment to respectable methodology, they can establish a factual basis for shared histories. Truth commissions can</w:t>
      </w:r>
      <w:r w:rsidR="009452B3">
        <w:rPr>
          <w:lang w:val="en-US" w:eastAsia="en-GB"/>
        </w:rPr>
        <w:t xml:space="preserve"> also</w:t>
      </w:r>
      <w:r w:rsidR="0046460C" w:rsidRPr="0046460C">
        <w:rPr>
          <w:lang w:val="en-US" w:eastAsia="en-GB"/>
        </w:rPr>
        <w:t xml:space="preserve"> catalyze important curricular reforms and lay the foundation for teaching materials and appropriate pedagogical methods. In th</w:t>
      </w:r>
      <w:r w:rsidR="009452B3">
        <w:rPr>
          <w:lang w:val="en-US" w:eastAsia="en-GB"/>
        </w:rPr>
        <w:t>at</w:t>
      </w:r>
      <w:r w:rsidR="0046460C" w:rsidRPr="0046460C">
        <w:rPr>
          <w:lang w:val="en-US" w:eastAsia="en-GB"/>
        </w:rPr>
        <w:t xml:space="preserve"> connection, the Special Rapporteur welcomes </w:t>
      </w:r>
      <w:r w:rsidR="009452B3">
        <w:rPr>
          <w:lang w:val="en-US" w:eastAsia="en-GB"/>
        </w:rPr>
        <w:t xml:space="preserve">the fact </w:t>
      </w:r>
      <w:r w:rsidR="0046460C" w:rsidRPr="0046460C">
        <w:rPr>
          <w:lang w:val="en-US" w:eastAsia="en-GB"/>
        </w:rPr>
        <w:t xml:space="preserve">that the Commission </w:t>
      </w:r>
      <w:r w:rsidR="008A417C">
        <w:rPr>
          <w:lang w:val="en-US" w:eastAsia="en-GB"/>
        </w:rPr>
        <w:t>has been</w:t>
      </w:r>
      <w:r w:rsidR="0046460C" w:rsidRPr="0046460C">
        <w:rPr>
          <w:lang w:val="en-US" w:eastAsia="en-GB"/>
        </w:rPr>
        <w:t xml:space="preserve"> tasked with providing a simplified and pedagogical version of its report for the general public and schools. </w:t>
      </w:r>
    </w:p>
    <w:p w:rsidR="0046460C" w:rsidRPr="004316D1" w:rsidRDefault="00021714" w:rsidP="00734A8A">
      <w:pPr>
        <w:pStyle w:val="H23G"/>
        <w:rPr>
          <w:lang w:val="en-US" w:eastAsia="en-GB"/>
        </w:rPr>
      </w:pPr>
      <w:r>
        <w:rPr>
          <w:lang w:val="en-US" w:eastAsia="en-GB"/>
        </w:rPr>
        <w:tab/>
        <w:t>2.</w:t>
      </w:r>
      <w:r>
        <w:rPr>
          <w:lang w:val="en-US" w:eastAsia="en-GB"/>
        </w:rPr>
        <w:tab/>
      </w:r>
      <w:r w:rsidR="0046460C" w:rsidRPr="004316D1">
        <w:rPr>
          <w:lang w:val="en-US" w:eastAsia="en-GB"/>
        </w:rPr>
        <w:t xml:space="preserve">Memorialization </w:t>
      </w:r>
    </w:p>
    <w:p w:rsidR="0046460C" w:rsidRPr="00DB2532" w:rsidRDefault="00C71ACD" w:rsidP="00C71ACD">
      <w:pPr>
        <w:pStyle w:val="SingleTxtG"/>
        <w:rPr>
          <w:lang w:val="en-US" w:eastAsia="en-GB"/>
        </w:rPr>
      </w:pPr>
      <w:r w:rsidRPr="00DB2532">
        <w:rPr>
          <w:bCs/>
          <w:lang w:val="en-US" w:eastAsia="en-GB"/>
        </w:rPr>
        <w:t>92.</w:t>
      </w:r>
      <w:r w:rsidRPr="00DB2532">
        <w:rPr>
          <w:bCs/>
          <w:lang w:val="en-US" w:eastAsia="en-GB"/>
        </w:rPr>
        <w:tab/>
      </w:r>
      <w:r w:rsidR="0046460C" w:rsidRPr="00DB2532">
        <w:rPr>
          <w:lang w:val="en-US" w:eastAsia="en-GB"/>
        </w:rPr>
        <w:t xml:space="preserve">The limited number of official memorials </w:t>
      </w:r>
      <w:r w:rsidR="0046460C">
        <w:rPr>
          <w:lang w:val="en-US" w:eastAsia="en-GB"/>
        </w:rPr>
        <w:t>and rememb</w:t>
      </w:r>
      <w:r w:rsidR="0046460C" w:rsidRPr="00DB2532">
        <w:rPr>
          <w:lang w:val="en-US" w:eastAsia="en-GB"/>
        </w:rPr>
        <w:t>rance processes stands in sharp contrast to the very large number of violent acts in Burundi</w:t>
      </w:r>
      <w:r w:rsidR="0046460C">
        <w:rPr>
          <w:lang w:val="en-US" w:eastAsia="en-GB"/>
        </w:rPr>
        <w:t>’</w:t>
      </w:r>
      <w:r w:rsidR="0046460C" w:rsidRPr="00DB2532">
        <w:rPr>
          <w:lang w:val="en-US" w:eastAsia="en-GB"/>
        </w:rPr>
        <w:t xml:space="preserve">s recent history. </w:t>
      </w:r>
      <w:r w:rsidR="0046460C">
        <w:rPr>
          <w:lang w:val="en-US" w:eastAsia="en-GB"/>
        </w:rPr>
        <w:t>N</w:t>
      </w:r>
      <w:r w:rsidR="0046460C" w:rsidRPr="00DB2532">
        <w:rPr>
          <w:lang w:val="en-US" w:eastAsia="en-GB"/>
        </w:rPr>
        <w:t>o official policy on memorialization</w:t>
      </w:r>
      <w:r w:rsidR="0046460C">
        <w:rPr>
          <w:lang w:val="en-US" w:eastAsia="en-GB"/>
        </w:rPr>
        <w:t xml:space="preserve"> exists; therefore, m</w:t>
      </w:r>
      <w:r w:rsidR="0046460C" w:rsidRPr="00DB2532">
        <w:rPr>
          <w:lang w:val="en-US" w:eastAsia="en-GB"/>
        </w:rPr>
        <w:t>ost initiatives are citizen-led</w:t>
      </w:r>
      <w:r w:rsidR="0046460C">
        <w:t>. A framework for memorialization would</w:t>
      </w:r>
      <w:r w:rsidR="009452B3">
        <w:t>,</w:t>
      </w:r>
      <w:r w:rsidR="0046460C">
        <w:t xml:space="preserve"> importantly</w:t>
      </w:r>
      <w:r w:rsidR="009452B3">
        <w:t>,</w:t>
      </w:r>
      <w:r w:rsidR="0046460C">
        <w:t xml:space="preserve"> signal the Government’s support for th</w:t>
      </w:r>
      <w:r w:rsidR="009452B3">
        <w:t>o</w:t>
      </w:r>
      <w:r w:rsidR="0046460C">
        <w:t xml:space="preserve">se initiatives. </w:t>
      </w:r>
      <w:r w:rsidR="009452B3">
        <w:t xml:space="preserve">The Special Rapporteur </w:t>
      </w:r>
      <w:r w:rsidR="0046460C">
        <w:t>visit</w:t>
      </w:r>
      <w:r w:rsidR="009452B3">
        <w:t>ed</w:t>
      </w:r>
      <w:r w:rsidR="0046460C">
        <w:t xml:space="preserve"> a few memorial</w:t>
      </w:r>
      <w:r w:rsidR="0046460C" w:rsidRPr="00DB2532">
        <w:t xml:space="preserve"> sites</w:t>
      </w:r>
      <w:r w:rsidR="0046460C">
        <w:t xml:space="preserve">, </w:t>
      </w:r>
      <w:r w:rsidR="009452B3">
        <w:t>including</w:t>
      </w:r>
      <w:r w:rsidR="0046460C">
        <w:t xml:space="preserve"> </w:t>
      </w:r>
      <w:r w:rsidR="0046460C" w:rsidRPr="00DB2532">
        <w:t xml:space="preserve">in </w:t>
      </w:r>
      <w:r w:rsidR="0046460C">
        <w:rPr>
          <w:lang w:eastAsia="en-GB"/>
        </w:rPr>
        <w:t>Kibimba</w:t>
      </w:r>
      <w:r w:rsidR="0046460C" w:rsidRPr="00DB2532">
        <w:rPr>
          <w:lang w:eastAsia="en-GB"/>
        </w:rPr>
        <w:t xml:space="preserve"> and Gatumba</w:t>
      </w:r>
      <w:r w:rsidR="0046460C">
        <w:rPr>
          <w:lang w:eastAsia="en-GB"/>
        </w:rPr>
        <w:t xml:space="preserve">, </w:t>
      </w:r>
      <w:r w:rsidR="009452B3">
        <w:rPr>
          <w:lang w:eastAsia="en-GB"/>
        </w:rPr>
        <w:t>and</w:t>
      </w:r>
      <w:r w:rsidR="0046460C">
        <w:rPr>
          <w:lang w:eastAsia="en-GB"/>
        </w:rPr>
        <w:t xml:space="preserve"> </w:t>
      </w:r>
      <w:r w:rsidR="009452B3">
        <w:rPr>
          <w:lang w:eastAsia="en-GB"/>
        </w:rPr>
        <w:t>noted</w:t>
      </w:r>
      <w:r w:rsidR="0046460C">
        <w:rPr>
          <w:lang w:eastAsia="en-GB"/>
        </w:rPr>
        <w:t xml:space="preserve"> the importance </w:t>
      </w:r>
      <w:r w:rsidR="009452B3">
        <w:rPr>
          <w:lang w:eastAsia="en-GB"/>
        </w:rPr>
        <w:t xml:space="preserve">that </w:t>
      </w:r>
      <w:r w:rsidR="0046460C">
        <w:rPr>
          <w:lang w:eastAsia="en-GB"/>
        </w:rPr>
        <w:t>the population, particularly victims, attach</w:t>
      </w:r>
      <w:r w:rsidR="009452B3">
        <w:rPr>
          <w:lang w:eastAsia="en-GB"/>
        </w:rPr>
        <w:t>ed</w:t>
      </w:r>
      <w:r w:rsidR="0046460C">
        <w:rPr>
          <w:lang w:eastAsia="en-GB"/>
        </w:rPr>
        <w:t xml:space="preserve"> to them</w:t>
      </w:r>
      <w:r w:rsidR="0046460C" w:rsidRPr="00DB2532">
        <w:rPr>
          <w:lang w:eastAsia="en-GB"/>
        </w:rPr>
        <w:t xml:space="preserve">. </w:t>
      </w:r>
      <w:r w:rsidR="0046460C">
        <w:rPr>
          <w:lang w:eastAsia="en-GB"/>
        </w:rPr>
        <w:t>In th</w:t>
      </w:r>
      <w:r w:rsidR="009452B3">
        <w:rPr>
          <w:lang w:eastAsia="en-GB"/>
        </w:rPr>
        <w:t>at</w:t>
      </w:r>
      <w:r w:rsidR="0046460C">
        <w:rPr>
          <w:lang w:eastAsia="en-GB"/>
        </w:rPr>
        <w:t xml:space="preserve"> connection, he expresses concern </w:t>
      </w:r>
      <w:r w:rsidR="00F971F4">
        <w:rPr>
          <w:lang w:eastAsia="en-GB"/>
        </w:rPr>
        <w:t xml:space="preserve">at </w:t>
      </w:r>
      <w:r w:rsidR="0046460C">
        <w:rPr>
          <w:lang w:eastAsia="en-GB"/>
        </w:rPr>
        <w:t xml:space="preserve">the Government’s reported interference in </w:t>
      </w:r>
      <w:r w:rsidR="0046460C" w:rsidRPr="00B26FCB">
        <w:rPr>
          <w:lang w:val="en-US" w:eastAsia="en-GB"/>
        </w:rPr>
        <w:t>memorialization initiatives</w:t>
      </w:r>
      <w:r w:rsidR="0046460C">
        <w:rPr>
          <w:lang w:val="en-US" w:eastAsia="en-GB"/>
        </w:rPr>
        <w:t xml:space="preserve">. </w:t>
      </w:r>
    </w:p>
    <w:p w:rsidR="0046460C" w:rsidRDefault="00C71ACD" w:rsidP="00C71ACD">
      <w:pPr>
        <w:pStyle w:val="SingleTxtG"/>
        <w:rPr>
          <w:lang w:val="en-US" w:eastAsia="en-GB"/>
        </w:rPr>
      </w:pPr>
      <w:r>
        <w:rPr>
          <w:bCs/>
          <w:lang w:val="en-US" w:eastAsia="en-GB"/>
        </w:rPr>
        <w:t>93.</w:t>
      </w:r>
      <w:r>
        <w:rPr>
          <w:bCs/>
          <w:lang w:val="en-US" w:eastAsia="en-GB"/>
        </w:rPr>
        <w:tab/>
      </w:r>
      <w:r w:rsidR="0046460C">
        <w:rPr>
          <w:lang w:val="en-US" w:eastAsia="en-GB"/>
        </w:rPr>
        <w:t xml:space="preserve">The Arusha Agreement and the 2009 </w:t>
      </w:r>
      <w:r w:rsidR="009452B3">
        <w:rPr>
          <w:lang w:val="en-US" w:eastAsia="en-GB"/>
        </w:rPr>
        <w:t>n</w:t>
      </w:r>
      <w:r w:rsidR="0046460C">
        <w:rPr>
          <w:lang w:val="en-US" w:eastAsia="en-GB"/>
        </w:rPr>
        <w:t xml:space="preserve">ational </w:t>
      </w:r>
      <w:r w:rsidR="009452B3">
        <w:rPr>
          <w:lang w:val="en-US" w:eastAsia="en-GB"/>
        </w:rPr>
        <w:t>c</w:t>
      </w:r>
      <w:r w:rsidR="0046460C">
        <w:rPr>
          <w:lang w:val="en-US" w:eastAsia="en-GB"/>
        </w:rPr>
        <w:t>onsultations highlighted the importance of memorialization.</w:t>
      </w:r>
      <w:r w:rsidR="0046460C" w:rsidRPr="001E1638">
        <w:rPr>
          <w:rStyle w:val="FootnoteReference"/>
        </w:rPr>
        <w:footnoteReference w:id="54"/>
      </w:r>
      <w:r w:rsidR="0046460C">
        <w:rPr>
          <w:lang w:val="en-US" w:eastAsia="en-GB"/>
        </w:rPr>
        <w:t xml:space="preserve"> The Special Rapporteur welcomes </w:t>
      </w:r>
      <w:r w:rsidR="009452B3">
        <w:rPr>
          <w:lang w:val="en-US" w:eastAsia="en-GB"/>
        </w:rPr>
        <w:t xml:space="preserve">the fact </w:t>
      </w:r>
      <w:r w:rsidR="0046460C">
        <w:rPr>
          <w:lang w:val="en-US" w:eastAsia="en-GB"/>
        </w:rPr>
        <w:t>that the mandate of the Truth and Reconciliation Commission includes proposing memorialization efforts</w:t>
      </w:r>
      <w:r w:rsidR="005E22E3">
        <w:rPr>
          <w:lang w:val="en-US" w:eastAsia="en-GB"/>
        </w:rPr>
        <w:t>; he</w:t>
      </w:r>
      <w:r w:rsidR="0046460C">
        <w:rPr>
          <w:lang w:val="en-US" w:eastAsia="en-GB"/>
        </w:rPr>
        <w:t xml:space="preserve"> encourages </w:t>
      </w:r>
      <w:r w:rsidR="005E22E3">
        <w:rPr>
          <w:lang w:val="en-US" w:eastAsia="en-GB"/>
        </w:rPr>
        <w:t>the Commiss</w:t>
      </w:r>
      <w:r w:rsidR="0093755A">
        <w:rPr>
          <w:lang w:val="en-US" w:eastAsia="en-GB"/>
        </w:rPr>
        <w:t>i</w:t>
      </w:r>
      <w:r w:rsidR="005E22E3">
        <w:rPr>
          <w:lang w:val="en-US" w:eastAsia="en-GB"/>
        </w:rPr>
        <w:t>on</w:t>
      </w:r>
      <w:r w:rsidR="0046460C">
        <w:rPr>
          <w:lang w:val="en-US" w:eastAsia="en-GB"/>
        </w:rPr>
        <w:t xml:space="preserve"> to give new impetus to Government activities. </w:t>
      </w:r>
    </w:p>
    <w:p w:rsidR="0046460C" w:rsidRDefault="00C71ACD" w:rsidP="00C71ACD">
      <w:pPr>
        <w:pStyle w:val="SingleTxtG"/>
      </w:pPr>
      <w:r>
        <w:rPr>
          <w:bCs/>
        </w:rPr>
        <w:t>94.</w:t>
      </w:r>
      <w:r>
        <w:rPr>
          <w:bCs/>
        </w:rPr>
        <w:tab/>
      </w:r>
      <w:r w:rsidR="005E22E3">
        <w:rPr>
          <w:lang w:val="en-US" w:eastAsia="en-GB"/>
        </w:rPr>
        <w:t>The Special Rapporteur</w:t>
      </w:r>
      <w:r w:rsidR="0046460C">
        <w:rPr>
          <w:lang w:val="en-US" w:eastAsia="en-GB"/>
        </w:rPr>
        <w:t xml:space="preserve"> is highly concerned about reports regarding the uncovering and subsequent and continuing destruction of human remains in a number of places, including </w:t>
      </w:r>
      <w:r w:rsidR="005E22E3">
        <w:rPr>
          <w:lang w:val="en-US" w:eastAsia="en-GB"/>
        </w:rPr>
        <w:t xml:space="preserve">in </w:t>
      </w:r>
      <w:r w:rsidR="0046460C">
        <w:rPr>
          <w:lang w:val="en-US" w:eastAsia="en-GB"/>
        </w:rPr>
        <w:t>Kivyuka</w:t>
      </w:r>
      <w:r w:rsidR="005E22E3">
        <w:rPr>
          <w:lang w:val="en-US" w:eastAsia="en-GB"/>
        </w:rPr>
        <w:t xml:space="preserve"> (</w:t>
      </w:r>
      <w:r w:rsidR="0046460C">
        <w:rPr>
          <w:lang w:val="en-US" w:eastAsia="en-GB"/>
        </w:rPr>
        <w:t xml:space="preserve">Bubanza </w:t>
      </w:r>
      <w:r w:rsidR="008403B3">
        <w:rPr>
          <w:lang w:val="en-US" w:eastAsia="en-GB"/>
        </w:rPr>
        <w:t>P</w:t>
      </w:r>
      <w:r w:rsidR="0046460C">
        <w:rPr>
          <w:lang w:val="en-US" w:eastAsia="en-GB"/>
        </w:rPr>
        <w:t>rovince</w:t>
      </w:r>
      <w:r w:rsidR="005E22E3">
        <w:rPr>
          <w:lang w:val="en-US" w:eastAsia="en-GB"/>
        </w:rPr>
        <w:t>)</w:t>
      </w:r>
      <w:r w:rsidR="0046460C">
        <w:rPr>
          <w:lang w:val="en-US" w:eastAsia="en-GB"/>
        </w:rPr>
        <w:t xml:space="preserve"> and Zega</w:t>
      </w:r>
      <w:r w:rsidR="005E22E3">
        <w:rPr>
          <w:lang w:val="en-US" w:eastAsia="en-GB"/>
        </w:rPr>
        <w:t xml:space="preserve"> (</w:t>
      </w:r>
      <w:r w:rsidR="0046460C">
        <w:rPr>
          <w:lang w:val="en-US" w:eastAsia="en-GB"/>
        </w:rPr>
        <w:t xml:space="preserve">Gitega </w:t>
      </w:r>
      <w:r w:rsidR="008403B3">
        <w:rPr>
          <w:lang w:val="en-US" w:eastAsia="en-GB"/>
        </w:rPr>
        <w:t>P</w:t>
      </w:r>
      <w:r w:rsidR="0046460C">
        <w:rPr>
          <w:lang w:val="en-US" w:eastAsia="en-GB"/>
        </w:rPr>
        <w:t>rovince</w:t>
      </w:r>
      <w:r w:rsidR="005E22E3">
        <w:rPr>
          <w:lang w:val="en-US" w:eastAsia="en-GB"/>
        </w:rPr>
        <w:t>)</w:t>
      </w:r>
      <w:r w:rsidR="0046460C">
        <w:rPr>
          <w:lang w:val="en-US" w:eastAsia="en-GB"/>
        </w:rPr>
        <w:t>. Th</w:t>
      </w:r>
      <w:r w:rsidR="005E22E3">
        <w:rPr>
          <w:lang w:val="en-US" w:eastAsia="en-GB"/>
        </w:rPr>
        <w:t>at is indicative of</w:t>
      </w:r>
      <w:r w:rsidR="0046460C">
        <w:rPr>
          <w:lang w:val="en-US" w:eastAsia="en-GB"/>
        </w:rPr>
        <w:t xml:space="preserve"> serious structural problems in the preservation of mass graves and other burial sites. A framework, including relevant legal protocols or procedures, for the proper management of such sites is needed</w:t>
      </w:r>
      <w:r w:rsidR="00A06AF4" w:rsidRPr="00A06AF4">
        <w:rPr>
          <w:lang w:val="en-US" w:eastAsia="en-GB"/>
        </w:rPr>
        <w:t xml:space="preserve"> </w:t>
      </w:r>
      <w:r w:rsidR="00A06AF4">
        <w:rPr>
          <w:lang w:val="en-US" w:eastAsia="en-GB"/>
        </w:rPr>
        <w:t>urgently</w:t>
      </w:r>
      <w:r w:rsidR="0046460C">
        <w:rPr>
          <w:lang w:val="en-US" w:eastAsia="en-GB"/>
        </w:rPr>
        <w:t xml:space="preserve">. </w:t>
      </w:r>
    </w:p>
    <w:p w:rsidR="0046460C" w:rsidRDefault="00C71ACD" w:rsidP="00C71ACD">
      <w:pPr>
        <w:pStyle w:val="SingleTxtG"/>
        <w:rPr>
          <w:lang w:val="en-US" w:eastAsia="en-GB"/>
        </w:rPr>
      </w:pPr>
      <w:r>
        <w:rPr>
          <w:bCs/>
          <w:lang w:val="en-US" w:eastAsia="en-GB"/>
        </w:rPr>
        <w:t>95.</w:t>
      </w:r>
      <w:r>
        <w:rPr>
          <w:bCs/>
          <w:lang w:val="en-US" w:eastAsia="en-GB"/>
        </w:rPr>
        <w:tab/>
      </w:r>
      <w:r w:rsidR="0046460C">
        <w:rPr>
          <w:lang w:val="en-US" w:eastAsia="en-GB"/>
        </w:rPr>
        <w:t xml:space="preserve">The Special Rapporteur welcomes </w:t>
      </w:r>
      <w:r w:rsidR="005E22E3">
        <w:rPr>
          <w:lang w:val="en-US" w:eastAsia="en-GB"/>
        </w:rPr>
        <w:t xml:space="preserve">the fact </w:t>
      </w:r>
      <w:r w:rsidR="0046460C">
        <w:rPr>
          <w:lang w:val="en-US" w:eastAsia="en-GB"/>
        </w:rPr>
        <w:t xml:space="preserve">that the mandate of the Truth and Reconciliation Commission explicitly includes </w:t>
      </w:r>
      <w:r w:rsidR="005E22E3">
        <w:rPr>
          <w:lang w:val="en-US" w:eastAsia="en-GB"/>
        </w:rPr>
        <w:t>identifying and mapping</w:t>
      </w:r>
      <w:r w:rsidR="0046460C">
        <w:rPr>
          <w:lang w:val="en-US" w:eastAsia="en-GB"/>
        </w:rPr>
        <w:t xml:space="preserve"> mass graves and other burial sites. However, the Commission, as a temporary body</w:t>
      </w:r>
      <w:r w:rsidR="005E22E3">
        <w:rPr>
          <w:lang w:val="en-US" w:eastAsia="en-GB"/>
        </w:rPr>
        <w:t>,</w:t>
      </w:r>
      <w:r w:rsidR="0046460C">
        <w:rPr>
          <w:lang w:val="en-US" w:eastAsia="en-GB"/>
        </w:rPr>
        <w:t xml:space="preserve"> faces constraints</w:t>
      </w:r>
      <w:r w:rsidR="005E22E3">
        <w:rPr>
          <w:lang w:val="en-US" w:eastAsia="en-GB"/>
        </w:rPr>
        <w:t xml:space="preserve"> and</w:t>
      </w:r>
      <w:r w:rsidR="0046460C">
        <w:rPr>
          <w:lang w:val="en-US" w:eastAsia="en-GB"/>
        </w:rPr>
        <w:t xml:space="preserve"> cannot carry the entire burden of the identification, preservation and protection of mass graves. </w:t>
      </w:r>
      <w:r w:rsidR="005E22E3">
        <w:rPr>
          <w:lang w:val="en-US" w:eastAsia="en-GB"/>
        </w:rPr>
        <w:t>It is t</w:t>
      </w:r>
      <w:r w:rsidR="0046460C">
        <w:rPr>
          <w:lang w:val="en-US" w:eastAsia="en-GB"/>
        </w:rPr>
        <w:t xml:space="preserve">he authorities </w:t>
      </w:r>
      <w:r w:rsidR="005E22E3">
        <w:rPr>
          <w:lang w:val="en-US" w:eastAsia="en-GB"/>
        </w:rPr>
        <w:t xml:space="preserve">who </w:t>
      </w:r>
      <w:r w:rsidR="0046460C">
        <w:rPr>
          <w:lang w:val="en-US" w:eastAsia="en-GB"/>
        </w:rPr>
        <w:t>bear the main responsibility. As an immediate first step, the</w:t>
      </w:r>
      <w:r w:rsidR="0046460C" w:rsidRPr="00B26FCB">
        <w:rPr>
          <w:lang w:val="en-US" w:eastAsia="en-GB"/>
        </w:rPr>
        <w:t xml:space="preserve"> mapping of mass burial sites throughout the country</w:t>
      </w:r>
      <w:r w:rsidR="0046460C">
        <w:rPr>
          <w:lang w:val="en-US" w:eastAsia="en-GB"/>
        </w:rPr>
        <w:t xml:space="preserve">, </w:t>
      </w:r>
      <w:r w:rsidR="00D739D9">
        <w:rPr>
          <w:lang w:val="en-US" w:eastAsia="en-GB"/>
        </w:rPr>
        <w:t xml:space="preserve">incorporating </w:t>
      </w:r>
      <w:r w:rsidR="0046460C">
        <w:rPr>
          <w:lang w:val="en-US" w:eastAsia="en-GB"/>
        </w:rPr>
        <w:t>earlier efforts of international actors to preserve and secure th</w:t>
      </w:r>
      <w:r w:rsidR="005E22E3">
        <w:rPr>
          <w:lang w:val="en-US" w:eastAsia="en-GB"/>
        </w:rPr>
        <w:t>o</w:t>
      </w:r>
      <w:r w:rsidR="0046460C">
        <w:rPr>
          <w:lang w:val="en-US" w:eastAsia="en-GB"/>
        </w:rPr>
        <w:t>se sites, must be undertaken</w:t>
      </w:r>
      <w:r w:rsidR="0046460C" w:rsidRPr="00B26FCB">
        <w:rPr>
          <w:lang w:val="en-US" w:eastAsia="en-GB"/>
        </w:rPr>
        <w:t>.</w:t>
      </w:r>
      <w:r w:rsidR="0046460C">
        <w:rPr>
          <w:lang w:val="en-US" w:eastAsia="en-GB"/>
        </w:rPr>
        <w:t xml:space="preserve"> </w:t>
      </w:r>
      <w:r w:rsidR="005E22E3">
        <w:rPr>
          <w:lang w:val="en-US" w:eastAsia="en-GB"/>
        </w:rPr>
        <w:t>Such</w:t>
      </w:r>
      <w:r w:rsidR="0046460C">
        <w:rPr>
          <w:lang w:val="en-US" w:eastAsia="en-GB"/>
        </w:rPr>
        <w:t xml:space="preserve"> mapping must draw on t</w:t>
      </w:r>
      <w:r w:rsidR="0046460C" w:rsidRPr="00B26FCB">
        <w:rPr>
          <w:lang w:val="en-US" w:eastAsia="en-GB"/>
        </w:rPr>
        <w:t>he knowledge of civil society</w:t>
      </w:r>
      <w:r w:rsidR="0046460C">
        <w:rPr>
          <w:lang w:val="en-US" w:eastAsia="en-GB"/>
        </w:rPr>
        <w:t xml:space="preserve"> organizations. </w:t>
      </w:r>
    </w:p>
    <w:p w:rsidR="0046460C" w:rsidRPr="004316D1" w:rsidRDefault="00456BC0" w:rsidP="00734A8A">
      <w:pPr>
        <w:pStyle w:val="H23G"/>
        <w:rPr>
          <w:lang w:val="en-US" w:eastAsia="en-GB"/>
        </w:rPr>
      </w:pPr>
      <w:r>
        <w:rPr>
          <w:lang w:val="en-US" w:eastAsia="en-GB"/>
        </w:rPr>
        <w:tab/>
        <w:t>3.</w:t>
      </w:r>
      <w:r>
        <w:rPr>
          <w:lang w:val="en-US" w:eastAsia="en-GB"/>
        </w:rPr>
        <w:tab/>
      </w:r>
      <w:r w:rsidR="0046460C" w:rsidRPr="004316D1">
        <w:rPr>
          <w:lang w:val="en-US" w:eastAsia="en-GB"/>
        </w:rPr>
        <w:t>Archives</w:t>
      </w:r>
    </w:p>
    <w:p w:rsidR="0046460C" w:rsidRDefault="00C71ACD" w:rsidP="00C71ACD">
      <w:pPr>
        <w:pStyle w:val="SingleTxtG"/>
        <w:rPr>
          <w:lang w:val="en-US" w:eastAsia="en-GB"/>
        </w:rPr>
      </w:pPr>
      <w:r>
        <w:rPr>
          <w:bCs/>
          <w:lang w:val="en-US" w:eastAsia="en-GB"/>
        </w:rPr>
        <w:t>96.</w:t>
      </w:r>
      <w:r>
        <w:rPr>
          <w:bCs/>
          <w:lang w:val="en-US" w:eastAsia="en-GB"/>
        </w:rPr>
        <w:tab/>
      </w:r>
      <w:r w:rsidR="00B63C5A">
        <w:rPr>
          <w:lang w:val="en-US" w:eastAsia="en-GB"/>
        </w:rPr>
        <w:t xml:space="preserve">Establishing </w:t>
      </w:r>
      <w:r w:rsidR="0046460C">
        <w:rPr>
          <w:lang w:val="en-US" w:eastAsia="en-GB"/>
        </w:rPr>
        <w:t>archiv</w:t>
      </w:r>
      <w:r w:rsidR="00B63C5A">
        <w:rPr>
          <w:lang w:val="en-US" w:eastAsia="en-GB"/>
        </w:rPr>
        <w:t>es of</w:t>
      </w:r>
      <w:r w:rsidR="0046460C">
        <w:rPr>
          <w:lang w:val="en-US" w:eastAsia="en-GB"/>
        </w:rPr>
        <w:t xml:space="preserve"> past violations has been low on the official agenda. According to the information available, </w:t>
      </w:r>
      <w:r w:rsidR="005E22E3">
        <w:rPr>
          <w:lang w:val="en-US" w:eastAsia="en-GB"/>
        </w:rPr>
        <w:t xml:space="preserve">there are </w:t>
      </w:r>
      <w:r w:rsidR="0046460C">
        <w:rPr>
          <w:lang w:val="en-US" w:eastAsia="en-GB"/>
        </w:rPr>
        <w:t>no systematic effort</w:t>
      </w:r>
      <w:r w:rsidR="00B63C5A">
        <w:rPr>
          <w:lang w:val="en-US" w:eastAsia="en-GB"/>
        </w:rPr>
        <w:t>s</w:t>
      </w:r>
      <w:r w:rsidR="0046460C">
        <w:rPr>
          <w:lang w:val="en-US" w:eastAsia="en-GB"/>
        </w:rPr>
        <w:t xml:space="preserve"> or standardized procedures to collect and archive relevant records. Combined with a lack of awareness and expertise, important information is not being adequately preserved and may be lost or destroyed. </w:t>
      </w:r>
      <w:r w:rsidR="00610340">
        <w:rPr>
          <w:lang w:val="en-US" w:eastAsia="en-GB"/>
        </w:rPr>
        <w:t>L</w:t>
      </w:r>
      <w:r w:rsidR="0046460C">
        <w:rPr>
          <w:lang w:val="en-US" w:eastAsia="en-GB"/>
        </w:rPr>
        <w:t>aw</w:t>
      </w:r>
      <w:r w:rsidR="00610340">
        <w:rPr>
          <w:lang w:val="en-US" w:eastAsia="en-GB"/>
        </w:rPr>
        <w:t xml:space="preserve"> </w:t>
      </w:r>
      <w:r w:rsidR="009F0CD1">
        <w:rPr>
          <w:lang w:val="en-US" w:eastAsia="en-GB"/>
        </w:rPr>
        <w:t xml:space="preserve">No. </w:t>
      </w:r>
      <w:r w:rsidR="00610340">
        <w:rPr>
          <w:lang w:val="en-US" w:eastAsia="en-GB"/>
        </w:rPr>
        <w:t>1/18</w:t>
      </w:r>
      <w:r w:rsidR="0046460C">
        <w:rPr>
          <w:lang w:val="en-US" w:eastAsia="en-GB"/>
        </w:rPr>
        <w:t xml:space="preserve"> addresses </w:t>
      </w:r>
      <w:r w:rsidR="00610340">
        <w:rPr>
          <w:lang w:val="en-US" w:eastAsia="en-GB"/>
        </w:rPr>
        <w:t>only</w:t>
      </w:r>
      <w:r w:rsidR="0046460C">
        <w:rPr>
          <w:lang w:val="en-US" w:eastAsia="en-GB"/>
        </w:rPr>
        <w:t xml:space="preserve"> the issue of the </w:t>
      </w:r>
      <w:r w:rsidR="00A06AF4">
        <w:rPr>
          <w:lang w:val="en-US" w:eastAsia="en-GB"/>
        </w:rPr>
        <w:t xml:space="preserve">Commission’s </w:t>
      </w:r>
      <w:r w:rsidR="0046460C">
        <w:rPr>
          <w:lang w:val="en-US" w:eastAsia="en-GB"/>
        </w:rPr>
        <w:t>archives. While th</w:t>
      </w:r>
      <w:r w:rsidR="006859A5">
        <w:rPr>
          <w:lang w:val="en-US" w:eastAsia="en-GB"/>
        </w:rPr>
        <w:t>at</w:t>
      </w:r>
      <w:r w:rsidR="0046460C">
        <w:rPr>
          <w:lang w:val="en-US" w:eastAsia="en-GB"/>
        </w:rPr>
        <w:t xml:space="preserve"> is important, the Government also must adopt </w:t>
      </w:r>
      <w:r w:rsidR="0046460C" w:rsidRPr="00B26FCB">
        <w:rPr>
          <w:lang w:val="en-US" w:eastAsia="en-GB"/>
        </w:rPr>
        <w:t xml:space="preserve">a </w:t>
      </w:r>
      <w:r w:rsidR="0046460C">
        <w:rPr>
          <w:lang w:val="en-US" w:eastAsia="en-GB"/>
        </w:rPr>
        <w:t xml:space="preserve">general </w:t>
      </w:r>
      <w:r w:rsidR="0046460C" w:rsidRPr="00B26FCB">
        <w:rPr>
          <w:lang w:val="en-US" w:eastAsia="en-GB"/>
        </w:rPr>
        <w:t>policy on national archives in line with international standards</w:t>
      </w:r>
      <w:r w:rsidR="0046460C">
        <w:rPr>
          <w:lang w:val="en-US" w:eastAsia="en-GB"/>
        </w:rPr>
        <w:t xml:space="preserve">, the development of which </w:t>
      </w:r>
      <w:r w:rsidR="00A06AF4">
        <w:rPr>
          <w:lang w:val="en-US" w:eastAsia="en-GB"/>
        </w:rPr>
        <w:t>sh</w:t>
      </w:r>
      <w:r w:rsidR="0046460C">
        <w:rPr>
          <w:lang w:val="en-US" w:eastAsia="en-GB"/>
        </w:rPr>
        <w:t xml:space="preserve">ould benefit from international expertise. The </w:t>
      </w:r>
      <w:r w:rsidR="00DC69E4">
        <w:rPr>
          <w:lang w:val="en-US" w:eastAsia="en-GB"/>
        </w:rPr>
        <w:t xml:space="preserve">independent </w:t>
      </w:r>
      <w:r w:rsidR="0046460C" w:rsidRPr="00A27737">
        <w:rPr>
          <w:lang w:val="en-US" w:eastAsia="en-GB"/>
        </w:rPr>
        <w:t xml:space="preserve">National </w:t>
      </w:r>
      <w:r w:rsidR="0046460C">
        <w:rPr>
          <w:lang w:val="en-US" w:eastAsia="en-GB"/>
        </w:rPr>
        <w:t>Human Rights</w:t>
      </w:r>
      <w:r w:rsidR="0046460C" w:rsidRPr="00A27737">
        <w:rPr>
          <w:lang w:val="en-US" w:eastAsia="en-GB"/>
        </w:rPr>
        <w:t xml:space="preserve"> Commission</w:t>
      </w:r>
      <w:r w:rsidR="0046460C">
        <w:rPr>
          <w:lang w:val="en-US" w:eastAsia="en-GB"/>
        </w:rPr>
        <w:t xml:space="preserve"> could </w:t>
      </w:r>
      <w:r w:rsidR="006859A5">
        <w:rPr>
          <w:lang w:val="en-US" w:eastAsia="en-GB"/>
        </w:rPr>
        <w:t>play</w:t>
      </w:r>
      <w:r w:rsidR="0046460C">
        <w:rPr>
          <w:lang w:val="en-US" w:eastAsia="en-GB"/>
        </w:rPr>
        <w:t xml:space="preserve"> an important role</w:t>
      </w:r>
      <w:r w:rsidR="006859A5">
        <w:rPr>
          <w:lang w:val="en-US" w:eastAsia="en-GB"/>
        </w:rPr>
        <w:t xml:space="preserve"> in that</w:t>
      </w:r>
      <w:r w:rsidR="00DC69E4">
        <w:rPr>
          <w:lang w:val="en-US" w:eastAsia="en-GB"/>
        </w:rPr>
        <w:t xml:space="preserve"> regard</w:t>
      </w:r>
      <w:r w:rsidR="0046460C">
        <w:rPr>
          <w:lang w:val="en-US" w:eastAsia="en-GB"/>
        </w:rPr>
        <w:t>, and the creation of a documentation centr</w:t>
      </w:r>
      <w:r w:rsidR="006859A5">
        <w:rPr>
          <w:lang w:val="en-US" w:eastAsia="en-GB"/>
        </w:rPr>
        <w:t>e</w:t>
      </w:r>
      <w:r w:rsidR="0046460C">
        <w:rPr>
          <w:lang w:val="en-US" w:eastAsia="en-GB"/>
        </w:rPr>
        <w:t xml:space="preserve"> in the long</w:t>
      </w:r>
      <w:r w:rsidR="008403B3">
        <w:rPr>
          <w:lang w:val="en-US" w:eastAsia="en-GB"/>
        </w:rPr>
        <w:t xml:space="preserve"> </w:t>
      </w:r>
      <w:r w:rsidR="0046460C">
        <w:rPr>
          <w:lang w:val="en-US" w:eastAsia="en-GB"/>
        </w:rPr>
        <w:t xml:space="preserve">term should be considered. </w:t>
      </w:r>
    </w:p>
    <w:p w:rsidR="0046460C" w:rsidRDefault="00456BC0" w:rsidP="00734A8A">
      <w:pPr>
        <w:pStyle w:val="HChG"/>
        <w:rPr>
          <w:lang w:eastAsia="en-GB"/>
        </w:rPr>
      </w:pPr>
      <w:r>
        <w:rPr>
          <w:lang w:eastAsia="en-GB"/>
        </w:rPr>
        <w:tab/>
      </w:r>
      <w:r w:rsidR="004D4541">
        <w:rPr>
          <w:lang w:eastAsia="en-GB"/>
        </w:rPr>
        <w:t>VII</w:t>
      </w:r>
      <w:r w:rsidR="0046460C" w:rsidRPr="000956E1">
        <w:rPr>
          <w:lang w:eastAsia="en-GB"/>
        </w:rPr>
        <w:t>.</w:t>
      </w:r>
      <w:r>
        <w:rPr>
          <w:lang w:eastAsia="en-GB"/>
        </w:rPr>
        <w:tab/>
      </w:r>
      <w:r w:rsidR="0046460C" w:rsidRPr="00B44DDA">
        <w:rPr>
          <w:lang w:eastAsia="en-GB"/>
        </w:rPr>
        <w:t>Observations and recommendations</w:t>
      </w:r>
    </w:p>
    <w:p w:rsidR="0046460C" w:rsidRPr="004316D1" w:rsidRDefault="00456BC0" w:rsidP="00734A8A">
      <w:pPr>
        <w:pStyle w:val="H1G"/>
        <w:rPr>
          <w:lang w:eastAsia="en-GB"/>
        </w:rPr>
      </w:pPr>
      <w:r>
        <w:rPr>
          <w:lang w:eastAsia="en-GB"/>
        </w:rPr>
        <w:tab/>
        <w:t>A.</w:t>
      </w:r>
      <w:r>
        <w:rPr>
          <w:lang w:eastAsia="en-GB"/>
        </w:rPr>
        <w:tab/>
      </w:r>
      <w:r w:rsidR="0046460C" w:rsidRPr="004316D1">
        <w:rPr>
          <w:lang w:eastAsia="en-GB"/>
        </w:rPr>
        <w:t>Observations</w:t>
      </w:r>
    </w:p>
    <w:p w:rsidR="0046460C" w:rsidRDefault="00C71ACD" w:rsidP="00C71ACD">
      <w:pPr>
        <w:pStyle w:val="SingleTxtG"/>
        <w:rPr>
          <w:b/>
          <w:lang w:eastAsia="en-GB"/>
        </w:rPr>
      </w:pPr>
      <w:r>
        <w:rPr>
          <w:bCs/>
          <w:lang w:eastAsia="en-GB"/>
        </w:rPr>
        <w:t>97.</w:t>
      </w:r>
      <w:r>
        <w:rPr>
          <w:bCs/>
          <w:lang w:eastAsia="en-GB"/>
        </w:rPr>
        <w:tab/>
      </w:r>
      <w:r w:rsidR="0046460C" w:rsidRPr="0098195C">
        <w:rPr>
          <w:b/>
          <w:lang w:eastAsia="en-GB"/>
        </w:rPr>
        <w:t xml:space="preserve">Since the </w:t>
      </w:r>
      <w:r w:rsidR="006859A5" w:rsidRPr="0098195C">
        <w:rPr>
          <w:b/>
          <w:lang w:eastAsia="en-GB"/>
        </w:rPr>
        <w:t xml:space="preserve">signing of the </w:t>
      </w:r>
      <w:r w:rsidR="0046460C" w:rsidRPr="0098195C">
        <w:rPr>
          <w:b/>
          <w:lang w:eastAsia="en-GB"/>
        </w:rPr>
        <w:t>Arusha Agreement, and in particular the adoption of the 2005 Constitution</w:t>
      </w:r>
      <w:r w:rsidR="009F0CD1" w:rsidRPr="0098195C">
        <w:rPr>
          <w:b/>
          <w:lang w:eastAsia="en-GB"/>
        </w:rPr>
        <w:t>,</w:t>
      </w:r>
      <w:r w:rsidR="0046460C" w:rsidRPr="0098195C">
        <w:rPr>
          <w:b/>
          <w:lang w:eastAsia="en-GB"/>
        </w:rPr>
        <w:t xml:space="preserve"> which institutionalizes </w:t>
      </w:r>
      <w:r w:rsidR="006859A5" w:rsidRPr="0098195C">
        <w:rPr>
          <w:b/>
          <w:lang w:eastAsia="en-GB"/>
        </w:rPr>
        <w:t>the</w:t>
      </w:r>
      <w:r w:rsidR="0046460C" w:rsidRPr="0098195C">
        <w:rPr>
          <w:b/>
          <w:lang w:eastAsia="en-GB"/>
        </w:rPr>
        <w:t xml:space="preserve"> power</w:t>
      </w:r>
      <w:r w:rsidR="00A06AF4" w:rsidRPr="0098195C">
        <w:rPr>
          <w:b/>
          <w:lang w:eastAsia="en-GB"/>
        </w:rPr>
        <w:t>-</w:t>
      </w:r>
      <w:r w:rsidR="0046460C" w:rsidRPr="0098195C">
        <w:rPr>
          <w:b/>
          <w:lang w:eastAsia="en-GB"/>
        </w:rPr>
        <w:t>sharing arrangement, Burundi ha</w:t>
      </w:r>
      <w:r w:rsidR="00557E20" w:rsidRPr="0098195C">
        <w:rPr>
          <w:b/>
          <w:lang w:eastAsia="en-GB"/>
        </w:rPr>
        <w:t>d</w:t>
      </w:r>
      <w:r w:rsidR="0046460C" w:rsidRPr="0098195C">
        <w:rPr>
          <w:b/>
          <w:lang w:eastAsia="en-GB"/>
        </w:rPr>
        <w:t xml:space="preserve"> made </w:t>
      </w:r>
      <w:r w:rsidR="006859A5" w:rsidRPr="0098195C">
        <w:rPr>
          <w:b/>
          <w:lang w:eastAsia="en-GB"/>
        </w:rPr>
        <w:t>significant</w:t>
      </w:r>
      <w:r w:rsidR="0046460C" w:rsidRPr="0098195C">
        <w:rPr>
          <w:b/>
          <w:lang w:eastAsia="en-GB"/>
        </w:rPr>
        <w:t xml:space="preserve"> strides to end and overcome conflict</w:t>
      </w:r>
      <w:r w:rsidR="00AC7857" w:rsidRPr="0098195C">
        <w:rPr>
          <w:b/>
          <w:lang w:eastAsia="en-GB"/>
        </w:rPr>
        <w:t xml:space="preserve"> </w:t>
      </w:r>
      <w:r w:rsidR="00617E41">
        <w:rPr>
          <w:b/>
          <w:lang w:eastAsia="en-GB"/>
        </w:rPr>
        <w:t>up to</w:t>
      </w:r>
      <w:r w:rsidR="00AC7857" w:rsidRPr="0098195C">
        <w:rPr>
          <w:b/>
          <w:lang w:eastAsia="en-GB"/>
        </w:rPr>
        <w:t xml:space="preserve"> April 2015</w:t>
      </w:r>
      <w:r w:rsidR="0046460C" w:rsidRPr="0098195C">
        <w:rPr>
          <w:b/>
          <w:lang w:eastAsia="en-GB"/>
        </w:rPr>
        <w:t xml:space="preserve">. Burundi has established one of the </w:t>
      </w:r>
      <w:r w:rsidR="00A06AF4" w:rsidRPr="0098195C">
        <w:rPr>
          <w:b/>
          <w:lang w:eastAsia="en-GB"/>
        </w:rPr>
        <w:t xml:space="preserve">world’s </w:t>
      </w:r>
      <w:r w:rsidR="0046460C" w:rsidRPr="0098195C">
        <w:rPr>
          <w:b/>
          <w:lang w:eastAsia="en-GB"/>
        </w:rPr>
        <w:t>most ambitious consociational arrangement</w:t>
      </w:r>
      <w:r w:rsidR="0013673E" w:rsidRPr="0098195C">
        <w:rPr>
          <w:b/>
          <w:lang w:eastAsia="en-GB"/>
        </w:rPr>
        <w:t>s</w:t>
      </w:r>
      <w:r w:rsidR="0046460C" w:rsidRPr="0098195C">
        <w:rPr>
          <w:b/>
          <w:lang w:eastAsia="en-GB"/>
        </w:rPr>
        <w:t xml:space="preserve">, </w:t>
      </w:r>
      <w:r w:rsidR="00B63C5A" w:rsidRPr="0098195C">
        <w:rPr>
          <w:b/>
          <w:lang w:eastAsia="en-GB"/>
        </w:rPr>
        <w:t>which</w:t>
      </w:r>
      <w:r w:rsidR="0046460C" w:rsidRPr="0098195C">
        <w:rPr>
          <w:b/>
          <w:lang w:eastAsia="en-GB"/>
        </w:rPr>
        <w:t xml:space="preserve"> arguably contributed significantly to the transformation of relations between </w:t>
      </w:r>
      <w:r w:rsidR="006859A5" w:rsidRPr="0098195C">
        <w:rPr>
          <w:b/>
          <w:lang w:eastAsia="en-GB"/>
        </w:rPr>
        <w:t xml:space="preserve">different </w:t>
      </w:r>
      <w:r w:rsidR="0046460C" w:rsidRPr="0098195C">
        <w:rPr>
          <w:b/>
          <w:lang w:eastAsia="en-GB"/>
        </w:rPr>
        <w:t>groups.</w:t>
      </w:r>
      <w:r w:rsidR="0046460C">
        <w:rPr>
          <w:b/>
          <w:lang w:eastAsia="en-GB"/>
        </w:rPr>
        <w:t xml:space="preserve"> </w:t>
      </w:r>
      <w:r w:rsidR="0046460C" w:rsidRPr="002E4AEF">
        <w:rPr>
          <w:b/>
          <w:lang w:eastAsia="en-GB"/>
        </w:rPr>
        <w:t>Massive demobili</w:t>
      </w:r>
      <w:r w:rsidR="006859A5">
        <w:rPr>
          <w:b/>
          <w:lang w:eastAsia="en-GB"/>
        </w:rPr>
        <w:t>z</w:t>
      </w:r>
      <w:r w:rsidR="0046460C" w:rsidRPr="002E4AEF">
        <w:rPr>
          <w:b/>
          <w:lang w:eastAsia="en-GB"/>
        </w:rPr>
        <w:t xml:space="preserve">ation and reintegration efforts, combined with agreed ethnic </w:t>
      </w:r>
      <w:r w:rsidR="0046460C">
        <w:rPr>
          <w:b/>
          <w:lang w:eastAsia="en-GB"/>
        </w:rPr>
        <w:t>representation</w:t>
      </w:r>
      <w:r w:rsidR="0046460C" w:rsidRPr="002E4AEF">
        <w:rPr>
          <w:b/>
          <w:lang w:eastAsia="en-GB"/>
        </w:rPr>
        <w:t xml:space="preserve"> </w:t>
      </w:r>
      <w:r w:rsidR="0046460C">
        <w:rPr>
          <w:b/>
          <w:lang w:eastAsia="en-GB"/>
        </w:rPr>
        <w:t>in all official institutions</w:t>
      </w:r>
      <w:r w:rsidR="00A06AF4">
        <w:rPr>
          <w:b/>
          <w:lang w:eastAsia="en-GB"/>
        </w:rPr>
        <w:t>,</w:t>
      </w:r>
      <w:r w:rsidR="0046460C">
        <w:rPr>
          <w:b/>
          <w:lang w:eastAsia="en-GB"/>
        </w:rPr>
        <w:t xml:space="preserve"> including </w:t>
      </w:r>
      <w:r w:rsidR="0046460C" w:rsidRPr="002E4AEF">
        <w:rPr>
          <w:b/>
          <w:lang w:eastAsia="en-GB"/>
        </w:rPr>
        <w:t xml:space="preserve">the security sector, </w:t>
      </w:r>
      <w:r w:rsidR="0046460C" w:rsidRPr="00AC7857">
        <w:rPr>
          <w:b/>
          <w:lang w:eastAsia="en-GB"/>
        </w:rPr>
        <w:t>ha</w:t>
      </w:r>
      <w:r w:rsidR="00557E20" w:rsidRPr="00AC7857">
        <w:rPr>
          <w:b/>
          <w:lang w:eastAsia="en-GB"/>
        </w:rPr>
        <w:t>d</w:t>
      </w:r>
      <w:r w:rsidR="0046460C" w:rsidRPr="002E4AEF">
        <w:rPr>
          <w:b/>
          <w:lang w:eastAsia="en-GB"/>
        </w:rPr>
        <w:t xml:space="preserve"> further enabled the country to ensure a degree of stability since 2009.</w:t>
      </w:r>
    </w:p>
    <w:p w:rsidR="0046460C" w:rsidRDefault="00C71ACD" w:rsidP="00C71ACD">
      <w:pPr>
        <w:pStyle w:val="SingleTxtG"/>
        <w:rPr>
          <w:b/>
          <w:lang w:eastAsia="en-GB"/>
        </w:rPr>
      </w:pPr>
      <w:r>
        <w:rPr>
          <w:bCs/>
          <w:lang w:eastAsia="en-GB"/>
        </w:rPr>
        <w:t>98.</w:t>
      </w:r>
      <w:r>
        <w:rPr>
          <w:bCs/>
          <w:lang w:eastAsia="en-GB"/>
        </w:rPr>
        <w:tab/>
      </w:r>
      <w:r w:rsidR="00AC7857" w:rsidRPr="0098195C">
        <w:rPr>
          <w:b/>
          <w:lang w:eastAsia="en-GB"/>
        </w:rPr>
        <w:t>By the end of April 2015, c</w:t>
      </w:r>
      <w:r w:rsidR="0046460C" w:rsidRPr="0098195C">
        <w:rPr>
          <w:b/>
          <w:lang w:eastAsia="en-GB"/>
        </w:rPr>
        <w:t xml:space="preserve">oncerns about the </w:t>
      </w:r>
      <w:r w:rsidR="00AC7857" w:rsidRPr="0098195C">
        <w:rPr>
          <w:b/>
          <w:lang w:eastAsia="en-GB"/>
        </w:rPr>
        <w:t xml:space="preserve">2015 </w:t>
      </w:r>
      <w:r w:rsidR="0046460C" w:rsidRPr="0098195C">
        <w:rPr>
          <w:b/>
          <w:lang w:eastAsia="en-GB"/>
        </w:rPr>
        <w:t xml:space="preserve">electoral process </w:t>
      </w:r>
      <w:r w:rsidR="00AC7857" w:rsidRPr="0098195C">
        <w:rPr>
          <w:b/>
          <w:lang w:eastAsia="en-GB"/>
        </w:rPr>
        <w:t xml:space="preserve">had </w:t>
      </w:r>
      <w:r w:rsidR="0046460C" w:rsidRPr="0098195C">
        <w:rPr>
          <w:b/>
          <w:lang w:eastAsia="en-GB"/>
        </w:rPr>
        <w:t>deepened</w:t>
      </w:r>
      <w:r w:rsidR="00C21F0D" w:rsidRPr="0098195C">
        <w:rPr>
          <w:b/>
          <w:lang w:eastAsia="en-GB"/>
        </w:rPr>
        <w:t xml:space="preserve">, </w:t>
      </w:r>
      <w:r w:rsidR="0046460C" w:rsidRPr="0098195C">
        <w:rPr>
          <w:b/>
          <w:lang w:eastAsia="en-GB"/>
        </w:rPr>
        <w:t>includ</w:t>
      </w:r>
      <w:r w:rsidR="00C21F0D" w:rsidRPr="0098195C">
        <w:rPr>
          <w:b/>
          <w:lang w:eastAsia="en-GB"/>
        </w:rPr>
        <w:t>ing</w:t>
      </w:r>
      <w:r w:rsidR="0046460C" w:rsidRPr="0098195C">
        <w:rPr>
          <w:b/>
          <w:lang w:eastAsia="en-GB"/>
        </w:rPr>
        <w:t xml:space="preserve"> </w:t>
      </w:r>
      <w:r w:rsidR="0013673E" w:rsidRPr="0098195C">
        <w:rPr>
          <w:b/>
          <w:lang w:eastAsia="en-GB"/>
        </w:rPr>
        <w:t>remaining doubts</w:t>
      </w:r>
      <w:r w:rsidR="0046460C" w:rsidRPr="0098195C">
        <w:rPr>
          <w:b/>
          <w:lang w:eastAsia="en-GB"/>
        </w:rPr>
        <w:t xml:space="preserve"> about the constitutionality of a </w:t>
      </w:r>
      <w:r w:rsidR="00C21F0D" w:rsidRPr="0098195C">
        <w:rPr>
          <w:b/>
          <w:lang w:eastAsia="en-GB"/>
        </w:rPr>
        <w:t xml:space="preserve">third </w:t>
      </w:r>
      <w:r w:rsidR="0046460C" w:rsidRPr="0098195C">
        <w:rPr>
          <w:b/>
          <w:lang w:eastAsia="en-GB"/>
        </w:rPr>
        <w:t xml:space="preserve">presidential term, the effectiveness and impartiality of electoral mechanisms and the serious threats to the process posed by acts of harassment, intimidation and violence by youth militias, including </w:t>
      </w:r>
      <w:r w:rsidR="00A06AF4" w:rsidRPr="0098195C">
        <w:rPr>
          <w:b/>
          <w:lang w:eastAsia="en-GB"/>
        </w:rPr>
        <w:t xml:space="preserve">one </w:t>
      </w:r>
      <w:r w:rsidR="00AC7857" w:rsidRPr="0098195C">
        <w:rPr>
          <w:b/>
          <w:lang w:eastAsia="en-GB"/>
        </w:rPr>
        <w:t xml:space="preserve">which was </w:t>
      </w:r>
      <w:r w:rsidR="0046460C" w:rsidRPr="0098195C">
        <w:rPr>
          <w:b/>
          <w:lang w:eastAsia="en-GB"/>
        </w:rPr>
        <w:t>openly supporting the Government. An electoral process that lack</w:t>
      </w:r>
      <w:r w:rsidR="00AC7857" w:rsidRPr="0098195C">
        <w:rPr>
          <w:b/>
          <w:lang w:eastAsia="en-GB"/>
        </w:rPr>
        <w:t>ed</w:t>
      </w:r>
      <w:r w:rsidR="0046460C" w:rsidRPr="0098195C">
        <w:rPr>
          <w:b/>
          <w:lang w:eastAsia="en-GB"/>
        </w:rPr>
        <w:t xml:space="preserve"> credibility </w:t>
      </w:r>
      <w:r w:rsidR="00766289" w:rsidRPr="0098195C">
        <w:rPr>
          <w:b/>
          <w:lang w:eastAsia="en-GB"/>
        </w:rPr>
        <w:t>—</w:t>
      </w:r>
      <w:r w:rsidR="0046460C" w:rsidRPr="0098195C">
        <w:rPr>
          <w:b/>
          <w:lang w:eastAsia="en-GB"/>
        </w:rPr>
        <w:t xml:space="preserve"> especially one that trigger</w:t>
      </w:r>
      <w:r w:rsidR="00AC7857" w:rsidRPr="0098195C">
        <w:rPr>
          <w:b/>
          <w:lang w:eastAsia="en-GB"/>
        </w:rPr>
        <w:t>ed</w:t>
      </w:r>
      <w:r w:rsidR="0046460C" w:rsidRPr="0098195C">
        <w:rPr>
          <w:b/>
          <w:lang w:eastAsia="en-GB"/>
        </w:rPr>
        <w:t xml:space="preserve"> outright violence — would be a huge setback for Burundi and would </w:t>
      </w:r>
      <w:r w:rsidR="00C21F0D" w:rsidRPr="0098195C">
        <w:rPr>
          <w:b/>
          <w:lang w:eastAsia="en-GB"/>
        </w:rPr>
        <w:t>harm</w:t>
      </w:r>
      <w:r w:rsidR="0046460C" w:rsidRPr="0098195C">
        <w:rPr>
          <w:b/>
          <w:lang w:eastAsia="en-GB"/>
        </w:rPr>
        <w:t xml:space="preserve"> </w:t>
      </w:r>
      <w:r w:rsidR="00C21F0D" w:rsidRPr="0098195C">
        <w:rPr>
          <w:b/>
          <w:lang w:eastAsia="en-GB"/>
        </w:rPr>
        <w:t xml:space="preserve">the </w:t>
      </w:r>
      <w:r w:rsidR="0046460C" w:rsidRPr="0098195C">
        <w:rPr>
          <w:b/>
          <w:lang w:eastAsia="en-GB"/>
        </w:rPr>
        <w:t xml:space="preserve">progress </w:t>
      </w:r>
      <w:r w:rsidR="00EF7C6E" w:rsidRPr="0098195C">
        <w:rPr>
          <w:b/>
          <w:lang w:eastAsia="en-GB"/>
        </w:rPr>
        <w:t>that ha</w:t>
      </w:r>
      <w:r w:rsidR="00B60A23" w:rsidRPr="0098195C">
        <w:rPr>
          <w:b/>
          <w:lang w:eastAsia="en-GB"/>
        </w:rPr>
        <w:t>d</w:t>
      </w:r>
      <w:r w:rsidR="00EF7C6E" w:rsidRPr="0098195C">
        <w:rPr>
          <w:b/>
          <w:lang w:eastAsia="en-GB"/>
        </w:rPr>
        <w:t xml:space="preserve"> been </w:t>
      </w:r>
      <w:r w:rsidR="0046460C" w:rsidRPr="0098195C">
        <w:rPr>
          <w:b/>
          <w:lang w:eastAsia="en-GB"/>
        </w:rPr>
        <w:t>achieved with much effort.</w:t>
      </w:r>
      <w:r w:rsidR="0046460C">
        <w:rPr>
          <w:b/>
          <w:lang w:eastAsia="en-GB"/>
        </w:rPr>
        <w:t xml:space="preserve"> </w:t>
      </w:r>
    </w:p>
    <w:p w:rsidR="0046460C" w:rsidRDefault="00C71ACD" w:rsidP="00C71ACD">
      <w:pPr>
        <w:pStyle w:val="SingleTxtG"/>
        <w:rPr>
          <w:b/>
          <w:lang w:eastAsia="en-GB"/>
        </w:rPr>
      </w:pPr>
      <w:r>
        <w:rPr>
          <w:bCs/>
          <w:lang w:eastAsia="en-GB"/>
        </w:rPr>
        <w:t>99.</w:t>
      </w:r>
      <w:r>
        <w:rPr>
          <w:bCs/>
          <w:lang w:eastAsia="en-GB"/>
        </w:rPr>
        <w:tab/>
      </w:r>
      <w:r w:rsidR="00557E20" w:rsidRPr="0098195C">
        <w:rPr>
          <w:b/>
          <w:lang w:eastAsia="en-GB"/>
        </w:rPr>
        <w:t xml:space="preserve">If </w:t>
      </w:r>
      <w:r w:rsidR="0046460C" w:rsidRPr="0098195C">
        <w:rPr>
          <w:b/>
          <w:lang w:eastAsia="en-GB"/>
        </w:rPr>
        <w:t xml:space="preserve">Burundi </w:t>
      </w:r>
      <w:r w:rsidR="00C8710B" w:rsidRPr="0098195C">
        <w:rPr>
          <w:b/>
          <w:lang w:eastAsia="en-GB"/>
        </w:rPr>
        <w:t xml:space="preserve">had </w:t>
      </w:r>
      <w:r w:rsidR="0046460C" w:rsidRPr="0098195C">
        <w:rPr>
          <w:b/>
          <w:lang w:eastAsia="en-GB"/>
        </w:rPr>
        <w:t>maintain</w:t>
      </w:r>
      <w:r w:rsidR="00B60A23" w:rsidRPr="0098195C">
        <w:rPr>
          <w:b/>
          <w:lang w:eastAsia="en-GB"/>
        </w:rPr>
        <w:t>ed</w:t>
      </w:r>
      <w:r w:rsidR="0046460C" w:rsidRPr="0098195C">
        <w:rPr>
          <w:b/>
          <w:lang w:eastAsia="en-GB"/>
        </w:rPr>
        <w:t xml:space="preserve"> its commitment to the path it ha</w:t>
      </w:r>
      <w:r w:rsidR="00B60A23" w:rsidRPr="0098195C">
        <w:rPr>
          <w:b/>
          <w:lang w:eastAsia="en-GB"/>
        </w:rPr>
        <w:t>d</w:t>
      </w:r>
      <w:r w:rsidR="0046460C" w:rsidRPr="0098195C">
        <w:rPr>
          <w:b/>
          <w:lang w:eastAsia="en-GB"/>
        </w:rPr>
        <w:t xml:space="preserve"> followed since the </w:t>
      </w:r>
      <w:r w:rsidR="00C21F0D" w:rsidRPr="0098195C">
        <w:rPr>
          <w:b/>
          <w:lang w:eastAsia="en-GB"/>
        </w:rPr>
        <w:t xml:space="preserve">signing of </w:t>
      </w:r>
      <w:r w:rsidR="00C52878" w:rsidRPr="0098195C">
        <w:rPr>
          <w:b/>
          <w:lang w:eastAsia="en-GB"/>
        </w:rPr>
        <w:t xml:space="preserve">the </w:t>
      </w:r>
      <w:r w:rsidR="0046460C" w:rsidRPr="0098195C">
        <w:rPr>
          <w:b/>
          <w:lang w:eastAsia="en-GB"/>
        </w:rPr>
        <w:t>Arusha Agreement</w:t>
      </w:r>
      <w:r w:rsidR="00B60A23" w:rsidRPr="0098195C">
        <w:rPr>
          <w:b/>
          <w:lang w:eastAsia="en-GB"/>
        </w:rPr>
        <w:t xml:space="preserve"> up to the end of April 2015</w:t>
      </w:r>
      <w:r w:rsidR="0046460C" w:rsidRPr="0098195C">
        <w:rPr>
          <w:b/>
          <w:lang w:eastAsia="en-GB"/>
        </w:rPr>
        <w:t xml:space="preserve">, the challenge ahead </w:t>
      </w:r>
      <w:r w:rsidR="00B60A23" w:rsidRPr="0098195C">
        <w:rPr>
          <w:b/>
          <w:lang w:eastAsia="en-GB"/>
        </w:rPr>
        <w:t xml:space="preserve">would </w:t>
      </w:r>
      <w:r w:rsidR="0014530F" w:rsidRPr="00E86863">
        <w:rPr>
          <w:b/>
          <w:lang w:eastAsia="en-GB"/>
        </w:rPr>
        <w:t xml:space="preserve">be </w:t>
      </w:r>
      <w:r w:rsidR="0046460C" w:rsidRPr="0098195C">
        <w:rPr>
          <w:b/>
          <w:lang w:eastAsia="en-GB"/>
        </w:rPr>
        <w:t>not only</w:t>
      </w:r>
      <w:r w:rsidR="00C21F0D" w:rsidRPr="0098195C">
        <w:rPr>
          <w:b/>
          <w:lang w:eastAsia="en-GB"/>
        </w:rPr>
        <w:t xml:space="preserve"> one of</w:t>
      </w:r>
      <w:r w:rsidR="0046460C" w:rsidRPr="0098195C">
        <w:rPr>
          <w:b/>
          <w:lang w:eastAsia="en-GB"/>
        </w:rPr>
        <w:t xml:space="preserve"> staying the course</w:t>
      </w:r>
      <w:r w:rsidR="00C21F0D" w:rsidRPr="0098195C">
        <w:rPr>
          <w:b/>
          <w:lang w:eastAsia="en-GB"/>
        </w:rPr>
        <w:t>,</w:t>
      </w:r>
      <w:r w:rsidR="0046460C" w:rsidRPr="0098195C">
        <w:rPr>
          <w:b/>
          <w:lang w:eastAsia="en-GB"/>
        </w:rPr>
        <w:t xml:space="preserve"> but </w:t>
      </w:r>
      <w:r w:rsidR="009F0CD1" w:rsidRPr="0098195C">
        <w:rPr>
          <w:b/>
          <w:lang w:eastAsia="en-GB"/>
        </w:rPr>
        <w:t xml:space="preserve">of </w:t>
      </w:r>
      <w:r w:rsidR="0046460C" w:rsidRPr="0098195C">
        <w:rPr>
          <w:b/>
          <w:lang w:eastAsia="en-GB"/>
        </w:rPr>
        <w:t>accelerating the pace of transition to a rule of law-based society.</w:t>
      </w:r>
      <w:r w:rsidR="0046460C">
        <w:rPr>
          <w:b/>
          <w:lang w:eastAsia="en-GB"/>
        </w:rPr>
        <w:t xml:space="preserve"> </w:t>
      </w:r>
      <w:r w:rsidR="00557E20">
        <w:rPr>
          <w:b/>
          <w:lang w:eastAsia="en-GB"/>
        </w:rPr>
        <w:t>Against th</w:t>
      </w:r>
      <w:r w:rsidR="00EF7C6E">
        <w:rPr>
          <w:b/>
          <w:lang w:eastAsia="en-GB"/>
        </w:rPr>
        <w:t>at</w:t>
      </w:r>
      <w:r w:rsidR="00557E20">
        <w:rPr>
          <w:b/>
          <w:lang w:eastAsia="en-GB"/>
        </w:rPr>
        <w:t xml:space="preserve"> background, </w:t>
      </w:r>
      <w:r w:rsidR="0046460C">
        <w:rPr>
          <w:b/>
          <w:lang w:eastAsia="en-GB"/>
        </w:rPr>
        <w:t>it would be a mistake to think that redressing past massive violations and protecting and promoting rights in the present and the future</w:t>
      </w:r>
      <w:r w:rsidR="00022E24">
        <w:rPr>
          <w:b/>
          <w:lang w:eastAsia="en-GB"/>
        </w:rPr>
        <w:t xml:space="preserve"> are mutually exclusive</w:t>
      </w:r>
      <w:r w:rsidR="0046460C">
        <w:rPr>
          <w:b/>
          <w:lang w:eastAsia="en-GB"/>
        </w:rPr>
        <w:t xml:space="preserve">. </w:t>
      </w:r>
    </w:p>
    <w:p w:rsidR="0046460C" w:rsidRPr="002E4AEF" w:rsidRDefault="00C71ACD" w:rsidP="00C71ACD">
      <w:pPr>
        <w:pStyle w:val="SingleTxtG"/>
        <w:rPr>
          <w:b/>
          <w:lang w:eastAsia="en-GB"/>
        </w:rPr>
      </w:pPr>
      <w:r w:rsidRPr="002E4AEF">
        <w:rPr>
          <w:bCs/>
          <w:lang w:eastAsia="en-GB"/>
        </w:rPr>
        <w:t>100.</w:t>
      </w:r>
      <w:r w:rsidRPr="002E4AEF">
        <w:rPr>
          <w:bCs/>
          <w:lang w:eastAsia="en-GB"/>
        </w:rPr>
        <w:tab/>
      </w:r>
      <w:r w:rsidR="0046460C">
        <w:rPr>
          <w:b/>
          <w:lang w:eastAsia="en-GB"/>
        </w:rPr>
        <w:t>Serious efforts to r</w:t>
      </w:r>
      <w:r w:rsidR="0046460C" w:rsidRPr="007D6959">
        <w:rPr>
          <w:b/>
          <w:lang w:eastAsia="en-GB"/>
        </w:rPr>
        <w:t xml:space="preserve">edress past massive violations </w:t>
      </w:r>
      <w:r w:rsidR="0046460C">
        <w:rPr>
          <w:b/>
          <w:lang w:eastAsia="en-GB"/>
        </w:rPr>
        <w:t>w</w:t>
      </w:r>
      <w:r w:rsidR="00557E20">
        <w:rPr>
          <w:b/>
          <w:lang w:eastAsia="en-GB"/>
        </w:rPr>
        <w:t>ould</w:t>
      </w:r>
      <w:r w:rsidR="0046460C">
        <w:rPr>
          <w:b/>
          <w:lang w:eastAsia="en-GB"/>
        </w:rPr>
        <w:t xml:space="preserve"> sign</w:t>
      </w:r>
      <w:r w:rsidR="00C21F0D">
        <w:rPr>
          <w:b/>
          <w:lang w:eastAsia="en-GB"/>
        </w:rPr>
        <w:t>al</w:t>
      </w:r>
      <w:r w:rsidR="0046460C">
        <w:rPr>
          <w:b/>
          <w:lang w:eastAsia="en-GB"/>
        </w:rPr>
        <w:t xml:space="preserve"> to the population that the authorities are sincere in breaking with the tradition of impunity. Th</w:t>
      </w:r>
      <w:r w:rsidR="00C21F0D">
        <w:rPr>
          <w:b/>
          <w:lang w:eastAsia="en-GB"/>
        </w:rPr>
        <w:t>at</w:t>
      </w:r>
      <w:r w:rsidR="0046460C">
        <w:rPr>
          <w:b/>
          <w:lang w:eastAsia="en-GB"/>
        </w:rPr>
        <w:t xml:space="preserve">, in turn, </w:t>
      </w:r>
      <w:r w:rsidR="00557E20">
        <w:rPr>
          <w:b/>
          <w:lang w:eastAsia="en-GB"/>
        </w:rPr>
        <w:t xml:space="preserve">would </w:t>
      </w:r>
      <w:r w:rsidR="0046460C">
        <w:rPr>
          <w:b/>
          <w:lang w:eastAsia="en-GB"/>
        </w:rPr>
        <w:t>contribute to the protection of fundamental rights in the present. T</w:t>
      </w:r>
      <w:r w:rsidR="0046460C" w:rsidRPr="002E4AEF">
        <w:rPr>
          <w:b/>
          <w:lang w:eastAsia="en-GB"/>
        </w:rPr>
        <w:t xml:space="preserve">ransitional justice initiatives </w:t>
      </w:r>
      <w:r w:rsidR="0046460C">
        <w:rPr>
          <w:b/>
          <w:lang w:eastAsia="en-GB"/>
        </w:rPr>
        <w:t>must</w:t>
      </w:r>
      <w:r w:rsidR="0046460C" w:rsidRPr="002E4AEF">
        <w:rPr>
          <w:b/>
          <w:lang w:eastAsia="en-GB"/>
        </w:rPr>
        <w:t xml:space="preserve"> be grounded in and </w:t>
      </w:r>
      <w:r w:rsidR="0046460C">
        <w:rPr>
          <w:b/>
          <w:lang w:eastAsia="en-GB"/>
        </w:rPr>
        <w:t>intended</w:t>
      </w:r>
      <w:r w:rsidR="0046460C" w:rsidRPr="002E4AEF">
        <w:rPr>
          <w:b/>
          <w:lang w:eastAsia="en-GB"/>
        </w:rPr>
        <w:t xml:space="preserve"> to foster human rights. They must not be instruments of </w:t>
      </w:r>
      <w:r w:rsidR="006851CB">
        <w:rPr>
          <w:b/>
          <w:lang w:eastAsia="en-GB"/>
        </w:rPr>
        <w:t>“</w:t>
      </w:r>
      <w:r w:rsidR="0046460C" w:rsidRPr="002E4AEF">
        <w:rPr>
          <w:b/>
          <w:lang w:eastAsia="en-GB"/>
        </w:rPr>
        <w:t>turn</w:t>
      </w:r>
      <w:r w:rsidR="00C21F0D">
        <w:rPr>
          <w:b/>
          <w:lang w:eastAsia="en-GB"/>
        </w:rPr>
        <w:t>-</w:t>
      </w:r>
      <w:r w:rsidR="0046460C" w:rsidRPr="002E4AEF">
        <w:rPr>
          <w:b/>
          <w:lang w:eastAsia="en-GB"/>
        </w:rPr>
        <w:t>taking</w:t>
      </w:r>
      <w:r w:rsidR="006851CB">
        <w:rPr>
          <w:b/>
          <w:lang w:eastAsia="en-GB"/>
        </w:rPr>
        <w:t>”</w:t>
      </w:r>
      <w:r w:rsidR="0046460C" w:rsidRPr="002E4AEF">
        <w:rPr>
          <w:b/>
          <w:lang w:eastAsia="en-GB"/>
        </w:rPr>
        <w:t xml:space="preserve"> </w:t>
      </w:r>
      <w:r w:rsidR="00C21F0D">
        <w:rPr>
          <w:b/>
          <w:lang w:eastAsia="en-GB"/>
        </w:rPr>
        <w:t xml:space="preserve">that </w:t>
      </w:r>
      <w:r w:rsidR="0046460C" w:rsidRPr="002E4AEF">
        <w:rPr>
          <w:b/>
          <w:lang w:eastAsia="en-GB"/>
        </w:rPr>
        <w:t xml:space="preserve">only benefit one side. </w:t>
      </w:r>
    </w:p>
    <w:p w:rsidR="0046460C" w:rsidRDefault="00C71ACD" w:rsidP="00C71ACD">
      <w:pPr>
        <w:pStyle w:val="SingleTxtG"/>
        <w:rPr>
          <w:b/>
          <w:lang w:eastAsia="en-GB"/>
        </w:rPr>
      </w:pPr>
      <w:r>
        <w:rPr>
          <w:bCs/>
          <w:lang w:eastAsia="en-GB"/>
        </w:rPr>
        <w:t>101.</w:t>
      </w:r>
      <w:r>
        <w:rPr>
          <w:bCs/>
          <w:lang w:eastAsia="en-GB"/>
        </w:rPr>
        <w:tab/>
      </w:r>
      <w:r w:rsidR="00C52878">
        <w:rPr>
          <w:b/>
          <w:lang w:eastAsia="en-GB"/>
        </w:rPr>
        <w:t xml:space="preserve">The Special Rapporteur commends </w:t>
      </w:r>
      <w:r w:rsidR="0046460C" w:rsidRPr="002E4AEF">
        <w:rPr>
          <w:b/>
          <w:lang w:eastAsia="en-GB"/>
        </w:rPr>
        <w:t xml:space="preserve">Burundi for </w:t>
      </w:r>
      <w:r w:rsidR="0046460C">
        <w:rPr>
          <w:b/>
          <w:lang w:eastAsia="en-GB"/>
        </w:rPr>
        <w:t>establishing</w:t>
      </w:r>
      <w:r w:rsidR="0046460C" w:rsidRPr="002E4AEF">
        <w:rPr>
          <w:b/>
          <w:lang w:eastAsia="en-GB"/>
        </w:rPr>
        <w:t xml:space="preserve"> the Truth and Reconciliation Commission</w:t>
      </w:r>
      <w:r w:rsidR="00C52878">
        <w:rPr>
          <w:b/>
          <w:lang w:eastAsia="en-GB"/>
        </w:rPr>
        <w:t xml:space="preserve"> and</w:t>
      </w:r>
      <w:r w:rsidR="0046460C" w:rsidRPr="002E4AEF">
        <w:rPr>
          <w:b/>
          <w:lang w:eastAsia="en-GB"/>
        </w:rPr>
        <w:t xml:space="preserve"> underscores the centrality of the Commission’s independence </w:t>
      </w:r>
      <w:r w:rsidR="00C21F0D">
        <w:rPr>
          <w:b/>
          <w:lang w:eastAsia="en-GB"/>
        </w:rPr>
        <w:t xml:space="preserve">in order </w:t>
      </w:r>
      <w:r w:rsidR="0046460C">
        <w:rPr>
          <w:b/>
          <w:lang w:eastAsia="en-GB"/>
        </w:rPr>
        <w:t xml:space="preserve">for it </w:t>
      </w:r>
      <w:r w:rsidR="0046460C" w:rsidRPr="002E4AEF">
        <w:rPr>
          <w:b/>
          <w:lang w:eastAsia="en-GB"/>
        </w:rPr>
        <w:t xml:space="preserve">to gain credibility and </w:t>
      </w:r>
      <w:r w:rsidR="00C21F0D">
        <w:rPr>
          <w:b/>
          <w:lang w:eastAsia="en-GB"/>
        </w:rPr>
        <w:t xml:space="preserve">the </w:t>
      </w:r>
      <w:r w:rsidR="0046460C" w:rsidRPr="002E4AEF">
        <w:rPr>
          <w:b/>
          <w:lang w:eastAsia="en-GB"/>
        </w:rPr>
        <w:t>trust of the population</w:t>
      </w:r>
      <w:r w:rsidR="00C21F0D">
        <w:rPr>
          <w:b/>
          <w:lang w:eastAsia="en-GB"/>
        </w:rPr>
        <w:t xml:space="preserve">, </w:t>
      </w:r>
      <w:r w:rsidR="0046460C" w:rsidRPr="002E4AEF">
        <w:rPr>
          <w:b/>
          <w:lang w:eastAsia="en-GB"/>
        </w:rPr>
        <w:t>in particular</w:t>
      </w:r>
      <w:r w:rsidR="00C21F0D">
        <w:rPr>
          <w:b/>
          <w:lang w:eastAsia="en-GB"/>
        </w:rPr>
        <w:t xml:space="preserve"> victims</w:t>
      </w:r>
      <w:r w:rsidR="0046460C" w:rsidRPr="002E4AEF">
        <w:rPr>
          <w:b/>
          <w:lang w:eastAsia="en-GB"/>
        </w:rPr>
        <w:t xml:space="preserve">. He also warns </w:t>
      </w:r>
      <w:r w:rsidR="00FB48DC">
        <w:rPr>
          <w:b/>
          <w:lang w:eastAsia="en-GB"/>
        </w:rPr>
        <w:t xml:space="preserve">against </w:t>
      </w:r>
      <w:r w:rsidR="00022E24">
        <w:rPr>
          <w:b/>
          <w:lang w:eastAsia="en-GB"/>
        </w:rPr>
        <w:t>turning the Commission into a mere pardon mechanism</w:t>
      </w:r>
      <w:r w:rsidR="0046460C" w:rsidRPr="002E4AEF">
        <w:rPr>
          <w:b/>
          <w:lang w:eastAsia="en-GB"/>
        </w:rPr>
        <w:t xml:space="preserve"> </w:t>
      </w:r>
      <w:r w:rsidR="00FB48DC">
        <w:rPr>
          <w:b/>
          <w:lang w:eastAsia="en-GB"/>
        </w:rPr>
        <w:t xml:space="preserve">which would </w:t>
      </w:r>
      <w:r w:rsidR="0046460C">
        <w:rPr>
          <w:b/>
          <w:lang w:eastAsia="en-GB"/>
        </w:rPr>
        <w:t>derail</w:t>
      </w:r>
      <w:r w:rsidR="0046460C" w:rsidRPr="002E4AEF">
        <w:rPr>
          <w:b/>
          <w:lang w:eastAsia="en-GB"/>
        </w:rPr>
        <w:t xml:space="preserve"> </w:t>
      </w:r>
      <w:r w:rsidR="00C52878">
        <w:rPr>
          <w:b/>
          <w:lang w:eastAsia="en-GB"/>
        </w:rPr>
        <w:t>its</w:t>
      </w:r>
      <w:r w:rsidR="00022E24" w:rsidRPr="002E4AEF">
        <w:rPr>
          <w:b/>
          <w:lang w:eastAsia="en-GB"/>
        </w:rPr>
        <w:t xml:space="preserve"> </w:t>
      </w:r>
      <w:r w:rsidR="0046460C" w:rsidRPr="002E4AEF">
        <w:rPr>
          <w:b/>
          <w:lang w:eastAsia="en-GB"/>
        </w:rPr>
        <w:t>major truth-seeking</w:t>
      </w:r>
      <w:r w:rsidR="00FB48DC">
        <w:rPr>
          <w:b/>
          <w:lang w:eastAsia="en-GB"/>
        </w:rPr>
        <w:t xml:space="preserve"> function</w:t>
      </w:r>
      <w:r w:rsidR="0046460C" w:rsidRPr="002E4AEF">
        <w:rPr>
          <w:b/>
          <w:lang w:eastAsia="en-GB"/>
        </w:rPr>
        <w:t xml:space="preserve">. </w:t>
      </w:r>
      <w:r w:rsidR="0046460C" w:rsidRPr="00B83903">
        <w:rPr>
          <w:b/>
          <w:lang w:eastAsia="en-GB"/>
        </w:rPr>
        <w:t xml:space="preserve">Individual pardon agreements </w:t>
      </w:r>
      <w:r w:rsidR="0046460C">
        <w:rPr>
          <w:b/>
          <w:lang w:eastAsia="en-GB"/>
        </w:rPr>
        <w:t xml:space="preserve">cannot constitute an </w:t>
      </w:r>
      <w:r w:rsidR="0046460C" w:rsidRPr="00B83903">
        <w:rPr>
          <w:b/>
          <w:lang w:eastAsia="en-GB"/>
        </w:rPr>
        <w:t>effective and comprehensive response to violation</w:t>
      </w:r>
      <w:r w:rsidR="00FB48DC">
        <w:rPr>
          <w:b/>
          <w:lang w:eastAsia="en-GB"/>
        </w:rPr>
        <w:t>s</w:t>
      </w:r>
      <w:r w:rsidR="0046460C" w:rsidRPr="00B83903">
        <w:rPr>
          <w:b/>
          <w:lang w:eastAsia="en-GB"/>
        </w:rPr>
        <w:t xml:space="preserve"> of the </w:t>
      </w:r>
      <w:r w:rsidR="00FB48DC">
        <w:rPr>
          <w:b/>
          <w:lang w:eastAsia="en-GB"/>
        </w:rPr>
        <w:t>fundamental</w:t>
      </w:r>
      <w:r w:rsidR="0046460C" w:rsidRPr="00B83903">
        <w:rPr>
          <w:b/>
          <w:lang w:eastAsia="en-GB"/>
        </w:rPr>
        <w:t xml:space="preserve"> principle of the rule of law</w:t>
      </w:r>
      <w:r w:rsidR="0046460C">
        <w:rPr>
          <w:b/>
          <w:lang w:eastAsia="en-GB"/>
        </w:rPr>
        <w:t xml:space="preserve"> that resulted from the massive individual violations.</w:t>
      </w:r>
    </w:p>
    <w:p w:rsidR="0046460C" w:rsidRDefault="00C71ACD" w:rsidP="00C71ACD">
      <w:pPr>
        <w:pStyle w:val="SingleTxtG"/>
        <w:rPr>
          <w:b/>
          <w:lang w:eastAsia="en-GB"/>
        </w:rPr>
      </w:pPr>
      <w:r>
        <w:rPr>
          <w:bCs/>
          <w:lang w:eastAsia="en-GB"/>
        </w:rPr>
        <w:t>102.</w:t>
      </w:r>
      <w:r>
        <w:rPr>
          <w:bCs/>
          <w:lang w:eastAsia="en-GB"/>
        </w:rPr>
        <w:tab/>
      </w:r>
      <w:r w:rsidR="00FB48DC">
        <w:rPr>
          <w:b/>
          <w:lang w:eastAsia="en-GB"/>
        </w:rPr>
        <w:t>Not e</w:t>
      </w:r>
      <w:r w:rsidR="0046460C">
        <w:rPr>
          <w:b/>
          <w:lang w:eastAsia="en-GB"/>
        </w:rPr>
        <w:t xml:space="preserve">ven a functional truth commission </w:t>
      </w:r>
      <w:r w:rsidR="00FB48DC">
        <w:rPr>
          <w:b/>
          <w:lang w:eastAsia="en-GB"/>
        </w:rPr>
        <w:t>can</w:t>
      </w:r>
      <w:r w:rsidR="0046460C">
        <w:rPr>
          <w:b/>
          <w:lang w:eastAsia="en-GB"/>
        </w:rPr>
        <w:t xml:space="preserve"> exhaust the agenda of transitional justice. </w:t>
      </w:r>
      <w:r w:rsidR="00FB48DC">
        <w:rPr>
          <w:b/>
          <w:lang w:eastAsia="en-GB"/>
        </w:rPr>
        <w:t>I</w:t>
      </w:r>
      <w:r w:rsidR="0046460C" w:rsidRPr="002E4AEF">
        <w:rPr>
          <w:b/>
          <w:lang w:eastAsia="en-GB"/>
        </w:rPr>
        <w:t>n the past decade</w:t>
      </w:r>
      <w:r w:rsidR="00FB48DC">
        <w:rPr>
          <w:b/>
          <w:lang w:eastAsia="en-GB"/>
        </w:rPr>
        <w:t>, the focus</w:t>
      </w:r>
      <w:r w:rsidR="0046460C" w:rsidRPr="002E4AEF">
        <w:rPr>
          <w:b/>
          <w:lang w:eastAsia="en-GB"/>
        </w:rPr>
        <w:t xml:space="preserve"> on establishing a truth commission has </w:t>
      </w:r>
      <w:r w:rsidR="00FB48DC">
        <w:rPr>
          <w:b/>
          <w:lang w:eastAsia="en-GB"/>
        </w:rPr>
        <w:t>taken precedence over</w:t>
      </w:r>
      <w:r w:rsidR="0046460C" w:rsidRPr="002E4AEF">
        <w:rPr>
          <w:b/>
          <w:lang w:eastAsia="en-GB"/>
        </w:rPr>
        <w:t xml:space="preserve"> other main areas of transitional justice, which deserve closer attention and action.</w:t>
      </w:r>
    </w:p>
    <w:p w:rsidR="0046460C" w:rsidRPr="002E4AEF" w:rsidRDefault="00C71ACD" w:rsidP="00C71ACD">
      <w:pPr>
        <w:pStyle w:val="SingleTxtG"/>
        <w:rPr>
          <w:b/>
          <w:lang w:eastAsia="en-GB"/>
        </w:rPr>
      </w:pPr>
      <w:r w:rsidRPr="002E4AEF">
        <w:rPr>
          <w:bCs/>
          <w:lang w:eastAsia="en-GB"/>
        </w:rPr>
        <w:t>103.</w:t>
      </w:r>
      <w:r w:rsidRPr="002E4AEF">
        <w:rPr>
          <w:bCs/>
          <w:lang w:eastAsia="en-GB"/>
        </w:rPr>
        <w:tab/>
      </w:r>
      <w:r w:rsidR="0046460C" w:rsidRPr="002E4AEF">
        <w:rPr>
          <w:b/>
          <w:lang w:eastAsia="en-GB"/>
        </w:rPr>
        <w:t xml:space="preserve">The Special Rapporteur is </w:t>
      </w:r>
      <w:r w:rsidR="00800792" w:rsidRPr="0078689C">
        <w:rPr>
          <w:b/>
          <w:lang w:eastAsia="en-GB"/>
        </w:rPr>
        <w:t>gravely</w:t>
      </w:r>
      <w:r w:rsidR="00800792">
        <w:rPr>
          <w:b/>
          <w:lang w:eastAsia="en-GB"/>
        </w:rPr>
        <w:t xml:space="preserve"> </w:t>
      </w:r>
      <w:r w:rsidR="0046460C" w:rsidRPr="002E4AEF">
        <w:rPr>
          <w:b/>
          <w:lang w:eastAsia="en-GB"/>
        </w:rPr>
        <w:t xml:space="preserve">concerned that discussions in the area of criminal justice for massive violations have </w:t>
      </w:r>
      <w:r w:rsidR="0046460C">
        <w:rPr>
          <w:b/>
          <w:lang w:eastAsia="en-GB"/>
        </w:rPr>
        <w:t>come to a halt</w:t>
      </w:r>
      <w:r w:rsidR="0046460C" w:rsidRPr="002E4AEF">
        <w:rPr>
          <w:b/>
          <w:lang w:eastAsia="en-GB"/>
        </w:rPr>
        <w:t>. Delaying d</w:t>
      </w:r>
      <w:r w:rsidR="00FB48DC">
        <w:rPr>
          <w:b/>
          <w:lang w:eastAsia="en-GB"/>
        </w:rPr>
        <w:t>iscussion</w:t>
      </w:r>
      <w:r w:rsidR="0046460C" w:rsidRPr="002E4AEF">
        <w:rPr>
          <w:b/>
          <w:lang w:eastAsia="en-GB"/>
        </w:rPr>
        <w:t xml:space="preserve"> on the se</w:t>
      </w:r>
      <w:r w:rsidR="00A2764A">
        <w:rPr>
          <w:b/>
          <w:lang w:eastAsia="en-GB"/>
        </w:rPr>
        <w:t>t</w:t>
      </w:r>
      <w:r w:rsidR="0046460C" w:rsidRPr="002E4AEF">
        <w:rPr>
          <w:b/>
          <w:lang w:eastAsia="en-GB"/>
        </w:rPr>
        <w:t>t</w:t>
      </w:r>
      <w:r w:rsidR="00FB48DC">
        <w:rPr>
          <w:b/>
          <w:lang w:eastAsia="en-GB"/>
        </w:rPr>
        <w:t xml:space="preserve">ing </w:t>
      </w:r>
      <w:r w:rsidR="0046460C" w:rsidRPr="002E4AEF">
        <w:rPr>
          <w:b/>
          <w:lang w:eastAsia="en-GB"/>
        </w:rPr>
        <w:t xml:space="preserve">up of judicial mechanisms until the </w:t>
      </w:r>
      <w:r w:rsidR="00FB48DC">
        <w:rPr>
          <w:b/>
          <w:lang w:eastAsia="en-GB"/>
        </w:rPr>
        <w:t>conclusion</w:t>
      </w:r>
      <w:r w:rsidR="0046460C" w:rsidRPr="002E4AEF">
        <w:rPr>
          <w:b/>
          <w:lang w:eastAsia="en-GB"/>
        </w:rPr>
        <w:t xml:space="preserve"> of the Truth and Reconciliation Commission</w:t>
      </w:r>
      <w:r w:rsidR="0046460C">
        <w:rPr>
          <w:b/>
          <w:lang w:eastAsia="en-GB"/>
        </w:rPr>
        <w:t>’s work means</w:t>
      </w:r>
      <w:r w:rsidR="0046460C" w:rsidRPr="002E4AEF">
        <w:rPr>
          <w:b/>
          <w:lang w:eastAsia="en-GB"/>
        </w:rPr>
        <w:t xml:space="preserve"> that justice will be foregone in a great number of cases. Furthermore, the </w:t>
      </w:r>
      <w:r w:rsidR="006851CB">
        <w:rPr>
          <w:b/>
          <w:lang w:eastAsia="en-GB"/>
        </w:rPr>
        <w:t>“</w:t>
      </w:r>
      <w:r w:rsidR="0046460C" w:rsidRPr="002E4AEF">
        <w:rPr>
          <w:b/>
          <w:lang w:eastAsia="en-GB"/>
        </w:rPr>
        <w:t>temporary</w:t>
      </w:r>
      <w:r w:rsidR="006851CB">
        <w:rPr>
          <w:b/>
          <w:lang w:eastAsia="en-GB"/>
        </w:rPr>
        <w:t>”</w:t>
      </w:r>
      <w:r w:rsidR="0046460C" w:rsidRPr="002E4AEF">
        <w:rPr>
          <w:b/>
          <w:lang w:eastAsia="en-GB"/>
        </w:rPr>
        <w:t xml:space="preserve"> immunities regime, which has been significantly expanded in scope, </w:t>
      </w:r>
      <w:r w:rsidR="00FB48DC">
        <w:rPr>
          <w:b/>
          <w:lang w:eastAsia="en-GB"/>
        </w:rPr>
        <w:t xml:space="preserve">is </w:t>
      </w:r>
      <w:r w:rsidR="0046460C" w:rsidRPr="002E4AEF">
        <w:rPr>
          <w:b/>
          <w:lang w:eastAsia="en-GB"/>
        </w:rPr>
        <w:t>effectively</w:t>
      </w:r>
      <w:r w:rsidR="0046460C">
        <w:rPr>
          <w:b/>
          <w:lang w:eastAsia="en-GB"/>
        </w:rPr>
        <w:t xml:space="preserve"> </w:t>
      </w:r>
      <w:r w:rsidR="0046460C" w:rsidRPr="002E4AEF">
        <w:rPr>
          <w:b/>
          <w:lang w:eastAsia="en-GB"/>
        </w:rPr>
        <w:t>blocking prosecution efforts.</w:t>
      </w:r>
    </w:p>
    <w:p w:rsidR="0046460C" w:rsidRPr="002E4AEF" w:rsidRDefault="00C71ACD" w:rsidP="00C71ACD">
      <w:pPr>
        <w:pStyle w:val="SingleTxtG"/>
        <w:rPr>
          <w:b/>
          <w:lang w:eastAsia="en-GB"/>
        </w:rPr>
      </w:pPr>
      <w:r w:rsidRPr="002E4AEF">
        <w:rPr>
          <w:bCs/>
          <w:lang w:eastAsia="en-GB"/>
        </w:rPr>
        <w:t>104.</w:t>
      </w:r>
      <w:r w:rsidRPr="002E4AEF">
        <w:rPr>
          <w:bCs/>
          <w:lang w:eastAsia="en-GB"/>
        </w:rPr>
        <w:tab/>
      </w:r>
      <w:r w:rsidR="0046460C" w:rsidRPr="002E4AEF">
        <w:rPr>
          <w:b/>
          <w:lang w:eastAsia="en-GB"/>
        </w:rPr>
        <w:t>Reparation initiatives</w:t>
      </w:r>
      <w:r w:rsidR="0046460C">
        <w:rPr>
          <w:b/>
          <w:lang w:eastAsia="en-GB"/>
        </w:rPr>
        <w:t>, thus far,</w:t>
      </w:r>
      <w:r w:rsidR="0046460C" w:rsidRPr="002E4AEF">
        <w:rPr>
          <w:b/>
          <w:lang w:eastAsia="en-GB"/>
        </w:rPr>
        <w:t xml:space="preserve"> have focused</w:t>
      </w:r>
      <w:r w:rsidR="0046460C">
        <w:rPr>
          <w:b/>
          <w:lang w:eastAsia="en-GB"/>
        </w:rPr>
        <w:t xml:space="preserve"> mainly</w:t>
      </w:r>
      <w:r w:rsidR="0046460C" w:rsidRPr="002E4AEF">
        <w:rPr>
          <w:b/>
          <w:lang w:eastAsia="en-GB"/>
        </w:rPr>
        <w:t xml:space="preserve"> on the restitution of land, while other forms of reparation, particularly rehabilitation of victims, have been </w:t>
      </w:r>
      <w:r w:rsidR="0046460C">
        <w:rPr>
          <w:b/>
          <w:lang w:eastAsia="en-GB"/>
        </w:rPr>
        <w:t>excluded</w:t>
      </w:r>
      <w:r w:rsidR="0046460C" w:rsidRPr="002E4AEF">
        <w:rPr>
          <w:b/>
          <w:lang w:eastAsia="en-GB"/>
        </w:rPr>
        <w:t xml:space="preserve">. In recent years, land disputes </w:t>
      </w:r>
      <w:r w:rsidR="00FB48DC">
        <w:rPr>
          <w:b/>
          <w:lang w:eastAsia="en-GB"/>
        </w:rPr>
        <w:t xml:space="preserve">have become </w:t>
      </w:r>
      <w:r w:rsidR="0046460C">
        <w:rPr>
          <w:b/>
          <w:lang w:eastAsia="en-GB"/>
        </w:rPr>
        <w:t>a</w:t>
      </w:r>
      <w:r w:rsidR="00FB48DC">
        <w:rPr>
          <w:b/>
          <w:lang w:eastAsia="en-GB"/>
        </w:rPr>
        <w:t>n area</w:t>
      </w:r>
      <w:r w:rsidR="0046460C">
        <w:rPr>
          <w:b/>
          <w:lang w:eastAsia="en-GB"/>
        </w:rPr>
        <w:t xml:space="preserve"> for</w:t>
      </w:r>
      <w:r w:rsidR="0046460C" w:rsidRPr="002E4AEF">
        <w:rPr>
          <w:b/>
          <w:lang w:eastAsia="en-GB"/>
        </w:rPr>
        <w:t xml:space="preserve"> the potential resurrection of tension with ethnic connotation</w:t>
      </w:r>
      <w:r w:rsidR="0046460C">
        <w:rPr>
          <w:b/>
          <w:lang w:eastAsia="en-GB"/>
        </w:rPr>
        <w:t>s</w:t>
      </w:r>
      <w:r w:rsidR="0046460C" w:rsidRPr="002E4AEF">
        <w:rPr>
          <w:b/>
          <w:lang w:eastAsia="en-GB"/>
        </w:rPr>
        <w:t xml:space="preserve">. The independent and impartial functioning of the Commission </w:t>
      </w:r>
      <w:r w:rsidR="00C52878">
        <w:rPr>
          <w:b/>
          <w:lang w:eastAsia="en-GB"/>
        </w:rPr>
        <w:t>on</w:t>
      </w:r>
      <w:r w:rsidR="005A327C">
        <w:rPr>
          <w:b/>
          <w:lang w:eastAsia="en-GB"/>
        </w:rPr>
        <w:t xml:space="preserve"> </w:t>
      </w:r>
      <w:r w:rsidR="00C52878">
        <w:rPr>
          <w:b/>
          <w:lang w:eastAsia="en-GB"/>
        </w:rPr>
        <w:t>L</w:t>
      </w:r>
      <w:r w:rsidR="0046460C" w:rsidRPr="002E4AEF">
        <w:rPr>
          <w:b/>
          <w:lang w:eastAsia="en-GB"/>
        </w:rPr>
        <w:t xml:space="preserve">and and </w:t>
      </w:r>
      <w:r w:rsidR="00C52878">
        <w:rPr>
          <w:b/>
          <w:lang w:eastAsia="en-GB"/>
        </w:rPr>
        <w:t>O</w:t>
      </w:r>
      <w:r w:rsidR="0046460C" w:rsidRPr="002E4AEF">
        <w:rPr>
          <w:b/>
          <w:lang w:eastAsia="en-GB"/>
        </w:rPr>
        <w:t xml:space="preserve">ther </w:t>
      </w:r>
      <w:r w:rsidR="00C52878">
        <w:rPr>
          <w:b/>
          <w:lang w:eastAsia="en-GB"/>
        </w:rPr>
        <w:t>A</w:t>
      </w:r>
      <w:r w:rsidR="0046460C" w:rsidRPr="002E4AEF">
        <w:rPr>
          <w:b/>
          <w:lang w:eastAsia="en-GB"/>
        </w:rPr>
        <w:t xml:space="preserve">ssets and the newly established Special Court are </w:t>
      </w:r>
      <w:r w:rsidR="0046460C">
        <w:rPr>
          <w:b/>
          <w:lang w:eastAsia="en-GB"/>
        </w:rPr>
        <w:t xml:space="preserve">crucial </w:t>
      </w:r>
      <w:r w:rsidR="0046460C" w:rsidRPr="002E4AEF">
        <w:rPr>
          <w:b/>
          <w:lang w:eastAsia="en-GB"/>
        </w:rPr>
        <w:t xml:space="preserve">in ensuring that those disputes are settled without consideration of </w:t>
      </w:r>
      <w:r w:rsidR="0046460C">
        <w:rPr>
          <w:b/>
          <w:lang w:eastAsia="en-GB"/>
        </w:rPr>
        <w:t xml:space="preserve">ethnic, </w:t>
      </w:r>
      <w:r w:rsidR="0046460C" w:rsidRPr="002E4AEF">
        <w:rPr>
          <w:b/>
          <w:lang w:eastAsia="en-GB"/>
        </w:rPr>
        <w:t xml:space="preserve">political or other affiliation. </w:t>
      </w:r>
    </w:p>
    <w:p w:rsidR="0046460C" w:rsidRPr="0098195C" w:rsidRDefault="00C71ACD" w:rsidP="00C71ACD">
      <w:pPr>
        <w:pStyle w:val="SingleTxtG"/>
        <w:rPr>
          <w:b/>
          <w:lang w:eastAsia="en-GB"/>
        </w:rPr>
      </w:pPr>
      <w:r w:rsidRPr="0098195C">
        <w:rPr>
          <w:bCs/>
          <w:lang w:eastAsia="en-GB"/>
        </w:rPr>
        <w:t>105.</w:t>
      </w:r>
      <w:r w:rsidRPr="0098195C">
        <w:rPr>
          <w:bCs/>
          <w:lang w:eastAsia="en-GB"/>
        </w:rPr>
        <w:tab/>
      </w:r>
      <w:r w:rsidR="0046460C" w:rsidRPr="0098195C">
        <w:rPr>
          <w:b/>
          <w:lang w:eastAsia="en-GB"/>
        </w:rPr>
        <w:t xml:space="preserve">While </w:t>
      </w:r>
      <w:r w:rsidR="00C8710B" w:rsidRPr="0098195C">
        <w:rPr>
          <w:b/>
          <w:lang w:eastAsia="en-GB"/>
        </w:rPr>
        <w:t xml:space="preserve">commendable </w:t>
      </w:r>
      <w:r w:rsidR="0046460C" w:rsidRPr="0098195C">
        <w:rPr>
          <w:b/>
          <w:lang w:eastAsia="en-GB"/>
        </w:rPr>
        <w:t xml:space="preserve">achievements in the area of demobilization, disarmament and reintegration </w:t>
      </w:r>
      <w:r w:rsidR="00557E20" w:rsidRPr="0098195C">
        <w:rPr>
          <w:b/>
          <w:lang w:eastAsia="en-GB"/>
        </w:rPr>
        <w:t xml:space="preserve">were </w:t>
      </w:r>
      <w:r w:rsidR="00C8710B" w:rsidRPr="0098195C">
        <w:rPr>
          <w:b/>
          <w:lang w:eastAsia="en-GB"/>
        </w:rPr>
        <w:t>made</w:t>
      </w:r>
      <w:r w:rsidR="0046460C" w:rsidRPr="0098195C">
        <w:rPr>
          <w:b/>
          <w:lang w:eastAsia="en-GB"/>
        </w:rPr>
        <w:t xml:space="preserve">, </w:t>
      </w:r>
      <w:r w:rsidR="00C12D6E" w:rsidRPr="0098195C">
        <w:rPr>
          <w:b/>
          <w:lang w:eastAsia="en-GB"/>
        </w:rPr>
        <w:t>the</w:t>
      </w:r>
      <w:r w:rsidR="0046460C" w:rsidRPr="0098195C">
        <w:rPr>
          <w:b/>
          <w:lang w:eastAsia="en-GB"/>
        </w:rPr>
        <w:t xml:space="preserve"> necessary link </w:t>
      </w:r>
      <w:r w:rsidR="005A327C" w:rsidRPr="0098195C">
        <w:rPr>
          <w:b/>
          <w:lang w:eastAsia="en-GB"/>
        </w:rPr>
        <w:t>between security sector reform and</w:t>
      </w:r>
      <w:r w:rsidR="0046460C" w:rsidRPr="0098195C">
        <w:rPr>
          <w:b/>
          <w:lang w:eastAsia="en-GB"/>
        </w:rPr>
        <w:t xml:space="preserve"> justice efforts</w:t>
      </w:r>
      <w:r w:rsidR="00A2764A" w:rsidRPr="0098195C">
        <w:rPr>
          <w:b/>
          <w:lang w:eastAsia="en-GB"/>
        </w:rPr>
        <w:t xml:space="preserve"> is missing</w:t>
      </w:r>
      <w:r w:rsidR="0046460C" w:rsidRPr="0098195C">
        <w:rPr>
          <w:b/>
          <w:lang w:eastAsia="en-GB"/>
        </w:rPr>
        <w:t>. Establishing th</w:t>
      </w:r>
      <w:r w:rsidR="005A327C" w:rsidRPr="0098195C">
        <w:rPr>
          <w:b/>
          <w:lang w:eastAsia="en-GB"/>
        </w:rPr>
        <w:t>at</w:t>
      </w:r>
      <w:r w:rsidR="0046460C" w:rsidRPr="0098195C">
        <w:rPr>
          <w:b/>
          <w:lang w:eastAsia="en-GB"/>
        </w:rPr>
        <w:t xml:space="preserve"> link w</w:t>
      </w:r>
      <w:r w:rsidR="0014530F" w:rsidRPr="00E86863">
        <w:rPr>
          <w:b/>
          <w:lang w:eastAsia="en-GB"/>
        </w:rPr>
        <w:t>ill</w:t>
      </w:r>
      <w:r w:rsidR="0046460C" w:rsidRPr="0098195C">
        <w:rPr>
          <w:b/>
          <w:lang w:eastAsia="en-GB"/>
        </w:rPr>
        <w:t xml:space="preserve"> be </w:t>
      </w:r>
      <w:r w:rsidR="00C12D6E" w:rsidRPr="0098195C">
        <w:rPr>
          <w:b/>
          <w:lang w:eastAsia="en-GB"/>
        </w:rPr>
        <w:t xml:space="preserve">decisive </w:t>
      </w:r>
      <w:r w:rsidR="007C215A" w:rsidRPr="0098195C">
        <w:rPr>
          <w:b/>
          <w:lang w:eastAsia="en-GB"/>
        </w:rPr>
        <w:t>in</w:t>
      </w:r>
      <w:r w:rsidR="0046460C" w:rsidRPr="0098195C">
        <w:rPr>
          <w:b/>
          <w:lang w:eastAsia="en-GB"/>
        </w:rPr>
        <w:t xml:space="preserve"> help</w:t>
      </w:r>
      <w:r w:rsidR="007C215A" w:rsidRPr="0098195C">
        <w:rPr>
          <w:b/>
          <w:lang w:eastAsia="en-GB"/>
        </w:rPr>
        <w:t>ing to</w:t>
      </w:r>
      <w:r w:rsidR="0046460C" w:rsidRPr="0098195C">
        <w:rPr>
          <w:b/>
          <w:lang w:eastAsia="en-GB"/>
        </w:rPr>
        <w:t xml:space="preserve"> prevent future violations. </w:t>
      </w:r>
    </w:p>
    <w:p w:rsidR="0046460C" w:rsidRPr="002E4AEF" w:rsidRDefault="00C71ACD" w:rsidP="00C71ACD">
      <w:pPr>
        <w:pStyle w:val="SingleTxtG"/>
        <w:rPr>
          <w:b/>
          <w:lang w:eastAsia="en-GB"/>
        </w:rPr>
      </w:pPr>
      <w:r w:rsidRPr="002E4AEF">
        <w:rPr>
          <w:bCs/>
          <w:lang w:eastAsia="en-GB"/>
        </w:rPr>
        <w:t>106.</w:t>
      </w:r>
      <w:r w:rsidRPr="002E4AEF">
        <w:rPr>
          <w:bCs/>
          <w:lang w:eastAsia="en-GB"/>
        </w:rPr>
        <w:tab/>
      </w:r>
      <w:r w:rsidR="0046460C">
        <w:rPr>
          <w:b/>
          <w:lang w:eastAsia="en-GB"/>
        </w:rPr>
        <w:t>T</w:t>
      </w:r>
      <w:r w:rsidR="0046460C" w:rsidRPr="002E4AEF">
        <w:rPr>
          <w:b/>
          <w:lang w:eastAsia="en-GB"/>
        </w:rPr>
        <w:t>he need for reform to establish an independent judiciary is broadly acknowledged</w:t>
      </w:r>
      <w:r w:rsidR="0046460C">
        <w:rPr>
          <w:b/>
          <w:lang w:eastAsia="en-GB"/>
        </w:rPr>
        <w:t xml:space="preserve">. </w:t>
      </w:r>
      <w:r w:rsidR="0013673E">
        <w:rPr>
          <w:b/>
          <w:lang w:eastAsia="en-GB"/>
        </w:rPr>
        <w:t>However, t</w:t>
      </w:r>
      <w:r w:rsidR="0046460C" w:rsidRPr="002E4AEF">
        <w:rPr>
          <w:b/>
          <w:lang w:eastAsia="en-GB"/>
        </w:rPr>
        <w:t>he executive branch and the governing political party</w:t>
      </w:r>
      <w:r w:rsidR="0046460C">
        <w:rPr>
          <w:b/>
          <w:lang w:eastAsia="en-GB"/>
        </w:rPr>
        <w:t xml:space="preserve"> continue to control the justice sector</w:t>
      </w:r>
      <w:r w:rsidR="0013673E">
        <w:rPr>
          <w:b/>
          <w:lang w:eastAsia="en-GB"/>
        </w:rPr>
        <w:t xml:space="preserve"> at all levels</w:t>
      </w:r>
      <w:r w:rsidR="0046460C">
        <w:rPr>
          <w:b/>
          <w:lang w:eastAsia="en-GB"/>
        </w:rPr>
        <w:t xml:space="preserve">. </w:t>
      </w:r>
    </w:p>
    <w:p w:rsidR="0046460C" w:rsidRDefault="00C71ACD" w:rsidP="00C71ACD">
      <w:pPr>
        <w:pStyle w:val="SingleTxtG"/>
        <w:rPr>
          <w:b/>
          <w:lang w:eastAsia="en-GB"/>
        </w:rPr>
      </w:pPr>
      <w:r>
        <w:rPr>
          <w:bCs/>
          <w:lang w:eastAsia="en-GB"/>
        </w:rPr>
        <w:t>107.</w:t>
      </w:r>
      <w:r>
        <w:rPr>
          <w:bCs/>
          <w:lang w:eastAsia="en-GB"/>
        </w:rPr>
        <w:tab/>
      </w:r>
      <w:r w:rsidR="0046460C" w:rsidRPr="002E4AEF">
        <w:rPr>
          <w:b/>
          <w:lang w:eastAsia="en-GB"/>
        </w:rPr>
        <w:t xml:space="preserve">Burundian society has suffered from </w:t>
      </w:r>
      <w:r w:rsidR="005A327C">
        <w:rPr>
          <w:b/>
          <w:lang w:eastAsia="en-GB"/>
        </w:rPr>
        <w:t>decades of</w:t>
      </w:r>
      <w:r w:rsidR="0046460C" w:rsidRPr="002E4AEF">
        <w:rPr>
          <w:b/>
          <w:lang w:eastAsia="en-GB"/>
        </w:rPr>
        <w:t xml:space="preserve"> unaddressed intergenerational transmission of violence. </w:t>
      </w:r>
      <w:r w:rsidR="00BD13F4">
        <w:rPr>
          <w:b/>
          <w:lang w:eastAsia="en-GB"/>
        </w:rPr>
        <w:t xml:space="preserve">Four </w:t>
      </w:r>
      <w:r w:rsidR="0046460C">
        <w:rPr>
          <w:b/>
          <w:lang w:eastAsia="en-GB"/>
        </w:rPr>
        <w:t xml:space="preserve">ways to counter the transfer of </w:t>
      </w:r>
      <w:r w:rsidR="0046460C" w:rsidRPr="002E4AEF">
        <w:rPr>
          <w:b/>
          <w:lang w:eastAsia="en-GB"/>
        </w:rPr>
        <w:t xml:space="preserve">historical narratives </w:t>
      </w:r>
      <w:r w:rsidR="0046460C">
        <w:rPr>
          <w:b/>
          <w:lang w:eastAsia="en-GB"/>
        </w:rPr>
        <w:t xml:space="preserve">that replicate </w:t>
      </w:r>
      <w:r w:rsidR="0046460C" w:rsidRPr="002E4AEF">
        <w:rPr>
          <w:b/>
          <w:lang w:eastAsia="en-GB"/>
        </w:rPr>
        <w:t>old divisions of identity and reproduc</w:t>
      </w:r>
      <w:r w:rsidR="0046460C">
        <w:rPr>
          <w:b/>
          <w:lang w:eastAsia="en-GB"/>
        </w:rPr>
        <w:t>e</w:t>
      </w:r>
      <w:r w:rsidR="0046460C" w:rsidRPr="002E4AEF">
        <w:rPr>
          <w:b/>
          <w:lang w:eastAsia="en-GB"/>
        </w:rPr>
        <w:t xml:space="preserve"> fear and injustice</w:t>
      </w:r>
      <w:r w:rsidR="0046460C">
        <w:rPr>
          <w:b/>
          <w:lang w:eastAsia="en-GB"/>
        </w:rPr>
        <w:t xml:space="preserve"> are</w:t>
      </w:r>
      <w:r w:rsidR="00BD13F4">
        <w:rPr>
          <w:b/>
          <w:lang w:eastAsia="en-GB"/>
        </w:rPr>
        <w:t>:</w:t>
      </w:r>
      <w:r w:rsidR="0046460C">
        <w:rPr>
          <w:b/>
          <w:lang w:eastAsia="en-GB"/>
        </w:rPr>
        <w:t xml:space="preserve"> (</w:t>
      </w:r>
      <w:r w:rsidR="009F0CD1">
        <w:rPr>
          <w:b/>
          <w:lang w:eastAsia="en-GB"/>
        </w:rPr>
        <w:t>a</w:t>
      </w:r>
      <w:r w:rsidR="0046460C">
        <w:rPr>
          <w:b/>
          <w:lang w:eastAsia="en-GB"/>
        </w:rPr>
        <w:t>) to develop curricula and teaching methodologies that foster objectivity, analysis and dialogue; (</w:t>
      </w:r>
      <w:r w:rsidR="009F0CD1">
        <w:rPr>
          <w:b/>
          <w:lang w:eastAsia="en-GB"/>
        </w:rPr>
        <w:t>b</w:t>
      </w:r>
      <w:r w:rsidR="0046460C">
        <w:rPr>
          <w:b/>
          <w:lang w:eastAsia="en-GB"/>
        </w:rPr>
        <w:t>) to support, not control or impede, memorialization activities consistent with respect for the facts and the memories of others; (</w:t>
      </w:r>
      <w:r w:rsidR="009F0CD1">
        <w:rPr>
          <w:b/>
          <w:lang w:eastAsia="en-GB"/>
        </w:rPr>
        <w:t>c</w:t>
      </w:r>
      <w:r w:rsidR="0046460C">
        <w:rPr>
          <w:b/>
          <w:lang w:eastAsia="en-GB"/>
        </w:rPr>
        <w:t>) to map and recover burial sites</w:t>
      </w:r>
      <w:r w:rsidR="00BD13F4">
        <w:rPr>
          <w:b/>
          <w:lang w:eastAsia="en-GB"/>
        </w:rPr>
        <w:t>;</w:t>
      </w:r>
      <w:r w:rsidR="0046460C">
        <w:rPr>
          <w:b/>
          <w:lang w:eastAsia="en-GB"/>
        </w:rPr>
        <w:t xml:space="preserve"> and (</w:t>
      </w:r>
      <w:r w:rsidR="009F0CD1">
        <w:rPr>
          <w:b/>
          <w:lang w:eastAsia="en-GB"/>
        </w:rPr>
        <w:t>d</w:t>
      </w:r>
      <w:r w:rsidR="0046460C">
        <w:rPr>
          <w:b/>
          <w:lang w:eastAsia="en-GB"/>
        </w:rPr>
        <w:t>) to strengthen archival resources</w:t>
      </w:r>
      <w:r w:rsidR="00BD13F4">
        <w:rPr>
          <w:b/>
          <w:lang w:eastAsia="en-GB"/>
        </w:rPr>
        <w:t>,</w:t>
      </w:r>
      <w:r w:rsidR="0046460C">
        <w:rPr>
          <w:b/>
          <w:lang w:eastAsia="en-GB"/>
        </w:rPr>
        <w:t xml:space="preserve"> including documentation</w:t>
      </w:r>
      <w:r w:rsidR="00BD13F4">
        <w:rPr>
          <w:b/>
          <w:lang w:eastAsia="en-GB"/>
        </w:rPr>
        <w:t>,</w:t>
      </w:r>
      <w:r w:rsidR="0046460C">
        <w:rPr>
          <w:b/>
          <w:lang w:eastAsia="en-GB"/>
        </w:rPr>
        <w:t xml:space="preserve"> on past violations</w:t>
      </w:r>
      <w:r w:rsidR="0046460C" w:rsidRPr="002E4AEF">
        <w:rPr>
          <w:b/>
          <w:lang w:eastAsia="en-GB"/>
        </w:rPr>
        <w:t xml:space="preserve">. </w:t>
      </w:r>
    </w:p>
    <w:p w:rsidR="0046460C" w:rsidRPr="004316D1" w:rsidRDefault="00456BC0" w:rsidP="00734A8A">
      <w:pPr>
        <w:pStyle w:val="H1G"/>
        <w:rPr>
          <w:lang w:eastAsia="en-GB"/>
        </w:rPr>
      </w:pPr>
      <w:r>
        <w:rPr>
          <w:lang w:eastAsia="en-GB"/>
        </w:rPr>
        <w:tab/>
        <w:t>B.</w:t>
      </w:r>
      <w:r>
        <w:rPr>
          <w:lang w:eastAsia="en-GB"/>
        </w:rPr>
        <w:tab/>
      </w:r>
      <w:r w:rsidR="0046460C" w:rsidRPr="004316D1">
        <w:rPr>
          <w:lang w:eastAsia="en-GB"/>
        </w:rPr>
        <w:t>Recommendations</w:t>
      </w:r>
    </w:p>
    <w:p w:rsidR="0046460C" w:rsidRPr="002754F0" w:rsidRDefault="00C71ACD" w:rsidP="00C71ACD">
      <w:pPr>
        <w:pStyle w:val="SingleTxtG"/>
        <w:rPr>
          <w:b/>
          <w:lang w:eastAsia="en-GB"/>
        </w:rPr>
      </w:pPr>
      <w:r w:rsidRPr="002754F0">
        <w:rPr>
          <w:bCs/>
          <w:lang w:eastAsia="en-GB"/>
        </w:rPr>
        <w:t>108.</w:t>
      </w:r>
      <w:r w:rsidRPr="002754F0">
        <w:rPr>
          <w:bCs/>
          <w:lang w:eastAsia="en-GB"/>
        </w:rPr>
        <w:tab/>
      </w:r>
      <w:r w:rsidR="0046460C" w:rsidRPr="002754F0">
        <w:rPr>
          <w:b/>
          <w:lang w:eastAsia="en-GB"/>
        </w:rPr>
        <w:t xml:space="preserve">The Special Rapporteur urges the Burundian authorities to refrain from using transitional justice initiatives as instruments of </w:t>
      </w:r>
      <w:r w:rsidR="006851CB">
        <w:rPr>
          <w:b/>
          <w:lang w:eastAsia="en-GB"/>
        </w:rPr>
        <w:t>“</w:t>
      </w:r>
      <w:r w:rsidR="0046460C" w:rsidRPr="002754F0">
        <w:rPr>
          <w:b/>
          <w:lang w:eastAsia="en-GB"/>
        </w:rPr>
        <w:t>turn-taking</w:t>
      </w:r>
      <w:r w:rsidR="006851CB">
        <w:rPr>
          <w:b/>
          <w:lang w:eastAsia="en-GB"/>
        </w:rPr>
        <w:t>”</w:t>
      </w:r>
      <w:r w:rsidR="00BD13F4">
        <w:rPr>
          <w:b/>
          <w:lang w:eastAsia="en-GB"/>
        </w:rPr>
        <w:t>,</w:t>
      </w:r>
      <w:r w:rsidR="0046460C" w:rsidRPr="002754F0">
        <w:rPr>
          <w:b/>
          <w:lang w:eastAsia="en-GB"/>
        </w:rPr>
        <w:t xml:space="preserve"> </w:t>
      </w:r>
      <w:r w:rsidR="00BD13F4">
        <w:rPr>
          <w:b/>
          <w:lang w:eastAsia="en-GB"/>
        </w:rPr>
        <w:t>but</w:t>
      </w:r>
      <w:r w:rsidR="0046460C" w:rsidRPr="002754F0">
        <w:rPr>
          <w:b/>
          <w:lang w:eastAsia="en-GB"/>
        </w:rPr>
        <w:t xml:space="preserve"> instead, together with the whole Burundian society, develop and implement measures that genuinely </w:t>
      </w:r>
      <w:r w:rsidR="0046460C">
        <w:rPr>
          <w:b/>
          <w:lang w:eastAsia="en-GB"/>
        </w:rPr>
        <w:t>redress</w:t>
      </w:r>
      <w:r w:rsidR="0046460C" w:rsidRPr="002754F0">
        <w:rPr>
          <w:b/>
          <w:lang w:eastAsia="en-GB"/>
        </w:rPr>
        <w:t xml:space="preserve"> past</w:t>
      </w:r>
      <w:r w:rsidR="0046460C">
        <w:rPr>
          <w:b/>
          <w:lang w:eastAsia="en-GB"/>
        </w:rPr>
        <w:t xml:space="preserve"> massive violations</w:t>
      </w:r>
      <w:r w:rsidR="00BD13F4">
        <w:rPr>
          <w:b/>
          <w:lang w:eastAsia="en-GB"/>
        </w:rPr>
        <w:t>,</w:t>
      </w:r>
      <w:r w:rsidR="0046460C">
        <w:rPr>
          <w:b/>
          <w:lang w:eastAsia="en-GB"/>
        </w:rPr>
        <w:t xml:space="preserve"> and</w:t>
      </w:r>
      <w:r w:rsidR="0046460C" w:rsidRPr="002754F0">
        <w:rPr>
          <w:b/>
          <w:lang w:eastAsia="en-GB"/>
        </w:rPr>
        <w:t xml:space="preserve"> devise effective strateg</w:t>
      </w:r>
      <w:r w:rsidR="0046460C">
        <w:rPr>
          <w:b/>
          <w:lang w:eastAsia="en-GB"/>
        </w:rPr>
        <w:t>ies</w:t>
      </w:r>
      <w:r w:rsidR="0046460C" w:rsidRPr="002754F0">
        <w:rPr>
          <w:b/>
          <w:lang w:eastAsia="en-GB"/>
        </w:rPr>
        <w:t xml:space="preserve"> to prevent </w:t>
      </w:r>
      <w:r w:rsidR="0046460C">
        <w:rPr>
          <w:b/>
          <w:lang w:eastAsia="en-GB"/>
        </w:rPr>
        <w:t xml:space="preserve">the recurrence of such </w:t>
      </w:r>
      <w:r w:rsidR="0046460C" w:rsidRPr="002754F0">
        <w:rPr>
          <w:b/>
          <w:lang w:eastAsia="en-GB"/>
        </w:rPr>
        <w:t>violations.</w:t>
      </w:r>
    </w:p>
    <w:p w:rsidR="0046460C" w:rsidRPr="002754F0" w:rsidRDefault="00C71ACD" w:rsidP="00C71ACD">
      <w:pPr>
        <w:pStyle w:val="SingleTxtG"/>
        <w:rPr>
          <w:b/>
          <w:lang w:eastAsia="en-GB"/>
        </w:rPr>
      </w:pPr>
      <w:r w:rsidRPr="002754F0">
        <w:rPr>
          <w:bCs/>
          <w:lang w:eastAsia="en-GB"/>
        </w:rPr>
        <w:t>109.</w:t>
      </w:r>
      <w:r w:rsidRPr="002754F0">
        <w:rPr>
          <w:bCs/>
          <w:lang w:eastAsia="en-GB"/>
        </w:rPr>
        <w:tab/>
      </w:r>
      <w:r w:rsidR="00BD13F4">
        <w:rPr>
          <w:b/>
          <w:lang w:eastAsia="en-GB"/>
        </w:rPr>
        <w:t>Recalling the importance of the Arusha Agreement and the 2005 Constitution</w:t>
      </w:r>
      <w:r w:rsidR="007C215A">
        <w:rPr>
          <w:b/>
          <w:lang w:eastAsia="en-GB"/>
        </w:rPr>
        <w:t xml:space="preserve"> with regard to</w:t>
      </w:r>
      <w:r w:rsidR="007C215A" w:rsidRPr="002754F0">
        <w:rPr>
          <w:b/>
          <w:lang w:eastAsia="en-GB"/>
        </w:rPr>
        <w:t xml:space="preserve"> truth-seeking</w:t>
      </w:r>
      <w:r w:rsidR="007C215A">
        <w:rPr>
          <w:b/>
          <w:lang w:eastAsia="en-GB"/>
        </w:rPr>
        <w:t>,</w:t>
      </w:r>
      <w:r w:rsidR="00BD13F4">
        <w:rPr>
          <w:b/>
          <w:lang w:eastAsia="en-GB"/>
        </w:rPr>
        <w:t xml:space="preserve"> the Special Rapporteur</w:t>
      </w:r>
      <w:r w:rsidR="00DC4EA1">
        <w:rPr>
          <w:b/>
          <w:lang w:eastAsia="en-GB"/>
        </w:rPr>
        <w:t xml:space="preserve"> calls on</w:t>
      </w:r>
      <w:r w:rsidR="0046460C" w:rsidRPr="002754F0">
        <w:rPr>
          <w:b/>
          <w:lang w:eastAsia="en-GB"/>
        </w:rPr>
        <w:t>:</w:t>
      </w:r>
    </w:p>
    <w:p w:rsidR="007C215A" w:rsidRDefault="0046460C" w:rsidP="007C215A">
      <w:pPr>
        <w:pStyle w:val="SingleTxtG"/>
        <w:ind w:firstLine="567"/>
        <w:rPr>
          <w:b/>
          <w:lang w:eastAsia="en-GB"/>
        </w:rPr>
      </w:pPr>
      <w:r w:rsidRPr="00A35DC5">
        <w:rPr>
          <w:bCs/>
          <w:lang w:eastAsia="en-GB"/>
        </w:rPr>
        <w:t>(a</w:t>
      </w:r>
      <w:r w:rsidR="00232536" w:rsidRPr="00A35DC5">
        <w:rPr>
          <w:bCs/>
          <w:lang w:eastAsia="en-GB"/>
        </w:rPr>
        <w:t>)</w:t>
      </w:r>
      <w:r w:rsidR="00232536">
        <w:rPr>
          <w:b/>
          <w:lang w:eastAsia="en-GB"/>
        </w:rPr>
        <w:tab/>
      </w:r>
      <w:r w:rsidR="00DC4EA1">
        <w:rPr>
          <w:b/>
          <w:lang w:eastAsia="en-GB"/>
        </w:rPr>
        <w:t>T</w:t>
      </w:r>
      <w:r w:rsidRPr="002754F0">
        <w:rPr>
          <w:b/>
          <w:lang w:eastAsia="en-GB"/>
        </w:rPr>
        <w:t>he Truth and Reconciliation Commission</w:t>
      </w:r>
      <w:r w:rsidR="007C215A">
        <w:rPr>
          <w:b/>
          <w:lang w:eastAsia="en-GB"/>
        </w:rPr>
        <w:t>:</w:t>
      </w:r>
    </w:p>
    <w:p w:rsidR="0046460C" w:rsidRDefault="0046460C" w:rsidP="0078689C">
      <w:pPr>
        <w:pStyle w:val="SingleTxtG"/>
        <w:ind w:left="1701"/>
        <w:rPr>
          <w:b/>
          <w:lang w:eastAsia="en-GB"/>
        </w:rPr>
      </w:pPr>
      <w:r w:rsidRPr="002754F0">
        <w:rPr>
          <w:b/>
          <w:lang w:eastAsia="en-GB"/>
        </w:rPr>
        <w:t xml:space="preserve"> </w:t>
      </w:r>
      <w:r w:rsidR="007C215A" w:rsidRPr="00E86863">
        <w:rPr>
          <w:bCs/>
          <w:lang w:eastAsia="en-GB"/>
        </w:rPr>
        <w:t>(i)</w:t>
      </w:r>
      <w:r w:rsidR="007C215A">
        <w:rPr>
          <w:b/>
          <w:lang w:eastAsia="en-GB"/>
        </w:rPr>
        <w:tab/>
        <w:t>T</w:t>
      </w:r>
      <w:r w:rsidRPr="002754F0">
        <w:rPr>
          <w:b/>
          <w:lang w:eastAsia="en-GB"/>
        </w:rPr>
        <w:t xml:space="preserve">o </w:t>
      </w:r>
      <w:r>
        <w:rPr>
          <w:b/>
          <w:lang w:eastAsia="en-GB"/>
        </w:rPr>
        <w:t>prioritize</w:t>
      </w:r>
      <w:r w:rsidRPr="002754F0">
        <w:rPr>
          <w:b/>
          <w:lang w:eastAsia="en-GB"/>
        </w:rPr>
        <w:t xml:space="preserve"> </w:t>
      </w:r>
      <w:r w:rsidR="007C215A">
        <w:rPr>
          <w:b/>
          <w:lang w:eastAsia="en-GB"/>
        </w:rPr>
        <w:t xml:space="preserve">the </w:t>
      </w:r>
      <w:r w:rsidRPr="002754F0">
        <w:rPr>
          <w:b/>
          <w:lang w:eastAsia="en-GB"/>
        </w:rPr>
        <w:t>establish</w:t>
      </w:r>
      <w:r w:rsidR="007C215A">
        <w:rPr>
          <w:b/>
          <w:lang w:eastAsia="en-GB"/>
        </w:rPr>
        <w:t>ment of</w:t>
      </w:r>
      <w:r w:rsidRPr="002754F0">
        <w:rPr>
          <w:b/>
          <w:lang w:eastAsia="en-GB"/>
        </w:rPr>
        <w:t xml:space="preserve"> facts </w:t>
      </w:r>
      <w:r>
        <w:rPr>
          <w:b/>
          <w:lang w:eastAsia="en-GB"/>
        </w:rPr>
        <w:t xml:space="preserve">and </w:t>
      </w:r>
      <w:r w:rsidR="00BD13F4">
        <w:rPr>
          <w:b/>
          <w:lang w:eastAsia="en-GB"/>
        </w:rPr>
        <w:t xml:space="preserve">to </w:t>
      </w:r>
      <w:r w:rsidRPr="002754F0">
        <w:rPr>
          <w:b/>
          <w:lang w:eastAsia="en-GB"/>
        </w:rPr>
        <w:t xml:space="preserve">refrain from using the pardon procedure </w:t>
      </w:r>
      <w:r>
        <w:rPr>
          <w:b/>
          <w:lang w:eastAsia="en-GB"/>
        </w:rPr>
        <w:t xml:space="preserve">in ways that would impede the clarification of facts or </w:t>
      </w:r>
      <w:r w:rsidRPr="002754F0">
        <w:rPr>
          <w:b/>
          <w:lang w:eastAsia="en-GB"/>
        </w:rPr>
        <w:t>criminal prosecutions;</w:t>
      </w:r>
    </w:p>
    <w:p w:rsidR="00624F8D" w:rsidRDefault="00624F8D" w:rsidP="0078689C">
      <w:pPr>
        <w:pStyle w:val="SingleTxtG"/>
        <w:ind w:left="1701"/>
        <w:rPr>
          <w:b/>
          <w:lang w:eastAsia="en-GB"/>
        </w:rPr>
      </w:pPr>
      <w:r w:rsidRPr="00E86863">
        <w:rPr>
          <w:bCs/>
          <w:lang w:eastAsia="en-GB"/>
        </w:rPr>
        <w:t>(ii)</w:t>
      </w:r>
      <w:r>
        <w:rPr>
          <w:b/>
          <w:lang w:eastAsia="en-GB"/>
        </w:rPr>
        <w:tab/>
        <w:t>T</w:t>
      </w:r>
      <w:r w:rsidR="0046460C" w:rsidRPr="002754F0">
        <w:rPr>
          <w:b/>
          <w:lang w:eastAsia="en-GB"/>
        </w:rPr>
        <w:t>o recruit civil society representatives speciali</w:t>
      </w:r>
      <w:r w:rsidR="00BD13F4">
        <w:rPr>
          <w:b/>
          <w:lang w:eastAsia="en-GB"/>
        </w:rPr>
        <w:t>z</w:t>
      </w:r>
      <w:r w:rsidR="0046460C" w:rsidRPr="002754F0">
        <w:rPr>
          <w:b/>
          <w:lang w:eastAsia="en-GB"/>
        </w:rPr>
        <w:t xml:space="preserve">ed in human rights </w:t>
      </w:r>
      <w:r w:rsidR="0046460C">
        <w:rPr>
          <w:b/>
          <w:lang w:eastAsia="en-GB"/>
        </w:rPr>
        <w:t>to</w:t>
      </w:r>
      <w:r w:rsidR="0046460C" w:rsidRPr="002754F0">
        <w:rPr>
          <w:b/>
          <w:lang w:eastAsia="en-GB"/>
        </w:rPr>
        <w:t xml:space="preserve"> its staff and </w:t>
      </w:r>
      <w:r w:rsidR="00BD13F4">
        <w:rPr>
          <w:b/>
          <w:lang w:eastAsia="en-GB"/>
        </w:rPr>
        <w:t xml:space="preserve">to </w:t>
      </w:r>
      <w:r w:rsidR="0046460C" w:rsidRPr="002754F0">
        <w:rPr>
          <w:b/>
          <w:lang w:eastAsia="en-GB"/>
        </w:rPr>
        <w:t>in</w:t>
      </w:r>
      <w:r w:rsidR="0046460C">
        <w:rPr>
          <w:b/>
          <w:lang w:eastAsia="en-GB"/>
        </w:rPr>
        <w:t>volve civil society and victims</w:t>
      </w:r>
      <w:r w:rsidR="0046460C" w:rsidRPr="002754F0">
        <w:rPr>
          <w:b/>
          <w:lang w:eastAsia="en-GB"/>
        </w:rPr>
        <w:t xml:space="preserve"> in its work</w:t>
      </w:r>
      <w:r>
        <w:rPr>
          <w:b/>
          <w:lang w:eastAsia="en-GB"/>
        </w:rPr>
        <w:t>, h</w:t>
      </w:r>
      <w:r w:rsidRPr="002754F0">
        <w:rPr>
          <w:b/>
          <w:lang w:eastAsia="en-GB"/>
        </w:rPr>
        <w:t>ighlight</w:t>
      </w:r>
      <w:r>
        <w:rPr>
          <w:b/>
          <w:lang w:eastAsia="en-GB"/>
        </w:rPr>
        <w:t>ing</w:t>
      </w:r>
      <w:r w:rsidRPr="002754F0">
        <w:rPr>
          <w:b/>
          <w:lang w:eastAsia="en-GB"/>
        </w:rPr>
        <w:t xml:space="preserve"> the importance </w:t>
      </w:r>
      <w:r>
        <w:rPr>
          <w:b/>
          <w:lang w:eastAsia="en-GB"/>
        </w:rPr>
        <w:t>for</w:t>
      </w:r>
      <w:r w:rsidR="008403B3">
        <w:rPr>
          <w:b/>
          <w:lang w:eastAsia="en-GB"/>
        </w:rPr>
        <w:t xml:space="preserve"> the Commission</w:t>
      </w:r>
      <w:r w:rsidR="0046460C" w:rsidRPr="002754F0">
        <w:rPr>
          <w:b/>
          <w:lang w:eastAsia="en-GB"/>
        </w:rPr>
        <w:t>;</w:t>
      </w:r>
    </w:p>
    <w:p w:rsidR="0046460C" w:rsidRPr="008403B3" w:rsidRDefault="00624F8D" w:rsidP="0078689C">
      <w:pPr>
        <w:pStyle w:val="SingleTxtG"/>
        <w:ind w:left="1701"/>
        <w:rPr>
          <w:b/>
          <w:lang w:eastAsia="en-GB"/>
        </w:rPr>
      </w:pPr>
      <w:r w:rsidRPr="00E86863">
        <w:rPr>
          <w:bCs/>
          <w:lang w:eastAsia="en-GB"/>
        </w:rPr>
        <w:t>(iii)</w:t>
      </w:r>
      <w:r w:rsidRPr="00E86863">
        <w:rPr>
          <w:bCs/>
          <w:lang w:eastAsia="en-GB"/>
        </w:rPr>
        <w:tab/>
      </w:r>
      <w:r w:rsidRPr="008403B3">
        <w:rPr>
          <w:b/>
          <w:lang w:eastAsia="en-GB"/>
        </w:rPr>
        <w:t>T</w:t>
      </w:r>
      <w:r w:rsidR="0046460C" w:rsidRPr="008403B3">
        <w:rPr>
          <w:b/>
          <w:lang w:eastAsia="en-GB"/>
        </w:rPr>
        <w:t>o utili</w:t>
      </w:r>
      <w:r w:rsidR="00BD13F4" w:rsidRPr="008403B3">
        <w:rPr>
          <w:b/>
          <w:lang w:eastAsia="en-GB"/>
        </w:rPr>
        <w:t>z</w:t>
      </w:r>
      <w:r w:rsidR="0046460C" w:rsidRPr="008403B3">
        <w:rPr>
          <w:b/>
          <w:lang w:eastAsia="en-GB"/>
        </w:rPr>
        <w:t xml:space="preserve">e the expertise of the </w:t>
      </w:r>
      <w:r w:rsidR="00BD13F4" w:rsidRPr="008403B3">
        <w:rPr>
          <w:b/>
          <w:lang w:eastAsia="en-GB"/>
        </w:rPr>
        <w:t>international</w:t>
      </w:r>
      <w:r w:rsidR="0046460C" w:rsidRPr="008403B3">
        <w:rPr>
          <w:b/>
          <w:lang w:eastAsia="en-GB"/>
        </w:rPr>
        <w:t xml:space="preserve"> Advisory Council </w:t>
      </w:r>
      <w:r w:rsidR="00BD13F4" w:rsidRPr="008403B3">
        <w:rPr>
          <w:b/>
          <w:lang w:eastAsia="en-GB"/>
        </w:rPr>
        <w:t>in</w:t>
      </w:r>
      <w:r w:rsidR="0046460C" w:rsidRPr="008403B3">
        <w:rPr>
          <w:b/>
          <w:lang w:eastAsia="en-GB"/>
        </w:rPr>
        <w:t xml:space="preserve"> substantive matters and to allow th</w:t>
      </w:r>
      <w:r w:rsidR="00BD13F4" w:rsidRPr="008403B3">
        <w:rPr>
          <w:b/>
          <w:lang w:eastAsia="en-GB"/>
        </w:rPr>
        <w:t>e</w:t>
      </w:r>
      <w:r w:rsidR="0046460C" w:rsidRPr="008403B3">
        <w:rPr>
          <w:b/>
          <w:lang w:eastAsia="en-GB"/>
        </w:rPr>
        <w:t xml:space="preserve"> Council to exercise its functions unhindered;</w:t>
      </w:r>
    </w:p>
    <w:p w:rsidR="00624F8D" w:rsidRDefault="00624F8D" w:rsidP="0078689C">
      <w:pPr>
        <w:pStyle w:val="SingleTxtG"/>
        <w:ind w:left="1701"/>
        <w:rPr>
          <w:b/>
          <w:lang w:eastAsia="en-GB"/>
        </w:rPr>
      </w:pPr>
      <w:proofErr w:type="gramStart"/>
      <w:r w:rsidRPr="00E86863">
        <w:rPr>
          <w:bCs/>
          <w:lang w:eastAsia="en-GB"/>
        </w:rPr>
        <w:t>(iv)</w:t>
      </w:r>
      <w:r>
        <w:rPr>
          <w:b/>
          <w:lang w:eastAsia="en-GB"/>
        </w:rPr>
        <w:tab/>
        <w:t>T</w:t>
      </w:r>
      <w:r w:rsidRPr="002754F0">
        <w:rPr>
          <w:b/>
          <w:lang w:eastAsia="en-GB"/>
        </w:rPr>
        <w:t>o</w:t>
      </w:r>
      <w:proofErr w:type="gramEnd"/>
      <w:r w:rsidRPr="002754F0">
        <w:rPr>
          <w:b/>
          <w:lang w:eastAsia="en-GB"/>
        </w:rPr>
        <w:t xml:space="preserve"> </w:t>
      </w:r>
      <w:r>
        <w:rPr>
          <w:b/>
          <w:lang w:eastAsia="en-GB"/>
        </w:rPr>
        <w:t>conduct</w:t>
      </w:r>
      <w:r w:rsidRPr="002754F0">
        <w:rPr>
          <w:b/>
          <w:lang w:eastAsia="en-GB"/>
        </w:rPr>
        <w:t xml:space="preserve"> targeted training on gender issues for </w:t>
      </w:r>
      <w:r w:rsidR="003E610A">
        <w:rPr>
          <w:b/>
          <w:lang w:eastAsia="en-GB"/>
        </w:rPr>
        <w:t>C</w:t>
      </w:r>
      <w:r w:rsidRPr="002754F0">
        <w:rPr>
          <w:b/>
          <w:lang w:eastAsia="en-GB"/>
        </w:rPr>
        <w:t xml:space="preserve">ommissioners and staff </w:t>
      </w:r>
      <w:r>
        <w:rPr>
          <w:b/>
          <w:lang w:eastAsia="en-GB"/>
        </w:rPr>
        <w:t xml:space="preserve">and to </w:t>
      </w:r>
      <w:r w:rsidRPr="002754F0">
        <w:rPr>
          <w:b/>
          <w:lang w:eastAsia="en-GB"/>
        </w:rPr>
        <w:t>ensure that a gender perspective is adequately mainstreamed in</w:t>
      </w:r>
      <w:r w:rsidR="006B7C4B">
        <w:rPr>
          <w:b/>
          <w:lang w:eastAsia="en-GB"/>
        </w:rPr>
        <w:t>to</w:t>
      </w:r>
      <w:r w:rsidRPr="002754F0">
        <w:rPr>
          <w:b/>
          <w:lang w:eastAsia="en-GB"/>
        </w:rPr>
        <w:t xml:space="preserve"> </w:t>
      </w:r>
      <w:r>
        <w:rPr>
          <w:b/>
          <w:lang w:eastAsia="en-GB"/>
        </w:rPr>
        <w:t>its</w:t>
      </w:r>
      <w:r w:rsidRPr="002754F0">
        <w:rPr>
          <w:b/>
          <w:lang w:eastAsia="en-GB"/>
        </w:rPr>
        <w:t xml:space="preserve"> work</w:t>
      </w:r>
      <w:r>
        <w:rPr>
          <w:b/>
          <w:lang w:eastAsia="en-GB"/>
        </w:rPr>
        <w:t>;</w:t>
      </w:r>
    </w:p>
    <w:p w:rsidR="00624F8D" w:rsidRPr="002754F0" w:rsidRDefault="00624F8D" w:rsidP="008403B3">
      <w:pPr>
        <w:pStyle w:val="SingleTxtG"/>
        <w:ind w:firstLine="567"/>
        <w:rPr>
          <w:b/>
          <w:lang w:eastAsia="en-GB"/>
        </w:rPr>
      </w:pPr>
      <w:r w:rsidRPr="00A35DC5">
        <w:rPr>
          <w:bCs/>
          <w:lang w:eastAsia="en-GB"/>
        </w:rPr>
        <w:t>(b)</w:t>
      </w:r>
      <w:r>
        <w:rPr>
          <w:b/>
          <w:lang w:eastAsia="en-GB"/>
        </w:rPr>
        <w:tab/>
        <w:t>The Commissioners, against the complicated background of the selection process, to work with</w:t>
      </w:r>
      <w:r w:rsidRPr="002754F0">
        <w:rPr>
          <w:b/>
          <w:lang w:eastAsia="en-GB"/>
        </w:rPr>
        <w:t xml:space="preserve"> independence and impartiality </w:t>
      </w:r>
      <w:r>
        <w:rPr>
          <w:b/>
          <w:lang w:eastAsia="en-GB"/>
        </w:rPr>
        <w:t>for</w:t>
      </w:r>
      <w:r w:rsidRPr="002754F0">
        <w:rPr>
          <w:b/>
          <w:lang w:eastAsia="en-GB"/>
        </w:rPr>
        <w:t xml:space="preserve"> the benefit of </w:t>
      </w:r>
      <w:r w:rsidR="008403B3">
        <w:rPr>
          <w:b/>
          <w:lang w:eastAsia="en-GB"/>
        </w:rPr>
        <w:t>the whole of</w:t>
      </w:r>
      <w:r w:rsidRPr="002754F0">
        <w:rPr>
          <w:b/>
          <w:lang w:eastAsia="en-GB"/>
        </w:rPr>
        <w:t xml:space="preserve"> Burundian society</w:t>
      </w:r>
      <w:r>
        <w:rPr>
          <w:b/>
          <w:lang w:eastAsia="en-GB"/>
        </w:rPr>
        <w:t>;</w:t>
      </w:r>
    </w:p>
    <w:p w:rsidR="0046460C" w:rsidRPr="002754F0" w:rsidRDefault="0046460C" w:rsidP="00624F8D">
      <w:pPr>
        <w:pStyle w:val="SingleTxtG"/>
        <w:ind w:firstLine="567"/>
        <w:rPr>
          <w:b/>
          <w:lang w:eastAsia="en-GB"/>
        </w:rPr>
      </w:pPr>
      <w:r w:rsidRPr="00A35DC5">
        <w:rPr>
          <w:bCs/>
          <w:lang w:eastAsia="en-GB"/>
        </w:rPr>
        <w:t>(</w:t>
      </w:r>
      <w:r w:rsidR="00624F8D">
        <w:rPr>
          <w:bCs/>
          <w:lang w:eastAsia="en-GB"/>
        </w:rPr>
        <w:t>c</w:t>
      </w:r>
      <w:r w:rsidRPr="00A35DC5">
        <w:rPr>
          <w:bCs/>
          <w:lang w:eastAsia="en-GB"/>
        </w:rPr>
        <w:t>)</w:t>
      </w:r>
      <w:r w:rsidR="00232536">
        <w:rPr>
          <w:b/>
          <w:lang w:eastAsia="en-GB"/>
        </w:rPr>
        <w:tab/>
      </w:r>
      <w:r w:rsidR="001C0EEA">
        <w:rPr>
          <w:b/>
          <w:lang w:eastAsia="en-GB"/>
        </w:rPr>
        <w:t>T</w:t>
      </w:r>
      <w:r>
        <w:rPr>
          <w:b/>
          <w:lang w:eastAsia="en-GB"/>
        </w:rPr>
        <w:t>he</w:t>
      </w:r>
      <w:r w:rsidRPr="002754F0">
        <w:rPr>
          <w:b/>
          <w:lang w:eastAsia="en-GB"/>
        </w:rPr>
        <w:t xml:space="preserve"> </w:t>
      </w:r>
      <w:r w:rsidR="000C4C8B">
        <w:rPr>
          <w:b/>
          <w:lang w:eastAsia="en-GB"/>
        </w:rPr>
        <w:t>relevant State bodies</w:t>
      </w:r>
      <w:r w:rsidR="00C52878">
        <w:rPr>
          <w:b/>
          <w:lang w:eastAsia="en-GB"/>
        </w:rPr>
        <w:t xml:space="preserve"> to expedite the </w:t>
      </w:r>
      <w:r w:rsidRPr="002754F0">
        <w:rPr>
          <w:b/>
          <w:lang w:eastAsia="en-GB"/>
        </w:rPr>
        <w:t xml:space="preserve">adoption of </w:t>
      </w:r>
      <w:r>
        <w:rPr>
          <w:b/>
          <w:lang w:eastAsia="en-GB"/>
        </w:rPr>
        <w:t>a</w:t>
      </w:r>
      <w:r w:rsidRPr="002754F0">
        <w:rPr>
          <w:b/>
          <w:lang w:eastAsia="en-GB"/>
        </w:rPr>
        <w:t xml:space="preserve"> victim and witness protection framework, </w:t>
      </w:r>
      <w:r>
        <w:rPr>
          <w:b/>
          <w:lang w:eastAsia="en-GB"/>
        </w:rPr>
        <w:t xml:space="preserve">attentive to the protective needs arising from the activities of </w:t>
      </w:r>
      <w:r w:rsidRPr="002754F0">
        <w:rPr>
          <w:b/>
          <w:lang w:eastAsia="en-GB"/>
        </w:rPr>
        <w:t>State and non-State</w:t>
      </w:r>
      <w:r>
        <w:rPr>
          <w:b/>
          <w:lang w:eastAsia="en-GB"/>
        </w:rPr>
        <w:t xml:space="preserve"> actors</w:t>
      </w:r>
      <w:r w:rsidRPr="002754F0">
        <w:rPr>
          <w:b/>
          <w:lang w:eastAsia="en-GB"/>
        </w:rPr>
        <w:t>;</w:t>
      </w:r>
    </w:p>
    <w:p w:rsidR="00DC4EA1" w:rsidRDefault="0046460C" w:rsidP="00624F8D">
      <w:pPr>
        <w:pStyle w:val="SingleTxtG"/>
        <w:ind w:firstLine="567"/>
        <w:rPr>
          <w:b/>
          <w:lang w:eastAsia="en-GB"/>
        </w:rPr>
      </w:pPr>
      <w:r w:rsidRPr="00A35DC5">
        <w:rPr>
          <w:bCs/>
          <w:lang w:eastAsia="en-GB"/>
        </w:rPr>
        <w:t>(</w:t>
      </w:r>
      <w:r w:rsidR="00624F8D">
        <w:rPr>
          <w:bCs/>
          <w:lang w:eastAsia="en-GB"/>
        </w:rPr>
        <w:t>d</w:t>
      </w:r>
      <w:r w:rsidRPr="00A35DC5">
        <w:rPr>
          <w:bCs/>
          <w:lang w:eastAsia="en-GB"/>
        </w:rPr>
        <w:t>)</w:t>
      </w:r>
      <w:r w:rsidR="00232536">
        <w:rPr>
          <w:b/>
          <w:lang w:eastAsia="en-GB"/>
        </w:rPr>
        <w:tab/>
      </w:r>
      <w:r w:rsidR="001C0EEA">
        <w:rPr>
          <w:b/>
          <w:lang w:eastAsia="en-GB"/>
        </w:rPr>
        <w:t>T</w:t>
      </w:r>
      <w:r w:rsidRPr="002754F0">
        <w:rPr>
          <w:b/>
          <w:lang w:eastAsia="en-GB"/>
        </w:rPr>
        <w:t xml:space="preserve">he Government to allocate sufficient resources throughout the </w:t>
      </w:r>
      <w:r w:rsidR="00BD3E64">
        <w:rPr>
          <w:b/>
          <w:lang w:eastAsia="en-GB"/>
        </w:rPr>
        <w:t xml:space="preserve">mandate of the </w:t>
      </w:r>
      <w:r>
        <w:rPr>
          <w:b/>
          <w:lang w:eastAsia="en-GB"/>
        </w:rPr>
        <w:t>Commission</w:t>
      </w:r>
      <w:r w:rsidRPr="002754F0">
        <w:rPr>
          <w:b/>
          <w:lang w:eastAsia="en-GB"/>
        </w:rPr>
        <w:t xml:space="preserve"> to </w:t>
      </w:r>
      <w:r w:rsidR="00DC4EA1">
        <w:rPr>
          <w:b/>
          <w:lang w:eastAsia="en-GB"/>
        </w:rPr>
        <w:t xml:space="preserve">enable it to work </w:t>
      </w:r>
      <w:r w:rsidRPr="002754F0">
        <w:rPr>
          <w:b/>
          <w:lang w:eastAsia="en-GB"/>
        </w:rPr>
        <w:t>independent</w:t>
      </w:r>
      <w:r w:rsidR="00DC4EA1">
        <w:rPr>
          <w:b/>
          <w:lang w:eastAsia="en-GB"/>
        </w:rPr>
        <w:t>ly</w:t>
      </w:r>
      <w:r w:rsidRPr="002754F0">
        <w:rPr>
          <w:b/>
          <w:lang w:eastAsia="en-GB"/>
        </w:rPr>
        <w:t xml:space="preserve"> and efficient</w:t>
      </w:r>
      <w:r w:rsidR="00DC4EA1">
        <w:rPr>
          <w:b/>
          <w:lang w:eastAsia="en-GB"/>
        </w:rPr>
        <w:t>ly;</w:t>
      </w:r>
    </w:p>
    <w:p w:rsidR="0046460C" w:rsidRPr="002754F0" w:rsidRDefault="00DC4EA1" w:rsidP="00624F8D">
      <w:pPr>
        <w:pStyle w:val="SingleTxtG"/>
        <w:ind w:firstLine="567"/>
        <w:rPr>
          <w:b/>
          <w:lang w:eastAsia="en-GB"/>
        </w:rPr>
      </w:pPr>
      <w:r w:rsidRPr="00A35DC5">
        <w:rPr>
          <w:bCs/>
          <w:lang w:eastAsia="en-GB"/>
        </w:rPr>
        <w:t>(</w:t>
      </w:r>
      <w:r w:rsidR="00624F8D">
        <w:rPr>
          <w:bCs/>
          <w:lang w:eastAsia="en-GB"/>
        </w:rPr>
        <w:t>e</w:t>
      </w:r>
      <w:r w:rsidRPr="00A35DC5">
        <w:rPr>
          <w:bCs/>
          <w:lang w:eastAsia="en-GB"/>
        </w:rPr>
        <w:t>)</w:t>
      </w:r>
      <w:r>
        <w:rPr>
          <w:b/>
          <w:lang w:eastAsia="en-GB"/>
        </w:rPr>
        <w:tab/>
      </w:r>
      <w:r w:rsidR="001C0EEA">
        <w:rPr>
          <w:b/>
          <w:lang w:eastAsia="en-GB"/>
        </w:rPr>
        <w:t>F</w:t>
      </w:r>
      <w:r w:rsidR="0046460C" w:rsidRPr="002754F0">
        <w:rPr>
          <w:b/>
          <w:lang w:eastAsia="en-GB"/>
        </w:rPr>
        <w:t>unding agencies to support the Commission in a sustainable way.</w:t>
      </w:r>
      <w:r w:rsidR="0046460C">
        <w:rPr>
          <w:b/>
          <w:lang w:eastAsia="en-GB"/>
        </w:rPr>
        <w:t xml:space="preserve"> </w:t>
      </w:r>
    </w:p>
    <w:p w:rsidR="0046460C" w:rsidRPr="002754F0" w:rsidRDefault="00C71ACD" w:rsidP="00C71ACD">
      <w:pPr>
        <w:pStyle w:val="SingleTxtG"/>
        <w:rPr>
          <w:b/>
          <w:lang w:eastAsia="en-GB"/>
        </w:rPr>
      </w:pPr>
      <w:r w:rsidRPr="002754F0">
        <w:rPr>
          <w:bCs/>
          <w:lang w:eastAsia="en-GB"/>
        </w:rPr>
        <w:t>110.</w:t>
      </w:r>
      <w:r w:rsidRPr="002754F0">
        <w:rPr>
          <w:bCs/>
          <w:lang w:eastAsia="en-GB"/>
        </w:rPr>
        <w:tab/>
      </w:r>
      <w:r w:rsidR="0046460C" w:rsidRPr="002754F0">
        <w:rPr>
          <w:b/>
          <w:lang w:eastAsia="en-GB"/>
        </w:rPr>
        <w:t>Regarding justice initiatives</w:t>
      </w:r>
      <w:r w:rsidR="00DC4EA1">
        <w:rPr>
          <w:b/>
          <w:lang w:eastAsia="en-GB"/>
        </w:rPr>
        <w:t xml:space="preserve">, </w:t>
      </w:r>
      <w:r w:rsidR="001C0EEA">
        <w:rPr>
          <w:b/>
          <w:lang w:eastAsia="en-GB"/>
        </w:rPr>
        <w:t xml:space="preserve">the Special Rapporteur </w:t>
      </w:r>
      <w:r w:rsidR="00DC4EA1">
        <w:rPr>
          <w:b/>
          <w:lang w:eastAsia="en-GB"/>
        </w:rPr>
        <w:t>urges the Government</w:t>
      </w:r>
      <w:r w:rsidR="0046460C" w:rsidRPr="002754F0">
        <w:rPr>
          <w:b/>
          <w:lang w:eastAsia="en-GB"/>
        </w:rPr>
        <w:t>:</w:t>
      </w:r>
    </w:p>
    <w:p w:rsidR="0046460C" w:rsidRPr="002754F0" w:rsidRDefault="00232536" w:rsidP="001C0EEA">
      <w:pPr>
        <w:pStyle w:val="SingleTxtG"/>
        <w:ind w:firstLine="567"/>
        <w:rPr>
          <w:b/>
          <w:lang w:eastAsia="en-GB"/>
        </w:rPr>
      </w:pPr>
      <w:r w:rsidRPr="00A35DC5">
        <w:rPr>
          <w:bCs/>
          <w:lang w:eastAsia="en-GB"/>
        </w:rPr>
        <w:t>(a)</w:t>
      </w:r>
      <w:r>
        <w:rPr>
          <w:b/>
          <w:lang w:eastAsia="en-GB"/>
        </w:rPr>
        <w:tab/>
      </w:r>
      <w:r w:rsidR="001C0EEA">
        <w:rPr>
          <w:b/>
          <w:lang w:eastAsia="en-GB"/>
        </w:rPr>
        <w:t>T</w:t>
      </w:r>
      <w:r w:rsidR="0046460C">
        <w:rPr>
          <w:b/>
          <w:lang w:eastAsia="en-GB"/>
        </w:rPr>
        <w:t>o i</w:t>
      </w:r>
      <w:r w:rsidR="0046460C" w:rsidRPr="002754F0">
        <w:rPr>
          <w:b/>
          <w:lang w:eastAsia="en-GB"/>
        </w:rPr>
        <w:t>mmediately resum</w:t>
      </w:r>
      <w:r w:rsidR="0046460C">
        <w:rPr>
          <w:b/>
          <w:lang w:eastAsia="en-GB"/>
        </w:rPr>
        <w:t>e</w:t>
      </w:r>
      <w:r w:rsidR="0046460C" w:rsidRPr="002754F0">
        <w:rPr>
          <w:b/>
          <w:lang w:eastAsia="en-GB"/>
        </w:rPr>
        <w:t xml:space="preserve"> discussions</w:t>
      </w:r>
      <w:r w:rsidR="001C0EEA">
        <w:rPr>
          <w:b/>
          <w:lang w:eastAsia="en-GB"/>
        </w:rPr>
        <w:t>,</w:t>
      </w:r>
      <w:r w:rsidR="0046460C">
        <w:rPr>
          <w:b/>
          <w:lang w:eastAsia="en-GB"/>
        </w:rPr>
        <w:t xml:space="preserve"> without waiting for the Truth and Reconciliation Commission to complete its work</w:t>
      </w:r>
      <w:r w:rsidR="001C0EEA">
        <w:rPr>
          <w:b/>
          <w:lang w:eastAsia="en-GB"/>
        </w:rPr>
        <w:t xml:space="preserve"> and</w:t>
      </w:r>
      <w:r w:rsidR="0046460C">
        <w:rPr>
          <w:b/>
          <w:lang w:eastAsia="en-GB"/>
        </w:rPr>
        <w:t xml:space="preserve"> </w:t>
      </w:r>
      <w:r w:rsidR="0046460C" w:rsidRPr="002754F0">
        <w:rPr>
          <w:b/>
          <w:lang w:eastAsia="en-GB"/>
        </w:rPr>
        <w:t xml:space="preserve">with the participation of civil society, including victims, on </w:t>
      </w:r>
      <w:r w:rsidR="0046460C">
        <w:rPr>
          <w:b/>
          <w:lang w:eastAsia="en-GB"/>
        </w:rPr>
        <w:t xml:space="preserve">proposed concrete models for </w:t>
      </w:r>
      <w:r w:rsidR="0046460C" w:rsidRPr="002754F0">
        <w:rPr>
          <w:b/>
          <w:lang w:eastAsia="en-GB"/>
        </w:rPr>
        <w:t xml:space="preserve">a judicial mechanism </w:t>
      </w:r>
      <w:r w:rsidR="001C0EEA">
        <w:rPr>
          <w:b/>
          <w:lang w:eastAsia="en-GB"/>
        </w:rPr>
        <w:t>to</w:t>
      </w:r>
      <w:r w:rsidR="0046460C" w:rsidRPr="002754F0">
        <w:rPr>
          <w:b/>
          <w:lang w:eastAsia="en-GB"/>
        </w:rPr>
        <w:t xml:space="preserve"> prosecut</w:t>
      </w:r>
      <w:r w:rsidR="001C0EEA">
        <w:rPr>
          <w:b/>
          <w:lang w:eastAsia="en-GB"/>
        </w:rPr>
        <w:t>e</w:t>
      </w:r>
      <w:r w:rsidR="0046460C">
        <w:rPr>
          <w:b/>
          <w:lang w:eastAsia="en-GB"/>
        </w:rPr>
        <w:t xml:space="preserve"> </w:t>
      </w:r>
      <w:r w:rsidR="0046460C" w:rsidRPr="002754F0">
        <w:rPr>
          <w:b/>
          <w:lang w:eastAsia="en-GB"/>
        </w:rPr>
        <w:t>genocide, crimes against humanity</w:t>
      </w:r>
      <w:r w:rsidR="001C0EEA">
        <w:rPr>
          <w:b/>
          <w:lang w:eastAsia="en-GB"/>
        </w:rPr>
        <w:t>,</w:t>
      </w:r>
      <w:r w:rsidR="0046460C" w:rsidRPr="002754F0">
        <w:rPr>
          <w:b/>
          <w:lang w:eastAsia="en-GB"/>
        </w:rPr>
        <w:t xml:space="preserve"> war crimes</w:t>
      </w:r>
      <w:r w:rsidR="0046460C">
        <w:rPr>
          <w:b/>
          <w:lang w:eastAsia="en-GB"/>
        </w:rPr>
        <w:t xml:space="preserve"> </w:t>
      </w:r>
      <w:r w:rsidR="00C12D6E">
        <w:rPr>
          <w:b/>
          <w:lang w:eastAsia="en-GB"/>
        </w:rPr>
        <w:t xml:space="preserve">or </w:t>
      </w:r>
      <w:r w:rsidR="0046460C">
        <w:rPr>
          <w:b/>
          <w:lang w:eastAsia="en-GB"/>
        </w:rPr>
        <w:t xml:space="preserve">other gross human rights violations </w:t>
      </w:r>
      <w:r w:rsidR="00C12D6E">
        <w:rPr>
          <w:b/>
          <w:lang w:eastAsia="en-GB"/>
        </w:rPr>
        <w:t xml:space="preserve">or </w:t>
      </w:r>
      <w:r w:rsidR="0046460C">
        <w:rPr>
          <w:b/>
          <w:lang w:eastAsia="en-GB"/>
        </w:rPr>
        <w:t>serious violations of international humanitarian law;</w:t>
      </w:r>
      <w:r w:rsidR="0046460C" w:rsidRPr="002754F0">
        <w:rPr>
          <w:b/>
          <w:lang w:eastAsia="en-GB"/>
        </w:rPr>
        <w:t xml:space="preserve"> </w:t>
      </w:r>
    </w:p>
    <w:p w:rsidR="0046460C" w:rsidRPr="002754F0" w:rsidRDefault="00232536" w:rsidP="006B7C4B">
      <w:pPr>
        <w:pStyle w:val="SingleTxtG"/>
        <w:ind w:firstLine="567"/>
        <w:rPr>
          <w:b/>
          <w:lang w:eastAsia="en-GB"/>
        </w:rPr>
      </w:pPr>
      <w:r w:rsidRPr="00A35DC5">
        <w:rPr>
          <w:bCs/>
          <w:lang w:eastAsia="en-GB"/>
        </w:rPr>
        <w:t>(b)</w:t>
      </w:r>
      <w:r>
        <w:rPr>
          <w:b/>
          <w:lang w:eastAsia="en-GB"/>
        </w:rPr>
        <w:tab/>
      </w:r>
      <w:r w:rsidR="001C0EEA">
        <w:rPr>
          <w:b/>
          <w:lang w:eastAsia="en-GB"/>
        </w:rPr>
        <w:t>T</w:t>
      </w:r>
      <w:r w:rsidR="0046460C">
        <w:rPr>
          <w:b/>
          <w:lang w:eastAsia="en-GB"/>
        </w:rPr>
        <w:t>o revisit</w:t>
      </w:r>
      <w:r w:rsidR="0046460C" w:rsidRPr="002754F0">
        <w:rPr>
          <w:b/>
          <w:lang w:eastAsia="en-GB"/>
        </w:rPr>
        <w:t xml:space="preserve"> the current </w:t>
      </w:r>
      <w:r w:rsidR="0046460C">
        <w:rPr>
          <w:b/>
          <w:lang w:eastAsia="en-GB"/>
        </w:rPr>
        <w:t>interpretation and application</w:t>
      </w:r>
      <w:r w:rsidR="0046460C" w:rsidRPr="002754F0">
        <w:rPr>
          <w:b/>
          <w:lang w:eastAsia="en-GB"/>
        </w:rPr>
        <w:t xml:space="preserve"> of the regime of </w:t>
      </w:r>
      <w:r w:rsidR="00AE3C1F">
        <w:rPr>
          <w:b/>
          <w:lang w:eastAsia="en-GB"/>
        </w:rPr>
        <w:t>“</w:t>
      </w:r>
      <w:r w:rsidR="0046460C" w:rsidRPr="002754F0">
        <w:rPr>
          <w:b/>
          <w:lang w:eastAsia="en-GB"/>
        </w:rPr>
        <w:t>temporary</w:t>
      </w:r>
      <w:r w:rsidR="00AE3C1F">
        <w:rPr>
          <w:b/>
          <w:lang w:eastAsia="en-GB"/>
        </w:rPr>
        <w:t>”</w:t>
      </w:r>
      <w:r w:rsidR="0046460C" w:rsidRPr="002754F0">
        <w:rPr>
          <w:b/>
          <w:lang w:eastAsia="en-GB"/>
        </w:rPr>
        <w:t xml:space="preserve"> immunities </w:t>
      </w:r>
      <w:r w:rsidR="001C0EEA">
        <w:rPr>
          <w:b/>
          <w:lang w:eastAsia="en-GB"/>
        </w:rPr>
        <w:t xml:space="preserve">in order </w:t>
      </w:r>
      <w:r w:rsidR="0046460C">
        <w:rPr>
          <w:b/>
          <w:lang w:eastAsia="en-GB"/>
        </w:rPr>
        <w:t xml:space="preserve">to remove </w:t>
      </w:r>
      <w:r w:rsidR="0046460C" w:rsidRPr="002754F0">
        <w:rPr>
          <w:b/>
          <w:lang w:eastAsia="en-GB"/>
        </w:rPr>
        <w:t xml:space="preserve">legal and practical obstacles </w:t>
      </w:r>
      <w:r w:rsidR="0046460C">
        <w:rPr>
          <w:b/>
          <w:lang w:eastAsia="en-GB"/>
        </w:rPr>
        <w:t>to</w:t>
      </w:r>
      <w:r w:rsidR="0046460C" w:rsidRPr="002754F0">
        <w:rPr>
          <w:b/>
          <w:lang w:eastAsia="en-GB"/>
        </w:rPr>
        <w:t xml:space="preserve"> the prosecution </w:t>
      </w:r>
      <w:r w:rsidR="006B7C4B">
        <w:rPr>
          <w:b/>
          <w:lang w:eastAsia="en-GB"/>
        </w:rPr>
        <w:t>for</w:t>
      </w:r>
      <w:r w:rsidR="006B7C4B" w:rsidRPr="002754F0">
        <w:rPr>
          <w:b/>
          <w:lang w:eastAsia="en-GB"/>
        </w:rPr>
        <w:t xml:space="preserve"> </w:t>
      </w:r>
      <w:r w:rsidR="0046460C" w:rsidRPr="002754F0">
        <w:rPr>
          <w:b/>
          <w:lang w:eastAsia="en-GB"/>
        </w:rPr>
        <w:t>past massive violations</w:t>
      </w:r>
      <w:r w:rsidR="0046460C">
        <w:rPr>
          <w:b/>
          <w:lang w:eastAsia="en-GB"/>
        </w:rPr>
        <w:t>, in accordance with the framework agreements</w:t>
      </w:r>
      <w:r w:rsidR="0046460C" w:rsidRPr="002754F0">
        <w:rPr>
          <w:b/>
          <w:lang w:eastAsia="en-GB"/>
        </w:rPr>
        <w:t>;</w:t>
      </w:r>
      <w:r w:rsidR="0046460C">
        <w:rPr>
          <w:b/>
          <w:lang w:eastAsia="en-GB"/>
        </w:rPr>
        <w:t xml:space="preserve"> </w:t>
      </w:r>
    </w:p>
    <w:p w:rsidR="0046460C" w:rsidRPr="002754F0" w:rsidRDefault="00232536" w:rsidP="001C0EEA">
      <w:pPr>
        <w:pStyle w:val="SingleTxtG"/>
        <w:ind w:firstLine="567"/>
        <w:rPr>
          <w:b/>
          <w:lang w:eastAsia="en-GB"/>
        </w:rPr>
      </w:pPr>
      <w:r w:rsidRPr="00A35DC5">
        <w:rPr>
          <w:bCs/>
          <w:lang w:eastAsia="en-GB"/>
        </w:rPr>
        <w:t>(c)</w:t>
      </w:r>
      <w:r>
        <w:rPr>
          <w:b/>
          <w:lang w:eastAsia="en-GB"/>
        </w:rPr>
        <w:tab/>
      </w:r>
      <w:r w:rsidR="001C0EEA">
        <w:rPr>
          <w:b/>
          <w:lang w:eastAsia="en-GB"/>
        </w:rPr>
        <w:t xml:space="preserve">To </w:t>
      </w:r>
      <w:r w:rsidR="0046460C" w:rsidRPr="002754F0">
        <w:rPr>
          <w:b/>
          <w:lang w:eastAsia="en-GB"/>
        </w:rPr>
        <w:t>immediate</w:t>
      </w:r>
      <w:r w:rsidR="001C0EEA">
        <w:rPr>
          <w:b/>
          <w:lang w:eastAsia="en-GB"/>
        </w:rPr>
        <w:t>ly</w:t>
      </w:r>
      <w:r w:rsidR="0046460C" w:rsidRPr="002754F0">
        <w:rPr>
          <w:b/>
          <w:lang w:eastAsia="en-GB"/>
        </w:rPr>
        <w:t xml:space="preserve"> </w:t>
      </w:r>
      <w:r w:rsidR="001C0EEA">
        <w:rPr>
          <w:b/>
          <w:lang w:eastAsia="en-GB"/>
        </w:rPr>
        <w:t xml:space="preserve">undertake </w:t>
      </w:r>
      <w:r w:rsidR="0046460C" w:rsidRPr="002754F0">
        <w:rPr>
          <w:b/>
          <w:lang w:eastAsia="en-GB"/>
        </w:rPr>
        <w:t>preparatory work for judicial investigations and prosecutions of past massive violations in the framework of a prosecutorial strategy</w:t>
      </w:r>
      <w:r w:rsidR="0046460C">
        <w:rPr>
          <w:b/>
          <w:lang w:eastAsia="en-GB"/>
        </w:rPr>
        <w:t xml:space="preserve"> that pays special attention to sexual and gender-based violence and</w:t>
      </w:r>
      <w:r w:rsidR="0046460C" w:rsidRPr="002754F0">
        <w:rPr>
          <w:b/>
          <w:lang w:eastAsia="en-GB"/>
        </w:rPr>
        <w:t xml:space="preserve"> safeguards the independence and impartiality of the prosecutors;</w:t>
      </w:r>
    </w:p>
    <w:p w:rsidR="0046460C" w:rsidRPr="002754F0" w:rsidRDefault="00232536" w:rsidP="00624F8D">
      <w:pPr>
        <w:pStyle w:val="SingleTxtG"/>
        <w:ind w:firstLine="567"/>
        <w:rPr>
          <w:b/>
          <w:lang w:eastAsia="en-GB"/>
        </w:rPr>
      </w:pPr>
      <w:r w:rsidRPr="00A35DC5">
        <w:rPr>
          <w:bCs/>
          <w:lang w:eastAsia="en-GB"/>
        </w:rPr>
        <w:t>(d)</w:t>
      </w:r>
      <w:r>
        <w:rPr>
          <w:b/>
          <w:lang w:eastAsia="en-GB"/>
        </w:rPr>
        <w:tab/>
      </w:r>
      <w:r w:rsidR="001C0EEA">
        <w:rPr>
          <w:b/>
          <w:lang w:eastAsia="en-GB"/>
        </w:rPr>
        <w:t xml:space="preserve">To </w:t>
      </w:r>
      <w:r w:rsidR="0046460C">
        <w:rPr>
          <w:b/>
          <w:lang w:eastAsia="en-GB"/>
        </w:rPr>
        <w:t>a</w:t>
      </w:r>
      <w:r w:rsidR="0046460C" w:rsidRPr="002754F0">
        <w:rPr>
          <w:b/>
          <w:lang w:eastAsia="en-GB"/>
        </w:rPr>
        <w:t>llocat</w:t>
      </w:r>
      <w:r w:rsidR="001C0EEA">
        <w:rPr>
          <w:b/>
          <w:lang w:eastAsia="en-GB"/>
        </w:rPr>
        <w:t>e</w:t>
      </w:r>
      <w:r w:rsidR="0046460C" w:rsidRPr="002754F0">
        <w:rPr>
          <w:b/>
          <w:lang w:eastAsia="en-GB"/>
        </w:rPr>
        <w:t xml:space="preserve"> adequate resources </w:t>
      </w:r>
      <w:r w:rsidR="0046460C">
        <w:rPr>
          <w:b/>
          <w:lang w:eastAsia="en-GB"/>
        </w:rPr>
        <w:t>for</w:t>
      </w:r>
      <w:r w:rsidR="0046460C" w:rsidRPr="002754F0">
        <w:rPr>
          <w:b/>
          <w:lang w:eastAsia="en-GB"/>
        </w:rPr>
        <w:t xml:space="preserve"> documentation</w:t>
      </w:r>
      <w:r w:rsidR="0046460C">
        <w:rPr>
          <w:b/>
          <w:lang w:eastAsia="en-GB"/>
        </w:rPr>
        <w:t xml:space="preserve"> and</w:t>
      </w:r>
      <w:r w:rsidR="0046460C" w:rsidRPr="002754F0">
        <w:rPr>
          <w:b/>
          <w:lang w:eastAsia="en-GB"/>
        </w:rPr>
        <w:t xml:space="preserve"> </w:t>
      </w:r>
      <w:r w:rsidR="00624F8D">
        <w:rPr>
          <w:b/>
          <w:lang w:eastAsia="en-GB"/>
        </w:rPr>
        <w:t xml:space="preserve">the </w:t>
      </w:r>
      <w:r w:rsidR="0046460C" w:rsidRPr="002754F0">
        <w:rPr>
          <w:b/>
          <w:lang w:eastAsia="en-GB"/>
        </w:rPr>
        <w:t>provi</w:t>
      </w:r>
      <w:r w:rsidR="00624F8D">
        <w:rPr>
          <w:b/>
          <w:lang w:eastAsia="en-GB"/>
        </w:rPr>
        <w:t>sion of</w:t>
      </w:r>
      <w:r w:rsidR="0046460C" w:rsidRPr="002754F0">
        <w:rPr>
          <w:b/>
          <w:lang w:eastAsia="en-GB"/>
        </w:rPr>
        <w:t xml:space="preserve"> specific training for investigators on forensic investigation and sexual and gender-based violence</w:t>
      </w:r>
      <w:r w:rsidR="00574E56">
        <w:rPr>
          <w:b/>
          <w:lang w:eastAsia="en-GB"/>
        </w:rPr>
        <w:t>.</w:t>
      </w:r>
    </w:p>
    <w:p w:rsidR="0046460C" w:rsidRPr="002754F0" w:rsidRDefault="00C71ACD" w:rsidP="00C71ACD">
      <w:pPr>
        <w:pStyle w:val="SingleTxtG"/>
        <w:rPr>
          <w:b/>
          <w:lang w:eastAsia="en-GB"/>
        </w:rPr>
      </w:pPr>
      <w:r w:rsidRPr="002754F0">
        <w:rPr>
          <w:bCs/>
          <w:lang w:eastAsia="en-GB"/>
        </w:rPr>
        <w:t>111.</w:t>
      </w:r>
      <w:r w:rsidRPr="002754F0">
        <w:rPr>
          <w:bCs/>
          <w:lang w:eastAsia="en-GB"/>
        </w:rPr>
        <w:tab/>
      </w:r>
      <w:proofErr w:type="gramStart"/>
      <w:r w:rsidR="0046460C" w:rsidRPr="002754F0">
        <w:rPr>
          <w:b/>
          <w:lang w:eastAsia="en-GB"/>
        </w:rPr>
        <w:t>In</w:t>
      </w:r>
      <w:proofErr w:type="gramEnd"/>
      <w:r w:rsidR="0046460C" w:rsidRPr="002754F0">
        <w:rPr>
          <w:b/>
          <w:lang w:eastAsia="en-GB"/>
        </w:rPr>
        <w:t xml:space="preserve"> the area of reparations</w:t>
      </w:r>
      <w:r w:rsidR="001C0EEA">
        <w:rPr>
          <w:b/>
          <w:lang w:eastAsia="en-GB"/>
        </w:rPr>
        <w:t>, the Spec</w:t>
      </w:r>
      <w:r w:rsidR="00EF1B1C">
        <w:rPr>
          <w:b/>
          <w:lang w:eastAsia="en-GB"/>
        </w:rPr>
        <w:t>i</w:t>
      </w:r>
      <w:r w:rsidR="001C0EEA">
        <w:rPr>
          <w:b/>
          <w:lang w:eastAsia="en-GB"/>
        </w:rPr>
        <w:t>al Rapporteur</w:t>
      </w:r>
      <w:r w:rsidR="0046460C" w:rsidRPr="002754F0">
        <w:rPr>
          <w:b/>
          <w:lang w:eastAsia="en-GB"/>
        </w:rPr>
        <w:t>:</w:t>
      </w:r>
    </w:p>
    <w:p w:rsidR="0046460C" w:rsidRPr="002754F0" w:rsidRDefault="00232536" w:rsidP="00624F8D">
      <w:pPr>
        <w:pStyle w:val="SingleTxtG"/>
        <w:ind w:firstLine="567"/>
        <w:rPr>
          <w:b/>
          <w:lang w:eastAsia="en-GB"/>
        </w:rPr>
      </w:pPr>
      <w:r w:rsidRPr="00A35DC5">
        <w:rPr>
          <w:bCs/>
          <w:lang w:eastAsia="en-GB"/>
        </w:rPr>
        <w:t>(</w:t>
      </w:r>
      <w:proofErr w:type="gramStart"/>
      <w:r w:rsidRPr="00A35DC5">
        <w:rPr>
          <w:bCs/>
          <w:lang w:eastAsia="en-GB"/>
        </w:rPr>
        <w:t>a</w:t>
      </w:r>
      <w:proofErr w:type="gramEnd"/>
      <w:r w:rsidRPr="00A35DC5">
        <w:rPr>
          <w:bCs/>
          <w:lang w:eastAsia="en-GB"/>
        </w:rPr>
        <w:t>)</w:t>
      </w:r>
      <w:r>
        <w:rPr>
          <w:b/>
          <w:lang w:eastAsia="en-GB"/>
        </w:rPr>
        <w:tab/>
      </w:r>
      <w:r w:rsidR="0046460C" w:rsidRPr="002754F0">
        <w:rPr>
          <w:b/>
          <w:lang w:eastAsia="en-GB"/>
        </w:rPr>
        <w:t>Reiterates the need for both the National Commission on La</w:t>
      </w:r>
      <w:r w:rsidR="0046460C">
        <w:rPr>
          <w:b/>
          <w:lang w:eastAsia="en-GB"/>
        </w:rPr>
        <w:t>n</w:t>
      </w:r>
      <w:r w:rsidR="0046460C" w:rsidRPr="002754F0">
        <w:rPr>
          <w:b/>
          <w:lang w:eastAsia="en-GB"/>
        </w:rPr>
        <w:t>d and Other Assets and the Special Court to function in an independent and impartial manner, free from all</w:t>
      </w:r>
      <w:r w:rsidR="0046460C">
        <w:rPr>
          <w:b/>
          <w:lang w:eastAsia="en-GB"/>
        </w:rPr>
        <w:t xml:space="preserve"> discriminatory</w:t>
      </w:r>
      <w:r w:rsidR="0046460C" w:rsidRPr="002754F0">
        <w:rPr>
          <w:b/>
          <w:lang w:eastAsia="en-GB"/>
        </w:rPr>
        <w:t xml:space="preserve"> ethnic or political motivations or objectives;</w:t>
      </w:r>
    </w:p>
    <w:p w:rsidR="0046460C" w:rsidRPr="002754F0" w:rsidRDefault="00232536" w:rsidP="00624F8D">
      <w:pPr>
        <w:pStyle w:val="SingleTxtG"/>
        <w:ind w:firstLine="567"/>
        <w:rPr>
          <w:b/>
          <w:lang w:eastAsia="en-GB"/>
        </w:rPr>
      </w:pPr>
      <w:r w:rsidRPr="00A35DC5">
        <w:rPr>
          <w:bCs/>
          <w:lang w:eastAsia="en-GB"/>
        </w:rPr>
        <w:t>(b)</w:t>
      </w:r>
      <w:r>
        <w:rPr>
          <w:b/>
          <w:lang w:eastAsia="en-GB"/>
        </w:rPr>
        <w:tab/>
      </w:r>
      <w:r w:rsidR="0046460C" w:rsidRPr="002754F0">
        <w:rPr>
          <w:b/>
          <w:lang w:eastAsia="en-GB"/>
        </w:rPr>
        <w:t xml:space="preserve">Calls for broader land reform to overcome pre-existing patterns of discrimination </w:t>
      </w:r>
      <w:r w:rsidR="001C0EEA">
        <w:rPr>
          <w:b/>
          <w:lang w:eastAsia="en-GB"/>
        </w:rPr>
        <w:t>and</w:t>
      </w:r>
      <w:r w:rsidR="00624F8D">
        <w:rPr>
          <w:b/>
          <w:lang w:eastAsia="en-GB"/>
        </w:rPr>
        <w:t>,</w:t>
      </w:r>
      <w:r w:rsidR="001C0EEA">
        <w:rPr>
          <w:b/>
          <w:lang w:eastAsia="en-GB"/>
        </w:rPr>
        <w:t xml:space="preserve"> </w:t>
      </w:r>
      <w:r w:rsidR="0046460C" w:rsidRPr="002754F0">
        <w:rPr>
          <w:b/>
          <w:lang w:eastAsia="en-GB"/>
        </w:rPr>
        <w:t>in th</w:t>
      </w:r>
      <w:r w:rsidR="00624F8D">
        <w:rPr>
          <w:b/>
          <w:lang w:eastAsia="en-GB"/>
        </w:rPr>
        <w:t>at</w:t>
      </w:r>
      <w:r w:rsidR="0046460C" w:rsidRPr="002754F0">
        <w:rPr>
          <w:b/>
          <w:lang w:eastAsia="en-GB"/>
        </w:rPr>
        <w:t xml:space="preserve"> respect</w:t>
      </w:r>
      <w:r w:rsidR="001C0EEA">
        <w:rPr>
          <w:b/>
          <w:lang w:eastAsia="en-GB"/>
        </w:rPr>
        <w:t>, i</w:t>
      </w:r>
      <w:r w:rsidR="0046460C" w:rsidRPr="002754F0">
        <w:rPr>
          <w:b/>
          <w:lang w:eastAsia="en-GB"/>
        </w:rPr>
        <w:t>ncrease access to land by women, th</w:t>
      </w:r>
      <w:r w:rsidR="001C0EEA">
        <w:rPr>
          <w:b/>
          <w:lang w:eastAsia="en-GB"/>
        </w:rPr>
        <w:t>r</w:t>
      </w:r>
      <w:r w:rsidR="0046460C" w:rsidRPr="002754F0">
        <w:rPr>
          <w:b/>
          <w:lang w:eastAsia="en-GB"/>
        </w:rPr>
        <w:t>ough a comprehensive revision of existing legislative provisions on inheritance rights, registration and</w:t>
      </w:r>
      <w:r w:rsidR="0046460C">
        <w:rPr>
          <w:b/>
          <w:lang w:eastAsia="en-GB"/>
        </w:rPr>
        <w:t xml:space="preserve"> </w:t>
      </w:r>
      <w:r w:rsidR="0046460C" w:rsidRPr="002754F0">
        <w:rPr>
          <w:b/>
          <w:lang w:eastAsia="en-GB"/>
        </w:rPr>
        <w:t>titling;</w:t>
      </w:r>
      <w:r w:rsidR="0046460C">
        <w:rPr>
          <w:b/>
          <w:lang w:eastAsia="en-GB"/>
        </w:rPr>
        <w:t xml:space="preserve"> </w:t>
      </w:r>
    </w:p>
    <w:p w:rsidR="0046460C" w:rsidRPr="002754F0" w:rsidRDefault="00232536" w:rsidP="001C0EEA">
      <w:pPr>
        <w:pStyle w:val="SingleTxtG"/>
        <w:ind w:firstLine="567"/>
        <w:rPr>
          <w:b/>
          <w:lang w:eastAsia="en-GB"/>
        </w:rPr>
      </w:pPr>
      <w:r w:rsidRPr="00A35DC5">
        <w:rPr>
          <w:bCs/>
          <w:lang w:eastAsia="en-GB"/>
        </w:rPr>
        <w:t>(</w:t>
      </w:r>
      <w:r w:rsidR="00CE03DD">
        <w:rPr>
          <w:bCs/>
          <w:lang w:eastAsia="en-GB"/>
        </w:rPr>
        <w:t>c</w:t>
      </w:r>
      <w:r w:rsidRPr="00A35DC5">
        <w:rPr>
          <w:bCs/>
          <w:lang w:eastAsia="en-GB"/>
        </w:rPr>
        <w:t>)</w:t>
      </w:r>
      <w:r>
        <w:rPr>
          <w:b/>
          <w:lang w:eastAsia="en-GB"/>
        </w:rPr>
        <w:tab/>
      </w:r>
      <w:r w:rsidR="0046460C" w:rsidRPr="002754F0">
        <w:rPr>
          <w:b/>
          <w:lang w:eastAsia="en-GB"/>
        </w:rPr>
        <w:t>Calls on the Truth and Reconciliation Commission to initiate discussions</w:t>
      </w:r>
      <w:r w:rsidR="0046460C">
        <w:rPr>
          <w:b/>
          <w:lang w:eastAsia="en-GB"/>
        </w:rPr>
        <w:t>, with the involvement of civil society, including victims,</w:t>
      </w:r>
      <w:r w:rsidR="0046460C" w:rsidRPr="002754F0">
        <w:rPr>
          <w:b/>
          <w:lang w:eastAsia="en-GB"/>
        </w:rPr>
        <w:t xml:space="preserve"> on </w:t>
      </w:r>
      <w:proofErr w:type="gramStart"/>
      <w:r w:rsidR="0046460C" w:rsidRPr="002754F0">
        <w:rPr>
          <w:b/>
          <w:lang w:eastAsia="en-GB"/>
        </w:rPr>
        <w:t>a</w:t>
      </w:r>
      <w:r w:rsidR="0046460C">
        <w:rPr>
          <w:b/>
          <w:lang w:eastAsia="en-GB"/>
        </w:rPr>
        <w:t xml:space="preserve"> feasible</w:t>
      </w:r>
      <w:proofErr w:type="gramEnd"/>
      <w:r w:rsidR="0046460C" w:rsidRPr="002754F0">
        <w:rPr>
          <w:b/>
          <w:lang w:eastAsia="en-GB"/>
        </w:rPr>
        <w:t xml:space="preserve"> comprehensive reparation programme, </w:t>
      </w:r>
      <w:r w:rsidR="001C0EEA">
        <w:rPr>
          <w:b/>
          <w:lang w:eastAsia="en-GB"/>
        </w:rPr>
        <w:t>with</w:t>
      </w:r>
      <w:r w:rsidR="0046460C" w:rsidRPr="002754F0">
        <w:rPr>
          <w:b/>
          <w:lang w:eastAsia="en-GB"/>
        </w:rPr>
        <w:t xml:space="preserve"> specific attention to health and education;</w:t>
      </w:r>
    </w:p>
    <w:p w:rsidR="0046460C" w:rsidRPr="002754F0" w:rsidRDefault="00232536" w:rsidP="001C0EEA">
      <w:pPr>
        <w:pStyle w:val="SingleTxtG"/>
        <w:ind w:firstLine="567"/>
        <w:rPr>
          <w:b/>
          <w:lang w:eastAsia="en-GB"/>
        </w:rPr>
      </w:pPr>
      <w:r w:rsidRPr="00A35DC5">
        <w:rPr>
          <w:bCs/>
          <w:lang w:eastAsia="en-GB"/>
        </w:rPr>
        <w:t>(</w:t>
      </w:r>
      <w:r w:rsidR="00CE03DD">
        <w:rPr>
          <w:bCs/>
          <w:lang w:eastAsia="en-GB"/>
        </w:rPr>
        <w:t>d</w:t>
      </w:r>
      <w:r w:rsidRPr="00A35DC5">
        <w:rPr>
          <w:bCs/>
          <w:lang w:eastAsia="en-GB"/>
        </w:rPr>
        <w:t>)</w:t>
      </w:r>
      <w:r>
        <w:rPr>
          <w:b/>
          <w:lang w:eastAsia="en-GB"/>
        </w:rPr>
        <w:tab/>
      </w:r>
      <w:r w:rsidR="0046460C" w:rsidRPr="002754F0">
        <w:rPr>
          <w:b/>
          <w:lang w:eastAsia="en-GB"/>
        </w:rPr>
        <w:t>Calls for the set-up of immediate</w:t>
      </w:r>
      <w:r w:rsidR="0046460C">
        <w:rPr>
          <w:b/>
          <w:lang w:eastAsia="en-GB"/>
        </w:rPr>
        <w:t>ly</w:t>
      </w:r>
      <w:r w:rsidR="001C0EEA">
        <w:rPr>
          <w:b/>
          <w:lang w:eastAsia="en-GB"/>
        </w:rPr>
        <w:t xml:space="preserve"> </w:t>
      </w:r>
      <w:r w:rsidR="0046460C">
        <w:rPr>
          <w:b/>
          <w:lang w:eastAsia="en-GB"/>
        </w:rPr>
        <w:t>available</w:t>
      </w:r>
      <w:r w:rsidR="0046460C" w:rsidRPr="002754F0">
        <w:rPr>
          <w:b/>
          <w:lang w:eastAsia="en-GB"/>
        </w:rPr>
        <w:t xml:space="preserve"> victims assistance programmes, dedicated to the most vulnerable groups.</w:t>
      </w:r>
    </w:p>
    <w:p w:rsidR="0046460C" w:rsidRPr="002754F0" w:rsidRDefault="00C71ACD" w:rsidP="00C71ACD">
      <w:pPr>
        <w:pStyle w:val="SingleTxtG"/>
        <w:rPr>
          <w:b/>
          <w:lang w:eastAsia="en-GB"/>
        </w:rPr>
      </w:pPr>
      <w:r w:rsidRPr="002754F0">
        <w:rPr>
          <w:bCs/>
          <w:lang w:eastAsia="en-GB"/>
        </w:rPr>
        <w:t>112.</w:t>
      </w:r>
      <w:r w:rsidRPr="002754F0">
        <w:rPr>
          <w:bCs/>
          <w:lang w:eastAsia="en-GB"/>
        </w:rPr>
        <w:tab/>
      </w:r>
      <w:r w:rsidR="0046460C" w:rsidRPr="002754F0">
        <w:rPr>
          <w:b/>
          <w:lang w:eastAsia="en-GB"/>
        </w:rPr>
        <w:t xml:space="preserve">With regard to guarantees of non-recurrence, </w:t>
      </w:r>
      <w:r w:rsidR="001C0EEA">
        <w:rPr>
          <w:b/>
          <w:lang w:eastAsia="en-GB"/>
        </w:rPr>
        <w:t xml:space="preserve">the Special Rapporteur </w:t>
      </w:r>
      <w:r w:rsidR="0046460C" w:rsidRPr="002754F0">
        <w:rPr>
          <w:b/>
          <w:lang w:eastAsia="en-GB"/>
        </w:rPr>
        <w:t>recommends that the authorities</w:t>
      </w:r>
      <w:r w:rsidR="00E0253B">
        <w:rPr>
          <w:b/>
          <w:lang w:eastAsia="en-GB"/>
        </w:rPr>
        <w:t xml:space="preserve"> </w:t>
      </w:r>
      <w:r w:rsidR="00617E41">
        <w:rPr>
          <w:b/>
          <w:lang w:eastAsia="en-GB"/>
        </w:rPr>
        <w:t>in the area of</w:t>
      </w:r>
      <w:r w:rsidR="0046460C" w:rsidRPr="002754F0">
        <w:rPr>
          <w:b/>
          <w:lang w:eastAsia="en-GB"/>
        </w:rPr>
        <w:t>:</w:t>
      </w:r>
    </w:p>
    <w:p w:rsidR="0046460C" w:rsidRPr="002754F0" w:rsidRDefault="00232536" w:rsidP="00E0253B">
      <w:pPr>
        <w:pStyle w:val="SingleTxtG"/>
        <w:ind w:firstLine="567"/>
        <w:rPr>
          <w:b/>
          <w:lang w:eastAsia="en-GB"/>
        </w:rPr>
      </w:pPr>
      <w:r w:rsidRPr="00A35DC5">
        <w:rPr>
          <w:bCs/>
          <w:lang w:eastAsia="en-GB"/>
        </w:rPr>
        <w:t>(a)</w:t>
      </w:r>
      <w:r>
        <w:rPr>
          <w:b/>
          <w:lang w:eastAsia="en-GB"/>
        </w:rPr>
        <w:tab/>
      </w:r>
      <w:r w:rsidR="00E0253B">
        <w:rPr>
          <w:b/>
          <w:lang w:eastAsia="en-GB"/>
        </w:rPr>
        <w:t>The s</w:t>
      </w:r>
      <w:r w:rsidR="0046460C" w:rsidRPr="002754F0">
        <w:rPr>
          <w:b/>
          <w:lang w:eastAsia="en-GB"/>
        </w:rPr>
        <w:t>ecurity sector</w:t>
      </w:r>
      <w:r w:rsidR="00574E56">
        <w:rPr>
          <w:b/>
          <w:lang w:eastAsia="en-GB"/>
        </w:rPr>
        <w:t>:</w:t>
      </w:r>
    </w:p>
    <w:p w:rsidR="0046460C" w:rsidRPr="00B7613D" w:rsidRDefault="0046460C" w:rsidP="00B7613D">
      <w:pPr>
        <w:pStyle w:val="SingleTxtG"/>
        <w:ind w:left="1701"/>
        <w:rPr>
          <w:b/>
          <w:bCs/>
          <w:lang w:eastAsia="en-GB"/>
        </w:rPr>
      </w:pPr>
      <w:r w:rsidRPr="00A35DC5">
        <w:rPr>
          <w:lang w:eastAsia="en-GB"/>
        </w:rPr>
        <w:t>(</w:t>
      </w:r>
      <w:proofErr w:type="gramStart"/>
      <w:r w:rsidRPr="00A35DC5">
        <w:rPr>
          <w:lang w:eastAsia="en-GB"/>
        </w:rPr>
        <w:t>i</w:t>
      </w:r>
      <w:proofErr w:type="gramEnd"/>
      <w:r w:rsidRPr="00A35DC5">
        <w:rPr>
          <w:lang w:eastAsia="en-GB"/>
        </w:rPr>
        <w:t>)</w:t>
      </w:r>
      <w:r w:rsidR="005B7DEC">
        <w:rPr>
          <w:b/>
          <w:bCs/>
          <w:lang w:eastAsia="en-GB"/>
        </w:rPr>
        <w:tab/>
      </w:r>
      <w:r w:rsidRPr="00B7613D">
        <w:rPr>
          <w:b/>
          <w:bCs/>
          <w:lang w:eastAsia="en-GB"/>
        </w:rPr>
        <w:t xml:space="preserve">Ensure that reform is linked to justice, taking into account </w:t>
      </w:r>
      <w:r w:rsidR="005957D1">
        <w:rPr>
          <w:b/>
          <w:bCs/>
          <w:lang w:eastAsia="en-GB"/>
        </w:rPr>
        <w:t xml:space="preserve">the </w:t>
      </w:r>
      <w:r w:rsidRPr="00B7613D">
        <w:rPr>
          <w:b/>
          <w:bCs/>
          <w:lang w:eastAsia="en-GB"/>
        </w:rPr>
        <w:t xml:space="preserve">legacies of past violations by security institutions; </w:t>
      </w:r>
    </w:p>
    <w:p w:rsidR="0046460C" w:rsidRPr="00B7613D" w:rsidRDefault="0046460C" w:rsidP="00E0253B">
      <w:pPr>
        <w:pStyle w:val="SingleTxtG"/>
        <w:ind w:left="1701"/>
        <w:rPr>
          <w:b/>
          <w:bCs/>
          <w:lang w:eastAsia="en-GB"/>
        </w:rPr>
      </w:pPr>
      <w:r w:rsidRPr="00A35DC5">
        <w:rPr>
          <w:lang w:eastAsia="en-GB"/>
        </w:rPr>
        <w:t>(ii)</w:t>
      </w:r>
      <w:r w:rsidR="005B7DEC">
        <w:rPr>
          <w:b/>
          <w:bCs/>
          <w:lang w:eastAsia="en-GB"/>
        </w:rPr>
        <w:tab/>
      </w:r>
      <w:r w:rsidRPr="00B7613D">
        <w:rPr>
          <w:b/>
          <w:bCs/>
          <w:lang w:eastAsia="en-GB"/>
        </w:rPr>
        <w:t xml:space="preserve">Enhance the capacity of the security sector, in particular the police and the national intelligence service, to </w:t>
      </w:r>
      <w:r w:rsidR="0020448E">
        <w:rPr>
          <w:b/>
          <w:bCs/>
          <w:lang w:eastAsia="en-GB"/>
        </w:rPr>
        <w:t>fully understand</w:t>
      </w:r>
      <w:r w:rsidRPr="00B7613D">
        <w:rPr>
          <w:b/>
          <w:bCs/>
          <w:lang w:eastAsia="en-GB"/>
        </w:rPr>
        <w:t xml:space="preserve"> their roles with respect to the population and the </w:t>
      </w:r>
      <w:r w:rsidR="0020448E">
        <w:rPr>
          <w:b/>
          <w:bCs/>
          <w:lang w:eastAsia="en-GB"/>
        </w:rPr>
        <w:t>roles of</w:t>
      </w:r>
      <w:r w:rsidRPr="00B7613D">
        <w:rPr>
          <w:b/>
          <w:bCs/>
          <w:lang w:eastAsia="en-GB"/>
        </w:rPr>
        <w:t xml:space="preserve"> civil society and the media; </w:t>
      </w:r>
    </w:p>
    <w:p w:rsidR="0046460C" w:rsidRPr="00B7613D" w:rsidRDefault="0046460C" w:rsidP="00DC69E4">
      <w:pPr>
        <w:pStyle w:val="SingleTxtG"/>
        <w:ind w:left="1701"/>
        <w:rPr>
          <w:b/>
          <w:bCs/>
          <w:lang w:eastAsia="en-GB"/>
        </w:rPr>
      </w:pPr>
      <w:r w:rsidRPr="00A35DC5">
        <w:rPr>
          <w:lang w:eastAsia="en-GB"/>
        </w:rPr>
        <w:t>(iii)</w:t>
      </w:r>
      <w:r w:rsidR="005B7DEC">
        <w:rPr>
          <w:b/>
          <w:bCs/>
          <w:lang w:eastAsia="en-GB"/>
        </w:rPr>
        <w:tab/>
      </w:r>
      <w:r w:rsidRPr="00B7613D">
        <w:rPr>
          <w:b/>
          <w:bCs/>
          <w:lang w:eastAsia="en-GB"/>
        </w:rPr>
        <w:t xml:space="preserve">Strengthen constitutional civilian oversight bodies, such as the Ombudsman and the </w:t>
      </w:r>
      <w:r w:rsidR="00DC69E4">
        <w:rPr>
          <w:b/>
          <w:bCs/>
          <w:lang w:eastAsia="en-GB"/>
        </w:rPr>
        <w:t xml:space="preserve">independent </w:t>
      </w:r>
      <w:r w:rsidRPr="00B7613D">
        <w:rPr>
          <w:b/>
          <w:bCs/>
          <w:lang w:eastAsia="en-GB"/>
        </w:rPr>
        <w:t>National Human Rights Commission</w:t>
      </w:r>
      <w:r w:rsidR="0020448E">
        <w:rPr>
          <w:b/>
          <w:bCs/>
          <w:lang w:eastAsia="en-GB"/>
        </w:rPr>
        <w:t>, and</w:t>
      </w:r>
      <w:r w:rsidRPr="00B7613D">
        <w:rPr>
          <w:b/>
          <w:bCs/>
          <w:lang w:eastAsia="en-GB"/>
        </w:rPr>
        <w:t xml:space="preserve"> address</w:t>
      </w:r>
      <w:r w:rsidR="00867411">
        <w:rPr>
          <w:b/>
          <w:bCs/>
          <w:lang w:eastAsia="en-GB"/>
        </w:rPr>
        <w:t>,</w:t>
      </w:r>
      <w:r w:rsidRPr="00B7613D">
        <w:rPr>
          <w:b/>
          <w:bCs/>
          <w:lang w:eastAsia="en-GB"/>
        </w:rPr>
        <w:t xml:space="preserve"> as a matter</w:t>
      </w:r>
      <w:r w:rsidR="0020448E">
        <w:rPr>
          <w:b/>
          <w:bCs/>
          <w:lang w:eastAsia="en-GB"/>
        </w:rPr>
        <w:t xml:space="preserve"> of priority</w:t>
      </w:r>
      <w:r w:rsidR="00867411">
        <w:rPr>
          <w:b/>
          <w:bCs/>
          <w:lang w:eastAsia="en-GB"/>
        </w:rPr>
        <w:t>,</w:t>
      </w:r>
      <w:r w:rsidRPr="00B7613D">
        <w:rPr>
          <w:b/>
          <w:bCs/>
          <w:lang w:eastAsia="en-GB"/>
        </w:rPr>
        <w:t xml:space="preserve"> the enormous deficiencies in civilian oversight</w:t>
      </w:r>
      <w:r w:rsidR="00867411">
        <w:rPr>
          <w:b/>
          <w:bCs/>
          <w:lang w:eastAsia="en-GB"/>
        </w:rPr>
        <w:t>,</w:t>
      </w:r>
      <w:r w:rsidRPr="00B7613D">
        <w:rPr>
          <w:b/>
          <w:bCs/>
          <w:lang w:eastAsia="en-GB"/>
        </w:rPr>
        <w:t xml:space="preserve"> </w:t>
      </w:r>
      <w:r w:rsidR="00E03623" w:rsidRPr="00A35DC5">
        <w:rPr>
          <w:b/>
          <w:bCs/>
          <w:iCs/>
          <w:lang w:eastAsia="en-GB"/>
        </w:rPr>
        <w:t>in accordance with the Constitution</w:t>
      </w:r>
      <w:r w:rsidR="00867411">
        <w:rPr>
          <w:b/>
          <w:bCs/>
          <w:iCs/>
          <w:lang w:eastAsia="en-GB"/>
        </w:rPr>
        <w:t>,</w:t>
      </w:r>
      <w:r w:rsidR="00E03623" w:rsidRPr="00A35DC5">
        <w:rPr>
          <w:b/>
          <w:bCs/>
          <w:iCs/>
          <w:lang w:eastAsia="en-GB"/>
        </w:rPr>
        <w:t xml:space="preserve"> </w:t>
      </w:r>
      <w:r w:rsidRPr="00E03623">
        <w:rPr>
          <w:b/>
          <w:bCs/>
          <w:lang w:eastAsia="en-GB"/>
        </w:rPr>
        <w:t>of</w:t>
      </w:r>
      <w:r w:rsidRPr="00B7613D">
        <w:rPr>
          <w:b/>
          <w:bCs/>
          <w:lang w:eastAsia="en-GB"/>
        </w:rPr>
        <w:t xml:space="preserve"> the national intelligence service; </w:t>
      </w:r>
    </w:p>
    <w:p w:rsidR="0046460C" w:rsidRPr="00B7613D" w:rsidRDefault="0046460C" w:rsidP="00B7613D">
      <w:pPr>
        <w:pStyle w:val="SingleTxtG"/>
        <w:ind w:left="1701"/>
        <w:rPr>
          <w:b/>
          <w:bCs/>
          <w:lang w:eastAsia="en-GB"/>
        </w:rPr>
      </w:pPr>
      <w:proofErr w:type="gramStart"/>
      <w:r w:rsidRPr="00A35DC5">
        <w:rPr>
          <w:lang w:eastAsia="en-GB"/>
        </w:rPr>
        <w:t>(iv)</w:t>
      </w:r>
      <w:r w:rsidR="005B7DEC">
        <w:rPr>
          <w:b/>
          <w:bCs/>
          <w:lang w:eastAsia="en-GB"/>
        </w:rPr>
        <w:tab/>
      </w:r>
      <w:r w:rsidRPr="00B7613D">
        <w:rPr>
          <w:b/>
          <w:bCs/>
          <w:lang w:eastAsia="en-GB"/>
        </w:rPr>
        <w:t>Strengthen</w:t>
      </w:r>
      <w:proofErr w:type="gramEnd"/>
      <w:r w:rsidRPr="00B7613D">
        <w:rPr>
          <w:b/>
          <w:bCs/>
          <w:lang w:eastAsia="en-GB"/>
        </w:rPr>
        <w:t xml:space="preserve"> coordination and interaction of internal oversight bodies, including the Inspector General of Public Security, with formal and informal civilian oversight mechanisms, including civil society organizations;</w:t>
      </w:r>
    </w:p>
    <w:p w:rsidR="0046460C" w:rsidRPr="00B7613D" w:rsidRDefault="0046460C" w:rsidP="0020448E">
      <w:pPr>
        <w:pStyle w:val="SingleTxtG"/>
        <w:ind w:left="1701"/>
        <w:rPr>
          <w:b/>
          <w:bCs/>
          <w:lang w:eastAsia="en-GB"/>
        </w:rPr>
      </w:pPr>
      <w:r w:rsidRPr="00A35DC5">
        <w:rPr>
          <w:lang w:eastAsia="en-GB"/>
        </w:rPr>
        <w:t>(v)</w:t>
      </w:r>
      <w:r w:rsidR="005B7DEC">
        <w:rPr>
          <w:b/>
          <w:bCs/>
          <w:lang w:eastAsia="en-GB"/>
        </w:rPr>
        <w:tab/>
      </w:r>
      <w:r w:rsidRPr="00B7613D">
        <w:rPr>
          <w:b/>
          <w:bCs/>
          <w:lang w:eastAsia="en-GB"/>
        </w:rPr>
        <w:t xml:space="preserve">Address overlaps in the structure of </w:t>
      </w:r>
      <w:r w:rsidR="0020448E">
        <w:rPr>
          <w:b/>
          <w:bCs/>
          <w:lang w:eastAsia="en-GB"/>
        </w:rPr>
        <w:t>n</w:t>
      </w:r>
      <w:r w:rsidRPr="00B7613D">
        <w:rPr>
          <w:b/>
          <w:bCs/>
          <w:lang w:eastAsia="en-GB"/>
        </w:rPr>
        <w:t xml:space="preserve">ational </w:t>
      </w:r>
      <w:r w:rsidR="0020448E">
        <w:rPr>
          <w:b/>
          <w:bCs/>
          <w:lang w:eastAsia="en-GB"/>
        </w:rPr>
        <w:t>p</w:t>
      </w:r>
      <w:r w:rsidRPr="00B7613D">
        <w:rPr>
          <w:b/>
          <w:bCs/>
          <w:lang w:eastAsia="en-GB"/>
        </w:rPr>
        <w:t xml:space="preserve">olice roles and responsibilities, especially between the Ministry of Public Security and the Directorate General of the Police; </w:t>
      </w:r>
    </w:p>
    <w:p w:rsidR="0046460C" w:rsidRPr="00B7613D" w:rsidRDefault="0046460C" w:rsidP="0020448E">
      <w:pPr>
        <w:pStyle w:val="SingleTxtG"/>
        <w:ind w:left="1701"/>
        <w:rPr>
          <w:b/>
          <w:bCs/>
          <w:lang w:eastAsia="en-GB"/>
        </w:rPr>
      </w:pPr>
      <w:proofErr w:type="gramStart"/>
      <w:r w:rsidRPr="00A35DC5">
        <w:rPr>
          <w:lang w:eastAsia="en-GB"/>
        </w:rPr>
        <w:t>(vi)</w:t>
      </w:r>
      <w:r w:rsidR="005B7DEC">
        <w:rPr>
          <w:b/>
          <w:bCs/>
          <w:lang w:eastAsia="en-GB"/>
        </w:rPr>
        <w:tab/>
      </w:r>
      <w:r w:rsidRPr="00B7613D">
        <w:rPr>
          <w:b/>
          <w:bCs/>
          <w:lang w:eastAsia="en-GB"/>
        </w:rPr>
        <w:t>Ensure</w:t>
      </w:r>
      <w:proofErr w:type="gramEnd"/>
      <w:r w:rsidRPr="00B7613D">
        <w:rPr>
          <w:b/>
          <w:bCs/>
          <w:lang w:eastAsia="en-GB"/>
        </w:rPr>
        <w:t xml:space="preserve"> adequate space for informal accountability </w:t>
      </w:r>
      <w:r w:rsidR="0020448E">
        <w:rPr>
          <w:b/>
          <w:bCs/>
          <w:lang w:eastAsia="en-GB"/>
        </w:rPr>
        <w:t xml:space="preserve">mechanisms </w:t>
      </w:r>
      <w:r w:rsidRPr="00B7613D">
        <w:rPr>
          <w:b/>
          <w:bCs/>
          <w:lang w:eastAsia="en-GB"/>
        </w:rPr>
        <w:t xml:space="preserve">provided by civil society, the media, human rights </w:t>
      </w:r>
      <w:r w:rsidR="0020448E">
        <w:rPr>
          <w:b/>
          <w:bCs/>
          <w:lang w:eastAsia="en-GB"/>
        </w:rPr>
        <w:t xml:space="preserve">and non-governmental </w:t>
      </w:r>
      <w:r w:rsidRPr="00B7613D">
        <w:rPr>
          <w:b/>
          <w:bCs/>
          <w:lang w:eastAsia="en-GB"/>
        </w:rPr>
        <w:t>organizations;</w:t>
      </w:r>
    </w:p>
    <w:p w:rsidR="0046460C" w:rsidRPr="00B7613D" w:rsidRDefault="0046460C" w:rsidP="00E0253B">
      <w:pPr>
        <w:pStyle w:val="SingleTxtG"/>
        <w:ind w:left="1701"/>
        <w:rPr>
          <w:b/>
          <w:bCs/>
          <w:lang w:eastAsia="en-GB"/>
        </w:rPr>
      </w:pPr>
      <w:r w:rsidRPr="00A35DC5">
        <w:rPr>
          <w:lang w:eastAsia="en-GB"/>
        </w:rPr>
        <w:t>(vii)</w:t>
      </w:r>
      <w:r w:rsidR="005B7DEC">
        <w:rPr>
          <w:b/>
          <w:bCs/>
          <w:lang w:eastAsia="en-GB"/>
        </w:rPr>
        <w:tab/>
      </w:r>
      <w:r w:rsidRPr="00B7613D">
        <w:rPr>
          <w:b/>
          <w:bCs/>
          <w:lang w:eastAsia="en-GB"/>
        </w:rPr>
        <w:t>Continue efforts to professionali</w:t>
      </w:r>
      <w:r w:rsidR="0020448E">
        <w:rPr>
          <w:b/>
          <w:bCs/>
          <w:lang w:eastAsia="en-GB"/>
        </w:rPr>
        <w:t>z</w:t>
      </w:r>
      <w:r w:rsidRPr="00B7613D">
        <w:rPr>
          <w:b/>
          <w:bCs/>
          <w:lang w:eastAsia="en-GB"/>
        </w:rPr>
        <w:t xml:space="preserve">e the security sector through structured and coordinated training programmes </w:t>
      </w:r>
      <w:r w:rsidR="0020448E">
        <w:rPr>
          <w:b/>
          <w:bCs/>
          <w:lang w:eastAsia="en-GB"/>
        </w:rPr>
        <w:t xml:space="preserve">in human rights </w:t>
      </w:r>
      <w:r w:rsidRPr="00B7613D">
        <w:rPr>
          <w:b/>
          <w:bCs/>
          <w:lang w:eastAsia="en-GB"/>
        </w:rPr>
        <w:t>for the security forces, particularly the police</w:t>
      </w:r>
      <w:r w:rsidR="0020448E">
        <w:rPr>
          <w:b/>
          <w:bCs/>
          <w:lang w:eastAsia="en-GB"/>
        </w:rPr>
        <w:t xml:space="preserve"> force</w:t>
      </w:r>
      <w:r w:rsidRPr="00B7613D">
        <w:rPr>
          <w:b/>
          <w:bCs/>
          <w:lang w:eastAsia="en-GB"/>
        </w:rPr>
        <w:t xml:space="preserve"> and the national intelligence service, </w:t>
      </w:r>
      <w:r w:rsidR="00C12D6E">
        <w:rPr>
          <w:b/>
          <w:bCs/>
          <w:lang w:eastAsia="en-GB"/>
        </w:rPr>
        <w:t>with an emphasis on</w:t>
      </w:r>
      <w:r w:rsidRPr="00B7613D">
        <w:rPr>
          <w:b/>
          <w:bCs/>
          <w:lang w:eastAsia="en-GB"/>
        </w:rPr>
        <w:t xml:space="preserve"> recognition of the legacies of past violations by security institutions;</w:t>
      </w:r>
    </w:p>
    <w:p w:rsidR="0046460C" w:rsidRPr="00B7613D" w:rsidRDefault="0046460C" w:rsidP="00E0253B">
      <w:pPr>
        <w:pStyle w:val="SingleTxtG"/>
        <w:ind w:left="1701"/>
        <w:rPr>
          <w:b/>
          <w:bCs/>
          <w:lang w:eastAsia="en-GB"/>
        </w:rPr>
      </w:pPr>
      <w:r w:rsidRPr="00A35DC5">
        <w:rPr>
          <w:lang w:eastAsia="en-GB"/>
        </w:rPr>
        <w:t>(viii)</w:t>
      </w:r>
      <w:r w:rsidR="005B7DEC">
        <w:rPr>
          <w:b/>
          <w:bCs/>
          <w:lang w:eastAsia="en-GB"/>
        </w:rPr>
        <w:tab/>
      </w:r>
      <w:r w:rsidRPr="00B7613D">
        <w:rPr>
          <w:b/>
          <w:bCs/>
          <w:lang w:eastAsia="en-GB"/>
        </w:rPr>
        <w:t xml:space="preserve">Pending comprehensive reform, take targeted first steps in the area of vetting, including a census and registration programme for screening past human rights records, and consider linking </w:t>
      </w:r>
      <w:r w:rsidR="0020448E">
        <w:rPr>
          <w:b/>
          <w:bCs/>
          <w:lang w:eastAsia="en-GB"/>
        </w:rPr>
        <w:t>such</w:t>
      </w:r>
      <w:r w:rsidRPr="00B7613D">
        <w:rPr>
          <w:b/>
          <w:bCs/>
          <w:lang w:eastAsia="en-GB"/>
        </w:rPr>
        <w:t xml:space="preserve"> programme with recruitment and promotion procedures, in accordance with due process standards</w:t>
      </w:r>
      <w:r w:rsidR="00E0253B">
        <w:rPr>
          <w:b/>
          <w:bCs/>
          <w:lang w:eastAsia="en-GB"/>
        </w:rPr>
        <w:t>;</w:t>
      </w:r>
    </w:p>
    <w:p w:rsidR="0046460C" w:rsidRPr="002754F0" w:rsidRDefault="0046460C" w:rsidP="002E637C">
      <w:pPr>
        <w:pStyle w:val="SingleTxtG"/>
        <w:ind w:firstLine="567"/>
        <w:rPr>
          <w:b/>
          <w:lang w:eastAsia="en-GB"/>
        </w:rPr>
      </w:pPr>
      <w:r w:rsidRPr="00A35DC5">
        <w:rPr>
          <w:bCs/>
          <w:lang w:eastAsia="en-GB"/>
        </w:rPr>
        <w:t>(b)</w:t>
      </w:r>
      <w:r w:rsidR="00232536">
        <w:rPr>
          <w:b/>
          <w:lang w:eastAsia="en-GB"/>
        </w:rPr>
        <w:tab/>
      </w:r>
      <w:r w:rsidR="0020448E">
        <w:rPr>
          <w:b/>
          <w:lang w:eastAsia="en-GB"/>
        </w:rPr>
        <w:t>J</w:t>
      </w:r>
      <w:r w:rsidRPr="002754F0">
        <w:rPr>
          <w:b/>
          <w:lang w:eastAsia="en-GB"/>
        </w:rPr>
        <w:t>udicial reform</w:t>
      </w:r>
      <w:r w:rsidR="00574E56">
        <w:rPr>
          <w:b/>
          <w:lang w:eastAsia="en-GB"/>
        </w:rPr>
        <w:t>:</w:t>
      </w:r>
    </w:p>
    <w:p w:rsidR="0046460C" w:rsidRPr="00232536" w:rsidRDefault="0046460C" w:rsidP="0020448E">
      <w:pPr>
        <w:pStyle w:val="SingleTxtG"/>
        <w:ind w:left="1701"/>
        <w:rPr>
          <w:b/>
          <w:lang w:eastAsia="en-GB"/>
        </w:rPr>
      </w:pPr>
      <w:r w:rsidRPr="00A35DC5">
        <w:rPr>
          <w:bCs/>
          <w:lang w:eastAsia="en-GB"/>
        </w:rPr>
        <w:t>(i)</w:t>
      </w:r>
      <w:r w:rsidR="005B7DEC">
        <w:rPr>
          <w:b/>
          <w:lang w:eastAsia="en-GB"/>
        </w:rPr>
        <w:tab/>
      </w:r>
      <w:r w:rsidRPr="00232536">
        <w:rPr>
          <w:b/>
          <w:lang w:eastAsia="en-GB"/>
        </w:rPr>
        <w:t xml:space="preserve">Publish in full the results and deliberations of the </w:t>
      </w:r>
      <w:r w:rsidR="0020448E">
        <w:rPr>
          <w:b/>
          <w:lang w:eastAsia="en-GB"/>
        </w:rPr>
        <w:t xml:space="preserve">Estates General on </w:t>
      </w:r>
      <w:r w:rsidRPr="00232536">
        <w:rPr>
          <w:b/>
          <w:lang w:eastAsia="en-GB"/>
        </w:rPr>
        <w:t xml:space="preserve">Justice and implement </w:t>
      </w:r>
      <w:r w:rsidR="0020448E">
        <w:rPr>
          <w:b/>
          <w:lang w:eastAsia="en-GB"/>
        </w:rPr>
        <w:t xml:space="preserve">the </w:t>
      </w:r>
      <w:r w:rsidRPr="00232536">
        <w:rPr>
          <w:b/>
          <w:lang w:eastAsia="en-GB"/>
        </w:rPr>
        <w:t>planned follow-up mechanisms;</w:t>
      </w:r>
    </w:p>
    <w:p w:rsidR="0046460C" w:rsidRPr="00232536" w:rsidRDefault="0046460C" w:rsidP="0020448E">
      <w:pPr>
        <w:pStyle w:val="SingleTxtG"/>
        <w:ind w:left="1701"/>
        <w:rPr>
          <w:b/>
          <w:lang w:eastAsia="en-GB"/>
        </w:rPr>
      </w:pPr>
      <w:r w:rsidRPr="00A35DC5">
        <w:rPr>
          <w:bCs/>
          <w:lang w:eastAsia="en-GB"/>
        </w:rPr>
        <w:t>(ii)</w:t>
      </w:r>
      <w:r w:rsidR="005B7DEC">
        <w:rPr>
          <w:b/>
          <w:lang w:eastAsia="en-GB"/>
        </w:rPr>
        <w:tab/>
      </w:r>
      <w:r w:rsidRPr="00232536">
        <w:rPr>
          <w:b/>
          <w:lang w:eastAsia="en-GB"/>
        </w:rPr>
        <w:t xml:space="preserve">Revisit constitutional and legislative provisions to embody respect for the principle of the separation of powers among the three branches of power, thereby strengthening the independence of the judiciary and guaranteeing </w:t>
      </w:r>
      <w:r w:rsidR="0020448E" w:rsidRPr="00232536">
        <w:rPr>
          <w:b/>
          <w:lang w:eastAsia="en-GB"/>
        </w:rPr>
        <w:t>judicial self-regulation</w:t>
      </w:r>
      <w:r w:rsidR="0020448E">
        <w:rPr>
          <w:b/>
          <w:lang w:eastAsia="en-GB"/>
        </w:rPr>
        <w:t xml:space="preserve">, </w:t>
      </w:r>
      <w:r w:rsidRPr="00232536">
        <w:rPr>
          <w:b/>
          <w:lang w:eastAsia="en-GB"/>
        </w:rPr>
        <w:t xml:space="preserve">in law and </w:t>
      </w:r>
      <w:r w:rsidR="0020448E">
        <w:rPr>
          <w:b/>
          <w:lang w:eastAsia="en-GB"/>
        </w:rPr>
        <w:t xml:space="preserve">in </w:t>
      </w:r>
      <w:r w:rsidRPr="00232536">
        <w:rPr>
          <w:b/>
          <w:lang w:eastAsia="en-GB"/>
        </w:rPr>
        <w:t xml:space="preserve">practice; </w:t>
      </w:r>
    </w:p>
    <w:p w:rsidR="0046460C" w:rsidRPr="00232536" w:rsidRDefault="0046460C" w:rsidP="00696460">
      <w:pPr>
        <w:pStyle w:val="SingleTxtG"/>
        <w:ind w:left="1701"/>
        <w:rPr>
          <w:b/>
          <w:lang w:eastAsia="en-GB"/>
        </w:rPr>
      </w:pPr>
      <w:r w:rsidRPr="00A35DC5">
        <w:rPr>
          <w:bCs/>
          <w:lang w:eastAsia="en-GB"/>
        </w:rPr>
        <w:t>(iii)</w:t>
      </w:r>
      <w:r w:rsidR="005B7DEC">
        <w:rPr>
          <w:b/>
          <w:lang w:eastAsia="en-GB"/>
        </w:rPr>
        <w:tab/>
      </w:r>
      <w:r w:rsidRPr="00232536">
        <w:rPr>
          <w:b/>
          <w:lang w:eastAsia="en-GB"/>
        </w:rPr>
        <w:t>Revi</w:t>
      </w:r>
      <w:r w:rsidR="0020448E">
        <w:rPr>
          <w:b/>
          <w:lang w:eastAsia="en-GB"/>
        </w:rPr>
        <w:t>ew</w:t>
      </w:r>
      <w:r w:rsidRPr="00232536">
        <w:rPr>
          <w:b/>
          <w:lang w:eastAsia="en-GB"/>
        </w:rPr>
        <w:t xml:space="preserve"> the composition of the Superior Judicial Council to shield it from control </w:t>
      </w:r>
      <w:r w:rsidR="00696460">
        <w:rPr>
          <w:b/>
          <w:lang w:eastAsia="en-GB"/>
        </w:rPr>
        <w:t xml:space="preserve">by the executive </w:t>
      </w:r>
      <w:r w:rsidRPr="00232536">
        <w:rPr>
          <w:b/>
          <w:lang w:eastAsia="en-GB"/>
        </w:rPr>
        <w:t>over the judicial branch</w:t>
      </w:r>
      <w:r w:rsidR="00696460">
        <w:rPr>
          <w:b/>
          <w:lang w:eastAsia="en-GB"/>
        </w:rPr>
        <w:t>, through</w:t>
      </w:r>
      <w:r w:rsidRPr="00232536">
        <w:rPr>
          <w:b/>
          <w:lang w:eastAsia="en-GB"/>
        </w:rPr>
        <w:t xml:space="preserve"> appointments, promotions and disciplining procedures</w:t>
      </w:r>
      <w:r w:rsidR="00696460">
        <w:rPr>
          <w:b/>
          <w:lang w:eastAsia="en-GB"/>
        </w:rPr>
        <w:t>, and</w:t>
      </w:r>
      <w:r w:rsidRPr="00232536">
        <w:rPr>
          <w:b/>
          <w:lang w:eastAsia="en-GB"/>
        </w:rPr>
        <w:t xml:space="preserve"> vest the Superior Judicial Council with enhanced competencies over all procedures that govern the career of magistrates;</w:t>
      </w:r>
    </w:p>
    <w:p w:rsidR="0046460C" w:rsidRPr="00232536" w:rsidRDefault="0046460C" w:rsidP="00E0253B">
      <w:pPr>
        <w:pStyle w:val="SingleTxtG"/>
        <w:ind w:left="1701"/>
        <w:rPr>
          <w:b/>
          <w:lang w:eastAsia="en-GB"/>
        </w:rPr>
      </w:pPr>
      <w:proofErr w:type="gramStart"/>
      <w:r w:rsidRPr="00A35DC5">
        <w:rPr>
          <w:bCs/>
          <w:lang w:eastAsia="en-GB"/>
        </w:rPr>
        <w:t>(iv)</w:t>
      </w:r>
      <w:r w:rsidR="005B7DEC">
        <w:rPr>
          <w:b/>
          <w:lang w:eastAsia="en-GB"/>
        </w:rPr>
        <w:tab/>
      </w:r>
      <w:r w:rsidRPr="00232536">
        <w:rPr>
          <w:b/>
          <w:lang w:eastAsia="en-GB"/>
        </w:rPr>
        <w:t>Increase</w:t>
      </w:r>
      <w:proofErr w:type="gramEnd"/>
      <w:r w:rsidRPr="00232536">
        <w:rPr>
          <w:b/>
          <w:lang w:eastAsia="en-GB"/>
        </w:rPr>
        <w:t xml:space="preserve"> the annual budget for the judiciary and revi</w:t>
      </w:r>
      <w:r w:rsidR="00696460">
        <w:rPr>
          <w:b/>
          <w:lang w:eastAsia="en-GB"/>
        </w:rPr>
        <w:t>ew</w:t>
      </w:r>
      <w:r w:rsidRPr="00232536">
        <w:rPr>
          <w:b/>
          <w:lang w:eastAsia="en-GB"/>
        </w:rPr>
        <w:t xml:space="preserve"> relevant legislation to ensure judicial financial autonomy</w:t>
      </w:r>
      <w:r w:rsidR="00E0253B">
        <w:rPr>
          <w:b/>
          <w:lang w:eastAsia="en-GB"/>
        </w:rPr>
        <w:t>;</w:t>
      </w:r>
      <w:r w:rsidRPr="00232536">
        <w:rPr>
          <w:b/>
          <w:lang w:eastAsia="en-GB"/>
        </w:rPr>
        <w:t xml:space="preserve"> </w:t>
      </w:r>
    </w:p>
    <w:p w:rsidR="0046460C" w:rsidRPr="002754F0" w:rsidRDefault="00232536" w:rsidP="001A7993">
      <w:pPr>
        <w:pStyle w:val="SingleTxtG"/>
        <w:ind w:firstLine="567"/>
        <w:rPr>
          <w:b/>
          <w:lang w:eastAsia="en-GB"/>
        </w:rPr>
      </w:pPr>
      <w:r w:rsidRPr="00A35DC5">
        <w:rPr>
          <w:bCs/>
          <w:lang w:eastAsia="en-GB"/>
        </w:rPr>
        <w:t>(c)</w:t>
      </w:r>
      <w:r>
        <w:rPr>
          <w:b/>
          <w:lang w:eastAsia="en-GB"/>
        </w:rPr>
        <w:tab/>
      </w:r>
      <w:r w:rsidR="00E0253B">
        <w:rPr>
          <w:b/>
          <w:lang w:eastAsia="en-GB"/>
        </w:rPr>
        <w:t>L</w:t>
      </w:r>
      <w:r w:rsidR="0046460C">
        <w:rPr>
          <w:b/>
          <w:lang w:eastAsia="en-GB"/>
        </w:rPr>
        <w:t>egal empowerment</w:t>
      </w:r>
      <w:r w:rsidR="001A7993">
        <w:rPr>
          <w:b/>
          <w:lang w:eastAsia="en-GB"/>
        </w:rPr>
        <w:t>:</w:t>
      </w:r>
      <w:r w:rsidR="0046460C">
        <w:rPr>
          <w:b/>
          <w:lang w:eastAsia="en-GB"/>
        </w:rPr>
        <w:t xml:space="preserve"> r</w:t>
      </w:r>
      <w:r w:rsidR="0046460C" w:rsidRPr="00053505">
        <w:rPr>
          <w:b/>
          <w:lang w:eastAsia="en-GB"/>
        </w:rPr>
        <w:t>edouble efforts to ensure access to justice for all</w:t>
      </w:r>
      <w:r w:rsidR="00E0253B">
        <w:rPr>
          <w:b/>
          <w:lang w:eastAsia="en-GB"/>
        </w:rPr>
        <w:t>;</w:t>
      </w:r>
      <w:r w:rsidR="00696460">
        <w:rPr>
          <w:b/>
          <w:lang w:eastAsia="en-GB"/>
        </w:rPr>
        <w:t xml:space="preserve"> and </w:t>
      </w:r>
      <w:r w:rsidR="0046460C" w:rsidRPr="00053505">
        <w:rPr>
          <w:b/>
          <w:lang w:eastAsia="en-GB"/>
        </w:rPr>
        <w:t xml:space="preserve">civil society </w:t>
      </w:r>
      <w:r w:rsidR="00696460">
        <w:rPr>
          <w:b/>
          <w:lang w:eastAsia="en-GB"/>
        </w:rPr>
        <w:t xml:space="preserve">is encouraged </w:t>
      </w:r>
      <w:r w:rsidR="0046460C" w:rsidRPr="00053505">
        <w:rPr>
          <w:b/>
          <w:lang w:eastAsia="en-GB"/>
        </w:rPr>
        <w:t>to expand initiatives to strengthen legal empowerment of the population, including through legal aid projects for the most vulnerable</w:t>
      </w:r>
      <w:r w:rsidR="00E0253B">
        <w:rPr>
          <w:b/>
          <w:lang w:eastAsia="en-GB"/>
        </w:rPr>
        <w:t>;</w:t>
      </w:r>
    </w:p>
    <w:p w:rsidR="0046460C" w:rsidRPr="002754F0" w:rsidRDefault="00232536" w:rsidP="002E637C">
      <w:pPr>
        <w:pStyle w:val="SingleTxtG"/>
        <w:ind w:firstLine="567"/>
        <w:rPr>
          <w:b/>
          <w:lang w:eastAsia="en-GB"/>
        </w:rPr>
      </w:pPr>
      <w:r w:rsidRPr="00A35DC5">
        <w:rPr>
          <w:bCs/>
          <w:lang w:eastAsia="en-GB"/>
        </w:rPr>
        <w:t>(</w:t>
      </w:r>
      <w:r w:rsidR="0046460C" w:rsidRPr="00A35DC5">
        <w:rPr>
          <w:bCs/>
          <w:lang w:eastAsia="en-GB"/>
        </w:rPr>
        <w:t>d)</w:t>
      </w:r>
      <w:r>
        <w:rPr>
          <w:b/>
          <w:lang w:eastAsia="en-GB"/>
        </w:rPr>
        <w:tab/>
      </w:r>
      <w:r w:rsidR="009249BE">
        <w:rPr>
          <w:b/>
          <w:lang w:eastAsia="en-GB"/>
        </w:rPr>
        <w:t>H</w:t>
      </w:r>
      <w:r w:rsidR="0046460C" w:rsidRPr="002754F0">
        <w:rPr>
          <w:b/>
          <w:lang w:eastAsia="en-GB"/>
        </w:rPr>
        <w:t>istory, memorialization and archives</w:t>
      </w:r>
      <w:r w:rsidR="00574E56">
        <w:rPr>
          <w:b/>
          <w:lang w:eastAsia="en-GB"/>
        </w:rPr>
        <w:t>:</w:t>
      </w:r>
    </w:p>
    <w:p w:rsidR="0046460C" w:rsidRPr="00232536" w:rsidRDefault="0046460C" w:rsidP="00696460">
      <w:pPr>
        <w:pStyle w:val="SingleTxtG"/>
        <w:ind w:left="1701"/>
        <w:rPr>
          <w:b/>
          <w:lang w:eastAsia="en-GB"/>
        </w:rPr>
      </w:pPr>
      <w:r w:rsidRPr="00A35DC5">
        <w:rPr>
          <w:bCs/>
          <w:lang w:eastAsia="en-GB"/>
        </w:rPr>
        <w:t>(</w:t>
      </w:r>
      <w:proofErr w:type="gramStart"/>
      <w:r w:rsidRPr="00A35DC5">
        <w:rPr>
          <w:bCs/>
          <w:lang w:eastAsia="en-GB"/>
        </w:rPr>
        <w:t>i</w:t>
      </w:r>
      <w:proofErr w:type="gramEnd"/>
      <w:r w:rsidRPr="00A35DC5">
        <w:rPr>
          <w:bCs/>
          <w:lang w:eastAsia="en-GB"/>
        </w:rPr>
        <w:t>)</w:t>
      </w:r>
      <w:r w:rsidR="005B7DEC">
        <w:rPr>
          <w:b/>
          <w:lang w:eastAsia="en-GB"/>
        </w:rPr>
        <w:tab/>
      </w:r>
      <w:r w:rsidRPr="00232536">
        <w:rPr>
          <w:b/>
          <w:lang w:eastAsia="en-GB"/>
        </w:rPr>
        <w:t>Revi</w:t>
      </w:r>
      <w:r w:rsidR="00696460">
        <w:rPr>
          <w:b/>
          <w:lang w:eastAsia="en-GB"/>
        </w:rPr>
        <w:t>ew the</w:t>
      </w:r>
      <w:r w:rsidRPr="00232536">
        <w:rPr>
          <w:b/>
          <w:lang w:eastAsia="en-GB"/>
        </w:rPr>
        <w:t xml:space="preserve"> history curricula in order to foster dialogue and social cohesion; revi</w:t>
      </w:r>
      <w:r w:rsidR="00696460">
        <w:rPr>
          <w:b/>
          <w:lang w:eastAsia="en-GB"/>
        </w:rPr>
        <w:t>ew</w:t>
      </w:r>
      <w:r w:rsidRPr="00232536">
        <w:rPr>
          <w:b/>
          <w:lang w:eastAsia="en-GB"/>
        </w:rPr>
        <w:t xml:space="preserve"> and incorporate past initiatives on rewriting the contemporary history of Burundi;</w:t>
      </w:r>
    </w:p>
    <w:p w:rsidR="0046460C" w:rsidRPr="00232536" w:rsidRDefault="0046460C" w:rsidP="00696460">
      <w:pPr>
        <w:pStyle w:val="SingleTxtG"/>
        <w:ind w:left="1701"/>
        <w:rPr>
          <w:b/>
          <w:lang w:eastAsia="en-GB"/>
        </w:rPr>
      </w:pPr>
      <w:r w:rsidRPr="00A35DC5">
        <w:rPr>
          <w:bCs/>
          <w:lang w:eastAsia="en-GB"/>
        </w:rPr>
        <w:t>(ii)</w:t>
      </w:r>
      <w:r w:rsidR="005B7DEC">
        <w:rPr>
          <w:b/>
          <w:lang w:eastAsia="en-GB"/>
        </w:rPr>
        <w:tab/>
      </w:r>
      <w:r w:rsidRPr="00232536">
        <w:rPr>
          <w:b/>
          <w:lang w:eastAsia="en-GB"/>
        </w:rPr>
        <w:t>Promote citizen-led initiatives in the area of memoriali</w:t>
      </w:r>
      <w:r w:rsidR="00696460">
        <w:rPr>
          <w:b/>
          <w:lang w:eastAsia="en-GB"/>
        </w:rPr>
        <w:t>z</w:t>
      </w:r>
      <w:r w:rsidRPr="00232536">
        <w:rPr>
          <w:b/>
          <w:lang w:eastAsia="en-GB"/>
        </w:rPr>
        <w:t xml:space="preserve">ation, by guaranteeing even-handed support for such initiatives; </w:t>
      </w:r>
    </w:p>
    <w:p w:rsidR="0046460C" w:rsidRPr="00232536" w:rsidRDefault="0046460C" w:rsidP="00B7613D">
      <w:pPr>
        <w:pStyle w:val="SingleTxtG"/>
        <w:ind w:left="1701"/>
        <w:rPr>
          <w:b/>
          <w:lang w:eastAsia="en-GB"/>
        </w:rPr>
      </w:pPr>
      <w:r w:rsidRPr="00A35DC5">
        <w:rPr>
          <w:bCs/>
          <w:lang w:eastAsia="en-GB"/>
        </w:rPr>
        <w:t>(iii)</w:t>
      </w:r>
      <w:r w:rsidR="005B7DEC">
        <w:rPr>
          <w:b/>
          <w:lang w:eastAsia="en-GB"/>
        </w:rPr>
        <w:tab/>
      </w:r>
      <w:r w:rsidRPr="00232536">
        <w:rPr>
          <w:b/>
          <w:lang w:eastAsia="en-GB"/>
        </w:rPr>
        <w:t>Put in place immediate measures to locate and preserve mass graves and other burial sites</w:t>
      </w:r>
      <w:r w:rsidR="00696460">
        <w:rPr>
          <w:b/>
          <w:lang w:eastAsia="en-GB"/>
        </w:rPr>
        <w:t>,</w:t>
      </w:r>
      <w:r w:rsidRPr="00232536">
        <w:rPr>
          <w:b/>
          <w:lang w:eastAsia="en-GB"/>
        </w:rPr>
        <w:t xml:space="preserve"> and establish relevant legal protocols or procedures;</w:t>
      </w:r>
    </w:p>
    <w:p w:rsidR="0046460C" w:rsidRPr="00232536" w:rsidRDefault="0046460C" w:rsidP="00D562BB">
      <w:pPr>
        <w:pStyle w:val="SingleTxtG"/>
        <w:ind w:left="1701"/>
        <w:rPr>
          <w:b/>
          <w:lang w:eastAsia="en-GB"/>
        </w:rPr>
      </w:pPr>
      <w:proofErr w:type="gramStart"/>
      <w:r w:rsidRPr="00A35DC5">
        <w:rPr>
          <w:bCs/>
          <w:lang w:eastAsia="en-GB"/>
        </w:rPr>
        <w:t>(iv)</w:t>
      </w:r>
      <w:r w:rsidR="005B7DEC">
        <w:rPr>
          <w:b/>
          <w:lang w:eastAsia="en-GB"/>
        </w:rPr>
        <w:tab/>
      </w:r>
      <w:r w:rsidRPr="00232536">
        <w:rPr>
          <w:b/>
          <w:lang w:eastAsia="en-GB"/>
        </w:rPr>
        <w:t>Start</w:t>
      </w:r>
      <w:proofErr w:type="gramEnd"/>
      <w:r w:rsidRPr="00232536">
        <w:rPr>
          <w:b/>
          <w:lang w:eastAsia="en-GB"/>
        </w:rPr>
        <w:t xml:space="preserve"> mapping mass burial sites throughout the country, </w:t>
      </w:r>
      <w:r w:rsidR="00696460">
        <w:rPr>
          <w:b/>
          <w:lang w:eastAsia="en-GB"/>
        </w:rPr>
        <w:t>drawing on</w:t>
      </w:r>
      <w:r w:rsidRPr="00232536">
        <w:rPr>
          <w:b/>
          <w:lang w:eastAsia="en-GB"/>
        </w:rPr>
        <w:t xml:space="preserve"> the knowledge of civil society;</w:t>
      </w:r>
    </w:p>
    <w:p w:rsidR="0046460C" w:rsidRPr="00232536" w:rsidRDefault="0046460C" w:rsidP="00696460">
      <w:pPr>
        <w:pStyle w:val="SingleTxtG"/>
        <w:ind w:left="1701"/>
        <w:rPr>
          <w:b/>
          <w:lang w:eastAsia="en-GB"/>
        </w:rPr>
      </w:pPr>
      <w:r w:rsidRPr="00A35DC5">
        <w:rPr>
          <w:bCs/>
          <w:lang w:eastAsia="en-GB"/>
        </w:rPr>
        <w:t>(v)</w:t>
      </w:r>
      <w:r w:rsidR="005B7DEC">
        <w:rPr>
          <w:b/>
          <w:lang w:eastAsia="en-GB"/>
        </w:rPr>
        <w:tab/>
      </w:r>
      <w:r w:rsidRPr="00232536">
        <w:rPr>
          <w:b/>
          <w:lang w:eastAsia="en-GB"/>
        </w:rPr>
        <w:t>Establish a policy on national archives</w:t>
      </w:r>
      <w:r w:rsidR="00696460">
        <w:rPr>
          <w:b/>
          <w:lang w:eastAsia="en-GB"/>
        </w:rPr>
        <w:t>,</w:t>
      </w:r>
      <w:r w:rsidRPr="00232536">
        <w:rPr>
          <w:b/>
          <w:lang w:eastAsia="en-GB"/>
        </w:rPr>
        <w:t xml:space="preserve"> in accordance with the right to know the truth about past violations</w:t>
      </w:r>
      <w:r w:rsidR="00696460">
        <w:rPr>
          <w:b/>
          <w:lang w:eastAsia="en-GB"/>
        </w:rPr>
        <w:t>, and see</w:t>
      </w:r>
      <w:r w:rsidR="00E03623">
        <w:rPr>
          <w:b/>
          <w:lang w:eastAsia="en-GB"/>
        </w:rPr>
        <w:t>k</w:t>
      </w:r>
      <w:r w:rsidRPr="00232536">
        <w:rPr>
          <w:b/>
          <w:lang w:eastAsia="en-GB"/>
        </w:rPr>
        <w:t xml:space="preserve"> international expertise </w:t>
      </w:r>
      <w:r w:rsidR="00696460">
        <w:rPr>
          <w:b/>
          <w:lang w:eastAsia="en-GB"/>
        </w:rPr>
        <w:t>to</w:t>
      </w:r>
      <w:r w:rsidRPr="00232536">
        <w:rPr>
          <w:b/>
          <w:lang w:eastAsia="en-GB"/>
        </w:rPr>
        <w:t xml:space="preserve"> assist</w:t>
      </w:r>
      <w:r w:rsidR="00696460">
        <w:rPr>
          <w:b/>
          <w:lang w:eastAsia="en-GB"/>
        </w:rPr>
        <w:t xml:space="preserve"> in </w:t>
      </w:r>
      <w:r w:rsidRPr="00232536">
        <w:rPr>
          <w:b/>
          <w:lang w:eastAsia="en-GB"/>
        </w:rPr>
        <w:t>the development of such a policy.</w:t>
      </w:r>
    </w:p>
    <w:p w:rsidR="00EC2BC5" w:rsidRPr="003970EE" w:rsidRDefault="00F03C9F" w:rsidP="00F03C9F">
      <w:pPr>
        <w:pStyle w:val="SingleTxtG"/>
        <w:spacing w:before="240" w:after="0"/>
        <w:jc w:val="center"/>
        <w:rPr>
          <w:u w:val="single"/>
        </w:rPr>
      </w:pPr>
      <w:r w:rsidRPr="003970EE">
        <w:rPr>
          <w:u w:val="single"/>
        </w:rPr>
        <w:tab/>
      </w:r>
      <w:r w:rsidRPr="003970EE">
        <w:rPr>
          <w:u w:val="single"/>
        </w:rPr>
        <w:tab/>
      </w:r>
      <w:r w:rsidRPr="003970EE">
        <w:rPr>
          <w:u w:val="single"/>
        </w:rPr>
        <w:tab/>
      </w:r>
    </w:p>
    <w:sectPr w:rsidR="00EC2BC5" w:rsidRPr="003970EE" w:rsidSect="00716756">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19F" w:rsidRDefault="0033019F"/>
  </w:endnote>
  <w:endnote w:type="continuationSeparator" w:id="0">
    <w:p w:rsidR="0033019F" w:rsidRDefault="0033019F"/>
  </w:endnote>
  <w:endnote w:type="continuationNotice" w:id="1">
    <w:p w:rsidR="0033019F" w:rsidRDefault="00330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21" w:rsidRPr="00000F08" w:rsidRDefault="008D6221" w:rsidP="00000F08">
    <w:pPr>
      <w:pStyle w:val="Footer"/>
      <w:tabs>
        <w:tab w:val="right" w:pos="9638"/>
      </w:tabs>
    </w:pPr>
    <w:r w:rsidRPr="00000F08">
      <w:rPr>
        <w:b/>
        <w:sz w:val="18"/>
      </w:rPr>
      <w:fldChar w:fldCharType="begin"/>
    </w:r>
    <w:r w:rsidRPr="00000F08">
      <w:rPr>
        <w:b/>
        <w:sz w:val="18"/>
      </w:rPr>
      <w:instrText xml:space="preserve"> PAGE  \* MERGEFORMAT </w:instrText>
    </w:r>
    <w:r w:rsidRPr="00000F08">
      <w:rPr>
        <w:b/>
        <w:sz w:val="18"/>
      </w:rPr>
      <w:fldChar w:fldCharType="separate"/>
    </w:r>
    <w:r w:rsidR="00F17D14">
      <w:rPr>
        <w:b/>
        <w:noProof/>
        <w:sz w:val="18"/>
      </w:rPr>
      <w:t>24</w:t>
    </w:r>
    <w:r w:rsidRPr="00000F0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21" w:rsidRPr="00000F08" w:rsidRDefault="008D6221" w:rsidP="00000F08">
    <w:pPr>
      <w:pStyle w:val="Footer"/>
      <w:tabs>
        <w:tab w:val="right" w:pos="9638"/>
      </w:tabs>
      <w:rPr>
        <w:b/>
        <w:sz w:val="18"/>
      </w:rPr>
    </w:pPr>
    <w:r>
      <w:tab/>
    </w:r>
    <w:r w:rsidRPr="00000F08">
      <w:rPr>
        <w:b/>
        <w:sz w:val="18"/>
      </w:rPr>
      <w:fldChar w:fldCharType="begin"/>
    </w:r>
    <w:r w:rsidRPr="00000F08">
      <w:rPr>
        <w:b/>
        <w:sz w:val="18"/>
      </w:rPr>
      <w:instrText xml:space="preserve"> PAGE  \* MERGEFORMAT </w:instrText>
    </w:r>
    <w:r w:rsidRPr="00000F08">
      <w:rPr>
        <w:b/>
        <w:sz w:val="18"/>
      </w:rPr>
      <w:fldChar w:fldCharType="separate"/>
    </w:r>
    <w:r w:rsidR="00F17D14">
      <w:rPr>
        <w:b/>
        <w:noProof/>
        <w:sz w:val="18"/>
      </w:rPr>
      <w:t>23</w:t>
    </w:r>
    <w:r w:rsidRPr="00000F0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716756" w:rsidTr="00716756">
      <w:tc>
        <w:tcPr>
          <w:tcW w:w="3614" w:type="dxa"/>
          <w:shd w:val="clear" w:color="auto" w:fill="auto"/>
        </w:tcPr>
        <w:p w:rsidR="00716756" w:rsidRDefault="00716756" w:rsidP="00716756">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2" name="Picture 2" descr="http://undocs.org/m2/QRCode2.ashx?DS=A/HRC/30/42/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2/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GE.15-13579(E)</w:t>
          </w:r>
        </w:p>
        <w:p w:rsidR="00716756" w:rsidRPr="00716756" w:rsidRDefault="00716756" w:rsidP="00716756">
          <w:pPr>
            <w:pStyle w:val="Footer"/>
            <w:rPr>
              <w:rFonts w:ascii="Barcode 3 of 9 by request" w:hAnsi="Barcode 3 of 9 by request"/>
              <w:sz w:val="24"/>
            </w:rPr>
          </w:pPr>
          <w:r>
            <w:rPr>
              <w:rFonts w:ascii="Barcode 3 of 9 by request" w:hAnsi="Barcode 3 of 9 by request"/>
              <w:sz w:val="24"/>
            </w:rPr>
            <w:t>*1513579*</w:t>
          </w:r>
        </w:p>
      </w:tc>
      <w:tc>
        <w:tcPr>
          <w:tcW w:w="4752" w:type="dxa"/>
          <w:shd w:val="clear" w:color="auto" w:fill="auto"/>
        </w:tcPr>
        <w:p w:rsidR="00716756" w:rsidRDefault="00716756" w:rsidP="00716756">
          <w:pPr>
            <w:pStyle w:val="Footer"/>
            <w:spacing w:line="240" w:lineRule="atLeast"/>
            <w:jc w:val="right"/>
            <w:rPr>
              <w:sz w:val="20"/>
            </w:rPr>
          </w:pPr>
          <w:r>
            <w:rPr>
              <w:noProof/>
              <w:sz w:val="20"/>
              <w:lang w:eastAsia="en-GB"/>
            </w:rPr>
            <w:drawing>
              <wp:inline distT="0" distB="0" distL="0" distR="0">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716756" w:rsidRPr="00716756" w:rsidRDefault="00716756" w:rsidP="0071675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19F" w:rsidRPr="000B175B" w:rsidRDefault="0033019F" w:rsidP="000B175B">
      <w:pPr>
        <w:tabs>
          <w:tab w:val="right" w:pos="2155"/>
        </w:tabs>
        <w:spacing w:after="80"/>
        <w:ind w:left="680"/>
        <w:rPr>
          <w:u w:val="single"/>
        </w:rPr>
      </w:pPr>
      <w:r>
        <w:rPr>
          <w:u w:val="single"/>
        </w:rPr>
        <w:tab/>
      </w:r>
    </w:p>
  </w:footnote>
  <w:footnote w:type="continuationSeparator" w:id="0">
    <w:p w:rsidR="0033019F" w:rsidRPr="00FC68B7" w:rsidRDefault="0033019F" w:rsidP="00FC68B7">
      <w:pPr>
        <w:tabs>
          <w:tab w:val="left" w:pos="2155"/>
        </w:tabs>
        <w:spacing w:after="80"/>
        <w:ind w:left="680"/>
        <w:rPr>
          <w:u w:val="single"/>
        </w:rPr>
      </w:pPr>
      <w:r>
        <w:rPr>
          <w:u w:val="single"/>
        </w:rPr>
        <w:tab/>
      </w:r>
    </w:p>
  </w:footnote>
  <w:footnote w:type="continuationNotice" w:id="1">
    <w:p w:rsidR="0033019F" w:rsidRDefault="0033019F"/>
  </w:footnote>
  <w:footnote w:id="2">
    <w:p w:rsidR="008D6221" w:rsidRPr="006C1DB6" w:rsidRDefault="008D6221" w:rsidP="006B232D">
      <w:pPr>
        <w:pStyle w:val="FootnoteText"/>
        <w:rPr>
          <w:szCs w:val="18"/>
        </w:rPr>
      </w:pPr>
      <w:r w:rsidRPr="00E77465">
        <w:rPr>
          <w:rStyle w:val="FootnoteReference"/>
        </w:rPr>
        <w:tab/>
      </w:r>
      <w:r w:rsidRPr="00C23280">
        <w:rPr>
          <w:rStyle w:val="FootnoteReference"/>
          <w:sz w:val="20"/>
          <w:vertAlign w:val="baseline"/>
        </w:rPr>
        <w:t>*</w:t>
      </w:r>
      <w:r w:rsidRPr="004C35F2">
        <w:rPr>
          <w:rStyle w:val="FootnoteReference"/>
          <w:sz w:val="20"/>
          <w:vertAlign w:val="baseline"/>
        </w:rPr>
        <w:tab/>
      </w:r>
      <w:r w:rsidRPr="006C1DB6">
        <w:rPr>
          <w:szCs w:val="18"/>
        </w:rPr>
        <w:t xml:space="preserve">The summary of the present report is </w:t>
      </w:r>
      <w:r>
        <w:rPr>
          <w:szCs w:val="18"/>
        </w:rPr>
        <w:t>circulated</w:t>
      </w:r>
      <w:r w:rsidRPr="006C1DB6">
        <w:rPr>
          <w:szCs w:val="18"/>
        </w:rPr>
        <w:t xml:space="preserve"> in all official languages. The report itself, </w:t>
      </w:r>
      <w:r>
        <w:rPr>
          <w:szCs w:val="18"/>
        </w:rPr>
        <w:t>which is</w:t>
      </w:r>
      <w:r w:rsidRPr="006C1DB6">
        <w:rPr>
          <w:szCs w:val="18"/>
        </w:rPr>
        <w:t xml:space="preserve"> annex</w:t>
      </w:r>
      <w:r>
        <w:rPr>
          <w:szCs w:val="18"/>
        </w:rPr>
        <w:t>ed</w:t>
      </w:r>
      <w:r w:rsidRPr="006C1DB6">
        <w:rPr>
          <w:szCs w:val="18"/>
        </w:rPr>
        <w:t xml:space="preserve"> to the summary, is </w:t>
      </w:r>
      <w:r>
        <w:rPr>
          <w:szCs w:val="18"/>
        </w:rPr>
        <w:t>circulated</w:t>
      </w:r>
      <w:r w:rsidRPr="006C1DB6">
        <w:rPr>
          <w:szCs w:val="18"/>
        </w:rPr>
        <w:t xml:space="preserve"> in the la</w:t>
      </w:r>
      <w:r>
        <w:rPr>
          <w:szCs w:val="18"/>
        </w:rPr>
        <w:t>nguage of submission and French</w:t>
      </w:r>
      <w:r w:rsidRPr="006C1DB6">
        <w:rPr>
          <w:szCs w:val="18"/>
        </w:rPr>
        <w:t xml:space="preserve"> only.</w:t>
      </w:r>
    </w:p>
  </w:footnote>
  <w:footnote w:id="3">
    <w:p w:rsidR="008D6221" w:rsidRPr="00B7613D" w:rsidRDefault="008D6221" w:rsidP="00034527">
      <w:pPr>
        <w:pStyle w:val="FootnoteText"/>
        <w:spacing w:line="240" w:lineRule="auto"/>
        <w:rPr>
          <w:szCs w:val="18"/>
        </w:rPr>
      </w:pPr>
      <w:r>
        <w:rPr>
          <w:sz w:val="16"/>
          <w:szCs w:val="16"/>
        </w:rPr>
        <w:tab/>
      </w:r>
      <w:r w:rsidRPr="00B7613D">
        <w:rPr>
          <w:rStyle w:val="FootnoteReference"/>
          <w:szCs w:val="18"/>
        </w:rPr>
        <w:footnoteRef/>
      </w:r>
      <w:r w:rsidRPr="00B7613D">
        <w:rPr>
          <w:szCs w:val="18"/>
        </w:rPr>
        <w:tab/>
      </w:r>
      <w:r w:rsidRPr="00F97A98">
        <w:rPr>
          <w:szCs w:val="18"/>
        </w:rPr>
        <w:t>The arrangement is made more complex by integrating members of government and rebel movements. See</w:t>
      </w:r>
      <w:r w:rsidRPr="007F38C9">
        <w:rPr>
          <w:szCs w:val="18"/>
        </w:rPr>
        <w:t xml:space="preserve"> </w:t>
      </w:r>
      <w:r>
        <w:rPr>
          <w:szCs w:val="18"/>
        </w:rPr>
        <w:t xml:space="preserve">René </w:t>
      </w:r>
      <w:r w:rsidRPr="007F38C9">
        <w:rPr>
          <w:szCs w:val="18"/>
        </w:rPr>
        <w:t xml:space="preserve">Lemarchand, “Consociationalism and </w:t>
      </w:r>
      <w:r>
        <w:rPr>
          <w:szCs w:val="18"/>
        </w:rPr>
        <w:t>p</w:t>
      </w:r>
      <w:r w:rsidRPr="007F38C9">
        <w:rPr>
          <w:szCs w:val="18"/>
        </w:rPr>
        <w:t xml:space="preserve">ower </w:t>
      </w:r>
      <w:r>
        <w:rPr>
          <w:szCs w:val="18"/>
        </w:rPr>
        <w:t>s</w:t>
      </w:r>
      <w:r w:rsidRPr="007F38C9">
        <w:rPr>
          <w:szCs w:val="18"/>
        </w:rPr>
        <w:t>haring in Africa</w:t>
      </w:r>
      <w:r>
        <w:rPr>
          <w:szCs w:val="18"/>
        </w:rPr>
        <w:t>: Rwanda, Burundi and the Democratic Republic of the Congo</w:t>
      </w:r>
      <w:r w:rsidRPr="007F38C9">
        <w:rPr>
          <w:szCs w:val="18"/>
        </w:rPr>
        <w:t>”</w:t>
      </w:r>
      <w:r>
        <w:rPr>
          <w:szCs w:val="18"/>
        </w:rPr>
        <w:t>,</w:t>
      </w:r>
      <w:r w:rsidRPr="007F38C9">
        <w:rPr>
          <w:szCs w:val="18"/>
        </w:rPr>
        <w:t xml:space="preserve"> </w:t>
      </w:r>
      <w:r w:rsidRPr="00FA0D09">
        <w:rPr>
          <w:i/>
          <w:szCs w:val="18"/>
        </w:rPr>
        <w:t>African Affairs</w:t>
      </w:r>
      <w:r>
        <w:rPr>
          <w:i/>
          <w:szCs w:val="18"/>
        </w:rPr>
        <w:t>,</w:t>
      </w:r>
      <w:r w:rsidRPr="00FA0D09">
        <w:rPr>
          <w:szCs w:val="18"/>
        </w:rPr>
        <w:t xml:space="preserve"> </w:t>
      </w:r>
      <w:r>
        <w:rPr>
          <w:szCs w:val="18"/>
        </w:rPr>
        <w:t xml:space="preserve">vol. </w:t>
      </w:r>
      <w:r w:rsidRPr="00FA0D09">
        <w:rPr>
          <w:szCs w:val="18"/>
        </w:rPr>
        <w:t>106</w:t>
      </w:r>
      <w:r>
        <w:rPr>
          <w:szCs w:val="18"/>
        </w:rPr>
        <w:t xml:space="preserve">, No. 422 </w:t>
      </w:r>
      <w:r w:rsidRPr="00F97A98">
        <w:rPr>
          <w:szCs w:val="18"/>
        </w:rPr>
        <w:t>(</w:t>
      </w:r>
      <w:r>
        <w:rPr>
          <w:szCs w:val="18"/>
        </w:rPr>
        <w:t xml:space="preserve">January </w:t>
      </w:r>
      <w:r w:rsidRPr="00F97A98">
        <w:rPr>
          <w:szCs w:val="18"/>
        </w:rPr>
        <w:t>200</w:t>
      </w:r>
      <w:r>
        <w:rPr>
          <w:szCs w:val="18"/>
        </w:rPr>
        <w:t>7</w:t>
      </w:r>
      <w:r w:rsidRPr="00F97A98">
        <w:rPr>
          <w:szCs w:val="18"/>
        </w:rPr>
        <w:t xml:space="preserve">); </w:t>
      </w:r>
      <w:r>
        <w:rPr>
          <w:szCs w:val="18"/>
        </w:rPr>
        <w:t xml:space="preserve">Stef </w:t>
      </w:r>
      <w:r w:rsidRPr="00FA0D09">
        <w:rPr>
          <w:szCs w:val="18"/>
        </w:rPr>
        <w:t xml:space="preserve">Vandeginste, </w:t>
      </w:r>
      <w:r w:rsidRPr="00FA0D09">
        <w:rPr>
          <w:i/>
          <w:szCs w:val="18"/>
        </w:rPr>
        <w:t>Stones Left Unturned</w:t>
      </w:r>
      <w:r>
        <w:rPr>
          <w:i/>
          <w:szCs w:val="18"/>
        </w:rPr>
        <w:t>: Law and Transitional Justice in Burundi</w:t>
      </w:r>
      <w:r w:rsidRPr="00FA0D09">
        <w:rPr>
          <w:szCs w:val="18"/>
        </w:rPr>
        <w:t xml:space="preserve"> (</w:t>
      </w:r>
      <w:r>
        <w:rPr>
          <w:szCs w:val="18"/>
        </w:rPr>
        <w:t xml:space="preserve">Antwerp, Belgium, </w:t>
      </w:r>
      <w:r w:rsidRPr="00FA0D09">
        <w:rPr>
          <w:szCs w:val="18"/>
        </w:rPr>
        <w:t>Intersentia, 2010).</w:t>
      </w:r>
    </w:p>
  </w:footnote>
  <w:footnote w:id="4">
    <w:p w:rsidR="008D6221" w:rsidRPr="00AA74AC" w:rsidRDefault="008D6221" w:rsidP="00FC20BE">
      <w:pPr>
        <w:pStyle w:val="FootnoteText"/>
        <w:spacing w:line="240" w:lineRule="auto"/>
        <w:rPr>
          <w:szCs w:val="18"/>
        </w:rPr>
      </w:pPr>
      <w:r w:rsidRPr="00B7613D">
        <w:rPr>
          <w:szCs w:val="18"/>
        </w:rPr>
        <w:tab/>
      </w:r>
      <w:r w:rsidRPr="00B7613D">
        <w:rPr>
          <w:rStyle w:val="FootnoteReference"/>
          <w:szCs w:val="18"/>
        </w:rPr>
        <w:footnoteRef/>
      </w:r>
      <w:r w:rsidRPr="00A35DC5">
        <w:rPr>
          <w:szCs w:val="18"/>
          <w:lang w:val="fr-CH"/>
        </w:rPr>
        <w:tab/>
      </w:r>
      <w:r>
        <w:rPr>
          <w:szCs w:val="18"/>
          <w:lang w:val="fr-CH"/>
        </w:rPr>
        <w:t xml:space="preserve">Office of the United Nations High Commissioner for Human Rights (OHCHR), </w:t>
      </w:r>
      <w:r w:rsidRPr="003E610A">
        <w:rPr>
          <w:szCs w:val="18"/>
          <w:lang w:val="fr-CH"/>
        </w:rPr>
        <w:t>Rapport des consultations nationales sur la mise en place des mécanismes de justice de transition au Burundi (Bujumbura</w:t>
      </w:r>
      <w:r>
        <w:rPr>
          <w:szCs w:val="18"/>
          <w:lang w:val="fr-CH"/>
        </w:rPr>
        <w:t xml:space="preserve">, April 2010), p. 11. </w:t>
      </w:r>
      <w:proofErr w:type="gramStart"/>
      <w:r w:rsidRPr="00A35DC5">
        <w:rPr>
          <w:szCs w:val="18"/>
        </w:rPr>
        <w:t>Available from</w:t>
      </w:r>
      <w:r w:rsidRPr="00AA74AC">
        <w:rPr>
          <w:szCs w:val="18"/>
        </w:rPr>
        <w:t xml:space="preserve"> www.ohchr.org/Documents/Countries/BI/</w:t>
      </w:r>
      <w:r>
        <w:rPr>
          <w:szCs w:val="18"/>
        </w:rPr>
        <w:br/>
      </w:r>
      <w:r w:rsidRPr="00AA74AC">
        <w:rPr>
          <w:szCs w:val="18"/>
        </w:rPr>
        <w:t>RapportConsultationsBurundi.pdf.</w:t>
      </w:r>
      <w:proofErr w:type="gramEnd"/>
    </w:p>
  </w:footnote>
  <w:footnote w:id="5">
    <w:p w:rsidR="008D6221" w:rsidRPr="00B7613D" w:rsidRDefault="008D6221" w:rsidP="00E74B3C">
      <w:pPr>
        <w:pStyle w:val="FootnoteText"/>
        <w:rPr>
          <w:szCs w:val="18"/>
        </w:rPr>
      </w:pPr>
      <w:r w:rsidRPr="00AA74AC">
        <w:rPr>
          <w:szCs w:val="18"/>
        </w:rPr>
        <w:tab/>
      </w:r>
      <w:r w:rsidRPr="00B7613D">
        <w:rPr>
          <w:rStyle w:val="FootnoteReference"/>
          <w:szCs w:val="18"/>
        </w:rPr>
        <w:footnoteRef/>
      </w:r>
      <w:r>
        <w:rPr>
          <w:szCs w:val="18"/>
        </w:rPr>
        <w:tab/>
      </w:r>
      <w:r w:rsidRPr="00B7613D">
        <w:rPr>
          <w:szCs w:val="18"/>
        </w:rPr>
        <w:t>See</w:t>
      </w:r>
      <w:r>
        <w:rPr>
          <w:szCs w:val="18"/>
        </w:rPr>
        <w:t xml:space="preserve"> OHCHR, “Pre-election violence endangers Burundi’s young democracy, UN rights experts warn” press release (30 April 2015). </w:t>
      </w:r>
      <w:proofErr w:type="gramStart"/>
      <w:r>
        <w:rPr>
          <w:szCs w:val="18"/>
        </w:rPr>
        <w:t xml:space="preserve">Available from </w:t>
      </w:r>
      <w:hyperlink r:id="rId1" w:history="1">
        <w:r w:rsidRPr="00084877">
          <w:rPr>
            <w:rStyle w:val="Hyperlink"/>
            <w:szCs w:val="18"/>
          </w:rPr>
          <w:t>www.ohchr.org/EN/NewsEvents/Pages/Display</w:t>
        </w:r>
      </w:hyperlink>
      <w:r w:rsidRPr="00B7613D">
        <w:rPr>
          <w:szCs w:val="18"/>
        </w:rPr>
        <w:t>News.</w:t>
      </w:r>
      <w:proofErr w:type="gramEnd"/>
      <w:r>
        <w:rPr>
          <w:szCs w:val="18"/>
        </w:rPr>
        <w:br/>
      </w:r>
      <w:proofErr w:type="gramStart"/>
      <w:r w:rsidRPr="00B7613D">
        <w:rPr>
          <w:szCs w:val="18"/>
        </w:rPr>
        <w:t>aspx?</w:t>
      </w:r>
      <w:proofErr w:type="gramEnd"/>
      <w:r w:rsidRPr="00B7613D">
        <w:rPr>
          <w:szCs w:val="18"/>
        </w:rPr>
        <w:t>NewsID=15909&amp;LangID=E.</w:t>
      </w:r>
    </w:p>
  </w:footnote>
  <w:footnote w:id="6">
    <w:p w:rsidR="008D6221" w:rsidRPr="00E86863" w:rsidRDefault="008D6221" w:rsidP="00AA74AC">
      <w:pPr>
        <w:pStyle w:val="FootnoteText"/>
        <w:spacing w:line="240" w:lineRule="auto"/>
        <w:rPr>
          <w:szCs w:val="18"/>
        </w:rPr>
      </w:pPr>
      <w:r w:rsidRPr="00B7613D">
        <w:rPr>
          <w:szCs w:val="18"/>
        </w:rPr>
        <w:tab/>
      </w:r>
      <w:r w:rsidRPr="00B7613D">
        <w:rPr>
          <w:rStyle w:val="FootnoteReference"/>
          <w:szCs w:val="18"/>
        </w:rPr>
        <w:footnoteRef/>
      </w:r>
      <w:r w:rsidRPr="00E86863">
        <w:rPr>
          <w:szCs w:val="18"/>
        </w:rPr>
        <w:tab/>
      </w:r>
      <w:r>
        <w:rPr>
          <w:szCs w:val="18"/>
        </w:rPr>
        <w:t xml:space="preserve">See </w:t>
      </w:r>
      <w:r w:rsidRPr="00E86863">
        <w:rPr>
          <w:szCs w:val="18"/>
        </w:rPr>
        <w:t>A/HRC/21/46, paras.</w:t>
      </w:r>
      <w:r w:rsidRPr="002E637C">
        <w:rPr>
          <w:szCs w:val="18"/>
          <w:lang w:val="en-GB"/>
        </w:rPr>
        <w:t xml:space="preserve"> </w:t>
      </w:r>
      <w:proofErr w:type="gramStart"/>
      <w:r w:rsidRPr="00E86863">
        <w:rPr>
          <w:szCs w:val="18"/>
        </w:rPr>
        <w:t>22–27 and 62.</w:t>
      </w:r>
      <w:proofErr w:type="gramEnd"/>
    </w:p>
  </w:footnote>
  <w:footnote w:id="7">
    <w:p w:rsidR="008D6221" w:rsidRPr="00E86863" w:rsidRDefault="008D6221" w:rsidP="00AA74AC">
      <w:pPr>
        <w:pStyle w:val="FootnoteText"/>
        <w:spacing w:line="240" w:lineRule="auto"/>
        <w:rPr>
          <w:szCs w:val="18"/>
        </w:rPr>
      </w:pPr>
      <w:r w:rsidRPr="00E86863">
        <w:rPr>
          <w:szCs w:val="18"/>
        </w:rPr>
        <w:tab/>
      </w:r>
      <w:r w:rsidRPr="00B7613D">
        <w:rPr>
          <w:rStyle w:val="FootnoteReference"/>
          <w:szCs w:val="18"/>
        </w:rPr>
        <w:footnoteRef/>
      </w:r>
      <w:r w:rsidRPr="00E86863">
        <w:rPr>
          <w:szCs w:val="18"/>
        </w:rPr>
        <w:tab/>
      </w:r>
      <w:r>
        <w:rPr>
          <w:szCs w:val="18"/>
        </w:rPr>
        <w:t xml:space="preserve">See </w:t>
      </w:r>
      <w:r w:rsidRPr="00E86863">
        <w:rPr>
          <w:szCs w:val="18"/>
        </w:rPr>
        <w:t>A/HRC/24/42, paras.</w:t>
      </w:r>
      <w:r w:rsidRPr="002E637C">
        <w:rPr>
          <w:szCs w:val="18"/>
          <w:lang w:val="en-GB"/>
        </w:rPr>
        <w:t xml:space="preserve"> </w:t>
      </w:r>
      <w:proofErr w:type="gramStart"/>
      <w:r w:rsidRPr="00E86863">
        <w:rPr>
          <w:szCs w:val="18"/>
        </w:rPr>
        <w:t>18–20.</w:t>
      </w:r>
      <w:proofErr w:type="gramEnd"/>
    </w:p>
  </w:footnote>
  <w:footnote w:id="8">
    <w:p w:rsidR="008D6221" w:rsidRPr="00E86863" w:rsidRDefault="008D6221" w:rsidP="00AA74AC">
      <w:pPr>
        <w:pStyle w:val="FootnoteText"/>
        <w:spacing w:line="240" w:lineRule="auto"/>
        <w:rPr>
          <w:szCs w:val="18"/>
        </w:rPr>
      </w:pPr>
      <w:r w:rsidRPr="00E86863">
        <w:rPr>
          <w:szCs w:val="18"/>
        </w:rPr>
        <w:tab/>
      </w:r>
      <w:r w:rsidRPr="00B7613D">
        <w:rPr>
          <w:rStyle w:val="FootnoteReference"/>
          <w:szCs w:val="18"/>
        </w:rPr>
        <w:footnoteRef/>
      </w:r>
      <w:r w:rsidRPr="00E86863">
        <w:rPr>
          <w:szCs w:val="18"/>
        </w:rPr>
        <w:tab/>
      </w:r>
      <w:r>
        <w:rPr>
          <w:szCs w:val="18"/>
        </w:rPr>
        <w:t xml:space="preserve">See </w:t>
      </w:r>
      <w:r w:rsidRPr="00E86863">
        <w:rPr>
          <w:szCs w:val="18"/>
        </w:rPr>
        <w:t xml:space="preserve">A/HRC/27/56, paras. </w:t>
      </w:r>
      <w:proofErr w:type="gramStart"/>
      <w:r w:rsidRPr="00E86863">
        <w:rPr>
          <w:szCs w:val="18"/>
        </w:rPr>
        <w:t>27–32.</w:t>
      </w:r>
      <w:proofErr w:type="gramEnd"/>
    </w:p>
  </w:footnote>
  <w:footnote w:id="9">
    <w:p w:rsidR="008D6221" w:rsidRPr="00391574" w:rsidRDefault="008D6221" w:rsidP="00AA74AC">
      <w:pPr>
        <w:pStyle w:val="FootnoteText"/>
        <w:spacing w:line="240" w:lineRule="auto"/>
        <w:rPr>
          <w:szCs w:val="18"/>
        </w:rPr>
      </w:pPr>
      <w:r w:rsidRPr="00E86863">
        <w:rPr>
          <w:szCs w:val="18"/>
        </w:rPr>
        <w:tab/>
      </w:r>
      <w:r w:rsidRPr="00B7613D">
        <w:rPr>
          <w:rStyle w:val="FootnoteReference"/>
          <w:szCs w:val="18"/>
        </w:rPr>
        <w:footnoteRef/>
      </w:r>
      <w:r w:rsidRPr="00E86863">
        <w:rPr>
          <w:szCs w:val="18"/>
        </w:rPr>
        <w:tab/>
      </w:r>
      <w:r>
        <w:rPr>
          <w:szCs w:val="18"/>
        </w:rPr>
        <w:t xml:space="preserve">See </w:t>
      </w:r>
      <w:r w:rsidRPr="00391574">
        <w:rPr>
          <w:szCs w:val="18"/>
        </w:rPr>
        <w:t xml:space="preserve">A/69/518, paras. </w:t>
      </w:r>
      <w:proofErr w:type="gramStart"/>
      <w:r w:rsidRPr="00391574">
        <w:rPr>
          <w:szCs w:val="18"/>
        </w:rPr>
        <w:t>14–18.</w:t>
      </w:r>
      <w:proofErr w:type="gramEnd"/>
    </w:p>
  </w:footnote>
  <w:footnote w:id="10">
    <w:p w:rsidR="008D6221" w:rsidRPr="00391574" w:rsidRDefault="008D6221" w:rsidP="00B7613D">
      <w:pPr>
        <w:pStyle w:val="FootnoteText"/>
        <w:spacing w:line="240" w:lineRule="auto"/>
        <w:rPr>
          <w:szCs w:val="18"/>
        </w:rPr>
      </w:pPr>
      <w:r w:rsidRPr="00391574">
        <w:rPr>
          <w:szCs w:val="18"/>
        </w:rPr>
        <w:tab/>
      </w:r>
      <w:r w:rsidRPr="00B7613D">
        <w:rPr>
          <w:rStyle w:val="FootnoteReference"/>
          <w:szCs w:val="18"/>
        </w:rPr>
        <w:footnoteRef/>
      </w:r>
      <w:r w:rsidRPr="00391574">
        <w:rPr>
          <w:szCs w:val="18"/>
        </w:rPr>
        <w:tab/>
      </w:r>
      <w:r>
        <w:rPr>
          <w:szCs w:val="18"/>
        </w:rPr>
        <w:t xml:space="preserve">See </w:t>
      </w:r>
      <w:r w:rsidRPr="00391574">
        <w:rPr>
          <w:szCs w:val="18"/>
        </w:rPr>
        <w:t>A/HRC/21/46, para. 37.</w:t>
      </w:r>
    </w:p>
  </w:footnote>
  <w:footnote w:id="11">
    <w:p w:rsidR="008D6221" w:rsidRPr="00B7613D" w:rsidRDefault="008D6221" w:rsidP="00B7613D">
      <w:pPr>
        <w:pStyle w:val="FootnoteText"/>
        <w:spacing w:line="240" w:lineRule="auto"/>
        <w:rPr>
          <w:szCs w:val="18"/>
        </w:rPr>
      </w:pPr>
      <w:r w:rsidRPr="00391574">
        <w:rPr>
          <w:szCs w:val="18"/>
        </w:rPr>
        <w:tab/>
      </w:r>
      <w:r w:rsidRPr="00B7613D">
        <w:rPr>
          <w:rStyle w:val="FootnoteReference"/>
          <w:szCs w:val="18"/>
        </w:rPr>
        <w:footnoteRef/>
      </w:r>
      <w:r w:rsidRPr="00391574">
        <w:rPr>
          <w:szCs w:val="18"/>
        </w:rPr>
        <w:tab/>
      </w:r>
      <w:r>
        <w:rPr>
          <w:szCs w:val="18"/>
        </w:rPr>
        <w:t xml:space="preserve">See </w:t>
      </w:r>
      <w:r w:rsidRPr="00391574">
        <w:rPr>
          <w:szCs w:val="18"/>
        </w:rPr>
        <w:t xml:space="preserve">A/HRC/24/42, para. </w:t>
      </w:r>
      <w:r w:rsidRPr="00B7613D">
        <w:rPr>
          <w:szCs w:val="18"/>
        </w:rPr>
        <w:t>53.</w:t>
      </w:r>
    </w:p>
  </w:footnote>
  <w:footnote w:id="12">
    <w:p w:rsidR="008D6221" w:rsidRPr="00B7613D" w:rsidRDefault="008D6221" w:rsidP="003750EB">
      <w:pPr>
        <w:pStyle w:val="FootnoteText"/>
        <w:spacing w:line="240" w:lineRule="auto"/>
        <w:rPr>
          <w:szCs w:val="18"/>
        </w:rPr>
      </w:pPr>
      <w:r w:rsidRPr="00B7613D">
        <w:rPr>
          <w:szCs w:val="18"/>
        </w:rPr>
        <w:tab/>
      </w:r>
      <w:r w:rsidRPr="00B7613D">
        <w:rPr>
          <w:rStyle w:val="FootnoteReference"/>
          <w:szCs w:val="18"/>
        </w:rPr>
        <w:footnoteRef/>
      </w:r>
      <w:r w:rsidRPr="00B7613D">
        <w:rPr>
          <w:szCs w:val="18"/>
        </w:rPr>
        <w:tab/>
      </w:r>
      <w:r>
        <w:rPr>
          <w:szCs w:val="18"/>
        </w:rPr>
        <w:t xml:space="preserve">Burundi, </w:t>
      </w:r>
      <w:r w:rsidRPr="00B7613D">
        <w:rPr>
          <w:szCs w:val="18"/>
        </w:rPr>
        <w:t>Decree</w:t>
      </w:r>
      <w:r>
        <w:rPr>
          <w:szCs w:val="18"/>
        </w:rPr>
        <w:t xml:space="preserve"> No. </w:t>
      </w:r>
      <w:r w:rsidRPr="00B7613D">
        <w:rPr>
          <w:szCs w:val="18"/>
        </w:rPr>
        <w:t>100/286 (8</w:t>
      </w:r>
      <w:r>
        <w:rPr>
          <w:szCs w:val="18"/>
        </w:rPr>
        <w:t xml:space="preserve"> December </w:t>
      </w:r>
      <w:r w:rsidRPr="00B7613D">
        <w:rPr>
          <w:szCs w:val="18"/>
        </w:rPr>
        <w:t>2014).</w:t>
      </w:r>
    </w:p>
  </w:footnote>
  <w:footnote w:id="13">
    <w:p w:rsidR="008D6221" w:rsidRPr="00B7613D" w:rsidRDefault="008D6221" w:rsidP="00C7123B">
      <w:pPr>
        <w:pStyle w:val="FootnoteText"/>
        <w:rPr>
          <w:szCs w:val="18"/>
        </w:rPr>
      </w:pPr>
      <w:r w:rsidRPr="00B7613D">
        <w:rPr>
          <w:szCs w:val="18"/>
        </w:rPr>
        <w:tab/>
      </w:r>
      <w:r w:rsidRPr="00B7613D">
        <w:rPr>
          <w:rStyle w:val="FootnoteReference"/>
          <w:szCs w:val="18"/>
        </w:rPr>
        <w:footnoteRef/>
      </w:r>
      <w:r w:rsidRPr="00B7613D">
        <w:rPr>
          <w:szCs w:val="18"/>
        </w:rPr>
        <w:tab/>
      </w:r>
      <w:r>
        <w:rPr>
          <w:szCs w:val="18"/>
        </w:rPr>
        <w:t xml:space="preserve">See Burundi, </w:t>
      </w:r>
      <w:r w:rsidRPr="00B7613D">
        <w:rPr>
          <w:szCs w:val="18"/>
        </w:rPr>
        <w:t xml:space="preserve">Internal </w:t>
      </w:r>
      <w:r>
        <w:rPr>
          <w:szCs w:val="18"/>
        </w:rPr>
        <w:t>regulations</w:t>
      </w:r>
      <w:r w:rsidRPr="00B7613D">
        <w:rPr>
          <w:szCs w:val="18"/>
        </w:rPr>
        <w:t xml:space="preserve"> of </w:t>
      </w:r>
      <w:r>
        <w:rPr>
          <w:szCs w:val="18"/>
        </w:rPr>
        <w:t>Law No. 1/18, art. 56.</w:t>
      </w:r>
    </w:p>
  </w:footnote>
  <w:footnote w:id="14">
    <w:p w:rsidR="008D6221" w:rsidRPr="00391574" w:rsidRDefault="008D6221" w:rsidP="006E4536">
      <w:pPr>
        <w:pStyle w:val="FootnoteText"/>
        <w:spacing w:line="240" w:lineRule="auto"/>
        <w:rPr>
          <w:szCs w:val="18"/>
        </w:rPr>
      </w:pPr>
      <w:r w:rsidRPr="00B7613D">
        <w:rPr>
          <w:szCs w:val="18"/>
        </w:rPr>
        <w:tab/>
      </w:r>
      <w:r w:rsidRPr="00B7613D">
        <w:rPr>
          <w:rStyle w:val="FootnoteReference"/>
          <w:szCs w:val="18"/>
        </w:rPr>
        <w:footnoteRef/>
      </w:r>
      <w:r w:rsidRPr="00391574">
        <w:rPr>
          <w:szCs w:val="18"/>
        </w:rPr>
        <w:tab/>
      </w:r>
      <w:r>
        <w:rPr>
          <w:szCs w:val="18"/>
        </w:rPr>
        <w:t xml:space="preserve">See </w:t>
      </w:r>
      <w:r w:rsidRPr="00391574">
        <w:rPr>
          <w:szCs w:val="18"/>
        </w:rPr>
        <w:t>A/HRC/24/42, para. 36.</w:t>
      </w:r>
    </w:p>
  </w:footnote>
  <w:footnote w:id="15">
    <w:p w:rsidR="008D6221" w:rsidRPr="00B7613D" w:rsidRDefault="008D6221" w:rsidP="00FC20BE">
      <w:pPr>
        <w:pStyle w:val="FootnoteText"/>
        <w:spacing w:line="240" w:lineRule="auto"/>
        <w:rPr>
          <w:szCs w:val="18"/>
        </w:rPr>
      </w:pPr>
      <w:r w:rsidRPr="00391574">
        <w:rPr>
          <w:szCs w:val="18"/>
        </w:rPr>
        <w:tab/>
      </w:r>
      <w:r w:rsidRPr="00B7613D">
        <w:rPr>
          <w:rStyle w:val="FootnoteReference"/>
          <w:szCs w:val="18"/>
        </w:rPr>
        <w:footnoteRef/>
      </w:r>
      <w:r w:rsidRPr="00391574">
        <w:rPr>
          <w:szCs w:val="18"/>
        </w:rPr>
        <w:tab/>
      </w:r>
      <w:proofErr w:type="gramStart"/>
      <w:r w:rsidRPr="00391574">
        <w:rPr>
          <w:szCs w:val="18"/>
        </w:rPr>
        <w:t>Ibid.,</w:t>
      </w:r>
      <w:proofErr w:type="gramEnd"/>
      <w:r w:rsidRPr="00391574">
        <w:rPr>
          <w:szCs w:val="18"/>
        </w:rPr>
        <w:t xml:space="preserve"> paras. </w:t>
      </w:r>
      <w:proofErr w:type="gramStart"/>
      <w:r w:rsidRPr="00B7613D">
        <w:rPr>
          <w:szCs w:val="18"/>
        </w:rPr>
        <w:t>65</w:t>
      </w:r>
      <w:r>
        <w:rPr>
          <w:szCs w:val="18"/>
        </w:rPr>
        <w:t>–</w:t>
      </w:r>
      <w:r w:rsidRPr="00B7613D">
        <w:rPr>
          <w:szCs w:val="18"/>
        </w:rPr>
        <w:t>67.</w:t>
      </w:r>
      <w:proofErr w:type="gramEnd"/>
    </w:p>
  </w:footnote>
  <w:footnote w:id="16">
    <w:p w:rsidR="008D6221" w:rsidRPr="00B7613D" w:rsidRDefault="008D6221" w:rsidP="00E74B3C">
      <w:pPr>
        <w:pStyle w:val="FootnoteText"/>
        <w:spacing w:line="240" w:lineRule="auto"/>
        <w:rPr>
          <w:szCs w:val="18"/>
        </w:rPr>
      </w:pPr>
      <w:r w:rsidRPr="00B7613D">
        <w:rPr>
          <w:szCs w:val="18"/>
        </w:rPr>
        <w:tab/>
      </w:r>
      <w:r w:rsidRPr="00B7613D">
        <w:rPr>
          <w:rStyle w:val="FootnoteReference"/>
          <w:szCs w:val="18"/>
        </w:rPr>
        <w:footnoteRef/>
      </w:r>
      <w:r w:rsidRPr="00B7613D">
        <w:rPr>
          <w:szCs w:val="18"/>
        </w:rPr>
        <w:tab/>
      </w:r>
      <w:proofErr w:type="gramStart"/>
      <w:r>
        <w:rPr>
          <w:szCs w:val="18"/>
        </w:rPr>
        <w:t xml:space="preserve">Arusha Agreement, </w:t>
      </w:r>
      <w:r w:rsidRPr="00B7613D">
        <w:rPr>
          <w:szCs w:val="18"/>
        </w:rPr>
        <w:t xml:space="preserve">Protocol I, </w:t>
      </w:r>
      <w:r>
        <w:rPr>
          <w:szCs w:val="18"/>
        </w:rPr>
        <w:t>c</w:t>
      </w:r>
      <w:r w:rsidRPr="00B7613D">
        <w:rPr>
          <w:szCs w:val="18"/>
        </w:rPr>
        <w:t>hap</w:t>
      </w:r>
      <w:r>
        <w:rPr>
          <w:szCs w:val="18"/>
        </w:rPr>
        <w:t>.</w:t>
      </w:r>
      <w:r w:rsidRPr="00B7613D">
        <w:rPr>
          <w:szCs w:val="18"/>
        </w:rPr>
        <w:t xml:space="preserve"> II.</w:t>
      </w:r>
      <w:proofErr w:type="gramEnd"/>
    </w:p>
  </w:footnote>
  <w:footnote w:id="17">
    <w:p w:rsidR="008D6221" w:rsidRPr="002E637C" w:rsidRDefault="008D6221" w:rsidP="00F30873">
      <w:pPr>
        <w:pStyle w:val="FootnoteText"/>
        <w:spacing w:line="240" w:lineRule="auto"/>
        <w:rPr>
          <w:szCs w:val="18"/>
        </w:rPr>
      </w:pPr>
      <w:r w:rsidRPr="00B7613D">
        <w:rPr>
          <w:szCs w:val="18"/>
        </w:rPr>
        <w:tab/>
      </w:r>
      <w:r w:rsidRPr="00B7613D">
        <w:rPr>
          <w:rStyle w:val="FootnoteReference"/>
          <w:szCs w:val="18"/>
        </w:rPr>
        <w:footnoteRef/>
      </w:r>
      <w:r w:rsidRPr="002E637C">
        <w:rPr>
          <w:szCs w:val="18"/>
        </w:rPr>
        <w:tab/>
      </w:r>
      <w:r>
        <w:rPr>
          <w:szCs w:val="18"/>
        </w:rPr>
        <w:t xml:space="preserve">See </w:t>
      </w:r>
      <w:r w:rsidRPr="002E637C">
        <w:rPr>
          <w:szCs w:val="18"/>
        </w:rPr>
        <w:t>A/HRC/27/56, para. 23.</w:t>
      </w:r>
    </w:p>
  </w:footnote>
  <w:footnote w:id="18">
    <w:p w:rsidR="008D6221" w:rsidRPr="00A35DC5" w:rsidRDefault="008D6221" w:rsidP="00FC20BE">
      <w:pPr>
        <w:pStyle w:val="FootnoteText"/>
        <w:spacing w:line="240" w:lineRule="auto"/>
        <w:rPr>
          <w:szCs w:val="18"/>
        </w:rPr>
      </w:pPr>
      <w:r w:rsidRPr="002E637C">
        <w:rPr>
          <w:szCs w:val="18"/>
        </w:rPr>
        <w:tab/>
      </w:r>
      <w:r w:rsidRPr="00B7613D">
        <w:rPr>
          <w:rStyle w:val="FootnoteReference"/>
          <w:szCs w:val="18"/>
        </w:rPr>
        <w:footnoteRef/>
      </w:r>
      <w:r w:rsidRPr="002E637C">
        <w:rPr>
          <w:szCs w:val="18"/>
        </w:rPr>
        <w:tab/>
      </w:r>
      <w:proofErr w:type="gramStart"/>
      <w:r w:rsidRPr="002E637C">
        <w:rPr>
          <w:szCs w:val="18"/>
        </w:rPr>
        <w:t>Ibid.,</w:t>
      </w:r>
      <w:proofErr w:type="gramEnd"/>
      <w:r w:rsidRPr="002E637C">
        <w:rPr>
          <w:szCs w:val="18"/>
        </w:rPr>
        <w:t xml:space="preserve"> paras. </w:t>
      </w:r>
      <w:proofErr w:type="gramStart"/>
      <w:r w:rsidRPr="00A35DC5">
        <w:rPr>
          <w:szCs w:val="18"/>
        </w:rPr>
        <w:t>27</w:t>
      </w:r>
      <w:r>
        <w:rPr>
          <w:szCs w:val="18"/>
        </w:rPr>
        <w:t>–</w:t>
      </w:r>
      <w:r w:rsidRPr="00A35DC5">
        <w:rPr>
          <w:szCs w:val="18"/>
        </w:rPr>
        <w:t>32.</w:t>
      </w:r>
      <w:proofErr w:type="gramEnd"/>
      <w:r w:rsidRPr="00A35DC5">
        <w:rPr>
          <w:szCs w:val="18"/>
        </w:rPr>
        <w:t xml:space="preserve"> </w:t>
      </w:r>
    </w:p>
  </w:footnote>
  <w:footnote w:id="19">
    <w:p w:rsidR="008D6221" w:rsidRPr="002E637C" w:rsidRDefault="008D6221" w:rsidP="00AA74AC">
      <w:pPr>
        <w:pStyle w:val="FootnoteText"/>
        <w:spacing w:line="240" w:lineRule="auto"/>
        <w:rPr>
          <w:szCs w:val="18"/>
        </w:rPr>
      </w:pPr>
      <w:r w:rsidRPr="00A35DC5">
        <w:rPr>
          <w:szCs w:val="18"/>
        </w:rPr>
        <w:tab/>
      </w:r>
      <w:r w:rsidRPr="00B7613D">
        <w:rPr>
          <w:rStyle w:val="FootnoteReference"/>
          <w:szCs w:val="18"/>
        </w:rPr>
        <w:footnoteRef/>
      </w:r>
      <w:r w:rsidRPr="00A35DC5">
        <w:rPr>
          <w:szCs w:val="18"/>
        </w:rPr>
        <w:tab/>
      </w:r>
      <w:proofErr w:type="gramStart"/>
      <w:r>
        <w:rPr>
          <w:szCs w:val="18"/>
        </w:rPr>
        <w:t xml:space="preserve">Arusha Agreement, </w:t>
      </w:r>
      <w:r w:rsidRPr="00A35DC5">
        <w:rPr>
          <w:szCs w:val="18"/>
        </w:rPr>
        <w:t xml:space="preserve">Protocol III, </w:t>
      </w:r>
      <w:r>
        <w:rPr>
          <w:szCs w:val="18"/>
        </w:rPr>
        <w:t>c</w:t>
      </w:r>
      <w:r w:rsidRPr="00A35DC5">
        <w:rPr>
          <w:szCs w:val="18"/>
        </w:rPr>
        <w:t>hap</w:t>
      </w:r>
      <w:r>
        <w:rPr>
          <w:szCs w:val="18"/>
        </w:rPr>
        <w:t>.</w:t>
      </w:r>
      <w:r w:rsidRPr="00A35DC5">
        <w:rPr>
          <w:szCs w:val="18"/>
        </w:rPr>
        <w:t xml:space="preserve"> </w:t>
      </w:r>
      <w:r w:rsidRPr="00581E27">
        <w:rPr>
          <w:szCs w:val="18"/>
        </w:rPr>
        <w:t>III, art.</w:t>
      </w:r>
      <w:proofErr w:type="gramEnd"/>
      <w:r w:rsidRPr="00581E27">
        <w:rPr>
          <w:szCs w:val="18"/>
        </w:rPr>
        <w:t xml:space="preserve"> </w:t>
      </w:r>
      <w:proofErr w:type="gramStart"/>
      <w:r w:rsidRPr="00581E27">
        <w:rPr>
          <w:szCs w:val="18"/>
        </w:rPr>
        <w:t>26, para.</w:t>
      </w:r>
      <w:proofErr w:type="gramEnd"/>
      <w:r w:rsidRPr="002E637C">
        <w:rPr>
          <w:szCs w:val="18"/>
        </w:rPr>
        <w:t xml:space="preserve"> </w:t>
      </w:r>
      <w:proofErr w:type="gramStart"/>
      <w:r w:rsidRPr="002E637C">
        <w:rPr>
          <w:szCs w:val="18"/>
        </w:rPr>
        <w:t>1 (l).</w:t>
      </w:r>
      <w:proofErr w:type="gramEnd"/>
    </w:p>
  </w:footnote>
  <w:footnote w:id="20">
    <w:p w:rsidR="008D6221" w:rsidRPr="00B7613D" w:rsidRDefault="008D6221" w:rsidP="00E74B3C">
      <w:pPr>
        <w:pStyle w:val="FootnoteText"/>
        <w:spacing w:line="240" w:lineRule="auto"/>
        <w:rPr>
          <w:szCs w:val="18"/>
        </w:rPr>
      </w:pPr>
      <w:r w:rsidRPr="002E637C">
        <w:rPr>
          <w:szCs w:val="18"/>
        </w:rPr>
        <w:tab/>
      </w:r>
      <w:r w:rsidRPr="00B7613D">
        <w:rPr>
          <w:rStyle w:val="FootnoteReference"/>
          <w:szCs w:val="18"/>
        </w:rPr>
        <w:footnoteRef/>
      </w:r>
      <w:r w:rsidRPr="00581E27">
        <w:rPr>
          <w:szCs w:val="18"/>
        </w:rPr>
        <w:tab/>
      </w:r>
      <w:r>
        <w:rPr>
          <w:szCs w:val="18"/>
        </w:rPr>
        <w:t xml:space="preserve">OHCHR, </w:t>
      </w:r>
      <w:r w:rsidRPr="00581E27">
        <w:rPr>
          <w:szCs w:val="18"/>
        </w:rPr>
        <w:t>Rapport des consultations nationales</w:t>
      </w:r>
      <w:r>
        <w:rPr>
          <w:szCs w:val="18"/>
        </w:rPr>
        <w:t xml:space="preserve"> (see </w:t>
      </w:r>
      <w:r w:rsidRPr="00697DD5">
        <w:rPr>
          <w:szCs w:val="18"/>
        </w:rPr>
        <w:t>footnote 2</w:t>
      </w:r>
      <w:r>
        <w:rPr>
          <w:szCs w:val="18"/>
        </w:rPr>
        <w:t>)</w:t>
      </w:r>
      <w:r w:rsidRPr="00581E27">
        <w:rPr>
          <w:szCs w:val="18"/>
        </w:rPr>
        <w:t>, pp.</w:t>
      </w:r>
      <w:r w:rsidRPr="002E637C">
        <w:rPr>
          <w:szCs w:val="18"/>
        </w:rPr>
        <w:t xml:space="preserve"> </w:t>
      </w:r>
      <w:r w:rsidRPr="00B7613D">
        <w:rPr>
          <w:szCs w:val="18"/>
        </w:rPr>
        <w:t>82</w:t>
      </w:r>
      <w:r>
        <w:rPr>
          <w:szCs w:val="18"/>
        </w:rPr>
        <w:t xml:space="preserve"> and</w:t>
      </w:r>
      <w:r w:rsidRPr="00B7613D">
        <w:rPr>
          <w:szCs w:val="18"/>
        </w:rPr>
        <w:t xml:space="preserve"> 120.</w:t>
      </w:r>
    </w:p>
  </w:footnote>
  <w:footnote w:id="21">
    <w:p w:rsidR="008D6221" w:rsidRPr="00B7613D" w:rsidRDefault="008D6221" w:rsidP="00AA74AC">
      <w:pPr>
        <w:pStyle w:val="FootnoteText"/>
        <w:spacing w:line="240" w:lineRule="auto"/>
        <w:rPr>
          <w:szCs w:val="18"/>
        </w:rPr>
      </w:pPr>
      <w:r w:rsidRPr="00B7613D">
        <w:rPr>
          <w:szCs w:val="18"/>
        </w:rPr>
        <w:tab/>
      </w:r>
      <w:r w:rsidRPr="00B7613D">
        <w:rPr>
          <w:rStyle w:val="FootnoteReference"/>
          <w:szCs w:val="18"/>
        </w:rPr>
        <w:footnoteRef/>
      </w:r>
      <w:r w:rsidRPr="00B7613D">
        <w:rPr>
          <w:szCs w:val="18"/>
        </w:rPr>
        <w:tab/>
      </w:r>
      <w:r>
        <w:rPr>
          <w:szCs w:val="18"/>
        </w:rPr>
        <w:t xml:space="preserve">Burundi, </w:t>
      </w:r>
      <w:r w:rsidRPr="00B7613D">
        <w:rPr>
          <w:szCs w:val="18"/>
        </w:rPr>
        <w:t xml:space="preserve">Law </w:t>
      </w:r>
      <w:r>
        <w:rPr>
          <w:szCs w:val="18"/>
        </w:rPr>
        <w:t xml:space="preserve">No. </w:t>
      </w:r>
      <w:r w:rsidRPr="00B7613D">
        <w:rPr>
          <w:szCs w:val="18"/>
        </w:rPr>
        <w:t>1/004 (8</w:t>
      </w:r>
      <w:r>
        <w:rPr>
          <w:szCs w:val="18"/>
        </w:rPr>
        <w:t xml:space="preserve"> May </w:t>
      </w:r>
      <w:r w:rsidRPr="00B7613D">
        <w:rPr>
          <w:szCs w:val="18"/>
        </w:rPr>
        <w:t>2008), art.</w:t>
      </w:r>
      <w:r>
        <w:rPr>
          <w:szCs w:val="18"/>
        </w:rPr>
        <w:t xml:space="preserve"> </w:t>
      </w:r>
      <w:proofErr w:type="gramStart"/>
      <w:r w:rsidRPr="00B7613D">
        <w:rPr>
          <w:szCs w:val="18"/>
        </w:rPr>
        <w:t>33</w:t>
      </w:r>
      <w:r>
        <w:rPr>
          <w:szCs w:val="18"/>
        </w:rPr>
        <w:t>,</w:t>
      </w:r>
      <w:r w:rsidRPr="00B7613D">
        <w:rPr>
          <w:szCs w:val="18"/>
        </w:rPr>
        <w:t xml:space="preserve"> </w:t>
      </w:r>
      <w:r w:rsidRPr="00E22C1D">
        <w:rPr>
          <w:szCs w:val="18"/>
        </w:rPr>
        <w:t>para.</w:t>
      </w:r>
      <w:proofErr w:type="gramEnd"/>
      <w:r>
        <w:rPr>
          <w:szCs w:val="18"/>
        </w:rPr>
        <w:t xml:space="preserve"> </w:t>
      </w:r>
      <w:r w:rsidRPr="00B7613D">
        <w:rPr>
          <w:szCs w:val="18"/>
        </w:rPr>
        <w:t xml:space="preserve">1; Law </w:t>
      </w:r>
      <w:r>
        <w:rPr>
          <w:szCs w:val="18"/>
        </w:rPr>
        <w:t xml:space="preserve">No. </w:t>
      </w:r>
      <w:r w:rsidRPr="00B7613D">
        <w:rPr>
          <w:szCs w:val="18"/>
        </w:rPr>
        <w:t>1/05 (</w:t>
      </w:r>
      <w:r>
        <w:rPr>
          <w:szCs w:val="18"/>
        </w:rPr>
        <w:t xml:space="preserve">22 April </w:t>
      </w:r>
      <w:r w:rsidRPr="00B7613D">
        <w:rPr>
          <w:szCs w:val="18"/>
        </w:rPr>
        <w:t xml:space="preserve">2009). </w:t>
      </w:r>
    </w:p>
  </w:footnote>
  <w:footnote w:id="22">
    <w:p w:rsidR="008D6221" w:rsidRPr="00B7613D" w:rsidRDefault="008D6221" w:rsidP="00AA74AC">
      <w:pPr>
        <w:pStyle w:val="FootnoteText"/>
        <w:spacing w:line="240" w:lineRule="auto"/>
        <w:rPr>
          <w:szCs w:val="18"/>
        </w:rPr>
      </w:pPr>
      <w:r w:rsidRPr="00B7613D">
        <w:rPr>
          <w:szCs w:val="18"/>
        </w:rPr>
        <w:tab/>
      </w:r>
      <w:r w:rsidRPr="00B7613D">
        <w:rPr>
          <w:rStyle w:val="FootnoteReference"/>
          <w:szCs w:val="18"/>
        </w:rPr>
        <w:footnoteRef/>
      </w:r>
      <w:r w:rsidRPr="00B7613D">
        <w:rPr>
          <w:szCs w:val="18"/>
        </w:rPr>
        <w:tab/>
      </w:r>
      <w:r>
        <w:rPr>
          <w:szCs w:val="18"/>
        </w:rPr>
        <w:t xml:space="preserve">Burundi, </w:t>
      </w:r>
      <w:r w:rsidRPr="00B7613D">
        <w:rPr>
          <w:szCs w:val="18"/>
        </w:rPr>
        <w:t xml:space="preserve">Law </w:t>
      </w:r>
      <w:r>
        <w:rPr>
          <w:szCs w:val="18"/>
        </w:rPr>
        <w:t xml:space="preserve">No. </w:t>
      </w:r>
      <w:r w:rsidRPr="00B7613D">
        <w:rPr>
          <w:szCs w:val="18"/>
        </w:rPr>
        <w:t>1/022 (21</w:t>
      </w:r>
      <w:r>
        <w:rPr>
          <w:szCs w:val="18"/>
        </w:rPr>
        <w:t xml:space="preserve"> November </w:t>
      </w:r>
      <w:r w:rsidRPr="00B7613D">
        <w:rPr>
          <w:szCs w:val="18"/>
        </w:rPr>
        <w:t xml:space="preserve">2003); Law </w:t>
      </w:r>
      <w:r>
        <w:rPr>
          <w:szCs w:val="18"/>
        </w:rPr>
        <w:t xml:space="preserve">No. </w:t>
      </w:r>
      <w:r w:rsidRPr="00B7613D">
        <w:rPr>
          <w:szCs w:val="18"/>
        </w:rPr>
        <w:t>1/32 (22</w:t>
      </w:r>
      <w:r>
        <w:rPr>
          <w:szCs w:val="18"/>
        </w:rPr>
        <w:t xml:space="preserve"> November </w:t>
      </w:r>
      <w:r w:rsidRPr="00B7613D">
        <w:rPr>
          <w:szCs w:val="18"/>
        </w:rPr>
        <w:t>2006).</w:t>
      </w:r>
    </w:p>
  </w:footnote>
  <w:footnote w:id="23">
    <w:p w:rsidR="008D6221" w:rsidRPr="00B7613D" w:rsidRDefault="008D6221" w:rsidP="003E610A">
      <w:pPr>
        <w:pStyle w:val="FootnoteText"/>
        <w:rPr>
          <w:szCs w:val="18"/>
        </w:rPr>
      </w:pPr>
      <w:r w:rsidRPr="00B7613D">
        <w:rPr>
          <w:szCs w:val="18"/>
        </w:rPr>
        <w:tab/>
      </w:r>
      <w:r w:rsidRPr="00B7613D">
        <w:rPr>
          <w:rStyle w:val="FootnoteReference"/>
          <w:szCs w:val="18"/>
        </w:rPr>
        <w:footnoteRef/>
      </w:r>
      <w:r w:rsidRPr="00B7613D">
        <w:rPr>
          <w:szCs w:val="18"/>
        </w:rPr>
        <w:tab/>
        <w:t xml:space="preserve">See also </w:t>
      </w:r>
      <w:r>
        <w:rPr>
          <w:szCs w:val="18"/>
        </w:rPr>
        <w:t xml:space="preserve">Stef </w:t>
      </w:r>
      <w:r w:rsidRPr="00B7613D">
        <w:rPr>
          <w:szCs w:val="18"/>
        </w:rPr>
        <w:t xml:space="preserve">Vandeginste, </w:t>
      </w:r>
      <w:r>
        <w:rPr>
          <w:szCs w:val="18"/>
        </w:rPr>
        <w:t>“</w:t>
      </w:r>
      <w:r w:rsidRPr="00B7613D">
        <w:rPr>
          <w:szCs w:val="18"/>
        </w:rPr>
        <w:t xml:space="preserve">Bypassing the </w:t>
      </w:r>
      <w:r>
        <w:rPr>
          <w:szCs w:val="18"/>
        </w:rPr>
        <w:t>p</w:t>
      </w:r>
      <w:r w:rsidRPr="00B7613D">
        <w:rPr>
          <w:szCs w:val="18"/>
        </w:rPr>
        <w:t xml:space="preserve">rohibition of </w:t>
      </w:r>
      <w:r>
        <w:rPr>
          <w:szCs w:val="18"/>
        </w:rPr>
        <w:t>a</w:t>
      </w:r>
      <w:r w:rsidRPr="00B7613D">
        <w:rPr>
          <w:szCs w:val="18"/>
        </w:rPr>
        <w:t xml:space="preserve">mnesty for </w:t>
      </w:r>
      <w:r>
        <w:rPr>
          <w:szCs w:val="18"/>
        </w:rPr>
        <w:t>h</w:t>
      </w:r>
      <w:r w:rsidRPr="00B7613D">
        <w:rPr>
          <w:szCs w:val="18"/>
        </w:rPr>
        <w:t xml:space="preserve">uman </w:t>
      </w:r>
      <w:r>
        <w:rPr>
          <w:szCs w:val="18"/>
        </w:rPr>
        <w:t>r</w:t>
      </w:r>
      <w:r w:rsidRPr="00B7613D">
        <w:rPr>
          <w:szCs w:val="18"/>
        </w:rPr>
        <w:t xml:space="preserve">ights </w:t>
      </w:r>
      <w:r>
        <w:rPr>
          <w:szCs w:val="18"/>
        </w:rPr>
        <w:t>c</w:t>
      </w:r>
      <w:r w:rsidRPr="00B7613D">
        <w:rPr>
          <w:szCs w:val="18"/>
        </w:rPr>
        <w:t xml:space="preserve">rimes under </w:t>
      </w:r>
      <w:r>
        <w:rPr>
          <w:szCs w:val="18"/>
        </w:rPr>
        <w:t>i</w:t>
      </w:r>
      <w:r w:rsidRPr="00B7613D">
        <w:rPr>
          <w:szCs w:val="18"/>
        </w:rPr>
        <w:t xml:space="preserve">nternational </w:t>
      </w:r>
      <w:r>
        <w:rPr>
          <w:szCs w:val="18"/>
        </w:rPr>
        <w:t>l</w:t>
      </w:r>
      <w:r w:rsidRPr="00B7613D">
        <w:rPr>
          <w:szCs w:val="18"/>
        </w:rPr>
        <w:t>aw</w:t>
      </w:r>
      <w:r>
        <w:rPr>
          <w:szCs w:val="18"/>
        </w:rPr>
        <w:t>: lessons learned from the Burundi peace process”</w:t>
      </w:r>
      <w:r w:rsidRPr="00B7613D">
        <w:rPr>
          <w:szCs w:val="18"/>
        </w:rPr>
        <w:t xml:space="preserve">, </w:t>
      </w:r>
      <w:r w:rsidRPr="00A35DC5">
        <w:rPr>
          <w:i/>
          <w:iCs/>
          <w:szCs w:val="18"/>
        </w:rPr>
        <w:t>Netherlands Quarterly of Human Rights</w:t>
      </w:r>
      <w:r w:rsidRPr="00B7613D">
        <w:rPr>
          <w:szCs w:val="18"/>
        </w:rPr>
        <w:t xml:space="preserve">, </w:t>
      </w:r>
      <w:r>
        <w:rPr>
          <w:szCs w:val="18"/>
        </w:rPr>
        <w:t>v</w:t>
      </w:r>
      <w:r w:rsidRPr="00B7613D">
        <w:rPr>
          <w:szCs w:val="18"/>
        </w:rPr>
        <w:t>ol.</w:t>
      </w:r>
      <w:r>
        <w:rPr>
          <w:szCs w:val="18"/>
        </w:rPr>
        <w:t xml:space="preserve"> </w:t>
      </w:r>
      <w:r w:rsidRPr="00B7613D">
        <w:rPr>
          <w:szCs w:val="18"/>
        </w:rPr>
        <w:t>29, No</w:t>
      </w:r>
      <w:r w:rsidRPr="00E22C1D">
        <w:rPr>
          <w:szCs w:val="18"/>
        </w:rPr>
        <w:t>.</w:t>
      </w:r>
      <w:r>
        <w:rPr>
          <w:szCs w:val="18"/>
        </w:rPr>
        <w:t xml:space="preserve"> </w:t>
      </w:r>
      <w:r w:rsidRPr="00B7613D">
        <w:rPr>
          <w:szCs w:val="18"/>
        </w:rPr>
        <w:t>2</w:t>
      </w:r>
      <w:r>
        <w:rPr>
          <w:szCs w:val="18"/>
        </w:rPr>
        <w:t xml:space="preserve"> (</w:t>
      </w:r>
      <w:r w:rsidRPr="00B7613D">
        <w:rPr>
          <w:szCs w:val="18"/>
        </w:rPr>
        <w:t>2011</w:t>
      </w:r>
      <w:r>
        <w:rPr>
          <w:szCs w:val="18"/>
        </w:rPr>
        <w:t>)</w:t>
      </w:r>
      <w:r w:rsidRPr="00B7613D">
        <w:rPr>
          <w:szCs w:val="18"/>
        </w:rPr>
        <w:t>.</w:t>
      </w:r>
    </w:p>
  </w:footnote>
  <w:footnote w:id="24">
    <w:p w:rsidR="008D6221" w:rsidRPr="00B7613D" w:rsidRDefault="008D6221" w:rsidP="003750EB">
      <w:pPr>
        <w:pStyle w:val="FootnoteText"/>
        <w:spacing w:line="240" w:lineRule="auto"/>
        <w:rPr>
          <w:szCs w:val="18"/>
        </w:rPr>
      </w:pPr>
      <w:r w:rsidRPr="00B7613D">
        <w:rPr>
          <w:szCs w:val="18"/>
        </w:rPr>
        <w:tab/>
      </w:r>
      <w:r w:rsidRPr="00B7613D">
        <w:rPr>
          <w:rStyle w:val="FootnoteReference"/>
          <w:szCs w:val="18"/>
        </w:rPr>
        <w:footnoteRef/>
      </w:r>
      <w:r w:rsidRPr="00B7613D">
        <w:rPr>
          <w:szCs w:val="18"/>
        </w:rPr>
        <w:tab/>
      </w:r>
      <w:r>
        <w:rPr>
          <w:szCs w:val="18"/>
        </w:rPr>
        <w:t xml:space="preserve">Burundi, </w:t>
      </w:r>
      <w:r w:rsidRPr="00B7613D">
        <w:rPr>
          <w:szCs w:val="18"/>
        </w:rPr>
        <w:t xml:space="preserve">Law </w:t>
      </w:r>
      <w:r>
        <w:rPr>
          <w:szCs w:val="18"/>
        </w:rPr>
        <w:t xml:space="preserve">No. </w:t>
      </w:r>
      <w:r w:rsidRPr="00B7613D">
        <w:rPr>
          <w:szCs w:val="18"/>
        </w:rPr>
        <w:t>1/022, art.</w:t>
      </w:r>
      <w:r>
        <w:rPr>
          <w:szCs w:val="18"/>
        </w:rPr>
        <w:t xml:space="preserve"> </w:t>
      </w:r>
      <w:proofErr w:type="gramStart"/>
      <w:r w:rsidRPr="00B7613D">
        <w:rPr>
          <w:szCs w:val="18"/>
        </w:rPr>
        <w:t xml:space="preserve">2; Law </w:t>
      </w:r>
      <w:r>
        <w:rPr>
          <w:szCs w:val="18"/>
        </w:rPr>
        <w:t xml:space="preserve">No. </w:t>
      </w:r>
      <w:r w:rsidRPr="00B7613D">
        <w:rPr>
          <w:szCs w:val="18"/>
        </w:rPr>
        <w:t>1/32, art.</w:t>
      </w:r>
      <w:proofErr w:type="gramEnd"/>
      <w:r>
        <w:rPr>
          <w:szCs w:val="18"/>
        </w:rPr>
        <w:t xml:space="preserve"> </w:t>
      </w:r>
      <w:proofErr w:type="gramStart"/>
      <w:r w:rsidRPr="00B7613D">
        <w:rPr>
          <w:szCs w:val="18"/>
        </w:rPr>
        <w:t xml:space="preserve">2, </w:t>
      </w:r>
      <w:r w:rsidRPr="00E22C1D">
        <w:rPr>
          <w:szCs w:val="18"/>
        </w:rPr>
        <w:t>para.</w:t>
      </w:r>
      <w:proofErr w:type="gramEnd"/>
      <w:r>
        <w:rPr>
          <w:szCs w:val="18"/>
        </w:rPr>
        <w:t xml:space="preserve"> </w:t>
      </w:r>
      <w:r w:rsidRPr="00B7613D">
        <w:rPr>
          <w:szCs w:val="18"/>
        </w:rPr>
        <w:t xml:space="preserve">2. </w:t>
      </w:r>
    </w:p>
  </w:footnote>
  <w:footnote w:id="25">
    <w:p w:rsidR="008D6221" w:rsidRPr="00B7613D" w:rsidRDefault="008D6221" w:rsidP="00FC20BE">
      <w:pPr>
        <w:pStyle w:val="FootnoteText"/>
        <w:rPr>
          <w:szCs w:val="18"/>
        </w:rPr>
      </w:pPr>
      <w:r w:rsidRPr="00B7613D">
        <w:rPr>
          <w:szCs w:val="18"/>
        </w:rPr>
        <w:tab/>
      </w:r>
      <w:r w:rsidRPr="00B7613D">
        <w:rPr>
          <w:rStyle w:val="FootnoteReference"/>
          <w:szCs w:val="18"/>
        </w:rPr>
        <w:footnoteRef/>
      </w:r>
      <w:r w:rsidRPr="00B7613D">
        <w:rPr>
          <w:szCs w:val="18"/>
        </w:rPr>
        <w:tab/>
      </w:r>
      <w:proofErr w:type="gramStart"/>
      <w:r w:rsidRPr="00B7613D">
        <w:rPr>
          <w:szCs w:val="18"/>
        </w:rPr>
        <w:t xml:space="preserve">Law </w:t>
      </w:r>
      <w:r>
        <w:rPr>
          <w:szCs w:val="18"/>
        </w:rPr>
        <w:t xml:space="preserve">No. </w:t>
      </w:r>
      <w:r w:rsidRPr="00B7613D">
        <w:rPr>
          <w:szCs w:val="18"/>
        </w:rPr>
        <w:t>1/32, art.</w:t>
      </w:r>
      <w:proofErr w:type="gramEnd"/>
      <w:r>
        <w:rPr>
          <w:szCs w:val="18"/>
        </w:rPr>
        <w:t xml:space="preserve"> </w:t>
      </w:r>
      <w:proofErr w:type="gramStart"/>
      <w:r w:rsidRPr="00B7613D">
        <w:rPr>
          <w:szCs w:val="18"/>
        </w:rPr>
        <w:t>2</w:t>
      </w:r>
      <w:r w:rsidRPr="004C6F16">
        <w:rPr>
          <w:szCs w:val="18"/>
        </w:rPr>
        <w:t>,</w:t>
      </w:r>
      <w:r w:rsidRPr="00B7613D">
        <w:rPr>
          <w:szCs w:val="18"/>
        </w:rPr>
        <w:t xml:space="preserve"> para.</w:t>
      </w:r>
      <w:proofErr w:type="gramEnd"/>
      <w:r>
        <w:rPr>
          <w:szCs w:val="18"/>
        </w:rPr>
        <w:t xml:space="preserve"> </w:t>
      </w:r>
      <w:proofErr w:type="gramStart"/>
      <w:r w:rsidRPr="00B7613D">
        <w:rPr>
          <w:szCs w:val="18"/>
        </w:rPr>
        <w:t xml:space="preserve">2; Law </w:t>
      </w:r>
      <w:r>
        <w:rPr>
          <w:szCs w:val="18"/>
        </w:rPr>
        <w:t xml:space="preserve">of </w:t>
      </w:r>
      <w:r w:rsidRPr="00B7613D">
        <w:rPr>
          <w:szCs w:val="18"/>
        </w:rPr>
        <w:t>18</w:t>
      </w:r>
      <w:r>
        <w:rPr>
          <w:szCs w:val="18"/>
        </w:rPr>
        <w:t xml:space="preserve"> September </w:t>
      </w:r>
      <w:r w:rsidRPr="00B7613D">
        <w:rPr>
          <w:szCs w:val="18"/>
        </w:rPr>
        <w:t xml:space="preserve">2009 on revising the Electoral Code (Law </w:t>
      </w:r>
      <w:r>
        <w:rPr>
          <w:szCs w:val="18"/>
        </w:rPr>
        <w:t xml:space="preserve">No. </w:t>
      </w:r>
      <w:r w:rsidRPr="00B7613D">
        <w:rPr>
          <w:szCs w:val="18"/>
        </w:rPr>
        <w:t>1/015 of 20</w:t>
      </w:r>
      <w:r>
        <w:rPr>
          <w:szCs w:val="18"/>
        </w:rPr>
        <w:t xml:space="preserve"> April </w:t>
      </w:r>
      <w:r w:rsidRPr="00B7613D">
        <w:rPr>
          <w:szCs w:val="18"/>
        </w:rPr>
        <w:t>2005), art.</w:t>
      </w:r>
      <w:proofErr w:type="gramEnd"/>
      <w:r>
        <w:rPr>
          <w:szCs w:val="18"/>
        </w:rPr>
        <w:t xml:space="preserve"> </w:t>
      </w:r>
      <w:r w:rsidRPr="00B7613D">
        <w:rPr>
          <w:szCs w:val="18"/>
        </w:rPr>
        <w:t>8.</w:t>
      </w:r>
    </w:p>
  </w:footnote>
  <w:footnote w:id="26">
    <w:p w:rsidR="008D6221" w:rsidRPr="00B7613D" w:rsidRDefault="008D6221" w:rsidP="003750EB">
      <w:pPr>
        <w:pStyle w:val="FootnoteText"/>
        <w:spacing w:line="240" w:lineRule="auto"/>
        <w:rPr>
          <w:szCs w:val="18"/>
        </w:rPr>
      </w:pPr>
      <w:r w:rsidRPr="00B7613D">
        <w:rPr>
          <w:szCs w:val="18"/>
        </w:rPr>
        <w:tab/>
      </w:r>
      <w:r w:rsidRPr="00B7613D">
        <w:rPr>
          <w:rStyle w:val="FootnoteReference"/>
          <w:szCs w:val="18"/>
        </w:rPr>
        <w:footnoteRef/>
      </w:r>
      <w:r w:rsidRPr="00B7613D">
        <w:rPr>
          <w:szCs w:val="18"/>
        </w:rPr>
        <w:tab/>
      </w:r>
      <w:r>
        <w:rPr>
          <w:szCs w:val="18"/>
        </w:rPr>
        <w:t xml:space="preserve">See </w:t>
      </w:r>
      <w:r w:rsidRPr="00B7613D">
        <w:rPr>
          <w:szCs w:val="18"/>
        </w:rPr>
        <w:t>A/HRC/27/56, paras.</w:t>
      </w:r>
      <w:r>
        <w:rPr>
          <w:szCs w:val="18"/>
        </w:rPr>
        <w:t xml:space="preserve"> </w:t>
      </w:r>
      <w:proofErr w:type="gramStart"/>
      <w:r w:rsidRPr="00B7613D">
        <w:rPr>
          <w:szCs w:val="18"/>
        </w:rPr>
        <w:t>105</w:t>
      </w:r>
      <w:r>
        <w:rPr>
          <w:szCs w:val="18"/>
        </w:rPr>
        <w:t>–</w:t>
      </w:r>
      <w:r w:rsidRPr="00B7613D">
        <w:rPr>
          <w:szCs w:val="18"/>
        </w:rPr>
        <w:t>108.</w:t>
      </w:r>
      <w:proofErr w:type="gramEnd"/>
    </w:p>
  </w:footnote>
  <w:footnote w:id="27">
    <w:p w:rsidR="008D6221" w:rsidRPr="00B7613D" w:rsidRDefault="008D6221" w:rsidP="003750EB">
      <w:pPr>
        <w:pStyle w:val="FootnoteText"/>
        <w:spacing w:line="240" w:lineRule="auto"/>
        <w:rPr>
          <w:szCs w:val="18"/>
        </w:rPr>
      </w:pPr>
      <w:r w:rsidRPr="00B7613D">
        <w:rPr>
          <w:szCs w:val="18"/>
        </w:rPr>
        <w:tab/>
      </w:r>
      <w:r w:rsidRPr="00B7613D">
        <w:rPr>
          <w:rStyle w:val="FootnoteReference"/>
          <w:szCs w:val="18"/>
        </w:rPr>
        <w:footnoteRef/>
      </w:r>
      <w:r w:rsidRPr="00B7613D">
        <w:rPr>
          <w:szCs w:val="18"/>
        </w:rPr>
        <w:tab/>
      </w:r>
      <w:r>
        <w:rPr>
          <w:szCs w:val="18"/>
        </w:rPr>
        <w:t>See</w:t>
      </w:r>
      <w:r w:rsidRPr="00B7613D">
        <w:rPr>
          <w:szCs w:val="18"/>
        </w:rPr>
        <w:t xml:space="preserve"> A/69/518.</w:t>
      </w:r>
    </w:p>
  </w:footnote>
  <w:footnote w:id="28">
    <w:p w:rsidR="008D6221" w:rsidRPr="00B7613D" w:rsidRDefault="008D6221" w:rsidP="000E653F">
      <w:pPr>
        <w:pStyle w:val="FootnoteText"/>
        <w:spacing w:line="240" w:lineRule="auto"/>
        <w:rPr>
          <w:szCs w:val="18"/>
        </w:rPr>
      </w:pPr>
      <w:r w:rsidRPr="00B7613D">
        <w:rPr>
          <w:szCs w:val="18"/>
        </w:rPr>
        <w:tab/>
      </w:r>
      <w:r w:rsidRPr="00B7613D">
        <w:rPr>
          <w:rStyle w:val="FootnoteReference"/>
          <w:szCs w:val="18"/>
        </w:rPr>
        <w:footnoteRef/>
      </w:r>
      <w:r w:rsidRPr="00B7613D">
        <w:rPr>
          <w:szCs w:val="18"/>
        </w:rPr>
        <w:tab/>
      </w:r>
      <w:r>
        <w:rPr>
          <w:szCs w:val="18"/>
        </w:rPr>
        <w:t xml:space="preserve">See Burundi War </w:t>
      </w:r>
      <w:proofErr w:type="gramStart"/>
      <w:r>
        <w:rPr>
          <w:szCs w:val="18"/>
        </w:rPr>
        <w:t>Council,</w:t>
      </w:r>
      <w:proofErr w:type="gramEnd"/>
      <w:r>
        <w:rPr>
          <w:szCs w:val="18"/>
        </w:rPr>
        <w:t xml:space="preserve"> decision</w:t>
      </w:r>
      <w:r w:rsidRPr="00B7613D">
        <w:rPr>
          <w:szCs w:val="18"/>
        </w:rPr>
        <w:t xml:space="preserve"> RMP.48.229/OC</w:t>
      </w:r>
      <w:r>
        <w:rPr>
          <w:szCs w:val="18"/>
        </w:rPr>
        <w:t xml:space="preserve"> of </w:t>
      </w:r>
      <w:r w:rsidRPr="00B7613D">
        <w:rPr>
          <w:szCs w:val="18"/>
        </w:rPr>
        <w:t>6</w:t>
      </w:r>
      <w:r>
        <w:rPr>
          <w:szCs w:val="18"/>
        </w:rPr>
        <w:t xml:space="preserve"> May </w:t>
      </w:r>
      <w:r w:rsidRPr="00B7613D">
        <w:rPr>
          <w:szCs w:val="18"/>
        </w:rPr>
        <w:t>1972.</w:t>
      </w:r>
    </w:p>
  </w:footnote>
  <w:footnote w:id="29">
    <w:p w:rsidR="008D6221" w:rsidRPr="00B7613D" w:rsidRDefault="008D6221" w:rsidP="00E74B3C">
      <w:pPr>
        <w:pStyle w:val="FootnoteText"/>
        <w:spacing w:line="240" w:lineRule="auto"/>
        <w:rPr>
          <w:szCs w:val="18"/>
        </w:rPr>
      </w:pPr>
      <w:r w:rsidRPr="00B7613D">
        <w:rPr>
          <w:szCs w:val="18"/>
        </w:rPr>
        <w:tab/>
      </w:r>
      <w:r w:rsidRPr="00B7613D">
        <w:rPr>
          <w:rStyle w:val="FootnoteReference"/>
          <w:szCs w:val="18"/>
        </w:rPr>
        <w:footnoteRef/>
      </w:r>
      <w:r w:rsidRPr="00B7613D">
        <w:rPr>
          <w:szCs w:val="18"/>
        </w:rPr>
        <w:tab/>
      </w:r>
      <w:proofErr w:type="gramStart"/>
      <w:r w:rsidRPr="00B7613D">
        <w:rPr>
          <w:szCs w:val="18"/>
        </w:rPr>
        <w:t>The Arusha Agreement, Protocol IV, art</w:t>
      </w:r>
      <w:r>
        <w:rPr>
          <w:szCs w:val="18"/>
        </w:rPr>
        <w:t>.</w:t>
      </w:r>
      <w:proofErr w:type="gramEnd"/>
      <w:r w:rsidRPr="00B7613D">
        <w:rPr>
          <w:szCs w:val="18"/>
        </w:rPr>
        <w:t xml:space="preserve"> </w:t>
      </w:r>
      <w:proofErr w:type="gramStart"/>
      <w:r w:rsidRPr="00B7613D">
        <w:rPr>
          <w:szCs w:val="18"/>
        </w:rPr>
        <w:t xml:space="preserve">1, </w:t>
      </w:r>
      <w:r w:rsidRPr="00E22C1D">
        <w:rPr>
          <w:szCs w:val="18"/>
        </w:rPr>
        <w:t>para.</w:t>
      </w:r>
      <w:proofErr w:type="gramEnd"/>
      <w:r>
        <w:rPr>
          <w:szCs w:val="18"/>
        </w:rPr>
        <w:t xml:space="preserve"> </w:t>
      </w:r>
      <w:r w:rsidRPr="00B7613D">
        <w:rPr>
          <w:szCs w:val="18"/>
        </w:rPr>
        <w:t xml:space="preserve">2, defines </w:t>
      </w:r>
      <w:r w:rsidRPr="00E22C1D">
        <w:rPr>
          <w:szCs w:val="18"/>
        </w:rPr>
        <w:t>“</w:t>
      </w:r>
      <w:r w:rsidRPr="00A35DC5">
        <w:rPr>
          <w:i/>
          <w:iCs/>
          <w:szCs w:val="18"/>
        </w:rPr>
        <w:t>sinistrés</w:t>
      </w:r>
      <w:r w:rsidRPr="00E22C1D">
        <w:rPr>
          <w:szCs w:val="18"/>
        </w:rPr>
        <w:t>”</w:t>
      </w:r>
      <w:r w:rsidRPr="00B7613D">
        <w:rPr>
          <w:szCs w:val="18"/>
        </w:rPr>
        <w:t xml:space="preserve"> as “all displaced, regrouped and dispersed persons and returnees”</w:t>
      </w:r>
      <w:r>
        <w:rPr>
          <w:szCs w:val="18"/>
        </w:rPr>
        <w:t>;</w:t>
      </w:r>
      <w:r w:rsidRPr="00B7613D">
        <w:rPr>
          <w:szCs w:val="18"/>
        </w:rPr>
        <w:t xml:space="preserve"> the 2013 Law on the National Commission on Land and Other Assets </w:t>
      </w:r>
      <w:r>
        <w:rPr>
          <w:szCs w:val="18"/>
        </w:rPr>
        <w:t xml:space="preserve">provides an </w:t>
      </w:r>
      <w:r w:rsidRPr="00B7613D">
        <w:rPr>
          <w:szCs w:val="18"/>
        </w:rPr>
        <w:t>even broader</w:t>
      </w:r>
      <w:r>
        <w:rPr>
          <w:szCs w:val="18"/>
        </w:rPr>
        <w:t xml:space="preserve"> definition</w:t>
      </w:r>
      <w:r w:rsidRPr="00B7613D">
        <w:rPr>
          <w:szCs w:val="18"/>
        </w:rPr>
        <w:t>.</w:t>
      </w:r>
    </w:p>
  </w:footnote>
  <w:footnote w:id="30">
    <w:p w:rsidR="008D6221" w:rsidRPr="00B7613D" w:rsidRDefault="008D6221" w:rsidP="000B2512">
      <w:pPr>
        <w:pStyle w:val="FootnoteText"/>
        <w:spacing w:line="240" w:lineRule="auto"/>
        <w:rPr>
          <w:szCs w:val="18"/>
        </w:rPr>
      </w:pPr>
      <w:r w:rsidRPr="00B7613D">
        <w:rPr>
          <w:szCs w:val="18"/>
        </w:rPr>
        <w:tab/>
      </w:r>
      <w:r w:rsidRPr="00B7613D">
        <w:rPr>
          <w:rStyle w:val="FootnoteReference"/>
          <w:szCs w:val="18"/>
        </w:rPr>
        <w:footnoteRef/>
      </w:r>
      <w:r w:rsidRPr="00B7613D">
        <w:rPr>
          <w:szCs w:val="18"/>
        </w:rPr>
        <w:tab/>
      </w:r>
      <w:proofErr w:type="gramStart"/>
      <w:r>
        <w:rPr>
          <w:szCs w:val="18"/>
        </w:rPr>
        <w:t xml:space="preserve">Arusha Agreement, </w:t>
      </w:r>
      <w:r w:rsidRPr="00B7613D">
        <w:rPr>
          <w:szCs w:val="18"/>
        </w:rPr>
        <w:t>Protocol IV, art</w:t>
      </w:r>
      <w:r>
        <w:rPr>
          <w:szCs w:val="18"/>
        </w:rPr>
        <w:t>.</w:t>
      </w:r>
      <w:proofErr w:type="gramEnd"/>
      <w:r w:rsidRPr="00B7613D">
        <w:rPr>
          <w:szCs w:val="18"/>
        </w:rPr>
        <w:t xml:space="preserve"> </w:t>
      </w:r>
      <w:proofErr w:type="gramStart"/>
      <w:r w:rsidRPr="00B7613D">
        <w:rPr>
          <w:szCs w:val="18"/>
        </w:rPr>
        <w:t>8</w:t>
      </w:r>
      <w:r>
        <w:rPr>
          <w:szCs w:val="18"/>
        </w:rPr>
        <w:t xml:space="preserve"> (c)</w:t>
      </w:r>
      <w:r w:rsidRPr="00B7613D">
        <w:rPr>
          <w:szCs w:val="18"/>
        </w:rPr>
        <w:t>.</w:t>
      </w:r>
      <w:proofErr w:type="gramEnd"/>
    </w:p>
  </w:footnote>
  <w:footnote w:id="31">
    <w:p w:rsidR="008D6221" w:rsidRPr="00B7613D" w:rsidRDefault="008D6221" w:rsidP="004410BF">
      <w:pPr>
        <w:pStyle w:val="FootnoteText"/>
        <w:spacing w:line="240" w:lineRule="auto"/>
        <w:rPr>
          <w:szCs w:val="18"/>
        </w:rPr>
      </w:pPr>
      <w:r w:rsidRPr="00B7613D">
        <w:rPr>
          <w:szCs w:val="18"/>
        </w:rPr>
        <w:tab/>
      </w:r>
      <w:r w:rsidRPr="00B7613D">
        <w:rPr>
          <w:rStyle w:val="FootnoteReference"/>
          <w:szCs w:val="18"/>
        </w:rPr>
        <w:footnoteRef/>
      </w:r>
      <w:r w:rsidRPr="00B7613D">
        <w:rPr>
          <w:szCs w:val="18"/>
        </w:rPr>
        <w:tab/>
      </w:r>
      <w:r>
        <w:rPr>
          <w:szCs w:val="18"/>
        </w:rPr>
        <w:t xml:space="preserve">Burundi, </w:t>
      </w:r>
      <w:r w:rsidRPr="00B7613D">
        <w:rPr>
          <w:szCs w:val="18"/>
        </w:rPr>
        <w:t xml:space="preserve">Decree </w:t>
      </w:r>
      <w:r>
        <w:rPr>
          <w:szCs w:val="18"/>
        </w:rPr>
        <w:t xml:space="preserve">No. </w:t>
      </w:r>
      <w:r w:rsidRPr="00B7613D">
        <w:rPr>
          <w:szCs w:val="18"/>
        </w:rPr>
        <w:t>100/205 (22</w:t>
      </w:r>
      <w:r>
        <w:rPr>
          <w:szCs w:val="18"/>
        </w:rPr>
        <w:t xml:space="preserve"> July </w:t>
      </w:r>
      <w:r w:rsidRPr="00B7613D">
        <w:rPr>
          <w:szCs w:val="18"/>
        </w:rPr>
        <w:t xml:space="preserve">2006); Law </w:t>
      </w:r>
      <w:r>
        <w:rPr>
          <w:szCs w:val="18"/>
        </w:rPr>
        <w:t xml:space="preserve">No. </w:t>
      </w:r>
      <w:r w:rsidRPr="00B7613D">
        <w:rPr>
          <w:szCs w:val="18"/>
        </w:rPr>
        <w:t>1/18 (4</w:t>
      </w:r>
      <w:r>
        <w:rPr>
          <w:szCs w:val="18"/>
        </w:rPr>
        <w:t xml:space="preserve"> May </w:t>
      </w:r>
      <w:r w:rsidRPr="00B7613D">
        <w:rPr>
          <w:szCs w:val="18"/>
        </w:rPr>
        <w:t>2006).</w:t>
      </w:r>
    </w:p>
  </w:footnote>
  <w:footnote w:id="32">
    <w:p w:rsidR="008D6221" w:rsidRPr="00B7613D" w:rsidRDefault="008D6221" w:rsidP="000B2512">
      <w:pPr>
        <w:pStyle w:val="FootnoteText"/>
        <w:spacing w:line="240" w:lineRule="auto"/>
        <w:rPr>
          <w:szCs w:val="18"/>
        </w:rPr>
      </w:pPr>
      <w:r w:rsidRPr="00B7613D">
        <w:rPr>
          <w:szCs w:val="18"/>
        </w:rPr>
        <w:tab/>
      </w:r>
      <w:r w:rsidRPr="00B7613D">
        <w:rPr>
          <w:rStyle w:val="FootnoteReference"/>
          <w:szCs w:val="18"/>
        </w:rPr>
        <w:footnoteRef/>
      </w:r>
      <w:r w:rsidRPr="00B7613D">
        <w:rPr>
          <w:szCs w:val="18"/>
        </w:rPr>
        <w:tab/>
      </w:r>
      <w:r>
        <w:rPr>
          <w:szCs w:val="18"/>
        </w:rPr>
        <w:t xml:space="preserve">Burundi, </w:t>
      </w:r>
      <w:r w:rsidRPr="00B7613D">
        <w:rPr>
          <w:szCs w:val="18"/>
        </w:rPr>
        <w:t xml:space="preserve">Law </w:t>
      </w:r>
      <w:r>
        <w:rPr>
          <w:szCs w:val="18"/>
        </w:rPr>
        <w:t xml:space="preserve">No. </w:t>
      </w:r>
      <w:r w:rsidRPr="00B7613D">
        <w:rPr>
          <w:szCs w:val="18"/>
        </w:rPr>
        <w:t>1/31 (31</w:t>
      </w:r>
      <w:r>
        <w:rPr>
          <w:szCs w:val="18"/>
        </w:rPr>
        <w:t xml:space="preserve"> December </w:t>
      </w:r>
      <w:r w:rsidRPr="00B7613D">
        <w:rPr>
          <w:szCs w:val="18"/>
        </w:rPr>
        <w:t>2013), art</w:t>
      </w:r>
      <w:r>
        <w:rPr>
          <w:szCs w:val="18"/>
        </w:rPr>
        <w:t>.</w:t>
      </w:r>
      <w:r w:rsidRPr="00B7613D">
        <w:rPr>
          <w:szCs w:val="18"/>
        </w:rPr>
        <w:t xml:space="preserve"> 11.</w:t>
      </w:r>
    </w:p>
  </w:footnote>
  <w:footnote w:id="33">
    <w:p w:rsidR="008D6221" w:rsidRPr="002E637C" w:rsidRDefault="008D6221" w:rsidP="000B2512">
      <w:pPr>
        <w:pStyle w:val="FootnoteText"/>
        <w:spacing w:line="240" w:lineRule="auto"/>
        <w:rPr>
          <w:szCs w:val="18"/>
          <w:lang w:val="es-ES"/>
        </w:rPr>
      </w:pPr>
      <w:r w:rsidRPr="00B7613D">
        <w:rPr>
          <w:szCs w:val="18"/>
        </w:rPr>
        <w:tab/>
      </w:r>
      <w:r w:rsidRPr="00B7613D">
        <w:rPr>
          <w:rStyle w:val="FootnoteReference"/>
          <w:szCs w:val="18"/>
        </w:rPr>
        <w:footnoteRef/>
      </w:r>
      <w:r w:rsidRPr="002E637C">
        <w:rPr>
          <w:szCs w:val="18"/>
          <w:lang w:val="es-ES"/>
        </w:rPr>
        <w:tab/>
        <w:t>See also E/C.12/BDI/1, paras.</w:t>
      </w:r>
      <w:r>
        <w:rPr>
          <w:szCs w:val="18"/>
          <w:lang w:val="es-ES"/>
        </w:rPr>
        <w:t xml:space="preserve"> </w:t>
      </w:r>
      <w:r w:rsidRPr="002E637C">
        <w:rPr>
          <w:szCs w:val="18"/>
          <w:lang w:val="es-ES"/>
        </w:rPr>
        <w:t>255–257.</w:t>
      </w:r>
    </w:p>
  </w:footnote>
  <w:footnote w:id="34">
    <w:p w:rsidR="008D6221" w:rsidRPr="00B7613D" w:rsidRDefault="008D6221" w:rsidP="000B2512">
      <w:pPr>
        <w:pStyle w:val="FootnoteText"/>
        <w:spacing w:line="240" w:lineRule="auto"/>
        <w:rPr>
          <w:szCs w:val="18"/>
        </w:rPr>
      </w:pPr>
      <w:r w:rsidRPr="002E637C">
        <w:rPr>
          <w:szCs w:val="18"/>
          <w:lang w:val="es-ES"/>
        </w:rPr>
        <w:tab/>
      </w:r>
      <w:r w:rsidRPr="00B7613D">
        <w:rPr>
          <w:rStyle w:val="FootnoteReference"/>
          <w:szCs w:val="18"/>
        </w:rPr>
        <w:footnoteRef/>
      </w:r>
      <w:r w:rsidRPr="002E637C">
        <w:rPr>
          <w:szCs w:val="18"/>
          <w:lang w:val="es-ES"/>
        </w:rPr>
        <w:tab/>
        <w:t>Ibid., para.</w:t>
      </w:r>
      <w:r>
        <w:rPr>
          <w:szCs w:val="18"/>
          <w:lang w:val="es-ES"/>
        </w:rPr>
        <w:t xml:space="preserve"> </w:t>
      </w:r>
      <w:r w:rsidRPr="00B7613D">
        <w:rPr>
          <w:szCs w:val="18"/>
        </w:rPr>
        <w:t>67.</w:t>
      </w:r>
    </w:p>
  </w:footnote>
  <w:footnote w:id="35">
    <w:p w:rsidR="008D6221" w:rsidRPr="00D74F74" w:rsidRDefault="008D6221" w:rsidP="000B2512">
      <w:pPr>
        <w:pStyle w:val="FootnoteText"/>
        <w:rPr>
          <w:szCs w:val="18"/>
        </w:rPr>
      </w:pPr>
      <w:r w:rsidRPr="00B7613D">
        <w:rPr>
          <w:szCs w:val="18"/>
        </w:rPr>
        <w:tab/>
      </w:r>
      <w:r w:rsidRPr="00B7613D">
        <w:rPr>
          <w:rStyle w:val="FootnoteReference"/>
          <w:szCs w:val="18"/>
        </w:rPr>
        <w:footnoteRef/>
      </w:r>
      <w:r w:rsidRPr="00B7613D">
        <w:rPr>
          <w:szCs w:val="18"/>
        </w:rPr>
        <w:tab/>
        <w:t>See CEDAW/C/BDI/CO/4, paras.</w:t>
      </w:r>
      <w:r>
        <w:rPr>
          <w:szCs w:val="18"/>
        </w:rPr>
        <w:t xml:space="preserve"> </w:t>
      </w:r>
      <w:proofErr w:type="gramStart"/>
      <w:r w:rsidRPr="00A35DC5">
        <w:rPr>
          <w:szCs w:val="18"/>
        </w:rPr>
        <w:t>13</w:t>
      </w:r>
      <w:r>
        <w:rPr>
          <w:szCs w:val="18"/>
        </w:rPr>
        <w:t xml:space="preserve"> and </w:t>
      </w:r>
      <w:r w:rsidRPr="00A35DC5">
        <w:rPr>
          <w:szCs w:val="18"/>
        </w:rPr>
        <w:t xml:space="preserve">14; CCPR/C/BDI/CO/2, </w:t>
      </w:r>
      <w:r w:rsidRPr="00871B1D">
        <w:rPr>
          <w:szCs w:val="18"/>
        </w:rPr>
        <w:t>para.</w:t>
      </w:r>
      <w:proofErr w:type="gramEnd"/>
      <w:r>
        <w:rPr>
          <w:szCs w:val="18"/>
        </w:rPr>
        <w:t xml:space="preserve"> </w:t>
      </w:r>
      <w:r w:rsidRPr="00D74F74">
        <w:rPr>
          <w:szCs w:val="18"/>
        </w:rPr>
        <w:t>11.</w:t>
      </w:r>
    </w:p>
  </w:footnote>
  <w:footnote w:id="36">
    <w:p w:rsidR="008D6221" w:rsidRPr="00B7613D" w:rsidRDefault="008D6221" w:rsidP="000B2512">
      <w:pPr>
        <w:pStyle w:val="FootnoteText"/>
        <w:rPr>
          <w:szCs w:val="18"/>
        </w:rPr>
      </w:pPr>
      <w:r w:rsidRPr="00D74F74">
        <w:rPr>
          <w:szCs w:val="18"/>
        </w:rPr>
        <w:tab/>
      </w:r>
      <w:r w:rsidRPr="00B7613D">
        <w:rPr>
          <w:rStyle w:val="FootnoteReference"/>
          <w:szCs w:val="18"/>
        </w:rPr>
        <w:footnoteRef/>
      </w:r>
      <w:r w:rsidRPr="00B7613D">
        <w:rPr>
          <w:szCs w:val="18"/>
        </w:rPr>
        <w:tab/>
        <w:t>See also</w:t>
      </w:r>
      <w:r>
        <w:rPr>
          <w:szCs w:val="18"/>
        </w:rPr>
        <w:t xml:space="preserve"> United Nations Development Programme,</w:t>
      </w:r>
      <w:r w:rsidRPr="00B7613D">
        <w:rPr>
          <w:szCs w:val="18"/>
        </w:rPr>
        <w:t xml:space="preserve"> Human Development Index (2013), </w:t>
      </w:r>
      <w:r>
        <w:rPr>
          <w:szCs w:val="18"/>
        </w:rPr>
        <w:t>Burundi (</w:t>
      </w:r>
      <w:r w:rsidRPr="00B7613D">
        <w:rPr>
          <w:szCs w:val="18"/>
        </w:rPr>
        <w:t>rank 180</w:t>
      </w:r>
      <w:r>
        <w:rPr>
          <w:szCs w:val="18"/>
        </w:rPr>
        <w:t xml:space="preserve"> out</w:t>
      </w:r>
      <w:r w:rsidRPr="00B7613D">
        <w:rPr>
          <w:szCs w:val="18"/>
        </w:rPr>
        <w:t xml:space="preserve"> of 187).</w:t>
      </w:r>
    </w:p>
  </w:footnote>
  <w:footnote w:id="37">
    <w:p w:rsidR="008D6221" w:rsidRPr="002E637C" w:rsidRDefault="008D6221" w:rsidP="000B2512">
      <w:pPr>
        <w:pStyle w:val="FootnoteText"/>
        <w:spacing w:line="240" w:lineRule="auto"/>
        <w:rPr>
          <w:szCs w:val="18"/>
          <w:lang w:val="es-ES"/>
        </w:rPr>
      </w:pPr>
      <w:r w:rsidRPr="00B7613D">
        <w:rPr>
          <w:szCs w:val="18"/>
        </w:rPr>
        <w:tab/>
      </w:r>
      <w:r w:rsidRPr="00B7613D">
        <w:rPr>
          <w:rStyle w:val="FootnoteReference"/>
          <w:szCs w:val="18"/>
        </w:rPr>
        <w:footnoteRef/>
      </w:r>
      <w:r w:rsidRPr="00B7613D">
        <w:rPr>
          <w:szCs w:val="18"/>
          <w:lang w:val="es-ES"/>
        </w:rPr>
        <w:tab/>
      </w:r>
      <w:r>
        <w:rPr>
          <w:szCs w:val="18"/>
          <w:lang w:val="es-ES"/>
        </w:rPr>
        <w:t xml:space="preserve">See </w:t>
      </w:r>
      <w:r w:rsidRPr="00B7613D">
        <w:rPr>
          <w:szCs w:val="18"/>
          <w:lang w:val="es-ES"/>
        </w:rPr>
        <w:t>A/69/518, paras.</w:t>
      </w:r>
      <w:r>
        <w:rPr>
          <w:szCs w:val="18"/>
          <w:lang w:val="es-ES"/>
        </w:rPr>
        <w:t xml:space="preserve"> </w:t>
      </w:r>
      <w:r w:rsidRPr="002E637C">
        <w:rPr>
          <w:szCs w:val="18"/>
          <w:lang w:val="es-ES"/>
        </w:rPr>
        <w:t>51–61.</w:t>
      </w:r>
    </w:p>
  </w:footnote>
  <w:footnote w:id="38">
    <w:p w:rsidR="008D6221" w:rsidRPr="002E637C" w:rsidRDefault="008D6221" w:rsidP="000B2512">
      <w:pPr>
        <w:pStyle w:val="FootnoteText"/>
        <w:spacing w:line="240" w:lineRule="auto"/>
        <w:rPr>
          <w:szCs w:val="18"/>
          <w:lang w:val="es-ES"/>
        </w:rPr>
      </w:pPr>
      <w:r w:rsidRPr="002E637C">
        <w:rPr>
          <w:szCs w:val="18"/>
          <w:lang w:val="es-ES"/>
        </w:rPr>
        <w:tab/>
      </w:r>
      <w:r w:rsidRPr="00B7613D">
        <w:rPr>
          <w:rStyle w:val="FootnoteReference"/>
          <w:szCs w:val="18"/>
        </w:rPr>
        <w:footnoteRef/>
      </w:r>
      <w:r w:rsidRPr="002E637C">
        <w:rPr>
          <w:szCs w:val="18"/>
          <w:lang w:val="es-ES"/>
        </w:rPr>
        <w:tab/>
        <w:t>Ibid., paras.</w:t>
      </w:r>
      <w:r>
        <w:rPr>
          <w:szCs w:val="18"/>
          <w:lang w:val="es-ES"/>
        </w:rPr>
        <w:t xml:space="preserve"> </w:t>
      </w:r>
      <w:r w:rsidRPr="002E637C">
        <w:rPr>
          <w:szCs w:val="18"/>
          <w:lang w:val="es-ES"/>
        </w:rPr>
        <w:t>68–73.</w:t>
      </w:r>
    </w:p>
  </w:footnote>
  <w:footnote w:id="39">
    <w:p w:rsidR="008D6221" w:rsidRPr="002E637C" w:rsidRDefault="008D6221" w:rsidP="00495100">
      <w:pPr>
        <w:pStyle w:val="FootnoteText"/>
        <w:spacing w:line="240" w:lineRule="auto"/>
        <w:rPr>
          <w:szCs w:val="18"/>
          <w:lang w:val="en-GB"/>
        </w:rPr>
      </w:pPr>
      <w:r w:rsidRPr="002E637C">
        <w:rPr>
          <w:szCs w:val="18"/>
          <w:lang w:val="es-ES"/>
        </w:rPr>
        <w:tab/>
      </w:r>
      <w:r w:rsidRPr="00B7613D">
        <w:rPr>
          <w:rStyle w:val="FootnoteReference"/>
          <w:szCs w:val="18"/>
        </w:rPr>
        <w:footnoteRef/>
      </w:r>
      <w:r w:rsidRPr="002E637C">
        <w:rPr>
          <w:szCs w:val="18"/>
          <w:lang w:val="es-ES"/>
        </w:rPr>
        <w:tab/>
        <w:t>Ibid., paras.</w:t>
      </w:r>
      <w:r>
        <w:rPr>
          <w:szCs w:val="18"/>
          <w:lang w:val="es-ES"/>
        </w:rPr>
        <w:t xml:space="preserve"> </w:t>
      </w:r>
      <w:proofErr w:type="gramStart"/>
      <w:r w:rsidRPr="002E637C">
        <w:rPr>
          <w:szCs w:val="18"/>
          <w:lang w:val="en-GB"/>
        </w:rPr>
        <w:t>38</w:t>
      </w:r>
      <w:r>
        <w:rPr>
          <w:szCs w:val="18"/>
          <w:lang w:val="en-GB"/>
        </w:rPr>
        <w:t>–</w:t>
      </w:r>
      <w:r w:rsidRPr="002E637C">
        <w:rPr>
          <w:szCs w:val="18"/>
          <w:lang w:val="en-GB"/>
        </w:rPr>
        <w:t>42.</w:t>
      </w:r>
      <w:proofErr w:type="gramEnd"/>
    </w:p>
  </w:footnote>
  <w:footnote w:id="40">
    <w:p w:rsidR="008D6221" w:rsidRPr="00B7613D" w:rsidRDefault="008D6221" w:rsidP="00451933">
      <w:pPr>
        <w:pStyle w:val="FootnoteText"/>
        <w:spacing w:line="240" w:lineRule="auto"/>
        <w:rPr>
          <w:szCs w:val="18"/>
          <w:lang w:val="fr-CH"/>
        </w:rPr>
      </w:pPr>
      <w:r w:rsidRPr="002E637C">
        <w:rPr>
          <w:szCs w:val="18"/>
          <w:lang w:val="en-GB"/>
        </w:rPr>
        <w:tab/>
      </w:r>
      <w:r w:rsidRPr="00B7613D">
        <w:rPr>
          <w:rStyle w:val="FootnoteReference"/>
          <w:szCs w:val="18"/>
        </w:rPr>
        <w:footnoteRef/>
      </w:r>
      <w:r w:rsidRPr="002E637C">
        <w:rPr>
          <w:szCs w:val="18"/>
          <w:lang w:val="en-GB"/>
        </w:rPr>
        <w:tab/>
      </w:r>
      <w:r w:rsidRPr="00E86863">
        <w:rPr>
          <w:szCs w:val="18"/>
        </w:rPr>
        <w:t xml:space="preserve">See </w:t>
      </w:r>
      <w:r w:rsidRPr="002E637C">
        <w:rPr>
          <w:szCs w:val="18"/>
          <w:lang w:val="en-GB"/>
        </w:rPr>
        <w:t>S/2014/36, paras.</w:t>
      </w:r>
      <w:r>
        <w:rPr>
          <w:szCs w:val="18"/>
          <w:lang w:val="en-GB"/>
        </w:rPr>
        <w:t xml:space="preserve"> </w:t>
      </w:r>
      <w:proofErr w:type="gramStart"/>
      <w:r w:rsidRPr="00716756">
        <w:rPr>
          <w:szCs w:val="18"/>
          <w:lang w:val="en-GB"/>
        </w:rPr>
        <w:t>8 and 69; S/2014/550, para.</w:t>
      </w:r>
      <w:proofErr w:type="gramEnd"/>
      <w:r w:rsidRPr="00716756">
        <w:rPr>
          <w:szCs w:val="18"/>
          <w:lang w:val="en-GB"/>
        </w:rPr>
        <w:t xml:space="preserve"> </w:t>
      </w:r>
      <w:r w:rsidRPr="00A35DC5">
        <w:rPr>
          <w:szCs w:val="18"/>
          <w:lang w:val="fr-CH"/>
        </w:rPr>
        <w:t>12.</w:t>
      </w:r>
    </w:p>
  </w:footnote>
  <w:footnote w:id="41">
    <w:p w:rsidR="008D6221" w:rsidRPr="00B7613D" w:rsidRDefault="008D6221" w:rsidP="004410BF">
      <w:pPr>
        <w:pStyle w:val="FootnoteText"/>
        <w:spacing w:line="240" w:lineRule="auto"/>
        <w:rPr>
          <w:szCs w:val="18"/>
          <w:lang w:val="fr-CH"/>
        </w:rPr>
      </w:pPr>
      <w:r w:rsidRPr="00B7613D">
        <w:rPr>
          <w:szCs w:val="18"/>
          <w:lang w:val="fr-CH"/>
        </w:rPr>
        <w:tab/>
      </w:r>
      <w:r w:rsidRPr="00B7613D">
        <w:rPr>
          <w:rStyle w:val="FootnoteReference"/>
          <w:szCs w:val="18"/>
        </w:rPr>
        <w:footnoteRef/>
      </w:r>
      <w:r w:rsidRPr="00B7613D">
        <w:rPr>
          <w:szCs w:val="18"/>
          <w:lang w:val="fr-CH"/>
        </w:rPr>
        <w:tab/>
      </w:r>
      <w:r w:rsidRPr="00A35DC5">
        <w:rPr>
          <w:szCs w:val="18"/>
          <w:lang w:val="fr-CH"/>
        </w:rPr>
        <w:t>See</w:t>
      </w:r>
      <w:r>
        <w:rPr>
          <w:szCs w:val="18"/>
          <w:lang w:val="fr-CH"/>
        </w:rPr>
        <w:t>, for example,</w:t>
      </w:r>
      <w:r w:rsidRPr="00A35DC5">
        <w:rPr>
          <w:szCs w:val="18"/>
          <w:lang w:val="fr-CH"/>
        </w:rPr>
        <w:t xml:space="preserve"> </w:t>
      </w:r>
      <w:r w:rsidRPr="00E86863">
        <w:rPr>
          <w:lang w:val="fr-CH"/>
        </w:rPr>
        <w:t>Centre d’</w:t>
      </w:r>
      <w:r>
        <w:rPr>
          <w:lang w:val="fr-CH"/>
        </w:rPr>
        <w:t>a</w:t>
      </w:r>
      <w:r w:rsidRPr="00E86863">
        <w:rPr>
          <w:lang w:val="fr-CH"/>
        </w:rPr>
        <w:t>lerte</w:t>
      </w:r>
      <w:r>
        <w:rPr>
          <w:lang w:val="fr-CH"/>
        </w:rPr>
        <w:t xml:space="preserve"> </w:t>
      </w:r>
      <w:r w:rsidRPr="00E86863">
        <w:rPr>
          <w:lang w:val="fr-CH"/>
        </w:rPr>
        <w:t>et</w:t>
      </w:r>
      <w:r>
        <w:rPr>
          <w:lang w:val="fr-CH"/>
        </w:rPr>
        <w:t xml:space="preserve"> </w:t>
      </w:r>
      <w:r w:rsidRPr="00E86863">
        <w:rPr>
          <w:lang w:val="fr-CH"/>
        </w:rPr>
        <w:t>de</w:t>
      </w:r>
      <w:r>
        <w:rPr>
          <w:lang w:val="fr-CH"/>
        </w:rPr>
        <w:t xml:space="preserve"> p</w:t>
      </w:r>
      <w:r w:rsidRPr="00E86863">
        <w:rPr>
          <w:lang w:val="fr-CH"/>
        </w:rPr>
        <w:t>révention</w:t>
      </w:r>
      <w:r>
        <w:rPr>
          <w:lang w:val="fr-CH"/>
        </w:rPr>
        <w:t xml:space="preserve"> </w:t>
      </w:r>
      <w:r w:rsidRPr="00E86863">
        <w:rPr>
          <w:lang w:val="fr-CH"/>
        </w:rPr>
        <w:t>des</w:t>
      </w:r>
      <w:r>
        <w:rPr>
          <w:lang w:val="fr-CH"/>
        </w:rPr>
        <w:t xml:space="preserve"> c</w:t>
      </w:r>
      <w:r w:rsidRPr="00E86863">
        <w:rPr>
          <w:lang w:val="fr-CH"/>
        </w:rPr>
        <w:t>onflits</w:t>
      </w:r>
      <w:r w:rsidRPr="00A35DC5">
        <w:rPr>
          <w:szCs w:val="18"/>
          <w:lang w:val="fr-CH"/>
        </w:rPr>
        <w:t>/</w:t>
      </w:r>
      <w:r w:rsidRPr="00E86863">
        <w:rPr>
          <w:lang w:val="fr-CH"/>
        </w:rPr>
        <w:t xml:space="preserve"> Centre</w:t>
      </w:r>
      <w:r>
        <w:rPr>
          <w:lang w:val="fr-CH"/>
        </w:rPr>
        <w:t xml:space="preserve"> </w:t>
      </w:r>
      <w:r w:rsidRPr="00E86863">
        <w:rPr>
          <w:lang w:val="fr-CH"/>
        </w:rPr>
        <w:t>de</w:t>
      </w:r>
      <w:r>
        <w:rPr>
          <w:lang w:val="fr-CH"/>
        </w:rPr>
        <w:t xml:space="preserve"> r</w:t>
      </w:r>
      <w:r w:rsidRPr="00E86863">
        <w:rPr>
          <w:lang w:val="fr-CH"/>
        </w:rPr>
        <w:t>echerche, d’</w:t>
      </w:r>
      <w:r>
        <w:rPr>
          <w:lang w:val="fr-CH"/>
        </w:rPr>
        <w:t>é</w:t>
      </w:r>
      <w:r w:rsidRPr="00E86863">
        <w:rPr>
          <w:lang w:val="fr-CH"/>
        </w:rPr>
        <w:t>tudes</w:t>
      </w:r>
      <w:r>
        <w:rPr>
          <w:lang w:val="fr-CH"/>
        </w:rPr>
        <w:t xml:space="preserve"> </w:t>
      </w:r>
      <w:r w:rsidRPr="00E86863">
        <w:rPr>
          <w:lang w:val="fr-CH"/>
        </w:rPr>
        <w:t>et</w:t>
      </w:r>
      <w:r>
        <w:rPr>
          <w:lang w:val="fr-CH"/>
        </w:rPr>
        <w:t xml:space="preserve"> </w:t>
      </w:r>
      <w:r w:rsidRPr="00E86863">
        <w:rPr>
          <w:lang w:val="fr-CH"/>
        </w:rPr>
        <w:t>de</w:t>
      </w:r>
      <w:r>
        <w:rPr>
          <w:lang w:val="fr-CH"/>
        </w:rPr>
        <w:t xml:space="preserve"> d</w:t>
      </w:r>
      <w:r w:rsidRPr="00E86863">
        <w:rPr>
          <w:lang w:val="fr-CH"/>
        </w:rPr>
        <w:t>ocumentation</w:t>
      </w:r>
      <w:r>
        <w:rPr>
          <w:lang w:val="fr-CH"/>
        </w:rPr>
        <w:t xml:space="preserve"> </w:t>
      </w:r>
      <w:r w:rsidRPr="00E86863">
        <w:rPr>
          <w:lang w:val="fr-CH"/>
        </w:rPr>
        <w:t>en</w:t>
      </w:r>
      <w:r>
        <w:rPr>
          <w:lang w:val="fr-CH"/>
        </w:rPr>
        <w:t xml:space="preserve"> s</w:t>
      </w:r>
      <w:r w:rsidRPr="00E86863">
        <w:rPr>
          <w:lang w:val="fr-CH"/>
        </w:rPr>
        <w:t>ciences</w:t>
      </w:r>
      <w:r>
        <w:rPr>
          <w:lang w:val="fr-CH"/>
        </w:rPr>
        <w:t xml:space="preserve"> s</w:t>
      </w:r>
      <w:r w:rsidRPr="00E86863">
        <w:rPr>
          <w:lang w:val="fr-CH"/>
        </w:rPr>
        <w:t>ociales</w:t>
      </w:r>
      <w:r w:rsidRPr="00A35DC5">
        <w:rPr>
          <w:szCs w:val="18"/>
          <w:lang w:val="fr-CH"/>
        </w:rPr>
        <w:t xml:space="preserve">, </w:t>
      </w:r>
      <w:r w:rsidRPr="00A35DC5">
        <w:rPr>
          <w:i/>
          <w:iCs/>
          <w:szCs w:val="18"/>
          <w:lang w:val="fr-CH"/>
        </w:rPr>
        <w:t>Etude sur les besoins de sécurité au Burundi</w:t>
      </w:r>
      <w:r>
        <w:rPr>
          <w:szCs w:val="18"/>
          <w:lang w:val="fr-CH"/>
        </w:rPr>
        <w:t xml:space="preserve"> (May </w:t>
      </w:r>
      <w:r w:rsidRPr="00A35DC5">
        <w:rPr>
          <w:szCs w:val="18"/>
          <w:lang w:val="fr-CH"/>
        </w:rPr>
        <w:t>2012</w:t>
      </w:r>
      <w:r>
        <w:rPr>
          <w:szCs w:val="18"/>
          <w:lang w:val="fr-CH"/>
        </w:rPr>
        <w:t>)</w:t>
      </w:r>
      <w:r w:rsidRPr="00A35DC5">
        <w:rPr>
          <w:szCs w:val="18"/>
          <w:lang w:val="fr-CH"/>
        </w:rPr>
        <w:t>.</w:t>
      </w:r>
    </w:p>
  </w:footnote>
  <w:footnote w:id="42">
    <w:p w:rsidR="008D6221" w:rsidRPr="00A35DC5" w:rsidRDefault="008D6221" w:rsidP="004410BF">
      <w:pPr>
        <w:pStyle w:val="FootnoteText"/>
        <w:spacing w:line="240" w:lineRule="auto"/>
        <w:rPr>
          <w:szCs w:val="18"/>
        </w:rPr>
      </w:pPr>
      <w:r w:rsidRPr="00B7613D">
        <w:rPr>
          <w:szCs w:val="18"/>
          <w:lang w:val="fr-CH"/>
        </w:rPr>
        <w:tab/>
      </w:r>
      <w:r w:rsidRPr="00B7613D">
        <w:rPr>
          <w:rStyle w:val="FootnoteReference"/>
          <w:szCs w:val="18"/>
        </w:rPr>
        <w:footnoteRef/>
      </w:r>
      <w:r w:rsidRPr="00B7613D">
        <w:rPr>
          <w:szCs w:val="18"/>
          <w:lang w:val="fr-CH"/>
        </w:rPr>
        <w:tab/>
        <w:t xml:space="preserve">See </w:t>
      </w:r>
      <w:r w:rsidRPr="00A35DC5">
        <w:rPr>
          <w:i/>
          <w:iCs/>
          <w:szCs w:val="18"/>
          <w:lang w:val="fr-CH"/>
        </w:rPr>
        <w:t>Evaluation de la réforme de la sécurité et de la justice au Burundi</w:t>
      </w:r>
      <w:r w:rsidRPr="00B7613D">
        <w:rPr>
          <w:szCs w:val="18"/>
          <w:lang w:val="fr-CH"/>
        </w:rPr>
        <w:t xml:space="preserve">, </w:t>
      </w:r>
      <w:r>
        <w:rPr>
          <w:szCs w:val="18"/>
          <w:lang w:val="fr-CH"/>
        </w:rPr>
        <w:t xml:space="preserve">Rapport final (February 2014), chap. </w:t>
      </w:r>
      <w:r w:rsidRPr="00B7613D">
        <w:rPr>
          <w:szCs w:val="18"/>
          <w:lang w:val="fr-CH"/>
        </w:rPr>
        <w:t>4.4</w:t>
      </w:r>
      <w:r>
        <w:rPr>
          <w:szCs w:val="18"/>
          <w:lang w:val="fr-CH"/>
        </w:rPr>
        <w:t xml:space="preserve">. </w:t>
      </w:r>
      <w:r w:rsidRPr="00A35DC5">
        <w:rPr>
          <w:szCs w:val="18"/>
        </w:rPr>
        <w:t>Available from http://issat.dcaf.ch/content/download/58219/950503/file/</w:t>
      </w:r>
      <w:r>
        <w:rPr>
          <w:szCs w:val="18"/>
        </w:rPr>
        <w:br/>
      </w:r>
      <w:r w:rsidRPr="00A35DC5">
        <w:rPr>
          <w:szCs w:val="18"/>
        </w:rPr>
        <w:t>Evaluation%20Burundi%20-%20Rapport%20Final%20-%2011-02-2014.pdf.</w:t>
      </w:r>
    </w:p>
  </w:footnote>
  <w:footnote w:id="43">
    <w:p w:rsidR="008D6221" w:rsidRPr="002E637C" w:rsidRDefault="008D6221" w:rsidP="00FA1C6F">
      <w:pPr>
        <w:pStyle w:val="FootnoteText"/>
        <w:spacing w:line="240" w:lineRule="auto"/>
        <w:rPr>
          <w:szCs w:val="18"/>
          <w:lang w:val="fr-CH"/>
        </w:rPr>
      </w:pPr>
      <w:r w:rsidRPr="00A35DC5">
        <w:rPr>
          <w:szCs w:val="18"/>
        </w:rPr>
        <w:tab/>
      </w:r>
      <w:r w:rsidRPr="00B7613D">
        <w:rPr>
          <w:rStyle w:val="FootnoteReference"/>
          <w:szCs w:val="18"/>
        </w:rPr>
        <w:footnoteRef/>
      </w:r>
      <w:r w:rsidRPr="002E637C">
        <w:rPr>
          <w:szCs w:val="18"/>
          <w:lang w:val="fr-CH"/>
        </w:rPr>
        <w:tab/>
        <w:t>Ibid, chap. 4.5.</w:t>
      </w:r>
    </w:p>
  </w:footnote>
  <w:footnote w:id="44">
    <w:p w:rsidR="008D6221" w:rsidRPr="00C216B9" w:rsidRDefault="008D6221" w:rsidP="004410BF">
      <w:pPr>
        <w:pStyle w:val="FootnoteText"/>
        <w:spacing w:line="240" w:lineRule="auto"/>
        <w:rPr>
          <w:szCs w:val="18"/>
        </w:rPr>
      </w:pPr>
      <w:r w:rsidRPr="002E637C">
        <w:rPr>
          <w:szCs w:val="18"/>
          <w:lang w:val="fr-CH"/>
        </w:rPr>
        <w:tab/>
      </w:r>
      <w:r w:rsidRPr="00B7613D">
        <w:rPr>
          <w:rStyle w:val="FootnoteReference"/>
          <w:szCs w:val="18"/>
        </w:rPr>
        <w:footnoteRef/>
      </w:r>
      <w:r w:rsidRPr="00A35DC5">
        <w:rPr>
          <w:szCs w:val="18"/>
          <w:lang w:val="fr-CH"/>
        </w:rPr>
        <w:tab/>
        <w:t xml:space="preserve">See </w:t>
      </w:r>
      <w:r w:rsidRPr="00A35DC5">
        <w:rPr>
          <w:i/>
          <w:iCs/>
          <w:szCs w:val="18"/>
          <w:lang w:val="fr-CH"/>
        </w:rPr>
        <w:t>Audit de l’inspection générale de la sécurité publique du Burundi</w:t>
      </w:r>
      <w:r>
        <w:rPr>
          <w:szCs w:val="18"/>
          <w:lang w:val="fr-CH"/>
        </w:rPr>
        <w:t xml:space="preserve">, Rapport final (May 2014). </w:t>
      </w:r>
      <w:r w:rsidRPr="00C216B9">
        <w:rPr>
          <w:szCs w:val="18"/>
        </w:rPr>
        <w:t xml:space="preserve">Available </w:t>
      </w:r>
      <w:r w:rsidRPr="00A35DC5">
        <w:rPr>
          <w:szCs w:val="18"/>
        </w:rPr>
        <w:t>from</w:t>
      </w:r>
      <w:r w:rsidRPr="00C216B9">
        <w:rPr>
          <w:szCs w:val="18"/>
        </w:rPr>
        <w:t xml:space="preserve"> http://issat.dcaf.ch/content/download/60044/984488/file/Audit%20IGSP</w:t>
      </w:r>
      <w:r w:rsidRPr="00A35DC5">
        <w:rPr>
          <w:szCs w:val="18"/>
        </w:rPr>
        <w:br/>
      </w:r>
      <w:r w:rsidRPr="00C216B9">
        <w:rPr>
          <w:szCs w:val="18"/>
        </w:rPr>
        <w:t>%20Burundi%20-%20Rapport%20final%20après%20restitution%20-%2013.05.2014.pdf.</w:t>
      </w:r>
    </w:p>
  </w:footnote>
  <w:footnote w:id="45">
    <w:p w:rsidR="008D6221" w:rsidRPr="002E637C" w:rsidRDefault="008D6221" w:rsidP="008165F8">
      <w:pPr>
        <w:pStyle w:val="FootnoteText"/>
        <w:spacing w:line="240" w:lineRule="auto"/>
        <w:rPr>
          <w:szCs w:val="18"/>
          <w:lang w:val="en-GB"/>
        </w:rPr>
      </w:pPr>
      <w:r w:rsidRPr="000C4C8B">
        <w:rPr>
          <w:szCs w:val="18"/>
        </w:rPr>
        <w:tab/>
      </w:r>
      <w:r w:rsidRPr="00B7613D">
        <w:rPr>
          <w:rStyle w:val="FootnoteReference"/>
          <w:szCs w:val="18"/>
        </w:rPr>
        <w:footnoteRef/>
      </w:r>
      <w:r w:rsidRPr="00B7613D">
        <w:rPr>
          <w:szCs w:val="18"/>
        </w:rPr>
        <w:tab/>
      </w:r>
      <w:r>
        <w:rPr>
          <w:szCs w:val="18"/>
        </w:rPr>
        <w:t xml:space="preserve">See </w:t>
      </w:r>
      <w:r w:rsidRPr="00B7613D">
        <w:rPr>
          <w:szCs w:val="18"/>
        </w:rPr>
        <w:t xml:space="preserve">S/2014/550, </w:t>
      </w:r>
      <w:r w:rsidRPr="00E22C1D">
        <w:rPr>
          <w:szCs w:val="18"/>
        </w:rPr>
        <w:t>para.</w:t>
      </w:r>
      <w:r>
        <w:rPr>
          <w:szCs w:val="18"/>
        </w:rPr>
        <w:t xml:space="preserve"> </w:t>
      </w:r>
      <w:r w:rsidRPr="00B7613D">
        <w:rPr>
          <w:szCs w:val="18"/>
        </w:rPr>
        <w:t>18.</w:t>
      </w:r>
    </w:p>
  </w:footnote>
  <w:footnote w:id="46">
    <w:p w:rsidR="008D6221" w:rsidRPr="00A35DC5" w:rsidRDefault="008D6221" w:rsidP="00D74F74">
      <w:pPr>
        <w:pStyle w:val="FootnoteText"/>
        <w:spacing w:line="240" w:lineRule="auto"/>
        <w:rPr>
          <w:szCs w:val="18"/>
        </w:rPr>
      </w:pPr>
      <w:r w:rsidRPr="002E637C">
        <w:rPr>
          <w:szCs w:val="18"/>
          <w:lang w:val="en-GB"/>
        </w:rPr>
        <w:tab/>
      </w:r>
      <w:r w:rsidRPr="00B7613D">
        <w:rPr>
          <w:rStyle w:val="FootnoteReference"/>
          <w:szCs w:val="18"/>
        </w:rPr>
        <w:footnoteRef/>
      </w:r>
      <w:r w:rsidRPr="00A35DC5">
        <w:rPr>
          <w:szCs w:val="18"/>
        </w:rPr>
        <w:tab/>
      </w:r>
      <w:proofErr w:type="gramStart"/>
      <w:r w:rsidRPr="00A35DC5">
        <w:rPr>
          <w:szCs w:val="18"/>
        </w:rPr>
        <w:t xml:space="preserve">Arusha Agreement, </w:t>
      </w:r>
      <w:r w:rsidRPr="00B7613D">
        <w:rPr>
          <w:szCs w:val="18"/>
        </w:rPr>
        <w:t xml:space="preserve">Protocol III, </w:t>
      </w:r>
      <w:r>
        <w:rPr>
          <w:szCs w:val="18"/>
        </w:rPr>
        <w:t>c</w:t>
      </w:r>
      <w:r w:rsidRPr="00B7613D">
        <w:rPr>
          <w:szCs w:val="18"/>
        </w:rPr>
        <w:t>hap</w:t>
      </w:r>
      <w:r>
        <w:rPr>
          <w:szCs w:val="18"/>
        </w:rPr>
        <w:t>.</w:t>
      </w:r>
      <w:r w:rsidRPr="00B7613D">
        <w:rPr>
          <w:szCs w:val="18"/>
        </w:rPr>
        <w:t xml:space="preserve"> II</w:t>
      </w:r>
      <w:r>
        <w:rPr>
          <w:szCs w:val="18"/>
        </w:rPr>
        <w:t>, art.</w:t>
      </w:r>
      <w:proofErr w:type="gramEnd"/>
      <w:r>
        <w:rPr>
          <w:szCs w:val="18"/>
        </w:rPr>
        <w:t xml:space="preserve"> </w:t>
      </w:r>
      <w:proofErr w:type="gramStart"/>
      <w:r>
        <w:rPr>
          <w:szCs w:val="18"/>
        </w:rPr>
        <w:t>14, paras.</w:t>
      </w:r>
      <w:proofErr w:type="gramEnd"/>
      <w:r>
        <w:rPr>
          <w:szCs w:val="18"/>
        </w:rPr>
        <w:t xml:space="preserve"> </w:t>
      </w:r>
      <w:proofErr w:type="gramStart"/>
      <w:r>
        <w:rPr>
          <w:szCs w:val="18"/>
        </w:rPr>
        <w:t>1 (e) and 2 (d)</w:t>
      </w:r>
      <w:r w:rsidRPr="00B7613D">
        <w:rPr>
          <w:szCs w:val="18"/>
        </w:rPr>
        <w:t>.</w:t>
      </w:r>
      <w:proofErr w:type="gramEnd"/>
    </w:p>
  </w:footnote>
  <w:footnote w:id="47">
    <w:p w:rsidR="008D6221" w:rsidRPr="00A35DC5" w:rsidRDefault="008D6221" w:rsidP="00D74F74">
      <w:pPr>
        <w:pStyle w:val="FootnoteText"/>
        <w:spacing w:line="240" w:lineRule="auto"/>
        <w:rPr>
          <w:szCs w:val="18"/>
        </w:rPr>
      </w:pPr>
      <w:r w:rsidRPr="00A35DC5">
        <w:rPr>
          <w:szCs w:val="18"/>
        </w:rPr>
        <w:tab/>
      </w:r>
      <w:r w:rsidRPr="00B7613D">
        <w:rPr>
          <w:rStyle w:val="FootnoteReference"/>
          <w:szCs w:val="18"/>
        </w:rPr>
        <w:footnoteRef/>
      </w:r>
      <w:r w:rsidRPr="00A35DC5">
        <w:rPr>
          <w:szCs w:val="18"/>
        </w:rPr>
        <w:tab/>
      </w:r>
      <w:proofErr w:type="gramStart"/>
      <w:r w:rsidRPr="00A35DC5">
        <w:rPr>
          <w:szCs w:val="18"/>
        </w:rPr>
        <w:t>Arusha Agreement, Protocol III, art.</w:t>
      </w:r>
      <w:proofErr w:type="gramEnd"/>
      <w:r w:rsidRPr="00A35DC5">
        <w:rPr>
          <w:szCs w:val="18"/>
        </w:rPr>
        <w:t xml:space="preserve"> </w:t>
      </w:r>
      <w:proofErr w:type="gramStart"/>
      <w:r w:rsidRPr="00A35DC5">
        <w:rPr>
          <w:szCs w:val="18"/>
        </w:rPr>
        <w:t>2, para.</w:t>
      </w:r>
      <w:proofErr w:type="gramEnd"/>
      <w:r>
        <w:rPr>
          <w:szCs w:val="18"/>
        </w:rPr>
        <w:t xml:space="preserve"> </w:t>
      </w:r>
      <w:r w:rsidRPr="00A35DC5">
        <w:rPr>
          <w:szCs w:val="18"/>
        </w:rPr>
        <w:t>8.</w:t>
      </w:r>
    </w:p>
  </w:footnote>
  <w:footnote w:id="48">
    <w:p w:rsidR="008D6221" w:rsidRPr="00A35DC5" w:rsidRDefault="008D6221" w:rsidP="00D74F74">
      <w:pPr>
        <w:pStyle w:val="FootnoteText"/>
        <w:spacing w:line="240" w:lineRule="auto"/>
        <w:rPr>
          <w:szCs w:val="18"/>
        </w:rPr>
      </w:pPr>
      <w:r w:rsidRPr="00A35DC5">
        <w:rPr>
          <w:szCs w:val="18"/>
        </w:rPr>
        <w:tab/>
      </w:r>
      <w:r w:rsidRPr="00B7613D">
        <w:rPr>
          <w:rStyle w:val="FootnoteReference"/>
          <w:szCs w:val="18"/>
        </w:rPr>
        <w:footnoteRef/>
      </w:r>
      <w:r w:rsidRPr="00A35DC5">
        <w:rPr>
          <w:szCs w:val="18"/>
        </w:rPr>
        <w:tab/>
      </w:r>
      <w:r>
        <w:rPr>
          <w:szCs w:val="18"/>
        </w:rPr>
        <w:t xml:space="preserve">See </w:t>
      </w:r>
      <w:r w:rsidRPr="00A35DC5">
        <w:rPr>
          <w:szCs w:val="18"/>
        </w:rPr>
        <w:t xml:space="preserve">CAT/C/BDI/CO/2, </w:t>
      </w:r>
      <w:r w:rsidRPr="00871B1D">
        <w:rPr>
          <w:szCs w:val="18"/>
        </w:rPr>
        <w:t>para</w:t>
      </w:r>
      <w:r>
        <w:rPr>
          <w:szCs w:val="18"/>
        </w:rPr>
        <w:t>s</w:t>
      </w:r>
      <w:r w:rsidRPr="00871B1D">
        <w:rPr>
          <w:szCs w:val="18"/>
        </w:rPr>
        <w:t>.</w:t>
      </w:r>
      <w:r>
        <w:rPr>
          <w:szCs w:val="18"/>
        </w:rPr>
        <w:t xml:space="preserve"> </w:t>
      </w:r>
      <w:proofErr w:type="gramStart"/>
      <w:r w:rsidRPr="00A35DC5">
        <w:rPr>
          <w:szCs w:val="18"/>
        </w:rPr>
        <w:t>5 (a) and (b</w:t>
      </w:r>
      <w:r>
        <w:rPr>
          <w:szCs w:val="18"/>
        </w:rPr>
        <w:t>)</w:t>
      </w:r>
      <w:r w:rsidRPr="00A35DC5">
        <w:rPr>
          <w:szCs w:val="18"/>
        </w:rPr>
        <w:t>.</w:t>
      </w:r>
      <w:proofErr w:type="gramEnd"/>
    </w:p>
  </w:footnote>
  <w:footnote w:id="49">
    <w:p w:rsidR="008D6221" w:rsidRPr="00B7613D" w:rsidRDefault="008D6221" w:rsidP="00FA1C6F">
      <w:pPr>
        <w:pStyle w:val="FootnoteText"/>
        <w:rPr>
          <w:szCs w:val="18"/>
        </w:rPr>
      </w:pPr>
      <w:r w:rsidRPr="00A35DC5">
        <w:rPr>
          <w:szCs w:val="18"/>
        </w:rPr>
        <w:tab/>
      </w:r>
      <w:r w:rsidRPr="00B7613D">
        <w:rPr>
          <w:rStyle w:val="FootnoteReference"/>
          <w:szCs w:val="18"/>
        </w:rPr>
        <w:footnoteRef/>
      </w:r>
      <w:r w:rsidRPr="00C94201">
        <w:rPr>
          <w:szCs w:val="18"/>
        </w:rPr>
        <w:tab/>
        <w:t xml:space="preserve">See CCPR/C/BDI/CO/2, para. </w:t>
      </w:r>
      <w:r w:rsidRPr="00B7613D">
        <w:rPr>
          <w:szCs w:val="18"/>
        </w:rPr>
        <w:t>19.</w:t>
      </w:r>
    </w:p>
  </w:footnote>
  <w:footnote w:id="50">
    <w:p w:rsidR="008D6221" w:rsidRPr="00E86863" w:rsidRDefault="008D6221" w:rsidP="00D74F74">
      <w:pPr>
        <w:pStyle w:val="FootnoteText"/>
        <w:spacing w:line="240" w:lineRule="auto"/>
        <w:rPr>
          <w:szCs w:val="18"/>
        </w:rPr>
      </w:pPr>
      <w:r w:rsidRPr="00B7613D">
        <w:rPr>
          <w:szCs w:val="18"/>
        </w:rPr>
        <w:tab/>
      </w:r>
      <w:r w:rsidRPr="00B7613D">
        <w:rPr>
          <w:rStyle w:val="FootnoteReference"/>
          <w:szCs w:val="18"/>
        </w:rPr>
        <w:footnoteRef/>
      </w:r>
      <w:r w:rsidRPr="00B7613D">
        <w:rPr>
          <w:szCs w:val="18"/>
        </w:rPr>
        <w:tab/>
      </w:r>
      <w:r>
        <w:rPr>
          <w:szCs w:val="18"/>
        </w:rPr>
        <w:t xml:space="preserve">Arusha Agreement, </w:t>
      </w:r>
      <w:r w:rsidRPr="00B7613D">
        <w:rPr>
          <w:szCs w:val="18"/>
        </w:rPr>
        <w:t xml:space="preserve">Protocol I, </w:t>
      </w:r>
      <w:r>
        <w:rPr>
          <w:szCs w:val="18"/>
        </w:rPr>
        <w:t>c</w:t>
      </w:r>
      <w:r w:rsidRPr="00B7613D">
        <w:rPr>
          <w:szCs w:val="18"/>
        </w:rPr>
        <w:t>hap</w:t>
      </w:r>
      <w:r>
        <w:rPr>
          <w:szCs w:val="18"/>
        </w:rPr>
        <w:t>.</w:t>
      </w:r>
      <w:r w:rsidRPr="00B7613D">
        <w:rPr>
          <w:szCs w:val="18"/>
        </w:rPr>
        <w:t xml:space="preserve"> </w:t>
      </w:r>
      <w:r w:rsidRPr="00E86863">
        <w:rPr>
          <w:szCs w:val="18"/>
        </w:rPr>
        <w:t>I, art. 3.</w:t>
      </w:r>
    </w:p>
  </w:footnote>
  <w:footnote w:id="51">
    <w:p w:rsidR="008D6221" w:rsidRPr="00E86863" w:rsidRDefault="008D6221" w:rsidP="00495100">
      <w:pPr>
        <w:pStyle w:val="FootnoteText"/>
        <w:spacing w:line="240" w:lineRule="auto"/>
        <w:rPr>
          <w:szCs w:val="18"/>
        </w:rPr>
      </w:pPr>
      <w:r w:rsidRPr="00E86863">
        <w:rPr>
          <w:szCs w:val="18"/>
        </w:rPr>
        <w:tab/>
      </w:r>
      <w:r w:rsidRPr="00B7613D">
        <w:rPr>
          <w:rStyle w:val="FootnoteReference"/>
          <w:szCs w:val="18"/>
        </w:rPr>
        <w:footnoteRef/>
      </w:r>
      <w:r w:rsidRPr="00E86863">
        <w:rPr>
          <w:szCs w:val="18"/>
        </w:rPr>
        <w:tab/>
        <w:t>For example, by the Comité scientifique de réécriture de l’histoire du Burundi and the project “Ecrire l’histoire du Burundi”, with the support of the United Nations Educational, Scientific and Cultural Organization.</w:t>
      </w:r>
    </w:p>
  </w:footnote>
  <w:footnote w:id="52">
    <w:p w:rsidR="008D6221" w:rsidRPr="00B7613D" w:rsidRDefault="008D6221" w:rsidP="000056E5">
      <w:pPr>
        <w:pStyle w:val="FootnoteText"/>
        <w:spacing w:line="240" w:lineRule="auto"/>
        <w:rPr>
          <w:szCs w:val="18"/>
        </w:rPr>
      </w:pPr>
      <w:r w:rsidRPr="00E86863">
        <w:rPr>
          <w:szCs w:val="18"/>
        </w:rPr>
        <w:tab/>
      </w:r>
      <w:r w:rsidRPr="00B7613D">
        <w:rPr>
          <w:rStyle w:val="FootnoteReference"/>
          <w:szCs w:val="18"/>
        </w:rPr>
        <w:footnoteRef/>
      </w:r>
      <w:r w:rsidRPr="00B7613D">
        <w:rPr>
          <w:szCs w:val="18"/>
        </w:rPr>
        <w:tab/>
      </w:r>
      <w:proofErr w:type="gramStart"/>
      <w:r w:rsidRPr="00B7613D">
        <w:rPr>
          <w:szCs w:val="18"/>
        </w:rPr>
        <w:t>U</w:t>
      </w:r>
      <w:r>
        <w:rPr>
          <w:szCs w:val="18"/>
        </w:rPr>
        <w:t xml:space="preserve">nited </w:t>
      </w:r>
      <w:r w:rsidRPr="00B7613D">
        <w:rPr>
          <w:szCs w:val="18"/>
        </w:rPr>
        <w:t>N</w:t>
      </w:r>
      <w:r>
        <w:rPr>
          <w:szCs w:val="18"/>
        </w:rPr>
        <w:t xml:space="preserve">ations </w:t>
      </w:r>
      <w:r w:rsidRPr="00B7613D">
        <w:rPr>
          <w:szCs w:val="18"/>
        </w:rPr>
        <w:t>C</w:t>
      </w:r>
      <w:r>
        <w:rPr>
          <w:szCs w:val="18"/>
        </w:rPr>
        <w:t xml:space="preserve">hildren’s </w:t>
      </w:r>
      <w:r w:rsidRPr="00B7613D">
        <w:rPr>
          <w:szCs w:val="18"/>
        </w:rPr>
        <w:t>F</w:t>
      </w:r>
      <w:r>
        <w:rPr>
          <w:szCs w:val="18"/>
        </w:rPr>
        <w:t>und</w:t>
      </w:r>
      <w:r w:rsidRPr="00B7613D">
        <w:rPr>
          <w:szCs w:val="18"/>
        </w:rPr>
        <w:t xml:space="preserve">, </w:t>
      </w:r>
      <w:r>
        <w:rPr>
          <w:szCs w:val="18"/>
        </w:rPr>
        <w:t>“</w:t>
      </w:r>
      <w:r w:rsidRPr="00B7613D">
        <w:rPr>
          <w:szCs w:val="18"/>
        </w:rPr>
        <w:t xml:space="preserve">The </w:t>
      </w:r>
      <w:r>
        <w:rPr>
          <w:szCs w:val="18"/>
        </w:rPr>
        <w:t>r</w:t>
      </w:r>
      <w:r w:rsidRPr="00B7613D">
        <w:rPr>
          <w:szCs w:val="18"/>
        </w:rPr>
        <w:t xml:space="preserve">ole of </w:t>
      </w:r>
      <w:r>
        <w:rPr>
          <w:szCs w:val="18"/>
        </w:rPr>
        <w:t>e</w:t>
      </w:r>
      <w:r w:rsidRPr="00B7613D">
        <w:rPr>
          <w:szCs w:val="18"/>
        </w:rPr>
        <w:t xml:space="preserve">ducation in </w:t>
      </w:r>
      <w:r>
        <w:rPr>
          <w:szCs w:val="18"/>
        </w:rPr>
        <w:t>p</w:t>
      </w:r>
      <w:r w:rsidRPr="00B7613D">
        <w:rPr>
          <w:szCs w:val="18"/>
        </w:rPr>
        <w:t>eacebuilding in Burundi</w:t>
      </w:r>
      <w:r>
        <w:rPr>
          <w:szCs w:val="18"/>
        </w:rPr>
        <w:t>”</w:t>
      </w:r>
      <w:r w:rsidRPr="00B7613D">
        <w:rPr>
          <w:szCs w:val="18"/>
        </w:rPr>
        <w:t xml:space="preserve">, </w:t>
      </w:r>
      <w:r>
        <w:rPr>
          <w:szCs w:val="18"/>
        </w:rPr>
        <w:t>P</w:t>
      </w:r>
      <w:r w:rsidRPr="00B7613D">
        <w:rPr>
          <w:szCs w:val="18"/>
        </w:rPr>
        <w:t xml:space="preserve">olicy </w:t>
      </w:r>
      <w:r>
        <w:rPr>
          <w:szCs w:val="18"/>
        </w:rPr>
        <w:t>b</w:t>
      </w:r>
      <w:r w:rsidRPr="00B7613D">
        <w:rPr>
          <w:szCs w:val="18"/>
        </w:rPr>
        <w:t>rief</w:t>
      </w:r>
      <w:r w:rsidRPr="0098195C">
        <w:rPr>
          <w:szCs w:val="18"/>
        </w:rPr>
        <w:t>,</w:t>
      </w:r>
      <w:r w:rsidRPr="00B7613D">
        <w:rPr>
          <w:szCs w:val="18"/>
        </w:rPr>
        <w:t xml:space="preserve"> p</w:t>
      </w:r>
      <w:r w:rsidRPr="004C6F16">
        <w:rPr>
          <w:szCs w:val="18"/>
        </w:rPr>
        <w:t>.</w:t>
      </w:r>
      <w:r>
        <w:rPr>
          <w:szCs w:val="18"/>
        </w:rPr>
        <w:t xml:space="preserve"> </w:t>
      </w:r>
      <w:r w:rsidRPr="00B7613D">
        <w:rPr>
          <w:szCs w:val="18"/>
        </w:rPr>
        <w:t>3.</w:t>
      </w:r>
      <w:proofErr w:type="gramEnd"/>
    </w:p>
  </w:footnote>
  <w:footnote w:id="53">
    <w:p w:rsidR="008D6221" w:rsidRPr="00B7613D" w:rsidRDefault="008D6221" w:rsidP="00F872DF">
      <w:pPr>
        <w:pStyle w:val="FootnoteText"/>
        <w:spacing w:line="240" w:lineRule="auto"/>
        <w:rPr>
          <w:szCs w:val="18"/>
        </w:rPr>
      </w:pPr>
      <w:r w:rsidRPr="00B7613D">
        <w:rPr>
          <w:szCs w:val="18"/>
        </w:rPr>
        <w:tab/>
      </w:r>
      <w:r w:rsidRPr="00B7613D">
        <w:rPr>
          <w:rStyle w:val="FootnoteReference"/>
          <w:szCs w:val="18"/>
        </w:rPr>
        <w:footnoteRef/>
      </w:r>
      <w:r w:rsidRPr="00B7613D">
        <w:rPr>
          <w:szCs w:val="18"/>
        </w:rPr>
        <w:tab/>
        <w:t>Ibid.</w:t>
      </w:r>
    </w:p>
  </w:footnote>
  <w:footnote w:id="54">
    <w:p w:rsidR="008D6221" w:rsidRPr="00A35DC5" w:rsidRDefault="008D6221" w:rsidP="001E1638">
      <w:pPr>
        <w:pStyle w:val="FootnoteText"/>
        <w:spacing w:line="240" w:lineRule="auto"/>
        <w:rPr>
          <w:szCs w:val="18"/>
        </w:rPr>
      </w:pPr>
      <w:r w:rsidRPr="00A35DC5">
        <w:rPr>
          <w:szCs w:val="18"/>
        </w:rPr>
        <w:tab/>
      </w:r>
      <w:r w:rsidRPr="00E22C1D">
        <w:rPr>
          <w:rStyle w:val="FootnoteReference"/>
          <w:szCs w:val="18"/>
        </w:rPr>
        <w:footnoteRef/>
      </w:r>
      <w:r w:rsidRPr="00A35DC5">
        <w:rPr>
          <w:szCs w:val="18"/>
        </w:rPr>
        <w:tab/>
      </w:r>
      <w:proofErr w:type="gramStart"/>
      <w:r>
        <w:rPr>
          <w:szCs w:val="18"/>
        </w:rPr>
        <w:t>Arusha Agreement, Protocol I, c</w:t>
      </w:r>
      <w:r w:rsidRPr="00E22C1D">
        <w:rPr>
          <w:szCs w:val="18"/>
        </w:rPr>
        <w:t>hap</w:t>
      </w:r>
      <w:r>
        <w:rPr>
          <w:szCs w:val="18"/>
        </w:rPr>
        <w:t>.</w:t>
      </w:r>
      <w:r w:rsidRPr="00E22C1D">
        <w:rPr>
          <w:szCs w:val="18"/>
        </w:rPr>
        <w:t xml:space="preserve"> II, art.</w:t>
      </w:r>
      <w:proofErr w:type="gramEnd"/>
      <w:r>
        <w:rPr>
          <w:szCs w:val="18"/>
        </w:rPr>
        <w:t xml:space="preserve"> </w:t>
      </w:r>
      <w:proofErr w:type="gramStart"/>
      <w:r w:rsidRPr="00E22C1D">
        <w:rPr>
          <w:szCs w:val="18"/>
        </w:rPr>
        <w:t>6</w:t>
      </w:r>
      <w:r>
        <w:rPr>
          <w:szCs w:val="18"/>
        </w:rPr>
        <w:t>, paras.7 and 8.</w:t>
      </w:r>
      <w:proofErr w:type="gramEnd"/>
      <w:r w:rsidRPr="00E22C1D">
        <w:rPr>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21" w:rsidRPr="00000F08" w:rsidRDefault="008D6221">
    <w:pPr>
      <w:pStyle w:val="Header"/>
    </w:pPr>
    <w:r>
      <w:t>A/HRC/30/42/Add.1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21" w:rsidRPr="00000F08" w:rsidRDefault="008D6221" w:rsidP="00000F08">
    <w:pPr>
      <w:pStyle w:val="Header"/>
      <w:jc w:val="right"/>
    </w:pPr>
    <w:r>
      <w:t>A/HRC/30/42/Add.1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33F"/>
    <w:multiLevelType w:val="hybridMultilevel"/>
    <w:tmpl w:val="55BA200A"/>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6A21540"/>
    <w:multiLevelType w:val="hybridMultilevel"/>
    <w:tmpl w:val="0916EF06"/>
    <w:lvl w:ilvl="0" w:tplc="6FD84A0C">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840399E"/>
    <w:multiLevelType w:val="multilevel"/>
    <w:tmpl w:val="526C6FBC"/>
    <w:styleLink w:val="Dash"/>
    <w:lvl w:ilvl="0">
      <w:start w:val="1"/>
      <w:numFmt w:val="bullet"/>
      <w:lvlText w:val="-"/>
      <w:lvlJc w:val="left"/>
      <w:rPr>
        <w:position w:val="4"/>
        <w:rtl w:val="0"/>
      </w:rPr>
    </w:lvl>
    <w:lvl w:ilv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4">
    <w:nsid w:val="1DC4262A"/>
    <w:multiLevelType w:val="hybridMultilevel"/>
    <w:tmpl w:val="51E2C35E"/>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FFE00FF"/>
    <w:multiLevelType w:val="multilevel"/>
    <w:tmpl w:val="CFA6BB44"/>
    <w:styleLink w:val="List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2628112D"/>
    <w:multiLevelType w:val="hybridMultilevel"/>
    <w:tmpl w:val="9034A45A"/>
    <w:lvl w:ilvl="0" w:tplc="DFC4267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CEB66C1"/>
    <w:multiLevelType w:val="hybridMultilevel"/>
    <w:tmpl w:val="6068F91E"/>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0192F60"/>
    <w:multiLevelType w:val="hybridMultilevel"/>
    <w:tmpl w:val="48CAF1E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AB000ED"/>
    <w:multiLevelType w:val="hybridMultilevel"/>
    <w:tmpl w:val="8D9C2DAC"/>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7AA6FB2"/>
    <w:multiLevelType w:val="hybridMultilevel"/>
    <w:tmpl w:val="B4D8394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5D3455DB"/>
    <w:multiLevelType w:val="hybridMultilevel"/>
    <w:tmpl w:val="3CC0FF1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641169F"/>
    <w:multiLevelType w:val="hybridMultilevel"/>
    <w:tmpl w:val="7A6E4BDC"/>
    <w:lvl w:ilvl="0" w:tplc="BC6E7552">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3"/>
  </w:num>
  <w:num w:numId="4">
    <w:abstractNumId w:val="5"/>
  </w:num>
  <w:num w:numId="5">
    <w:abstractNumId w:val="12"/>
  </w:num>
  <w:num w:numId="6">
    <w:abstractNumId w:val="7"/>
  </w:num>
  <w:num w:numId="7">
    <w:abstractNumId w:val="0"/>
  </w:num>
  <w:num w:numId="8">
    <w:abstractNumId w:val="11"/>
  </w:num>
  <w:num w:numId="9">
    <w:abstractNumId w:val="8"/>
  </w:num>
  <w:num w:numId="10">
    <w:abstractNumId w:val="6"/>
  </w:num>
  <w:num w:numId="11">
    <w:abstractNumId w:val="4"/>
  </w:num>
  <w:num w:numId="12">
    <w:abstractNumId w:val="9"/>
  </w:num>
  <w:num w:numId="13">
    <w:abstractNumId w:val="10"/>
  </w:num>
  <w:num w:numId="1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_tradnl"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F08"/>
    <w:rsid w:val="00000F08"/>
    <w:rsid w:val="00003FFB"/>
    <w:rsid w:val="0000533B"/>
    <w:rsid w:val="000056E5"/>
    <w:rsid w:val="00006396"/>
    <w:rsid w:val="00007F7F"/>
    <w:rsid w:val="00010724"/>
    <w:rsid w:val="00010761"/>
    <w:rsid w:val="00013259"/>
    <w:rsid w:val="000141BD"/>
    <w:rsid w:val="00015352"/>
    <w:rsid w:val="000159EA"/>
    <w:rsid w:val="00015AF4"/>
    <w:rsid w:val="00021714"/>
    <w:rsid w:val="00022DB5"/>
    <w:rsid w:val="00022E24"/>
    <w:rsid w:val="00022E3C"/>
    <w:rsid w:val="00023407"/>
    <w:rsid w:val="00025066"/>
    <w:rsid w:val="00032024"/>
    <w:rsid w:val="000342B4"/>
    <w:rsid w:val="00034527"/>
    <w:rsid w:val="00034BD2"/>
    <w:rsid w:val="0003787F"/>
    <w:rsid w:val="000403D1"/>
    <w:rsid w:val="0004407F"/>
    <w:rsid w:val="000449AA"/>
    <w:rsid w:val="00047F8E"/>
    <w:rsid w:val="00050017"/>
    <w:rsid w:val="000506FE"/>
    <w:rsid w:val="00050F6B"/>
    <w:rsid w:val="00052274"/>
    <w:rsid w:val="00060CF1"/>
    <w:rsid w:val="00064B98"/>
    <w:rsid w:val="00067444"/>
    <w:rsid w:val="00067E8C"/>
    <w:rsid w:val="00072C8C"/>
    <w:rsid w:val="00073E70"/>
    <w:rsid w:val="0007539A"/>
    <w:rsid w:val="00077221"/>
    <w:rsid w:val="00082486"/>
    <w:rsid w:val="0008392C"/>
    <w:rsid w:val="000860CC"/>
    <w:rsid w:val="000876EB"/>
    <w:rsid w:val="0009045D"/>
    <w:rsid w:val="00090732"/>
    <w:rsid w:val="00091419"/>
    <w:rsid w:val="00092D1F"/>
    <w:rsid w:val="00092D90"/>
    <w:rsid w:val="000931C0"/>
    <w:rsid w:val="00096CE5"/>
    <w:rsid w:val="00097DB0"/>
    <w:rsid w:val="000B175B"/>
    <w:rsid w:val="000B2512"/>
    <w:rsid w:val="000B289F"/>
    <w:rsid w:val="000B3A0F"/>
    <w:rsid w:val="000B4A3B"/>
    <w:rsid w:val="000B5EAF"/>
    <w:rsid w:val="000B7769"/>
    <w:rsid w:val="000C06B3"/>
    <w:rsid w:val="000C23A9"/>
    <w:rsid w:val="000C4C8B"/>
    <w:rsid w:val="000D1851"/>
    <w:rsid w:val="000D261D"/>
    <w:rsid w:val="000D65A8"/>
    <w:rsid w:val="000E0415"/>
    <w:rsid w:val="000E2B47"/>
    <w:rsid w:val="000E52FD"/>
    <w:rsid w:val="000E653F"/>
    <w:rsid w:val="000F02E7"/>
    <w:rsid w:val="000F17C0"/>
    <w:rsid w:val="000F21FF"/>
    <w:rsid w:val="000F2428"/>
    <w:rsid w:val="000F2EB0"/>
    <w:rsid w:val="000F4253"/>
    <w:rsid w:val="000F5855"/>
    <w:rsid w:val="000F7B89"/>
    <w:rsid w:val="00101B1B"/>
    <w:rsid w:val="001041FD"/>
    <w:rsid w:val="00107576"/>
    <w:rsid w:val="00113A68"/>
    <w:rsid w:val="001161BD"/>
    <w:rsid w:val="00116FF3"/>
    <w:rsid w:val="001211F5"/>
    <w:rsid w:val="0012190F"/>
    <w:rsid w:val="00125C6C"/>
    <w:rsid w:val="001327A9"/>
    <w:rsid w:val="0013673E"/>
    <w:rsid w:val="0014530F"/>
    <w:rsid w:val="00146D32"/>
    <w:rsid w:val="0014759C"/>
    <w:rsid w:val="001509BA"/>
    <w:rsid w:val="00153B5F"/>
    <w:rsid w:val="001622FF"/>
    <w:rsid w:val="00166075"/>
    <w:rsid w:val="00166F13"/>
    <w:rsid w:val="00174521"/>
    <w:rsid w:val="00174960"/>
    <w:rsid w:val="00176942"/>
    <w:rsid w:val="001814B2"/>
    <w:rsid w:val="00182207"/>
    <w:rsid w:val="0018523C"/>
    <w:rsid w:val="001855CF"/>
    <w:rsid w:val="00185EE6"/>
    <w:rsid w:val="00196187"/>
    <w:rsid w:val="001A28DF"/>
    <w:rsid w:val="001A3C25"/>
    <w:rsid w:val="001A41C7"/>
    <w:rsid w:val="001A66A5"/>
    <w:rsid w:val="001A68A0"/>
    <w:rsid w:val="001A7993"/>
    <w:rsid w:val="001A7E6F"/>
    <w:rsid w:val="001B038C"/>
    <w:rsid w:val="001B09E1"/>
    <w:rsid w:val="001B4B04"/>
    <w:rsid w:val="001C0EEA"/>
    <w:rsid w:val="001C6663"/>
    <w:rsid w:val="001C7895"/>
    <w:rsid w:val="001D02A7"/>
    <w:rsid w:val="001D26DF"/>
    <w:rsid w:val="001D2B3D"/>
    <w:rsid w:val="001D3620"/>
    <w:rsid w:val="001D651C"/>
    <w:rsid w:val="001D6619"/>
    <w:rsid w:val="001E1638"/>
    <w:rsid w:val="001E2790"/>
    <w:rsid w:val="001E73ED"/>
    <w:rsid w:val="001F0F37"/>
    <w:rsid w:val="001F639A"/>
    <w:rsid w:val="001F7C62"/>
    <w:rsid w:val="00200613"/>
    <w:rsid w:val="002007EF"/>
    <w:rsid w:val="00203234"/>
    <w:rsid w:val="0020448E"/>
    <w:rsid w:val="00211AF0"/>
    <w:rsid w:val="00211DD1"/>
    <w:rsid w:val="00211E0B"/>
    <w:rsid w:val="00211E72"/>
    <w:rsid w:val="002133CD"/>
    <w:rsid w:val="00214047"/>
    <w:rsid w:val="002143AC"/>
    <w:rsid w:val="00215D8D"/>
    <w:rsid w:val="00217CA7"/>
    <w:rsid w:val="0022130F"/>
    <w:rsid w:val="00225ECC"/>
    <w:rsid w:val="0023179A"/>
    <w:rsid w:val="0023228F"/>
    <w:rsid w:val="00232536"/>
    <w:rsid w:val="00237355"/>
    <w:rsid w:val="00237785"/>
    <w:rsid w:val="002410DD"/>
    <w:rsid w:val="00241466"/>
    <w:rsid w:val="00245BFA"/>
    <w:rsid w:val="00245F81"/>
    <w:rsid w:val="00251A72"/>
    <w:rsid w:val="00251FD1"/>
    <w:rsid w:val="00253D58"/>
    <w:rsid w:val="00254567"/>
    <w:rsid w:val="00256E00"/>
    <w:rsid w:val="00257A07"/>
    <w:rsid w:val="00260F21"/>
    <w:rsid w:val="00262ED8"/>
    <w:rsid w:val="0026458C"/>
    <w:rsid w:val="00275699"/>
    <w:rsid w:val="0027725F"/>
    <w:rsid w:val="00277284"/>
    <w:rsid w:val="00281142"/>
    <w:rsid w:val="0028281A"/>
    <w:rsid w:val="00284A1A"/>
    <w:rsid w:val="00284F68"/>
    <w:rsid w:val="0028628D"/>
    <w:rsid w:val="00290BD3"/>
    <w:rsid w:val="00293270"/>
    <w:rsid w:val="002A3C55"/>
    <w:rsid w:val="002B0280"/>
    <w:rsid w:val="002B2035"/>
    <w:rsid w:val="002B65E0"/>
    <w:rsid w:val="002B6E7E"/>
    <w:rsid w:val="002C21F0"/>
    <w:rsid w:val="002C35A9"/>
    <w:rsid w:val="002C48E1"/>
    <w:rsid w:val="002D015B"/>
    <w:rsid w:val="002D61AB"/>
    <w:rsid w:val="002E24DE"/>
    <w:rsid w:val="002E637C"/>
    <w:rsid w:val="002E69B9"/>
    <w:rsid w:val="002E6B95"/>
    <w:rsid w:val="002F62BB"/>
    <w:rsid w:val="00301191"/>
    <w:rsid w:val="003012AD"/>
    <w:rsid w:val="003031E3"/>
    <w:rsid w:val="00303CCD"/>
    <w:rsid w:val="003107FA"/>
    <w:rsid w:val="0031098A"/>
    <w:rsid w:val="00317977"/>
    <w:rsid w:val="00317CA7"/>
    <w:rsid w:val="00320180"/>
    <w:rsid w:val="00321A50"/>
    <w:rsid w:val="003229D8"/>
    <w:rsid w:val="00324381"/>
    <w:rsid w:val="003251EA"/>
    <w:rsid w:val="0033019F"/>
    <w:rsid w:val="00331093"/>
    <w:rsid w:val="003314D1"/>
    <w:rsid w:val="00335A2F"/>
    <w:rsid w:val="00341937"/>
    <w:rsid w:val="00345A0C"/>
    <w:rsid w:val="00345CC2"/>
    <w:rsid w:val="003469B1"/>
    <w:rsid w:val="00350278"/>
    <w:rsid w:val="00351CBD"/>
    <w:rsid w:val="00352AE0"/>
    <w:rsid w:val="00353C07"/>
    <w:rsid w:val="00353D79"/>
    <w:rsid w:val="00355F66"/>
    <w:rsid w:val="00356475"/>
    <w:rsid w:val="00360A12"/>
    <w:rsid w:val="00361E7B"/>
    <w:rsid w:val="00363ED4"/>
    <w:rsid w:val="003750EB"/>
    <w:rsid w:val="0037611D"/>
    <w:rsid w:val="003813AD"/>
    <w:rsid w:val="00381D64"/>
    <w:rsid w:val="00382E47"/>
    <w:rsid w:val="0038378B"/>
    <w:rsid w:val="00387794"/>
    <w:rsid w:val="003904CC"/>
    <w:rsid w:val="00391254"/>
    <w:rsid w:val="003914B2"/>
    <w:rsid w:val="00391574"/>
    <w:rsid w:val="0039277A"/>
    <w:rsid w:val="00396177"/>
    <w:rsid w:val="0039663F"/>
    <w:rsid w:val="003970EE"/>
    <w:rsid w:val="003972E0"/>
    <w:rsid w:val="003975ED"/>
    <w:rsid w:val="003A1765"/>
    <w:rsid w:val="003A5A54"/>
    <w:rsid w:val="003A74EF"/>
    <w:rsid w:val="003A75E2"/>
    <w:rsid w:val="003B26E3"/>
    <w:rsid w:val="003B331B"/>
    <w:rsid w:val="003C054A"/>
    <w:rsid w:val="003C2CC4"/>
    <w:rsid w:val="003C3452"/>
    <w:rsid w:val="003D235C"/>
    <w:rsid w:val="003D405B"/>
    <w:rsid w:val="003D4B23"/>
    <w:rsid w:val="003E1C8B"/>
    <w:rsid w:val="003E5A4A"/>
    <w:rsid w:val="003E5B46"/>
    <w:rsid w:val="003E610A"/>
    <w:rsid w:val="003E76FA"/>
    <w:rsid w:val="003F3A7E"/>
    <w:rsid w:val="003F5A0F"/>
    <w:rsid w:val="003F5D78"/>
    <w:rsid w:val="0040150E"/>
    <w:rsid w:val="0040549C"/>
    <w:rsid w:val="0041378B"/>
    <w:rsid w:val="00413D6F"/>
    <w:rsid w:val="004141BA"/>
    <w:rsid w:val="00416B91"/>
    <w:rsid w:val="00424C80"/>
    <w:rsid w:val="0043153A"/>
    <w:rsid w:val="004325CB"/>
    <w:rsid w:val="004341F1"/>
    <w:rsid w:val="00437FDD"/>
    <w:rsid w:val="004410BF"/>
    <w:rsid w:val="00442007"/>
    <w:rsid w:val="004435B6"/>
    <w:rsid w:val="0044503A"/>
    <w:rsid w:val="00446DE4"/>
    <w:rsid w:val="00446FD6"/>
    <w:rsid w:val="00447761"/>
    <w:rsid w:val="00451648"/>
    <w:rsid w:val="00451933"/>
    <w:rsid w:val="00451EC3"/>
    <w:rsid w:val="00453FC2"/>
    <w:rsid w:val="00454554"/>
    <w:rsid w:val="00454B0D"/>
    <w:rsid w:val="00456BC0"/>
    <w:rsid w:val="0046273C"/>
    <w:rsid w:val="0046460C"/>
    <w:rsid w:val="00466A57"/>
    <w:rsid w:val="004721B1"/>
    <w:rsid w:val="004731F7"/>
    <w:rsid w:val="00474EF6"/>
    <w:rsid w:val="004765DA"/>
    <w:rsid w:val="0048203E"/>
    <w:rsid w:val="00484E32"/>
    <w:rsid w:val="004859EC"/>
    <w:rsid w:val="00495100"/>
    <w:rsid w:val="00496A15"/>
    <w:rsid w:val="00497698"/>
    <w:rsid w:val="004A34C7"/>
    <w:rsid w:val="004B5E48"/>
    <w:rsid w:val="004B66E0"/>
    <w:rsid w:val="004B75D2"/>
    <w:rsid w:val="004C2036"/>
    <w:rsid w:val="004C2C5C"/>
    <w:rsid w:val="004C4F45"/>
    <w:rsid w:val="004C6F16"/>
    <w:rsid w:val="004D003C"/>
    <w:rsid w:val="004D0D6E"/>
    <w:rsid w:val="004D1140"/>
    <w:rsid w:val="004D20BF"/>
    <w:rsid w:val="004D4541"/>
    <w:rsid w:val="004E3B12"/>
    <w:rsid w:val="004E5DD5"/>
    <w:rsid w:val="004F490C"/>
    <w:rsid w:val="004F55ED"/>
    <w:rsid w:val="004F5B4E"/>
    <w:rsid w:val="004F730B"/>
    <w:rsid w:val="00502B16"/>
    <w:rsid w:val="00502E26"/>
    <w:rsid w:val="00504D3D"/>
    <w:rsid w:val="005050F0"/>
    <w:rsid w:val="005063DD"/>
    <w:rsid w:val="0052176C"/>
    <w:rsid w:val="0052245F"/>
    <w:rsid w:val="00524B65"/>
    <w:rsid w:val="00525483"/>
    <w:rsid w:val="005261E5"/>
    <w:rsid w:val="005267E9"/>
    <w:rsid w:val="00530681"/>
    <w:rsid w:val="005320E5"/>
    <w:rsid w:val="00537B3B"/>
    <w:rsid w:val="005420F2"/>
    <w:rsid w:val="00542574"/>
    <w:rsid w:val="005436AB"/>
    <w:rsid w:val="00544CFC"/>
    <w:rsid w:val="00546DBF"/>
    <w:rsid w:val="005519C8"/>
    <w:rsid w:val="00553D76"/>
    <w:rsid w:val="005552B5"/>
    <w:rsid w:val="00555E3A"/>
    <w:rsid w:val="00557E20"/>
    <w:rsid w:val="0056117B"/>
    <w:rsid w:val="0056537A"/>
    <w:rsid w:val="00571365"/>
    <w:rsid w:val="005714C3"/>
    <w:rsid w:val="00573545"/>
    <w:rsid w:val="00573832"/>
    <w:rsid w:val="00574E56"/>
    <w:rsid w:val="00581715"/>
    <w:rsid w:val="00581E27"/>
    <w:rsid w:val="00583F48"/>
    <w:rsid w:val="00587902"/>
    <w:rsid w:val="00592B84"/>
    <w:rsid w:val="00593806"/>
    <w:rsid w:val="00594637"/>
    <w:rsid w:val="005956BE"/>
    <w:rsid w:val="005957D1"/>
    <w:rsid w:val="005A0280"/>
    <w:rsid w:val="005A327C"/>
    <w:rsid w:val="005A49DB"/>
    <w:rsid w:val="005B1842"/>
    <w:rsid w:val="005B3DB3"/>
    <w:rsid w:val="005B6E48"/>
    <w:rsid w:val="005B7DEC"/>
    <w:rsid w:val="005C1E07"/>
    <w:rsid w:val="005C4B0B"/>
    <w:rsid w:val="005C6FC1"/>
    <w:rsid w:val="005C7CD7"/>
    <w:rsid w:val="005D014F"/>
    <w:rsid w:val="005D1249"/>
    <w:rsid w:val="005D144D"/>
    <w:rsid w:val="005D6E3D"/>
    <w:rsid w:val="005D7078"/>
    <w:rsid w:val="005E0F39"/>
    <w:rsid w:val="005E1712"/>
    <w:rsid w:val="005E22E3"/>
    <w:rsid w:val="005E4B54"/>
    <w:rsid w:val="005E6C45"/>
    <w:rsid w:val="005F4582"/>
    <w:rsid w:val="005F7E16"/>
    <w:rsid w:val="00600B0D"/>
    <w:rsid w:val="0060104E"/>
    <w:rsid w:val="006012B5"/>
    <w:rsid w:val="00604BD1"/>
    <w:rsid w:val="00610340"/>
    <w:rsid w:val="00611FC4"/>
    <w:rsid w:val="0061321C"/>
    <w:rsid w:val="006169EE"/>
    <w:rsid w:val="006176FB"/>
    <w:rsid w:val="00617E41"/>
    <w:rsid w:val="00624F8D"/>
    <w:rsid w:val="00632FDB"/>
    <w:rsid w:val="006339EE"/>
    <w:rsid w:val="00633C73"/>
    <w:rsid w:val="006352CF"/>
    <w:rsid w:val="0063656C"/>
    <w:rsid w:val="006366FA"/>
    <w:rsid w:val="0063735B"/>
    <w:rsid w:val="00637377"/>
    <w:rsid w:val="00640B26"/>
    <w:rsid w:val="00640DE7"/>
    <w:rsid w:val="006434E3"/>
    <w:rsid w:val="006600E0"/>
    <w:rsid w:val="0066434F"/>
    <w:rsid w:val="006644EE"/>
    <w:rsid w:val="00665853"/>
    <w:rsid w:val="006704D4"/>
    <w:rsid w:val="00670741"/>
    <w:rsid w:val="00675F5F"/>
    <w:rsid w:val="006851CB"/>
    <w:rsid w:val="006859A5"/>
    <w:rsid w:val="00686B36"/>
    <w:rsid w:val="00687559"/>
    <w:rsid w:val="00696460"/>
    <w:rsid w:val="00696BD6"/>
    <w:rsid w:val="00697DD5"/>
    <w:rsid w:val="006A0E4F"/>
    <w:rsid w:val="006A3CA8"/>
    <w:rsid w:val="006A4377"/>
    <w:rsid w:val="006A6B9D"/>
    <w:rsid w:val="006A7392"/>
    <w:rsid w:val="006A744E"/>
    <w:rsid w:val="006A7E44"/>
    <w:rsid w:val="006B232D"/>
    <w:rsid w:val="006B24AD"/>
    <w:rsid w:val="006B3189"/>
    <w:rsid w:val="006B38B8"/>
    <w:rsid w:val="006B434C"/>
    <w:rsid w:val="006B75A8"/>
    <w:rsid w:val="006B7C4B"/>
    <w:rsid w:val="006B7D65"/>
    <w:rsid w:val="006C0C9B"/>
    <w:rsid w:val="006C2635"/>
    <w:rsid w:val="006C2B6E"/>
    <w:rsid w:val="006C30EB"/>
    <w:rsid w:val="006C6DCE"/>
    <w:rsid w:val="006D07DC"/>
    <w:rsid w:val="006D102B"/>
    <w:rsid w:val="006D6DA6"/>
    <w:rsid w:val="006E4536"/>
    <w:rsid w:val="006E4718"/>
    <w:rsid w:val="006E564B"/>
    <w:rsid w:val="006E6438"/>
    <w:rsid w:val="006F0DC4"/>
    <w:rsid w:val="006F13F0"/>
    <w:rsid w:val="006F23E1"/>
    <w:rsid w:val="006F3798"/>
    <w:rsid w:val="006F5035"/>
    <w:rsid w:val="006F694F"/>
    <w:rsid w:val="00705E90"/>
    <w:rsid w:val="007065EB"/>
    <w:rsid w:val="0071344A"/>
    <w:rsid w:val="007135D7"/>
    <w:rsid w:val="00713EB3"/>
    <w:rsid w:val="00716756"/>
    <w:rsid w:val="00720183"/>
    <w:rsid w:val="0072187D"/>
    <w:rsid w:val="007223EA"/>
    <w:rsid w:val="007235CA"/>
    <w:rsid w:val="00724CDB"/>
    <w:rsid w:val="0072632A"/>
    <w:rsid w:val="00730ECE"/>
    <w:rsid w:val="00731E79"/>
    <w:rsid w:val="00734A8A"/>
    <w:rsid w:val="00735ADB"/>
    <w:rsid w:val="00741A27"/>
    <w:rsid w:val="0074200B"/>
    <w:rsid w:val="00743B6D"/>
    <w:rsid w:val="00744AC8"/>
    <w:rsid w:val="0075349B"/>
    <w:rsid w:val="00755A59"/>
    <w:rsid w:val="007570D8"/>
    <w:rsid w:val="00757365"/>
    <w:rsid w:val="007574B8"/>
    <w:rsid w:val="00760DBC"/>
    <w:rsid w:val="00763C4B"/>
    <w:rsid w:val="00766289"/>
    <w:rsid w:val="007703A4"/>
    <w:rsid w:val="00770D23"/>
    <w:rsid w:val="00770DF5"/>
    <w:rsid w:val="007740C7"/>
    <w:rsid w:val="00776BE4"/>
    <w:rsid w:val="007778E1"/>
    <w:rsid w:val="00780B3C"/>
    <w:rsid w:val="00783CD8"/>
    <w:rsid w:val="0078689C"/>
    <w:rsid w:val="00792F5A"/>
    <w:rsid w:val="00794D4F"/>
    <w:rsid w:val="00796941"/>
    <w:rsid w:val="0079747C"/>
    <w:rsid w:val="007A1F8F"/>
    <w:rsid w:val="007A4BDA"/>
    <w:rsid w:val="007A6296"/>
    <w:rsid w:val="007A7087"/>
    <w:rsid w:val="007B09AF"/>
    <w:rsid w:val="007B6BA5"/>
    <w:rsid w:val="007B6BCD"/>
    <w:rsid w:val="007C1B62"/>
    <w:rsid w:val="007C215A"/>
    <w:rsid w:val="007C3390"/>
    <w:rsid w:val="007C4F4B"/>
    <w:rsid w:val="007D1101"/>
    <w:rsid w:val="007D2355"/>
    <w:rsid w:val="007D2CDC"/>
    <w:rsid w:val="007D460E"/>
    <w:rsid w:val="007D5327"/>
    <w:rsid w:val="007E1866"/>
    <w:rsid w:val="007E29D9"/>
    <w:rsid w:val="007E39E8"/>
    <w:rsid w:val="007E7E8F"/>
    <w:rsid w:val="007F0E86"/>
    <w:rsid w:val="007F2D78"/>
    <w:rsid w:val="007F3471"/>
    <w:rsid w:val="007F38C9"/>
    <w:rsid w:val="007F6611"/>
    <w:rsid w:val="00800792"/>
    <w:rsid w:val="00800E6F"/>
    <w:rsid w:val="00801139"/>
    <w:rsid w:val="00801CF7"/>
    <w:rsid w:val="00803A5D"/>
    <w:rsid w:val="00803CFB"/>
    <w:rsid w:val="008137B8"/>
    <w:rsid w:val="00814695"/>
    <w:rsid w:val="00814886"/>
    <w:rsid w:val="008155C3"/>
    <w:rsid w:val="008165F8"/>
    <w:rsid w:val="008175E9"/>
    <w:rsid w:val="0082243E"/>
    <w:rsid w:val="0082395D"/>
    <w:rsid w:val="008242D7"/>
    <w:rsid w:val="00834736"/>
    <w:rsid w:val="008403B3"/>
    <w:rsid w:val="008420C3"/>
    <w:rsid w:val="008552AE"/>
    <w:rsid w:val="00856CD2"/>
    <w:rsid w:val="00857756"/>
    <w:rsid w:val="00861BC6"/>
    <w:rsid w:val="00863B73"/>
    <w:rsid w:val="00866BD8"/>
    <w:rsid w:val="00867411"/>
    <w:rsid w:val="00871B1D"/>
    <w:rsid w:val="00871FC9"/>
    <w:rsid w:val="00871FD5"/>
    <w:rsid w:val="00874743"/>
    <w:rsid w:val="0087651E"/>
    <w:rsid w:val="00876BB4"/>
    <w:rsid w:val="00880190"/>
    <w:rsid w:val="00880A10"/>
    <w:rsid w:val="00884069"/>
    <w:rsid w:val="00891DC4"/>
    <w:rsid w:val="00892388"/>
    <w:rsid w:val="008979B1"/>
    <w:rsid w:val="008A3586"/>
    <w:rsid w:val="008A417C"/>
    <w:rsid w:val="008A43AD"/>
    <w:rsid w:val="008A48AB"/>
    <w:rsid w:val="008A6B25"/>
    <w:rsid w:val="008A6C4F"/>
    <w:rsid w:val="008B71C1"/>
    <w:rsid w:val="008C1E4D"/>
    <w:rsid w:val="008C2261"/>
    <w:rsid w:val="008C4BD9"/>
    <w:rsid w:val="008C7343"/>
    <w:rsid w:val="008D6221"/>
    <w:rsid w:val="008D6257"/>
    <w:rsid w:val="008D772D"/>
    <w:rsid w:val="008E08AE"/>
    <w:rsid w:val="008E0E46"/>
    <w:rsid w:val="008E25E6"/>
    <w:rsid w:val="008E30BF"/>
    <w:rsid w:val="009036CB"/>
    <w:rsid w:val="0090452C"/>
    <w:rsid w:val="00907C3F"/>
    <w:rsid w:val="00907D96"/>
    <w:rsid w:val="00912488"/>
    <w:rsid w:val="00912EC2"/>
    <w:rsid w:val="00915C3F"/>
    <w:rsid w:val="0092237C"/>
    <w:rsid w:val="009249BE"/>
    <w:rsid w:val="00930C09"/>
    <w:rsid w:val="00931CCB"/>
    <w:rsid w:val="00932A26"/>
    <w:rsid w:val="0093707B"/>
    <w:rsid w:val="0093755A"/>
    <w:rsid w:val="00937AF1"/>
    <w:rsid w:val="009400EB"/>
    <w:rsid w:val="00941108"/>
    <w:rsid w:val="009427E3"/>
    <w:rsid w:val="0094388D"/>
    <w:rsid w:val="009439A0"/>
    <w:rsid w:val="009452B3"/>
    <w:rsid w:val="009534AB"/>
    <w:rsid w:val="00953BA0"/>
    <w:rsid w:val="009551DF"/>
    <w:rsid w:val="009552CC"/>
    <w:rsid w:val="00956D43"/>
    <w:rsid w:val="00956D9B"/>
    <w:rsid w:val="00963CBA"/>
    <w:rsid w:val="00964A20"/>
    <w:rsid w:val="009654B7"/>
    <w:rsid w:val="00965A61"/>
    <w:rsid w:val="0097760C"/>
    <w:rsid w:val="0098195C"/>
    <w:rsid w:val="00986576"/>
    <w:rsid w:val="00991261"/>
    <w:rsid w:val="009957A8"/>
    <w:rsid w:val="009A0B83"/>
    <w:rsid w:val="009A3388"/>
    <w:rsid w:val="009B3800"/>
    <w:rsid w:val="009B58D4"/>
    <w:rsid w:val="009C0E1F"/>
    <w:rsid w:val="009C7AEE"/>
    <w:rsid w:val="009D22AC"/>
    <w:rsid w:val="009D50DB"/>
    <w:rsid w:val="009D5A62"/>
    <w:rsid w:val="009D6968"/>
    <w:rsid w:val="009D724F"/>
    <w:rsid w:val="009E1C4E"/>
    <w:rsid w:val="009E25F5"/>
    <w:rsid w:val="009E55F3"/>
    <w:rsid w:val="009F0CD1"/>
    <w:rsid w:val="009F7421"/>
    <w:rsid w:val="00A04E46"/>
    <w:rsid w:val="00A05E0B"/>
    <w:rsid w:val="00A062A0"/>
    <w:rsid w:val="00A06AF4"/>
    <w:rsid w:val="00A11E5E"/>
    <w:rsid w:val="00A1427D"/>
    <w:rsid w:val="00A15137"/>
    <w:rsid w:val="00A16047"/>
    <w:rsid w:val="00A23919"/>
    <w:rsid w:val="00A23ABD"/>
    <w:rsid w:val="00A262D3"/>
    <w:rsid w:val="00A2764A"/>
    <w:rsid w:val="00A35DC5"/>
    <w:rsid w:val="00A41C3E"/>
    <w:rsid w:val="00A43FD8"/>
    <w:rsid w:val="00A4634F"/>
    <w:rsid w:val="00A46938"/>
    <w:rsid w:val="00A46A42"/>
    <w:rsid w:val="00A51CF3"/>
    <w:rsid w:val="00A5304A"/>
    <w:rsid w:val="00A6247F"/>
    <w:rsid w:val="00A639FB"/>
    <w:rsid w:val="00A66177"/>
    <w:rsid w:val="00A72F22"/>
    <w:rsid w:val="00A748A6"/>
    <w:rsid w:val="00A74BCC"/>
    <w:rsid w:val="00A768C4"/>
    <w:rsid w:val="00A777AD"/>
    <w:rsid w:val="00A81189"/>
    <w:rsid w:val="00A8121A"/>
    <w:rsid w:val="00A81938"/>
    <w:rsid w:val="00A819A9"/>
    <w:rsid w:val="00A82BB2"/>
    <w:rsid w:val="00A868F2"/>
    <w:rsid w:val="00A879A4"/>
    <w:rsid w:val="00A87E95"/>
    <w:rsid w:val="00A92E29"/>
    <w:rsid w:val="00AA3D9C"/>
    <w:rsid w:val="00AA74AC"/>
    <w:rsid w:val="00AB1B9A"/>
    <w:rsid w:val="00AB68EA"/>
    <w:rsid w:val="00AC1541"/>
    <w:rsid w:val="00AC3B00"/>
    <w:rsid w:val="00AC588D"/>
    <w:rsid w:val="00AC6893"/>
    <w:rsid w:val="00AC7857"/>
    <w:rsid w:val="00AD09E9"/>
    <w:rsid w:val="00AD190B"/>
    <w:rsid w:val="00AD22D7"/>
    <w:rsid w:val="00AD2B54"/>
    <w:rsid w:val="00AD3D68"/>
    <w:rsid w:val="00AD636E"/>
    <w:rsid w:val="00AE278F"/>
    <w:rsid w:val="00AE3C1F"/>
    <w:rsid w:val="00AE5686"/>
    <w:rsid w:val="00AE718B"/>
    <w:rsid w:val="00AF0576"/>
    <w:rsid w:val="00AF1E87"/>
    <w:rsid w:val="00AF27CA"/>
    <w:rsid w:val="00AF3829"/>
    <w:rsid w:val="00AF3F3F"/>
    <w:rsid w:val="00AF462C"/>
    <w:rsid w:val="00AF6D0D"/>
    <w:rsid w:val="00AF7319"/>
    <w:rsid w:val="00B018CB"/>
    <w:rsid w:val="00B02BB7"/>
    <w:rsid w:val="00B037F0"/>
    <w:rsid w:val="00B04712"/>
    <w:rsid w:val="00B04A14"/>
    <w:rsid w:val="00B15872"/>
    <w:rsid w:val="00B161E0"/>
    <w:rsid w:val="00B17D0F"/>
    <w:rsid w:val="00B17D80"/>
    <w:rsid w:val="00B22B85"/>
    <w:rsid w:val="00B2327D"/>
    <w:rsid w:val="00B2718F"/>
    <w:rsid w:val="00B30179"/>
    <w:rsid w:val="00B32E7F"/>
    <w:rsid w:val="00B3317B"/>
    <w:rsid w:val="00B334DC"/>
    <w:rsid w:val="00B34744"/>
    <w:rsid w:val="00B35256"/>
    <w:rsid w:val="00B35D36"/>
    <w:rsid w:val="00B3631A"/>
    <w:rsid w:val="00B36B32"/>
    <w:rsid w:val="00B47A67"/>
    <w:rsid w:val="00B53013"/>
    <w:rsid w:val="00B56FA6"/>
    <w:rsid w:val="00B57F4B"/>
    <w:rsid w:val="00B600D6"/>
    <w:rsid w:val="00B60A23"/>
    <w:rsid w:val="00B63C5A"/>
    <w:rsid w:val="00B64DDB"/>
    <w:rsid w:val="00B654C3"/>
    <w:rsid w:val="00B661E2"/>
    <w:rsid w:val="00B67F5E"/>
    <w:rsid w:val="00B70A9A"/>
    <w:rsid w:val="00B71CCF"/>
    <w:rsid w:val="00B73E65"/>
    <w:rsid w:val="00B7613D"/>
    <w:rsid w:val="00B80246"/>
    <w:rsid w:val="00B81E12"/>
    <w:rsid w:val="00B87110"/>
    <w:rsid w:val="00B87410"/>
    <w:rsid w:val="00B87C9D"/>
    <w:rsid w:val="00B94358"/>
    <w:rsid w:val="00B97FA8"/>
    <w:rsid w:val="00BA0753"/>
    <w:rsid w:val="00BA51D5"/>
    <w:rsid w:val="00BA680B"/>
    <w:rsid w:val="00BA6F77"/>
    <w:rsid w:val="00BB12E9"/>
    <w:rsid w:val="00BB5F52"/>
    <w:rsid w:val="00BC0308"/>
    <w:rsid w:val="00BC1385"/>
    <w:rsid w:val="00BC42A3"/>
    <w:rsid w:val="00BC6750"/>
    <w:rsid w:val="00BC6C3E"/>
    <w:rsid w:val="00BC74E9"/>
    <w:rsid w:val="00BD13F4"/>
    <w:rsid w:val="00BD2DF7"/>
    <w:rsid w:val="00BD3E64"/>
    <w:rsid w:val="00BD4E85"/>
    <w:rsid w:val="00BD574B"/>
    <w:rsid w:val="00BE0373"/>
    <w:rsid w:val="00BE10E2"/>
    <w:rsid w:val="00BE262B"/>
    <w:rsid w:val="00BE3A95"/>
    <w:rsid w:val="00BE474B"/>
    <w:rsid w:val="00BE618E"/>
    <w:rsid w:val="00BE7896"/>
    <w:rsid w:val="00BF12B0"/>
    <w:rsid w:val="00BF25F9"/>
    <w:rsid w:val="00BF28C5"/>
    <w:rsid w:val="00BF3854"/>
    <w:rsid w:val="00BF4CA3"/>
    <w:rsid w:val="00BF6C7E"/>
    <w:rsid w:val="00C00113"/>
    <w:rsid w:val="00C05FE4"/>
    <w:rsid w:val="00C077B3"/>
    <w:rsid w:val="00C1139A"/>
    <w:rsid w:val="00C118F7"/>
    <w:rsid w:val="00C12D6E"/>
    <w:rsid w:val="00C13295"/>
    <w:rsid w:val="00C14601"/>
    <w:rsid w:val="00C16931"/>
    <w:rsid w:val="00C16A73"/>
    <w:rsid w:val="00C1764D"/>
    <w:rsid w:val="00C216B9"/>
    <w:rsid w:val="00C21F0D"/>
    <w:rsid w:val="00C22854"/>
    <w:rsid w:val="00C23280"/>
    <w:rsid w:val="00C24693"/>
    <w:rsid w:val="00C33956"/>
    <w:rsid w:val="00C33A30"/>
    <w:rsid w:val="00C35201"/>
    <w:rsid w:val="00C35991"/>
    <w:rsid w:val="00C35E56"/>
    <w:rsid w:val="00C35F0B"/>
    <w:rsid w:val="00C361BE"/>
    <w:rsid w:val="00C364E7"/>
    <w:rsid w:val="00C42B85"/>
    <w:rsid w:val="00C4420E"/>
    <w:rsid w:val="00C463DD"/>
    <w:rsid w:val="00C466DF"/>
    <w:rsid w:val="00C524C4"/>
    <w:rsid w:val="00C52878"/>
    <w:rsid w:val="00C61EFB"/>
    <w:rsid w:val="00C62078"/>
    <w:rsid w:val="00C64443"/>
    <w:rsid w:val="00C64458"/>
    <w:rsid w:val="00C67229"/>
    <w:rsid w:val="00C7123B"/>
    <w:rsid w:val="00C71ACD"/>
    <w:rsid w:val="00C745C3"/>
    <w:rsid w:val="00C765DE"/>
    <w:rsid w:val="00C80769"/>
    <w:rsid w:val="00C849B6"/>
    <w:rsid w:val="00C8710B"/>
    <w:rsid w:val="00C92251"/>
    <w:rsid w:val="00C94201"/>
    <w:rsid w:val="00C96275"/>
    <w:rsid w:val="00CA2A58"/>
    <w:rsid w:val="00CA69B2"/>
    <w:rsid w:val="00CA733F"/>
    <w:rsid w:val="00CB003C"/>
    <w:rsid w:val="00CB6A1E"/>
    <w:rsid w:val="00CC0B55"/>
    <w:rsid w:val="00CC2E0E"/>
    <w:rsid w:val="00CC36C4"/>
    <w:rsid w:val="00CC4D45"/>
    <w:rsid w:val="00CC5564"/>
    <w:rsid w:val="00CC66CD"/>
    <w:rsid w:val="00CD10D3"/>
    <w:rsid w:val="00CD3DD6"/>
    <w:rsid w:val="00CD585B"/>
    <w:rsid w:val="00CD6995"/>
    <w:rsid w:val="00CE03DD"/>
    <w:rsid w:val="00CE36DB"/>
    <w:rsid w:val="00CE4A8F"/>
    <w:rsid w:val="00CE514D"/>
    <w:rsid w:val="00CE70AE"/>
    <w:rsid w:val="00CF0214"/>
    <w:rsid w:val="00CF0BE4"/>
    <w:rsid w:val="00CF586F"/>
    <w:rsid w:val="00CF7D43"/>
    <w:rsid w:val="00D0339F"/>
    <w:rsid w:val="00D04463"/>
    <w:rsid w:val="00D1001D"/>
    <w:rsid w:val="00D109BA"/>
    <w:rsid w:val="00D10BB3"/>
    <w:rsid w:val="00D11129"/>
    <w:rsid w:val="00D13AA1"/>
    <w:rsid w:val="00D2031B"/>
    <w:rsid w:val="00D22332"/>
    <w:rsid w:val="00D226FD"/>
    <w:rsid w:val="00D22C79"/>
    <w:rsid w:val="00D25FE2"/>
    <w:rsid w:val="00D263CC"/>
    <w:rsid w:val="00D326EB"/>
    <w:rsid w:val="00D3404B"/>
    <w:rsid w:val="00D34641"/>
    <w:rsid w:val="00D34A91"/>
    <w:rsid w:val="00D43252"/>
    <w:rsid w:val="00D439A2"/>
    <w:rsid w:val="00D4700A"/>
    <w:rsid w:val="00D47B95"/>
    <w:rsid w:val="00D53AB1"/>
    <w:rsid w:val="00D54D5A"/>
    <w:rsid w:val="00D550F9"/>
    <w:rsid w:val="00D562BB"/>
    <w:rsid w:val="00D56DDF"/>
    <w:rsid w:val="00D572B0"/>
    <w:rsid w:val="00D61B83"/>
    <w:rsid w:val="00D62E90"/>
    <w:rsid w:val="00D66EE6"/>
    <w:rsid w:val="00D7101B"/>
    <w:rsid w:val="00D739D9"/>
    <w:rsid w:val="00D74F74"/>
    <w:rsid w:val="00D76BE5"/>
    <w:rsid w:val="00D82BF3"/>
    <w:rsid w:val="00D82DE6"/>
    <w:rsid w:val="00D92430"/>
    <w:rsid w:val="00D946E8"/>
    <w:rsid w:val="00D978C6"/>
    <w:rsid w:val="00D97978"/>
    <w:rsid w:val="00DA268F"/>
    <w:rsid w:val="00DA2998"/>
    <w:rsid w:val="00DA62E9"/>
    <w:rsid w:val="00DA67AD"/>
    <w:rsid w:val="00DB18CE"/>
    <w:rsid w:val="00DC3991"/>
    <w:rsid w:val="00DC4EA1"/>
    <w:rsid w:val="00DC561B"/>
    <w:rsid w:val="00DC5EF3"/>
    <w:rsid w:val="00DC69E4"/>
    <w:rsid w:val="00DC6A6A"/>
    <w:rsid w:val="00DD2DEF"/>
    <w:rsid w:val="00DD651C"/>
    <w:rsid w:val="00DD7140"/>
    <w:rsid w:val="00DD7E04"/>
    <w:rsid w:val="00DE0526"/>
    <w:rsid w:val="00DE0732"/>
    <w:rsid w:val="00DE3EC0"/>
    <w:rsid w:val="00DE474F"/>
    <w:rsid w:val="00DE5038"/>
    <w:rsid w:val="00DE7FD6"/>
    <w:rsid w:val="00DF3368"/>
    <w:rsid w:val="00DF6EBA"/>
    <w:rsid w:val="00E0028E"/>
    <w:rsid w:val="00E0253B"/>
    <w:rsid w:val="00E03623"/>
    <w:rsid w:val="00E037B7"/>
    <w:rsid w:val="00E1078C"/>
    <w:rsid w:val="00E11593"/>
    <w:rsid w:val="00E12B6B"/>
    <w:rsid w:val="00E130AB"/>
    <w:rsid w:val="00E1423E"/>
    <w:rsid w:val="00E1460A"/>
    <w:rsid w:val="00E16B2D"/>
    <w:rsid w:val="00E22C1D"/>
    <w:rsid w:val="00E238D4"/>
    <w:rsid w:val="00E25AAE"/>
    <w:rsid w:val="00E31A63"/>
    <w:rsid w:val="00E3557D"/>
    <w:rsid w:val="00E4200C"/>
    <w:rsid w:val="00E42ED3"/>
    <w:rsid w:val="00E438D9"/>
    <w:rsid w:val="00E4650C"/>
    <w:rsid w:val="00E47CA1"/>
    <w:rsid w:val="00E5644E"/>
    <w:rsid w:val="00E5689A"/>
    <w:rsid w:val="00E60415"/>
    <w:rsid w:val="00E625EF"/>
    <w:rsid w:val="00E635E3"/>
    <w:rsid w:val="00E63A9F"/>
    <w:rsid w:val="00E7260F"/>
    <w:rsid w:val="00E74B3C"/>
    <w:rsid w:val="00E764D8"/>
    <w:rsid w:val="00E772B4"/>
    <w:rsid w:val="00E806EE"/>
    <w:rsid w:val="00E82630"/>
    <w:rsid w:val="00E86863"/>
    <w:rsid w:val="00E869A1"/>
    <w:rsid w:val="00E87351"/>
    <w:rsid w:val="00E904A6"/>
    <w:rsid w:val="00E92F6F"/>
    <w:rsid w:val="00E94EA9"/>
    <w:rsid w:val="00E96630"/>
    <w:rsid w:val="00E96B4D"/>
    <w:rsid w:val="00EA0677"/>
    <w:rsid w:val="00EA5738"/>
    <w:rsid w:val="00EB0FB9"/>
    <w:rsid w:val="00EB2AA8"/>
    <w:rsid w:val="00EC2978"/>
    <w:rsid w:val="00EC2BC5"/>
    <w:rsid w:val="00EC420B"/>
    <w:rsid w:val="00EC588B"/>
    <w:rsid w:val="00ED0CA9"/>
    <w:rsid w:val="00ED281A"/>
    <w:rsid w:val="00ED620B"/>
    <w:rsid w:val="00ED7A2A"/>
    <w:rsid w:val="00ED7F60"/>
    <w:rsid w:val="00EE353A"/>
    <w:rsid w:val="00EF07FB"/>
    <w:rsid w:val="00EF1B1C"/>
    <w:rsid w:val="00EF1D7F"/>
    <w:rsid w:val="00EF344D"/>
    <w:rsid w:val="00EF5BDB"/>
    <w:rsid w:val="00EF7C6E"/>
    <w:rsid w:val="00F0046B"/>
    <w:rsid w:val="00F03C9F"/>
    <w:rsid w:val="00F05A40"/>
    <w:rsid w:val="00F06DFA"/>
    <w:rsid w:val="00F07FD9"/>
    <w:rsid w:val="00F11936"/>
    <w:rsid w:val="00F11D65"/>
    <w:rsid w:val="00F11FA2"/>
    <w:rsid w:val="00F1302D"/>
    <w:rsid w:val="00F15AB0"/>
    <w:rsid w:val="00F1644A"/>
    <w:rsid w:val="00F17D14"/>
    <w:rsid w:val="00F205A2"/>
    <w:rsid w:val="00F228C3"/>
    <w:rsid w:val="00F23933"/>
    <w:rsid w:val="00F24119"/>
    <w:rsid w:val="00F25F50"/>
    <w:rsid w:val="00F2658B"/>
    <w:rsid w:val="00F30873"/>
    <w:rsid w:val="00F319DE"/>
    <w:rsid w:val="00F335CB"/>
    <w:rsid w:val="00F40E75"/>
    <w:rsid w:val="00F42CD9"/>
    <w:rsid w:val="00F46A11"/>
    <w:rsid w:val="00F46EB7"/>
    <w:rsid w:val="00F52936"/>
    <w:rsid w:val="00F52A28"/>
    <w:rsid w:val="00F554C1"/>
    <w:rsid w:val="00F55889"/>
    <w:rsid w:val="00F603C3"/>
    <w:rsid w:val="00F677CB"/>
    <w:rsid w:val="00F67D45"/>
    <w:rsid w:val="00F80C3A"/>
    <w:rsid w:val="00F81621"/>
    <w:rsid w:val="00F81AA1"/>
    <w:rsid w:val="00F8337C"/>
    <w:rsid w:val="00F83B0B"/>
    <w:rsid w:val="00F84A2D"/>
    <w:rsid w:val="00F85B75"/>
    <w:rsid w:val="00F872DF"/>
    <w:rsid w:val="00F934A4"/>
    <w:rsid w:val="00F93B4C"/>
    <w:rsid w:val="00F971F4"/>
    <w:rsid w:val="00F97A98"/>
    <w:rsid w:val="00FA0D09"/>
    <w:rsid w:val="00FA1C6F"/>
    <w:rsid w:val="00FA22BC"/>
    <w:rsid w:val="00FA4620"/>
    <w:rsid w:val="00FA72FE"/>
    <w:rsid w:val="00FA7DF3"/>
    <w:rsid w:val="00FB48DC"/>
    <w:rsid w:val="00FB63DD"/>
    <w:rsid w:val="00FB79CE"/>
    <w:rsid w:val="00FC20BE"/>
    <w:rsid w:val="00FC29E8"/>
    <w:rsid w:val="00FC3324"/>
    <w:rsid w:val="00FC351C"/>
    <w:rsid w:val="00FC374C"/>
    <w:rsid w:val="00FC68B7"/>
    <w:rsid w:val="00FC6F1A"/>
    <w:rsid w:val="00FC7C52"/>
    <w:rsid w:val="00FD1A3C"/>
    <w:rsid w:val="00FD4FFE"/>
    <w:rsid w:val="00FD649C"/>
    <w:rsid w:val="00FD7C12"/>
    <w:rsid w:val="00FE2BCD"/>
    <w:rsid w:val="00FF0EF4"/>
    <w:rsid w:val="00FF1F08"/>
    <w:rsid w:val="00FF3354"/>
    <w:rsid w:val="00FF57B2"/>
    <w:rsid w:val="00FF5BC5"/>
    <w:rsid w:val="00FF5D52"/>
    <w:rsid w:val="00FF6C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FB79CE"/>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FB79C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rsid w:val="00CF0214"/>
  </w:style>
  <w:style w:type="character" w:styleId="PageNumber">
    <w:name w:val="page number"/>
    <w:aliases w:val="7_G"/>
    <w:uiPriority w:val="99"/>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000F08"/>
    <w:rPr>
      <w:rFonts w:eastAsia="SimSun"/>
      <w:sz w:val="18"/>
    </w:rPr>
  </w:style>
  <w:style w:type="character" w:customStyle="1" w:styleId="SingleTxtGChar">
    <w:name w:val="_ Single Txt_G Char"/>
    <w:link w:val="SingleTxtG"/>
    <w:rsid w:val="00000F08"/>
    <w:rPr>
      <w:lang w:eastAsia="en-US"/>
    </w:rPr>
  </w:style>
  <w:style w:type="character" w:customStyle="1" w:styleId="HChGChar">
    <w:name w:val="_ H _Ch_G Char"/>
    <w:link w:val="HChG"/>
    <w:rsid w:val="00000F08"/>
    <w:rPr>
      <w:b/>
      <w:sz w:val="28"/>
      <w:lang w:eastAsia="en-US"/>
    </w:rPr>
  </w:style>
  <w:style w:type="character" w:customStyle="1" w:styleId="Heading2Char">
    <w:name w:val="Heading 2 Char"/>
    <w:link w:val="Heading2"/>
    <w:rsid w:val="0041378B"/>
    <w:rPr>
      <w:lang w:eastAsia="en-US"/>
    </w:rPr>
  </w:style>
  <w:style w:type="character" w:customStyle="1" w:styleId="Heading3Char">
    <w:name w:val="Heading 3 Char"/>
    <w:link w:val="Heading3"/>
    <w:uiPriority w:val="9"/>
    <w:rsid w:val="0041378B"/>
    <w:rPr>
      <w:lang w:eastAsia="en-US"/>
    </w:rPr>
  </w:style>
  <w:style w:type="character" w:customStyle="1" w:styleId="Heading4Char">
    <w:name w:val="Heading 4 Char"/>
    <w:link w:val="Heading4"/>
    <w:uiPriority w:val="9"/>
    <w:rsid w:val="0041378B"/>
    <w:rPr>
      <w:lang w:eastAsia="en-US"/>
    </w:rPr>
  </w:style>
  <w:style w:type="paragraph" w:styleId="NormalWeb">
    <w:name w:val="Normal (Web)"/>
    <w:basedOn w:val="Normal"/>
    <w:uiPriority w:val="99"/>
    <w:rsid w:val="0041378B"/>
    <w:pPr>
      <w:suppressAutoHyphens w:val="0"/>
      <w:spacing w:beforeLines="1" w:afterLines="1" w:line="240" w:lineRule="auto"/>
    </w:pPr>
    <w:rPr>
      <w:rFonts w:ascii="Times" w:eastAsia="Calibri" w:hAnsi="Times"/>
      <w:lang w:val="en-US" w:eastAsia="fr-FR"/>
    </w:rPr>
  </w:style>
  <w:style w:type="paragraph" w:styleId="BalloonText">
    <w:name w:val="Balloon Text"/>
    <w:basedOn w:val="Normal"/>
    <w:link w:val="BalloonTextChar"/>
    <w:uiPriority w:val="99"/>
    <w:rsid w:val="0041378B"/>
    <w:pPr>
      <w:suppressAutoHyphens w:val="0"/>
      <w:spacing w:line="240" w:lineRule="auto"/>
    </w:pPr>
    <w:rPr>
      <w:rFonts w:ascii="Tahoma" w:eastAsia="Calibri" w:hAnsi="Tahoma"/>
      <w:sz w:val="16"/>
      <w:szCs w:val="16"/>
      <w:lang w:val="x-none"/>
    </w:rPr>
  </w:style>
  <w:style w:type="character" w:customStyle="1" w:styleId="BalloonTextChar">
    <w:name w:val="Balloon Text Char"/>
    <w:link w:val="BalloonText"/>
    <w:uiPriority w:val="99"/>
    <w:rsid w:val="0041378B"/>
    <w:rPr>
      <w:rFonts w:ascii="Tahoma" w:eastAsia="Calibri" w:hAnsi="Tahoma"/>
      <w:sz w:val="16"/>
      <w:szCs w:val="16"/>
      <w:lang w:val="x-none" w:eastAsia="en-US"/>
    </w:rPr>
  </w:style>
  <w:style w:type="paragraph" w:customStyle="1" w:styleId="Default">
    <w:name w:val="Default"/>
    <w:rsid w:val="0041378B"/>
    <w:pPr>
      <w:autoSpaceDE w:val="0"/>
      <w:autoSpaceDN w:val="0"/>
      <w:adjustRightInd w:val="0"/>
    </w:pPr>
    <w:rPr>
      <w:rFonts w:eastAsia="Calibri"/>
      <w:color w:val="000000"/>
      <w:sz w:val="24"/>
      <w:szCs w:val="24"/>
    </w:rPr>
  </w:style>
  <w:style w:type="character" w:customStyle="1" w:styleId="HeaderChar">
    <w:name w:val="Header Char"/>
    <w:aliases w:val="6_G Char"/>
    <w:link w:val="Header"/>
    <w:uiPriority w:val="99"/>
    <w:rsid w:val="0041378B"/>
    <w:rPr>
      <w:b/>
      <w:sz w:val="18"/>
      <w:lang w:eastAsia="en-US"/>
    </w:rPr>
  </w:style>
  <w:style w:type="character" w:customStyle="1" w:styleId="FooterChar">
    <w:name w:val="Footer Char"/>
    <w:aliases w:val="3_G Char"/>
    <w:link w:val="Footer"/>
    <w:uiPriority w:val="99"/>
    <w:rsid w:val="0041378B"/>
    <w:rPr>
      <w:sz w:val="16"/>
      <w:lang w:eastAsia="en-US"/>
    </w:rPr>
  </w:style>
  <w:style w:type="character" w:styleId="CommentReference">
    <w:name w:val="annotation reference"/>
    <w:uiPriority w:val="99"/>
    <w:rsid w:val="0041378B"/>
    <w:rPr>
      <w:sz w:val="16"/>
      <w:szCs w:val="16"/>
    </w:rPr>
  </w:style>
  <w:style w:type="paragraph" w:styleId="CommentText">
    <w:name w:val="annotation text"/>
    <w:basedOn w:val="Normal"/>
    <w:link w:val="CommentTextChar"/>
    <w:uiPriority w:val="99"/>
    <w:rsid w:val="0041378B"/>
    <w:pPr>
      <w:suppressAutoHyphens w:val="0"/>
      <w:spacing w:after="200" w:line="276" w:lineRule="auto"/>
    </w:pPr>
    <w:rPr>
      <w:rFonts w:ascii="Calibri" w:eastAsia="Calibri" w:hAnsi="Calibri"/>
    </w:rPr>
  </w:style>
  <w:style w:type="character" w:customStyle="1" w:styleId="CommentTextChar">
    <w:name w:val="Comment Text Char"/>
    <w:link w:val="CommentText"/>
    <w:uiPriority w:val="99"/>
    <w:rsid w:val="0041378B"/>
    <w:rPr>
      <w:rFonts w:ascii="Calibri" w:eastAsia="Calibri" w:hAnsi="Calibri"/>
      <w:lang w:eastAsia="en-US"/>
    </w:rPr>
  </w:style>
  <w:style w:type="paragraph" w:styleId="CommentSubject">
    <w:name w:val="annotation subject"/>
    <w:basedOn w:val="CommentText"/>
    <w:next w:val="CommentText"/>
    <w:link w:val="CommentSubjectChar"/>
    <w:uiPriority w:val="99"/>
    <w:rsid w:val="0041378B"/>
    <w:rPr>
      <w:b/>
      <w:bCs/>
    </w:rPr>
  </w:style>
  <w:style w:type="character" w:customStyle="1" w:styleId="CommentSubjectChar">
    <w:name w:val="Comment Subject Char"/>
    <w:link w:val="CommentSubject"/>
    <w:uiPriority w:val="99"/>
    <w:rsid w:val="0041378B"/>
    <w:rPr>
      <w:rFonts w:ascii="Calibri" w:eastAsia="Calibri" w:hAnsi="Calibri"/>
      <w:b/>
      <w:bCs/>
      <w:lang w:eastAsia="en-US"/>
    </w:rPr>
  </w:style>
  <w:style w:type="paragraph" w:customStyle="1" w:styleId="ColorfulShading-Accent11">
    <w:name w:val="Colorful Shading - Accent 11"/>
    <w:hidden/>
    <w:uiPriority w:val="99"/>
    <w:rsid w:val="0041378B"/>
    <w:rPr>
      <w:rFonts w:ascii="Calibri" w:eastAsia="Calibri" w:hAnsi="Calibri"/>
      <w:sz w:val="22"/>
      <w:szCs w:val="22"/>
      <w:lang w:eastAsia="en-US"/>
    </w:rPr>
  </w:style>
  <w:style w:type="character" w:customStyle="1" w:styleId="EndnoteTextChar">
    <w:name w:val="Endnote Text Char"/>
    <w:aliases w:val="2_G Char"/>
    <w:link w:val="EndnoteText"/>
    <w:rsid w:val="0041378B"/>
    <w:rPr>
      <w:sz w:val="18"/>
      <w:lang w:eastAsia="en-US"/>
    </w:rPr>
  </w:style>
  <w:style w:type="paragraph" w:customStyle="1" w:styleId="ColorfulList-Accent11">
    <w:name w:val="Colorful List - Accent 11"/>
    <w:basedOn w:val="Normal"/>
    <w:uiPriority w:val="34"/>
    <w:qFormat/>
    <w:rsid w:val="0041378B"/>
    <w:pPr>
      <w:suppressAutoHyphens w:val="0"/>
      <w:spacing w:after="200" w:line="276" w:lineRule="auto"/>
      <w:ind w:left="720"/>
      <w:contextualSpacing/>
    </w:pPr>
    <w:rPr>
      <w:rFonts w:ascii="Calibri" w:eastAsia="Calibri" w:hAnsi="Calibri"/>
      <w:sz w:val="22"/>
      <w:szCs w:val="22"/>
    </w:rPr>
  </w:style>
  <w:style w:type="paragraph" w:customStyle="1" w:styleId="Body">
    <w:name w:val="Body"/>
    <w:rsid w:val="000F2428"/>
    <w:pPr>
      <w:pBdr>
        <w:top w:val="nil"/>
        <w:left w:val="nil"/>
        <w:bottom w:val="nil"/>
        <w:right w:val="nil"/>
        <w:between w:val="nil"/>
        <w:bar w:val="nil"/>
      </w:pBdr>
    </w:pPr>
    <w:rPr>
      <w:rFonts w:ascii="Cambria" w:eastAsia="Cambria" w:hAnsi="Cambria" w:cs="Cambria"/>
      <w:color w:val="000000"/>
      <w:sz w:val="24"/>
      <w:szCs w:val="24"/>
      <w:u w:color="000000"/>
      <w:bdr w:val="nil"/>
      <w:lang w:val="en-US" w:eastAsia="en-US"/>
    </w:rPr>
  </w:style>
  <w:style w:type="character" w:customStyle="1" w:styleId="Hyperlink0">
    <w:name w:val="Hyperlink.0"/>
    <w:rsid w:val="000F2428"/>
    <w:rPr>
      <w:color w:val="0000FF"/>
      <w:sz w:val="20"/>
      <w:szCs w:val="20"/>
      <w:u w:val="single" w:color="0000FF"/>
    </w:rPr>
  </w:style>
  <w:style w:type="numbering" w:customStyle="1" w:styleId="Dash">
    <w:name w:val="Dash"/>
    <w:rsid w:val="000F2428"/>
    <w:pPr>
      <w:numPr>
        <w:numId w:val="3"/>
      </w:numPr>
    </w:pPr>
  </w:style>
  <w:style w:type="paragraph" w:customStyle="1" w:styleId="BodyA">
    <w:name w:val="Body A"/>
    <w:rsid w:val="000F2428"/>
    <w:pPr>
      <w:pBdr>
        <w:top w:val="nil"/>
        <w:left w:val="nil"/>
        <w:bottom w:val="nil"/>
        <w:right w:val="nil"/>
        <w:between w:val="nil"/>
        <w:bar w:val="nil"/>
      </w:pBdr>
    </w:pPr>
    <w:rPr>
      <w:rFonts w:ascii="Cambria" w:eastAsia="Cambria" w:hAnsi="Cambria" w:cs="Cambria"/>
      <w:color w:val="000000"/>
      <w:sz w:val="24"/>
      <w:szCs w:val="24"/>
      <w:u w:color="000000"/>
      <w:bdr w:val="nil"/>
      <w:lang w:val="en-US" w:eastAsia="en-US"/>
    </w:rPr>
  </w:style>
  <w:style w:type="numbering" w:customStyle="1" w:styleId="List1">
    <w:name w:val="List 1"/>
    <w:basedOn w:val="NoList"/>
    <w:rsid w:val="000F2428"/>
    <w:pPr>
      <w:numPr>
        <w:numId w:val="4"/>
      </w:numPr>
    </w:pPr>
  </w:style>
  <w:style w:type="character" w:customStyle="1" w:styleId="hps">
    <w:name w:val="hps"/>
    <w:rsid w:val="000F2428"/>
  </w:style>
  <w:style w:type="character" w:customStyle="1" w:styleId="H1GChar">
    <w:name w:val="_ H_1_G Char"/>
    <w:link w:val="H1G"/>
    <w:locked/>
    <w:rsid w:val="0046460C"/>
    <w:rPr>
      <w:b/>
      <w:sz w:val="24"/>
      <w:lang w:eastAsia="en-US"/>
    </w:rPr>
  </w:style>
  <w:style w:type="paragraph" w:styleId="ListParagraph">
    <w:name w:val="List Paragraph"/>
    <w:basedOn w:val="Normal"/>
    <w:qFormat/>
    <w:rsid w:val="0046460C"/>
    <w:pPr>
      <w:suppressAutoHyphens w:val="0"/>
      <w:spacing w:after="200" w:line="276" w:lineRule="auto"/>
      <w:ind w:left="720"/>
      <w:contextualSpacing/>
    </w:pPr>
    <w:rPr>
      <w:rFonts w:ascii="Calibri" w:eastAsia="Calibri" w:hAnsi="Calibri"/>
      <w:sz w:val="22"/>
      <w:szCs w:val="22"/>
    </w:rPr>
  </w:style>
  <w:style w:type="paragraph" w:styleId="Revision">
    <w:name w:val="Revision"/>
    <w:hidden/>
    <w:semiHidden/>
    <w:rsid w:val="0046460C"/>
    <w:rPr>
      <w:rFonts w:ascii="Calibri" w:eastAsia="Calibri" w:hAnsi="Calibri"/>
      <w:sz w:val="22"/>
      <w:szCs w:val="22"/>
      <w:lang w:eastAsia="en-US"/>
    </w:rPr>
  </w:style>
  <w:style w:type="character" w:customStyle="1" w:styleId="apple-converted-space">
    <w:name w:val="apple-converted-space"/>
    <w:rsid w:val="004646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FB79CE"/>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FB79C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rsid w:val="00CF0214"/>
  </w:style>
  <w:style w:type="character" w:styleId="PageNumber">
    <w:name w:val="page number"/>
    <w:aliases w:val="7_G"/>
    <w:uiPriority w:val="99"/>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000F08"/>
    <w:rPr>
      <w:rFonts w:eastAsia="SimSun"/>
      <w:sz w:val="18"/>
    </w:rPr>
  </w:style>
  <w:style w:type="character" w:customStyle="1" w:styleId="SingleTxtGChar">
    <w:name w:val="_ Single Txt_G Char"/>
    <w:link w:val="SingleTxtG"/>
    <w:rsid w:val="00000F08"/>
    <w:rPr>
      <w:lang w:eastAsia="en-US"/>
    </w:rPr>
  </w:style>
  <w:style w:type="character" w:customStyle="1" w:styleId="HChGChar">
    <w:name w:val="_ H _Ch_G Char"/>
    <w:link w:val="HChG"/>
    <w:rsid w:val="00000F08"/>
    <w:rPr>
      <w:b/>
      <w:sz w:val="28"/>
      <w:lang w:eastAsia="en-US"/>
    </w:rPr>
  </w:style>
  <w:style w:type="character" w:customStyle="1" w:styleId="Heading2Char">
    <w:name w:val="Heading 2 Char"/>
    <w:link w:val="Heading2"/>
    <w:rsid w:val="0041378B"/>
    <w:rPr>
      <w:lang w:eastAsia="en-US"/>
    </w:rPr>
  </w:style>
  <w:style w:type="character" w:customStyle="1" w:styleId="Heading3Char">
    <w:name w:val="Heading 3 Char"/>
    <w:link w:val="Heading3"/>
    <w:uiPriority w:val="9"/>
    <w:rsid w:val="0041378B"/>
    <w:rPr>
      <w:lang w:eastAsia="en-US"/>
    </w:rPr>
  </w:style>
  <w:style w:type="character" w:customStyle="1" w:styleId="Heading4Char">
    <w:name w:val="Heading 4 Char"/>
    <w:link w:val="Heading4"/>
    <w:uiPriority w:val="9"/>
    <w:rsid w:val="0041378B"/>
    <w:rPr>
      <w:lang w:eastAsia="en-US"/>
    </w:rPr>
  </w:style>
  <w:style w:type="paragraph" w:styleId="NormalWeb">
    <w:name w:val="Normal (Web)"/>
    <w:basedOn w:val="Normal"/>
    <w:uiPriority w:val="99"/>
    <w:rsid w:val="0041378B"/>
    <w:pPr>
      <w:suppressAutoHyphens w:val="0"/>
      <w:spacing w:beforeLines="1" w:afterLines="1" w:line="240" w:lineRule="auto"/>
    </w:pPr>
    <w:rPr>
      <w:rFonts w:ascii="Times" w:eastAsia="Calibri" w:hAnsi="Times"/>
      <w:lang w:val="en-US" w:eastAsia="fr-FR"/>
    </w:rPr>
  </w:style>
  <w:style w:type="paragraph" w:styleId="BalloonText">
    <w:name w:val="Balloon Text"/>
    <w:basedOn w:val="Normal"/>
    <w:link w:val="BalloonTextChar"/>
    <w:uiPriority w:val="99"/>
    <w:rsid w:val="0041378B"/>
    <w:pPr>
      <w:suppressAutoHyphens w:val="0"/>
      <w:spacing w:line="240" w:lineRule="auto"/>
    </w:pPr>
    <w:rPr>
      <w:rFonts w:ascii="Tahoma" w:eastAsia="Calibri" w:hAnsi="Tahoma"/>
      <w:sz w:val="16"/>
      <w:szCs w:val="16"/>
      <w:lang w:val="x-none"/>
    </w:rPr>
  </w:style>
  <w:style w:type="character" w:customStyle="1" w:styleId="BalloonTextChar">
    <w:name w:val="Balloon Text Char"/>
    <w:link w:val="BalloonText"/>
    <w:uiPriority w:val="99"/>
    <w:rsid w:val="0041378B"/>
    <w:rPr>
      <w:rFonts w:ascii="Tahoma" w:eastAsia="Calibri" w:hAnsi="Tahoma"/>
      <w:sz w:val="16"/>
      <w:szCs w:val="16"/>
      <w:lang w:val="x-none" w:eastAsia="en-US"/>
    </w:rPr>
  </w:style>
  <w:style w:type="paragraph" w:customStyle="1" w:styleId="Default">
    <w:name w:val="Default"/>
    <w:rsid w:val="0041378B"/>
    <w:pPr>
      <w:autoSpaceDE w:val="0"/>
      <w:autoSpaceDN w:val="0"/>
      <w:adjustRightInd w:val="0"/>
    </w:pPr>
    <w:rPr>
      <w:rFonts w:eastAsia="Calibri"/>
      <w:color w:val="000000"/>
      <w:sz w:val="24"/>
      <w:szCs w:val="24"/>
    </w:rPr>
  </w:style>
  <w:style w:type="character" w:customStyle="1" w:styleId="HeaderChar">
    <w:name w:val="Header Char"/>
    <w:aliases w:val="6_G Char"/>
    <w:link w:val="Header"/>
    <w:uiPriority w:val="99"/>
    <w:rsid w:val="0041378B"/>
    <w:rPr>
      <w:b/>
      <w:sz w:val="18"/>
      <w:lang w:eastAsia="en-US"/>
    </w:rPr>
  </w:style>
  <w:style w:type="character" w:customStyle="1" w:styleId="FooterChar">
    <w:name w:val="Footer Char"/>
    <w:aliases w:val="3_G Char"/>
    <w:link w:val="Footer"/>
    <w:uiPriority w:val="99"/>
    <w:rsid w:val="0041378B"/>
    <w:rPr>
      <w:sz w:val="16"/>
      <w:lang w:eastAsia="en-US"/>
    </w:rPr>
  </w:style>
  <w:style w:type="character" w:styleId="CommentReference">
    <w:name w:val="annotation reference"/>
    <w:uiPriority w:val="99"/>
    <w:rsid w:val="0041378B"/>
    <w:rPr>
      <w:sz w:val="16"/>
      <w:szCs w:val="16"/>
    </w:rPr>
  </w:style>
  <w:style w:type="paragraph" w:styleId="CommentText">
    <w:name w:val="annotation text"/>
    <w:basedOn w:val="Normal"/>
    <w:link w:val="CommentTextChar"/>
    <w:uiPriority w:val="99"/>
    <w:rsid w:val="0041378B"/>
    <w:pPr>
      <w:suppressAutoHyphens w:val="0"/>
      <w:spacing w:after="200" w:line="276" w:lineRule="auto"/>
    </w:pPr>
    <w:rPr>
      <w:rFonts w:ascii="Calibri" w:eastAsia="Calibri" w:hAnsi="Calibri"/>
    </w:rPr>
  </w:style>
  <w:style w:type="character" w:customStyle="1" w:styleId="CommentTextChar">
    <w:name w:val="Comment Text Char"/>
    <w:link w:val="CommentText"/>
    <w:uiPriority w:val="99"/>
    <w:rsid w:val="0041378B"/>
    <w:rPr>
      <w:rFonts w:ascii="Calibri" w:eastAsia="Calibri" w:hAnsi="Calibri"/>
      <w:lang w:eastAsia="en-US"/>
    </w:rPr>
  </w:style>
  <w:style w:type="paragraph" w:styleId="CommentSubject">
    <w:name w:val="annotation subject"/>
    <w:basedOn w:val="CommentText"/>
    <w:next w:val="CommentText"/>
    <w:link w:val="CommentSubjectChar"/>
    <w:uiPriority w:val="99"/>
    <w:rsid w:val="0041378B"/>
    <w:rPr>
      <w:b/>
      <w:bCs/>
    </w:rPr>
  </w:style>
  <w:style w:type="character" w:customStyle="1" w:styleId="CommentSubjectChar">
    <w:name w:val="Comment Subject Char"/>
    <w:link w:val="CommentSubject"/>
    <w:uiPriority w:val="99"/>
    <w:rsid w:val="0041378B"/>
    <w:rPr>
      <w:rFonts w:ascii="Calibri" w:eastAsia="Calibri" w:hAnsi="Calibri"/>
      <w:b/>
      <w:bCs/>
      <w:lang w:eastAsia="en-US"/>
    </w:rPr>
  </w:style>
  <w:style w:type="paragraph" w:customStyle="1" w:styleId="ColorfulShading-Accent11">
    <w:name w:val="Colorful Shading - Accent 11"/>
    <w:hidden/>
    <w:uiPriority w:val="99"/>
    <w:rsid w:val="0041378B"/>
    <w:rPr>
      <w:rFonts w:ascii="Calibri" w:eastAsia="Calibri" w:hAnsi="Calibri"/>
      <w:sz w:val="22"/>
      <w:szCs w:val="22"/>
      <w:lang w:eastAsia="en-US"/>
    </w:rPr>
  </w:style>
  <w:style w:type="character" w:customStyle="1" w:styleId="EndnoteTextChar">
    <w:name w:val="Endnote Text Char"/>
    <w:aliases w:val="2_G Char"/>
    <w:link w:val="EndnoteText"/>
    <w:rsid w:val="0041378B"/>
    <w:rPr>
      <w:sz w:val="18"/>
      <w:lang w:eastAsia="en-US"/>
    </w:rPr>
  </w:style>
  <w:style w:type="paragraph" w:customStyle="1" w:styleId="ColorfulList-Accent11">
    <w:name w:val="Colorful List - Accent 11"/>
    <w:basedOn w:val="Normal"/>
    <w:uiPriority w:val="34"/>
    <w:qFormat/>
    <w:rsid w:val="0041378B"/>
    <w:pPr>
      <w:suppressAutoHyphens w:val="0"/>
      <w:spacing w:after="200" w:line="276" w:lineRule="auto"/>
      <w:ind w:left="720"/>
      <w:contextualSpacing/>
    </w:pPr>
    <w:rPr>
      <w:rFonts w:ascii="Calibri" w:eastAsia="Calibri" w:hAnsi="Calibri"/>
      <w:sz w:val="22"/>
      <w:szCs w:val="22"/>
    </w:rPr>
  </w:style>
  <w:style w:type="paragraph" w:customStyle="1" w:styleId="Body">
    <w:name w:val="Body"/>
    <w:rsid w:val="000F2428"/>
    <w:pPr>
      <w:pBdr>
        <w:top w:val="nil"/>
        <w:left w:val="nil"/>
        <w:bottom w:val="nil"/>
        <w:right w:val="nil"/>
        <w:between w:val="nil"/>
        <w:bar w:val="nil"/>
      </w:pBdr>
    </w:pPr>
    <w:rPr>
      <w:rFonts w:ascii="Cambria" w:eastAsia="Cambria" w:hAnsi="Cambria" w:cs="Cambria"/>
      <w:color w:val="000000"/>
      <w:sz w:val="24"/>
      <w:szCs w:val="24"/>
      <w:u w:color="000000"/>
      <w:bdr w:val="nil"/>
      <w:lang w:val="en-US" w:eastAsia="en-US"/>
    </w:rPr>
  </w:style>
  <w:style w:type="character" w:customStyle="1" w:styleId="Hyperlink0">
    <w:name w:val="Hyperlink.0"/>
    <w:rsid w:val="000F2428"/>
    <w:rPr>
      <w:color w:val="0000FF"/>
      <w:sz w:val="20"/>
      <w:szCs w:val="20"/>
      <w:u w:val="single" w:color="0000FF"/>
    </w:rPr>
  </w:style>
  <w:style w:type="numbering" w:customStyle="1" w:styleId="Dash">
    <w:name w:val="Dash"/>
    <w:rsid w:val="000F2428"/>
    <w:pPr>
      <w:numPr>
        <w:numId w:val="3"/>
      </w:numPr>
    </w:pPr>
  </w:style>
  <w:style w:type="paragraph" w:customStyle="1" w:styleId="BodyA">
    <w:name w:val="Body A"/>
    <w:rsid w:val="000F2428"/>
    <w:pPr>
      <w:pBdr>
        <w:top w:val="nil"/>
        <w:left w:val="nil"/>
        <w:bottom w:val="nil"/>
        <w:right w:val="nil"/>
        <w:between w:val="nil"/>
        <w:bar w:val="nil"/>
      </w:pBdr>
    </w:pPr>
    <w:rPr>
      <w:rFonts w:ascii="Cambria" w:eastAsia="Cambria" w:hAnsi="Cambria" w:cs="Cambria"/>
      <w:color w:val="000000"/>
      <w:sz w:val="24"/>
      <w:szCs w:val="24"/>
      <w:u w:color="000000"/>
      <w:bdr w:val="nil"/>
      <w:lang w:val="en-US" w:eastAsia="en-US"/>
    </w:rPr>
  </w:style>
  <w:style w:type="numbering" w:customStyle="1" w:styleId="List1">
    <w:name w:val="List 1"/>
    <w:basedOn w:val="NoList"/>
    <w:rsid w:val="000F2428"/>
    <w:pPr>
      <w:numPr>
        <w:numId w:val="4"/>
      </w:numPr>
    </w:pPr>
  </w:style>
  <w:style w:type="character" w:customStyle="1" w:styleId="hps">
    <w:name w:val="hps"/>
    <w:rsid w:val="000F2428"/>
  </w:style>
  <w:style w:type="character" w:customStyle="1" w:styleId="H1GChar">
    <w:name w:val="_ H_1_G Char"/>
    <w:link w:val="H1G"/>
    <w:locked/>
    <w:rsid w:val="0046460C"/>
    <w:rPr>
      <w:b/>
      <w:sz w:val="24"/>
      <w:lang w:eastAsia="en-US"/>
    </w:rPr>
  </w:style>
  <w:style w:type="paragraph" w:styleId="ListParagraph">
    <w:name w:val="List Paragraph"/>
    <w:basedOn w:val="Normal"/>
    <w:qFormat/>
    <w:rsid w:val="0046460C"/>
    <w:pPr>
      <w:suppressAutoHyphens w:val="0"/>
      <w:spacing w:after="200" w:line="276" w:lineRule="auto"/>
      <w:ind w:left="720"/>
      <w:contextualSpacing/>
    </w:pPr>
    <w:rPr>
      <w:rFonts w:ascii="Calibri" w:eastAsia="Calibri" w:hAnsi="Calibri"/>
      <w:sz w:val="22"/>
      <w:szCs w:val="22"/>
    </w:rPr>
  </w:style>
  <w:style w:type="paragraph" w:styleId="Revision">
    <w:name w:val="Revision"/>
    <w:hidden/>
    <w:semiHidden/>
    <w:rsid w:val="0046460C"/>
    <w:rPr>
      <w:rFonts w:ascii="Calibri" w:eastAsia="Calibri" w:hAnsi="Calibri"/>
      <w:sz w:val="22"/>
      <w:szCs w:val="22"/>
      <w:lang w:eastAsia="en-US"/>
    </w:rPr>
  </w:style>
  <w:style w:type="character" w:customStyle="1" w:styleId="apple-converted-space">
    <w:name w:val="apple-converted-space"/>
    <w:rsid w:val="00464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17607">
      <w:bodyDiv w:val="1"/>
      <w:marLeft w:val="0"/>
      <w:marRight w:val="0"/>
      <w:marTop w:val="0"/>
      <w:marBottom w:val="0"/>
      <w:divBdr>
        <w:top w:val="none" w:sz="0" w:space="0" w:color="auto"/>
        <w:left w:val="none" w:sz="0" w:space="0" w:color="auto"/>
        <w:bottom w:val="none" w:sz="0" w:space="0" w:color="auto"/>
        <w:right w:val="none" w:sz="0" w:space="0" w:color="auto"/>
      </w:divBdr>
      <w:divsChild>
        <w:div w:id="402873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6554884">
      <w:bodyDiv w:val="1"/>
      <w:marLeft w:val="0"/>
      <w:marRight w:val="0"/>
      <w:marTop w:val="0"/>
      <w:marBottom w:val="0"/>
      <w:divBdr>
        <w:top w:val="none" w:sz="0" w:space="0" w:color="auto"/>
        <w:left w:val="none" w:sz="0" w:space="0" w:color="auto"/>
        <w:bottom w:val="none" w:sz="0" w:space="0" w:color="auto"/>
        <w:right w:val="none" w:sz="0" w:space="0" w:color="auto"/>
      </w:divBdr>
    </w:div>
    <w:div w:id="125339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NewsEvents/Pages/Displa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5BE9A-36B2-40CD-9ED7-FA9E1B25A4A6}"/>
</file>

<file path=customXml/itemProps2.xml><?xml version="1.0" encoding="utf-8"?>
<ds:datastoreItem xmlns:ds="http://schemas.openxmlformats.org/officeDocument/2006/customXml" ds:itemID="{E5DDA92B-C6E2-4839-BE3A-F4AE556E5CAE}"/>
</file>

<file path=customXml/itemProps3.xml><?xml version="1.0" encoding="utf-8"?>
<ds:datastoreItem xmlns:ds="http://schemas.openxmlformats.org/officeDocument/2006/customXml" ds:itemID="{A187634C-7138-4892-B5AC-BF47FF8428E2}"/>
</file>

<file path=customXml/itemProps4.xml><?xml version="1.0" encoding="utf-8"?>
<ds:datastoreItem xmlns:ds="http://schemas.openxmlformats.org/officeDocument/2006/customXml" ds:itemID="{DEC9FC15-F626-40D1-A980-0174FF5CD640}"/>
</file>

<file path=docProps/app.xml><?xml version="1.0" encoding="utf-8"?>
<Properties xmlns="http://schemas.openxmlformats.org/officeDocument/2006/extended-properties" xmlns:vt="http://schemas.openxmlformats.org/officeDocument/2006/docPropsVTypes">
  <Template>A_E</Template>
  <TotalTime>0</TotalTime>
  <Pages>24</Pages>
  <Words>10706</Words>
  <Characters>61025</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71588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promotion of truth, justice, reparation and guarantees of non-recurrence, Pablo De Greiff, Addendum - Mission to Burundi in English</dc:title>
  <dc:creator>Paloma Diego-Fernandez</dc:creator>
  <cp:lastModifiedBy>Valeriano De Castro</cp:lastModifiedBy>
  <cp:revision>2</cp:revision>
  <cp:lastPrinted>2015-08-24T06:28:00Z</cp:lastPrinted>
  <dcterms:created xsi:type="dcterms:W3CDTF">2015-09-08T16:09:00Z</dcterms:created>
  <dcterms:modified xsi:type="dcterms:W3CDTF">2015-09-08T16:09:00Z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32500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