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43" w:rsidRDefault="00EF4343" w:rsidP="00EF4343">
      <w:pPr>
        <w:spacing w:line="60" w:lineRule="exact"/>
        <w:rPr>
          <w:rStyle w:val="EndnoteReference"/>
          <w:color w:val="auto"/>
          <w:w w:val="100"/>
          <w:sz w:val="6"/>
          <w:vertAlign w:val="baseline"/>
        </w:rPr>
        <w:sectPr w:rsidR="00EF4343" w:rsidSect="00EF4343">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B31E9D" w:rsidRDefault="00B31E9D" w:rsidP="00EF4343">
      <w:pPr>
        <w:spacing w:line="60" w:lineRule="exact"/>
        <w:rPr>
          <w:sz w:val="6"/>
        </w:rPr>
      </w:pPr>
    </w:p>
    <w:p w:rsidR="00EF4343" w:rsidRDefault="008151D2" w:rsidP="00EF4343">
      <w:pPr>
        <w:pStyle w:val="H1"/>
      </w:pPr>
      <w:r>
        <w:rPr>
          <w:rFonts w:hint="eastAsia"/>
        </w:rPr>
        <w:t>人权理事会</w:t>
      </w:r>
    </w:p>
    <w:p w:rsidR="008151D2" w:rsidRDefault="008151D2" w:rsidP="008151D2">
      <w:pPr>
        <w:rPr>
          <w:rFonts w:ascii="SimHei" w:eastAsia="SimHei" w:hAnsi="SimHei"/>
        </w:rPr>
      </w:pPr>
      <w:r w:rsidRPr="008151D2">
        <w:rPr>
          <w:rFonts w:ascii="SimHei" w:eastAsia="SimHei" w:hAnsi="SimHei" w:hint="eastAsia"/>
        </w:rPr>
        <w:t>第三十一届会议</w:t>
      </w:r>
    </w:p>
    <w:p w:rsidR="008151D2" w:rsidRDefault="008151D2" w:rsidP="008151D2">
      <w:r>
        <w:rPr>
          <w:rFonts w:hint="eastAsia"/>
        </w:rPr>
        <w:t>议程项目</w:t>
      </w:r>
      <w:r>
        <w:rPr>
          <w:rFonts w:hint="eastAsia"/>
        </w:rPr>
        <w:t>2</w:t>
      </w:r>
      <w:r>
        <w:rPr>
          <w:rFonts w:hint="eastAsia"/>
        </w:rPr>
        <w:t>和</w:t>
      </w:r>
      <w:r>
        <w:rPr>
          <w:rFonts w:hint="eastAsia"/>
        </w:rPr>
        <w:t>7</w:t>
      </w:r>
    </w:p>
    <w:p w:rsidR="008151D2" w:rsidRDefault="008151D2" w:rsidP="008151D2">
      <w:pPr>
        <w:spacing w:after="120"/>
        <w:rPr>
          <w:rFonts w:ascii="SimHei" w:eastAsia="SimHei" w:hAnsi="SimHei"/>
        </w:rPr>
      </w:pPr>
      <w:r w:rsidRPr="008151D2">
        <w:rPr>
          <w:rFonts w:ascii="SimHei" w:eastAsia="SimHei" w:hAnsi="SimHei" w:hint="eastAsia"/>
        </w:rPr>
        <w:t>联合国人权事务高级专员的年度报告</w:t>
      </w:r>
      <w:r>
        <w:rPr>
          <w:rFonts w:ascii="SimHei" w:eastAsia="SimHei" w:hAnsi="SimHei"/>
        </w:rPr>
        <w:br/>
      </w:r>
      <w:r w:rsidRPr="008151D2">
        <w:rPr>
          <w:rFonts w:ascii="SimHei" w:eastAsia="SimHei" w:hAnsi="SimHei" w:hint="eastAsia"/>
        </w:rPr>
        <w:t>以及高级专员办事处和秘书长的报告</w:t>
      </w:r>
    </w:p>
    <w:p w:rsidR="000364C7" w:rsidRPr="009415CD" w:rsidRDefault="008151D2" w:rsidP="009415CD">
      <w:pPr>
        <w:rPr>
          <w:rFonts w:ascii="SimHei" w:eastAsia="SimHei" w:hAnsi="SimHei"/>
        </w:rPr>
      </w:pPr>
      <w:r w:rsidRPr="008151D2">
        <w:rPr>
          <w:rFonts w:ascii="SimHei" w:eastAsia="SimHei" w:hAnsi="SimHei" w:hint="eastAsia"/>
        </w:rPr>
        <w:t>包括东耶路撒冷在内的巴勒斯坦被占领土的人权状况</w:t>
      </w:r>
    </w:p>
    <w:p w:rsidR="000364C7" w:rsidRDefault="000364C7" w:rsidP="000364C7">
      <w:pPr>
        <w:pStyle w:val="SingleTxt"/>
      </w:pPr>
    </w:p>
    <w:p w:rsidR="000364C7" w:rsidRDefault="008151D2" w:rsidP="008151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Pr>
          <w:rFonts w:hint="eastAsia"/>
        </w:rPr>
        <w:t>包括东耶路撒冷在内的巴勒斯坦被占领土的人权状况</w:t>
      </w:r>
    </w:p>
    <w:p w:rsidR="000364C7" w:rsidRPr="009415CD" w:rsidRDefault="000364C7"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8151D2" w:rsidP="008151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Pr>
          <w:rFonts w:hint="eastAsia"/>
        </w:rPr>
        <w:t>秘书长的报告</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tbl>
      <w:tblPr>
        <w:tblW w:w="0" w:type="auto"/>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CD746F" w:rsidTr="009415CD">
        <w:trPr>
          <w:jc w:val="center"/>
        </w:trPr>
        <w:tc>
          <w:tcPr>
            <w:tcW w:w="9850" w:type="dxa"/>
            <w:tcBorders>
              <w:top w:val="single" w:sz="2" w:space="0" w:color="auto"/>
            </w:tcBorders>
            <w:shd w:val="clear" w:color="auto" w:fill="auto"/>
          </w:tcPr>
          <w:p w:rsidR="00CD746F" w:rsidRPr="00CD746F" w:rsidRDefault="00CD746F" w:rsidP="00CD746F">
            <w:pPr>
              <w:tabs>
                <w:tab w:val="left" w:pos="240"/>
              </w:tabs>
              <w:spacing w:before="240" w:after="120"/>
              <w:rPr>
                <w:rFonts w:eastAsia="楷体"/>
                <w:sz w:val="24"/>
              </w:rPr>
            </w:pPr>
            <w:r>
              <w:rPr>
                <w:rFonts w:eastAsia="楷体" w:hint="eastAsia"/>
                <w:sz w:val="24"/>
              </w:rPr>
              <w:tab/>
            </w:r>
            <w:r w:rsidRPr="00CD746F">
              <w:rPr>
                <w:rFonts w:eastAsia="楷体" w:hint="eastAsia"/>
                <w:sz w:val="24"/>
              </w:rPr>
              <w:t>概</w:t>
            </w:r>
            <w:r>
              <w:rPr>
                <w:rFonts w:eastAsia="楷体" w:hint="eastAsia"/>
                <w:sz w:val="24"/>
              </w:rPr>
              <w:t>要</w:t>
            </w:r>
          </w:p>
        </w:tc>
      </w:tr>
      <w:tr w:rsidR="00CD746F" w:rsidTr="009415CD">
        <w:trPr>
          <w:jc w:val="center"/>
        </w:trPr>
        <w:tc>
          <w:tcPr>
            <w:tcW w:w="9850" w:type="dxa"/>
            <w:shd w:val="clear" w:color="auto" w:fill="auto"/>
          </w:tcPr>
          <w:p w:rsidR="00CD746F" w:rsidRPr="00CD746F" w:rsidRDefault="00CD746F" w:rsidP="00CD746F">
            <w:pPr>
              <w:pStyle w:val="SingleTxt"/>
            </w:pPr>
            <w:r>
              <w:tab/>
            </w:r>
            <w:r w:rsidRPr="00CD746F">
              <w:rPr>
                <w:rFonts w:hint="eastAsia"/>
              </w:rPr>
              <w:t>本报告是根据人权理事会第</w:t>
            </w:r>
            <w:r w:rsidRPr="00CD746F">
              <w:rPr>
                <w:rFonts w:hint="eastAsia"/>
              </w:rPr>
              <w:t>28/27</w:t>
            </w:r>
            <w:r w:rsidRPr="00CD746F">
              <w:rPr>
                <w:rFonts w:hint="eastAsia"/>
              </w:rPr>
              <w:t>号决议“包括东耶路撒冷在内的巴勒斯坦被占领土的人权状况”提交的。报告通过分析占领和相关措施对行动自由的限制来说明人权状况，并探讨这些限制对巴勒斯坦人享有经济、社会和文化权利的影响。</w:t>
            </w:r>
          </w:p>
        </w:tc>
      </w:tr>
      <w:tr w:rsidR="00CD746F" w:rsidTr="009415CD">
        <w:trPr>
          <w:jc w:val="center"/>
        </w:trPr>
        <w:tc>
          <w:tcPr>
            <w:tcW w:w="9850" w:type="dxa"/>
            <w:tcBorders>
              <w:bottom w:val="single" w:sz="2" w:space="0" w:color="auto"/>
            </w:tcBorders>
            <w:shd w:val="clear" w:color="auto" w:fill="auto"/>
          </w:tcPr>
          <w:p w:rsidR="00CD746F" w:rsidRPr="00CD746F" w:rsidRDefault="00CD746F" w:rsidP="00CD746F">
            <w:pPr>
              <w:pStyle w:val="SingleTxt"/>
              <w:spacing w:after="0" w:line="120" w:lineRule="exact"/>
            </w:pPr>
          </w:p>
        </w:tc>
      </w:tr>
    </w:tbl>
    <w:p w:rsidR="008151D2" w:rsidRDefault="008151D2" w:rsidP="000364C7">
      <w:pPr>
        <w:pStyle w:val="SingleTxt"/>
      </w:pPr>
    </w:p>
    <w:p w:rsidR="00EF4343" w:rsidRDefault="00EF4343" w:rsidP="000364C7">
      <w:pPr>
        <w:pStyle w:val="SingleTxt"/>
      </w:pPr>
    </w:p>
    <w:p w:rsidR="000364C7" w:rsidRDefault="000364C7" w:rsidP="000364C7">
      <w:pPr>
        <w:pStyle w:val="SingleTxt"/>
      </w:pPr>
      <w:r>
        <w:br w:type="page"/>
      </w:r>
    </w:p>
    <w:p w:rsidR="00CD746F" w:rsidRPr="009415CD" w:rsidRDefault="00CD746F"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CD746F" w:rsidP="00CD746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0364C7" w:rsidRPr="000364C7">
        <w:rPr>
          <w:rFonts w:hint="eastAsia"/>
        </w:rPr>
        <w:t>一</w:t>
      </w:r>
      <w:r w:rsidR="000364C7" w:rsidRPr="000364C7">
        <w:t>.</w:t>
      </w:r>
      <w:r>
        <w:tab/>
      </w:r>
      <w:r w:rsidR="000364C7" w:rsidRPr="000364C7">
        <w:rPr>
          <w:rFonts w:hint="eastAsia"/>
        </w:rPr>
        <w:t>导言</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0364C7" w:rsidP="009415CD">
      <w:pPr>
        <w:pStyle w:val="SingleTxt"/>
        <w:overflowPunct w:val="0"/>
      </w:pPr>
      <w:r w:rsidRPr="000364C7">
        <w:rPr>
          <w:rFonts w:hint="eastAsia"/>
        </w:rPr>
        <w:t>1.</w:t>
      </w:r>
      <w:r w:rsidR="00CD746F">
        <w:tab/>
      </w:r>
      <w:r w:rsidRPr="000364C7">
        <w:rPr>
          <w:rFonts w:hint="eastAsia"/>
        </w:rPr>
        <w:t>本报告涵盖时间是</w:t>
      </w:r>
      <w:r w:rsidRPr="000364C7">
        <w:rPr>
          <w:rFonts w:hint="eastAsia"/>
        </w:rPr>
        <w:t>2014</w:t>
      </w:r>
      <w:r w:rsidRPr="000364C7">
        <w:rPr>
          <w:rFonts w:hint="eastAsia"/>
        </w:rPr>
        <w:t>年</w:t>
      </w:r>
      <w:r w:rsidRPr="000364C7">
        <w:rPr>
          <w:rFonts w:hint="eastAsia"/>
        </w:rPr>
        <w:t>11</w:t>
      </w:r>
      <w:r w:rsidRPr="000364C7">
        <w:rPr>
          <w:rFonts w:hint="eastAsia"/>
        </w:rPr>
        <w:t>月</w:t>
      </w:r>
      <w:r w:rsidRPr="000364C7">
        <w:rPr>
          <w:rFonts w:hint="eastAsia"/>
        </w:rPr>
        <w:t>1</w:t>
      </w:r>
      <w:r w:rsidRPr="000364C7">
        <w:rPr>
          <w:rFonts w:hint="eastAsia"/>
        </w:rPr>
        <w:t>日至</w:t>
      </w:r>
      <w:r w:rsidRPr="000364C7">
        <w:rPr>
          <w:rFonts w:hint="eastAsia"/>
        </w:rPr>
        <w:t>2015</w:t>
      </w:r>
      <w:r w:rsidRPr="000364C7">
        <w:rPr>
          <w:rFonts w:hint="eastAsia"/>
        </w:rPr>
        <w:t>年</w:t>
      </w:r>
      <w:r w:rsidRPr="000364C7">
        <w:rPr>
          <w:rFonts w:hint="eastAsia"/>
        </w:rPr>
        <w:t>10</w:t>
      </w:r>
      <w:r w:rsidRPr="000364C7">
        <w:rPr>
          <w:rFonts w:hint="eastAsia"/>
        </w:rPr>
        <w:t>月</w:t>
      </w:r>
      <w:r w:rsidRPr="000364C7">
        <w:rPr>
          <w:rFonts w:hint="eastAsia"/>
        </w:rPr>
        <w:t>31</w:t>
      </w:r>
      <w:r w:rsidRPr="000364C7">
        <w:rPr>
          <w:rFonts w:hint="eastAsia"/>
        </w:rPr>
        <w:t>日。报告评估了人权理事会第</w:t>
      </w:r>
      <w:r w:rsidRPr="000364C7">
        <w:rPr>
          <w:rFonts w:hint="eastAsia"/>
        </w:rPr>
        <w:t>28/27</w:t>
      </w:r>
      <w:r w:rsidRPr="000364C7">
        <w:rPr>
          <w:rFonts w:hint="eastAsia"/>
        </w:rPr>
        <w:t>号决议的执行情况。报告中的资料来自于联合国人权事务高级专员办事处</w:t>
      </w:r>
      <w:r>
        <w:rPr>
          <w:rFonts w:hint="eastAsia"/>
        </w:rPr>
        <w:t>(</w:t>
      </w:r>
      <w:r w:rsidRPr="000364C7">
        <w:rPr>
          <w:rFonts w:hint="eastAsia"/>
        </w:rPr>
        <w:t>人权高专办</w:t>
      </w:r>
      <w:r>
        <w:rPr>
          <w:rFonts w:hint="eastAsia"/>
        </w:rPr>
        <w:t>)</w:t>
      </w:r>
      <w:r w:rsidRPr="000364C7">
        <w:rPr>
          <w:rFonts w:hint="eastAsia"/>
        </w:rPr>
        <w:t>和其他联合国机构在巴勒斯坦被占领土的监测活动和其他信息收集活动。也利用了以色列和巴勒斯坦的非政府组织以及媒体的信息。</w:t>
      </w:r>
    </w:p>
    <w:p w:rsidR="000364C7" w:rsidRPr="000364C7" w:rsidRDefault="000364C7" w:rsidP="009415CD">
      <w:pPr>
        <w:pStyle w:val="SingleTxt"/>
        <w:overflowPunct w:val="0"/>
      </w:pPr>
      <w:r w:rsidRPr="000364C7">
        <w:rPr>
          <w:rFonts w:hint="eastAsia"/>
        </w:rPr>
        <w:t>2.</w:t>
      </w:r>
      <w:r w:rsidR="00CD746F">
        <w:tab/>
      </w:r>
      <w:r w:rsidRPr="000364C7">
        <w:rPr>
          <w:rFonts w:hint="eastAsia"/>
        </w:rPr>
        <w:t>本报告从持续限制巴勒斯坦被占领土的行动自由及其对享有各种其他人权影响角度来审视人权状况。报告没有全面叙述巴勒斯坦被占领土的所有人权问题。应</w:t>
      </w:r>
      <w:r w:rsidRPr="000364C7">
        <w:t>结合秘书长关于以色列在包括耶路撒冷在内的巴勒斯坦被占领土和</w:t>
      </w:r>
      <w:r w:rsidRPr="000364C7">
        <w:rPr>
          <w:rFonts w:hint="eastAsia"/>
        </w:rPr>
        <w:t>在</w:t>
      </w:r>
      <w:r w:rsidRPr="000364C7">
        <w:t>被占领叙利亚戈兰</w:t>
      </w:r>
      <w:r w:rsidRPr="000364C7">
        <w:rPr>
          <w:rFonts w:hint="eastAsia"/>
        </w:rPr>
        <w:t>的</w:t>
      </w:r>
      <w:r w:rsidRPr="000364C7">
        <w:t>定居点</w:t>
      </w:r>
      <w:r w:rsidRPr="000364C7">
        <w:rPr>
          <w:rFonts w:hint="eastAsia"/>
        </w:rPr>
        <w:t>问题的</w:t>
      </w:r>
      <w:r w:rsidRPr="000364C7">
        <w:t>报告</w:t>
      </w:r>
      <w:r w:rsidRPr="000364C7">
        <w:t>(A/</w:t>
      </w:r>
      <w:r w:rsidRPr="000364C7">
        <w:rPr>
          <w:rFonts w:hint="eastAsia"/>
        </w:rPr>
        <w:t>70</w:t>
      </w:r>
      <w:r w:rsidRPr="000364C7">
        <w:t>/3</w:t>
      </w:r>
      <w:r w:rsidRPr="000364C7">
        <w:rPr>
          <w:rFonts w:hint="eastAsia"/>
        </w:rPr>
        <w:t>51</w:t>
      </w:r>
      <w:r w:rsidRPr="000364C7">
        <w:t>)</w:t>
      </w:r>
      <w:r w:rsidRPr="000364C7">
        <w:rPr>
          <w:rFonts w:hint="eastAsia"/>
        </w:rPr>
        <w:t>、</w:t>
      </w:r>
      <w:r w:rsidRPr="000364C7">
        <w:t>秘书长关于以色列在包括东耶路撒冷在内</w:t>
      </w:r>
      <w:r w:rsidRPr="000364C7">
        <w:rPr>
          <w:rFonts w:hint="eastAsia"/>
        </w:rPr>
        <w:t>的</w:t>
      </w:r>
      <w:r w:rsidRPr="000364C7">
        <w:t>巴勒斯坦被占领土侵害巴勒斯坦人民人权的行为的报告</w:t>
      </w:r>
      <w:r>
        <w:rPr>
          <w:rFonts w:hint="eastAsia"/>
        </w:rPr>
        <w:t>(</w:t>
      </w:r>
      <w:r w:rsidRPr="000364C7">
        <w:rPr>
          <w:rFonts w:hint="eastAsia"/>
        </w:rPr>
        <w:t>A/70/421</w:t>
      </w:r>
      <w:r>
        <w:rPr>
          <w:rFonts w:hint="eastAsia"/>
        </w:rPr>
        <w:t>)</w:t>
      </w:r>
      <w:r w:rsidRPr="000364C7">
        <w:rPr>
          <w:rFonts w:hint="eastAsia"/>
        </w:rPr>
        <w:t>，以及</w:t>
      </w:r>
      <w:r w:rsidRPr="000364C7">
        <w:t>秘书长</w:t>
      </w:r>
      <w:r w:rsidRPr="000364C7">
        <w:rPr>
          <w:rFonts w:hint="eastAsia"/>
        </w:rPr>
        <w:t>和高级专员向人权理事会第三十一届会议提交</w:t>
      </w:r>
      <w:r w:rsidRPr="000364C7">
        <w:t>的其他报告</w:t>
      </w:r>
      <w:r>
        <w:rPr>
          <w:rFonts w:hint="eastAsia"/>
        </w:rPr>
        <w:t>(</w:t>
      </w:r>
      <w:r w:rsidRPr="000364C7">
        <w:rPr>
          <w:rFonts w:hint="eastAsia"/>
        </w:rPr>
        <w:t>A/HRC/31/43</w:t>
      </w:r>
      <w:r w:rsidRPr="000364C7">
        <w:t>和</w:t>
      </w:r>
      <w:r w:rsidRPr="000364C7">
        <w:rPr>
          <w:rFonts w:hint="eastAsia"/>
        </w:rPr>
        <w:t>A/HRC/</w:t>
      </w:r>
      <w:r w:rsidR="00CD746F">
        <w:t xml:space="preserve"> </w:t>
      </w:r>
      <w:r w:rsidRPr="000364C7">
        <w:rPr>
          <w:rFonts w:hint="eastAsia"/>
        </w:rPr>
        <w:t>31/40</w:t>
      </w:r>
      <w:r>
        <w:rPr>
          <w:rFonts w:hint="eastAsia"/>
        </w:rPr>
        <w:t>)</w:t>
      </w:r>
      <w:r w:rsidRPr="000364C7">
        <w:rPr>
          <w:rFonts w:hint="eastAsia"/>
        </w:rPr>
        <w:t>来阅读这份报告。</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CD746F" w:rsidP="00CD746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0364C7" w:rsidRPr="000364C7">
        <w:rPr>
          <w:rFonts w:hint="eastAsia"/>
        </w:rPr>
        <w:t>二</w:t>
      </w:r>
      <w:r w:rsidR="000364C7" w:rsidRPr="000364C7">
        <w:t>.</w:t>
      </w:r>
      <w:r>
        <w:tab/>
      </w:r>
      <w:r w:rsidR="000364C7" w:rsidRPr="000364C7">
        <w:rPr>
          <w:rFonts w:hint="eastAsia"/>
        </w:rPr>
        <w:t>法律背景</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0364C7" w:rsidP="00CD746F">
      <w:pPr>
        <w:pStyle w:val="SingleTxt"/>
      </w:pPr>
      <w:r w:rsidRPr="000364C7">
        <w:rPr>
          <w:rFonts w:hint="eastAsia"/>
        </w:rPr>
        <w:t>3.</w:t>
      </w:r>
      <w:r w:rsidR="00CD746F">
        <w:tab/>
      </w:r>
      <w:r w:rsidRPr="000364C7">
        <w:rPr>
          <w:rFonts w:hint="eastAsia"/>
        </w:rPr>
        <w:t>国际人道主义法和国际人权法适用于巴勒斯坦被占领土。高级专员关于理事会第</w:t>
      </w:r>
      <w:r w:rsidRPr="000364C7">
        <w:rPr>
          <w:rFonts w:hint="eastAsia"/>
        </w:rPr>
        <w:t>S-9/1</w:t>
      </w:r>
      <w:r w:rsidRPr="000364C7">
        <w:rPr>
          <w:rFonts w:hint="eastAsia"/>
        </w:rPr>
        <w:t>号决议执行情况报告</w:t>
      </w:r>
      <w:r>
        <w:rPr>
          <w:rFonts w:hint="eastAsia"/>
        </w:rPr>
        <w:t>(</w:t>
      </w:r>
      <w:r w:rsidRPr="000364C7">
        <w:rPr>
          <w:rFonts w:hint="eastAsia"/>
        </w:rPr>
        <w:t>见</w:t>
      </w:r>
      <w:r w:rsidRPr="000364C7">
        <w:rPr>
          <w:rFonts w:hint="eastAsia"/>
        </w:rPr>
        <w:t>A/HRC/12/3</w:t>
      </w:r>
      <w:r>
        <w:rPr>
          <w:rFonts w:hint="eastAsia"/>
        </w:rPr>
        <w:t>7,</w:t>
      </w:r>
      <w:r w:rsidR="00CD746F">
        <w:t xml:space="preserve"> </w:t>
      </w:r>
      <w:r w:rsidRPr="000364C7">
        <w:rPr>
          <w:rFonts w:hint="eastAsia"/>
        </w:rPr>
        <w:t>第</w:t>
      </w:r>
      <w:r w:rsidRPr="000364C7">
        <w:rPr>
          <w:rFonts w:hint="eastAsia"/>
        </w:rPr>
        <w:t>5-9</w:t>
      </w:r>
      <w:r w:rsidRPr="000364C7">
        <w:rPr>
          <w:rFonts w:hint="eastAsia"/>
        </w:rPr>
        <w:t>段</w:t>
      </w:r>
      <w:r>
        <w:rPr>
          <w:rFonts w:hint="eastAsia"/>
        </w:rPr>
        <w:t>)</w:t>
      </w:r>
      <w:r w:rsidRPr="000364C7">
        <w:rPr>
          <w:rFonts w:hint="eastAsia"/>
        </w:rPr>
        <w:t>和</w:t>
      </w:r>
      <w:r w:rsidRPr="000364C7">
        <w:rPr>
          <w:rFonts w:hint="eastAsia"/>
        </w:rPr>
        <w:t>2014</w:t>
      </w:r>
      <w:r w:rsidRPr="000364C7">
        <w:rPr>
          <w:rFonts w:hint="eastAsia"/>
        </w:rPr>
        <w:t>年秘书长关于</w:t>
      </w:r>
      <w:r w:rsidRPr="000364C7">
        <w:t>以色列在包括东耶路撒冷在内</w:t>
      </w:r>
      <w:r w:rsidRPr="000364C7">
        <w:rPr>
          <w:rFonts w:hint="eastAsia"/>
        </w:rPr>
        <w:t>的</w:t>
      </w:r>
      <w:r w:rsidRPr="000364C7">
        <w:t>巴勒斯坦被占领土侵害巴勒斯坦人民人权的行为</w:t>
      </w:r>
      <w:r w:rsidRPr="000364C7">
        <w:rPr>
          <w:rFonts w:hint="eastAsia"/>
        </w:rPr>
        <w:t>的报告</w:t>
      </w:r>
      <w:r>
        <w:rPr>
          <w:rFonts w:hint="eastAsia"/>
        </w:rPr>
        <w:t>(</w:t>
      </w:r>
      <w:r w:rsidRPr="000364C7">
        <w:rPr>
          <w:rFonts w:hint="eastAsia"/>
        </w:rPr>
        <w:t>见</w:t>
      </w:r>
      <w:r w:rsidRPr="000364C7">
        <w:rPr>
          <w:rFonts w:hint="eastAsia"/>
        </w:rPr>
        <w:t>A/69/34</w:t>
      </w:r>
      <w:r>
        <w:rPr>
          <w:rFonts w:hint="eastAsia"/>
        </w:rPr>
        <w:t>7,</w:t>
      </w:r>
      <w:r w:rsidR="00CD746F">
        <w:t xml:space="preserve"> </w:t>
      </w:r>
      <w:r w:rsidRPr="000364C7">
        <w:rPr>
          <w:rFonts w:hint="eastAsia"/>
        </w:rPr>
        <w:t>第</w:t>
      </w:r>
      <w:r w:rsidRPr="000364C7">
        <w:rPr>
          <w:rFonts w:hint="eastAsia"/>
        </w:rPr>
        <w:t>3-6</w:t>
      </w:r>
      <w:r w:rsidRPr="000364C7">
        <w:rPr>
          <w:rFonts w:hint="eastAsia"/>
        </w:rPr>
        <w:t>段</w:t>
      </w:r>
      <w:r>
        <w:rPr>
          <w:rFonts w:hint="eastAsia"/>
        </w:rPr>
        <w:t>)</w:t>
      </w:r>
      <w:r w:rsidRPr="000364C7">
        <w:rPr>
          <w:rFonts w:hint="eastAsia"/>
        </w:rPr>
        <w:t>对可适用的法律框架，包括责任承担者的法律义务基础作出了详细分析，这些分析仍然有效。</w:t>
      </w:r>
    </w:p>
    <w:p w:rsidR="000364C7" w:rsidRDefault="000364C7" w:rsidP="00CD746F">
      <w:pPr>
        <w:pStyle w:val="SingleTxt"/>
      </w:pPr>
      <w:r w:rsidRPr="000364C7">
        <w:rPr>
          <w:rFonts w:hint="eastAsia"/>
        </w:rPr>
        <w:t>4.</w:t>
      </w:r>
      <w:r w:rsidR="00CD746F">
        <w:tab/>
      </w:r>
      <w:r w:rsidRPr="000364C7">
        <w:rPr>
          <w:rFonts w:hint="eastAsia"/>
        </w:rPr>
        <w:t>行动自由受国际人权法</w:t>
      </w:r>
      <w:r w:rsidRPr="000364C7">
        <w:rPr>
          <w:vertAlign w:val="superscript"/>
        </w:rPr>
        <w:footnoteReference w:id="1"/>
      </w:r>
      <w:r w:rsidR="00CD746F">
        <w:t xml:space="preserve"> </w:t>
      </w:r>
      <w:r w:rsidRPr="000364C7">
        <w:rPr>
          <w:rFonts w:hint="eastAsia"/>
        </w:rPr>
        <w:t>和国际人道主义法</w:t>
      </w:r>
      <w:r w:rsidRPr="000364C7">
        <w:rPr>
          <w:vertAlign w:val="superscript"/>
        </w:rPr>
        <w:footnoteReference w:id="2"/>
      </w:r>
      <w:r w:rsidR="00CD746F">
        <w:t xml:space="preserve"> </w:t>
      </w:r>
      <w:r w:rsidRPr="000364C7">
        <w:rPr>
          <w:rFonts w:hint="eastAsia"/>
        </w:rPr>
        <w:t>的保护。以色列作为占领国，有义务保障巴勒斯坦被占领土居民的行动自由。巴勒斯坦主管当局也有义务尊重和保证行动自由。</w:t>
      </w:r>
    </w:p>
    <w:p w:rsidR="000364C7" w:rsidRDefault="000364C7" w:rsidP="00CD746F">
      <w:pPr>
        <w:pStyle w:val="SingleTxt"/>
      </w:pPr>
      <w:r w:rsidRPr="000364C7">
        <w:rPr>
          <w:rFonts w:hint="eastAsia"/>
        </w:rPr>
        <w:t>5.</w:t>
      </w:r>
      <w:r w:rsidR="00CD746F">
        <w:tab/>
      </w:r>
      <w:r w:rsidRPr="000364C7">
        <w:rPr>
          <w:rFonts w:hint="eastAsia"/>
        </w:rPr>
        <w:t>国际法允许出于安全考虑对行动自由施加某些限制，</w:t>
      </w:r>
      <w:r w:rsidRPr="000364C7">
        <w:rPr>
          <w:vertAlign w:val="superscript"/>
        </w:rPr>
        <w:footnoteReference w:id="3"/>
      </w:r>
      <w:r w:rsidR="00CD746F">
        <w:t xml:space="preserve"> </w:t>
      </w:r>
      <w:r w:rsidRPr="000364C7">
        <w:rPr>
          <w:rFonts w:hint="eastAsia"/>
        </w:rPr>
        <w:t>但此种限制必须是为所涉目的绝对必要，相称和非歧视性的。</w:t>
      </w:r>
      <w:r w:rsidRPr="000364C7">
        <w:rPr>
          <w:vertAlign w:val="superscript"/>
        </w:rPr>
        <w:footnoteReference w:id="4"/>
      </w:r>
    </w:p>
    <w:p w:rsidR="000364C7" w:rsidRDefault="000364C7" w:rsidP="00CD746F">
      <w:pPr>
        <w:pStyle w:val="SingleTxt"/>
      </w:pPr>
      <w:r w:rsidRPr="000364C7">
        <w:rPr>
          <w:rFonts w:hint="eastAsia"/>
        </w:rPr>
        <w:t>6.</w:t>
      </w:r>
      <w:r w:rsidR="00CD746F">
        <w:tab/>
      </w:r>
      <w:r w:rsidRPr="000364C7">
        <w:rPr>
          <w:rFonts w:hint="eastAsia"/>
        </w:rPr>
        <w:t>行动自由是享受广泛公民、政治、经济、社会和文化权利的前提。行使某些权利，如工作权、健康权和受教育权，在很大程度上取决于可以自由行动和选择自已住所。因此，限制行动自由也就限制了一系列其他人权。</w:t>
      </w:r>
      <w:r w:rsidRPr="000364C7">
        <w:rPr>
          <w:vertAlign w:val="superscript"/>
        </w:rPr>
        <w:footnoteReference w:id="5"/>
      </w:r>
    </w:p>
    <w:p w:rsidR="000364C7" w:rsidRDefault="000364C7" w:rsidP="00CD746F">
      <w:pPr>
        <w:pStyle w:val="SingleTxt"/>
      </w:pPr>
      <w:r w:rsidRPr="000364C7">
        <w:rPr>
          <w:rFonts w:hint="eastAsia"/>
        </w:rPr>
        <w:t>7.</w:t>
      </w:r>
      <w:r w:rsidR="00CD746F">
        <w:tab/>
      </w:r>
      <w:r w:rsidRPr="000364C7">
        <w:rPr>
          <w:rFonts w:hint="eastAsia"/>
        </w:rPr>
        <w:t>以色列根据国际人道主义法和人权法承担各种积极义务。根据国际人道主义法，占领国必须采取积极措施，确保人民的福祉，包括提供医疗用品。</w:t>
      </w:r>
      <w:r w:rsidRPr="000364C7">
        <w:rPr>
          <w:vertAlign w:val="superscript"/>
        </w:rPr>
        <w:footnoteReference w:id="6"/>
      </w:r>
      <w:r w:rsidR="00CD746F">
        <w:t xml:space="preserve"> </w:t>
      </w:r>
      <w:r w:rsidRPr="000364C7">
        <w:rPr>
          <w:rFonts w:hint="eastAsia"/>
        </w:rPr>
        <w:t>不歧视原则</w:t>
      </w:r>
      <w:r w:rsidRPr="000364C7">
        <w:rPr>
          <w:vertAlign w:val="superscript"/>
        </w:rPr>
        <w:footnoteReference w:id="7"/>
      </w:r>
      <w:r w:rsidRPr="000364C7">
        <w:rPr>
          <w:rFonts w:hint="eastAsia"/>
        </w:rPr>
        <w:t>亦具有实际意义，特别是因为在巴勒斯坦被占领土上对定居者和巴勒斯坦人实行差别待遇。</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CD746F" w:rsidP="00CD746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0364C7" w:rsidRPr="000364C7">
        <w:rPr>
          <w:rFonts w:hint="eastAsia"/>
        </w:rPr>
        <w:t>三</w:t>
      </w:r>
      <w:r w:rsidR="000364C7" w:rsidRPr="000364C7">
        <w:t>.</w:t>
      </w:r>
      <w:r>
        <w:tab/>
      </w:r>
      <w:r w:rsidR="000364C7" w:rsidRPr="000364C7">
        <w:rPr>
          <w:rFonts w:hint="eastAsia"/>
        </w:rPr>
        <w:t>限制行动自由及其对人权的影响</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CD746F" w:rsidP="00CD74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0364C7" w:rsidRPr="000364C7">
        <w:rPr>
          <w:rFonts w:hint="eastAsia"/>
        </w:rPr>
        <w:t>A.</w:t>
      </w:r>
      <w:r>
        <w:tab/>
      </w:r>
      <w:r w:rsidR="000364C7" w:rsidRPr="000364C7">
        <w:rPr>
          <w:rFonts w:hint="eastAsia"/>
        </w:rPr>
        <w:t>导言</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0364C7" w:rsidP="00CD746F">
      <w:pPr>
        <w:pStyle w:val="SingleTxt"/>
      </w:pPr>
      <w:r w:rsidRPr="000364C7">
        <w:rPr>
          <w:rFonts w:hint="eastAsia"/>
        </w:rPr>
        <w:t>8.</w:t>
      </w:r>
      <w:r w:rsidR="00CD746F">
        <w:tab/>
      </w:r>
      <w:r w:rsidRPr="000364C7">
        <w:rPr>
          <w:rFonts w:hint="eastAsia"/>
        </w:rPr>
        <w:t>本报告期内，巴勒斯坦被占领土的人权状况仍然困难，各种侵犯人权事件频发。加沙与西岸之间以及西岸内的长期行动自由限制加剧了这一局面。</w:t>
      </w:r>
    </w:p>
    <w:p w:rsidR="000364C7" w:rsidRDefault="000364C7" w:rsidP="00CD746F">
      <w:pPr>
        <w:pStyle w:val="SingleTxt"/>
      </w:pPr>
      <w:r w:rsidRPr="000364C7">
        <w:rPr>
          <w:rFonts w:hint="eastAsia"/>
        </w:rPr>
        <w:t>9.</w:t>
      </w:r>
      <w:r w:rsidR="00CD746F">
        <w:tab/>
      </w:r>
      <w:r w:rsidRPr="000364C7">
        <w:rPr>
          <w:rFonts w:hint="eastAsia"/>
        </w:rPr>
        <w:t>《奥斯陆协定》规定，“在不减损以色列维护安全权力和责任情况下”，西岸人员和车辆通行“应是自由的，正常的，不应通过检查站和路障来妨碍行动自由”。此外，应该认识到，西岸和加沙应作为“单一领土单位进行管理</w:t>
      </w:r>
      <w:r w:rsidR="00CD746F">
        <w:rPr>
          <w:rFonts w:hint="eastAsia"/>
        </w:rPr>
        <w:t>……</w:t>
      </w:r>
      <w:r w:rsidRPr="000364C7">
        <w:rPr>
          <w:rFonts w:hint="eastAsia"/>
        </w:rPr>
        <w:t>应尊重和维护人们正常和顺畅的通行，不设置任何障碍”。</w:t>
      </w:r>
    </w:p>
    <w:p w:rsidR="000364C7" w:rsidRDefault="000364C7" w:rsidP="000364C7">
      <w:pPr>
        <w:pStyle w:val="SingleTxt"/>
      </w:pPr>
      <w:r w:rsidRPr="000364C7">
        <w:rPr>
          <w:rFonts w:hint="eastAsia"/>
        </w:rPr>
        <w:t>10</w:t>
      </w:r>
      <w:r>
        <w:rPr>
          <w:rFonts w:hint="eastAsia"/>
        </w:rPr>
        <w:t xml:space="preserve">.  </w:t>
      </w:r>
      <w:r w:rsidRPr="000364C7">
        <w:rPr>
          <w:rFonts w:hint="eastAsia"/>
        </w:rPr>
        <w:t>本报告期内，各种行动限制仍在实行，许多限制与以前的协议和国际法背道而驰。这些限制造成了巴勒斯坦被占领土支离破碎，以致于行动自由严重受阻。</w:t>
      </w:r>
    </w:p>
    <w:p w:rsidR="000364C7" w:rsidRDefault="000364C7" w:rsidP="000364C7">
      <w:pPr>
        <w:pStyle w:val="SingleTxt"/>
      </w:pPr>
      <w:r w:rsidRPr="000364C7">
        <w:rPr>
          <w:rFonts w:hint="eastAsia"/>
        </w:rPr>
        <w:t>11</w:t>
      </w:r>
      <w:r>
        <w:rPr>
          <w:rFonts w:hint="eastAsia"/>
        </w:rPr>
        <w:t xml:space="preserve">.  </w:t>
      </w:r>
      <w:r w:rsidRPr="000364C7">
        <w:rPr>
          <w:rFonts w:hint="eastAsia"/>
        </w:rPr>
        <w:t>目前的状况必须扭转。秘书长在上一份报告中指出，所有责任承担者的侵犯人权行为在不断恶化的暴力循环中不断激化冲突</w:t>
      </w:r>
      <w:r>
        <w:rPr>
          <w:rFonts w:hint="eastAsia"/>
        </w:rPr>
        <w:t>(</w:t>
      </w:r>
      <w:r w:rsidRPr="000364C7">
        <w:rPr>
          <w:rFonts w:hint="eastAsia"/>
        </w:rPr>
        <w:t>见</w:t>
      </w:r>
      <w:r w:rsidRPr="000364C7">
        <w:rPr>
          <w:rFonts w:hint="eastAsia"/>
        </w:rPr>
        <w:t>A/HRC/28/4</w:t>
      </w:r>
      <w:r>
        <w:rPr>
          <w:rFonts w:hint="eastAsia"/>
        </w:rPr>
        <w:t>5,</w:t>
      </w:r>
      <w:r w:rsidR="00CD746F">
        <w:rPr>
          <w:rFonts w:hint="eastAsia"/>
        </w:rPr>
        <w:t xml:space="preserve"> </w:t>
      </w:r>
      <w:r w:rsidRPr="000364C7">
        <w:rPr>
          <w:rFonts w:hint="eastAsia"/>
        </w:rPr>
        <w:t>第</w:t>
      </w:r>
      <w:r w:rsidRPr="000364C7">
        <w:rPr>
          <w:rFonts w:hint="eastAsia"/>
        </w:rPr>
        <w:t>8</w:t>
      </w:r>
      <w:r w:rsidRPr="000364C7">
        <w:rPr>
          <w:rFonts w:hint="eastAsia"/>
        </w:rPr>
        <w:t>段</w:t>
      </w:r>
      <w:r>
        <w:rPr>
          <w:rFonts w:hint="eastAsia"/>
        </w:rPr>
        <w:t>)</w:t>
      </w:r>
      <w:r w:rsidRPr="000364C7">
        <w:rPr>
          <w:rFonts w:hint="eastAsia"/>
        </w:rPr>
        <w:t>。行动自由限制损害了个人的医疗、工作、教育和家庭生活权利，破坏了社会、经济、文化和家庭关系纽带。这些侵犯人权行为累积起来剥夺了巴勒斯坦人民的自决权和适足生活水准权。</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CD746F" w:rsidP="00CD74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B</w:t>
      </w:r>
      <w:r w:rsidR="000364C7">
        <w:rPr>
          <w:rFonts w:hint="eastAsia"/>
        </w:rPr>
        <w:t>.</w:t>
      </w:r>
      <w:r>
        <w:rPr>
          <w:rFonts w:hint="eastAsia"/>
        </w:rPr>
        <w:tab/>
      </w:r>
      <w:r w:rsidR="000364C7" w:rsidRPr="000364C7">
        <w:rPr>
          <w:rFonts w:hint="eastAsia"/>
        </w:rPr>
        <w:t>以色列对巴勒斯坦人行动自由的限制</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CD746F" w:rsidP="00CD74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1</w:t>
      </w:r>
      <w:r w:rsidR="000364C7">
        <w:rPr>
          <w:rFonts w:hint="eastAsia"/>
        </w:rPr>
        <w:t>.</w:t>
      </w:r>
      <w:r>
        <w:rPr>
          <w:rFonts w:hint="eastAsia"/>
        </w:rPr>
        <w:tab/>
      </w:r>
      <w:r w:rsidR="000364C7" w:rsidRPr="000364C7">
        <w:rPr>
          <w:rFonts w:hint="eastAsia"/>
        </w:rPr>
        <w:t>限制行动自由的行政措施</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0364C7" w:rsidP="000364C7">
      <w:pPr>
        <w:pStyle w:val="SingleTxt"/>
      </w:pPr>
      <w:r w:rsidRPr="000364C7">
        <w:rPr>
          <w:rFonts w:hint="eastAsia"/>
        </w:rPr>
        <w:t>12</w:t>
      </w:r>
      <w:r>
        <w:rPr>
          <w:rFonts w:hint="eastAsia"/>
        </w:rPr>
        <w:t xml:space="preserve">.  </w:t>
      </w:r>
      <w:r w:rsidRPr="000364C7">
        <w:rPr>
          <w:rFonts w:hint="eastAsia"/>
        </w:rPr>
        <w:t>限制巴勒斯坦人行动自由的制度是一个复杂和多层次的制度，包括各种行政、手续和实体约束，渗透到日常生活的方方面面。</w:t>
      </w:r>
    </w:p>
    <w:p w:rsidR="000364C7" w:rsidRDefault="000364C7" w:rsidP="000364C7">
      <w:pPr>
        <w:pStyle w:val="SingleTxt"/>
      </w:pPr>
      <w:r w:rsidRPr="000364C7">
        <w:rPr>
          <w:rFonts w:hint="eastAsia"/>
        </w:rPr>
        <w:t>13</w:t>
      </w:r>
      <w:r>
        <w:rPr>
          <w:rFonts w:hint="eastAsia"/>
        </w:rPr>
        <w:t xml:space="preserve">.  </w:t>
      </w:r>
      <w:r w:rsidRPr="000364C7">
        <w:rPr>
          <w:rFonts w:hint="eastAsia"/>
        </w:rPr>
        <w:t>虽然巴勒斯坦国内政部根据人口登记册为巴勒斯坦人发放身份证，但以色列仍有权批准或拒绝地址变更和永久居留申请。</w:t>
      </w:r>
      <w:r w:rsidRPr="000364C7">
        <w:rPr>
          <w:rFonts w:hint="eastAsia"/>
        </w:rPr>
        <w:t>2000</w:t>
      </w:r>
      <w:r w:rsidRPr="000364C7">
        <w:rPr>
          <w:rFonts w:hint="eastAsia"/>
        </w:rPr>
        <w:t>年，第二次起义爆发后，以色列停止了对登记册的更新。</w:t>
      </w:r>
      <w:r w:rsidRPr="000364C7">
        <w:rPr>
          <w:rFonts w:hint="eastAsia"/>
        </w:rPr>
        <w:t>2007</w:t>
      </w:r>
      <w:r w:rsidRPr="000364C7">
        <w:rPr>
          <w:rFonts w:hint="eastAsia"/>
        </w:rPr>
        <w:t>年至</w:t>
      </w:r>
      <w:r w:rsidRPr="000364C7">
        <w:rPr>
          <w:rFonts w:hint="eastAsia"/>
        </w:rPr>
        <w:t>2009</w:t>
      </w:r>
      <w:r w:rsidRPr="000364C7">
        <w:rPr>
          <w:rFonts w:hint="eastAsia"/>
        </w:rPr>
        <w:t>年，以及后来的</w:t>
      </w:r>
      <w:r w:rsidRPr="000364C7">
        <w:rPr>
          <w:rFonts w:hint="eastAsia"/>
        </w:rPr>
        <w:t>2011</w:t>
      </w:r>
      <w:r w:rsidRPr="000364C7">
        <w:rPr>
          <w:rFonts w:hint="eastAsia"/>
        </w:rPr>
        <w:t>年</w:t>
      </w:r>
      <w:r w:rsidR="00030B44">
        <w:rPr>
          <w:rFonts w:hint="eastAsia"/>
        </w:rPr>
        <w:t xml:space="preserve"> </w:t>
      </w:r>
      <w:r w:rsidRPr="000364C7">
        <w:rPr>
          <w:vertAlign w:val="superscript"/>
        </w:rPr>
        <w:footnoteReference w:id="8"/>
      </w:r>
      <w:r w:rsidRPr="000364C7">
        <w:rPr>
          <w:rFonts w:hint="eastAsia"/>
        </w:rPr>
        <w:t>，都试图处理大量积压申请，但效果有限</w:t>
      </w:r>
      <w:r>
        <w:rPr>
          <w:rFonts w:hint="eastAsia"/>
        </w:rPr>
        <w:t>(</w:t>
      </w:r>
      <w:r w:rsidRPr="000364C7">
        <w:rPr>
          <w:rFonts w:hint="eastAsia"/>
        </w:rPr>
        <w:t>见</w:t>
      </w:r>
      <w:r w:rsidRPr="000364C7">
        <w:rPr>
          <w:rFonts w:hint="eastAsia"/>
        </w:rPr>
        <w:t>A/68/50</w:t>
      </w:r>
      <w:r>
        <w:rPr>
          <w:rFonts w:hint="eastAsia"/>
        </w:rPr>
        <w:t>2,</w:t>
      </w:r>
      <w:r w:rsidR="00CD746F">
        <w:rPr>
          <w:rFonts w:hint="eastAsia"/>
        </w:rPr>
        <w:t xml:space="preserve"> </w:t>
      </w:r>
      <w:r w:rsidRPr="000364C7">
        <w:rPr>
          <w:rFonts w:hint="eastAsia"/>
        </w:rPr>
        <w:t>第</w:t>
      </w:r>
      <w:r w:rsidRPr="000364C7">
        <w:rPr>
          <w:rFonts w:hint="eastAsia"/>
        </w:rPr>
        <w:t>9</w:t>
      </w:r>
      <w:r w:rsidRPr="000364C7">
        <w:rPr>
          <w:rFonts w:hint="eastAsia"/>
        </w:rPr>
        <w:t>段</w:t>
      </w:r>
      <w:r>
        <w:rPr>
          <w:rFonts w:hint="eastAsia"/>
        </w:rPr>
        <w:t>)</w:t>
      </w:r>
      <w:r w:rsidRPr="000364C7">
        <w:rPr>
          <w:rFonts w:hint="eastAsia"/>
        </w:rPr>
        <w:t>。</w:t>
      </w:r>
    </w:p>
    <w:p w:rsidR="000364C7" w:rsidRDefault="000364C7" w:rsidP="000364C7">
      <w:pPr>
        <w:pStyle w:val="SingleTxt"/>
      </w:pPr>
      <w:r w:rsidRPr="000364C7">
        <w:rPr>
          <w:rFonts w:hint="eastAsia"/>
        </w:rPr>
        <w:t>14</w:t>
      </w:r>
      <w:r>
        <w:rPr>
          <w:rFonts w:hint="eastAsia"/>
        </w:rPr>
        <w:t xml:space="preserve">.  </w:t>
      </w:r>
      <w:r w:rsidRPr="000364C7">
        <w:rPr>
          <w:rFonts w:hint="eastAsia"/>
        </w:rPr>
        <w:t>以色列当局利用通行证制度来限制和控制巴勒斯坦人在巴勒斯坦被占领土上的行动自由，将人们限定在住宅区附近。这一制度是以色列在第一次起义中取消“通用通行证”后实行的，“通用通行证”允许巴勒斯坦人在加沙、西岸和以色列之间自由流动。</w:t>
      </w:r>
      <w:r w:rsidRPr="000364C7">
        <w:rPr>
          <w:vertAlign w:val="superscript"/>
        </w:rPr>
        <w:footnoteReference w:id="9"/>
      </w:r>
      <w:r w:rsidR="00CD746F">
        <w:rPr>
          <w:rFonts w:hint="eastAsia"/>
        </w:rPr>
        <w:t xml:space="preserve"> </w:t>
      </w:r>
      <w:r w:rsidRPr="000364C7">
        <w:rPr>
          <w:rFonts w:hint="eastAsia"/>
        </w:rPr>
        <w:t>此后，巴勒斯坦被占领土的巴勒斯坦居民必须持有个人通行证才能进入以色列和东耶路撒冷。继</w:t>
      </w:r>
      <w:r w:rsidRPr="000364C7">
        <w:rPr>
          <w:rFonts w:hint="eastAsia"/>
        </w:rPr>
        <w:t>2000</w:t>
      </w:r>
      <w:r w:rsidRPr="000364C7">
        <w:rPr>
          <w:rFonts w:hint="eastAsia"/>
        </w:rPr>
        <w:t>年第二次起义爆发后，以色列进一步收紧行动限制，要求巴勒斯坦人必须取得通行证才能在加沙与西岸之间往来。</w:t>
      </w:r>
      <w:r w:rsidRPr="000364C7">
        <w:rPr>
          <w:vertAlign w:val="superscript"/>
        </w:rPr>
        <w:footnoteReference w:id="10"/>
      </w:r>
      <w:r w:rsidR="00CD746F">
        <w:rPr>
          <w:rFonts w:hint="eastAsia"/>
        </w:rPr>
        <w:t xml:space="preserve"> </w:t>
      </w:r>
      <w:r w:rsidRPr="000364C7">
        <w:rPr>
          <w:rFonts w:hint="eastAsia"/>
        </w:rPr>
        <w:t>进入和留在西岸的许多地区，包括所谓的“衔接区”，也需要有通行证。</w:t>
      </w:r>
      <w:r w:rsidRPr="000364C7">
        <w:rPr>
          <w:vertAlign w:val="superscript"/>
        </w:rPr>
        <w:footnoteReference w:id="11"/>
      </w:r>
    </w:p>
    <w:p w:rsidR="000364C7" w:rsidRDefault="000364C7" w:rsidP="000364C7">
      <w:pPr>
        <w:pStyle w:val="SingleTxt"/>
      </w:pPr>
      <w:r w:rsidRPr="000364C7">
        <w:rPr>
          <w:rFonts w:hint="eastAsia"/>
        </w:rPr>
        <w:t>15</w:t>
      </w:r>
      <w:r>
        <w:rPr>
          <w:rFonts w:hint="eastAsia"/>
        </w:rPr>
        <w:t xml:space="preserve">.  </w:t>
      </w:r>
      <w:r w:rsidRPr="000364C7">
        <w:rPr>
          <w:rFonts w:hint="eastAsia"/>
        </w:rPr>
        <w:t>以色列当局在所发布的协议和程序中对取得通行证作出了各种规定，其中大部分直到最近都没有公布。在以色列非政府组织</w:t>
      </w:r>
      <w:r w:rsidRPr="000364C7">
        <w:rPr>
          <w:rFonts w:hint="eastAsia"/>
        </w:rPr>
        <w:t>Gisha</w:t>
      </w:r>
      <w:r w:rsidRPr="000364C7">
        <w:rPr>
          <w:rFonts w:hint="eastAsia"/>
        </w:rPr>
        <w:t>提出一系列信息自由请求后，领土政府活动协调办事处</w:t>
      </w:r>
      <w:r>
        <w:rPr>
          <w:rFonts w:hint="eastAsia"/>
        </w:rPr>
        <w:t>(</w:t>
      </w:r>
      <w:r w:rsidRPr="000364C7">
        <w:rPr>
          <w:rFonts w:hint="eastAsia"/>
        </w:rPr>
        <w:t>COGAT</w:t>
      </w:r>
      <w:r>
        <w:rPr>
          <w:rFonts w:hint="eastAsia"/>
        </w:rPr>
        <w:t>)</w:t>
      </w:r>
      <w:r w:rsidRPr="000364C7">
        <w:rPr>
          <w:rFonts w:hint="eastAsia"/>
        </w:rPr>
        <w:t>才在网站上刊登了一些程序，但许多仍未公开。</w:t>
      </w:r>
      <w:r w:rsidRPr="000364C7">
        <w:rPr>
          <w:vertAlign w:val="superscript"/>
        </w:rPr>
        <w:footnoteReference w:id="12"/>
      </w:r>
      <w:r w:rsidRPr="000364C7">
        <w:rPr>
          <w:rFonts w:hint="eastAsia"/>
        </w:rPr>
        <w:t>在所公布的程序中，只有一些被翻译成阿拉伯语。许多只读和懂阿拉伯语的人并不清楚申请的评估程序和标准。</w:t>
      </w:r>
      <w:r w:rsidRPr="000364C7">
        <w:rPr>
          <w:vertAlign w:val="superscript"/>
        </w:rPr>
        <w:footnoteReference w:id="13"/>
      </w:r>
    </w:p>
    <w:p w:rsidR="000364C7" w:rsidRDefault="000364C7" w:rsidP="000364C7">
      <w:pPr>
        <w:pStyle w:val="SingleTxt"/>
      </w:pPr>
      <w:r w:rsidRPr="000364C7">
        <w:rPr>
          <w:rFonts w:hint="eastAsia"/>
        </w:rPr>
        <w:t>16</w:t>
      </w:r>
      <w:r>
        <w:rPr>
          <w:rFonts w:hint="eastAsia"/>
        </w:rPr>
        <w:t xml:space="preserve">.  </w:t>
      </w:r>
      <w:r w:rsidRPr="000364C7">
        <w:rPr>
          <w:rFonts w:hint="eastAsia"/>
        </w:rPr>
        <w:t>本报告期内，</w:t>
      </w:r>
      <w:r w:rsidRPr="000364C7">
        <w:rPr>
          <w:rFonts w:hint="eastAsia"/>
        </w:rPr>
        <w:t>COGAT</w:t>
      </w:r>
      <w:r w:rsidRPr="000364C7">
        <w:rPr>
          <w:rFonts w:hint="eastAsia"/>
        </w:rPr>
        <w:t>放宽了对某些群体的要求，包括</w:t>
      </w:r>
      <w:r w:rsidRPr="000364C7">
        <w:rPr>
          <w:rFonts w:hint="eastAsia"/>
        </w:rPr>
        <w:t>55</w:t>
      </w:r>
      <w:r w:rsidRPr="000364C7">
        <w:rPr>
          <w:rFonts w:hint="eastAsia"/>
        </w:rPr>
        <w:t>岁以上男子和</w:t>
      </w:r>
      <w:r w:rsidRPr="000364C7">
        <w:rPr>
          <w:rFonts w:hint="eastAsia"/>
        </w:rPr>
        <w:t>50</w:t>
      </w:r>
      <w:r w:rsidRPr="000364C7">
        <w:rPr>
          <w:rFonts w:hint="eastAsia"/>
        </w:rPr>
        <w:t>岁以上女子可不持通行证从西岸进入东耶路撒冷或以色列。</w:t>
      </w:r>
      <w:r w:rsidRPr="000364C7">
        <w:rPr>
          <w:vertAlign w:val="superscript"/>
        </w:rPr>
        <w:footnoteReference w:id="14"/>
      </w:r>
      <w:r w:rsidRPr="000364C7">
        <w:t xml:space="preserve"> </w:t>
      </w:r>
      <w:r w:rsidRPr="000364C7">
        <w:rPr>
          <w:rFonts w:hint="eastAsia"/>
        </w:rPr>
        <w:t>6</w:t>
      </w:r>
      <w:r w:rsidRPr="000364C7">
        <w:rPr>
          <w:rFonts w:hint="eastAsia"/>
        </w:rPr>
        <w:t>月份，以色列当局自</w:t>
      </w:r>
      <w:r w:rsidRPr="000364C7">
        <w:rPr>
          <w:rFonts w:hint="eastAsia"/>
        </w:rPr>
        <w:t>2000</w:t>
      </w:r>
      <w:r w:rsidRPr="000364C7">
        <w:rPr>
          <w:rFonts w:hint="eastAsia"/>
        </w:rPr>
        <w:t>年第二次起义爆发后首次允许</w:t>
      </w:r>
      <w:r w:rsidRPr="000364C7">
        <w:rPr>
          <w:rFonts w:hint="eastAsia"/>
        </w:rPr>
        <w:t>100</w:t>
      </w:r>
      <w:r w:rsidRPr="000364C7">
        <w:rPr>
          <w:rFonts w:hint="eastAsia"/>
        </w:rPr>
        <w:t>名巴勒斯坦医生驾驶私家车从西岸进入东耶路撒冷和以色列。</w:t>
      </w:r>
      <w:r w:rsidRPr="000364C7">
        <w:rPr>
          <w:vertAlign w:val="superscript"/>
        </w:rPr>
        <w:footnoteReference w:id="15"/>
      </w:r>
      <w:r w:rsidR="00CD746F">
        <w:rPr>
          <w:rFonts w:hint="eastAsia"/>
        </w:rPr>
        <w:t xml:space="preserve"> </w:t>
      </w:r>
      <w:r w:rsidRPr="000364C7">
        <w:rPr>
          <w:rFonts w:hint="eastAsia"/>
        </w:rPr>
        <w:t>斋月期间行动限制也有所缓解，无需通行证的例外在星期五惠及</w:t>
      </w:r>
      <w:r w:rsidRPr="000364C7">
        <w:rPr>
          <w:rFonts w:hint="eastAsia"/>
        </w:rPr>
        <w:t>40</w:t>
      </w:r>
      <w:r w:rsidRPr="000364C7">
        <w:rPr>
          <w:rFonts w:hint="eastAsia"/>
        </w:rPr>
        <w:t>岁以上男子和</w:t>
      </w:r>
      <w:r w:rsidRPr="000364C7">
        <w:rPr>
          <w:rFonts w:hint="eastAsia"/>
        </w:rPr>
        <w:t>13</w:t>
      </w:r>
      <w:r w:rsidRPr="000364C7">
        <w:rPr>
          <w:rFonts w:hint="eastAsia"/>
        </w:rPr>
        <w:t>岁以下男孩，以及所有妇女和女童，不过有些措施在</w:t>
      </w:r>
      <w:r w:rsidRPr="000364C7">
        <w:rPr>
          <w:rFonts w:hint="eastAsia"/>
        </w:rPr>
        <w:t>7</w:t>
      </w:r>
      <w:r w:rsidRPr="000364C7">
        <w:rPr>
          <w:rFonts w:hint="eastAsia"/>
        </w:rPr>
        <w:t>月发生骚乱后被撤销。</w:t>
      </w:r>
      <w:r w:rsidRPr="000364C7">
        <w:rPr>
          <w:vertAlign w:val="superscript"/>
        </w:rPr>
        <w:footnoteReference w:id="16"/>
      </w:r>
    </w:p>
    <w:p w:rsidR="000364C7" w:rsidRDefault="000364C7" w:rsidP="000364C7">
      <w:pPr>
        <w:pStyle w:val="SingleTxt"/>
      </w:pPr>
      <w:r w:rsidRPr="000364C7">
        <w:rPr>
          <w:rFonts w:hint="eastAsia"/>
        </w:rPr>
        <w:t>17</w:t>
      </w:r>
      <w:r>
        <w:rPr>
          <w:rFonts w:hint="eastAsia"/>
        </w:rPr>
        <w:t xml:space="preserve">.  </w:t>
      </w:r>
      <w:r w:rsidRPr="000364C7">
        <w:rPr>
          <w:rFonts w:hint="eastAsia"/>
        </w:rPr>
        <w:t>本报告期内，每月获准离开加沙的商人人数限额从</w:t>
      </w:r>
      <w:r w:rsidRPr="000364C7">
        <w:rPr>
          <w:rFonts w:hint="eastAsia"/>
        </w:rPr>
        <w:t>3</w:t>
      </w:r>
      <w:r w:rsidR="00333790">
        <w:rPr>
          <w:rFonts w:hint="eastAsia"/>
        </w:rPr>
        <w:t>,</w:t>
      </w:r>
      <w:r w:rsidRPr="000364C7">
        <w:rPr>
          <w:rFonts w:hint="eastAsia"/>
        </w:rPr>
        <w:t>000</w:t>
      </w:r>
      <w:r w:rsidRPr="000364C7">
        <w:rPr>
          <w:rFonts w:hint="eastAsia"/>
        </w:rPr>
        <w:t>人增至</w:t>
      </w:r>
      <w:r w:rsidRPr="000364C7">
        <w:rPr>
          <w:rFonts w:hint="eastAsia"/>
        </w:rPr>
        <w:t>5</w:t>
      </w:r>
      <w:r w:rsidR="00333790">
        <w:rPr>
          <w:rFonts w:hint="eastAsia"/>
        </w:rPr>
        <w:t>,</w:t>
      </w:r>
      <w:r w:rsidRPr="000364C7">
        <w:rPr>
          <w:rFonts w:hint="eastAsia"/>
        </w:rPr>
        <w:t>000</w:t>
      </w:r>
      <w:r w:rsidRPr="000364C7">
        <w:rPr>
          <w:rFonts w:hint="eastAsia"/>
        </w:rPr>
        <w:t>人，每天人数从</w:t>
      </w:r>
      <w:r w:rsidRPr="000364C7">
        <w:rPr>
          <w:rFonts w:hint="eastAsia"/>
        </w:rPr>
        <w:t>400</w:t>
      </w:r>
      <w:r w:rsidRPr="000364C7">
        <w:rPr>
          <w:rFonts w:hint="eastAsia"/>
        </w:rPr>
        <w:t>人增至</w:t>
      </w:r>
      <w:r w:rsidRPr="000364C7">
        <w:rPr>
          <w:rFonts w:hint="eastAsia"/>
        </w:rPr>
        <w:t>800</w:t>
      </w:r>
      <w:r w:rsidRPr="000364C7">
        <w:rPr>
          <w:rFonts w:hint="eastAsia"/>
        </w:rPr>
        <w:t>人。</w:t>
      </w:r>
      <w:r w:rsidRPr="000364C7">
        <w:rPr>
          <w:vertAlign w:val="superscript"/>
        </w:rPr>
        <w:footnoteReference w:id="17"/>
      </w:r>
      <w:r w:rsidR="00333790">
        <w:rPr>
          <w:rFonts w:hint="eastAsia"/>
        </w:rPr>
        <w:t xml:space="preserve"> </w:t>
      </w:r>
      <w:r w:rsidRPr="000364C7">
        <w:rPr>
          <w:rFonts w:hint="eastAsia"/>
        </w:rPr>
        <w:t>每天获准离开加沙到以色列接受治疗的巴勒斯坦患者人数限额从</w:t>
      </w:r>
      <w:r w:rsidRPr="000364C7">
        <w:rPr>
          <w:rFonts w:hint="eastAsia"/>
        </w:rPr>
        <w:t>80</w:t>
      </w:r>
      <w:r w:rsidRPr="000364C7">
        <w:rPr>
          <w:rFonts w:hint="eastAsia"/>
        </w:rPr>
        <w:t>人增至</w:t>
      </w:r>
      <w:r w:rsidRPr="000364C7">
        <w:rPr>
          <w:rFonts w:hint="eastAsia"/>
        </w:rPr>
        <w:t>120</w:t>
      </w:r>
      <w:r w:rsidRPr="000364C7">
        <w:rPr>
          <w:rFonts w:hint="eastAsia"/>
        </w:rPr>
        <w:t>人。以色列当局也放宽了对加沙巴勒斯坦运动员的通行限制。</w:t>
      </w:r>
      <w:r w:rsidRPr="000364C7">
        <w:rPr>
          <w:rFonts w:hint="eastAsia"/>
        </w:rPr>
        <w:t>2015</w:t>
      </w:r>
      <w:r w:rsidRPr="000364C7">
        <w:rPr>
          <w:rFonts w:hint="eastAsia"/>
        </w:rPr>
        <w:t>年</w:t>
      </w:r>
      <w:r w:rsidRPr="000364C7">
        <w:rPr>
          <w:rFonts w:hint="eastAsia"/>
        </w:rPr>
        <w:t>3</w:t>
      </w:r>
      <w:r w:rsidRPr="000364C7">
        <w:rPr>
          <w:rFonts w:hint="eastAsia"/>
        </w:rPr>
        <w:t>月，</w:t>
      </w:r>
      <w:r w:rsidRPr="000364C7">
        <w:rPr>
          <w:rFonts w:hint="eastAsia"/>
        </w:rPr>
        <w:t>46</w:t>
      </w:r>
      <w:r w:rsidRPr="000364C7">
        <w:rPr>
          <w:rFonts w:hint="eastAsia"/>
        </w:rPr>
        <w:t>名加沙选手获准进入西岸参加一年一度的巴勒斯坦马拉松赛。</w:t>
      </w:r>
      <w:r w:rsidRPr="000364C7">
        <w:rPr>
          <w:vertAlign w:val="superscript"/>
        </w:rPr>
        <w:footnoteReference w:id="18"/>
      </w:r>
      <w:r w:rsidR="00333790">
        <w:rPr>
          <w:rFonts w:hint="eastAsia"/>
        </w:rPr>
        <w:t xml:space="preserve"> </w:t>
      </w:r>
      <w:r w:rsidRPr="000364C7">
        <w:rPr>
          <w:rFonts w:hint="eastAsia"/>
        </w:rPr>
        <w:t>斋月期间，</w:t>
      </w:r>
      <w:r w:rsidRPr="000364C7">
        <w:rPr>
          <w:rFonts w:hint="eastAsia"/>
        </w:rPr>
        <w:t>500</w:t>
      </w:r>
      <w:r w:rsidRPr="000364C7">
        <w:rPr>
          <w:rFonts w:hint="eastAsia"/>
        </w:rPr>
        <w:t>名加沙巴勒斯坦人获得许可前往在耶路撒冷的阿克萨清真寺参加祈祷。</w:t>
      </w:r>
      <w:r w:rsidRPr="000364C7">
        <w:rPr>
          <w:vertAlign w:val="superscript"/>
        </w:rPr>
        <w:footnoteReference w:id="19"/>
      </w:r>
      <w:r w:rsidR="00333790">
        <w:rPr>
          <w:rFonts w:hint="eastAsia"/>
        </w:rPr>
        <w:t xml:space="preserve"> </w:t>
      </w:r>
      <w:r w:rsidRPr="000364C7">
        <w:rPr>
          <w:rFonts w:hint="eastAsia"/>
        </w:rPr>
        <w:t>虽然这些措施值得欢迎，但只要通行证制度仍然存在，就不太可能出现持久改善。</w:t>
      </w:r>
    </w:p>
    <w:p w:rsidR="000364C7" w:rsidRDefault="000364C7" w:rsidP="000364C7">
      <w:pPr>
        <w:pStyle w:val="SingleTxt"/>
      </w:pPr>
      <w:r w:rsidRPr="000364C7">
        <w:rPr>
          <w:rFonts w:hint="eastAsia"/>
        </w:rPr>
        <w:t>18</w:t>
      </w:r>
      <w:r w:rsidR="00333790">
        <w:rPr>
          <w:rFonts w:hint="eastAsia"/>
        </w:rPr>
        <w:t>.</w:t>
      </w:r>
      <w:r w:rsidRPr="000364C7">
        <w:t xml:space="preserve"> </w:t>
      </w:r>
      <w:r w:rsidR="00333790">
        <w:rPr>
          <w:rFonts w:hint="eastAsia"/>
        </w:rPr>
        <w:t xml:space="preserve"> </w:t>
      </w:r>
      <w:r w:rsidRPr="000364C7">
        <w:rPr>
          <w:rFonts w:hint="eastAsia"/>
        </w:rPr>
        <w:t>多年来，试图进入以色列、以色列定居点和“衔接区”或经由约旦的阿伦比大桥出国的数以万计的巴勒斯坦人，被以色列安全局列入黑名单，通过证被取消，申请遭到拒绝。</w:t>
      </w:r>
      <w:r w:rsidRPr="000364C7">
        <w:rPr>
          <w:vertAlign w:val="superscript"/>
        </w:rPr>
        <w:footnoteReference w:id="20"/>
      </w:r>
      <w:r w:rsidR="00333790">
        <w:rPr>
          <w:rFonts w:hint="eastAsia"/>
        </w:rPr>
        <w:t xml:space="preserve"> </w:t>
      </w:r>
      <w:r w:rsidRPr="000364C7">
        <w:rPr>
          <w:rFonts w:hint="eastAsia"/>
        </w:rPr>
        <w:t>拒绝不说明理由，实施限制前通常也不通知。结果是许多巴勒斯坦人在过检查站时被拦下才知道有这些限制。</w:t>
      </w:r>
      <w:r w:rsidRPr="000364C7">
        <w:rPr>
          <w:vertAlign w:val="superscript"/>
        </w:rPr>
        <w:footnoteReference w:id="21"/>
      </w:r>
    </w:p>
    <w:p w:rsidR="000364C7" w:rsidRDefault="000364C7" w:rsidP="000364C7">
      <w:pPr>
        <w:pStyle w:val="SingleTxt"/>
      </w:pPr>
      <w:r w:rsidRPr="000364C7">
        <w:rPr>
          <w:rFonts w:hint="eastAsia"/>
        </w:rPr>
        <w:t>19</w:t>
      </w:r>
      <w:r>
        <w:rPr>
          <w:rFonts w:hint="eastAsia"/>
        </w:rPr>
        <w:t xml:space="preserve">.  </w:t>
      </w:r>
      <w:r w:rsidRPr="000364C7">
        <w:rPr>
          <w:rFonts w:hint="eastAsia"/>
        </w:rPr>
        <w:t>以色列非政府组织“</w:t>
      </w:r>
      <w:r w:rsidRPr="000364C7">
        <w:rPr>
          <w:rFonts w:hint="eastAsia"/>
        </w:rPr>
        <w:t>Machsom</w:t>
      </w:r>
      <w:r w:rsidRPr="000364C7">
        <w:t>Watch</w:t>
      </w:r>
      <w:r w:rsidRPr="000364C7">
        <w:rPr>
          <w:rFonts w:hint="eastAsia"/>
        </w:rPr>
        <w:t>”协助许多被列入黑名单的巴勒斯坦人向地区协调办公室提出申诉。</w:t>
      </w:r>
      <w:r w:rsidRPr="000364C7">
        <w:rPr>
          <w:vertAlign w:val="superscript"/>
        </w:rPr>
        <w:footnoteReference w:id="22"/>
      </w:r>
      <w:r w:rsidR="00333790">
        <w:rPr>
          <w:rFonts w:hint="eastAsia"/>
        </w:rPr>
        <w:t xml:space="preserve"> </w:t>
      </w:r>
      <w:r w:rsidRPr="000364C7">
        <w:rPr>
          <w:rFonts w:hint="eastAsia"/>
        </w:rPr>
        <w:t>在</w:t>
      </w:r>
      <w:r w:rsidRPr="000364C7">
        <w:rPr>
          <w:rFonts w:hint="eastAsia"/>
        </w:rPr>
        <w:t>2014</w:t>
      </w:r>
      <w:r w:rsidRPr="000364C7">
        <w:rPr>
          <w:rFonts w:hint="eastAsia"/>
        </w:rPr>
        <w:t>年处理的</w:t>
      </w:r>
      <w:r w:rsidRPr="000364C7">
        <w:rPr>
          <w:rFonts w:hint="eastAsia"/>
        </w:rPr>
        <w:t>59</w:t>
      </w:r>
      <w:r>
        <w:rPr>
          <w:rFonts w:hint="eastAsia"/>
        </w:rPr>
        <w:t>%</w:t>
      </w:r>
      <w:r w:rsidRPr="000364C7">
        <w:rPr>
          <w:rFonts w:hint="eastAsia"/>
        </w:rPr>
        <w:t>案件中，该组织将所涉个人从黑名单中删除。</w:t>
      </w:r>
      <w:r w:rsidRPr="000364C7">
        <w:rPr>
          <w:vertAlign w:val="superscript"/>
        </w:rPr>
        <w:footnoteReference w:id="23"/>
      </w:r>
      <w:r w:rsidR="00333790">
        <w:rPr>
          <w:rFonts w:hint="eastAsia"/>
        </w:rPr>
        <w:t xml:space="preserve"> </w:t>
      </w:r>
      <w:r w:rsidRPr="000364C7">
        <w:rPr>
          <w:rFonts w:hint="eastAsia"/>
        </w:rPr>
        <w:t>这么高的胜诉率说明了这一制度本身的随意性。</w:t>
      </w:r>
    </w:p>
    <w:p w:rsidR="000364C7" w:rsidRDefault="000364C7" w:rsidP="000364C7">
      <w:pPr>
        <w:pStyle w:val="SingleTxt"/>
      </w:pPr>
      <w:r w:rsidRPr="000364C7">
        <w:rPr>
          <w:rFonts w:hint="eastAsia"/>
        </w:rPr>
        <w:t>20</w:t>
      </w:r>
      <w:r>
        <w:rPr>
          <w:rFonts w:hint="eastAsia"/>
        </w:rPr>
        <w:t xml:space="preserve">.  </w:t>
      </w:r>
      <w:r w:rsidRPr="000364C7">
        <w:rPr>
          <w:rFonts w:hint="eastAsia"/>
        </w:rPr>
        <w:t>行动自由是一项人权，但个人通行证制度将以色列当局给予或拒绝当作一项特权和规范的例外。虽然为保障国家安全可以在特定情况下施加某些限制，但要求申请人必须符合狭义标准，如看望患病亲属或需要住院治疗，则根本违反《公民权利和政治权利国际公约》。权利和限制之间的关系不能颠倒，行动自由不得从属于任何特定目的或理由。</w:t>
      </w:r>
      <w:r w:rsidRPr="000364C7">
        <w:rPr>
          <w:vertAlign w:val="superscript"/>
        </w:rPr>
        <w:footnoteReference w:id="24"/>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333790" w:rsidP="003337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2</w:t>
      </w:r>
      <w:r w:rsidR="000364C7">
        <w:t>.</w:t>
      </w:r>
      <w:r>
        <w:rPr>
          <w:rFonts w:hint="eastAsia"/>
        </w:rPr>
        <w:tab/>
      </w:r>
      <w:r w:rsidR="000364C7" w:rsidRPr="000364C7">
        <w:rPr>
          <w:rFonts w:hint="eastAsia"/>
        </w:rPr>
        <w:t>西岸包括东耶路撒冷的行动自由限制</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Pr="000364C7" w:rsidRDefault="000364C7" w:rsidP="000364C7">
      <w:pPr>
        <w:pStyle w:val="SingleTxt"/>
      </w:pPr>
      <w:r w:rsidRPr="000364C7">
        <w:rPr>
          <w:rFonts w:hint="eastAsia"/>
        </w:rPr>
        <w:t>21</w:t>
      </w:r>
      <w:r>
        <w:rPr>
          <w:rFonts w:hint="eastAsia"/>
        </w:rPr>
        <w:t xml:space="preserve">.  </w:t>
      </w:r>
      <w:r w:rsidRPr="000364C7">
        <w:rPr>
          <w:rFonts w:hint="eastAsia"/>
        </w:rPr>
        <w:t>各种检查站和通行证要求，以及扩建定居点和相关基础设施，限制了西岸巴勒斯坦人的行动自由。大多数巴勒斯坦人没有许可证不能进入西岸两个主要区域，即隔离墙西面的“衔接区”和东耶路撒冷。</w:t>
      </w:r>
    </w:p>
    <w:p w:rsidR="009415CD" w:rsidRDefault="009415CD"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333790" w:rsidP="0033379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定居点和其他封闭区的相关行动限制</w:t>
      </w:r>
    </w:p>
    <w:p w:rsidR="009415CD" w:rsidRDefault="009415CD"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0364C7" w:rsidP="00333790">
      <w:pPr>
        <w:pStyle w:val="SingleTxt"/>
      </w:pPr>
      <w:r w:rsidRPr="000364C7">
        <w:rPr>
          <w:rFonts w:hint="eastAsia"/>
        </w:rPr>
        <w:t>22</w:t>
      </w:r>
      <w:r>
        <w:rPr>
          <w:rFonts w:hint="eastAsia"/>
        </w:rPr>
        <w:t xml:space="preserve">.  </w:t>
      </w:r>
      <w:r w:rsidRPr="000364C7">
        <w:rPr>
          <w:rFonts w:hint="eastAsia"/>
        </w:rPr>
        <w:t>C</w:t>
      </w:r>
      <w:r w:rsidRPr="000364C7">
        <w:rPr>
          <w:rFonts w:hint="eastAsia"/>
        </w:rPr>
        <w:t>区和东耶路撒冷的以色列定居点实行许多行动限制。西岸，包括东耶路撒冷大约有</w:t>
      </w:r>
      <w:r w:rsidRPr="000364C7">
        <w:rPr>
          <w:rFonts w:hint="eastAsia"/>
        </w:rPr>
        <w:t>142</w:t>
      </w:r>
      <w:r w:rsidRPr="000364C7">
        <w:rPr>
          <w:rFonts w:hint="eastAsia"/>
        </w:rPr>
        <w:t>个定居点。</w:t>
      </w:r>
      <w:r w:rsidRPr="000364C7">
        <w:rPr>
          <w:vertAlign w:val="superscript"/>
        </w:rPr>
        <w:footnoteReference w:id="25"/>
      </w:r>
      <w:r w:rsidR="00333790">
        <w:rPr>
          <w:rFonts w:hint="eastAsia"/>
        </w:rPr>
        <w:t xml:space="preserve"> </w:t>
      </w:r>
      <w:r w:rsidRPr="000364C7">
        <w:rPr>
          <w:rFonts w:hint="eastAsia"/>
        </w:rPr>
        <w:t>以色列当局说，对巴勒斯坦人行动自由实行一些限制是为了保护定居者安全，方便他们在整个西岸的行动。这些措施包括限制巴勒斯坦人进入他们在定居点附近的私人土地和限制巴勒斯坦人使用以色列定居者使用的道路</w:t>
      </w:r>
      <w:r>
        <w:rPr>
          <w:rFonts w:hint="eastAsia"/>
        </w:rPr>
        <w:t>(</w:t>
      </w:r>
      <w:r w:rsidRPr="000364C7">
        <w:rPr>
          <w:rFonts w:hint="eastAsia"/>
        </w:rPr>
        <w:t>见</w:t>
      </w:r>
      <w:r w:rsidRPr="000364C7">
        <w:rPr>
          <w:rFonts w:hint="eastAsia"/>
        </w:rPr>
        <w:t>A/67/375</w:t>
      </w:r>
      <w:r w:rsidRPr="000364C7">
        <w:rPr>
          <w:rFonts w:hint="eastAsia"/>
        </w:rPr>
        <w:t>和</w:t>
      </w:r>
      <w:r w:rsidRPr="000364C7">
        <w:rPr>
          <w:rFonts w:hint="eastAsia"/>
        </w:rPr>
        <w:t>A/HRC/31/43</w:t>
      </w:r>
      <w:r>
        <w:rPr>
          <w:rFonts w:hint="eastAsia"/>
        </w:rPr>
        <w:t>)</w:t>
      </w:r>
      <w:r w:rsidRPr="000364C7">
        <w:rPr>
          <w:rFonts w:hint="eastAsia"/>
        </w:rPr>
        <w:t>。</w:t>
      </w:r>
    </w:p>
    <w:p w:rsidR="000364C7" w:rsidRDefault="000364C7" w:rsidP="009415CD">
      <w:pPr>
        <w:pStyle w:val="SingleTxt"/>
        <w:overflowPunct w:val="0"/>
      </w:pPr>
      <w:r w:rsidRPr="000364C7">
        <w:rPr>
          <w:rFonts w:hint="eastAsia"/>
        </w:rPr>
        <w:t>23</w:t>
      </w:r>
      <w:r>
        <w:rPr>
          <w:rFonts w:hint="eastAsia"/>
        </w:rPr>
        <w:t xml:space="preserve">.  </w:t>
      </w:r>
      <w:r w:rsidRPr="000364C7">
        <w:rPr>
          <w:rFonts w:hint="eastAsia"/>
        </w:rPr>
        <w:t>对毗临以色列定居点的巴勒斯坦人有着特别严格的行动限制。在希伯伦的</w:t>
      </w:r>
      <w:r w:rsidRPr="000364C7">
        <w:rPr>
          <w:rFonts w:hint="eastAsia"/>
        </w:rPr>
        <w:t>H2</w:t>
      </w:r>
      <w:r w:rsidRPr="000364C7">
        <w:rPr>
          <w:rFonts w:hint="eastAsia"/>
        </w:rPr>
        <w:t>区，有大约</w:t>
      </w:r>
      <w:r w:rsidRPr="000364C7">
        <w:rPr>
          <w:rFonts w:hint="eastAsia"/>
        </w:rPr>
        <w:t>6</w:t>
      </w:r>
      <w:r w:rsidR="00333790">
        <w:rPr>
          <w:rFonts w:hint="eastAsia"/>
        </w:rPr>
        <w:t>,</w:t>
      </w:r>
      <w:r w:rsidRPr="000364C7">
        <w:rPr>
          <w:rFonts w:hint="eastAsia"/>
        </w:rPr>
        <w:t>000</w:t>
      </w:r>
      <w:r w:rsidRPr="000364C7">
        <w:rPr>
          <w:rFonts w:hint="eastAsia"/>
        </w:rPr>
        <w:t>巴勒斯坦人住在定居点附近。过去</w:t>
      </w:r>
      <w:r w:rsidRPr="000364C7">
        <w:rPr>
          <w:rFonts w:hint="eastAsia"/>
        </w:rPr>
        <w:t>15</w:t>
      </w:r>
      <w:r w:rsidRPr="000364C7">
        <w:rPr>
          <w:rFonts w:hint="eastAsia"/>
        </w:rPr>
        <w:t>年，以色列设置了</w:t>
      </w:r>
      <w:r w:rsidRPr="000364C7">
        <w:rPr>
          <w:rFonts w:hint="eastAsia"/>
        </w:rPr>
        <w:t>95</w:t>
      </w:r>
      <w:r w:rsidRPr="000364C7">
        <w:rPr>
          <w:rFonts w:hint="eastAsia"/>
        </w:rPr>
        <w:t>处障碍，包括</w:t>
      </w:r>
      <w:r w:rsidRPr="000364C7">
        <w:rPr>
          <w:rFonts w:hint="eastAsia"/>
        </w:rPr>
        <w:t>19</w:t>
      </w:r>
      <w:r w:rsidRPr="000364C7">
        <w:rPr>
          <w:rFonts w:hint="eastAsia"/>
        </w:rPr>
        <w:t>个常年有人</w:t>
      </w:r>
      <w:r w:rsidRPr="000364C7">
        <w:t>驻守</w:t>
      </w:r>
      <w:r w:rsidRPr="000364C7">
        <w:rPr>
          <w:rFonts w:hint="eastAsia"/>
        </w:rPr>
        <w:t>的检查站，对车辆有时也对行人进行检查。</w:t>
      </w:r>
      <w:r w:rsidRPr="000364C7">
        <w:rPr>
          <w:vertAlign w:val="superscript"/>
        </w:rPr>
        <w:footnoteReference w:id="26"/>
      </w:r>
      <w:r w:rsidR="00333790">
        <w:rPr>
          <w:rFonts w:hint="eastAsia"/>
        </w:rPr>
        <w:t xml:space="preserve"> </w:t>
      </w:r>
      <w:r w:rsidRPr="000364C7">
        <w:rPr>
          <w:rFonts w:hint="eastAsia"/>
        </w:rPr>
        <w:t>因此，前往学校和医院都十分不便，封闭区的许多巴勒斯坦商店，以及城里主要蔬菜批发市场都已关闭，几千巴勒斯坦人被迫搬离自己家园。</w:t>
      </w:r>
      <w:r w:rsidRPr="000364C7">
        <w:rPr>
          <w:vertAlign w:val="superscript"/>
        </w:rPr>
        <w:footnoteReference w:id="27"/>
      </w:r>
    </w:p>
    <w:p w:rsidR="000364C7" w:rsidRPr="000364C7" w:rsidRDefault="000364C7" w:rsidP="009415CD">
      <w:pPr>
        <w:pStyle w:val="SingleTxt"/>
        <w:overflowPunct w:val="0"/>
      </w:pPr>
      <w:r w:rsidRPr="000364C7">
        <w:rPr>
          <w:rFonts w:hint="eastAsia"/>
        </w:rPr>
        <w:t>24</w:t>
      </w:r>
      <w:r>
        <w:rPr>
          <w:rFonts w:hint="eastAsia"/>
        </w:rPr>
        <w:t xml:space="preserve">.  </w:t>
      </w:r>
      <w:r w:rsidRPr="000364C7">
        <w:rPr>
          <w:rFonts w:hint="eastAsia"/>
        </w:rPr>
        <w:t>自</w:t>
      </w:r>
      <w:r w:rsidRPr="000364C7">
        <w:rPr>
          <w:rFonts w:hint="eastAsia"/>
        </w:rPr>
        <w:t>2015</w:t>
      </w:r>
      <w:r w:rsidRPr="000364C7">
        <w:rPr>
          <w:rFonts w:hint="eastAsia"/>
        </w:rPr>
        <w:t>年</w:t>
      </w:r>
      <w:r w:rsidRPr="000364C7">
        <w:rPr>
          <w:rFonts w:hint="eastAsia"/>
        </w:rPr>
        <w:t>10</w:t>
      </w:r>
      <w:r w:rsidRPr="000364C7">
        <w:rPr>
          <w:rFonts w:hint="eastAsia"/>
        </w:rPr>
        <w:t>月以来，在发生一系列袭击和冲突后，</w:t>
      </w:r>
      <w:r w:rsidRPr="000364C7">
        <w:rPr>
          <w:rFonts w:hint="eastAsia"/>
        </w:rPr>
        <w:t>H2</w:t>
      </w:r>
      <w:r w:rsidRPr="000364C7">
        <w:rPr>
          <w:rFonts w:hint="eastAsia"/>
        </w:rPr>
        <w:t>区巴勒斯坦人的行动进一步受到限制。</w:t>
      </w:r>
      <w:r w:rsidRPr="000364C7">
        <w:rPr>
          <w:rFonts w:hint="eastAsia"/>
        </w:rPr>
        <w:t>10</w:t>
      </w:r>
      <w:r w:rsidRPr="000364C7">
        <w:rPr>
          <w:rFonts w:hint="eastAsia"/>
        </w:rPr>
        <w:t>月</w:t>
      </w:r>
      <w:r w:rsidRPr="000364C7">
        <w:rPr>
          <w:rFonts w:hint="eastAsia"/>
        </w:rPr>
        <w:t>29</w:t>
      </w:r>
      <w:r w:rsidRPr="000364C7">
        <w:rPr>
          <w:rFonts w:hint="eastAsia"/>
        </w:rPr>
        <w:t>日宣布</w:t>
      </w:r>
      <w:r w:rsidRPr="000364C7">
        <w:t xml:space="preserve">Tel </w:t>
      </w:r>
      <w:r w:rsidRPr="000364C7">
        <w:rPr>
          <w:rFonts w:hint="eastAsia"/>
        </w:rPr>
        <w:t>Rumeida</w:t>
      </w:r>
      <w:r w:rsidRPr="000364C7">
        <w:rPr>
          <w:rFonts w:hint="eastAsia"/>
        </w:rPr>
        <w:t>地区为封闭军事区，进入该地区必经的两个检查站只对预先向以色列当局提出申请的巴勒斯坦居民开放。</w:t>
      </w:r>
      <w:r w:rsidRPr="000364C7">
        <w:rPr>
          <w:vertAlign w:val="superscript"/>
        </w:rPr>
        <w:footnoteReference w:id="28"/>
      </w:r>
    </w:p>
    <w:p w:rsidR="000364C7" w:rsidRDefault="000364C7"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333790" w:rsidP="0033379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隔离墙和衔接区的相关行动限制</w:t>
      </w:r>
    </w:p>
    <w:p w:rsidR="00333790" w:rsidRDefault="00333790"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0364C7" w:rsidP="00C53DF0">
      <w:pPr>
        <w:pStyle w:val="SingleTxt"/>
        <w:overflowPunct w:val="0"/>
      </w:pPr>
      <w:r w:rsidRPr="000364C7">
        <w:rPr>
          <w:rFonts w:hint="eastAsia"/>
        </w:rPr>
        <w:t>25</w:t>
      </w:r>
      <w:r>
        <w:rPr>
          <w:rFonts w:hint="eastAsia"/>
        </w:rPr>
        <w:t xml:space="preserve">.  </w:t>
      </w:r>
      <w:r w:rsidRPr="000364C7">
        <w:rPr>
          <w:rFonts w:hint="eastAsia"/>
        </w:rPr>
        <w:t>隔离墙是西岸行动自由的一个主要障碍。国际法院在关于在巴勒斯坦被占领土上修建隔离墙的法律后果的咨询意见中认为，偏离绿线的部分是非法的。然而，迄今为止，计划修建的</w:t>
      </w:r>
      <w:r w:rsidRPr="000364C7">
        <w:rPr>
          <w:rFonts w:hint="eastAsia"/>
        </w:rPr>
        <w:t>712</w:t>
      </w:r>
      <w:r w:rsidRPr="000364C7">
        <w:rPr>
          <w:rFonts w:hint="eastAsia"/>
        </w:rPr>
        <w:t>公里隔离墙已完成约</w:t>
      </w:r>
      <w:r w:rsidRPr="000364C7">
        <w:rPr>
          <w:rFonts w:hint="eastAsia"/>
        </w:rPr>
        <w:t>64.2</w:t>
      </w:r>
      <w:r>
        <w:rPr>
          <w:rFonts w:hint="eastAsia"/>
        </w:rPr>
        <w:t>%</w:t>
      </w:r>
      <w:r w:rsidRPr="000364C7">
        <w:rPr>
          <w:rFonts w:hint="eastAsia"/>
        </w:rPr>
        <w:t>，其中</w:t>
      </w:r>
      <w:r w:rsidRPr="000364C7">
        <w:rPr>
          <w:rFonts w:hint="eastAsia"/>
        </w:rPr>
        <w:t>85</w:t>
      </w:r>
      <w:r>
        <w:rPr>
          <w:rFonts w:hint="eastAsia"/>
        </w:rPr>
        <w:t>%</w:t>
      </w:r>
      <w:r w:rsidRPr="000364C7">
        <w:rPr>
          <w:rFonts w:hint="eastAsia"/>
        </w:rPr>
        <w:t>贯穿西岸。</w:t>
      </w:r>
      <w:r w:rsidRPr="000364C7">
        <w:rPr>
          <w:vertAlign w:val="superscript"/>
        </w:rPr>
        <w:footnoteReference w:id="29"/>
      </w:r>
      <w:r w:rsidR="00333790">
        <w:rPr>
          <w:rFonts w:hint="eastAsia"/>
        </w:rPr>
        <w:t xml:space="preserve"> </w:t>
      </w:r>
      <w:r w:rsidRPr="000364C7">
        <w:rPr>
          <w:rFonts w:hint="eastAsia"/>
        </w:rPr>
        <w:t>秘书长描述了限制进入“衔接区”的路栅门和通行证制度如何妨碍那里约</w:t>
      </w:r>
      <w:r w:rsidRPr="000364C7">
        <w:rPr>
          <w:rFonts w:hint="eastAsia"/>
        </w:rPr>
        <w:t>11</w:t>
      </w:r>
      <w:r w:rsidR="00333790">
        <w:rPr>
          <w:rFonts w:hint="eastAsia"/>
        </w:rPr>
        <w:t>,</w:t>
      </w:r>
      <w:r w:rsidRPr="000364C7">
        <w:rPr>
          <w:rFonts w:hint="eastAsia"/>
        </w:rPr>
        <w:t>000</w:t>
      </w:r>
      <w:r w:rsidRPr="000364C7">
        <w:rPr>
          <w:rFonts w:hint="eastAsia"/>
        </w:rPr>
        <w:t>巴勒斯坦人过上正常生活以及享有工作、家庭生活和医疗权利</w:t>
      </w:r>
      <w:r>
        <w:rPr>
          <w:rFonts w:hint="eastAsia"/>
        </w:rPr>
        <w:t>(</w:t>
      </w:r>
      <w:r w:rsidRPr="000364C7">
        <w:rPr>
          <w:rFonts w:hint="eastAsia"/>
        </w:rPr>
        <w:t>见</w:t>
      </w:r>
      <w:r w:rsidRPr="000364C7">
        <w:rPr>
          <w:rFonts w:hint="eastAsia"/>
        </w:rPr>
        <w:t>A/68/50</w:t>
      </w:r>
      <w:r>
        <w:rPr>
          <w:rFonts w:hint="eastAsia"/>
        </w:rPr>
        <w:t>2,</w:t>
      </w:r>
      <w:r w:rsidR="00333790">
        <w:rPr>
          <w:rFonts w:hint="eastAsia"/>
        </w:rPr>
        <w:t xml:space="preserve"> </w:t>
      </w:r>
      <w:r w:rsidRPr="000364C7">
        <w:rPr>
          <w:rFonts w:hint="eastAsia"/>
        </w:rPr>
        <w:t>第</w:t>
      </w:r>
      <w:r w:rsidRPr="000364C7">
        <w:rPr>
          <w:rFonts w:hint="eastAsia"/>
        </w:rPr>
        <w:t>23</w:t>
      </w:r>
      <w:r w:rsidRPr="000364C7">
        <w:rPr>
          <w:rFonts w:hint="eastAsia"/>
        </w:rPr>
        <w:t>段</w:t>
      </w:r>
      <w:r>
        <w:rPr>
          <w:rFonts w:hint="eastAsia"/>
        </w:rPr>
        <w:t>)</w:t>
      </w:r>
      <w:r w:rsidRPr="000364C7">
        <w:rPr>
          <w:rFonts w:hint="eastAsia"/>
        </w:rPr>
        <w:t>。</w:t>
      </w:r>
    </w:p>
    <w:p w:rsidR="000364C7" w:rsidRDefault="000364C7" w:rsidP="00C53DF0">
      <w:pPr>
        <w:pStyle w:val="SingleTxt"/>
        <w:overflowPunct w:val="0"/>
      </w:pPr>
      <w:r w:rsidRPr="000364C7">
        <w:rPr>
          <w:rFonts w:hint="eastAsia"/>
        </w:rPr>
        <w:t>26</w:t>
      </w:r>
      <w:r>
        <w:rPr>
          <w:rFonts w:hint="eastAsia"/>
        </w:rPr>
        <w:t xml:space="preserve">.  </w:t>
      </w:r>
      <w:r w:rsidRPr="000364C7">
        <w:rPr>
          <w:rFonts w:hint="eastAsia"/>
        </w:rPr>
        <w:t>本报告期内，以色列高等法院作出决定，允许恢复修建伯利恒附近拜特贾拉</w:t>
      </w:r>
      <w:r>
        <w:rPr>
          <w:rFonts w:hint="eastAsia"/>
        </w:rPr>
        <w:t>(</w:t>
      </w:r>
      <w:r w:rsidRPr="000364C7">
        <w:t>Beit Jala</w:t>
      </w:r>
      <w:r>
        <w:rPr>
          <w:rFonts w:hint="eastAsia"/>
        </w:rPr>
        <w:t>)</w:t>
      </w:r>
      <w:r w:rsidRPr="000364C7">
        <w:rPr>
          <w:rFonts w:hint="eastAsia"/>
        </w:rPr>
        <w:t>的</w:t>
      </w:r>
      <w:r w:rsidRPr="000364C7">
        <w:t xml:space="preserve">Wadi </w:t>
      </w:r>
      <w:r w:rsidRPr="000364C7">
        <w:rPr>
          <w:rFonts w:hint="eastAsia"/>
        </w:rPr>
        <w:t>Cremisan</w:t>
      </w:r>
      <w:r w:rsidRPr="000364C7">
        <w:rPr>
          <w:rFonts w:hint="eastAsia"/>
        </w:rPr>
        <w:t>一段隔离墙。</w:t>
      </w:r>
      <w:r w:rsidRPr="000364C7">
        <w:rPr>
          <w:vertAlign w:val="superscript"/>
        </w:rPr>
        <w:footnoteReference w:id="30"/>
      </w:r>
      <w:r w:rsidR="00333790">
        <w:rPr>
          <w:rFonts w:hint="eastAsia"/>
        </w:rPr>
        <w:t xml:space="preserve"> </w:t>
      </w:r>
      <w:r w:rsidRPr="000364C7">
        <w:rPr>
          <w:rFonts w:hint="eastAsia"/>
        </w:rPr>
        <w:t>2015</w:t>
      </w:r>
      <w:r w:rsidRPr="000364C7">
        <w:rPr>
          <w:rFonts w:hint="eastAsia"/>
        </w:rPr>
        <w:t>年</w:t>
      </w:r>
      <w:r w:rsidRPr="000364C7">
        <w:rPr>
          <w:rFonts w:hint="eastAsia"/>
        </w:rPr>
        <w:t>8</w:t>
      </w:r>
      <w:r w:rsidRPr="000364C7">
        <w:rPr>
          <w:rFonts w:hint="eastAsia"/>
        </w:rPr>
        <w:t>月</w:t>
      </w:r>
      <w:r w:rsidRPr="000364C7">
        <w:rPr>
          <w:rFonts w:hint="eastAsia"/>
        </w:rPr>
        <w:t>17</w:t>
      </w:r>
      <w:r w:rsidRPr="000364C7">
        <w:rPr>
          <w:rFonts w:hint="eastAsia"/>
        </w:rPr>
        <w:t>日工程筹备已经开始。这段隔离墙将使该镇与</w:t>
      </w:r>
      <w:r w:rsidRPr="000364C7">
        <w:rPr>
          <w:rFonts w:hint="eastAsia"/>
        </w:rPr>
        <w:t>58</w:t>
      </w:r>
      <w:r w:rsidRPr="000364C7">
        <w:rPr>
          <w:rFonts w:hint="eastAsia"/>
        </w:rPr>
        <w:t>户巴勒斯坦家庭拥有的</w:t>
      </w:r>
      <w:r w:rsidRPr="000364C7">
        <w:rPr>
          <w:rFonts w:hint="eastAsia"/>
        </w:rPr>
        <w:t>3</w:t>
      </w:r>
      <w:r w:rsidR="00333790">
        <w:rPr>
          <w:rFonts w:hint="eastAsia"/>
        </w:rPr>
        <w:t>,</w:t>
      </w:r>
      <w:r w:rsidRPr="000364C7">
        <w:rPr>
          <w:rFonts w:hint="eastAsia"/>
        </w:rPr>
        <w:t>000</w:t>
      </w:r>
      <w:r w:rsidRPr="000364C7">
        <w:rPr>
          <w:rFonts w:hint="eastAsia"/>
        </w:rPr>
        <w:t>德南土地分开，而这些土地是该社区不可缺少的收入来源。</w:t>
      </w:r>
      <w:r w:rsidRPr="000364C7">
        <w:rPr>
          <w:vertAlign w:val="superscript"/>
        </w:rPr>
        <w:footnoteReference w:id="31"/>
      </w:r>
    </w:p>
    <w:p w:rsidR="000364C7" w:rsidRDefault="000364C7" w:rsidP="000364C7">
      <w:pPr>
        <w:pStyle w:val="SingleTxt"/>
      </w:pPr>
      <w:r w:rsidRPr="000364C7">
        <w:rPr>
          <w:rFonts w:hint="eastAsia"/>
        </w:rPr>
        <w:t>27</w:t>
      </w:r>
      <w:r>
        <w:rPr>
          <w:rFonts w:hint="eastAsia"/>
        </w:rPr>
        <w:t xml:space="preserve">.  </w:t>
      </w:r>
      <w:r w:rsidRPr="000364C7">
        <w:rPr>
          <w:rFonts w:hint="eastAsia"/>
        </w:rPr>
        <w:t>虽然以色列当局承诺修建“农业门”，以方便农民进入“衔接区”的土地进行耕作，但预计进出将受限制。</w:t>
      </w:r>
      <w:r w:rsidRPr="000364C7">
        <w:rPr>
          <w:vertAlign w:val="superscript"/>
        </w:rPr>
        <w:footnoteReference w:id="32"/>
      </w:r>
      <w:r w:rsidR="00333790">
        <w:rPr>
          <w:rFonts w:hint="eastAsia"/>
        </w:rPr>
        <w:t xml:space="preserve"> </w:t>
      </w:r>
      <w:r w:rsidRPr="000364C7">
        <w:rPr>
          <w:rFonts w:hint="eastAsia"/>
        </w:rPr>
        <w:t>在所修建的</w:t>
      </w:r>
      <w:r w:rsidRPr="000364C7">
        <w:rPr>
          <w:rFonts w:hint="eastAsia"/>
        </w:rPr>
        <w:t>85</w:t>
      </w:r>
      <w:r w:rsidRPr="000364C7">
        <w:rPr>
          <w:rFonts w:hint="eastAsia"/>
        </w:rPr>
        <w:t>个“农业门”中，只有</w:t>
      </w:r>
      <w:r w:rsidRPr="000364C7">
        <w:rPr>
          <w:rFonts w:hint="eastAsia"/>
        </w:rPr>
        <w:t>9</w:t>
      </w:r>
      <w:r w:rsidRPr="000364C7">
        <w:rPr>
          <w:rFonts w:hint="eastAsia"/>
        </w:rPr>
        <w:t>个每天开放。</w:t>
      </w:r>
      <w:r w:rsidRPr="000364C7">
        <w:rPr>
          <w:vertAlign w:val="superscript"/>
        </w:rPr>
        <w:footnoteReference w:id="33"/>
      </w:r>
      <w:r w:rsidR="00333790">
        <w:rPr>
          <w:rFonts w:hint="eastAsia"/>
        </w:rPr>
        <w:t xml:space="preserve"> </w:t>
      </w:r>
      <w:r w:rsidRPr="000364C7">
        <w:rPr>
          <w:rFonts w:hint="eastAsia"/>
        </w:rPr>
        <w:t>于是，很多农民被迫放弃耕种自家土地或转向较低收益和较低劳动密集型作物。</w:t>
      </w:r>
    </w:p>
    <w:p w:rsidR="009415CD" w:rsidRPr="00DA49CC" w:rsidRDefault="000364C7" w:rsidP="00DA49CC">
      <w:pPr>
        <w:pStyle w:val="SingleTxt"/>
      </w:pPr>
      <w:r w:rsidRPr="000364C7">
        <w:rPr>
          <w:rFonts w:hint="eastAsia"/>
        </w:rPr>
        <w:t>28</w:t>
      </w:r>
      <w:r>
        <w:rPr>
          <w:rFonts w:hint="eastAsia"/>
        </w:rPr>
        <w:t xml:space="preserve">.  </w:t>
      </w:r>
      <w:r w:rsidRPr="000364C7">
        <w:rPr>
          <w:rFonts w:hint="eastAsia"/>
        </w:rPr>
        <w:t>根据关于西岸的军事命令，以色列公民需要持有色列国防军发放的许可才能进入</w:t>
      </w:r>
      <w:r w:rsidRPr="000364C7">
        <w:rPr>
          <w:rFonts w:hint="eastAsia"/>
        </w:rPr>
        <w:t>A</w:t>
      </w:r>
      <w:r w:rsidR="00333790">
        <w:rPr>
          <w:rFonts w:hint="eastAsia"/>
        </w:rPr>
        <w:t>区—</w:t>
      </w:r>
      <w:r w:rsidRPr="000364C7">
        <w:rPr>
          <w:rFonts w:hint="eastAsia"/>
        </w:rPr>
        <w:t>完全由巴勒斯坦权力机构控制的巴勒斯坦城市中心，涵盖西岸</w:t>
      </w:r>
      <w:r w:rsidRPr="000364C7">
        <w:rPr>
          <w:rFonts w:hint="eastAsia"/>
        </w:rPr>
        <w:t>18</w:t>
      </w:r>
      <w:r>
        <w:rPr>
          <w:rFonts w:hint="eastAsia"/>
        </w:rPr>
        <w:t>%</w:t>
      </w:r>
      <w:r w:rsidRPr="000364C7">
        <w:rPr>
          <w:rFonts w:hint="eastAsia"/>
        </w:rPr>
        <w:t>土地。</w:t>
      </w:r>
    </w:p>
    <w:p w:rsidR="000364C7" w:rsidRDefault="000364C7"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333790" w:rsidP="0033379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东耶路撒冷与西岸其他地区隔离</w:t>
      </w:r>
    </w:p>
    <w:p w:rsidR="00333790" w:rsidRDefault="00333790"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0364C7" w:rsidP="000364C7">
      <w:pPr>
        <w:pStyle w:val="SingleTxt"/>
      </w:pPr>
      <w:r w:rsidRPr="000364C7">
        <w:rPr>
          <w:rFonts w:hint="eastAsia"/>
        </w:rPr>
        <w:t>29</w:t>
      </w:r>
      <w:r>
        <w:rPr>
          <w:rFonts w:hint="eastAsia"/>
        </w:rPr>
        <w:t xml:space="preserve">.  </w:t>
      </w:r>
      <w:r w:rsidRPr="000364C7">
        <w:rPr>
          <w:rFonts w:hint="eastAsia"/>
        </w:rPr>
        <w:t>本报告期内，以色列当局继续通过各种限制将东耶路撒冷与西岸其他地区隔离开来，限制东耶路撒冷内的行动自由。居住在东耶路撒冷的巴勒斯坦人需要拥有以色列发放的身份证，才能获得“永久居民”地位。如果主管机关认定耶路撒冷不是证件持有人的“生活中心”，身份证可能撤销</w:t>
      </w:r>
      <w:r>
        <w:rPr>
          <w:rFonts w:hint="eastAsia"/>
        </w:rPr>
        <w:t>(</w:t>
      </w:r>
      <w:r w:rsidRPr="000364C7">
        <w:rPr>
          <w:rFonts w:hint="eastAsia"/>
        </w:rPr>
        <w:t>见</w:t>
      </w:r>
      <w:r w:rsidRPr="000364C7">
        <w:rPr>
          <w:rFonts w:hint="eastAsia"/>
        </w:rPr>
        <w:t>A/68/50</w:t>
      </w:r>
      <w:r>
        <w:rPr>
          <w:rFonts w:hint="eastAsia"/>
        </w:rPr>
        <w:t>2,</w:t>
      </w:r>
      <w:r w:rsidR="00333790">
        <w:rPr>
          <w:rFonts w:hint="eastAsia"/>
        </w:rPr>
        <w:t xml:space="preserve"> </w:t>
      </w:r>
      <w:r w:rsidRPr="000364C7">
        <w:rPr>
          <w:rFonts w:hint="eastAsia"/>
        </w:rPr>
        <w:t>第</w:t>
      </w:r>
      <w:r w:rsidRPr="000364C7">
        <w:rPr>
          <w:rFonts w:hint="eastAsia"/>
        </w:rPr>
        <w:t>28</w:t>
      </w:r>
      <w:r w:rsidRPr="000364C7">
        <w:rPr>
          <w:rFonts w:hint="eastAsia"/>
        </w:rPr>
        <w:t>段</w:t>
      </w:r>
      <w:r>
        <w:rPr>
          <w:rFonts w:hint="eastAsia"/>
        </w:rPr>
        <w:t>)</w:t>
      </w:r>
      <w:r w:rsidRPr="000364C7">
        <w:rPr>
          <w:rFonts w:hint="eastAsia"/>
        </w:rPr>
        <w:t>。因此，东耶路撒冷的巴勒斯坦人如果希望长期到国外旅行，无论是工作或其他原因，都可能失去居住权。</w:t>
      </w:r>
    </w:p>
    <w:p w:rsidR="000364C7" w:rsidRDefault="000364C7" w:rsidP="000364C7">
      <w:pPr>
        <w:pStyle w:val="SingleTxt"/>
      </w:pPr>
      <w:r w:rsidRPr="000364C7">
        <w:rPr>
          <w:rFonts w:hint="eastAsia"/>
        </w:rPr>
        <w:t>30</w:t>
      </w:r>
      <w:r w:rsidR="00333790">
        <w:rPr>
          <w:rFonts w:hint="eastAsia"/>
        </w:rPr>
        <w:t>.</w:t>
      </w:r>
      <w:r w:rsidRPr="000364C7">
        <w:rPr>
          <w:rFonts w:hint="eastAsia"/>
        </w:rPr>
        <w:t xml:space="preserve"> </w:t>
      </w:r>
      <w:r w:rsidR="00333790">
        <w:rPr>
          <w:rFonts w:hint="eastAsia"/>
        </w:rPr>
        <w:t xml:space="preserve"> </w:t>
      </w:r>
      <w:r w:rsidRPr="000364C7">
        <w:rPr>
          <w:rFonts w:hint="eastAsia"/>
        </w:rPr>
        <w:t>西岸和加沙的巴勒斯坦人必须获得特别通行证才能进入东耶路撒冷和以色列，进入市区需经过四个已设立的检查站。</w:t>
      </w:r>
      <w:r w:rsidRPr="000364C7">
        <w:rPr>
          <w:vertAlign w:val="superscript"/>
        </w:rPr>
        <w:footnoteReference w:id="34"/>
      </w:r>
      <w:r w:rsidR="00333790">
        <w:rPr>
          <w:rFonts w:hint="eastAsia"/>
        </w:rPr>
        <w:t xml:space="preserve"> </w:t>
      </w:r>
      <w:r w:rsidRPr="000364C7">
        <w:rPr>
          <w:rFonts w:hint="eastAsia"/>
        </w:rPr>
        <w:t>将历来是巴勒斯坦经济、文化和社会活动中心的东耶路撒冷与西岸隔离开来，对周边社区造成严重影响。</w:t>
      </w:r>
    </w:p>
    <w:p w:rsidR="000364C7" w:rsidRDefault="000364C7" w:rsidP="000364C7">
      <w:pPr>
        <w:pStyle w:val="SingleTxt"/>
      </w:pPr>
      <w:r w:rsidRPr="000364C7">
        <w:rPr>
          <w:rFonts w:hint="eastAsia"/>
        </w:rPr>
        <w:t>31</w:t>
      </w:r>
      <w:r>
        <w:rPr>
          <w:rFonts w:hint="eastAsia"/>
        </w:rPr>
        <w:t xml:space="preserve">.  </w:t>
      </w:r>
      <w:r w:rsidRPr="000364C7">
        <w:rPr>
          <w:rFonts w:hint="eastAsia"/>
        </w:rPr>
        <w:t>2015</w:t>
      </w:r>
      <w:r w:rsidRPr="000364C7">
        <w:rPr>
          <w:rFonts w:hint="eastAsia"/>
        </w:rPr>
        <w:t>年</w:t>
      </w:r>
      <w:r w:rsidRPr="000364C7">
        <w:rPr>
          <w:rFonts w:hint="eastAsia"/>
        </w:rPr>
        <w:t>10</w:t>
      </w:r>
      <w:r w:rsidRPr="000364C7">
        <w:rPr>
          <w:rFonts w:hint="eastAsia"/>
        </w:rPr>
        <w:t>月</w:t>
      </w:r>
      <w:r w:rsidRPr="000364C7">
        <w:rPr>
          <w:rFonts w:hint="eastAsia"/>
        </w:rPr>
        <w:t>14</w:t>
      </w:r>
      <w:r w:rsidRPr="000364C7">
        <w:rPr>
          <w:rFonts w:hint="eastAsia"/>
        </w:rPr>
        <w:t>日，在发生一系列袭击和冲突后，以色列当局对东耶路撒冷各居民区居民施加进一步行动限制。截至</w:t>
      </w:r>
      <w:r w:rsidRPr="000364C7">
        <w:rPr>
          <w:rFonts w:hint="eastAsia"/>
        </w:rPr>
        <w:t>2015</w:t>
      </w:r>
      <w:r w:rsidRPr="000364C7">
        <w:rPr>
          <w:rFonts w:hint="eastAsia"/>
        </w:rPr>
        <w:t>年</w:t>
      </w:r>
      <w:r w:rsidRPr="000364C7">
        <w:rPr>
          <w:rFonts w:hint="eastAsia"/>
        </w:rPr>
        <w:t>10</w:t>
      </w:r>
      <w:r w:rsidRPr="000364C7">
        <w:rPr>
          <w:rFonts w:hint="eastAsia"/>
        </w:rPr>
        <w:t>月</w:t>
      </w:r>
      <w:r w:rsidRPr="000364C7">
        <w:rPr>
          <w:rFonts w:hint="eastAsia"/>
        </w:rPr>
        <w:t>26</w:t>
      </w:r>
      <w:r w:rsidRPr="000364C7">
        <w:rPr>
          <w:rFonts w:hint="eastAsia"/>
        </w:rPr>
        <w:t>日，已设置</w:t>
      </w:r>
      <w:r w:rsidRPr="000364C7">
        <w:rPr>
          <w:rFonts w:hint="eastAsia"/>
        </w:rPr>
        <w:t>38</w:t>
      </w:r>
      <w:r w:rsidRPr="000364C7">
        <w:rPr>
          <w:rFonts w:hint="eastAsia"/>
        </w:rPr>
        <w:t>个新的障碍，包括</w:t>
      </w:r>
      <w:r w:rsidRPr="000364C7">
        <w:rPr>
          <w:rFonts w:hint="eastAsia"/>
        </w:rPr>
        <w:t>16</w:t>
      </w:r>
      <w:r w:rsidRPr="000364C7">
        <w:rPr>
          <w:rFonts w:hint="eastAsia"/>
        </w:rPr>
        <w:t>个检查站、</w:t>
      </w:r>
      <w:r w:rsidRPr="000364C7">
        <w:rPr>
          <w:rFonts w:hint="eastAsia"/>
        </w:rPr>
        <w:t>20</w:t>
      </w:r>
      <w:r w:rsidRPr="000364C7">
        <w:rPr>
          <w:rFonts w:hint="eastAsia"/>
        </w:rPr>
        <w:t>处路障和一个土墩，限制主要巴勒斯坦居民区的人员进出，约</w:t>
      </w:r>
      <w:r w:rsidRPr="000364C7">
        <w:rPr>
          <w:rFonts w:hint="eastAsia"/>
        </w:rPr>
        <w:t>13</w:t>
      </w:r>
      <w:r w:rsidRPr="000364C7">
        <w:t>.</w:t>
      </w:r>
      <w:r w:rsidRPr="000364C7">
        <w:rPr>
          <w:rFonts w:hint="eastAsia"/>
        </w:rPr>
        <w:t>8</w:t>
      </w:r>
      <w:r w:rsidRPr="000364C7">
        <w:rPr>
          <w:rFonts w:hint="eastAsia"/>
        </w:rPr>
        <w:t>万居民的工作、上学和就医之路充满艰辛。</w:t>
      </w:r>
      <w:r w:rsidRPr="000364C7">
        <w:rPr>
          <w:vertAlign w:val="superscript"/>
        </w:rPr>
        <w:footnoteReference w:id="35"/>
      </w:r>
      <w:r w:rsidR="00333790">
        <w:rPr>
          <w:rFonts w:hint="eastAsia"/>
        </w:rPr>
        <w:t xml:space="preserve"> </w:t>
      </w:r>
      <w:r w:rsidRPr="000364C7">
        <w:rPr>
          <w:rFonts w:hint="eastAsia"/>
        </w:rPr>
        <w:t>本报告期结束时，一些障碍已开始拆除。</w:t>
      </w:r>
      <w:r w:rsidRPr="000364C7">
        <w:rPr>
          <w:vertAlign w:val="superscript"/>
        </w:rPr>
        <w:footnoteReference w:id="36"/>
      </w:r>
    </w:p>
    <w:p w:rsidR="000364C7" w:rsidRDefault="000364C7" w:rsidP="000364C7">
      <w:pPr>
        <w:pStyle w:val="SingleTxt"/>
      </w:pPr>
      <w:r w:rsidRPr="000364C7">
        <w:rPr>
          <w:rFonts w:hint="eastAsia"/>
        </w:rPr>
        <w:t>32</w:t>
      </w:r>
      <w:r>
        <w:rPr>
          <w:rFonts w:hint="eastAsia"/>
        </w:rPr>
        <w:t xml:space="preserve">.  </w:t>
      </w:r>
      <w:r w:rsidRPr="000364C7">
        <w:rPr>
          <w:rFonts w:hint="eastAsia"/>
        </w:rPr>
        <w:t>虽然以色列政府有权针对具体安全威胁采取必要和适度安全措施，但以上述方式系统地限制成千上万巴勒斯坦人的行动自由是与它所追求的目标不相称的。</w:t>
      </w:r>
    </w:p>
    <w:p w:rsidR="000364C7" w:rsidRDefault="000364C7"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333790" w:rsidP="0033379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检查站</w:t>
      </w:r>
    </w:p>
    <w:p w:rsidR="00333790" w:rsidRDefault="00333790" w:rsidP="009415CD">
      <w:pPr>
        <w:pStyle w:val="SingleTxt"/>
        <w:spacing w:after="0" w:line="120" w:lineRule="exact"/>
        <w:rPr>
          <w:sz w:val="10"/>
        </w:rPr>
      </w:pPr>
    </w:p>
    <w:p w:rsidR="00C53DF0" w:rsidRPr="009415CD" w:rsidRDefault="00C53DF0" w:rsidP="009415CD">
      <w:pPr>
        <w:pStyle w:val="SingleTxt"/>
        <w:spacing w:after="0" w:line="120" w:lineRule="exact"/>
        <w:rPr>
          <w:sz w:val="10"/>
        </w:rPr>
      </w:pPr>
    </w:p>
    <w:p w:rsidR="000364C7" w:rsidRDefault="000364C7" w:rsidP="00C53DF0">
      <w:pPr>
        <w:pStyle w:val="SingleTxt"/>
      </w:pPr>
      <w:r w:rsidRPr="000364C7">
        <w:rPr>
          <w:rFonts w:hint="eastAsia"/>
        </w:rPr>
        <w:t>33</w:t>
      </w:r>
      <w:r>
        <w:rPr>
          <w:rFonts w:hint="eastAsia"/>
        </w:rPr>
        <w:t xml:space="preserve">.  </w:t>
      </w:r>
      <w:r w:rsidRPr="000364C7">
        <w:rPr>
          <w:rFonts w:hint="eastAsia"/>
        </w:rPr>
        <w:t>本报告期内，西岸有</w:t>
      </w:r>
      <w:r w:rsidRPr="000364C7">
        <w:rPr>
          <w:rFonts w:hint="eastAsia"/>
        </w:rPr>
        <w:t>85</w:t>
      </w:r>
      <w:r w:rsidRPr="000364C7">
        <w:rPr>
          <w:rFonts w:hint="eastAsia"/>
        </w:rPr>
        <w:t>个固定检查站。这些检查站有</w:t>
      </w:r>
      <w:r w:rsidRPr="000364C7">
        <w:rPr>
          <w:rFonts w:hint="eastAsia"/>
        </w:rPr>
        <w:t>9</w:t>
      </w:r>
      <w:r w:rsidRPr="000364C7">
        <w:rPr>
          <w:rFonts w:hint="eastAsia"/>
        </w:rPr>
        <w:t>个位于绿线上，而所有其他检查站都在西岸之内。</w:t>
      </w:r>
      <w:r w:rsidRPr="000364C7">
        <w:rPr>
          <w:vertAlign w:val="superscript"/>
        </w:rPr>
        <w:footnoteReference w:id="37"/>
      </w:r>
      <w:r w:rsidR="00333790">
        <w:rPr>
          <w:rFonts w:hint="eastAsia"/>
        </w:rPr>
        <w:t xml:space="preserve"> </w:t>
      </w:r>
      <w:r w:rsidRPr="000364C7">
        <w:rPr>
          <w:rFonts w:hint="eastAsia"/>
        </w:rPr>
        <w:t>此外，每个月在整个西岸的各条道路上还有数百次的“飞行”检查。检查站，加上路障、壕沟和土墩，严重阻碍了巴勒斯坦人的通行，包括在西岸巴勒斯坦主要城市之间的来往。</w:t>
      </w:r>
    </w:p>
    <w:p w:rsidR="009415CD" w:rsidRPr="00DA49CC" w:rsidRDefault="000364C7" w:rsidP="00DA49CC">
      <w:pPr>
        <w:pStyle w:val="SingleTxt"/>
        <w:overflowPunct w:val="0"/>
      </w:pPr>
      <w:r w:rsidRPr="000364C7">
        <w:rPr>
          <w:rFonts w:hint="eastAsia"/>
        </w:rPr>
        <w:t>34</w:t>
      </w:r>
      <w:r>
        <w:t xml:space="preserve">.  </w:t>
      </w:r>
      <w:r w:rsidRPr="000364C7">
        <w:rPr>
          <w:rFonts w:hint="eastAsia"/>
        </w:rPr>
        <w:t>通过检查站时，常常需要接受严格的安全检查，包括车辆检查和包袋搜</w:t>
      </w:r>
      <w:r w:rsidR="00333790">
        <w:rPr>
          <w:rFonts w:hint="eastAsia"/>
        </w:rPr>
        <w:t>索，造成长时间延误。在西岸巴勒斯坦人进入东耶路撒冷的必经之地—</w:t>
      </w:r>
      <w:r w:rsidRPr="000364C7">
        <w:rPr>
          <w:rFonts w:hint="eastAsia"/>
        </w:rPr>
        <w:t>卡兰迪亚检查站，高峰时段最长需要等上</w:t>
      </w:r>
      <w:r w:rsidRPr="000364C7">
        <w:rPr>
          <w:rFonts w:hint="eastAsia"/>
        </w:rPr>
        <w:t>90</w:t>
      </w:r>
      <w:r w:rsidRPr="000364C7">
        <w:rPr>
          <w:rFonts w:hint="eastAsia"/>
        </w:rPr>
        <w:t>分钟才能通过。</w:t>
      </w:r>
      <w:r w:rsidRPr="000364C7">
        <w:rPr>
          <w:vertAlign w:val="superscript"/>
        </w:rPr>
        <w:footnoteReference w:id="38"/>
      </w:r>
      <w:r w:rsidR="00333790">
        <w:rPr>
          <w:rFonts w:hint="eastAsia"/>
        </w:rPr>
        <w:t xml:space="preserve"> </w:t>
      </w:r>
      <w:r w:rsidRPr="000364C7">
        <w:rPr>
          <w:rFonts w:hint="eastAsia"/>
        </w:rPr>
        <w:t>漫长的等待时间，检查站的不确定性和经常发生冲突，扰乱了巴勒斯坦人各方面日常生活。</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333790" w:rsidP="003337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3</w:t>
      </w:r>
      <w:r w:rsidR="000364C7">
        <w:rPr>
          <w:rFonts w:hint="eastAsia"/>
        </w:rPr>
        <w:t>.</w:t>
      </w:r>
      <w:r>
        <w:rPr>
          <w:rFonts w:hint="eastAsia"/>
        </w:rPr>
        <w:tab/>
      </w:r>
      <w:r w:rsidR="000364C7" w:rsidRPr="000364C7">
        <w:rPr>
          <w:rFonts w:hint="eastAsia"/>
        </w:rPr>
        <w:t>加沙的行动限制</w:t>
      </w:r>
    </w:p>
    <w:p w:rsidR="009415CD" w:rsidRPr="009415CD" w:rsidRDefault="009415CD" w:rsidP="009415CD">
      <w:pPr>
        <w:pStyle w:val="SingleTxt"/>
        <w:spacing w:after="0" w:line="120" w:lineRule="exact"/>
        <w:rPr>
          <w:sz w:val="10"/>
        </w:rPr>
      </w:pPr>
    </w:p>
    <w:p w:rsidR="009415CD" w:rsidRPr="009415CD" w:rsidRDefault="009415CD" w:rsidP="009415CD">
      <w:pPr>
        <w:pStyle w:val="SingleTxt"/>
        <w:spacing w:after="0" w:line="120" w:lineRule="exact"/>
        <w:rPr>
          <w:sz w:val="10"/>
        </w:rPr>
      </w:pPr>
    </w:p>
    <w:p w:rsidR="000364C7" w:rsidRDefault="000364C7" w:rsidP="009415CD">
      <w:pPr>
        <w:pStyle w:val="SingleTxt"/>
        <w:overflowPunct w:val="0"/>
      </w:pPr>
      <w:r w:rsidRPr="000364C7">
        <w:rPr>
          <w:rFonts w:hint="eastAsia"/>
        </w:rPr>
        <w:t>35</w:t>
      </w:r>
      <w:r>
        <w:rPr>
          <w:rFonts w:hint="eastAsia"/>
        </w:rPr>
        <w:t xml:space="preserve">.  </w:t>
      </w:r>
      <w:r w:rsidRPr="000364C7">
        <w:rPr>
          <w:rFonts w:hint="eastAsia"/>
        </w:rPr>
        <w:t>持续封锁和通行证制度，限制了加沙居民前往西岸和以色列。在加沙内，沿以色列边界和海岸设置的围栏区限制行动自由，以色列安全部队称这一地区为缓冲区。关于加沙行动限制的细情，请参阅</w:t>
      </w:r>
      <w:r w:rsidRPr="000364C7">
        <w:rPr>
          <w:rFonts w:hint="eastAsia"/>
        </w:rPr>
        <w:t>2015</w:t>
      </w:r>
      <w:r w:rsidRPr="000364C7">
        <w:rPr>
          <w:rFonts w:hint="eastAsia"/>
        </w:rPr>
        <w:t>年秘书长关于</w:t>
      </w:r>
      <w:r w:rsidRPr="000364C7">
        <w:t>以色列在包括东耶路撒冷在内</w:t>
      </w:r>
      <w:r w:rsidRPr="000364C7">
        <w:rPr>
          <w:rFonts w:hint="eastAsia"/>
        </w:rPr>
        <w:t>的</w:t>
      </w:r>
      <w:r w:rsidRPr="000364C7">
        <w:t>巴勒斯坦被占领土侵害巴勒斯坦人民人权的行为</w:t>
      </w:r>
      <w:r w:rsidRPr="000364C7">
        <w:rPr>
          <w:rFonts w:hint="eastAsia"/>
        </w:rPr>
        <w:t>的报告</w:t>
      </w:r>
      <w:r>
        <w:rPr>
          <w:rFonts w:hint="eastAsia"/>
        </w:rPr>
        <w:t>(</w:t>
      </w:r>
      <w:r w:rsidRPr="000364C7">
        <w:rPr>
          <w:rFonts w:hint="eastAsia"/>
        </w:rPr>
        <w:t>A/70/421</w:t>
      </w:r>
      <w:r>
        <w:rPr>
          <w:rFonts w:hint="eastAsia"/>
        </w:rPr>
        <w:t>)</w:t>
      </w:r>
      <w:r w:rsidRPr="000364C7">
        <w:rPr>
          <w:rFonts w:hint="eastAsia"/>
        </w:rPr>
        <w:t>。</w:t>
      </w:r>
    </w:p>
    <w:p w:rsidR="00DA49CC" w:rsidRDefault="00DA49CC">
      <w:pPr>
        <w:spacing w:line="240" w:lineRule="auto"/>
        <w:jc w:val="left"/>
        <w:rPr>
          <w:sz w:val="10"/>
        </w:rPr>
      </w:pPr>
      <w:r>
        <w:rPr>
          <w:sz w:val="10"/>
        </w:rPr>
        <w:br w:type="page"/>
      </w:r>
    </w:p>
    <w:p w:rsidR="000364C7" w:rsidRDefault="000364C7" w:rsidP="00CF09D0">
      <w:pPr>
        <w:pStyle w:val="SingleTxt"/>
        <w:spacing w:after="0" w:line="120" w:lineRule="exact"/>
        <w:rPr>
          <w:sz w:val="10"/>
        </w:rPr>
      </w:pPr>
    </w:p>
    <w:p w:rsidR="00C53DF0" w:rsidRPr="00CF09D0" w:rsidRDefault="00C53DF0" w:rsidP="00CF09D0">
      <w:pPr>
        <w:pStyle w:val="SingleTxt"/>
        <w:spacing w:after="0" w:line="120" w:lineRule="exact"/>
        <w:rPr>
          <w:sz w:val="10"/>
        </w:rPr>
      </w:pPr>
    </w:p>
    <w:p w:rsidR="000364C7" w:rsidRDefault="00333790" w:rsidP="0033379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加沙和西岸之间的行动限制</w:t>
      </w:r>
    </w:p>
    <w:p w:rsidR="00333790" w:rsidRDefault="00333790" w:rsidP="00CF09D0">
      <w:pPr>
        <w:pStyle w:val="SingleTxt"/>
        <w:spacing w:after="0" w:line="120" w:lineRule="exact"/>
        <w:rPr>
          <w:sz w:val="10"/>
        </w:rPr>
      </w:pPr>
    </w:p>
    <w:p w:rsidR="00C53DF0" w:rsidRPr="00CF09D0" w:rsidRDefault="00C53DF0" w:rsidP="00CF09D0">
      <w:pPr>
        <w:pStyle w:val="SingleTxt"/>
        <w:spacing w:after="0" w:line="120" w:lineRule="exact"/>
        <w:rPr>
          <w:sz w:val="10"/>
        </w:rPr>
      </w:pPr>
    </w:p>
    <w:p w:rsidR="000364C7" w:rsidRDefault="000364C7" w:rsidP="000364C7">
      <w:pPr>
        <w:pStyle w:val="SingleTxt"/>
      </w:pPr>
      <w:r w:rsidRPr="000364C7">
        <w:rPr>
          <w:rFonts w:hint="eastAsia"/>
        </w:rPr>
        <w:t>36</w:t>
      </w:r>
      <w:r>
        <w:rPr>
          <w:rFonts w:hint="eastAsia"/>
        </w:rPr>
        <w:t xml:space="preserve">.  </w:t>
      </w:r>
      <w:r w:rsidRPr="000364C7">
        <w:rPr>
          <w:rFonts w:hint="eastAsia"/>
        </w:rPr>
        <w:t>根据奥斯陆协议，以色列于</w:t>
      </w:r>
      <w:r w:rsidRPr="000364C7">
        <w:rPr>
          <w:rFonts w:hint="eastAsia"/>
        </w:rPr>
        <w:t>1999</w:t>
      </w:r>
      <w:r w:rsidRPr="000364C7">
        <w:rPr>
          <w:rFonts w:hint="eastAsia"/>
        </w:rPr>
        <w:t>年</w:t>
      </w:r>
      <w:r w:rsidRPr="000364C7">
        <w:rPr>
          <w:rFonts w:hint="eastAsia"/>
        </w:rPr>
        <w:t>10</w:t>
      </w:r>
      <w:r w:rsidRPr="000364C7">
        <w:rPr>
          <w:rFonts w:hint="eastAsia"/>
        </w:rPr>
        <w:t>月开设了“安全通道”路线，每月允许</w:t>
      </w:r>
      <w:r w:rsidRPr="000364C7">
        <w:rPr>
          <w:rFonts w:hint="eastAsia"/>
        </w:rPr>
        <w:t>1.2</w:t>
      </w:r>
      <w:r w:rsidRPr="000364C7">
        <w:rPr>
          <w:rFonts w:hint="eastAsia"/>
        </w:rPr>
        <w:t>万加沙居民前往西岸。然而，这条通道在</w:t>
      </w:r>
      <w:r w:rsidRPr="000364C7">
        <w:rPr>
          <w:rFonts w:hint="eastAsia"/>
        </w:rPr>
        <w:t>2000</w:t>
      </w:r>
      <w:r w:rsidRPr="000364C7">
        <w:rPr>
          <w:rFonts w:hint="eastAsia"/>
        </w:rPr>
        <w:t>年</w:t>
      </w:r>
      <w:r w:rsidRPr="000364C7">
        <w:rPr>
          <w:rFonts w:hint="eastAsia"/>
        </w:rPr>
        <w:t>9</w:t>
      </w:r>
      <w:r w:rsidRPr="000364C7">
        <w:rPr>
          <w:rFonts w:hint="eastAsia"/>
        </w:rPr>
        <w:t>月第二次起义爆发后关闭。截至</w:t>
      </w:r>
      <w:r w:rsidRPr="000364C7">
        <w:rPr>
          <w:rFonts w:hint="eastAsia"/>
        </w:rPr>
        <w:t>2005</w:t>
      </w:r>
      <w:r w:rsidRPr="000364C7">
        <w:rPr>
          <w:rFonts w:hint="eastAsia"/>
        </w:rPr>
        <w:t>年</w:t>
      </w:r>
      <w:r w:rsidRPr="000364C7">
        <w:rPr>
          <w:rFonts w:hint="eastAsia"/>
        </w:rPr>
        <w:t>3</w:t>
      </w:r>
      <w:r w:rsidRPr="000364C7">
        <w:rPr>
          <w:rFonts w:hint="eastAsia"/>
        </w:rPr>
        <w:t>月，即以色列从加沙撤离定居点前的五个月，从加沙前往西岸的人数减少</w:t>
      </w:r>
      <w:r w:rsidRPr="000364C7">
        <w:rPr>
          <w:rFonts w:hint="eastAsia"/>
        </w:rPr>
        <w:t>98</w:t>
      </w:r>
      <w:r>
        <w:rPr>
          <w:rFonts w:hint="eastAsia"/>
        </w:rPr>
        <w:t>%</w:t>
      </w:r>
      <w:r w:rsidRPr="000364C7">
        <w:rPr>
          <w:rFonts w:hint="eastAsia"/>
        </w:rPr>
        <w:t>。</w:t>
      </w:r>
      <w:r w:rsidRPr="000364C7">
        <w:rPr>
          <w:vertAlign w:val="superscript"/>
        </w:rPr>
        <w:footnoteReference w:id="39"/>
      </w:r>
      <w:r w:rsidR="00333790">
        <w:rPr>
          <w:rFonts w:hint="eastAsia"/>
        </w:rPr>
        <w:t xml:space="preserve"> </w:t>
      </w:r>
      <w:r w:rsidRPr="000364C7">
        <w:rPr>
          <w:rFonts w:hint="eastAsia"/>
        </w:rPr>
        <w:t>人们说，这段路“几乎不可能，而且费用昂贵”。</w:t>
      </w:r>
      <w:r w:rsidRPr="000364C7">
        <w:rPr>
          <w:vertAlign w:val="superscript"/>
        </w:rPr>
        <w:footnoteReference w:id="40"/>
      </w:r>
    </w:p>
    <w:p w:rsidR="000364C7" w:rsidRDefault="000364C7" w:rsidP="000364C7">
      <w:pPr>
        <w:pStyle w:val="SingleTxt"/>
      </w:pPr>
      <w:r w:rsidRPr="000364C7">
        <w:t>37</w:t>
      </w:r>
      <w:r>
        <w:t xml:space="preserve">.  </w:t>
      </w:r>
      <w:r w:rsidRPr="000364C7">
        <w:rPr>
          <w:rFonts w:hint="eastAsia"/>
        </w:rPr>
        <w:t>2007</w:t>
      </w:r>
      <w:r w:rsidRPr="000364C7">
        <w:rPr>
          <w:rFonts w:hint="eastAsia"/>
        </w:rPr>
        <w:t>年哈马斯接管加沙后，以色列开始实行严格的限额制度。获取通行证仅限于特定人群，如需要紧急就医者、转诊患者、某些商人和人道主义援助行动</w:t>
      </w:r>
      <w:r>
        <w:rPr>
          <w:rFonts w:hint="eastAsia"/>
        </w:rPr>
        <w:t>(</w:t>
      </w:r>
      <w:r w:rsidRPr="000364C7">
        <w:rPr>
          <w:rFonts w:hint="eastAsia"/>
        </w:rPr>
        <w:t>见</w:t>
      </w:r>
      <w:r w:rsidRPr="000364C7">
        <w:rPr>
          <w:rFonts w:hint="eastAsia"/>
        </w:rPr>
        <w:t>A/70/42</w:t>
      </w:r>
      <w:r>
        <w:rPr>
          <w:rFonts w:hint="eastAsia"/>
        </w:rPr>
        <w:t>1,</w:t>
      </w:r>
      <w:r w:rsidR="00333790">
        <w:rPr>
          <w:rFonts w:hint="eastAsia"/>
        </w:rPr>
        <w:t xml:space="preserve"> </w:t>
      </w:r>
      <w:r w:rsidRPr="000364C7">
        <w:rPr>
          <w:rFonts w:hint="eastAsia"/>
        </w:rPr>
        <w:t>第</w:t>
      </w:r>
      <w:r w:rsidRPr="000364C7">
        <w:rPr>
          <w:rFonts w:hint="eastAsia"/>
        </w:rPr>
        <w:t>23-25</w:t>
      </w:r>
      <w:r w:rsidRPr="000364C7">
        <w:rPr>
          <w:rFonts w:hint="eastAsia"/>
        </w:rPr>
        <w:t>段</w:t>
      </w:r>
      <w:r>
        <w:rPr>
          <w:rFonts w:hint="eastAsia"/>
        </w:rPr>
        <w:t>)</w:t>
      </w:r>
      <w:r w:rsidRPr="000364C7">
        <w:rPr>
          <w:rFonts w:hint="eastAsia"/>
        </w:rPr>
        <w:t>。</w:t>
      </w:r>
    </w:p>
    <w:p w:rsidR="000364C7" w:rsidRDefault="000364C7" w:rsidP="000364C7">
      <w:pPr>
        <w:pStyle w:val="SingleTxt"/>
      </w:pPr>
      <w:r w:rsidRPr="000364C7">
        <w:rPr>
          <w:rFonts w:hint="eastAsia"/>
        </w:rPr>
        <w:t>38</w:t>
      </w:r>
      <w:r>
        <w:rPr>
          <w:rFonts w:hint="eastAsia"/>
        </w:rPr>
        <w:t xml:space="preserve">.  </w:t>
      </w:r>
      <w:r w:rsidRPr="000364C7">
        <w:rPr>
          <w:rFonts w:hint="eastAsia"/>
        </w:rPr>
        <w:t>本报告期内，进出加沙的行动限制仍然存在。有些措施有所放宽</w:t>
      </w:r>
      <w:r>
        <w:rPr>
          <w:rFonts w:hint="eastAsia"/>
        </w:rPr>
        <w:t>(</w:t>
      </w:r>
      <w:r w:rsidRPr="000364C7">
        <w:rPr>
          <w:rFonts w:hint="eastAsia"/>
        </w:rPr>
        <w:t>见上文第</w:t>
      </w:r>
      <w:r w:rsidRPr="000364C7">
        <w:rPr>
          <w:rFonts w:hint="eastAsia"/>
        </w:rPr>
        <w:t>18</w:t>
      </w:r>
      <w:r w:rsidRPr="000364C7">
        <w:rPr>
          <w:rFonts w:hint="eastAsia"/>
        </w:rPr>
        <w:t>段</w:t>
      </w:r>
      <w:r>
        <w:rPr>
          <w:rFonts w:hint="eastAsia"/>
        </w:rPr>
        <w:t>)</w:t>
      </w:r>
      <w:r w:rsidRPr="000364C7">
        <w:rPr>
          <w:rFonts w:hint="eastAsia"/>
        </w:rPr>
        <w:t>，产生了一些明显效果，如进出加沙的巴勒斯坦人人数从</w:t>
      </w:r>
      <w:r w:rsidRPr="000364C7">
        <w:rPr>
          <w:rFonts w:hint="eastAsia"/>
        </w:rPr>
        <w:t>2014</w:t>
      </w:r>
      <w:r w:rsidRPr="000364C7">
        <w:rPr>
          <w:rFonts w:hint="eastAsia"/>
        </w:rPr>
        <w:t>年每月平均</w:t>
      </w:r>
      <w:r w:rsidRPr="000364C7">
        <w:rPr>
          <w:rFonts w:hint="eastAsia"/>
        </w:rPr>
        <w:t>5</w:t>
      </w:r>
      <w:r w:rsidR="0018464E">
        <w:rPr>
          <w:rFonts w:hint="eastAsia"/>
        </w:rPr>
        <w:t>,</w:t>
      </w:r>
      <w:r w:rsidRPr="000364C7">
        <w:rPr>
          <w:rFonts w:hint="eastAsia"/>
        </w:rPr>
        <w:t>990</w:t>
      </w:r>
      <w:r w:rsidRPr="000364C7">
        <w:rPr>
          <w:rFonts w:hint="eastAsia"/>
        </w:rPr>
        <w:t>人增至平均每月</w:t>
      </w:r>
      <w:r w:rsidRPr="000364C7">
        <w:rPr>
          <w:rFonts w:hint="eastAsia"/>
        </w:rPr>
        <w:t>1</w:t>
      </w:r>
      <w:r w:rsidRPr="000364C7">
        <w:t>.</w:t>
      </w:r>
      <w:r w:rsidRPr="000364C7">
        <w:rPr>
          <w:rFonts w:hint="eastAsia"/>
        </w:rPr>
        <w:t>38</w:t>
      </w:r>
      <w:r w:rsidRPr="000364C7">
        <w:rPr>
          <w:rFonts w:hint="eastAsia"/>
        </w:rPr>
        <w:t>万人。</w:t>
      </w:r>
      <w:r w:rsidRPr="000364C7">
        <w:rPr>
          <w:vertAlign w:val="superscript"/>
        </w:rPr>
        <w:footnoteReference w:id="41"/>
      </w:r>
      <w:r w:rsidR="0018464E">
        <w:rPr>
          <w:rFonts w:hint="eastAsia"/>
        </w:rPr>
        <w:t xml:space="preserve"> </w:t>
      </w:r>
      <w:r w:rsidRPr="000364C7">
        <w:rPr>
          <w:rFonts w:hint="eastAsia"/>
        </w:rPr>
        <w:t>但这也只是</w:t>
      </w:r>
      <w:r w:rsidRPr="000364C7">
        <w:rPr>
          <w:rFonts w:hint="eastAsia"/>
        </w:rPr>
        <w:t>2000</w:t>
      </w:r>
      <w:r w:rsidRPr="000364C7">
        <w:rPr>
          <w:rFonts w:hint="eastAsia"/>
        </w:rPr>
        <w:t>年</w:t>
      </w:r>
      <w:r w:rsidRPr="000364C7">
        <w:rPr>
          <w:rFonts w:hint="eastAsia"/>
        </w:rPr>
        <w:t>9</w:t>
      </w:r>
      <w:r w:rsidRPr="000364C7">
        <w:rPr>
          <w:rFonts w:hint="eastAsia"/>
        </w:rPr>
        <w:t>月收紧限制前所记录的每月</w:t>
      </w:r>
      <w:r w:rsidRPr="000364C7">
        <w:rPr>
          <w:rFonts w:hint="eastAsia"/>
        </w:rPr>
        <w:t>50</w:t>
      </w:r>
      <w:r w:rsidRPr="000364C7">
        <w:rPr>
          <w:rFonts w:hint="eastAsia"/>
        </w:rPr>
        <w:t>万人的</w:t>
      </w:r>
      <w:r w:rsidRPr="000364C7">
        <w:rPr>
          <w:rFonts w:hint="eastAsia"/>
        </w:rPr>
        <w:t>2.8</w:t>
      </w:r>
      <w:r>
        <w:rPr>
          <w:rFonts w:hint="eastAsia"/>
        </w:rPr>
        <w:t>%</w:t>
      </w:r>
      <w:r w:rsidRPr="000364C7">
        <w:rPr>
          <w:rFonts w:hint="eastAsia"/>
        </w:rPr>
        <w:t>，当时每天有</w:t>
      </w:r>
      <w:r w:rsidRPr="000364C7">
        <w:rPr>
          <w:rFonts w:hint="eastAsia"/>
        </w:rPr>
        <w:t>2</w:t>
      </w:r>
      <w:r w:rsidRPr="000364C7">
        <w:t>.</w:t>
      </w:r>
      <w:r w:rsidRPr="000364C7">
        <w:rPr>
          <w:rFonts w:hint="eastAsia"/>
        </w:rPr>
        <w:t>6</w:t>
      </w:r>
      <w:r w:rsidRPr="000364C7">
        <w:rPr>
          <w:rFonts w:hint="eastAsia"/>
        </w:rPr>
        <w:t>万名工人从加沙进入以色列。</w:t>
      </w:r>
      <w:r w:rsidRPr="000364C7">
        <w:rPr>
          <w:vertAlign w:val="superscript"/>
        </w:rPr>
        <w:footnoteReference w:id="42"/>
      </w:r>
    </w:p>
    <w:p w:rsidR="000364C7" w:rsidRDefault="000364C7" w:rsidP="000364C7">
      <w:pPr>
        <w:pStyle w:val="SingleTxt"/>
      </w:pPr>
      <w:r w:rsidRPr="000364C7">
        <w:t>39</w:t>
      </w:r>
      <w:r>
        <w:t xml:space="preserve">.  </w:t>
      </w:r>
      <w:r w:rsidRPr="000364C7">
        <w:rPr>
          <w:rFonts w:hint="eastAsia"/>
        </w:rPr>
        <w:t>在西奈半岛的埃及士兵遭自杀式袭击后，埃及当局</w:t>
      </w:r>
      <w:r w:rsidRPr="000364C7">
        <w:rPr>
          <w:rFonts w:hint="eastAsia"/>
        </w:rPr>
        <w:t>2014</w:t>
      </w:r>
      <w:r w:rsidRPr="000364C7">
        <w:rPr>
          <w:rFonts w:hint="eastAsia"/>
        </w:rPr>
        <w:t>年</w:t>
      </w:r>
      <w:r w:rsidRPr="000364C7">
        <w:rPr>
          <w:rFonts w:hint="eastAsia"/>
        </w:rPr>
        <w:t>10</w:t>
      </w:r>
      <w:r w:rsidRPr="000364C7">
        <w:rPr>
          <w:rFonts w:hint="eastAsia"/>
        </w:rPr>
        <w:t>月</w:t>
      </w:r>
      <w:r w:rsidRPr="000364C7">
        <w:rPr>
          <w:rFonts w:hint="eastAsia"/>
        </w:rPr>
        <w:t>24</w:t>
      </w:r>
      <w:r w:rsidRPr="000364C7">
        <w:rPr>
          <w:rFonts w:hint="eastAsia"/>
        </w:rPr>
        <w:t>日关闭了拉法口岸，使以色列行动自由限制下的生活雪上加霜</w:t>
      </w:r>
      <w:r>
        <w:rPr>
          <w:rFonts w:hint="eastAsia"/>
        </w:rPr>
        <w:t>(</w:t>
      </w:r>
      <w:r w:rsidRPr="000364C7">
        <w:rPr>
          <w:rFonts w:hint="eastAsia"/>
        </w:rPr>
        <w:t>见</w:t>
      </w:r>
      <w:r w:rsidRPr="000364C7">
        <w:rPr>
          <w:rFonts w:hint="eastAsia"/>
        </w:rPr>
        <w:t>A/70/42</w:t>
      </w:r>
      <w:r>
        <w:rPr>
          <w:rFonts w:hint="eastAsia"/>
        </w:rPr>
        <w:t>1,</w:t>
      </w:r>
      <w:r w:rsidR="0018464E">
        <w:rPr>
          <w:rFonts w:hint="eastAsia"/>
        </w:rPr>
        <w:t xml:space="preserve"> </w:t>
      </w:r>
      <w:r w:rsidRPr="000364C7">
        <w:rPr>
          <w:rFonts w:hint="eastAsia"/>
        </w:rPr>
        <w:t>第</w:t>
      </w:r>
      <w:r w:rsidRPr="000364C7">
        <w:rPr>
          <w:rFonts w:hint="eastAsia"/>
        </w:rPr>
        <w:t>29</w:t>
      </w:r>
      <w:r w:rsidRPr="000364C7">
        <w:rPr>
          <w:rFonts w:hint="eastAsia"/>
        </w:rPr>
        <w:t>段</w:t>
      </w:r>
      <w:r>
        <w:rPr>
          <w:rFonts w:hint="eastAsia"/>
        </w:rPr>
        <w:t>)</w:t>
      </w:r>
      <w:r w:rsidRPr="000364C7">
        <w:rPr>
          <w:rFonts w:hint="eastAsia"/>
        </w:rPr>
        <w:t>。本报告期内，拉法口岸仍然关闭，只有</w:t>
      </w:r>
      <w:r w:rsidRPr="000364C7">
        <w:rPr>
          <w:rFonts w:hint="eastAsia"/>
        </w:rPr>
        <w:t>37</w:t>
      </w:r>
      <w:r w:rsidRPr="000364C7">
        <w:rPr>
          <w:rFonts w:hint="eastAsia"/>
        </w:rPr>
        <w:t>个半开放日。</w:t>
      </w:r>
      <w:r w:rsidRPr="000364C7">
        <w:rPr>
          <w:vertAlign w:val="superscript"/>
        </w:rPr>
        <w:footnoteReference w:id="43"/>
      </w:r>
      <w:r w:rsidRPr="000364C7">
        <w:t xml:space="preserve"> </w:t>
      </w:r>
      <w:r w:rsidRPr="000364C7">
        <w:rPr>
          <w:rFonts w:hint="eastAsia"/>
        </w:rPr>
        <w:t>2015</w:t>
      </w:r>
      <w:r w:rsidRPr="000364C7">
        <w:rPr>
          <w:rFonts w:hint="eastAsia"/>
        </w:rPr>
        <w:t>年</w:t>
      </w:r>
      <w:r w:rsidRPr="000364C7">
        <w:rPr>
          <w:rFonts w:hint="eastAsia"/>
        </w:rPr>
        <w:t>10</w:t>
      </w:r>
      <w:r w:rsidRPr="000364C7">
        <w:rPr>
          <w:rFonts w:hint="eastAsia"/>
        </w:rPr>
        <w:t>月底，被登记为人道主义救援案件的约</w:t>
      </w:r>
      <w:r w:rsidRPr="000364C7">
        <w:rPr>
          <w:rFonts w:hint="eastAsia"/>
        </w:rPr>
        <w:t>3</w:t>
      </w:r>
      <w:r w:rsidRPr="000364C7">
        <w:rPr>
          <w:rFonts w:hint="eastAsia"/>
        </w:rPr>
        <w:t>万巴勒斯坦人仍在等待经由拉法口岸离开加沙。</w:t>
      </w:r>
      <w:r w:rsidRPr="000364C7">
        <w:rPr>
          <w:vertAlign w:val="superscript"/>
        </w:rPr>
        <w:footnoteReference w:id="44"/>
      </w:r>
    </w:p>
    <w:p w:rsidR="00C53DF0" w:rsidRPr="00DA49CC" w:rsidRDefault="000364C7" w:rsidP="00DA49CC">
      <w:pPr>
        <w:pStyle w:val="SingleTxt"/>
      </w:pPr>
      <w:r w:rsidRPr="000364C7">
        <w:rPr>
          <w:rFonts w:hint="eastAsia"/>
        </w:rPr>
        <w:t>40</w:t>
      </w:r>
      <w:r>
        <w:rPr>
          <w:rFonts w:hint="eastAsia"/>
        </w:rPr>
        <w:t xml:space="preserve">.  </w:t>
      </w:r>
      <w:r w:rsidRPr="000364C7">
        <w:rPr>
          <w:rFonts w:hint="eastAsia"/>
        </w:rPr>
        <w:t>封锁加沙是一种集体惩罚，损害了公民、政治、经济、社会和文化权利</w:t>
      </w:r>
      <w:r>
        <w:rPr>
          <w:rFonts w:hint="eastAsia"/>
        </w:rPr>
        <w:t>(</w:t>
      </w:r>
      <w:r w:rsidRPr="000364C7">
        <w:rPr>
          <w:rFonts w:hint="eastAsia"/>
        </w:rPr>
        <w:t>见</w:t>
      </w:r>
      <w:r w:rsidRPr="000364C7">
        <w:rPr>
          <w:rFonts w:hint="eastAsia"/>
        </w:rPr>
        <w:t>A/70/42</w:t>
      </w:r>
      <w:r>
        <w:rPr>
          <w:rFonts w:hint="eastAsia"/>
        </w:rPr>
        <w:t>1,</w:t>
      </w:r>
      <w:r w:rsidR="0018464E">
        <w:rPr>
          <w:rFonts w:hint="eastAsia"/>
        </w:rPr>
        <w:t xml:space="preserve"> </w:t>
      </w:r>
      <w:r w:rsidRPr="000364C7">
        <w:rPr>
          <w:rFonts w:hint="eastAsia"/>
        </w:rPr>
        <w:t>第</w:t>
      </w:r>
      <w:r w:rsidRPr="000364C7">
        <w:rPr>
          <w:rFonts w:hint="eastAsia"/>
        </w:rPr>
        <w:t>29</w:t>
      </w:r>
      <w:r w:rsidRPr="000364C7">
        <w:rPr>
          <w:rFonts w:hint="eastAsia"/>
        </w:rPr>
        <w:t>段</w:t>
      </w:r>
      <w:r>
        <w:rPr>
          <w:rFonts w:hint="eastAsia"/>
        </w:rPr>
        <w:t>)</w:t>
      </w:r>
      <w:r w:rsidRPr="000364C7">
        <w:rPr>
          <w:rFonts w:hint="eastAsia"/>
        </w:rPr>
        <w:t>。</w:t>
      </w:r>
    </w:p>
    <w:p w:rsidR="000364C7" w:rsidRDefault="000364C7" w:rsidP="00CF09D0">
      <w:pPr>
        <w:pStyle w:val="SingleTxt"/>
        <w:spacing w:after="0" w:line="120" w:lineRule="exact"/>
        <w:rPr>
          <w:sz w:val="10"/>
        </w:rPr>
      </w:pPr>
    </w:p>
    <w:p w:rsidR="00C53DF0" w:rsidRPr="00CF09D0" w:rsidRDefault="00C53DF0" w:rsidP="00CF09D0">
      <w:pPr>
        <w:pStyle w:val="SingleTxt"/>
        <w:spacing w:after="0" w:line="120" w:lineRule="exact"/>
        <w:rPr>
          <w:sz w:val="10"/>
        </w:rPr>
      </w:pPr>
    </w:p>
    <w:p w:rsidR="000364C7" w:rsidRDefault="0018464E" w:rsidP="0018464E">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加沙内的行动限制</w:t>
      </w:r>
    </w:p>
    <w:p w:rsidR="0018464E" w:rsidRDefault="0018464E" w:rsidP="00CF09D0">
      <w:pPr>
        <w:pStyle w:val="SingleTxt"/>
        <w:spacing w:after="0" w:line="120" w:lineRule="exact"/>
        <w:rPr>
          <w:sz w:val="10"/>
        </w:rPr>
      </w:pPr>
    </w:p>
    <w:p w:rsidR="00C53DF0" w:rsidRPr="00CF09D0" w:rsidRDefault="00C53DF0" w:rsidP="00CF09D0">
      <w:pPr>
        <w:pStyle w:val="SingleTxt"/>
        <w:spacing w:after="0" w:line="120" w:lineRule="exact"/>
        <w:rPr>
          <w:sz w:val="10"/>
        </w:rPr>
      </w:pPr>
    </w:p>
    <w:p w:rsidR="000364C7" w:rsidRDefault="000364C7" w:rsidP="000364C7">
      <w:pPr>
        <w:pStyle w:val="SingleTxt"/>
      </w:pPr>
      <w:r w:rsidRPr="000364C7">
        <w:rPr>
          <w:rFonts w:hint="eastAsia"/>
        </w:rPr>
        <w:t>41</w:t>
      </w:r>
      <w:r>
        <w:rPr>
          <w:rFonts w:hint="eastAsia"/>
        </w:rPr>
        <w:t xml:space="preserve">.  </w:t>
      </w:r>
      <w:r w:rsidRPr="000364C7">
        <w:rPr>
          <w:rFonts w:hint="eastAsia"/>
        </w:rPr>
        <w:t>以色列当局继续在加沙内实施陆地和海上缓冲带，即“限制区”。限制是通过一系列机制实现的，包括使用实弹以及摧毁、破坏和没收财产，任意逮捕和拘留</w:t>
      </w:r>
      <w:r>
        <w:rPr>
          <w:rFonts w:hint="eastAsia"/>
        </w:rPr>
        <w:t>(</w:t>
      </w:r>
      <w:r w:rsidRPr="000364C7">
        <w:rPr>
          <w:rFonts w:hint="eastAsia"/>
        </w:rPr>
        <w:t>见</w:t>
      </w:r>
      <w:r w:rsidRPr="000364C7">
        <w:rPr>
          <w:rFonts w:hint="eastAsia"/>
        </w:rPr>
        <w:t>A/70/42</w:t>
      </w:r>
      <w:r>
        <w:rPr>
          <w:rFonts w:hint="eastAsia"/>
        </w:rPr>
        <w:t>1,</w:t>
      </w:r>
      <w:r w:rsidR="0018464E">
        <w:rPr>
          <w:rFonts w:hint="eastAsia"/>
        </w:rPr>
        <w:t xml:space="preserve"> </w:t>
      </w:r>
      <w:r w:rsidRPr="000364C7">
        <w:rPr>
          <w:rFonts w:hint="eastAsia"/>
        </w:rPr>
        <w:t>第</w:t>
      </w:r>
      <w:r w:rsidRPr="000364C7">
        <w:rPr>
          <w:rFonts w:hint="eastAsia"/>
        </w:rPr>
        <w:t>30-38</w:t>
      </w:r>
      <w:r w:rsidRPr="000364C7">
        <w:rPr>
          <w:rFonts w:hint="eastAsia"/>
        </w:rPr>
        <w:t>段</w:t>
      </w:r>
      <w:r>
        <w:rPr>
          <w:rFonts w:hint="eastAsia"/>
        </w:rPr>
        <w:t>)</w:t>
      </w:r>
      <w:r w:rsidRPr="000364C7">
        <w:rPr>
          <w:rFonts w:hint="eastAsia"/>
        </w:rPr>
        <w:t>。</w:t>
      </w:r>
    </w:p>
    <w:p w:rsidR="000364C7" w:rsidRDefault="000364C7" w:rsidP="000364C7">
      <w:pPr>
        <w:pStyle w:val="SingleTxt"/>
      </w:pPr>
      <w:r w:rsidRPr="000364C7">
        <w:rPr>
          <w:rFonts w:hint="eastAsia"/>
        </w:rPr>
        <w:t>42</w:t>
      </w:r>
      <w:r>
        <w:rPr>
          <w:rFonts w:hint="eastAsia"/>
        </w:rPr>
        <w:t xml:space="preserve">.  </w:t>
      </w:r>
      <w:r w:rsidRPr="000364C7">
        <w:rPr>
          <w:rFonts w:hint="eastAsia"/>
        </w:rPr>
        <w:t>本报告期内</w:t>
      </w:r>
      <w:r w:rsidRPr="000364C7">
        <w:rPr>
          <w:vertAlign w:val="superscript"/>
        </w:rPr>
        <w:footnoteReference w:id="45"/>
      </w:r>
      <w:r w:rsidRPr="000364C7">
        <w:rPr>
          <w:rFonts w:hint="eastAsia"/>
        </w:rPr>
        <w:t>，根据全球保护群组，以色列安全部队在陆地“限制区”开枪打死了</w:t>
      </w:r>
      <w:r w:rsidRPr="000364C7">
        <w:rPr>
          <w:rFonts w:hint="eastAsia"/>
        </w:rPr>
        <w:t>3</w:t>
      </w:r>
      <w:r w:rsidRPr="000364C7">
        <w:rPr>
          <w:rFonts w:hint="eastAsia"/>
        </w:rPr>
        <w:t>名巴勒斯坦人，包括一名儿童国；打伤了</w:t>
      </w:r>
      <w:r w:rsidRPr="000364C7">
        <w:rPr>
          <w:rFonts w:hint="eastAsia"/>
        </w:rPr>
        <w:t>82</w:t>
      </w:r>
      <w:r w:rsidRPr="000364C7">
        <w:rPr>
          <w:rFonts w:hint="eastAsia"/>
        </w:rPr>
        <w:t>人，包括</w:t>
      </w:r>
      <w:r w:rsidRPr="000364C7">
        <w:rPr>
          <w:rFonts w:hint="eastAsia"/>
        </w:rPr>
        <w:t>17</w:t>
      </w:r>
      <w:r w:rsidRPr="000364C7">
        <w:rPr>
          <w:rFonts w:hint="eastAsia"/>
        </w:rPr>
        <w:t>名儿童。此外，</w:t>
      </w:r>
      <w:r w:rsidRPr="000364C7">
        <w:rPr>
          <w:rFonts w:hint="eastAsia"/>
        </w:rPr>
        <w:t>54</w:t>
      </w:r>
      <w:r w:rsidRPr="000364C7">
        <w:rPr>
          <w:rFonts w:hint="eastAsia"/>
        </w:rPr>
        <w:t>名渔民被拘留，包括</w:t>
      </w:r>
      <w:r w:rsidRPr="000364C7">
        <w:rPr>
          <w:rFonts w:hint="eastAsia"/>
        </w:rPr>
        <w:t>4</w:t>
      </w:r>
      <w:r w:rsidRPr="000364C7">
        <w:rPr>
          <w:rFonts w:hint="eastAsia"/>
        </w:rPr>
        <w:t>名儿童；</w:t>
      </w:r>
      <w:r w:rsidRPr="000364C7">
        <w:rPr>
          <w:rFonts w:hint="eastAsia"/>
        </w:rPr>
        <w:t>20</w:t>
      </w:r>
      <w:r w:rsidRPr="000364C7">
        <w:rPr>
          <w:rFonts w:hint="eastAsia"/>
        </w:rPr>
        <w:t>人受伤，包括一名儿童。</w:t>
      </w:r>
    </w:p>
    <w:p w:rsidR="000364C7" w:rsidRDefault="000364C7" w:rsidP="000364C7">
      <w:pPr>
        <w:pStyle w:val="SingleTxt"/>
      </w:pPr>
      <w:r w:rsidRPr="000364C7">
        <w:rPr>
          <w:rFonts w:hint="eastAsia"/>
        </w:rPr>
        <w:t>43</w:t>
      </w:r>
      <w:r>
        <w:rPr>
          <w:rFonts w:hint="eastAsia"/>
        </w:rPr>
        <w:t xml:space="preserve">.  </w:t>
      </w:r>
      <w:r w:rsidRPr="000364C7">
        <w:rPr>
          <w:rFonts w:hint="eastAsia"/>
        </w:rPr>
        <w:t>以色列对“限制区”内生活和工作的居民实施强制措施，严重破坏了巴勒斯坦渔民和农民的生计，对生命权和身心健康权具有灾难性影响。</w:t>
      </w:r>
    </w:p>
    <w:p w:rsidR="00CF09D0" w:rsidRPr="009415CD" w:rsidRDefault="00CF09D0" w:rsidP="00CF09D0">
      <w:pPr>
        <w:pStyle w:val="SingleTxt"/>
        <w:spacing w:after="0" w:line="120" w:lineRule="exact"/>
        <w:rPr>
          <w:sz w:val="10"/>
        </w:rPr>
      </w:pPr>
    </w:p>
    <w:p w:rsidR="00CF09D0" w:rsidRPr="009415CD" w:rsidRDefault="00CF09D0" w:rsidP="00CF09D0">
      <w:pPr>
        <w:pStyle w:val="SingleTxt"/>
        <w:spacing w:after="0" w:line="120" w:lineRule="exact"/>
        <w:rPr>
          <w:sz w:val="10"/>
        </w:rPr>
      </w:pPr>
    </w:p>
    <w:p w:rsidR="00CF09D0" w:rsidRPr="009415CD" w:rsidRDefault="00CF09D0" w:rsidP="00CF09D0">
      <w:pPr>
        <w:pStyle w:val="SingleTxt"/>
        <w:spacing w:after="0" w:line="120" w:lineRule="exact"/>
        <w:rPr>
          <w:sz w:val="10"/>
        </w:rPr>
      </w:pPr>
    </w:p>
    <w:p w:rsidR="000364C7" w:rsidRDefault="0018464E" w:rsidP="0018464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t>C</w:t>
      </w:r>
      <w:r w:rsidR="000364C7">
        <w:t>.</w:t>
      </w:r>
      <w:r>
        <w:rPr>
          <w:rFonts w:hint="eastAsia"/>
        </w:rPr>
        <w:tab/>
      </w:r>
      <w:r w:rsidR="000364C7" w:rsidRPr="000364C7">
        <w:rPr>
          <w:rFonts w:hint="eastAsia"/>
        </w:rPr>
        <w:t>行动自由限制对其他人权的影响</w:t>
      </w:r>
    </w:p>
    <w:p w:rsidR="00CF09D0" w:rsidRPr="009415CD" w:rsidRDefault="00CF09D0" w:rsidP="00CF09D0">
      <w:pPr>
        <w:pStyle w:val="SingleTxt"/>
        <w:spacing w:after="0" w:line="120" w:lineRule="exact"/>
        <w:rPr>
          <w:sz w:val="10"/>
        </w:rPr>
      </w:pPr>
    </w:p>
    <w:p w:rsidR="00CF09D0" w:rsidRPr="009415CD" w:rsidRDefault="00CF09D0" w:rsidP="00CF09D0">
      <w:pPr>
        <w:pStyle w:val="SingleTxt"/>
        <w:spacing w:after="0" w:line="120" w:lineRule="exact"/>
        <w:rPr>
          <w:sz w:val="10"/>
        </w:rPr>
      </w:pPr>
    </w:p>
    <w:p w:rsidR="00CF09D0" w:rsidRPr="009415CD" w:rsidRDefault="00CF09D0" w:rsidP="00CF09D0">
      <w:pPr>
        <w:pStyle w:val="SingleTxt"/>
        <w:spacing w:after="0" w:line="120" w:lineRule="exact"/>
        <w:rPr>
          <w:sz w:val="10"/>
        </w:rPr>
      </w:pPr>
    </w:p>
    <w:p w:rsidR="000364C7" w:rsidRDefault="000364C7" w:rsidP="000364C7">
      <w:pPr>
        <w:pStyle w:val="SingleTxt"/>
      </w:pPr>
      <w:r w:rsidRPr="000364C7">
        <w:rPr>
          <w:rFonts w:hint="eastAsia"/>
        </w:rPr>
        <w:t>44</w:t>
      </w:r>
      <w:r>
        <w:rPr>
          <w:rFonts w:hint="eastAsia"/>
        </w:rPr>
        <w:t xml:space="preserve">.  </w:t>
      </w:r>
      <w:r w:rsidRPr="000364C7">
        <w:rPr>
          <w:rFonts w:hint="eastAsia"/>
        </w:rPr>
        <w:t>对行动自由的限制阻碍了巴勒斯坦人享有广泛的其他人权，特别是经济、社会和文化权利。</w:t>
      </w:r>
      <w:r w:rsidRPr="000364C7">
        <w:rPr>
          <w:vertAlign w:val="superscript"/>
        </w:rPr>
        <w:footnoteReference w:id="46"/>
      </w:r>
    </w:p>
    <w:p w:rsidR="00CF09D0" w:rsidRPr="009415CD" w:rsidRDefault="00CF09D0" w:rsidP="00CF09D0">
      <w:pPr>
        <w:pStyle w:val="SingleTxt"/>
        <w:spacing w:after="0" w:line="120" w:lineRule="exact"/>
        <w:rPr>
          <w:sz w:val="10"/>
        </w:rPr>
      </w:pPr>
    </w:p>
    <w:p w:rsidR="00CF09D0" w:rsidRPr="009415CD" w:rsidRDefault="00CF09D0" w:rsidP="00CF09D0">
      <w:pPr>
        <w:pStyle w:val="SingleTxt"/>
        <w:spacing w:after="0" w:line="120" w:lineRule="exact"/>
        <w:rPr>
          <w:sz w:val="10"/>
        </w:rPr>
      </w:pPr>
    </w:p>
    <w:p w:rsidR="000364C7" w:rsidRDefault="0018464E" w:rsidP="0018464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1</w:t>
      </w:r>
      <w:r w:rsidR="000364C7">
        <w:rPr>
          <w:rFonts w:hint="eastAsia"/>
        </w:rPr>
        <w:t>.</w:t>
      </w:r>
      <w:r>
        <w:rPr>
          <w:rFonts w:hint="eastAsia"/>
        </w:rPr>
        <w:tab/>
      </w:r>
      <w:r w:rsidR="000364C7" w:rsidRPr="000364C7">
        <w:rPr>
          <w:rFonts w:hint="eastAsia"/>
        </w:rPr>
        <w:t>受教育权</w:t>
      </w:r>
    </w:p>
    <w:p w:rsidR="00CF09D0" w:rsidRPr="009415CD" w:rsidRDefault="00CF09D0" w:rsidP="00CF09D0">
      <w:pPr>
        <w:pStyle w:val="SingleTxt"/>
        <w:spacing w:after="0" w:line="120" w:lineRule="exact"/>
        <w:rPr>
          <w:sz w:val="10"/>
        </w:rPr>
      </w:pPr>
    </w:p>
    <w:p w:rsidR="00CF09D0" w:rsidRPr="009415CD" w:rsidRDefault="00CF09D0" w:rsidP="00CF09D0">
      <w:pPr>
        <w:pStyle w:val="SingleTxt"/>
        <w:spacing w:after="0" w:line="120" w:lineRule="exact"/>
        <w:rPr>
          <w:sz w:val="10"/>
        </w:rPr>
      </w:pPr>
    </w:p>
    <w:p w:rsidR="000364C7" w:rsidRDefault="000364C7" w:rsidP="000364C7">
      <w:pPr>
        <w:pStyle w:val="SingleTxt"/>
      </w:pPr>
      <w:r w:rsidRPr="000364C7">
        <w:rPr>
          <w:rFonts w:hint="eastAsia"/>
        </w:rPr>
        <w:t>45</w:t>
      </w:r>
      <w:r>
        <w:rPr>
          <w:rFonts w:hint="eastAsia"/>
        </w:rPr>
        <w:t xml:space="preserve">.  </w:t>
      </w:r>
      <w:r w:rsidRPr="000364C7">
        <w:rPr>
          <w:rFonts w:hint="eastAsia"/>
        </w:rPr>
        <w:t>在隔离墙之外东耶路撒冷社区、希伯伦的</w:t>
      </w:r>
      <w:r w:rsidRPr="000364C7">
        <w:rPr>
          <w:rFonts w:hint="eastAsia"/>
        </w:rPr>
        <w:t>H2</w:t>
      </w:r>
      <w:r w:rsidRPr="000364C7">
        <w:rPr>
          <w:rFonts w:hint="eastAsia"/>
        </w:rPr>
        <w:t>区、“衔接区”、封闭区附近社区和</w:t>
      </w:r>
      <w:r w:rsidRPr="000364C7">
        <w:rPr>
          <w:rFonts w:hint="eastAsia"/>
        </w:rPr>
        <w:t>C</w:t>
      </w:r>
      <w:r w:rsidRPr="000364C7">
        <w:rPr>
          <w:rFonts w:hint="eastAsia"/>
        </w:rPr>
        <w:t>区定居点，上学接受教育受到的限制最大。</w:t>
      </w:r>
      <w:r w:rsidRPr="000364C7">
        <w:rPr>
          <w:rFonts w:hint="eastAsia"/>
        </w:rPr>
        <w:t>2015</w:t>
      </w:r>
      <w:r w:rsidRPr="000364C7">
        <w:rPr>
          <w:rFonts w:hint="eastAsia"/>
        </w:rPr>
        <w:t>年对</w:t>
      </w:r>
      <w:r w:rsidRPr="000364C7">
        <w:rPr>
          <w:rFonts w:hint="eastAsia"/>
        </w:rPr>
        <w:t>33</w:t>
      </w:r>
      <w:r w:rsidRPr="000364C7">
        <w:rPr>
          <w:rFonts w:hint="eastAsia"/>
        </w:rPr>
        <w:t>个社区进行的一项调查显示，西岸每五个学生就有一个学生上学时必须经过一个检查站。</w:t>
      </w:r>
      <w:r w:rsidRPr="000364C7">
        <w:rPr>
          <w:vertAlign w:val="superscript"/>
        </w:rPr>
        <w:footnoteReference w:id="47"/>
      </w:r>
      <w:r w:rsidR="0018464E">
        <w:rPr>
          <w:rFonts w:hint="eastAsia"/>
        </w:rPr>
        <w:t xml:space="preserve"> </w:t>
      </w:r>
      <w:r w:rsidRPr="000364C7">
        <w:rPr>
          <w:rFonts w:hint="eastAsia"/>
        </w:rPr>
        <w:t>搜身和搜包司空见惯，学生和教师经常受到以色列士兵的骚扰，包括口头恐吓。</w:t>
      </w:r>
    </w:p>
    <w:p w:rsidR="00CF09D0" w:rsidRDefault="000364C7" w:rsidP="00DA49CC">
      <w:pPr>
        <w:pStyle w:val="SingleTxt"/>
      </w:pPr>
      <w:r w:rsidRPr="000364C7">
        <w:rPr>
          <w:rFonts w:hint="eastAsia"/>
        </w:rPr>
        <w:t>46</w:t>
      </w:r>
      <w:r>
        <w:rPr>
          <w:rFonts w:hint="eastAsia"/>
        </w:rPr>
        <w:t xml:space="preserve">.  </w:t>
      </w:r>
      <w:r w:rsidRPr="000364C7">
        <w:rPr>
          <w:rFonts w:hint="eastAsia"/>
        </w:rPr>
        <w:t>在</w:t>
      </w:r>
      <w:r w:rsidRPr="000364C7">
        <w:rPr>
          <w:rFonts w:hint="eastAsia"/>
        </w:rPr>
        <w:t>C</w:t>
      </w:r>
      <w:r w:rsidRPr="000364C7">
        <w:rPr>
          <w:rFonts w:hint="eastAsia"/>
        </w:rPr>
        <w:t>区的偏远地带，由于行动限制、迁移和强拆，许多学生必须步行</w:t>
      </w:r>
      <w:r w:rsidRPr="000364C7">
        <w:rPr>
          <w:rFonts w:hint="eastAsia"/>
        </w:rPr>
        <w:t>7-10</w:t>
      </w:r>
      <w:r w:rsidRPr="000364C7">
        <w:rPr>
          <w:rFonts w:hint="eastAsia"/>
        </w:rPr>
        <w:t>公里才能到达学校。</w:t>
      </w:r>
      <w:r w:rsidRPr="000364C7">
        <w:rPr>
          <w:vertAlign w:val="superscript"/>
        </w:rPr>
        <w:footnoteReference w:id="48"/>
      </w:r>
      <w:r w:rsidR="0018464E">
        <w:rPr>
          <w:rFonts w:hint="eastAsia"/>
        </w:rPr>
        <w:t xml:space="preserve"> </w:t>
      </w:r>
      <w:r w:rsidRPr="000364C7">
        <w:rPr>
          <w:rFonts w:hint="eastAsia"/>
        </w:rPr>
        <w:t>可以经常看到以色列定居者和士兵骚扰和袭击上学学生，加剧了通勤学生的困难。本报告期内，联合国儿童基金会记录了</w:t>
      </w:r>
      <w:r w:rsidRPr="000364C7">
        <w:rPr>
          <w:rFonts w:hint="eastAsia"/>
        </w:rPr>
        <w:t>247</w:t>
      </w:r>
      <w:r w:rsidRPr="000364C7">
        <w:rPr>
          <w:rFonts w:hint="eastAsia"/>
        </w:rPr>
        <w:t>起侵犯教育权案件，包括殴打、拘留和检查站骚扰和拖延，影响到</w:t>
      </w:r>
      <w:r w:rsidRPr="000364C7">
        <w:rPr>
          <w:rFonts w:hint="eastAsia"/>
        </w:rPr>
        <w:t>32</w:t>
      </w:r>
      <w:r w:rsidR="0018464E">
        <w:rPr>
          <w:rFonts w:hint="eastAsia"/>
        </w:rPr>
        <w:t>,</w:t>
      </w:r>
      <w:r w:rsidRPr="000364C7">
        <w:rPr>
          <w:rFonts w:hint="eastAsia"/>
        </w:rPr>
        <w:t>055</w:t>
      </w:r>
      <w:r w:rsidRPr="000364C7">
        <w:rPr>
          <w:rFonts w:hint="eastAsia"/>
        </w:rPr>
        <w:t>个孩子。大多数事件发生在</w:t>
      </w:r>
      <w:r w:rsidRPr="000364C7">
        <w:rPr>
          <w:rFonts w:hint="eastAsia"/>
        </w:rPr>
        <w:t>C</w:t>
      </w:r>
      <w:r w:rsidRPr="000364C7">
        <w:rPr>
          <w:rFonts w:hint="eastAsia"/>
        </w:rPr>
        <w:t>区、东耶路撒冷和</w:t>
      </w:r>
      <w:r w:rsidRPr="000364C7">
        <w:rPr>
          <w:rFonts w:hint="eastAsia"/>
        </w:rPr>
        <w:t>H2</w:t>
      </w:r>
      <w:r w:rsidRPr="000364C7">
        <w:rPr>
          <w:rFonts w:hint="eastAsia"/>
        </w:rPr>
        <w:t>区，那里学生所在的学校靠近以色列定居点。</w:t>
      </w:r>
    </w:p>
    <w:tbl>
      <w:tblPr>
        <w:tblW w:w="765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F09D0" w:rsidTr="002342DA">
        <w:tc>
          <w:tcPr>
            <w:tcW w:w="7654" w:type="dxa"/>
            <w:shd w:val="clear" w:color="auto" w:fill="auto"/>
            <w:tcMar>
              <w:left w:w="142" w:type="dxa"/>
              <w:right w:w="142" w:type="dxa"/>
            </w:tcMar>
          </w:tcPr>
          <w:p w:rsidR="00CF09D0" w:rsidRPr="00E966FE" w:rsidRDefault="00CF09D0" w:rsidP="002342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 w:val="left" w:pos="7391"/>
              </w:tabs>
              <w:overflowPunct w:val="0"/>
              <w:adjustRightInd w:val="0"/>
              <w:snapToGrid w:val="0"/>
              <w:spacing w:after="0" w:line="120" w:lineRule="exact"/>
              <w:ind w:left="11" w:right="0" w:hanging="11"/>
              <w:rPr>
                <w:sz w:val="10"/>
              </w:rPr>
            </w:pPr>
          </w:p>
          <w:p w:rsidR="00CF09D0" w:rsidRPr="0013118B" w:rsidRDefault="00CF09D0" w:rsidP="002342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 w:val="left" w:pos="7391"/>
              </w:tabs>
              <w:overflowPunct w:val="0"/>
              <w:adjustRightInd w:val="0"/>
              <w:snapToGrid w:val="0"/>
              <w:ind w:left="11" w:right="0" w:hanging="11"/>
            </w:pPr>
            <w:r w:rsidRPr="000364C7">
              <w:rPr>
                <w:rFonts w:hint="eastAsia"/>
              </w:rPr>
              <w:t>框</w:t>
            </w:r>
            <w:r w:rsidRPr="000364C7">
              <w:rPr>
                <w:rFonts w:hint="eastAsia"/>
              </w:rPr>
              <w:t>1</w:t>
            </w:r>
            <w:r>
              <w:br/>
            </w:r>
            <w:r w:rsidRPr="00CF09D0">
              <w:rPr>
                <w:rFonts w:ascii="SimHei" w:eastAsia="SimHei" w:hAnsi="SimHei" w:hint="eastAsia"/>
              </w:rPr>
              <w:t>案例分析：H2区学校学生上学受到阻碍</w:t>
            </w:r>
          </w:p>
        </w:tc>
      </w:tr>
      <w:tr w:rsidR="00CF09D0" w:rsidTr="00DA49CC">
        <w:tc>
          <w:tcPr>
            <w:tcW w:w="7654" w:type="dxa"/>
            <w:tcBorders>
              <w:bottom w:val="nil"/>
            </w:tcBorders>
            <w:shd w:val="clear" w:color="auto" w:fill="auto"/>
            <w:tcMar>
              <w:left w:w="142" w:type="dxa"/>
              <w:right w:w="142" w:type="dxa"/>
            </w:tcMar>
          </w:tcPr>
          <w:p w:rsidR="00CF09D0" w:rsidRDefault="00CF09D0" w:rsidP="002342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7391"/>
              </w:tabs>
              <w:overflowPunct w:val="0"/>
              <w:adjustRightInd w:val="0"/>
              <w:snapToGrid w:val="0"/>
              <w:ind w:left="11" w:right="0" w:hanging="11"/>
            </w:pPr>
            <w:r w:rsidRPr="00CF09D0">
              <w:rPr>
                <w:rFonts w:hint="eastAsia"/>
              </w:rPr>
              <w:t>Qurtuba</w:t>
            </w:r>
            <w:r w:rsidRPr="00CF09D0">
              <w:rPr>
                <w:rFonts w:hint="eastAsia"/>
              </w:rPr>
              <w:t>学校坐落于希伯伦老城，</w:t>
            </w:r>
            <w:r w:rsidRPr="00CF09D0">
              <w:rPr>
                <w:rFonts w:hint="eastAsia"/>
              </w:rPr>
              <w:t>H2</w:t>
            </w:r>
            <w:r w:rsidRPr="00CF09D0">
              <w:rPr>
                <w:rFonts w:hint="eastAsia"/>
              </w:rPr>
              <w:t>区。学生到学校需要通过一个军事检查站，路过一个定居点。定居者骚扰、恐吓和暴力，士兵的拖延、搜包搜身和虐待，经常发生。过去几年中，国际组织一直派人护送这一地区的学生上学。它们的护送减少了检查站的拖延和定居者的暴力。</w:t>
            </w:r>
          </w:p>
        </w:tc>
      </w:tr>
      <w:tr w:rsidR="00CF09D0" w:rsidTr="00DA49CC">
        <w:tc>
          <w:tcPr>
            <w:tcW w:w="7654" w:type="dxa"/>
            <w:tcBorders>
              <w:top w:val="nil"/>
              <w:bottom w:val="nil"/>
            </w:tcBorders>
            <w:shd w:val="clear" w:color="auto" w:fill="auto"/>
            <w:tcMar>
              <w:left w:w="142" w:type="dxa"/>
              <w:right w:w="142" w:type="dxa"/>
            </w:tcMar>
          </w:tcPr>
          <w:p w:rsidR="00CF09D0" w:rsidRDefault="00CF09D0" w:rsidP="002342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7391"/>
              </w:tabs>
              <w:overflowPunct w:val="0"/>
              <w:adjustRightInd w:val="0"/>
              <w:snapToGrid w:val="0"/>
              <w:ind w:left="11" w:right="0" w:hanging="11"/>
            </w:pPr>
            <w:r w:rsidRPr="00CF09D0">
              <w:rPr>
                <w:rFonts w:hint="eastAsia"/>
              </w:rPr>
              <w:t>2015</w:t>
            </w:r>
            <w:r w:rsidRPr="00CF09D0">
              <w:rPr>
                <w:rFonts w:hint="eastAsia"/>
              </w:rPr>
              <w:t>年</w:t>
            </w:r>
            <w:r w:rsidRPr="00CF09D0">
              <w:rPr>
                <w:rFonts w:hint="eastAsia"/>
              </w:rPr>
              <w:t>10</w:t>
            </w:r>
            <w:r w:rsidRPr="00CF09D0">
              <w:rPr>
                <w:rFonts w:hint="eastAsia"/>
              </w:rPr>
              <w:t>月</w:t>
            </w:r>
            <w:r w:rsidRPr="00CF09D0">
              <w:rPr>
                <w:rFonts w:hint="eastAsia"/>
              </w:rPr>
              <w:t>29</w:t>
            </w:r>
            <w:r w:rsidRPr="00CF09D0">
              <w:rPr>
                <w:rFonts w:hint="eastAsia"/>
              </w:rPr>
              <w:t>日，根据军方命令，整个</w:t>
            </w:r>
            <w:r w:rsidRPr="00CF09D0">
              <w:rPr>
                <w:rFonts w:hint="eastAsia"/>
              </w:rPr>
              <w:t>Tel Rumeida</w:t>
            </w:r>
            <w:r w:rsidRPr="00CF09D0">
              <w:rPr>
                <w:rFonts w:hint="eastAsia"/>
              </w:rPr>
              <w:t>区和</w:t>
            </w:r>
            <w:r w:rsidRPr="00CF09D0">
              <w:rPr>
                <w:rFonts w:hint="eastAsia"/>
              </w:rPr>
              <w:t>Shuhada</w:t>
            </w:r>
            <w:r w:rsidRPr="00CF09D0">
              <w:rPr>
                <w:rFonts w:hint="eastAsia"/>
              </w:rPr>
              <w:t>街宣布了封闭军事区，只有在军方名单中登记的人方可进入。此外，过去护送学生上学的个人或实体也不能再护送学生到</w:t>
            </w:r>
            <w:r w:rsidRPr="00CF09D0">
              <w:rPr>
                <w:rFonts w:hint="eastAsia"/>
              </w:rPr>
              <w:t>Qurtuba</w:t>
            </w:r>
            <w:r w:rsidRPr="00CF09D0">
              <w:rPr>
                <w:rFonts w:hint="eastAsia"/>
              </w:rPr>
              <w:t>学校。从那时起，据报常有定居者骚扰学生，一些定居者用枪指着学生或高速开车从学生身旁驶过。士兵在检查站的拖延和骚扰有所增加。</w:t>
            </w:r>
          </w:p>
        </w:tc>
      </w:tr>
      <w:tr w:rsidR="00CF09D0" w:rsidTr="00DA49CC">
        <w:tc>
          <w:tcPr>
            <w:tcW w:w="7654" w:type="dxa"/>
            <w:tcBorders>
              <w:top w:val="nil"/>
            </w:tcBorders>
            <w:shd w:val="clear" w:color="auto" w:fill="auto"/>
            <w:tcMar>
              <w:left w:w="142" w:type="dxa"/>
              <w:right w:w="142" w:type="dxa"/>
            </w:tcMar>
          </w:tcPr>
          <w:p w:rsidR="00CF09D0" w:rsidRDefault="00CF09D0" w:rsidP="00DA49CC">
            <w:pPr>
              <w:pStyle w:val="SingleTxt"/>
              <w:pageBreakBefore/>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7391"/>
              </w:tabs>
              <w:overflowPunct w:val="0"/>
              <w:adjustRightInd w:val="0"/>
              <w:snapToGrid w:val="0"/>
              <w:ind w:left="11" w:right="0" w:hanging="11"/>
            </w:pPr>
            <w:r w:rsidRPr="000364C7">
              <w:rPr>
                <w:rFonts w:hint="eastAsia"/>
              </w:rPr>
              <w:t>在一个充斥强制和危险的环境中，这种情况加剧了孩子和老师们的恐惧。学校校长指出，保护没有了，“因害怕定居者和士兵，即使老师到校都感到不舒服”。</w:t>
            </w:r>
            <w:r w:rsidRPr="000364C7">
              <w:rPr>
                <w:rFonts w:hint="eastAsia"/>
              </w:rPr>
              <w:t>10</w:t>
            </w:r>
            <w:r w:rsidRPr="000364C7">
              <w:rPr>
                <w:rFonts w:hint="eastAsia"/>
              </w:rPr>
              <w:t>月最后几天，五分之一以上的学生没有到校。根据人权高专办，这一事件已经影响到学生的幸福感，有些孩子据说做恶梦和尿床。</w:t>
            </w:r>
          </w:p>
        </w:tc>
      </w:tr>
      <w:tr w:rsidR="00CF09D0" w:rsidTr="002342DA">
        <w:tc>
          <w:tcPr>
            <w:tcW w:w="7654" w:type="dxa"/>
            <w:shd w:val="clear" w:color="auto" w:fill="auto"/>
            <w:tcMar>
              <w:left w:w="142" w:type="dxa"/>
              <w:right w:w="142" w:type="dxa"/>
            </w:tcMar>
          </w:tcPr>
          <w:p w:rsidR="00CF09D0" w:rsidRDefault="00CF09D0" w:rsidP="002342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 w:val="left" w:pos="7391"/>
              </w:tabs>
              <w:overflowPunct w:val="0"/>
              <w:adjustRightInd w:val="0"/>
              <w:snapToGrid w:val="0"/>
              <w:spacing w:after="0" w:line="120" w:lineRule="exact"/>
              <w:ind w:left="11" w:right="0" w:hanging="11"/>
            </w:pPr>
          </w:p>
        </w:tc>
      </w:tr>
    </w:tbl>
    <w:p w:rsidR="00CF09D0" w:rsidRDefault="00CF09D0"/>
    <w:p w:rsidR="000364C7" w:rsidRDefault="000364C7" w:rsidP="000364C7">
      <w:pPr>
        <w:pStyle w:val="SingleTxt"/>
      </w:pPr>
      <w:r w:rsidRPr="000364C7">
        <w:t>47</w:t>
      </w:r>
      <w:r>
        <w:t xml:space="preserve">.  </w:t>
      </w:r>
      <w:r w:rsidRPr="000364C7">
        <w:rPr>
          <w:rFonts w:hint="eastAsia"/>
        </w:rPr>
        <w:t>除上学受阻的不利影响外，还有巴勒斯坦国教育部对进入巴勒斯坦学校施加的限制。教育部称，在“衔接区”，由于通行证制度的限制，教育部无法将教科书和家具送到学校。在加沙，限制进口，使教育机构采购教学资料，特别是化学和工程所需物品，面临各种困难，因为这些物品被列入了“两用物品”清单。</w:t>
      </w:r>
      <w:r w:rsidRPr="000364C7">
        <w:rPr>
          <w:vertAlign w:val="superscript"/>
        </w:rPr>
        <w:footnoteReference w:id="49"/>
      </w:r>
      <w:r w:rsidR="0018464E">
        <w:rPr>
          <w:rFonts w:hint="eastAsia"/>
        </w:rPr>
        <w:t xml:space="preserve"> </w:t>
      </w:r>
      <w:r w:rsidRPr="000364C7">
        <w:rPr>
          <w:rFonts w:hint="eastAsia"/>
        </w:rPr>
        <w:t>各种限制影响到授课和教育质量。</w:t>
      </w:r>
    </w:p>
    <w:p w:rsidR="000364C7" w:rsidRDefault="000364C7" w:rsidP="000364C7">
      <w:pPr>
        <w:pStyle w:val="SingleTxt"/>
      </w:pPr>
      <w:r w:rsidRPr="000364C7">
        <w:rPr>
          <w:rFonts w:hint="eastAsia"/>
        </w:rPr>
        <w:t>48</w:t>
      </w:r>
      <w:r>
        <w:rPr>
          <w:rFonts w:hint="eastAsia"/>
        </w:rPr>
        <w:t xml:space="preserve">.  </w:t>
      </w:r>
      <w:r w:rsidRPr="000364C7">
        <w:rPr>
          <w:rFonts w:hint="eastAsia"/>
        </w:rPr>
        <w:t>行动限制也影响到高等教育。在西岸，巴勒斯坦大学生上学受到检查站和封路的阻碍，如果学生希望在居住区以外地方上大学，每天必须花很长时间在路上。据圣城大学</w:t>
      </w:r>
      <w:r w:rsidRPr="000364C7">
        <w:t>(Al-Quds</w:t>
      </w:r>
      <w:r>
        <w:rPr>
          <w:rFonts w:hint="eastAsia"/>
        </w:rPr>
        <w:t>)</w:t>
      </w:r>
      <w:r w:rsidRPr="000364C7">
        <w:rPr>
          <w:rFonts w:hint="eastAsia"/>
        </w:rPr>
        <w:t>报告，过去三年至少有</w:t>
      </w:r>
      <w:r w:rsidRPr="000364C7">
        <w:rPr>
          <w:rFonts w:hint="eastAsia"/>
        </w:rPr>
        <w:t>38</w:t>
      </w:r>
      <w:r w:rsidRPr="000364C7">
        <w:rPr>
          <w:rFonts w:hint="eastAsia"/>
        </w:rPr>
        <w:t>名学生因在检查站的耽搁而被迫推迟期末考试。对高等教育的限制在加沙更加明显。</w:t>
      </w:r>
      <w:r w:rsidRPr="000364C7">
        <w:rPr>
          <w:rFonts w:hint="eastAsia"/>
        </w:rPr>
        <w:t>1998</w:t>
      </w:r>
      <w:r w:rsidRPr="000364C7">
        <w:rPr>
          <w:rFonts w:hint="eastAsia"/>
        </w:rPr>
        <w:t>年，大约有</w:t>
      </w:r>
      <w:r w:rsidRPr="000364C7">
        <w:rPr>
          <w:rFonts w:hint="eastAsia"/>
        </w:rPr>
        <w:t>1</w:t>
      </w:r>
      <w:r w:rsidR="0018464E">
        <w:rPr>
          <w:rFonts w:hint="eastAsia"/>
        </w:rPr>
        <w:t>,</w:t>
      </w:r>
      <w:r w:rsidRPr="000364C7">
        <w:rPr>
          <w:rFonts w:hint="eastAsia"/>
        </w:rPr>
        <w:t>000</w:t>
      </w:r>
      <w:r w:rsidRPr="000364C7">
        <w:rPr>
          <w:rFonts w:hint="eastAsia"/>
        </w:rPr>
        <w:t>名加沙学生在西岸学习。</w:t>
      </w:r>
      <w:r w:rsidRPr="000364C7">
        <w:rPr>
          <w:vertAlign w:val="superscript"/>
        </w:rPr>
        <w:footnoteReference w:id="50"/>
      </w:r>
      <w:r w:rsidR="0018464E">
        <w:rPr>
          <w:rFonts w:hint="eastAsia"/>
        </w:rPr>
        <w:t xml:space="preserve"> </w:t>
      </w:r>
      <w:r w:rsidRPr="000364C7">
        <w:rPr>
          <w:rFonts w:hint="eastAsia"/>
        </w:rPr>
        <w:t>2000</w:t>
      </w:r>
      <w:r w:rsidRPr="000364C7">
        <w:rPr>
          <w:rFonts w:hint="eastAsia"/>
        </w:rPr>
        <w:t>年第二次起义爆发后，全面禁止加沙大学生前往西岸上学，此后所有前往西岸上学的申请都遭拒绝，即使没有安全问题。</w:t>
      </w:r>
      <w:r w:rsidRPr="000364C7">
        <w:rPr>
          <w:vertAlign w:val="superscript"/>
        </w:rPr>
        <w:footnoteReference w:id="51"/>
      </w:r>
    </w:p>
    <w:p w:rsidR="000364C7" w:rsidRDefault="000364C7" w:rsidP="00F44A2C">
      <w:pPr>
        <w:pStyle w:val="SingleTxt"/>
        <w:overflowPunct w:val="0"/>
      </w:pPr>
      <w:r w:rsidRPr="000364C7">
        <w:rPr>
          <w:rFonts w:hint="eastAsia"/>
        </w:rPr>
        <w:t>49</w:t>
      </w:r>
      <w:r>
        <w:rPr>
          <w:rFonts w:hint="eastAsia"/>
        </w:rPr>
        <w:t xml:space="preserve">.  </w:t>
      </w:r>
      <w:r w:rsidRPr="000364C7">
        <w:rPr>
          <w:rFonts w:hint="eastAsia"/>
        </w:rPr>
        <w:t>2015</w:t>
      </w:r>
      <w:r w:rsidRPr="000364C7">
        <w:rPr>
          <w:rFonts w:hint="eastAsia"/>
        </w:rPr>
        <w:t>年</w:t>
      </w:r>
      <w:r w:rsidRPr="000364C7">
        <w:rPr>
          <w:rFonts w:hint="eastAsia"/>
        </w:rPr>
        <w:t>2</w:t>
      </w:r>
      <w:r w:rsidRPr="000364C7">
        <w:rPr>
          <w:rFonts w:hint="eastAsia"/>
        </w:rPr>
        <w:t>月</w:t>
      </w:r>
      <w:r w:rsidRPr="000364C7">
        <w:rPr>
          <w:rFonts w:hint="eastAsia"/>
        </w:rPr>
        <w:t>16</w:t>
      </w:r>
      <w:r w:rsidRPr="000364C7">
        <w:rPr>
          <w:rFonts w:hint="eastAsia"/>
        </w:rPr>
        <w:t>日，</w:t>
      </w:r>
      <w:r w:rsidRPr="000364C7">
        <w:rPr>
          <w:rFonts w:hint="eastAsia"/>
        </w:rPr>
        <w:t>COGAT</w:t>
      </w:r>
      <w:r w:rsidRPr="000364C7">
        <w:rPr>
          <w:rFonts w:hint="eastAsia"/>
        </w:rPr>
        <w:t>宣布，以色列政府将采取措施，放宽旅行限制，包括向希望到西岸学习的加沙学生发放</w:t>
      </w:r>
      <w:r w:rsidRPr="000364C7">
        <w:rPr>
          <w:rFonts w:hint="eastAsia"/>
        </w:rPr>
        <w:t>50</w:t>
      </w:r>
      <w:r w:rsidRPr="000364C7">
        <w:rPr>
          <w:rFonts w:hint="eastAsia"/>
        </w:rPr>
        <w:t>个通行证。然而，当局</w:t>
      </w:r>
      <w:r w:rsidRPr="000364C7">
        <w:rPr>
          <w:rFonts w:hint="eastAsia"/>
        </w:rPr>
        <w:t>2015</w:t>
      </w:r>
      <w:r w:rsidRPr="000364C7">
        <w:rPr>
          <w:rFonts w:hint="eastAsia"/>
        </w:rPr>
        <w:t>年</w:t>
      </w:r>
      <w:r w:rsidRPr="000364C7">
        <w:rPr>
          <w:rFonts w:hint="eastAsia"/>
        </w:rPr>
        <w:t>2</w:t>
      </w:r>
      <w:r w:rsidRPr="000364C7">
        <w:rPr>
          <w:rFonts w:hint="eastAsia"/>
        </w:rPr>
        <w:t>月</w:t>
      </w:r>
      <w:r w:rsidRPr="000364C7">
        <w:rPr>
          <w:rFonts w:hint="eastAsia"/>
        </w:rPr>
        <w:t>18</w:t>
      </w:r>
      <w:r w:rsidRPr="000364C7">
        <w:rPr>
          <w:rFonts w:hint="eastAsia"/>
        </w:rPr>
        <w:t>日收回决定，说是“文书错误”。</w:t>
      </w:r>
      <w:r w:rsidRPr="000364C7">
        <w:rPr>
          <w:vertAlign w:val="superscript"/>
        </w:rPr>
        <w:footnoteReference w:id="52"/>
      </w:r>
    </w:p>
    <w:p w:rsidR="000364C7" w:rsidRDefault="000364C7" w:rsidP="00F44A2C">
      <w:pPr>
        <w:pStyle w:val="SingleTxt"/>
        <w:overflowPunct w:val="0"/>
      </w:pPr>
      <w:r w:rsidRPr="000364C7">
        <w:rPr>
          <w:rFonts w:hint="eastAsia"/>
        </w:rPr>
        <w:t>50</w:t>
      </w:r>
      <w:r>
        <w:rPr>
          <w:rFonts w:hint="eastAsia"/>
        </w:rPr>
        <w:t xml:space="preserve">.  </w:t>
      </w:r>
      <w:r w:rsidRPr="000364C7">
        <w:rPr>
          <w:rFonts w:hint="eastAsia"/>
        </w:rPr>
        <w:t>除了这些限制外，加沙学生在巴勒斯坦被占领土以外上学也遇到各种障碍。</w:t>
      </w:r>
      <w:r w:rsidRPr="000364C7">
        <w:rPr>
          <w:rFonts w:hint="eastAsia"/>
        </w:rPr>
        <w:t>2014</w:t>
      </w:r>
      <w:r w:rsidRPr="000364C7">
        <w:rPr>
          <w:rFonts w:hint="eastAsia"/>
        </w:rPr>
        <w:t>年</w:t>
      </w:r>
      <w:r w:rsidRPr="000364C7">
        <w:rPr>
          <w:rFonts w:hint="eastAsia"/>
        </w:rPr>
        <w:t>12</w:t>
      </w:r>
      <w:r w:rsidRPr="000364C7">
        <w:rPr>
          <w:rFonts w:hint="eastAsia"/>
        </w:rPr>
        <w:t>月，以色列宣布将允许最多</w:t>
      </w:r>
      <w:r w:rsidRPr="000364C7">
        <w:rPr>
          <w:rFonts w:hint="eastAsia"/>
        </w:rPr>
        <w:t>140</w:t>
      </w:r>
      <w:r w:rsidRPr="000364C7">
        <w:rPr>
          <w:rFonts w:hint="eastAsia"/>
        </w:rPr>
        <w:t>名加沙学生到国外学习，每周最多</w:t>
      </w:r>
      <w:r w:rsidRPr="000364C7">
        <w:rPr>
          <w:rFonts w:hint="eastAsia"/>
        </w:rPr>
        <w:t>30</w:t>
      </w:r>
      <w:r w:rsidRPr="000364C7">
        <w:rPr>
          <w:rFonts w:hint="eastAsia"/>
        </w:rPr>
        <w:t>人。</w:t>
      </w:r>
      <w:r w:rsidRPr="000364C7">
        <w:rPr>
          <w:vertAlign w:val="superscript"/>
        </w:rPr>
        <w:footnoteReference w:id="53"/>
      </w:r>
      <w:r w:rsidR="0018464E">
        <w:rPr>
          <w:rFonts w:hint="eastAsia"/>
        </w:rPr>
        <w:t xml:space="preserve"> </w:t>
      </w:r>
      <w:r w:rsidRPr="000364C7">
        <w:rPr>
          <w:rFonts w:hint="eastAsia"/>
        </w:rPr>
        <w:t>本报告期内，</w:t>
      </w:r>
      <w:r w:rsidRPr="000364C7">
        <w:rPr>
          <w:rFonts w:hint="eastAsia"/>
        </w:rPr>
        <w:t>161</w:t>
      </w:r>
      <w:r w:rsidRPr="000364C7">
        <w:rPr>
          <w:rFonts w:hint="eastAsia"/>
        </w:rPr>
        <w:t>名学生通过埃雷兹</w:t>
      </w:r>
      <w:r w:rsidRPr="000364C7">
        <w:t>(Erez)</w:t>
      </w:r>
      <w:r w:rsidRPr="000364C7">
        <w:rPr>
          <w:rFonts w:hint="eastAsia"/>
        </w:rPr>
        <w:t>口岸离开，但仍有数百人因延误或申请通行证遭拒而到不了学校，可能失去助学金。</w:t>
      </w:r>
    </w:p>
    <w:p w:rsidR="000364C7" w:rsidRDefault="000364C7" w:rsidP="000364C7">
      <w:pPr>
        <w:pStyle w:val="SingleTxt"/>
      </w:pPr>
      <w:r w:rsidRPr="000364C7">
        <w:t>5</w:t>
      </w:r>
      <w:r w:rsidRPr="000364C7">
        <w:rPr>
          <w:rFonts w:hint="eastAsia"/>
        </w:rPr>
        <w:t>1</w:t>
      </w:r>
      <w:r>
        <w:t xml:space="preserve">.  </w:t>
      </w:r>
      <w:r w:rsidRPr="000364C7">
        <w:rPr>
          <w:rFonts w:hint="eastAsia"/>
        </w:rPr>
        <w:t>学生不能到巴勒斯坦被占领土其他地方或国外上大学，影响到自由选择大学课程，对未来职业生涯和生活都有一定影响。例如，在加沙，许多重要课程，包括医学工程和化学博士课程，都不开设。</w:t>
      </w:r>
      <w:r w:rsidRPr="000364C7">
        <w:rPr>
          <w:vertAlign w:val="superscript"/>
        </w:rPr>
        <w:footnoteReference w:id="54"/>
      </w:r>
    </w:p>
    <w:p w:rsidR="00934AC9" w:rsidRDefault="00934AC9">
      <w:pPr>
        <w:spacing w:line="240" w:lineRule="auto"/>
        <w:jc w:val="left"/>
        <w:rPr>
          <w:sz w:val="10"/>
        </w:rPr>
      </w:pPr>
      <w:r>
        <w:rPr>
          <w:sz w:val="10"/>
        </w:rPr>
        <w:br w:type="page"/>
      </w:r>
    </w:p>
    <w:p w:rsidR="000364C7" w:rsidRPr="00F44A2C" w:rsidRDefault="000364C7" w:rsidP="00F44A2C">
      <w:pPr>
        <w:pStyle w:val="SingleTxt"/>
        <w:spacing w:after="0" w:line="120" w:lineRule="exact"/>
        <w:rPr>
          <w:sz w:val="10"/>
        </w:rPr>
      </w:pPr>
    </w:p>
    <w:p w:rsidR="00F44A2C" w:rsidRPr="00F44A2C" w:rsidRDefault="00F44A2C" w:rsidP="00F44A2C">
      <w:pPr>
        <w:pStyle w:val="SingleTxt"/>
        <w:spacing w:after="0" w:line="120" w:lineRule="exact"/>
        <w:rPr>
          <w:sz w:val="10"/>
        </w:rPr>
      </w:pPr>
    </w:p>
    <w:p w:rsidR="000364C7" w:rsidRDefault="0018464E" w:rsidP="0018464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2</w:t>
      </w:r>
      <w:r w:rsidR="000364C7">
        <w:rPr>
          <w:rFonts w:hint="eastAsia"/>
        </w:rPr>
        <w:t>.</w:t>
      </w:r>
      <w:r>
        <w:rPr>
          <w:rFonts w:hint="eastAsia"/>
        </w:rPr>
        <w:tab/>
      </w:r>
      <w:r w:rsidR="000364C7" w:rsidRPr="000364C7">
        <w:rPr>
          <w:rFonts w:hint="eastAsia"/>
        </w:rPr>
        <w:t>健康权</w:t>
      </w:r>
    </w:p>
    <w:p w:rsidR="00F44A2C" w:rsidRPr="00F44A2C" w:rsidRDefault="00F44A2C" w:rsidP="00F44A2C">
      <w:pPr>
        <w:pStyle w:val="SingleTxt"/>
        <w:spacing w:after="0" w:line="120" w:lineRule="exact"/>
        <w:rPr>
          <w:sz w:val="10"/>
        </w:rPr>
      </w:pPr>
    </w:p>
    <w:p w:rsidR="00F44A2C" w:rsidRPr="00F44A2C" w:rsidRDefault="00F44A2C" w:rsidP="00F44A2C">
      <w:pPr>
        <w:pStyle w:val="SingleTxt"/>
        <w:spacing w:after="0" w:line="120" w:lineRule="exact"/>
        <w:rPr>
          <w:sz w:val="10"/>
        </w:rPr>
      </w:pPr>
    </w:p>
    <w:p w:rsidR="000364C7" w:rsidRDefault="000364C7" w:rsidP="000364C7">
      <w:pPr>
        <w:pStyle w:val="SingleTxt"/>
      </w:pPr>
      <w:r w:rsidRPr="000364C7">
        <w:rPr>
          <w:rFonts w:hint="eastAsia"/>
        </w:rPr>
        <w:t>52</w:t>
      </w:r>
      <w:r>
        <w:rPr>
          <w:rFonts w:hint="eastAsia"/>
        </w:rPr>
        <w:t xml:space="preserve">.  </w:t>
      </w:r>
      <w:r w:rsidRPr="000364C7">
        <w:rPr>
          <w:rFonts w:hint="eastAsia"/>
        </w:rPr>
        <w:t>病人、医生和其他医务人员出行受到限制，严重影响巴勒斯坦被占领土医疗服务的提供、获得和质量。</w:t>
      </w:r>
    </w:p>
    <w:p w:rsidR="000364C7" w:rsidRDefault="000364C7" w:rsidP="000364C7">
      <w:pPr>
        <w:pStyle w:val="SingleTxt"/>
      </w:pPr>
      <w:r w:rsidRPr="000364C7">
        <w:rPr>
          <w:rFonts w:hint="eastAsia"/>
        </w:rPr>
        <w:t>53</w:t>
      </w:r>
      <w:r>
        <w:rPr>
          <w:rFonts w:hint="eastAsia"/>
        </w:rPr>
        <w:t xml:space="preserve">.  </w:t>
      </w:r>
      <w:r w:rsidRPr="000364C7">
        <w:rPr>
          <w:rFonts w:hint="eastAsia"/>
        </w:rPr>
        <w:t>由于巴勒斯坦国卫生部下属医院能力有限，需要专科治疗或手术的患者通常转到常规居住区之外的医院治疗。在加沙，对转诊治疗的依赖尤其明显</w:t>
      </w:r>
      <w:r>
        <w:rPr>
          <w:rFonts w:hint="eastAsia"/>
        </w:rPr>
        <w:t>(</w:t>
      </w:r>
      <w:r w:rsidRPr="000364C7">
        <w:rPr>
          <w:rFonts w:hint="eastAsia"/>
        </w:rPr>
        <w:t>见</w:t>
      </w:r>
      <w:r w:rsidRPr="000364C7">
        <w:rPr>
          <w:rFonts w:hint="eastAsia"/>
        </w:rPr>
        <w:t>A/70/42</w:t>
      </w:r>
      <w:r>
        <w:rPr>
          <w:rFonts w:hint="eastAsia"/>
        </w:rPr>
        <w:t>1,</w:t>
      </w:r>
      <w:r w:rsidRPr="000364C7">
        <w:rPr>
          <w:rFonts w:hint="eastAsia"/>
        </w:rPr>
        <w:t>第</w:t>
      </w:r>
      <w:r w:rsidRPr="000364C7">
        <w:rPr>
          <w:rFonts w:hint="eastAsia"/>
        </w:rPr>
        <w:t>24</w:t>
      </w:r>
      <w:r w:rsidRPr="000364C7">
        <w:rPr>
          <w:rFonts w:hint="eastAsia"/>
        </w:rPr>
        <w:t>段</w:t>
      </w:r>
      <w:r>
        <w:rPr>
          <w:rFonts w:hint="eastAsia"/>
        </w:rPr>
        <w:t>)</w:t>
      </w:r>
      <w:r w:rsidRPr="000364C7">
        <w:rPr>
          <w:rFonts w:hint="eastAsia"/>
        </w:rPr>
        <w:t>。加沙只有四名肿瘤专家，但需要治疗的癌症患者有</w:t>
      </w:r>
      <w:r w:rsidRPr="000364C7">
        <w:rPr>
          <w:rFonts w:hint="eastAsia"/>
        </w:rPr>
        <w:t>12</w:t>
      </w:r>
      <w:r w:rsidR="0018464E">
        <w:rPr>
          <w:rFonts w:hint="eastAsia"/>
        </w:rPr>
        <w:t>,</w:t>
      </w:r>
      <w:r w:rsidRPr="000364C7">
        <w:rPr>
          <w:rFonts w:hint="eastAsia"/>
        </w:rPr>
        <w:t>600</w:t>
      </w:r>
      <w:r w:rsidRPr="000364C7">
        <w:rPr>
          <w:rFonts w:hint="eastAsia"/>
        </w:rPr>
        <w:t>名</w:t>
      </w:r>
      <w:r>
        <w:rPr>
          <w:rFonts w:hint="eastAsia"/>
        </w:rPr>
        <w:t>(</w:t>
      </w:r>
      <w:r w:rsidRPr="000364C7">
        <w:rPr>
          <w:rFonts w:hint="eastAsia"/>
        </w:rPr>
        <w:t>癌症是巴勒斯坦人的第二大死因</w:t>
      </w:r>
      <w:r>
        <w:rPr>
          <w:rFonts w:hint="eastAsia"/>
        </w:rPr>
        <w:t>)</w:t>
      </w:r>
      <w:r w:rsidRPr="000364C7">
        <w:rPr>
          <w:rFonts w:hint="eastAsia"/>
        </w:rPr>
        <w:t>。此外，世界卫生组织指出，加沙只有两名心脏外科医生，每月有</w:t>
      </w:r>
      <w:r w:rsidRPr="000364C7">
        <w:rPr>
          <w:rFonts w:hint="eastAsia"/>
        </w:rPr>
        <w:t>70-80</w:t>
      </w:r>
      <w:r w:rsidRPr="000364C7">
        <w:rPr>
          <w:rFonts w:hint="eastAsia"/>
        </w:rPr>
        <w:t>名患者需要转到加沙以外治疗。</w:t>
      </w:r>
    </w:p>
    <w:p w:rsidR="000364C7" w:rsidRDefault="000364C7" w:rsidP="000364C7">
      <w:pPr>
        <w:pStyle w:val="SingleTxt"/>
      </w:pPr>
      <w:r w:rsidRPr="000364C7">
        <w:rPr>
          <w:rFonts w:hint="eastAsia"/>
        </w:rPr>
        <w:t>54</w:t>
      </w:r>
      <w:r>
        <w:rPr>
          <w:rFonts w:hint="eastAsia"/>
        </w:rPr>
        <w:t xml:space="preserve">.  </w:t>
      </w:r>
      <w:r w:rsidRPr="000364C7">
        <w:rPr>
          <w:rFonts w:hint="eastAsia"/>
        </w:rPr>
        <w:t>需要到东耶路撒冷、以色列或国外治疗的大多数西岸和加沙巴勒斯坦人，必须申请以色列发放的通行证。虽然以色列对医疗通行证申请没有年龄或限额限制，</w:t>
      </w:r>
      <w:r w:rsidRPr="000364C7">
        <w:rPr>
          <w:vertAlign w:val="superscript"/>
        </w:rPr>
        <w:footnoteReference w:id="55"/>
      </w:r>
      <w:r w:rsidR="0018464E">
        <w:rPr>
          <w:rFonts w:hint="eastAsia"/>
        </w:rPr>
        <w:t xml:space="preserve"> </w:t>
      </w:r>
      <w:r w:rsidRPr="000364C7">
        <w:rPr>
          <w:rFonts w:hint="eastAsia"/>
        </w:rPr>
        <w:t>但</w:t>
      </w:r>
      <w:r w:rsidRPr="000364C7">
        <w:rPr>
          <w:rFonts w:hint="eastAsia"/>
        </w:rPr>
        <w:t>15-30</w:t>
      </w:r>
      <w:r>
        <w:rPr>
          <w:rFonts w:hint="eastAsia"/>
        </w:rPr>
        <w:t>%</w:t>
      </w:r>
      <w:r w:rsidRPr="000364C7">
        <w:rPr>
          <w:rFonts w:hint="eastAsia"/>
        </w:rPr>
        <w:t>的申请通过被推迟或从未获得批准，而且申请过程缓慢而复杂。</w:t>
      </w:r>
      <w:r w:rsidRPr="000364C7">
        <w:rPr>
          <w:vertAlign w:val="superscript"/>
        </w:rPr>
        <w:footnoteReference w:id="56"/>
      </w:r>
    </w:p>
    <w:p w:rsidR="000364C7" w:rsidRDefault="000364C7" w:rsidP="000364C7">
      <w:pPr>
        <w:pStyle w:val="SingleTxt"/>
      </w:pPr>
      <w:r w:rsidRPr="000364C7">
        <w:rPr>
          <w:rFonts w:hint="eastAsia"/>
        </w:rPr>
        <w:t>55</w:t>
      </w:r>
      <w:r>
        <w:rPr>
          <w:rFonts w:hint="eastAsia"/>
        </w:rPr>
        <w:t xml:space="preserve">.  </w:t>
      </w:r>
      <w:r w:rsidRPr="000364C7">
        <w:rPr>
          <w:rFonts w:hint="eastAsia"/>
        </w:rPr>
        <w:t>根据巴勒斯坦国民政总局，</w:t>
      </w:r>
      <w:r w:rsidRPr="000364C7">
        <w:rPr>
          <w:rFonts w:hint="eastAsia"/>
        </w:rPr>
        <w:t>2015</w:t>
      </w:r>
      <w:r w:rsidRPr="000364C7">
        <w:rPr>
          <w:rFonts w:hint="eastAsia"/>
        </w:rPr>
        <w:t>年头</w:t>
      </w:r>
      <w:r w:rsidRPr="000364C7">
        <w:rPr>
          <w:rFonts w:hint="eastAsia"/>
        </w:rPr>
        <w:t>11</w:t>
      </w:r>
      <w:r w:rsidRPr="000364C7">
        <w:rPr>
          <w:rFonts w:hint="eastAsia"/>
        </w:rPr>
        <w:t>个月西岸地区办事处收到的患者和患者家属申请共有</w:t>
      </w:r>
      <w:r w:rsidRPr="000364C7">
        <w:rPr>
          <w:rFonts w:hint="eastAsia"/>
        </w:rPr>
        <w:t>173</w:t>
      </w:r>
      <w:r w:rsidR="0018464E">
        <w:rPr>
          <w:rFonts w:hint="eastAsia"/>
        </w:rPr>
        <w:t>,</w:t>
      </w:r>
      <w:r w:rsidRPr="000364C7">
        <w:rPr>
          <w:rFonts w:hint="eastAsia"/>
        </w:rPr>
        <w:t>835</w:t>
      </w:r>
      <w:r w:rsidRPr="000364C7">
        <w:rPr>
          <w:rFonts w:hint="eastAsia"/>
        </w:rPr>
        <w:t>件，其中</w:t>
      </w:r>
      <w:r w:rsidRPr="000364C7">
        <w:rPr>
          <w:rFonts w:hint="eastAsia"/>
        </w:rPr>
        <w:t>18</w:t>
      </w:r>
      <w:r>
        <w:rPr>
          <w:rFonts w:hint="eastAsia"/>
        </w:rPr>
        <w:t>%</w:t>
      </w:r>
      <w:r w:rsidRPr="000364C7">
        <w:rPr>
          <w:rFonts w:hint="eastAsia"/>
        </w:rPr>
        <w:t>遭受延误或拒绝。</w:t>
      </w:r>
    </w:p>
    <w:p w:rsidR="000364C7" w:rsidRDefault="000364C7" w:rsidP="000364C7">
      <w:pPr>
        <w:pStyle w:val="SingleTxt"/>
      </w:pPr>
      <w:r w:rsidRPr="000364C7">
        <w:rPr>
          <w:rFonts w:hint="eastAsia"/>
        </w:rPr>
        <w:t>56</w:t>
      </w:r>
      <w:r>
        <w:rPr>
          <w:rFonts w:hint="eastAsia"/>
        </w:rPr>
        <w:t xml:space="preserve">.  </w:t>
      </w:r>
      <w:r w:rsidRPr="000364C7">
        <w:rPr>
          <w:rFonts w:hint="eastAsia"/>
        </w:rPr>
        <w:t>世卫组织估计，每月至少有</w:t>
      </w:r>
      <w:r w:rsidRPr="000364C7">
        <w:rPr>
          <w:rFonts w:hint="eastAsia"/>
        </w:rPr>
        <w:t>1</w:t>
      </w:r>
      <w:r w:rsidR="0018464E">
        <w:rPr>
          <w:rFonts w:hint="eastAsia"/>
        </w:rPr>
        <w:t>,</w:t>
      </w:r>
      <w:r w:rsidRPr="000364C7">
        <w:rPr>
          <w:rFonts w:hint="eastAsia"/>
        </w:rPr>
        <w:t>500</w:t>
      </w:r>
      <w:r w:rsidRPr="000364C7">
        <w:rPr>
          <w:rFonts w:hint="eastAsia"/>
        </w:rPr>
        <w:t>名病人从加沙前往西岸和以色列接受专科治疗。本报告期内最后几个月批准率显著下降，</w:t>
      </w:r>
      <w:r w:rsidRPr="000364C7">
        <w:rPr>
          <w:rFonts w:hint="eastAsia"/>
        </w:rPr>
        <w:t>2015</w:t>
      </w:r>
      <w:r w:rsidRPr="000364C7">
        <w:rPr>
          <w:rFonts w:hint="eastAsia"/>
        </w:rPr>
        <w:t>年头八个月为</w:t>
      </w:r>
      <w:r w:rsidRPr="000364C7">
        <w:rPr>
          <w:rFonts w:hint="eastAsia"/>
        </w:rPr>
        <w:t>80</w:t>
      </w:r>
      <w:r>
        <w:rPr>
          <w:rFonts w:hint="eastAsia"/>
        </w:rPr>
        <w:t>%</w:t>
      </w:r>
      <w:r w:rsidRPr="000364C7">
        <w:rPr>
          <w:rFonts w:hint="eastAsia"/>
        </w:rPr>
        <w:t>，</w:t>
      </w:r>
      <w:r w:rsidRPr="000364C7">
        <w:rPr>
          <w:rFonts w:hint="eastAsia"/>
        </w:rPr>
        <w:t>10</w:t>
      </w:r>
      <w:r w:rsidRPr="000364C7">
        <w:rPr>
          <w:rFonts w:hint="eastAsia"/>
        </w:rPr>
        <w:t>月下降到</w:t>
      </w:r>
      <w:r w:rsidRPr="000364C7">
        <w:rPr>
          <w:rFonts w:hint="eastAsia"/>
        </w:rPr>
        <w:t>69.85</w:t>
      </w:r>
      <w:r>
        <w:rPr>
          <w:rFonts w:hint="eastAsia"/>
        </w:rPr>
        <w:t>%</w:t>
      </w:r>
      <w:r w:rsidRPr="000364C7">
        <w:rPr>
          <w:rFonts w:hint="eastAsia"/>
        </w:rPr>
        <w:t>。除</w:t>
      </w:r>
      <w:r w:rsidRPr="000364C7">
        <w:rPr>
          <w:rFonts w:hint="eastAsia"/>
        </w:rPr>
        <w:t>2014</w:t>
      </w:r>
      <w:r w:rsidRPr="000364C7">
        <w:rPr>
          <w:rFonts w:hint="eastAsia"/>
        </w:rPr>
        <w:t>年冲突期间外，是</w:t>
      </w:r>
      <w:r w:rsidRPr="000364C7">
        <w:rPr>
          <w:rFonts w:hint="eastAsia"/>
        </w:rPr>
        <w:t>2009</w:t>
      </w:r>
      <w:r w:rsidRPr="000364C7">
        <w:rPr>
          <w:rFonts w:hint="eastAsia"/>
        </w:rPr>
        <w:t>年</w:t>
      </w:r>
      <w:r w:rsidRPr="000364C7">
        <w:rPr>
          <w:rFonts w:hint="eastAsia"/>
        </w:rPr>
        <w:t>10</w:t>
      </w:r>
      <w:r w:rsidRPr="000364C7">
        <w:rPr>
          <w:rFonts w:hint="eastAsia"/>
        </w:rPr>
        <w:t>月以来的最低批准率。加沙卫生部报告说，截止</w:t>
      </w:r>
      <w:r w:rsidRPr="000364C7">
        <w:rPr>
          <w:rFonts w:hint="eastAsia"/>
        </w:rPr>
        <w:t>2015</w:t>
      </w:r>
      <w:r w:rsidRPr="000364C7">
        <w:rPr>
          <w:rFonts w:hint="eastAsia"/>
        </w:rPr>
        <w:t>年</w:t>
      </w:r>
      <w:r w:rsidRPr="000364C7">
        <w:rPr>
          <w:rFonts w:hint="eastAsia"/>
        </w:rPr>
        <w:t>10</w:t>
      </w:r>
      <w:r w:rsidRPr="000364C7">
        <w:rPr>
          <w:rFonts w:hint="eastAsia"/>
        </w:rPr>
        <w:t>月</w:t>
      </w:r>
      <w:r w:rsidRPr="000364C7">
        <w:rPr>
          <w:rFonts w:hint="eastAsia"/>
        </w:rPr>
        <w:t>8</w:t>
      </w:r>
      <w:r w:rsidRPr="000364C7">
        <w:rPr>
          <w:rFonts w:hint="eastAsia"/>
        </w:rPr>
        <w:t>日，有</w:t>
      </w:r>
      <w:r w:rsidRPr="000364C7">
        <w:rPr>
          <w:rFonts w:hint="eastAsia"/>
        </w:rPr>
        <w:t>1</w:t>
      </w:r>
      <w:r w:rsidR="005265B7">
        <w:rPr>
          <w:rFonts w:hint="eastAsia"/>
        </w:rPr>
        <w:t>,</w:t>
      </w:r>
      <w:r w:rsidRPr="000364C7">
        <w:rPr>
          <w:rFonts w:hint="eastAsia"/>
        </w:rPr>
        <w:t>180</w:t>
      </w:r>
      <w:r w:rsidRPr="000364C7">
        <w:rPr>
          <w:rFonts w:hint="eastAsia"/>
        </w:rPr>
        <w:t>名患者从</w:t>
      </w:r>
      <w:r w:rsidRPr="000364C7">
        <w:rPr>
          <w:rFonts w:hint="eastAsia"/>
        </w:rPr>
        <w:t>2015</w:t>
      </w:r>
      <w:r w:rsidRPr="000364C7">
        <w:rPr>
          <w:rFonts w:hint="eastAsia"/>
        </w:rPr>
        <w:t>年年初一直等待到加沙以外就医。</w:t>
      </w:r>
    </w:p>
    <w:p w:rsidR="000364C7" w:rsidRDefault="000364C7" w:rsidP="000364C7">
      <w:pPr>
        <w:pStyle w:val="SingleTxt"/>
      </w:pPr>
      <w:r w:rsidRPr="000364C7">
        <w:rPr>
          <w:rFonts w:hint="eastAsia"/>
        </w:rPr>
        <w:t>57</w:t>
      </w:r>
      <w:r>
        <w:rPr>
          <w:rFonts w:hint="eastAsia"/>
        </w:rPr>
        <w:t xml:space="preserve">.  </w:t>
      </w:r>
      <w:r w:rsidRPr="000364C7">
        <w:rPr>
          <w:rFonts w:hint="eastAsia"/>
        </w:rPr>
        <w:t>过去三年，加沙巴勒斯坦人申请就医通行证人数几乎增长一倍，从</w:t>
      </w:r>
      <w:r w:rsidRPr="000364C7">
        <w:rPr>
          <w:rFonts w:hint="eastAsia"/>
        </w:rPr>
        <w:t>2013</w:t>
      </w:r>
      <w:r w:rsidRPr="000364C7">
        <w:rPr>
          <w:rFonts w:hint="eastAsia"/>
        </w:rPr>
        <w:t>年初每月</w:t>
      </w:r>
      <w:r w:rsidRPr="000364C7">
        <w:rPr>
          <w:rFonts w:hint="eastAsia"/>
        </w:rPr>
        <w:t>1</w:t>
      </w:r>
      <w:r w:rsidR="0018464E">
        <w:rPr>
          <w:rFonts w:hint="eastAsia"/>
        </w:rPr>
        <w:t>,</w:t>
      </w:r>
      <w:r w:rsidRPr="000364C7">
        <w:rPr>
          <w:rFonts w:hint="eastAsia"/>
        </w:rPr>
        <w:t>000</w:t>
      </w:r>
      <w:r w:rsidRPr="000364C7">
        <w:rPr>
          <w:rFonts w:hint="eastAsia"/>
        </w:rPr>
        <w:t>人增至</w:t>
      </w:r>
      <w:r w:rsidRPr="000364C7">
        <w:rPr>
          <w:rFonts w:hint="eastAsia"/>
        </w:rPr>
        <w:t>2015</w:t>
      </w:r>
      <w:r w:rsidRPr="000364C7">
        <w:rPr>
          <w:rFonts w:hint="eastAsia"/>
        </w:rPr>
        <w:t>年</w:t>
      </w:r>
      <w:r w:rsidRPr="000364C7">
        <w:rPr>
          <w:rFonts w:hint="eastAsia"/>
        </w:rPr>
        <w:t>5</w:t>
      </w:r>
      <w:r w:rsidRPr="000364C7">
        <w:rPr>
          <w:rFonts w:hint="eastAsia"/>
        </w:rPr>
        <w:t>月和</w:t>
      </w:r>
      <w:r w:rsidRPr="000364C7">
        <w:rPr>
          <w:rFonts w:hint="eastAsia"/>
        </w:rPr>
        <w:t>9</w:t>
      </w:r>
      <w:r w:rsidRPr="000364C7">
        <w:rPr>
          <w:rFonts w:hint="eastAsia"/>
        </w:rPr>
        <w:t>月约</w:t>
      </w:r>
      <w:r w:rsidRPr="000364C7">
        <w:rPr>
          <w:rFonts w:hint="eastAsia"/>
        </w:rPr>
        <w:t>2</w:t>
      </w:r>
      <w:r w:rsidR="0018464E">
        <w:rPr>
          <w:rFonts w:hint="eastAsia"/>
        </w:rPr>
        <w:t>,</w:t>
      </w:r>
      <w:r w:rsidRPr="000364C7">
        <w:rPr>
          <w:rFonts w:hint="eastAsia"/>
        </w:rPr>
        <w:t>000</w:t>
      </w:r>
      <w:r w:rsidRPr="000364C7">
        <w:rPr>
          <w:rFonts w:hint="eastAsia"/>
        </w:rPr>
        <w:t>人。</w:t>
      </w:r>
      <w:r w:rsidRPr="000364C7">
        <w:rPr>
          <w:vertAlign w:val="superscript"/>
        </w:rPr>
        <w:footnoteReference w:id="57"/>
      </w:r>
      <w:r w:rsidR="0018464E">
        <w:rPr>
          <w:rFonts w:hint="eastAsia"/>
        </w:rPr>
        <w:t xml:space="preserve"> </w:t>
      </w:r>
      <w:r w:rsidRPr="000364C7">
        <w:rPr>
          <w:rFonts w:hint="eastAsia"/>
        </w:rPr>
        <w:t>这一增长是因为经由拉法口岸到埃及接受治疗越来越受限制。</w:t>
      </w:r>
      <w:r w:rsidRPr="000364C7">
        <w:rPr>
          <w:vertAlign w:val="superscript"/>
        </w:rPr>
        <w:footnoteReference w:id="58"/>
      </w:r>
    </w:p>
    <w:p w:rsidR="000364C7" w:rsidRDefault="000364C7" w:rsidP="000364C7">
      <w:pPr>
        <w:pStyle w:val="SingleTxt"/>
      </w:pPr>
      <w:r w:rsidRPr="000364C7">
        <w:rPr>
          <w:rFonts w:hint="eastAsia"/>
        </w:rPr>
        <w:t>58</w:t>
      </w:r>
      <w:r>
        <w:rPr>
          <w:rFonts w:hint="eastAsia"/>
        </w:rPr>
        <w:t xml:space="preserve">.  </w:t>
      </w:r>
      <w:r w:rsidRPr="000364C7">
        <w:rPr>
          <w:rFonts w:hint="eastAsia"/>
        </w:rPr>
        <w:t>申请急诊或专科治疗通行证如果遭到拒绝或延迟，患者别无选择，只能重复漫长的申请过程，或接受专业化较低和水平较差的治疗。这种延误可以导致病人，特别是急诊病人的健康状况进一步恶化，甚至可能死亡。</w:t>
      </w:r>
    </w:p>
    <w:p w:rsidR="000364C7" w:rsidRDefault="000364C7" w:rsidP="000364C7">
      <w:pPr>
        <w:pStyle w:val="SingleTxt"/>
      </w:pPr>
      <w:r w:rsidRPr="000364C7">
        <w:rPr>
          <w:rFonts w:hint="eastAsia"/>
        </w:rPr>
        <w:t>59</w:t>
      </w:r>
      <w:r>
        <w:rPr>
          <w:rFonts w:hint="eastAsia"/>
        </w:rPr>
        <w:t xml:space="preserve">.  </w:t>
      </w:r>
      <w:r w:rsidRPr="000364C7">
        <w:rPr>
          <w:rFonts w:hint="eastAsia"/>
        </w:rPr>
        <w:t>即使已获得通行许可，但以色列安全部队仍可能拒绝放行或者扣留病人进行审讯或逮捕。</w:t>
      </w:r>
      <w:r w:rsidRPr="000364C7">
        <w:rPr>
          <w:vertAlign w:val="superscript"/>
        </w:rPr>
        <w:footnoteReference w:id="59"/>
      </w:r>
      <w:r w:rsidR="0018464E">
        <w:rPr>
          <w:rFonts w:hint="eastAsia"/>
        </w:rPr>
        <w:t xml:space="preserve"> </w:t>
      </w:r>
      <w:r w:rsidRPr="000364C7">
        <w:rPr>
          <w:rFonts w:hint="eastAsia"/>
        </w:rPr>
        <w:t>本报告期内，</w:t>
      </w:r>
      <w:r w:rsidRPr="000364C7">
        <w:rPr>
          <w:rFonts w:hint="eastAsia"/>
        </w:rPr>
        <w:t>4</w:t>
      </w:r>
      <w:r w:rsidRPr="000364C7">
        <w:rPr>
          <w:rFonts w:hint="eastAsia"/>
        </w:rPr>
        <w:t>名病人及其亲属在埃雷兹</w:t>
      </w:r>
      <w:r>
        <w:rPr>
          <w:rFonts w:hint="eastAsia"/>
        </w:rPr>
        <w:t>(</w:t>
      </w:r>
      <w:r w:rsidRPr="000364C7">
        <w:t>Erez)</w:t>
      </w:r>
      <w:r w:rsidRPr="000364C7">
        <w:rPr>
          <w:rFonts w:hint="eastAsia"/>
        </w:rPr>
        <w:t>口岸被以色列安全部队逮捕。</w:t>
      </w:r>
      <w:r w:rsidRPr="000364C7">
        <w:rPr>
          <w:vertAlign w:val="superscript"/>
        </w:rPr>
        <w:footnoteReference w:id="60"/>
      </w:r>
    </w:p>
    <w:p w:rsidR="00934AC9" w:rsidRDefault="00934AC9">
      <w:pPr>
        <w:spacing w:line="240" w:lineRule="auto"/>
        <w:jc w:val="left"/>
      </w:pPr>
      <w:r>
        <w:br w:type="page"/>
      </w:r>
    </w:p>
    <w:p w:rsidR="00934AC9" w:rsidRPr="00934AC9" w:rsidRDefault="00934AC9" w:rsidP="00934AC9">
      <w:pPr>
        <w:pStyle w:val="SingleTxt"/>
        <w:spacing w:after="0"/>
        <w:rPr>
          <w:sz w:val="13"/>
          <w:szCs w:val="13"/>
        </w:rPr>
      </w:pPr>
    </w:p>
    <w:tbl>
      <w:tblPr>
        <w:tblW w:w="765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342DA" w:rsidTr="00224C05">
        <w:tc>
          <w:tcPr>
            <w:tcW w:w="7654" w:type="dxa"/>
            <w:shd w:val="clear" w:color="auto" w:fill="auto"/>
            <w:tcMar>
              <w:left w:w="142" w:type="dxa"/>
              <w:right w:w="142" w:type="dxa"/>
            </w:tcMar>
          </w:tcPr>
          <w:p w:rsidR="002342DA" w:rsidRPr="00E966FE" w:rsidRDefault="002342DA" w:rsidP="00224C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 w:val="left" w:pos="7391"/>
              </w:tabs>
              <w:overflowPunct w:val="0"/>
              <w:adjustRightInd w:val="0"/>
              <w:snapToGrid w:val="0"/>
              <w:spacing w:after="0" w:line="120" w:lineRule="exact"/>
              <w:ind w:left="11" w:right="0" w:hanging="11"/>
              <w:rPr>
                <w:sz w:val="10"/>
              </w:rPr>
            </w:pPr>
          </w:p>
          <w:p w:rsidR="002342DA" w:rsidRPr="0013118B" w:rsidRDefault="002342DA" w:rsidP="00224C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 w:val="left" w:pos="7391"/>
              </w:tabs>
              <w:overflowPunct w:val="0"/>
              <w:adjustRightInd w:val="0"/>
              <w:snapToGrid w:val="0"/>
              <w:ind w:left="11" w:right="0" w:hanging="11"/>
            </w:pPr>
            <w:r w:rsidRPr="000364C7">
              <w:rPr>
                <w:rFonts w:hint="eastAsia"/>
              </w:rPr>
              <w:t>框</w:t>
            </w:r>
            <w:r>
              <w:rPr>
                <w:rFonts w:hint="eastAsia"/>
              </w:rPr>
              <w:t>2</w:t>
            </w:r>
            <w:r>
              <w:br/>
            </w:r>
            <w:r w:rsidRPr="00CF09D0">
              <w:rPr>
                <w:rFonts w:ascii="SimHei" w:eastAsia="SimHei" w:hAnsi="SimHei" w:hint="eastAsia"/>
              </w:rPr>
              <w:t>案例分析：</w:t>
            </w:r>
            <w:r w:rsidRPr="002342DA">
              <w:rPr>
                <w:rFonts w:ascii="SimHei" w:eastAsia="SimHei" w:hAnsi="SimHei" w:hint="eastAsia"/>
              </w:rPr>
              <w:t>加沙患者就医受到阻碍</w:t>
            </w:r>
          </w:p>
        </w:tc>
      </w:tr>
      <w:tr w:rsidR="002342DA" w:rsidTr="00224C05">
        <w:tc>
          <w:tcPr>
            <w:tcW w:w="7654" w:type="dxa"/>
            <w:shd w:val="clear" w:color="auto" w:fill="auto"/>
            <w:tcMar>
              <w:left w:w="142" w:type="dxa"/>
              <w:right w:w="142" w:type="dxa"/>
            </w:tcMar>
          </w:tcPr>
          <w:p w:rsidR="002342DA" w:rsidRDefault="002342DA" w:rsidP="00224C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7391"/>
              </w:tabs>
              <w:overflowPunct w:val="0"/>
              <w:adjustRightInd w:val="0"/>
              <w:snapToGrid w:val="0"/>
              <w:ind w:left="11" w:right="0" w:hanging="11"/>
            </w:pPr>
            <w:r w:rsidRPr="002342DA">
              <w:rPr>
                <w:rFonts w:hint="eastAsia"/>
              </w:rPr>
              <w:t>通行证和转诊制度使加沙患者常常错过或延误治疗机会。</w:t>
            </w:r>
          </w:p>
        </w:tc>
      </w:tr>
      <w:tr w:rsidR="002342DA" w:rsidTr="00224C05">
        <w:tc>
          <w:tcPr>
            <w:tcW w:w="7654" w:type="dxa"/>
            <w:shd w:val="clear" w:color="auto" w:fill="auto"/>
            <w:tcMar>
              <w:left w:w="142" w:type="dxa"/>
              <w:right w:w="142" w:type="dxa"/>
            </w:tcMar>
          </w:tcPr>
          <w:p w:rsidR="002342DA" w:rsidRDefault="002342DA" w:rsidP="00224C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7391"/>
              </w:tabs>
              <w:overflowPunct w:val="0"/>
              <w:adjustRightInd w:val="0"/>
              <w:snapToGrid w:val="0"/>
              <w:ind w:left="11" w:right="0" w:hanging="11"/>
            </w:pPr>
            <w:r w:rsidRPr="002342DA">
              <w:rPr>
                <w:rFonts w:hint="eastAsia"/>
              </w:rPr>
              <w:t>人权高专办观察到</w:t>
            </w:r>
            <w:r w:rsidRPr="002342DA">
              <w:rPr>
                <w:rFonts w:hint="eastAsia"/>
              </w:rPr>
              <w:t>Haytham Mohamad Ghazi Shurrab</w:t>
            </w:r>
            <w:r w:rsidRPr="002342DA">
              <w:rPr>
                <w:rFonts w:hint="eastAsia"/>
              </w:rPr>
              <w:t>的案例。</w:t>
            </w:r>
            <w:r w:rsidRPr="002342DA">
              <w:rPr>
                <w:rFonts w:hint="eastAsia"/>
              </w:rPr>
              <w:t>Shurrab</w:t>
            </w:r>
            <w:r w:rsidRPr="002342DA">
              <w:rPr>
                <w:rFonts w:hint="eastAsia"/>
              </w:rPr>
              <w:t>先生</w:t>
            </w:r>
            <w:r w:rsidRPr="002342DA">
              <w:rPr>
                <w:rFonts w:hint="eastAsia"/>
              </w:rPr>
              <w:t>22</w:t>
            </w:r>
            <w:r w:rsidRPr="002342DA">
              <w:rPr>
                <w:rFonts w:hint="eastAsia"/>
              </w:rPr>
              <w:t>岁，</w:t>
            </w:r>
            <w:r w:rsidRPr="002342DA">
              <w:rPr>
                <w:rFonts w:hint="eastAsia"/>
              </w:rPr>
              <w:t>2014</w:t>
            </w:r>
            <w:r w:rsidRPr="002342DA">
              <w:rPr>
                <w:rFonts w:hint="eastAsia"/>
              </w:rPr>
              <w:t>年在加沙冲突升级期间患病。几次到加沙医院就诊后，转到开罗一家医院诊治，被确诊为癌症，并开始接受治疗。</w:t>
            </w:r>
            <w:r w:rsidRPr="002342DA">
              <w:rPr>
                <w:rFonts w:hint="eastAsia"/>
              </w:rPr>
              <w:t>Shurrab</w:t>
            </w:r>
            <w:r w:rsidRPr="002342DA">
              <w:rPr>
                <w:rFonts w:hint="eastAsia"/>
              </w:rPr>
              <w:t>先生</w:t>
            </w:r>
            <w:r w:rsidRPr="002342DA">
              <w:rPr>
                <w:rFonts w:hint="eastAsia"/>
              </w:rPr>
              <w:t>2015</w:t>
            </w:r>
            <w:r w:rsidRPr="002342DA">
              <w:rPr>
                <w:rFonts w:hint="eastAsia"/>
              </w:rPr>
              <w:t>年</w:t>
            </w:r>
            <w:r w:rsidRPr="002342DA">
              <w:rPr>
                <w:rFonts w:hint="eastAsia"/>
              </w:rPr>
              <w:t>1</w:t>
            </w:r>
            <w:r w:rsidRPr="002342DA">
              <w:rPr>
                <w:rFonts w:hint="eastAsia"/>
              </w:rPr>
              <w:t>月返回加沙。到</w:t>
            </w:r>
            <w:r w:rsidRPr="002342DA">
              <w:rPr>
                <w:rFonts w:hint="eastAsia"/>
              </w:rPr>
              <w:t>4</w:t>
            </w:r>
            <w:r w:rsidRPr="002342DA">
              <w:rPr>
                <w:rFonts w:hint="eastAsia"/>
              </w:rPr>
              <w:t>月，治疗不见效。他获得了通行证，到特拉维夫一家医院接受扫描，一天后返回加沙。扫描结果出来后，他的治疗方案进行了调整，但</w:t>
            </w:r>
            <w:r w:rsidRPr="002342DA">
              <w:rPr>
                <w:rFonts w:hint="eastAsia"/>
              </w:rPr>
              <w:t>2015</w:t>
            </w:r>
            <w:r w:rsidRPr="002342DA">
              <w:rPr>
                <w:rFonts w:hint="eastAsia"/>
              </w:rPr>
              <w:t>年</w:t>
            </w:r>
            <w:r w:rsidRPr="002342DA">
              <w:rPr>
                <w:rFonts w:hint="eastAsia"/>
              </w:rPr>
              <w:t>6</w:t>
            </w:r>
            <w:r w:rsidRPr="002342DA">
              <w:rPr>
                <w:rFonts w:hint="eastAsia"/>
              </w:rPr>
              <w:t>月因腹部肿胀不得不停止。之后，</w:t>
            </w:r>
            <w:r w:rsidRPr="002342DA">
              <w:rPr>
                <w:rFonts w:hint="eastAsia"/>
              </w:rPr>
              <w:t>Shurrab</w:t>
            </w:r>
            <w:r w:rsidRPr="002342DA">
              <w:rPr>
                <w:rFonts w:hint="eastAsia"/>
              </w:rPr>
              <w:t>先生被转到</w:t>
            </w:r>
            <w:r w:rsidRPr="002342DA">
              <w:rPr>
                <w:rFonts w:hint="eastAsia"/>
              </w:rPr>
              <w:t>Nablus</w:t>
            </w:r>
            <w:r w:rsidRPr="002342DA">
              <w:rPr>
                <w:rFonts w:hint="eastAsia"/>
              </w:rPr>
              <w:t>的</w:t>
            </w:r>
            <w:r w:rsidRPr="002342DA">
              <w:rPr>
                <w:rFonts w:hint="eastAsia"/>
              </w:rPr>
              <w:t>Al-Naja</w:t>
            </w:r>
            <w:r w:rsidRPr="002342DA">
              <w:rPr>
                <w:rFonts w:hint="eastAsia"/>
              </w:rPr>
              <w:t>医院，两周后被告知他需要的治疗该医院无法提供。</w:t>
            </w:r>
          </w:p>
        </w:tc>
      </w:tr>
      <w:tr w:rsidR="002342DA" w:rsidTr="00224C05">
        <w:tc>
          <w:tcPr>
            <w:tcW w:w="7654" w:type="dxa"/>
            <w:shd w:val="clear" w:color="auto" w:fill="auto"/>
            <w:tcMar>
              <w:left w:w="142" w:type="dxa"/>
              <w:right w:w="142" w:type="dxa"/>
            </w:tcMar>
          </w:tcPr>
          <w:p w:rsidR="002342DA" w:rsidRDefault="002342DA" w:rsidP="00224C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7391"/>
              </w:tabs>
              <w:overflowPunct w:val="0"/>
              <w:adjustRightInd w:val="0"/>
              <w:snapToGrid w:val="0"/>
              <w:ind w:left="11" w:right="0" w:hanging="11"/>
            </w:pPr>
            <w:r w:rsidRPr="002342DA">
              <w:rPr>
                <w:rFonts w:hint="eastAsia"/>
              </w:rPr>
              <w:t>因担心治疗再次拖延，</w:t>
            </w:r>
            <w:r w:rsidRPr="002342DA">
              <w:rPr>
                <w:rFonts w:hint="eastAsia"/>
              </w:rPr>
              <w:t>Shurrab</w:t>
            </w:r>
            <w:r w:rsidRPr="002342DA">
              <w:rPr>
                <w:rFonts w:hint="eastAsia"/>
              </w:rPr>
              <w:t>先生的父亲直接写信给巴勒斯坦国总统阿巴斯，请求将他的儿子转到以色列医院接受必要治疗。</w:t>
            </w:r>
            <w:r w:rsidRPr="002342DA">
              <w:rPr>
                <w:rFonts w:hint="eastAsia"/>
              </w:rPr>
              <w:t>Shurrab</w:t>
            </w:r>
            <w:r w:rsidRPr="002342DA">
              <w:rPr>
                <w:rFonts w:hint="eastAsia"/>
              </w:rPr>
              <w:t>先生</w:t>
            </w:r>
            <w:r w:rsidRPr="002342DA">
              <w:rPr>
                <w:rFonts w:hint="eastAsia"/>
              </w:rPr>
              <w:t>2015</w:t>
            </w:r>
            <w:r w:rsidRPr="002342DA">
              <w:rPr>
                <w:rFonts w:hint="eastAsia"/>
              </w:rPr>
              <w:t>年</w:t>
            </w:r>
            <w:r w:rsidRPr="002342DA">
              <w:rPr>
                <w:rFonts w:hint="eastAsia"/>
              </w:rPr>
              <w:t>7</w:t>
            </w:r>
            <w:r w:rsidRPr="002342DA">
              <w:rPr>
                <w:rFonts w:hint="eastAsia"/>
              </w:rPr>
              <w:t>月收到卫生部的转院许可，并得到特拉维夫一家医院</w:t>
            </w:r>
            <w:r w:rsidRPr="002342DA">
              <w:rPr>
                <w:rFonts w:hint="eastAsia"/>
              </w:rPr>
              <w:t>2015</w:t>
            </w:r>
            <w:r w:rsidRPr="002342DA">
              <w:rPr>
                <w:rFonts w:hint="eastAsia"/>
              </w:rPr>
              <w:t>年</w:t>
            </w:r>
            <w:r w:rsidRPr="002342DA">
              <w:rPr>
                <w:rFonts w:hint="eastAsia"/>
              </w:rPr>
              <w:t>8</w:t>
            </w:r>
            <w:r w:rsidRPr="002342DA">
              <w:rPr>
                <w:rFonts w:hint="eastAsia"/>
              </w:rPr>
              <w:t>月</w:t>
            </w:r>
            <w:r w:rsidRPr="002342DA">
              <w:rPr>
                <w:rFonts w:hint="eastAsia"/>
              </w:rPr>
              <w:t>5</w:t>
            </w:r>
            <w:r w:rsidRPr="002342DA">
              <w:rPr>
                <w:rFonts w:hint="eastAsia"/>
              </w:rPr>
              <w:t>日的预约，同时申请通行证。</w:t>
            </w:r>
            <w:r w:rsidRPr="002342DA">
              <w:rPr>
                <w:rFonts w:hint="eastAsia"/>
              </w:rPr>
              <w:t>8</w:t>
            </w:r>
            <w:r w:rsidRPr="002342DA">
              <w:rPr>
                <w:rFonts w:hint="eastAsia"/>
              </w:rPr>
              <w:t>月</w:t>
            </w:r>
            <w:r w:rsidRPr="002342DA">
              <w:rPr>
                <w:rFonts w:hint="eastAsia"/>
              </w:rPr>
              <w:t>4</w:t>
            </w:r>
            <w:r w:rsidRPr="002342DA">
              <w:rPr>
                <w:rFonts w:hint="eastAsia"/>
              </w:rPr>
              <w:t>日，他被告知，他的出行许可仍在进行安全审查。因此，他错过了这次机会，重新预约到</w:t>
            </w:r>
            <w:r w:rsidRPr="002342DA">
              <w:rPr>
                <w:rFonts w:hint="eastAsia"/>
              </w:rPr>
              <w:t>2015</w:t>
            </w:r>
            <w:r w:rsidRPr="002342DA">
              <w:rPr>
                <w:rFonts w:hint="eastAsia"/>
              </w:rPr>
              <w:t>年</w:t>
            </w:r>
            <w:r w:rsidRPr="002342DA">
              <w:rPr>
                <w:rFonts w:hint="eastAsia"/>
              </w:rPr>
              <w:t>9</w:t>
            </w:r>
            <w:r w:rsidRPr="002342DA">
              <w:rPr>
                <w:rFonts w:hint="eastAsia"/>
              </w:rPr>
              <w:t>月</w:t>
            </w:r>
            <w:r w:rsidRPr="002342DA">
              <w:rPr>
                <w:rFonts w:hint="eastAsia"/>
              </w:rPr>
              <w:t>9</w:t>
            </w:r>
            <w:r w:rsidRPr="002342DA">
              <w:rPr>
                <w:rFonts w:hint="eastAsia"/>
              </w:rPr>
              <w:t>日。</w:t>
            </w:r>
            <w:r w:rsidRPr="002342DA">
              <w:rPr>
                <w:rFonts w:hint="eastAsia"/>
              </w:rPr>
              <w:t>Shurrab</w:t>
            </w:r>
            <w:r w:rsidRPr="002342DA">
              <w:rPr>
                <w:rFonts w:hint="eastAsia"/>
              </w:rPr>
              <w:t>先生</w:t>
            </w:r>
            <w:r w:rsidRPr="002342DA">
              <w:rPr>
                <w:rFonts w:hint="eastAsia"/>
              </w:rPr>
              <w:t>2015</w:t>
            </w:r>
            <w:r w:rsidRPr="002342DA">
              <w:rPr>
                <w:rFonts w:hint="eastAsia"/>
              </w:rPr>
              <w:t>年</w:t>
            </w:r>
            <w:r w:rsidRPr="002342DA">
              <w:rPr>
                <w:rFonts w:hint="eastAsia"/>
              </w:rPr>
              <w:t>8</w:t>
            </w:r>
            <w:r w:rsidRPr="002342DA">
              <w:rPr>
                <w:rFonts w:hint="eastAsia"/>
              </w:rPr>
              <w:t>月底去世，他的父亲</w:t>
            </w:r>
            <w:r w:rsidRPr="002342DA">
              <w:rPr>
                <w:rFonts w:hint="eastAsia"/>
              </w:rPr>
              <w:t>9</w:t>
            </w:r>
            <w:r w:rsidRPr="002342DA">
              <w:rPr>
                <w:rFonts w:hint="eastAsia"/>
              </w:rPr>
              <w:t>月</w:t>
            </w:r>
            <w:r w:rsidRPr="002342DA">
              <w:rPr>
                <w:rFonts w:hint="eastAsia"/>
              </w:rPr>
              <w:t>8</w:t>
            </w:r>
            <w:r w:rsidRPr="002342DA">
              <w:rPr>
                <w:rFonts w:hint="eastAsia"/>
              </w:rPr>
              <w:t>日收到民政委员会通知，说他的通行证已获批准。</w:t>
            </w:r>
          </w:p>
        </w:tc>
      </w:tr>
      <w:tr w:rsidR="002342DA" w:rsidTr="00224C05">
        <w:tc>
          <w:tcPr>
            <w:tcW w:w="7654" w:type="dxa"/>
            <w:shd w:val="clear" w:color="auto" w:fill="auto"/>
            <w:tcMar>
              <w:left w:w="142" w:type="dxa"/>
              <w:right w:w="142" w:type="dxa"/>
            </w:tcMar>
          </w:tcPr>
          <w:p w:rsidR="002342DA" w:rsidRDefault="002342DA" w:rsidP="00224C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 w:val="left" w:pos="7391"/>
              </w:tabs>
              <w:overflowPunct w:val="0"/>
              <w:adjustRightInd w:val="0"/>
              <w:snapToGrid w:val="0"/>
              <w:spacing w:after="0" w:line="120" w:lineRule="exact"/>
              <w:ind w:left="11" w:right="0" w:hanging="11"/>
            </w:pPr>
          </w:p>
        </w:tc>
      </w:tr>
    </w:tbl>
    <w:p w:rsidR="000364C7" w:rsidRPr="000364C7" w:rsidRDefault="000364C7" w:rsidP="00934AC9">
      <w:pPr>
        <w:pStyle w:val="SingleTxt"/>
        <w:overflowPunct w:val="0"/>
        <w:spacing w:before="320"/>
      </w:pPr>
      <w:r w:rsidRPr="000364C7">
        <w:rPr>
          <w:rFonts w:hint="eastAsia"/>
        </w:rPr>
        <w:t>60</w:t>
      </w:r>
      <w:r>
        <w:rPr>
          <w:rFonts w:hint="eastAsia"/>
        </w:rPr>
        <w:t xml:space="preserve">.  </w:t>
      </w:r>
      <w:r w:rsidRPr="000364C7">
        <w:rPr>
          <w:rFonts w:hint="eastAsia"/>
        </w:rPr>
        <w:t>出行的各种实际限制，包括检查站，妨碍病人就医看病。</w:t>
      </w:r>
      <w:r w:rsidRPr="000364C7">
        <w:rPr>
          <w:rFonts w:hint="eastAsia"/>
        </w:rPr>
        <w:t>2015</w:t>
      </w:r>
      <w:r w:rsidRPr="000364C7">
        <w:rPr>
          <w:rFonts w:hint="eastAsia"/>
        </w:rPr>
        <w:t>年</w:t>
      </w:r>
      <w:r w:rsidRPr="000364C7">
        <w:rPr>
          <w:rFonts w:hint="eastAsia"/>
        </w:rPr>
        <w:t>10</w:t>
      </w:r>
      <w:r w:rsidRPr="000364C7">
        <w:rPr>
          <w:rFonts w:hint="eastAsia"/>
        </w:rPr>
        <w:t>月</w:t>
      </w:r>
      <w:r w:rsidRPr="000364C7">
        <w:rPr>
          <w:rFonts w:hint="eastAsia"/>
        </w:rPr>
        <w:t>14</w:t>
      </w:r>
      <w:r w:rsidRPr="000364C7">
        <w:rPr>
          <w:rFonts w:hint="eastAsia"/>
        </w:rPr>
        <w:t>日以来，控制进入东耶路撒冷以及东耶路撒冷内的各种检查站和路障，封锁了前往六所巴勒斯坦医院的就诊之路，而这些医院提供一系列西岸和加沙没有的专科治疗。道路封闭使工作人员无法上班，病人就医受到阻碍和延误。</w:t>
      </w:r>
      <w:r w:rsidRPr="000364C7">
        <w:rPr>
          <w:vertAlign w:val="superscript"/>
        </w:rPr>
        <w:footnoteReference w:id="61"/>
      </w:r>
      <w:r w:rsidR="0018464E">
        <w:rPr>
          <w:rFonts w:hint="eastAsia"/>
        </w:rPr>
        <w:t xml:space="preserve"> </w:t>
      </w:r>
      <w:r w:rsidRPr="000364C7">
        <w:rPr>
          <w:rFonts w:hint="eastAsia"/>
        </w:rPr>
        <w:t>人权高专办观察到一位</w:t>
      </w:r>
      <w:r w:rsidRPr="000364C7">
        <w:rPr>
          <w:rFonts w:hint="eastAsia"/>
        </w:rPr>
        <w:t>65</w:t>
      </w:r>
      <w:r w:rsidRPr="000364C7">
        <w:rPr>
          <w:rFonts w:hint="eastAsia"/>
        </w:rPr>
        <w:t>岁患呼吸道疾病巴勒斯坦妇女</w:t>
      </w:r>
      <w:r w:rsidRPr="000364C7">
        <w:rPr>
          <w:rFonts w:hint="eastAsia"/>
        </w:rPr>
        <w:t>10</w:t>
      </w:r>
      <w:r w:rsidRPr="000364C7">
        <w:rPr>
          <w:rFonts w:hint="eastAsia"/>
        </w:rPr>
        <w:t>月</w:t>
      </w:r>
      <w:r w:rsidRPr="000364C7">
        <w:rPr>
          <w:rFonts w:hint="eastAsia"/>
        </w:rPr>
        <w:t>19</w:t>
      </w:r>
      <w:r w:rsidRPr="000364C7">
        <w:rPr>
          <w:rFonts w:hint="eastAsia"/>
        </w:rPr>
        <w:t>日死在前往医院途中的案例。警察关闭了通往医院的道路，检查站又还一再拖延，使她失去了挽救生命的治疗机会。</w:t>
      </w:r>
    </w:p>
    <w:p w:rsidR="000364C7" w:rsidRDefault="000364C7" w:rsidP="002342DA">
      <w:pPr>
        <w:pStyle w:val="SingleTxt"/>
        <w:overflowPunct w:val="0"/>
      </w:pPr>
      <w:r w:rsidRPr="000364C7">
        <w:rPr>
          <w:rFonts w:hint="eastAsia"/>
        </w:rPr>
        <w:t>61</w:t>
      </w:r>
      <w:r>
        <w:rPr>
          <w:rFonts w:hint="eastAsia"/>
        </w:rPr>
        <w:t xml:space="preserve">.  </w:t>
      </w:r>
      <w:r w:rsidRPr="000364C7">
        <w:rPr>
          <w:rFonts w:hint="eastAsia"/>
        </w:rPr>
        <w:t>出行限制损害了医疗中心的医疗质量。东耶路撒冷阿布迪斯区</w:t>
      </w:r>
      <w:r>
        <w:rPr>
          <w:rFonts w:hint="eastAsia"/>
        </w:rPr>
        <w:t>(</w:t>
      </w:r>
      <w:r w:rsidRPr="000364C7">
        <w:t>Abu Dis</w:t>
      </w:r>
      <w:r>
        <w:rPr>
          <w:rFonts w:hint="eastAsia"/>
        </w:rPr>
        <w:t>)</w:t>
      </w:r>
      <w:r w:rsidRPr="000364C7">
        <w:rPr>
          <w:rFonts w:hint="eastAsia"/>
        </w:rPr>
        <w:t>圣城大学</w:t>
      </w:r>
      <w:r>
        <w:rPr>
          <w:rFonts w:hint="eastAsia"/>
        </w:rPr>
        <w:t>(</w:t>
      </w:r>
      <w:r w:rsidRPr="000364C7">
        <w:t>Al-Quds)</w:t>
      </w:r>
      <w:r w:rsidRPr="000364C7">
        <w:rPr>
          <w:rFonts w:hint="eastAsia"/>
        </w:rPr>
        <w:t>医学院是西岸两所医学院之一。学生临床实习主要在东耶路撒冷的巴勒斯坦医院进行。阿布迪斯区的隔离墙建成后，将这所学校与东耶路撒冷的其余部分隔离开来。每年约</w:t>
      </w:r>
      <w:r w:rsidRPr="000364C7">
        <w:rPr>
          <w:rFonts w:hint="eastAsia"/>
        </w:rPr>
        <w:t>10</w:t>
      </w:r>
      <w:r>
        <w:rPr>
          <w:rFonts w:hint="eastAsia"/>
        </w:rPr>
        <w:t>%</w:t>
      </w:r>
      <w:r w:rsidRPr="000364C7">
        <w:rPr>
          <w:rFonts w:hint="eastAsia"/>
        </w:rPr>
        <w:t>的圣城大学学生遭到以色列民政局阻拦，无法进入东耶路撒冷。</w:t>
      </w:r>
      <w:r w:rsidRPr="000364C7">
        <w:rPr>
          <w:vertAlign w:val="superscript"/>
        </w:rPr>
        <w:footnoteReference w:id="62"/>
      </w:r>
      <w:r w:rsidR="0018464E">
        <w:rPr>
          <w:rFonts w:hint="eastAsia"/>
        </w:rPr>
        <w:t xml:space="preserve"> </w:t>
      </w:r>
      <w:r w:rsidRPr="000364C7">
        <w:rPr>
          <w:rFonts w:hint="eastAsia"/>
        </w:rPr>
        <w:t>这些限制使学医学生和员工失去实习机会，进而影响到医疗服务质量。</w:t>
      </w:r>
    </w:p>
    <w:p w:rsidR="00F44A2C" w:rsidRPr="00F44A2C" w:rsidRDefault="00F44A2C" w:rsidP="00F44A2C">
      <w:pPr>
        <w:pStyle w:val="SingleTxt"/>
        <w:spacing w:after="0" w:line="120" w:lineRule="exact"/>
        <w:rPr>
          <w:sz w:val="10"/>
        </w:rPr>
      </w:pPr>
    </w:p>
    <w:p w:rsidR="00F44A2C" w:rsidRPr="00F44A2C" w:rsidRDefault="00F44A2C" w:rsidP="00F44A2C">
      <w:pPr>
        <w:pStyle w:val="SingleTxt"/>
        <w:spacing w:after="0" w:line="120" w:lineRule="exact"/>
        <w:rPr>
          <w:sz w:val="10"/>
        </w:rPr>
      </w:pPr>
    </w:p>
    <w:p w:rsidR="000364C7" w:rsidRDefault="0018464E" w:rsidP="0018464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3.</w:t>
      </w:r>
      <w:r>
        <w:rPr>
          <w:rFonts w:hint="eastAsia"/>
        </w:rPr>
        <w:tab/>
      </w:r>
      <w:r w:rsidR="000364C7" w:rsidRPr="000364C7">
        <w:rPr>
          <w:rFonts w:hint="eastAsia"/>
        </w:rPr>
        <w:t>工作权</w:t>
      </w:r>
    </w:p>
    <w:p w:rsidR="00F44A2C" w:rsidRPr="00F44A2C" w:rsidRDefault="00F44A2C" w:rsidP="00F44A2C">
      <w:pPr>
        <w:pStyle w:val="SingleTxt"/>
        <w:spacing w:after="0" w:line="120" w:lineRule="exact"/>
        <w:rPr>
          <w:sz w:val="10"/>
        </w:rPr>
      </w:pPr>
    </w:p>
    <w:p w:rsidR="00F44A2C" w:rsidRPr="00F44A2C" w:rsidRDefault="00F44A2C" w:rsidP="00F44A2C">
      <w:pPr>
        <w:pStyle w:val="SingleTxt"/>
        <w:spacing w:after="0" w:line="120" w:lineRule="exact"/>
        <w:rPr>
          <w:sz w:val="10"/>
        </w:rPr>
      </w:pPr>
    </w:p>
    <w:p w:rsidR="000364C7" w:rsidRDefault="000364C7" w:rsidP="000364C7">
      <w:pPr>
        <w:pStyle w:val="SingleTxt"/>
      </w:pPr>
      <w:r w:rsidRPr="000364C7">
        <w:rPr>
          <w:rFonts w:hint="eastAsia"/>
        </w:rPr>
        <w:t>62</w:t>
      </w:r>
      <w:r>
        <w:rPr>
          <w:rFonts w:hint="eastAsia"/>
        </w:rPr>
        <w:t xml:space="preserve">.  </w:t>
      </w:r>
      <w:r w:rsidRPr="000364C7">
        <w:rPr>
          <w:rFonts w:hint="eastAsia"/>
        </w:rPr>
        <w:t>行动限制严重影响巴勒斯坦人的工作权和维持适足生活水准权利。</w:t>
      </w:r>
    </w:p>
    <w:p w:rsidR="000364C7" w:rsidRDefault="000364C7" w:rsidP="000364C7">
      <w:pPr>
        <w:pStyle w:val="SingleTxt"/>
      </w:pPr>
      <w:r w:rsidRPr="000364C7">
        <w:rPr>
          <w:rFonts w:hint="eastAsia"/>
        </w:rPr>
        <w:t>63</w:t>
      </w:r>
      <w:r>
        <w:rPr>
          <w:rFonts w:hint="eastAsia"/>
        </w:rPr>
        <w:t xml:space="preserve">.  </w:t>
      </w:r>
      <w:r w:rsidRPr="000364C7">
        <w:rPr>
          <w:rFonts w:hint="eastAsia"/>
        </w:rPr>
        <w:t>在西岸，实体障碍和通行证制度尤其影响到农业，而农业历来是西岸巴勒斯坦人的主要就业渠道和收入来源。限制巴勒斯坦农民进入他们在“衔接区”和定居点附近的土地，致使土地无法定期耕作，作物产量和价值下降。例如，“衔接区”橄榄树产量比隔离墙西岸一侧低</w:t>
      </w:r>
      <w:r w:rsidRPr="000364C7">
        <w:rPr>
          <w:rFonts w:hint="eastAsia"/>
        </w:rPr>
        <w:t>40-60</w:t>
      </w:r>
      <w:r>
        <w:rPr>
          <w:rFonts w:hint="eastAsia"/>
        </w:rPr>
        <w:t>%</w:t>
      </w:r>
      <w:r w:rsidRPr="000364C7">
        <w:rPr>
          <w:rFonts w:hint="eastAsia"/>
        </w:rPr>
        <w:t>。</w:t>
      </w:r>
      <w:r w:rsidRPr="000364C7">
        <w:rPr>
          <w:vertAlign w:val="superscript"/>
        </w:rPr>
        <w:footnoteReference w:id="63"/>
      </w:r>
    </w:p>
    <w:p w:rsidR="000364C7" w:rsidRDefault="000364C7" w:rsidP="000364C7">
      <w:pPr>
        <w:pStyle w:val="SingleTxt"/>
      </w:pPr>
      <w:r w:rsidRPr="000364C7">
        <w:rPr>
          <w:rFonts w:hint="eastAsia"/>
        </w:rPr>
        <w:t>64</w:t>
      </w:r>
      <w:r>
        <w:rPr>
          <w:rFonts w:hint="eastAsia"/>
        </w:rPr>
        <w:t xml:space="preserve">.  </w:t>
      </w:r>
      <w:r w:rsidRPr="000364C7">
        <w:rPr>
          <w:rFonts w:hint="eastAsia"/>
        </w:rPr>
        <w:t>限制货物和人员流动也影响到巴勒斯坦的贸易。从西岸经由以色列运出或运往以色列或从以色列运到西岸的货物，都要接受严格检查和商业管制。根据世界银行，</w:t>
      </w:r>
      <w:r w:rsidRPr="000364C7">
        <w:rPr>
          <w:rFonts w:hint="eastAsia"/>
        </w:rPr>
        <w:t>2013</w:t>
      </w:r>
      <w:r w:rsidRPr="000364C7">
        <w:rPr>
          <w:rFonts w:hint="eastAsia"/>
        </w:rPr>
        <w:t>年西岸出口货物大约需要</w:t>
      </w:r>
      <w:r w:rsidRPr="000364C7">
        <w:rPr>
          <w:rFonts w:hint="eastAsia"/>
        </w:rPr>
        <w:t>23</w:t>
      </w:r>
      <w:r w:rsidRPr="000364C7">
        <w:rPr>
          <w:rFonts w:hint="eastAsia"/>
        </w:rPr>
        <w:t>天，进口货物大约需要</w:t>
      </w:r>
      <w:r w:rsidRPr="000364C7">
        <w:rPr>
          <w:rFonts w:hint="eastAsia"/>
        </w:rPr>
        <w:t>38</w:t>
      </w:r>
      <w:r w:rsidRPr="000364C7">
        <w:rPr>
          <w:rFonts w:hint="eastAsia"/>
        </w:rPr>
        <w:t>天。相比之下，以色列贸易商的进出口交易平均需要</w:t>
      </w:r>
      <w:r w:rsidRPr="000364C7">
        <w:rPr>
          <w:rFonts w:hint="eastAsia"/>
        </w:rPr>
        <w:t>10</w:t>
      </w:r>
      <w:r w:rsidRPr="000364C7">
        <w:rPr>
          <w:rFonts w:hint="eastAsia"/>
        </w:rPr>
        <w:t>天。</w:t>
      </w:r>
      <w:r w:rsidRPr="000364C7">
        <w:rPr>
          <w:vertAlign w:val="superscript"/>
        </w:rPr>
        <w:footnoteReference w:id="64"/>
      </w:r>
      <w:r w:rsidR="0018464E">
        <w:rPr>
          <w:rFonts w:hint="eastAsia"/>
        </w:rPr>
        <w:t xml:space="preserve"> </w:t>
      </w:r>
      <w:r w:rsidRPr="000364C7">
        <w:rPr>
          <w:rFonts w:hint="eastAsia"/>
        </w:rPr>
        <w:t>此种限制对巴勒斯坦企业竞争力造成严重影响，限制了巴勒斯坦私营部门的就业。</w:t>
      </w:r>
    </w:p>
    <w:p w:rsidR="000364C7" w:rsidRPr="00C54520" w:rsidRDefault="000364C7" w:rsidP="00C54520">
      <w:pPr>
        <w:pStyle w:val="SingleTxt"/>
        <w:overflowPunct w:val="0"/>
      </w:pPr>
      <w:r w:rsidRPr="000364C7">
        <w:rPr>
          <w:rFonts w:hint="eastAsia"/>
        </w:rPr>
        <w:t>65.</w:t>
      </w:r>
      <w:r w:rsidR="0018464E">
        <w:rPr>
          <w:rFonts w:hint="eastAsia"/>
        </w:rPr>
        <w:t xml:space="preserve">  </w:t>
      </w:r>
      <w:r w:rsidRPr="00C54520">
        <w:rPr>
          <w:rFonts w:hint="eastAsia"/>
          <w:snapToGrid w:val="0"/>
          <w:spacing w:val="1"/>
          <w:kern w:val="0"/>
        </w:rPr>
        <w:t>尽管仍受到严格限制，但加沙局势有所改善。自</w:t>
      </w:r>
      <w:r w:rsidRPr="00C54520">
        <w:rPr>
          <w:rFonts w:hint="eastAsia"/>
          <w:snapToGrid w:val="0"/>
          <w:spacing w:val="1"/>
          <w:kern w:val="0"/>
        </w:rPr>
        <w:t>2014</w:t>
      </w:r>
      <w:r w:rsidRPr="00C54520">
        <w:rPr>
          <w:rFonts w:hint="eastAsia"/>
          <w:snapToGrid w:val="0"/>
          <w:spacing w:val="1"/>
          <w:kern w:val="0"/>
        </w:rPr>
        <w:t>年</w:t>
      </w:r>
      <w:r w:rsidRPr="00C54520">
        <w:rPr>
          <w:rFonts w:hint="eastAsia"/>
          <w:snapToGrid w:val="0"/>
          <w:spacing w:val="1"/>
          <w:kern w:val="0"/>
        </w:rPr>
        <w:t>11</w:t>
      </w:r>
      <w:r w:rsidRPr="00C54520">
        <w:rPr>
          <w:rFonts w:hint="eastAsia"/>
          <w:snapToGrid w:val="0"/>
          <w:spacing w:val="1"/>
          <w:kern w:val="0"/>
        </w:rPr>
        <w:t>月，以色列开始允许在西岸和以色列出售一定数量的加沙产品，包括农产品、纺织品、铁器和家具。</w:t>
      </w:r>
      <w:r w:rsidRPr="00C54520">
        <w:rPr>
          <w:snapToGrid w:val="0"/>
          <w:spacing w:val="1"/>
          <w:kern w:val="0"/>
          <w:vertAlign w:val="superscript"/>
        </w:rPr>
        <w:footnoteReference w:id="65"/>
      </w:r>
      <w:r w:rsidR="00C54520">
        <w:rPr>
          <w:rFonts w:hint="eastAsia"/>
          <w:snapToGrid w:val="0"/>
          <w:spacing w:val="1"/>
          <w:kern w:val="0"/>
        </w:rPr>
        <w:t xml:space="preserve"> </w:t>
      </w:r>
      <w:r w:rsidRPr="00C54520">
        <w:rPr>
          <w:rFonts w:hint="eastAsia"/>
          <w:snapToGrid w:val="0"/>
          <w:spacing w:val="1"/>
          <w:kern w:val="0"/>
        </w:rPr>
        <w:t>放宽管制后，</w:t>
      </w:r>
      <w:r w:rsidRPr="00C54520">
        <w:rPr>
          <w:rFonts w:hint="eastAsia"/>
          <w:snapToGrid w:val="0"/>
          <w:spacing w:val="1"/>
          <w:kern w:val="0"/>
        </w:rPr>
        <w:t>2015</w:t>
      </w:r>
      <w:r w:rsidRPr="00C54520">
        <w:rPr>
          <w:rFonts w:hint="eastAsia"/>
          <w:snapToGrid w:val="0"/>
          <w:spacing w:val="1"/>
          <w:kern w:val="0"/>
        </w:rPr>
        <w:t>年前</w:t>
      </w:r>
      <w:r w:rsidRPr="00C54520">
        <w:rPr>
          <w:rFonts w:hint="eastAsia"/>
          <w:snapToGrid w:val="0"/>
          <w:spacing w:val="1"/>
          <w:kern w:val="0"/>
        </w:rPr>
        <w:t>10</w:t>
      </w:r>
      <w:r w:rsidRPr="00C54520">
        <w:rPr>
          <w:rFonts w:hint="eastAsia"/>
          <w:snapToGrid w:val="0"/>
          <w:spacing w:val="1"/>
          <w:kern w:val="0"/>
        </w:rPr>
        <w:t>个月有</w:t>
      </w:r>
      <w:r w:rsidRPr="00C54520">
        <w:rPr>
          <w:rFonts w:hint="eastAsia"/>
          <w:snapToGrid w:val="0"/>
          <w:spacing w:val="1"/>
          <w:kern w:val="0"/>
        </w:rPr>
        <w:t>908</w:t>
      </w:r>
      <w:r w:rsidRPr="00C54520">
        <w:rPr>
          <w:rFonts w:hint="eastAsia"/>
          <w:snapToGrid w:val="0"/>
          <w:spacing w:val="1"/>
          <w:kern w:val="0"/>
        </w:rPr>
        <w:t>辆卡车货物运进，而</w:t>
      </w:r>
      <w:r w:rsidRPr="00C54520">
        <w:rPr>
          <w:rFonts w:hint="eastAsia"/>
          <w:snapToGrid w:val="0"/>
          <w:spacing w:val="1"/>
          <w:kern w:val="0"/>
        </w:rPr>
        <w:t>2014</w:t>
      </w:r>
      <w:r w:rsidRPr="00C54520">
        <w:rPr>
          <w:rFonts w:hint="eastAsia"/>
          <w:snapToGrid w:val="0"/>
          <w:spacing w:val="1"/>
          <w:kern w:val="0"/>
        </w:rPr>
        <w:t>年为</w:t>
      </w:r>
      <w:r w:rsidRPr="00C54520">
        <w:rPr>
          <w:rFonts w:hint="eastAsia"/>
          <w:snapToGrid w:val="0"/>
          <w:spacing w:val="1"/>
          <w:kern w:val="0"/>
        </w:rPr>
        <w:t>228</w:t>
      </w:r>
      <w:r w:rsidRPr="00C54520">
        <w:rPr>
          <w:rFonts w:hint="eastAsia"/>
          <w:snapToGrid w:val="0"/>
          <w:spacing w:val="1"/>
          <w:kern w:val="0"/>
        </w:rPr>
        <w:t>辆。</w:t>
      </w:r>
      <w:r w:rsidRPr="00C54520">
        <w:rPr>
          <w:snapToGrid w:val="0"/>
          <w:spacing w:val="1"/>
          <w:kern w:val="0"/>
          <w:vertAlign w:val="superscript"/>
        </w:rPr>
        <w:footnoteReference w:id="66"/>
      </w:r>
      <w:r w:rsidR="0018464E" w:rsidRPr="00C54520">
        <w:rPr>
          <w:rFonts w:hint="eastAsia"/>
          <w:snapToGrid w:val="0"/>
          <w:spacing w:val="1"/>
          <w:kern w:val="0"/>
        </w:rPr>
        <w:t xml:space="preserve"> </w:t>
      </w:r>
      <w:r w:rsidRPr="00C54520">
        <w:rPr>
          <w:rFonts w:hint="eastAsia"/>
          <w:snapToGrid w:val="0"/>
          <w:spacing w:val="1"/>
          <w:kern w:val="0"/>
        </w:rPr>
        <w:t>然而，目前的水平只是封锁前的</w:t>
      </w:r>
      <w:r w:rsidRPr="00C54520">
        <w:rPr>
          <w:rFonts w:hint="eastAsia"/>
          <w:snapToGrid w:val="0"/>
          <w:spacing w:val="1"/>
          <w:kern w:val="0"/>
        </w:rPr>
        <w:t>15%</w:t>
      </w:r>
      <w:r w:rsidRPr="00C54520">
        <w:rPr>
          <w:rFonts w:hint="eastAsia"/>
          <w:snapToGrid w:val="0"/>
          <w:spacing w:val="1"/>
          <w:kern w:val="0"/>
        </w:rPr>
        <w:t>左右。</w:t>
      </w:r>
      <w:r w:rsidRPr="00C54520">
        <w:rPr>
          <w:snapToGrid w:val="0"/>
          <w:spacing w:val="1"/>
          <w:kern w:val="0"/>
          <w:vertAlign w:val="superscript"/>
        </w:rPr>
        <w:footnoteReference w:id="67"/>
      </w:r>
      <w:r w:rsidR="0018464E" w:rsidRPr="00C54520">
        <w:rPr>
          <w:rFonts w:hint="eastAsia"/>
          <w:snapToGrid w:val="0"/>
          <w:spacing w:val="1"/>
          <w:kern w:val="0"/>
        </w:rPr>
        <w:t xml:space="preserve"> </w:t>
      </w:r>
      <w:r w:rsidRPr="00C54520">
        <w:rPr>
          <w:rFonts w:hint="eastAsia"/>
          <w:snapToGrid w:val="0"/>
          <w:spacing w:val="1"/>
          <w:kern w:val="0"/>
        </w:rPr>
        <w:t>此外，限制向加沙运进“两</w:t>
      </w:r>
      <w:r w:rsidRPr="00C54520">
        <w:rPr>
          <w:rFonts w:hint="eastAsia"/>
          <w:snapToGrid w:val="0"/>
          <w:kern w:val="0"/>
        </w:rPr>
        <w:t>用物品”，削弱了巴勒斯坦的制造业，尤其是金</w:t>
      </w:r>
      <w:r w:rsidRPr="00C54520">
        <w:rPr>
          <w:rFonts w:hint="eastAsia"/>
        </w:rPr>
        <w:t>属</w:t>
      </w:r>
      <w:r w:rsidR="00C54520" w:rsidRPr="00C54520">
        <w:rPr>
          <w:rFonts w:hint="eastAsia"/>
        </w:rPr>
        <w:t xml:space="preserve"> </w:t>
      </w:r>
      <w:r w:rsidRPr="00C54520">
        <w:rPr>
          <w:vertAlign w:val="superscript"/>
        </w:rPr>
        <w:footnoteReference w:id="68"/>
      </w:r>
      <w:r w:rsidRPr="00C54520">
        <w:rPr>
          <w:rFonts w:hint="eastAsia"/>
        </w:rPr>
        <w:t>、工程、农业、食品、医药行业。</w:t>
      </w:r>
      <w:r w:rsidRPr="00C54520">
        <w:rPr>
          <w:vertAlign w:val="superscript"/>
        </w:rPr>
        <w:footnoteReference w:id="69"/>
      </w:r>
      <w:r w:rsidR="00C54520" w:rsidRPr="00C54520">
        <w:rPr>
          <w:rFonts w:hint="eastAsia"/>
        </w:rPr>
        <w:t xml:space="preserve"> </w:t>
      </w:r>
      <w:r w:rsidRPr="00C54520">
        <w:rPr>
          <w:rFonts w:hint="eastAsia"/>
        </w:rPr>
        <w:t>2015</w:t>
      </w:r>
      <w:r w:rsidRPr="00C54520">
        <w:rPr>
          <w:rFonts w:hint="eastAsia"/>
        </w:rPr>
        <w:t>年</w:t>
      </w:r>
      <w:r w:rsidRPr="00C54520">
        <w:rPr>
          <w:rFonts w:hint="eastAsia"/>
        </w:rPr>
        <w:t>4</w:t>
      </w:r>
      <w:r w:rsidRPr="00C54520">
        <w:rPr>
          <w:rFonts w:hint="eastAsia"/>
        </w:rPr>
        <w:t>月，厚度超过</w:t>
      </w:r>
      <w:r w:rsidRPr="00C54520">
        <w:rPr>
          <w:rFonts w:hint="eastAsia"/>
        </w:rPr>
        <w:t>5</w:t>
      </w:r>
      <w:r w:rsidRPr="00C54520">
        <w:rPr>
          <w:rFonts w:hint="eastAsia"/>
        </w:rPr>
        <w:t>厘米和宽度超过</w:t>
      </w:r>
      <w:r w:rsidRPr="00C54520">
        <w:rPr>
          <w:rFonts w:hint="eastAsia"/>
        </w:rPr>
        <w:t>20-25</w:t>
      </w:r>
      <w:r w:rsidRPr="00C54520">
        <w:rPr>
          <w:rFonts w:hint="eastAsia"/>
        </w:rPr>
        <w:t>厘米的木板也被列入“两用物品”清单，向加沙进口受到限制。</w:t>
      </w:r>
      <w:r w:rsidRPr="00C54520">
        <w:rPr>
          <w:vertAlign w:val="superscript"/>
        </w:rPr>
        <w:footnoteReference w:id="70"/>
      </w:r>
      <w:r w:rsidR="00C54520" w:rsidRPr="00C54520">
        <w:rPr>
          <w:rFonts w:hint="eastAsia"/>
        </w:rPr>
        <w:t xml:space="preserve"> </w:t>
      </w:r>
      <w:r w:rsidRPr="00C54520">
        <w:rPr>
          <w:rFonts w:hint="eastAsia"/>
        </w:rPr>
        <w:t>2015</w:t>
      </w:r>
      <w:r w:rsidRPr="00C54520">
        <w:rPr>
          <w:rFonts w:hint="eastAsia"/>
        </w:rPr>
        <w:t>年</w:t>
      </w:r>
      <w:r w:rsidRPr="00C54520">
        <w:rPr>
          <w:rFonts w:hint="eastAsia"/>
        </w:rPr>
        <w:t>8</w:t>
      </w:r>
      <w:r w:rsidRPr="00C54520">
        <w:rPr>
          <w:rFonts w:hint="eastAsia"/>
        </w:rPr>
        <w:t>月</w:t>
      </w:r>
      <w:r w:rsidRPr="00C54520">
        <w:rPr>
          <w:rFonts w:hint="eastAsia"/>
        </w:rPr>
        <w:t>3</w:t>
      </w:r>
      <w:r w:rsidRPr="00C54520">
        <w:rPr>
          <w:rFonts w:hint="eastAsia"/>
        </w:rPr>
        <w:t>日，厚度超过</w:t>
      </w:r>
      <w:r w:rsidRPr="00C54520">
        <w:rPr>
          <w:rFonts w:hint="eastAsia"/>
        </w:rPr>
        <w:t>1</w:t>
      </w:r>
      <w:r w:rsidRPr="00C54520">
        <w:rPr>
          <w:rFonts w:hint="eastAsia"/>
        </w:rPr>
        <w:t>厘米的木板也被列入在内。</w:t>
      </w:r>
      <w:r w:rsidRPr="00C54520">
        <w:rPr>
          <w:vertAlign w:val="superscript"/>
        </w:rPr>
        <w:footnoteReference w:id="71"/>
      </w:r>
      <w:r w:rsidR="00C54520" w:rsidRPr="00C54520">
        <w:rPr>
          <w:rFonts w:hint="eastAsia"/>
        </w:rPr>
        <w:t xml:space="preserve"> </w:t>
      </w:r>
      <w:r w:rsidRPr="00C54520">
        <w:rPr>
          <w:rFonts w:hint="eastAsia"/>
        </w:rPr>
        <w:t>木材进口的这些新限制影响到加沙家具厂和商家，它们被迫裁员和减少工作时数。</w:t>
      </w:r>
      <w:r w:rsidRPr="00C54520">
        <w:rPr>
          <w:vertAlign w:val="superscript"/>
        </w:rPr>
        <w:footnoteReference w:id="72"/>
      </w:r>
    </w:p>
    <w:p w:rsidR="00537232" w:rsidRDefault="00537232" w:rsidP="00537232">
      <w:pPr>
        <w:pStyle w:val="SingleTxt"/>
        <w:spacing w:after="0" w:line="120" w:lineRule="exact"/>
        <w:rPr>
          <w:sz w:val="10"/>
        </w:rPr>
      </w:pPr>
    </w:p>
    <w:p w:rsidR="00C53DF0" w:rsidRPr="00F44A2C" w:rsidRDefault="00C53DF0" w:rsidP="00537232">
      <w:pPr>
        <w:pStyle w:val="SingleTxt"/>
        <w:spacing w:after="0" w:line="120" w:lineRule="exact"/>
        <w:rPr>
          <w:sz w:val="10"/>
        </w:rPr>
      </w:pPr>
    </w:p>
    <w:p w:rsidR="000364C7" w:rsidRDefault="0073491F" w:rsidP="0073491F">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0364C7" w:rsidRPr="000364C7">
        <w:rPr>
          <w:rFonts w:hint="eastAsia"/>
        </w:rPr>
        <w:t>以色列和定居点的巴勒斯坦工人</w:t>
      </w:r>
    </w:p>
    <w:p w:rsidR="00537232" w:rsidRDefault="00537232" w:rsidP="00537232">
      <w:pPr>
        <w:pStyle w:val="SingleTxt"/>
        <w:spacing w:after="0" w:line="120" w:lineRule="exact"/>
        <w:rPr>
          <w:sz w:val="10"/>
        </w:rPr>
      </w:pPr>
    </w:p>
    <w:p w:rsidR="00C53DF0" w:rsidRPr="00F44A2C" w:rsidRDefault="00C53DF0" w:rsidP="00537232">
      <w:pPr>
        <w:pStyle w:val="SingleTxt"/>
        <w:spacing w:after="0" w:line="120" w:lineRule="exact"/>
        <w:rPr>
          <w:sz w:val="10"/>
        </w:rPr>
      </w:pPr>
    </w:p>
    <w:p w:rsidR="000364C7" w:rsidRPr="0073491F" w:rsidRDefault="000364C7" w:rsidP="00C53DF0">
      <w:pPr>
        <w:pStyle w:val="SingleTxt"/>
        <w:overflowPunct w:val="0"/>
        <w:rPr>
          <w:snapToGrid w:val="0"/>
          <w:kern w:val="0"/>
        </w:rPr>
      </w:pPr>
      <w:r w:rsidRPr="0073491F">
        <w:rPr>
          <w:rFonts w:hint="eastAsia"/>
          <w:snapToGrid w:val="0"/>
          <w:kern w:val="0"/>
        </w:rPr>
        <w:t xml:space="preserve">66.  </w:t>
      </w:r>
      <w:r w:rsidRPr="0073491F">
        <w:rPr>
          <w:rFonts w:hint="eastAsia"/>
          <w:snapToGrid w:val="0"/>
          <w:kern w:val="0"/>
        </w:rPr>
        <w:t>巴勒斯坦被占领土的巴勒斯坦工人一直在以色列境内寻求工作机会。</w:t>
      </w:r>
      <w:r w:rsidRPr="0073491F">
        <w:rPr>
          <w:rFonts w:hint="eastAsia"/>
          <w:snapToGrid w:val="0"/>
          <w:kern w:val="0"/>
        </w:rPr>
        <w:t>1993</w:t>
      </w:r>
      <w:r w:rsidRPr="0073491F">
        <w:rPr>
          <w:rFonts w:hint="eastAsia"/>
          <w:snapToGrid w:val="0"/>
          <w:kern w:val="0"/>
        </w:rPr>
        <w:t>年以前，约有</w:t>
      </w:r>
      <w:r w:rsidRPr="0073491F">
        <w:rPr>
          <w:rFonts w:hint="eastAsia"/>
          <w:snapToGrid w:val="0"/>
          <w:kern w:val="0"/>
        </w:rPr>
        <w:t>11</w:t>
      </w:r>
      <w:r w:rsidRPr="0073491F">
        <w:rPr>
          <w:snapToGrid w:val="0"/>
          <w:kern w:val="0"/>
        </w:rPr>
        <w:t>.</w:t>
      </w:r>
      <w:r w:rsidRPr="0073491F">
        <w:rPr>
          <w:rFonts w:hint="eastAsia"/>
          <w:snapToGrid w:val="0"/>
          <w:kern w:val="0"/>
        </w:rPr>
        <w:t>5</w:t>
      </w:r>
      <w:r w:rsidR="0073491F" w:rsidRPr="0073491F">
        <w:rPr>
          <w:rFonts w:hint="eastAsia"/>
          <w:snapToGrid w:val="0"/>
          <w:kern w:val="0"/>
        </w:rPr>
        <w:t>万巴勒斯坦人—约占劳动力总数三分之—</w:t>
      </w:r>
      <w:r w:rsidRPr="0073491F">
        <w:rPr>
          <w:rFonts w:hint="eastAsia"/>
          <w:snapToGrid w:val="0"/>
          <w:kern w:val="0"/>
        </w:rPr>
        <w:t>在以色列工作，当时的失业率为</w:t>
      </w:r>
      <w:r w:rsidRPr="0073491F">
        <w:rPr>
          <w:rFonts w:hint="eastAsia"/>
          <w:snapToGrid w:val="0"/>
          <w:kern w:val="0"/>
        </w:rPr>
        <w:t>5%</w:t>
      </w:r>
      <w:r w:rsidRPr="0073491F">
        <w:rPr>
          <w:rFonts w:hint="eastAsia"/>
          <w:snapToGrid w:val="0"/>
          <w:kern w:val="0"/>
        </w:rPr>
        <w:t>。</w:t>
      </w:r>
      <w:r w:rsidRPr="0073491F">
        <w:rPr>
          <w:snapToGrid w:val="0"/>
          <w:spacing w:val="1"/>
          <w:kern w:val="0"/>
          <w:vertAlign w:val="superscript"/>
        </w:rPr>
        <w:footnoteReference w:id="73"/>
      </w:r>
      <w:r w:rsidR="0073491F" w:rsidRPr="0073491F">
        <w:rPr>
          <w:rFonts w:hint="eastAsia"/>
          <w:snapToGrid w:val="0"/>
          <w:spacing w:val="1"/>
          <w:kern w:val="0"/>
        </w:rPr>
        <w:t xml:space="preserve"> </w:t>
      </w:r>
      <w:r w:rsidRPr="0073491F">
        <w:rPr>
          <w:rFonts w:hint="eastAsia"/>
          <w:snapToGrid w:val="0"/>
          <w:spacing w:val="1"/>
          <w:kern w:val="0"/>
        </w:rPr>
        <w:t>对贸易和人员流动的限制对巴勒斯坦经济产生了长期破坏性影响，造成高失业率和援助依赖。虽然本报告期内与</w:t>
      </w:r>
      <w:r w:rsidRPr="0073491F">
        <w:rPr>
          <w:rFonts w:hint="eastAsia"/>
          <w:snapToGrid w:val="0"/>
          <w:spacing w:val="1"/>
          <w:kern w:val="0"/>
        </w:rPr>
        <w:t>2014</w:t>
      </w:r>
      <w:r w:rsidRPr="0073491F">
        <w:rPr>
          <w:rFonts w:hint="eastAsia"/>
          <w:snapToGrid w:val="0"/>
          <w:spacing w:val="1"/>
          <w:kern w:val="0"/>
        </w:rPr>
        <w:t>年相比失业率略有下降，但仍有四分之一巴勒斯坦劳动力失业。在加沙，失业率为</w:t>
      </w:r>
      <w:r w:rsidRPr="0073491F">
        <w:rPr>
          <w:rFonts w:hint="eastAsia"/>
          <w:snapToGrid w:val="0"/>
          <w:spacing w:val="1"/>
          <w:kern w:val="0"/>
        </w:rPr>
        <w:t>42%</w:t>
      </w:r>
      <w:r w:rsidRPr="0073491F">
        <w:rPr>
          <w:rFonts w:hint="eastAsia"/>
          <w:snapToGrid w:val="0"/>
          <w:spacing w:val="1"/>
          <w:kern w:val="0"/>
        </w:rPr>
        <w:t>。</w:t>
      </w:r>
      <w:r w:rsidRPr="0073491F">
        <w:rPr>
          <w:snapToGrid w:val="0"/>
          <w:spacing w:val="1"/>
          <w:kern w:val="0"/>
          <w:vertAlign w:val="superscript"/>
        </w:rPr>
        <w:footnoteReference w:id="74"/>
      </w:r>
      <w:r w:rsidR="0073491F" w:rsidRPr="0073491F">
        <w:rPr>
          <w:rFonts w:hint="eastAsia"/>
          <w:snapToGrid w:val="0"/>
          <w:spacing w:val="1"/>
          <w:kern w:val="0"/>
        </w:rPr>
        <w:t xml:space="preserve"> </w:t>
      </w:r>
      <w:r w:rsidRPr="0073491F">
        <w:rPr>
          <w:rFonts w:hint="eastAsia"/>
          <w:snapToGrid w:val="0"/>
          <w:spacing w:val="1"/>
          <w:kern w:val="0"/>
        </w:rPr>
        <w:t>高失业率和经济停滞影响到生活水平。</w:t>
      </w:r>
      <w:r w:rsidRPr="0073491F">
        <w:rPr>
          <w:rFonts w:hint="eastAsia"/>
          <w:snapToGrid w:val="0"/>
          <w:spacing w:val="1"/>
          <w:kern w:val="0"/>
        </w:rPr>
        <w:t>2014</w:t>
      </w:r>
      <w:r w:rsidRPr="0073491F">
        <w:rPr>
          <w:rFonts w:hint="eastAsia"/>
          <w:snapToGrid w:val="0"/>
          <w:spacing w:val="1"/>
          <w:kern w:val="0"/>
        </w:rPr>
        <w:t>年巴勒斯坦被占领土的贫困率达到</w:t>
      </w:r>
      <w:r w:rsidRPr="0073491F">
        <w:rPr>
          <w:rFonts w:hint="eastAsia"/>
          <w:snapToGrid w:val="0"/>
          <w:spacing w:val="1"/>
          <w:kern w:val="0"/>
        </w:rPr>
        <w:t>25%</w:t>
      </w:r>
      <w:r w:rsidRPr="0073491F">
        <w:rPr>
          <w:rFonts w:hint="eastAsia"/>
          <w:snapToGrid w:val="0"/>
          <w:spacing w:val="1"/>
          <w:kern w:val="0"/>
        </w:rPr>
        <w:t>，而加沙达到</w:t>
      </w:r>
      <w:r w:rsidRPr="0073491F">
        <w:rPr>
          <w:rFonts w:hint="eastAsia"/>
          <w:snapToGrid w:val="0"/>
          <w:spacing w:val="1"/>
          <w:kern w:val="0"/>
        </w:rPr>
        <w:t>39%</w:t>
      </w:r>
      <w:r w:rsidRPr="0073491F">
        <w:rPr>
          <w:rFonts w:hint="eastAsia"/>
          <w:snapToGrid w:val="0"/>
          <w:spacing w:val="1"/>
          <w:kern w:val="0"/>
        </w:rPr>
        <w:t>。</w:t>
      </w:r>
      <w:r w:rsidRPr="0073491F">
        <w:rPr>
          <w:snapToGrid w:val="0"/>
          <w:spacing w:val="1"/>
          <w:kern w:val="0"/>
          <w:vertAlign w:val="superscript"/>
        </w:rPr>
        <w:footnoteReference w:id="75"/>
      </w:r>
      <w:r w:rsidR="0073491F" w:rsidRPr="0073491F">
        <w:rPr>
          <w:rFonts w:hint="eastAsia"/>
          <w:snapToGrid w:val="0"/>
          <w:spacing w:val="1"/>
          <w:kern w:val="0"/>
        </w:rPr>
        <w:t xml:space="preserve"> </w:t>
      </w:r>
      <w:r w:rsidRPr="0073491F">
        <w:rPr>
          <w:rFonts w:hint="eastAsia"/>
          <w:snapToGrid w:val="0"/>
          <w:kern w:val="0"/>
        </w:rPr>
        <w:t>这种情况使人们更加依赖在以色列的工作机会，尽管有各种限制。</w:t>
      </w:r>
    </w:p>
    <w:p w:rsidR="000364C7" w:rsidRPr="009A6913" w:rsidRDefault="000364C7" w:rsidP="009A6913">
      <w:pPr>
        <w:pStyle w:val="SingleTxt"/>
        <w:overflowPunct w:val="0"/>
        <w:rPr>
          <w:snapToGrid w:val="0"/>
          <w:kern w:val="0"/>
        </w:rPr>
      </w:pPr>
      <w:r w:rsidRPr="009A6913">
        <w:rPr>
          <w:rFonts w:hint="eastAsia"/>
          <w:snapToGrid w:val="0"/>
          <w:kern w:val="0"/>
        </w:rPr>
        <w:t xml:space="preserve">67.  </w:t>
      </w:r>
      <w:r w:rsidRPr="009A6913">
        <w:rPr>
          <w:rFonts w:hint="eastAsia"/>
          <w:snapToGrid w:val="0"/>
          <w:kern w:val="0"/>
        </w:rPr>
        <w:t>截止</w:t>
      </w:r>
      <w:r w:rsidRPr="009A6913">
        <w:rPr>
          <w:rFonts w:hint="eastAsia"/>
          <w:snapToGrid w:val="0"/>
          <w:kern w:val="0"/>
        </w:rPr>
        <w:t>2015</w:t>
      </w:r>
      <w:r w:rsidRPr="009A6913">
        <w:rPr>
          <w:rFonts w:hint="eastAsia"/>
          <w:snapToGrid w:val="0"/>
          <w:kern w:val="0"/>
        </w:rPr>
        <w:t>年</w:t>
      </w:r>
      <w:r w:rsidRPr="009A6913">
        <w:rPr>
          <w:rFonts w:hint="eastAsia"/>
          <w:snapToGrid w:val="0"/>
          <w:kern w:val="0"/>
        </w:rPr>
        <w:t>9</w:t>
      </w:r>
      <w:r w:rsidRPr="009A6913">
        <w:rPr>
          <w:rFonts w:hint="eastAsia"/>
          <w:snapToGrid w:val="0"/>
          <w:kern w:val="0"/>
        </w:rPr>
        <w:t>月，西岸有</w:t>
      </w:r>
      <w:r w:rsidRPr="009A6913">
        <w:rPr>
          <w:rFonts w:hint="eastAsia"/>
          <w:snapToGrid w:val="0"/>
          <w:kern w:val="0"/>
        </w:rPr>
        <w:t>57</w:t>
      </w:r>
      <w:r w:rsidR="009A6913" w:rsidRPr="009A6913">
        <w:rPr>
          <w:rFonts w:hint="eastAsia"/>
          <w:snapToGrid w:val="0"/>
          <w:kern w:val="0"/>
        </w:rPr>
        <w:t>,</w:t>
      </w:r>
      <w:r w:rsidRPr="009A6913">
        <w:rPr>
          <w:rFonts w:hint="eastAsia"/>
          <w:snapToGrid w:val="0"/>
          <w:kern w:val="0"/>
        </w:rPr>
        <w:t>450</w:t>
      </w:r>
      <w:r w:rsidRPr="009A6913">
        <w:rPr>
          <w:rFonts w:hint="eastAsia"/>
          <w:snapToGrid w:val="0"/>
          <w:kern w:val="0"/>
        </w:rPr>
        <w:t>个巴勒斯坦人持有在以色列工作的许可，</w:t>
      </w:r>
      <w:r w:rsidRPr="009A6913">
        <w:rPr>
          <w:rFonts w:hint="eastAsia"/>
          <w:snapToGrid w:val="0"/>
          <w:kern w:val="0"/>
        </w:rPr>
        <w:t>COGAT</w:t>
      </w:r>
      <w:r w:rsidRPr="009A6913">
        <w:rPr>
          <w:rFonts w:hint="eastAsia"/>
          <w:snapToGrid w:val="0"/>
          <w:kern w:val="0"/>
        </w:rPr>
        <w:t>说是上世纪</w:t>
      </w:r>
      <w:r w:rsidRPr="009A6913">
        <w:rPr>
          <w:rFonts w:hint="eastAsia"/>
          <w:snapToGrid w:val="0"/>
          <w:kern w:val="0"/>
        </w:rPr>
        <w:t>90</w:t>
      </w:r>
      <w:r w:rsidRPr="009A6913">
        <w:rPr>
          <w:rFonts w:hint="eastAsia"/>
          <w:snapToGrid w:val="0"/>
          <w:kern w:val="0"/>
        </w:rPr>
        <w:t>年代初实行通行证制度以来的最高水平。</w:t>
      </w:r>
      <w:r w:rsidRPr="009A6913">
        <w:rPr>
          <w:snapToGrid w:val="0"/>
          <w:kern w:val="0"/>
          <w:vertAlign w:val="superscript"/>
        </w:rPr>
        <w:footnoteReference w:id="76"/>
      </w:r>
      <w:r w:rsidR="009A6913" w:rsidRPr="009A6913">
        <w:rPr>
          <w:rFonts w:hint="eastAsia"/>
          <w:snapToGrid w:val="0"/>
          <w:kern w:val="0"/>
        </w:rPr>
        <w:t xml:space="preserve"> </w:t>
      </w:r>
      <w:r w:rsidRPr="009A6913">
        <w:rPr>
          <w:rFonts w:hint="eastAsia"/>
          <w:snapToGrid w:val="0"/>
          <w:kern w:val="0"/>
        </w:rPr>
        <w:t>还发放了</w:t>
      </w:r>
      <w:r w:rsidRPr="009A6913">
        <w:rPr>
          <w:rFonts w:hint="eastAsia"/>
          <w:snapToGrid w:val="0"/>
          <w:kern w:val="0"/>
        </w:rPr>
        <w:t>25</w:t>
      </w:r>
      <w:r w:rsidR="009A6913" w:rsidRPr="009A6913">
        <w:rPr>
          <w:rFonts w:hint="eastAsia"/>
          <w:snapToGrid w:val="0"/>
          <w:kern w:val="0"/>
        </w:rPr>
        <w:t>,</w:t>
      </w:r>
      <w:r w:rsidRPr="009A6913">
        <w:rPr>
          <w:rFonts w:hint="eastAsia"/>
          <w:snapToGrid w:val="0"/>
          <w:kern w:val="0"/>
        </w:rPr>
        <w:t>957</w:t>
      </w:r>
      <w:r w:rsidRPr="009A6913">
        <w:rPr>
          <w:rFonts w:hint="eastAsia"/>
          <w:snapToGrid w:val="0"/>
          <w:kern w:val="0"/>
        </w:rPr>
        <w:t>个在定居点工作的许可。</w:t>
      </w:r>
      <w:r w:rsidRPr="009A6913">
        <w:rPr>
          <w:snapToGrid w:val="0"/>
          <w:kern w:val="0"/>
          <w:vertAlign w:val="superscript"/>
        </w:rPr>
        <w:footnoteReference w:id="77"/>
      </w:r>
    </w:p>
    <w:p w:rsidR="000364C7" w:rsidRDefault="000364C7" w:rsidP="000364C7">
      <w:pPr>
        <w:pStyle w:val="SingleTxt"/>
      </w:pPr>
      <w:r w:rsidRPr="000364C7">
        <w:rPr>
          <w:rFonts w:hint="eastAsia"/>
        </w:rPr>
        <w:t>68</w:t>
      </w:r>
      <w:r>
        <w:rPr>
          <w:rFonts w:hint="eastAsia"/>
        </w:rPr>
        <w:t xml:space="preserve">.  </w:t>
      </w:r>
      <w:r w:rsidRPr="000364C7">
        <w:rPr>
          <w:rFonts w:hint="eastAsia"/>
        </w:rPr>
        <w:t>进入以色列并在以色列工作的许可可能随时任意撤销。例如，</w:t>
      </w:r>
      <w:r w:rsidRPr="000364C7">
        <w:rPr>
          <w:rFonts w:hint="eastAsia"/>
        </w:rPr>
        <w:t>2015</w:t>
      </w:r>
      <w:r w:rsidRPr="000364C7">
        <w:rPr>
          <w:rFonts w:hint="eastAsia"/>
        </w:rPr>
        <w:t>年</w:t>
      </w:r>
      <w:r w:rsidRPr="000364C7">
        <w:rPr>
          <w:rFonts w:hint="eastAsia"/>
        </w:rPr>
        <w:t>6</w:t>
      </w:r>
      <w:r w:rsidRPr="000364C7">
        <w:rPr>
          <w:rFonts w:hint="eastAsia"/>
        </w:rPr>
        <w:t>月，西岸</w:t>
      </w:r>
      <w:r w:rsidRPr="000364C7">
        <w:rPr>
          <w:rFonts w:hint="eastAsia"/>
        </w:rPr>
        <w:t>Sa'ir</w:t>
      </w:r>
      <w:r w:rsidRPr="000364C7">
        <w:rPr>
          <w:rFonts w:hint="eastAsia"/>
        </w:rPr>
        <w:t>村的一名男子袭击了东耶路撒冷的一名边防警察，以色列当局便吊销了该村所有人进入以色列的通行证，显然是一种集体惩罚行为。</w:t>
      </w:r>
      <w:r w:rsidRPr="000364C7">
        <w:rPr>
          <w:vertAlign w:val="superscript"/>
        </w:rPr>
        <w:footnoteReference w:id="78"/>
      </w:r>
    </w:p>
    <w:p w:rsidR="000364C7" w:rsidRDefault="000364C7" w:rsidP="000364C7">
      <w:pPr>
        <w:pStyle w:val="SingleTxt"/>
      </w:pPr>
      <w:r w:rsidRPr="000364C7">
        <w:rPr>
          <w:rFonts w:hint="eastAsia"/>
        </w:rPr>
        <w:t>69</w:t>
      </w:r>
      <w:r>
        <w:rPr>
          <w:rFonts w:hint="eastAsia"/>
        </w:rPr>
        <w:t xml:space="preserve">.  </w:t>
      </w:r>
      <w:r w:rsidRPr="000364C7">
        <w:rPr>
          <w:rFonts w:hint="eastAsia"/>
        </w:rPr>
        <w:t>虽然限制巴勒斯坦工人到以色列工作本身并不违反国际标准，但此种限制需要从占领和相伴的违反国际人权法及国际人道主义法行为的大背景下来看待。以色列对行动和贸易的过度限制，是造成西岸和加沙严重经济困难的重要因素，损害了巴勒斯坦被占领土人民寻求生计和工作机会。</w:t>
      </w:r>
    </w:p>
    <w:p w:rsidR="00537232" w:rsidRPr="00F44A2C"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Default="009A6913" w:rsidP="009A691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4.</w:t>
      </w:r>
      <w:r>
        <w:rPr>
          <w:rFonts w:hint="eastAsia"/>
        </w:rPr>
        <w:tab/>
      </w:r>
      <w:r w:rsidR="000364C7" w:rsidRPr="000364C7">
        <w:rPr>
          <w:rFonts w:hint="eastAsia"/>
        </w:rPr>
        <w:t>家庭生活权</w:t>
      </w:r>
    </w:p>
    <w:p w:rsidR="00537232" w:rsidRPr="00F44A2C"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Default="000364C7" w:rsidP="000364C7">
      <w:pPr>
        <w:pStyle w:val="SingleTxt"/>
      </w:pPr>
      <w:r w:rsidRPr="000364C7">
        <w:rPr>
          <w:rFonts w:hint="eastAsia"/>
        </w:rPr>
        <w:t>70</w:t>
      </w:r>
      <w:r>
        <w:rPr>
          <w:rFonts w:hint="eastAsia"/>
        </w:rPr>
        <w:t xml:space="preserve">.  </w:t>
      </w:r>
      <w:r w:rsidRPr="000364C7">
        <w:rPr>
          <w:rFonts w:hint="eastAsia"/>
        </w:rPr>
        <w:t>行动自由限制也影响到巴勒斯坦人享有家庭生活和保护家庭单位的权利。根据</w:t>
      </w:r>
      <w:r w:rsidRPr="000364C7">
        <w:rPr>
          <w:rFonts w:hint="eastAsia"/>
        </w:rPr>
        <w:t>2013</w:t>
      </w:r>
      <w:r w:rsidRPr="000364C7">
        <w:rPr>
          <w:rFonts w:hint="eastAsia"/>
        </w:rPr>
        <w:t>年</w:t>
      </w:r>
      <w:r w:rsidRPr="000364C7">
        <w:rPr>
          <w:rFonts w:hint="eastAsia"/>
        </w:rPr>
        <w:t>Gisha</w:t>
      </w:r>
      <w:r w:rsidRPr="000364C7">
        <w:rPr>
          <w:rFonts w:hint="eastAsia"/>
        </w:rPr>
        <w:t>的一项调查，近三分之一加沙巴勒斯坦人在西岸，包括东耶路撒冷，或以色列有亲属。</w:t>
      </w:r>
      <w:r w:rsidRPr="000364C7">
        <w:rPr>
          <w:vertAlign w:val="superscript"/>
        </w:rPr>
        <w:footnoteReference w:id="79"/>
      </w:r>
      <w:r w:rsidR="009A6913">
        <w:rPr>
          <w:rFonts w:hint="eastAsia"/>
        </w:rPr>
        <w:t xml:space="preserve"> </w:t>
      </w:r>
      <w:r w:rsidRPr="000364C7">
        <w:rPr>
          <w:rFonts w:hint="eastAsia"/>
        </w:rPr>
        <w:t>然而，在目前的封锁和通行证制度下，只有探望重病近亲属或参加近亲属婚礼或葬礼的人才能获准前往加沙或西岸。即使这些苛刻条件可以满足，限额和冗长程序也常使批准存在变数。</w:t>
      </w:r>
      <w:r w:rsidRPr="000364C7">
        <w:rPr>
          <w:vertAlign w:val="superscript"/>
        </w:rPr>
        <w:footnoteReference w:id="80"/>
      </w:r>
    </w:p>
    <w:p w:rsidR="000364C7" w:rsidRDefault="000364C7" w:rsidP="000364C7">
      <w:pPr>
        <w:pStyle w:val="SingleTxt"/>
      </w:pPr>
      <w:r w:rsidRPr="000364C7">
        <w:rPr>
          <w:rFonts w:hint="eastAsia"/>
        </w:rPr>
        <w:t>71</w:t>
      </w:r>
      <w:r>
        <w:rPr>
          <w:rFonts w:hint="eastAsia"/>
        </w:rPr>
        <w:t xml:space="preserve">.  </w:t>
      </w:r>
      <w:r w:rsidRPr="000364C7">
        <w:rPr>
          <w:rFonts w:hint="eastAsia"/>
        </w:rPr>
        <w:t>前往西岸探望亲属获得批准已经很难，家庭团聚许可几乎就不可能。申请搬到西岸居住必须属于三个严格界定的类别之一：在加沙失去父亲或母亲的</w:t>
      </w:r>
      <w:r w:rsidRPr="000364C7">
        <w:rPr>
          <w:rFonts w:hint="eastAsia"/>
        </w:rPr>
        <w:t>16</w:t>
      </w:r>
      <w:r w:rsidRPr="000364C7">
        <w:rPr>
          <w:rFonts w:hint="eastAsia"/>
        </w:rPr>
        <w:t>岁以下未成年人，需要护理而又没有近亲属照顾的老年人，长期患病者。与西岸居民结婚或在西岸有子女不被视为迁移的充分理由。</w:t>
      </w:r>
      <w:r w:rsidRPr="000364C7">
        <w:rPr>
          <w:vertAlign w:val="superscript"/>
        </w:rPr>
        <w:footnoteReference w:id="81"/>
      </w:r>
    </w:p>
    <w:p w:rsidR="000364C7" w:rsidRDefault="000364C7" w:rsidP="000364C7">
      <w:pPr>
        <w:pStyle w:val="SingleTxt"/>
      </w:pPr>
      <w:r w:rsidRPr="000364C7">
        <w:rPr>
          <w:rFonts w:hint="eastAsia"/>
        </w:rPr>
        <w:t>72</w:t>
      </w:r>
      <w:r>
        <w:rPr>
          <w:rFonts w:hint="eastAsia"/>
        </w:rPr>
        <w:t xml:space="preserve">.  </w:t>
      </w:r>
      <w:r w:rsidRPr="000364C7">
        <w:rPr>
          <w:rFonts w:hint="eastAsia"/>
        </w:rPr>
        <w:t>行动限制剥夺了与以色列或东耶路撒冷居民结婚的西岸或加沙巴勒斯坦人的家庭生活权利。</w:t>
      </w:r>
      <w:r w:rsidRPr="000364C7">
        <w:rPr>
          <w:rFonts w:hint="eastAsia"/>
        </w:rPr>
        <w:t>2015</w:t>
      </w:r>
      <w:r w:rsidRPr="000364C7">
        <w:rPr>
          <w:rFonts w:hint="eastAsia"/>
        </w:rPr>
        <w:t>年</w:t>
      </w:r>
      <w:r w:rsidRPr="000364C7">
        <w:rPr>
          <w:rFonts w:hint="eastAsia"/>
        </w:rPr>
        <w:t>6</w:t>
      </w:r>
      <w:r w:rsidRPr="000364C7">
        <w:rPr>
          <w:rFonts w:hint="eastAsia"/>
        </w:rPr>
        <w:t>月，以色列议会将</w:t>
      </w:r>
      <w:r w:rsidRPr="000364C7">
        <w:rPr>
          <w:rFonts w:hint="eastAsia"/>
        </w:rPr>
        <w:t>2003</w:t>
      </w:r>
      <w:r w:rsidRPr="000364C7">
        <w:rPr>
          <w:rFonts w:hint="eastAsia"/>
        </w:rPr>
        <w:t>年以临时令发布的《以色列国籍和入境法》又延长一年。</w:t>
      </w:r>
      <w:r w:rsidRPr="000364C7">
        <w:rPr>
          <w:vertAlign w:val="superscript"/>
        </w:rPr>
        <w:footnoteReference w:id="82"/>
      </w:r>
      <w:r w:rsidR="009A6913">
        <w:rPr>
          <w:rFonts w:hint="eastAsia"/>
        </w:rPr>
        <w:t xml:space="preserve"> </w:t>
      </w:r>
      <w:r w:rsidRPr="000364C7">
        <w:rPr>
          <w:rFonts w:hint="eastAsia"/>
        </w:rPr>
        <w:t>该法律禁止西岸和加沙巴勒斯坦人取得东耶路撒冷或以色列的永久或临时居民身份，即使与以色列公民或居民结婚。</w:t>
      </w:r>
      <w:r w:rsidRPr="000364C7">
        <w:rPr>
          <w:vertAlign w:val="superscript"/>
        </w:rPr>
        <w:footnoteReference w:id="83"/>
      </w:r>
      <w:r w:rsidR="009A6913">
        <w:rPr>
          <w:rFonts w:hint="eastAsia"/>
        </w:rPr>
        <w:t xml:space="preserve"> </w:t>
      </w:r>
      <w:r w:rsidRPr="000364C7">
        <w:rPr>
          <w:rFonts w:hint="eastAsia"/>
        </w:rPr>
        <w:t>在少数情况下，持有西岸身份证的人可申请有效期一年且可延展的以色列居留证在以色列居住，</w:t>
      </w:r>
      <w:r w:rsidRPr="000364C7">
        <w:rPr>
          <w:vertAlign w:val="superscript"/>
        </w:rPr>
        <w:footnoteReference w:id="84"/>
      </w:r>
      <w:r w:rsidR="009A6913">
        <w:rPr>
          <w:rFonts w:hint="eastAsia"/>
        </w:rPr>
        <w:t xml:space="preserve"> </w:t>
      </w:r>
      <w:r w:rsidRPr="000364C7">
        <w:rPr>
          <w:rFonts w:hint="eastAsia"/>
        </w:rPr>
        <w:t>但按照</w:t>
      </w:r>
      <w:r w:rsidRPr="000364C7">
        <w:rPr>
          <w:rFonts w:hint="eastAsia"/>
        </w:rPr>
        <w:t>2008</w:t>
      </w:r>
      <w:r w:rsidRPr="000364C7">
        <w:rPr>
          <w:rFonts w:hint="eastAsia"/>
        </w:rPr>
        <w:t>年以色列军方命令完全禁止来自加沙的居民与亲人团聚。</w:t>
      </w:r>
      <w:r w:rsidRPr="000364C7">
        <w:rPr>
          <w:vertAlign w:val="superscript"/>
        </w:rPr>
        <w:footnoteReference w:id="85"/>
      </w:r>
      <w:r w:rsidR="009A6913">
        <w:rPr>
          <w:rFonts w:hint="eastAsia"/>
        </w:rPr>
        <w:t xml:space="preserve"> </w:t>
      </w:r>
      <w:r w:rsidRPr="000364C7">
        <w:rPr>
          <w:rFonts w:hint="eastAsia"/>
        </w:rPr>
        <w:t>因此</w:t>
      </w:r>
      <w:r w:rsidR="009A6913">
        <w:rPr>
          <w:rFonts w:hint="eastAsia"/>
        </w:rPr>
        <w:t>，混合家庭的唯一选择是住在加沙，同时保持与在以色列亲属的联系—</w:t>
      </w:r>
      <w:r w:rsidRPr="000364C7">
        <w:rPr>
          <w:rFonts w:hint="eastAsia"/>
        </w:rPr>
        <w:t>这是以色列自</w:t>
      </w:r>
      <w:r w:rsidRPr="000364C7">
        <w:rPr>
          <w:rFonts w:hint="eastAsia"/>
        </w:rPr>
        <w:t>1995</w:t>
      </w:r>
      <w:r w:rsidRPr="000364C7">
        <w:rPr>
          <w:rFonts w:hint="eastAsia"/>
        </w:rPr>
        <w:t>年以来一直推行的“分居家庭程序”。</w:t>
      </w:r>
      <w:r w:rsidRPr="000364C7">
        <w:rPr>
          <w:rFonts w:hint="eastAsia"/>
        </w:rPr>
        <w:t>2015</w:t>
      </w:r>
      <w:r w:rsidRPr="000364C7">
        <w:rPr>
          <w:rFonts w:hint="eastAsia"/>
        </w:rPr>
        <w:t>年</w:t>
      </w:r>
      <w:r w:rsidRPr="000364C7">
        <w:rPr>
          <w:rFonts w:hint="eastAsia"/>
        </w:rPr>
        <w:t>7</w:t>
      </w:r>
      <w:r w:rsidRPr="000364C7">
        <w:rPr>
          <w:rFonts w:hint="eastAsia"/>
        </w:rPr>
        <w:t>月</w:t>
      </w:r>
      <w:r w:rsidRPr="000364C7">
        <w:rPr>
          <w:rFonts w:hint="eastAsia"/>
        </w:rPr>
        <w:t>23</w:t>
      </w:r>
      <w:r w:rsidRPr="000364C7">
        <w:rPr>
          <w:rFonts w:hint="eastAsia"/>
        </w:rPr>
        <w:t>日，未经协调或许可而进入加沙的两名以色列人失踪，以色列决定冻结以色列和东耶路撒冷居民前往加沙，直至另行通知。</w:t>
      </w:r>
      <w:r w:rsidRPr="000364C7">
        <w:rPr>
          <w:vertAlign w:val="superscript"/>
        </w:rPr>
        <w:footnoteReference w:id="86"/>
      </w:r>
      <w:r w:rsidR="009A6913">
        <w:rPr>
          <w:rFonts w:hint="eastAsia"/>
        </w:rPr>
        <w:t xml:space="preserve"> </w:t>
      </w:r>
      <w:r w:rsidRPr="000364C7">
        <w:rPr>
          <w:rFonts w:hint="eastAsia"/>
        </w:rPr>
        <w:t>这项禁令造成数以百计分住在加沙和以色列的家庭无法团聚的不可能局面。</w:t>
      </w:r>
    </w:p>
    <w:p w:rsidR="00537232" w:rsidRPr="00934AC9" w:rsidRDefault="000364C7" w:rsidP="00934AC9">
      <w:pPr>
        <w:pStyle w:val="SingleTxt"/>
      </w:pPr>
      <w:r w:rsidRPr="000364C7">
        <w:rPr>
          <w:rFonts w:hint="eastAsia"/>
        </w:rPr>
        <w:t>73</w:t>
      </w:r>
      <w:r>
        <w:rPr>
          <w:rFonts w:hint="eastAsia"/>
        </w:rPr>
        <w:t xml:space="preserve">.  </w:t>
      </w:r>
      <w:r w:rsidRPr="000364C7">
        <w:rPr>
          <w:rFonts w:hint="eastAsia"/>
        </w:rPr>
        <w:t>以色列几乎完全剥夺巴勒斯坦家庭和巴以混合家庭的家庭团聚权利，而且对个人情况不予考虑，侵犯了家庭生活权利和禁止歧视规定，因为这对巴勒斯坦人与其他外国人组成的混合家庭作出任意区别，带有种族偏见的意味。</w:t>
      </w:r>
      <w:r w:rsidRPr="000364C7">
        <w:rPr>
          <w:vertAlign w:val="superscript"/>
        </w:rPr>
        <w:footnoteReference w:id="87"/>
      </w:r>
    </w:p>
    <w:p w:rsidR="00537232" w:rsidRDefault="00537232" w:rsidP="00537232">
      <w:pPr>
        <w:pStyle w:val="SingleTxt"/>
        <w:spacing w:after="0" w:line="120" w:lineRule="exact"/>
        <w:rPr>
          <w:sz w:val="10"/>
        </w:rPr>
      </w:pPr>
    </w:p>
    <w:p w:rsidR="00537232" w:rsidRDefault="00537232" w:rsidP="00537232">
      <w:pPr>
        <w:pStyle w:val="SingleTxt"/>
        <w:spacing w:after="0" w:line="120" w:lineRule="exact"/>
        <w:rPr>
          <w:sz w:val="10"/>
        </w:rPr>
      </w:pPr>
    </w:p>
    <w:p w:rsidR="00934AC9" w:rsidRPr="00F44A2C" w:rsidRDefault="00934AC9" w:rsidP="00537232">
      <w:pPr>
        <w:pStyle w:val="SingleTxt"/>
        <w:spacing w:after="0" w:line="120" w:lineRule="exact"/>
        <w:rPr>
          <w:sz w:val="10"/>
        </w:rPr>
      </w:pPr>
    </w:p>
    <w:p w:rsidR="000364C7" w:rsidRDefault="009A6913" w:rsidP="009A691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t>D</w:t>
      </w:r>
      <w:r w:rsidR="000364C7">
        <w:t>.</w:t>
      </w:r>
      <w:r>
        <w:rPr>
          <w:rFonts w:hint="eastAsia"/>
        </w:rPr>
        <w:tab/>
      </w:r>
      <w:r w:rsidR="000364C7" w:rsidRPr="000364C7">
        <w:rPr>
          <w:rFonts w:hint="eastAsia"/>
        </w:rPr>
        <w:t>巴勒斯坦不团结对人权，包括行动自由的影响</w:t>
      </w:r>
    </w:p>
    <w:p w:rsidR="00537232" w:rsidRPr="00F44A2C" w:rsidRDefault="00537232" w:rsidP="00537232">
      <w:pPr>
        <w:pStyle w:val="SingleTxt"/>
        <w:spacing w:after="0" w:line="120" w:lineRule="exact"/>
        <w:rPr>
          <w:sz w:val="10"/>
        </w:rPr>
      </w:pPr>
    </w:p>
    <w:p w:rsidR="00537232"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Default="000364C7" w:rsidP="000364C7">
      <w:pPr>
        <w:pStyle w:val="SingleTxt"/>
      </w:pPr>
      <w:r w:rsidRPr="000364C7">
        <w:rPr>
          <w:rFonts w:hint="eastAsia"/>
        </w:rPr>
        <w:t>74.</w:t>
      </w:r>
      <w:r w:rsidR="009A6913">
        <w:rPr>
          <w:rFonts w:hint="eastAsia"/>
        </w:rPr>
        <w:t xml:space="preserve">  </w:t>
      </w:r>
      <w:r w:rsidRPr="000364C7">
        <w:rPr>
          <w:rFonts w:hint="eastAsia"/>
        </w:rPr>
        <w:t>尽管以色列占领造成各种障碍，包括行动限制，但巴勒斯坦责任承担者有义务尽最大可能尊重、保护和实现其管辖下所有人的人权。巴勒斯坦国最近加入七项国际人权条约，进一步强化了这项义务。由此可见，巴勒斯坦国政府负有积极义务，保护巴勒斯坦被占领土的人权，也有责任尽最大可能设法减轻以色列占领造成的负面影响。</w:t>
      </w:r>
      <w:r w:rsidRPr="000364C7">
        <w:rPr>
          <w:vertAlign w:val="superscript"/>
        </w:rPr>
        <w:footnoteReference w:id="88"/>
      </w:r>
    </w:p>
    <w:p w:rsidR="000364C7" w:rsidRDefault="000364C7" w:rsidP="000364C7">
      <w:pPr>
        <w:pStyle w:val="SingleTxt"/>
      </w:pPr>
      <w:r w:rsidRPr="000364C7">
        <w:rPr>
          <w:rFonts w:hint="eastAsia"/>
        </w:rPr>
        <w:t>75</w:t>
      </w:r>
      <w:r>
        <w:rPr>
          <w:rFonts w:hint="eastAsia"/>
        </w:rPr>
        <w:t xml:space="preserve">.  </w:t>
      </w:r>
      <w:r w:rsidRPr="000364C7">
        <w:rPr>
          <w:rFonts w:hint="eastAsia"/>
        </w:rPr>
        <w:t>为此，秘书长特别关注哈马斯和法塔赫之间长达八年的巴勒斯坦内部政治分裂的不利影响。巴勒斯坦不团结加剧了巴勒斯坦领土分裂，其效果等同于以色列的行动自由限制，为损害各种人权推波助澜</w:t>
      </w:r>
      <w:r>
        <w:rPr>
          <w:rFonts w:hint="eastAsia"/>
        </w:rPr>
        <w:t>(</w:t>
      </w:r>
      <w:r w:rsidRPr="000364C7">
        <w:rPr>
          <w:rFonts w:hint="eastAsia"/>
        </w:rPr>
        <w:t>见</w:t>
      </w:r>
      <w:r w:rsidRPr="000364C7">
        <w:rPr>
          <w:rFonts w:hint="eastAsia"/>
        </w:rPr>
        <w:t>A/HRC/28/4</w:t>
      </w:r>
      <w:r>
        <w:rPr>
          <w:rFonts w:hint="eastAsia"/>
        </w:rPr>
        <w:t>5,</w:t>
      </w:r>
      <w:r w:rsidR="009A6913">
        <w:rPr>
          <w:rFonts w:hint="eastAsia"/>
        </w:rPr>
        <w:t xml:space="preserve"> </w:t>
      </w:r>
      <w:r w:rsidRPr="000364C7">
        <w:rPr>
          <w:rFonts w:hint="eastAsia"/>
        </w:rPr>
        <w:t>第</w:t>
      </w:r>
      <w:r w:rsidRPr="000364C7">
        <w:rPr>
          <w:rFonts w:hint="eastAsia"/>
        </w:rPr>
        <w:t>59</w:t>
      </w:r>
      <w:r w:rsidRPr="000364C7">
        <w:rPr>
          <w:rFonts w:hint="eastAsia"/>
        </w:rPr>
        <w:t>段</w:t>
      </w:r>
      <w:r>
        <w:rPr>
          <w:rFonts w:hint="eastAsia"/>
        </w:rPr>
        <w:t>)</w:t>
      </w:r>
      <w:r w:rsidRPr="000364C7">
        <w:rPr>
          <w:rFonts w:hint="eastAsia"/>
        </w:rPr>
        <w:t>。</w:t>
      </w:r>
    </w:p>
    <w:p w:rsidR="000364C7" w:rsidRDefault="000364C7" w:rsidP="000364C7">
      <w:pPr>
        <w:pStyle w:val="SingleTxt"/>
      </w:pPr>
      <w:r w:rsidRPr="000364C7">
        <w:rPr>
          <w:rFonts w:hint="eastAsia"/>
        </w:rPr>
        <w:t>76.</w:t>
      </w:r>
      <w:r w:rsidR="009A6913">
        <w:rPr>
          <w:rFonts w:hint="eastAsia"/>
        </w:rPr>
        <w:t xml:space="preserve">  </w:t>
      </w:r>
      <w:r w:rsidRPr="000364C7">
        <w:rPr>
          <w:rFonts w:hint="eastAsia"/>
        </w:rPr>
        <w:t>人权高专办收到的报告称，巴勒斯坦国内政部根据情报总局的指示，已停止向据称与哈马斯有联系的巴勒斯坦人发放和延期护照。</w:t>
      </w:r>
      <w:r w:rsidRPr="000364C7">
        <w:rPr>
          <w:vertAlign w:val="superscript"/>
        </w:rPr>
        <w:footnoteReference w:id="89"/>
      </w:r>
      <w:r w:rsidR="009A6913">
        <w:rPr>
          <w:rFonts w:hint="eastAsia"/>
        </w:rPr>
        <w:t xml:space="preserve"> </w:t>
      </w:r>
      <w:r w:rsidRPr="000364C7">
        <w:rPr>
          <w:rFonts w:hint="eastAsia"/>
        </w:rPr>
        <w:t>本报告期内，巴勒斯坦独立人权委员会收到了四宗护照申请遭拒的加沙巴勒斯坦人投诉。</w:t>
      </w:r>
    </w:p>
    <w:p w:rsidR="000364C7" w:rsidRDefault="000364C7" w:rsidP="000364C7">
      <w:pPr>
        <w:pStyle w:val="SingleTxt"/>
      </w:pPr>
      <w:r w:rsidRPr="000364C7">
        <w:rPr>
          <w:rFonts w:hint="eastAsia"/>
        </w:rPr>
        <w:t>77</w:t>
      </w:r>
      <w:r>
        <w:rPr>
          <w:rFonts w:hint="eastAsia"/>
        </w:rPr>
        <w:t xml:space="preserve">.  </w:t>
      </w:r>
      <w:r w:rsidRPr="000364C7">
        <w:t>还令人关切的是，本</w:t>
      </w:r>
      <w:r w:rsidRPr="000364C7">
        <w:rPr>
          <w:rFonts w:hint="eastAsia"/>
        </w:rPr>
        <w:t>报告期内报告称，加沙安全部门禁止加沙居民没有法院命令经由埃雷兹口岸离境。据独立人权委员会，法塔赫中央委员会和法塔赫革命委员会的成员三次被禁止到加沙以外旅行。</w:t>
      </w:r>
      <w:r w:rsidRPr="000364C7">
        <w:rPr>
          <w:rFonts w:hint="eastAsia"/>
        </w:rPr>
        <w:t>2014</w:t>
      </w:r>
      <w:r w:rsidRPr="000364C7">
        <w:rPr>
          <w:rFonts w:hint="eastAsia"/>
        </w:rPr>
        <w:t>年</w:t>
      </w:r>
      <w:r w:rsidRPr="000364C7">
        <w:rPr>
          <w:rFonts w:hint="eastAsia"/>
        </w:rPr>
        <w:t>12</w:t>
      </w:r>
      <w:r w:rsidRPr="000364C7">
        <w:rPr>
          <w:rFonts w:hint="eastAsia"/>
        </w:rPr>
        <w:t>月</w:t>
      </w:r>
      <w:r w:rsidRPr="000364C7">
        <w:rPr>
          <w:rFonts w:hint="eastAsia"/>
        </w:rPr>
        <w:t>28</w:t>
      </w:r>
      <w:r w:rsidRPr="000364C7">
        <w:rPr>
          <w:rFonts w:hint="eastAsia"/>
        </w:rPr>
        <w:t>日，加沙当局在检查站阻止</w:t>
      </w:r>
      <w:r w:rsidRPr="000364C7">
        <w:rPr>
          <w:rFonts w:hint="eastAsia"/>
        </w:rPr>
        <w:t>2014</w:t>
      </w:r>
      <w:r w:rsidRPr="000364C7">
        <w:rPr>
          <w:rFonts w:hint="eastAsia"/>
        </w:rPr>
        <w:t>年冲突升级后成为孤儿的</w:t>
      </w:r>
      <w:r w:rsidRPr="000364C7">
        <w:rPr>
          <w:rFonts w:hint="eastAsia"/>
        </w:rPr>
        <w:t>37</w:t>
      </w:r>
      <w:r w:rsidRPr="000364C7">
        <w:rPr>
          <w:rFonts w:hint="eastAsia"/>
        </w:rPr>
        <w:t>名</w:t>
      </w:r>
      <w:r w:rsidRPr="000364C7">
        <w:rPr>
          <w:rFonts w:hint="eastAsia"/>
        </w:rPr>
        <w:t>5</w:t>
      </w:r>
      <w:r w:rsidRPr="000364C7">
        <w:rPr>
          <w:rFonts w:hint="eastAsia"/>
        </w:rPr>
        <w:t>至</w:t>
      </w:r>
      <w:r w:rsidRPr="000364C7">
        <w:rPr>
          <w:rFonts w:hint="eastAsia"/>
        </w:rPr>
        <w:t>12</w:t>
      </w:r>
      <w:r w:rsidRPr="000364C7">
        <w:rPr>
          <w:rFonts w:hint="eastAsia"/>
        </w:rPr>
        <w:t>岁儿童以及</w:t>
      </w:r>
      <w:r w:rsidRPr="000364C7">
        <w:rPr>
          <w:rFonts w:hint="eastAsia"/>
        </w:rPr>
        <w:t>5</w:t>
      </w:r>
      <w:r w:rsidRPr="000364C7">
        <w:rPr>
          <w:rFonts w:hint="eastAsia"/>
        </w:rPr>
        <w:t>名成年陪同离开加沙前往以色列和西岸。</w:t>
      </w:r>
      <w:r w:rsidRPr="000364C7">
        <w:rPr>
          <w:vertAlign w:val="superscript"/>
        </w:rPr>
        <w:footnoteReference w:id="90"/>
      </w:r>
      <w:r w:rsidR="00125FBF">
        <w:rPr>
          <w:rFonts w:hint="eastAsia"/>
        </w:rPr>
        <w:t xml:space="preserve"> </w:t>
      </w:r>
      <w:r w:rsidRPr="000364C7">
        <w:rPr>
          <w:rFonts w:hint="eastAsia"/>
        </w:rPr>
        <w:t>加沙当局称，阻止这些孩子出去，是保护自己的文化，防止他们受与以色列关系正常化的影响。</w:t>
      </w:r>
      <w:r w:rsidRPr="000364C7">
        <w:rPr>
          <w:vertAlign w:val="superscript"/>
        </w:rPr>
        <w:footnoteReference w:id="91"/>
      </w:r>
    </w:p>
    <w:p w:rsidR="000364C7" w:rsidRDefault="000364C7" w:rsidP="000364C7">
      <w:pPr>
        <w:pStyle w:val="SingleTxt"/>
      </w:pPr>
      <w:r w:rsidRPr="000364C7">
        <w:rPr>
          <w:rFonts w:hint="eastAsia"/>
        </w:rPr>
        <w:t>78</w:t>
      </w:r>
      <w:r>
        <w:rPr>
          <w:rFonts w:hint="eastAsia"/>
        </w:rPr>
        <w:t xml:space="preserve">.  </w:t>
      </w:r>
      <w:r w:rsidRPr="000364C7">
        <w:rPr>
          <w:rFonts w:hint="eastAsia"/>
        </w:rPr>
        <w:t>巴勒斯坦的政治分裂对巴勒斯坦人享有公民权利和政治权利具有广泛不利影响。本报告期内人权高专办观察到的令人关切行为包括过度使用武力、任意逮捕和拘留政治活动分子、使用酷刑和其他虐待方式以及限制言论自由</w:t>
      </w:r>
      <w:r>
        <w:rPr>
          <w:rFonts w:hint="eastAsia"/>
        </w:rPr>
        <w:t>(</w:t>
      </w:r>
      <w:r w:rsidRPr="000364C7">
        <w:rPr>
          <w:rFonts w:hint="eastAsia"/>
        </w:rPr>
        <w:t>A/HRC/31/40</w:t>
      </w:r>
      <w:r>
        <w:rPr>
          <w:rFonts w:hint="eastAsia"/>
        </w:rPr>
        <w:t>)</w:t>
      </w:r>
      <w:r w:rsidRPr="000364C7">
        <w:rPr>
          <w:rFonts w:hint="eastAsia"/>
        </w:rPr>
        <w:t>。</w:t>
      </w:r>
    </w:p>
    <w:p w:rsidR="000364C7" w:rsidRDefault="000364C7" w:rsidP="000364C7">
      <w:pPr>
        <w:pStyle w:val="SingleTxt"/>
      </w:pPr>
      <w:r w:rsidRPr="000364C7">
        <w:rPr>
          <w:rFonts w:hint="eastAsia"/>
        </w:rPr>
        <w:t>79</w:t>
      </w:r>
      <w:r>
        <w:rPr>
          <w:rFonts w:hint="eastAsia"/>
        </w:rPr>
        <w:t xml:space="preserve">.  </w:t>
      </w:r>
      <w:r w:rsidRPr="000364C7">
        <w:rPr>
          <w:rFonts w:hint="eastAsia"/>
        </w:rPr>
        <w:t>政治分裂进一步阻碍实现经济、社会和文化权利。加沙当局招募的公务员长期领不到工资问题尤其严重。至少</w:t>
      </w:r>
      <w:r w:rsidRPr="000364C7">
        <w:rPr>
          <w:rFonts w:hint="eastAsia"/>
        </w:rPr>
        <w:t>4</w:t>
      </w:r>
      <w:r w:rsidRPr="000364C7">
        <w:rPr>
          <w:rFonts w:hint="eastAsia"/>
        </w:rPr>
        <w:t>万多公务员和保安人员自</w:t>
      </w:r>
      <w:r w:rsidRPr="000364C7">
        <w:rPr>
          <w:rFonts w:hint="eastAsia"/>
        </w:rPr>
        <w:t>2014</w:t>
      </w:r>
      <w:r w:rsidRPr="000364C7">
        <w:rPr>
          <w:rFonts w:hint="eastAsia"/>
        </w:rPr>
        <w:t>年</w:t>
      </w:r>
      <w:r w:rsidRPr="000364C7">
        <w:rPr>
          <w:rFonts w:hint="eastAsia"/>
        </w:rPr>
        <w:t>4</w:t>
      </w:r>
      <w:r w:rsidRPr="000364C7">
        <w:rPr>
          <w:rFonts w:hint="eastAsia"/>
        </w:rPr>
        <w:t>月一直领不到薪水，只是偶尔得到一些人道主义救济款。</w:t>
      </w:r>
      <w:r w:rsidRPr="000364C7">
        <w:rPr>
          <w:vertAlign w:val="superscript"/>
        </w:rPr>
        <w:footnoteReference w:id="92"/>
      </w:r>
    </w:p>
    <w:p w:rsidR="000364C7" w:rsidRDefault="000364C7" w:rsidP="000364C7">
      <w:pPr>
        <w:pStyle w:val="SingleTxt"/>
      </w:pPr>
      <w:r w:rsidRPr="000364C7">
        <w:rPr>
          <w:rFonts w:hint="eastAsia"/>
        </w:rPr>
        <w:t>80</w:t>
      </w:r>
      <w:r>
        <w:rPr>
          <w:rFonts w:hint="eastAsia"/>
        </w:rPr>
        <w:t xml:space="preserve">.  </w:t>
      </w:r>
      <w:r w:rsidRPr="00125FBF">
        <w:rPr>
          <w:rFonts w:hint="eastAsia"/>
          <w:snapToGrid w:val="0"/>
          <w:spacing w:val="-3"/>
          <w:kern w:val="0"/>
        </w:rPr>
        <w:t>经济拮据反过来又影响到获得教育、医疗和社会福利，以及其他方面服务。在加沙，卫生部门</w:t>
      </w:r>
      <w:r w:rsidRPr="00125FBF">
        <w:rPr>
          <w:rFonts w:hint="eastAsia"/>
          <w:snapToGrid w:val="0"/>
          <w:spacing w:val="-3"/>
          <w:kern w:val="0"/>
        </w:rPr>
        <w:t>2015</w:t>
      </w:r>
      <w:r w:rsidRPr="00125FBF">
        <w:rPr>
          <w:rFonts w:hint="eastAsia"/>
          <w:snapToGrid w:val="0"/>
          <w:spacing w:val="-3"/>
          <w:kern w:val="0"/>
        </w:rPr>
        <w:t>年</w:t>
      </w:r>
      <w:r w:rsidRPr="00125FBF">
        <w:rPr>
          <w:rFonts w:hint="eastAsia"/>
          <w:snapToGrid w:val="0"/>
          <w:spacing w:val="-3"/>
          <w:kern w:val="0"/>
        </w:rPr>
        <w:t>1</w:t>
      </w:r>
      <w:r w:rsidRPr="00125FBF">
        <w:rPr>
          <w:rFonts w:hint="eastAsia"/>
          <w:snapToGrid w:val="0"/>
          <w:spacing w:val="-3"/>
          <w:kern w:val="0"/>
        </w:rPr>
        <w:t>月缺勤率约为</w:t>
      </w:r>
      <w:r w:rsidRPr="00125FBF">
        <w:rPr>
          <w:rFonts w:hint="eastAsia"/>
          <w:snapToGrid w:val="0"/>
          <w:spacing w:val="-3"/>
          <w:kern w:val="0"/>
        </w:rPr>
        <w:t>50%</w:t>
      </w:r>
      <w:r w:rsidRPr="00125FBF">
        <w:rPr>
          <w:rFonts w:hint="eastAsia"/>
          <w:snapToGrid w:val="0"/>
          <w:spacing w:val="-3"/>
          <w:kern w:val="0"/>
        </w:rPr>
        <w:t>，尤其是因为工作人员付不起交通费。</w:t>
      </w:r>
      <w:r w:rsidRPr="00125FBF">
        <w:rPr>
          <w:snapToGrid w:val="0"/>
          <w:spacing w:val="-3"/>
          <w:kern w:val="0"/>
          <w:vertAlign w:val="superscript"/>
        </w:rPr>
        <w:footnoteReference w:id="93"/>
      </w:r>
      <w:r w:rsidR="00125FBF">
        <w:rPr>
          <w:rFonts w:hint="eastAsia"/>
          <w:snapToGrid w:val="0"/>
          <w:spacing w:val="-2"/>
          <w:kern w:val="0"/>
        </w:rPr>
        <w:t xml:space="preserve"> </w:t>
      </w:r>
      <w:r w:rsidRPr="000364C7">
        <w:rPr>
          <w:rFonts w:hint="eastAsia"/>
        </w:rPr>
        <w:t>2014</w:t>
      </w:r>
      <w:r w:rsidRPr="000364C7">
        <w:rPr>
          <w:rFonts w:hint="eastAsia"/>
        </w:rPr>
        <w:t>年</w:t>
      </w:r>
      <w:r w:rsidRPr="000364C7">
        <w:rPr>
          <w:rFonts w:hint="eastAsia"/>
        </w:rPr>
        <w:t>12</w:t>
      </w:r>
      <w:r w:rsidRPr="000364C7">
        <w:rPr>
          <w:rFonts w:hint="eastAsia"/>
        </w:rPr>
        <w:t>月，加沙卫生部</w:t>
      </w:r>
      <w:r w:rsidRPr="000364C7">
        <w:rPr>
          <w:rFonts w:hint="eastAsia"/>
        </w:rPr>
        <w:t>750</w:t>
      </w:r>
      <w:r w:rsidRPr="000364C7">
        <w:rPr>
          <w:rFonts w:hint="eastAsia"/>
        </w:rPr>
        <w:t>名清洁工举行了为期</w:t>
      </w:r>
      <w:r w:rsidRPr="000364C7">
        <w:rPr>
          <w:rFonts w:hint="eastAsia"/>
        </w:rPr>
        <w:t>16</w:t>
      </w:r>
      <w:r w:rsidRPr="000364C7">
        <w:rPr>
          <w:rFonts w:hint="eastAsia"/>
        </w:rPr>
        <w:t>天的罢工，因为他们已经六个月没有领到工资。</w:t>
      </w:r>
      <w:r w:rsidRPr="000364C7">
        <w:rPr>
          <w:rFonts w:hint="eastAsia"/>
        </w:rPr>
        <w:t>13</w:t>
      </w:r>
      <w:r w:rsidRPr="000364C7">
        <w:rPr>
          <w:rFonts w:hint="eastAsia"/>
        </w:rPr>
        <w:t>家医院和</w:t>
      </w:r>
      <w:r w:rsidRPr="000364C7">
        <w:rPr>
          <w:rFonts w:hint="eastAsia"/>
        </w:rPr>
        <w:t>56</w:t>
      </w:r>
      <w:r w:rsidRPr="000364C7">
        <w:rPr>
          <w:rFonts w:hint="eastAsia"/>
        </w:rPr>
        <w:t>个卫生所的保洁服务被停止，卫生部也暂停了部分医疗服务，包括妇产科服务。</w:t>
      </w:r>
      <w:r w:rsidRPr="000364C7">
        <w:rPr>
          <w:vertAlign w:val="superscript"/>
        </w:rPr>
        <w:footnoteReference w:id="94"/>
      </w:r>
    </w:p>
    <w:p w:rsidR="00537232"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Default="00125FBF" w:rsidP="00125FB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四</w:t>
      </w:r>
      <w:r w:rsidR="000364C7" w:rsidRPr="000364C7">
        <w:t>.</w:t>
      </w:r>
      <w:r>
        <w:rPr>
          <w:rFonts w:hint="eastAsia"/>
        </w:rPr>
        <w:tab/>
      </w:r>
      <w:r w:rsidR="000364C7" w:rsidRPr="000364C7">
        <w:rPr>
          <w:rFonts w:hint="eastAsia"/>
        </w:rPr>
        <w:t>建议</w:t>
      </w:r>
    </w:p>
    <w:p w:rsidR="00537232" w:rsidRPr="00F44A2C" w:rsidRDefault="00537232" w:rsidP="00537232">
      <w:pPr>
        <w:pStyle w:val="SingleTxt"/>
        <w:spacing w:after="0" w:line="120" w:lineRule="exact"/>
        <w:rPr>
          <w:sz w:val="10"/>
        </w:rPr>
      </w:pPr>
    </w:p>
    <w:p w:rsidR="00537232"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Default="00125FBF" w:rsidP="00125F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A.</w:t>
      </w:r>
      <w:r>
        <w:rPr>
          <w:rFonts w:hint="eastAsia"/>
        </w:rPr>
        <w:tab/>
      </w:r>
      <w:r w:rsidR="000364C7" w:rsidRPr="000364C7">
        <w:rPr>
          <w:rFonts w:hint="eastAsia"/>
        </w:rPr>
        <w:t>对以色列政府的建议</w:t>
      </w:r>
    </w:p>
    <w:p w:rsidR="00537232"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Pr="00BC7E8D" w:rsidRDefault="000364C7" w:rsidP="00BC7E8D">
      <w:pPr>
        <w:pStyle w:val="SingleTxt"/>
        <w:overflowPunct w:val="0"/>
        <w:rPr>
          <w:rFonts w:eastAsia="SimHei"/>
        </w:rPr>
      </w:pPr>
      <w:r w:rsidRPr="00BC7E8D">
        <w:rPr>
          <w:rFonts w:eastAsia="SimHei"/>
        </w:rPr>
        <w:t>81.</w:t>
      </w:r>
      <w:r w:rsidR="00125FBF" w:rsidRPr="00BC7E8D">
        <w:rPr>
          <w:rFonts w:eastAsia="SimHei"/>
        </w:rPr>
        <w:t xml:space="preserve">  </w:t>
      </w:r>
      <w:r w:rsidRPr="00BC7E8D">
        <w:rPr>
          <w:rFonts w:eastAsia="SimHei"/>
        </w:rPr>
        <w:t>根据国际人权法和人道主义法，以色列当局有义务方便巴勒斯坦人在巴勒斯坦被点领土内，包括东耶路撒冷自由行动。任何例外都必须符合国际法，也就是说限制必须具有合理理由，要么出于迫切的安全需要，要么针对特定的安全威胁。以色列应该根据国际人权法和安全理事会第</w:t>
      </w:r>
      <w:r w:rsidRPr="00BC7E8D">
        <w:rPr>
          <w:rFonts w:eastAsia="SimHei"/>
        </w:rPr>
        <w:t>1860</w:t>
      </w:r>
      <w:r w:rsidRPr="00BC7E8D">
        <w:rPr>
          <w:rFonts w:eastAsia="SimHei"/>
        </w:rPr>
        <w:t>号决议</w:t>
      </w:r>
      <w:r w:rsidRPr="00BC7E8D">
        <w:rPr>
          <w:rFonts w:eastAsia="SimHei"/>
        </w:rPr>
        <w:t>(2009</w:t>
      </w:r>
      <w:r w:rsidRPr="00BC7E8D">
        <w:rPr>
          <w:rFonts w:eastAsia="SimHei"/>
        </w:rPr>
        <w:t>年</w:t>
      </w:r>
      <w:r w:rsidRPr="00BC7E8D">
        <w:rPr>
          <w:rFonts w:eastAsia="SimHei"/>
        </w:rPr>
        <w:t>)</w:t>
      </w:r>
      <w:r w:rsidRPr="00BC7E8D">
        <w:rPr>
          <w:rFonts w:eastAsia="SimHei"/>
        </w:rPr>
        <w:t>，解除对加沙的封锁，允许人员在加沙和西岸之间往来。以色列还应在整个西岸，包括东耶路撒冷，取消对行动自由的实际限制，确保所有相关行政法规和要求与国际人权法和人道主义法相一致。</w:t>
      </w:r>
    </w:p>
    <w:p w:rsidR="000364C7" w:rsidRPr="00BC7E8D" w:rsidRDefault="000364C7" w:rsidP="00BC7E8D">
      <w:pPr>
        <w:pStyle w:val="SingleTxt"/>
        <w:overflowPunct w:val="0"/>
        <w:rPr>
          <w:rFonts w:eastAsia="SimHei"/>
        </w:rPr>
      </w:pPr>
      <w:r w:rsidRPr="00BC7E8D">
        <w:rPr>
          <w:rFonts w:eastAsia="SimHei"/>
        </w:rPr>
        <w:t>82.</w:t>
      </w:r>
      <w:r w:rsidR="00125FBF" w:rsidRPr="00BC7E8D">
        <w:rPr>
          <w:rFonts w:eastAsia="SimHei"/>
        </w:rPr>
        <w:t xml:space="preserve">  </w:t>
      </w:r>
      <w:r w:rsidRPr="00BC7E8D">
        <w:rPr>
          <w:rFonts w:eastAsia="SimHei"/>
        </w:rPr>
        <w:t>受教育权必须受到尊重和保护，包括学生能够自由、安全和不受阻碍地上学。全面禁止加沙学生在西岸接受教育的命令必须撤销。</w:t>
      </w:r>
    </w:p>
    <w:p w:rsidR="000364C7" w:rsidRPr="00BC7E8D" w:rsidRDefault="000364C7" w:rsidP="00BC7E8D">
      <w:pPr>
        <w:pStyle w:val="SingleTxt"/>
        <w:overflowPunct w:val="0"/>
        <w:rPr>
          <w:rFonts w:eastAsia="SimHei"/>
        </w:rPr>
      </w:pPr>
      <w:r w:rsidRPr="00BC7E8D">
        <w:rPr>
          <w:rFonts w:eastAsia="SimHei"/>
        </w:rPr>
        <w:t>83.</w:t>
      </w:r>
      <w:r w:rsidR="00125FBF" w:rsidRPr="00BC7E8D">
        <w:rPr>
          <w:rFonts w:eastAsia="SimHei"/>
        </w:rPr>
        <w:t xml:space="preserve">  </w:t>
      </w:r>
      <w:r w:rsidRPr="00BC7E8D">
        <w:rPr>
          <w:rFonts w:eastAsia="SimHei"/>
        </w:rPr>
        <w:t>应立即采取步骤，取消行动自由障碍，使医务人员能够履行职责。应无延迟地解除影响巴勒斯坦人就医的一切不必要或过度障碍，包括在以色列和东耶路撒冷。</w:t>
      </w:r>
    </w:p>
    <w:p w:rsidR="000364C7" w:rsidRPr="00BC7E8D" w:rsidRDefault="000364C7" w:rsidP="00BC7E8D">
      <w:pPr>
        <w:pStyle w:val="SingleTxt"/>
        <w:overflowPunct w:val="0"/>
        <w:rPr>
          <w:rFonts w:eastAsia="SimHei"/>
        </w:rPr>
      </w:pPr>
      <w:r w:rsidRPr="00BC7E8D">
        <w:rPr>
          <w:rFonts w:eastAsia="SimHei"/>
        </w:rPr>
        <w:t xml:space="preserve">84.  </w:t>
      </w:r>
      <w:r w:rsidRPr="00BC7E8D">
        <w:rPr>
          <w:rFonts w:eastAsia="SimHei"/>
        </w:rPr>
        <w:t>必须采取措施，缓解对巴勒斯坦被占领土经济发展的各种限制，包括立即允许货物和人员更加自由流动，解除阻止巴勒斯坦人进入土地和发展自已经济的限制。</w:t>
      </w:r>
    </w:p>
    <w:p w:rsidR="000364C7" w:rsidRPr="00BC7E8D" w:rsidRDefault="000364C7" w:rsidP="00BC7E8D">
      <w:pPr>
        <w:pStyle w:val="SingleTxt"/>
        <w:overflowPunct w:val="0"/>
        <w:rPr>
          <w:rFonts w:eastAsia="SimHei"/>
        </w:rPr>
      </w:pPr>
      <w:r w:rsidRPr="00BC7E8D">
        <w:rPr>
          <w:rFonts w:eastAsia="SimHei"/>
        </w:rPr>
        <w:t>85.</w:t>
      </w:r>
      <w:r w:rsidR="00125FBF" w:rsidRPr="00BC7E8D">
        <w:rPr>
          <w:rFonts w:eastAsia="SimHei"/>
        </w:rPr>
        <w:t xml:space="preserve">  </w:t>
      </w:r>
      <w:r w:rsidRPr="00BC7E8D">
        <w:rPr>
          <w:rFonts w:eastAsia="SimHei"/>
        </w:rPr>
        <w:t>以色列当局必须承认和尊重巴勒斯坦人居住权，包括立即停止撤销居住证做法，结束对更改地址的冻结，取消家庭团聚申请的任何配额，尽速处理积压申请和新的申请。</w:t>
      </w:r>
    </w:p>
    <w:p w:rsidR="00537232"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Default="00125FBF" w:rsidP="00125F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0364C7" w:rsidRPr="000364C7">
        <w:rPr>
          <w:rFonts w:hint="eastAsia"/>
        </w:rPr>
        <w:t>B.</w:t>
      </w:r>
      <w:r>
        <w:rPr>
          <w:rFonts w:hint="eastAsia"/>
        </w:rPr>
        <w:tab/>
      </w:r>
      <w:r w:rsidR="000364C7" w:rsidRPr="000364C7">
        <w:rPr>
          <w:rFonts w:hint="eastAsia"/>
        </w:rPr>
        <w:t>对巴勒斯坦当局的建议</w:t>
      </w:r>
    </w:p>
    <w:p w:rsidR="00537232"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537232" w:rsidRPr="00F44A2C" w:rsidRDefault="00537232" w:rsidP="00537232">
      <w:pPr>
        <w:pStyle w:val="SingleTxt"/>
        <w:spacing w:after="0" w:line="120" w:lineRule="exact"/>
        <w:rPr>
          <w:sz w:val="10"/>
        </w:rPr>
      </w:pPr>
    </w:p>
    <w:p w:rsidR="000364C7" w:rsidRPr="00BC7E8D" w:rsidRDefault="000364C7" w:rsidP="00BC7E8D">
      <w:pPr>
        <w:pStyle w:val="SingleTxt"/>
        <w:overflowPunct w:val="0"/>
        <w:rPr>
          <w:rFonts w:eastAsia="SimHei"/>
        </w:rPr>
      </w:pPr>
      <w:r w:rsidRPr="00BC7E8D">
        <w:rPr>
          <w:rFonts w:eastAsia="SimHei"/>
        </w:rPr>
        <w:t>86.</w:t>
      </w:r>
      <w:r w:rsidR="00125FBF" w:rsidRPr="00BC7E8D">
        <w:rPr>
          <w:rFonts w:eastAsia="SimHei"/>
        </w:rPr>
        <w:t xml:space="preserve">  </w:t>
      </w:r>
      <w:r w:rsidRPr="00BC7E8D">
        <w:rPr>
          <w:rFonts w:eastAsia="SimHei"/>
        </w:rPr>
        <w:t>巴勒斯坦当局必须履行根据国际人权条约承担的义务，包括保障行动自由的义务。</w:t>
      </w:r>
    </w:p>
    <w:p w:rsidR="000364C7" w:rsidRPr="00BC7E8D" w:rsidRDefault="000364C7" w:rsidP="00BC7E8D">
      <w:pPr>
        <w:pStyle w:val="SingleTxt"/>
        <w:overflowPunct w:val="0"/>
        <w:rPr>
          <w:rFonts w:eastAsia="SimHei"/>
        </w:rPr>
      </w:pPr>
      <w:r w:rsidRPr="00BC7E8D">
        <w:rPr>
          <w:rFonts w:eastAsia="SimHei"/>
        </w:rPr>
        <w:t>87.</w:t>
      </w:r>
      <w:r w:rsidR="00125FBF" w:rsidRPr="00BC7E8D">
        <w:rPr>
          <w:rFonts w:eastAsia="SimHei"/>
        </w:rPr>
        <w:t xml:space="preserve">  </w:t>
      </w:r>
      <w:r w:rsidRPr="00BC7E8D">
        <w:rPr>
          <w:rFonts w:eastAsia="SimHei"/>
        </w:rPr>
        <w:t>巴勒斯坦当局应该采取措施，鼓励国家各政党解决政治分歧，以便平等地履行巴勒斯坦国政府在整个巴勒斯坦被占领土的人权义务。</w:t>
      </w:r>
    </w:p>
    <w:p w:rsidR="000364C7" w:rsidRPr="00125FBF" w:rsidRDefault="00125FBF" w:rsidP="00125FBF">
      <w:pPr>
        <w:pStyle w:val="SingleTxt"/>
        <w:spacing w:after="0"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0364C7" w:rsidRPr="00125FBF" w:rsidSect="00EF4343">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4E" w:rsidRDefault="0018464E">
      <w:r>
        <w:separator/>
      </w:r>
    </w:p>
  </w:endnote>
  <w:endnote w:type="continuationSeparator" w:id="0">
    <w:p w:rsidR="0018464E" w:rsidRDefault="0018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8464E" w:rsidTr="00EF4343">
      <w:trPr>
        <w:jc w:val="center"/>
      </w:trPr>
      <w:tc>
        <w:tcPr>
          <w:tcW w:w="5126" w:type="dxa"/>
          <w:shd w:val="clear" w:color="auto" w:fill="auto"/>
        </w:tcPr>
        <w:p w:rsidR="0018464E" w:rsidRPr="00EF4343" w:rsidRDefault="0018464E" w:rsidP="00EF43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5FBA">
            <w:rPr>
              <w:b w:val="0"/>
              <w:w w:val="103"/>
              <w:sz w:val="14"/>
            </w:rPr>
            <w:t>GE.16-00774 (C)</w:t>
          </w:r>
          <w:r>
            <w:rPr>
              <w:b w:val="0"/>
              <w:w w:val="103"/>
              <w:sz w:val="14"/>
            </w:rPr>
            <w:fldChar w:fldCharType="end"/>
          </w:r>
        </w:p>
      </w:tc>
      <w:tc>
        <w:tcPr>
          <w:tcW w:w="5127" w:type="dxa"/>
          <w:shd w:val="clear" w:color="auto" w:fill="auto"/>
        </w:tcPr>
        <w:p w:rsidR="0018464E" w:rsidRPr="00EF4343" w:rsidRDefault="0018464E" w:rsidP="00EF4343">
          <w:pPr>
            <w:pStyle w:val="Footer"/>
            <w:jc w:val="left"/>
            <w:rPr>
              <w:w w:val="103"/>
            </w:rPr>
          </w:pPr>
          <w:r>
            <w:rPr>
              <w:w w:val="103"/>
            </w:rPr>
            <w:fldChar w:fldCharType="begin"/>
          </w:r>
          <w:r>
            <w:rPr>
              <w:w w:val="103"/>
            </w:rPr>
            <w:instrText xml:space="preserve"> PAGE  \* Arabic  \* MERGEFORMAT </w:instrText>
          </w:r>
          <w:r>
            <w:rPr>
              <w:w w:val="103"/>
            </w:rPr>
            <w:fldChar w:fldCharType="separate"/>
          </w:r>
          <w:r w:rsidR="00C92812">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2812">
            <w:rPr>
              <w:w w:val="103"/>
            </w:rPr>
            <w:t>16</w:t>
          </w:r>
          <w:r>
            <w:rPr>
              <w:w w:val="103"/>
            </w:rPr>
            <w:fldChar w:fldCharType="end"/>
          </w:r>
        </w:p>
      </w:tc>
    </w:tr>
  </w:tbl>
  <w:p w:rsidR="0018464E" w:rsidRPr="00EF4343" w:rsidRDefault="0018464E" w:rsidP="00EF4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8464E" w:rsidTr="00EF4343">
      <w:trPr>
        <w:jc w:val="center"/>
      </w:trPr>
      <w:tc>
        <w:tcPr>
          <w:tcW w:w="5126" w:type="dxa"/>
          <w:shd w:val="clear" w:color="auto" w:fill="auto"/>
        </w:tcPr>
        <w:p w:rsidR="0018464E" w:rsidRPr="00EF4343" w:rsidRDefault="0018464E" w:rsidP="00EF4343">
          <w:pPr>
            <w:pStyle w:val="Footer"/>
            <w:jc w:val="right"/>
          </w:pPr>
          <w:r>
            <w:fldChar w:fldCharType="begin"/>
          </w:r>
          <w:r>
            <w:instrText xml:space="preserve"> PAGE  \* Arabic  \* MERGEFORMAT </w:instrText>
          </w:r>
          <w:r>
            <w:fldChar w:fldCharType="separate"/>
          </w:r>
          <w:r w:rsidR="00C92812">
            <w:t>17</w:t>
          </w:r>
          <w:r>
            <w:fldChar w:fldCharType="end"/>
          </w:r>
          <w:r>
            <w:t>/</w:t>
          </w:r>
          <w:fldSimple w:instr=" NUMPAGES  \* Arabic  \* MERGEFORMAT ">
            <w:r w:rsidR="00C92812">
              <w:t>17</w:t>
            </w:r>
          </w:fldSimple>
        </w:p>
      </w:tc>
      <w:tc>
        <w:tcPr>
          <w:tcW w:w="5127" w:type="dxa"/>
          <w:shd w:val="clear" w:color="auto" w:fill="auto"/>
        </w:tcPr>
        <w:p w:rsidR="0018464E" w:rsidRPr="00EF4343" w:rsidRDefault="0018464E" w:rsidP="00EF4343">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5FBA">
            <w:rPr>
              <w:b w:val="0"/>
              <w:w w:val="103"/>
              <w:sz w:val="14"/>
            </w:rPr>
            <w:t>GE.16-00774 (C)</w:t>
          </w:r>
          <w:r>
            <w:rPr>
              <w:b w:val="0"/>
              <w:w w:val="103"/>
              <w:sz w:val="14"/>
            </w:rPr>
            <w:fldChar w:fldCharType="end"/>
          </w:r>
        </w:p>
      </w:tc>
    </w:tr>
  </w:tbl>
  <w:p w:rsidR="0018464E" w:rsidRPr="00EF4343" w:rsidRDefault="0018464E" w:rsidP="00EF4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8464E" w:rsidTr="00EF4343">
      <w:tc>
        <w:tcPr>
          <w:tcW w:w="3873" w:type="dxa"/>
        </w:tcPr>
        <w:p w:rsidR="0018464E" w:rsidRDefault="0018464E" w:rsidP="007360DE">
          <w:pPr>
            <w:pStyle w:val="Release"/>
          </w:pPr>
          <w:r>
            <w:rPr>
              <w:noProof/>
              <w:lang w:val="en-GB" w:eastAsia="en-GB"/>
            </w:rPr>
            <w:drawing>
              <wp:anchor distT="0" distB="0" distL="114300" distR="114300" simplePos="0" relativeHeight="251658240" behindDoc="0" locked="0" layoutInCell="1" allowOverlap="1" wp14:anchorId="11BA7056" wp14:editId="387446A5">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1/44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4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995FBA">
              <w:t>GE.16-00774 (C)</w:t>
            </w:r>
          </w:fldSimple>
          <w:r>
            <w:t xml:space="preserve">    090216    </w:t>
          </w:r>
          <w:r>
            <w:rPr>
              <w:rFonts w:hint="eastAsia"/>
            </w:rPr>
            <w:t>10</w:t>
          </w:r>
          <w:r>
            <w:t>0216</w:t>
          </w:r>
        </w:p>
        <w:p w:rsidR="0018464E" w:rsidRPr="00EF4343" w:rsidRDefault="0018464E" w:rsidP="00EF4343">
          <w:pPr>
            <w:spacing w:before="80" w:line="210" w:lineRule="exact"/>
            <w:rPr>
              <w:rFonts w:ascii="Barcode 3 of 9 by request" w:hAnsi="Barcode 3 of 9 by request"/>
              <w:sz w:val="24"/>
            </w:rPr>
          </w:pPr>
          <w:r>
            <w:rPr>
              <w:rFonts w:ascii="Barcode 3 of 9 by request" w:hAnsi="Barcode 3 of 9 by request"/>
              <w:sz w:val="24"/>
            </w:rPr>
            <w:t>*1600774*</w:t>
          </w:r>
        </w:p>
      </w:tc>
      <w:tc>
        <w:tcPr>
          <w:tcW w:w="5127" w:type="dxa"/>
        </w:tcPr>
        <w:p w:rsidR="0018464E" w:rsidRDefault="0018464E" w:rsidP="00EF4343">
          <w:pPr>
            <w:pStyle w:val="Footer"/>
            <w:jc w:val="right"/>
            <w:rPr>
              <w:b w:val="0"/>
              <w:sz w:val="21"/>
            </w:rPr>
          </w:pPr>
          <w:r>
            <w:rPr>
              <w:b w:val="0"/>
              <w:sz w:val="21"/>
              <w:lang w:val="en-GB" w:eastAsia="en-GB"/>
            </w:rPr>
            <w:drawing>
              <wp:inline distT="0" distB="0" distL="0" distR="0" wp14:anchorId="36CD7C2E" wp14:editId="0421AF8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18464E" w:rsidRPr="00EF4343" w:rsidRDefault="0018464E" w:rsidP="00EF4343">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4E" w:rsidRPr="000364C7" w:rsidRDefault="0018464E" w:rsidP="000364C7">
      <w:pPr>
        <w:pStyle w:val="Footer"/>
        <w:spacing w:after="80"/>
        <w:ind w:left="792"/>
        <w:rPr>
          <w:sz w:val="16"/>
        </w:rPr>
      </w:pPr>
      <w:r w:rsidRPr="000364C7">
        <w:rPr>
          <w:sz w:val="16"/>
        </w:rPr>
        <w:t>__________________</w:t>
      </w:r>
    </w:p>
  </w:footnote>
  <w:footnote w:type="continuationSeparator" w:id="0">
    <w:p w:rsidR="0018464E" w:rsidRPr="000364C7" w:rsidRDefault="0018464E" w:rsidP="000364C7">
      <w:pPr>
        <w:pStyle w:val="Footer"/>
        <w:spacing w:after="80"/>
        <w:ind w:left="792"/>
        <w:rPr>
          <w:sz w:val="16"/>
        </w:rPr>
      </w:pPr>
      <w:r w:rsidRPr="000364C7">
        <w:rPr>
          <w:sz w:val="16"/>
        </w:rPr>
        <w:t>__________________</w:t>
      </w:r>
    </w:p>
  </w:footnote>
  <w:footnote w:id="1">
    <w:p w:rsidR="0018464E" w:rsidRPr="00845F7D" w:rsidRDefault="0018464E" w:rsidP="000364C7">
      <w:pPr>
        <w:pStyle w:val="FootnoteText"/>
        <w:tabs>
          <w:tab w:val="clear" w:pos="418"/>
          <w:tab w:val="right" w:pos="1195"/>
          <w:tab w:val="left" w:pos="1264"/>
          <w:tab w:val="left" w:pos="1695"/>
          <w:tab w:val="left" w:pos="2126"/>
          <w:tab w:val="left" w:pos="2557"/>
        </w:tabs>
        <w:ind w:left="1264" w:right="1264" w:hanging="432"/>
      </w:pPr>
      <w:r w:rsidRPr="00431C10">
        <w:rPr>
          <w:lang w:val="de-CH"/>
        </w:rPr>
        <w:tab/>
      </w:r>
      <w:r w:rsidRPr="0013152B">
        <w:rPr>
          <w:rStyle w:val="FootnoteReference"/>
        </w:rPr>
        <w:footnoteRef/>
      </w:r>
      <w:r w:rsidRPr="00845F7D">
        <w:tab/>
      </w:r>
      <w:r>
        <w:t>见</w:t>
      </w:r>
      <w:r>
        <w:rPr>
          <w:rStyle w:val="shorttext"/>
          <w:rFonts w:hint="eastAsia"/>
        </w:rPr>
        <w:t>《公民权利政治权利国际公约》第十二条；《世界人权宣言》第十三条。</w:t>
      </w:r>
    </w:p>
  </w:footnote>
  <w:footnote w:id="2">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rsidRPr="00845F7D">
        <w:tab/>
      </w:r>
      <w:r w:rsidRPr="0013152B">
        <w:rPr>
          <w:rStyle w:val="FootnoteReference"/>
        </w:rPr>
        <w:footnoteRef/>
      </w:r>
      <w:r>
        <w:tab/>
      </w:r>
      <w:r>
        <w:t>见《关于在战时保护平民的</w:t>
      </w:r>
      <w:r>
        <w:rPr>
          <w:rFonts w:hint="eastAsia"/>
        </w:rPr>
        <w:t>日内瓦</w:t>
      </w:r>
      <w:r>
        <w:t>公约》</w:t>
      </w:r>
      <w:r>
        <w:t>(</w:t>
      </w:r>
      <w:r>
        <w:t>《</w:t>
      </w:r>
      <w:r>
        <w:rPr>
          <w:rFonts w:hint="eastAsia"/>
        </w:rPr>
        <w:t>日内瓦每四</w:t>
      </w:r>
      <w:r>
        <w:t>公约》</w:t>
      </w:r>
      <w:r>
        <w:t>)</w:t>
      </w:r>
      <w:r>
        <w:rPr>
          <w:rFonts w:hint="eastAsia"/>
        </w:rPr>
        <w:t>第二十七条；红十字国际委员会</w:t>
      </w:r>
      <w:r>
        <w:t>1958</w:t>
      </w:r>
      <w:r>
        <w:rPr>
          <w:rFonts w:hint="eastAsia"/>
        </w:rPr>
        <w:t>年关于该条的评注。</w:t>
      </w:r>
    </w:p>
  </w:footnote>
  <w:footnote w:id="3">
    <w:p w:rsidR="0018464E" w:rsidRPr="00615023"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r>
        <w:rPr>
          <w:rFonts w:hint="eastAsia"/>
        </w:rPr>
        <w:t>日内瓦第四</w:t>
      </w:r>
      <w:r>
        <w:t>公约》</w:t>
      </w:r>
      <w:r>
        <w:rPr>
          <w:rFonts w:hint="eastAsia"/>
        </w:rPr>
        <w:t>第二十七条和第六十四条第</w:t>
      </w:r>
      <w:r>
        <w:rPr>
          <w:rFonts w:hint="eastAsia"/>
        </w:rPr>
        <w:t>2</w:t>
      </w:r>
      <w:r>
        <w:rPr>
          <w:rFonts w:hint="eastAsia"/>
        </w:rPr>
        <w:t>款；以及红十字国际委员会</w:t>
      </w:r>
      <w:r>
        <w:t>1958</w:t>
      </w:r>
      <w:r>
        <w:rPr>
          <w:rFonts w:hint="eastAsia"/>
        </w:rPr>
        <w:t>年关于该条的评注；《</w:t>
      </w:r>
      <w:r>
        <w:t>陆战法规与惯例公约</w:t>
      </w:r>
      <w:r>
        <w:rPr>
          <w:rFonts w:hint="eastAsia"/>
        </w:rPr>
        <w:t>》附件，第四十三条。</w:t>
      </w:r>
    </w:p>
  </w:footnote>
  <w:footnote w:id="4">
    <w:p w:rsidR="0018464E" w:rsidRPr="00615023"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r>
        <w:rPr>
          <w:rFonts w:hint="eastAsia"/>
        </w:rPr>
        <w:t>国际法院关于在巴勒斯坦被占领土修建隔离墙的法律后果的咨询意见，</w:t>
      </w:r>
      <w:r>
        <w:t>第</w:t>
      </w:r>
      <w:r w:rsidRPr="00210C9F">
        <w:t>135-</w:t>
      </w:r>
      <w:r>
        <w:t>137</w:t>
      </w:r>
      <w:r>
        <w:t>段</w:t>
      </w:r>
      <w:r>
        <w:rPr>
          <w:rFonts w:hint="eastAsia"/>
        </w:rPr>
        <w:t>。</w:t>
      </w:r>
    </w:p>
  </w:footnote>
  <w:footnote w:id="5">
    <w:p w:rsidR="0018464E" w:rsidRPr="00615023"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同上，第</w:t>
      </w:r>
      <w:r w:rsidRPr="00210C9F">
        <w:t>133-</w:t>
      </w:r>
      <w:r>
        <w:t>13</w:t>
      </w:r>
      <w:r w:rsidRPr="00210C9F">
        <w:t>4</w:t>
      </w:r>
      <w:r>
        <w:t>段</w:t>
      </w:r>
      <w:r>
        <w:rPr>
          <w:rFonts w:hint="eastAsia"/>
        </w:rPr>
        <w:t>。</w:t>
      </w:r>
    </w:p>
  </w:footnote>
  <w:footnote w:id="6">
    <w:p w:rsidR="0018464E" w:rsidRPr="00615023"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日内瓦</w:t>
      </w:r>
      <w:r>
        <w:t>第四公约</w:t>
      </w:r>
      <w:r>
        <w:rPr>
          <w:rFonts w:hint="eastAsia"/>
        </w:rPr>
        <w:t>。</w:t>
      </w:r>
    </w:p>
  </w:footnote>
  <w:footnote w:id="7">
    <w:p w:rsidR="0018464E" w:rsidRPr="00C80570"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r>
        <w:rPr>
          <w:rFonts w:hint="eastAsia"/>
        </w:rPr>
        <w:t>《经济、社会、文化权利国际公约》第二条第</w:t>
      </w:r>
      <w:r>
        <w:rPr>
          <w:rFonts w:hint="eastAsia"/>
        </w:rPr>
        <w:t>1</w:t>
      </w:r>
      <w:r>
        <w:rPr>
          <w:rFonts w:hint="eastAsia"/>
        </w:rPr>
        <w:t>款；《公民权利和政治权利国际公约》第二条第</w:t>
      </w:r>
      <w:r>
        <w:rPr>
          <w:rFonts w:hint="eastAsia"/>
        </w:rPr>
        <w:t>1</w:t>
      </w:r>
      <w:r>
        <w:rPr>
          <w:rFonts w:hint="eastAsia"/>
        </w:rPr>
        <w:t>款和第二十六条。</w:t>
      </w:r>
    </w:p>
  </w:footnote>
  <w:footnote w:id="8">
    <w:p w:rsidR="0018464E" w:rsidRPr="00C17ACD"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hyperlink r:id="rId1" w:history="1">
        <w:r w:rsidRPr="003B19C2">
          <w:rPr>
            <w:rStyle w:val="Hyperlink"/>
          </w:rPr>
          <w:t>www.pmo.gov.il/English/MediaCenter/Events/Pages/eventblair040211.aspx</w:t>
        </w:r>
      </w:hyperlink>
      <w:r>
        <w:rPr>
          <w:rFonts w:hint="eastAsia"/>
        </w:rPr>
        <w:t>。</w:t>
      </w:r>
    </w:p>
  </w:footnote>
  <w:footnote w:id="9">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8A0EBE">
        <w:rPr>
          <w:snapToGrid w:val="0"/>
          <w:spacing w:val="-2"/>
          <w:kern w:val="0"/>
        </w:rPr>
        <w:t>B’Tselem and HaMoked</w:t>
      </w:r>
      <w:r w:rsidR="008A0EBE">
        <w:rPr>
          <w:rFonts w:hint="eastAsia"/>
          <w:snapToGrid w:val="0"/>
          <w:spacing w:val="-2"/>
          <w:kern w:val="0"/>
        </w:rPr>
        <w:t>,</w:t>
      </w:r>
      <w:r w:rsidRPr="008A0EBE">
        <w:rPr>
          <w:rFonts w:hint="eastAsia"/>
          <w:snapToGrid w:val="0"/>
          <w:spacing w:val="-2"/>
          <w:kern w:val="0"/>
        </w:rPr>
        <w:t>“</w:t>
      </w:r>
      <w:r w:rsidR="008A0EBE">
        <w:rPr>
          <w:rStyle w:val="shorttext"/>
          <w:rFonts w:hint="eastAsia"/>
          <w:snapToGrid w:val="0"/>
          <w:spacing w:val="-2"/>
          <w:kern w:val="0"/>
        </w:rPr>
        <w:t>一所大监狱：撤离计划实施前夕进出加沙地带的自由”</w:t>
      </w:r>
      <w:r w:rsidR="008A0EBE">
        <w:rPr>
          <w:rStyle w:val="shorttext"/>
          <w:rFonts w:hint="eastAsia"/>
          <w:snapToGrid w:val="0"/>
          <w:spacing w:val="-2"/>
          <w:kern w:val="0"/>
        </w:rPr>
        <w:t xml:space="preserve">, </w:t>
      </w:r>
      <w:r w:rsidRPr="008A0EBE">
        <w:rPr>
          <w:rStyle w:val="shorttext"/>
          <w:rFonts w:hint="eastAsia"/>
          <w:snapToGrid w:val="0"/>
          <w:spacing w:val="-2"/>
          <w:kern w:val="0"/>
        </w:rPr>
        <w:t>2005</w:t>
      </w:r>
      <w:r w:rsidRPr="008A0EBE">
        <w:rPr>
          <w:rStyle w:val="shorttext"/>
          <w:rFonts w:hint="eastAsia"/>
          <w:snapToGrid w:val="0"/>
          <w:spacing w:val="-2"/>
          <w:kern w:val="0"/>
        </w:rPr>
        <w:t>年，第</w:t>
      </w:r>
      <w:r w:rsidRPr="008A0EBE">
        <w:rPr>
          <w:rStyle w:val="hps"/>
          <w:rFonts w:hint="eastAsia"/>
          <w:snapToGrid w:val="0"/>
          <w:spacing w:val="-2"/>
          <w:kern w:val="0"/>
        </w:rPr>
        <w:t>9</w:t>
      </w:r>
      <w:r w:rsidRPr="008A0EBE">
        <w:rPr>
          <w:rStyle w:val="hps"/>
          <w:rFonts w:hint="eastAsia"/>
          <w:snapToGrid w:val="0"/>
          <w:spacing w:val="-2"/>
          <w:kern w:val="0"/>
        </w:rPr>
        <w:t>页</w:t>
      </w:r>
      <w:r>
        <w:rPr>
          <w:rStyle w:val="shorttext"/>
          <w:rFonts w:hint="eastAsia"/>
        </w:rPr>
        <w:t>。</w:t>
      </w:r>
    </w:p>
  </w:footnote>
  <w:footnote w:id="10">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p>
  </w:footnote>
  <w:footnote w:id="11">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D06359">
        <w:t>B</w:t>
      </w:r>
      <w:r>
        <w:t>’T</w:t>
      </w:r>
      <w:r w:rsidRPr="00D06359">
        <w:t>selem</w:t>
      </w:r>
      <w:r w:rsidRPr="00210C9F">
        <w:t>,</w:t>
      </w:r>
      <w:r>
        <w:rPr>
          <w:rFonts w:hint="eastAsia"/>
        </w:rPr>
        <w:t>“陷于停顿：西岸巴勒斯坦人行动自由遭剥夺”（</w:t>
      </w:r>
      <w:r>
        <w:rPr>
          <w:rFonts w:hint="eastAsia"/>
        </w:rPr>
        <w:t>2007</w:t>
      </w:r>
      <w:r>
        <w:rPr>
          <w:rFonts w:hint="eastAsia"/>
        </w:rPr>
        <w:t>年），第</w:t>
      </w:r>
      <w:r>
        <w:rPr>
          <w:rFonts w:hint="eastAsia"/>
        </w:rPr>
        <w:t>24-25</w:t>
      </w:r>
      <w:r>
        <w:rPr>
          <w:rFonts w:hint="eastAsia"/>
        </w:rPr>
        <w:t>页。</w:t>
      </w:r>
      <w:r>
        <w:rPr>
          <w:rStyle w:val="hps"/>
          <w:rFonts w:hint="eastAsia"/>
        </w:rPr>
        <w:t>“衔接</w:t>
      </w:r>
      <w:r>
        <w:rPr>
          <w:rStyle w:val="atn"/>
          <w:rFonts w:hint="eastAsia"/>
        </w:rPr>
        <w:t>区”</w:t>
      </w:r>
      <w:r>
        <w:rPr>
          <w:rFonts w:hint="eastAsia"/>
        </w:rPr>
        <w:t>是位于隔离墙与</w:t>
      </w:r>
      <w:r>
        <w:rPr>
          <w:rFonts w:hint="eastAsia"/>
        </w:rPr>
        <w:t>1949</w:t>
      </w:r>
      <w:r>
        <w:rPr>
          <w:rFonts w:hint="eastAsia"/>
        </w:rPr>
        <w:t>年停火线之间的部分，在隔离墙完工后被宣布为“封闭区”。</w:t>
      </w:r>
    </w:p>
  </w:footnote>
  <w:footnote w:id="12">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C0632B">
        <w:t>Gisha</w:t>
      </w:r>
      <w:r>
        <w:rPr>
          <w:rFonts w:hint="eastAsia"/>
        </w:rPr>
        <w:t>，“程序与政策”，</w:t>
      </w:r>
      <w:r>
        <w:t>2015</w:t>
      </w:r>
      <w:r>
        <w:rPr>
          <w:rFonts w:hint="eastAsia"/>
        </w:rPr>
        <w:t>年，可查阅</w:t>
      </w:r>
      <w:hyperlink r:id="rId2" w:history="1">
        <w:r w:rsidRPr="00C525B9">
          <w:rPr>
            <w:rStyle w:val="Hyperlink"/>
          </w:rPr>
          <w:t>www.gisha.org/legal/procedures-and-protocols</w:t>
        </w:r>
      </w:hyperlink>
      <w:r>
        <w:rPr>
          <w:rFonts w:hint="eastAsia"/>
        </w:rPr>
        <w:t>。</w:t>
      </w:r>
    </w:p>
  </w:footnote>
  <w:footnote w:id="1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p>
  </w:footnote>
  <w:footnote w:id="14">
    <w:p w:rsidR="0018464E" w:rsidRPr="00060934" w:rsidRDefault="0018464E" w:rsidP="00CD746F">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rPr>
          <w:vertAlign w:val="superscript"/>
        </w:rPr>
        <w:tab/>
      </w:r>
      <w:r w:rsidRPr="00210C9F">
        <w:t>COGAT</w:t>
      </w:r>
      <w:r>
        <w:rPr>
          <w:rFonts w:hint="eastAsia"/>
        </w:rPr>
        <w:t>，“巴勒斯坦人进入以色列、离港出国以及朱迪亚和撒马利亚</w:t>
      </w:r>
      <w:r>
        <w:rPr>
          <w:rFonts w:hint="eastAsia"/>
        </w:rPr>
        <w:t>(</w:t>
      </w:r>
      <w:r w:rsidRPr="00CD746F">
        <w:t>Judea and Samaria</w:t>
      </w:r>
      <w:r>
        <w:rPr>
          <w:rFonts w:hint="eastAsia"/>
        </w:rPr>
        <w:t>)</w:t>
      </w:r>
      <w:r>
        <w:rPr>
          <w:rFonts w:hint="eastAsia"/>
        </w:rPr>
        <w:t>与加沙地带之间过境点的状况</w:t>
      </w:r>
      <w:r>
        <w:rPr>
          <w:rStyle w:val="atn"/>
          <w:rFonts w:hint="eastAsia"/>
        </w:rPr>
        <w:t>”</w:t>
      </w:r>
      <w:r>
        <w:rPr>
          <w:rFonts w:hint="eastAsia"/>
        </w:rPr>
        <w:t>(2015</w:t>
      </w:r>
      <w:r>
        <w:rPr>
          <w:rFonts w:hint="eastAsia"/>
        </w:rPr>
        <w:t>年</w:t>
      </w:r>
      <w:r>
        <w:rPr>
          <w:rFonts w:hint="eastAsia"/>
        </w:rPr>
        <w:t>11</w:t>
      </w:r>
      <w:r>
        <w:rPr>
          <w:rFonts w:hint="eastAsia"/>
        </w:rPr>
        <w:t>月</w:t>
      </w:r>
      <w:r>
        <w:rPr>
          <w:rFonts w:hint="eastAsia"/>
        </w:rPr>
        <w:t>)</w:t>
      </w:r>
      <w:r>
        <w:rPr>
          <w:rFonts w:hint="eastAsia"/>
        </w:rPr>
        <w:t>。</w:t>
      </w:r>
    </w:p>
  </w:footnote>
  <w:footnote w:id="15">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Y-Net News</w:t>
      </w:r>
      <w:r>
        <w:rPr>
          <w:rFonts w:hint="eastAsia"/>
        </w:rPr>
        <w:t>，“以色列增加了对西岸巴勒斯坦人的救济措施”，</w:t>
      </w:r>
      <w:r>
        <w:t>2015</w:t>
      </w:r>
      <w:r>
        <w:rPr>
          <w:rFonts w:hint="eastAsia"/>
        </w:rPr>
        <w:t>年</w:t>
      </w:r>
      <w:r>
        <w:rPr>
          <w:rFonts w:hint="eastAsia"/>
        </w:rPr>
        <w:t>6</w:t>
      </w:r>
      <w:r>
        <w:rPr>
          <w:rFonts w:hint="eastAsia"/>
        </w:rPr>
        <w:t>月</w:t>
      </w:r>
      <w:r>
        <w:rPr>
          <w:rFonts w:hint="eastAsia"/>
        </w:rPr>
        <w:t>14</w:t>
      </w:r>
      <w:r>
        <w:rPr>
          <w:rFonts w:hint="eastAsia"/>
        </w:rPr>
        <w:t>日。</w:t>
      </w:r>
    </w:p>
  </w:footnote>
  <w:footnote w:id="16">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t>人道主义活动月报</w:t>
      </w:r>
      <w:r>
        <w:rPr>
          <w:rFonts w:hint="eastAsia"/>
        </w:rPr>
        <w:t>”，</w:t>
      </w:r>
      <w:r>
        <w:t>2015</w:t>
      </w:r>
      <w:r>
        <w:rPr>
          <w:rFonts w:hint="eastAsia"/>
        </w:rPr>
        <w:t>年</w:t>
      </w:r>
      <w:r>
        <w:rPr>
          <w:rFonts w:hint="eastAsia"/>
        </w:rPr>
        <w:t>7</w:t>
      </w:r>
      <w:r>
        <w:rPr>
          <w:rFonts w:hint="eastAsia"/>
        </w:rPr>
        <w:t>月，第</w:t>
      </w:r>
      <w:r>
        <w:t>6</w:t>
      </w:r>
      <w:r>
        <w:rPr>
          <w:rFonts w:hint="eastAsia"/>
        </w:rPr>
        <w:t>页。</w:t>
      </w:r>
    </w:p>
  </w:footnote>
  <w:footnote w:id="17">
    <w:p w:rsidR="0018464E" w:rsidRPr="00F20538"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rPr>
          <w:vertAlign w:val="superscript"/>
        </w:rPr>
        <w:tab/>
      </w:r>
      <w:r>
        <w:t>见</w:t>
      </w:r>
      <w:hyperlink r:id="rId3" w:history="1">
        <w:r w:rsidRPr="00C525B9">
          <w:rPr>
            <w:rStyle w:val="Hyperlink"/>
          </w:rPr>
          <w:t>http://gaza.ochaopt.org/2015/02/further-easing-of-criteria-and-quotas-for israeli-permits-to-exit-gaza/</w:t>
        </w:r>
      </w:hyperlink>
      <w:r>
        <w:rPr>
          <w:rFonts w:hint="eastAsia"/>
        </w:rPr>
        <w:t>。</w:t>
      </w:r>
    </w:p>
  </w:footnote>
  <w:footnote w:id="18">
    <w:p w:rsidR="0018464E" w:rsidRPr="00D168F7" w:rsidRDefault="0018464E" w:rsidP="000364C7">
      <w:pPr>
        <w:pStyle w:val="FootnoteText"/>
        <w:tabs>
          <w:tab w:val="clear" w:pos="418"/>
          <w:tab w:val="right" w:pos="1195"/>
          <w:tab w:val="left" w:pos="1264"/>
          <w:tab w:val="left" w:pos="1695"/>
          <w:tab w:val="left" w:pos="2126"/>
          <w:tab w:val="left" w:pos="2557"/>
        </w:tabs>
        <w:ind w:left="1264" w:right="1264" w:hanging="432"/>
      </w:pPr>
      <w:r w:rsidRPr="00F20538">
        <w:tab/>
      </w:r>
      <w:r w:rsidRPr="0013152B">
        <w:rPr>
          <w:rStyle w:val="FootnoteReference"/>
        </w:rPr>
        <w:footnoteRef/>
      </w:r>
      <w:r>
        <w:tab/>
        <w:t>Gisha</w:t>
      </w:r>
      <w:r>
        <w:rPr>
          <w:rFonts w:hint="eastAsia"/>
        </w:rPr>
        <w:t>，“</w:t>
      </w:r>
      <w:r>
        <w:rPr>
          <w:rFonts w:hint="eastAsia"/>
        </w:rPr>
        <w:t>46</w:t>
      </w:r>
      <w:r>
        <w:rPr>
          <w:rFonts w:hint="eastAsia"/>
        </w:rPr>
        <w:t>名</w:t>
      </w:r>
      <w:r>
        <w:rPr>
          <w:rStyle w:val="shorttext"/>
          <w:rFonts w:hint="eastAsia"/>
        </w:rPr>
        <w:t>选手今天上午离开加沙</w:t>
      </w:r>
      <w:r>
        <w:rPr>
          <w:rStyle w:val="atn"/>
          <w:rFonts w:hint="eastAsia"/>
        </w:rPr>
        <w:t>”</w:t>
      </w:r>
      <w:r>
        <w:rPr>
          <w:rStyle w:val="shorttext"/>
          <w:rFonts w:hint="eastAsia"/>
        </w:rPr>
        <w:t>，</w:t>
      </w:r>
      <w:r>
        <w:rPr>
          <w:rStyle w:val="shorttext"/>
          <w:rFonts w:hint="eastAsia"/>
        </w:rPr>
        <w:t>2015</w:t>
      </w:r>
      <w:r>
        <w:rPr>
          <w:rStyle w:val="shorttext"/>
          <w:rFonts w:hint="eastAsia"/>
        </w:rPr>
        <w:t>年</w:t>
      </w:r>
      <w:r>
        <w:rPr>
          <w:rStyle w:val="shorttext"/>
          <w:rFonts w:hint="eastAsia"/>
        </w:rPr>
        <w:t>3</w:t>
      </w:r>
      <w:r>
        <w:rPr>
          <w:rStyle w:val="shorttext"/>
          <w:rFonts w:hint="eastAsia"/>
        </w:rPr>
        <w:t>月。</w:t>
      </w:r>
    </w:p>
  </w:footnote>
  <w:footnote w:id="19">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法新社，“斋月期间成千上万的人在耶路撒冷</w:t>
      </w:r>
      <w:r w:rsidRPr="00E705AC">
        <w:t>阿克萨清真寺</w:t>
      </w:r>
      <w:r w:rsidRPr="00E705AC">
        <w:rPr>
          <w:rStyle w:val="shorttext"/>
          <w:rFonts w:hint="eastAsia"/>
        </w:rPr>
        <w:t>祈祷</w:t>
      </w:r>
      <w:r>
        <w:rPr>
          <w:rStyle w:val="shorttext"/>
          <w:rFonts w:hint="eastAsia"/>
        </w:rPr>
        <w:t>”，</w:t>
      </w:r>
      <w:r>
        <w:rPr>
          <w:rStyle w:val="atn"/>
          <w:rFonts w:hint="eastAsia"/>
        </w:rPr>
        <w:t>2015</w:t>
      </w:r>
      <w:r>
        <w:rPr>
          <w:rStyle w:val="atn"/>
          <w:rFonts w:hint="eastAsia"/>
        </w:rPr>
        <w:t>年</w:t>
      </w:r>
      <w:r>
        <w:rPr>
          <w:rStyle w:val="shorttext"/>
          <w:rFonts w:hint="eastAsia"/>
        </w:rPr>
        <w:t>6</w:t>
      </w:r>
      <w:r>
        <w:rPr>
          <w:rStyle w:val="shorttext"/>
          <w:rFonts w:hint="eastAsia"/>
        </w:rPr>
        <w:t>月</w:t>
      </w:r>
      <w:r>
        <w:rPr>
          <w:rStyle w:val="shorttext"/>
          <w:rFonts w:hint="eastAsia"/>
        </w:rPr>
        <w:t>19</w:t>
      </w:r>
      <w:r>
        <w:rPr>
          <w:rStyle w:val="shorttext"/>
          <w:rFonts w:hint="eastAsia"/>
        </w:rPr>
        <w:t>日。</w:t>
      </w:r>
    </w:p>
  </w:footnote>
  <w:footnote w:id="20">
    <w:p w:rsidR="0018464E" w:rsidRPr="00C82C3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此外，数万巴勒斯坦人没有有效通行证进入以色列，被警察列入通常为了惩罚的黑名单。还有一些人因未缴罚款等原因而被列入行政黑名单。</w:t>
      </w:r>
      <w:r>
        <w:rPr>
          <w:rStyle w:val="hps"/>
          <w:rFonts w:hint="eastAsia"/>
        </w:rPr>
        <w:t xml:space="preserve">Machsom </w:t>
      </w:r>
      <w:r>
        <w:rPr>
          <w:rStyle w:val="hps"/>
        </w:rPr>
        <w:t>Watch</w:t>
      </w:r>
      <w:r>
        <w:rPr>
          <w:rStyle w:val="hps"/>
          <w:rFonts w:hint="eastAsia"/>
        </w:rPr>
        <w:t>，</w:t>
      </w:r>
      <w:r>
        <w:rPr>
          <w:rStyle w:val="atn"/>
          <w:rFonts w:hint="eastAsia"/>
        </w:rPr>
        <w:t>“</w:t>
      </w:r>
      <w:r>
        <w:rPr>
          <w:rFonts w:hint="eastAsia"/>
        </w:rPr>
        <w:t>2014</w:t>
      </w:r>
      <w:r>
        <w:rPr>
          <w:rFonts w:hint="eastAsia"/>
        </w:rPr>
        <w:t>年</w:t>
      </w:r>
      <w:r>
        <w:t>1</w:t>
      </w:r>
      <w:r>
        <w:rPr>
          <w:rFonts w:hint="eastAsia"/>
        </w:rPr>
        <w:t>月至</w:t>
      </w:r>
      <w:r>
        <w:rPr>
          <w:rFonts w:hint="eastAsia"/>
        </w:rPr>
        <w:t>12</w:t>
      </w:r>
      <w:r>
        <w:rPr>
          <w:rFonts w:hint="eastAsia"/>
        </w:rPr>
        <w:t>月年终报告</w:t>
      </w:r>
      <w:r>
        <w:rPr>
          <w:rStyle w:val="atn"/>
          <w:rFonts w:hint="eastAsia"/>
        </w:rPr>
        <w:t>”</w:t>
      </w:r>
      <w:r>
        <w:rPr>
          <w:rFonts w:hint="eastAsia"/>
        </w:rPr>
        <w:t>，</w:t>
      </w:r>
      <w:r>
        <w:rPr>
          <w:rFonts w:hint="eastAsia"/>
        </w:rPr>
        <w:t>2015</w:t>
      </w:r>
      <w:r>
        <w:rPr>
          <w:rFonts w:hint="eastAsia"/>
        </w:rPr>
        <w:t>年</w:t>
      </w:r>
      <w:r>
        <w:rPr>
          <w:rFonts w:hint="eastAsia"/>
        </w:rPr>
        <w:t>1</w:t>
      </w:r>
      <w:r>
        <w:rPr>
          <w:rFonts w:hint="eastAsia"/>
        </w:rPr>
        <w:t>月，第</w:t>
      </w:r>
      <w:r>
        <w:rPr>
          <w:rFonts w:hint="eastAsia"/>
        </w:rPr>
        <w:t>16-18</w:t>
      </w:r>
      <w:r>
        <w:rPr>
          <w:rFonts w:hint="eastAsia"/>
        </w:rPr>
        <w:t>页。</w:t>
      </w:r>
    </w:p>
  </w:footnote>
  <w:footnote w:id="21">
    <w:p w:rsidR="0018464E" w:rsidRPr="00963A4A"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同上，第</w:t>
      </w:r>
      <w:r w:rsidRPr="00963A4A">
        <w:t>16</w:t>
      </w:r>
      <w:r>
        <w:t>页。</w:t>
      </w:r>
    </w:p>
  </w:footnote>
  <w:footnote w:id="22">
    <w:p w:rsidR="0018464E" w:rsidRPr="00575AD8"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地</w:t>
      </w:r>
      <w:r>
        <w:rPr>
          <w:rStyle w:val="shorttext"/>
          <w:rFonts w:hint="eastAsia"/>
        </w:rPr>
        <w:t>区协调办公室是以色列在西岸的政府机构。成立这一机构是为了在巴勒斯坦被占领土执行实际职能。</w:t>
      </w:r>
    </w:p>
  </w:footnote>
  <w:footnote w:id="23">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5357D4">
        <w:t>Machsom Watch</w:t>
      </w:r>
      <w:r>
        <w:rPr>
          <w:rStyle w:val="hps"/>
          <w:rFonts w:hint="eastAsia"/>
        </w:rPr>
        <w:t>，</w:t>
      </w:r>
      <w:r>
        <w:rPr>
          <w:rStyle w:val="atn"/>
          <w:rFonts w:hint="eastAsia"/>
        </w:rPr>
        <w:t>“</w:t>
      </w:r>
      <w:r>
        <w:rPr>
          <w:rFonts w:hint="eastAsia"/>
        </w:rPr>
        <w:t>2014</w:t>
      </w:r>
      <w:r>
        <w:rPr>
          <w:rFonts w:hint="eastAsia"/>
        </w:rPr>
        <w:t>年</w:t>
      </w:r>
      <w:r>
        <w:t>1</w:t>
      </w:r>
      <w:r>
        <w:rPr>
          <w:rFonts w:hint="eastAsia"/>
        </w:rPr>
        <w:t>月至</w:t>
      </w:r>
      <w:r>
        <w:rPr>
          <w:rFonts w:hint="eastAsia"/>
        </w:rPr>
        <w:t>12</w:t>
      </w:r>
      <w:r>
        <w:rPr>
          <w:rFonts w:hint="eastAsia"/>
        </w:rPr>
        <w:t>月年终报告</w:t>
      </w:r>
      <w:r>
        <w:rPr>
          <w:rStyle w:val="atn"/>
          <w:rFonts w:hint="eastAsia"/>
        </w:rPr>
        <w:t>”</w:t>
      </w:r>
      <w:r>
        <w:rPr>
          <w:rFonts w:hint="eastAsia"/>
        </w:rPr>
        <w:t>，</w:t>
      </w:r>
      <w:r>
        <w:rPr>
          <w:rFonts w:hint="eastAsia"/>
        </w:rPr>
        <w:t>2015</w:t>
      </w:r>
      <w:r>
        <w:rPr>
          <w:rFonts w:hint="eastAsia"/>
        </w:rPr>
        <w:t>年</w:t>
      </w:r>
      <w:r>
        <w:rPr>
          <w:rFonts w:hint="eastAsia"/>
        </w:rPr>
        <w:t>1</w:t>
      </w:r>
      <w:r>
        <w:rPr>
          <w:rFonts w:hint="eastAsia"/>
        </w:rPr>
        <w:t>月，</w:t>
      </w:r>
      <w:r>
        <w:t>第</w:t>
      </w:r>
      <w:r>
        <w:rPr>
          <w:rFonts w:hint="eastAsia"/>
        </w:rPr>
        <w:t>17</w:t>
      </w:r>
      <w:r>
        <w:t>页。</w:t>
      </w:r>
    </w:p>
  </w:footnote>
  <w:footnote w:id="24">
    <w:p w:rsidR="0018464E" w:rsidRPr="00D168F7"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见人权事务委员会</w:t>
      </w:r>
      <w:r>
        <w:rPr>
          <w:rFonts w:hint="eastAsia"/>
        </w:rPr>
        <w:t>关于行动自由问题的第</w:t>
      </w:r>
      <w:r w:rsidRPr="00210C9F">
        <w:t>27</w:t>
      </w:r>
      <w:r>
        <w:rPr>
          <w:rFonts w:hint="eastAsia"/>
        </w:rPr>
        <w:t>号一般性意见</w:t>
      </w:r>
      <w:r>
        <w:t>(1999</w:t>
      </w:r>
      <w:r>
        <w:rPr>
          <w:rFonts w:hint="eastAsia"/>
        </w:rPr>
        <w:t>年</w:t>
      </w:r>
      <w:r>
        <w:t>)</w:t>
      </w:r>
      <w:r>
        <w:rPr>
          <w:rFonts w:hint="eastAsia"/>
        </w:rPr>
        <w:t>，</w:t>
      </w:r>
      <w:r>
        <w:t>第</w:t>
      </w:r>
      <w:r>
        <w:rPr>
          <w:rFonts w:hint="eastAsia"/>
        </w:rPr>
        <w:t>5</w:t>
      </w:r>
      <w:r>
        <w:rPr>
          <w:rFonts w:hint="eastAsia"/>
        </w:rPr>
        <w:t>和</w:t>
      </w:r>
      <w:r>
        <w:rPr>
          <w:rFonts w:hint="eastAsia"/>
        </w:rPr>
        <w:t>13</w:t>
      </w:r>
      <w:r>
        <w:t>段</w:t>
      </w:r>
      <w:r>
        <w:rPr>
          <w:rFonts w:hint="eastAsia"/>
        </w:rPr>
        <w:t>。</w:t>
      </w:r>
    </w:p>
  </w:footnote>
  <w:footnote w:id="25">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B’Tselem</w:t>
      </w:r>
      <w:r>
        <w:rPr>
          <w:rFonts w:hint="eastAsia"/>
        </w:rPr>
        <w:t>，“</w:t>
      </w:r>
      <w:r>
        <w:rPr>
          <w:rStyle w:val="shorttext"/>
          <w:rFonts w:hint="eastAsia"/>
        </w:rPr>
        <w:t>2015</w:t>
      </w:r>
      <w:r>
        <w:rPr>
          <w:rStyle w:val="shorttext"/>
          <w:rFonts w:hint="eastAsia"/>
        </w:rPr>
        <w:t>年</w:t>
      </w:r>
      <w:r>
        <w:rPr>
          <w:rStyle w:val="shorttext"/>
          <w:rFonts w:hint="eastAsia"/>
        </w:rPr>
        <w:t>5</w:t>
      </w:r>
      <w:r>
        <w:rPr>
          <w:rStyle w:val="shorttext"/>
          <w:rFonts w:hint="eastAsia"/>
        </w:rPr>
        <w:t>月定居点和定居者人口统计，可查阅</w:t>
      </w:r>
      <w:hyperlink r:id="rId4" w:history="1">
        <w:r w:rsidRPr="00C525B9">
          <w:rPr>
            <w:rStyle w:val="Hyperlink"/>
          </w:rPr>
          <w:t>www.btselem.org/settlements/statistics</w:t>
        </w:r>
      </w:hyperlink>
      <w:r>
        <w:rPr>
          <w:rFonts w:hint="eastAsia"/>
        </w:rPr>
        <w:t>。</w:t>
      </w:r>
    </w:p>
  </w:footnote>
  <w:footnote w:id="26">
    <w:p w:rsidR="0018464E" w:rsidRDefault="0018464E" w:rsidP="00333790">
      <w:pPr>
        <w:pStyle w:val="FootnoteText"/>
        <w:tabs>
          <w:tab w:val="clear" w:pos="418"/>
          <w:tab w:val="right" w:pos="1195"/>
          <w:tab w:val="left" w:pos="1264"/>
          <w:tab w:val="left" w:pos="1695"/>
          <w:tab w:val="left" w:pos="2126"/>
          <w:tab w:val="left" w:pos="2557"/>
        </w:tabs>
        <w:overflowPunct w:val="0"/>
        <w:ind w:left="1264" w:right="1264" w:hanging="431"/>
      </w:pPr>
      <w:r>
        <w:tab/>
      </w:r>
      <w:r w:rsidRPr="0013152B">
        <w:rPr>
          <w:rStyle w:val="FootnoteReference"/>
        </w:rPr>
        <w:footnoteRef/>
      </w:r>
      <w:r>
        <w:tab/>
      </w:r>
      <w:r>
        <w:t>人道主义事务协调厅</w:t>
      </w:r>
      <w:r>
        <w:rPr>
          <w:rFonts w:hint="eastAsia"/>
        </w:rPr>
        <w:t>，“</w:t>
      </w:r>
      <w:r>
        <w:t>人道主义活动月报</w:t>
      </w:r>
      <w:r>
        <w:rPr>
          <w:rFonts w:hint="eastAsia"/>
        </w:rPr>
        <w:t>”，</w:t>
      </w:r>
      <w:r>
        <w:rPr>
          <w:rStyle w:val="shorttext"/>
          <w:rFonts w:hint="eastAsia"/>
        </w:rPr>
        <w:t>2015</w:t>
      </w:r>
      <w:r>
        <w:rPr>
          <w:rStyle w:val="shorttext"/>
          <w:rFonts w:hint="eastAsia"/>
        </w:rPr>
        <w:t>年</w:t>
      </w:r>
      <w:r>
        <w:rPr>
          <w:rStyle w:val="shorttext"/>
          <w:rFonts w:hint="eastAsia"/>
        </w:rPr>
        <w:t>11</w:t>
      </w:r>
      <w:r>
        <w:rPr>
          <w:rStyle w:val="shorttext"/>
          <w:rFonts w:hint="eastAsia"/>
        </w:rPr>
        <w:t>月，第</w:t>
      </w:r>
      <w:r>
        <w:rPr>
          <w:rStyle w:val="shorttext"/>
          <w:rFonts w:hint="eastAsia"/>
        </w:rPr>
        <w:t>4</w:t>
      </w:r>
      <w:r>
        <w:rPr>
          <w:rStyle w:val="shorttext"/>
          <w:rFonts w:hint="eastAsia"/>
        </w:rPr>
        <w:t>页。</w:t>
      </w:r>
    </w:p>
  </w:footnote>
  <w:footnote w:id="27">
    <w:p w:rsidR="0018464E" w:rsidRDefault="0018464E" w:rsidP="00333790">
      <w:pPr>
        <w:pStyle w:val="FootnoteText"/>
        <w:tabs>
          <w:tab w:val="clear" w:pos="418"/>
          <w:tab w:val="right" w:pos="1195"/>
          <w:tab w:val="left" w:pos="1264"/>
          <w:tab w:val="left" w:pos="1695"/>
          <w:tab w:val="left" w:pos="2126"/>
          <w:tab w:val="left" w:pos="2557"/>
        </w:tabs>
        <w:overflowPunct w:val="0"/>
        <w:ind w:left="1264" w:right="1264" w:hanging="431"/>
      </w:pPr>
      <w:r>
        <w:tab/>
      </w:r>
      <w:r w:rsidRPr="0013152B">
        <w:rPr>
          <w:rStyle w:val="FootnoteReference"/>
        </w:rPr>
        <w:footnoteRef/>
      </w:r>
      <w:r w:rsidRPr="008907E9">
        <w:rPr>
          <w:vertAlign w:val="superscript"/>
        </w:rPr>
        <w:tab/>
      </w:r>
      <w:r>
        <w:rPr>
          <w:rStyle w:val="shorttext"/>
          <w:rFonts w:hint="eastAsia"/>
        </w:rPr>
        <w:t>全球保护群组，</w:t>
      </w:r>
      <w:r>
        <w:rPr>
          <w:rStyle w:val="atn"/>
          <w:rFonts w:hint="eastAsia"/>
        </w:rPr>
        <w:t>“</w:t>
      </w:r>
      <w:r>
        <w:rPr>
          <w:rStyle w:val="shorttext"/>
          <w:rFonts w:hint="eastAsia"/>
        </w:rPr>
        <w:t>希伯伦市定居活动的保护关切和人道主义影响</w:t>
      </w:r>
      <w:r>
        <w:rPr>
          <w:rStyle w:val="atn"/>
          <w:rFonts w:hint="eastAsia"/>
        </w:rPr>
        <w:t>”</w:t>
      </w:r>
      <w:r>
        <w:rPr>
          <w:rStyle w:val="shorttext"/>
          <w:rFonts w:hint="eastAsia"/>
        </w:rPr>
        <w:t>，</w:t>
      </w:r>
      <w:r>
        <w:rPr>
          <w:rStyle w:val="shorttext"/>
          <w:rFonts w:hint="eastAsia"/>
        </w:rPr>
        <w:t>2014</w:t>
      </w:r>
      <w:r>
        <w:rPr>
          <w:rStyle w:val="shorttext"/>
          <w:rFonts w:hint="eastAsia"/>
        </w:rPr>
        <w:t>年</w:t>
      </w:r>
      <w:r>
        <w:rPr>
          <w:rStyle w:val="shorttext"/>
          <w:rFonts w:hint="eastAsia"/>
        </w:rPr>
        <w:t>4</w:t>
      </w:r>
      <w:r>
        <w:rPr>
          <w:rStyle w:val="shorttext"/>
          <w:rFonts w:hint="eastAsia"/>
        </w:rPr>
        <w:t>月。</w:t>
      </w:r>
    </w:p>
  </w:footnote>
  <w:footnote w:id="28">
    <w:p w:rsidR="0018464E" w:rsidRDefault="0018464E" w:rsidP="00333790">
      <w:pPr>
        <w:pStyle w:val="FootnoteText"/>
        <w:tabs>
          <w:tab w:val="clear" w:pos="418"/>
          <w:tab w:val="right" w:pos="1195"/>
          <w:tab w:val="left" w:pos="1264"/>
          <w:tab w:val="left" w:pos="1695"/>
          <w:tab w:val="left" w:pos="2126"/>
          <w:tab w:val="left" w:pos="2557"/>
        </w:tabs>
        <w:overflowPunct w:val="0"/>
        <w:ind w:left="1264" w:right="1264" w:hanging="431"/>
      </w:pPr>
      <w:r>
        <w:tab/>
      </w:r>
      <w:r w:rsidRPr="0013152B">
        <w:rPr>
          <w:rStyle w:val="FootnoteReference"/>
        </w:rPr>
        <w:footnoteRef/>
      </w:r>
      <w:r>
        <w:tab/>
      </w:r>
      <w:r>
        <w:t>人道主义事务协调厅</w:t>
      </w:r>
      <w:r>
        <w:rPr>
          <w:rFonts w:hint="eastAsia"/>
        </w:rPr>
        <w:t>，“</w:t>
      </w:r>
      <w:r>
        <w:rPr>
          <w:rStyle w:val="shorttext"/>
          <w:rFonts w:hint="eastAsia"/>
        </w:rPr>
        <w:t>人道主义活动月报</w:t>
      </w:r>
      <w:r>
        <w:rPr>
          <w:rStyle w:val="atn"/>
          <w:rFonts w:hint="eastAsia"/>
        </w:rPr>
        <w:t>”</w:t>
      </w:r>
      <w:r>
        <w:rPr>
          <w:rStyle w:val="shorttext"/>
          <w:rFonts w:hint="eastAsia"/>
        </w:rPr>
        <w:t>，</w:t>
      </w:r>
      <w:r>
        <w:rPr>
          <w:rStyle w:val="shorttext"/>
          <w:rFonts w:hint="eastAsia"/>
        </w:rPr>
        <w:t>2015</w:t>
      </w:r>
      <w:r>
        <w:rPr>
          <w:rStyle w:val="shorttext"/>
          <w:rFonts w:hint="eastAsia"/>
        </w:rPr>
        <w:t>年</w:t>
      </w:r>
      <w:r>
        <w:rPr>
          <w:rStyle w:val="shorttext"/>
          <w:rFonts w:hint="eastAsia"/>
        </w:rPr>
        <w:t>11</w:t>
      </w:r>
      <w:r>
        <w:rPr>
          <w:rStyle w:val="shorttext"/>
          <w:rFonts w:hint="eastAsia"/>
        </w:rPr>
        <w:t>月，第</w:t>
      </w:r>
      <w:r>
        <w:rPr>
          <w:rStyle w:val="shorttext"/>
          <w:rFonts w:hint="eastAsia"/>
        </w:rPr>
        <w:t>4</w:t>
      </w:r>
      <w:r>
        <w:rPr>
          <w:rStyle w:val="shorttext"/>
          <w:rFonts w:hint="eastAsia"/>
        </w:rPr>
        <w:t>页。</w:t>
      </w:r>
    </w:p>
  </w:footnote>
  <w:footnote w:id="29">
    <w:p w:rsidR="0018464E" w:rsidRPr="0088628F" w:rsidRDefault="0018464E" w:rsidP="00333790">
      <w:pPr>
        <w:pStyle w:val="FootnoteText"/>
        <w:tabs>
          <w:tab w:val="clear" w:pos="418"/>
          <w:tab w:val="right" w:pos="1195"/>
          <w:tab w:val="left" w:pos="1264"/>
          <w:tab w:val="left" w:pos="1695"/>
          <w:tab w:val="left" w:pos="2126"/>
          <w:tab w:val="left" w:pos="2557"/>
        </w:tabs>
        <w:overflowPunct w:val="0"/>
        <w:ind w:left="1264" w:right="1264" w:hanging="431"/>
      </w:pPr>
      <w:r>
        <w:tab/>
      </w:r>
      <w:r w:rsidRPr="0013152B">
        <w:rPr>
          <w:rStyle w:val="FootnoteReference"/>
        </w:rPr>
        <w:footnoteRef/>
      </w:r>
      <w:r>
        <w:tab/>
      </w:r>
      <w:r>
        <w:t>联合国中东和平进程特别协调员</w:t>
      </w:r>
      <w:r>
        <w:rPr>
          <w:rFonts w:hint="eastAsia"/>
        </w:rPr>
        <w:t>，“</w:t>
      </w:r>
      <w:r>
        <w:rPr>
          <w:rStyle w:val="shorttext"/>
          <w:rFonts w:hint="eastAsia"/>
        </w:rPr>
        <w:t>特设联络委员会报告</w:t>
      </w:r>
      <w:r>
        <w:rPr>
          <w:rStyle w:val="atn"/>
          <w:rFonts w:hint="eastAsia"/>
        </w:rPr>
        <w:t>”</w:t>
      </w:r>
      <w:r>
        <w:rPr>
          <w:rStyle w:val="shorttext"/>
          <w:rFonts w:hint="eastAsia"/>
        </w:rPr>
        <w:t>，</w:t>
      </w:r>
      <w:r>
        <w:rPr>
          <w:rStyle w:val="shorttext"/>
          <w:rFonts w:hint="eastAsia"/>
        </w:rPr>
        <w:t>2015</w:t>
      </w:r>
      <w:r>
        <w:rPr>
          <w:rStyle w:val="shorttext"/>
          <w:rFonts w:hint="eastAsia"/>
        </w:rPr>
        <w:t>年</w:t>
      </w:r>
      <w:r>
        <w:rPr>
          <w:rStyle w:val="shorttext"/>
          <w:rFonts w:hint="eastAsia"/>
        </w:rPr>
        <w:t>9</w:t>
      </w:r>
      <w:r>
        <w:rPr>
          <w:rStyle w:val="shorttext"/>
          <w:rFonts w:hint="eastAsia"/>
        </w:rPr>
        <w:t>月，</w:t>
      </w:r>
      <w:r>
        <w:t>第</w:t>
      </w:r>
      <w:r>
        <w:rPr>
          <w:rFonts w:hint="eastAsia"/>
        </w:rPr>
        <w:t>38</w:t>
      </w:r>
      <w:r>
        <w:t>段</w:t>
      </w:r>
      <w:r>
        <w:rPr>
          <w:rFonts w:hint="eastAsia"/>
        </w:rPr>
        <w:t>。</w:t>
      </w:r>
    </w:p>
  </w:footnote>
  <w:footnote w:id="30">
    <w:p w:rsidR="0018464E" w:rsidRPr="00C2417B" w:rsidRDefault="0018464E" w:rsidP="00333790">
      <w:pPr>
        <w:pStyle w:val="FootnoteText"/>
        <w:tabs>
          <w:tab w:val="clear" w:pos="418"/>
          <w:tab w:val="right" w:pos="1195"/>
          <w:tab w:val="left" w:pos="1264"/>
          <w:tab w:val="left" w:pos="1695"/>
          <w:tab w:val="left" w:pos="2126"/>
          <w:tab w:val="left" w:pos="2557"/>
        </w:tabs>
        <w:overflowPunct w:val="0"/>
        <w:ind w:left="1264" w:right="1264" w:hanging="431"/>
      </w:pPr>
      <w:r>
        <w:tab/>
      </w:r>
      <w:r w:rsidRPr="0013152B">
        <w:rPr>
          <w:rStyle w:val="FootnoteReference"/>
        </w:rPr>
        <w:footnoteRef/>
      </w:r>
      <w:r>
        <w:tab/>
      </w:r>
      <w:r w:rsidRPr="00210C9F">
        <w:t>Society of St. Yves</w:t>
      </w:r>
      <w:r>
        <w:rPr>
          <w:rFonts w:hint="eastAsia"/>
        </w:rPr>
        <w:t>，“</w:t>
      </w:r>
      <w:r>
        <w:rPr>
          <w:rStyle w:val="shorttext"/>
          <w:rFonts w:hint="eastAsia"/>
        </w:rPr>
        <w:t>打入伯利恒棺材上的最后一枚铁钉：</w:t>
      </w:r>
      <w:r>
        <w:rPr>
          <w:rStyle w:val="shorttext"/>
          <w:rFonts w:hint="eastAsia"/>
        </w:rPr>
        <w:t>Cremisan</w:t>
      </w:r>
      <w:r>
        <w:rPr>
          <w:rStyle w:val="shorttext"/>
          <w:rFonts w:hint="eastAsia"/>
        </w:rPr>
        <w:t>区吞并墙”，</w:t>
      </w:r>
      <w:r>
        <w:rPr>
          <w:rStyle w:val="shorttext"/>
          <w:rFonts w:hint="eastAsia"/>
        </w:rPr>
        <w:t>2015</w:t>
      </w:r>
      <w:r>
        <w:rPr>
          <w:rStyle w:val="shorttext"/>
          <w:rFonts w:hint="eastAsia"/>
        </w:rPr>
        <w:t>年</w:t>
      </w:r>
      <w:r>
        <w:rPr>
          <w:rStyle w:val="shorttext"/>
          <w:rFonts w:hint="eastAsia"/>
        </w:rPr>
        <w:t>8</w:t>
      </w:r>
      <w:r>
        <w:rPr>
          <w:rStyle w:val="shorttext"/>
          <w:rFonts w:hint="eastAsia"/>
        </w:rPr>
        <w:t>月。</w:t>
      </w:r>
    </w:p>
  </w:footnote>
  <w:footnote w:id="31">
    <w:p w:rsidR="0018464E" w:rsidRDefault="0018464E" w:rsidP="00333790">
      <w:pPr>
        <w:pStyle w:val="FootnoteText"/>
        <w:tabs>
          <w:tab w:val="clear" w:pos="418"/>
          <w:tab w:val="right" w:pos="1195"/>
          <w:tab w:val="left" w:pos="1264"/>
          <w:tab w:val="left" w:pos="1695"/>
          <w:tab w:val="left" w:pos="2126"/>
          <w:tab w:val="left" w:pos="2557"/>
        </w:tabs>
        <w:overflowPunct w:val="0"/>
        <w:ind w:left="1264" w:right="1264" w:hanging="431"/>
      </w:pPr>
      <w:r>
        <w:tab/>
      </w:r>
      <w:r w:rsidRPr="0013152B">
        <w:rPr>
          <w:rStyle w:val="FootnoteReference"/>
        </w:rPr>
        <w:footnoteRef/>
      </w:r>
      <w:r>
        <w:tab/>
        <w:t>B’Tselem</w:t>
      </w:r>
      <w:r>
        <w:rPr>
          <w:rFonts w:hint="eastAsia"/>
        </w:rPr>
        <w:t>，“将</w:t>
      </w:r>
      <w:r>
        <w:rPr>
          <w:rStyle w:val="shorttext"/>
          <w:rFonts w:hint="eastAsia"/>
        </w:rPr>
        <w:t>拜特贾拉</w:t>
      </w:r>
      <w:r>
        <w:rPr>
          <w:rStyle w:val="shorttext"/>
        </w:rPr>
        <w:t>(Beit Jala)</w:t>
      </w:r>
      <w:r>
        <w:rPr>
          <w:rStyle w:val="shorttext"/>
          <w:rFonts w:hint="eastAsia"/>
        </w:rPr>
        <w:t>居民与土地分隔开的屏障，是为吞并定居打基础”，</w:t>
      </w:r>
      <w:r>
        <w:rPr>
          <w:rStyle w:val="shorttext"/>
          <w:rFonts w:hint="eastAsia"/>
        </w:rPr>
        <w:t>2015</w:t>
      </w:r>
      <w:r>
        <w:rPr>
          <w:rStyle w:val="shorttext"/>
          <w:rFonts w:hint="eastAsia"/>
        </w:rPr>
        <w:t>年</w:t>
      </w:r>
      <w:r>
        <w:rPr>
          <w:rStyle w:val="shorttext"/>
          <w:rFonts w:hint="eastAsia"/>
        </w:rPr>
        <w:t>11</w:t>
      </w:r>
      <w:r>
        <w:rPr>
          <w:rStyle w:val="shorttext"/>
          <w:rFonts w:hint="eastAsia"/>
        </w:rPr>
        <w:t>月</w:t>
      </w:r>
      <w:r>
        <w:rPr>
          <w:rStyle w:val="shorttext"/>
          <w:rFonts w:hint="eastAsia"/>
        </w:rPr>
        <w:t>12</w:t>
      </w:r>
      <w:r>
        <w:rPr>
          <w:rStyle w:val="shorttext"/>
          <w:rFonts w:hint="eastAsia"/>
        </w:rPr>
        <w:t>日。</w:t>
      </w:r>
    </w:p>
  </w:footnote>
  <w:footnote w:id="32">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p>
  </w:footnote>
  <w:footnote w:id="3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t>人道主义活动月报</w:t>
      </w:r>
      <w:r>
        <w:rPr>
          <w:rFonts w:hint="eastAsia"/>
        </w:rPr>
        <w:t>”，</w:t>
      </w:r>
      <w:r>
        <w:t>2015</w:t>
      </w:r>
      <w:r>
        <w:rPr>
          <w:rFonts w:hint="eastAsia"/>
        </w:rPr>
        <w:t>年</w:t>
      </w:r>
      <w:r>
        <w:rPr>
          <w:rFonts w:hint="eastAsia"/>
        </w:rPr>
        <w:t>9</w:t>
      </w:r>
      <w:r>
        <w:rPr>
          <w:rFonts w:hint="eastAsia"/>
        </w:rPr>
        <w:t>月，</w:t>
      </w:r>
      <w:r>
        <w:t>第</w:t>
      </w:r>
      <w:r>
        <w:rPr>
          <w:rFonts w:hint="eastAsia"/>
        </w:rPr>
        <w:t>6</w:t>
      </w:r>
      <w:r>
        <w:t>页。</w:t>
      </w:r>
    </w:p>
  </w:footnote>
  <w:footnote w:id="3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t>人道主义活动月报</w:t>
      </w:r>
      <w:r>
        <w:rPr>
          <w:rFonts w:hint="eastAsia"/>
        </w:rPr>
        <w:t>”，</w:t>
      </w:r>
      <w:r>
        <w:t>2015</w:t>
      </w:r>
      <w:r>
        <w:rPr>
          <w:rFonts w:hint="eastAsia"/>
        </w:rPr>
        <w:t>年</w:t>
      </w:r>
      <w:r>
        <w:rPr>
          <w:rFonts w:hint="eastAsia"/>
        </w:rPr>
        <w:t>7</w:t>
      </w:r>
      <w:r>
        <w:rPr>
          <w:rFonts w:hint="eastAsia"/>
        </w:rPr>
        <w:t>月，</w:t>
      </w:r>
      <w:r>
        <w:t>第</w:t>
      </w:r>
      <w:r>
        <w:rPr>
          <w:rFonts w:hint="eastAsia"/>
        </w:rPr>
        <w:t>6</w:t>
      </w:r>
      <w:r>
        <w:t>页。</w:t>
      </w:r>
    </w:p>
  </w:footnote>
  <w:footnote w:id="35">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rPr>
          <w:rStyle w:val="shorttext"/>
          <w:rFonts w:hint="eastAsia"/>
        </w:rPr>
        <w:t>2015</w:t>
      </w:r>
      <w:r>
        <w:rPr>
          <w:rStyle w:val="shorttext"/>
          <w:rFonts w:hint="eastAsia"/>
        </w:rPr>
        <w:t>年</w:t>
      </w:r>
      <w:r>
        <w:rPr>
          <w:rStyle w:val="shorttext"/>
          <w:rFonts w:hint="eastAsia"/>
        </w:rPr>
        <w:t>10</w:t>
      </w:r>
      <w:r>
        <w:rPr>
          <w:rStyle w:val="shorttext"/>
          <w:rFonts w:hint="eastAsia"/>
        </w:rPr>
        <w:t>月</w:t>
      </w:r>
      <w:r>
        <w:rPr>
          <w:rStyle w:val="shorttext"/>
          <w:rFonts w:hint="eastAsia"/>
        </w:rPr>
        <w:t>20</w:t>
      </w:r>
      <w:r>
        <w:rPr>
          <w:rStyle w:val="shorttext"/>
          <w:rFonts w:hint="eastAsia"/>
        </w:rPr>
        <w:t>日至</w:t>
      </w:r>
      <w:r>
        <w:rPr>
          <w:rStyle w:val="shorttext"/>
          <w:rFonts w:hint="eastAsia"/>
        </w:rPr>
        <w:t>26</w:t>
      </w:r>
      <w:r>
        <w:rPr>
          <w:rStyle w:val="shorttext"/>
          <w:rFonts w:hint="eastAsia"/>
        </w:rPr>
        <w:t>日平民保护周报”，可查阅</w:t>
      </w:r>
      <w:r>
        <w:rPr>
          <w:rStyle w:val="shorttext"/>
        </w:rPr>
        <w:br/>
      </w:r>
      <w:hyperlink r:id="rId5" w:history="1">
        <w:r w:rsidRPr="00C525B9">
          <w:rPr>
            <w:rStyle w:val="Hyperlink"/>
          </w:rPr>
          <w:t>www.ochaopt.org/poc20october-26october-2015.aspx</w:t>
        </w:r>
      </w:hyperlink>
      <w:r>
        <w:rPr>
          <w:rFonts w:hint="eastAsia"/>
        </w:rPr>
        <w:t>。</w:t>
      </w:r>
    </w:p>
  </w:footnote>
  <w:footnote w:id="36">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r>
        <w:rPr>
          <w:rStyle w:val="shorttext"/>
          <w:rFonts w:hint="eastAsia"/>
        </w:rPr>
        <w:t>每周更新，</w:t>
      </w:r>
      <w:r>
        <w:rPr>
          <w:rStyle w:val="shorttext"/>
          <w:rFonts w:hint="eastAsia"/>
        </w:rPr>
        <w:t>2015</w:t>
      </w:r>
      <w:r>
        <w:rPr>
          <w:rStyle w:val="shorttext"/>
          <w:rFonts w:hint="eastAsia"/>
        </w:rPr>
        <w:t>年</w:t>
      </w:r>
      <w:r>
        <w:rPr>
          <w:rStyle w:val="shorttext"/>
          <w:rFonts w:hint="eastAsia"/>
        </w:rPr>
        <w:t>11</w:t>
      </w:r>
      <w:r>
        <w:rPr>
          <w:rStyle w:val="shorttext"/>
          <w:rFonts w:hint="eastAsia"/>
        </w:rPr>
        <w:t>月</w:t>
      </w:r>
      <w:r>
        <w:rPr>
          <w:rStyle w:val="shorttext"/>
          <w:rFonts w:hint="eastAsia"/>
        </w:rPr>
        <w:t>17</w:t>
      </w:r>
      <w:r>
        <w:rPr>
          <w:rStyle w:val="shorttext"/>
          <w:rFonts w:hint="eastAsia"/>
        </w:rPr>
        <w:t>日至</w:t>
      </w:r>
      <w:r>
        <w:rPr>
          <w:rStyle w:val="shorttext"/>
          <w:rFonts w:hint="eastAsia"/>
        </w:rPr>
        <w:t>23</w:t>
      </w:r>
      <w:r>
        <w:rPr>
          <w:rStyle w:val="shorttext"/>
          <w:rFonts w:hint="eastAsia"/>
        </w:rPr>
        <w:t>日。</w:t>
      </w:r>
    </w:p>
  </w:footnote>
  <w:footnote w:id="37">
    <w:p w:rsidR="0018464E" w:rsidRPr="004204B5"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sidRPr="004204B5">
        <w:t>，</w:t>
      </w:r>
      <w:r>
        <w:rPr>
          <w:rFonts w:hint="eastAsia"/>
        </w:rPr>
        <w:t>2015</w:t>
      </w:r>
      <w:r>
        <w:rPr>
          <w:rFonts w:hint="eastAsia"/>
        </w:rPr>
        <w:t>年人道主义地图，</w:t>
      </w:r>
      <w:r>
        <w:rPr>
          <w:lang w:val="es-ES"/>
        </w:rPr>
        <w:t>第</w:t>
      </w:r>
      <w:r>
        <w:rPr>
          <w:rFonts w:hint="eastAsia"/>
          <w:lang w:val="es-ES"/>
        </w:rPr>
        <w:t>53</w:t>
      </w:r>
      <w:r>
        <w:rPr>
          <w:lang w:val="es-ES"/>
        </w:rPr>
        <w:t>页。</w:t>
      </w:r>
    </w:p>
  </w:footnote>
  <w:footnote w:id="38">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rsidRPr="004204B5">
        <w:tab/>
      </w:r>
      <w:r w:rsidRPr="0013152B">
        <w:rPr>
          <w:rStyle w:val="FootnoteReference"/>
        </w:rPr>
        <w:footnoteRef/>
      </w:r>
      <w:r>
        <w:tab/>
      </w:r>
      <w:r w:rsidRPr="004204B5">
        <w:t>Ir Amim</w:t>
      </w:r>
      <w:r>
        <w:rPr>
          <w:rFonts w:hint="eastAsia"/>
        </w:rPr>
        <w:t>，“在</w:t>
      </w:r>
      <w:r>
        <w:rPr>
          <w:rStyle w:val="shorttext"/>
          <w:rFonts w:hint="eastAsia"/>
        </w:rPr>
        <w:t>自己城市里流离失所：以色列在东耶路撒冷的政策对隔离墙以外该市巴勒斯坦社区的影响，</w:t>
      </w:r>
      <w:r>
        <w:rPr>
          <w:rStyle w:val="shorttext"/>
          <w:rFonts w:hint="eastAsia"/>
        </w:rPr>
        <w:t>2015</w:t>
      </w:r>
      <w:r>
        <w:rPr>
          <w:rStyle w:val="shorttext"/>
          <w:rFonts w:hint="eastAsia"/>
        </w:rPr>
        <w:t>年</w:t>
      </w:r>
      <w:r>
        <w:rPr>
          <w:rStyle w:val="shorttext"/>
          <w:rFonts w:hint="eastAsia"/>
        </w:rPr>
        <w:t>6</w:t>
      </w:r>
      <w:r>
        <w:rPr>
          <w:rStyle w:val="shorttext"/>
          <w:rFonts w:hint="eastAsia"/>
        </w:rPr>
        <w:t>月，</w:t>
      </w:r>
      <w:r>
        <w:t>第</w:t>
      </w:r>
      <w:r w:rsidRPr="00210C9F">
        <w:t>48</w:t>
      </w:r>
      <w:r>
        <w:t>页。</w:t>
      </w:r>
    </w:p>
  </w:footnote>
  <w:footnote w:id="39">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B’Tselem and HaMoked</w:t>
      </w:r>
      <w:r>
        <w:rPr>
          <w:rFonts w:hint="eastAsia"/>
        </w:rPr>
        <w:t>，“一所大监狱”。</w:t>
      </w:r>
    </w:p>
  </w:footnote>
  <w:footnote w:id="40">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rPr>
          <w:rStyle w:val="shorttext"/>
          <w:rFonts w:hint="eastAsia"/>
        </w:rPr>
        <w:t>通行和进出协定：一年后</w:t>
      </w:r>
      <w:r>
        <w:rPr>
          <w:rStyle w:val="atn"/>
          <w:rFonts w:hint="eastAsia"/>
        </w:rPr>
        <w:t>”</w:t>
      </w:r>
      <w:r>
        <w:rPr>
          <w:rStyle w:val="shorttext"/>
          <w:rFonts w:hint="eastAsia"/>
        </w:rPr>
        <w:t>，</w:t>
      </w:r>
      <w:r>
        <w:rPr>
          <w:rStyle w:val="shorttext"/>
          <w:rFonts w:hint="eastAsia"/>
        </w:rPr>
        <w:t>2006</w:t>
      </w:r>
      <w:r>
        <w:rPr>
          <w:rStyle w:val="shorttext"/>
          <w:rFonts w:hint="eastAsia"/>
        </w:rPr>
        <w:t>年</w:t>
      </w:r>
      <w:r>
        <w:rPr>
          <w:rStyle w:val="shorttext"/>
          <w:rFonts w:hint="eastAsia"/>
        </w:rPr>
        <w:t>11</w:t>
      </w:r>
      <w:r>
        <w:rPr>
          <w:rStyle w:val="shorttext"/>
          <w:rFonts w:hint="eastAsia"/>
        </w:rPr>
        <w:t>月。</w:t>
      </w:r>
    </w:p>
  </w:footnote>
  <w:footnote w:id="41">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rPr>
          <w:rStyle w:val="shorttext"/>
          <w:rFonts w:hint="eastAsia"/>
        </w:rPr>
        <w:t>埃雷兹过境点：进出加沙”，</w:t>
      </w:r>
      <w:r>
        <w:rPr>
          <w:rStyle w:val="shorttext"/>
          <w:rFonts w:hint="eastAsia"/>
        </w:rPr>
        <w:t>2014-2015</w:t>
      </w:r>
      <w:r>
        <w:rPr>
          <w:rStyle w:val="shorttext"/>
          <w:rFonts w:hint="eastAsia"/>
        </w:rPr>
        <w:t>年。见</w:t>
      </w:r>
      <w:r>
        <w:rPr>
          <w:rStyle w:val="shorttext"/>
          <w:rFonts w:hint="eastAsia"/>
        </w:rPr>
        <w:t xml:space="preserve">gaza.ocha </w:t>
      </w:r>
      <w:r>
        <w:rPr>
          <w:rStyle w:val="hps"/>
          <w:rFonts w:hint="eastAsia"/>
        </w:rPr>
        <w:t>opt.org</w:t>
      </w:r>
      <w:r>
        <w:rPr>
          <w:rStyle w:val="shorttext"/>
          <w:rFonts w:hint="eastAsia"/>
        </w:rPr>
        <w:t>。</w:t>
      </w:r>
    </w:p>
  </w:footnote>
  <w:footnote w:id="42">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Gisha</w:t>
      </w:r>
      <w:r>
        <w:rPr>
          <w:rFonts w:hint="eastAsia"/>
        </w:rPr>
        <w:t>，”将土地隔离，将人隔离”，</w:t>
      </w:r>
      <w:r>
        <w:rPr>
          <w:rFonts w:hint="eastAsia"/>
        </w:rPr>
        <w:t>2015</w:t>
      </w:r>
      <w:r>
        <w:rPr>
          <w:rFonts w:hint="eastAsia"/>
        </w:rPr>
        <w:t>年</w:t>
      </w:r>
      <w:r>
        <w:rPr>
          <w:rFonts w:hint="eastAsia"/>
        </w:rPr>
        <w:t>6</w:t>
      </w:r>
      <w:r>
        <w:rPr>
          <w:rFonts w:hint="eastAsia"/>
        </w:rPr>
        <w:t>月，第</w:t>
      </w:r>
      <w:r>
        <w:rPr>
          <w:rFonts w:hint="eastAsia"/>
        </w:rPr>
        <w:t>12</w:t>
      </w:r>
      <w:r>
        <w:rPr>
          <w:rFonts w:hint="eastAsia"/>
        </w:rPr>
        <w:t>页；</w:t>
      </w:r>
      <w:r>
        <w:rPr>
          <w:rStyle w:val="atn"/>
          <w:rFonts w:hint="eastAsia"/>
        </w:rPr>
        <w:t>“</w:t>
      </w:r>
      <w:r>
        <w:rPr>
          <w:rFonts w:hint="eastAsia"/>
        </w:rPr>
        <w:t>拉法口岸：谁握着钥匙？</w:t>
      </w:r>
      <w:r>
        <w:rPr>
          <w:rStyle w:val="atn"/>
          <w:rFonts w:hint="eastAsia"/>
        </w:rPr>
        <w:t>”</w:t>
      </w:r>
      <w:r>
        <w:rPr>
          <w:rFonts w:hint="eastAsia"/>
        </w:rPr>
        <w:t>，</w:t>
      </w:r>
      <w:r>
        <w:rPr>
          <w:rFonts w:hint="eastAsia"/>
        </w:rPr>
        <w:t>2009</w:t>
      </w:r>
      <w:r>
        <w:rPr>
          <w:rFonts w:hint="eastAsia"/>
        </w:rPr>
        <w:t>年</w:t>
      </w:r>
      <w:r>
        <w:rPr>
          <w:rFonts w:hint="eastAsia"/>
        </w:rPr>
        <w:t>3</w:t>
      </w:r>
      <w:r>
        <w:rPr>
          <w:rFonts w:hint="eastAsia"/>
        </w:rPr>
        <w:t>月。</w:t>
      </w:r>
    </w:p>
  </w:footnote>
  <w:footnote w:id="4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rPr>
          <w:rStyle w:val="shorttext"/>
          <w:rFonts w:hint="eastAsia"/>
        </w:rPr>
        <w:t>平民保护周报”，</w:t>
      </w:r>
      <w:r>
        <w:rPr>
          <w:rStyle w:val="shorttext"/>
          <w:rFonts w:hint="eastAsia"/>
        </w:rPr>
        <w:t>2015</w:t>
      </w:r>
      <w:r>
        <w:rPr>
          <w:rStyle w:val="shorttext"/>
          <w:rFonts w:hint="eastAsia"/>
        </w:rPr>
        <w:t>年</w:t>
      </w:r>
      <w:r>
        <w:rPr>
          <w:rStyle w:val="shorttext"/>
          <w:rFonts w:hint="eastAsia"/>
        </w:rPr>
        <w:t>10</w:t>
      </w:r>
      <w:r>
        <w:rPr>
          <w:rStyle w:val="shorttext"/>
          <w:rFonts w:hint="eastAsia"/>
        </w:rPr>
        <w:t>月</w:t>
      </w:r>
      <w:r>
        <w:rPr>
          <w:rStyle w:val="shorttext"/>
          <w:rFonts w:hint="eastAsia"/>
        </w:rPr>
        <w:t>27</w:t>
      </w:r>
      <w:r>
        <w:rPr>
          <w:rStyle w:val="shorttext"/>
          <w:rFonts w:hint="eastAsia"/>
        </w:rPr>
        <w:t>日至</w:t>
      </w:r>
      <w:r>
        <w:rPr>
          <w:rStyle w:val="shorttext"/>
          <w:rFonts w:hint="eastAsia"/>
        </w:rPr>
        <w:t>11</w:t>
      </w:r>
      <w:r>
        <w:rPr>
          <w:rStyle w:val="shorttext"/>
          <w:rFonts w:hint="eastAsia"/>
        </w:rPr>
        <w:t>月</w:t>
      </w:r>
      <w:r>
        <w:rPr>
          <w:rStyle w:val="shorttext"/>
          <w:rFonts w:hint="eastAsia"/>
        </w:rPr>
        <w:t>2</w:t>
      </w:r>
      <w:r>
        <w:rPr>
          <w:rStyle w:val="shorttext"/>
          <w:rFonts w:hint="eastAsia"/>
        </w:rPr>
        <w:t>日，可查阅</w:t>
      </w:r>
      <w:r>
        <w:rPr>
          <w:rStyle w:val="shorttext"/>
        </w:rPr>
        <w:br/>
      </w:r>
      <w:hyperlink r:id="rId6" w:history="1">
        <w:r w:rsidRPr="00C525B9">
          <w:rPr>
            <w:rStyle w:val="Hyperlink"/>
          </w:rPr>
          <w:t>www.ochaopt.org/poc27october-2november-2015.aspx</w:t>
        </w:r>
      </w:hyperlink>
      <w:r>
        <w:rPr>
          <w:rFonts w:hint="eastAsia"/>
        </w:rPr>
        <w:t>。</w:t>
      </w:r>
    </w:p>
  </w:footnote>
  <w:footnote w:id="4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r>
        <w:rPr>
          <w:rStyle w:val="shorttext"/>
          <w:rFonts w:hint="eastAsia"/>
        </w:rPr>
        <w:t>加沙过境点的运作情况：每月更新，</w:t>
      </w:r>
      <w:r>
        <w:rPr>
          <w:rStyle w:val="shorttext"/>
          <w:rFonts w:hint="eastAsia"/>
        </w:rPr>
        <w:t>2015</w:t>
      </w:r>
      <w:r>
        <w:rPr>
          <w:rStyle w:val="shorttext"/>
          <w:rFonts w:hint="eastAsia"/>
        </w:rPr>
        <w:t>年</w:t>
      </w:r>
      <w:r>
        <w:rPr>
          <w:rStyle w:val="shorttext"/>
          <w:rFonts w:hint="eastAsia"/>
        </w:rPr>
        <w:t>10</w:t>
      </w:r>
      <w:r>
        <w:rPr>
          <w:rStyle w:val="shorttext"/>
          <w:rFonts w:hint="eastAsia"/>
        </w:rPr>
        <w:t>月。</w:t>
      </w:r>
    </w:p>
  </w:footnote>
  <w:footnote w:id="45">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不包括</w:t>
      </w:r>
      <w:r>
        <w:rPr>
          <w:rStyle w:val="shorttext"/>
          <w:rFonts w:hint="eastAsia"/>
        </w:rPr>
        <w:t>2015</w:t>
      </w:r>
      <w:r>
        <w:rPr>
          <w:rStyle w:val="shorttext"/>
          <w:rFonts w:hint="eastAsia"/>
        </w:rPr>
        <w:t>年</w:t>
      </w:r>
      <w:r>
        <w:rPr>
          <w:rStyle w:val="shorttext"/>
          <w:rFonts w:hint="eastAsia"/>
        </w:rPr>
        <w:t>10</w:t>
      </w:r>
      <w:r>
        <w:rPr>
          <w:rStyle w:val="shorttext"/>
          <w:rFonts w:hint="eastAsia"/>
        </w:rPr>
        <w:t>月</w:t>
      </w:r>
      <w:r>
        <w:rPr>
          <w:rStyle w:val="shorttext"/>
          <w:rFonts w:hint="eastAsia"/>
        </w:rPr>
        <w:t>9</w:t>
      </w:r>
      <w:r>
        <w:rPr>
          <w:rStyle w:val="shorttext"/>
          <w:rFonts w:hint="eastAsia"/>
        </w:rPr>
        <w:t>日开始这一时期，当时有</w:t>
      </w:r>
      <w:r>
        <w:rPr>
          <w:rStyle w:val="shorttext"/>
          <w:rFonts w:hint="eastAsia"/>
        </w:rPr>
        <w:t>14</w:t>
      </w:r>
      <w:r>
        <w:rPr>
          <w:rStyle w:val="shorttext"/>
          <w:rFonts w:hint="eastAsia"/>
        </w:rPr>
        <w:t>名示威者死亡，数百人受伤。</w:t>
      </w:r>
    </w:p>
  </w:footnote>
  <w:footnote w:id="46">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r>
        <w:rPr>
          <w:rFonts w:hint="eastAsia"/>
        </w:rPr>
        <w:t>国际法院咨询意见第</w:t>
      </w:r>
      <w:r>
        <w:rPr>
          <w:rFonts w:hint="eastAsia"/>
        </w:rPr>
        <w:t>134</w:t>
      </w:r>
      <w:r>
        <w:rPr>
          <w:rFonts w:hint="eastAsia"/>
        </w:rPr>
        <w:t>段。公民权利和政治权利也受到影响。本报告期内，人权高专办继续监测巴勒斯坦立法委员会代表东耶路撒冷的四名民选议员被禁止进入所在选区，进而侵犯其政治参与权的案件</w:t>
      </w:r>
      <w:r>
        <w:t>(</w:t>
      </w:r>
      <w:r>
        <w:t>见</w:t>
      </w:r>
      <w:r>
        <w:t>A/67/372</w:t>
      </w:r>
      <w:r>
        <w:rPr>
          <w:rFonts w:hint="eastAsia"/>
        </w:rPr>
        <w:t>，</w:t>
      </w:r>
      <w:r>
        <w:t>第</w:t>
      </w:r>
      <w:r>
        <w:rPr>
          <w:rFonts w:hint="eastAsia"/>
        </w:rPr>
        <w:t>39-40</w:t>
      </w:r>
      <w:r>
        <w:t>段</w:t>
      </w:r>
      <w:r>
        <w:t>)</w:t>
      </w:r>
      <w:r>
        <w:rPr>
          <w:rFonts w:hint="eastAsia"/>
        </w:rPr>
        <w:t>。</w:t>
      </w:r>
    </w:p>
  </w:footnote>
  <w:footnote w:id="47">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rPr>
          <w:rFonts w:hint="eastAsia"/>
        </w:rPr>
        <w:tab/>
      </w:r>
      <w:r w:rsidRPr="0013152B">
        <w:rPr>
          <w:rStyle w:val="FootnoteReference"/>
        </w:rPr>
        <w:footnoteRef/>
      </w:r>
      <w:r w:rsidRPr="000364C7">
        <w:tab/>
      </w:r>
      <w:r w:rsidRPr="000364C7">
        <w:t>人道主义事务协调厅</w:t>
      </w:r>
      <w:r w:rsidRPr="000364C7">
        <w:rPr>
          <w:rFonts w:hint="eastAsia"/>
        </w:rPr>
        <w:t>，“</w:t>
      </w:r>
      <w:r w:rsidRPr="000364C7">
        <w:rPr>
          <w:rStyle w:val="shorttext"/>
          <w:rFonts w:hint="eastAsia"/>
        </w:rPr>
        <w:t>2016</w:t>
      </w:r>
      <w:r w:rsidRPr="000364C7">
        <w:rPr>
          <w:rStyle w:val="shorttext"/>
          <w:rFonts w:hint="eastAsia"/>
        </w:rPr>
        <w:t>年人道主义需求概览：巴勒斯坦被占领土”，附件一，</w:t>
      </w:r>
      <w:r w:rsidRPr="000364C7">
        <w:t>第</w:t>
      </w:r>
      <w:r w:rsidRPr="000364C7">
        <w:rPr>
          <w:rFonts w:hint="eastAsia"/>
        </w:rPr>
        <w:t>27</w:t>
      </w:r>
      <w:r w:rsidRPr="000364C7">
        <w:t>页。见</w:t>
      </w:r>
      <w:hyperlink r:id="rId7" w:history="1">
        <w:r w:rsidRPr="000364C7">
          <w:rPr>
            <w:rStyle w:val="Hyperlink"/>
          </w:rPr>
          <w:t>www.ochaopt.org/documents/hno_december29_final.pdf</w:t>
        </w:r>
      </w:hyperlink>
      <w:r w:rsidRPr="000364C7">
        <w:rPr>
          <w:rFonts w:hint="eastAsia"/>
        </w:rPr>
        <w:t>。</w:t>
      </w:r>
    </w:p>
  </w:footnote>
  <w:footnote w:id="48">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rPr>
          <w:rFonts w:hint="eastAsia"/>
        </w:rPr>
        <w:tab/>
      </w:r>
      <w:r w:rsidRPr="0013152B">
        <w:rPr>
          <w:rStyle w:val="FootnoteReference"/>
        </w:rPr>
        <w:footnoteRef/>
      </w:r>
      <w:r>
        <w:tab/>
      </w:r>
      <w:r>
        <w:t>同上</w:t>
      </w:r>
      <w:r>
        <w:rPr>
          <w:rFonts w:hint="eastAsia"/>
        </w:rPr>
        <w:t>。</w:t>
      </w:r>
    </w:p>
  </w:footnote>
  <w:footnote w:id="49">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联合国教育、科学及文化组织，“加沙高等教育机构的快速评估：数据分析报告”，</w:t>
      </w:r>
      <w:r>
        <w:rPr>
          <w:rStyle w:val="shorttext"/>
          <w:rFonts w:hint="eastAsia"/>
        </w:rPr>
        <w:t>2015</w:t>
      </w:r>
      <w:r>
        <w:rPr>
          <w:rStyle w:val="shorttext"/>
          <w:rFonts w:hint="eastAsia"/>
        </w:rPr>
        <w:t>年</w:t>
      </w:r>
      <w:r>
        <w:rPr>
          <w:rStyle w:val="shorttext"/>
          <w:rFonts w:hint="eastAsia"/>
        </w:rPr>
        <w:t>1</w:t>
      </w:r>
      <w:r>
        <w:rPr>
          <w:rStyle w:val="shorttext"/>
          <w:rFonts w:hint="eastAsia"/>
        </w:rPr>
        <w:t>月。</w:t>
      </w:r>
    </w:p>
  </w:footnote>
  <w:footnote w:id="50">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210C9F">
        <w:t>Gisha</w:t>
      </w:r>
      <w:r>
        <w:rPr>
          <w:rFonts w:hint="eastAsia"/>
        </w:rPr>
        <w:t>，“学生在</w:t>
      </w:r>
      <w:r>
        <w:rPr>
          <w:rStyle w:val="shorttext"/>
          <w:rFonts w:hint="eastAsia"/>
        </w:rPr>
        <w:t>加沙与西岸</w:t>
      </w:r>
      <w:r>
        <w:rPr>
          <w:rStyle w:val="atn"/>
          <w:rFonts w:hint="eastAsia"/>
        </w:rPr>
        <w:t>101</w:t>
      </w:r>
      <w:r>
        <w:rPr>
          <w:rStyle w:val="atn"/>
          <w:rFonts w:hint="eastAsia"/>
        </w:rPr>
        <w:t>之间的往来”</w:t>
      </w:r>
      <w:r>
        <w:rPr>
          <w:rStyle w:val="shorttext"/>
          <w:rFonts w:hint="eastAsia"/>
        </w:rPr>
        <w:t>，</w:t>
      </w:r>
      <w:r>
        <w:rPr>
          <w:rStyle w:val="shorttext"/>
          <w:rFonts w:hint="eastAsia"/>
        </w:rPr>
        <w:t>2012</w:t>
      </w:r>
      <w:r>
        <w:rPr>
          <w:rStyle w:val="shorttext"/>
          <w:rFonts w:hint="eastAsia"/>
        </w:rPr>
        <w:t>年</w:t>
      </w:r>
      <w:r>
        <w:rPr>
          <w:rStyle w:val="shorttext"/>
          <w:rFonts w:hint="eastAsia"/>
        </w:rPr>
        <w:t>9</w:t>
      </w:r>
      <w:r>
        <w:rPr>
          <w:rStyle w:val="shorttext"/>
          <w:rFonts w:hint="eastAsia"/>
        </w:rPr>
        <w:t>月。</w:t>
      </w:r>
    </w:p>
  </w:footnote>
  <w:footnote w:id="51">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以色列军方认为，</w:t>
      </w:r>
      <w:r>
        <w:rPr>
          <w:rFonts w:hint="eastAsia"/>
        </w:rPr>
        <w:t>16</w:t>
      </w:r>
      <w:r>
        <w:rPr>
          <w:rFonts w:hint="eastAsia"/>
        </w:rPr>
        <w:t>至</w:t>
      </w:r>
      <w:r>
        <w:rPr>
          <w:rFonts w:hint="eastAsia"/>
        </w:rPr>
        <w:t>35</w:t>
      </w:r>
      <w:r>
        <w:rPr>
          <w:rFonts w:hint="eastAsia"/>
        </w:rPr>
        <w:t>岁年龄组，尤其是这一年龄组的学生，</w:t>
      </w:r>
      <w:r>
        <w:rPr>
          <w:rStyle w:val="atn"/>
          <w:rFonts w:hint="eastAsia"/>
        </w:rPr>
        <w:t>“</w:t>
      </w:r>
      <w:r>
        <w:rPr>
          <w:rFonts w:hint="eastAsia"/>
        </w:rPr>
        <w:t>风险级别</w:t>
      </w:r>
      <w:r>
        <w:rPr>
          <w:rStyle w:val="atn"/>
          <w:rFonts w:hint="eastAsia"/>
        </w:rPr>
        <w:t>”高，构成普遍</w:t>
      </w:r>
      <w:r>
        <w:rPr>
          <w:rFonts w:hint="eastAsia"/>
        </w:rPr>
        <w:t>威胁。</w:t>
      </w:r>
      <w:r>
        <w:rPr>
          <w:rStyle w:val="hps"/>
          <w:rFonts w:hint="eastAsia"/>
        </w:rPr>
        <w:t>Gisha</w:t>
      </w:r>
      <w:r>
        <w:rPr>
          <w:rFonts w:hint="eastAsia"/>
        </w:rPr>
        <w:t>，“法制框架：高等教育—国际法和以色列法律下的</w:t>
      </w:r>
      <w:r>
        <w:rPr>
          <w:rStyle w:val="atn"/>
          <w:rFonts w:hint="eastAsia"/>
        </w:rPr>
        <w:t>权利和义务”</w:t>
      </w:r>
      <w:r>
        <w:rPr>
          <w:rFonts w:hint="eastAsia"/>
        </w:rPr>
        <w:t>，</w:t>
      </w:r>
      <w:r>
        <w:rPr>
          <w:rFonts w:hint="eastAsia"/>
        </w:rPr>
        <w:t>2010</w:t>
      </w:r>
      <w:r>
        <w:rPr>
          <w:rFonts w:hint="eastAsia"/>
        </w:rPr>
        <w:t>年</w:t>
      </w:r>
      <w:r>
        <w:rPr>
          <w:rFonts w:hint="eastAsia"/>
        </w:rPr>
        <w:t>5</w:t>
      </w:r>
      <w:r>
        <w:rPr>
          <w:rFonts w:hint="eastAsia"/>
        </w:rPr>
        <w:t>月。</w:t>
      </w:r>
    </w:p>
  </w:footnote>
  <w:footnote w:id="52">
    <w:p w:rsidR="0018464E" w:rsidRPr="00164630"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164630">
        <w:t>Gisha</w:t>
      </w:r>
      <w:r>
        <w:rPr>
          <w:rFonts w:hint="eastAsia"/>
        </w:rPr>
        <w:t>，“以色列不允许加沙学生到西岸上学，</w:t>
      </w:r>
      <w:r>
        <w:t>2015</w:t>
      </w:r>
      <w:r>
        <w:rPr>
          <w:rFonts w:hint="eastAsia"/>
        </w:rPr>
        <w:t>年</w:t>
      </w:r>
      <w:r>
        <w:rPr>
          <w:rFonts w:hint="eastAsia"/>
        </w:rPr>
        <w:t>2</w:t>
      </w:r>
      <w:r>
        <w:rPr>
          <w:rFonts w:hint="eastAsia"/>
        </w:rPr>
        <w:t>月。</w:t>
      </w:r>
    </w:p>
  </w:footnote>
  <w:footnote w:id="5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w:t>
      </w:r>
      <w:r>
        <w:t>37</w:t>
      </w:r>
      <w:r>
        <w:rPr>
          <w:rFonts w:hint="eastAsia"/>
        </w:rPr>
        <w:t>个孤儿呆在家里”，</w:t>
      </w:r>
      <w:r>
        <w:t>2014</w:t>
      </w:r>
      <w:r>
        <w:rPr>
          <w:rFonts w:hint="eastAsia"/>
        </w:rPr>
        <w:t>年</w:t>
      </w:r>
      <w:r>
        <w:rPr>
          <w:rFonts w:hint="eastAsia"/>
        </w:rPr>
        <w:t>12</w:t>
      </w:r>
      <w:r>
        <w:rPr>
          <w:rFonts w:hint="eastAsia"/>
        </w:rPr>
        <w:t>月。</w:t>
      </w:r>
    </w:p>
  </w:footnote>
  <w:footnote w:id="5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r>
        <w:rPr>
          <w:rStyle w:val="shorttext"/>
          <w:rFonts w:hint="eastAsia"/>
        </w:rPr>
        <w:t>加沙地带与西岸隔离对高等教育的影响”，</w:t>
      </w:r>
      <w:r>
        <w:rPr>
          <w:rStyle w:val="shorttext"/>
          <w:rFonts w:hint="eastAsia"/>
        </w:rPr>
        <w:t>2010</w:t>
      </w:r>
      <w:r>
        <w:rPr>
          <w:rStyle w:val="shorttext"/>
          <w:rFonts w:hint="eastAsia"/>
        </w:rPr>
        <w:t>年</w:t>
      </w:r>
      <w:r>
        <w:rPr>
          <w:rStyle w:val="shorttext"/>
          <w:rFonts w:hint="eastAsia"/>
        </w:rPr>
        <w:t>5</w:t>
      </w:r>
      <w:r>
        <w:rPr>
          <w:rStyle w:val="shorttext"/>
          <w:rFonts w:hint="eastAsia"/>
        </w:rPr>
        <w:t>月。</w:t>
      </w:r>
    </w:p>
  </w:footnote>
  <w:footnote w:id="55">
    <w:p w:rsidR="0018464E" w:rsidRPr="0015460D"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395618">
        <w:rPr>
          <w:rStyle w:val="FootnoteReference"/>
        </w:rPr>
        <w:footnoteRef/>
      </w:r>
      <w:r w:rsidRPr="00395618">
        <w:tab/>
        <w:t>COGA</w:t>
      </w:r>
      <w:r w:rsidRPr="00431C10">
        <w:t>T</w:t>
      </w:r>
      <w:r>
        <w:rPr>
          <w:rFonts w:hint="eastAsia"/>
        </w:rPr>
        <w:t>，“通行</w:t>
      </w:r>
      <w:r>
        <w:rPr>
          <w:rStyle w:val="shorttext"/>
          <w:rFonts w:hint="eastAsia"/>
        </w:rPr>
        <w:t>证现状”，</w:t>
      </w:r>
      <w:r>
        <w:t>第</w:t>
      </w:r>
      <w:r>
        <w:rPr>
          <w:rFonts w:hint="eastAsia"/>
        </w:rPr>
        <w:t>21</w:t>
      </w:r>
      <w:r>
        <w:t>页。</w:t>
      </w:r>
    </w:p>
  </w:footnote>
  <w:footnote w:id="56">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医生促进人权协会，“分而治之：不平等与健康，</w:t>
      </w:r>
      <w:r>
        <w:rPr>
          <w:rStyle w:val="shorttext"/>
          <w:rFonts w:hint="eastAsia"/>
        </w:rPr>
        <w:t>2015</w:t>
      </w:r>
      <w:r>
        <w:rPr>
          <w:rStyle w:val="shorttext"/>
          <w:rFonts w:hint="eastAsia"/>
        </w:rPr>
        <w:t>年</w:t>
      </w:r>
      <w:r>
        <w:rPr>
          <w:rStyle w:val="shorttext"/>
          <w:rFonts w:hint="eastAsia"/>
        </w:rPr>
        <w:t>1</w:t>
      </w:r>
      <w:r>
        <w:rPr>
          <w:rStyle w:val="shorttext"/>
          <w:rFonts w:hint="eastAsia"/>
        </w:rPr>
        <w:t>月，第</w:t>
      </w:r>
      <w:r>
        <w:rPr>
          <w:rStyle w:val="shorttext"/>
          <w:rFonts w:hint="eastAsia"/>
        </w:rPr>
        <w:t>76</w:t>
      </w:r>
      <w:r>
        <w:rPr>
          <w:rStyle w:val="shorttext"/>
          <w:rFonts w:hint="eastAsia"/>
        </w:rPr>
        <w:t>页。</w:t>
      </w:r>
    </w:p>
  </w:footnote>
  <w:footnote w:id="57">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世卫组织</w:t>
      </w:r>
      <w:r>
        <w:rPr>
          <w:rFonts w:hint="eastAsia"/>
        </w:rPr>
        <w:t>，</w:t>
      </w:r>
      <w:r>
        <w:rPr>
          <w:rStyle w:val="shorttext"/>
          <w:rFonts w:hint="eastAsia"/>
        </w:rPr>
        <w:t>2015</w:t>
      </w:r>
      <w:r>
        <w:rPr>
          <w:rStyle w:val="shorttext"/>
          <w:rFonts w:hint="eastAsia"/>
        </w:rPr>
        <w:t>年</w:t>
      </w:r>
      <w:r>
        <w:rPr>
          <w:rStyle w:val="shorttext"/>
          <w:rFonts w:hint="eastAsia"/>
        </w:rPr>
        <w:t>9</w:t>
      </w:r>
      <w:r>
        <w:rPr>
          <w:rStyle w:val="shorttext"/>
          <w:rFonts w:hint="eastAsia"/>
        </w:rPr>
        <w:t>月月报，</w:t>
      </w:r>
      <w:r>
        <w:t>可查阅</w:t>
      </w:r>
      <w:hyperlink r:id="rId8" w:history="1">
        <w:r w:rsidRPr="00C25BF7">
          <w:rPr>
            <w:rStyle w:val="Hyperlink"/>
          </w:rPr>
          <w:t>www.emro.who.int</w:t>
        </w:r>
      </w:hyperlink>
      <w:r>
        <w:rPr>
          <w:rFonts w:hint="eastAsia"/>
        </w:rPr>
        <w:t>。</w:t>
      </w:r>
    </w:p>
  </w:footnote>
  <w:footnote w:id="58">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p>
  </w:footnote>
  <w:footnote w:id="59">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世卫组织</w:t>
      </w:r>
      <w:r>
        <w:rPr>
          <w:rFonts w:hint="eastAsia"/>
        </w:rPr>
        <w:t>，“</w:t>
      </w:r>
      <w:r>
        <w:rPr>
          <w:rStyle w:val="shorttext"/>
          <w:rFonts w:hint="eastAsia"/>
        </w:rPr>
        <w:t>巴勒斯坦被占领土健康状况实地评估报告”，</w:t>
      </w:r>
      <w:r>
        <w:rPr>
          <w:rStyle w:val="shorttext"/>
          <w:rFonts w:hint="eastAsia"/>
        </w:rPr>
        <w:t>2015</w:t>
      </w:r>
      <w:r>
        <w:rPr>
          <w:rStyle w:val="shorttext"/>
          <w:rFonts w:hint="eastAsia"/>
        </w:rPr>
        <w:t>年</w:t>
      </w:r>
      <w:r>
        <w:rPr>
          <w:rStyle w:val="shorttext"/>
          <w:rFonts w:hint="eastAsia"/>
        </w:rPr>
        <w:t>4</w:t>
      </w:r>
      <w:r>
        <w:rPr>
          <w:rStyle w:val="shorttext"/>
          <w:rFonts w:hint="eastAsia"/>
        </w:rPr>
        <w:t>月。</w:t>
      </w:r>
    </w:p>
  </w:footnote>
  <w:footnote w:id="60">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世卫组织</w:t>
      </w:r>
      <w:r>
        <w:rPr>
          <w:rFonts w:hint="eastAsia"/>
        </w:rPr>
        <w:t>，</w:t>
      </w:r>
      <w:r>
        <w:rPr>
          <w:rStyle w:val="shorttext"/>
          <w:rFonts w:hint="eastAsia"/>
        </w:rPr>
        <w:t>2014</w:t>
      </w:r>
      <w:r>
        <w:rPr>
          <w:rStyle w:val="shorttext"/>
          <w:rFonts w:hint="eastAsia"/>
        </w:rPr>
        <w:t>年</w:t>
      </w:r>
      <w:r>
        <w:rPr>
          <w:rStyle w:val="shorttext"/>
          <w:rFonts w:hint="eastAsia"/>
        </w:rPr>
        <w:t>11</w:t>
      </w:r>
      <w:r>
        <w:rPr>
          <w:rStyle w:val="shorttext"/>
          <w:rFonts w:hint="eastAsia"/>
        </w:rPr>
        <w:t>月至</w:t>
      </w:r>
      <w:r>
        <w:rPr>
          <w:rStyle w:val="shorttext"/>
          <w:rFonts w:hint="eastAsia"/>
        </w:rPr>
        <w:t>2015</w:t>
      </w:r>
      <w:r>
        <w:rPr>
          <w:rStyle w:val="shorttext"/>
          <w:rFonts w:hint="eastAsia"/>
        </w:rPr>
        <w:t>年</w:t>
      </w:r>
      <w:r>
        <w:rPr>
          <w:rStyle w:val="shorttext"/>
          <w:rFonts w:hint="eastAsia"/>
        </w:rPr>
        <w:t>9</w:t>
      </w:r>
      <w:r>
        <w:rPr>
          <w:rStyle w:val="shorttext"/>
          <w:rFonts w:hint="eastAsia"/>
        </w:rPr>
        <w:t>月各月月报。</w:t>
      </w:r>
    </w:p>
  </w:footnote>
  <w:footnote w:id="61">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rPr>
          <w:rFonts w:hint="eastAsia"/>
        </w:rPr>
        <w:tab/>
      </w:r>
      <w:r>
        <w:rPr>
          <w:rStyle w:val="shorttext"/>
          <w:rFonts w:hint="eastAsia"/>
        </w:rPr>
        <w:t>2015</w:t>
      </w:r>
      <w:r>
        <w:rPr>
          <w:rStyle w:val="shorttext"/>
          <w:rFonts w:hint="eastAsia"/>
        </w:rPr>
        <w:t>年</w:t>
      </w:r>
      <w:r>
        <w:rPr>
          <w:rStyle w:val="shorttext"/>
          <w:rFonts w:hint="eastAsia"/>
        </w:rPr>
        <w:t>10</w:t>
      </w:r>
      <w:r>
        <w:rPr>
          <w:rStyle w:val="shorttext"/>
          <w:rFonts w:hint="eastAsia"/>
        </w:rPr>
        <w:t>月</w:t>
      </w:r>
      <w:r>
        <w:rPr>
          <w:rStyle w:val="shorttext"/>
          <w:rFonts w:hint="eastAsia"/>
        </w:rPr>
        <w:t>20</w:t>
      </w:r>
      <w:r>
        <w:rPr>
          <w:rStyle w:val="shorttext"/>
          <w:rFonts w:hint="eastAsia"/>
        </w:rPr>
        <w:t>日</w:t>
      </w:r>
      <w:r>
        <w:t xml:space="preserve">Augusta </w:t>
      </w:r>
      <w:r w:rsidRPr="00210C9F">
        <w:t>Victoria</w:t>
      </w:r>
      <w:r>
        <w:rPr>
          <w:rFonts w:hint="eastAsia"/>
        </w:rPr>
        <w:t>医院代表</w:t>
      </w:r>
      <w:r>
        <w:rPr>
          <w:rStyle w:val="shorttext"/>
          <w:rFonts w:hint="eastAsia"/>
        </w:rPr>
        <w:t>东耶路撒冷医院网络发表的声明。</w:t>
      </w:r>
    </w:p>
  </w:footnote>
  <w:footnote w:id="62">
    <w:p w:rsidR="0018464E" w:rsidRPr="00C0632B"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rPr>
          <w:rFonts w:hint="eastAsia"/>
        </w:rPr>
        <w:tab/>
      </w:r>
      <w:r>
        <w:rPr>
          <w:rStyle w:val="shorttext"/>
          <w:rFonts w:hint="eastAsia"/>
        </w:rPr>
        <w:t>医生促进人权协会，“分而治之”，</w:t>
      </w:r>
      <w:r>
        <w:t>第</w:t>
      </w:r>
      <w:r>
        <w:rPr>
          <w:rFonts w:hint="eastAsia"/>
        </w:rPr>
        <w:t>76</w:t>
      </w:r>
      <w:r>
        <w:t>页。</w:t>
      </w:r>
    </w:p>
  </w:footnote>
  <w:footnote w:id="6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t>人道主义活动月报</w:t>
      </w:r>
      <w:r>
        <w:rPr>
          <w:rFonts w:hint="eastAsia"/>
        </w:rPr>
        <w:t>”，</w:t>
      </w:r>
      <w:r>
        <w:t>2014</w:t>
      </w:r>
      <w:r>
        <w:rPr>
          <w:rFonts w:hint="eastAsia"/>
        </w:rPr>
        <w:t>年</w:t>
      </w:r>
      <w:r>
        <w:rPr>
          <w:rFonts w:hint="eastAsia"/>
        </w:rPr>
        <w:t>2</w:t>
      </w:r>
      <w:r>
        <w:rPr>
          <w:rFonts w:hint="eastAsia"/>
        </w:rPr>
        <w:t>月，</w:t>
      </w:r>
      <w:r>
        <w:t>第</w:t>
      </w:r>
      <w:r>
        <w:rPr>
          <w:rFonts w:hint="eastAsia"/>
        </w:rPr>
        <w:t>9</w:t>
      </w:r>
      <w:r>
        <w:t>页。</w:t>
      </w:r>
    </w:p>
  </w:footnote>
  <w:footnote w:id="6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世界银行，</w:t>
      </w:r>
      <w:r>
        <w:rPr>
          <w:rStyle w:val="shorttext"/>
          <w:rFonts w:hint="eastAsia"/>
        </w:rPr>
        <w:t>“西岸和加沙投资环境评估：支离破碎和不确定”，</w:t>
      </w:r>
      <w:r>
        <w:rPr>
          <w:rStyle w:val="shorttext"/>
          <w:rFonts w:hint="eastAsia"/>
        </w:rPr>
        <w:t>2014</w:t>
      </w:r>
      <w:r>
        <w:rPr>
          <w:rStyle w:val="shorttext"/>
          <w:rFonts w:hint="eastAsia"/>
        </w:rPr>
        <w:t>年，</w:t>
      </w:r>
      <w:r>
        <w:t>第</w:t>
      </w:r>
      <w:r>
        <w:t>32-39</w:t>
      </w:r>
      <w:r>
        <w:t>页。</w:t>
      </w:r>
    </w:p>
  </w:footnote>
  <w:footnote w:id="65">
    <w:p w:rsidR="0018464E" w:rsidRDefault="0018464E" w:rsidP="009A6913">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210C9F">
        <w:t>Gisha</w:t>
      </w:r>
      <w:r w:rsidR="009A6913">
        <w:rPr>
          <w:rFonts w:hint="eastAsia"/>
        </w:rPr>
        <w:t>，“封锁后第一次有一车黄瓜运出”</w:t>
      </w:r>
      <w:r w:rsidR="009A6913">
        <w:rPr>
          <w:rFonts w:hint="eastAsia"/>
        </w:rPr>
        <w:t>(</w:t>
      </w:r>
      <w:r>
        <w:rPr>
          <w:rFonts w:hint="eastAsia"/>
        </w:rPr>
        <w:t>2014</w:t>
      </w:r>
      <w:r>
        <w:rPr>
          <w:rFonts w:hint="eastAsia"/>
        </w:rPr>
        <w:t>年</w:t>
      </w:r>
      <w:r>
        <w:rPr>
          <w:rFonts w:hint="eastAsia"/>
        </w:rPr>
        <w:t>11</w:t>
      </w:r>
      <w:r>
        <w:rPr>
          <w:rFonts w:hint="eastAsia"/>
        </w:rPr>
        <w:t>月</w:t>
      </w:r>
      <w:r>
        <w:rPr>
          <w:rFonts w:hint="eastAsia"/>
        </w:rPr>
        <w:t>6</w:t>
      </w:r>
      <w:r>
        <w:rPr>
          <w:rFonts w:hint="eastAsia"/>
        </w:rPr>
        <w:t>日</w:t>
      </w:r>
      <w:r w:rsidR="009A6913">
        <w:rPr>
          <w:rFonts w:hint="eastAsia"/>
        </w:rPr>
        <w:t>)</w:t>
      </w:r>
      <w:r>
        <w:rPr>
          <w:rFonts w:hint="eastAsia"/>
        </w:rPr>
        <w:t>；“以色列将允许加沙在以色列销售铁器、家具和纺织产品</w:t>
      </w:r>
      <w:r>
        <w:rPr>
          <w:rStyle w:val="atn"/>
          <w:rFonts w:hint="eastAsia"/>
        </w:rPr>
        <w:t>”</w:t>
      </w:r>
      <w:r>
        <w:rPr>
          <w:rFonts w:hint="eastAsia"/>
        </w:rPr>
        <w:t>，</w:t>
      </w:r>
      <w:r>
        <w:rPr>
          <w:rFonts w:hint="eastAsia"/>
        </w:rPr>
        <w:t>2015</w:t>
      </w:r>
      <w:r>
        <w:rPr>
          <w:rFonts w:hint="eastAsia"/>
        </w:rPr>
        <w:t>年</w:t>
      </w:r>
      <w:r>
        <w:rPr>
          <w:rFonts w:hint="eastAsia"/>
        </w:rPr>
        <w:t>9</w:t>
      </w:r>
      <w:r>
        <w:rPr>
          <w:rFonts w:hint="eastAsia"/>
        </w:rPr>
        <w:t>月</w:t>
      </w:r>
      <w:r>
        <w:rPr>
          <w:rFonts w:hint="eastAsia"/>
        </w:rPr>
        <w:t>21</w:t>
      </w:r>
      <w:r>
        <w:rPr>
          <w:rFonts w:hint="eastAsia"/>
        </w:rPr>
        <w:t>日。</w:t>
      </w:r>
      <w:hyperlink w:history="1">
        <w:r w:rsidR="00995FBA">
          <w:rPr>
            <w:rFonts w:hint="eastAsia"/>
            <w:b/>
            <w:bCs/>
          </w:rPr>
          <w:t>错误</w:t>
        </w:r>
        <w:r w:rsidR="00995FBA">
          <w:rPr>
            <w:rFonts w:hint="eastAsia"/>
            <w:b/>
            <w:bCs/>
          </w:rPr>
          <w:t>!</w:t>
        </w:r>
        <w:r w:rsidR="00995FBA">
          <w:rPr>
            <w:rFonts w:hint="eastAsia"/>
            <w:b/>
            <w:bCs/>
          </w:rPr>
          <w:t>超链接引用无效。</w:t>
        </w:r>
      </w:hyperlink>
    </w:p>
  </w:footnote>
  <w:footnote w:id="66">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，加沙过境点在线数据库。</w:t>
      </w:r>
    </w:p>
  </w:footnote>
  <w:footnote w:id="67">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世界银行，“特设联络委员会经济监测报告”，</w:t>
      </w:r>
      <w:r>
        <w:rPr>
          <w:rStyle w:val="shorttext"/>
          <w:rFonts w:hint="eastAsia"/>
        </w:rPr>
        <w:t>2015</w:t>
      </w:r>
      <w:r>
        <w:rPr>
          <w:rStyle w:val="shorttext"/>
          <w:rFonts w:hint="eastAsia"/>
        </w:rPr>
        <w:t>年</w:t>
      </w:r>
      <w:r>
        <w:rPr>
          <w:rStyle w:val="shorttext"/>
          <w:rFonts w:hint="eastAsia"/>
        </w:rPr>
        <w:t>9</w:t>
      </w:r>
      <w:r>
        <w:rPr>
          <w:rStyle w:val="shorttext"/>
          <w:rFonts w:hint="eastAsia"/>
        </w:rPr>
        <w:t>月</w:t>
      </w:r>
      <w:r>
        <w:rPr>
          <w:rStyle w:val="shorttext"/>
          <w:rFonts w:hint="eastAsia"/>
        </w:rPr>
        <w:t>30</w:t>
      </w:r>
      <w:r>
        <w:rPr>
          <w:rStyle w:val="shorttext"/>
          <w:rFonts w:hint="eastAsia"/>
        </w:rPr>
        <w:t>日。</w:t>
      </w:r>
    </w:p>
  </w:footnote>
  <w:footnote w:id="68">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据加沙巴勒斯坦工业联合会，</w:t>
      </w:r>
      <w:r w:rsidR="0073491F">
        <w:t>9</w:t>
      </w:r>
      <w:r w:rsidR="0073491F">
        <w:rPr>
          <w:rFonts w:hint="eastAsia"/>
        </w:rPr>
        <w:t>0%</w:t>
      </w:r>
      <w:r>
        <w:rPr>
          <w:rFonts w:hint="eastAsia"/>
        </w:rPr>
        <w:t>金属材料被列为“两用物品”，禁止进入以色列，影响到</w:t>
      </w:r>
      <w:r>
        <w:rPr>
          <w:rFonts w:hint="eastAsia"/>
        </w:rPr>
        <w:t>1</w:t>
      </w:r>
      <w:r w:rsidR="0073491F">
        <w:rPr>
          <w:rFonts w:hint="eastAsia"/>
        </w:rPr>
        <w:t>,</w:t>
      </w:r>
      <w:r>
        <w:rPr>
          <w:rFonts w:hint="eastAsia"/>
        </w:rPr>
        <w:t>200</w:t>
      </w:r>
      <w:r>
        <w:rPr>
          <w:rFonts w:hint="eastAsia"/>
        </w:rPr>
        <w:t>家工厂。另见</w:t>
      </w:r>
      <w:r w:rsidRPr="0073491F">
        <w:t>Al-Monitor</w:t>
      </w:r>
      <w:r w:rsidRPr="0073491F">
        <w:rPr>
          <w:rFonts w:hint="eastAsia"/>
        </w:rPr>
        <w:t>，“加</w:t>
      </w:r>
      <w:r>
        <w:rPr>
          <w:rFonts w:hint="eastAsia"/>
        </w:rPr>
        <w:t>沙人捡食品、可回收物品</w:t>
      </w:r>
      <w:r>
        <w:rPr>
          <w:rStyle w:val="atn"/>
          <w:rFonts w:hint="eastAsia"/>
        </w:rPr>
        <w:t>”</w:t>
      </w:r>
      <w:r>
        <w:rPr>
          <w:rFonts w:hint="eastAsia"/>
        </w:rPr>
        <w:t>，</w:t>
      </w:r>
      <w:r>
        <w:rPr>
          <w:rFonts w:hint="eastAsia"/>
        </w:rPr>
        <w:t>2015</w:t>
      </w:r>
      <w:r>
        <w:rPr>
          <w:rFonts w:hint="eastAsia"/>
        </w:rPr>
        <w:t>年</w:t>
      </w:r>
      <w:r>
        <w:rPr>
          <w:rFonts w:hint="eastAsia"/>
        </w:rPr>
        <w:t>5</w:t>
      </w:r>
      <w:r>
        <w:rPr>
          <w:rFonts w:hint="eastAsia"/>
        </w:rPr>
        <w:t>月</w:t>
      </w:r>
      <w:r>
        <w:rPr>
          <w:rFonts w:hint="eastAsia"/>
        </w:rPr>
        <w:t>13</w:t>
      </w:r>
      <w:r>
        <w:rPr>
          <w:rFonts w:hint="eastAsia"/>
        </w:rPr>
        <w:t>日。</w:t>
      </w:r>
    </w:p>
  </w:footnote>
  <w:footnote w:id="69">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联合国贸易和发展会</w:t>
      </w:r>
      <w:r w:rsidRPr="0073491F">
        <w:rPr>
          <w:rFonts w:hint="eastAsia"/>
        </w:rPr>
        <w:t>议，“</w:t>
      </w:r>
      <w:r w:rsidRPr="0073491F">
        <w:rPr>
          <w:rFonts w:hint="eastAsia"/>
        </w:rPr>
        <w:t>2013</w:t>
      </w:r>
      <w:r w:rsidRPr="0073491F">
        <w:rPr>
          <w:rFonts w:hint="eastAsia"/>
        </w:rPr>
        <w:t>年世界贸易组织贸易便利化协定：以色列对巴勒斯坦贸易的义务”，</w:t>
      </w:r>
      <w:r>
        <w:rPr>
          <w:rFonts w:hint="eastAsia"/>
        </w:rPr>
        <w:t>2015</w:t>
      </w:r>
      <w:r>
        <w:rPr>
          <w:rFonts w:hint="eastAsia"/>
        </w:rPr>
        <w:t>年，第</w:t>
      </w:r>
      <w:r>
        <w:rPr>
          <w:rFonts w:hint="eastAsia"/>
        </w:rPr>
        <w:t>7-10</w:t>
      </w:r>
      <w:r>
        <w:rPr>
          <w:rFonts w:hint="eastAsia"/>
        </w:rPr>
        <w:t>页。</w:t>
      </w:r>
    </w:p>
  </w:footnote>
  <w:footnote w:id="70">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Gisha</w:t>
      </w:r>
      <w:r>
        <w:rPr>
          <w:rFonts w:hint="eastAsia"/>
        </w:rPr>
        <w:t>，“</w:t>
      </w:r>
      <w:r>
        <w:t>C</w:t>
      </w:r>
      <w:r>
        <w:rPr>
          <w:rStyle w:val="shorttext"/>
          <w:rFonts w:hint="eastAsia"/>
        </w:rPr>
        <w:t>OGAT</w:t>
      </w:r>
      <w:r w:rsidR="0073491F">
        <w:rPr>
          <w:rStyle w:val="shorttext"/>
          <w:rFonts w:hint="eastAsia"/>
        </w:rPr>
        <w:t>决定限制木材进入加沙”</w:t>
      </w:r>
      <w:r w:rsidR="0073491F">
        <w:rPr>
          <w:rStyle w:val="shorttext"/>
          <w:rFonts w:hint="eastAsia"/>
        </w:rPr>
        <w:t>(</w:t>
      </w:r>
      <w:r>
        <w:rPr>
          <w:rStyle w:val="shorttext"/>
          <w:rFonts w:hint="eastAsia"/>
        </w:rPr>
        <w:t>2015</w:t>
      </w:r>
      <w:r>
        <w:rPr>
          <w:rStyle w:val="shorttext"/>
          <w:rFonts w:hint="eastAsia"/>
        </w:rPr>
        <w:t>年</w:t>
      </w:r>
      <w:r>
        <w:rPr>
          <w:rStyle w:val="shorttext"/>
          <w:rFonts w:hint="eastAsia"/>
        </w:rPr>
        <w:t>4</w:t>
      </w:r>
      <w:r>
        <w:rPr>
          <w:rStyle w:val="shorttext"/>
          <w:rFonts w:hint="eastAsia"/>
        </w:rPr>
        <w:t>月</w:t>
      </w:r>
      <w:r>
        <w:rPr>
          <w:rStyle w:val="shorttext"/>
          <w:rFonts w:hint="eastAsia"/>
        </w:rPr>
        <w:t>13</w:t>
      </w:r>
      <w:r w:rsidR="0073491F">
        <w:rPr>
          <w:rStyle w:val="shorttext"/>
          <w:rFonts w:hint="eastAsia"/>
        </w:rPr>
        <w:t>日</w:t>
      </w:r>
      <w:r w:rsidR="0073491F">
        <w:rPr>
          <w:rStyle w:val="shorttext"/>
          <w:rFonts w:hint="eastAsia"/>
        </w:rPr>
        <w:t>)</w:t>
      </w:r>
      <w:r>
        <w:rPr>
          <w:rStyle w:val="shorttext"/>
          <w:rFonts w:hint="eastAsia"/>
        </w:rPr>
        <w:t>。</w:t>
      </w:r>
    </w:p>
  </w:footnote>
  <w:footnote w:id="71">
    <w:p w:rsidR="0018464E" w:rsidRDefault="0018464E" w:rsidP="00C53DF0">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以色列国防部，关于禁止将某些物品带进加沙地带的命令，</w:t>
      </w:r>
      <w:r>
        <w:rPr>
          <w:rFonts w:hint="eastAsia"/>
        </w:rPr>
        <w:t>2015</w:t>
      </w:r>
      <w:r>
        <w:rPr>
          <w:rFonts w:hint="eastAsia"/>
        </w:rPr>
        <w:t>年</w:t>
      </w:r>
      <w:r>
        <w:rPr>
          <w:rFonts w:hint="eastAsia"/>
        </w:rPr>
        <w:t>8</w:t>
      </w:r>
      <w:r>
        <w:rPr>
          <w:rFonts w:hint="eastAsia"/>
        </w:rPr>
        <w:t>月</w:t>
      </w:r>
      <w:r>
        <w:rPr>
          <w:rFonts w:hint="eastAsia"/>
        </w:rPr>
        <w:t>3</w:t>
      </w:r>
      <w:r>
        <w:rPr>
          <w:rFonts w:hint="eastAsia"/>
        </w:rPr>
        <w:t>日。另见</w:t>
      </w:r>
      <w:r w:rsidR="00C53DF0">
        <w:br/>
      </w:r>
      <w:hyperlink r:id="rId9" w:history="1">
        <w:r w:rsidR="00C53DF0" w:rsidRPr="00A513AC">
          <w:rPr>
            <w:rStyle w:val="Hyperlink"/>
            <w:rFonts w:hint="eastAsia"/>
          </w:rPr>
          <w:t>http://gaza.ochaopt.org/2015/09/import-restrictions-impede-delivery-of-services-and-humanitarian-assistance</w:t>
        </w:r>
      </w:hyperlink>
      <w:r>
        <w:rPr>
          <w:rFonts w:hint="eastAsia"/>
        </w:rPr>
        <w:t>。</w:t>
      </w:r>
    </w:p>
  </w:footnote>
  <w:footnote w:id="72">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Gisha</w:t>
      </w:r>
      <w:r>
        <w:rPr>
          <w:rFonts w:hint="eastAsia"/>
        </w:rPr>
        <w:t>，“</w:t>
      </w:r>
      <w:r>
        <w:rPr>
          <w:rStyle w:val="shorttext"/>
          <w:rFonts w:hint="eastAsia"/>
        </w:rPr>
        <w:t>加沙的家具可以在以色列销售，可生产家具的木材却不能进入加沙”，</w:t>
      </w:r>
      <w:r>
        <w:rPr>
          <w:rStyle w:val="shorttext"/>
          <w:rFonts w:hint="eastAsia"/>
        </w:rPr>
        <w:t>2015</w:t>
      </w:r>
      <w:r>
        <w:rPr>
          <w:rStyle w:val="shorttext"/>
          <w:rFonts w:hint="eastAsia"/>
        </w:rPr>
        <w:t>年</w:t>
      </w:r>
      <w:r>
        <w:rPr>
          <w:rStyle w:val="shorttext"/>
          <w:rFonts w:hint="eastAsia"/>
        </w:rPr>
        <w:t>11</w:t>
      </w:r>
      <w:r>
        <w:rPr>
          <w:rStyle w:val="shorttext"/>
          <w:rFonts w:hint="eastAsia"/>
        </w:rPr>
        <w:t>月</w:t>
      </w:r>
      <w:r>
        <w:rPr>
          <w:rStyle w:val="shorttext"/>
          <w:rFonts w:hint="eastAsia"/>
        </w:rPr>
        <w:t>2</w:t>
      </w:r>
      <w:r>
        <w:rPr>
          <w:rStyle w:val="shorttext"/>
          <w:rFonts w:hint="eastAsia"/>
        </w:rPr>
        <w:t>日。</w:t>
      </w:r>
    </w:p>
  </w:footnote>
  <w:footnote w:id="7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hyperlink r:id="rId10" w:history="1">
        <w:r w:rsidRPr="00FE1825">
          <w:rPr>
            <w:rStyle w:val="Hyperlink"/>
          </w:rPr>
          <w:t>www.btselem.org/workers</w:t>
        </w:r>
      </w:hyperlink>
      <w:r>
        <w:rPr>
          <w:rStyle w:val="Hyperlink"/>
          <w:rFonts w:hint="eastAsia"/>
        </w:rPr>
        <w:t>。</w:t>
      </w:r>
    </w:p>
  </w:footnote>
  <w:footnote w:id="7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世界银行，“经济监测报告”，</w:t>
      </w:r>
      <w:r>
        <w:t>第</w:t>
      </w:r>
      <w:r>
        <w:rPr>
          <w:rFonts w:hint="eastAsia"/>
        </w:rPr>
        <w:t>4</w:t>
      </w:r>
      <w:r>
        <w:t>页。</w:t>
      </w:r>
    </w:p>
  </w:footnote>
  <w:footnote w:id="75">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p>
  </w:footnote>
  <w:footnote w:id="76">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210C9F">
        <w:t>COGAT</w:t>
      </w:r>
      <w:r>
        <w:rPr>
          <w:rFonts w:hint="eastAsia"/>
        </w:rPr>
        <w:t>，“通行证现状”，</w:t>
      </w:r>
      <w:r>
        <w:t>第</w:t>
      </w:r>
      <w:r>
        <w:rPr>
          <w:rFonts w:hint="eastAsia"/>
        </w:rPr>
        <w:t>21</w:t>
      </w:r>
      <w:r>
        <w:t>页。</w:t>
      </w:r>
    </w:p>
  </w:footnote>
  <w:footnote w:id="77">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Style w:val="shorttext"/>
          <w:rFonts w:hint="eastAsia"/>
        </w:rPr>
        <w:t>国际劳工局，“阿拉伯被占领土工人的状况”，</w:t>
      </w:r>
      <w:r>
        <w:rPr>
          <w:rStyle w:val="shorttext"/>
          <w:rFonts w:hint="eastAsia"/>
        </w:rPr>
        <w:t>2015</w:t>
      </w:r>
      <w:r>
        <w:rPr>
          <w:rStyle w:val="shorttext"/>
          <w:rFonts w:hint="eastAsia"/>
        </w:rPr>
        <w:t>年</w:t>
      </w:r>
      <w:r>
        <w:rPr>
          <w:rStyle w:val="shorttext"/>
          <w:rFonts w:hint="eastAsia"/>
        </w:rPr>
        <w:t>5</w:t>
      </w:r>
      <w:r>
        <w:rPr>
          <w:rStyle w:val="shorttext"/>
          <w:rFonts w:hint="eastAsia"/>
        </w:rPr>
        <w:t>月，</w:t>
      </w:r>
      <w:r>
        <w:t>第</w:t>
      </w:r>
      <w:r>
        <w:rPr>
          <w:rFonts w:hint="eastAsia"/>
        </w:rPr>
        <w:t>36</w:t>
      </w:r>
      <w:r>
        <w:t>段</w:t>
      </w:r>
      <w:r>
        <w:rPr>
          <w:rFonts w:hint="eastAsia"/>
        </w:rPr>
        <w:t>。</w:t>
      </w:r>
    </w:p>
  </w:footnote>
  <w:footnote w:id="78">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Natasha Roth</w:t>
      </w:r>
      <w:r>
        <w:rPr>
          <w:rFonts w:hint="eastAsia"/>
        </w:rPr>
        <w:t>，“</w:t>
      </w:r>
      <w:r>
        <w:rPr>
          <w:rStyle w:val="shorttext"/>
          <w:rFonts w:hint="eastAsia"/>
        </w:rPr>
        <w:t>以色列以集体</w:t>
      </w:r>
      <w:r>
        <w:rPr>
          <w:rStyle w:val="atn"/>
          <w:rFonts w:hint="eastAsia"/>
        </w:rPr>
        <w:t>惩罚</w:t>
      </w:r>
      <w:r>
        <w:rPr>
          <w:rStyle w:val="shorttext"/>
          <w:rFonts w:hint="eastAsia"/>
        </w:rPr>
        <w:t>回应孤立攻击</w:t>
      </w:r>
      <w:r>
        <w:rPr>
          <w:rStyle w:val="atn"/>
          <w:rFonts w:hint="eastAsia"/>
        </w:rPr>
        <w:t>“</w:t>
      </w:r>
      <w:r>
        <w:rPr>
          <w:rStyle w:val="shorttext"/>
          <w:rFonts w:hint="eastAsia"/>
        </w:rPr>
        <w:t>，</w:t>
      </w:r>
      <w:r>
        <w:rPr>
          <w:rStyle w:val="shorttext"/>
          <w:rFonts w:hint="eastAsia"/>
        </w:rPr>
        <w:t>+972</w:t>
      </w:r>
      <w:r>
        <w:rPr>
          <w:rStyle w:val="shorttext"/>
          <w:rFonts w:hint="eastAsia"/>
        </w:rPr>
        <w:t>杂志，</w:t>
      </w:r>
      <w:r>
        <w:rPr>
          <w:rStyle w:val="shorttext"/>
          <w:rFonts w:hint="eastAsia"/>
        </w:rPr>
        <w:t>2015</w:t>
      </w:r>
      <w:r>
        <w:rPr>
          <w:rStyle w:val="shorttext"/>
          <w:rFonts w:hint="eastAsia"/>
        </w:rPr>
        <w:t>年</w:t>
      </w:r>
      <w:r>
        <w:rPr>
          <w:rStyle w:val="shorttext"/>
          <w:rFonts w:hint="eastAsia"/>
        </w:rPr>
        <w:t>6</w:t>
      </w:r>
      <w:r>
        <w:rPr>
          <w:rStyle w:val="shorttext"/>
          <w:rFonts w:hint="eastAsia"/>
        </w:rPr>
        <w:t>月</w:t>
      </w:r>
      <w:r>
        <w:rPr>
          <w:rStyle w:val="shorttext"/>
          <w:rFonts w:hint="eastAsia"/>
        </w:rPr>
        <w:t>22</w:t>
      </w:r>
      <w:r>
        <w:rPr>
          <w:rStyle w:val="shorttext"/>
          <w:rFonts w:hint="eastAsia"/>
        </w:rPr>
        <w:t>日。</w:t>
      </w:r>
    </w:p>
  </w:footnote>
  <w:footnote w:id="79">
    <w:p w:rsidR="0018464E" w:rsidRDefault="0018464E" w:rsidP="009A6913">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Gisha</w:t>
      </w:r>
      <w:r>
        <w:rPr>
          <w:rFonts w:hint="eastAsia"/>
        </w:rPr>
        <w:t>，“</w:t>
      </w:r>
      <w:r>
        <w:rPr>
          <w:rStyle w:val="shorttext"/>
          <w:rFonts w:hint="eastAsia"/>
        </w:rPr>
        <w:t>调查显示：加沙</w:t>
      </w:r>
      <w:r>
        <w:rPr>
          <w:rStyle w:val="shorttext"/>
          <w:rFonts w:hint="eastAsia"/>
        </w:rPr>
        <w:t>31</w:t>
      </w:r>
      <w:r w:rsidR="009A6913">
        <w:rPr>
          <w:rStyle w:val="shorttext"/>
          <w:rFonts w:hint="eastAsia"/>
        </w:rPr>
        <w:t>%</w:t>
      </w:r>
      <w:r>
        <w:rPr>
          <w:rStyle w:val="shorttext"/>
          <w:rFonts w:hint="eastAsia"/>
        </w:rPr>
        <w:t>的居民在以色列、东耶路撒冷和西岸有亲属</w:t>
      </w:r>
      <w:r>
        <w:rPr>
          <w:rStyle w:val="atn"/>
          <w:rFonts w:hint="eastAsia"/>
        </w:rPr>
        <w:t>“</w:t>
      </w:r>
      <w:r w:rsidR="009A6913">
        <w:rPr>
          <w:rStyle w:val="shorttext"/>
          <w:rFonts w:hint="eastAsia"/>
        </w:rPr>
        <w:t>(</w:t>
      </w:r>
      <w:r>
        <w:rPr>
          <w:rStyle w:val="shorttext"/>
          <w:rFonts w:hint="eastAsia"/>
        </w:rPr>
        <w:t>2013</w:t>
      </w:r>
      <w:r>
        <w:rPr>
          <w:rStyle w:val="shorttext"/>
          <w:rFonts w:hint="eastAsia"/>
        </w:rPr>
        <w:t>年</w:t>
      </w:r>
      <w:r>
        <w:rPr>
          <w:rStyle w:val="shorttext"/>
          <w:rFonts w:hint="eastAsia"/>
        </w:rPr>
        <w:t>12</w:t>
      </w:r>
      <w:r>
        <w:rPr>
          <w:rStyle w:val="shorttext"/>
          <w:rFonts w:hint="eastAsia"/>
        </w:rPr>
        <w:t>月</w:t>
      </w:r>
      <w:r>
        <w:rPr>
          <w:rStyle w:val="shorttext"/>
          <w:rFonts w:hint="eastAsia"/>
        </w:rPr>
        <w:t>19</w:t>
      </w:r>
      <w:r w:rsidR="009A6913">
        <w:rPr>
          <w:rStyle w:val="shorttext"/>
          <w:rFonts w:hint="eastAsia"/>
        </w:rPr>
        <w:t>日）</w:t>
      </w:r>
      <w:r>
        <w:rPr>
          <w:rStyle w:val="shorttext"/>
          <w:rFonts w:hint="eastAsia"/>
        </w:rPr>
        <w:t>。</w:t>
      </w:r>
    </w:p>
  </w:footnote>
  <w:footnote w:id="80">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sidRPr="00AA5ED7">
        <w:t>Gisha</w:t>
      </w:r>
      <w:r>
        <w:rPr>
          <w:rFonts w:hint="eastAsia"/>
        </w:rPr>
        <w:t>，“</w:t>
      </w:r>
      <w:r>
        <w:rPr>
          <w:rStyle w:val="shorttext"/>
          <w:rFonts w:hint="eastAsia"/>
        </w:rPr>
        <w:t>远亲</w:t>
      </w:r>
      <w:r>
        <w:rPr>
          <w:rStyle w:val="atn"/>
          <w:rFonts w:hint="eastAsia"/>
        </w:rPr>
        <w:t>”</w:t>
      </w:r>
      <w:r>
        <w:rPr>
          <w:rStyle w:val="shorttext"/>
          <w:rFonts w:hint="eastAsia"/>
        </w:rPr>
        <w:t>，</w:t>
      </w:r>
      <w:r>
        <w:rPr>
          <w:rStyle w:val="shorttext"/>
          <w:rFonts w:hint="eastAsia"/>
        </w:rPr>
        <w:t>2015</w:t>
      </w:r>
      <w:r>
        <w:rPr>
          <w:rStyle w:val="shorttext"/>
          <w:rFonts w:hint="eastAsia"/>
        </w:rPr>
        <w:t>年</w:t>
      </w:r>
      <w:r>
        <w:rPr>
          <w:rStyle w:val="shorttext"/>
          <w:rFonts w:hint="eastAsia"/>
        </w:rPr>
        <w:t>7</w:t>
      </w:r>
      <w:r>
        <w:rPr>
          <w:rStyle w:val="shorttext"/>
          <w:rFonts w:hint="eastAsia"/>
        </w:rPr>
        <w:t>月。</w:t>
      </w:r>
      <w:r>
        <w:t>见</w:t>
      </w:r>
      <w:hyperlink r:id="rId11" w:history="1">
        <w:r w:rsidRPr="006E47C7">
          <w:rPr>
            <w:rStyle w:val="Hyperlink"/>
          </w:rPr>
          <w:t>http://features.gisha.org/distant_relatives</w:t>
        </w:r>
      </w:hyperlink>
      <w:r>
        <w:rPr>
          <w:rFonts w:hint="eastAsia"/>
        </w:rPr>
        <w:t>。</w:t>
      </w:r>
    </w:p>
  </w:footnote>
  <w:footnote w:id="81">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B’Tselem and HaMoked</w:t>
      </w:r>
      <w:r>
        <w:rPr>
          <w:rFonts w:hint="eastAsia"/>
        </w:rPr>
        <w:t>，”</w:t>
      </w:r>
      <w:r>
        <w:rPr>
          <w:rStyle w:val="shorttext"/>
          <w:rFonts w:hint="eastAsia"/>
        </w:rPr>
        <w:t>这么近，又那么远：以色列封锁加沙地带对巴勒斯坦人享有家庭生活权的影响”，</w:t>
      </w:r>
      <w:r>
        <w:rPr>
          <w:rStyle w:val="shorttext"/>
          <w:rFonts w:hint="eastAsia"/>
        </w:rPr>
        <w:t>2014</w:t>
      </w:r>
      <w:r>
        <w:rPr>
          <w:rStyle w:val="shorttext"/>
          <w:rFonts w:hint="eastAsia"/>
        </w:rPr>
        <w:t>年</w:t>
      </w:r>
      <w:r>
        <w:rPr>
          <w:rStyle w:val="shorttext"/>
          <w:rFonts w:hint="eastAsia"/>
        </w:rPr>
        <w:t>1</w:t>
      </w:r>
      <w:r>
        <w:rPr>
          <w:rStyle w:val="shorttext"/>
          <w:rFonts w:hint="eastAsia"/>
        </w:rPr>
        <w:t>月，</w:t>
      </w:r>
      <w:r>
        <w:t>第</w:t>
      </w:r>
      <w:r>
        <w:t>12-15</w:t>
      </w:r>
      <w:r>
        <w:t>页。</w:t>
      </w:r>
    </w:p>
  </w:footnote>
  <w:footnote w:id="82">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HaMoked</w:t>
      </w:r>
      <w:r>
        <w:rPr>
          <w:rFonts w:hint="eastAsia"/>
        </w:rPr>
        <w:t>，“</w:t>
      </w:r>
      <w:r>
        <w:rPr>
          <w:rStyle w:val="shorttext"/>
          <w:rFonts w:hint="eastAsia"/>
        </w:rPr>
        <w:t>没有结束迹象：以色列议会第十六次批准延长《以色列公民和列入境</w:t>
      </w:r>
      <w:r>
        <w:rPr>
          <w:rStyle w:val="atn"/>
          <w:rFonts w:hint="eastAsia"/>
        </w:rPr>
        <w:t>法》，</w:t>
      </w:r>
      <w:r>
        <w:rPr>
          <w:rStyle w:val="shorttext"/>
          <w:rFonts w:hint="eastAsia"/>
        </w:rPr>
        <w:t>2015</w:t>
      </w:r>
      <w:r>
        <w:rPr>
          <w:rStyle w:val="shorttext"/>
          <w:rFonts w:hint="eastAsia"/>
        </w:rPr>
        <w:t>年</w:t>
      </w:r>
      <w:r>
        <w:rPr>
          <w:rStyle w:val="shorttext"/>
          <w:rFonts w:hint="eastAsia"/>
        </w:rPr>
        <w:t>6</w:t>
      </w:r>
      <w:r>
        <w:rPr>
          <w:rStyle w:val="shorttext"/>
          <w:rFonts w:hint="eastAsia"/>
        </w:rPr>
        <w:t>月</w:t>
      </w:r>
      <w:r>
        <w:rPr>
          <w:rStyle w:val="shorttext"/>
          <w:rFonts w:hint="eastAsia"/>
        </w:rPr>
        <w:t>15</w:t>
      </w:r>
      <w:r>
        <w:rPr>
          <w:rStyle w:val="shorttext"/>
          <w:rFonts w:hint="eastAsia"/>
        </w:rPr>
        <w:t>日。</w:t>
      </w:r>
    </w:p>
  </w:footnote>
  <w:footnote w:id="8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HaMoked</w:t>
      </w:r>
      <w:r>
        <w:rPr>
          <w:rFonts w:hint="eastAsia"/>
        </w:rPr>
        <w:t>，“临时令</w:t>
      </w:r>
      <w:r w:rsidRPr="00C9680A">
        <w:t>?</w:t>
      </w:r>
      <w:r>
        <w:rPr>
          <w:rFonts w:hint="eastAsia"/>
        </w:rPr>
        <w:t>：《以色列国籍和入境法》阴影下的东</w:t>
      </w:r>
      <w:r w:rsidRPr="00904024">
        <w:rPr>
          <w:rFonts w:ascii="SimSun" w:hAnsi="SimSun" w:cs="SimSun" w:hint="eastAsia"/>
        </w:rPr>
        <w:t>耶路撒冷</w:t>
      </w:r>
      <w:r>
        <w:rPr>
          <w:rFonts w:ascii="SimSun" w:hAnsi="SimSun" w:cs="SimSun" w:hint="eastAsia"/>
        </w:rPr>
        <w:t>生活”，</w:t>
      </w:r>
      <w:r>
        <w:t>2014</w:t>
      </w:r>
      <w:r>
        <w:rPr>
          <w:rFonts w:hint="eastAsia"/>
        </w:rPr>
        <w:t>年</w:t>
      </w:r>
      <w:r>
        <w:rPr>
          <w:rFonts w:hint="eastAsia"/>
        </w:rPr>
        <w:t>9</w:t>
      </w:r>
      <w:r>
        <w:rPr>
          <w:rFonts w:hint="eastAsia"/>
        </w:rPr>
        <w:t>月。</w:t>
      </w:r>
    </w:p>
  </w:footnote>
  <w:footnote w:id="8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rPr>
          <w:rFonts w:hint="eastAsia"/>
        </w:rPr>
        <w:t>根据《以色列国籍和入境法》</w:t>
      </w:r>
      <w:r>
        <w:rPr>
          <w:rFonts w:hint="eastAsia"/>
        </w:rPr>
        <w:t>2005</w:t>
      </w:r>
      <w:r w:rsidR="009A6913">
        <w:rPr>
          <w:rFonts w:hint="eastAsia"/>
        </w:rPr>
        <w:t>年修正案，申请人必须符合最低年龄要求</w:t>
      </w:r>
      <w:r w:rsidR="009A6913">
        <w:rPr>
          <w:rFonts w:hint="eastAsia"/>
        </w:rPr>
        <w:t xml:space="preserve">: </w:t>
      </w:r>
      <w:r>
        <w:rPr>
          <w:rFonts w:hint="eastAsia"/>
        </w:rPr>
        <w:t>女</w:t>
      </w:r>
      <w:r>
        <w:rPr>
          <w:rFonts w:hint="eastAsia"/>
        </w:rPr>
        <w:t>25</w:t>
      </w:r>
      <w:r>
        <w:rPr>
          <w:rFonts w:hint="eastAsia"/>
        </w:rPr>
        <w:t>岁，男</w:t>
      </w:r>
      <w:r>
        <w:rPr>
          <w:rFonts w:hint="eastAsia"/>
        </w:rPr>
        <w:t>35</w:t>
      </w:r>
      <w:r>
        <w:rPr>
          <w:rFonts w:hint="eastAsia"/>
        </w:rPr>
        <w:t>岁。</w:t>
      </w:r>
      <w:r w:rsidRPr="009A6913">
        <w:rPr>
          <w:rFonts w:hint="eastAsia"/>
          <w:snapToGrid w:val="0"/>
          <w:spacing w:val="-2"/>
          <w:kern w:val="0"/>
        </w:rPr>
        <w:t>如果申</w:t>
      </w:r>
      <w:r w:rsidR="009A6913" w:rsidRPr="009A6913">
        <w:rPr>
          <w:rFonts w:hint="eastAsia"/>
          <w:snapToGrid w:val="0"/>
          <w:spacing w:val="-2"/>
          <w:kern w:val="0"/>
        </w:rPr>
        <w:t>请人或其家中的任何人被认为构成安全威胁，则禁止入境</w:t>
      </w:r>
      <w:r w:rsidR="009A6913" w:rsidRPr="009A6913">
        <w:rPr>
          <w:rFonts w:hint="eastAsia"/>
          <w:snapToGrid w:val="0"/>
          <w:spacing w:val="-2"/>
          <w:kern w:val="0"/>
        </w:rPr>
        <w:t>(</w:t>
      </w:r>
      <w:r w:rsidRPr="009A6913">
        <w:rPr>
          <w:rFonts w:hint="eastAsia"/>
          <w:snapToGrid w:val="0"/>
          <w:spacing w:val="-2"/>
          <w:kern w:val="0"/>
        </w:rPr>
        <w:t>HaMoked</w:t>
      </w:r>
      <w:r w:rsidR="009A6913">
        <w:rPr>
          <w:rFonts w:hint="eastAsia"/>
          <w:snapToGrid w:val="0"/>
          <w:spacing w:val="-2"/>
          <w:kern w:val="0"/>
        </w:rPr>
        <w:t>,</w:t>
      </w:r>
      <w:r w:rsidRPr="009A6913">
        <w:rPr>
          <w:rFonts w:hint="eastAsia"/>
          <w:snapToGrid w:val="0"/>
          <w:spacing w:val="-2"/>
          <w:kern w:val="0"/>
        </w:rPr>
        <w:t>“临时令</w:t>
      </w:r>
      <w:r w:rsidRPr="009A6913">
        <w:rPr>
          <w:snapToGrid w:val="0"/>
          <w:spacing w:val="-2"/>
          <w:kern w:val="0"/>
        </w:rPr>
        <w:t>?</w:t>
      </w:r>
      <w:r w:rsidRPr="009A6913">
        <w:rPr>
          <w:rFonts w:hint="eastAsia"/>
          <w:snapToGrid w:val="0"/>
          <w:spacing w:val="-2"/>
          <w:kern w:val="0"/>
        </w:rPr>
        <w:t>，第</w:t>
      </w:r>
      <w:r w:rsidRPr="009A6913">
        <w:rPr>
          <w:rFonts w:hint="eastAsia"/>
          <w:snapToGrid w:val="0"/>
          <w:spacing w:val="-2"/>
          <w:kern w:val="0"/>
        </w:rPr>
        <w:t>21-24</w:t>
      </w:r>
      <w:r w:rsidR="009A6913" w:rsidRPr="009A6913">
        <w:rPr>
          <w:rFonts w:hint="eastAsia"/>
          <w:snapToGrid w:val="0"/>
          <w:spacing w:val="-2"/>
          <w:kern w:val="0"/>
        </w:rPr>
        <w:t>页</w:t>
      </w:r>
      <w:r w:rsidR="009A6913">
        <w:rPr>
          <w:rFonts w:hint="eastAsia"/>
        </w:rPr>
        <w:t>)</w:t>
      </w:r>
      <w:r>
        <w:rPr>
          <w:rFonts w:hint="eastAsia"/>
        </w:rPr>
        <w:t>。</w:t>
      </w:r>
    </w:p>
  </w:footnote>
  <w:footnote w:id="85">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HaMoked</w:t>
      </w:r>
      <w:r>
        <w:rPr>
          <w:rFonts w:hint="eastAsia"/>
        </w:rPr>
        <w:t>，“</w:t>
      </w:r>
      <w:r w:rsidRPr="006B2F7E">
        <w:t>临时令</w:t>
      </w:r>
      <w:r w:rsidRPr="006B2F7E">
        <w:t>?</w:t>
      </w:r>
      <w:r w:rsidRPr="006B2F7E">
        <w:rPr>
          <w:rFonts w:hint="eastAsia"/>
        </w:rPr>
        <w:t>”</w:t>
      </w:r>
      <w:r>
        <w:rPr>
          <w:rFonts w:hint="eastAsia"/>
          <w:i/>
          <w:iCs/>
        </w:rPr>
        <w:t>，</w:t>
      </w:r>
      <w:r>
        <w:t>第</w:t>
      </w:r>
      <w:r>
        <w:rPr>
          <w:rFonts w:hint="eastAsia"/>
        </w:rPr>
        <w:t>29</w:t>
      </w:r>
      <w:r>
        <w:t>页。</w:t>
      </w:r>
    </w:p>
  </w:footnote>
  <w:footnote w:id="86">
    <w:p w:rsidR="0018464E" w:rsidRPr="002D4199"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2D4199">
        <w:rPr>
          <w:rStyle w:val="FootnoteReference"/>
        </w:rPr>
        <w:footnoteRef/>
      </w:r>
      <w:r>
        <w:tab/>
      </w:r>
      <w:r>
        <w:rPr>
          <w:rFonts w:hint="eastAsia"/>
        </w:rPr>
        <w:t>就</w:t>
      </w:r>
      <w:r w:rsidRPr="00996A2D">
        <w:rPr>
          <w:rFonts w:hint="eastAsia"/>
          <w:snapToGrid w:val="0"/>
          <w:spacing w:val="-2"/>
          <w:kern w:val="0"/>
        </w:rPr>
        <w:t>禁止</w:t>
      </w:r>
      <w:r w:rsidRPr="00996A2D">
        <w:rPr>
          <w:rStyle w:val="shorttext"/>
          <w:rFonts w:hint="eastAsia"/>
          <w:snapToGrid w:val="0"/>
          <w:spacing w:val="-2"/>
          <w:kern w:val="0"/>
        </w:rPr>
        <w:t>以色列人进入加沙命令致以色列国防部长摩西·亚龙部长的信，</w:t>
      </w:r>
      <w:r w:rsidRPr="00996A2D">
        <w:rPr>
          <w:rStyle w:val="shorttext"/>
          <w:rFonts w:hint="eastAsia"/>
          <w:snapToGrid w:val="0"/>
          <w:spacing w:val="-2"/>
          <w:kern w:val="0"/>
        </w:rPr>
        <w:t>2015</w:t>
      </w:r>
      <w:r w:rsidRPr="00996A2D">
        <w:rPr>
          <w:rStyle w:val="shorttext"/>
          <w:rFonts w:hint="eastAsia"/>
          <w:snapToGrid w:val="0"/>
          <w:spacing w:val="-2"/>
          <w:kern w:val="0"/>
        </w:rPr>
        <w:t>年</w:t>
      </w:r>
      <w:r w:rsidRPr="00996A2D">
        <w:rPr>
          <w:rStyle w:val="shorttext"/>
          <w:rFonts w:hint="eastAsia"/>
          <w:snapToGrid w:val="0"/>
          <w:spacing w:val="-2"/>
          <w:kern w:val="0"/>
        </w:rPr>
        <w:t>8</w:t>
      </w:r>
      <w:r w:rsidRPr="00996A2D">
        <w:rPr>
          <w:rStyle w:val="shorttext"/>
          <w:rFonts w:hint="eastAsia"/>
          <w:snapToGrid w:val="0"/>
          <w:spacing w:val="-2"/>
          <w:kern w:val="0"/>
        </w:rPr>
        <w:t>月</w:t>
      </w:r>
      <w:r w:rsidRPr="00996A2D">
        <w:rPr>
          <w:rStyle w:val="shorttext"/>
          <w:rFonts w:hint="eastAsia"/>
          <w:snapToGrid w:val="0"/>
          <w:spacing w:val="-2"/>
          <w:kern w:val="0"/>
        </w:rPr>
        <w:t>4</w:t>
      </w:r>
      <w:r w:rsidRPr="00996A2D">
        <w:rPr>
          <w:rStyle w:val="shorttext"/>
          <w:rFonts w:hint="eastAsia"/>
          <w:snapToGrid w:val="0"/>
          <w:spacing w:val="-2"/>
          <w:kern w:val="0"/>
        </w:rPr>
        <w:t>日。</w:t>
      </w:r>
      <w:r w:rsidRPr="00996A2D">
        <w:rPr>
          <w:snapToGrid w:val="0"/>
          <w:spacing w:val="-2"/>
          <w:kern w:val="0"/>
        </w:rPr>
        <w:t>可查阅</w:t>
      </w:r>
      <w:hyperlink r:id="rId12" w:history="1">
        <w:r w:rsidRPr="006E47C7">
          <w:rPr>
            <w:rStyle w:val="Hyperlink"/>
          </w:rPr>
          <w:t>http://gisha.org/UserFiles/File/letters/letter_to_yaalon_COGAT_Israelis_11.8.15-eng.pdf</w:t>
        </w:r>
      </w:hyperlink>
      <w:r>
        <w:rPr>
          <w:rFonts w:hint="eastAsia"/>
        </w:rPr>
        <w:t>。</w:t>
      </w:r>
    </w:p>
  </w:footnote>
  <w:footnote w:id="87">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rsidRPr="002D4199">
        <w:tab/>
      </w:r>
      <w:r w:rsidRPr="002D4199">
        <w:rPr>
          <w:rStyle w:val="FootnoteReference"/>
        </w:rPr>
        <w:footnoteRef/>
      </w:r>
      <w:r>
        <w:tab/>
      </w:r>
      <w:r>
        <w:t>见</w:t>
      </w:r>
      <w:r w:rsidRPr="002D4199">
        <w:t>CERD/C/ISR/CO/14-16</w:t>
      </w:r>
      <w:r>
        <w:rPr>
          <w:rFonts w:hint="eastAsia"/>
        </w:rPr>
        <w:t>，</w:t>
      </w:r>
      <w:r>
        <w:t>第</w:t>
      </w:r>
      <w:r>
        <w:rPr>
          <w:rFonts w:hint="eastAsia"/>
        </w:rPr>
        <w:t>18</w:t>
      </w:r>
      <w:r>
        <w:t>段</w:t>
      </w:r>
      <w:r>
        <w:rPr>
          <w:rFonts w:hint="eastAsia"/>
        </w:rPr>
        <w:t>。另</w:t>
      </w:r>
      <w:r>
        <w:t>见</w:t>
      </w:r>
      <w:r w:rsidRPr="002D4199">
        <w:t>CCPR/C/ISR/CO</w:t>
      </w:r>
      <w:r w:rsidRPr="00116269">
        <w:t>/3</w:t>
      </w:r>
      <w:r>
        <w:rPr>
          <w:rFonts w:hint="eastAsia"/>
        </w:rPr>
        <w:t>，</w:t>
      </w:r>
      <w:r>
        <w:t>第</w:t>
      </w:r>
      <w:r>
        <w:rPr>
          <w:rFonts w:hint="eastAsia"/>
        </w:rPr>
        <w:t>15</w:t>
      </w:r>
      <w:r>
        <w:t>段</w:t>
      </w:r>
      <w:r>
        <w:rPr>
          <w:rFonts w:hint="eastAsia"/>
        </w:rPr>
        <w:t>；</w:t>
      </w:r>
      <w:r w:rsidRPr="00116269">
        <w:t>CEDAW/C/ISR/CO/5</w:t>
      </w:r>
      <w:r>
        <w:rPr>
          <w:rFonts w:hint="eastAsia"/>
        </w:rPr>
        <w:t>，</w:t>
      </w:r>
      <w:r>
        <w:t>第</w:t>
      </w:r>
      <w:r>
        <w:rPr>
          <w:rFonts w:hint="eastAsia"/>
        </w:rPr>
        <w:t>25</w:t>
      </w:r>
      <w:r>
        <w:t>段</w:t>
      </w:r>
      <w:r>
        <w:rPr>
          <w:rFonts w:hint="eastAsia"/>
        </w:rPr>
        <w:t>；</w:t>
      </w:r>
      <w:r w:rsidRPr="00210C9F">
        <w:t>CRC/C/ISR/CO/2-4</w:t>
      </w:r>
      <w:r>
        <w:rPr>
          <w:rFonts w:hint="eastAsia"/>
        </w:rPr>
        <w:t>，</w:t>
      </w:r>
      <w:r>
        <w:t>第</w:t>
      </w:r>
      <w:r>
        <w:rPr>
          <w:rFonts w:hint="eastAsia"/>
        </w:rPr>
        <w:t>49</w:t>
      </w:r>
      <w:r>
        <w:t>段</w:t>
      </w:r>
      <w:r>
        <w:rPr>
          <w:rFonts w:hint="eastAsia"/>
        </w:rPr>
        <w:t>。</w:t>
      </w:r>
      <w:r>
        <w:rPr>
          <w:rFonts w:hint="eastAsia"/>
        </w:rPr>
        <w:t>2012</w:t>
      </w:r>
      <w:r>
        <w:rPr>
          <w:rFonts w:hint="eastAsia"/>
        </w:rPr>
        <w:t>年，在最高法院在裁决认为，以色列国家安全优先于家庭生活权。以色列当时首席大法官</w:t>
      </w:r>
      <w:r>
        <w:rPr>
          <w:rStyle w:val="atn"/>
          <w:rFonts w:hint="eastAsia"/>
        </w:rPr>
        <w:t>说：“</w:t>
      </w:r>
      <w:r>
        <w:rPr>
          <w:rFonts w:hint="eastAsia"/>
        </w:rPr>
        <w:t>不能以国家自杀为代价保护人权。”</w:t>
      </w:r>
      <w:r>
        <w:t>见</w:t>
      </w:r>
      <w:hyperlink r:id="rId13" w:history="1">
        <w:r w:rsidRPr="00150154">
          <w:rPr>
            <w:rStyle w:val="Hyperlink"/>
          </w:rPr>
          <w:t>https://www.opensocietyfoundations.org/litigation/adalah-v-israel</w:t>
        </w:r>
      </w:hyperlink>
      <w:r>
        <w:rPr>
          <w:rFonts w:hint="eastAsia"/>
        </w:rPr>
        <w:t>。</w:t>
      </w:r>
    </w:p>
  </w:footnote>
  <w:footnote w:id="88">
    <w:p w:rsidR="0018464E" w:rsidRDefault="0018464E" w:rsidP="00996A2D">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r>
        <w:rPr>
          <w:rFonts w:hint="eastAsia"/>
        </w:rPr>
        <w:t>人</w:t>
      </w:r>
      <w:r>
        <w:rPr>
          <w:rStyle w:val="shorttext"/>
          <w:rFonts w:hint="eastAsia"/>
        </w:rPr>
        <w:t>权事务委员会</w:t>
      </w:r>
      <w:r>
        <w:rPr>
          <w:rFonts w:hint="eastAsia"/>
        </w:rPr>
        <w:t>关于《公约》缔约国的法律义务性质的</w:t>
      </w:r>
      <w:r>
        <w:rPr>
          <w:rStyle w:val="shorttext"/>
          <w:rFonts w:hint="eastAsia"/>
        </w:rPr>
        <w:t>第</w:t>
      </w:r>
      <w:r>
        <w:rPr>
          <w:rStyle w:val="shorttext"/>
          <w:rFonts w:hint="eastAsia"/>
        </w:rPr>
        <w:t>31</w:t>
      </w:r>
      <w:r w:rsidR="00996A2D">
        <w:rPr>
          <w:rStyle w:val="shorttext"/>
          <w:rFonts w:hint="eastAsia"/>
        </w:rPr>
        <w:t>号一般性意见</w:t>
      </w:r>
      <w:r w:rsidR="00996A2D">
        <w:rPr>
          <w:rStyle w:val="shorttext"/>
          <w:rFonts w:hint="eastAsia"/>
        </w:rPr>
        <w:t>(</w:t>
      </w:r>
      <w:r>
        <w:rPr>
          <w:rStyle w:val="shorttext"/>
          <w:rFonts w:hint="eastAsia"/>
        </w:rPr>
        <w:t>2004</w:t>
      </w:r>
      <w:r>
        <w:rPr>
          <w:rStyle w:val="shorttext"/>
          <w:rFonts w:hint="eastAsia"/>
        </w:rPr>
        <w:t>年</w:t>
      </w:r>
      <w:r w:rsidR="00996A2D">
        <w:rPr>
          <w:rStyle w:val="shorttext"/>
          <w:rFonts w:hint="eastAsia"/>
        </w:rPr>
        <w:t>)</w:t>
      </w:r>
      <w:r>
        <w:rPr>
          <w:rStyle w:val="shorttext"/>
          <w:rFonts w:hint="eastAsia"/>
        </w:rPr>
        <w:t>，</w:t>
      </w:r>
      <w:r>
        <w:t>第</w:t>
      </w:r>
      <w:r>
        <w:rPr>
          <w:rFonts w:hint="eastAsia"/>
        </w:rPr>
        <w:t>2</w:t>
      </w:r>
      <w:r>
        <w:t>段</w:t>
      </w:r>
      <w:r>
        <w:rPr>
          <w:rFonts w:hint="eastAsia"/>
        </w:rPr>
        <w:t>。</w:t>
      </w:r>
    </w:p>
  </w:footnote>
  <w:footnote w:id="89">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2D4199">
        <w:rPr>
          <w:rStyle w:val="FootnoteReference"/>
        </w:rPr>
        <w:footnoteRef/>
      </w:r>
      <w:r w:rsidRPr="002D4199">
        <w:tab/>
      </w:r>
      <w:r>
        <w:t>见</w:t>
      </w:r>
      <w:r w:rsidRPr="00431C10">
        <w:t>afa.ps/post/146208</w:t>
      </w:r>
      <w:r w:rsidRPr="002D4199">
        <w:t xml:space="preserve"> (</w:t>
      </w:r>
      <w:r>
        <w:t>阿拉伯文</w:t>
      </w:r>
      <w:r w:rsidRPr="002D4199">
        <w:t>)</w:t>
      </w:r>
      <w:r>
        <w:rPr>
          <w:rFonts w:hint="eastAsia"/>
        </w:rPr>
        <w:t>。</w:t>
      </w:r>
    </w:p>
  </w:footnote>
  <w:footnote w:id="90">
    <w:p w:rsidR="0018464E" w:rsidRPr="00210C9F"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t>Gisha</w:t>
      </w:r>
      <w:r>
        <w:rPr>
          <w:rFonts w:hint="eastAsia"/>
        </w:rPr>
        <w:t>，“</w:t>
      </w:r>
      <w:r>
        <w:rPr>
          <w:rFonts w:hint="eastAsia"/>
        </w:rPr>
        <w:t>32</w:t>
      </w:r>
      <w:r>
        <w:rPr>
          <w:rFonts w:hint="eastAsia"/>
        </w:rPr>
        <w:t>名学生前往国外”。</w:t>
      </w:r>
    </w:p>
  </w:footnote>
  <w:footnote w:id="91">
    <w:p w:rsidR="0018464E" w:rsidRPr="00D86EE9"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见</w:t>
      </w:r>
      <w:hyperlink r:id="rId14" w:history="1">
        <w:r w:rsidRPr="001C5FFF">
          <w:rPr>
            <w:rStyle w:val="Hyperlink"/>
          </w:rPr>
          <w:t>http://alray.ps/ar/index.php?act=post&amp;id=130062</w:t>
        </w:r>
      </w:hyperlink>
      <w:r w:rsidRPr="002D4199">
        <w:t xml:space="preserve"> (</w:t>
      </w:r>
      <w:r>
        <w:t>阿拉伯文</w:t>
      </w:r>
      <w:r w:rsidRPr="002D4199">
        <w:t>)</w:t>
      </w:r>
      <w:r>
        <w:rPr>
          <w:rFonts w:hint="eastAsia"/>
        </w:rPr>
        <w:t>。</w:t>
      </w:r>
    </w:p>
  </w:footnote>
  <w:footnote w:id="92">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人道主义事务协调厅</w:t>
      </w:r>
      <w:r>
        <w:rPr>
          <w:rFonts w:hint="eastAsia"/>
        </w:rPr>
        <w:t>，“</w:t>
      </w:r>
      <w:r>
        <w:t>人道主义活动月报</w:t>
      </w:r>
      <w:r>
        <w:rPr>
          <w:rFonts w:hint="eastAsia"/>
        </w:rPr>
        <w:t>”，</w:t>
      </w:r>
      <w:r>
        <w:t>2015</w:t>
      </w:r>
      <w:r>
        <w:rPr>
          <w:rFonts w:hint="eastAsia"/>
        </w:rPr>
        <w:t>年</w:t>
      </w:r>
      <w:r>
        <w:rPr>
          <w:rFonts w:hint="eastAsia"/>
        </w:rPr>
        <w:t>1</w:t>
      </w:r>
      <w:r>
        <w:rPr>
          <w:rFonts w:hint="eastAsia"/>
        </w:rPr>
        <w:t>月，</w:t>
      </w:r>
      <w:r>
        <w:t>第</w:t>
      </w:r>
      <w:r>
        <w:rPr>
          <w:rFonts w:hint="eastAsia"/>
        </w:rPr>
        <w:t>1</w:t>
      </w:r>
      <w:r>
        <w:t>页。</w:t>
      </w:r>
    </w:p>
  </w:footnote>
  <w:footnote w:id="93">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同上，第</w:t>
      </w:r>
      <w:r>
        <w:t>4-5</w:t>
      </w:r>
      <w:r>
        <w:t>页。</w:t>
      </w:r>
    </w:p>
  </w:footnote>
  <w:footnote w:id="94">
    <w:p w:rsidR="0018464E" w:rsidRDefault="0018464E" w:rsidP="000364C7">
      <w:pPr>
        <w:pStyle w:val="FootnoteText"/>
        <w:tabs>
          <w:tab w:val="clear" w:pos="418"/>
          <w:tab w:val="right" w:pos="1195"/>
          <w:tab w:val="left" w:pos="1264"/>
          <w:tab w:val="left" w:pos="1695"/>
          <w:tab w:val="left" w:pos="2126"/>
          <w:tab w:val="left" w:pos="2557"/>
        </w:tabs>
        <w:ind w:left="1264" w:right="1264" w:hanging="432"/>
      </w:pPr>
      <w:r>
        <w:tab/>
      </w:r>
      <w:r w:rsidRPr="0013152B">
        <w:rPr>
          <w:rStyle w:val="FootnoteReference"/>
        </w:rPr>
        <w:footnoteRef/>
      </w:r>
      <w:r>
        <w:tab/>
      </w:r>
      <w:r>
        <w:t>同上</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8464E" w:rsidTr="00EF4343">
      <w:trPr>
        <w:trHeight w:hRule="exact" w:val="864"/>
        <w:jc w:val="center"/>
      </w:trPr>
      <w:tc>
        <w:tcPr>
          <w:tcW w:w="4882" w:type="dxa"/>
          <w:shd w:val="clear" w:color="auto" w:fill="auto"/>
          <w:vAlign w:val="bottom"/>
        </w:tcPr>
        <w:p w:rsidR="0018464E" w:rsidRPr="00EF4343" w:rsidRDefault="0018464E" w:rsidP="00EF434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95FBA">
            <w:rPr>
              <w:b/>
              <w:sz w:val="17"/>
            </w:rPr>
            <w:t>A/HRC/31/44</w:t>
          </w:r>
          <w:r>
            <w:rPr>
              <w:b/>
              <w:sz w:val="17"/>
            </w:rPr>
            <w:fldChar w:fldCharType="end"/>
          </w:r>
        </w:p>
      </w:tc>
      <w:tc>
        <w:tcPr>
          <w:tcW w:w="5127" w:type="dxa"/>
          <w:shd w:val="clear" w:color="auto" w:fill="auto"/>
          <w:vAlign w:val="bottom"/>
        </w:tcPr>
        <w:p w:rsidR="0018464E" w:rsidRDefault="0018464E" w:rsidP="00EF4343">
          <w:pPr>
            <w:pStyle w:val="Header"/>
          </w:pPr>
        </w:p>
      </w:tc>
    </w:tr>
  </w:tbl>
  <w:p w:rsidR="0018464E" w:rsidRPr="00EF4343" w:rsidRDefault="0018464E" w:rsidP="00EF4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8464E" w:rsidTr="00EF4343">
      <w:trPr>
        <w:trHeight w:hRule="exact" w:val="864"/>
        <w:jc w:val="center"/>
      </w:trPr>
      <w:tc>
        <w:tcPr>
          <w:tcW w:w="4882" w:type="dxa"/>
          <w:shd w:val="clear" w:color="auto" w:fill="auto"/>
          <w:vAlign w:val="bottom"/>
        </w:tcPr>
        <w:p w:rsidR="0018464E" w:rsidRDefault="0018464E" w:rsidP="00EF4343">
          <w:pPr>
            <w:pStyle w:val="Header"/>
          </w:pPr>
        </w:p>
      </w:tc>
      <w:tc>
        <w:tcPr>
          <w:tcW w:w="5127" w:type="dxa"/>
          <w:shd w:val="clear" w:color="auto" w:fill="auto"/>
          <w:vAlign w:val="bottom"/>
        </w:tcPr>
        <w:p w:rsidR="0018464E" w:rsidRPr="00EF4343" w:rsidRDefault="0018464E" w:rsidP="00EF434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95FBA">
            <w:rPr>
              <w:b/>
              <w:sz w:val="17"/>
            </w:rPr>
            <w:t>A/HRC/31/44</w:t>
          </w:r>
          <w:r>
            <w:rPr>
              <w:b/>
              <w:sz w:val="17"/>
            </w:rPr>
            <w:fldChar w:fldCharType="end"/>
          </w:r>
        </w:p>
      </w:tc>
    </w:tr>
  </w:tbl>
  <w:p w:rsidR="0018464E" w:rsidRPr="00EF4343" w:rsidRDefault="0018464E" w:rsidP="00EF4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8464E" w:rsidTr="00EF4343">
      <w:trPr>
        <w:trHeight w:hRule="exact" w:val="864"/>
      </w:trPr>
      <w:tc>
        <w:tcPr>
          <w:tcW w:w="1267" w:type="dxa"/>
          <w:tcBorders>
            <w:bottom w:val="single" w:sz="4" w:space="0" w:color="auto"/>
          </w:tcBorders>
          <w:shd w:val="clear" w:color="auto" w:fill="auto"/>
          <w:vAlign w:val="bottom"/>
        </w:tcPr>
        <w:p w:rsidR="0018464E" w:rsidRDefault="0018464E" w:rsidP="00EF4343">
          <w:pPr>
            <w:pStyle w:val="Header"/>
            <w:spacing w:after="120"/>
          </w:pPr>
        </w:p>
      </w:tc>
      <w:tc>
        <w:tcPr>
          <w:tcW w:w="1872" w:type="dxa"/>
          <w:tcBorders>
            <w:bottom w:val="single" w:sz="4" w:space="0" w:color="auto"/>
          </w:tcBorders>
          <w:shd w:val="clear" w:color="auto" w:fill="auto"/>
          <w:vAlign w:val="bottom"/>
        </w:tcPr>
        <w:p w:rsidR="0018464E" w:rsidRPr="00EF4343" w:rsidRDefault="0018464E" w:rsidP="00EF434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8464E" w:rsidRDefault="0018464E" w:rsidP="00EF4343">
          <w:pPr>
            <w:pStyle w:val="Header"/>
            <w:spacing w:after="120"/>
          </w:pPr>
        </w:p>
      </w:tc>
      <w:tc>
        <w:tcPr>
          <w:tcW w:w="6653" w:type="dxa"/>
          <w:gridSpan w:val="4"/>
          <w:tcBorders>
            <w:bottom w:val="single" w:sz="4" w:space="0" w:color="auto"/>
          </w:tcBorders>
          <w:shd w:val="clear" w:color="auto" w:fill="auto"/>
          <w:vAlign w:val="bottom"/>
        </w:tcPr>
        <w:p w:rsidR="0018464E" w:rsidRPr="00EF4343" w:rsidRDefault="0018464E" w:rsidP="00EF4343">
          <w:pPr>
            <w:spacing w:after="80" w:line="240" w:lineRule="auto"/>
            <w:jc w:val="right"/>
            <w:rPr>
              <w:position w:val="-4"/>
            </w:rPr>
          </w:pPr>
          <w:r>
            <w:rPr>
              <w:position w:val="-4"/>
              <w:sz w:val="40"/>
            </w:rPr>
            <w:t>A</w:t>
          </w:r>
          <w:r>
            <w:rPr>
              <w:position w:val="-4"/>
            </w:rPr>
            <w:t>/HRC/31/44</w:t>
          </w:r>
        </w:p>
      </w:tc>
    </w:tr>
    <w:tr w:rsidR="0018464E" w:rsidRPr="00EF4343" w:rsidTr="00EF4343">
      <w:trPr>
        <w:gridAfter w:val="1"/>
        <w:wAfter w:w="18" w:type="dxa"/>
        <w:trHeight w:hRule="exact" w:val="2880"/>
      </w:trPr>
      <w:tc>
        <w:tcPr>
          <w:tcW w:w="1267" w:type="dxa"/>
          <w:tcBorders>
            <w:top w:val="single" w:sz="4" w:space="0" w:color="auto"/>
            <w:bottom w:val="single" w:sz="12" w:space="0" w:color="auto"/>
          </w:tcBorders>
          <w:shd w:val="clear" w:color="auto" w:fill="auto"/>
        </w:tcPr>
        <w:p w:rsidR="0018464E" w:rsidRPr="00EF4343" w:rsidRDefault="0018464E" w:rsidP="00EF4343">
          <w:pPr>
            <w:pStyle w:val="Header"/>
            <w:spacing w:before="109"/>
            <w:ind w:left="-72"/>
          </w:pPr>
          <w:r>
            <w:t xml:space="preserve"> </w:t>
          </w:r>
          <w:r>
            <w:rPr>
              <w:lang w:val="en-GB" w:eastAsia="en-GB"/>
            </w:rPr>
            <w:drawing>
              <wp:inline distT="0" distB="0" distL="0" distR="0" wp14:anchorId="3038C866" wp14:editId="0D6CCD8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464E" w:rsidRPr="00EF4343" w:rsidRDefault="0018464E" w:rsidP="00EF4343">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18464E" w:rsidRPr="00EF4343" w:rsidRDefault="0018464E" w:rsidP="00EF4343">
          <w:pPr>
            <w:pStyle w:val="Header"/>
            <w:spacing w:before="109"/>
          </w:pPr>
        </w:p>
      </w:tc>
      <w:tc>
        <w:tcPr>
          <w:tcW w:w="3280" w:type="dxa"/>
          <w:tcBorders>
            <w:top w:val="single" w:sz="4" w:space="0" w:color="auto"/>
            <w:bottom w:val="single" w:sz="12" w:space="0" w:color="auto"/>
          </w:tcBorders>
          <w:shd w:val="clear" w:color="auto" w:fill="auto"/>
        </w:tcPr>
        <w:p w:rsidR="0018464E" w:rsidRDefault="0018464E" w:rsidP="00EF4343">
          <w:pPr>
            <w:pStyle w:val="Distr"/>
          </w:pPr>
          <w:r>
            <w:t>Distr.: General</w:t>
          </w:r>
        </w:p>
        <w:p w:rsidR="0018464E" w:rsidRDefault="0018464E" w:rsidP="00EF4343">
          <w:pPr>
            <w:pStyle w:val="Publication"/>
          </w:pPr>
          <w:r>
            <w:t>20 January 2016</w:t>
          </w:r>
        </w:p>
        <w:p w:rsidR="0018464E" w:rsidRDefault="0018464E" w:rsidP="00EF4343">
          <w:pPr>
            <w:spacing w:line="240" w:lineRule="exact"/>
          </w:pPr>
          <w:r>
            <w:t>Chinese</w:t>
          </w:r>
        </w:p>
        <w:p w:rsidR="0018464E" w:rsidRDefault="0018464E" w:rsidP="00EF4343">
          <w:pPr>
            <w:pStyle w:val="Original"/>
          </w:pPr>
          <w:r>
            <w:t>Original: English</w:t>
          </w:r>
        </w:p>
        <w:p w:rsidR="0018464E" w:rsidRPr="00EF4343" w:rsidRDefault="0018464E" w:rsidP="00EF4343"/>
      </w:tc>
    </w:tr>
  </w:tbl>
  <w:p w:rsidR="0018464E" w:rsidRPr="00EF4343" w:rsidRDefault="0018464E" w:rsidP="00EF43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8C12AE"/>
    <w:lvl w:ilvl="0">
      <w:start w:val="1"/>
      <w:numFmt w:val="decimal"/>
      <w:lvlText w:val="%1."/>
      <w:lvlJc w:val="left"/>
      <w:pPr>
        <w:tabs>
          <w:tab w:val="num" w:pos="2040"/>
        </w:tabs>
        <w:ind w:left="2040"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FFECC5EA"/>
    <w:lvl w:ilvl="0">
      <w:start w:val="1"/>
      <w:numFmt w:val="decimal"/>
      <w:lvlText w:val="%1."/>
      <w:lvlJc w:val="left"/>
      <w:pPr>
        <w:tabs>
          <w:tab w:val="num" w:pos="1200"/>
        </w:tabs>
        <w:ind w:left="1200"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AA9C937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5A42E4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76C2D0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8C86A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80EE07E"/>
    <w:lvl w:ilvl="0">
      <w:start w:val="1"/>
      <w:numFmt w:val="decimal"/>
      <w:lvlText w:val="%1."/>
      <w:lvlJc w:val="left"/>
      <w:pPr>
        <w:tabs>
          <w:tab w:val="num" w:pos="360"/>
        </w:tabs>
        <w:ind w:left="360" w:hanging="360"/>
      </w:pPr>
    </w:lvl>
  </w:abstractNum>
  <w:abstractNum w:abstractNumId="9">
    <w:nsid w:val="FFFFFF89"/>
    <w:multiLevelType w:val="singleLevel"/>
    <w:tmpl w:val="4DE0177E"/>
    <w:lvl w:ilvl="0">
      <w:start w:val="1"/>
      <w:numFmt w:val="bullet"/>
      <w:lvlText w:val=""/>
      <w:lvlJc w:val="left"/>
      <w:pPr>
        <w:tabs>
          <w:tab w:val="num" w:pos="360"/>
        </w:tabs>
        <w:ind w:left="360" w:hanging="360"/>
      </w:pPr>
      <w:rPr>
        <w:rFonts w:ascii="Wingdings" w:hAnsi="Wingdings"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10"/>
  </w:num>
  <w:num w:numId="4">
    <w:abstractNumId w:val="15"/>
  </w:num>
  <w:num w:numId="5">
    <w:abstractNumId w:val="16"/>
  </w:num>
  <w:num w:numId="6">
    <w:abstractNumId w:val="11"/>
  </w:num>
  <w:num w:numId="7">
    <w:abstractNumId w:val="18"/>
  </w:num>
  <w:num w:numId="8">
    <w:abstractNumId w:val="12"/>
  </w:num>
  <w:num w:numId="9">
    <w:abstractNumId w:val="19"/>
  </w:num>
  <w:num w:numId="10">
    <w:abstractNumId w:val="13"/>
  </w:num>
  <w:num w:numId="11">
    <w:abstractNumId w:val="8"/>
  </w:num>
  <w:num w:numId="12">
    <w:abstractNumId w:val="2"/>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774*"/>
    <w:docVar w:name="CreationDt" w:val="09/02/2016 17:37:32"/>
    <w:docVar w:name="DocCategory" w:val="Doc"/>
    <w:docVar w:name="DocType" w:val="Final"/>
    <w:docVar w:name="DutyStation" w:val="Geneva"/>
    <w:docVar w:name="FooterJN" w:val="GE.16-00774 (C)"/>
    <w:docVar w:name="jobn" w:val="GE.16-00774 (C)"/>
    <w:docVar w:name="jobnDT" w:val="16-00774 (C)   090216"/>
    <w:docVar w:name="jobnDTDT" w:val="16-00774 (C)   090216   090216"/>
    <w:docVar w:name="JobNo" w:val="GE.1600774C"/>
    <w:docVar w:name="LocalDrive" w:val="0"/>
    <w:docVar w:name="OandT" w:val="rnie"/>
    <w:docVar w:name="PaperSize" w:val="A4"/>
    <w:docVar w:name="sss1" w:val="A/HRC/31/44"/>
    <w:docVar w:name="sss2" w:val="-"/>
    <w:docVar w:name="Symbol1" w:val="A/HRC/31/44"/>
    <w:docVar w:name="Symbol2" w:val="-"/>
  </w:docVars>
  <w:rsids>
    <w:rsidRoot w:val="00507752"/>
    <w:rsid w:val="00000689"/>
    <w:rsid w:val="0000347C"/>
    <w:rsid w:val="0000715A"/>
    <w:rsid w:val="000101C8"/>
    <w:rsid w:val="000125BC"/>
    <w:rsid w:val="0001645E"/>
    <w:rsid w:val="0001726F"/>
    <w:rsid w:val="00021314"/>
    <w:rsid w:val="00021A2B"/>
    <w:rsid w:val="00024E72"/>
    <w:rsid w:val="000265DC"/>
    <w:rsid w:val="00030B44"/>
    <w:rsid w:val="00034465"/>
    <w:rsid w:val="000344BB"/>
    <w:rsid w:val="000364C7"/>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5FBF"/>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77AC9"/>
    <w:rsid w:val="001845DB"/>
    <w:rsid w:val="0018464E"/>
    <w:rsid w:val="001873A2"/>
    <w:rsid w:val="001944A4"/>
    <w:rsid w:val="001A4A37"/>
    <w:rsid w:val="001B0DFD"/>
    <w:rsid w:val="001B2814"/>
    <w:rsid w:val="001B4F95"/>
    <w:rsid w:val="001C1478"/>
    <w:rsid w:val="001C161F"/>
    <w:rsid w:val="001C1E0E"/>
    <w:rsid w:val="001C3329"/>
    <w:rsid w:val="001C3F7F"/>
    <w:rsid w:val="001C5166"/>
    <w:rsid w:val="001C7587"/>
    <w:rsid w:val="001D0354"/>
    <w:rsid w:val="001D225C"/>
    <w:rsid w:val="001D3F72"/>
    <w:rsid w:val="001D41AE"/>
    <w:rsid w:val="001E0ADA"/>
    <w:rsid w:val="001E20EC"/>
    <w:rsid w:val="001E340C"/>
    <w:rsid w:val="001E4442"/>
    <w:rsid w:val="001E5A51"/>
    <w:rsid w:val="001E6D37"/>
    <w:rsid w:val="001E7514"/>
    <w:rsid w:val="001F03A7"/>
    <w:rsid w:val="001F24BA"/>
    <w:rsid w:val="001F2F76"/>
    <w:rsid w:val="001F595B"/>
    <w:rsid w:val="001F6F25"/>
    <w:rsid w:val="00201C2E"/>
    <w:rsid w:val="00203760"/>
    <w:rsid w:val="00207135"/>
    <w:rsid w:val="00212008"/>
    <w:rsid w:val="002145EA"/>
    <w:rsid w:val="00215CA3"/>
    <w:rsid w:val="002200D0"/>
    <w:rsid w:val="00221884"/>
    <w:rsid w:val="0022603B"/>
    <w:rsid w:val="00230FAB"/>
    <w:rsid w:val="00231575"/>
    <w:rsid w:val="00232F4A"/>
    <w:rsid w:val="002342DA"/>
    <w:rsid w:val="00241DB7"/>
    <w:rsid w:val="002423D2"/>
    <w:rsid w:val="0024503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3DBA"/>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33790"/>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1682"/>
    <w:rsid w:val="00413FBC"/>
    <w:rsid w:val="00414423"/>
    <w:rsid w:val="0041733F"/>
    <w:rsid w:val="00420761"/>
    <w:rsid w:val="00433853"/>
    <w:rsid w:val="00440B0D"/>
    <w:rsid w:val="004411AD"/>
    <w:rsid w:val="004424EF"/>
    <w:rsid w:val="00447D8A"/>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5E2F"/>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4CCA"/>
    <w:rsid w:val="004E739A"/>
    <w:rsid w:val="004F29B8"/>
    <w:rsid w:val="004F3649"/>
    <w:rsid w:val="004F4BBB"/>
    <w:rsid w:val="004F4EFB"/>
    <w:rsid w:val="004F5333"/>
    <w:rsid w:val="004F5E26"/>
    <w:rsid w:val="0050413E"/>
    <w:rsid w:val="00507752"/>
    <w:rsid w:val="00512841"/>
    <w:rsid w:val="00515657"/>
    <w:rsid w:val="0051592B"/>
    <w:rsid w:val="00521275"/>
    <w:rsid w:val="0052216F"/>
    <w:rsid w:val="00523247"/>
    <w:rsid w:val="005232CA"/>
    <w:rsid w:val="00523636"/>
    <w:rsid w:val="005265B7"/>
    <w:rsid w:val="00530CBB"/>
    <w:rsid w:val="0053111B"/>
    <w:rsid w:val="005335B9"/>
    <w:rsid w:val="00536CCE"/>
    <w:rsid w:val="00537232"/>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265E"/>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54ABC"/>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556D"/>
    <w:rsid w:val="006E7A26"/>
    <w:rsid w:val="006F04EF"/>
    <w:rsid w:val="006F2B3D"/>
    <w:rsid w:val="006F6A4F"/>
    <w:rsid w:val="006F761A"/>
    <w:rsid w:val="006F7749"/>
    <w:rsid w:val="007016DF"/>
    <w:rsid w:val="007038D4"/>
    <w:rsid w:val="00704287"/>
    <w:rsid w:val="007052CC"/>
    <w:rsid w:val="00715C4B"/>
    <w:rsid w:val="00722965"/>
    <w:rsid w:val="00724400"/>
    <w:rsid w:val="00727343"/>
    <w:rsid w:val="007319E0"/>
    <w:rsid w:val="00731FBF"/>
    <w:rsid w:val="007328A2"/>
    <w:rsid w:val="00732A10"/>
    <w:rsid w:val="007345AA"/>
    <w:rsid w:val="0073491F"/>
    <w:rsid w:val="00735C21"/>
    <w:rsid w:val="007360DE"/>
    <w:rsid w:val="00737B00"/>
    <w:rsid w:val="007435A3"/>
    <w:rsid w:val="00747DB4"/>
    <w:rsid w:val="0075155C"/>
    <w:rsid w:val="00753A05"/>
    <w:rsid w:val="0075586B"/>
    <w:rsid w:val="00757193"/>
    <w:rsid w:val="007606E1"/>
    <w:rsid w:val="00761190"/>
    <w:rsid w:val="00766FD7"/>
    <w:rsid w:val="00770BE9"/>
    <w:rsid w:val="00774DE5"/>
    <w:rsid w:val="00776537"/>
    <w:rsid w:val="00780C90"/>
    <w:rsid w:val="00783A25"/>
    <w:rsid w:val="00784179"/>
    <w:rsid w:val="007843DB"/>
    <w:rsid w:val="007877F4"/>
    <w:rsid w:val="007A6421"/>
    <w:rsid w:val="007A6A3A"/>
    <w:rsid w:val="007B1B95"/>
    <w:rsid w:val="007B2492"/>
    <w:rsid w:val="007B394B"/>
    <w:rsid w:val="007B6BAE"/>
    <w:rsid w:val="007C10AC"/>
    <w:rsid w:val="007C5623"/>
    <w:rsid w:val="007C6FC5"/>
    <w:rsid w:val="007C74B9"/>
    <w:rsid w:val="007D441A"/>
    <w:rsid w:val="007D518C"/>
    <w:rsid w:val="007E0D70"/>
    <w:rsid w:val="007E1B5E"/>
    <w:rsid w:val="007E6253"/>
    <w:rsid w:val="007F2278"/>
    <w:rsid w:val="007F3518"/>
    <w:rsid w:val="008006AB"/>
    <w:rsid w:val="00803014"/>
    <w:rsid w:val="00805783"/>
    <w:rsid w:val="00806CEF"/>
    <w:rsid w:val="00806F57"/>
    <w:rsid w:val="00806F90"/>
    <w:rsid w:val="00814156"/>
    <w:rsid w:val="008151D2"/>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5D3C"/>
    <w:rsid w:val="00896D38"/>
    <w:rsid w:val="008A0216"/>
    <w:rsid w:val="008A0650"/>
    <w:rsid w:val="008A0EBE"/>
    <w:rsid w:val="008A1208"/>
    <w:rsid w:val="008A1C43"/>
    <w:rsid w:val="008A2B4C"/>
    <w:rsid w:val="008B0240"/>
    <w:rsid w:val="008B0349"/>
    <w:rsid w:val="008B1481"/>
    <w:rsid w:val="008B5DE8"/>
    <w:rsid w:val="008B6642"/>
    <w:rsid w:val="008C076B"/>
    <w:rsid w:val="008C2CD4"/>
    <w:rsid w:val="008C3296"/>
    <w:rsid w:val="008C3413"/>
    <w:rsid w:val="008D1EA6"/>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34AC9"/>
    <w:rsid w:val="0094117F"/>
    <w:rsid w:val="009415CD"/>
    <w:rsid w:val="00946C87"/>
    <w:rsid w:val="00957134"/>
    <w:rsid w:val="0096193C"/>
    <w:rsid w:val="009709C6"/>
    <w:rsid w:val="009769E1"/>
    <w:rsid w:val="00977E0D"/>
    <w:rsid w:val="00982D5C"/>
    <w:rsid w:val="00986132"/>
    <w:rsid w:val="00986C04"/>
    <w:rsid w:val="009932F9"/>
    <w:rsid w:val="00995FBA"/>
    <w:rsid w:val="00996A2D"/>
    <w:rsid w:val="009A11E3"/>
    <w:rsid w:val="009A2F76"/>
    <w:rsid w:val="009A6913"/>
    <w:rsid w:val="009B1250"/>
    <w:rsid w:val="009B378F"/>
    <w:rsid w:val="009B6787"/>
    <w:rsid w:val="009C600E"/>
    <w:rsid w:val="009C7B18"/>
    <w:rsid w:val="009D00AA"/>
    <w:rsid w:val="009D0B10"/>
    <w:rsid w:val="009D2AC2"/>
    <w:rsid w:val="009E1774"/>
    <w:rsid w:val="009E2668"/>
    <w:rsid w:val="009E40A3"/>
    <w:rsid w:val="009E5C8C"/>
    <w:rsid w:val="009F10B1"/>
    <w:rsid w:val="009F3634"/>
    <w:rsid w:val="009F3D89"/>
    <w:rsid w:val="009F3FD7"/>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026C"/>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C7E8D"/>
    <w:rsid w:val="00BD1B08"/>
    <w:rsid w:val="00BD1BFF"/>
    <w:rsid w:val="00BD2150"/>
    <w:rsid w:val="00BE1CC3"/>
    <w:rsid w:val="00BE1CDE"/>
    <w:rsid w:val="00BE365A"/>
    <w:rsid w:val="00BE47C4"/>
    <w:rsid w:val="00BE50EF"/>
    <w:rsid w:val="00BF6341"/>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53DF0"/>
    <w:rsid w:val="00C54520"/>
    <w:rsid w:val="00C60D8E"/>
    <w:rsid w:val="00C62EF9"/>
    <w:rsid w:val="00C650F5"/>
    <w:rsid w:val="00C672B6"/>
    <w:rsid w:val="00C75600"/>
    <w:rsid w:val="00C76854"/>
    <w:rsid w:val="00C847BD"/>
    <w:rsid w:val="00C900C5"/>
    <w:rsid w:val="00C92812"/>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46F"/>
    <w:rsid w:val="00CD76BE"/>
    <w:rsid w:val="00CE07C5"/>
    <w:rsid w:val="00CE11A2"/>
    <w:rsid w:val="00CE1F38"/>
    <w:rsid w:val="00CE474E"/>
    <w:rsid w:val="00CE4CEF"/>
    <w:rsid w:val="00CE64AC"/>
    <w:rsid w:val="00CE7DFC"/>
    <w:rsid w:val="00CF02D3"/>
    <w:rsid w:val="00CF060B"/>
    <w:rsid w:val="00CF09D0"/>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5891"/>
    <w:rsid w:val="00D46BC5"/>
    <w:rsid w:val="00D51DC5"/>
    <w:rsid w:val="00D53449"/>
    <w:rsid w:val="00D5525A"/>
    <w:rsid w:val="00D613E0"/>
    <w:rsid w:val="00D676D7"/>
    <w:rsid w:val="00D71517"/>
    <w:rsid w:val="00D7168D"/>
    <w:rsid w:val="00D71A15"/>
    <w:rsid w:val="00D83D1B"/>
    <w:rsid w:val="00D86A32"/>
    <w:rsid w:val="00D874E1"/>
    <w:rsid w:val="00D90B36"/>
    <w:rsid w:val="00D950BE"/>
    <w:rsid w:val="00D9586D"/>
    <w:rsid w:val="00D95A8C"/>
    <w:rsid w:val="00D964B9"/>
    <w:rsid w:val="00D9749C"/>
    <w:rsid w:val="00DA49C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1BFB"/>
    <w:rsid w:val="00E130AD"/>
    <w:rsid w:val="00E16655"/>
    <w:rsid w:val="00E16A6B"/>
    <w:rsid w:val="00E209D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2648"/>
    <w:rsid w:val="00EC669D"/>
    <w:rsid w:val="00EC6F21"/>
    <w:rsid w:val="00ED2708"/>
    <w:rsid w:val="00ED2D39"/>
    <w:rsid w:val="00ED3A3A"/>
    <w:rsid w:val="00EE0913"/>
    <w:rsid w:val="00EF23C4"/>
    <w:rsid w:val="00EF2DB0"/>
    <w:rsid w:val="00EF36AA"/>
    <w:rsid w:val="00EF4343"/>
    <w:rsid w:val="00EF695D"/>
    <w:rsid w:val="00EF6CA2"/>
    <w:rsid w:val="00F01440"/>
    <w:rsid w:val="00F020E7"/>
    <w:rsid w:val="00F03676"/>
    <w:rsid w:val="00F04C64"/>
    <w:rsid w:val="00F057A4"/>
    <w:rsid w:val="00F13305"/>
    <w:rsid w:val="00F1516C"/>
    <w:rsid w:val="00F26864"/>
    <w:rsid w:val="00F3596A"/>
    <w:rsid w:val="00F40463"/>
    <w:rsid w:val="00F44A01"/>
    <w:rsid w:val="00F44A2C"/>
    <w:rsid w:val="00F50336"/>
    <w:rsid w:val="00F55E5B"/>
    <w:rsid w:val="00F569BC"/>
    <w:rsid w:val="00F6174D"/>
    <w:rsid w:val="00F62E3F"/>
    <w:rsid w:val="00F66E5C"/>
    <w:rsid w:val="00F67F90"/>
    <w:rsid w:val="00F708D7"/>
    <w:rsid w:val="00F77B3E"/>
    <w:rsid w:val="00F82ED8"/>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FollowedHyperlink" w:uiPriority="99"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0364C7"/>
    <w:pPr>
      <w:keepNext/>
      <w:keepLines/>
      <w:tabs>
        <w:tab w:val="left" w:pos="431"/>
      </w:tabs>
      <w:adjustRightInd w:val="0"/>
      <w:snapToGrid w:val="0"/>
      <w:spacing w:before="200" w:line="276" w:lineRule="auto"/>
      <w:jc w:val="left"/>
      <w:outlineLvl w:val="3"/>
    </w:pPr>
    <w:rPr>
      <w:rFonts w:eastAsia="Times New Roman"/>
      <w:b/>
      <w:bCs/>
      <w:i/>
      <w:iCs/>
      <w:color w:val="4F81BD" w:themeColor="accent1"/>
      <w:kern w:val="0"/>
      <w:sz w:val="22"/>
      <w:szCs w:val="21"/>
    </w:rPr>
  </w:style>
  <w:style w:type="paragraph" w:styleId="Heading5">
    <w:name w:val="heading 5"/>
    <w:basedOn w:val="Normal"/>
    <w:next w:val="Normal"/>
    <w:link w:val="Heading5Char"/>
    <w:uiPriority w:val="9"/>
    <w:semiHidden/>
    <w:qFormat/>
    <w:rsid w:val="000364C7"/>
    <w:pPr>
      <w:keepNext/>
      <w:keepLines/>
      <w:tabs>
        <w:tab w:val="left" w:pos="431"/>
      </w:tabs>
      <w:adjustRightInd w:val="0"/>
      <w:snapToGrid w:val="0"/>
      <w:spacing w:before="200" w:line="276" w:lineRule="auto"/>
      <w:jc w:val="left"/>
      <w:outlineLvl w:val="4"/>
    </w:pPr>
    <w:rPr>
      <w:rFonts w:eastAsia="Times New Roman"/>
      <w:color w:val="243F60" w:themeColor="accent1" w:themeShade="7F"/>
      <w:kern w:val="0"/>
      <w:sz w:val="22"/>
      <w:szCs w:val="21"/>
    </w:rPr>
  </w:style>
  <w:style w:type="paragraph" w:styleId="Heading6">
    <w:name w:val="heading 6"/>
    <w:basedOn w:val="Normal"/>
    <w:next w:val="Normal"/>
    <w:link w:val="Heading6Char"/>
    <w:uiPriority w:val="9"/>
    <w:semiHidden/>
    <w:qFormat/>
    <w:rsid w:val="000364C7"/>
    <w:pPr>
      <w:keepNext/>
      <w:keepLines/>
      <w:tabs>
        <w:tab w:val="left" w:pos="431"/>
      </w:tabs>
      <w:adjustRightInd w:val="0"/>
      <w:snapToGrid w:val="0"/>
      <w:spacing w:before="200" w:line="276" w:lineRule="auto"/>
      <w:jc w:val="left"/>
      <w:outlineLvl w:val="5"/>
    </w:pPr>
    <w:rPr>
      <w:rFonts w:eastAsia="Times New Roman"/>
      <w:i/>
      <w:iCs/>
      <w:color w:val="243F60" w:themeColor="accent1" w:themeShade="7F"/>
      <w:kern w:val="0"/>
      <w:sz w:val="22"/>
      <w:szCs w:val="21"/>
    </w:rPr>
  </w:style>
  <w:style w:type="paragraph" w:styleId="Heading7">
    <w:name w:val="heading 7"/>
    <w:basedOn w:val="Normal"/>
    <w:next w:val="Normal"/>
    <w:link w:val="Heading7Char"/>
    <w:uiPriority w:val="9"/>
    <w:semiHidden/>
    <w:qFormat/>
    <w:rsid w:val="000364C7"/>
    <w:pPr>
      <w:keepNext/>
      <w:keepLines/>
      <w:tabs>
        <w:tab w:val="left" w:pos="431"/>
      </w:tabs>
      <w:adjustRightInd w:val="0"/>
      <w:snapToGrid w:val="0"/>
      <w:spacing w:before="200" w:line="276" w:lineRule="auto"/>
      <w:jc w:val="left"/>
      <w:outlineLvl w:val="6"/>
    </w:pPr>
    <w:rPr>
      <w:rFonts w:eastAsia="Times New Roman"/>
      <w:i/>
      <w:iCs/>
      <w:color w:val="404040" w:themeColor="text1" w:themeTint="BF"/>
      <w:kern w:val="0"/>
      <w:sz w:val="22"/>
      <w:szCs w:val="21"/>
    </w:rPr>
  </w:style>
  <w:style w:type="paragraph" w:styleId="Heading8">
    <w:name w:val="heading 8"/>
    <w:basedOn w:val="Normal"/>
    <w:next w:val="Normal"/>
    <w:link w:val="Heading8Char"/>
    <w:uiPriority w:val="9"/>
    <w:semiHidden/>
    <w:qFormat/>
    <w:rsid w:val="000364C7"/>
    <w:pPr>
      <w:keepNext/>
      <w:keepLines/>
      <w:tabs>
        <w:tab w:val="left" w:pos="431"/>
      </w:tabs>
      <w:adjustRightInd w:val="0"/>
      <w:snapToGrid w:val="0"/>
      <w:spacing w:before="200" w:line="276" w:lineRule="auto"/>
      <w:jc w:val="left"/>
      <w:outlineLvl w:val="7"/>
    </w:pPr>
    <w:rPr>
      <w:rFonts w:eastAsia="Times New Roman"/>
      <w:color w:val="4F81BD" w:themeColor="accent1"/>
      <w:kern w:val="0"/>
      <w:szCs w:val="21"/>
    </w:rPr>
  </w:style>
  <w:style w:type="paragraph" w:styleId="Heading9">
    <w:name w:val="heading 9"/>
    <w:basedOn w:val="Normal"/>
    <w:next w:val="Normal"/>
    <w:link w:val="Heading9Char"/>
    <w:uiPriority w:val="9"/>
    <w:semiHidden/>
    <w:qFormat/>
    <w:rsid w:val="000364C7"/>
    <w:pPr>
      <w:keepNext/>
      <w:keepLines/>
      <w:tabs>
        <w:tab w:val="left" w:pos="431"/>
      </w:tabs>
      <w:adjustRightInd w:val="0"/>
      <w:snapToGrid w:val="0"/>
      <w:spacing w:before="200" w:line="276" w:lineRule="auto"/>
      <w:jc w:val="left"/>
      <w:outlineLvl w:val="8"/>
    </w:pPr>
    <w:rPr>
      <w:rFonts w:eastAsia="Times New Roman"/>
      <w:i/>
      <w:iCs/>
      <w:color w:val="404040" w:themeColor="text1" w:themeTint="BF"/>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SingleTxt"/>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A1297E"/>
    <w:rPr>
      <w:color w:val="943634" w:themeColor="accent2" w:themeShade="BF"/>
      <w:spacing w:val="0"/>
      <w:w w:val="150"/>
      <w:position w:val="0"/>
      <w:vertAlign w:val="superscript"/>
    </w:rPr>
  </w:style>
  <w:style w:type="character" w:styleId="EndnoteReference">
    <w:name w:val="endnote reference"/>
    <w:basedOn w:val="FootnoteReference"/>
    <w:qFormat/>
    <w:rsid w:val="00A1297E"/>
    <w:rPr>
      <w:color w:val="943634" w:themeColor="accent2" w:themeShade="BF"/>
      <w:spacing w:val="0"/>
      <w:w w:val="150"/>
      <w:position w:val="0"/>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qFormat/>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uiPriority w:val="99"/>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qFormat/>
    <w:rsid w:val="001E5A51"/>
    <w:pPr>
      <w:tabs>
        <w:tab w:val="center" w:pos="4320"/>
        <w:tab w:val="right" w:pos="8640"/>
      </w:tabs>
      <w:jc w:val="both"/>
    </w:pPr>
    <w:rPr>
      <w:noProof/>
      <w:sz w:val="18"/>
      <w:lang w:val="en-US"/>
    </w:rPr>
  </w:style>
  <w:style w:type="paragraph" w:styleId="Footer">
    <w:name w:val="footer"/>
    <w:link w:val="FooterChar"/>
    <w:uiPriority w:val="99"/>
    <w:qFormat/>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uiPriority w:val="9"/>
    <w:semiHidden/>
    <w:rsid w:val="000364C7"/>
    <w:rPr>
      <w:rFonts w:eastAsia="Times New Roman"/>
      <w:b/>
      <w:bCs/>
      <w:i/>
      <w:iCs/>
      <w:color w:val="4F81BD" w:themeColor="accent1"/>
      <w:sz w:val="22"/>
      <w:szCs w:val="21"/>
      <w:lang w:val="en-US"/>
    </w:rPr>
  </w:style>
  <w:style w:type="character" w:customStyle="1" w:styleId="Heading5Char">
    <w:name w:val="Heading 5 Char"/>
    <w:basedOn w:val="DefaultParagraphFont"/>
    <w:link w:val="Heading5"/>
    <w:uiPriority w:val="9"/>
    <w:semiHidden/>
    <w:rsid w:val="000364C7"/>
    <w:rPr>
      <w:rFonts w:eastAsia="Times New Roman"/>
      <w:color w:val="243F60" w:themeColor="accent1" w:themeShade="7F"/>
      <w:sz w:val="22"/>
      <w:szCs w:val="21"/>
      <w:lang w:val="en-US"/>
    </w:rPr>
  </w:style>
  <w:style w:type="character" w:customStyle="1" w:styleId="Heading6Char">
    <w:name w:val="Heading 6 Char"/>
    <w:basedOn w:val="DefaultParagraphFont"/>
    <w:link w:val="Heading6"/>
    <w:uiPriority w:val="9"/>
    <w:semiHidden/>
    <w:rsid w:val="000364C7"/>
    <w:rPr>
      <w:rFonts w:eastAsia="Times New Roman"/>
      <w:i/>
      <w:iCs/>
      <w:color w:val="243F60" w:themeColor="accent1" w:themeShade="7F"/>
      <w:sz w:val="22"/>
      <w:szCs w:val="21"/>
      <w:lang w:val="en-US"/>
    </w:rPr>
  </w:style>
  <w:style w:type="character" w:customStyle="1" w:styleId="Heading7Char">
    <w:name w:val="Heading 7 Char"/>
    <w:basedOn w:val="DefaultParagraphFont"/>
    <w:link w:val="Heading7"/>
    <w:uiPriority w:val="9"/>
    <w:semiHidden/>
    <w:rsid w:val="000364C7"/>
    <w:rPr>
      <w:rFonts w:eastAsia="Times New Roman"/>
      <w:i/>
      <w:iCs/>
      <w:color w:val="404040" w:themeColor="text1" w:themeTint="BF"/>
      <w:sz w:val="22"/>
      <w:szCs w:val="21"/>
      <w:lang w:val="en-US"/>
    </w:rPr>
  </w:style>
  <w:style w:type="character" w:customStyle="1" w:styleId="Heading8Char">
    <w:name w:val="Heading 8 Char"/>
    <w:basedOn w:val="DefaultParagraphFont"/>
    <w:link w:val="Heading8"/>
    <w:uiPriority w:val="9"/>
    <w:semiHidden/>
    <w:rsid w:val="000364C7"/>
    <w:rPr>
      <w:rFonts w:eastAsia="Times New Roman"/>
      <w:color w:val="4F81BD" w:themeColor="accent1"/>
      <w:sz w:val="21"/>
      <w:szCs w:val="21"/>
      <w:lang w:val="en-US"/>
    </w:rPr>
  </w:style>
  <w:style w:type="character" w:customStyle="1" w:styleId="Heading9Char">
    <w:name w:val="Heading 9 Char"/>
    <w:basedOn w:val="DefaultParagraphFont"/>
    <w:link w:val="Heading9"/>
    <w:uiPriority w:val="9"/>
    <w:semiHidden/>
    <w:rsid w:val="000364C7"/>
    <w:rPr>
      <w:rFonts w:eastAsia="Times New Roman"/>
      <w:i/>
      <w:iCs/>
      <w:color w:val="404040" w:themeColor="text1" w:themeTint="BF"/>
      <w:sz w:val="21"/>
      <w:szCs w:val="21"/>
      <w:lang w:val="en-US"/>
    </w:rPr>
  </w:style>
  <w:style w:type="paragraph" w:customStyle="1" w:styleId="HMGC">
    <w:name w:val="_ H __M_GC"/>
    <w:basedOn w:val="Normal"/>
    <w:next w:val="Normal"/>
    <w:qFormat/>
    <w:rsid w:val="000364C7"/>
    <w:pPr>
      <w:keepNext/>
      <w:keepLines/>
      <w:tabs>
        <w:tab w:val="right" w:pos="851"/>
      </w:tabs>
      <w:adjustRightInd w:val="0"/>
      <w:snapToGrid w:val="0"/>
      <w:spacing w:before="240" w:after="240" w:line="440" w:lineRule="exact"/>
      <w:ind w:left="1134" w:right="1134" w:hanging="1134"/>
      <w:jc w:val="left"/>
      <w:outlineLvl w:val="0"/>
    </w:pPr>
    <w:rPr>
      <w:rFonts w:eastAsia="SimHei"/>
      <w:snapToGrid w:val="0"/>
      <w:kern w:val="0"/>
      <w:sz w:val="34"/>
      <w:szCs w:val="34"/>
    </w:rPr>
  </w:style>
  <w:style w:type="paragraph" w:customStyle="1" w:styleId="HChGC">
    <w:name w:val="_ H _Ch_GC"/>
    <w:basedOn w:val="Normal"/>
    <w:next w:val="Normal"/>
    <w:qFormat/>
    <w:rsid w:val="000364C7"/>
    <w:pPr>
      <w:keepNext/>
      <w:keepLines/>
      <w:tabs>
        <w:tab w:val="right" w:pos="851"/>
      </w:tabs>
      <w:adjustRightInd w:val="0"/>
      <w:snapToGrid w:val="0"/>
      <w:spacing w:before="360" w:after="240" w:line="400" w:lineRule="exact"/>
      <w:ind w:left="1134" w:right="1134" w:hanging="1134"/>
      <w:jc w:val="left"/>
      <w:outlineLvl w:val="1"/>
    </w:pPr>
    <w:rPr>
      <w:rFonts w:eastAsia="SimHei"/>
      <w:snapToGrid w:val="0"/>
      <w:kern w:val="0"/>
      <w:sz w:val="28"/>
      <w:szCs w:val="28"/>
    </w:rPr>
  </w:style>
  <w:style w:type="paragraph" w:customStyle="1" w:styleId="H1GC">
    <w:name w:val="_ H_1_GC"/>
    <w:basedOn w:val="Normal"/>
    <w:next w:val="Normal"/>
    <w:qFormat/>
    <w:rsid w:val="000364C7"/>
    <w:pPr>
      <w:keepNext/>
      <w:keepLines/>
      <w:tabs>
        <w:tab w:val="right" w:pos="851"/>
      </w:tabs>
      <w:adjustRightInd w:val="0"/>
      <w:snapToGrid w:val="0"/>
      <w:spacing w:before="360" w:after="240"/>
      <w:ind w:left="1134" w:right="1134" w:hanging="1134"/>
      <w:jc w:val="left"/>
      <w:outlineLvl w:val="2"/>
    </w:pPr>
    <w:rPr>
      <w:rFonts w:eastAsia="SimHei"/>
      <w:snapToGrid w:val="0"/>
      <w:kern w:val="0"/>
      <w:sz w:val="24"/>
      <w:szCs w:val="24"/>
    </w:rPr>
  </w:style>
  <w:style w:type="paragraph" w:customStyle="1" w:styleId="H23GC">
    <w:name w:val="_ H_2/3_GC"/>
    <w:basedOn w:val="Normal"/>
    <w:next w:val="Normal"/>
    <w:qFormat/>
    <w:rsid w:val="000364C7"/>
    <w:pPr>
      <w:keepNext/>
      <w:keepLines/>
      <w:tabs>
        <w:tab w:val="right" w:pos="851"/>
      </w:tabs>
      <w:adjustRightInd w:val="0"/>
      <w:snapToGrid w:val="0"/>
      <w:spacing w:before="240" w:after="120"/>
      <w:ind w:left="1134" w:right="1134" w:hanging="1134"/>
      <w:jc w:val="left"/>
      <w:outlineLvl w:val="3"/>
    </w:pPr>
    <w:rPr>
      <w:rFonts w:eastAsia="SimHei"/>
      <w:kern w:val="0"/>
      <w:sz w:val="22"/>
      <w:szCs w:val="22"/>
    </w:rPr>
  </w:style>
  <w:style w:type="paragraph" w:customStyle="1" w:styleId="H4GC">
    <w:name w:val="_ H_4_GC"/>
    <w:basedOn w:val="Normal"/>
    <w:next w:val="Normal"/>
    <w:qFormat/>
    <w:rsid w:val="000364C7"/>
    <w:pPr>
      <w:keepNext/>
      <w:keepLines/>
      <w:tabs>
        <w:tab w:val="right" w:pos="851"/>
      </w:tabs>
      <w:adjustRightInd w:val="0"/>
      <w:snapToGrid w:val="0"/>
      <w:spacing w:before="240" w:after="120"/>
      <w:ind w:left="1134" w:right="1134" w:hanging="1134"/>
      <w:jc w:val="left"/>
      <w:outlineLvl w:val="4"/>
    </w:pPr>
    <w:rPr>
      <w:rFonts w:eastAsia="楷体"/>
      <w:snapToGrid w:val="0"/>
      <w:kern w:val="0"/>
      <w:sz w:val="23"/>
      <w:szCs w:val="23"/>
    </w:rPr>
  </w:style>
  <w:style w:type="paragraph" w:customStyle="1" w:styleId="H56GC">
    <w:name w:val="_ H_5/6_GC"/>
    <w:basedOn w:val="Normal"/>
    <w:next w:val="Normal"/>
    <w:qFormat/>
    <w:rsid w:val="000364C7"/>
    <w:pPr>
      <w:keepNext/>
      <w:keepLines/>
      <w:tabs>
        <w:tab w:val="right" w:pos="851"/>
      </w:tabs>
      <w:adjustRightInd w:val="0"/>
      <w:snapToGrid w:val="0"/>
      <w:spacing w:before="240" w:after="120"/>
      <w:ind w:left="1134" w:right="1134" w:hanging="1134"/>
      <w:jc w:val="left"/>
      <w:outlineLvl w:val="5"/>
    </w:pPr>
    <w:rPr>
      <w:snapToGrid w:val="0"/>
      <w:kern w:val="0"/>
      <w:szCs w:val="21"/>
    </w:rPr>
  </w:style>
  <w:style w:type="paragraph" w:customStyle="1" w:styleId="SingleTxtGC">
    <w:name w:val="_ Single Txt_GC"/>
    <w:basedOn w:val="Normal"/>
    <w:link w:val="SingleTxtGCChar"/>
    <w:qFormat/>
    <w:rsid w:val="000364C7"/>
    <w:pPr>
      <w:tabs>
        <w:tab w:val="left" w:pos="431"/>
        <w:tab w:val="left" w:pos="1134"/>
        <w:tab w:val="left" w:pos="1565"/>
        <w:tab w:val="left" w:pos="1996"/>
        <w:tab w:val="left" w:pos="2427"/>
      </w:tabs>
      <w:adjustRightInd w:val="0"/>
      <w:snapToGrid w:val="0"/>
      <w:spacing w:after="120"/>
      <w:ind w:left="1134" w:right="1134"/>
      <w:jc w:val="left"/>
    </w:pPr>
    <w:rPr>
      <w:snapToGrid w:val="0"/>
      <w:kern w:val="0"/>
      <w:szCs w:val="21"/>
    </w:rPr>
  </w:style>
  <w:style w:type="character" w:customStyle="1" w:styleId="SingleTxtGCChar">
    <w:name w:val="_ Single Txt_GC Char"/>
    <w:basedOn w:val="DefaultParagraphFont"/>
    <w:link w:val="SingleTxtGC"/>
    <w:locked/>
    <w:rsid w:val="000364C7"/>
    <w:rPr>
      <w:rFonts w:eastAsia="SimSun"/>
      <w:snapToGrid w:val="0"/>
      <w:sz w:val="21"/>
      <w:szCs w:val="21"/>
      <w:lang w:val="en-US"/>
    </w:rPr>
  </w:style>
  <w:style w:type="paragraph" w:customStyle="1" w:styleId="SLGC">
    <w:name w:val="__S_L_GC"/>
    <w:basedOn w:val="Normal"/>
    <w:next w:val="Normal"/>
    <w:qFormat/>
    <w:rsid w:val="000364C7"/>
    <w:pPr>
      <w:keepNext/>
      <w:keepLines/>
      <w:tabs>
        <w:tab w:val="left" w:pos="431"/>
      </w:tabs>
      <w:adjustRightInd w:val="0"/>
      <w:snapToGrid w:val="0"/>
      <w:spacing w:before="240" w:after="240" w:line="560" w:lineRule="exact"/>
      <w:ind w:left="1134" w:right="1134"/>
      <w:jc w:val="left"/>
    </w:pPr>
    <w:rPr>
      <w:rFonts w:eastAsia="SimHei"/>
      <w:snapToGrid w:val="0"/>
      <w:kern w:val="0"/>
      <w:sz w:val="56"/>
      <w:szCs w:val="56"/>
    </w:rPr>
  </w:style>
  <w:style w:type="paragraph" w:customStyle="1" w:styleId="SMGC">
    <w:name w:val="__S_M_GC"/>
    <w:basedOn w:val="Normal"/>
    <w:next w:val="Normal"/>
    <w:qFormat/>
    <w:rsid w:val="000364C7"/>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SSGC">
    <w:name w:val="__S_S_GC"/>
    <w:basedOn w:val="Normal"/>
    <w:next w:val="Normal"/>
    <w:qFormat/>
    <w:rsid w:val="000364C7"/>
    <w:pPr>
      <w:keepNext/>
      <w:keepLines/>
      <w:tabs>
        <w:tab w:val="left" w:pos="431"/>
      </w:tabs>
      <w:adjustRightInd w:val="0"/>
      <w:snapToGrid w:val="0"/>
      <w:spacing w:before="240" w:after="240" w:line="300" w:lineRule="exact"/>
      <w:ind w:left="1134" w:right="1134"/>
      <w:jc w:val="left"/>
    </w:pPr>
    <w:rPr>
      <w:rFonts w:eastAsia="SimHei"/>
      <w:snapToGrid w:val="0"/>
      <w:kern w:val="0"/>
      <w:sz w:val="28"/>
      <w:szCs w:val="21"/>
    </w:rPr>
  </w:style>
  <w:style w:type="paragraph" w:customStyle="1" w:styleId="XLargeGC">
    <w:name w:val="__XLarge_GC"/>
    <w:basedOn w:val="Normal"/>
    <w:next w:val="Normal"/>
    <w:qFormat/>
    <w:rsid w:val="000364C7"/>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Bullet1GC">
    <w:name w:val="_Bullet 1_GC"/>
    <w:basedOn w:val="Normal"/>
    <w:qFormat/>
    <w:rsid w:val="000364C7"/>
    <w:pPr>
      <w:numPr>
        <w:numId w:val="8"/>
      </w:numPr>
      <w:tabs>
        <w:tab w:val="left" w:pos="431"/>
      </w:tabs>
      <w:adjustRightInd w:val="0"/>
      <w:snapToGrid w:val="0"/>
      <w:spacing w:after="120"/>
      <w:ind w:right="1134"/>
      <w:jc w:val="left"/>
    </w:pPr>
    <w:rPr>
      <w:snapToGrid w:val="0"/>
      <w:kern w:val="0"/>
      <w:szCs w:val="21"/>
    </w:rPr>
  </w:style>
  <w:style w:type="paragraph" w:customStyle="1" w:styleId="Bullet2GC">
    <w:name w:val="_Bullet 2_GC"/>
    <w:basedOn w:val="Normal"/>
    <w:qFormat/>
    <w:rsid w:val="000364C7"/>
    <w:pPr>
      <w:numPr>
        <w:numId w:val="9"/>
      </w:numPr>
      <w:tabs>
        <w:tab w:val="left" w:pos="431"/>
      </w:tabs>
      <w:adjustRightInd w:val="0"/>
      <w:snapToGrid w:val="0"/>
      <w:spacing w:after="120"/>
      <w:ind w:right="1134"/>
      <w:jc w:val="left"/>
    </w:pPr>
    <w:rPr>
      <w:snapToGrid w:val="0"/>
      <w:kern w:val="0"/>
      <w:szCs w:val="21"/>
    </w:rPr>
  </w:style>
  <w:style w:type="paragraph" w:customStyle="1" w:styleId="DashGC">
    <w:name w:val="_Dash_GC"/>
    <w:basedOn w:val="Normal"/>
    <w:qFormat/>
    <w:rsid w:val="000364C7"/>
    <w:pPr>
      <w:numPr>
        <w:numId w:val="10"/>
      </w:numPr>
      <w:tabs>
        <w:tab w:val="left" w:pos="431"/>
      </w:tabs>
      <w:adjustRightInd w:val="0"/>
      <w:snapToGrid w:val="0"/>
      <w:spacing w:after="120"/>
      <w:ind w:right="1134"/>
      <w:jc w:val="left"/>
    </w:pPr>
    <w:rPr>
      <w:snapToGrid w:val="0"/>
      <w:kern w:val="0"/>
      <w:szCs w:val="21"/>
      <w:lang w:val="fr-CH"/>
    </w:rPr>
  </w:style>
  <w:style w:type="paragraph" w:customStyle="1" w:styleId="a">
    <w:name w:val="表数文字"/>
    <w:basedOn w:val="Normal"/>
    <w:qFormat/>
    <w:rsid w:val="000364C7"/>
    <w:pPr>
      <w:tabs>
        <w:tab w:val="left" w:pos="431"/>
        <w:tab w:val="left" w:pos="1134"/>
        <w:tab w:val="left" w:pos="1565"/>
        <w:tab w:val="left" w:pos="1996"/>
        <w:tab w:val="left" w:pos="2427"/>
      </w:tabs>
      <w:adjustRightInd w:val="0"/>
      <w:snapToGrid w:val="0"/>
      <w:spacing w:before="40" w:after="40" w:line="240" w:lineRule="atLeast"/>
      <w:ind w:right="113"/>
      <w:jc w:val="left"/>
    </w:pPr>
    <w:rPr>
      <w:snapToGrid w:val="0"/>
      <w:kern w:val="0"/>
      <w:sz w:val="18"/>
      <w:szCs w:val="18"/>
    </w:rPr>
  </w:style>
  <w:style w:type="paragraph" w:customStyle="1" w:styleId="a0">
    <w:name w:val="表中标题"/>
    <w:basedOn w:val="Normal"/>
    <w:qFormat/>
    <w:rsid w:val="000364C7"/>
    <w:pPr>
      <w:tabs>
        <w:tab w:val="left" w:pos="431"/>
        <w:tab w:val="left" w:pos="1134"/>
        <w:tab w:val="left" w:pos="1565"/>
        <w:tab w:val="left" w:pos="1996"/>
        <w:tab w:val="left" w:pos="2427"/>
      </w:tabs>
      <w:adjustRightInd w:val="0"/>
      <w:snapToGrid w:val="0"/>
      <w:spacing w:before="80" w:after="80" w:line="200" w:lineRule="exact"/>
      <w:ind w:right="113"/>
      <w:jc w:val="left"/>
    </w:pPr>
    <w:rPr>
      <w:rFonts w:eastAsia="楷体"/>
      <w:snapToGrid w:val="0"/>
      <w:kern w:val="0"/>
      <w:sz w:val="18"/>
      <w:szCs w:val="21"/>
    </w:rPr>
  </w:style>
  <w:style w:type="paragraph" w:customStyle="1" w:styleId="a1">
    <w:name w:val="表中文字"/>
    <w:basedOn w:val="Normal"/>
    <w:qFormat/>
    <w:rsid w:val="000364C7"/>
    <w:pPr>
      <w:tabs>
        <w:tab w:val="left" w:pos="431"/>
        <w:tab w:val="left" w:pos="1134"/>
        <w:tab w:val="left" w:pos="1565"/>
        <w:tab w:val="left" w:pos="1996"/>
        <w:tab w:val="left" w:pos="2427"/>
      </w:tabs>
      <w:adjustRightInd w:val="0"/>
      <w:snapToGrid w:val="0"/>
      <w:spacing w:before="40" w:line="240" w:lineRule="atLeast"/>
      <w:ind w:right="113"/>
      <w:jc w:val="left"/>
    </w:pPr>
    <w:rPr>
      <w:snapToGrid w:val="0"/>
      <w:kern w:val="0"/>
      <w:sz w:val="18"/>
      <w:szCs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0364C7"/>
    <w:rPr>
      <w:rFonts w:eastAsia="SimSun"/>
      <w:noProof/>
      <w:kern w:val="14"/>
      <w:sz w:val="18"/>
      <w:lang w:val="en-US"/>
    </w:rPr>
  </w:style>
  <w:style w:type="paragraph" w:customStyle="1" w:styleId="a2">
    <w:name w:val="目录段页次"/>
    <w:basedOn w:val="Normal"/>
    <w:qFormat/>
    <w:rsid w:val="000364C7"/>
    <w:pPr>
      <w:tabs>
        <w:tab w:val="right" w:pos="851"/>
        <w:tab w:val="left" w:pos="1134"/>
        <w:tab w:val="left" w:pos="1565"/>
        <w:tab w:val="left" w:pos="1996"/>
        <w:tab w:val="right" w:leader="dot" w:pos="7655"/>
        <w:tab w:val="right" w:pos="8789"/>
        <w:tab w:val="right" w:pos="9554"/>
      </w:tabs>
      <w:adjustRightInd w:val="0"/>
      <w:snapToGrid w:val="0"/>
      <w:ind w:left="1134" w:right="4253" w:hanging="1134"/>
      <w:jc w:val="left"/>
    </w:pPr>
    <w:rPr>
      <w:snapToGrid w:val="0"/>
      <w:kern w:val="0"/>
      <w:szCs w:val="21"/>
    </w:rPr>
  </w:style>
  <w:style w:type="paragraph" w:customStyle="1" w:styleId="a3">
    <w:name w:val="目录页次"/>
    <w:basedOn w:val="Normal"/>
    <w:qFormat/>
    <w:rsid w:val="000364C7"/>
    <w:pPr>
      <w:tabs>
        <w:tab w:val="right" w:pos="851"/>
        <w:tab w:val="left" w:pos="1134"/>
        <w:tab w:val="left" w:pos="1565"/>
        <w:tab w:val="left" w:pos="1996"/>
        <w:tab w:val="right" w:leader="dot" w:pos="8789"/>
        <w:tab w:val="right" w:pos="9554"/>
      </w:tabs>
      <w:adjustRightInd w:val="0"/>
      <w:snapToGrid w:val="0"/>
      <w:ind w:left="1134" w:right="3119" w:hanging="1134"/>
      <w:jc w:val="left"/>
    </w:pPr>
    <w:rPr>
      <w:snapToGrid w:val="0"/>
      <w:kern w:val="0"/>
      <w:szCs w:val="21"/>
    </w:rPr>
  </w:style>
  <w:style w:type="paragraph" w:customStyle="1" w:styleId="a4">
    <w:name w:val="缩进正文"/>
    <w:basedOn w:val="Normal"/>
    <w:qFormat/>
    <w:rsid w:val="000364C7"/>
    <w:pPr>
      <w:tabs>
        <w:tab w:val="left" w:pos="431"/>
        <w:tab w:val="left" w:pos="1134"/>
        <w:tab w:val="left" w:pos="1565"/>
        <w:tab w:val="left" w:pos="1996"/>
        <w:tab w:val="left" w:pos="2427"/>
      </w:tabs>
      <w:adjustRightInd w:val="0"/>
      <w:snapToGrid w:val="0"/>
      <w:ind w:left="1565" w:right="1134"/>
      <w:jc w:val="left"/>
    </w:pPr>
    <w:rPr>
      <w:snapToGrid w:val="0"/>
      <w:kern w:val="0"/>
      <w:sz w:val="22"/>
      <w:szCs w:val="21"/>
    </w:rPr>
  </w:style>
  <w:style w:type="character" w:customStyle="1" w:styleId="EndnoteTextChar">
    <w:name w:val="Endnote Text Char"/>
    <w:aliases w:val="2_G Char"/>
    <w:basedOn w:val="DefaultParagraphFont"/>
    <w:link w:val="EndnoteText"/>
    <w:rsid w:val="000364C7"/>
    <w:rPr>
      <w:rFonts w:eastAsia="SimSun"/>
      <w:noProof/>
      <w:kern w:val="14"/>
      <w:sz w:val="18"/>
      <w:lang w:val="en-US"/>
    </w:rPr>
  </w:style>
  <w:style w:type="paragraph" w:customStyle="1" w:styleId="a5">
    <w:name w:val="悬挂"/>
    <w:basedOn w:val="Normal"/>
    <w:qFormat/>
    <w:rsid w:val="000364C7"/>
    <w:pPr>
      <w:tabs>
        <w:tab w:val="left" w:pos="431"/>
        <w:tab w:val="left" w:pos="1134"/>
        <w:tab w:val="left" w:pos="1565"/>
        <w:tab w:val="left" w:pos="1996"/>
        <w:tab w:val="left" w:pos="2427"/>
      </w:tabs>
      <w:adjustRightInd w:val="0"/>
      <w:snapToGrid w:val="0"/>
      <w:spacing w:after="120"/>
      <w:ind w:left="1565" w:right="1134" w:hanging="431"/>
      <w:jc w:val="left"/>
    </w:pPr>
    <w:rPr>
      <w:snapToGrid w:val="0"/>
      <w:kern w:val="0"/>
      <w:szCs w:val="21"/>
    </w:rPr>
  </w:style>
  <w:style w:type="character" w:customStyle="1" w:styleId="FooterChar">
    <w:name w:val="Footer Char"/>
    <w:basedOn w:val="DefaultParagraphFont"/>
    <w:link w:val="Footer"/>
    <w:uiPriority w:val="99"/>
    <w:rsid w:val="000364C7"/>
    <w:rPr>
      <w:b/>
      <w:noProof/>
      <w:sz w:val="18"/>
      <w:szCs w:val="18"/>
      <w:lang w:val="en-US"/>
    </w:rPr>
  </w:style>
  <w:style w:type="character" w:styleId="PageNumber">
    <w:name w:val="page number"/>
    <w:basedOn w:val="DefaultParagraphFont"/>
    <w:qFormat/>
    <w:rsid w:val="000364C7"/>
    <w:rPr>
      <w:rFonts w:ascii="Times New Roman" w:hAnsi="Times New Roman"/>
      <w:b/>
      <w:i w:val="0"/>
      <w:snapToGrid w:val="0"/>
      <w:spacing w:val="0"/>
      <w:kern w:val="0"/>
      <w:sz w:val="18"/>
      <w14:cntxtAlts w14:val="0"/>
    </w:rPr>
  </w:style>
  <w:style w:type="character" w:customStyle="1" w:styleId="HeaderChar">
    <w:name w:val="Header Char"/>
    <w:basedOn w:val="DefaultParagraphFont"/>
    <w:link w:val="Header"/>
    <w:rsid w:val="000364C7"/>
    <w:rPr>
      <w:noProof/>
      <w:sz w:val="18"/>
      <w:lang w:val="en-US"/>
    </w:rPr>
  </w:style>
  <w:style w:type="table" w:styleId="TableGrid">
    <w:name w:val="Table Grid"/>
    <w:basedOn w:val="TableNormal"/>
    <w:uiPriority w:val="59"/>
    <w:rsid w:val="000364C7"/>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rsid w:val="000364C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rPr>
  </w:style>
  <w:style w:type="character" w:customStyle="1" w:styleId="MacroTextChar">
    <w:name w:val="Macro Text Char"/>
    <w:basedOn w:val="DefaultParagraphFont"/>
    <w:link w:val="MacroText"/>
    <w:rsid w:val="000364C7"/>
    <w:rPr>
      <w:rFonts w:eastAsia="SimSun"/>
      <w:kern w:val="24"/>
      <w:sz w:val="24"/>
      <w:lang w:val="en-US"/>
    </w:rPr>
  </w:style>
  <w:style w:type="character" w:customStyle="1" w:styleId="BalloonTextChar">
    <w:name w:val="Balloon Text Char"/>
    <w:basedOn w:val="DefaultParagraphFont"/>
    <w:link w:val="BalloonText"/>
    <w:uiPriority w:val="99"/>
    <w:semiHidden/>
    <w:rsid w:val="000364C7"/>
    <w:rPr>
      <w:rFonts w:eastAsia="SimSun"/>
      <w:kern w:val="14"/>
      <w:sz w:val="18"/>
      <w:szCs w:val="18"/>
      <w:lang w:val="en-US"/>
    </w:rPr>
  </w:style>
  <w:style w:type="character" w:customStyle="1" w:styleId="shorttext">
    <w:name w:val="short_text"/>
    <w:basedOn w:val="DefaultParagraphFont"/>
    <w:rsid w:val="000364C7"/>
  </w:style>
  <w:style w:type="character" w:customStyle="1" w:styleId="atn">
    <w:name w:val="atn"/>
    <w:basedOn w:val="DefaultParagraphFont"/>
    <w:rsid w:val="000364C7"/>
  </w:style>
  <w:style w:type="character" w:customStyle="1" w:styleId="hps">
    <w:name w:val="hps"/>
    <w:basedOn w:val="DefaultParagraphFont"/>
    <w:rsid w:val="00036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FollowedHyperlink" w:uiPriority="99"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0364C7"/>
    <w:pPr>
      <w:keepNext/>
      <w:keepLines/>
      <w:tabs>
        <w:tab w:val="left" w:pos="431"/>
      </w:tabs>
      <w:adjustRightInd w:val="0"/>
      <w:snapToGrid w:val="0"/>
      <w:spacing w:before="200" w:line="276" w:lineRule="auto"/>
      <w:jc w:val="left"/>
      <w:outlineLvl w:val="3"/>
    </w:pPr>
    <w:rPr>
      <w:rFonts w:eastAsia="Times New Roman"/>
      <w:b/>
      <w:bCs/>
      <w:i/>
      <w:iCs/>
      <w:color w:val="4F81BD" w:themeColor="accent1"/>
      <w:kern w:val="0"/>
      <w:sz w:val="22"/>
      <w:szCs w:val="21"/>
    </w:rPr>
  </w:style>
  <w:style w:type="paragraph" w:styleId="Heading5">
    <w:name w:val="heading 5"/>
    <w:basedOn w:val="Normal"/>
    <w:next w:val="Normal"/>
    <w:link w:val="Heading5Char"/>
    <w:uiPriority w:val="9"/>
    <w:semiHidden/>
    <w:qFormat/>
    <w:rsid w:val="000364C7"/>
    <w:pPr>
      <w:keepNext/>
      <w:keepLines/>
      <w:tabs>
        <w:tab w:val="left" w:pos="431"/>
      </w:tabs>
      <w:adjustRightInd w:val="0"/>
      <w:snapToGrid w:val="0"/>
      <w:spacing w:before="200" w:line="276" w:lineRule="auto"/>
      <w:jc w:val="left"/>
      <w:outlineLvl w:val="4"/>
    </w:pPr>
    <w:rPr>
      <w:rFonts w:eastAsia="Times New Roman"/>
      <w:color w:val="243F60" w:themeColor="accent1" w:themeShade="7F"/>
      <w:kern w:val="0"/>
      <w:sz w:val="22"/>
      <w:szCs w:val="21"/>
    </w:rPr>
  </w:style>
  <w:style w:type="paragraph" w:styleId="Heading6">
    <w:name w:val="heading 6"/>
    <w:basedOn w:val="Normal"/>
    <w:next w:val="Normal"/>
    <w:link w:val="Heading6Char"/>
    <w:uiPriority w:val="9"/>
    <w:semiHidden/>
    <w:qFormat/>
    <w:rsid w:val="000364C7"/>
    <w:pPr>
      <w:keepNext/>
      <w:keepLines/>
      <w:tabs>
        <w:tab w:val="left" w:pos="431"/>
      </w:tabs>
      <w:adjustRightInd w:val="0"/>
      <w:snapToGrid w:val="0"/>
      <w:spacing w:before="200" w:line="276" w:lineRule="auto"/>
      <w:jc w:val="left"/>
      <w:outlineLvl w:val="5"/>
    </w:pPr>
    <w:rPr>
      <w:rFonts w:eastAsia="Times New Roman"/>
      <w:i/>
      <w:iCs/>
      <w:color w:val="243F60" w:themeColor="accent1" w:themeShade="7F"/>
      <w:kern w:val="0"/>
      <w:sz w:val="22"/>
      <w:szCs w:val="21"/>
    </w:rPr>
  </w:style>
  <w:style w:type="paragraph" w:styleId="Heading7">
    <w:name w:val="heading 7"/>
    <w:basedOn w:val="Normal"/>
    <w:next w:val="Normal"/>
    <w:link w:val="Heading7Char"/>
    <w:uiPriority w:val="9"/>
    <w:semiHidden/>
    <w:qFormat/>
    <w:rsid w:val="000364C7"/>
    <w:pPr>
      <w:keepNext/>
      <w:keepLines/>
      <w:tabs>
        <w:tab w:val="left" w:pos="431"/>
      </w:tabs>
      <w:adjustRightInd w:val="0"/>
      <w:snapToGrid w:val="0"/>
      <w:spacing w:before="200" w:line="276" w:lineRule="auto"/>
      <w:jc w:val="left"/>
      <w:outlineLvl w:val="6"/>
    </w:pPr>
    <w:rPr>
      <w:rFonts w:eastAsia="Times New Roman"/>
      <w:i/>
      <w:iCs/>
      <w:color w:val="404040" w:themeColor="text1" w:themeTint="BF"/>
      <w:kern w:val="0"/>
      <w:sz w:val="22"/>
      <w:szCs w:val="21"/>
    </w:rPr>
  </w:style>
  <w:style w:type="paragraph" w:styleId="Heading8">
    <w:name w:val="heading 8"/>
    <w:basedOn w:val="Normal"/>
    <w:next w:val="Normal"/>
    <w:link w:val="Heading8Char"/>
    <w:uiPriority w:val="9"/>
    <w:semiHidden/>
    <w:qFormat/>
    <w:rsid w:val="000364C7"/>
    <w:pPr>
      <w:keepNext/>
      <w:keepLines/>
      <w:tabs>
        <w:tab w:val="left" w:pos="431"/>
      </w:tabs>
      <w:adjustRightInd w:val="0"/>
      <w:snapToGrid w:val="0"/>
      <w:spacing w:before="200" w:line="276" w:lineRule="auto"/>
      <w:jc w:val="left"/>
      <w:outlineLvl w:val="7"/>
    </w:pPr>
    <w:rPr>
      <w:rFonts w:eastAsia="Times New Roman"/>
      <w:color w:val="4F81BD" w:themeColor="accent1"/>
      <w:kern w:val="0"/>
      <w:szCs w:val="21"/>
    </w:rPr>
  </w:style>
  <w:style w:type="paragraph" w:styleId="Heading9">
    <w:name w:val="heading 9"/>
    <w:basedOn w:val="Normal"/>
    <w:next w:val="Normal"/>
    <w:link w:val="Heading9Char"/>
    <w:uiPriority w:val="9"/>
    <w:semiHidden/>
    <w:qFormat/>
    <w:rsid w:val="000364C7"/>
    <w:pPr>
      <w:keepNext/>
      <w:keepLines/>
      <w:tabs>
        <w:tab w:val="left" w:pos="431"/>
      </w:tabs>
      <w:adjustRightInd w:val="0"/>
      <w:snapToGrid w:val="0"/>
      <w:spacing w:before="200" w:line="276" w:lineRule="auto"/>
      <w:jc w:val="left"/>
      <w:outlineLvl w:val="8"/>
    </w:pPr>
    <w:rPr>
      <w:rFonts w:eastAsia="Times New Roman"/>
      <w:i/>
      <w:iCs/>
      <w:color w:val="404040" w:themeColor="text1" w:themeTint="BF"/>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SingleTxt"/>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A1297E"/>
    <w:rPr>
      <w:color w:val="943634" w:themeColor="accent2" w:themeShade="BF"/>
      <w:spacing w:val="0"/>
      <w:w w:val="150"/>
      <w:position w:val="0"/>
      <w:vertAlign w:val="superscript"/>
    </w:rPr>
  </w:style>
  <w:style w:type="character" w:styleId="EndnoteReference">
    <w:name w:val="endnote reference"/>
    <w:basedOn w:val="FootnoteReference"/>
    <w:qFormat/>
    <w:rsid w:val="00A1297E"/>
    <w:rPr>
      <w:color w:val="943634" w:themeColor="accent2" w:themeShade="BF"/>
      <w:spacing w:val="0"/>
      <w:w w:val="150"/>
      <w:position w:val="0"/>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qFormat/>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uiPriority w:val="99"/>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qFormat/>
    <w:rsid w:val="001E5A51"/>
    <w:pPr>
      <w:tabs>
        <w:tab w:val="center" w:pos="4320"/>
        <w:tab w:val="right" w:pos="8640"/>
      </w:tabs>
      <w:jc w:val="both"/>
    </w:pPr>
    <w:rPr>
      <w:noProof/>
      <w:sz w:val="18"/>
      <w:lang w:val="en-US"/>
    </w:rPr>
  </w:style>
  <w:style w:type="paragraph" w:styleId="Footer">
    <w:name w:val="footer"/>
    <w:link w:val="FooterChar"/>
    <w:uiPriority w:val="99"/>
    <w:qFormat/>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uiPriority w:val="9"/>
    <w:semiHidden/>
    <w:rsid w:val="000364C7"/>
    <w:rPr>
      <w:rFonts w:eastAsia="Times New Roman"/>
      <w:b/>
      <w:bCs/>
      <w:i/>
      <w:iCs/>
      <w:color w:val="4F81BD" w:themeColor="accent1"/>
      <w:sz w:val="22"/>
      <w:szCs w:val="21"/>
      <w:lang w:val="en-US"/>
    </w:rPr>
  </w:style>
  <w:style w:type="character" w:customStyle="1" w:styleId="Heading5Char">
    <w:name w:val="Heading 5 Char"/>
    <w:basedOn w:val="DefaultParagraphFont"/>
    <w:link w:val="Heading5"/>
    <w:uiPriority w:val="9"/>
    <w:semiHidden/>
    <w:rsid w:val="000364C7"/>
    <w:rPr>
      <w:rFonts w:eastAsia="Times New Roman"/>
      <w:color w:val="243F60" w:themeColor="accent1" w:themeShade="7F"/>
      <w:sz w:val="22"/>
      <w:szCs w:val="21"/>
      <w:lang w:val="en-US"/>
    </w:rPr>
  </w:style>
  <w:style w:type="character" w:customStyle="1" w:styleId="Heading6Char">
    <w:name w:val="Heading 6 Char"/>
    <w:basedOn w:val="DefaultParagraphFont"/>
    <w:link w:val="Heading6"/>
    <w:uiPriority w:val="9"/>
    <w:semiHidden/>
    <w:rsid w:val="000364C7"/>
    <w:rPr>
      <w:rFonts w:eastAsia="Times New Roman"/>
      <w:i/>
      <w:iCs/>
      <w:color w:val="243F60" w:themeColor="accent1" w:themeShade="7F"/>
      <w:sz w:val="22"/>
      <w:szCs w:val="21"/>
      <w:lang w:val="en-US"/>
    </w:rPr>
  </w:style>
  <w:style w:type="character" w:customStyle="1" w:styleId="Heading7Char">
    <w:name w:val="Heading 7 Char"/>
    <w:basedOn w:val="DefaultParagraphFont"/>
    <w:link w:val="Heading7"/>
    <w:uiPriority w:val="9"/>
    <w:semiHidden/>
    <w:rsid w:val="000364C7"/>
    <w:rPr>
      <w:rFonts w:eastAsia="Times New Roman"/>
      <w:i/>
      <w:iCs/>
      <w:color w:val="404040" w:themeColor="text1" w:themeTint="BF"/>
      <w:sz w:val="22"/>
      <w:szCs w:val="21"/>
      <w:lang w:val="en-US"/>
    </w:rPr>
  </w:style>
  <w:style w:type="character" w:customStyle="1" w:styleId="Heading8Char">
    <w:name w:val="Heading 8 Char"/>
    <w:basedOn w:val="DefaultParagraphFont"/>
    <w:link w:val="Heading8"/>
    <w:uiPriority w:val="9"/>
    <w:semiHidden/>
    <w:rsid w:val="000364C7"/>
    <w:rPr>
      <w:rFonts w:eastAsia="Times New Roman"/>
      <w:color w:val="4F81BD" w:themeColor="accent1"/>
      <w:sz w:val="21"/>
      <w:szCs w:val="21"/>
      <w:lang w:val="en-US"/>
    </w:rPr>
  </w:style>
  <w:style w:type="character" w:customStyle="1" w:styleId="Heading9Char">
    <w:name w:val="Heading 9 Char"/>
    <w:basedOn w:val="DefaultParagraphFont"/>
    <w:link w:val="Heading9"/>
    <w:uiPriority w:val="9"/>
    <w:semiHidden/>
    <w:rsid w:val="000364C7"/>
    <w:rPr>
      <w:rFonts w:eastAsia="Times New Roman"/>
      <w:i/>
      <w:iCs/>
      <w:color w:val="404040" w:themeColor="text1" w:themeTint="BF"/>
      <w:sz w:val="21"/>
      <w:szCs w:val="21"/>
      <w:lang w:val="en-US"/>
    </w:rPr>
  </w:style>
  <w:style w:type="paragraph" w:customStyle="1" w:styleId="HMGC">
    <w:name w:val="_ H __M_GC"/>
    <w:basedOn w:val="Normal"/>
    <w:next w:val="Normal"/>
    <w:qFormat/>
    <w:rsid w:val="000364C7"/>
    <w:pPr>
      <w:keepNext/>
      <w:keepLines/>
      <w:tabs>
        <w:tab w:val="right" w:pos="851"/>
      </w:tabs>
      <w:adjustRightInd w:val="0"/>
      <w:snapToGrid w:val="0"/>
      <w:spacing w:before="240" w:after="240" w:line="440" w:lineRule="exact"/>
      <w:ind w:left="1134" w:right="1134" w:hanging="1134"/>
      <w:jc w:val="left"/>
      <w:outlineLvl w:val="0"/>
    </w:pPr>
    <w:rPr>
      <w:rFonts w:eastAsia="SimHei"/>
      <w:snapToGrid w:val="0"/>
      <w:kern w:val="0"/>
      <w:sz w:val="34"/>
      <w:szCs w:val="34"/>
    </w:rPr>
  </w:style>
  <w:style w:type="paragraph" w:customStyle="1" w:styleId="HChGC">
    <w:name w:val="_ H _Ch_GC"/>
    <w:basedOn w:val="Normal"/>
    <w:next w:val="Normal"/>
    <w:qFormat/>
    <w:rsid w:val="000364C7"/>
    <w:pPr>
      <w:keepNext/>
      <w:keepLines/>
      <w:tabs>
        <w:tab w:val="right" w:pos="851"/>
      </w:tabs>
      <w:adjustRightInd w:val="0"/>
      <w:snapToGrid w:val="0"/>
      <w:spacing w:before="360" w:after="240" w:line="400" w:lineRule="exact"/>
      <w:ind w:left="1134" w:right="1134" w:hanging="1134"/>
      <w:jc w:val="left"/>
      <w:outlineLvl w:val="1"/>
    </w:pPr>
    <w:rPr>
      <w:rFonts w:eastAsia="SimHei"/>
      <w:snapToGrid w:val="0"/>
      <w:kern w:val="0"/>
      <w:sz w:val="28"/>
      <w:szCs w:val="28"/>
    </w:rPr>
  </w:style>
  <w:style w:type="paragraph" w:customStyle="1" w:styleId="H1GC">
    <w:name w:val="_ H_1_GC"/>
    <w:basedOn w:val="Normal"/>
    <w:next w:val="Normal"/>
    <w:qFormat/>
    <w:rsid w:val="000364C7"/>
    <w:pPr>
      <w:keepNext/>
      <w:keepLines/>
      <w:tabs>
        <w:tab w:val="right" w:pos="851"/>
      </w:tabs>
      <w:adjustRightInd w:val="0"/>
      <w:snapToGrid w:val="0"/>
      <w:spacing w:before="360" w:after="240"/>
      <w:ind w:left="1134" w:right="1134" w:hanging="1134"/>
      <w:jc w:val="left"/>
      <w:outlineLvl w:val="2"/>
    </w:pPr>
    <w:rPr>
      <w:rFonts w:eastAsia="SimHei"/>
      <w:snapToGrid w:val="0"/>
      <w:kern w:val="0"/>
      <w:sz w:val="24"/>
      <w:szCs w:val="24"/>
    </w:rPr>
  </w:style>
  <w:style w:type="paragraph" w:customStyle="1" w:styleId="H23GC">
    <w:name w:val="_ H_2/3_GC"/>
    <w:basedOn w:val="Normal"/>
    <w:next w:val="Normal"/>
    <w:qFormat/>
    <w:rsid w:val="000364C7"/>
    <w:pPr>
      <w:keepNext/>
      <w:keepLines/>
      <w:tabs>
        <w:tab w:val="right" w:pos="851"/>
      </w:tabs>
      <w:adjustRightInd w:val="0"/>
      <w:snapToGrid w:val="0"/>
      <w:spacing w:before="240" w:after="120"/>
      <w:ind w:left="1134" w:right="1134" w:hanging="1134"/>
      <w:jc w:val="left"/>
      <w:outlineLvl w:val="3"/>
    </w:pPr>
    <w:rPr>
      <w:rFonts w:eastAsia="SimHei"/>
      <w:kern w:val="0"/>
      <w:sz w:val="22"/>
      <w:szCs w:val="22"/>
    </w:rPr>
  </w:style>
  <w:style w:type="paragraph" w:customStyle="1" w:styleId="H4GC">
    <w:name w:val="_ H_4_GC"/>
    <w:basedOn w:val="Normal"/>
    <w:next w:val="Normal"/>
    <w:qFormat/>
    <w:rsid w:val="000364C7"/>
    <w:pPr>
      <w:keepNext/>
      <w:keepLines/>
      <w:tabs>
        <w:tab w:val="right" w:pos="851"/>
      </w:tabs>
      <w:adjustRightInd w:val="0"/>
      <w:snapToGrid w:val="0"/>
      <w:spacing w:before="240" w:after="120"/>
      <w:ind w:left="1134" w:right="1134" w:hanging="1134"/>
      <w:jc w:val="left"/>
      <w:outlineLvl w:val="4"/>
    </w:pPr>
    <w:rPr>
      <w:rFonts w:eastAsia="楷体"/>
      <w:snapToGrid w:val="0"/>
      <w:kern w:val="0"/>
      <w:sz w:val="23"/>
      <w:szCs w:val="23"/>
    </w:rPr>
  </w:style>
  <w:style w:type="paragraph" w:customStyle="1" w:styleId="H56GC">
    <w:name w:val="_ H_5/6_GC"/>
    <w:basedOn w:val="Normal"/>
    <w:next w:val="Normal"/>
    <w:qFormat/>
    <w:rsid w:val="000364C7"/>
    <w:pPr>
      <w:keepNext/>
      <w:keepLines/>
      <w:tabs>
        <w:tab w:val="right" w:pos="851"/>
      </w:tabs>
      <w:adjustRightInd w:val="0"/>
      <w:snapToGrid w:val="0"/>
      <w:spacing w:before="240" w:after="120"/>
      <w:ind w:left="1134" w:right="1134" w:hanging="1134"/>
      <w:jc w:val="left"/>
      <w:outlineLvl w:val="5"/>
    </w:pPr>
    <w:rPr>
      <w:snapToGrid w:val="0"/>
      <w:kern w:val="0"/>
      <w:szCs w:val="21"/>
    </w:rPr>
  </w:style>
  <w:style w:type="paragraph" w:customStyle="1" w:styleId="SingleTxtGC">
    <w:name w:val="_ Single Txt_GC"/>
    <w:basedOn w:val="Normal"/>
    <w:link w:val="SingleTxtGCChar"/>
    <w:qFormat/>
    <w:rsid w:val="000364C7"/>
    <w:pPr>
      <w:tabs>
        <w:tab w:val="left" w:pos="431"/>
        <w:tab w:val="left" w:pos="1134"/>
        <w:tab w:val="left" w:pos="1565"/>
        <w:tab w:val="left" w:pos="1996"/>
        <w:tab w:val="left" w:pos="2427"/>
      </w:tabs>
      <w:adjustRightInd w:val="0"/>
      <w:snapToGrid w:val="0"/>
      <w:spacing w:after="120"/>
      <w:ind w:left="1134" w:right="1134"/>
      <w:jc w:val="left"/>
    </w:pPr>
    <w:rPr>
      <w:snapToGrid w:val="0"/>
      <w:kern w:val="0"/>
      <w:szCs w:val="21"/>
    </w:rPr>
  </w:style>
  <w:style w:type="character" w:customStyle="1" w:styleId="SingleTxtGCChar">
    <w:name w:val="_ Single Txt_GC Char"/>
    <w:basedOn w:val="DefaultParagraphFont"/>
    <w:link w:val="SingleTxtGC"/>
    <w:locked/>
    <w:rsid w:val="000364C7"/>
    <w:rPr>
      <w:rFonts w:eastAsia="SimSun"/>
      <w:snapToGrid w:val="0"/>
      <w:sz w:val="21"/>
      <w:szCs w:val="21"/>
      <w:lang w:val="en-US"/>
    </w:rPr>
  </w:style>
  <w:style w:type="paragraph" w:customStyle="1" w:styleId="SLGC">
    <w:name w:val="__S_L_GC"/>
    <w:basedOn w:val="Normal"/>
    <w:next w:val="Normal"/>
    <w:qFormat/>
    <w:rsid w:val="000364C7"/>
    <w:pPr>
      <w:keepNext/>
      <w:keepLines/>
      <w:tabs>
        <w:tab w:val="left" w:pos="431"/>
      </w:tabs>
      <w:adjustRightInd w:val="0"/>
      <w:snapToGrid w:val="0"/>
      <w:spacing w:before="240" w:after="240" w:line="560" w:lineRule="exact"/>
      <w:ind w:left="1134" w:right="1134"/>
      <w:jc w:val="left"/>
    </w:pPr>
    <w:rPr>
      <w:rFonts w:eastAsia="SimHei"/>
      <w:snapToGrid w:val="0"/>
      <w:kern w:val="0"/>
      <w:sz w:val="56"/>
      <w:szCs w:val="56"/>
    </w:rPr>
  </w:style>
  <w:style w:type="paragraph" w:customStyle="1" w:styleId="SMGC">
    <w:name w:val="__S_M_GC"/>
    <w:basedOn w:val="Normal"/>
    <w:next w:val="Normal"/>
    <w:qFormat/>
    <w:rsid w:val="000364C7"/>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SSGC">
    <w:name w:val="__S_S_GC"/>
    <w:basedOn w:val="Normal"/>
    <w:next w:val="Normal"/>
    <w:qFormat/>
    <w:rsid w:val="000364C7"/>
    <w:pPr>
      <w:keepNext/>
      <w:keepLines/>
      <w:tabs>
        <w:tab w:val="left" w:pos="431"/>
      </w:tabs>
      <w:adjustRightInd w:val="0"/>
      <w:snapToGrid w:val="0"/>
      <w:spacing w:before="240" w:after="240" w:line="300" w:lineRule="exact"/>
      <w:ind w:left="1134" w:right="1134"/>
      <w:jc w:val="left"/>
    </w:pPr>
    <w:rPr>
      <w:rFonts w:eastAsia="SimHei"/>
      <w:snapToGrid w:val="0"/>
      <w:kern w:val="0"/>
      <w:sz w:val="28"/>
      <w:szCs w:val="21"/>
    </w:rPr>
  </w:style>
  <w:style w:type="paragraph" w:customStyle="1" w:styleId="XLargeGC">
    <w:name w:val="__XLarge_GC"/>
    <w:basedOn w:val="Normal"/>
    <w:next w:val="Normal"/>
    <w:qFormat/>
    <w:rsid w:val="000364C7"/>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Bullet1GC">
    <w:name w:val="_Bullet 1_GC"/>
    <w:basedOn w:val="Normal"/>
    <w:qFormat/>
    <w:rsid w:val="000364C7"/>
    <w:pPr>
      <w:numPr>
        <w:numId w:val="8"/>
      </w:numPr>
      <w:tabs>
        <w:tab w:val="left" w:pos="431"/>
      </w:tabs>
      <w:adjustRightInd w:val="0"/>
      <w:snapToGrid w:val="0"/>
      <w:spacing w:after="120"/>
      <w:ind w:right="1134"/>
      <w:jc w:val="left"/>
    </w:pPr>
    <w:rPr>
      <w:snapToGrid w:val="0"/>
      <w:kern w:val="0"/>
      <w:szCs w:val="21"/>
    </w:rPr>
  </w:style>
  <w:style w:type="paragraph" w:customStyle="1" w:styleId="Bullet2GC">
    <w:name w:val="_Bullet 2_GC"/>
    <w:basedOn w:val="Normal"/>
    <w:qFormat/>
    <w:rsid w:val="000364C7"/>
    <w:pPr>
      <w:numPr>
        <w:numId w:val="9"/>
      </w:numPr>
      <w:tabs>
        <w:tab w:val="left" w:pos="431"/>
      </w:tabs>
      <w:adjustRightInd w:val="0"/>
      <w:snapToGrid w:val="0"/>
      <w:spacing w:after="120"/>
      <w:ind w:right="1134"/>
      <w:jc w:val="left"/>
    </w:pPr>
    <w:rPr>
      <w:snapToGrid w:val="0"/>
      <w:kern w:val="0"/>
      <w:szCs w:val="21"/>
    </w:rPr>
  </w:style>
  <w:style w:type="paragraph" w:customStyle="1" w:styleId="DashGC">
    <w:name w:val="_Dash_GC"/>
    <w:basedOn w:val="Normal"/>
    <w:qFormat/>
    <w:rsid w:val="000364C7"/>
    <w:pPr>
      <w:numPr>
        <w:numId w:val="10"/>
      </w:numPr>
      <w:tabs>
        <w:tab w:val="left" w:pos="431"/>
      </w:tabs>
      <w:adjustRightInd w:val="0"/>
      <w:snapToGrid w:val="0"/>
      <w:spacing w:after="120"/>
      <w:ind w:right="1134"/>
      <w:jc w:val="left"/>
    </w:pPr>
    <w:rPr>
      <w:snapToGrid w:val="0"/>
      <w:kern w:val="0"/>
      <w:szCs w:val="21"/>
      <w:lang w:val="fr-CH"/>
    </w:rPr>
  </w:style>
  <w:style w:type="paragraph" w:customStyle="1" w:styleId="a">
    <w:name w:val="表数文字"/>
    <w:basedOn w:val="Normal"/>
    <w:qFormat/>
    <w:rsid w:val="000364C7"/>
    <w:pPr>
      <w:tabs>
        <w:tab w:val="left" w:pos="431"/>
        <w:tab w:val="left" w:pos="1134"/>
        <w:tab w:val="left" w:pos="1565"/>
        <w:tab w:val="left" w:pos="1996"/>
        <w:tab w:val="left" w:pos="2427"/>
      </w:tabs>
      <w:adjustRightInd w:val="0"/>
      <w:snapToGrid w:val="0"/>
      <w:spacing w:before="40" w:after="40" w:line="240" w:lineRule="atLeast"/>
      <w:ind w:right="113"/>
      <w:jc w:val="left"/>
    </w:pPr>
    <w:rPr>
      <w:snapToGrid w:val="0"/>
      <w:kern w:val="0"/>
      <w:sz w:val="18"/>
      <w:szCs w:val="18"/>
    </w:rPr>
  </w:style>
  <w:style w:type="paragraph" w:customStyle="1" w:styleId="a0">
    <w:name w:val="表中标题"/>
    <w:basedOn w:val="Normal"/>
    <w:qFormat/>
    <w:rsid w:val="000364C7"/>
    <w:pPr>
      <w:tabs>
        <w:tab w:val="left" w:pos="431"/>
        <w:tab w:val="left" w:pos="1134"/>
        <w:tab w:val="left" w:pos="1565"/>
        <w:tab w:val="left" w:pos="1996"/>
        <w:tab w:val="left" w:pos="2427"/>
      </w:tabs>
      <w:adjustRightInd w:val="0"/>
      <w:snapToGrid w:val="0"/>
      <w:spacing w:before="80" w:after="80" w:line="200" w:lineRule="exact"/>
      <w:ind w:right="113"/>
      <w:jc w:val="left"/>
    </w:pPr>
    <w:rPr>
      <w:rFonts w:eastAsia="楷体"/>
      <w:snapToGrid w:val="0"/>
      <w:kern w:val="0"/>
      <w:sz w:val="18"/>
      <w:szCs w:val="21"/>
    </w:rPr>
  </w:style>
  <w:style w:type="paragraph" w:customStyle="1" w:styleId="a1">
    <w:name w:val="表中文字"/>
    <w:basedOn w:val="Normal"/>
    <w:qFormat/>
    <w:rsid w:val="000364C7"/>
    <w:pPr>
      <w:tabs>
        <w:tab w:val="left" w:pos="431"/>
        <w:tab w:val="left" w:pos="1134"/>
        <w:tab w:val="left" w:pos="1565"/>
        <w:tab w:val="left" w:pos="1996"/>
        <w:tab w:val="left" w:pos="2427"/>
      </w:tabs>
      <w:adjustRightInd w:val="0"/>
      <w:snapToGrid w:val="0"/>
      <w:spacing w:before="40" w:line="240" w:lineRule="atLeast"/>
      <w:ind w:right="113"/>
      <w:jc w:val="left"/>
    </w:pPr>
    <w:rPr>
      <w:snapToGrid w:val="0"/>
      <w:kern w:val="0"/>
      <w:sz w:val="18"/>
      <w:szCs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0364C7"/>
    <w:rPr>
      <w:rFonts w:eastAsia="SimSun"/>
      <w:noProof/>
      <w:kern w:val="14"/>
      <w:sz w:val="18"/>
      <w:lang w:val="en-US"/>
    </w:rPr>
  </w:style>
  <w:style w:type="paragraph" w:customStyle="1" w:styleId="a2">
    <w:name w:val="目录段页次"/>
    <w:basedOn w:val="Normal"/>
    <w:qFormat/>
    <w:rsid w:val="000364C7"/>
    <w:pPr>
      <w:tabs>
        <w:tab w:val="right" w:pos="851"/>
        <w:tab w:val="left" w:pos="1134"/>
        <w:tab w:val="left" w:pos="1565"/>
        <w:tab w:val="left" w:pos="1996"/>
        <w:tab w:val="right" w:leader="dot" w:pos="7655"/>
        <w:tab w:val="right" w:pos="8789"/>
        <w:tab w:val="right" w:pos="9554"/>
      </w:tabs>
      <w:adjustRightInd w:val="0"/>
      <w:snapToGrid w:val="0"/>
      <w:ind w:left="1134" w:right="4253" w:hanging="1134"/>
      <w:jc w:val="left"/>
    </w:pPr>
    <w:rPr>
      <w:snapToGrid w:val="0"/>
      <w:kern w:val="0"/>
      <w:szCs w:val="21"/>
    </w:rPr>
  </w:style>
  <w:style w:type="paragraph" w:customStyle="1" w:styleId="a3">
    <w:name w:val="目录页次"/>
    <w:basedOn w:val="Normal"/>
    <w:qFormat/>
    <w:rsid w:val="000364C7"/>
    <w:pPr>
      <w:tabs>
        <w:tab w:val="right" w:pos="851"/>
        <w:tab w:val="left" w:pos="1134"/>
        <w:tab w:val="left" w:pos="1565"/>
        <w:tab w:val="left" w:pos="1996"/>
        <w:tab w:val="right" w:leader="dot" w:pos="8789"/>
        <w:tab w:val="right" w:pos="9554"/>
      </w:tabs>
      <w:adjustRightInd w:val="0"/>
      <w:snapToGrid w:val="0"/>
      <w:ind w:left="1134" w:right="3119" w:hanging="1134"/>
      <w:jc w:val="left"/>
    </w:pPr>
    <w:rPr>
      <w:snapToGrid w:val="0"/>
      <w:kern w:val="0"/>
      <w:szCs w:val="21"/>
    </w:rPr>
  </w:style>
  <w:style w:type="paragraph" w:customStyle="1" w:styleId="a4">
    <w:name w:val="缩进正文"/>
    <w:basedOn w:val="Normal"/>
    <w:qFormat/>
    <w:rsid w:val="000364C7"/>
    <w:pPr>
      <w:tabs>
        <w:tab w:val="left" w:pos="431"/>
        <w:tab w:val="left" w:pos="1134"/>
        <w:tab w:val="left" w:pos="1565"/>
        <w:tab w:val="left" w:pos="1996"/>
        <w:tab w:val="left" w:pos="2427"/>
      </w:tabs>
      <w:adjustRightInd w:val="0"/>
      <w:snapToGrid w:val="0"/>
      <w:ind w:left="1565" w:right="1134"/>
      <w:jc w:val="left"/>
    </w:pPr>
    <w:rPr>
      <w:snapToGrid w:val="0"/>
      <w:kern w:val="0"/>
      <w:sz w:val="22"/>
      <w:szCs w:val="21"/>
    </w:rPr>
  </w:style>
  <w:style w:type="character" w:customStyle="1" w:styleId="EndnoteTextChar">
    <w:name w:val="Endnote Text Char"/>
    <w:aliases w:val="2_G Char"/>
    <w:basedOn w:val="DefaultParagraphFont"/>
    <w:link w:val="EndnoteText"/>
    <w:rsid w:val="000364C7"/>
    <w:rPr>
      <w:rFonts w:eastAsia="SimSun"/>
      <w:noProof/>
      <w:kern w:val="14"/>
      <w:sz w:val="18"/>
      <w:lang w:val="en-US"/>
    </w:rPr>
  </w:style>
  <w:style w:type="paragraph" w:customStyle="1" w:styleId="a5">
    <w:name w:val="悬挂"/>
    <w:basedOn w:val="Normal"/>
    <w:qFormat/>
    <w:rsid w:val="000364C7"/>
    <w:pPr>
      <w:tabs>
        <w:tab w:val="left" w:pos="431"/>
        <w:tab w:val="left" w:pos="1134"/>
        <w:tab w:val="left" w:pos="1565"/>
        <w:tab w:val="left" w:pos="1996"/>
        <w:tab w:val="left" w:pos="2427"/>
      </w:tabs>
      <w:adjustRightInd w:val="0"/>
      <w:snapToGrid w:val="0"/>
      <w:spacing w:after="120"/>
      <w:ind w:left="1565" w:right="1134" w:hanging="431"/>
      <w:jc w:val="left"/>
    </w:pPr>
    <w:rPr>
      <w:snapToGrid w:val="0"/>
      <w:kern w:val="0"/>
      <w:szCs w:val="21"/>
    </w:rPr>
  </w:style>
  <w:style w:type="character" w:customStyle="1" w:styleId="FooterChar">
    <w:name w:val="Footer Char"/>
    <w:basedOn w:val="DefaultParagraphFont"/>
    <w:link w:val="Footer"/>
    <w:uiPriority w:val="99"/>
    <w:rsid w:val="000364C7"/>
    <w:rPr>
      <w:b/>
      <w:noProof/>
      <w:sz w:val="18"/>
      <w:szCs w:val="18"/>
      <w:lang w:val="en-US"/>
    </w:rPr>
  </w:style>
  <w:style w:type="character" w:styleId="PageNumber">
    <w:name w:val="page number"/>
    <w:basedOn w:val="DefaultParagraphFont"/>
    <w:qFormat/>
    <w:rsid w:val="000364C7"/>
    <w:rPr>
      <w:rFonts w:ascii="Times New Roman" w:hAnsi="Times New Roman"/>
      <w:b/>
      <w:i w:val="0"/>
      <w:snapToGrid w:val="0"/>
      <w:spacing w:val="0"/>
      <w:kern w:val="0"/>
      <w:sz w:val="18"/>
      <w14:cntxtAlts w14:val="0"/>
    </w:rPr>
  </w:style>
  <w:style w:type="character" w:customStyle="1" w:styleId="HeaderChar">
    <w:name w:val="Header Char"/>
    <w:basedOn w:val="DefaultParagraphFont"/>
    <w:link w:val="Header"/>
    <w:rsid w:val="000364C7"/>
    <w:rPr>
      <w:noProof/>
      <w:sz w:val="18"/>
      <w:lang w:val="en-US"/>
    </w:rPr>
  </w:style>
  <w:style w:type="table" w:styleId="TableGrid">
    <w:name w:val="Table Grid"/>
    <w:basedOn w:val="TableNormal"/>
    <w:uiPriority w:val="59"/>
    <w:rsid w:val="000364C7"/>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rsid w:val="000364C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rPr>
  </w:style>
  <w:style w:type="character" w:customStyle="1" w:styleId="MacroTextChar">
    <w:name w:val="Macro Text Char"/>
    <w:basedOn w:val="DefaultParagraphFont"/>
    <w:link w:val="MacroText"/>
    <w:rsid w:val="000364C7"/>
    <w:rPr>
      <w:rFonts w:eastAsia="SimSun"/>
      <w:kern w:val="24"/>
      <w:sz w:val="24"/>
      <w:lang w:val="en-US"/>
    </w:rPr>
  </w:style>
  <w:style w:type="character" w:customStyle="1" w:styleId="BalloonTextChar">
    <w:name w:val="Balloon Text Char"/>
    <w:basedOn w:val="DefaultParagraphFont"/>
    <w:link w:val="BalloonText"/>
    <w:uiPriority w:val="99"/>
    <w:semiHidden/>
    <w:rsid w:val="000364C7"/>
    <w:rPr>
      <w:rFonts w:eastAsia="SimSun"/>
      <w:kern w:val="14"/>
      <w:sz w:val="18"/>
      <w:szCs w:val="18"/>
      <w:lang w:val="en-US"/>
    </w:rPr>
  </w:style>
  <w:style w:type="character" w:customStyle="1" w:styleId="shorttext">
    <w:name w:val="short_text"/>
    <w:basedOn w:val="DefaultParagraphFont"/>
    <w:rsid w:val="000364C7"/>
  </w:style>
  <w:style w:type="character" w:customStyle="1" w:styleId="atn">
    <w:name w:val="atn"/>
    <w:basedOn w:val="DefaultParagraphFont"/>
    <w:rsid w:val="000364C7"/>
  </w:style>
  <w:style w:type="character" w:customStyle="1" w:styleId="hps">
    <w:name w:val="hps"/>
    <w:basedOn w:val="DefaultParagraphFont"/>
    <w:rsid w:val="0003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mro.who.int" TargetMode="External"/><Relationship Id="rId13" Type="http://schemas.openxmlformats.org/officeDocument/2006/relationships/hyperlink" Target="https://www.opensocietyfoundations.org/litigation/adalah-v-israel" TargetMode="External"/><Relationship Id="rId3" Type="http://schemas.openxmlformats.org/officeDocument/2006/relationships/hyperlink" Target="http://gaza.ochaopt.org/2015/02/further-easing-of-criteria-and-quotas-for%20israeli-permits-to-exit-gaza/" TargetMode="External"/><Relationship Id="rId7" Type="http://schemas.openxmlformats.org/officeDocument/2006/relationships/hyperlink" Target="http://www.ochaopt.org/documents/hno_december29_final.pdf" TargetMode="External"/><Relationship Id="rId12" Type="http://schemas.openxmlformats.org/officeDocument/2006/relationships/hyperlink" Target="http://gisha.org/UserFiles/File/letters/letter_to_yaalon_COGAT_Israelis_11.8.15-eng.pdf" TargetMode="External"/><Relationship Id="rId2" Type="http://schemas.openxmlformats.org/officeDocument/2006/relationships/hyperlink" Target="http://www.gisha.org/legal/procedures-and-protocols" TargetMode="External"/><Relationship Id="rId1" Type="http://schemas.openxmlformats.org/officeDocument/2006/relationships/hyperlink" Target="http://www.pmo.gov.il/English/MediaCenter/Events/Pages/eventblair040211.aspx" TargetMode="External"/><Relationship Id="rId6" Type="http://schemas.openxmlformats.org/officeDocument/2006/relationships/hyperlink" Target="http://www.ochaopt.org/poc27october-2november-2015.aspx" TargetMode="External"/><Relationship Id="rId11" Type="http://schemas.openxmlformats.org/officeDocument/2006/relationships/hyperlink" Target="http://features.gisha.org/distant_relatives" TargetMode="External"/><Relationship Id="rId5" Type="http://schemas.openxmlformats.org/officeDocument/2006/relationships/hyperlink" Target="http://www.ochaopt.org/poc20october-26october-2015.aspx" TargetMode="External"/><Relationship Id="rId10" Type="http://schemas.openxmlformats.org/officeDocument/2006/relationships/hyperlink" Target="file:///C:\Users\sunghay\AppData\Local\Temp\notes3BDC18\www.btselem.org\workers" TargetMode="External"/><Relationship Id="rId4" Type="http://schemas.openxmlformats.org/officeDocument/2006/relationships/hyperlink" Target="http://www.btselem.org/settlements/statistics" TargetMode="External"/><Relationship Id="rId9" Type="http://schemas.openxmlformats.org/officeDocument/2006/relationships/hyperlink" Target="http://gaza.ochaopt.org/2015/09/import-restrictions-impede-delivery-of-services-and-humanitarian-assistance" TargetMode="External"/><Relationship Id="rId14" Type="http://schemas.openxmlformats.org/officeDocument/2006/relationships/hyperlink" Target="http://alray.ps/ar/index.php?act=post&amp;id=1300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8FD4-355E-43A0-8889-EC2CBE13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5544016A.dotm</Template>
  <TotalTime>0</TotalTime>
  <Pages>17</Pages>
  <Words>2009</Words>
  <Characters>11455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NIE R.Z</dc:creator>
  <cp:lastModifiedBy>Iuliia Somova</cp:lastModifiedBy>
  <cp:revision>2</cp:revision>
  <cp:lastPrinted>2016-02-10T14:58:00Z</cp:lastPrinted>
  <dcterms:created xsi:type="dcterms:W3CDTF">2016-02-22T14:00:00Z</dcterms:created>
  <dcterms:modified xsi:type="dcterms:W3CDTF">2016-02-22T14:00:00Z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1600774</vt:lpwstr>
  </property>
  <property fmtid="{D5CDD505-2E9C-101B-9397-08002B2CF9AE}" pid="3" name="ODSRefJobNo">
    <vt:lpwstr>1600853C</vt:lpwstr>
  </property>
  <property fmtid="{D5CDD505-2E9C-101B-9397-08002B2CF9AE}" pid="4" name="Symbol1">
    <vt:lpwstr>A/HRC/31/44</vt:lpwstr>
  </property>
  <property fmtid="{D5CDD505-2E9C-101B-9397-08002B2CF9AE}" pid="5" name="Symbol2">
    <vt:lpwstr/>
  </property>
  <property fmtid="{D5CDD505-2E9C-101B-9397-08002B2CF9AE}" pid="6" name="Translator">
    <vt:lpwstr/>
  </property>
  <property fmtid="{D5CDD505-2E9C-101B-9397-08002B2CF9AE}" pid="7" name="Operator">
    <vt:lpwstr>rnie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January 2016</vt:lpwstr>
  </property>
  <property fmtid="{D5CDD505-2E9C-101B-9397-08002B2CF9AE}" pid="12" name="Original">
    <vt:lpwstr>English</vt:lpwstr>
  </property>
  <property fmtid="{D5CDD505-2E9C-101B-9397-08002B2CF9AE}" pid="13" name="Release Date">
    <vt:lpwstr>090216</vt:lpwstr>
  </property>
</Properties>
</file>