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8C1E70" w:rsidP="008C1E70">
            <w:pPr>
              <w:jc w:val="right"/>
            </w:pPr>
            <w:r w:rsidRPr="008C1E70">
              <w:rPr>
                <w:sz w:val="40"/>
              </w:rPr>
              <w:t>A</w:t>
            </w:r>
            <w:r>
              <w:t>/HRC/32/14/Add.1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6718A5"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8C1E70" w:rsidP="008C1E70">
            <w:pPr>
              <w:spacing w:before="240" w:line="240" w:lineRule="exact"/>
            </w:pPr>
            <w:r>
              <w:t>Distr.: General</w:t>
            </w:r>
          </w:p>
          <w:p w:rsidR="008C1E70" w:rsidRDefault="008C1E70" w:rsidP="008C1E70">
            <w:pPr>
              <w:spacing w:line="240" w:lineRule="exact"/>
            </w:pPr>
            <w:r>
              <w:t>2</w:t>
            </w:r>
            <w:r w:rsidR="00B357DA">
              <w:t>2</w:t>
            </w:r>
            <w:r>
              <w:t xml:space="preserve"> June 2016</w:t>
            </w:r>
          </w:p>
          <w:p w:rsidR="008C1E70" w:rsidRDefault="008C1E70" w:rsidP="008C1E70">
            <w:pPr>
              <w:spacing w:line="240" w:lineRule="exact"/>
            </w:pPr>
          </w:p>
          <w:p w:rsidR="008C1E70" w:rsidRDefault="008C1E70" w:rsidP="008C1E70">
            <w:pPr>
              <w:spacing w:line="240" w:lineRule="exact"/>
            </w:pPr>
            <w:r>
              <w:t>Original: English</w:t>
            </w:r>
          </w:p>
        </w:tc>
      </w:tr>
    </w:tbl>
    <w:p w:rsidR="008C1E70" w:rsidRPr="00C267F4" w:rsidRDefault="008C1E70" w:rsidP="008C1E70">
      <w:pPr>
        <w:rPr>
          <w:b/>
          <w:bCs/>
          <w:sz w:val="24"/>
          <w:szCs w:val="24"/>
        </w:rPr>
      </w:pPr>
      <w:r w:rsidRPr="00C267F4">
        <w:rPr>
          <w:b/>
          <w:bCs/>
          <w:sz w:val="24"/>
          <w:szCs w:val="24"/>
        </w:rPr>
        <w:t>Human Rights Council</w:t>
      </w:r>
      <w:r w:rsidR="00DA44A7">
        <w:rPr>
          <w:noProof/>
          <w:lang w:eastAsia="ja-JP"/>
        </w:rPr>
        <mc:AlternateContent>
          <mc:Choice Requires="wps">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8C1E70" w:rsidRPr="00C267F4" w:rsidRDefault="008C1E70" w:rsidP="008C1E70">
      <w:pPr>
        <w:rPr>
          <w:b/>
          <w:bCs/>
        </w:rPr>
      </w:pPr>
      <w:r w:rsidRPr="00C267F4">
        <w:rPr>
          <w:b/>
          <w:bCs/>
        </w:rPr>
        <w:t>Thirty-</w:t>
      </w:r>
      <w:r>
        <w:rPr>
          <w:b/>
          <w:bCs/>
        </w:rPr>
        <w:t>second</w:t>
      </w:r>
      <w:r w:rsidRPr="00C267F4">
        <w:rPr>
          <w:b/>
          <w:bCs/>
        </w:rPr>
        <w:t xml:space="preserve"> </w:t>
      </w:r>
      <w:proofErr w:type="gramStart"/>
      <w:r w:rsidRPr="00C267F4">
        <w:rPr>
          <w:b/>
          <w:bCs/>
        </w:rPr>
        <w:t>session</w:t>
      </w:r>
      <w:proofErr w:type="gramEnd"/>
    </w:p>
    <w:p w:rsidR="008C1E70" w:rsidRPr="00C267F4" w:rsidRDefault="008C1E70" w:rsidP="008C1E70">
      <w:r w:rsidRPr="00C267F4">
        <w:t>Agenda item 6</w:t>
      </w:r>
    </w:p>
    <w:p w:rsidR="008C1E70" w:rsidRPr="00C267F4" w:rsidRDefault="008C1E70" w:rsidP="008C1E70">
      <w:pPr>
        <w:rPr>
          <w:b/>
        </w:rPr>
      </w:pPr>
      <w:r w:rsidRPr="00C267F4">
        <w:rPr>
          <w:b/>
        </w:rPr>
        <w:t>Universal Periodic Review</w:t>
      </w:r>
    </w:p>
    <w:p w:rsidR="008C1E70" w:rsidRPr="00C267F4" w:rsidRDefault="008C1E70" w:rsidP="008C1E70">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8C1E70" w:rsidRPr="00C267F4" w:rsidRDefault="008C1E70" w:rsidP="008C1E70">
      <w:pPr>
        <w:keepNext/>
        <w:keepLines/>
        <w:tabs>
          <w:tab w:val="right" w:pos="851"/>
        </w:tabs>
        <w:spacing w:before="360" w:after="240" w:line="300" w:lineRule="exact"/>
        <w:ind w:left="1134" w:right="1134" w:hanging="1134"/>
        <w:rPr>
          <w:b/>
          <w:sz w:val="28"/>
        </w:rPr>
      </w:pPr>
      <w:r>
        <w:rPr>
          <w:b/>
          <w:sz w:val="28"/>
        </w:rPr>
        <w:tab/>
      </w:r>
      <w:r>
        <w:rPr>
          <w:b/>
          <w:sz w:val="28"/>
        </w:rPr>
        <w:tab/>
        <w:t>Solomon Islands</w:t>
      </w:r>
    </w:p>
    <w:p w:rsidR="008C1E70" w:rsidRPr="00C267F4" w:rsidRDefault="008C1E70" w:rsidP="008C1E7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8C1E70" w:rsidRPr="00C267F4" w:rsidRDefault="008C1E70" w:rsidP="008C1E70">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8C1E70" w:rsidRPr="008C1E70" w:rsidRDefault="008C1E70" w:rsidP="008C1E70">
      <w:r w:rsidRPr="00C267F4">
        <w:br w:type="page"/>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6"/>
        <w:gridCol w:w="1428"/>
        <w:gridCol w:w="1429"/>
        <w:gridCol w:w="4332"/>
      </w:tblGrid>
      <w:tr w:rsidR="00F91EB5" w:rsidRPr="008C1E70" w:rsidTr="00F91EB5">
        <w:trPr>
          <w:tblHeader/>
        </w:trPr>
        <w:tc>
          <w:tcPr>
            <w:tcW w:w="1519" w:type="dxa"/>
            <w:tcBorders>
              <w:top w:val="single" w:sz="4" w:space="0" w:color="auto"/>
              <w:bottom w:val="single" w:sz="12" w:space="0" w:color="auto"/>
            </w:tcBorders>
            <w:shd w:val="clear" w:color="auto" w:fill="auto"/>
            <w:vAlign w:val="bottom"/>
          </w:tcPr>
          <w:p w:rsidR="00F91EB5" w:rsidRPr="008C1E70" w:rsidRDefault="00F91EB5" w:rsidP="008C1E70">
            <w:pPr>
              <w:spacing w:before="80" w:after="80" w:line="200" w:lineRule="exact"/>
              <w:ind w:right="113"/>
              <w:rPr>
                <w:i/>
                <w:sz w:val="16"/>
              </w:rPr>
            </w:pPr>
            <w:r>
              <w:rPr>
                <w:i/>
                <w:sz w:val="16"/>
              </w:rPr>
              <w:lastRenderedPageBreak/>
              <w:t>Recommendation</w:t>
            </w:r>
          </w:p>
        </w:tc>
        <w:tc>
          <w:tcPr>
            <w:tcW w:w="3301" w:type="dxa"/>
            <w:gridSpan w:val="2"/>
            <w:tcBorders>
              <w:top w:val="single" w:sz="4" w:space="0" w:color="auto"/>
              <w:bottom w:val="single" w:sz="12" w:space="0" w:color="auto"/>
            </w:tcBorders>
          </w:tcPr>
          <w:p w:rsidR="00F91EB5" w:rsidRPr="008C1E70" w:rsidRDefault="00F91EB5" w:rsidP="00F91EB5">
            <w:pPr>
              <w:spacing w:before="80" w:after="80" w:line="200" w:lineRule="exact"/>
              <w:ind w:right="113"/>
              <w:rPr>
                <w:i/>
                <w:sz w:val="16"/>
              </w:rPr>
            </w:pPr>
            <w:r>
              <w:rPr>
                <w:i/>
                <w:sz w:val="16"/>
              </w:rPr>
              <w:t>Position/Responses</w:t>
            </w:r>
          </w:p>
        </w:tc>
        <w:tc>
          <w:tcPr>
            <w:tcW w:w="5011" w:type="dxa"/>
            <w:tcBorders>
              <w:top w:val="single" w:sz="4" w:space="0" w:color="auto"/>
              <w:bottom w:val="single" w:sz="12" w:space="0" w:color="auto"/>
            </w:tcBorders>
            <w:shd w:val="clear" w:color="auto" w:fill="auto"/>
            <w:vAlign w:val="bottom"/>
          </w:tcPr>
          <w:p w:rsidR="00F91EB5" w:rsidRPr="008C1E70" w:rsidRDefault="00F91EB5" w:rsidP="008C1E70">
            <w:pPr>
              <w:spacing w:before="80" w:after="80" w:line="200" w:lineRule="exact"/>
              <w:ind w:right="113"/>
              <w:rPr>
                <w:i/>
                <w:sz w:val="16"/>
              </w:rPr>
            </w:pPr>
            <w:r>
              <w:rPr>
                <w:i/>
                <w:sz w:val="16"/>
              </w:rPr>
              <w:t>Comments</w:t>
            </w:r>
          </w:p>
        </w:tc>
      </w:tr>
      <w:tr w:rsidR="00F91EB5" w:rsidRPr="008C1E70" w:rsidTr="00F91EB5">
        <w:trPr>
          <w:tblHeader/>
        </w:trPr>
        <w:tc>
          <w:tcPr>
            <w:tcW w:w="1519" w:type="dxa"/>
            <w:tcBorders>
              <w:top w:val="single" w:sz="12" w:space="0" w:color="auto"/>
            </w:tcBorders>
            <w:shd w:val="clear" w:color="auto" w:fill="auto"/>
          </w:tcPr>
          <w:p w:rsidR="00F91EB5" w:rsidRPr="008C1E70" w:rsidRDefault="00F91EB5" w:rsidP="008C1E70">
            <w:pPr>
              <w:spacing w:before="40" w:after="120"/>
              <w:ind w:right="113"/>
            </w:pPr>
            <w:r w:rsidRPr="008C1E70">
              <w:rPr>
                <w:b/>
                <w:bCs/>
              </w:rPr>
              <w:t>100.1</w:t>
            </w:r>
            <w:r>
              <w:rPr>
                <w:rStyle w:val="EndnoteReference"/>
                <w:b/>
                <w:bCs/>
              </w:rPr>
              <w:endnoteReference w:id="2"/>
            </w:r>
          </w:p>
        </w:tc>
        <w:tc>
          <w:tcPr>
            <w:tcW w:w="1650" w:type="dxa"/>
            <w:tcBorders>
              <w:top w:val="single" w:sz="12" w:space="0" w:color="auto"/>
            </w:tcBorders>
          </w:tcPr>
          <w:p w:rsidR="00F91EB5" w:rsidRDefault="00F91EB5" w:rsidP="008C1E70">
            <w:pPr>
              <w:spacing w:before="40" w:after="120"/>
              <w:ind w:right="113"/>
            </w:pPr>
          </w:p>
        </w:tc>
        <w:tc>
          <w:tcPr>
            <w:tcW w:w="1651" w:type="dxa"/>
            <w:tcBorders>
              <w:top w:val="single" w:sz="12" w:space="0" w:color="auto"/>
            </w:tcBorders>
            <w:shd w:val="clear" w:color="auto" w:fill="auto"/>
          </w:tcPr>
          <w:p w:rsidR="00F91EB5" w:rsidRPr="008C1E70" w:rsidRDefault="00F91EB5" w:rsidP="008C1E70">
            <w:pPr>
              <w:spacing w:before="40" w:after="120"/>
              <w:ind w:right="113"/>
            </w:pPr>
            <w:r>
              <w:t>Noted</w:t>
            </w:r>
          </w:p>
        </w:tc>
        <w:tc>
          <w:tcPr>
            <w:tcW w:w="5011" w:type="dxa"/>
            <w:tcBorders>
              <w:top w:val="single" w:sz="12" w:space="0" w:color="auto"/>
            </w:tcBorders>
            <w:shd w:val="clear" w:color="auto" w:fill="auto"/>
          </w:tcPr>
          <w:p w:rsidR="00F91EB5" w:rsidRPr="008C1E70" w:rsidRDefault="00F91EB5" w:rsidP="008C1E70">
            <w:pPr>
              <w:spacing w:before="40" w:after="120"/>
              <w:ind w:right="113"/>
            </w:pPr>
            <w:r w:rsidRPr="008C1E70">
              <w:rPr>
                <w:bCs/>
              </w:rPr>
              <w:t>Solomon Islands will continue efforts in addressing all its overdue human rights reporting within next 10 years before acceding/ratifying any additional international human rights instruments.</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100.2</w:t>
            </w:r>
            <w:r>
              <w:rPr>
                <w:rStyle w:val="EndnoteReference"/>
                <w:b/>
                <w:bCs/>
              </w:rPr>
              <w:endnoteReference w:id="3"/>
            </w:r>
          </w:p>
        </w:tc>
        <w:tc>
          <w:tcPr>
            <w:tcW w:w="1650" w:type="dxa"/>
          </w:tcPr>
          <w:p w:rsid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t>Noted</w:t>
            </w:r>
          </w:p>
        </w:tc>
        <w:tc>
          <w:tcPr>
            <w:tcW w:w="5011" w:type="dxa"/>
            <w:shd w:val="clear" w:color="auto" w:fill="auto"/>
          </w:tcPr>
          <w:p w:rsidR="00F91EB5" w:rsidRPr="008C1E70" w:rsidRDefault="00F91EB5" w:rsidP="008C1E70">
            <w:pPr>
              <w:spacing w:before="40" w:after="120"/>
              <w:ind w:right="113"/>
            </w:pPr>
            <w:r w:rsidRPr="008C1E70">
              <w:rPr>
                <w:bCs/>
              </w:rPr>
              <w:t>Solomon Island</w:t>
            </w:r>
            <w:r>
              <w:rPr>
                <w:bCs/>
              </w:rPr>
              <w:t>s</w:t>
            </w:r>
            <w:r w:rsidRPr="008C1E70">
              <w:rPr>
                <w:bCs/>
              </w:rPr>
              <w:t xml:space="preserve"> repeats comment 100.1</w:t>
            </w:r>
            <w:r>
              <w:rPr>
                <w:bCs/>
              </w:rPr>
              <w:t>.</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100.3</w:t>
            </w:r>
            <w:r>
              <w:rPr>
                <w:rStyle w:val="EndnoteReference"/>
                <w:b/>
                <w:bCs/>
              </w:rPr>
              <w:endnoteReference w:id="4"/>
            </w:r>
          </w:p>
        </w:tc>
        <w:tc>
          <w:tcPr>
            <w:tcW w:w="1650" w:type="dxa"/>
          </w:tcPr>
          <w:p w:rsid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100.4</w:t>
            </w:r>
            <w:r>
              <w:rPr>
                <w:rStyle w:val="EndnoteReference"/>
                <w:b/>
                <w:bCs/>
              </w:rPr>
              <w:endnoteReference w:id="5"/>
            </w:r>
          </w:p>
        </w:tc>
        <w:tc>
          <w:tcPr>
            <w:tcW w:w="1650" w:type="dxa"/>
          </w:tcPr>
          <w:p w:rsid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100.5</w:t>
            </w:r>
            <w:r>
              <w:rPr>
                <w:rStyle w:val="EndnoteReference"/>
                <w:b/>
                <w:bCs/>
              </w:rPr>
              <w:endnoteReference w:id="6"/>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100.6</w:t>
            </w:r>
            <w:r>
              <w:rPr>
                <w:rStyle w:val="EndnoteReference"/>
                <w:b/>
                <w:bCs/>
              </w:rPr>
              <w:endnoteReference w:id="7"/>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100.7</w:t>
            </w:r>
            <w:r>
              <w:rPr>
                <w:rStyle w:val="EndnoteReference"/>
                <w:b/>
                <w:bCs/>
              </w:rPr>
              <w:endnoteReference w:id="8"/>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100.8</w:t>
            </w:r>
            <w:r>
              <w:rPr>
                <w:rStyle w:val="EndnoteReference"/>
                <w:b/>
                <w:bCs/>
              </w:rPr>
              <w:endnoteReference w:id="9"/>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100.9</w:t>
            </w:r>
            <w:r>
              <w:rPr>
                <w:rStyle w:val="EndnoteReference"/>
                <w:b/>
                <w:bCs/>
              </w:rPr>
              <w:endnoteReference w:id="10"/>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100.10</w:t>
            </w:r>
            <w:r>
              <w:rPr>
                <w:rStyle w:val="EndnoteReference"/>
                <w:b/>
                <w:bCs/>
              </w:rPr>
              <w:endnoteReference w:id="11"/>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100.11</w:t>
            </w:r>
            <w:r>
              <w:rPr>
                <w:rStyle w:val="EndnoteReference"/>
                <w:b/>
                <w:bCs/>
              </w:rPr>
              <w:endnoteReference w:id="12"/>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100.12</w:t>
            </w:r>
            <w:r>
              <w:rPr>
                <w:rStyle w:val="EndnoteReference"/>
                <w:b/>
                <w:bCs/>
              </w:rPr>
              <w:endnoteReference w:id="13"/>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100.13</w:t>
            </w:r>
            <w:r>
              <w:rPr>
                <w:rStyle w:val="EndnoteReference"/>
                <w:b/>
                <w:bCs/>
              </w:rPr>
              <w:endnoteReference w:id="14"/>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100.14</w:t>
            </w:r>
            <w:r>
              <w:rPr>
                <w:rStyle w:val="EndnoteReference"/>
                <w:b/>
                <w:bCs/>
              </w:rPr>
              <w:endnoteReference w:id="15"/>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100.15</w:t>
            </w:r>
            <w:r>
              <w:rPr>
                <w:rStyle w:val="EndnoteReference"/>
                <w:b/>
                <w:bCs/>
              </w:rPr>
              <w:endnoteReference w:id="16"/>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100.16</w:t>
            </w:r>
            <w:r>
              <w:rPr>
                <w:rStyle w:val="EndnoteReference"/>
                <w:b/>
                <w:bCs/>
              </w:rPr>
              <w:endnoteReference w:id="17"/>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8C1E70">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100.17</w:t>
            </w:r>
            <w:r>
              <w:rPr>
                <w:rStyle w:val="EndnoteReference"/>
                <w:b/>
                <w:bCs/>
              </w:rPr>
              <w:endnoteReference w:id="18"/>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100.18</w:t>
            </w:r>
            <w:r>
              <w:rPr>
                <w:rStyle w:val="EndnoteReference"/>
                <w:b/>
                <w:bCs/>
              </w:rPr>
              <w:endnoteReference w:id="19"/>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100.19</w:t>
            </w:r>
            <w:r>
              <w:rPr>
                <w:rStyle w:val="EndnoteReference"/>
                <w:b/>
                <w:bCs/>
              </w:rPr>
              <w:endnoteReference w:id="20"/>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100.20</w:t>
            </w:r>
            <w:r>
              <w:rPr>
                <w:rStyle w:val="EndnoteReference"/>
                <w:b/>
                <w:bCs/>
              </w:rPr>
              <w:endnoteReference w:id="21"/>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100.21</w:t>
            </w:r>
            <w:r>
              <w:rPr>
                <w:rStyle w:val="EndnoteReference"/>
                <w:b/>
                <w:bCs/>
              </w:rPr>
              <w:endnoteReference w:id="22"/>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8C1E70">
            <w:pPr>
              <w:spacing w:before="40" w:after="120"/>
              <w:ind w:right="113"/>
            </w:pPr>
            <w:r w:rsidRPr="008C1E70">
              <w:rPr>
                <w:b/>
                <w:bCs/>
              </w:rPr>
              <w:t>100.22</w:t>
            </w:r>
            <w:r>
              <w:rPr>
                <w:rStyle w:val="EndnoteReference"/>
                <w:b/>
                <w:bCs/>
              </w:rPr>
              <w:endnoteReference w:id="23"/>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F91EB5">
            <w:pPr>
              <w:spacing w:before="40" w:after="120"/>
              <w:ind w:right="113"/>
            </w:pPr>
            <w:r w:rsidRPr="00F91EB5">
              <w:rPr>
                <w:b/>
                <w:bCs/>
              </w:rPr>
              <w:t>100.23</w:t>
            </w:r>
            <w:r>
              <w:rPr>
                <w:rStyle w:val="EndnoteReference"/>
                <w:b/>
                <w:bCs/>
              </w:rPr>
              <w:endnoteReference w:id="24"/>
            </w:r>
          </w:p>
        </w:tc>
        <w:tc>
          <w:tcPr>
            <w:tcW w:w="1650" w:type="dxa"/>
          </w:tcPr>
          <w:p w:rsidR="00F91EB5" w:rsidRPr="00F91EB5" w:rsidRDefault="00F91EB5" w:rsidP="008C1E70">
            <w:pPr>
              <w:spacing w:before="40" w:after="120"/>
              <w:ind w:right="113"/>
            </w:pPr>
          </w:p>
        </w:tc>
        <w:tc>
          <w:tcPr>
            <w:tcW w:w="1651" w:type="dxa"/>
            <w:shd w:val="clear" w:color="auto" w:fill="auto"/>
          </w:tcPr>
          <w:p w:rsidR="00F91EB5" w:rsidRPr="008C1E70" w:rsidRDefault="00F91EB5" w:rsidP="008C1E70">
            <w:pPr>
              <w:spacing w:before="40" w:after="120"/>
              <w:ind w:right="113"/>
            </w:pPr>
            <w:r w:rsidRPr="00F91EB5">
              <w:t>Noted</w:t>
            </w:r>
          </w:p>
        </w:tc>
        <w:tc>
          <w:tcPr>
            <w:tcW w:w="5011" w:type="dxa"/>
            <w:shd w:val="clear" w:color="auto" w:fill="auto"/>
          </w:tcPr>
          <w:p w:rsidR="00F91EB5" w:rsidRPr="008C1E70" w:rsidRDefault="00F91EB5" w:rsidP="008C1E70">
            <w:pPr>
              <w:spacing w:before="40" w:after="120"/>
              <w:ind w:right="113"/>
            </w:pPr>
            <w:r w:rsidRPr="00F91EB5">
              <w:rPr>
                <w:bCs/>
              </w:rPr>
              <w:t>Solomon Islands repeats comment 100.1.</w:t>
            </w:r>
          </w:p>
        </w:tc>
      </w:tr>
      <w:tr w:rsidR="00F91EB5" w:rsidRPr="008C1E70" w:rsidTr="00F91EB5">
        <w:trPr>
          <w:tblHeader/>
        </w:trPr>
        <w:tc>
          <w:tcPr>
            <w:tcW w:w="1519" w:type="dxa"/>
            <w:shd w:val="clear" w:color="auto" w:fill="auto"/>
          </w:tcPr>
          <w:p w:rsidR="00F91EB5" w:rsidRPr="008C1E70" w:rsidRDefault="00F91EB5" w:rsidP="00F91EB5">
            <w:pPr>
              <w:spacing w:before="40" w:after="120"/>
              <w:ind w:right="113"/>
            </w:pPr>
            <w:r w:rsidRPr="00F91EB5">
              <w:rPr>
                <w:b/>
                <w:bCs/>
              </w:rPr>
              <w:t>100.24</w:t>
            </w:r>
            <w:r>
              <w:rPr>
                <w:rStyle w:val="EndnoteReference"/>
                <w:b/>
                <w:bCs/>
              </w:rPr>
              <w:endnoteReference w:id="25"/>
            </w:r>
          </w:p>
        </w:tc>
        <w:tc>
          <w:tcPr>
            <w:tcW w:w="1650" w:type="dxa"/>
          </w:tcPr>
          <w:p w:rsidR="00F91EB5" w:rsidRDefault="00F91EB5" w:rsidP="008C1E70">
            <w:pPr>
              <w:spacing w:before="40" w:after="120"/>
              <w:ind w:right="113"/>
            </w:pPr>
            <w:r w:rsidRPr="00F91EB5">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F91EB5" w:rsidP="008C1E70">
            <w:pPr>
              <w:spacing w:before="40" w:after="120"/>
              <w:ind w:right="113"/>
            </w:pPr>
            <w:r w:rsidRPr="00F91EB5">
              <w:t>Solomon Islands will commit to ratification.</w:t>
            </w:r>
          </w:p>
        </w:tc>
      </w:tr>
      <w:tr w:rsidR="00F91EB5" w:rsidRPr="008C1E70" w:rsidTr="00F91EB5">
        <w:trPr>
          <w:tblHeader/>
        </w:trPr>
        <w:tc>
          <w:tcPr>
            <w:tcW w:w="1519" w:type="dxa"/>
            <w:shd w:val="clear" w:color="auto" w:fill="auto"/>
          </w:tcPr>
          <w:p w:rsidR="00F91EB5" w:rsidRPr="008C1E70" w:rsidRDefault="00F91EB5" w:rsidP="00F91EB5">
            <w:pPr>
              <w:spacing w:before="40" w:after="120"/>
              <w:ind w:right="113"/>
            </w:pPr>
            <w:r w:rsidRPr="00F91EB5">
              <w:rPr>
                <w:b/>
                <w:bCs/>
              </w:rPr>
              <w:t>100.25</w:t>
            </w:r>
            <w:r>
              <w:rPr>
                <w:rStyle w:val="EndnoteReference"/>
                <w:b/>
                <w:bCs/>
              </w:rPr>
              <w:endnoteReference w:id="26"/>
            </w:r>
          </w:p>
        </w:tc>
        <w:tc>
          <w:tcPr>
            <w:tcW w:w="1650" w:type="dxa"/>
          </w:tcPr>
          <w:p w:rsidR="00F91EB5" w:rsidRPr="008C1E70" w:rsidRDefault="00F91EB5" w:rsidP="008C1E70">
            <w:pPr>
              <w:spacing w:before="40" w:after="120"/>
              <w:ind w:right="113"/>
            </w:pPr>
            <w:r w:rsidRPr="00F91EB5">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4910F3" w:rsidP="004910F3">
            <w:pPr>
              <w:spacing w:before="40" w:after="120"/>
              <w:ind w:right="113"/>
            </w:pPr>
            <w:r w:rsidRPr="004910F3">
              <w:t>Solomon Islands repeats comment 100.24</w:t>
            </w:r>
            <w:r>
              <w:t>.</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100.26</w:t>
            </w:r>
            <w:r>
              <w:rPr>
                <w:rStyle w:val="EndnoteReference"/>
                <w:b/>
                <w:bCs/>
              </w:rPr>
              <w:endnoteReference w:id="27"/>
            </w:r>
          </w:p>
        </w:tc>
        <w:tc>
          <w:tcPr>
            <w:tcW w:w="1650" w:type="dxa"/>
          </w:tcPr>
          <w:p w:rsidR="00F91EB5" w:rsidRPr="008C1E70" w:rsidRDefault="00F91EB5" w:rsidP="008C1E70">
            <w:pPr>
              <w:spacing w:before="40" w:after="120"/>
              <w:ind w:right="113"/>
            </w:pPr>
            <w:r w:rsidRPr="00F91EB5">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4910F3" w:rsidP="004910F3">
            <w:pPr>
              <w:spacing w:before="40" w:after="120"/>
              <w:ind w:right="113"/>
            </w:pPr>
            <w:r w:rsidRPr="004910F3">
              <w:t>Solomon Islands repeats comment 100.24</w:t>
            </w:r>
            <w:r>
              <w:t>.</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100.27</w:t>
            </w:r>
            <w:r>
              <w:rPr>
                <w:rStyle w:val="EndnoteReference"/>
                <w:b/>
                <w:bCs/>
              </w:rPr>
              <w:endnoteReference w:id="28"/>
            </w:r>
          </w:p>
        </w:tc>
        <w:tc>
          <w:tcPr>
            <w:tcW w:w="1650" w:type="dxa"/>
          </w:tcPr>
          <w:p w:rsidR="00F91EB5" w:rsidRPr="008C1E70" w:rsidRDefault="00F91EB5" w:rsidP="008C1E70">
            <w:pPr>
              <w:spacing w:before="40" w:after="120"/>
              <w:ind w:right="113"/>
            </w:pPr>
            <w:r w:rsidRPr="00F91EB5">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4910F3" w:rsidP="008C1E70">
            <w:pPr>
              <w:spacing w:before="40" w:after="120"/>
              <w:ind w:right="113"/>
            </w:pPr>
            <w:r w:rsidRPr="004910F3">
              <w:t>Solomon Islands repeats comment 100.24.</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100.28</w:t>
            </w:r>
            <w:r>
              <w:rPr>
                <w:rStyle w:val="EndnoteReference"/>
                <w:b/>
                <w:bCs/>
              </w:rPr>
              <w:endnoteReference w:id="29"/>
            </w:r>
          </w:p>
        </w:tc>
        <w:tc>
          <w:tcPr>
            <w:tcW w:w="1650" w:type="dxa"/>
          </w:tcPr>
          <w:p w:rsidR="00F91EB5" w:rsidRPr="008C1E70" w:rsidRDefault="00F91EB5" w:rsidP="008C1E70">
            <w:pPr>
              <w:spacing w:before="40" w:after="120"/>
              <w:ind w:right="113"/>
            </w:pPr>
            <w:r w:rsidRPr="00F91EB5">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4910F3" w:rsidP="008C1E70">
            <w:pPr>
              <w:spacing w:before="40" w:after="120"/>
              <w:ind w:right="113"/>
            </w:pPr>
            <w:r w:rsidRPr="004910F3">
              <w:t>Solomon Islands repeats comment 100.24.</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100.29</w:t>
            </w:r>
            <w:r>
              <w:rPr>
                <w:rStyle w:val="EndnoteReference"/>
                <w:b/>
                <w:bCs/>
              </w:rPr>
              <w:endnoteReference w:id="30"/>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lastRenderedPageBreak/>
              <w:t>100.30</w:t>
            </w:r>
            <w:r>
              <w:rPr>
                <w:rStyle w:val="EndnoteReference"/>
                <w:b/>
                <w:bCs/>
              </w:rPr>
              <w:endnoteReference w:id="31"/>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100.31</w:t>
            </w:r>
            <w:r>
              <w:rPr>
                <w:rStyle w:val="EndnoteReference"/>
                <w:b/>
                <w:bCs/>
              </w:rPr>
              <w:endnoteReference w:id="32"/>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100.32</w:t>
            </w:r>
            <w:r>
              <w:rPr>
                <w:rStyle w:val="EndnoteReference"/>
                <w:b/>
                <w:bCs/>
              </w:rPr>
              <w:endnoteReference w:id="33"/>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100.33</w:t>
            </w:r>
            <w:r>
              <w:rPr>
                <w:rStyle w:val="EndnoteReference"/>
                <w:b/>
                <w:bCs/>
              </w:rPr>
              <w:endnoteReference w:id="34"/>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100.34</w:t>
            </w:r>
            <w:r>
              <w:rPr>
                <w:rStyle w:val="EndnoteReference"/>
                <w:b/>
                <w:bCs/>
              </w:rPr>
              <w:endnoteReference w:id="35"/>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100.35</w:t>
            </w:r>
            <w:r>
              <w:rPr>
                <w:rStyle w:val="EndnoteReference"/>
                <w:b/>
                <w:bCs/>
              </w:rPr>
              <w:endnoteReference w:id="36"/>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100.36</w:t>
            </w:r>
            <w:r>
              <w:rPr>
                <w:rStyle w:val="EndnoteReference"/>
                <w:b/>
                <w:bCs/>
              </w:rPr>
              <w:endnoteReference w:id="37"/>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100.37</w:t>
            </w:r>
            <w:r>
              <w:rPr>
                <w:rStyle w:val="EndnoteReference"/>
                <w:b/>
                <w:bCs/>
              </w:rPr>
              <w:endnoteReference w:id="38"/>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100.38</w:t>
            </w:r>
            <w:r>
              <w:rPr>
                <w:rStyle w:val="EndnoteReference"/>
                <w:b/>
                <w:bCs/>
              </w:rPr>
              <w:endnoteReference w:id="39"/>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100.39</w:t>
            </w:r>
            <w:r>
              <w:rPr>
                <w:rStyle w:val="EndnoteReference"/>
                <w:b/>
                <w:bCs/>
              </w:rPr>
              <w:endnoteReference w:id="40"/>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4910F3" w:rsidP="008C1E70">
            <w:pPr>
              <w:spacing w:before="40" w:after="120"/>
              <w:ind w:right="113"/>
            </w:pPr>
            <w:r w:rsidRPr="004910F3">
              <w:rPr>
                <w:bCs/>
              </w:rPr>
              <w:t>Solomon Islands repeats comment 100.1.</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100.40</w:t>
            </w:r>
            <w:r>
              <w:rPr>
                <w:rStyle w:val="EndnoteReference"/>
                <w:b/>
                <w:bCs/>
              </w:rPr>
              <w:endnoteReference w:id="41"/>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8071E2" w:rsidP="008C1E70">
            <w:pPr>
              <w:spacing w:before="40" w:after="120"/>
              <w:ind w:right="113"/>
            </w:pPr>
            <w:r w:rsidRPr="008071E2">
              <w:t>Solomon Islands will continue to work in a timeline that addresses a nation-wide consultation reaching all its citizens before adopting a new federal constitution.</w:t>
            </w:r>
          </w:p>
        </w:tc>
      </w:tr>
      <w:tr w:rsidR="00F91EB5" w:rsidRPr="008C1E70" w:rsidTr="00F91EB5">
        <w:trPr>
          <w:tblHeader/>
        </w:trPr>
        <w:tc>
          <w:tcPr>
            <w:tcW w:w="1519" w:type="dxa"/>
            <w:shd w:val="clear" w:color="auto" w:fill="auto"/>
          </w:tcPr>
          <w:p w:rsidR="00F91EB5" w:rsidRPr="008C1E70" w:rsidRDefault="004910F3" w:rsidP="004910F3">
            <w:pPr>
              <w:spacing w:before="40" w:after="120"/>
              <w:ind w:right="113"/>
            </w:pPr>
            <w:r w:rsidRPr="004910F3">
              <w:rPr>
                <w:b/>
                <w:bCs/>
              </w:rPr>
              <w:t>100.41</w:t>
            </w:r>
            <w:r>
              <w:rPr>
                <w:rStyle w:val="EndnoteReference"/>
                <w:b/>
                <w:bCs/>
              </w:rPr>
              <w:endnoteReference w:id="42"/>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4910F3" w:rsidP="008C1E70">
            <w:pPr>
              <w:spacing w:before="40" w:after="120"/>
              <w:ind w:right="113"/>
            </w:pPr>
            <w:r w:rsidRPr="004910F3">
              <w:t>Noted</w:t>
            </w:r>
          </w:p>
        </w:tc>
        <w:tc>
          <w:tcPr>
            <w:tcW w:w="5011" w:type="dxa"/>
            <w:shd w:val="clear" w:color="auto" w:fill="auto"/>
          </w:tcPr>
          <w:p w:rsidR="00F91EB5" w:rsidRPr="008C1E70" w:rsidRDefault="008071E2" w:rsidP="008C1E70">
            <w:pPr>
              <w:spacing w:before="40" w:after="120"/>
              <w:ind w:right="113"/>
            </w:pPr>
            <w:r w:rsidRPr="008071E2">
              <w:t>Solomon Islands repeats comment on 100.1 and 100.40.</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100.42</w:t>
            </w:r>
            <w:r>
              <w:rPr>
                <w:rStyle w:val="EndnoteReference"/>
                <w:b/>
                <w:bCs/>
              </w:rPr>
              <w:endnoteReference w:id="43"/>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87DE4" w:rsidP="00F729A7">
            <w:pPr>
              <w:spacing w:before="40" w:after="120"/>
              <w:ind w:right="113"/>
            </w:pPr>
            <w:r w:rsidRPr="00A87DE4">
              <w:t>The Ministry of Women, Youth, Children and Family Affairs (MWYCFA)</w:t>
            </w:r>
            <w:r w:rsidR="00F729A7">
              <w:t xml:space="preserve"> is</w:t>
            </w:r>
            <w:r w:rsidRPr="00A87DE4">
              <w:t xml:space="preserve"> currently monitoring the </w:t>
            </w:r>
            <w:r w:rsidR="00F729A7">
              <w:t>G</w:t>
            </w:r>
            <w:r w:rsidRPr="00A87DE4">
              <w:t>overnment</w:t>
            </w:r>
            <w:r w:rsidR="00F729A7">
              <w:t>’</w:t>
            </w:r>
            <w:r w:rsidRPr="00A87DE4">
              <w:t>s legislative and policy reforms in the country to ensure the implementation of this recommendation.</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100.43</w:t>
            </w:r>
            <w:r>
              <w:rPr>
                <w:rStyle w:val="EndnoteReference"/>
                <w:b/>
                <w:bCs/>
              </w:rPr>
              <w:endnoteReference w:id="44"/>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87DE4" w:rsidP="008C1E70">
            <w:pPr>
              <w:spacing w:before="40" w:after="120"/>
              <w:ind w:right="113"/>
            </w:pPr>
            <w:r w:rsidRPr="00A87DE4">
              <w:t>Solomon Islands Citizenship Act 1997 does not discriminate against gender. All citizenship issues are equally merit based on meeting the required criteria.</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100.44</w:t>
            </w:r>
            <w:r>
              <w:rPr>
                <w:rStyle w:val="EndnoteReference"/>
                <w:b/>
                <w:bCs/>
              </w:rPr>
              <w:endnoteReference w:id="45"/>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87DE4" w:rsidP="008C1E70">
            <w:pPr>
              <w:spacing w:before="40" w:after="120"/>
              <w:ind w:right="113"/>
            </w:pPr>
            <w:r w:rsidRPr="00A87DE4">
              <w:t xml:space="preserve">Solomon Islands </w:t>
            </w:r>
            <w:proofErr w:type="gramStart"/>
            <w:r w:rsidRPr="00A87DE4">
              <w:t>is</w:t>
            </w:r>
            <w:proofErr w:type="gramEnd"/>
            <w:r w:rsidRPr="00A87DE4">
              <w:t xml:space="preserve"> committed to ensuring such consideration in its law reform processes.</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100.45</w:t>
            </w:r>
            <w:r>
              <w:rPr>
                <w:rStyle w:val="EndnoteReference"/>
                <w:b/>
                <w:bCs/>
              </w:rPr>
              <w:endnoteReference w:id="46"/>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C51939" w:rsidP="008C1E70">
            <w:pPr>
              <w:spacing w:before="40" w:after="120"/>
              <w:ind w:right="113"/>
            </w:pPr>
            <w:r>
              <w:t xml:space="preserve">The </w:t>
            </w:r>
            <w:r w:rsidR="00A87DE4" w:rsidRPr="00A87DE4">
              <w:t>Ministry of Foreign Affairs and External Trade (MFAET) is committed to work with all stakeholders this is implemented.</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100.46</w:t>
            </w:r>
            <w:r>
              <w:rPr>
                <w:rStyle w:val="EndnoteReference"/>
                <w:b/>
                <w:bCs/>
              </w:rPr>
              <w:endnoteReference w:id="47"/>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87DE4" w:rsidP="008C1E70">
            <w:pPr>
              <w:spacing w:before="40" w:after="120"/>
              <w:ind w:right="113"/>
            </w:pPr>
            <w:r w:rsidRPr="00A87DE4">
              <w:t xml:space="preserve">Solomon Islands </w:t>
            </w:r>
            <w:proofErr w:type="gramStart"/>
            <w:r w:rsidRPr="00A87DE4">
              <w:t>is</w:t>
            </w:r>
            <w:proofErr w:type="gramEnd"/>
            <w:r w:rsidRPr="00A87DE4">
              <w:t xml:space="preserve"> committed to working with stakeholders on options to establish a NHRI or a similar set-up.</w:t>
            </w:r>
          </w:p>
        </w:tc>
      </w:tr>
      <w:tr w:rsidR="00F91EB5" w:rsidRPr="008C1E70" w:rsidTr="00F91EB5">
        <w:trPr>
          <w:tblHeader/>
        </w:trPr>
        <w:tc>
          <w:tcPr>
            <w:tcW w:w="1519" w:type="dxa"/>
            <w:shd w:val="clear" w:color="auto" w:fill="auto"/>
          </w:tcPr>
          <w:p w:rsidR="00F91EB5" w:rsidRPr="008C1E70" w:rsidRDefault="00A87DE4" w:rsidP="00A87DE4">
            <w:pPr>
              <w:spacing w:before="40" w:after="120"/>
              <w:ind w:right="113"/>
            </w:pPr>
            <w:r w:rsidRPr="00A87DE4">
              <w:rPr>
                <w:b/>
                <w:bCs/>
              </w:rPr>
              <w:t>100.47</w:t>
            </w:r>
            <w:r>
              <w:rPr>
                <w:rStyle w:val="EndnoteReference"/>
                <w:b/>
                <w:bCs/>
              </w:rPr>
              <w:endnoteReference w:id="48"/>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87DE4" w:rsidP="008C1E70">
            <w:pPr>
              <w:spacing w:before="40" w:after="120"/>
              <w:ind w:right="113"/>
            </w:pPr>
            <w:r w:rsidRPr="00A87DE4">
              <w:t>Solomon Islands repeats comment 100.46</w:t>
            </w:r>
            <w:r>
              <w:t>.</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100.48</w:t>
            </w:r>
            <w:r>
              <w:rPr>
                <w:rStyle w:val="EndnoteReference"/>
                <w:b/>
                <w:bCs/>
              </w:rPr>
              <w:endnoteReference w:id="49"/>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reiterates</w:t>
            </w:r>
            <w:proofErr w:type="gramEnd"/>
            <w:r w:rsidRPr="003F6F04">
              <w:t xml:space="preserve"> comment 100.46</w:t>
            </w:r>
            <w:r>
              <w:t>.</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100.49</w:t>
            </w:r>
            <w:r>
              <w:rPr>
                <w:rStyle w:val="EndnoteReference"/>
                <w:b/>
                <w:bCs/>
              </w:rPr>
              <w:endnoteReference w:id="50"/>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reiterates</w:t>
            </w:r>
            <w:proofErr w:type="gramEnd"/>
            <w:r w:rsidRPr="003F6F04">
              <w:t xml:space="preserve"> comment 100.46.</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100.50</w:t>
            </w:r>
            <w:r>
              <w:rPr>
                <w:rStyle w:val="EndnoteReference"/>
                <w:b/>
                <w:bCs/>
              </w:rPr>
              <w:endnoteReference w:id="51"/>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reiterates</w:t>
            </w:r>
            <w:proofErr w:type="gramEnd"/>
            <w:r w:rsidRPr="003F6F04">
              <w:t xml:space="preserve"> comment 100.46.</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100.51</w:t>
            </w:r>
            <w:r>
              <w:rPr>
                <w:rStyle w:val="EndnoteReference"/>
                <w:b/>
                <w:bCs/>
              </w:rPr>
              <w:endnoteReference w:id="52"/>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reiterates</w:t>
            </w:r>
            <w:proofErr w:type="gramEnd"/>
            <w:r w:rsidRPr="003F6F04">
              <w:t xml:space="preserve"> comment 100.46.</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100.52</w:t>
            </w:r>
            <w:r>
              <w:rPr>
                <w:rStyle w:val="EndnoteReference"/>
                <w:b/>
                <w:bCs/>
              </w:rPr>
              <w:endnoteReference w:id="53"/>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Solomon Islands recently launched its National Development Strategy (NDS) 2016-35. NDS is an inclusive long-term strategy at the broad level with long term and medium term strategies providing scope for integrating human rights agenda.</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100.53</w:t>
            </w:r>
            <w:r>
              <w:rPr>
                <w:rStyle w:val="EndnoteReference"/>
                <w:b/>
                <w:bCs/>
              </w:rPr>
              <w:endnoteReference w:id="54"/>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is</w:t>
            </w:r>
            <w:proofErr w:type="gramEnd"/>
            <w:r w:rsidRPr="003F6F04">
              <w:t xml:space="preserve"> committed and will be with stakeholders towards a national human rights strategy plan within the next 5 years.</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100.54</w:t>
            </w:r>
            <w:r>
              <w:rPr>
                <w:rStyle w:val="EndnoteReference"/>
                <w:b/>
                <w:bCs/>
              </w:rPr>
              <w:endnoteReference w:id="55"/>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D850D3">
            <w:pPr>
              <w:spacing w:before="40" w:after="120"/>
              <w:ind w:right="113"/>
            </w:pPr>
            <w:r w:rsidRPr="003F6F04">
              <w:t xml:space="preserve">The Government has recently launched a new Aid Management Policy. This will assist monitoring of any donor funding support towards </w:t>
            </w:r>
            <w:r w:rsidR="00D850D3">
              <w:t>G</w:t>
            </w:r>
            <w:r w:rsidRPr="003F6F04">
              <w:t xml:space="preserve">overnment’s plan for a national monitoring, reporting and follow-up mechanism that </w:t>
            </w:r>
            <w:r w:rsidR="00D850D3">
              <w:t>G</w:t>
            </w:r>
            <w:r w:rsidRPr="003F6F04">
              <w:t>overnment is committed to establishing within next 5 years.</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100.55</w:t>
            </w:r>
            <w:r>
              <w:rPr>
                <w:rStyle w:val="EndnoteReference"/>
                <w:b/>
                <w:bCs/>
              </w:rPr>
              <w:endnoteReference w:id="56"/>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MFAET will be working closely with the Ministry of Public Service to facilitate human rights training program across the public sector within next 5 years.</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100.56</w:t>
            </w:r>
            <w:r>
              <w:rPr>
                <w:rStyle w:val="EndnoteReference"/>
                <w:b/>
                <w:bCs/>
              </w:rPr>
              <w:endnoteReference w:id="57"/>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8C1E70">
            <w:pPr>
              <w:spacing w:before="40" w:after="120"/>
              <w:ind w:right="113"/>
            </w:pPr>
            <w:r w:rsidRPr="003F6F04">
              <w:t>MWYCFA together with Ministry of Health and Medical Services (MHMS) had submitted a ‘Child and Family Welfare Bill’ to Cabinet and is currently with Caucus.</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100.57</w:t>
            </w:r>
            <w:r>
              <w:rPr>
                <w:rStyle w:val="EndnoteReference"/>
                <w:b/>
                <w:bCs/>
              </w:rPr>
              <w:endnoteReference w:id="58"/>
            </w:r>
          </w:p>
        </w:tc>
        <w:tc>
          <w:tcPr>
            <w:tcW w:w="1650" w:type="dxa"/>
          </w:tcPr>
          <w:p w:rsidR="00F91EB5" w:rsidRPr="008C1E70" w:rsidRDefault="00A87DE4" w:rsidP="008C1E70">
            <w:pPr>
              <w:spacing w:before="40" w:after="120"/>
              <w:ind w:right="113"/>
            </w:pPr>
            <w:r w:rsidRPr="00A87DE4">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3F6F04" w:rsidP="00D850D3">
            <w:pPr>
              <w:spacing w:before="40" w:after="120"/>
              <w:ind w:right="113"/>
            </w:pPr>
            <w:r w:rsidRPr="003F6F04">
              <w:t xml:space="preserve">Solomon Islands teaching service handbook prohibits </w:t>
            </w:r>
            <w:r w:rsidR="00D850D3">
              <w:t>c</w:t>
            </w:r>
            <w:r w:rsidRPr="003F6F04">
              <w:t>orporal punishment is in schools. The Education Bill review has made provision for the ending of corporal punishment. A provision in the Child and Family Welfare Bill also promotes fair discipline.</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100.58</w:t>
            </w:r>
            <w:r>
              <w:rPr>
                <w:rStyle w:val="EndnoteReference"/>
                <w:b/>
                <w:bCs/>
              </w:rPr>
              <w:endnoteReference w:id="59"/>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3F6F04" w:rsidP="008C1E70">
            <w:pPr>
              <w:spacing w:before="40" w:after="120"/>
              <w:ind w:right="113"/>
            </w:pPr>
            <w:r w:rsidRPr="003F6F04">
              <w:t>Noted</w:t>
            </w: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repeats</w:t>
            </w:r>
            <w:proofErr w:type="gramEnd"/>
            <w:r w:rsidRPr="003F6F04">
              <w:t xml:space="preserve"> comment100.57.</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100.59</w:t>
            </w:r>
            <w:r>
              <w:rPr>
                <w:rStyle w:val="EndnoteReference"/>
                <w:b/>
                <w:bCs/>
              </w:rPr>
              <w:endnoteReference w:id="60"/>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3F6F04" w:rsidP="008C1E70">
            <w:pPr>
              <w:spacing w:before="40" w:after="120"/>
              <w:ind w:right="113"/>
            </w:pPr>
            <w:r w:rsidRPr="003F6F04">
              <w:t>Noted</w:t>
            </w: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notes</w:t>
            </w:r>
            <w:proofErr w:type="gramEnd"/>
            <w:r w:rsidRPr="003F6F04">
              <w:t xml:space="preserve"> this is one recommendation in the CEDAW Concluding Observations for the State to implement and there is commitment to seeing ways to better approach this.</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100.60</w:t>
            </w:r>
            <w:r>
              <w:rPr>
                <w:rStyle w:val="EndnoteReference"/>
                <w:b/>
                <w:bCs/>
              </w:rPr>
              <w:endnoteReference w:id="61"/>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3F6F04" w:rsidP="008C1E70">
            <w:pPr>
              <w:spacing w:before="40" w:after="120"/>
              <w:ind w:right="113"/>
            </w:pPr>
            <w:r w:rsidRPr="003F6F04">
              <w:t>Noted</w:t>
            </w:r>
          </w:p>
        </w:tc>
        <w:tc>
          <w:tcPr>
            <w:tcW w:w="5011" w:type="dxa"/>
            <w:shd w:val="clear" w:color="auto" w:fill="auto"/>
          </w:tcPr>
          <w:p w:rsidR="00F91EB5" w:rsidRPr="008C1E70" w:rsidRDefault="003F6F04" w:rsidP="008C1E70">
            <w:pPr>
              <w:spacing w:before="40" w:after="120"/>
              <w:ind w:right="113"/>
            </w:pPr>
            <w:r w:rsidRPr="003F6F04">
              <w:t xml:space="preserve">Solomon Islands </w:t>
            </w:r>
            <w:proofErr w:type="gramStart"/>
            <w:r w:rsidRPr="003F6F04">
              <w:t>notes</w:t>
            </w:r>
            <w:proofErr w:type="gramEnd"/>
            <w:r w:rsidRPr="003F6F04">
              <w:t xml:space="preserve"> this and repeats comment </w:t>
            </w:r>
            <w:r w:rsidRPr="0074302F">
              <w:t>100.59</w:t>
            </w:r>
            <w:r w:rsidRPr="003F6F04">
              <w:t>.</w:t>
            </w:r>
          </w:p>
        </w:tc>
      </w:tr>
      <w:tr w:rsidR="00F91EB5" w:rsidRPr="008C1E70" w:rsidTr="00F91EB5">
        <w:trPr>
          <w:tblHeader/>
        </w:trPr>
        <w:tc>
          <w:tcPr>
            <w:tcW w:w="1519" w:type="dxa"/>
            <w:shd w:val="clear" w:color="auto" w:fill="auto"/>
          </w:tcPr>
          <w:p w:rsidR="00F91EB5" w:rsidRPr="008C1E70" w:rsidRDefault="003F6F04" w:rsidP="003F6F04">
            <w:pPr>
              <w:spacing w:before="40" w:after="120"/>
              <w:ind w:right="113"/>
            </w:pPr>
            <w:r w:rsidRPr="003F6F04">
              <w:rPr>
                <w:b/>
                <w:bCs/>
              </w:rPr>
              <w:t>100.61</w:t>
            </w:r>
            <w:r>
              <w:rPr>
                <w:rStyle w:val="EndnoteReference"/>
                <w:b/>
                <w:bCs/>
              </w:rPr>
              <w:endnoteReference w:id="62"/>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reviewed its Penal Code to address this.</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100.62</w:t>
            </w:r>
            <w:r>
              <w:rPr>
                <w:rStyle w:val="EndnoteReference"/>
                <w:b/>
                <w:bCs/>
              </w:rPr>
              <w:endnoteReference w:id="63"/>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w:t>
            </w:r>
            <w:r w:rsidR="000C421C">
              <w:t>s</w:t>
            </w:r>
            <w:r w:rsidRPr="00E33CFA">
              <w:t xml:space="preserve"> Family Protection Act 2014 has mandated relevant Government ministries that will deal with gender-based violence.</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100.63</w:t>
            </w:r>
            <w:r>
              <w:rPr>
                <w:rStyle w:val="EndnoteReference"/>
                <w:b/>
                <w:bCs/>
              </w:rPr>
              <w:endnoteReference w:id="64"/>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 xml:space="preserve">Solomon Islands </w:t>
            </w:r>
            <w:proofErr w:type="gramStart"/>
            <w:r w:rsidRPr="00E33CFA">
              <w:t>has</w:t>
            </w:r>
            <w:proofErr w:type="gramEnd"/>
            <w:r w:rsidRPr="00E33CFA">
              <w:t xml:space="preserve"> passed a new Sexual Offences Act 2015, which repeals the morality offence provisions in the current Penal Code. Punitive measures for trafficking provided in Immigration Act 2012. Solomon Islands further repeats comment 100.59.</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100.64</w:t>
            </w:r>
            <w:r>
              <w:rPr>
                <w:rStyle w:val="EndnoteReference"/>
                <w:b/>
                <w:bCs/>
              </w:rPr>
              <w:endnoteReference w:id="65"/>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0C421C">
            <w:pPr>
              <w:spacing w:before="40" w:after="120"/>
              <w:ind w:right="113"/>
            </w:pPr>
            <w:r w:rsidRPr="00E33CFA">
              <w:t xml:space="preserve">Solomon Islands </w:t>
            </w:r>
            <w:proofErr w:type="gramStart"/>
            <w:r w:rsidRPr="00E33CFA">
              <w:t>repeats</w:t>
            </w:r>
            <w:proofErr w:type="gramEnd"/>
            <w:r w:rsidRPr="00E33CFA">
              <w:t xml:space="preserve"> comments 10</w:t>
            </w:r>
            <w:r w:rsidR="000C421C">
              <w:t>0</w:t>
            </w:r>
            <w:r w:rsidRPr="00E33CFA">
              <w:t xml:space="preserve">.62 </w:t>
            </w:r>
            <w:r>
              <w:t>and</w:t>
            </w:r>
            <w:r w:rsidRPr="00E33CFA">
              <w:t xml:space="preserve"> 100.63</w:t>
            </w:r>
            <w:r>
              <w: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100.65</w:t>
            </w:r>
            <w:r>
              <w:rPr>
                <w:rStyle w:val="EndnoteReference"/>
                <w:b/>
                <w:bCs/>
              </w:rPr>
              <w:endnoteReference w:id="66"/>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repeats comment 100.63</w:t>
            </w:r>
            <w:r>
              <w: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100.66</w:t>
            </w:r>
            <w:r>
              <w:rPr>
                <w:rStyle w:val="EndnoteReference"/>
                <w:b/>
                <w:bCs/>
              </w:rPr>
              <w:endnoteReference w:id="67"/>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repeats comment 100.63</w:t>
            </w:r>
            <w:r>
              <w: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100.67</w:t>
            </w:r>
            <w:r>
              <w:rPr>
                <w:rStyle w:val="EndnoteReference"/>
                <w:b/>
                <w:bCs/>
              </w:rPr>
              <w:endnoteReference w:id="68"/>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repeats comment 100.63</w:t>
            </w:r>
            <w:r>
              <w: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100.68</w:t>
            </w:r>
            <w:r>
              <w:rPr>
                <w:rStyle w:val="EndnoteReference"/>
                <w:b/>
                <w:bCs/>
              </w:rPr>
              <w:endnoteReference w:id="69"/>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E33CFA" w:rsidP="008C1E70">
            <w:pPr>
              <w:spacing w:before="40" w:after="120"/>
              <w:ind w:right="113"/>
            </w:pPr>
            <w:r>
              <w:t>Noted</w:t>
            </w:r>
          </w:p>
        </w:tc>
        <w:tc>
          <w:tcPr>
            <w:tcW w:w="5011" w:type="dxa"/>
            <w:shd w:val="clear" w:color="auto" w:fill="auto"/>
          </w:tcPr>
          <w:p w:rsidR="00F91EB5" w:rsidRPr="008C1E70" w:rsidRDefault="00E33CFA" w:rsidP="008C1E70">
            <w:pPr>
              <w:spacing w:before="40" w:after="120"/>
              <w:ind w:right="113"/>
            </w:pPr>
            <w:r w:rsidRPr="00E33CFA">
              <w:t>Solomon Islands will ensure on developing a strategy to address sensitive contents of the report.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100.69</w:t>
            </w:r>
            <w:r>
              <w:rPr>
                <w:rStyle w:val="EndnoteReference"/>
                <w:b/>
                <w:bCs/>
              </w:rPr>
              <w:endnoteReference w:id="70"/>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E33CFA" w:rsidP="008C1E70">
            <w:pPr>
              <w:spacing w:before="40" w:after="120"/>
              <w:ind w:right="113"/>
            </w:pPr>
            <w:r>
              <w:t>Noted</w:t>
            </w:r>
          </w:p>
        </w:tc>
        <w:tc>
          <w:tcPr>
            <w:tcW w:w="5011" w:type="dxa"/>
            <w:shd w:val="clear" w:color="auto" w:fill="auto"/>
          </w:tcPr>
          <w:p w:rsidR="00F91EB5" w:rsidRPr="008C1E70" w:rsidRDefault="00E33CFA" w:rsidP="008C1E70">
            <w:pPr>
              <w:spacing w:before="40" w:after="120"/>
              <w:ind w:right="113"/>
            </w:pPr>
            <w:r w:rsidRPr="00E33CFA">
              <w:t>Solomon Islands may consider this in the next 5 years.</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100.70</w:t>
            </w:r>
            <w:r>
              <w:rPr>
                <w:rStyle w:val="EndnoteReference"/>
                <w:b/>
                <w:bCs/>
              </w:rPr>
              <w:endnoteReference w:id="71"/>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 xml:space="preserve">Solomon Islands </w:t>
            </w:r>
            <w:proofErr w:type="gramStart"/>
            <w:r w:rsidRPr="00E33CFA">
              <w:t>has</w:t>
            </w:r>
            <w:proofErr w:type="gramEnd"/>
            <w:r w:rsidRPr="00E33CFA">
              <w:t xml:space="preserve"> Fee Free Basic Education Policy. A review of the Education Bill is currently ongoing. Funding and resource capacity remains a challenge for implementation.</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100.71</w:t>
            </w:r>
            <w:r>
              <w:rPr>
                <w:rStyle w:val="EndnoteReference"/>
                <w:b/>
                <w:bCs/>
              </w:rPr>
              <w:endnoteReference w:id="72"/>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 xml:space="preserve">Solomon Islands </w:t>
            </w:r>
            <w:proofErr w:type="gramStart"/>
            <w:r w:rsidRPr="00E33CFA">
              <w:t>has</w:t>
            </w:r>
            <w:proofErr w:type="gramEnd"/>
            <w:r w:rsidRPr="00E33CFA">
              <w:t xml:space="preserve"> Gender in Education Policy and Inclusive Education Policy to address this and reiterate</w:t>
            </w:r>
            <w:r w:rsidR="000C421C">
              <w:t>s</w:t>
            </w:r>
            <w:r w:rsidRPr="00E33CFA">
              <w:t xml:space="preserve"> its comments in 100.70.</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100.72</w:t>
            </w:r>
            <w:r>
              <w:rPr>
                <w:rStyle w:val="EndnoteReference"/>
                <w:b/>
                <w:bCs/>
              </w:rPr>
              <w:endnoteReference w:id="73"/>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E33CFA" w:rsidP="008C1E70">
            <w:pPr>
              <w:spacing w:before="40" w:after="120"/>
              <w:ind w:right="113"/>
            </w:pPr>
            <w:r>
              <w:t>Noted</w:t>
            </w:r>
          </w:p>
        </w:tc>
        <w:tc>
          <w:tcPr>
            <w:tcW w:w="5011" w:type="dxa"/>
            <w:shd w:val="clear" w:color="auto" w:fill="auto"/>
          </w:tcPr>
          <w:p w:rsidR="00F91EB5" w:rsidRPr="008C1E70" w:rsidRDefault="00E33CFA" w:rsidP="008C1E70">
            <w:pPr>
              <w:spacing w:before="40" w:after="120"/>
              <w:ind w:right="113"/>
            </w:pPr>
            <w:r w:rsidRPr="00E33CFA">
              <w:t xml:space="preserve">Solomon Islands </w:t>
            </w:r>
            <w:proofErr w:type="gramStart"/>
            <w:r w:rsidRPr="00E33CFA">
              <w:t>reiterate</w:t>
            </w:r>
            <w:r w:rsidR="000C421C">
              <w:t>s</w:t>
            </w:r>
            <w:proofErr w:type="gramEnd"/>
            <w:r w:rsidRPr="00E33CFA">
              <w:t xml:space="preserve"> comment 100.1.</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100.73</w:t>
            </w:r>
            <w:r>
              <w:rPr>
                <w:rStyle w:val="EndnoteReference"/>
                <w:b/>
                <w:bCs/>
              </w:rPr>
              <w:endnoteReference w:id="74"/>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would like to reiterate comment 100.24</w:t>
            </w:r>
            <w:r>
              <w:t>.</w:t>
            </w:r>
          </w:p>
        </w:tc>
      </w:tr>
      <w:tr w:rsidR="00F91EB5" w:rsidRPr="008C1E70" w:rsidTr="00F91EB5">
        <w:trPr>
          <w:tblHeader/>
        </w:trPr>
        <w:tc>
          <w:tcPr>
            <w:tcW w:w="1519" w:type="dxa"/>
            <w:shd w:val="clear" w:color="auto" w:fill="auto"/>
          </w:tcPr>
          <w:p w:rsidR="00F91EB5" w:rsidRPr="008C1E70" w:rsidRDefault="00E33CFA" w:rsidP="00E33CFA">
            <w:pPr>
              <w:spacing w:before="40" w:after="120"/>
              <w:ind w:right="113"/>
            </w:pPr>
            <w:r w:rsidRPr="00E33CFA">
              <w:rPr>
                <w:b/>
                <w:bCs/>
              </w:rPr>
              <w:t>100.74</w:t>
            </w:r>
            <w:r>
              <w:rPr>
                <w:rStyle w:val="EndnoteReference"/>
                <w:b/>
                <w:bCs/>
              </w:rPr>
              <w:endnoteReference w:id="75"/>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E33CFA" w:rsidP="008C1E70">
            <w:pPr>
              <w:spacing w:before="40" w:after="120"/>
              <w:ind w:right="113"/>
            </w:pPr>
            <w:r w:rsidRPr="00E33CFA">
              <w:t>Solomon Islands would like to reiterate comment 100.24</w:t>
            </w:r>
            <w:r>
              <w:t>.</w:t>
            </w:r>
          </w:p>
        </w:tc>
      </w:tr>
      <w:tr w:rsidR="00F91EB5" w:rsidRPr="008C1E70" w:rsidTr="00F91EB5">
        <w:trPr>
          <w:tblHeader/>
        </w:trPr>
        <w:tc>
          <w:tcPr>
            <w:tcW w:w="1519" w:type="dxa"/>
            <w:shd w:val="clear" w:color="auto" w:fill="auto"/>
          </w:tcPr>
          <w:p w:rsidR="00F91EB5" w:rsidRPr="008C1E70" w:rsidRDefault="00AE115A" w:rsidP="00AE115A">
            <w:pPr>
              <w:spacing w:before="40" w:after="120"/>
              <w:ind w:right="113"/>
            </w:pPr>
            <w:r w:rsidRPr="00AE115A">
              <w:rPr>
                <w:b/>
                <w:bCs/>
              </w:rPr>
              <w:t>100.75</w:t>
            </w:r>
            <w:r>
              <w:rPr>
                <w:rStyle w:val="EndnoteReference"/>
                <w:b/>
                <w:bCs/>
              </w:rPr>
              <w:endnoteReference w:id="76"/>
            </w:r>
          </w:p>
        </w:tc>
        <w:tc>
          <w:tcPr>
            <w:tcW w:w="1650" w:type="dxa"/>
          </w:tcPr>
          <w:p w:rsidR="00F91EB5" w:rsidRPr="008C1E70" w:rsidRDefault="00E33CFA" w:rsidP="008C1E70">
            <w:pPr>
              <w:spacing w:before="40" w:after="120"/>
              <w:ind w:right="113"/>
            </w:pPr>
            <w:r w:rsidRPr="00E33CFA">
              <w:t>Accepted</w:t>
            </w:r>
          </w:p>
        </w:tc>
        <w:tc>
          <w:tcPr>
            <w:tcW w:w="1651" w:type="dxa"/>
            <w:shd w:val="clear" w:color="auto" w:fill="auto"/>
          </w:tcPr>
          <w:p w:rsidR="00F91EB5" w:rsidRPr="008C1E70" w:rsidRDefault="00F91EB5" w:rsidP="008C1E70">
            <w:pPr>
              <w:spacing w:before="40" w:after="120"/>
              <w:ind w:right="113"/>
            </w:pPr>
          </w:p>
        </w:tc>
        <w:tc>
          <w:tcPr>
            <w:tcW w:w="5011" w:type="dxa"/>
            <w:shd w:val="clear" w:color="auto" w:fill="auto"/>
          </w:tcPr>
          <w:p w:rsidR="00F91EB5" w:rsidRPr="008C1E70" w:rsidRDefault="00AE115A" w:rsidP="008C1E70">
            <w:pPr>
              <w:spacing w:before="40" w:after="120"/>
              <w:ind w:right="113"/>
            </w:pPr>
            <w:r w:rsidRPr="00AE115A">
              <w:t>Solomon Islands repeats comment 100.24.</w:t>
            </w:r>
          </w:p>
        </w:tc>
      </w:tr>
      <w:tr w:rsidR="00F91EB5" w:rsidRPr="008C1E70" w:rsidTr="00F91EB5">
        <w:trPr>
          <w:tblHeader/>
        </w:trPr>
        <w:tc>
          <w:tcPr>
            <w:tcW w:w="1519" w:type="dxa"/>
            <w:shd w:val="clear" w:color="auto" w:fill="auto"/>
          </w:tcPr>
          <w:p w:rsidR="00F91EB5" w:rsidRPr="008C1E70" w:rsidRDefault="00AE115A" w:rsidP="00AE115A">
            <w:pPr>
              <w:spacing w:before="40" w:after="120"/>
              <w:ind w:right="113"/>
            </w:pPr>
            <w:r w:rsidRPr="00AE115A">
              <w:rPr>
                <w:b/>
                <w:bCs/>
              </w:rPr>
              <w:t>100.76</w:t>
            </w:r>
            <w:r>
              <w:rPr>
                <w:rStyle w:val="EndnoteReference"/>
                <w:b/>
                <w:bCs/>
              </w:rPr>
              <w:endnoteReference w:id="77"/>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AE115A" w:rsidP="008C1E70">
            <w:pPr>
              <w:spacing w:before="40" w:after="120"/>
              <w:ind w:right="113"/>
            </w:pPr>
            <w:r>
              <w:t>Noted</w:t>
            </w:r>
          </w:p>
        </w:tc>
        <w:tc>
          <w:tcPr>
            <w:tcW w:w="5011" w:type="dxa"/>
            <w:shd w:val="clear" w:color="auto" w:fill="auto"/>
          </w:tcPr>
          <w:p w:rsidR="00F91EB5" w:rsidRPr="008C1E70" w:rsidRDefault="00AE115A" w:rsidP="008C1E70">
            <w:pPr>
              <w:spacing w:before="40" w:after="120"/>
              <w:ind w:right="113"/>
            </w:pPr>
            <w:r w:rsidRPr="00AE115A">
              <w:t>The Government and communities work closely with forest industry to ensure that human and environmental rights are respected.</w:t>
            </w:r>
          </w:p>
        </w:tc>
      </w:tr>
      <w:tr w:rsidR="00F91EB5" w:rsidRPr="008C1E70" w:rsidTr="00F91EB5">
        <w:trPr>
          <w:tblHeader/>
        </w:trPr>
        <w:tc>
          <w:tcPr>
            <w:tcW w:w="1519" w:type="dxa"/>
            <w:shd w:val="clear" w:color="auto" w:fill="auto"/>
          </w:tcPr>
          <w:p w:rsidR="00F91EB5" w:rsidRPr="008C1E70" w:rsidRDefault="00AE115A" w:rsidP="00AE115A">
            <w:pPr>
              <w:spacing w:before="40" w:after="120"/>
              <w:ind w:right="113"/>
            </w:pPr>
            <w:r w:rsidRPr="00AE115A">
              <w:rPr>
                <w:b/>
                <w:bCs/>
              </w:rPr>
              <w:t>100.77</w:t>
            </w:r>
            <w:r>
              <w:rPr>
                <w:rStyle w:val="EndnoteReference"/>
                <w:b/>
                <w:bCs/>
              </w:rPr>
              <w:endnoteReference w:id="78"/>
            </w:r>
          </w:p>
        </w:tc>
        <w:tc>
          <w:tcPr>
            <w:tcW w:w="1650" w:type="dxa"/>
          </w:tcPr>
          <w:p w:rsidR="00F91EB5" w:rsidRPr="008C1E70" w:rsidRDefault="00F91EB5" w:rsidP="008C1E70">
            <w:pPr>
              <w:spacing w:before="40" w:after="120"/>
              <w:ind w:right="113"/>
            </w:pPr>
          </w:p>
        </w:tc>
        <w:tc>
          <w:tcPr>
            <w:tcW w:w="1651" w:type="dxa"/>
            <w:shd w:val="clear" w:color="auto" w:fill="auto"/>
          </w:tcPr>
          <w:p w:rsidR="00F91EB5" w:rsidRPr="008C1E70" w:rsidRDefault="00AE115A" w:rsidP="008C1E70">
            <w:pPr>
              <w:spacing w:before="40" w:after="120"/>
              <w:ind w:right="113"/>
            </w:pPr>
            <w:r>
              <w:t>Noted</w:t>
            </w:r>
          </w:p>
        </w:tc>
        <w:tc>
          <w:tcPr>
            <w:tcW w:w="5011" w:type="dxa"/>
            <w:shd w:val="clear" w:color="auto" w:fill="auto"/>
          </w:tcPr>
          <w:p w:rsidR="00F91EB5" w:rsidRPr="008C1E70" w:rsidRDefault="00AE115A" w:rsidP="008C1E70">
            <w:pPr>
              <w:spacing w:before="40" w:after="120"/>
              <w:ind w:right="113"/>
            </w:pPr>
            <w:r w:rsidRPr="00AE115A">
              <w:t>Solomon Islands implements adaptation and mitigation measures in response to Climate Change and is committed to addressing issues of relocation and resettlement.</w:t>
            </w:r>
          </w:p>
        </w:tc>
      </w:tr>
      <w:tr w:rsidR="00F91EB5" w:rsidRPr="008C1E70" w:rsidTr="00F91EB5">
        <w:trPr>
          <w:tblHeader/>
        </w:trPr>
        <w:tc>
          <w:tcPr>
            <w:tcW w:w="1519" w:type="dxa"/>
            <w:tcBorders>
              <w:bottom w:val="single" w:sz="12" w:space="0" w:color="auto"/>
            </w:tcBorders>
            <w:shd w:val="clear" w:color="auto" w:fill="auto"/>
          </w:tcPr>
          <w:p w:rsidR="00F91EB5" w:rsidRPr="008C1E70" w:rsidRDefault="00AE115A" w:rsidP="00AE115A">
            <w:pPr>
              <w:spacing w:before="40" w:after="120"/>
              <w:ind w:right="113"/>
            </w:pPr>
            <w:r w:rsidRPr="00AE115A">
              <w:rPr>
                <w:b/>
                <w:bCs/>
              </w:rPr>
              <w:t>100.78</w:t>
            </w:r>
            <w:r>
              <w:rPr>
                <w:rStyle w:val="EndnoteReference"/>
                <w:b/>
                <w:bCs/>
              </w:rPr>
              <w:endnoteReference w:id="79"/>
            </w:r>
          </w:p>
        </w:tc>
        <w:tc>
          <w:tcPr>
            <w:tcW w:w="1650" w:type="dxa"/>
            <w:tcBorders>
              <w:bottom w:val="single" w:sz="12" w:space="0" w:color="auto"/>
            </w:tcBorders>
          </w:tcPr>
          <w:p w:rsidR="00F91EB5" w:rsidRPr="008C1E70" w:rsidRDefault="00E33CFA" w:rsidP="008C1E70">
            <w:pPr>
              <w:spacing w:before="40" w:after="120"/>
              <w:ind w:right="113"/>
            </w:pPr>
            <w:r w:rsidRPr="00E33CFA">
              <w:t>Accepted</w:t>
            </w:r>
          </w:p>
        </w:tc>
        <w:tc>
          <w:tcPr>
            <w:tcW w:w="1651" w:type="dxa"/>
            <w:tcBorders>
              <w:bottom w:val="single" w:sz="12" w:space="0" w:color="auto"/>
            </w:tcBorders>
            <w:shd w:val="clear" w:color="auto" w:fill="auto"/>
          </w:tcPr>
          <w:p w:rsidR="00F91EB5" w:rsidRPr="008C1E70" w:rsidRDefault="00F91EB5" w:rsidP="008C1E70">
            <w:pPr>
              <w:spacing w:before="40" w:after="120"/>
              <w:ind w:right="113"/>
            </w:pPr>
          </w:p>
        </w:tc>
        <w:tc>
          <w:tcPr>
            <w:tcW w:w="5011" w:type="dxa"/>
            <w:tcBorders>
              <w:bottom w:val="single" w:sz="12" w:space="0" w:color="auto"/>
            </w:tcBorders>
            <w:shd w:val="clear" w:color="auto" w:fill="auto"/>
          </w:tcPr>
          <w:p w:rsidR="00F91EB5" w:rsidRPr="008C1E70" w:rsidRDefault="00AE115A" w:rsidP="008C1E70">
            <w:pPr>
              <w:spacing w:before="40" w:after="120"/>
              <w:ind w:right="113"/>
            </w:pPr>
            <w:r w:rsidRPr="00AE115A">
              <w:t>Solomon Island</w:t>
            </w:r>
            <w:r w:rsidR="007955F8">
              <w:t>s</w:t>
            </w:r>
            <w:r w:rsidRPr="00AE115A">
              <w:t xml:space="preserve"> Cabinet endorsed REDD+ Road map. Awareness and piloting of the REDD+ activities is currently underway.</w:t>
            </w:r>
          </w:p>
        </w:tc>
      </w:tr>
    </w:tbl>
    <w:p w:rsidR="008C1E70" w:rsidRPr="008C1E70" w:rsidRDefault="00AE115A" w:rsidP="008C1E70">
      <w:pPr>
        <w:pStyle w:val="H4G"/>
      </w:pPr>
      <w:r>
        <w:br w:type="page"/>
      </w:r>
      <w:r w:rsidR="008C1E70">
        <w:t>Notes</w:t>
      </w:r>
    </w:p>
    <w:sectPr w:rsidR="008C1E70" w:rsidRPr="008C1E70" w:rsidSect="008C1E7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F3" w:rsidRDefault="004910F3"/>
  </w:endnote>
  <w:endnote w:type="continuationSeparator" w:id="0">
    <w:p w:rsidR="004910F3" w:rsidRDefault="004910F3"/>
  </w:endnote>
  <w:endnote w:type="continuationNotice" w:id="1">
    <w:p w:rsidR="004910F3" w:rsidRDefault="004910F3"/>
  </w:endnote>
  <w:endnote w:id="2">
    <w:p w:rsidR="004910F3" w:rsidRDefault="004910F3" w:rsidP="008C1E70">
      <w:pPr>
        <w:pStyle w:val="EndnoteText"/>
        <w:widowControl w:val="0"/>
        <w:tabs>
          <w:tab w:val="clear" w:pos="1021"/>
          <w:tab w:val="right" w:pos="1020"/>
        </w:tabs>
      </w:pPr>
      <w:r>
        <w:tab/>
      </w:r>
      <w:r>
        <w:rPr>
          <w:rStyle w:val="EndnoteReference"/>
        </w:rPr>
        <w:endnoteRef/>
      </w:r>
      <w:r>
        <w:tab/>
      </w:r>
      <w:r w:rsidRPr="008C1E70">
        <w:t>Continue efforts taken towards the ratification of international human rights instruments and harmonization of</w:t>
      </w:r>
      <w:r>
        <w:t xml:space="preserve"> national legislation (Morocco). </w:t>
      </w:r>
    </w:p>
  </w:endnote>
  <w:endnote w:id="3">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Consider signing and ratifying those international human rights instruments to </w:t>
      </w:r>
      <w:proofErr w:type="gramStart"/>
      <w:r w:rsidRPr="008C1E70">
        <w:t>which  it</w:t>
      </w:r>
      <w:proofErr w:type="gramEnd"/>
      <w:r w:rsidRPr="008C1E70">
        <w:t xml:space="preserve"> is</w:t>
      </w:r>
      <w:r>
        <w:t xml:space="preserve"> not yet a party to (Argentina). </w:t>
      </w:r>
    </w:p>
  </w:endnote>
  <w:endnote w:id="4">
    <w:p w:rsidR="004910F3" w:rsidRDefault="004910F3" w:rsidP="008C1E70">
      <w:pPr>
        <w:pStyle w:val="EndnoteText"/>
        <w:widowControl w:val="0"/>
        <w:tabs>
          <w:tab w:val="clear" w:pos="1021"/>
          <w:tab w:val="right" w:pos="1020"/>
        </w:tabs>
      </w:pPr>
      <w:r>
        <w:tab/>
      </w:r>
      <w:r>
        <w:rPr>
          <w:rStyle w:val="EndnoteReference"/>
        </w:rPr>
        <w:endnoteRef/>
      </w:r>
      <w:r>
        <w:tab/>
      </w:r>
      <w:r w:rsidRPr="008C1E70">
        <w:t>Ratify and implement all major international h</w:t>
      </w:r>
      <w:r>
        <w:t>uman rights treaties (Slovenia).</w:t>
      </w:r>
    </w:p>
  </w:endnote>
  <w:endnote w:id="5">
    <w:p w:rsidR="004910F3" w:rsidRDefault="004910F3" w:rsidP="008C1E70">
      <w:pPr>
        <w:pStyle w:val="EndnoteText"/>
        <w:widowControl w:val="0"/>
        <w:tabs>
          <w:tab w:val="clear" w:pos="1021"/>
          <w:tab w:val="right" w:pos="1020"/>
        </w:tabs>
      </w:pPr>
      <w:r>
        <w:tab/>
      </w:r>
      <w:r>
        <w:rPr>
          <w:rStyle w:val="EndnoteReference"/>
        </w:rPr>
        <w:endnoteRef/>
      </w:r>
      <w:r>
        <w:tab/>
      </w:r>
      <w:r w:rsidRPr="008C1E70">
        <w:t>Ratify and accede to the international treaties to whi</w:t>
      </w:r>
      <w:r>
        <w:t>ch it is not yet a party (Iraq).</w:t>
      </w:r>
    </w:p>
  </w:endnote>
  <w:endnote w:id="6">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Sign and ratify the International Covenant on Civil and Political Rights and the Convention against Torture and Other Cruel, Inhuman or Degrading Treatment or Punishment, in line with recommendation accepted </w:t>
      </w:r>
      <w:r>
        <w:t>in the first UPR cycle (Brazil).</w:t>
      </w:r>
    </w:p>
  </w:endnote>
  <w:endnote w:id="7">
    <w:p w:rsidR="004910F3" w:rsidRDefault="004910F3" w:rsidP="008C1E70">
      <w:pPr>
        <w:pStyle w:val="EndnoteText"/>
        <w:widowControl w:val="0"/>
        <w:tabs>
          <w:tab w:val="clear" w:pos="1021"/>
          <w:tab w:val="right" w:pos="1020"/>
        </w:tabs>
      </w:pPr>
      <w:r>
        <w:tab/>
      </w:r>
      <w:r>
        <w:rPr>
          <w:rStyle w:val="EndnoteReference"/>
        </w:rPr>
        <w:endnoteRef/>
      </w:r>
      <w:r>
        <w:tab/>
      </w:r>
      <w:r w:rsidRPr="008C1E70">
        <w:t>Consider ratifying the International Covenant on Civil and Political Rights and</w:t>
      </w:r>
      <w:r>
        <w:t xml:space="preserve"> its Optional Protocols (Ghana).</w:t>
      </w:r>
    </w:p>
  </w:endnote>
  <w:endnote w:id="8">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Consider ratifying the International Covenant on Civil and Political Rights (Italy, </w:t>
      </w:r>
      <w:r>
        <w:t>Republic of Korea, Philippines).</w:t>
      </w:r>
    </w:p>
  </w:endnote>
  <w:endnote w:id="9">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Continue and step up its efforts in the ratification </w:t>
      </w:r>
      <w:r w:rsidR="00EE794F">
        <w:t xml:space="preserve">of </w:t>
      </w:r>
      <w:r w:rsidRPr="008C1E70">
        <w:t xml:space="preserve">or accession </w:t>
      </w:r>
      <w:r w:rsidR="00EE794F">
        <w:t>to</w:t>
      </w:r>
      <w:r w:rsidRPr="008C1E70">
        <w:t xml:space="preserve"> ICCPR (Indonesia); Redouble its efforts for the ratification of the International Covenant on Civ</w:t>
      </w:r>
      <w:r>
        <w:t>il and Political Rights (Chile).</w:t>
      </w:r>
    </w:p>
  </w:endnote>
  <w:endnote w:id="10">
    <w:p w:rsidR="004910F3" w:rsidRDefault="004910F3" w:rsidP="008C1E70">
      <w:pPr>
        <w:pStyle w:val="EndnoteText"/>
        <w:widowControl w:val="0"/>
        <w:tabs>
          <w:tab w:val="clear" w:pos="1021"/>
          <w:tab w:val="right" w:pos="1020"/>
        </w:tabs>
      </w:pPr>
      <w:r>
        <w:tab/>
      </w:r>
      <w:r>
        <w:rPr>
          <w:rStyle w:val="EndnoteReference"/>
        </w:rPr>
        <w:endnoteRef/>
      </w:r>
      <w:r>
        <w:tab/>
      </w:r>
      <w:r w:rsidRPr="008C1E70">
        <w:t>Complete its international commitments by ratifying on a priority basis the International Covenant on Civil</w:t>
      </w:r>
      <w:r>
        <w:t xml:space="preserve"> and Political Rights (France).</w:t>
      </w:r>
    </w:p>
  </w:endnote>
  <w:endnote w:id="11">
    <w:p w:rsidR="004910F3" w:rsidRDefault="004910F3" w:rsidP="008C1E70">
      <w:pPr>
        <w:pStyle w:val="EndnoteText"/>
        <w:widowControl w:val="0"/>
        <w:tabs>
          <w:tab w:val="clear" w:pos="1021"/>
          <w:tab w:val="right" w:pos="1020"/>
        </w:tabs>
      </w:pPr>
      <w:r>
        <w:tab/>
      </w:r>
      <w:r>
        <w:rPr>
          <w:rStyle w:val="EndnoteReference"/>
        </w:rPr>
        <w:endnoteRef/>
      </w:r>
      <w:r>
        <w:tab/>
      </w:r>
      <w:r w:rsidRPr="008C1E70">
        <w:t>Continue its efforts to complete the accession to the relevant instruments such as the International Covenant on Civi</w:t>
      </w:r>
      <w:r>
        <w:t>l and Political Rights (Mexico).</w:t>
      </w:r>
    </w:p>
  </w:endnote>
  <w:endnote w:id="12">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Ratify the International Covenant on Civil and Political Rights </w:t>
      </w:r>
      <w:r>
        <w:t xml:space="preserve">(Portugal, Algeria, </w:t>
      </w:r>
      <w:proofErr w:type="gramStart"/>
      <w:r>
        <w:t>Montenegro</w:t>
      </w:r>
      <w:proofErr w:type="gramEnd"/>
      <w:r>
        <w:t>).</w:t>
      </w:r>
    </w:p>
  </w:endnote>
  <w:endnote w:id="13">
    <w:p w:rsidR="004910F3" w:rsidRDefault="004910F3" w:rsidP="008C1E70">
      <w:pPr>
        <w:pStyle w:val="EndnoteText"/>
        <w:widowControl w:val="0"/>
        <w:tabs>
          <w:tab w:val="clear" w:pos="1021"/>
          <w:tab w:val="right" w:pos="1020"/>
        </w:tabs>
      </w:pPr>
      <w:r>
        <w:tab/>
      </w:r>
      <w:r>
        <w:rPr>
          <w:rStyle w:val="EndnoteReference"/>
        </w:rPr>
        <w:endnoteRef/>
      </w:r>
      <w:r>
        <w:tab/>
      </w:r>
      <w:r w:rsidRPr="008C1E70">
        <w:t>Consider ratifying the Second Optional Protocol to the International Covenant on Civ</w:t>
      </w:r>
      <w:r>
        <w:t>il and Political Rights (Italy).</w:t>
      </w:r>
    </w:p>
  </w:endnote>
  <w:endnote w:id="14">
    <w:p w:rsidR="004910F3" w:rsidRDefault="004910F3" w:rsidP="008C1E70">
      <w:pPr>
        <w:pStyle w:val="EndnoteText"/>
        <w:widowControl w:val="0"/>
        <w:tabs>
          <w:tab w:val="clear" w:pos="1021"/>
          <w:tab w:val="right" w:pos="1020"/>
        </w:tabs>
      </w:pPr>
      <w:r>
        <w:tab/>
      </w:r>
      <w:r>
        <w:rPr>
          <w:rStyle w:val="EndnoteReference"/>
        </w:rPr>
        <w:endnoteRef/>
      </w:r>
      <w:r>
        <w:tab/>
      </w:r>
      <w:r w:rsidRPr="008C1E70">
        <w:t>Ratify the Second Optional Protocol to the International Covenant on Civil and Politic</w:t>
      </w:r>
      <w:r>
        <w:t>al Rights (Portugal, Australia).</w:t>
      </w:r>
    </w:p>
  </w:endnote>
  <w:endnote w:id="15">
    <w:p w:rsidR="004910F3" w:rsidRDefault="004910F3" w:rsidP="008C1E70">
      <w:pPr>
        <w:pStyle w:val="EndnoteText"/>
        <w:widowControl w:val="0"/>
        <w:tabs>
          <w:tab w:val="clear" w:pos="1021"/>
          <w:tab w:val="right" w:pos="1020"/>
        </w:tabs>
      </w:pPr>
      <w:r>
        <w:tab/>
      </w:r>
      <w:r>
        <w:rPr>
          <w:rStyle w:val="EndnoteReference"/>
        </w:rPr>
        <w:endnoteRef/>
      </w:r>
      <w:r>
        <w:tab/>
      </w:r>
      <w:r w:rsidRPr="008C1E70">
        <w:t>Consider ratifying the Convention against Torture and Other Cruel, Inhuman or Degrading Treatment or Punishment (Republi</w:t>
      </w:r>
      <w:r>
        <w:t>c of Korea, Ghana, Philippines).</w:t>
      </w:r>
    </w:p>
  </w:endnote>
  <w:endnote w:id="16">
    <w:p w:rsidR="004910F3" w:rsidRDefault="004910F3" w:rsidP="008C1E70">
      <w:pPr>
        <w:pStyle w:val="EndnoteText"/>
        <w:widowControl w:val="0"/>
        <w:tabs>
          <w:tab w:val="clear" w:pos="1021"/>
          <w:tab w:val="right" w:pos="1020"/>
        </w:tabs>
      </w:pPr>
      <w:r>
        <w:tab/>
      </w:r>
      <w:r>
        <w:rPr>
          <w:rStyle w:val="EndnoteReference"/>
        </w:rPr>
        <w:endnoteRef/>
      </w:r>
      <w:r>
        <w:tab/>
      </w:r>
      <w:r w:rsidRPr="008C1E70">
        <w:t>Continue and step up its efforts in the ratification or accession of the Convent</w:t>
      </w:r>
      <w:r>
        <w:t>ion against Torture (Indonesia).</w:t>
      </w:r>
    </w:p>
  </w:endnote>
  <w:endnote w:id="17">
    <w:p w:rsidR="004910F3" w:rsidRDefault="004910F3" w:rsidP="008C1E70">
      <w:pPr>
        <w:pStyle w:val="EndnoteText"/>
        <w:widowControl w:val="0"/>
        <w:tabs>
          <w:tab w:val="clear" w:pos="1021"/>
          <w:tab w:val="right" w:pos="1020"/>
        </w:tabs>
      </w:pPr>
      <w:r>
        <w:tab/>
      </w:r>
      <w:r>
        <w:rPr>
          <w:rStyle w:val="EndnoteReference"/>
        </w:rPr>
        <w:endnoteRef/>
      </w:r>
      <w:r>
        <w:tab/>
      </w:r>
      <w:r w:rsidRPr="008C1E70">
        <w:t>Continue its efforts to complete the accession to the relevant instruments such as the Convention against Torture and Other Cruel, Inhuman or Degrading T</w:t>
      </w:r>
      <w:r>
        <w:t>reatment or Punishment (Mexico).</w:t>
      </w:r>
    </w:p>
  </w:endnote>
  <w:endnote w:id="18">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Intensify its efforts to ratify the Convention against Torture and other Cruel, Inhuman or Degrading Treatment or Punishment (Denmark); Redouble its efforts for the ratification of the Convention against Torture and Other Cruel, Inhuman or Degrading </w:t>
      </w:r>
      <w:r>
        <w:t>Treatment or Punishment (Chile).</w:t>
      </w:r>
    </w:p>
  </w:endnote>
  <w:endnote w:id="19">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Ratify the Convention against Torture, and Other Cruel, Inhuman and Degrading Treatment or Punishment </w:t>
      </w:r>
      <w:r>
        <w:t>(Portugal, Montenegro).</w:t>
      </w:r>
    </w:p>
  </w:endnote>
  <w:endnote w:id="20">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Ratify the Convention against Torture and Other Cruel, Inhuman or Degrading Treatment or Punishment, that it has already signed (France); </w:t>
      </w:r>
      <w:proofErr w:type="gramStart"/>
      <w:r w:rsidRPr="008C1E70">
        <w:t>Ratify</w:t>
      </w:r>
      <w:proofErr w:type="gramEnd"/>
      <w:r w:rsidRPr="008C1E70">
        <w:t xml:space="preserve"> the core human rights instruments, including the Convention against Torture and Other Cruel, Inhuman or Degrading Treatme</w:t>
      </w:r>
      <w:r>
        <w:t>nt or Punishment (Sierra Leone).</w:t>
      </w:r>
    </w:p>
  </w:endnote>
  <w:endnote w:id="21">
    <w:p w:rsidR="004910F3" w:rsidRDefault="004910F3" w:rsidP="008C1E70">
      <w:pPr>
        <w:pStyle w:val="EndnoteText"/>
        <w:widowControl w:val="0"/>
        <w:tabs>
          <w:tab w:val="clear" w:pos="1021"/>
          <w:tab w:val="right" w:pos="1020"/>
        </w:tabs>
      </w:pPr>
      <w:r>
        <w:tab/>
      </w:r>
      <w:r>
        <w:rPr>
          <w:rStyle w:val="EndnoteReference"/>
        </w:rPr>
        <w:endnoteRef/>
      </w:r>
      <w:r>
        <w:tab/>
      </w:r>
      <w:r w:rsidRPr="008C1E70">
        <w:t>Consider ratifying the International Convention on the Protection of the Rights of All Migrant Workers and Members of Thei</w:t>
      </w:r>
      <w:r>
        <w:t>r Families (Ghana, Philippines).</w:t>
      </w:r>
    </w:p>
  </w:endnote>
  <w:endnote w:id="22">
    <w:p w:rsidR="004910F3" w:rsidRDefault="004910F3" w:rsidP="008C1E70">
      <w:pPr>
        <w:pStyle w:val="EndnoteText"/>
        <w:widowControl w:val="0"/>
        <w:tabs>
          <w:tab w:val="clear" w:pos="1021"/>
          <w:tab w:val="right" w:pos="1020"/>
        </w:tabs>
      </w:pPr>
      <w:r>
        <w:tab/>
      </w:r>
      <w:r>
        <w:rPr>
          <w:rStyle w:val="EndnoteReference"/>
        </w:rPr>
        <w:endnoteRef/>
      </w:r>
      <w:r>
        <w:tab/>
      </w:r>
      <w:r w:rsidRPr="008C1E70">
        <w:t xml:space="preserve">Continue its efforts to improve measures to promote and protect the rights of migrant workers in the country, including </w:t>
      </w:r>
      <w:proofErr w:type="gramStart"/>
      <w:r w:rsidRPr="008C1E70">
        <w:t>to consider</w:t>
      </w:r>
      <w:proofErr w:type="gramEnd"/>
      <w:r w:rsidRPr="008C1E70">
        <w:t xml:space="preserve"> accession of the International Convention on the Rights of All Migrant Workers and member</w:t>
      </w:r>
      <w:r>
        <w:t>s of their families (Indonesia).</w:t>
      </w:r>
    </w:p>
  </w:endnote>
  <w:endnote w:id="23">
    <w:p w:rsidR="004910F3" w:rsidRDefault="004910F3" w:rsidP="008C1E70">
      <w:pPr>
        <w:pStyle w:val="EndnoteText"/>
        <w:widowControl w:val="0"/>
        <w:tabs>
          <w:tab w:val="clear" w:pos="1021"/>
          <w:tab w:val="right" w:pos="1020"/>
        </w:tabs>
      </w:pPr>
      <w:r>
        <w:tab/>
      </w:r>
      <w:r>
        <w:rPr>
          <w:rStyle w:val="EndnoteReference"/>
        </w:rPr>
        <w:endnoteRef/>
      </w:r>
      <w:r>
        <w:tab/>
      </w:r>
      <w:r w:rsidRPr="008C1E70">
        <w:t>Continue its efforts to complete the accession to the relevant instruments such as the International Convention on the Protection of the Rights of All Migrant Workers and Members of Their Families (Mexico); Redouble its efforts for the ratification of the International Convention on the Protection of the Rights of All Migrant Workers and Me</w:t>
      </w:r>
      <w:r>
        <w:t>mbers of Their Families (Chile).</w:t>
      </w:r>
    </w:p>
  </w:endnote>
  <w:endnote w:id="24">
    <w:p w:rsidR="004910F3" w:rsidRDefault="004910F3" w:rsidP="00F91EB5">
      <w:pPr>
        <w:pStyle w:val="EndnoteText"/>
        <w:widowControl w:val="0"/>
        <w:tabs>
          <w:tab w:val="clear" w:pos="1021"/>
          <w:tab w:val="right" w:pos="1020"/>
        </w:tabs>
      </w:pPr>
      <w:r>
        <w:tab/>
      </w:r>
      <w:r>
        <w:rPr>
          <w:rStyle w:val="EndnoteReference"/>
        </w:rPr>
        <w:endnoteRef/>
      </w:r>
      <w:r>
        <w:tab/>
      </w:r>
      <w:r w:rsidRPr="00F91EB5">
        <w:t>Ratify the core human rights instruments, including the International Convention on the Protection of the Rights of All Migrant Workers and Members of Their Famili</w:t>
      </w:r>
      <w:r>
        <w:t>es (Sierra Leone).</w:t>
      </w:r>
    </w:p>
  </w:endnote>
  <w:endnote w:id="25">
    <w:p w:rsidR="004910F3" w:rsidRDefault="004910F3" w:rsidP="00F91EB5">
      <w:pPr>
        <w:pStyle w:val="EndnoteText"/>
        <w:widowControl w:val="0"/>
        <w:tabs>
          <w:tab w:val="clear" w:pos="1021"/>
          <w:tab w:val="right" w:pos="1020"/>
        </w:tabs>
      </w:pPr>
      <w:r>
        <w:tab/>
      </w:r>
      <w:r>
        <w:rPr>
          <w:rStyle w:val="EndnoteReference"/>
        </w:rPr>
        <w:endnoteRef/>
      </w:r>
      <w:r>
        <w:tab/>
      </w:r>
      <w:r w:rsidRPr="00F91EB5">
        <w:t>Consider ratifying the Convention on the Rights of Persons with Disabilities (Republic of Korea, Philippines) and</w:t>
      </w:r>
      <w:r>
        <w:t xml:space="preserve"> its Optional Protocol (Ghana).</w:t>
      </w:r>
    </w:p>
  </w:endnote>
  <w:endnote w:id="26">
    <w:p w:rsidR="004910F3" w:rsidRDefault="004910F3" w:rsidP="00F91EB5">
      <w:pPr>
        <w:pStyle w:val="EndnoteText"/>
        <w:widowControl w:val="0"/>
        <w:tabs>
          <w:tab w:val="clear" w:pos="1021"/>
          <w:tab w:val="right" w:pos="1020"/>
        </w:tabs>
      </w:pPr>
      <w:r>
        <w:tab/>
      </w:r>
      <w:r>
        <w:rPr>
          <w:rStyle w:val="EndnoteReference"/>
        </w:rPr>
        <w:endnoteRef/>
      </w:r>
      <w:r>
        <w:tab/>
      </w:r>
      <w:r w:rsidRPr="00F91EB5">
        <w:t>Continue its efforts to complete the accession to the relevant instruments such as the International Convention on the Rights of Persons with Disabil</w:t>
      </w:r>
      <w:r>
        <w:t>ities and its Protocol (Mexico).</w:t>
      </w:r>
    </w:p>
  </w:endnote>
  <w:endnote w:id="27">
    <w:p w:rsidR="004910F3" w:rsidRDefault="004910F3" w:rsidP="004910F3">
      <w:pPr>
        <w:pStyle w:val="EndnoteText"/>
        <w:widowControl w:val="0"/>
        <w:tabs>
          <w:tab w:val="clear" w:pos="1021"/>
          <w:tab w:val="right" w:pos="1020"/>
        </w:tabs>
      </w:pPr>
      <w:r>
        <w:tab/>
      </w:r>
      <w:r>
        <w:rPr>
          <w:rStyle w:val="EndnoteReference"/>
        </w:rPr>
        <w:endnoteRef/>
      </w:r>
      <w:r>
        <w:tab/>
      </w:r>
      <w:r w:rsidRPr="004910F3">
        <w:t>Take further measures to ensure persons with disabilities enjoy their rights</w:t>
      </w:r>
      <w:r w:rsidR="00EE794F">
        <w:t>,</w:t>
      </w:r>
      <w:r w:rsidRPr="004910F3">
        <w:t xml:space="preserve"> in particular by ratifying the Convention on the Rights of Persons with Disabilitie</w:t>
      </w:r>
      <w:r>
        <w:t>s (Algeria).</w:t>
      </w:r>
    </w:p>
  </w:endnote>
  <w:endnote w:id="28">
    <w:p w:rsidR="004910F3" w:rsidRDefault="004910F3" w:rsidP="004910F3">
      <w:pPr>
        <w:pStyle w:val="EndnoteText"/>
        <w:widowControl w:val="0"/>
        <w:tabs>
          <w:tab w:val="clear" w:pos="1021"/>
          <w:tab w:val="right" w:pos="1020"/>
        </w:tabs>
      </w:pPr>
      <w:r>
        <w:tab/>
      </w:r>
      <w:r>
        <w:rPr>
          <w:rStyle w:val="EndnoteReference"/>
        </w:rPr>
        <w:endnoteRef/>
      </w:r>
      <w:r>
        <w:tab/>
      </w:r>
      <w:r w:rsidRPr="004910F3">
        <w:t>Sign and ratify the Convention on the Rights of Per</w:t>
      </w:r>
      <w:r>
        <w:t xml:space="preserve">sons with Disabilities (France). </w:t>
      </w:r>
    </w:p>
  </w:endnote>
  <w:endnote w:id="29">
    <w:p w:rsidR="004910F3" w:rsidRDefault="004910F3" w:rsidP="004910F3">
      <w:pPr>
        <w:pStyle w:val="EndnoteText"/>
        <w:widowControl w:val="0"/>
        <w:tabs>
          <w:tab w:val="clear" w:pos="1021"/>
          <w:tab w:val="right" w:pos="1020"/>
        </w:tabs>
      </w:pPr>
      <w:r>
        <w:tab/>
      </w:r>
      <w:r>
        <w:rPr>
          <w:rStyle w:val="EndnoteReference"/>
        </w:rPr>
        <w:endnoteRef/>
      </w:r>
      <w:r>
        <w:tab/>
      </w:r>
      <w:r w:rsidRPr="004910F3">
        <w:t>Ratify the Convention on the Rights of Persons with Disabilities (Slovenia, Panama); Ratify more human rights instruments, especially the Convention on the Rights of Per</w:t>
      </w:r>
      <w:r>
        <w:t>sons with Disabilities (Israel).</w:t>
      </w:r>
    </w:p>
  </w:endnote>
  <w:endnote w:id="30">
    <w:p w:rsidR="004910F3" w:rsidRDefault="004910F3" w:rsidP="004910F3">
      <w:pPr>
        <w:pStyle w:val="EndnoteText"/>
        <w:widowControl w:val="0"/>
        <w:tabs>
          <w:tab w:val="clear" w:pos="1021"/>
          <w:tab w:val="right" w:pos="1020"/>
        </w:tabs>
      </w:pPr>
      <w:r>
        <w:tab/>
      </w:r>
      <w:r>
        <w:rPr>
          <w:rStyle w:val="EndnoteReference"/>
        </w:rPr>
        <w:endnoteRef/>
      </w:r>
      <w:r>
        <w:tab/>
      </w:r>
      <w:r w:rsidRPr="004910F3">
        <w:t>Consider ratifying the International Convention for the Protection of All Persons from</w:t>
      </w:r>
      <w:r>
        <w:t xml:space="preserve"> Enforced Disappearance (Ghana).</w:t>
      </w:r>
    </w:p>
  </w:endnote>
  <w:endnote w:id="31">
    <w:p w:rsidR="004910F3" w:rsidRDefault="004910F3" w:rsidP="004910F3">
      <w:pPr>
        <w:pStyle w:val="EndnoteText"/>
        <w:widowControl w:val="0"/>
        <w:tabs>
          <w:tab w:val="clear" w:pos="1021"/>
          <w:tab w:val="right" w:pos="1020"/>
        </w:tabs>
      </w:pPr>
      <w:r>
        <w:tab/>
      </w:r>
      <w:r>
        <w:rPr>
          <w:rStyle w:val="EndnoteReference"/>
        </w:rPr>
        <w:endnoteRef/>
      </w:r>
      <w:r>
        <w:tab/>
      </w:r>
      <w:r w:rsidRPr="004910F3">
        <w:t xml:space="preserve">Sign and ratify the International Convention for the Protection of All Persons from Enforced </w:t>
      </w:r>
      <w:r>
        <w:t>Disappearance (France).</w:t>
      </w:r>
    </w:p>
  </w:endnote>
  <w:endnote w:id="32">
    <w:p w:rsidR="004910F3" w:rsidRDefault="004910F3" w:rsidP="004910F3">
      <w:pPr>
        <w:pStyle w:val="EndnoteText"/>
        <w:widowControl w:val="0"/>
        <w:tabs>
          <w:tab w:val="clear" w:pos="1021"/>
          <w:tab w:val="right" w:pos="1020"/>
        </w:tabs>
      </w:pPr>
      <w:r>
        <w:tab/>
      </w:r>
      <w:r>
        <w:rPr>
          <w:rStyle w:val="EndnoteReference"/>
        </w:rPr>
        <w:endnoteRef/>
      </w:r>
      <w:r>
        <w:tab/>
      </w:r>
      <w:r w:rsidRPr="004910F3">
        <w:t>Ratify the core human rights instruments, including the International Convention for the Protection of All Persons from Enforced Disappearance (Sierra Leone); Redouble its efforts for the ratification of the International Convention for the Protection of All Persons from</w:t>
      </w:r>
      <w:r>
        <w:t xml:space="preserve"> Enforced Disappearance (Chile).</w:t>
      </w:r>
    </w:p>
  </w:endnote>
  <w:endnote w:id="33">
    <w:p w:rsidR="004910F3" w:rsidRDefault="004910F3" w:rsidP="004910F3">
      <w:pPr>
        <w:pStyle w:val="EndnoteText"/>
        <w:widowControl w:val="0"/>
        <w:tabs>
          <w:tab w:val="clear" w:pos="1021"/>
          <w:tab w:val="right" w:pos="1020"/>
        </w:tabs>
      </w:pPr>
      <w:r>
        <w:tab/>
      </w:r>
      <w:r>
        <w:rPr>
          <w:rStyle w:val="EndnoteReference"/>
        </w:rPr>
        <w:endnoteRef/>
      </w:r>
      <w:r>
        <w:tab/>
      </w:r>
      <w:r w:rsidRPr="004910F3">
        <w:t xml:space="preserve">Accede to the Convention on the Prevention and Punishment of </w:t>
      </w:r>
      <w:r>
        <w:t>the Crime of Genocide (Armenia).</w:t>
      </w:r>
    </w:p>
  </w:endnote>
  <w:endnote w:id="34">
    <w:p w:rsidR="004910F3" w:rsidRDefault="004910F3" w:rsidP="004910F3">
      <w:pPr>
        <w:pStyle w:val="EndnoteText"/>
        <w:widowControl w:val="0"/>
        <w:tabs>
          <w:tab w:val="clear" w:pos="1021"/>
          <w:tab w:val="right" w:pos="1020"/>
        </w:tabs>
      </w:pPr>
      <w:r>
        <w:tab/>
      </w:r>
      <w:r>
        <w:rPr>
          <w:rStyle w:val="EndnoteReference"/>
        </w:rPr>
        <w:endnoteRef/>
      </w:r>
      <w:r>
        <w:tab/>
      </w:r>
      <w:r w:rsidRPr="004910F3">
        <w:t>Consider ratifying the Rome Statute of the International Criminal Court (Ghana); Take concrete steps towards acceding/ratifying the Rome Statute of the Intern</w:t>
      </w:r>
      <w:r>
        <w:t>ational Criminal Court (Cyprus).</w:t>
      </w:r>
    </w:p>
  </w:endnote>
  <w:endnote w:id="35">
    <w:p w:rsidR="004910F3" w:rsidRDefault="004910F3" w:rsidP="004910F3">
      <w:pPr>
        <w:pStyle w:val="EndnoteText"/>
        <w:widowControl w:val="0"/>
        <w:tabs>
          <w:tab w:val="clear" w:pos="1021"/>
          <w:tab w:val="right" w:pos="1020"/>
        </w:tabs>
      </w:pPr>
      <w:r>
        <w:tab/>
      </w:r>
      <w:r>
        <w:rPr>
          <w:rStyle w:val="EndnoteReference"/>
        </w:rPr>
        <w:endnoteRef/>
      </w:r>
      <w:r>
        <w:tab/>
      </w:r>
      <w:r w:rsidRPr="004910F3">
        <w:t>Ratify the Rome Statute and fully align its national legislation</w:t>
      </w:r>
      <w:r>
        <w:t xml:space="preserve"> with its provisions (Portugal).</w:t>
      </w:r>
    </w:p>
  </w:endnote>
  <w:endnote w:id="36">
    <w:p w:rsidR="004910F3" w:rsidRDefault="004910F3" w:rsidP="004910F3">
      <w:pPr>
        <w:pStyle w:val="EndnoteText"/>
        <w:widowControl w:val="0"/>
        <w:tabs>
          <w:tab w:val="clear" w:pos="1021"/>
          <w:tab w:val="right" w:pos="1020"/>
        </w:tabs>
      </w:pPr>
      <w:r>
        <w:tab/>
      </w:r>
      <w:r>
        <w:rPr>
          <w:rStyle w:val="EndnoteReference"/>
        </w:rPr>
        <w:endnoteRef/>
      </w:r>
      <w:r>
        <w:tab/>
      </w:r>
      <w:r w:rsidRPr="004910F3">
        <w:t>Ratify the Rome Statute of the International Crimi</w:t>
      </w:r>
      <w:r>
        <w:t>nal Court (Canada, New Zealand).</w:t>
      </w:r>
    </w:p>
  </w:endnote>
  <w:endnote w:id="37">
    <w:p w:rsidR="004910F3" w:rsidRDefault="004910F3" w:rsidP="004910F3">
      <w:pPr>
        <w:pStyle w:val="EndnoteText"/>
        <w:widowControl w:val="0"/>
        <w:tabs>
          <w:tab w:val="clear" w:pos="1021"/>
          <w:tab w:val="right" w:pos="1020"/>
        </w:tabs>
      </w:pPr>
      <w:r>
        <w:tab/>
      </w:r>
      <w:r>
        <w:rPr>
          <w:rStyle w:val="EndnoteReference"/>
        </w:rPr>
        <w:endnoteRef/>
      </w:r>
      <w:r>
        <w:tab/>
      </w:r>
      <w:r w:rsidRPr="004910F3">
        <w:t>Ratify the Rome Statute of the International Criminal Court and accede to the Agreement on Privileges and Im</w:t>
      </w:r>
      <w:r>
        <w:t>munities of the Court (Estonia).</w:t>
      </w:r>
    </w:p>
  </w:endnote>
  <w:endnote w:id="38">
    <w:p w:rsidR="004910F3" w:rsidRDefault="004910F3" w:rsidP="004910F3">
      <w:pPr>
        <w:pStyle w:val="EndnoteText"/>
        <w:widowControl w:val="0"/>
        <w:tabs>
          <w:tab w:val="clear" w:pos="1021"/>
          <w:tab w:val="right" w:pos="1020"/>
        </w:tabs>
      </w:pPr>
      <w:r>
        <w:tab/>
      </w:r>
      <w:r>
        <w:rPr>
          <w:rStyle w:val="EndnoteReference"/>
        </w:rPr>
        <w:endnoteRef/>
      </w:r>
      <w:r>
        <w:tab/>
      </w:r>
      <w:r w:rsidRPr="004910F3">
        <w:t xml:space="preserve">Sign and ratify the </w:t>
      </w:r>
      <w:r>
        <w:t>Arms Trade Treaty (New Zealand).</w:t>
      </w:r>
    </w:p>
  </w:endnote>
  <w:endnote w:id="39">
    <w:p w:rsidR="004910F3" w:rsidRDefault="004910F3" w:rsidP="004910F3">
      <w:pPr>
        <w:pStyle w:val="EndnoteText"/>
        <w:widowControl w:val="0"/>
        <w:tabs>
          <w:tab w:val="clear" w:pos="1021"/>
          <w:tab w:val="right" w:pos="1020"/>
        </w:tabs>
      </w:pPr>
      <w:r>
        <w:tab/>
      </w:r>
      <w:r>
        <w:rPr>
          <w:rStyle w:val="EndnoteReference"/>
        </w:rPr>
        <w:endnoteRef/>
      </w:r>
      <w:r>
        <w:tab/>
      </w:r>
      <w:proofErr w:type="spellStart"/>
      <w:r w:rsidRPr="004910F3">
        <w:rPr>
          <w:lang w:val="es-ES"/>
        </w:rPr>
        <w:t>Ratify</w:t>
      </w:r>
      <w:proofErr w:type="spellEnd"/>
      <w:r w:rsidRPr="004910F3">
        <w:rPr>
          <w:lang w:val="es-ES"/>
        </w:rPr>
        <w:t xml:space="preserve"> </w:t>
      </w:r>
      <w:proofErr w:type="spellStart"/>
      <w:r w:rsidRPr="004910F3">
        <w:rPr>
          <w:lang w:val="es-ES"/>
        </w:rPr>
        <w:t>the</w:t>
      </w:r>
      <w:proofErr w:type="spellEnd"/>
      <w:r w:rsidRPr="004910F3">
        <w:rPr>
          <w:lang w:val="es-ES"/>
        </w:rPr>
        <w:t xml:space="preserve"> Palermo </w:t>
      </w:r>
      <w:r w:rsidRPr="004910F3">
        <w:rPr>
          <w:lang w:val="en-AU"/>
        </w:rPr>
        <w:t>Protocol</w:t>
      </w:r>
      <w:r>
        <w:rPr>
          <w:lang w:val="es-ES"/>
        </w:rPr>
        <w:t xml:space="preserve"> (</w:t>
      </w:r>
      <w:proofErr w:type="spellStart"/>
      <w:r>
        <w:rPr>
          <w:lang w:val="es-ES"/>
        </w:rPr>
        <w:t>Panama</w:t>
      </w:r>
      <w:proofErr w:type="spellEnd"/>
      <w:r>
        <w:rPr>
          <w:lang w:val="es-ES"/>
        </w:rPr>
        <w:t>).</w:t>
      </w:r>
    </w:p>
  </w:endnote>
  <w:endnote w:id="40">
    <w:p w:rsidR="004910F3" w:rsidRDefault="004910F3" w:rsidP="004910F3">
      <w:pPr>
        <w:pStyle w:val="EndnoteText"/>
        <w:widowControl w:val="0"/>
        <w:tabs>
          <w:tab w:val="clear" w:pos="1021"/>
          <w:tab w:val="right" w:pos="1020"/>
        </w:tabs>
      </w:pPr>
      <w:r>
        <w:tab/>
      </w:r>
      <w:r>
        <w:rPr>
          <w:rStyle w:val="EndnoteReference"/>
        </w:rPr>
        <w:endnoteRef/>
      </w:r>
      <w:r>
        <w:tab/>
      </w:r>
      <w:r w:rsidRPr="004910F3">
        <w:t>Ratify ILO Conve</w:t>
      </w:r>
      <w:r>
        <w:t>ntions Nos. 169 and 189 (Benin).</w:t>
      </w:r>
    </w:p>
  </w:endnote>
  <w:endnote w:id="41">
    <w:p w:rsidR="004910F3" w:rsidRDefault="004910F3" w:rsidP="004910F3">
      <w:pPr>
        <w:pStyle w:val="EndnoteText"/>
        <w:widowControl w:val="0"/>
        <w:tabs>
          <w:tab w:val="clear" w:pos="1021"/>
          <w:tab w:val="right" w:pos="1020"/>
        </w:tabs>
      </w:pPr>
      <w:r>
        <w:tab/>
      </w:r>
      <w:r>
        <w:rPr>
          <w:rStyle w:val="EndnoteReference"/>
        </w:rPr>
        <w:endnoteRef/>
      </w:r>
      <w:r>
        <w:tab/>
      </w:r>
      <w:r w:rsidRPr="004910F3">
        <w:t>Accelerate the process of adopting a new fede</w:t>
      </w:r>
      <w:r>
        <w:t>ral Constitution (Philippines).</w:t>
      </w:r>
    </w:p>
  </w:endnote>
  <w:endnote w:id="42">
    <w:p w:rsidR="004910F3" w:rsidRDefault="004910F3" w:rsidP="004910F3">
      <w:pPr>
        <w:pStyle w:val="EndnoteText"/>
        <w:widowControl w:val="0"/>
        <w:tabs>
          <w:tab w:val="clear" w:pos="1021"/>
          <w:tab w:val="right" w:pos="1020"/>
        </w:tabs>
      </w:pPr>
      <w:r>
        <w:tab/>
      </w:r>
      <w:r>
        <w:rPr>
          <w:rStyle w:val="EndnoteReference"/>
        </w:rPr>
        <w:endnoteRef/>
      </w:r>
      <w:r>
        <w:tab/>
      </w:r>
      <w:r w:rsidRPr="004910F3">
        <w:t>Include in the new Federal Constitution provisions on equality and non-discrimination between man and woman, in line with articles 1 and 2 of the Convention on the Elimination of All Forms of Discrimi</w:t>
      </w:r>
      <w:r>
        <w:t>nation against Women (Paraguay).</w:t>
      </w:r>
    </w:p>
  </w:endnote>
  <w:endnote w:id="43">
    <w:p w:rsidR="00A87DE4" w:rsidRDefault="00A87DE4" w:rsidP="00A87DE4">
      <w:pPr>
        <w:pStyle w:val="EndnoteText"/>
        <w:widowControl w:val="0"/>
        <w:tabs>
          <w:tab w:val="clear" w:pos="1021"/>
          <w:tab w:val="right" w:pos="1020"/>
        </w:tabs>
      </w:pPr>
      <w:r>
        <w:tab/>
      </w:r>
      <w:r>
        <w:rPr>
          <w:rStyle w:val="EndnoteReference"/>
        </w:rPr>
        <w:endnoteRef/>
      </w:r>
      <w:r>
        <w:tab/>
      </w:r>
      <w:r w:rsidR="00C715F6" w:rsidRPr="00C715F6">
        <w:t>Repeal all legislation incompatible with the principle of equality and non-discrimination, including provisions of customary law, as recommended by the Committee on the Elimination of Discrimination against Women (Slovenia)</w:t>
      </w:r>
      <w:r w:rsidR="00C715F6">
        <w:t>.</w:t>
      </w:r>
    </w:p>
  </w:endnote>
  <w:endnote w:id="44">
    <w:p w:rsidR="00A87DE4" w:rsidRDefault="00A87DE4" w:rsidP="00A87DE4">
      <w:pPr>
        <w:pStyle w:val="EndnoteText"/>
        <w:widowControl w:val="0"/>
        <w:tabs>
          <w:tab w:val="clear" w:pos="1021"/>
          <w:tab w:val="right" w:pos="1020"/>
        </w:tabs>
      </w:pPr>
      <w:r>
        <w:tab/>
      </w:r>
      <w:r>
        <w:rPr>
          <w:rStyle w:val="EndnoteReference"/>
        </w:rPr>
        <w:endnoteRef/>
      </w:r>
      <w:r>
        <w:tab/>
      </w:r>
      <w:r w:rsidRPr="00A87DE4">
        <w:t>Ensure that those laws related to acquisition, transmission, conserving and loss of nationality are in line with the principle o</w:t>
      </w:r>
      <w:r>
        <w:t>f non-discrimination (Paraguay).</w:t>
      </w:r>
    </w:p>
  </w:endnote>
  <w:endnote w:id="45">
    <w:p w:rsidR="00A87DE4" w:rsidRDefault="00A87DE4" w:rsidP="00A87DE4">
      <w:pPr>
        <w:pStyle w:val="EndnoteText"/>
        <w:widowControl w:val="0"/>
        <w:tabs>
          <w:tab w:val="clear" w:pos="1021"/>
          <w:tab w:val="right" w:pos="1020"/>
        </w:tabs>
      </w:pPr>
      <w:r>
        <w:tab/>
      </w:r>
      <w:r>
        <w:rPr>
          <w:rStyle w:val="EndnoteReference"/>
        </w:rPr>
        <w:endnoteRef/>
      </w:r>
      <w:r>
        <w:tab/>
      </w:r>
      <w:r w:rsidRPr="00A87DE4">
        <w:t>Ensure that national laws are in line with international human</w:t>
      </w:r>
      <w:r>
        <w:t xml:space="preserve"> rights standards (Philippines).</w:t>
      </w:r>
    </w:p>
  </w:endnote>
  <w:endnote w:id="46">
    <w:p w:rsidR="00A87DE4" w:rsidRDefault="00A87DE4" w:rsidP="00A87DE4">
      <w:pPr>
        <w:pStyle w:val="EndnoteText"/>
        <w:widowControl w:val="0"/>
        <w:tabs>
          <w:tab w:val="clear" w:pos="1021"/>
          <w:tab w:val="right" w:pos="1020"/>
        </w:tabs>
      </w:pPr>
      <w:r>
        <w:tab/>
      </w:r>
      <w:r>
        <w:rPr>
          <w:rStyle w:val="EndnoteReference"/>
        </w:rPr>
        <w:endnoteRef/>
      </w:r>
      <w:r>
        <w:tab/>
      </w:r>
      <w:r w:rsidRPr="00A87DE4">
        <w:t>Continue to promote and protect the fundamental freedoms and human right</w:t>
      </w:r>
      <w:r>
        <w:t>s of all its citizens (Nigeria).</w:t>
      </w:r>
    </w:p>
  </w:endnote>
  <w:endnote w:id="47">
    <w:p w:rsidR="00A87DE4" w:rsidRDefault="00A87DE4" w:rsidP="00A87DE4">
      <w:pPr>
        <w:pStyle w:val="EndnoteText"/>
        <w:widowControl w:val="0"/>
        <w:tabs>
          <w:tab w:val="clear" w:pos="1021"/>
          <w:tab w:val="right" w:pos="1020"/>
        </w:tabs>
      </w:pPr>
      <w:r>
        <w:tab/>
      </w:r>
      <w:r>
        <w:rPr>
          <w:rStyle w:val="EndnoteReference"/>
        </w:rPr>
        <w:endnoteRef/>
      </w:r>
      <w:r>
        <w:tab/>
      </w:r>
      <w:r w:rsidRPr="00A87DE4">
        <w:t>Take steps to establish an independent national human rights institution (New Zeala</w:t>
      </w:r>
      <w:r>
        <w:t>nd).</w:t>
      </w:r>
    </w:p>
  </w:endnote>
  <w:endnote w:id="48">
    <w:p w:rsidR="00A87DE4" w:rsidRDefault="00A87DE4" w:rsidP="00A87DE4">
      <w:pPr>
        <w:pStyle w:val="EndnoteText"/>
        <w:widowControl w:val="0"/>
        <w:tabs>
          <w:tab w:val="clear" w:pos="1021"/>
          <w:tab w:val="right" w:pos="1020"/>
        </w:tabs>
      </w:pPr>
      <w:r>
        <w:tab/>
      </w:r>
      <w:r>
        <w:rPr>
          <w:rStyle w:val="EndnoteReference"/>
        </w:rPr>
        <w:endnoteRef/>
      </w:r>
      <w:r>
        <w:tab/>
      </w:r>
      <w:r w:rsidRPr="00A87DE4">
        <w:t xml:space="preserve">Hasten the process of establishing the National Human Rights Commission in line with the proposal of </w:t>
      </w:r>
      <w:r w:rsidR="00EE794F">
        <w:t xml:space="preserve">the </w:t>
      </w:r>
      <w:r w:rsidRPr="00A87DE4">
        <w:t>20</w:t>
      </w:r>
      <w:r>
        <w:t>14 draft Constitution (Nigeria).</w:t>
      </w:r>
    </w:p>
  </w:endnote>
  <w:endnote w:id="49">
    <w:p w:rsidR="003F6F04" w:rsidRDefault="003F6F04" w:rsidP="003F6F04">
      <w:pPr>
        <w:pStyle w:val="EndnoteText"/>
        <w:widowControl w:val="0"/>
        <w:tabs>
          <w:tab w:val="clear" w:pos="1021"/>
          <w:tab w:val="right" w:pos="1020"/>
        </w:tabs>
      </w:pPr>
      <w:r>
        <w:tab/>
      </w:r>
      <w:r>
        <w:rPr>
          <w:rStyle w:val="EndnoteReference"/>
        </w:rPr>
        <w:endnoteRef/>
      </w:r>
      <w:r>
        <w:tab/>
      </w:r>
      <w:r w:rsidRPr="003F6F04">
        <w:t xml:space="preserve">Take all the necessary measures to establish an Independent National Human Rights Institution with “A” status in accordance with </w:t>
      </w:r>
      <w:r>
        <w:t>the Paris Principles (Portugal).</w:t>
      </w:r>
    </w:p>
  </w:endnote>
  <w:endnote w:id="50">
    <w:p w:rsidR="003F6F04" w:rsidRDefault="003F6F04" w:rsidP="003F6F04">
      <w:pPr>
        <w:pStyle w:val="EndnoteText"/>
        <w:widowControl w:val="0"/>
        <w:tabs>
          <w:tab w:val="clear" w:pos="1021"/>
          <w:tab w:val="right" w:pos="1020"/>
        </w:tabs>
      </w:pPr>
      <w:r>
        <w:tab/>
      </w:r>
      <w:r>
        <w:rPr>
          <w:rStyle w:val="EndnoteReference"/>
        </w:rPr>
        <w:endnoteRef/>
      </w:r>
      <w:r>
        <w:tab/>
      </w:r>
      <w:r w:rsidRPr="003F6F04">
        <w:t>Mandate the Office of the Ombudsman or another entity to receive and address complaints by wome</w:t>
      </w:r>
      <w:r>
        <w:t>n about discrimination (Canada).</w:t>
      </w:r>
    </w:p>
  </w:endnote>
  <w:endnote w:id="51">
    <w:p w:rsidR="003F6F04" w:rsidRDefault="003F6F04" w:rsidP="003F6F04">
      <w:pPr>
        <w:pStyle w:val="EndnoteText"/>
        <w:widowControl w:val="0"/>
        <w:tabs>
          <w:tab w:val="clear" w:pos="1021"/>
          <w:tab w:val="right" w:pos="1020"/>
        </w:tabs>
      </w:pPr>
      <w:r>
        <w:tab/>
      </w:r>
      <w:r>
        <w:rPr>
          <w:rStyle w:val="EndnoteReference"/>
        </w:rPr>
        <w:endnoteRef/>
      </w:r>
      <w:r>
        <w:tab/>
      </w:r>
      <w:r w:rsidRPr="003F6F04">
        <w:t>Establish and set up a national human rights institution in conformity wi</w:t>
      </w:r>
      <w:r>
        <w:t>th the Paris Principles (Chile).</w:t>
      </w:r>
    </w:p>
  </w:endnote>
  <w:endnote w:id="52">
    <w:p w:rsidR="003F6F04" w:rsidRDefault="003F6F04" w:rsidP="003F6F04">
      <w:pPr>
        <w:pStyle w:val="EndnoteText"/>
        <w:widowControl w:val="0"/>
        <w:tabs>
          <w:tab w:val="clear" w:pos="1021"/>
          <w:tab w:val="right" w:pos="1020"/>
        </w:tabs>
      </w:pPr>
      <w:r>
        <w:tab/>
      </w:r>
      <w:r>
        <w:rPr>
          <w:rStyle w:val="EndnoteReference"/>
        </w:rPr>
        <w:endnoteRef/>
      </w:r>
      <w:r>
        <w:tab/>
      </w:r>
      <w:r w:rsidRPr="003F6F04">
        <w:t>Increase the mandates of existing institutions such as the Ombudsman’s Office and the Leadership Code Commission, to addres</w:t>
      </w:r>
      <w:r>
        <w:t>s human rights issues (Jamaica).</w:t>
      </w:r>
    </w:p>
  </w:endnote>
  <w:endnote w:id="53">
    <w:p w:rsidR="003F6F04" w:rsidRDefault="003F6F04" w:rsidP="003F6F04">
      <w:pPr>
        <w:pStyle w:val="EndnoteText"/>
        <w:widowControl w:val="0"/>
        <w:tabs>
          <w:tab w:val="clear" w:pos="1021"/>
          <w:tab w:val="right" w:pos="1020"/>
        </w:tabs>
      </w:pPr>
      <w:r>
        <w:tab/>
      </w:r>
      <w:r>
        <w:rPr>
          <w:rStyle w:val="EndnoteReference"/>
        </w:rPr>
        <w:endnoteRef/>
      </w:r>
      <w:r>
        <w:tab/>
      </w:r>
      <w:r w:rsidRPr="003F6F04">
        <w:t>Incorporate human rights and the needs for their implementation and funding in its Natio</w:t>
      </w:r>
      <w:r>
        <w:t>nal Development Strategy (Cuba).</w:t>
      </w:r>
    </w:p>
  </w:endnote>
  <w:endnote w:id="54">
    <w:p w:rsidR="003F6F04" w:rsidRDefault="003F6F04" w:rsidP="003F6F04">
      <w:pPr>
        <w:pStyle w:val="EndnoteText"/>
        <w:widowControl w:val="0"/>
        <w:tabs>
          <w:tab w:val="clear" w:pos="1021"/>
          <w:tab w:val="right" w:pos="1020"/>
        </w:tabs>
      </w:pPr>
      <w:r>
        <w:tab/>
      </w:r>
      <w:r>
        <w:rPr>
          <w:rStyle w:val="EndnoteReference"/>
        </w:rPr>
        <w:endnoteRef/>
      </w:r>
      <w:r>
        <w:tab/>
      </w:r>
      <w:r w:rsidRPr="003F6F04">
        <w:t xml:space="preserve">Further enhance its measures </w:t>
      </w:r>
      <w:r w:rsidR="00EE794F">
        <w:t>for</w:t>
      </w:r>
      <w:r w:rsidRPr="003F6F04">
        <w:t xml:space="preserve"> the promotion and protection of human rights through, among others, developing a comprehensive human rights n</w:t>
      </w:r>
      <w:r>
        <w:t>ational action plan (Indonesia).</w:t>
      </w:r>
    </w:p>
  </w:endnote>
  <w:endnote w:id="55">
    <w:p w:rsidR="003F6F04" w:rsidRDefault="003F6F04" w:rsidP="003F6F04">
      <w:pPr>
        <w:pStyle w:val="EndnoteText"/>
        <w:widowControl w:val="0"/>
        <w:tabs>
          <w:tab w:val="clear" w:pos="1021"/>
          <w:tab w:val="right" w:pos="1020"/>
        </w:tabs>
      </w:pPr>
      <w:r>
        <w:tab/>
      </w:r>
      <w:r>
        <w:rPr>
          <w:rStyle w:val="EndnoteReference"/>
        </w:rPr>
        <w:endnoteRef/>
      </w:r>
      <w:r>
        <w:tab/>
      </w:r>
      <w:r w:rsidRPr="003F6F04">
        <w:t>Strengthen the national follow-up systems for monitoring international recommendations, taking necessary measures for coordinating such systems and provide them with the necessary financial resources in order to ful</w:t>
      </w:r>
      <w:r>
        <w:t>fil their objectives (Paraguay).</w:t>
      </w:r>
    </w:p>
  </w:endnote>
  <w:endnote w:id="56">
    <w:p w:rsidR="003F6F04" w:rsidRDefault="003F6F04" w:rsidP="003F6F04">
      <w:pPr>
        <w:pStyle w:val="EndnoteText"/>
        <w:widowControl w:val="0"/>
        <w:tabs>
          <w:tab w:val="clear" w:pos="1021"/>
          <w:tab w:val="right" w:pos="1020"/>
        </w:tabs>
      </w:pPr>
      <w:r>
        <w:tab/>
      </w:r>
      <w:r>
        <w:rPr>
          <w:rStyle w:val="EndnoteReference"/>
        </w:rPr>
        <w:endnoteRef/>
      </w:r>
      <w:r>
        <w:tab/>
      </w:r>
      <w:r w:rsidRPr="003F6F04">
        <w:t>Consider developing a broad programme on human rights which includes training and capacity-buildin</w:t>
      </w:r>
      <w:r>
        <w:t>g for the public sector (Egypt).</w:t>
      </w:r>
    </w:p>
  </w:endnote>
  <w:endnote w:id="57">
    <w:p w:rsidR="003F6F04" w:rsidRDefault="003F6F04" w:rsidP="003F6F04">
      <w:pPr>
        <w:pStyle w:val="EndnoteText"/>
        <w:widowControl w:val="0"/>
        <w:tabs>
          <w:tab w:val="clear" w:pos="1021"/>
          <w:tab w:val="right" w:pos="1020"/>
        </w:tabs>
      </w:pPr>
      <w:r>
        <w:tab/>
      </w:r>
      <w:r>
        <w:rPr>
          <w:rStyle w:val="EndnoteReference"/>
        </w:rPr>
        <w:endnoteRef/>
      </w:r>
      <w:r>
        <w:tab/>
      </w:r>
      <w:r w:rsidRPr="003F6F04">
        <w:t xml:space="preserve">Step up policies to protect children in order to eliminate violence against girls and boys, as well as </w:t>
      </w:r>
      <w:r>
        <w:t>combating child labour (Mexico).</w:t>
      </w:r>
    </w:p>
  </w:endnote>
  <w:endnote w:id="58">
    <w:p w:rsidR="003F6F04" w:rsidRDefault="003F6F04" w:rsidP="003F6F04">
      <w:pPr>
        <w:pStyle w:val="EndnoteText"/>
        <w:widowControl w:val="0"/>
        <w:tabs>
          <w:tab w:val="clear" w:pos="1021"/>
          <w:tab w:val="right" w:pos="1020"/>
        </w:tabs>
      </w:pPr>
      <w:r>
        <w:tab/>
      </w:r>
      <w:r>
        <w:rPr>
          <w:rStyle w:val="EndnoteReference"/>
        </w:rPr>
        <w:endnoteRef/>
      </w:r>
      <w:r>
        <w:tab/>
      </w:r>
      <w:r w:rsidRPr="003F6F04">
        <w:t>End all forms of corporal punishment of children in all settings, including in the home and in schools, by enforcing its prohibition, as pr</w:t>
      </w:r>
      <w:r>
        <w:t>eviously recommended (Slovenia).</w:t>
      </w:r>
    </w:p>
  </w:endnote>
  <w:endnote w:id="59">
    <w:p w:rsidR="003F6F04" w:rsidRDefault="003F6F04" w:rsidP="003F6F04">
      <w:pPr>
        <w:pStyle w:val="EndnoteText"/>
        <w:widowControl w:val="0"/>
        <w:tabs>
          <w:tab w:val="clear" w:pos="1021"/>
          <w:tab w:val="right" w:pos="1020"/>
        </w:tabs>
      </w:pPr>
      <w:r>
        <w:tab/>
      </w:r>
      <w:r>
        <w:rPr>
          <w:rStyle w:val="EndnoteReference"/>
        </w:rPr>
        <w:endnoteRef/>
      </w:r>
      <w:r>
        <w:tab/>
      </w:r>
      <w:r w:rsidRPr="003F6F04">
        <w:t xml:space="preserve">Prohibit corporal punishment of children in all settings, </w:t>
      </w:r>
      <w:r>
        <w:t>including in the home (Estonia).</w:t>
      </w:r>
    </w:p>
  </w:endnote>
  <w:endnote w:id="60">
    <w:p w:rsidR="003F6F04" w:rsidRDefault="003F6F04" w:rsidP="003F6F04">
      <w:pPr>
        <w:pStyle w:val="EndnoteText"/>
        <w:widowControl w:val="0"/>
        <w:tabs>
          <w:tab w:val="clear" w:pos="1021"/>
          <w:tab w:val="right" w:pos="1020"/>
        </w:tabs>
      </w:pPr>
      <w:r>
        <w:tab/>
      </w:r>
      <w:r>
        <w:rPr>
          <w:rStyle w:val="EndnoteReference"/>
        </w:rPr>
        <w:endnoteRef/>
      </w:r>
      <w:r>
        <w:tab/>
      </w:r>
      <w:r w:rsidRPr="003F6F04">
        <w:t>Abolish customary laws and practices that establish child marriage and also the pa</w:t>
      </w:r>
      <w:r>
        <w:t>yment of a bride price (Panama).</w:t>
      </w:r>
    </w:p>
  </w:endnote>
  <w:endnote w:id="61">
    <w:p w:rsidR="003F6F04" w:rsidRDefault="003F6F04" w:rsidP="003F6F04">
      <w:pPr>
        <w:pStyle w:val="EndnoteText"/>
        <w:widowControl w:val="0"/>
        <w:tabs>
          <w:tab w:val="clear" w:pos="1021"/>
          <w:tab w:val="right" w:pos="1020"/>
        </w:tabs>
      </w:pPr>
      <w:r>
        <w:tab/>
      </w:r>
      <w:r>
        <w:rPr>
          <w:rStyle w:val="EndnoteReference"/>
        </w:rPr>
        <w:endnoteRef/>
      </w:r>
      <w:r>
        <w:tab/>
      </w:r>
      <w:r w:rsidRPr="003F6F04">
        <w:t>Combat early marriage and the practice of bride price in line with what was said by the Special Rapporteur on violence against women</w:t>
      </w:r>
      <w:r w:rsidR="00965589">
        <w:t>, its causes and consequences</w:t>
      </w:r>
      <w:r w:rsidRPr="003F6F04">
        <w:t xml:space="preserve"> (Spain</w:t>
      </w:r>
      <w:r>
        <w:t>).</w:t>
      </w:r>
    </w:p>
  </w:endnote>
  <w:endnote w:id="62">
    <w:p w:rsidR="003F6F04" w:rsidRDefault="003F6F04" w:rsidP="003F6F04">
      <w:pPr>
        <w:pStyle w:val="EndnoteText"/>
        <w:widowControl w:val="0"/>
        <w:tabs>
          <w:tab w:val="clear" w:pos="1021"/>
          <w:tab w:val="right" w:pos="1020"/>
        </w:tabs>
      </w:pPr>
      <w:r>
        <w:tab/>
      </w:r>
      <w:r>
        <w:rPr>
          <w:rStyle w:val="EndnoteReference"/>
        </w:rPr>
        <w:endnoteRef/>
      </w:r>
      <w:r>
        <w:tab/>
      </w:r>
      <w:r w:rsidRPr="003F6F04">
        <w:t>Reform the Penal Code with a provision encompassing the definition and criminalisation of all forms of sexual violence</w:t>
      </w:r>
      <w:r>
        <w:t>, including rape (Sierra Leone).</w:t>
      </w:r>
    </w:p>
  </w:endnote>
  <w:endnote w:id="63">
    <w:p w:rsidR="00E33CFA" w:rsidRDefault="00E33CFA" w:rsidP="00E33CFA">
      <w:pPr>
        <w:pStyle w:val="EndnoteText"/>
        <w:widowControl w:val="0"/>
        <w:tabs>
          <w:tab w:val="clear" w:pos="1021"/>
          <w:tab w:val="right" w:pos="1020"/>
        </w:tabs>
      </w:pPr>
      <w:r>
        <w:tab/>
      </w:r>
      <w:r>
        <w:rPr>
          <w:rStyle w:val="EndnoteReference"/>
        </w:rPr>
        <w:endnoteRef/>
      </w:r>
      <w:r>
        <w:tab/>
      </w:r>
      <w:r w:rsidRPr="00E33CFA">
        <w:t xml:space="preserve">Allocate the necessary human, technical and financial resources to the police services, </w:t>
      </w:r>
      <w:r w:rsidR="00965589">
        <w:t xml:space="preserve">at </w:t>
      </w:r>
      <w:r w:rsidRPr="00E33CFA">
        <w:t>both local and national level</w:t>
      </w:r>
      <w:r w:rsidR="00965589">
        <w:t>s</w:t>
      </w:r>
      <w:r w:rsidRPr="00E33CFA">
        <w:t xml:space="preserve"> so that they can address all complaints of viole</w:t>
      </w:r>
      <w:r>
        <w:t>nce against women (Switzerland).</w:t>
      </w:r>
    </w:p>
  </w:endnote>
  <w:endnote w:id="64">
    <w:p w:rsidR="00E33CFA" w:rsidRDefault="00E33CFA" w:rsidP="00E33CFA">
      <w:pPr>
        <w:pStyle w:val="EndnoteText"/>
        <w:widowControl w:val="0"/>
        <w:tabs>
          <w:tab w:val="clear" w:pos="1021"/>
          <w:tab w:val="right" w:pos="1020"/>
        </w:tabs>
      </w:pPr>
      <w:r>
        <w:tab/>
      </w:r>
      <w:r>
        <w:rPr>
          <w:rStyle w:val="EndnoteReference"/>
        </w:rPr>
        <w:endnoteRef/>
      </w:r>
      <w:r>
        <w:tab/>
      </w:r>
      <w:r w:rsidRPr="00E33CFA">
        <w:t xml:space="preserve">Implement measures to punish traffickers and prevent child prostitution </w:t>
      </w:r>
      <w:r>
        <w:t>and forced marriage (Australia).</w:t>
      </w:r>
    </w:p>
  </w:endnote>
  <w:endnote w:id="65">
    <w:p w:rsidR="00E33CFA" w:rsidRDefault="00E33CFA" w:rsidP="00E33CFA">
      <w:pPr>
        <w:pStyle w:val="EndnoteText"/>
        <w:widowControl w:val="0"/>
        <w:tabs>
          <w:tab w:val="clear" w:pos="1021"/>
          <w:tab w:val="right" w:pos="1020"/>
        </w:tabs>
      </w:pPr>
      <w:r>
        <w:tab/>
      </w:r>
      <w:r>
        <w:rPr>
          <w:rStyle w:val="EndnoteReference"/>
        </w:rPr>
        <w:endnoteRef/>
      </w:r>
      <w:r>
        <w:tab/>
      </w:r>
      <w:r w:rsidRPr="00E33CFA">
        <w:t>Enforce fully recently introduced legislation to protect women and girls from gender based violence, including prosecutions for individuals suspected of human trafficking (United Kingdom of Grea</w:t>
      </w:r>
      <w:r>
        <w:t>t Britain and Northern Ireland).</w:t>
      </w:r>
    </w:p>
  </w:endnote>
  <w:endnote w:id="66">
    <w:p w:rsidR="00E33CFA" w:rsidRDefault="00E33CFA" w:rsidP="00E33CFA">
      <w:pPr>
        <w:pStyle w:val="EndnoteText"/>
        <w:widowControl w:val="0"/>
        <w:tabs>
          <w:tab w:val="clear" w:pos="1021"/>
          <w:tab w:val="right" w:pos="1020"/>
        </w:tabs>
      </w:pPr>
      <w:r>
        <w:tab/>
      </w:r>
      <w:r>
        <w:rPr>
          <w:rStyle w:val="EndnoteReference"/>
        </w:rPr>
        <w:endnoteRef/>
      </w:r>
      <w:r>
        <w:tab/>
      </w:r>
      <w:r w:rsidRPr="00E33CFA">
        <w:t>Pass a law to criminalize all forms of human trafficking and ratify the 2000 United Nations Trafficking in Persons Prot</w:t>
      </w:r>
      <w:r>
        <w:t>ocol (United States of America).</w:t>
      </w:r>
    </w:p>
  </w:endnote>
  <w:endnote w:id="67">
    <w:p w:rsidR="00E33CFA" w:rsidRDefault="00E33CFA" w:rsidP="00E33CFA">
      <w:pPr>
        <w:pStyle w:val="EndnoteText"/>
        <w:widowControl w:val="0"/>
        <w:tabs>
          <w:tab w:val="clear" w:pos="1021"/>
          <w:tab w:val="right" w:pos="1020"/>
        </w:tabs>
      </w:pPr>
      <w:r>
        <w:tab/>
      </w:r>
      <w:r>
        <w:rPr>
          <w:rStyle w:val="EndnoteReference"/>
        </w:rPr>
        <w:endnoteRef/>
      </w:r>
      <w:r>
        <w:tab/>
      </w:r>
      <w:r w:rsidRPr="00E33CFA">
        <w:t>Further strengthen its measures to combat all forms of trafficking in persons and protect and reh</w:t>
      </w:r>
      <w:r>
        <w:t>abilitat</w:t>
      </w:r>
      <w:r w:rsidR="00965589">
        <w:t>e</w:t>
      </w:r>
      <w:r>
        <w:t xml:space="preserve"> its victims (Egypt).</w:t>
      </w:r>
    </w:p>
  </w:endnote>
  <w:endnote w:id="68">
    <w:p w:rsidR="00E33CFA" w:rsidRDefault="00E33CFA" w:rsidP="00E33CFA">
      <w:pPr>
        <w:pStyle w:val="EndnoteText"/>
        <w:widowControl w:val="0"/>
        <w:tabs>
          <w:tab w:val="clear" w:pos="1021"/>
          <w:tab w:val="right" w:pos="1020"/>
        </w:tabs>
      </w:pPr>
      <w:r>
        <w:tab/>
      </w:r>
      <w:r>
        <w:rPr>
          <w:rStyle w:val="EndnoteReference"/>
        </w:rPr>
        <w:endnoteRef/>
      </w:r>
      <w:r>
        <w:tab/>
      </w:r>
      <w:r w:rsidRPr="00E33CFA">
        <w:t>Punish sex tourism and particularly prosecute the sexual exploitation of girls through pornography</w:t>
      </w:r>
      <w:r>
        <w:t>, sexual abuse and rape (Spain).</w:t>
      </w:r>
    </w:p>
  </w:endnote>
  <w:endnote w:id="69">
    <w:p w:rsidR="00E33CFA" w:rsidRDefault="00E33CFA" w:rsidP="00E33CFA">
      <w:pPr>
        <w:pStyle w:val="EndnoteText"/>
        <w:widowControl w:val="0"/>
        <w:tabs>
          <w:tab w:val="clear" w:pos="1021"/>
          <w:tab w:val="right" w:pos="1020"/>
        </w:tabs>
      </w:pPr>
      <w:r>
        <w:tab/>
      </w:r>
      <w:r>
        <w:rPr>
          <w:rStyle w:val="EndnoteReference"/>
        </w:rPr>
        <w:endnoteRef/>
      </w:r>
      <w:r>
        <w:tab/>
      </w:r>
      <w:r w:rsidRPr="00E33CFA">
        <w:t>Disseminate publically the report of its Truth and Reconciliation Commission and implement the recommenda</w:t>
      </w:r>
      <w:r>
        <w:t>tions it proposed (Switzerland).</w:t>
      </w:r>
    </w:p>
  </w:endnote>
  <w:endnote w:id="70">
    <w:p w:rsidR="00E33CFA" w:rsidRDefault="00E33CFA" w:rsidP="00E33CFA">
      <w:pPr>
        <w:pStyle w:val="EndnoteText"/>
        <w:widowControl w:val="0"/>
        <w:tabs>
          <w:tab w:val="clear" w:pos="1021"/>
          <w:tab w:val="right" w:pos="1020"/>
        </w:tabs>
      </w:pPr>
      <w:r>
        <w:tab/>
      </w:r>
      <w:r>
        <w:rPr>
          <w:rStyle w:val="EndnoteReference"/>
        </w:rPr>
        <w:endnoteRef/>
      </w:r>
      <w:r>
        <w:tab/>
      </w:r>
      <w:r w:rsidRPr="00E33CFA">
        <w:t>Introduce freedom of information legislation in compliance with in</w:t>
      </w:r>
      <w:r>
        <w:t>ternational standards (Estonia).</w:t>
      </w:r>
    </w:p>
  </w:endnote>
  <w:endnote w:id="71">
    <w:p w:rsidR="00E33CFA" w:rsidRDefault="00E33CFA" w:rsidP="00E33CFA">
      <w:pPr>
        <w:pStyle w:val="EndnoteText"/>
        <w:widowControl w:val="0"/>
        <w:tabs>
          <w:tab w:val="clear" w:pos="1021"/>
          <w:tab w:val="right" w:pos="1020"/>
        </w:tabs>
      </w:pPr>
      <w:r>
        <w:tab/>
      </w:r>
      <w:r>
        <w:rPr>
          <w:rStyle w:val="EndnoteReference"/>
        </w:rPr>
        <w:endnoteRef/>
      </w:r>
      <w:r>
        <w:tab/>
      </w:r>
      <w:r w:rsidRPr="00E33CFA">
        <w:t xml:space="preserve">Step up efforts to ensure that primary education </w:t>
      </w:r>
      <w:r w:rsidR="00965589">
        <w:t>is</w:t>
      </w:r>
      <w:r w:rsidRPr="00E33CFA">
        <w:t xml:space="preserve"> compulsory as well as free of charge, and improve the capacity of all educational institutions, importantly through the increase of budget allocations toward</w:t>
      </w:r>
      <w:r>
        <w:t>s education (Republic of Korea).</w:t>
      </w:r>
    </w:p>
  </w:endnote>
  <w:endnote w:id="72">
    <w:p w:rsidR="00E33CFA" w:rsidRDefault="00E33CFA" w:rsidP="00E33CFA">
      <w:pPr>
        <w:pStyle w:val="EndnoteText"/>
        <w:widowControl w:val="0"/>
        <w:tabs>
          <w:tab w:val="clear" w:pos="1021"/>
          <w:tab w:val="right" w:pos="1020"/>
        </w:tabs>
      </w:pPr>
      <w:r>
        <w:tab/>
      </w:r>
      <w:r>
        <w:rPr>
          <w:rStyle w:val="EndnoteReference"/>
        </w:rPr>
        <w:endnoteRef/>
      </w:r>
      <w:r>
        <w:tab/>
      </w:r>
      <w:r w:rsidRPr="00E33CFA">
        <w:t>Make primary education compulsory, ensuring particularly the inclusion of girls and persons with disabilities in</w:t>
      </w:r>
      <w:r>
        <w:t xml:space="preserve"> the educational system (Spain).</w:t>
      </w:r>
    </w:p>
  </w:endnote>
  <w:endnote w:id="73">
    <w:p w:rsidR="00E33CFA" w:rsidRDefault="00E33CFA" w:rsidP="00E33CFA">
      <w:pPr>
        <w:pStyle w:val="EndnoteText"/>
        <w:widowControl w:val="0"/>
        <w:tabs>
          <w:tab w:val="clear" w:pos="1021"/>
          <w:tab w:val="right" w:pos="1020"/>
        </w:tabs>
      </w:pPr>
      <w:r>
        <w:tab/>
      </w:r>
      <w:r>
        <w:rPr>
          <w:rStyle w:val="EndnoteReference"/>
        </w:rPr>
        <w:endnoteRef/>
      </w:r>
      <w:r>
        <w:tab/>
      </w:r>
      <w:r w:rsidRPr="00E33CFA">
        <w:t>Ratify the United Nations Declaration on the Rights o</w:t>
      </w:r>
      <w:r>
        <w:t>f Indigenous Peoples (Djibouti).</w:t>
      </w:r>
    </w:p>
  </w:endnote>
  <w:endnote w:id="74">
    <w:p w:rsidR="00E33CFA" w:rsidRDefault="00E33CFA" w:rsidP="00E33CFA">
      <w:pPr>
        <w:pStyle w:val="EndnoteText"/>
        <w:widowControl w:val="0"/>
        <w:tabs>
          <w:tab w:val="clear" w:pos="1021"/>
          <w:tab w:val="right" w:pos="1020"/>
        </w:tabs>
      </w:pPr>
      <w:r>
        <w:tab/>
      </w:r>
      <w:r>
        <w:rPr>
          <w:rStyle w:val="EndnoteReference"/>
        </w:rPr>
        <w:endnoteRef/>
      </w:r>
      <w:r>
        <w:tab/>
      </w:r>
      <w:r w:rsidRPr="00E33CFA">
        <w:t>Continue with its efforts to develop a national policy for the benefit of persons with disabilities, including the ratification of the Convention on the Rights of Pers</w:t>
      </w:r>
      <w:r>
        <w:t>ons with Disabilities (Germany).</w:t>
      </w:r>
    </w:p>
  </w:endnote>
  <w:endnote w:id="75">
    <w:p w:rsidR="00E33CFA" w:rsidRDefault="00E33CFA" w:rsidP="00E33CFA">
      <w:pPr>
        <w:pStyle w:val="EndnoteText"/>
        <w:widowControl w:val="0"/>
        <w:tabs>
          <w:tab w:val="clear" w:pos="1021"/>
          <w:tab w:val="right" w:pos="1020"/>
        </w:tabs>
      </w:pPr>
      <w:r>
        <w:tab/>
      </w:r>
      <w:r>
        <w:rPr>
          <w:rStyle w:val="EndnoteReference"/>
        </w:rPr>
        <w:endnoteRef/>
      </w:r>
      <w:r>
        <w:tab/>
      </w:r>
      <w:r w:rsidRPr="00E33CFA">
        <w:t>Work on improving the physical access for persons with dis</w:t>
      </w:r>
      <w:r>
        <w:t>abilities (Trinidad and Tobago).</w:t>
      </w:r>
    </w:p>
  </w:endnote>
  <w:endnote w:id="76">
    <w:p w:rsidR="00AE115A" w:rsidRDefault="00AE115A" w:rsidP="00AE115A">
      <w:pPr>
        <w:pStyle w:val="EndnoteText"/>
        <w:widowControl w:val="0"/>
        <w:tabs>
          <w:tab w:val="clear" w:pos="1021"/>
          <w:tab w:val="right" w:pos="1020"/>
        </w:tabs>
      </w:pPr>
      <w:r>
        <w:tab/>
      </w:r>
      <w:r>
        <w:rPr>
          <w:rStyle w:val="EndnoteReference"/>
        </w:rPr>
        <w:endnoteRef/>
      </w:r>
      <w:r>
        <w:tab/>
      </w:r>
      <w:r w:rsidRPr="00AE115A">
        <w:t>Implement measures to ensure the full enjoyment of rights by persons with disabilities, especially regarding inclusive edu</w:t>
      </w:r>
      <w:r>
        <w:t>cation and development (Israel).</w:t>
      </w:r>
    </w:p>
  </w:endnote>
  <w:endnote w:id="77">
    <w:p w:rsidR="00AE115A" w:rsidRDefault="00AE115A" w:rsidP="00AE115A">
      <w:pPr>
        <w:pStyle w:val="EndnoteText"/>
        <w:widowControl w:val="0"/>
        <w:tabs>
          <w:tab w:val="clear" w:pos="1021"/>
          <w:tab w:val="right" w:pos="1020"/>
        </w:tabs>
      </w:pPr>
      <w:r>
        <w:tab/>
      </w:r>
      <w:r>
        <w:rPr>
          <w:rStyle w:val="EndnoteReference"/>
        </w:rPr>
        <w:endnoteRef/>
      </w:r>
      <w:r>
        <w:tab/>
      </w:r>
      <w:r w:rsidRPr="00AE115A">
        <w:t>Ensure that corporations, particularly those active in the forest industry, respect human and environmental rights, based on the Guiding Principles on Business</w:t>
      </w:r>
      <w:r>
        <w:t xml:space="preserve"> and Human Rights (Switzerland).</w:t>
      </w:r>
    </w:p>
  </w:endnote>
  <w:endnote w:id="78">
    <w:p w:rsidR="00AE115A" w:rsidRDefault="00AE115A" w:rsidP="00AE115A">
      <w:pPr>
        <w:pStyle w:val="EndnoteText"/>
        <w:widowControl w:val="0"/>
        <w:tabs>
          <w:tab w:val="clear" w:pos="1021"/>
          <w:tab w:val="right" w:pos="1020"/>
        </w:tabs>
      </w:pPr>
      <w:r>
        <w:tab/>
      </w:r>
      <w:r>
        <w:rPr>
          <w:rStyle w:val="EndnoteReference"/>
        </w:rPr>
        <w:endnoteRef/>
      </w:r>
      <w:r>
        <w:tab/>
      </w:r>
      <w:r w:rsidRPr="00AE115A">
        <w:t xml:space="preserve">Create a permanent national protection group responsible for addressing displacements caused by climate change </w:t>
      </w:r>
      <w:r>
        <w:t>or natural disasters (Djibouti).</w:t>
      </w:r>
    </w:p>
  </w:endnote>
  <w:endnote w:id="79">
    <w:p w:rsidR="00AE115A" w:rsidRDefault="00AE115A" w:rsidP="00AE115A">
      <w:pPr>
        <w:pStyle w:val="EndnoteText"/>
        <w:widowControl w:val="0"/>
        <w:tabs>
          <w:tab w:val="clear" w:pos="1021"/>
          <w:tab w:val="right" w:pos="1020"/>
        </w:tabs>
      </w:pPr>
      <w:r>
        <w:tab/>
      </w:r>
      <w:r>
        <w:rPr>
          <w:rStyle w:val="EndnoteReference"/>
        </w:rPr>
        <w:endnoteRef/>
      </w:r>
      <w:r>
        <w:tab/>
      </w:r>
      <w:r w:rsidRPr="00AE115A">
        <w:t>Approve the roadmap on the reduction of emissions resulting from deforestation and forest degradation, on the role of conservation and sustainable forest management and on the reinforcement of forest carbon stocks (Benin).</w:t>
      </w:r>
    </w:p>
    <w:p w:rsidR="00AE115A" w:rsidRPr="00AE115A" w:rsidRDefault="00AE115A" w:rsidP="00AE115A">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3" w:rsidRPr="008C1E70" w:rsidRDefault="004910F3" w:rsidP="008C1E70">
    <w:pPr>
      <w:pStyle w:val="Footer"/>
      <w:tabs>
        <w:tab w:val="right" w:pos="9638"/>
      </w:tabs>
    </w:pPr>
    <w:r w:rsidRPr="008C1E70">
      <w:rPr>
        <w:b/>
        <w:sz w:val="18"/>
      </w:rPr>
      <w:fldChar w:fldCharType="begin"/>
    </w:r>
    <w:r w:rsidRPr="008C1E70">
      <w:rPr>
        <w:b/>
        <w:sz w:val="18"/>
      </w:rPr>
      <w:instrText xml:space="preserve"> PAGE  \* MERGEFORMAT </w:instrText>
    </w:r>
    <w:r w:rsidRPr="008C1E70">
      <w:rPr>
        <w:b/>
        <w:sz w:val="18"/>
      </w:rPr>
      <w:fldChar w:fldCharType="separate"/>
    </w:r>
    <w:r w:rsidR="006718A5">
      <w:rPr>
        <w:b/>
        <w:noProof/>
        <w:sz w:val="18"/>
      </w:rPr>
      <w:t>4</w:t>
    </w:r>
    <w:r w:rsidRPr="008C1E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3" w:rsidRPr="008C1E70" w:rsidRDefault="004910F3" w:rsidP="008C1E70">
    <w:pPr>
      <w:pStyle w:val="Footer"/>
      <w:tabs>
        <w:tab w:val="right" w:pos="9638"/>
      </w:tabs>
      <w:rPr>
        <w:b/>
        <w:sz w:val="18"/>
      </w:rPr>
    </w:pPr>
    <w:r>
      <w:tab/>
    </w:r>
    <w:r w:rsidRPr="008C1E70">
      <w:rPr>
        <w:b/>
        <w:sz w:val="18"/>
      </w:rPr>
      <w:fldChar w:fldCharType="begin"/>
    </w:r>
    <w:r w:rsidRPr="008C1E70">
      <w:rPr>
        <w:b/>
        <w:sz w:val="18"/>
      </w:rPr>
      <w:instrText xml:space="preserve"> PAGE  \* MERGEFORMAT </w:instrText>
    </w:r>
    <w:r w:rsidRPr="008C1E70">
      <w:rPr>
        <w:b/>
        <w:sz w:val="18"/>
      </w:rPr>
      <w:fldChar w:fldCharType="separate"/>
    </w:r>
    <w:r w:rsidR="006718A5">
      <w:rPr>
        <w:b/>
        <w:noProof/>
        <w:sz w:val="18"/>
      </w:rPr>
      <w:t>5</w:t>
    </w:r>
    <w:r w:rsidRPr="008C1E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3" w:rsidRPr="008C1E70" w:rsidRDefault="00DA44A7" w:rsidP="00542574">
    <w:r>
      <w:rPr>
        <w:noProof/>
        <w:lang w:eastAsia="ja-JP"/>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4910F3">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F3" w:rsidRPr="000B175B" w:rsidRDefault="004910F3" w:rsidP="000B175B">
      <w:pPr>
        <w:tabs>
          <w:tab w:val="right" w:pos="2155"/>
        </w:tabs>
        <w:spacing w:after="80"/>
        <w:ind w:left="680"/>
        <w:rPr>
          <w:u w:val="single"/>
        </w:rPr>
      </w:pPr>
      <w:r>
        <w:rPr>
          <w:u w:val="single"/>
        </w:rPr>
        <w:tab/>
      </w:r>
    </w:p>
  </w:footnote>
  <w:footnote w:type="continuationSeparator" w:id="0">
    <w:p w:rsidR="004910F3" w:rsidRPr="00FC68B7" w:rsidRDefault="004910F3" w:rsidP="00FC68B7">
      <w:pPr>
        <w:tabs>
          <w:tab w:val="left" w:pos="2155"/>
        </w:tabs>
        <w:spacing w:after="80"/>
        <w:ind w:left="680"/>
        <w:rPr>
          <w:u w:val="single"/>
        </w:rPr>
      </w:pPr>
      <w:r>
        <w:rPr>
          <w:u w:val="single"/>
        </w:rPr>
        <w:tab/>
      </w:r>
    </w:p>
  </w:footnote>
  <w:footnote w:type="continuationNotice" w:id="1">
    <w:p w:rsidR="004910F3" w:rsidRDefault="004910F3"/>
  </w:footnote>
  <w:footnote w:id="2">
    <w:p w:rsidR="004910F3" w:rsidRDefault="004910F3" w:rsidP="008C1E70">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3" w:rsidRPr="008C1E70" w:rsidRDefault="004910F3">
    <w:pPr>
      <w:pStyle w:val="Header"/>
    </w:pPr>
    <w:r>
      <w:t>A/HRC/32/14/Add.1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F3" w:rsidRPr="008C1E70" w:rsidRDefault="004910F3" w:rsidP="008C1E70">
    <w:pPr>
      <w:pStyle w:val="Header"/>
      <w:jc w:val="right"/>
    </w:pPr>
    <w:r>
      <w:t>A/HRC/32/14/Add.1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70"/>
    <w:rsid w:val="00007F7F"/>
    <w:rsid w:val="00022DB5"/>
    <w:rsid w:val="000403D1"/>
    <w:rsid w:val="000449AA"/>
    <w:rsid w:val="00050F6B"/>
    <w:rsid w:val="000526FC"/>
    <w:rsid w:val="00072C8C"/>
    <w:rsid w:val="00073E70"/>
    <w:rsid w:val="000876EB"/>
    <w:rsid w:val="00091419"/>
    <w:rsid w:val="000931C0"/>
    <w:rsid w:val="000B175B"/>
    <w:rsid w:val="000B3A0F"/>
    <w:rsid w:val="000B4A3B"/>
    <w:rsid w:val="000C421C"/>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73877"/>
    <w:rsid w:val="0039277A"/>
    <w:rsid w:val="003972E0"/>
    <w:rsid w:val="003975ED"/>
    <w:rsid w:val="003C2CC4"/>
    <w:rsid w:val="003D4B23"/>
    <w:rsid w:val="003F6F04"/>
    <w:rsid w:val="00424C80"/>
    <w:rsid w:val="004325CB"/>
    <w:rsid w:val="0044503A"/>
    <w:rsid w:val="00446DE4"/>
    <w:rsid w:val="00447761"/>
    <w:rsid w:val="00451EC3"/>
    <w:rsid w:val="004721B1"/>
    <w:rsid w:val="004859EC"/>
    <w:rsid w:val="004910F3"/>
    <w:rsid w:val="00496A15"/>
    <w:rsid w:val="004B75D2"/>
    <w:rsid w:val="004D1140"/>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11FC4"/>
    <w:rsid w:val="006176FB"/>
    <w:rsid w:val="00640B26"/>
    <w:rsid w:val="00670741"/>
    <w:rsid w:val="006718A5"/>
    <w:rsid w:val="00696BD6"/>
    <w:rsid w:val="006A6B9D"/>
    <w:rsid w:val="006A7392"/>
    <w:rsid w:val="006B3189"/>
    <w:rsid w:val="006B7D65"/>
    <w:rsid w:val="006D6DA6"/>
    <w:rsid w:val="006E564B"/>
    <w:rsid w:val="006F13F0"/>
    <w:rsid w:val="006F5035"/>
    <w:rsid w:val="007065EB"/>
    <w:rsid w:val="00720183"/>
    <w:rsid w:val="0072632A"/>
    <w:rsid w:val="0074200B"/>
    <w:rsid w:val="0074302F"/>
    <w:rsid w:val="007955F8"/>
    <w:rsid w:val="007A6296"/>
    <w:rsid w:val="007B6BA5"/>
    <w:rsid w:val="007C1B62"/>
    <w:rsid w:val="007C3390"/>
    <w:rsid w:val="007C4F4B"/>
    <w:rsid w:val="007D2CDC"/>
    <w:rsid w:val="007D5327"/>
    <w:rsid w:val="007F6611"/>
    <w:rsid w:val="008071E2"/>
    <w:rsid w:val="008155C3"/>
    <w:rsid w:val="008175E9"/>
    <w:rsid w:val="0082243E"/>
    <w:rsid w:val="008242D7"/>
    <w:rsid w:val="00856CD2"/>
    <w:rsid w:val="00861BC6"/>
    <w:rsid w:val="00871FD5"/>
    <w:rsid w:val="008979B1"/>
    <w:rsid w:val="008A6B25"/>
    <w:rsid w:val="008A6C4F"/>
    <w:rsid w:val="008C1E4D"/>
    <w:rsid w:val="008C1E70"/>
    <w:rsid w:val="008E0E46"/>
    <w:rsid w:val="0090452C"/>
    <w:rsid w:val="00907C3F"/>
    <w:rsid w:val="0092237C"/>
    <w:rsid w:val="0093707B"/>
    <w:rsid w:val="009400EB"/>
    <w:rsid w:val="009427E3"/>
    <w:rsid w:val="00956D9B"/>
    <w:rsid w:val="00963CBA"/>
    <w:rsid w:val="009654B7"/>
    <w:rsid w:val="00965589"/>
    <w:rsid w:val="00991261"/>
    <w:rsid w:val="009A0B83"/>
    <w:rsid w:val="009B3800"/>
    <w:rsid w:val="009D22AC"/>
    <w:rsid w:val="009D50DB"/>
    <w:rsid w:val="009E1C4E"/>
    <w:rsid w:val="00A05E0B"/>
    <w:rsid w:val="00A1427D"/>
    <w:rsid w:val="00A4634F"/>
    <w:rsid w:val="00A51CF3"/>
    <w:rsid w:val="00A72F22"/>
    <w:rsid w:val="00A748A6"/>
    <w:rsid w:val="00A879A4"/>
    <w:rsid w:val="00A87DE4"/>
    <w:rsid w:val="00A87E95"/>
    <w:rsid w:val="00A92E29"/>
    <w:rsid w:val="00AD09E9"/>
    <w:rsid w:val="00AE115A"/>
    <w:rsid w:val="00AF0576"/>
    <w:rsid w:val="00AF3829"/>
    <w:rsid w:val="00B037F0"/>
    <w:rsid w:val="00B2327D"/>
    <w:rsid w:val="00B2718F"/>
    <w:rsid w:val="00B30179"/>
    <w:rsid w:val="00B3317B"/>
    <w:rsid w:val="00B334DC"/>
    <w:rsid w:val="00B357DA"/>
    <w:rsid w:val="00B3631A"/>
    <w:rsid w:val="00B53013"/>
    <w:rsid w:val="00B67F5E"/>
    <w:rsid w:val="00B73E65"/>
    <w:rsid w:val="00B81E12"/>
    <w:rsid w:val="00B87110"/>
    <w:rsid w:val="00B97FA8"/>
    <w:rsid w:val="00BC1385"/>
    <w:rsid w:val="00BC74E9"/>
    <w:rsid w:val="00BE618E"/>
    <w:rsid w:val="00C24693"/>
    <w:rsid w:val="00C35F0B"/>
    <w:rsid w:val="00C463DD"/>
    <w:rsid w:val="00C51939"/>
    <w:rsid w:val="00C64458"/>
    <w:rsid w:val="00C715F6"/>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850D3"/>
    <w:rsid w:val="00D978C6"/>
    <w:rsid w:val="00DA44A7"/>
    <w:rsid w:val="00DA67AD"/>
    <w:rsid w:val="00DB18CE"/>
    <w:rsid w:val="00DE3EC0"/>
    <w:rsid w:val="00E11593"/>
    <w:rsid w:val="00E12B6B"/>
    <w:rsid w:val="00E130AB"/>
    <w:rsid w:val="00E33CFA"/>
    <w:rsid w:val="00E438D9"/>
    <w:rsid w:val="00E5644E"/>
    <w:rsid w:val="00E7260F"/>
    <w:rsid w:val="00E806EE"/>
    <w:rsid w:val="00E96630"/>
    <w:rsid w:val="00EB0FB9"/>
    <w:rsid w:val="00ED0CA9"/>
    <w:rsid w:val="00ED7A2A"/>
    <w:rsid w:val="00EE794F"/>
    <w:rsid w:val="00EF1D7F"/>
    <w:rsid w:val="00EF5BDB"/>
    <w:rsid w:val="00F07FD9"/>
    <w:rsid w:val="00F23933"/>
    <w:rsid w:val="00F24119"/>
    <w:rsid w:val="00F40E75"/>
    <w:rsid w:val="00F42CD9"/>
    <w:rsid w:val="00F52936"/>
    <w:rsid w:val="00F677CB"/>
    <w:rsid w:val="00F729A7"/>
    <w:rsid w:val="00F91EB5"/>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C1E70"/>
    <w:rPr>
      <w:sz w:val="18"/>
      <w:lang w:eastAsia="en-US"/>
    </w:rPr>
  </w:style>
  <w:style w:type="paragraph" w:styleId="BalloonText">
    <w:name w:val="Balloon Text"/>
    <w:basedOn w:val="Normal"/>
    <w:link w:val="BalloonTextChar"/>
    <w:rsid w:val="00F729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29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C1E70"/>
    <w:rPr>
      <w:sz w:val="18"/>
      <w:lang w:eastAsia="en-US"/>
    </w:rPr>
  </w:style>
  <w:style w:type="paragraph" w:styleId="BalloonText">
    <w:name w:val="Balloon Text"/>
    <w:basedOn w:val="Normal"/>
    <w:link w:val="BalloonTextChar"/>
    <w:rsid w:val="00F729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29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264F2E-D99A-40F5-BAEB-2ECD7011A4D5}"/>
</file>

<file path=customXml/itemProps2.xml><?xml version="1.0" encoding="utf-8"?>
<ds:datastoreItem xmlns:ds="http://schemas.openxmlformats.org/officeDocument/2006/customXml" ds:itemID="{76304342-C405-4552-A515-E73A303538DE}"/>
</file>

<file path=customXml/itemProps3.xml><?xml version="1.0" encoding="utf-8"?>
<ds:datastoreItem xmlns:ds="http://schemas.openxmlformats.org/officeDocument/2006/customXml" ds:itemID="{45781053-9563-47A7-9DBB-345B9E1A3FE5}"/>
</file>

<file path=customXml/itemProps4.xml><?xml version="1.0" encoding="utf-8"?>
<ds:datastoreItem xmlns:ds="http://schemas.openxmlformats.org/officeDocument/2006/customXml" ds:itemID="{AE379F90-826B-4964-9D3B-4A9F63DC4E0A}"/>
</file>

<file path=docProps/app.xml><?xml version="1.0" encoding="utf-8"?>
<Properties xmlns="http://schemas.openxmlformats.org/officeDocument/2006/extended-properties" xmlns:vt="http://schemas.openxmlformats.org/officeDocument/2006/docPropsVTypes">
  <Template>A_E.dotm</Template>
  <TotalTime>1</TotalTime>
  <Pages>8</Pages>
  <Words>1152</Words>
  <Characters>6569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Solomon Islands - Views on conclusions and/or recommendations, voluntary commitments and replies presented by the State under review</dc:title>
  <dc:creator>Sumiko IHARA</dc:creator>
  <cp:lastModifiedBy>Sumiko IHARA</cp:lastModifiedBy>
  <cp:revision>3</cp:revision>
  <cp:lastPrinted>2008-01-29T07:30:00Z</cp:lastPrinted>
  <dcterms:created xsi:type="dcterms:W3CDTF">2016-06-22T14:44:00Z</dcterms:created>
  <dcterms:modified xsi:type="dcterms:W3CDTF">2016-06-22T14:45:00Z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