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D4528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D45281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45281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45281" w:rsidRDefault="00BA0456" w:rsidP="00BA0456">
            <w:pPr>
              <w:jc w:val="right"/>
            </w:pPr>
            <w:r w:rsidRPr="00D45281">
              <w:rPr>
                <w:sz w:val="40"/>
              </w:rPr>
              <w:t>A</w:t>
            </w:r>
            <w:r w:rsidRPr="00D45281">
              <w:t>/HRC/32/19</w:t>
            </w:r>
            <w:r w:rsidR="001F56C0" w:rsidRPr="00D45281">
              <w:t>/Corr.1</w:t>
            </w:r>
          </w:p>
        </w:tc>
      </w:tr>
      <w:tr w:rsidR="003107FA" w:rsidRPr="00D4528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D45281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D45281" w:rsidRDefault="00EF3A13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D45281" w:rsidRDefault="00BA0456" w:rsidP="00BA0456">
            <w:pPr>
              <w:spacing w:before="240" w:line="240" w:lineRule="exact"/>
            </w:pPr>
            <w:r w:rsidRPr="00D45281">
              <w:t>Distr.: General</w:t>
            </w:r>
          </w:p>
          <w:p w:rsidR="00BA0456" w:rsidRPr="00D45281" w:rsidRDefault="005C5101" w:rsidP="00BA0456">
            <w:pPr>
              <w:spacing w:line="240" w:lineRule="exact"/>
            </w:pPr>
            <w:r>
              <w:t>8</w:t>
            </w:r>
            <w:r w:rsidR="00BB7776" w:rsidRPr="00D45281">
              <w:t xml:space="preserve"> June</w:t>
            </w:r>
            <w:r w:rsidR="00BA0456" w:rsidRPr="00D45281">
              <w:t xml:space="preserve"> 2016</w:t>
            </w:r>
          </w:p>
          <w:p w:rsidR="00BA0456" w:rsidRPr="00D45281" w:rsidRDefault="00BA0456" w:rsidP="00BA0456">
            <w:pPr>
              <w:spacing w:line="240" w:lineRule="exact"/>
            </w:pPr>
          </w:p>
          <w:p w:rsidR="00BA0456" w:rsidRPr="00D45281" w:rsidRDefault="00BA0456" w:rsidP="00BA0456">
            <w:pPr>
              <w:spacing w:line="240" w:lineRule="exact"/>
            </w:pPr>
            <w:r w:rsidRPr="00D45281">
              <w:t>Original: English</w:t>
            </w:r>
          </w:p>
        </w:tc>
      </w:tr>
    </w:tbl>
    <w:p w:rsidR="00836E1D" w:rsidRPr="00D45281" w:rsidRDefault="00836E1D" w:rsidP="00887E4D">
      <w:pPr>
        <w:spacing w:before="120"/>
        <w:rPr>
          <w:b/>
          <w:sz w:val="24"/>
        </w:rPr>
      </w:pPr>
      <w:r w:rsidRPr="00D45281">
        <w:rPr>
          <w:b/>
          <w:sz w:val="24"/>
        </w:rPr>
        <w:t xml:space="preserve">Human Rights Council </w:t>
      </w:r>
    </w:p>
    <w:p w:rsidR="00836E1D" w:rsidRPr="00D45281" w:rsidRDefault="00836E1D" w:rsidP="005E6E1E">
      <w:pPr>
        <w:outlineLvl w:val="0"/>
        <w:rPr>
          <w:b/>
        </w:rPr>
      </w:pPr>
      <w:r w:rsidRPr="00D45281">
        <w:rPr>
          <w:b/>
        </w:rPr>
        <w:t xml:space="preserve">Thirty-second session </w:t>
      </w:r>
    </w:p>
    <w:p w:rsidR="00836E1D" w:rsidRPr="00D45281" w:rsidRDefault="00836E1D" w:rsidP="005E6E1E">
      <w:pPr>
        <w:outlineLvl w:val="0"/>
      </w:pPr>
      <w:r w:rsidRPr="00D45281">
        <w:t xml:space="preserve">Agenda items 2 and 3 </w:t>
      </w:r>
    </w:p>
    <w:p w:rsidR="00836E1D" w:rsidRPr="00D45281" w:rsidRDefault="00836E1D" w:rsidP="005E6E1E">
      <w:pPr>
        <w:outlineLvl w:val="0"/>
        <w:rPr>
          <w:b/>
        </w:rPr>
      </w:pPr>
      <w:r w:rsidRPr="00D45281">
        <w:rPr>
          <w:b/>
        </w:rPr>
        <w:t xml:space="preserve">Report of the United Nations High Commissioner </w:t>
      </w:r>
    </w:p>
    <w:p w:rsidR="00836E1D" w:rsidRPr="00D45281" w:rsidRDefault="00836E1D" w:rsidP="00887E4D">
      <w:pPr>
        <w:rPr>
          <w:b/>
        </w:rPr>
      </w:pPr>
      <w:proofErr w:type="gramStart"/>
      <w:r w:rsidRPr="00D45281">
        <w:rPr>
          <w:b/>
        </w:rPr>
        <w:t>for</w:t>
      </w:r>
      <w:proofErr w:type="gramEnd"/>
      <w:r w:rsidRPr="00D45281">
        <w:rPr>
          <w:b/>
        </w:rPr>
        <w:t xml:space="preserve"> Human Rights and reports of the Office of the </w:t>
      </w:r>
    </w:p>
    <w:p w:rsidR="00836E1D" w:rsidRPr="00D45281" w:rsidRDefault="00836E1D" w:rsidP="005E6E1E">
      <w:pPr>
        <w:outlineLvl w:val="0"/>
        <w:rPr>
          <w:b/>
        </w:rPr>
      </w:pPr>
      <w:r w:rsidRPr="00D45281">
        <w:rPr>
          <w:b/>
        </w:rPr>
        <w:t xml:space="preserve">High Commissioner and the Secretary-General </w:t>
      </w:r>
    </w:p>
    <w:p w:rsidR="00836E1D" w:rsidRPr="00D45281" w:rsidRDefault="00836E1D" w:rsidP="00887E4D">
      <w:pPr>
        <w:rPr>
          <w:b/>
        </w:rPr>
      </w:pPr>
    </w:p>
    <w:p w:rsidR="00836E1D" w:rsidRPr="00D45281" w:rsidRDefault="00836E1D" w:rsidP="005E6E1E">
      <w:pPr>
        <w:outlineLvl w:val="0"/>
        <w:rPr>
          <w:b/>
        </w:rPr>
      </w:pPr>
      <w:r w:rsidRPr="00D45281">
        <w:rPr>
          <w:b/>
        </w:rPr>
        <w:t xml:space="preserve">Promotion and protection of all human rights, civil, </w:t>
      </w:r>
    </w:p>
    <w:p w:rsidR="00836E1D" w:rsidRPr="00D45281" w:rsidRDefault="00836E1D" w:rsidP="00887E4D">
      <w:pPr>
        <w:rPr>
          <w:b/>
        </w:rPr>
      </w:pPr>
      <w:proofErr w:type="gramStart"/>
      <w:r w:rsidRPr="00D45281">
        <w:rPr>
          <w:b/>
        </w:rPr>
        <w:t>political</w:t>
      </w:r>
      <w:proofErr w:type="gramEnd"/>
      <w:r w:rsidRPr="00D45281">
        <w:rPr>
          <w:b/>
        </w:rPr>
        <w:t>, economic, social</w:t>
      </w:r>
      <w:r w:rsidR="00A604A6" w:rsidRPr="00A604A6">
        <w:rPr>
          <w:b/>
        </w:rPr>
        <w:t xml:space="preserve"> </w:t>
      </w:r>
      <w:r w:rsidR="00A604A6" w:rsidRPr="00D45281">
        <w:rPr>
          <w:b/>
        </w:rPr>
        <w:t>and cultural rights,</w:t>
      </w:r>
    </w:p>
    <w:p w:rsidR="00A604A6" w:rsidRDefault="00836E1D" w:rsidP="00887E4D">
      <w:pPr>
        <w:rPr>
          <w:b/>
        </w:rPr>
      </w:pPr>
      <w:proofErr w:type="gramStart"/>
      <w:r w:rsidRPr="00D45281">
        <w:rPr>
          <w:b/>
        </w:rPr>
        <w:t>including</w:t>
      </w:r>
      <w:proofErr w:type="gramEnd"/>
      <w:r w:rsidRPr="00D45281">
        <w:rPr>
          <w:b/>
        </w:rPr>
        <w:t xml:space="preserve"> the right to development</w:t>
      </w:r>
    </w:p>
    <w:p w:rsidR="00395CE6" w:rsidRPr="00CB3768" w:rsidRDefault="00887E4D" w:rsidP="00CB3768">
      <w:pPr>
        <w:pStyle w:val="HChG"/>
      </w:pPr>
      <w:r w:rsidRPr="00CB3768">
        <w:tab/>
      </w:r>
      <w:r w:rsidRPr="00CB3768">
        <w:tab/>
      </w:r>
      <w:r w:rsidR="00836E1D" w:rsidRPr="00CB3768">
        <w:t>Improving accountability and access to remedy for victims of business-related human rights abuse</w:t>
      </w:r>
    </w:p>
    <w:p w:rsidR="00BA0456" w:rsidRPr="00D45281" w:rsidRDefault="00395CE6" w:rsidP="00CB3768">
      <w:pPr>
        <w:pStyle w:val="H1G"/>
      </w:pPr>
      <w:r w:rsidRPr="00D45281">
        <w:t xml:space="preserve"> </w:t>
      </w:r>
      <w:r w:rsidRPr="00D45281">
        <w:tab/>
      </w:r>
      <w:r w:rsidRPr="00D45281">
        <w:tab/>
      </w:r>
      <w:r w:rsidR="00836E1D" w:rsidRPr="00D45281">
        <w:t>Report of the United Nations High Commissioner for Human Rights</w:t>
      </w:r>
    </w:p>
    <w:p w:rsidR="00836E1D" w:rsidRPr="00D45281" w:rsidRDefault="00BB7776" w:rsidP="00BB7776">
      <w:pPr>
        <w:pStyle w:val="H23G"/>
      </w:pPr>
      <w:r w:rsidRPr="00D45281">
        <w:tab/>
      </w:r>
      <w:r w:rsidRPr="00D45281">
        <w:tab/>
      </w:r>
      <w:r w:rsidR="00836E1D" w:rsidRPr="00D45281">
        <w:t>Co</w:t>
      </w:r>
      <w:r w:rsidR="000B56F4" w:rsidRPr="00D45281">
        <w:t>rrigendum</w:t>
      </w:r>
    </w:p>
    <w:p w:rsidR="00257E3C" w:rsidRPr="00D45281" w:rsidRDefault="00BB7776" w:rsidP="00BB7776">
      <w:pPr>
        <w:pStyle w:val="H23G"/>
      </w:pPr>
      <w:r w:rsidRPr="00D45281">
        <w:tab/>
      </w:r>
      <w:r w:rsidRPr="00D45281">
        <w:tab/>
      </w:r>
      <w:r w:rsidR="00D4292F" w:rsidRPr="00D45281">
        <w:t>Page 12, a</w:t>
      </w:r>
      <w:r w:rsidR="00257E3C" w:rsidRPr="00D45281">
        <w:t>nnex</w:t>
      </w:r>
    </w:p>
    <w:p w:rsidR="00257E3C" w:rsidRPr="00CB3768" w:rsidRDefault="00D4292F" w:rsidP="00CB3768">
      <w:pPr>
        <w:pStyle w:val="SingleTxtG"/>
      </w:pPr>
      <w:r w:rsidRPr="00CB3768">
        <w:t>The heading of the</w:t>
      </w:r>
      <w:r w:rsidR="00257E3C" w:rsidRPr="00CB3768">
        <w:t xml:space="preserve"> </w:t>
      </w:r>
      <w:r w:rsidRPr="00CB3768">
        <w:t>a</w:t>
      </w:r>
      <w:r w:rsidR="00257E3C" w:rsidRPr="00CB3768">
        <w:t xml:space="preserve">nnex </w:t>
      </w:r>
      <w:r w:rsidR="00257E3C" w:rsidRPr="00CB3768">
        <w:rPr>
          <w:i/>
        </w:rPr>
        <w:t>should read</w:t>
      </w:r>
      <w:r w:rsidR="00257E3C" w:rsidRPr="00CB3768">
        <w:t xml:space="preserve"> </w:t>
      </w:r>
    </w:p>
    <w:p w:rsidR="00BB7776" w:rsidRPr="00D45281" w:rsidRDefault="00CB3768" w:rsidP="00CB3768">
      <w:pPr>
        <w:pStyle w:val="H1G"/>
        <w:rPr>
          <w:u w:val="single"/>
        </w:rPr>
      </w:pPr>
      <w:r>
        <w:tab/>
      </w:r>
      <w:r>
        <w:tab/>
      </w:r>
      <w:r w:rsidR="008978D3" w:rsidRPr="00D45281">
        <w:t>Guidance to improve corporate accountability and access to judicial remedy for business-related human rights abuse</w:t>
      </w:r>
      <w:r>
        <w:rPr>
          <w:rStyle w:val="FootnoteReference"/>
        </w:rPr>
        <w:footnoteReference w:customMarkFollows="1" w:id="2"/>
        <w:t>*</w:t>
      </w:r>
      <w:r>
        <w:t xml:space="preserve"> </w:t>
      </w:r>
      <w:r>
        <w:rPr>
          <w:rStyle w:val="FootnoteReference"/>
        </w:rPr>
        <w:footnoteReference w:customMarkFollows="1" w:id="3"/>
        <w:t>**</w:t>
      </w:r>
    </w:p>
    <w:sectPr w:rsidR="00BB7776" w:rsidRPr="00D45281" w:rsidSect="00BA045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FAA29F" w15:done="0"/>
  <w15:commentEx w15:paraId="6D3120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75" w:rsidRDefault="00527E75"/>
  </w:endnote>
  <w:endnote w:type="continuationSeparator" w:id="0">
    <w:p w:rsidR="00527E75" w:rsidRDefault="00527E75"/>
  </w:endnote>
  <w:endnote w:type="continuationNotice" w:id="1">
    <w:p w:rsidR="00527E75" w:rsidRDefault="00527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(Theme Body)">
    <w:altName w:val="Times New Roman"/>
    <w:charset w:val="00"/>
    <w:family w:val="auto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75" w:rsidRPr="00BA0456" w:rsidRDefault="008E295E" w:rsidP="00BA0456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CB3768" w:rsidRPr="00CB3768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527E75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75" w:rsidRPr="00BA0456" w:rsidRDefault="00527E75" w:rsidP="00BA0456">
    <w:pPr>
      <w:pStyle w:val="Footer"/>
      <w:tabs>
        <w:tab w:val="right" w:pos="9638"/>
      </w:tabs>
      <w:rPr>
        <w:b/>
        <w:sz w:val="18"/>
      </w:rPr>
    </w:pPr>
    <w:r>
      <w:tab/>
    </w:r>
    <w:r w:rsidR="008E295E">
      <w:fldChar w:fldCharType="begin"/>
    </w:r>
    <w:r w:rsidR="008E295E">
      <w:instrText xml:space="preserve"> PAGE  \* MERGEFORMAT </w:instrText>
    </w:r>
    <w:r w:rsidR="008E295E">
      <w:fldChar w:fldCharType="separate"/>
    </w:r>
    <w:r>
      <w:rPr>
        <w:b/>
        <w:noProof/>
        <w:sz w:val="18"/>
      </w:rPr>
      <w:t>5</w:t>
    </w:r>
    <w:r w:rsidR="008E295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75" w:rsidRPr="000B175B" w:rsidRDefault="00527E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7E75" w:rsidRPr="00FC68B7" w:rsidRDefault="00527E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27E75" w:rsidRDefault="00527E75"/>
  </w:footnote>
  <w:footnote w:id="2">
    <w:p w:rsidR="00CB3768" w:rsidRPr="00CB3768" w:rsidRDefault="00CB3768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  <w:t>T</w:t>
      </w:r>
      <w:r w:rsidRPr="00D45281">
        <w:t xml:space="preserve">he present guidance </w:t>
      </w:r>
      <w:proofErr w:type="gramStart"/>
      <w:r w:rsidRPr="00D45281">
        <w:t>is intended</w:t>
      </w:r>
      <w:proofErr w:type="gramEnd"/>
      <w:r w:rsidRPr="00D45281">
        <w:t xml:space="preserve"> as a tool to help States to improve accou</w:t>
      </w:r>
      <w:r>
        <w:t>ntability and access to remedy</w:t>
      </w:r>
      <w:r w:rsidRPr="00D45281">
        <w:t xml:space="preserve"> in a manner that is appropriate to their own legal structure, culture, traditions and resources. It </w:t>
      </w:r>
      <w:proofErr w:type="gramStart"/>
      <w:r w:rsidRPr="00D45281">
        <w:t>should not be regarded</w:t>
      </w:r>
      <w:proofErr w:type="gramEnd"/>
      <w:r w:rsidRPr="00D45281">
        <w:t xml:space="preserve"> as a prescriptive, mandatory or exhaustive list of actions require</w:t>
      </w:r>
      <w:r>
        <w:t>d to achieve the said objective</w:t>
      </w:r>
      <w:r w:rsidRPr="00D45281">
        <w:t>, which may be realized in other ways.</w:t>
      </w:r>
    </w:p>
  </w:footnote>
  <w:footnote w:id="3">
    <w:p w:rsidR="00CB3768" w:rsidRPr="00CB3768" w:rsidRDefault="00CB3768" w:rsidP="00CB3768">
      <w:pPr>
        <w:pStyle w:val="FootnoteText"/>
      </w:pPr>
      <w:r>
        <w:tab/>
      </w:r>
      <w:r w:rsidRPr="00CB3768">
        <w:rPr>
          <w:vertAlign w:val="superscript"/>
        </w:rPr>
        <w:t>**</w:t>
      </w:r>
      <w:r>
        <w:tab/>
      </w:r>
      <w:r w:rsidRPr="00CB3768">
        <w:t xml:space="preserve">See A/HRC/32/19.Add.1. </w:t>
      </w:r>
      <w:r w:rsidRPr="000B6AFF">
        <w:t xml:space="preserve">See also </w:t>
      </w:r>
      <w:r w:rsidRPr="00CB3768">
        <w:t>www.ohchr.org/EN/Issues/Business/Pages/OHCHRstudyondomesticlawremedies.aspx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75" w:rsidRPr="00BA0456" w:rsidRDefault="00527E75">
    <w:pPr>
      <w:pStyle w:val="Header"/>
    </w:pPr>
    <w:r>
      <w:t>A/HRC/32/19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75" w:rsidRPr="00BA0456" w:rsidRDefault="00527E75" w:rsidP="00BA0456">
    <w:pPr>
      <w:pStyle w:val="Header"/>
      <w:jc w:val="right"/>
    </w:pPr>
    <w:r>
      <w:t>A/HRC/32/19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91067B"/>
    <w:multiLevelType w:val="hybridMultilevel"/>
    <w:tmpl w:val="C022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05FC7"/>
    <w:multiLevelType w:val="hybridMultilevel"/>
    <w:tmpl w:val="06646A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964EBA"/>
    <w:multiLevelType w:val="hybridMultilevel"/>
    <w:tmpl w:val="452651B8"/>
    <w:lvl w:ilvl="0" w:tplc="5CE2BB5E">
      <w:start w:val="19"/>
      <w:numFmt w:val="decimal"/>
      <w:lvlText w:val="%1."/>
      <w:lvlJc w:val="left"/>
      <w:pPr>
        <w:ind w:left="720" w:hanging="360"/>
      </w:pPr>
      <w:rPr>
        <w:rFonts w:ascii="Cambria (Theme Body)" w:hAnsi="Cambria (Theme Body)" w:hint="default"/>
        <w:b w:val="0"/>
        <w:bCs w:val="0"/>
        <w:i w:val="0"/>
        <w:iCs w:val="0"/>
        <w:sz w:val="22"/>
        <w:szCs w:val="22"/>
      </w:rPr>
    </w:lvl>
    <w:lvl w:ilvl="1" w:tplc="68B68F7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F4F43"/>
    <w:multiLevelType w:val="hybridMultilevel"/>
    <w:tmpl w:val="23061F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A1984"/>
    <w:multiLevelType w:val="hybridMultilevel"/>
    <w:tmpl w:val="A502CFAE"/>
    <w:lvl w:ilvl="0" w:tplc="07EC67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gnhild Handagard">
    <w15:presenceInfo w15:providerId="None" w15:userId="Ragnhild Handag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56"/>
    <w:rsid w:val="000018FD"/>
    <w:rsid w:val="00007F7F"/>
    <w:rsid w:val="0002257C"/>
    <w:rsid w:val="00022DB5"/>
    <w:rsid w:val="0003153C"/>
    <w:rsid w:val="000403D1"/>
    <w:rsid w:val="000449AA"/>
    <w:rsid w:val="00050F6B"/>
    <w:rsid w:val="00072C8C"/>
    <w:rsid w:val="00073E70"/>
    <w:rsid w:val="000876EB"/>
    <w:rsid w:val="00091419"/>
    <w:rsid w:val="000931C0"/>
    <w:rsid w:val="000B175B"/>
    <w:rsid w:val="000B3A0F"/>
    <w:rsid w:val="000B4A3B"/>
    <w:rsid w:val="000B56F4"/>
    <w:rsid w:val="000B78A5"/>
    <w:rsid w:val="000C2806"/>
    <w:rsid w:val="000D1851"/>
    <w:rsid w:val="000E0415"/>
    <w:rsid w:val="000E6897"/>
    <w:rsid w:val="00146D32"/>
    <w:rsid w:val="001509BA"/>
    <w:rsid w:val="00173349"/>
    <w:rsid w:val="001B4B04"/>
    <w:rsid w:val="001B4F15"/>
    <w:rsid w:val="001C129B"/>
    <w:rsid w:val="001C6663"/>
    <w:rsid w:val="001C7895"/>
    <w:rsid w:val="001D26DF"/>
    <w:rsid w:val="001E2790"/>
    <w:rsid w:val="001E5B1E"/>
    <w:rsid w:val="001E5C0F"/>
    <w:rsid w:val="001F56C0"/>
    <w:rsid w:val="00211E0B"/>
    <w:rsid w:val="00211E72"/>
    <w:rsid w:val="00214047"/>
    <w:rsid w:val="0022130F"/>
    <w:rsid w:val="00237785"/>
    <w:rsid w:val="002410DD"/>
    <w:rsid w:val="00241466"/>
    <w:rsid w:val="00253D58"/>
    <w:rsid w:val="002547DA"/>
    <w:rsid w:val="00257E3C"/>
    <w:rsid w:val="0027725F"/>
    <w:rsid w:val="002778C2"/>
    <w:rsid w:val="002963DC"/>
    <w:rsid w:val="002B5D82"/>
    <w:rsid w:val="002B7C84"/>
    <w:rsid w:val="002C21F0"/>
    <w:rsid w:val="002F6678"/>
    <w:rsid w:val="003107FA"/>
    <w:rsid w:val="0031643C"/>
    <w:rsid w:val="00317977"/>
    <w:rsid w:val="003229D8"/>
    <w:rsid w:val="003314D1"/>
    <w:rsid w:val="00335A2F"/>
    <w:rsid w:val="00341937"/>
    <w:rsid w:val="0039277A"/>
    <w:rsid w:val="003952EB"/>
    <w:rsid w:val="00395CE6"/>
    <w:rsid w:val="003972E0"/>
    <w:rsid w:val="003975ED"/>
    <w:rsid w:val="003C2CC4"/>
    <w:rsid w:val="003C67DE"/>
    <w:rsid w:val="003D0A52"/>
    <w:rsid w:val="003D4B23"/>
    <w:rsid w:val="003D6C98"/>
    <w:rsid w:val="00405669"/>
    <w:rsid w:val="00424C80"/>
    <w:rsid w:val="004325CB"/>
    <w:rsid w:val="0044503A"/>
    <w:rsid w:val="00446DE4"/>
    <w:rsid w:val="00447761"/>
    <w:rsid w:val="00451EC3"/>
    <w:rsid w:val="004721B1"/>
    <w:rsid w:val="004859EC"/>
    <w:rsid w:val="0049073E"/>
    <w:rsid w:val="0049083A"/>
    <w:rsid w:val="00496A15"/>
    <w:rsid w:val="004A06CB"/>
    <w:rsid w:val="004A69FD"/>
    <w:rsid w:val="004B75D2"/>
    <w:rsid w:val="004D1140"/>
    <w:rsid w:val="004F55ED"/>
    <w:rsid w:val="00501DF8"/>
    <w:rsid w:val="00506C44"/>
    <w:rsid w:val="0052176C"/>
    <w:rsid w:val="00525421"/>
    <w:rsid w:val="005261E5"/>
    <w:rsid w:val="00527E75"/>
    <w:rsid w:val="005420F2"/>
    <w:rsid w:val="00542574"/>
    <w:rsid w:val="005436AB"/>
    <w:rsid w:val="00546DBF"/>
    <w:rsid w:val="00553D76"/>
    <w:rsid w:val="005552B5"/>
    <w:rsid w:val="0056117B"/>
    <w:rsid w:val="00571365"/>
    <w:rsid w:val="005777F8"/>
    <w:rsid w:val="005B3DB3"/>
    <w:rsid w:val="005B6E48"/>
    <w:rsid w:val="005C5101"/>
    <w:rsid w:val="005E1712"/>
    <w:rsid w:val="005E6E1E"/>
    <w:rsid w:val="005F4FAB"/>
    <w:rsid w:val="00611F38"/>
    <w:rsid w:val="00611FC4"/>
    <w:rsid w:val="0061379F"/>
    <w:rsid w:val="006176FB"/>
    <w:rsid w:val="00640B26"/>
    <w:rsid w:val="00670741"/>
    <w:rsid w:val="00696BD6"/>
    <w:rsid w:val="006A141D"/>
    <w:rsid w:val="006A6B9D"/>
    <w:rsid w:val="006A7392"/>
    <w:rsid w:val="006B3189"/>
    <w:rsid w:val="006B7D65"/>
    <w:rsid w:val="006D6DA6"/>
    <w:rsid w:val="006E117C"/>
    <w:rsid w:val="006E564B"/>
    <w:rsid w:val="006F13F0"/>
    <w:rsid w:val="006F5035"/>
    <w:rsid w:val="00705B75"/>
    <w:rsid w:val="007065EB"/>
    <w:rsid w:val="00720183"/>
    <w:rsid w:val="00720768"/>
    <w:rsid w:val="0072632A"/>
    <w:rsid w:val="0074200B"/>
    <w:rsid w:val="00755DB3"/>
    <w:rsid w:val="0075696B"/>
    <w:rsid w:val="007669B1"/>
    <w:rsid w:val="007826DA"/>
    <w:rsid w:val="00785503"/>
    <w:rsid w:val="007A6296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36DF"/>
    <w:rsid w:val="008242D7"/>
    <w:rsid w:val="00836E1D"/>
    <w:rsid w:val="00856CD2"/>
    <w:rsid w:val="00861BC6"/>
    <w:rsid w:val="00871FD5"/>
    <w:rsid w:val="00883828"/>
    <w:rsid w:val="0088716B"/>
    <w:rsid w:val="00887E4D"/>
    <w:rsid w:val="008978D3"/>
    <w:rsid w:val="008979B1"/>
    <w:rsid w:val="008A6B25"/>
    <w:rsid w:val="008A6C4F"/>
    <w:rsid w:val="008C0313"/>
    <w:rsid w:val="008C1E4D"/>
    <w:rsid w:val="008E0E46"/>
    <w:rsid w:val="008E295E"/>
    <w:rsid w:val="008E4A05"/>
    <w:rsid w:val="008F5797"/>
    <w:rsid w:val="008F7B53"/>
    <w:rsid w:val="0090452C"/>
    <w:rsid w:val="00907C3F"/>
    <w:rsid w:val="0092237C"/>
    <w:rsid w:val="0092455D"/>
    <w:rsid w:val="0093707B"/>
    <w:rsid w:val="009400EB"/>
    <w:rsid w:val="009427E3"/>
    <w:rsid w:val="009440B2"/>
    <w:rsid w:val="00956D9B"/>
    <w:rsid w:val="00960CB7"/>
    <w:rsid w:val="00963CBA"/>
    <w:rsid w:val="009654B7"/>
    <w:rsid w:val="00991261"/>
    <w:rsid w:val="009A0B83"/>
    <w:rsid w:val="009B3800"/>
    <w:rsid w:val="009B5B8F"/>
    <w:rsid w:val="009D22AC"/>
    <w:rsid w:val="009D50DB"/>
    <w:rsid w:val="009E1C4E"/>
    <w:rsid w:val="00A05E0B"/>
    <w:rsid w:val="00A060EE"/>
    <w:rsid w:val="00A1427D"/>
    <w:rsid w:val="00A42324"/>
    <w:rsid w:val="00A4634F"/>
    <w:rsid w:val="00A51CF3"/>
    <w:rsid w:val="00A5400C"/>
    <w:rsid w:val="00A604A6"/>
    <w:rsid w:val="00A72F22"/>
    <w:rsid w:val="00A748A6"/>
    <w:rsid w:val="00A879A4"/>
    <w:rsid w:val="00A87E95"/>
    <w:rsid w:val="00A92E29"/>
    <w:rsid w:val="00AB0482"/>
    <w:rsid w:val="00AC1E3A"/>
    <w:rsid w:val="00AD09E9"/>
    <w:rsid w:val="00AF0576"/>
    <w:rsid w:val="00AF3829"/>
    <w:rsid w:val="00B03513"/>
    <w:rsid w:val="00B037F0"/>
    <w:rsid w:val="00B2327D"/>
    <w:rsid w:val="00B2718F"/>
    <w:rsid w:val="00B30179"/>
    <w:rsid w:val="00B3317B"/>
    <w:rsid w:val="00B334DC"/>
    <w:rsid w:val="00B3631A"/>
    <w:rsid w:val="00B363E8"/>
    <w:rsid w:val="00B53013"/>
    <w:rsid w:val="00B67F5E"/>
    <w:rsid w:val="00B73E65"/>
    <w:rsid w:val="00B81E12"/>
    <w:rsid w:val="00B859BD"/>
    <w:rsid w:val="00B87110"/>
    <w:rsid w:val="00B92A64"/>
    <w:rsid w:val="00B97FA8"/>
    <w:rsid w:val="00BA0456"/>
    <w:rsid w:val="00BB7776"/>
    <w:rsid w:val="00BC1385"/>
    <w:rsid w:val="00BC42AC"/>
    <w:rsid w:val="00BC74E9"/>
    <w:rsid w:val="00BE1ACB"/>
    <w:rsid w:val="00BE618E"/>
    <w:rsid w:val="00C07F0E"/>
    <w:rsid w:val="00C24693"/>
    <w:rsid w:val="00C35F0B"/>
    <w:rsid w:val="00C463DD"/>
    <w:rsid w:val="00C473E8"/>
    <w:rsid w:val="00C57B63"/>
    <w:rsid w:val="00C64458"/>
    <w:rsid w:val="00C745C3"/>
    <w:rsid w:val="00CA27C1"/>
    <w:rsid w:val="00CA2A58"/>
    <w:rsid w:val="00CB3768"/>
    <w:rsid w:val="00CC0B55"/>
    <w:rsid w:val="00CD6995"/>
    <w:rsid w:val="00CE4A8F"/>
    <w:rsid w:val="00CE6C6E"/>
    <w:rsid w:val="00CF0214"/>
    <w:rsid w:val="00CF586F"/>
    <w:rsid w:val="00CF7D43"/>
    <w:rsid w:val="00D05810"/>
    <w:rsid w:val="00D11129"/>
    <w:rsid w:val="00D2031B"/>
    <w:rsid w:val="00D22332"/>
    <w:rsid w:val="00D226FD"/>
    <w:rsid w:val="00D25FE2"/>
    <w:rsid w:val="00D4292F"/>
    <w:rsid w:val="00D43252"/>
    <w:rsid w:val="00D45281"/>
    <w:rsid w:val="00D50196"/>
    <w:rsid w:val="00D550F9"/>
    <w:rsid w:val="00D572B0"/>
    <w:rsid w:val="00D62E90"/>
    <w:rsid w:val="00D76BE5"/>
    <w:rsid w:val="00D978C6"/>
    <w:rsid w:val="00DA0F52"/>
    <w:rsid w:val="00DA67AD"/>
    <w:rsid w:val="00DB18CE"/>
    <w:rsid w:val="00DB4140"/>
    <w:rsid w:val="00DE3EC0"/>
    <w:rsid w:val="00E11593"/>
    <w:rsid w:val="00E12B6B"/>
    <w:rsid w:val="00E130AB"/>
    <w:rsid w:val="00E31B40"/>
    <w:rsid w:val="00E438D9"/>
    <w:rsid w:val="00E46E99"/>
    <w:rsid w:val="00E5644E"/>
    <w:rsid w:val="00E7260F"/>
    <w:rsid w:val="00E806EE"/>
    <w:rsid w:val="00E96630"/>
    <w:rsid w:val="00EB0FB9"/>
    <w:rsid w:val="00ED0CA9"/>
    <w:rsid w:val="00ED7A2A"/>
    <w:rsid w:val="00EF1D7F"/>
    <w:rsid w:val="00EF3A13"/>
    <w:rsid w:val="00EF539C"/>
    <w:rsid w:val="00EF5BDB"/>
    <w:rsid w:val="00F0755A"/>
    <w:rsid w:val="00F07FD9"/>
    <w:rsid w:val="00F20881"/>
    <w:rsid w:val="00F23933"/>
    <w:rsid w:val="00F24119"/>
    <w:rsid w:val="00F40E75"/>
    <w:rsid w:val="00F42CD9"/>
    <w:rsid w:val="00F52936"/>
    <w:rsid w:val="00F54634"/>
    <w:rsid w:val="00F677CB"/>
    <w:rsid w:val="00FA7DF3"/>
    <w:rsid w:val="00FC68B7"/>
    <w:rsid w:val="00FD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eading1Char">
    <w:name w:val="Heading 1 Char"/>
    <w:aliases w:val="Table_G Char"/>
    <w:link w:val="Heading1"/>
    <w:uiPriority w:val="9"/>
    <w:rsid w:val="00836E1D"/>
    <w:rPr>
      <w:lang w:eastAsia="en-US"/>
    </w:rPr>
  </w:style>
  <w:style w:type="character" w:customStyle="1" w:styleId="Heading2Char">
    <w:name w:val="Heading 2 Char"/>
    <w:link w:val="Heading2"/>
    <w:uiPriority w:val="9"/>
    <w:rsid w:val="00836E1D"/>
    <w:rPr>
      <w:lang w:eastAsia="en-US"/>
    </w:rPr>
  </w:style>
  <w:style w:type="character" w:customStyle="1" w:styleId="Heading3Char">
    <w:name w:val="Heading 3 Char"/>
    <w:link w:val="Heading3"/>
    <w:uiPriority w:val="9"/>
    <w:rsid w:val="00836E1D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836E1D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836E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character" w:styleId="Emphasis">
    <w:name w:val="Emphasis"/>
    <w:uiPriority w:val="20"/>
    <w:qFormat/>
    <w:rsid w:val="00836E1D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5E6E1E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E6E1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8716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716B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547D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547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547D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7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547DA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eading1Char">
    <w:name w:val="Heading 1 Char"/>
    <w:aliases w:val="Table_G Char"/>
    <w:link w:val="Heading1"/>
    <w:uiPriority w:val="9"/>
    <w:rsid w:val="00836E1D"/>
    <w:rPr>
      <w:lang w:eastAsia="en-US"/>
    </w:rPr>
  </w:style>
  <w:style w:type="character" w:customStyle="1" w:styleId="Heading2Char">
    <w:name w:val="Heading 2 Char"/>
    <w:link w:val="Heading2"/>
    <w:uiPriority w:val="9"/>
    <w:rsid w:val="00836E1D"/>
    <w:rPr>
      <w:lang w:eastAsia="en-US"/>
    </w:rPr>
  </w:style>
  <w:style w:type="character" w:customStyle="1" w:styleId="Heading3Char">
    <w:name w:val="Heading 3 Char"/>
    <w:link w:val="Heading3"/>
    <w:uiPriority w:val="9"/>
    <w:rsid w:val="00836E1D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836E1D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836E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character" w:styleId="Emphasis">
    <w:name w:val="Emphasis"/>
    <w:uiPriority w:val="20"/>
    <w:qFormat/>
    <w:rsid w:val="00836E1D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5E6E1E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E6E1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8716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716B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547D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547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547D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7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547D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hq.ad.ohchr.org\redirected$\ISomova\My%20Documents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E9C6E568633448D1B78C8F03F24BD" ma:contentTypeVersion="2" ma:contentTypeDescription="Create a new document." ma:contentTypeScope="" ma:versionID="3465e2a3d8e381f710bdebfc44a6c2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4998F-202B-4A03-92C6-2027802A147B}"/>
</file>

<file path=customXml/itemProps2.xml><?xml version="1.0" encoding="utf-8"?>
<ds:datastoreItem xmlns:ds="http://schemas.openxmlformats.org/officeDocument/2006/customXml" ds:itemID="{88362182-5400-4D4D-A83B-4AF5DEC2F144}"/>
</file>

<file path=customXml/itemProps3.xml><?xml version="1.0" encoding="utf-8"?>
<ds:datastoreItem xmlns:ds="http://schemas.openxmlformats.org/officeDocument/2006/customXml" ds:itemID="{69D473AE-9492-4C2D-8E0B-C81E3BD7C56B}"/>
</file>

<file path=customXml/itemProps4.xml><?xml version="1.0" encoding="utf-8"?>
<ds:datastoreItem xmlns:ds="http://schemas.openxmlformats.org/officeDocument/2006/customXml" ds:itemID="{6695471D-76C9-4403-9525-9CC3D00FC24E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of the Improving accountability and access to remedy for victims of business-related human rights abuse</dc:title>
  <dc:creator>Isabelle SEVIN</dc:creator>
  <cp:lastModifiedBy>Iuliia Somova</cp:lastModifiedBy>
  <cp:revision>2</cp:revision>
  <cp:lastPrinted>2016-04-19T14:37:00Z</cp:lastPrinted>
  <dcterms:created xsi:type="dcterms:W3CDTF">2016-06-16T15:39:00Z</dcterms:created>
  <dcterms:modified xsi:type="dcterms:W3CDTF">2016-06-16T15:39:00Z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0x0101005A4E9C6E568633448D1B78C8F03F24BD</vt:lpwstr>
  </property>
  <property fmtid="{D5CDD505-2E9C-101B-9397-08002B2CF9AE}" pid="3" name="Order">
    <vt:r8>9500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