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735C38" w:rsidP="00735C38">
            <w:pPr>
              <w:jc w:val="right"/>
            </w:pPr>
            <w:r w:rsidRPr="00735C38">
              <w:rPr>
                <w:sz w:val="40"/>
              </w:rPr>
              <w:t>A</w:t>
            </w:r>
            <w:r>
              <w:t>/HRC/34/12/Add.1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105745"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735C38" w:rsidP="00735C38">
            <w:pPr>
              <w:spacing w:before="240" w:line="240" w:lineRule="exact"/>
            </w:pPr>
            <w:r>
              <w:t>Distr.: General</w:t>
            </w:r>
          </w:p>
          <w:p w:rsidR="00735C38" w:rsidRDefault="00735C38" w:rsidP="00735C38">
            <w:pPr>
              <w:spacing w:line="240" w:lineRule="exact"/>
            </w:pPr>
            <w:r>
              <w:t>2</w:t>
            </w:r>
            <w:r w:rsidR="00867611">
              <w:t>8</w:t>
            </w:r>
            <w:r>
              <w:t xml:space="preserve"> February 2017</w:t>
            </w:r>
          </w:p>
          <w:p w:rsidR="00735C38" w:rsidRDefault="00735C38" w:rsidP="00735C38">
            <w:pPr>
              <w:spacing w:line="240" w:lineRule="exact"/>
            </w:pPr>
          </w:p>
          <w:p w:rsidR="00735C38" w:rsidRDefault="00735C38" w:rsidP="00735C38">
            <w:pPr>
              <w:spacing w:line="240" w:lineRule="exact"/>
            </w:pPr>
            <w:r>
              <w:t>Original: English</w:t>
            </w:r>
          </w:p>
        </w:tc>
      </w:tr>
    </w:tbl>
    <w:p w:rsidR="00735C38" w:rsidRPr="00C267F4" w:rsidRDefault="00735C38" w:rsidP="00735C38">
      <w:pPr>
        <w:rPr>
          <w:b/>
          <w:bCs/>
          <w:sz w:val="24"/>
          <w:szCs w:val="24"/>
        </w:rPr>
      </w:pPr>
      <w:r w:rsidRPr="00C267F4">
        <w:rPr>
          <w:b/>
          <w:bCs/>
          <w:sz w:val="24"/>
          <w:szCs w:val="24"/>
        </w:rPr>
        <w:t>Human Rights Council</w:t>
      </w:r>
      <w:r w:rsidR="004A029B">
        <w:rPr>
          <w:noProof/>
          <w:lang w:eastAsia="ja-JP"/>
        </w:rPr>
        <mc:AlternateContent>
          <mc:Choice Requires="wps">
            <w:drawing>
              <wp:anchor distT="0" distB="0" distL="114300" distR="114300" simplePos="0" relativeHeight="251658240" behindDoc="0" locked="0" layoutInCell="1" allowOverlap="0" wp14:anchorId="1C07C501" wp14:editId="711D6B83">
                <wp:simplePos x="0" y="0"/>
                <wp:positionH relativeFrom="margin">
                  <wp:posOffset>5489575</wp:posOffset>
                </wp:positionH>
                <wp:positionV relativeFrom="margin">
                  <wp:posOffset>8027670</wp:posOffset>
                </wp:positionV>
                <wp:extent cx="638175" cy="638175"/>
                <wp:effectExtent l="0" t="0" r="0" b="9525"/>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Add" style="position:absolute;margin-left:432.25pt;margin-top:632.1pt;width:50.2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735C38" w:rsidRDefault="00735C38" w:rsidP="00735C38">
      <w:pPr>
        <w:rPr>
          <w:b/>
          <w:bCs/>
        </w:rPr>
      </w:pPr>
      <w:r w:rsidRPr="00C267F4">
        <w:rPr>
          <w:b/>
          <w:bCs/>
        </w:rPr>
        <w:t>Thirty-</w:t>
      </w:r>
      <w:r>
        <w:rPr>
          <w:b/>
          <w:bCs/>
        </w:rPr>
        <w:t>fourth</w:t>
      </w:r>
      <w:r w:rsidRPr="00C267F4">
        <w:rPr>
          <w:b/>
          <w:bCs/>
        </w:rPr>
        <w:t xml:space="preserve"> </w:t>
      </w:r>
      <w:proofErr w:type="gramStart"/>
      <w:r w:rsidRPr="00C267F4">
        <w:rPr>
          <w:b/>
          <w:bCs/>
        </w:rPr>
        <w:t>session</w:t>
      </w:r>
      <w:proofErr w:type="gramEnd"/>
    </w:p>
    <w:p w:rsidR="00867611" w:rsidRPr="003B3DCD" w:rsidRDefault="00867611" w:rsidP="00867611">
      <w:r w:rsidRPr="003B3DCD">
        <w:t>27 February-24 March 2017</w:t>
      </w:r>
    </w:p>
    <w:p w:rsidR="00735C38" w:rsidRPr="00C267F4" w:rsidRDefault="00735C38" w:rsidP="00735C38">
      <w:r w:rsidRPr="00C267F4">
        <w:t>Agenda item 6</w:t>
      </w:r>
    </w:p>
    <w:p w:rsidR="00735C38" w:rsidRPr="00C267F4" w:rsidRDefault="00735C38" w:rsidP="00735C38">
      <w:pPr>
        <w:rPr>
          <w:b/>
        </w:rPr>
      </w:pPr>
      <w:r w:rsidRPr="00C267F4">
        <w:rPr>
          <w:b/>
        </w:rPr>
        <w:t>Universal Periodic Review</w:t>
      </w:r>
    </w:p>
    <w:p w:rsidR="00735C38" w:rsidRPr="00C267F4" w:rsidRDefault="00735C38" w:rsidP="00735C38">
      <w:pPr>
        <w:keepNext/>
        <w:keepLines/>
        <w:tabs>
          <w:tab w:val="right" w:pos="851"/>
        </w:tabs>
        <w:spacing w:before="360" w:after="240" w:line="300" w:lineRule="exact"/>
        <w:ind w:left="1134" w:right="1134" w:hanging="1134"/>
        <w:rPr>
          <w:b/>
          <w:sz w:val="28"/>
        </w:rPr>
      </w:pPr>
      <w:r w:rsidRPr="00C267F4">
        <w:rPr>
          <w:b/>
          <w:sz w:val="28"/>
        </w:rPr>
        <w:tab/>
      </w:r>
      <w:r w:rsidRPr="00C267F4">
        <w:rPr>
          <w:b/>
          <w:sz w:val="28"/>
        </w:rPr>
        <w:tab/>
        <w:t>Report of the Working Group on the Universal Periodic Review</w:t>
      </w:r>
      <w:r w:rsidRPr="00606DB7">
        <w:rPr>
          <w:b/>
        </w:rPr>
        <w:footnoteReference w:customMarkFollows="1" w:id="2"/>
        <w:t>*</w:t>
      </w:r>
    </w:p>
    <w:p w:rsidR="00735C38" w:rsidRPr="00C267F4" w:rsidRDefault="00735C38" w:rsidP="00735C38">
      <w:pPr>
        <w:keepNext/>
        <w:keepLines/>
        <w:tabs>
          <w:tab w:val="right" w:pos="851"/>
        </w:tabs>
        <w:spacing w:before="360" w:after="240" w:line="300" w:lineRule="exact"/>
        <w:ind w:left="1134" w:right="1134" w:hanging="1134"/>
        <w:rPr>
          <w:b/>
          <w:sz w:val="28"/>
        </w:rPr>
      </w:pPr>
      <w:r>
        <w:rPr>
          <w:b/>
          <w:sz w:val="28"/>
        </w:rPr>
        <w:tab/>
      </w:r>
      <w:r>
        <w:rPr>
          <w:b/>
          <w:sz w:val="28"/>
        </w:rPr>
        <w:tab/>
        <w:t>Republic of Moldova</w:t>
      </w:r>
    </w:p>
    <w:p w:rsidR="00735C38" w:rsidRPr="00C267F4" w:rsidRDefault="00735C38" w:rsidP="00735C38">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Addendum</w:t>
      </w:r>
    </w:p>
    <w:p w:rsidR="00735C38" w:rsidRPr="00C267F4" w:rsidRDefault="00735C38" w:rsidP="00735C38">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Views on conclusions and/or recommendations, voluntary commitments and replies presented by the State under review</w:t>
      </w:r>
    </w:p>
    <w:p w:rsidR="00EE35A4" w:rsidRPr="00EE35A4" w:rsidRDefault="00735C38" w:rsidP="00EE35A4">
      <w:pPr>
        <w:pStyle w:val="SingleTxtG"/>
      </w:pPr>
      <w:r w:rsidRPr="00C267F4">
        <w:br w:type="page"/>
      </w:r>
      <w:r w:rsidR="00EE35A4">
        <w:lastRenderedPageBreak/>
        <w:t>1.</w:t>
      </w:r>
      <w:r w:rsidR="00EE35A4">
        <w:tab/>
      </w:r>
      <w:r w:rsidR="00EE35A4" w:rsidRPr="00EE35A4">
        <w:t>The Republic of Moldova (</w:t>
      </w:r>
      <w:proofErr w:type="gramStart"/>
      <w:r w:rsidR="00EE35A4" w:rsidRPr="00EE35A4">
        <w:t>hereinafter ”</w:t>
      </w:r>
      <w:proofErr w:type="gramEnd"/>
      <w:r w:rsidR="00EE35A4" w:rsidRPr="00EE35A4">
        <w:t>RM”) welcomes the interactive dialogue and the 2</w:t>
      </w:r>
      <w:r w:rsidR="00AA11F8">
        <w:t>09</w:t>
      </w:r>
      <w:r w:rsidR="00EE35A4" w:rsidRPr="00EE35A4">
        <w:t xml:space="preserve"> recommendations received from 75 delegations during the second cycle Universal Periodic Review that took place on 4 November 2016</w:t>
      </w:r>
      <w:r w:rsidR="00EE35A4">
        <w:t>.</w:t>
      </w:r>
    </w:p>
    <w:p w:rsidR="00EE35A4" w:rsidRPr="00EE35A4" w:rsidRDefault="00EE35A4" w:rsidP="00EE35A4">
      <w:pPr>
        <w:pStyle w:val="SingleTxtG"/>
      </w:pPr>
      <w:r>
        <w:t>2.</w:t>
      </w:r>
      <w:r>
        <w:tab/>
      </w:r>
      <w:r w:rsidRPr="00EE35A4">
        <w:t>During the session of the UPR Working Group, the Republic of Moldova accepted 175 of the 2</w:t>
      </w:r>
      <w:r w:rsidR="00AA11F8">
        <w:t>09</w:t>
      </w:r>
      <w:r w:rsidRPr="00EE35A4">
        <w:t xml:space="preserve"> recommendations, noting three</w:t>
      </w:r>
      <w:r w:rsidR="009C5981">
        <w:rPr>
          <w:rStyle w:val="EndnoteReference"/>
        </w:rPr>
        <w:endnoteReference w:id="2"/>
      </w:r>
      <w:r w:rsidRPr="00EE35A4">
        <w:t xml:space="preserve"> and deferring 31</w:t>
      </w:r>
      <w:r w:rsidR="009C5981">
        <w:rPr>
          <w:rStyle w:val="EndnoteReference"/>
        </w:rPr>
        <w:endnoteReference w:id="3"/>
      </w:r>
      <w:r w:rsidRPr="00EE35A4">
        <w:t xml:space="preserve"> for subsequent examination in the capital, before the 34</w:t>
      </w:r>
      <w:r w:rsidRPr="00EE35A4">
        <w:rPr>
          <w:vertAlign w:val="superscript"/>
        </w:rPr>
        <w:t>th</w:t>
      </w:r>
      <w:r w:rsidRPr="00EE35A4">
        <w:t xml:space="preserve"> session of the Human Rights Council.</w:t>
      </w:r>
    </w:p>
    <w:p w:rsidR="00EE35A4" w:rsidRPr="00EE35A4" w:rsidRDefault="00EE35A4" w:rsidP="00EE35A4">
      <w:pPr>
        <w:pStyle w:val="SingleTxtG"/>
      </w:pPr>
      <w:r>
        <w:t>3.</w:t>
      </w:r>
      <w:r>
        <w:tab/>
      </w:r>
      <w:r w:rsidRPr="00EE35A4">
        <w:t>The table below presents the position taken by the RM regarding the 31 recommendation, out of which 15 – enjoy full support, 12 – are noted and 4 recommendations are partially supported/noted, in which case, it concretely specifies which part of the recommendation is bein</w:t>
      </w:r>
      <w:r>
        <w:t>g supported and which is noted.</w:t>
      </w:r>
    </w:p>
    <w:p w:rsidR="00CF586F" w:rsidRPr="00F57AD5" w:rsidRDefault="00EE35A4" w:rsidP="00F57AD5">
      <w:pPr>
        <w:pStyle w:val="Heading1"/>
      </w:pPr>
      <w:proofErr w:type="gramStart"/>
      <w:r w:rsidRPr="00F57AD5">
        <w:t>Table 1.</w:t>
      </w:r>
      <w:proofErr w:type="gramEnd"/>
      <w:r w:rsidRPr="00F57AD5">
        <w:t xml:space="preserve"> List of recommendations that were deferred during the 26th session of the UPR WG</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0"/>
        <w:gridCol w:w="5279"/>
        <w:gridCol w:w="1906"/>
      </w:tblGrid>
      <w:tr w:rsidR="00EE35A4" w:rsidRPr="00EE35A4" w:rsidTr="00EE35A4">
        <w:trPr>
          <w:tblHeader/>
        </w:trPr>
        <w:tc>
          <w:tcPr>
            <w:tcW w:w="1276" w:type="dxa"/>
            <w:tcBorders>
              <w:top w:val="single" w:sz="4" w:space="0" w:color="auto"/>
              <w:bottom w:val="single" w:sz="12" w:space="0" w:color="auto"/>
            </w:tcBorders>
            <w:shd w:val="clear" w:color="auto" w:fill="auto"/>
            <w:vAlign w:val="bottom"/>
          </w:tcPr>
          <w:p w:rsidR="00EE35A4" w:rsidRPr="00EE35A4" w:rsidRDefault="00EE35A4" w:rsidP="00EE35A4">
            <w:pPr>
              <w:spacing w:before="80" w:after="80" w:line="200" w:lineRule="exact"/>
              <w:ind w:right="113"/>
              <w:rPr>
                <w:i/>
                <w:sz w:val="16"/>
              </w:rPr>
            </w:pPr>
            <w:r>
              <w:rPr>
                <w:i/>
                <w:sz w:val="16"/>
              </w:rPr>
              <w:t>No.</w:t>
            </w:r>
          </w:p>
        </w:tc>
        <w:tc>
          <w:tcPr>
            <w:tcW w:w="5103" w:type="dxa"/>
            <w:tcBorders>
              <w:top w:val="single" w:sz="4" w:space="0" w:color="auto"/>
              <w:bottom w:val="single" w:sz="12" w:space="0" w:color="auto"/>
            </w:tcBorders>
            <w:shd w:val="clear" w:color="auto" w:fill="auto"/>
            <w:vAlign w:val="bottom"/>
          </w:tcPr>
          <w:p w:rsidR="00EE35A4" w:rsidRPr="00EE35A4" w:rsidRDefault="00EE35A4" w:rsidP="00EE35A4">
            <w:pPr>
              <w:spacing w:before="80" w:after="80" w:line="200" w:lineRule="exact"/>
              <w:ind w:right="113"/>
              <w:rPr>
                <w:i/>
                <w:sz w:val="16"/>
              </w:rPr>
            </w:pPr>
            <w:r>
              <w:rPr>
                <w:i/>
                <w:sz w:val="16"/>
              </w:rPr>
              <w:t>Recommendation/country</w:t>
            </w:r>
          </w:p>
        </w:tc>
        <w:tc>
          <w:tcPr>
            <w:tcW w:w="1843" w:type="dxa"/>
            <w:tcBorders>
              <w:top w:val="single" w:sz="4" w:space="0" w:color="auto"/>
              <w:bottom w:val="single" w:sz="12" w:space="0" w:color="auto"/>
            </w:tcBorders>
            <w:shd w:val="clear" w:color="auto" w:fill="auto"/>
            <w:vAlign w:val="bottom"/>
          </w:tcPr>
          <w:p w:rsidR="00EE35A4" w:rsidRPr="00EE35A4" w:rsidRDefault="00EE35A4" w:rsidP="00EE35A4">
            <w:pPr>
              <w:spacing w:before="80" w:after="80" w:line="200" w:lineRule="exact"/>
              <w:ind w:right="113"/>
              <w:rPr>
                <w:i/>
                <w:sz w:val="16"/>
              </w:rPr>
            </w:pPr>
            <w:r>
              <w:rPr>
                <w:i/>
                <w:sz w:val="16"/>
              </w:rPr>
              <w:t>Status</w:t>
            </w:r>
          </w:p>
        </w:tc>
      </w:tr>
      <w:tr w:rsidR="00EE35A4" w:rsidRPr="00EE35A4" w:rsidTr="00EE35A4">
        <w:trPr>
          <w:tblHeader/>
        </w:trPr>
        <w:tc>
          <w:tcPr>
            <w:tcW w:w="1276" w:type="dxa"/>
            <w:tcBorders>
              <w:top w:val="single" w:sz="12" w:space="0" w:color="auto"/>
            </w:tcBorders>
            <w:shd w:val="clear" w:color="auto" w:fill="auto"/>
          </w:tcPr>
          <w:p w:rsidR="00EE35A4" w:rsidRPr="00EE35A4" w:rsidRDefault="00EE35A4" w:rsidP="00EE35A4">
            <w:pPr>
              <w:spacing w:before="40" w:after="120"/>
              <w:ind w:right="113"/>
            </w:pPr>
            <w:r>
              <w:t>122.1</w:t>
            </w:r>
          </w:p>
        </w:tc>
        <w:tc>
          <w:tcPr>
            <w:tcW w:w="5103" w:type="dxa"/>
            <w:tcBorders>
              <w:top w:val="single" w:sz="12" w:space="0" w:color="auto"/>
            </w:tcBorders>
            <w:shd w:val="clear" w:color="auto" w:fill="auto"/>
          </w:tcPr>
          <w:p w:rsidR="00EE35A4" w:rsidRPr="00EE35A4" w:rsidRDefault="00EE35A4" w:rsidP="00EE35A4">
            <w:pPr>
              <w:spacing w:before="40" w:after="120"/>
              <w:ind w:right="113"/>
            </w:pPr>
            <w:r w:rsidRPr="00EE35A4">
              <w:t>Ratify the Optional Protocol to the ICESCR and accept its investigation procedure and its communications procedure between States (Uruguay);</w:t>
            </w:r>
          </w:p>
        </w:tc>
        <w:tc>
          <w:tcPr>
            <w:tcW w:w="1843" w:type="dxa"/>
            <w:tcBorders>
              <w:top w:val="single" w:sz="12" w:space="0" w:color="auto"/>
            </w:tcBorders>
            <w:shd w:val="clear" w:color="auto" w:fill="auto"/>
          </w:tcPr>
          <w:p w:rsidR="00EE35A4" w:rsidRPr="00EE35A4" w:rsidRDefault="003D6600" w:rsidP="00EE35A4">
            <w:pPr>
              <w:spacing w:before="40" w:after="120"/>
              <w:ind w:right="113"/>
            </w:pPr>
            <w:r w:rsidRPr="003D6600">
              <w:t>Supported</w:t>
            </w:r>
          </w:p>
        </w:tc>
      </w:tr>
      <w:tr w:rsidR="00EE35A4" w:rsidRPr="00EE35A4" w:rsidTr="00EE35A4">
        <w:trPr>
          <w:tblHeader/>
        </w:trPr>
        <w:tc>
          <w:tcPr>
            <w:tcW w:w="1276" w:type="dxa"/>
            <w:shd w:val="clear" w:color="auto" w:fill="auto"/>
          </w:tcPr>
          <w:p w:rsidR="00EE35A4" w:rsidRPr="00EE35A4" w:rsidRDefault="00EE35A4" w:rsidP="00EE35A4">
            <w:pPr>
              <w:spacing w:before="40" w:after="120"/>
              <w:ind w:right="113"/>
            </w:pPr>
            <w:r>
              <w:t>122.2</w:t>
            </w:r>
          </w:p>
        </w:tc>
        <w:tc>
          <w:tcPr>
            <w:tcW w:w="5103" w:type="dxa"/>
            <w:shd w:val="clear" w:color="auto" w:fill="auto"/>
          </w:tcPr>
          <w:p w:rsidR="00EE35A4" w:rsidRPr="00EE35A4" w:rsidRDefault="00EE35A4" w:rsidP="00EE35A4">
            <w:pPr>
              <w:spacing w:before="40" w:after="120"/>
              <w:ind w:right="113"/>
            </w:pPr>
            <w:r w:rsidRPr="00EE35A4">
              <w:t>Ratify the Optional Protocol to the International Covenant on Economic, Social and Cultural Rights (Portugal);</w:t>
            </w:r>
          </w:p>
        </w:tc>
        <w:tc>
          <w:tcPr>
            <w:tcW w:w="1843" w:type="dxa"/>
            <w:shd w:val="clear" w:color="auto" w:fill="auto"/>
          </w:tcPr>
          <w:p w:rsidR="00EE35A4" w:rsidRPr="00EE35A4" w:rsidRDefault="003D6600" w:rsidP="00EE35A4">
            <w:pPr>
              <w:spacing w:before="40" w:after="120"/>
              <w:ind w:right="113"/>
            </w:pPr>
            <w:r w:rsidRPr="003D6600">
              <w:t>Supported</w:t>
            </w:r>
          </w:p>
        </w:tc>
      </w:tr>
      <w:tr w:rsidR="00EE35A4" w:rsidRPr="00EE35A4" w:rsidTr="00EE35A4">
        <w:trPr>
          <w:tblHeader/>
        </w:trPr>
        <w:tc>
          <w:tcPr>
            <w:tcW w:w="1276" w:type="dxa"/>
            <w:shd w:val="clear" w:color="auto" w:fill="auto"/>
          </w:tcPr>
          <w:p w:rsidR="00EE35A4" w:rsidRPr="00EE35A4" w:rsidRDefault="00EE35A4" w:rsidP="00EE35A4">
            <w:pPr>
              <w:spacing w:before="40" w:after="120"/>
              <w:ind w:right="113"/>
            </w:pPr>
            <w:r>
              <w:t>122.3</w:t>
            </w:r>
          </w:p>
        </w:tc>
        <w:tc>
          <w:tcPr>
            <w:tcW w:w="5103" w:type="dxa"/>
            <w:shd w:val="clear" w:color="auto" w:fill="auto"/>
          </w:tcPr>
          <w:p w:rsidR="00EE35A4" w:rsidRPr="00EE35A4" w:rsidRDefault="00EE35A4" w:rsidP="00EE35A4">
            <w:pPr>
              <w:spacing w:before="40" w:after="120"/>
              <w:ind w:right="113"/>
            </w:pPr>
            <w:r w:rsidRPr="00EE35A4">
              <w:t>Continue the process towards the ratification of the ICRMW and ILO Convention 189 (Philippines);</w:t>
            </w:r>
          </w:p>
        </w:tc>
        <w:tc>
          <w:tcPr>
            <w:tcW w:w="1843" w:type="dxa"/>
            <w:shd w:val="clear" w:color="auto" w:fill="auto"/>
          </w:tcPr>
          <w:p w:rsidR="00EE35A4" w:rsidRPr="00EE35A4" w:rsidRDefault="003D6600" w:rsidP="00EE35A4">
            <w:pPr>
              <w:spacing w:before="40" w:after="120"/>
              <w:ind w:right="113"/>
            </w:pPr>
            <w:r>
              <w:t>Noted</w:t>
            </w:r>
          </w:p>
        </w:tc>
      </w:tr>
      <w:tr w:rsidR="00EE35A4" w:rsidRPr="00EE35A4" w:rsidTr="00EE35A4">
        <w:trPr>
          <w:tblHeader/>
        </w:trPr>
        <w:tc>
          <w:tcPr>
            <w:tcW w:w="1276" w:type="dxa"/>
            <w:shd w:val="clear" w:color="auto" w:fill="auto"/>
          </w:tcPr>
          <w:p w:rsidR="00EE35A4" w:rsidRPr="00EE35A4" w:rsidRDefault="00EE35A4" w:rsidP="00EE35A4">
            <w:pPr>
              <w:spacing w:before="40" w:after="120"/>
              <w:ind w:right="113"/>
            </w:pPr>
            <w:r>
              <w:t>122.4</w:t>
            </w:r>
          </w:p>
        </w:tc>
        <w:tc>
          <w:tcPr>
            <w:tcW w:w="5103" w:type="dxa"/>
            <w:shd w:val="clear" w:color="auto" w:fill="auto"/>
          </w:tcPr>
          <w:p w:rsidR="00EE35A4" w:rsidRPr="00EE35A4" w:rsidRDefault="00EE35A4" w:rsidP="00EE35A4">
            <w:pPr>
              <w:spacing w:before="40" w:after="120"/>
              <w:ind w:right="113"/>
            </w:pPr>
            <w:r w:rsidRPr="00EE35A4">
              <w:t>Ratify the ICRMW (Uruguay, Afghanistan);</w:t>
            </w:r>
          </w:p>
        </w:tc>
        <w:tc>
          <w:tcPr>
            <w:tcW w:w="1843" w:type="dxa"/>
            <w:shd w:val="clear" w:color="auto" w:fill="auto"/>
          </w:tcPr>
          <w:p w:rsidR="00EE35A4" w:rsidRPr="00EE35A4" w:rsidRDefault="003D6600" w:rsidP="00EE35A4">
            <w:pPr>
              <w:spacing w:before="40" w:after="120"/>
              <w:ind w:right="113"/>
            </w:pPr>
            <w:r w:rsidRPr="003D6600">
              <w:t>Noted</w:t>
            </w:r>
          </w:p>
        </w:tc>
      </w:tr>
      <w:tr w:rsidR="00EE35A4" w:rsidRPr="00EE35A4" w:rsidTr="00EE35A4">
        <w:trPr>
          <w:tblHeader/>
        </w:trPr>
        <w:tc>
          <w:tcPr>
            <w:tcW w:w="1276" w:type="dxa"/>
            <w:shd w:val="clear" w:color="auto" w:fill="auto"/>
          </w:tcPr>
          <w:p w:rsidR="00EE35A4" w:rsidRPr="00EE35A4" w:rsidRDefault="00EE35A4" w:rsidP="00EE35A4">
            <w:pPr>
              <w:spacing w:before="40" w:after="120"/>
              <w:ind w:right="113"/>
            </w:pPr>
            <w:r>
              <w:t>122.5</w:t>
            </w:r>
          </w:p>
        </w:tc>
        <w:tc>
          <w:tcPr>
            <w:tcW w:w="5103" w:type="dxa"/>
            <w:shd w:val="clear" w:color="auto" w:fill="auto"/>
          </w:tcPr>
          <w:p w:rsidR="00EE35A4" w:rsidRPr="00EE35A4" w:rsidRDefault="00EE35A4" w:rsidP="00EE35A4">
            <w:pPr>
              <w:spacing w:before="40" w:after="120"/>
              <w:ind w:right="113"/>
            </w:pPr>
            <w:r w:rsidRPr="00EE35A4">
              <w:t xml:space="preserve">Ratify, as soon as possible, the International Convention on the </w:t>
            </w:r>
            <w:r w:rsidR="00066854">
              <w:t xml:space="preserve">Protection of the </w:t>
            </w:r>
            <w:r w:rsidRPr="00EE35A4">
              <w:t xml:space="preserve">Rights of </w:t>
            </w:r>
            <w:r w:rsidR="00066854">
              <w:t xml:space="preserve">All </w:t>
            </w:r>
            <w:r w:rsidRPr="00EE35A4">
              <w:t>Migrant Workers and Members of their Families (Guatemala);</w:t>
            </w:r>
          </w:p>
        </w:tc>
        <w:tc>
          <w:tcPr>
            <w:tcW w:w="1843" w:type="dxa"/>
            <w:shd w:val="clear" w:color="auto" w:fill="auto"/>
          </w:tcPr>
          <w:p w:rsidR="00EE35A4" w:rsidRPr="00EE35A4" w:rsidRDefault="003D6600" w:rsidP="00EE35A4">
            <w:pPr>
              <w:spacing w:before="40" w:after="120"/>
              <w:ind w:right="113"/>
            </w:pPr>
            <w:r w:rsidRPr="003D6600">
              <w:t>Noted</w:t>
            </w:r>
          </w:p>
        </w:tc>
      </w:tr>
      <w:tr w:rsidR="00EE35A4" w:rsidRPr="00EE35A4" w:rsidTr="00EE35A4">
        <w:trPr>
          <w:tblHeader/>
        </w:trPr>
        <w:tc>
          <w:tcPr>
            <w:tcW w:w="1276" w:type="dxa"/>
            <w:shd w:val="clear" w:color="auto" w:fill="auto"/>
          </w:tcPr>
          <w:p w:rsidR="00EE35A4" w:rsidRPr="00EE35A4" w:rsidRDefault="00EE35A4" w:rsidP="00EE35A4">
            <w:pPr>
              <w:spacing w:before="40" w:after="120"/>
              <w:ind w:right="113"/>
            </w:pPr>
            <w:r>
              <w:t>122.6</w:t>
            </w:r>
          </w:p>
        </w:tc>
        <w:tc>
          <w:tcPr>
            <w:tcW w:w="5103" w:type="dxa"/>
            <w:shd w:val="clear" w:color="auto" w:fill="auto"/>
          </w:tcPr>
          <w:p w:rsidR="00EE35A4" w:rsidRPr="00EE35A4" w:rsidRDefault="00EE35A4" w:rsidP="00EE35A4">
            <w:pPr>
              <w:spacing w:before="40" w:after="120"/>
              <w:ind w:right="113"/>
            </w:pPr>
            <w:r w:rsidRPr="00EE35A4">
              <w:t>Resume the ratification process of the ICRMW (Turkey);</w:t>
            </w:r>
          </w:p>
        </w:tc>
        <w:tc>
          <w:tcPr>
            <w:tcW w:w="1843" w:type="dxa"/>
            <w:shd w:val="clear" w:color="auto" w:fill="auto"/>
          </w:tcPr>
          <w:p w:rsidR="00EE35A4" w:rsidRPr="00EE35A4" w:rsidRDefault="003D6600" w:rsidP="00EE35A4">
            <w:pPr>
              <w:spacing w:before="40" w:after="120"/>
              <w:ind w:right="113"/>
            </w:pPr>
            <w:r w:rsidRPr="003D6600">
              <w:t>Noted</w:t>
            </w:r>
          </w:p>
        </w:tc>
      </w:tr>
      <w:tr w:rsidR="00EE35A4" w:rsidRPr="00EE35A4" w:rsidTr="00EE35A4">
        <w:trPr>
          <w:tblHeader/>
        </w:trPr>
        <w:tc>
          <w:tcPr>
            <w:tcW w:w="1276" w:type="dxa"/>
            <w:shd w:val="clear" w:color="auto" w:fill="auto"/>
          </w:tcPr>
          <w:p w:rsidR="00EE35A4" w:rsidRPr="00EE35A4" w:rsidRDefault="00EE35A4" w:rsidP="00EE35A4">
            <w:pPr>
              <w:spacing w:before="40" w:after="120"/>
              <w:ind w:right="113"/>
            </w:pPr>
            <w:r>
              <w:t>122.7</w:t>
            </w:r>
          </w:p>
        </w:tc>
        <w:tc>
          <w:tcPr>
            <w:tcW w:w="5103" w:type="dxa"/>
            <w:shd w:val="clear" w:color="auto" w:fill="auto"/>
          </w:tcPr>
          <w:p w:rsidR="00EE35A4" w:rsidRPr="00EE35A4" w:rsidRDefault="00EE35A4" w:rsidP="00EE35A4">
            <w:pPr>
              <w:spacing w:before="40" w:after="120"/>
              <w:ind w:right="113"/>
            </w:pPr>
            <w:r w:rsidRPr="00EE35A4">
              <w:t>Ratify the International Convention on the Protection of the Rights of All Migrant Workers and Members of Their Families (N), the Optional Protocol to the International Covenant on Economic</w:t>
            </w:r>
            <w:r w:rsidR="00837BA2">
              <w:t>,</w:t>
            </w:r>
            <w:r w:rsidRPr="00EE35A4">
              <w:t xml:space="preserve"> Social and Cultural Rights (S) and the Optional Protocol to the Convention on the Rights of Persons with Disabilities (El Salvador) (S);</w:t>
            </w:r>
          </w:p>
        </w:tc>
        <w:tc>
          <w:tcPr>
            <w:tcW w:w="1843" w:type="dxa"/>
            <w:shd w:val="clear" w:color="auto" w:fill="auto"/>
          </w:tcPr>
          <w:p w:rsidR="00EE35A4" w:rsidRDefault="003D6600" w:rsidP="003D6600">
            <w:pPr>
              <w:spacing w:before="40"/>
              <w:ind w:right="113"/>
            </w:pPr>
            <w:r w:rsidRPr="003D6600">
              <w:t>ICRMW – N</w:t>
            </w:r>
          </w:p>
          <w:p w:rsidR="003D6600" w:rsidRDefault="00837BA2" w:rsidP="003D6600">
            <w:pPr>
              <w:spacing w:before="40"/>
              <w:ind w:right="113"/>
            </w:pPr>
            <w:r>
              <w:t xml:space="preserve">OP - </w:t>
            </w:r>
            <w:r w:rsidR="003D6600" w:rsidRPr="003D6600">
              <w:t>IC</w:t>
            </w:r>
            <w:r>
              <w:t>E</w:t>
            </w:r>
            <w:r w:rsidR="003D6600" w:rsidRPr="003D6600">
              <w:t>SCR – S</w:t>
            </w:r>
          </w:p>
          <w:p w:rsidR="003D6600" w:rsidRPr="00EE35A4" w:rsidRDefault="00837BA2" w:rsidP="00EE35A4">
            <w:pPr>
              <w:spacing w:before="40" w:after="120"/>
              <w:ind w:right="113"/>
            </w:pPr>
            <w:r>
              <w:t>O</w:t>
            </w:r>
            <w:r w:rsidR="003D6600" w:rsidRPr="003D6600">
              <w:t>P</w:t>
            </w:r>
            <w:r>
              <w:t>-</w:t>
            </w:r>
            <w:r w:rsidR="003D6600" w:rsidRPr="003D6600">
              <w:t>CRPD – S</w:t>
            </w:r>
          </w:p>
        </w:tc>
      </w:tr>
      <w:tr w:rsidR="00EE35A4" w:rsidRPr="00EE35A4" w:rsidTr="00EE35A4">
        <w:trPr>
          <w:tblHeader/>
        </w:trPr>
        <w:tc>
          <w:tcPr>
            <w:tcW w:w="1276" w:type="dxa"/>
            <w:shd w:val="clear" w:color="auto" w:fill="auto"/>
          </w:tcPr>
          <w:p w:rsidR="00EE35A4" w:rsidRPr="00EE35A4" w:rsidRDefault="00EE35A4" w:rsidP="00EE35A4">
            <w:pPr>
              <w:spacing w:before="40" w:after="120"/>
              <w:ind w:right="113"/>
            </w:pPr>
            <w:r>
              <w:t>122.8</w:t>
            </w:r>
          </w:p>
        </w:tc>
        <w:tc>
          <w:tcPr>
            <w:tcW w:w="5103" w:type="dxa"/>
            <w:shd w:val="clear" w:color="auto" w:fill="auto"/>
          </w:tcPr>
          <w:p w:rsidR="00EE35A4" w:rsidRPr="00EE35A4" w:rsidRDefault="00EE35A4" w:rsidP="00EE35A4">
            <w:pPr>
              <w:spacing w:before="40" w:after="120"/>
              <w:ind w:right="113"/>
            </w:pPr>
            <w:r w:rsidRPr="00EE35A4">
              <w:t>Consider ratifying the International Convention on the</w:t>
            </w:r>
            <w:r w:rsidR="006D2812">
              <w:t xml:space="preserve"> Protection of the</w:t>
            </w:r>
            <w:r w:rsidRPr="00EE35A4">
              <w:t xml:space="preserve"> Rights of </w:t>
            </w:r>
            <w:r w:rsidR="006D2812">
              <w:t xml:space="preserve">All </w:t>
            </w:r>
            <w:r w:rsidRPr="00EE35A4">
              <w:t>Migrant Workers and Members of their Families (Indonesia);</w:t>
            </w:r>
          </w:p>
        </w:tc>
        <w:tc>
          <w:tcPr>
            <w:tcW w:w="1843" w:type="dxa"/>
            <w:shd w:val="clear" w:color="auto" w:fill="auto"/>
          </w:tcPr>
          <w:p w:rsidR="00EE35A4" w:rsidRPr="00EE35A4" w:rsidRDefault="003D6600" w:rsidP="00EE35A4">
            <w:pPr>
              <w:spacing w:before="40" w:after="120"/>
              <w:ind w:right="113"/>
            </w:pPr>
            <w:r w:rsidRPr="003D6600">
              <w:t>Noted</w:t>
            </w:r>
          </w:p>
        </w:tc>
      </w:tr>
      <w:tr w:rsidR="00EE35A4" w:rsidRPr="00EE35A4" w:rsidTr="00EE35A4">
        <w:trPr>
          <w:tblHeader/>
        </w:trPr>
        <w:tc>
          <w:tcPr>
            <w:tcW w:w="1276" w:type="dxa"/>
            <w:shd w:val="clear" w:color="auto" w:fill="auto"/>
          </w:tcPr>
          <w:p w:rsidR="00EE35A4" w:rsidRPr="00EE35A4" w:rsidRDefault="00EE35A4" w:rsidP="00EE35A4">
            <w:pPr>
              <w:spacing w:before="40" w:after="120"/>
              <w:ind w:right="113"/>
            </w:pPr>
            <w:r>
              <w:t>122.9</w:t>
            </w:r>
          </w:p>
        </w:tc>
        <w:tc>
          <w:tcPr>
            <w:tcW w:w="5103" w:type="dxa"/>
            <w:shd w:val="clear" w:color="auto" w:fill="auto"/>
          </w:tcPr>
          <w:p w:rsidR="00EE35A4" w:rsidRPr="00EE35A4" w:rsidRDefault="003D6600" w:rsidP="00EE35A4">
            <w:pPr>
              <w:spacing w:before="40" w:after="120"/>
              <w:ind w:right="113"/>
            </w:pPr>
            <w:r w:rsidRPr="003D6600">
              <w:t>Consider ratifying ICRMW (N), Protocol 12 to the European Convention on Human Rights (S) and the Council of Europe Convention on Preventing and Combating Violence against Women and Domestic Violence (Albania) (S);</w:t>
            </w:r>
          </w:p>
        </w:tc>
        <w:tc>
          <w:tcPr>
            <w:tcW w:w="1843" w:type="dxa"/>
            <w:shd w:val="clear" w:color="auto" w:fill="auto"/>
          </w:tcPr>
          <w:p w:rsidR="00EE35A4" w:rsidRDefault="003D6600" w:rsidP="003D6600">
            <w:pPr>
              <w:spacing w:before="40"/>
              <w:ind w:right="113"/>
            </w:pPr>
            <w:r w:rsidRPr="003D6600">
              <w:t>ICRMW – N</w:t>
            </w:r>
          </w:p>
          <w:p w:rsidR="003D6600" w:rsidRPr="003D6600" w:rsidRDefault="003D6600" w:rsidP="003D6600">
            <w:pPr>
              <w:spacing w:before="40"/>
              <w:ind w:right="113"/>
            </w:pPr>
            <w:r w:rsidRPr="003D6600">
              <w:t>Protocol No.12 – S</w:t>
            </w:r>
          </w:p>
          <w:p w:rsidR="003D6600" w:rsidRPr="00EE35A4" w:rsidRDefault="003D6600" w:rsidP="00750C00">
            <w:pPr>
              <w:spacing w:before="40" w:after="120"/>
              <w:ind w:right="113"/>
            </w:pPr>
            <w:r w:rsidRPr="003D6600">
              <w:t>Istanbul Convention – S</w:t>
            </w:r>
          </w:p>
        </w:tc>
      </w:tr>
      <w:tr w:rsidR="00EE35A4" w:rsidRPr="00EE35A4" w:rsidTr="00EE35A4">
        <w:trPr>
          <w:tblHeader/>
        </w:trPr>
        <w:tc>
          <w:tcPr>
            <w:tcW w:w="1276" w:type="dxa"/>
            <w:shd w:val="clear" w:color="auto" w:fill="auto"/>
          </w:tcPr>
          <w:p w:rsidR="00EE35A4" w:rsidRPr="00EE35A4" w:rsidRDefault="00EE35A4" w:rsidP="00EE35A4">
            <w:pPr>
              <w:spacing w:before="40" w:after="120"/>
              <w:ind w:right="113"/>
            </w:pPr>
            <w:r>
              <w:t>122.10</w:t>
            </w:r>
          </w:p>
        </w:tc>
        <w:tc>
          <w:tcPr>
            <w:tcW w:w="5103" w:type="dxa"/>
            <w:shd w:val="clear" w:color="auto" w:fill="auto"/>
          </w:tcPr>
          <w:p w:rsidR="00EE35A4" w:rsidRPr="00EE35A4" w:rsidRDefault="003D6600" w:rsidP="00EE35A4">
            <w:pPr>
              <w:spacing w:before="40" w:after="120"/>
              <w:ind w:right="113"/>
            </w:pPr>
            <w:r w:rsidRPr="003D6600">
              <w:t>Ratify ICPPED as no country is free from cases of enforced disappearance (Slovakia);</w:t>
            </w:r>
          </w:p>
        </w:tc>
        <w:tc>
          <w:tcPr>
            <w:tcW w:w="1843" w:type="dxa"/>
            <w:shd w:val="clear" w:color="auto" w:fill="auto"/>
          </w:tcPr>
          <w:p w:rsidR="00EE35A4" w:rsidRPr="00EE35A4" w:rsidRDefault="003D6600" w:rsidP="00EE35A4">
            <w:pPr>
              <w:spacing w:before="40" w:after="120"/>
              <w:ind w:right="113"/>
            </w:pPr>
            <w:r w:rsidRPr="003D6600">
              <w:t>Supported</w:t>
            </w:r>
          </w:p>
        </w:tc>
      </w:tr>
      <w:tr w:rsidR="00EE35A4" w:rsidRPr="00EE35A4" w:rsidTr="00EE35A4">
        <w:trPr>
          <w:tblHeader/>
        </w:trPr>
        <w:tc>
          <w:tcPr>
            <w:tcW w:w="1276" w:type="dxa"/>
            <w:shd w:val="clear" w:color="auto" w:fill="auto"/>
          </w:tcPr>
          <w:p w:rsidR="00EE35A4" w:rsidRPr="00EE35A4" w:rsidRDefault="00EE35A4" w:rsidP="00EE35A4">
            <w:pPr>
              <w:spacing w:before="40" w:after="120"/>
              <w:ind w:right="113"/>
            </w:pPr>
            <w:r>
              <w:t>122.11</w:t>
            </w:r>
          </w:p>
        </w:tc>
        <w:tc>
          <w:tcPr>
            <w:tcW w:w="5103" w:type="dxa"/>
            <w:shd w:val="clear" w:color="auto" w:fill="auto"/>
          </w:tcPr>
          <w:p w:rsidR="00EE35A4" w:rsidRPr="00EE35A4" w:rsidRDefault="003D6600" w:rsidP="00EE35A4">
            <w:pPr>
              <w:spacing w:before="40" w:after="120"/>
              <w:ind w:right="113"/>
            </w:pPr>
            <w:r w:rsidRPr="003D6600">
              <w:t>Ratify the ICPPED (Uruguay, Montenegro);</w:t>
            </w:r>
          </w:p>
        </w:tc>
        <w:tc>
          <w:tcPr>
            <w:tcW w:w="1843" w:type="dxa"/>
            <w:shd w:val="clear" w:color="auto" w:fill="auto"/>
          </w:tcPr>
          <w:p w:rsidR="00EE35A4" w:rsidRPr="00EE35A4" w:rsidRDefault="003D6600" w:rsidP="00EE35A4">
            <w:pPr>
              <w:spacing w:before="40" w:after="120"/>
              <w:ind w:right="113"/>
            </w:pPr>
            <w:r w:rsidRPr="003D6600">
              <w:t>Supported</w:t>
            </w:r>
          </w:p>
        </w:tc>
      </w:tr>
      <w:tr w:rsidR="00EE35A4" w:rsidRPr="00EE35A4" w:rsidTr="00EE35A4">
        <w:trPr>
          <w:tblHeader/>
        </w:trPr>
        <w:tc>
          <w:tcPr>
            <w:tcW w:w="1276" w:type="dxa"/>
            <w:shd w:val="clear" w:color="auto" w:fill="auto"/>
          </w:tcPr>
          <w:p w:rsidR="00EE35A4" w:rsidRPr="00EE35A4" w:rsidRDefault="00EE35A4" w:rsidP="00EE35A4">
            <w:pPr>
              <w:spacing w:before="40" w:after="120"/>
              <w:ind w:right="113"/>
            </w:pPr>
            <w:r>
              <w:lastRenderedPageBreak/>
              <w:t>122.12</w:t>
            </w:r>
          </w:p>
        </w:tc>
        <w:tc>
          <w:tcPr>
            <w:tcW w:w="5103" w:type="dxa"/>
            <w:shd w:val="clear" w:color="auto" w:fill="auto"/>
          </w:tcPr>
          <w:p w:rsidR="00EE35A4" w:rsidRPr="00EE35A4" w:rsidRDefault="003D6600" w:rsidP="00EE35A4">
            <w:pPr>
              <w:spacing w:before="40" w:after="120"/>
              <w:ind w:right="113"/>
            </w:pPr>
            <w:r w:rsidRPr="003D6600">
              <w:t>Ratify as soon as possible the International Convention for the Protection of All Persons against Enforced Disappearance, a major instrument in the fight against impunity, and recognize the competence of the Committee on Enforced Disappearances (France);</w:t>
            </w:r>
          </w:p>
        </w:tc>
        <w:tc>
          <w:tcPr>
            <w:tcW w:w="1843" w:type="dxa"/>
            <w:shd w:val="clear" w:color="auto" w:fill="auto"/>
          </w:tcPr>
          <w:p w:rsidR="00EE35A4" w:rsidRPr="00EE35A4" w:rsidRDefault="003D6600" w:rsidP="00EE35A4">
            <w:pPr>
              <w:spacing w:before="40" w:after="120"/>
              <w:ind w:right="113"/>
            </w:pPr>
            <w:r w:rsidRPr="003D6600">
              <w:t>Supported</w:t>
            </w:r>
          </w:p>
        </w:tc>
      </w:tr>
      <w:tr w:rsidR="00EE35A4" w:rsidRPr="00EE35A4" w:rsidTr="00EE35A4">
        <w:trPr>
          <w:tblHeader/>
        </w:trPr>
        <w:tc>
          <w:tcPr>
            <w:tcW w:w="1276" w:type="dxa"/>
            <w:shd w:val="clear" w:color="auto" w:fill="auto"/>
          </w:tcPr>
          <w:p w:rsidR="00EE35A4" w:rsidRPr="00EE35A4" w:rsidRDefault="00EE35A4" w:rsidP="00EE35A4">
            <w:pPr>
              <w:spacing w:before="40" w:after="120"/>
              <w:ind w:right="113"/>
            </w:pPr>
            <w:r>
              <w:t>122.13</w:t>
            </w:r>
          </w:p>
        </w:tc>
        <w:tc>
          <w:tcPr>
            <w:tcW w:w="5103" w:type="dxa"/>
            <w:shd w:val="clear" w:color="auto" w:fill="auto"/>
          </w:tcPr>
          <w:p w:rsidR="00EE35A4" w:rsidRPr="00EE35A4" w:rsidRDefault="003D6600" w:rsidP="00EE35A4">
            <w:pPr>
              <w:spacing w:before="40" w:after="120"/>
              <w:ind w:right="113"/>
            </w:pPr>
            <w:r w:rsidRPr="003D6600">
              <w:t>Ratify and accede to the ICPPED (S) and the ICRMW (N) (Sierra Leone);</w:t>
            </w:r>
          </w:p>
        </w:tc>
        <w:tc>
          <w:tcPr>
            <w:tcW w:w="1843" w:type="dxa"/>
            <w:shd w:val="clear" w:color="auto" w:fill="auto"/>
          </w:tcPr>
          <w:p w:rsidR="003D6600" w:rsidRPr="003D6600" w:rsidRDefault="003D6600" w:rsidP="003D6600">
            <w:pPr>
              <w:spacing w:before="40"/>
              <w:ind w:right="113"/>
            </w:pPr>
            <w:r w:rsidRPr="003D6600">
              <w:t>ICPPED – S</w:t>
            </w:r>
          </w:p>
          <w:p w:rsidR="003D6600" w:rsidRPr="00EE35A4" w:rsidRDefault="003D6600" w:rsidP="00750C00">
            <w:pPr>
              <w:spacing w:before="40" w:after="120"/>
              <w:ind w:right="113"/>
            </w:pPr>
            <w:r w:rsidRPr="003D6600">
              <w:t>ICRMW – N</w:t>
            </w:r>
          </w:p>
        </w:tc>
      </w:tr>
      <w:tr w:rsidR="00EE35A4" w:rsidRPr="00EE35A4" w:rsidTr="00EE35A4">
        <w:trPr>
          <w:tblHeader/>
        </w:trPr>
        <w:tc>
          <w:tcPr>
            <w:tcW w:w="1276" w:type="dxa"/>
            <w:shd w:val="clear" w:color="auto" w:fill="auto"/>
          </w:tcPr>
          <w:p w:rsidR="00EE35A4" w:rsidRPr="00EE35A4" w:rsidRDefault="00EE35A4" w:rsidP="00EE35A4">
            <w:pPr>
              <w:spacing w:before="40" w:after="120"/>
              <w:ind w:right="113"/>
            </w:pPr>
            <w:r>
              <w:t>122.14</w:t>
            </w:r>
          </w:p>
        </w:tc>
        <w:tc>
          <w:tcPr>
            <w:tcW w:w="5103" w:type="dxa"/>
            <w:shd w:val="clear" w:color="auto" w:fill="auto"/>
          </w:tcPr>
          <w:p w:rsidR="00EE35A4" w:rsidRPr="00EE35A4" w:rsidRDefault="003D6600" w:rsidP="00EE35A4">
            <w:pPr>
              <w:spacing w:before="40" w:after="120"/>
              <w:ind w:right="113"/>
            </w:pPr>
            <w:r w:rsidRPr="003D6600">
              <w:t>Ratify ICPPED as well as the remaining human rights treaties to which it is still not Party (Argentina);</w:t>
            </w:r>
          </w:p>
        </w:tc>
        <w:tc>
          <w:tcPr>
            <w:tcW w:w="1843" w:type="dxa"/>
            <w:shd w:val="clear" w:color="auto" w:fill="auto"/>
          </w:tcPr>
          <w:p w:rsidR="00EE35A4" w:rsidRPr="00EE35A4" w:rsidRDefault="003D6600" w:rsidP="00EE35A4">
            <w:pPr>
              <w:spacing w:before="40" w:after="120"/>
              <w:ind w:right="113"/>
            </w:pPr>
            <w:r w:rsidRPr="003D6600">
              <w:t>Supported</w:t>
            </w:r>
          </w:p>
        </w:tc>
      </w:tr>
      <w:tr w:rsidR="00EE35A4" w:rsidRPr="00EE35A4" w:rsidTr="00EE35A4">
        <w:trPr>
          <w:tblHeader/>
        </w:trPr>
        <w:tc>
          <w:tcPr>
            <w:tcW w:w="1276" w:type="dxa"/>
            <w:shd w:val="clear" w:color="auto" w:fill="auto"/>
          </w:tcPr>
          <w:p w:rsidR="00EE35A4" w:rsidRPr="00EE35A4" w:rsidRDefault="00EE35A4" w:rsidP="00EE35A4">
            <w:pPr>
              <w:spacing w:before="40" w:after="120"/>
              <w:ind w:right="113"/>
            </w:pPr>
            <w:r>
              <w:t>122.15</w:t>
            </w:r>
          </w:p>
        </w:tc>
        <w:tc>
          <w:tcPr>
            <w:tcW w:w="5103" w:type="dxa"/>
            <w:shd w:val="clear" w:color="auto" w:fill="auto"/>
          </w:tcPr>
          <w:p w:rsidR="00EE35A4" w:rsidRPr="00EE35A4" w:rsidRDefault="003D6600" w:rsidP="00EE35A4">
            <w:pPr>
              <w:spacing w:before="40" w:after="120"/>
              <w:ind w:right="113"/>
            </w:pPr>
            <w:r w:rsidRPr="003D6600">
              <w:t>Finalise the ratification of the International Convention for the Protection of All Persons from Enforced Disappearance (Iraq);</w:t>
            </w:r>
          </w:p>
        </w:tc>
        <w:tc>
          <w:tcPr>
            <w:tcW w:w="1843" w:type="dxa"/>
            <w:shd w:val="clear" w:color="auto" w:fill="auto"/>
          </w:tcPr>
          <w:p w:rsidR="00EE35A4" w:rsidRPr="00EE35A4" w:rsidRDefault="003D6600" w:rsidP="00EE35A4">
            <w:pPr>
              <w:spacing w:before="40" w:after="120"/>
              <w:ind w:right="113"/>
            </w:pPr>
            <w:r w:rsidRPr="003D6600">
              <w:t>Supported</w:t>
            </w:r>
          </w:p>
        </w:tc>
      </w:tr>
      <w:tr w:rsidR="00EE35A4" w:rsidRPr="00EE35A4" w:rsidTr="00EE35A4">
        <w:trPr>
          <w:tblHeader/>
        </w:trPr>
        <w:tc>
          <w:tcPr>
            <w:tcW w:w="1276" w:type="dxa"/>
            <w:shd w:val="clear" w:color="auto" w:fill="auto"/>
          </w:tcPr>
          <w:p w:rsidR="00EE35A4" w:rsidRPr="00EE35A4" w:rsidRDefault="00EE35A4" w:rsidP="00EE35A4">
            <w:pPr>
              <w:spacing w:before="40" w:after="120"/>
              <w:ind w:right="113"/>
            </w:pPr>
            <w:r>
              <w:t>122.16</w:t>
            </w:r>
          </w:p>
        </w:tc>
        <w:tc>
          <w:tcPr>
            <w:tcW w:w="5103" w:type="dxa"/>
            <w:shd w:val="clear" w:color="auto" w:fill="auto"/>
          </w:tcPr>
          <w:p w:rsidR="00EE35A4" w:rsidRPr="00EE35A4" w:rsidRDefault="003D6600" w:rsidP="00EE35A4">
            <w:pPr>
              <w:spacing w:before="40" w:after="120"/>
              <w:ind w:right="113"/>
            </w:pPr>
            <w:r w:rsidRPr="003D6600">
              <w:t>Ratify the Kampala Amendments to the Rome Statute of the International Criminal Court (Estonia);</w:t>
            </w:r>
          </w:p>
        </w:tc>
        <w:tc>
          <w:tcPr>
            <w:tcW w:w="1843" w:type="dxa"/>
            <w:shd w:val="clear" w:color="auto" w:fill="auto"/>
          </w:tcPr>
          <w:p w:rsidR="00EE35A4" w:rsidRPr="00EE35A4" w:rsidRDefault="003D6600" w:rsidP="00EE35A4">
            <w:pPr>
              <w:spacing w:before="40" w:after="120"/>
              <w:ind w:right="113"/>
            </w:pPr>
            <w:r w:rsidRPr="003D6600">
              <w:t>Supported</w:t>
            </w:r>
          </w:p>
        </w:tc>
      </w:tr>
      <w:tr w:rsidR="00EE35A4" w:rsidRPr="00EE35A4" w:rsidTr="00EE35A4">
        <w:trPr>
          <w:tblHeader/>
        </w:trPr>
        <w:tc>
          <w:tcPr>
            <w:tcW w:w="1276" w:type="dxa"/>
            <w:shd w:val="clear" w:color="auto" w:fill="auto"/>
          </w:tcPr>
          <w:p w:rsidR="00EE35A4" w:rsidRPr="00EE35A4" w:rsidRDefault="00EE35A4" w:rsidP="00EE35A4">
            <w:pPr>
              <w:spacing w:before="40" w:after="120"/>
              <w:ind w:right="113"/>
            </w:pPr>
            <w:r>
              <w:t>122.17</w:t>
            </w:r>
          </w:p>
        </w:tc>
        <w:tc>
          <w:tcPr>
            <w:tcW w:w="5103" w:type="dxa"/>
            <w:shd w:val="clear" w:color="auto" w:fill="auto"/>
          </w:tcPr>
          <w:p w:rsidR="00EE35A4" w:rsidRPr="00EE35A4" w:rsidRDefault="003D6600" w:rsidP="00EE35A4">
            <w:pPr>
              <w:spacing w:before="40" w:after="120"/>
              <w:ind w:right="113"/>
            </w:pPr>
            <w:r w:rsidRPr="003D6600">
              <w:t>Amend the Law on Equality in order to widen the list of possible discrimination criteria (Slovakia);</w:t>
            </w:r>
          </w:p>
        </w:tc>
        <w:tc>
          <w:tcPr>
            <w:tcW w:w="1843" w:type="dxa"/>
            <w:shd w:val="clear" w:color="auto" w:fill="auto"/>
          </w:tcPr>
          <w:p w:rsidR="00EE35A4" w:rsidRPr="00EE35A4" w:rsidRDefault="003D6600" w:rsidP="00EE35A4">
            <w:pPr>
              <w:spacing w:before="40" w:after="120"/>
              <w:ind w:right="113"/>
            </w:pPr>
            <w:r w:rsidRPr="003D6600">
              <w:t>Noted</w:t>
            </w:r>
          </w:p>
        </w:tc>
      </w:tr>
      <w:tr w:rsidR="00EE35A4" w:rsidRPr="00EE35A4" w:rsidTr="00EE35A4">
        <w:trPr>
          <w:tblHeader/>
        </w:trPr>
        <w:tc>
          <w:tcPr>
            <w:tcW w:w="1276" w:type="dxa"/>
            <w:shd w:val="clear" w:color="auto" w:fill="auto"/>
          </w:tcPr>
          <w:p w:rsidR="00EE35A4" w:rsidRPr="00EE35A4" w:rsidRDefault="00EE35A4" w:rsidP="00EE35A4">
            <w:pPr>
              <w:spacing w:before="40" w:after="120"/>
              <w:ind w:right="113"/>
            </w:pPr>
            <w:r>
              <w:t>122.18</w:t>
            </w:r>
          </w:p>
        </w:tc>
        <w:tc>
          <w:tcPr>
            <w:tcW w:w="5103" w:type="dxa"/>
            <w:shd w:val="clear" w:color="auto" w:fill="auto"/>
          </w:tcPr>
          <w:p w:rsidR="00EE35A4" w:rsidRPr="00EE35A4" w:rsidRDefault="003D6600" w:rsidP="00EE35A4">
            <w:pPr>
              <w:spacing w:before="40" w:after="120"/>
              <w:ind w:right="113"/>
            </w:pPr>
            <w:r w:rsidRPr="003D6600">
              <w:t>Amend Article 1 of the Law on Ensuring Equality by including criteria such a social origin, marital situation, health status, sexual orientation, gender identity, and gender expression in the main list of criteria for categories to be protected from discrimination (Sweden);</w:t>
            </w:r>
          </w:p>
        </w:tc>
        <w:tc>
          <w:tcPr>
            <w:tcW w:w="1843" w:type="dxa"/>
            <w:shd w:val="clear" w:color="auto" w:fill="auto"/>
          </w:tcPr>
          <w:p w:rsidR="00EE35A4" w:rsidRPr="00EE35A4" w:rsidRDefault="003D6600" w:rsidP="00EE35A4">
            <w:pPr>
              <w:spacing w:before="40" w:after="120"/>
              <w:ind w:right="113"/>
            </w:pPr>
            <w:r w:rsidRPr="003D6600">
              <w:t>Noted</w:t>
            </w:r>
          </w:p>
        </w:tc>
      </w:tr>
      <w:tr w:rsidR="00EE35A4" w:rsidRPr="00EE35A4" w:rsidTr="00EE35A4">
        <w:trPr>
          <w:tblHeader/>
        </w:trPr>
        <w:tc>
          <w:tcPr>
            <w:tcW w:w="1276" w:type="dxa"/>
            <w:shd w:val="clear" w:color="auto" w:fill="auto"/>
          </w:tcPr>
          <w:p w:rsidR="00EE35A4" w:rsidRPr="00EE35A4" w:rsidRDefault="00EE35A4" w:rsidP="00EE35A4">
            <w:pPr>
              <w:spacing w:before="40" w:after="120"/>
              <w:ind w:right="113"/>
            </w:pPr>
            <w:r>
              <w:t>122.19</w:t>
            </w:r>
          </w:p>
        </w:tc>
        <w:tc>
          <w:tcPr>
            <w:tcW w:w="5103" w:type="dxa"/>
            <w:shd w:val="clear" w:color="auto" w:fill="auto"/>
          </w:tcPr>
          <w:p w:rsidR="00EE35A4" w:rsidRPr="00EE35A4" w:rsidRDefault="003D6600" w:rsidP="00EE35A4">
            <w:pPr>
              <w:spacing w:before="40" w:after="120"/>
              <w:ind w:right="113"/>
            </w:pPr>
            <w:r w:rsidRPr="003D6600">
              <w:t>Include in the Law on Equality four protected criteria – namely social origin, material situation, sexual orientation and health status (Croatia);</w:t>
            </w:r>
          </w:p>
        </w:tc>
        <w:tc>
          <w:tcPr>
            <w:tcW w:w="1843" w:type="dxa"/>
            <w:shd w:val="clear" w:color="auto" w:fill="auto"/>
          </w:tcPr>
          <w:p w:rsidR="00EE35A4" w:rsidRPr="00EE35A4" w:rsidRDefault="003D6600" w:rsidP="00EE35A4">
            <w:pPr>
              <w:spacing w:before="40" w:after="120"/>
              <w:ind w:right="113"/>
            </w:pPr>
            <w:r w:rsidRPr="003D6600">
              <w:t>Noted</w:t>
            </w:r>
          </w:p>
        </w:tc>
      </w:tr>
      <w:tr w:rsidR="00EE35A4" w:rsidRPr="00EE35A4" w:rsidTr="00EE35A4">
        <w:trPr>
          <w:tblHeader/>
        </w:trPr>
        <w:tc>
          <w:tcPr>
            <w:tcW w:w="1276" w:type="dxa"/>
            <w:shd w:val="clear" w:color="auto" w:fill="auto"/>
          </w:tcPr>
          <w:p w:rsidR="00EE35A4" w:rsidRPr="00EE35A4" w:rsidRDefault="00EE35A4" w:rsidP="00EE35A4">
            <w:pPr>
              <w:spacing w:before="40" w:after="120"/>
              <w:ind w:right="113"/>
            </w:pPr>
            <w:r>
              <w:t>122.20</w:t>
            </w:r>
          </w:p>
        </w:tc>
        <w:tc>
          <w:tcPr>
            <w:tcW w:w="5103" w:type="dxa"/>
            <w:shd w:val="clear" w:color="auto" w:fill="auto"/>
          </w:tcPr>
          <w:p w:rsidR="00EE35A4" w:rsidRPr="00EE35A4" w:rsidRDefault="003D6600" w:rsidP="00D91572">
            <w:pPr>
              <w:spacing w:before="40" w:after="120"/>
              <w:ind w:right="113"/>
            </w:pPr>
            <w:r w:rsidRPr="003D6600">
              <w:t xml:space="preserve">Review and amend relevant legislation, such as the Criminal Code and the Code of Administrative Offences, to enhance the protection and promotion of the rights of LGBTI persons and of individuals belonging to vulnerable, minority populations, including religious communities and ethnic minorities, as well as amend </w:t>
            </w:r>
            <w:r w:rsidR="00D91572">
              <w:t>a</w:t>
            </w:r>
            <w:r w:rsidRPr="003D6600">
              <w:t>rticle 1 of the Law on Ensuring Equality to include sexual orientation and gender identity (Canada);</w:t>
            </w:r>
          </w:p>
        </w:tc>
        <w:tc>
          <w:tcPr>
            <w:tcW w:w="1843" w:type="dxa"/>
            <w:shd w:val="clear" w:color="auto" w:fill="auto"/>
          </w:tcPr>
          <w:p w:rsidR="00EE35A4" w:rsidRPr="00EE35A4" w:rsidRDefault="003D6600" w:rsidP="00EE35A4">
            <w:pPr>
              <w:spacing w:before="40" w:after="120"/>
              <w:ind w:right="113"/>
            </w:pPr>
            <w:r w:rsidRPr="003D6600">
              <w:t>Supported</w:t>
            </w:r>
          </w:p>
        </w:tc>
      </w:tr>
      <w:tr w:rsidR="00EE35A4" w:rsidRPr="00EE35A4" w:rsidTr="00EE35A4">
        <w:trPr>
          <w:tblHeader/>
        </w:trPr>
        <w:tc>
          <w:tcPr>
            <w:tcW w:w="1276" w:type="dxa"/>
            <w:shd w:val="clear" w:color="auto" w:fill="auto"/>
          </w:tcPr>
          <w:p w:rsidR="00EE35A4" w:rsidRPr="00EE35A4" w:rsidRDefault="00EE35A4" w:rsidP="00EE35A4">
            <w:pPr>
              <w:spacing w:before="40" w:after="120"/>
              <w:ind w:right="113"/>
            </w:pPr>
            <w:r>
              <w:t>122.21</w:t>
            </w:r>
          </w:p>
        </w:tc>
        <w:tc>
          <w:tcPr>
            <w:tcW w:w="5103" w:type="dxa"/>
            <w:shd w:val="clear" w:color="auto" w:fill="auto"/>
          </w:tcPr>
          <w:p w:rsidR="00EE35A4" w:rsidRPr="00EE35A4" w:rsidRDefault="003D6600" w:rsidP="00EE35A4">
            <w:pPr>
              <w:spacing w:before="40" w:after="120"/>
              <w:ind w:right="113"/>
            </w:pPr>
            <w:r w:rsidRPr="003D6600">
              <w:t>Adopt the draft law on amending and completing the Criminal Code and the Code of Administrative Offences with regard to bias-motivated crimes and incidents to also include sexual orientation, gender identity and gender expression as ground for hate crimes (Sweden);</w:t>
            </w:r>
          </w:p>
        </w:tc>
        <w:tc>
          <w:tcPr>
            <w:tcW w:w="1843" w:type="dxa"/>
            <w:shd w:val="clear" w:color="auto" w:fill="auto"/>
          </w:tcPr>
          <w:p w:rsidR="00EE35A4" w:rsidRPr="00EE35A4" w:rsidRDefault="003D6600" w:rsidP="00EE35A4">
            <w:pPr>
              <w:spacing w:before="40" w:after="120"/>
              <w:ind w:right="113"/>
            </w:pPr>
            <w:r w:rsidRPr="003D6600">
              <w:t>Supported</w:t>
            </w:r>
          </w:p>
        </w:tc>
      </w:tr>
      <w:tr w:rsidR="00EE35A4" w:rsidRPr="00EE35A4" w:rsidTr="00EE35A4">
        <w:trPr>
          <w:tblHeader/>
        </w:trPr>
        <w:tc>
          <w:tcPr>
            <w:tcW w:w="1276" w:type="dxa"/>
            <w:shd w:val="clear" w:color="auto" w:fill="auto"/>
          </w:tcPr>
          <w:p w:rsidR="00EE35A4" w:rsidRPr="00EE35A4" w:rsidRDefault="00EE35A4" w:rsidP="00EE35A4">
            <w:pPr>
              <w:spacing w:before="40" w:after="120"/>
              <w:ind w:right="113"/>
            </w:pPr>
            <w:r>
              <w:t>122.22</w:t>
            </w:r>
          </w:p>
        </w:tc>
        <w:tc>
          <w:tcPr>
            <w:tcW w:w="5103" w:type="dxa"/>
            <w:shd w:val="clear" w:color="auto" w:fill="auto"/>
          </w:tcPr>
          <w:p w:rsidR="00EE35A4" w:rsidRPr="00EE35A4" w:rsidRDefault="003D6600" w:rsidP="00EE35A4">
            <w:pPr>
              <w:spacing w:before="40" w:after="120"/>
              <w:ind w:right="113"/>
            </w:pPr>
            <w:r w:rsidRPr="003D6600">
              <w:t>Adopt a legislative framework that ensures protection against all offences motivated by hatred and prejudice (Côte d’Ivoire);</w:t>
            </w:r>
          </w:p>
        </w:tc>
        <w:tc>
          <w:tcPr>
            <w:tcW w:w="1843" w:type="dxa"/>
            <w:shd w:val="clear" w:color="auto" w:fill="auto"/>
          </w:tcPr>
          <w:p w:rsidR="00EE35A4" w:rsidRPr="00EE35A4" w:rsidRDefault="003D6600" w:rsidP="00EE35A4">
            <w:pPr>
              <w:spacing w:before="40" w:after="120"/>
              <w:ind w:right="113"/>
            </w:pPr>
            <w:r w:rsidRPr="003D6600">
              <w:t>Supported</w:t>
            </w:r>
          </w:p>
        </w:tc>
      </w:tr>
      <w:tr w:rsidR="00EE35A4" w:rsidRPr="00EE35A4" w:rsidTr="00EE35A4">
        <w:trPr>
          <w:tblHeader/>
        </w:trPr>
        <w:tc>
          <w:tcPr>
            <w:tcW w:w="1276" w:type="dxa"/>
            <w:shd w:val="clear" w:color="auto" w:fill="auto"/>
          </w:tcPr>
          <w:p w:rsidR="00EE35A4" w:rsidRPr="00EE35A4" w:rsidRDefault="00EE35A4" w:rsidP="00EE35A4">
            <w:pPr>
              <w:spacing w:before="40" w:after="120"/>
              <w:ind w:right="113"/>
            </w:pPr>
            <w:r>
              <w:t>122.23</w:t>
            </w:r>
          </w:p>
        </w:tc>
        <w:tc>
          <w:tcPr>
            <w:tcW w:w="5103" w:type="dxa"/>
            <w:shd w:val="clear" w:color="auto" w:fill="auto"/>
          </w:tcPr>
          <w:p w:rsidR="00EE35A4" w:rsidRPr="00EE35A4" w:rsidRDefault="003D6600" w:rsidP="00EE35A4">
            <w:pPr>
              <w:spacing w:before="40" w:after="120"/>
              <w:ind w:right="113"/>
            </w:pPr>
            <w:r w:rsidRPr="003D6600">
              <w:t>Complete the process of establish</w:t>
            </w:r>
            <w:r w:rsidR="00D91572">
              <w:t>ing</w:t>
            </w:r>
            <w:r w:rsidRPr="003D6600">
              <w:t xml:space="preserve"> a coordinating body under the auspices of Prime Minister’s Office to monitor and report progress on human rights (Kyrgyzstan);</w:t>
            </w:r>
          </w:p>
        </w:tc>
        <w:tc>
          <w:tcPr>
            <w:tcW w:w="1843" w:type="dxa"/>
            <w:shd w:val="clear" w:color="auto" w:fill="auto"/>
          </w:tcPr>
          <w:p w:rsidR="00EE35A4" w:rsidRPr="00EE35A4" w:rsidRDefault="003D6600" w:rsidP="00EE35A4">
            <w:pPr>
              <w:spacing w:before="40" w:after="120"/>
              <w:ind w:right="113"/>
            </w:pPr>
            <w:r w:rsidRPr="003D6600">
              <w:t>Supported</w:t>
            </w:r>
          </w:p>
        </w:tc>
      </w:tr>
      <w:tr w:rsidR="00EE35A4" w:rsidRPr="00EE35A4" w:rsidTr="00EE35A4">
        <w:trPr>
          <w:tblHeader/>
        </w:trPr>
        <w:tc>
          <w:tcPr>
            <w:tcW w:w="1276" w:type="dxa"/>
            <w:shd w:val="clear" w:color="auto" w:fill="auto"/>
          </w:tcPr>
          <w:p w:rsidR="00EE35A4" w:rsidRPr="00EE35A4" w:rsidRDefault="00EE35A4" w:rsidP="00EE35A4">
            <w:pPr>
              <w:spacing w:before="40" w:after="120"/>
              <w:ind w:right="113"/>
            </w:pPr>
            <w:r>
              <w:t>122.24</w:t>
            </w:r>
          </w:p>
        </w:tc>
        <w:tc>
          <w:tcPr>
            <w:tcW w:w="5103" w:type="dxa"/>
            <w:shd w:val="clear" w:color="auto" w:fill="auto"/>
          </w:tcPr>
          <w:p w:rsidR="00EE35A4" w:rsidRPr="00EE35A4" w:rsidRDefault="003D6600" w:rsidP="00EE35A4">
            <w:pPr>
              <w:spacing w:before="40" w:after="120"/>
              <w:ind w:right="113"/>
            </w:pPr>
            <w:r w:rsidRPr="003D6600">
              <w:t xml:space="preserve">Enhance the implementation of the Law on Ensuring Equality by strengthening the mandate of the Equality Council, including by allowing it to issue binding recommendations and </w:t>
            </w:r>
            <w:r w:rsidR="00086A63">
              <w:t xml:space="preserve">to </w:t>
            </w:r>
            <w:r w:rsidRPr="003D6600">
              <w:t>sanction discrimination, as well as by increasing awareness-raising through education (Finland);</w:t>
            </w:r>
          </w:p>
        </w:tc>
        <w:tc>
          <w:tcPr>
            <w:tcW w:w="1843" w:type="dxa"/>
            <w:shd w:val="clear" w:color="auto" w:fill="auto"/>
          </w:tcPr>
          <w:p w:rsidR="00EE35A4" w:rsidRPr="00EE35A4" w:rsidRDefault="003D6600" w:rsidP="00EE35A4">
            <w:pPr>
              <w:spacing w:before="40" w:after="120"/>
              <w:ind w:right="113"/>
            </w:pPr>
            <w:r w:rsidRPr="003D6600">
              <w:t>Noted</w:t>
            </w:r>
          </w:p>
        </w:tc>
      </w:tr>
      <w:tr w:rsidR="00EE35A4" w:rsidRPr="00EE35A4" w:rsidTr="00EE35A4">
        <w:trPr>
          <w:tblHeader/>
        </w:trPr>
        <w:tc>
          <w:tcPr>
            <w:tcW w:w="1276" w:type="dxa"/>
            <w:shd w:val="clear" w:color="auto" w:fill="auto"/>
          </w:tcPr>
          <w:p w:rsidR="00EE35A4" w:rsidRPr="00EE35A4" w:rsidRDefault="00EE35A4" w:rsidP="00EE35A4">
            <w:pPr>
              <w:spacing w:before="40" w:after="120"/>
              <w:ind w:right="113"/>
            </w:pPr>
            <w:r>
              <w:t>122.25</w:t>
            </w:r>
          </w:p>
        </w:tc>
        <w:tc>
          <w:tcPr>
            <w:tcW w:w="5103" w:type="dxa"/>
            <w:shd w:val="clear" w:color="auto" w:fill="auto"/>
          </w:tcPr>
          <w:p w:rsidR="00EE35A4" w:rsidRPr="00EE35A4" w:rsidRDefault="003D6600" w:rsidP="00EE35A4">
            <w:pPr>
              <w:spacing w:before="40" w:after="120"/>
              <w:ind w:right="113"/>
            </w:pPr>
            <w:r w:rsidRPr="003D6600">
              <w:t>Fully implement recommendations made by the Council for Preventing and Eliminating Discrimination to better ensure the protection against discrimination and equality of all persons (Republic of Korea);</w:t>
            </w:r>
          </w:p>
        </w:tc>
        <w:tc>
          <w:tcPr>
            <w:tcW w:w="1843" w:type="dxa"/>
            <w:shd w:val="clear" w:color="auto" w:fill="auto"/>
          </w:tcPr>
          <w:p w:rsidR="00EE35A4" w:rsidRPr="00EE35A4" w:rsidRDefault="003D6600" w:rsidP="00EE35A4">
            <w:pPr>
              <w:spacing w:before="40" w:after="120"/>
              <w:ind w:right="113"/>
            </w:pPr>
            <w:r w:rsidRPr="003D6600">
              <w:t>Noted</w:t>
            </w:r>
          </w:p>
        </w:tc>
      </w:tr>
      <w:tr w:rsidR="00EE35A4" w:rsidRPr="00EE35A4" w:rsidTr="00EE35A4">
        <w:trPr>
          <w:tblHeader/>
        </w:trPr>
        <w:tc>
          <w:tcPr>
            <w:tcW w:w="1276" w:type="dxa"/>
            <w:shd w:val="clear" w:color="auto" w:fill="auto"/>
          </w:tcPr>
          <w:p w:rsidR="00EE35A4" w:rsidRPr="00EE35A4" w:rsidRDefault="00EE35A4" w:rsidP="00EE35A4">
            <w:pPr>
              <w:spacing w:before="40" w:after="120"/>
              <w:ind w:right="113"/>
            </w:pPr>
            <w:r>
              <w:t>122.26</w:t>
            </w:r>
          </w:p>
        </w:tc>
        <w:tc>
          <w:tcPr>
            <w:tcW w:w="5103" w:type="dxa"/>
            <w:shd w:val="clear" w:color="auto" w:fill="auto"/>
          </w:tcPr>
          <w:p w:rsidR="00EE35A4" w:rsidRPr="00EE35A4" w:rsidRDefault="003D6600" w:rsidP="00EE35A4">
            <w:pPr>
              <w:spacing w:before="40" w:after="120"/>
              <w:ind w:right="113"/>
            </w:pPr>
            <w:r w:rsidRPr="003D6600">
              <w:t>Adopt measures to ensure protection from torture and forced hospitali</w:t>
            </w:r>
            <w:r w:rsidR="00086A63">
              <w:t>z</w:t>
            </w:r>
            <w:r w:rsidRPr="003D6600">
              <w:t>ation and medication in psychiatric institutions (Portugal);</w:t>
            </w:r>
          </w:p>
        </w:tc>
        <w:tc>
          <w:tcPr>
            <w:tcW w:w="1843" w:type="dxa"/>
            <w:shd w:val="clear" w:color="auto" w:fill="auto"/>
          </w:tcPr>
          <w:p w:rsidR="00EE35A4" w:rsidRPr="00EE35A4" w:rsidRDefault="003D6600" w:rsidP="00EE35A4">
            <w:pPr>
              <w:spacing w:before="40" w:after="120"/>
              <w:ind w:right="113"/>
            </w:pPr>
            <w:r w:rsidRPr="003D6600">
              <w:t>Noted</w:t>
            </w:r>
          </w:p>
        </w:tc>
      </w:tr>
      <w:tr w:rsidR="00EE35A4" w:rsidRPr="00EE35A4" w:rsidTr="00EE35A4">
        <w:trPr>
          <w:tblHeader/>
        </w:trPr>
        <w:tc>
          <w:tcPr>
            <w:tcW w:w="1276" w:type="dxa"/>
            <w:shd w:val="clear" w:color="auto" w:fill="auto"/>
          </w:tcPr>
          <w:p w:rsidR="00EE35A4" w:rsidRPr="00EE35A4" w:rsidRDefault="00EE35A4" w:rsidP="00EE35A4">
            <w:pPr>
              <w:spacing w:before="40" w:after="120"/>
              <w:ind w:right="113"/>
            </w:pPr>
            <w:r>
              <w:t>122.27</w:t>
            </w:r>
          </w:p>
        </w:tc>
        <w:tc>
          <w:tcPr>
            <w:tcW w:w="5103" w:type="dxa"/>
            <w:shd w:val="clear" w:color="auto" w:fill="auto"/>
          </w:tcPr>
          <w:p w:rsidR="00EE35A4" w:rsidRPr="00EE35A4" w:rsidRDefault="003D6600" w:rsidP="00EE35A4">
            <w:pPr>
              <w:spacing w:before="40" w:after="120"/>
              <w:ind w:right="113"/>
            </w:pPr>
            <w:r w:rsidRPr="003D6600">
              <w:t>Implement legislation to abolish and effectively combat early and child marriage (Sierra Leone);</w:t>
            </w:r>
          </w:p>
        </w:tc>
        <w:tc>
          <w:tcPr>
            <w:tcW w:w="1843" w:type="dxa"/>
            <w:shd w:val="clear" w:color="auto" w:fill="auto"/>
          </w:tcPr>
          <w:p w:rsidR="00EE35A4" w:rsidRPr="00EE35A4" w:rsidRDefault="003D6600" w:rsidP="00EE35A4">
            <w:pPr>
              <w:spacing w:before="40" w:after="120"/>
              <w:ind w:right="113"/>
            </w:pPr>
            <w:r w:rsidRPr="003D6600">
              <w:t>Noted</w:t>
            </w:r>
          </w:p>
        </w:tc>
      </w:tr>
      <w:tr w:rsidR="00EE35A4" w:rsidRPr="00EE35A4" w:rsidTr="00EE35A4">
        <w:trPr>
          <w:tblHeader/>
        </w:trPr>
        <w:tc>
          <w:tcPr>
            <w:tcW w:w="1276" w:type="dxa"/>
            <w:shd w:val="clear" w:color="auto" w:fill="auto"/>
          </w:tcPr>
          <w:p w:rsidR="00EE35A4" w:rsidRPr="00EE35A4" w:rsidRDefault="00EE35A4" w:rsidP="00EE35A4">
            <w:pPr>
              <w:spacing w:before="40" w:after="120"/>
              <w:ind w:right="113"/>
            </w:pPr>
            <w:r>
              <w:t>122.28</w:t>
            </w:r>
          </w:p>
        </w:tc>
        <w:tc>
          <w:tcPr>
            <w:tcW w:w="5103" w:type="dxa"/>
            <w:shd w:val="clear" w:color="auto" w:fill="auto"/>
          </w:tcPr>
          <w:p w:rsidR="00EE35A4" w:rsidRPr="00EE35A4" w:rsidRDefault="003D6600" w:rsidP="00EE35A4">
            <w:pPr>
              <w:spacing w:before="40" w:after="120"/>
              <w:ind w:right="113"/>
            </w:pPr>
            <w:r w:rsidRPr="003D6600">
              <w:t>Take concrete measures to address the issue of self-censorship among Moldovan journalists (N), limit media ownership concentration and ensure media pluralism (Norway) (S);</w:t>
            </w:r>
          </w:p>
        </w:tc>
        <w:tc>
          <w:tcPr>
            <w:tcW w:w="1843" w:type="dxa"/>
            <w:shd w:val="clear" w:color="auto" w:fill="auto"/>
          </w:tcPr>
          <w:p w:rsidR="00EE35A4" w:rsidRPr="00EE35A4" w:rsidRDefault="00750C00" w:rsidP="00EE35A4">
            <w:pPr>
              <w:spacing w:before="40" w:after="120"/>
              <w:ind w:right="113"/>
            </w:pPr>
            <w:r>
              <w:t>N/S</w:t>
            </w:r>
          </w:p>
        </w:tc>
      </w:tr>
      <w:tr w:rsidR="00EE35A4" w:rsidRPr="00EE35A4" w:rsidTr="00EE35A4">
        <w:trPr>
          <w:tblHeader/>
        </w:trPr>
        <w:tc>
          <w:tcPr>
            <w:tcW w:w="1276" w:type="dxa"/>
            <w:shd w:val="clear" w:color="auto" w:fill="auto"/>
          </w:tcPr>
          <w:p w:rsidR="00EE35A4" w:rsidRPr="00EE35A4" w:rsidRDefault="00EE35A4" w:rsidP="00EE35A4">
            <w:pPr>
              <w:spacing w:before="40" w:after="120"/>
              <w:ind w:right="113"/>
            </w:pPr>
            <w:r>
              <w:t>122.29</w:t>
            </w:r>
          </w:p>
        </w:tc>
        <w:tc>
          <w:tcPr>
            <w:tcW w:w="5103" w:type="dxa"/>
            <w:shd w:val="clear" w:color="auto" w:fill="auto"/>
          </w:tcPr>
          <w:p w:rsidR="00EE35A4" w:rsidRPr="00EE35A4" w:rsidRDefault="003D6600" w:rsidP="00EE35A4">
            <w:pPr>
              <w:spacing w:before="40" w:after="120"/>
              <w:ind w:right="113"/>
            </w:pPr>
            <w:r w:rsidRPr="003D6600">
              <w:t>Step up efforts to improve free medical facilities, reduce high infant mortality rates and high teenage pregnancy rates (Greece);</w:t>
            </w:r>
          </w:p>
        </w:tc>
        <w:tc>
          <w:tcPr>
            <w:tcW w:w="1843" w:type="dxa"/>
            <w:shd w:val="clear" w:color="auto" w:fill="auto"/>
          </w:tcPr>
          <w:p w:rsidR="00EE35A4" w:rsidRPr="00EE35A4" w:rsidRDefault="003D6600" w:rsidP="00EE35A4">
            <w:pPr>
              <w:spacing w:before="40" w:after="120"/>
              <w:ind w:right="113"/>
            </w:pPr>
            <w:r w:rsidRPr="003D6600">
              <w:t>Supported</w:t>
            </w:r>
          </w:p>
        </w:tc>
      </w:tr>
      <w:tr w:rsidR="00EE35A4" w:rsidRPr="00EE35A4" w:rsidTr="00EE35A4">
        <w:trPr>
          <w:tblHeader/>
        </w:trPr>
        <w:tc>
          <w:tcPr>
            <w:tcW w:w="1276" w:type="dxa"/>
            <w:shd w:val="clear" w:color="auto" w:fill="auto"/>
          </w:tcPr>
          <w:p w:rsidR="00EE35A4" w:rsidRPr="00EE35A4" w:rsidRDefault="00EE35A4" w:rsidP="00EE35A4">
            <w:pPr>
              <w:spacing w:before="40" w:after="120"/>
              <w:ind w:right="113"/>
            </w:pPr>
            <w:r>
              <w:t>122.30</w:t>
            </w:r>
          </w:p>
        </w:tc>
        <w:tc>
          <w:tcPr>
            <w:tcW w:w="5103" w:type="dxa"/>
            <w:shd w:val="clear" w:color="auto" w:fill="auto"/>
          </w:tcPr>
          <w:p w:rsidR="00EE35A4" w:rsidRPr="00EE35A4" w:rsidRDefault="003D6600" w:rsidP="00EE35A4">
            <w:pPr>
              <w:spacing w:before="40" w:after="120"/>
              <w:ind w:right="113"/>
            </w:pPr>
            <w:r w:rsidRPr="003D6600">
              <w:t xml:space="preserve">End discrimination </w:t>
            </w:r>
            <w:r w:rsidR="00086A63">
              <w:t>against</w:t>
            </w:r>
            <w:r w:rsidRPr="003D6600">
              <w:t xml:space="preserve"> people with intellectual and psychological disabilities and implement tools to encourage their employment (Croatia);</w:t>
            </w:r>
          </w:p>
        </w:tc>
        <w:tc>
          <w:tcPr>
            <w:tcW w:w="1843" w:type="dxa"/>
            <w:shd w:val="clear" w:color="auto" w:fill="auto"/>
          </w:tcPr>
          <w:p w:rsidR="00EE35A4" w:rsidRPr="00EE35A4" w:rsidRDefault="003D6600" w:rsidP="00EE35A4">
            <w:pPr>
              <w:spacing w:before="40" w:after="120"/>
              <w:ind w:right="113"/>
            </w:pPr>
            <w:r w:rsidRPr="003D6600">
              <w:t>Supported</w:t>
            </w:r>
          </w:p>
        </w:tc>
      </w:tr>
      <w:tr w:rsidR="00EE35A4" w:rsidRPr="00EE35A4" w:rsidTr="00EE35A4">
        <w:trPr>
          <w:tblHeader/>
        </w:trPr>
        <w:tc>
          <w:tcPr>
            <w:tcW w:w="1276" w:type="dxa"/>
            <w:tcBorders>
              <w:bottom w:val="single" w:sz="12" w:space="0" w:color="auto"/>
            </w:tcBorders>
            <w:shd w:val="clear" w:color="auto" w:fill="auto"/>
          </w:tcPr>
          <w:p w:rsidR="00EE35A4" w:rsidRPr="00EE35A4" w:rsidRDefault="00EE35A4" w:rsidP="00EE35A4">
            <w:pPr>
              <w:spacing w:before="40" w:after="120"/>
              <w:ind w:right="113"/>
            </w:pPr>
            <w:r>
              <w:t>122.31</w:t>
            </w:r>
          </w:p>
        </w:tc>
        <w:tc>
          <w:tcPr>
            <w:tcW w:w="5103" w:type="dxa"/>
            <w:tcBorders>
              <w:bottom w:val="single" w:sz="12" w:space="0" w:color="auto"/>
            </w:tcBorders>
            <w:shd w:val="clear" w:color="auto" w:fill="auto"/>
          </w:tcPr>
          <w:p w:rsidR="00EE35A4" w:rsidRPr="00EE35A4" w:rsidRDefault="003D6600" w:rsidP="00EE35A4">
            <w:pPr>
              <w:spacing w:before="40" w:after="120"/>
              <w:ind w:right="113"/>
            </w:pPr>
            <w:r w:rsidRPr="003D6600">
              <w:t>Effectively guarantee the rights of migrants (China).</w:t>
            </w:r>
          </w:p>
        </w:tc>
        <w:tc>
          <w:tcPr>
            <w:tcW w:w="1843" w:type="dxa"/>
            <w:tcBorders>
              <w:bottom w:val="single" w:sz="12" w:space="0" w:color="auto"/>
            </w:tcBorders>
            <w:shd w:val="clear" w:color="auto" w:fill="auto"/>
          </w:tcPr>
          <w:p w:rsidR="00EE35A4" w:rsidRPr="00EE35A4" w:rsidRDefault="003D6600" w:rsidP="00EE35A4">
            <w:pPr>
              <w:spacing w:before="40" w:after="120"/>
              <w:ind w:right="113"/>
            </w:pPr>
            <w:r w:rsidRPr="003D6600">
              <w:t>Supported</w:t>
            </w:r>
          </w:p>
        </w:tc>
      </w:tr>
    </w:tbl>
    <w:p w:rsidR="00EE35A4" w:rsidRDefault="00EE35A4" w:rsidP="00EE35A4"/>
    <w:p w:rsidR="00F57AD5" w:rsidRPr="00F57AD5" w:rsidRDefault="00F57AD5" w:rsidP="00F57AD5">
      <w:pPr>
        <w:pStyle w:val="SingleTxtG"/>
        <w:rPr>
          <w:b/>
        </w:rPr>
      </w:pPr>
      <w:r>
        <w:t>4.</w:t>
      </w:r>
      <w:r>
        <w:tab/>
      </w:r>
      <w:r w:rsidRPr="00F57AD5">
        <w:t>Further below the Republic of Moldova clarifies its position regarding the recommendations that it has noted:</w:t>
      </w:r>
    </w:p>
    <w:p w:rsidR="00F57AD5" w:rsidRPr="00F57AD5" w:rsidRDefault="00F57AD5" w:rsidP="00F57AD5">
      <w:pPr>
        <w:pStyle w:val="SingleTxtG"/>
        <w:rPr>
          <w:lang w:val="en-US"/>
        </w:rPr>
      </w:pPr>
      <w:r w:rsidRPr="00F57AD5">
        <w:rPr>
          <w:b/>
          <w:lang w:val="en-US"/>
        </w:rPr>
        <w:t>122</w:t>
      </w:r>
      <w:r>
        <w:rPr>
          <w:b/>
          <w:lang w:val="en-US"/>
        </w:rPr>
        <w:t>.3</w:t>
      </w:r>
      <w:r w:rsidRPr="00F57AD5">
        <w:rPr>
          <w:b/>
          <w:lang w:val="en-US"/>
        </w:rPr>
        <w:t>–122.9:</w:t>
      </w:r>
      <w:r w:rsidRPr="00F57AD5">
        <w:rPr>
          <w:lang w:val="en-US"/>
        </w:rPr>
        <w:t xml:space="preserve"> Provisions of the International Convention on the Protection of the Rights of All Migrant Workers and Members of their Families</w:t>
      </w:r>
      <w:r w:rsidRPr="00F57AD5">
        <w:rPr>
          <w:i/>
          <w:lang w:val="ro-RO"/>
        </w:rPr>
        <w:t xml:space="preserve"> </w:t>
      </w:r>
      <w:r w:rsidRPr="00F57AD5">
        <w:rPr>
          <w:lang w:val="en-US"/>
        </w:rPr>
        <w:t xml:space="preserve">are considered, for the time being, ineffective for Moldova for several reasons: its provisions are similar to those contained in other international treaties already ratified by the RM such as: Convention No. 181 on Private Employment Agencies; Convention No. 97 on Migration for Employment and European Convention on the Legal Status of Migrant Workers. The RM has signed and ratified 44 conventions regulating labor issues, out of which 3 are dedicated to labor migration. The RM is a </w:t>
      </w:r>
      <w:r w:rsidR="00086A63">
        <w:rPr>
          <w:lang w:val="en-US"/>
        </w:rPr>
        <w:t>S</w:t>
      </w:r>
      <w:r w:rsidRPr="00F57AD5">
        <w:rPr>
          <w:lang w:val="en-US"/>
        </w:rPr>
        <w:t>tate party to the revised European Social Charter, which ensures the implementation of social, health and employment rights of foreigners and members of their famil</w:t>
      </w:r>
      <w:r w:rsidR="00456F4A">
        <w:rPr>
          <w:lang w:val="en-US"/>
        </w:rPr>
        <w:t xml:space="preserve">ies arrived in the RM to work. </w:t>
      </w:r>
      <w:r w:rsidRPr="00F57AD5">
        <w:rPr>
          <w:lang w:val="en-US"/>
        </w:rPr>
        <w:t xml:space="preserve">International treaties, to which Moldova is a </w:t>
      </w:r>
      <w:r w:rsidR="00086A63">
        <w:rPr>
          <w:lang w:val="en-US"/>
        </w:rPr>
        <w:t>S</w:t>
      </w:r>
      <w:r w:rsidRPr="00F57AD5">
        <w:rPr>
          <w:lang w:val="en-US"/>
        </w:rPr>
        <w:t>tate party, have been ratified by most countries of destination of the Moldovan migrant workers, such treaties representing an effective tool to ensure compliance with social and labor rights. The national legal framework related to these matters has been already adjusted to the ratified international treaties and there are no obstacles for their implementation. Ratification of the International Convention on the Protection of the Rights of All Migrant Workers and Members of their Families</w:t>
      </w:r>
      <w:r w:rsidRPr="00F57AD5">
        <w:rPr>
          <w:i/>
          <w:lang w:val="ro-RO"/>
        </w:rPr>
        <w:t xml:space="preserve"> </w:t>
      </w:r>
      <w:r w:rsidRPr="00F57AD5">
        <w:rPr>
          <w:lang w:val="en-US"/>
        </w:rPr>
        <w:t xml:space="preserve">will not guarantee the legal status of our citizens abroad, as </w:t>
      </w:r>
      <w:r w:rsidR="00086A63">
        <w:rPr>
          <w:lang w:val="en-US"/>
        </w:rPr>
        <w:t>S</w:t>
      </w:r>
      <w:r w:rsidRPr="00F57AD5">
        <w:rPr>
          <w:lang w:val="en-US"/>
        </w:rPr>
        <w:t>tates that have ratified the Convention are not countries of destination for Moldovan citizens going to work abroad.</w:t>
      </w:r>
    </w:p>
    <w:p w:rsidR="00F57AD5" w:rsidRPr="00F57AD5" w:rsidRDefault="00F57AD5" w:rsidP="00F57AD5">
      <w:pPr>
        <w:pStyle w:val="SingleTxtG"/>
        <w:rPr>
          <w:lang w:val="en-US"/>
        </w:rPr>
      </w:pPr>
      <w:r w:rsidRPr="00F57AD5">
        <w:rPr>
          <w:b/>
          <w:lang w:val="en-US"/>
        </w:rPr>
        <w:t>122.17; 122.18; 122.19:</w:t>
      </w:r>
      <w:r w:rsidRPr="00F57AD5">
        <w:rPr>
          <w:lang w:val="en-US"/>
        </w:rPr>
        <w:t xml:space="preserve"> The discrimination criteria provided for by Art. </w:t>
      </w:r>
      <w:proofErr w:type="gramStart"/>
      <w:r w:rsidRPr="00F57AD5">
        <w:rPr>
          <w:lang w:val="en-US"/>
        </w:rPr>
        <w:t>1, para.</w:t>
      </w:r>
      <w:proofErr w:type="gramEnd"/>
      <w:r w:rsidRPr="00F57AD5">
        <w:rPr>
          <w:lang w:val="en-US"/>
        </w:rPr>
        <w:t xml:space="preserve"> (1) </w:t>
      </w:r>
      <w:proofErr w:type="gramStart"/>
      <w:r w:rsidRPr="00F57AD5">
        <w:rPr>
          <w:lang w:val="en-US"/>
        </w:rPr>
        <w:t>of</w:t>
      </w:r>
      <w:proofErr w:type="gramEnd"/>
      <w:r w:rsidRPr="00F57AD5">
        <w:rPr>
          <w:lang w:val="en-US"/>
        </w:rPr>
        <w:t xml:space="preserve"> the Law No.121 of 25 May 2012 on Ensuring Equality has an indicative and not a limiting character. Thus, </w:t>
      </w:r>
      <w:r w:rsidRPr="00F57AD5">
        <w:rPr>
          <w:i/>
          <w:lang w:val="en-US"/>
        </w:rPr>
        <w:t>"any other similar criteria"</w:t>
      </w:r>
      <w:r w:rsidRPr="00F57AD5">
        <w:rPr>
          <w:lang w:val="en-US"/>
        </w:rPr>
        <w:t xml:space="preserve"> as specified by the Law No. 121, leaves the space for any other criteria that is not directly regulated by law, but is protected under the human rights guarantees in the same manner. Unlimited are treated as well the areas of applicability of the law (ex: "in the spheres of political, economic, social, cultural and </w:t>
      </w:r>
      <w:r w:rsidRPr="00F57AD5">
        <w:rPr>
          <w:i/>
          <w:lang w:val="en-US"/>
        </w:rPr>
        <w:t>other spheres of life</w:t>
      </w:r>
      <w:r w:rsidRPr="00F57AD5">
        <w:rPr>
          <w:lang w:val="en-US"/>
        </w:rPr>
        <w:t>"). Accordingly, it is not considered relevant widening the list of possible discrimination criteria regulated by the Law No. 121 on Ensuring Equality.</w:t>
      </w:r>
    </w:p>
    <w:p w:rsidR="00F57AD5" w:rsidRPr="00F57AD5" w:rsidRDefault="00F57AD5" w:rsidP="00F57AD5">
      <w:pPr>
        <w:pStyle w:val="SingleTxtG"/>
        <w:rPr>
          <w:lang w:val="en-US"/>
        </w:rPr>
      </w:pPr>
      <w:r w:rsidRPr="00F57AD5">
        <w:rPr>
          <w:b/>
          <w:bCs/>
          <w:lang w:val="en-US"/>
        </w:rPr>
        <w:t>122.24</w:t>
      </w:r>
      <w:r w:rsidRPr="00F57AD5">
        <w:rPr>
          <w:bCs/>
          <w:lang w:val="en-US"/>
        </w:rPr>
        <w:t xml:space="preserve">; </w:t>
      </w:r>
      <w:r w:rsidRPr="00F57AD5">
        <w:rPr>
          <w:b/>
          <w:bCs/>
          <w:lang w:val="en-US"/>
        </w:rPr>
        <w:t>122.25</w:t>
      </w:r>
      <w:r w:rsidRPr="00F57AD5">
        <w:rPr>
          <w:bCs/>
          <w:lang w:val="en-US"/>
        </w:rPr>
        <w:t xml:space="preserve">: </w:t>
      </w:r>
      <w:r w:rsidRPr="00F57AD5">
        <w:rPr>
          <w:lang w:val="en-US"/>
        </w:rPr>
        <w:t xml:space="preserve">According to art. 423/5 of the Code on Administrative Offences of the Republic of Moldova (hereinafter – the RM), the Council </w:t>
      </w:r>
      <w:r w:rsidRPr="00F57AD5">
        <w:rPr>
          <w:b/>
          <w:bCs/>
          <w:lang w:val="en-US"/>
        </w:rPr>
        <w:t xml:space="preserve">on the Prevention and Elimination of Discrimination and Ensuring Equality </w:t>
      </w:r>
      <w:r w:rsidRPr="00F57AD5">
        <w:rPr>
          <w:lang w:val="en-US"/>
        </w:rPr>
        <w:t xml:space="preserve">has a mandate of a supervising agent over all the components of administrative offenses involving discrimination. The Council thus participates in the punitive policy of the </w:t>
      </w:r>
      <w:r w:rsidR="006D2CBF">
        <w:rPr>
          <w:lang w:val="en-US"/>
        </w:rPr>
        <w:t>S</w:t>
      </w:r>
      <w:r w:rsidRPr="00F57AD5">
        <w:rPr>
          <w:lang w:val="en-US"/>
        </w:rPr>
        <w:t xml:space="preserve">tate by ascertaining the role of an agent. However, due to the need for the contravention being examined by an entity disinterested in the outcome of the process, ensuring by this the right to a fair trial, it is considered that it has to be examined by a court of law. The Council represents the prosecution and has an interest in the punishment of the perpetrator. Furthermore, a sanction directly applied by the Council does not deprive a person of his/her right to appeal to a court of law in order to contest it; this will be the court of law who will appreciate the proportionality of the established penalty for committing </w:t>
      </w:r>
      <w:r>
        <w:rPr>
          <w:lang w:val="en-US"/>
        </w:rPr>
        <w:t>the offense.</w:t>
      </w:r>
    </w:p>
    <w:p w:rsidR="00F57AD5" w:rsidRPr="00F57AD5" w:rsidRDefault="00F57AD5" w:rsidP="00F57AD5">
      <w:pPr>
        <w:pStyle w:val="SingleTxtG"/>
        <w:rPr>
          <w:lang w:val="en-US"/>
        </w:rPr>
      </w:pPr>
      <w:r w:rsidRPr="00F57AD5">
        <w:rPr>
          <w:b/>
          <w:lang w:val="en-US"/>
        </w:rPr>
        <w:t>122.26:</w:t>
      </w:r>
      <w:r w:rsidRPr="00F57AD5">
        <w:rPr>
          <w:lang w:val="en-US"/>
        </w:rPr>
        <w:t xml:space="preserve"> The Republic of Moldova is committed to ensure the rights and freedoms of persons suffering from mental disorders in the psychiatric i</w:t>
      </w:r>
      <w:r w:rsidR="000A6047">
        <w:rPr>
          <w:lang w:val="en-US"/>
        </w:rPr>
        <w:t>n</w:t>
      </w:r>
      <w:r w:rsidRPr="00F57AD5">
        <w:rPr>
          <w:lang w:val="en-US"/>
        </w:rPr>
        <w:t xml:space="preserve">patient hospitalization </w:t>
      </w:r>
      <w:r w:rsidR="00456F4A">
        <w:rPr>
          <w:lang w:val="en-US"/>
        </w:rPr>
        <w:t>and</w:t>
      </w:r>
      <w:r w:rsidRPr="00F57AD5">
        <w:rPr>
          <w:lang w:val="en-US"/>
        </w:rPr>
        <w:t>/or following the treatment with his/her free consent (or legal representative if applicable)</w:t>
      </w:r>
      <w:r w:rsidR="00456F4A">
        <w:rPr>
          <w:lang w:val="en-US"/>
        </w:rPr>
        <w:t xml:space="preserve">. </w:t>
      </w:r>
      <w:r w:rsidRPr="00F57AD5">
        <w:rPr>
          <w:lang w:val="en-US"/>
        </w:rPr>
        <w:t xml:space="preserve">The excepted cases are situations of psychiatric emergency as mental heterogeneous disorders which require immediate intervention and the highest quality assistance in order to reduce major risks to life, serious injury or threat to the physical integrity of the respective person or others. According to the national legal framework, these situations have an exclusive character and serve as reasons for the forced hospitalization of the person according to art. </w:t>
      </w:r>
      <w:proofErr w:type="gramStart"/>
      <w:r w:rsidRPr="00F57AD5">
        <w:rPr>
          <w:lang w:val="en-US"/>
        </w:rPr>
        <w:t>28 of the Law No. 1402 of 16 December 1997 on mental health.</w:t>
      </w:r>
      <w:proofErr w:type="gramEnd"/>
      <w:r w:rsidRPr="00F57AD5">
        <w:rPr>
          <w:lang w:val="en-US"/>
        </w:rPr>
        <w:t xml:space="preserve"> In these cases, according to provisions of Articles 31 and 32 of the Law No. 1402 and Articles 309-318 of the Civil Procedure Code of the RM, a judicial examination by a court of law of the decision of approval/refusal of the forced hospitalization/forced treatment in inpatient psychiatry is mandatory. The examination is ensured in a public trial, respecting the right to defense of the concerned person fully guaranteeing, by these means, the rights and freedoms of persons whose hospitalization and for</w:t>
      </w:r>
      <w:r>
        <w:rPr>
          <w:lang w:val="en-US"/>
        </w:rPr>
        <w:t>ced treatment is requested.</w:t>
      </w:r>
    </w:p>
    <w:p w:rsidR="00F57AD5" w:rsidRPr="00F57AD5" w:rsidRDefault="00F57AD5" w:rsidP="00F57AD5">
      <w:pPr>
        <w:pStyle w:val="SingleTxtG"/>
        <w:rPr>
          <w:lang w:val="en-US"/>
        </w:rPr>
      </w:pPr>
      <w:r w:rsidRPr="00F57AD5">
        <w:rPr>
          <w:b/>
          <w:lang w:val="en-US"/>
        </w:rPr>
        <w:t>122.27:</w:t>
      </w:r>
      <w:r w:rsidRPr="00F57AD5">
        <w:rPr>
          <w:lang w:val="ro-RO"/>
        </w:rPr>
        <w:t xml:space="preserve"> </w:t>
      </w:r>
      <w:r w:rsidRPr="00F57AD5">
        <w:rPr>
          <w:lang w:val="en-US"/>
        </w:rPr>
        <w:t>According to the Family Code (Law no. 1316 of 26.10.2000) and Law No. 100 of 26.04.2001 on civil status, the matrimonial age in the Republic of Moldova is 18 years. This age can be lowered, in exceptional cases, but by no more than two years. Reduction of matrimonial age is, by law, accepted by the local governmental authority in whose jurisdiction individuals wishing to marry are registered, based on their application and the parents' or guardians' agreement. Early and child marriage is not considered a matter of conce</w:t>
      </w:r>
      <w:r>
        <w:rPr>
          <w:lang w:val="en-US"/>
        </w:rPr>
        <w:t>rn for the Moldovan Government.</w:t>
      </w:r>
    </w:p>
    <w:p w:rsidR="00F57AD5" w:rsidRPr="00F57AD5" w:rsidRDefault="00F57AD5" w:rsidP="00F57AD5">
      <w:pPr>
        <w:pStyle w:val="SingleTxtG"/>
        <w:rPr>
          <w:lang w:val="en-US"/>
        </w:rPr>
      </w:pPr>
      <w:r>
        <w:rPr>
          <w:lang w:val="en-US"/>
        </w:rPr>
        <w:t>5.</w:t>
      </w:r>
      <w:r>
        <w:rPr>
          <w:lang w:val="en-US"/>
        </w:rPr>
        <w:tab/>
      </w:r>
      <w:r w:rsidRPr="00F57AD5">
        <w:rPr>
          <w:lang w:val="en-US"/>
        </w:rPr>
        <w:t>The table below provides statistical data on the marriages registered during the past three years in cases of persons between the age of 16 and 18</w:t>
      </w:r>
      <w:r w:rsidR="00456F4A">
        <w:rPr>
          <w:lang w:val="en-US"/>
        </w:rPr>
        <w:t>.</w:t>
      </w:r>
    </w:p>
    <w:p w:rsidR="00750C00" w:rsidRDefault="00F57AD5" w:rsidP="00F57AD5">
      <w:pPr>
        <w:pStyle w:val="Heading1"/>
        <w:rPr>
          <w:lang w:val="en-US"/>
        </w:rPr>
      </w:pPr>
      <w:r w:rsidRPr="00F57AD5">
        <w:rPr>
          <w:lang w:val="ro-RO"/>
        </w:rPr>
        <w:t xml:space="preserve">Table 2. </w:t>
      </w:r>
      <w:r w:rsidR="00456F4A">
        <w:rPr>
          <w:lang w:val="ro-RO"/>
        </w:rPr>
        <w:t>Marriages</w:t>
      </w:r>
      <w:r w:rsidRPr="00F57AD5">
        <w:rPr>
          <w:lang w:val="en-US"/>
        </w:rPr>
        <w:t xml:space="preserve"> among minors (age between 16–18 years)</w:t>
      </w:r>
      <w:r w:rsidR="00456F4A">
        <w:rPr>
          <w:lang w:val="en-US"/>
        </w:rPr>
        <w:t xml:space="preserve"> </w:t>
      </w:r>
      <w:r w:rsidRPr="00F57AD5">
        <w:rPr>
          <w:lang w:val="en-US"/>
        </w:rPr>
        <w:t>in the Republic of Moldova</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3402"/>
        <w:gridCol w:w="2948"/>
      </w:tblGrid>
      <w:tr w:rsidR="00F57AD5" w:rsidRPr="00F57AD5" w:rsidTr="00456F4A">
        <w:tc>
          <w:tcPr>
            <w:tcW w:w="1021" w:type="dxa"/>
            <w:tcBorders>
              <w:top w:val="single" w:sz="4" w:space="0" w:color="auto"/>
              <w:bottom w:val="single" w:sz="12" w:space="0" w:color="auto"/>
            </w:tcBorders>
            <w:shd w:val="clear" w:color="auto" w:fill="auto"/>
            <w:vAlign w:val="bottom"/>
          </w:tcPr>
          <w:p w:rsidR="00F57AD5" w:rsidRPr="00F57AD5" w:rsidRDefault="00F57AD5" w:rsidP="00F57AD5">
            <w:pPr>
              <w:spacing w:before="80" w:after="80" w:line="200" w:lineRule="exact"/>
              <w:rPr>
                <w:i/>
                <w:sz w:val="16"/>
              </w:rPr>
            </w:pPr>
            <w:r>
              <w:rPr>
                <w:i/>
                <w:sz w:val="16"/>
              </w:rPr>
              <w:t>Year</w:t>
            </w:r>
          </w:p>
        </w:tc>
        <w:tc>
          <w:tcPr>
            <w:tcW w:w="3402" w:type="dxa"/>
            <w:tcBorders>
              <w:top w:val="single" w:sz="4" w:space="0" w:color="auto"/>
              <w:bottom w:val="single" w:sz="12" w:space="0" w:color="auto"/>
            </w:tcBorders>
            <w:shd w:val="clear" w:color="auto" w:fill="auto"/>
            <w:vAlign w:val="bottom"/>
          </w:tcPr>
          <w:p w:rsidR="000A6047" w:rsidRDefault="000A6047" w:rsidP="00F57AD5">
            <w:pPr>
              <w:spacing w:before="80" w:after="80" w:line="200" w:lineRule="exact"/>
              <w:jc w:val="right"/>
              <w:rPr>
                <w:i/>
                <w:sz w:val="16"/>
                <w:lang w:val="ro-RO"/>
              </w:rPr>
            </w:pPr>
            <w:r w:rsidRPr="000A6047">
              <w:rPr>
                <w:i/>
                <w:sz w:val="16"/>
                <w:lang w:val="ro-RO"/>
              </w:rPr>
              <w:t xml:space="preserve">Number of marriages/minors </w:t>
            </w:r>
          </w:p>
          <w:p w:rsidR="00F57AD5" w:rsidRPr="00F57AD5" w:rsidRDefault="000A6047" w:rsidP="00F57AD5">
            <w:pPr>
              <w:spacing w:before="80" w:after="80" w:line="200" w:lineRule="exact"/>
              <w:jc w:val="right"/>
              <w:rPr>
                <w:i/>
                <w:sz w:val="16"/>
              </w:rPr>
            </w:pPr>
            <w:r w:rsidRPr="000A6047">
              <w:rPr>
                <w:i/>
                <w:sz w:val="16"/>
                <w:lang w:val="ro-RO"/>
              </w:rPr>
              <w:t>minimum age between 16 – 18 years</w:t>
            </w:r>
          </w:p>
        </w:tc>
        <w:tc>
          <w:tcPr>
            <w:tcW w:w="2948" w:type="dxa"/>
            <w:tcBorders>
              <w:top w:val="single" w:sz="4" w:space="0" w:color="auto"/>
              <w:bottom w:val="single" w:sz="12" w:space="0" w:color="auto"/>
            </w:tcBorders>
            <w:shd w:val="clear" w:color="auto" w:fill="auto"/>
            <w:vAlign w:val="bottom"/>
          </w:tcPr>
          <w:p w:rsidR="00F57AD5" w:rsidRPr="00F57AD5" w:rsidRDefault="00F57AD5" w:rsidP="00F57AD5">
            <w:pPr>
              <w:spacing w:before="80" w:after="80" w:line="200" w:lineRule="exact"/>
              <w:jc w:val="right"/>
              <w:rPr>
                <w:i/>
                <w:sz w:val="16"/>
              </w:rPr>
            </w:pPr>
            <w:r w:rsidRPr="00F57AD5">
              <w:rPr>
                <w:i/>
                <w:sz w:val="16"/>
                <w:lang w:val="ro-RO"/>
              </w:rPr>
              <w:t>Total number of marriages/year</w:t>
            </w:r>
          </w:p>
        </w:tc>
      </w:tr>
      <w:tr w:rsidR="00F57AD5" w:rsidRPr="00F57AD5" w:rsidTr="00456F4A">
        <w:tc>
          <w:tcPr>
            <w:tcW w:w="1021" w:type="dxa"/>
            <w:tcBorders>
              <w:top w:val="single" w:sz="12" w:space="0" w:color="auto"/>
            </w:tcBorders>
            <w:shd w:val="clear" w:color="auto" w:fill="auto"/>
            <w:vAlign w:val="bottom"/>
          </w:tcPr>
          <w:p w:rsidR="00F57AD5" w:rsidRPr="00F57AD5" w:rsidRDefault="00F57AD5" w:rsidP="00F57AD5">
            <w:pPr>
              <w:spacing w:before="40" w:after="40" w:line="220" w:lineRule="exact"/>
              <w:rPr>
                <w:sz w:val="18"/>
              </w:rPr>
            </w:pPr>
            <w:r>
              <w:rPr>
                <w:sz w:val="18"/>
              </w:rPr>
              <w:t>2016</w:t>
            </w:r>
          </w:p>
        </w:tc>
        <w:tc>
          <w:tcPr>
            <w:tcW w:w="3402" w:type="dxa"/>
            <w:tcBorders>
              <w:top w:val="single" w:sz="12" w:space="0" w:color="auto"/>
            </w:tcBorders>
            <w:shd w:val="clear" w:color="auto" w:fill="auto"/>
            <w:vAlign w:val="bottom"/>
          </w:tcPr>
          <w:p w:rsidR="00F57AD5" w:rsidRPr="00F57AD5" w:rsidRDefault="00F57AD5" w:rsidP="00F57AD5">
            <w:pPr>
              <w:spacing w:before="40" w:after="40" w:line="220" w:lineRule="exact"/>
              <w:jc w:val="right"/>
              <w:rPr>
                <w:sz w:val="18"/>
              </w:rPr>
            </w:pPr>
            <w:r>
              <w:rPr>
                <w:sz w:val="18"/>
              </w:rPr>
              <w:t>201</w:t>
            </w:r>
          </w:p>
        </w:tc>
        <w:tc>
          <w:tcPr>
            <w:tcW w:w="2948" w:type="dxa"/>
            <w:tcBorders>
              <w:top w:val="single" w:sz="12" w:space="0" w:color="auto"/>
            </w:tcBorders>
            <w:shd w:val="clear" w:color="auto" w:fill="auto"/>
            <w:vAlign w:val="bottom"/>
          </w:tcPr>
          <w:p w:rsidR="00F57AD5" w:rsidRPr="00F57AD5" w:rsidRDefault="00F57AD5" w:rsidP="00F57AD5">
            <w:pPr>
              <w:spacing w:before="40" w:after="40" w:line="220" w:lineRule="exact"/>
              <w:jc w:val="right"/>
              <w:rPr>
                <w:sz w:val="18"/>
              </w:rPr>
            </w:pPr>
            <w:r>
              <w:rPr>
                <w:sz w:val="18"/>
              </w:rPr>
              <w:t>22,090</w:t>
            </w:r>
          </w:p>
        </w:tc>
      </w:tr>
      <w:tr w:rsidR="00F57AD5" w:rsidRPr="00F57AD5" w:rsidTr="00456F4A">
        <w:tc>
          <w:tcPr>
            <w:tcW w:w="1021" w:type="dxa"/>
            <w:shd w:val="clear" w:color="auto" w:fill="auto"/>
            <w:vAlign w:val="bottom"/>
          </w:tcPr>
          <w:p w:rsidR="00F57AD5" w:rsidRPr="00F57AD5" w:rsidRDefault="00F57AD5" w:rsidP="00F57AD5">
            <w:pPr>
              <w:spacing w:before="40" w:after="40" w:line="220" w:lineRule="exact"/>
              <w:rPr>
                <w:sz w:val="18"/>
              </w:rPr>
            </w:pPr>
            <w:r>
              <w:rPr>
                <w:sz w:val="18"/>
              </w:rPr>
              <w:t>2015</w:t>
            </w:r>
          </w:p>
        </w:tc>
        <w:tc>
          <w:tcPr>
            <w:tcW w:w="3402" w:type="dxa"/>
            <w:shd w:val="clear" w:color="auto" w:fill="auto"/>
            <w:vAlign w:val="bottom"/>
          </w:tcPr>
          <w:p w:rsidR="00F57AD5" w:rsidRPr="00F57AD5" w:rsidRDefault="00F57AD5" w:rsidP="00F57AD5">
            <w:pPr>
              <w:spacing w:before="40" w:after="40" w:line="220" w:lineRule="exact"/>
              <w:jc w:val="right"/>
              <w:rPr>
                <w:sz w:val="18"/>
              </w:rPr>
            </w:pPr>
            <w:r>
              <w:rPr>
                <w:sz w:val="18"/>
              </w:rPr>
              <w:t>191</w:t>
            </w:r>
          </w:p>
        </w:tc>
        <w:tc>
          <w:tcPr>
            <w:tcW w:w="2948" w:type="dxa"/>
            <w:shd w:val="clear" w:color="auto" w:fill="auto"/>
            <w:vAlign w:val="bottom"/>
          </w:tcPr>
          <w:p w:rsidR="00F57AD5" w:rsidRPr="00F57AD5" w:rsidRDefault="00F57AD5" w:rsidP="00F57AD5">
            <w:pPr>
              <w:spacing w:before="40" w:after="40" w:line="220" w:lineRule="exact"/>
              <w:jc w:val="right"/>
              <w:rPr>
                <w:sz w:val="18"/>
              </w:rPr>
            </w:pPr>
            <w:r>
              <w:rPr>
                <w:sz w:val="18"/>
              </w:rPr>
              <w:t>23,717</w:t>
            </w:r>
          </w:p>
        </w:tc>
      </w:tr>
      <w:tr w:rsidR="00F57AD5" w:rsidRPr="00F57AD5" w:rsidTr="00456F4A">
        <w:tc>
          <w:tcPr>
            <w:tcW w:w="1021" w:type="dxa"/>
            <w:tcBorders>
              <w:bottom w:val="single" w:sz="12" w:space="0" w:color="auto"/>
            </w:tcBorders>
            <w:shd w:val="clear" w:color="auto" w:fill="auto"/>
            <w:vAlign w:val="bottom"/>
          </w:tcPr>
          <w:p w:rsidR="00F57AD5" w:rsidRPr="00F57AD5" w:rsidRDefault="00F57AD5" w:rsidP="00F57AD5">
            <w:pPr>
              <w:spacing w:before="40" w:after="40" w:line="220" w:lineRule="exact"/>
              <w:rPr>
                <w:sz w:val="18"/>
              </w:rPr>
            </w:pPr>
            <w:r>
              <w:rPr>
                <w:sz w:val="18"/>
              </w:rPr>
              <w:t>2014</w:t>
            </w:r>
          </w:p>
        </w:tc>
        <w:tc>
          <w:tcPr>
            <w:tcW w:w="3402" w:type="dxa"/>
            <w:tcBorders>
              <w:bottom w:val="single" w:sz="12" w:space="0" w:color="auto"/>
            </w:tcBorders>
            <w:shd w:val="clear" w:color="auto" w:fill="auto"/>
            <w:vAlign w:val="bottom"/>
          </w:tcPr>
          <w:p w:rsidR="00F57AD5" w:rsidRPr="00F57AD5" w:rsidRDefault="00F57AD5" w:rsidP="00F57AD5">
            <w:pPr>
              <w:spacing w:before="40" w:after="40" w:line="220" w:lineRule="exact"/>
              <w:jc w:val="right"/>
              <w:rPr>
                <w:sz w:val="18"/>
              </w:rPr>
            </w:pPr>
            <w:r>
              <w:rPr>
                <w:sz w:val="18"/>
              </w:rPr>
              <w:t>230</w:t>
            </w:r>
          </w:p>
        </w:tc>
        <w:tc>
          <w:tcPr>
            <w:tcW w:w="2948" w:type="dxa"/>
            <w:tcBorders>
              <w:bottom w:val="single" w:sz="12" w:space="0" w:color="auto"/>
            </w:tcBorders>
            <w:shd w:val="clear" w:color="auto" w:fill="auto"/>
            <w:vAlign w:val="bottom"/>
          </w:tcPr>
          <w:p w:rsidR="00F57AD5" w:rsidRPr="00F57AD5" w:rsidRDefault="00F57AD5" w:rsidP="00F57AD5">
            <w:pPr>
              <w:spacing w:before="40" w:after="40" w:line="220" w:lineRule="exact"/>
              <w:jc w:val="right"/>
              <w:rPr>
                <w:sz w:val="18"/>
              </w:rPr>
            </w:pPr>
            <w:r>
              <w:rPr>
                <w:sz w:val="18"/>
              </w:rPr>
              <w:t>24,254</w:t>
            </w:r>
          </w:p>
        </w:tc>
      </w:tr>
    </w:tbl>
    <w:p w:rsidR="00456F4A" w:rsidRDefault="00456F4A" w:rsidP="00456F4A">
      <w:pPr>
        <w:pStyle w:val="SingleTxtG"/>
        <w:rPr>
          <w:lang w:val="en-US"/>
        </w:rPr>
      </w:pPr>
      <w:r w:rsidRPr="00456F4A">
        <w:rPr>
          <w:b/>
          <w:lang w:val="ro-RO"/>
        </w:rPr>
        <w:t>122.28</w:t>
      </w:r>
      <w:r w:rsidRPr="00456F4A">
        <w:rPr>
          <w:lang w:val="ro-RO"/>
        </w:rPr>
        <w:t xml:space="preserve">: </w:t>
      </w:r>
      <w:r w:rsidRPr="00456F4A">
        <w:rPr>
          <w:lang w:val="en-US"/>
        </w:rPr>
        <w:t>The data of the Coordinating Council of the Audiovisual (CCA) shows no registered/received complaints/cases on self-censorship of any journalists in Moldova. Each person, journalist, blogger and civic activist in the country is granted the full freedom to write what/when he wants by using, in this respect, TV and Radio, print media and social networks. For example, recent reports of the presidential election monitoring developed by CCA certified that some broadcasters under Moldovan jurisdiction reflected in a fair, balanced and impartial manner the electoral candidates, while others did not respect the socio-political pluralism and opinion, reflecting in a biased manner (favoring/disadvantaged) the electoral candidates.</w:t>
      </w:r>
    </w:p>
    <w:p w:rsidR="009C5981" w:rsidRPr="00456F4A" w:rsidRDefault="009C5981" w:rsidP="009C5981">
      <w:pPr>
        <w:pStyle w:val="H4G"/>
        <w:rPr>
          <w:lang w:val="en-US"/>
        </w:rPr>
      </w:pPr>
      <w:r>
        <w:rPr>
          <w:lang w:val="en-US"/>
        </w:rPr>
        <w:t>Notes</w:t>
      </w:r>
    </w:p>
    <w:sectPr w:rsidR="009C5981" w:rsidRPr="00456F4A" w:rsidSect="00735C38">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C38" w:rsidRDefault="00735C38"/>
  </w:endnote>
  <w:endnote w:type="continuationSeparator" w:id="0">
    <w:p w:rsidR="00735C38" w:rsidRDefault="00735C38"/>
  </w:endnote>
  <w:endnote w:type="continuationNotice" w:id="1">
    <w:p w:rsidR="00735C38" w:rsidRDefault="00735C38"/>
  </w:endnote>
  <w:endnote w:id="2">
    <w:p w:rsidR="009C5981" w:rsidRDefault="009C5981" w:rsidP="009C5981">
      <w:pPr>
        <w:pStyle w:val="EndnoteText"/>
        <w:widowControl w:val="0"/>
        <w:tabs>
          <w:tab w:val="clear" w:pos="1021"/>
          <w:tab w:val="right" w:pos="1020"/>
        </w:tabs>
      </w:pPr>
      <w:r>
        <w:tab/>
      </w:r>
      <w:r>
        <w:rPr>
          <w:rStyle w:val="EndnoteReference"/>
        </w:rPr>
        <w:endnoteRef/>
      </w:r>
      <w:r>
        <w:tab/>
      </w:r>
      <w:r w:rsidRPr="009C5981">
        <w:rPr>
          <w:lang w:val="en-US"/>
        </w:rPr>
        <w:t xml:space="preserve">Listed under paragraph 123 of the Report of the Working Group on the Universal Periodic Review of the Republic of Moldova </w:t>
      </w:r>
      <w:hyperlink r:id="rId1" w:history="1">
        <w:r w:rsidRPr="009C5981">
          <w:rPr>
            <w:rStyle w:val="Hyperlink"/>
            <w:lang w:val="en-US"/>
          </w:rPr>
          <w:t>https://documents-dds-ny.un.org/doc/UNDOC/GEN/G16/436/71/PDF/G1643671.pdf?OpenElement</w:t>
        </w:r>
      </w:hyperlink>
      <w:r>
        <w:t xml:space="preserve"> </w:t>
      </w:r>
    </w:p>
  </w:endnote>
  <w:endnote w:id="3">
    <w:p w:rsidR="009C5981" w:rsidRDefault="009C5981" w:rsidP="009C5981">
      <w:pPr>
        <w:pStyle w:val="EndnoteText"/>
        <w:widowControl w:val="0"/>
        <w:tabs>
          <w:tab w:val="clear" w:pos="1021"/>
          <w:tab w:val="right" w:pos="1020"/>
        </w:tabs>
      </w:pPr>
      <w:r>
        <w:tab/>
      </w:r>
      <w:r>
        <w:rPr>
          <w:rStyle w:val="EndnoteReference"/>
        </w:rPr>
        <w:endnoteRef/>
      </w:r>
      <w:r>
        <w:tab/>
      </w:r>
      <w:r w:rsidRPr="009C5981">
        <w:rPr>
          <w:lang w:val="en-US"/>
        </w:rPr>
        <w:t xml:space="preserve">Listed under paragraph 122 of the Report of the Working Group on the Universal Periodic Review of the Republic of Moldova </w:t>
      </w:r>
      <w:hyperlink r:id="rId2" w:history="1">
        <w:r w:rsidRPr="009C5981">
          <w:rPr>
            <w:rStyle w:val="Hyperlink"/>
          </w:rPr>
          <w:t>https://documents-dds-ny.un.org/doc/UNDOC/GEN/G16/436/71/PDF/G1643671.pdf?OpenElement</w:t>
        </w:r>
      </w:hyperlink>
    </w:p>
    <w:p w:rsidR="009C5981" w:rsidRPr="009C5981" w:rsidRDefault="009C5981" w:rsidP="009C598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8" w:rsidRPr="00735C38" w:rsidRDefault="00735C38" w:rsidP="00735C38">
    <w:pPr>
      <w:pStyle w:val="Footer"/>
      <w:tabs>
        <w:tab w:val="right" w:pos="9638"/>
      </w:tabs>
    </w:pPr>
    <w:r w:rsidRPr="00735C38">
      <w:rPr>
        <w:b/>
        <w:sz w:val="18"/>
      </w:rPr>
      <w:fldChar w:fldCharType="begin"/>
    </w:r>
    <w:r w:rsidRPr="00735C38">
      <w:rPr>
        <w:b/>
        <w:sz w:val="18"/>
      </w:rPr>
      <w:instrText xml:space="preserve"> PAGE  \* MERGEFORMAT </w:instrText>
    </w:r>
    <w:r w:rsidRPr="00735C38">
      <w:rPr>
        <w:b/>
        <w:sz w:val="18"/>
      </w:rPr>
      <w:fldChar w:fldCharType="separate"/>
    </w:r>
    <w:r w:rsidR="00BC2CFF">
      <w:rPr>
        <w:b/>
        <w:noProof/>
        <w:sz w:val="18"/>
      </w:rPr>
      <w:t>6</w:t>
    </w:r>
    <w:r w:rsidRPr="00735C3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8" w:rsidRPr="00735C38" w:rsidRDefault="00735C38" w:rsidP="00735C38">
    <w:pPr>
      <w:pStyle w:val="Footer"/>
      <w:tabs>
        <w:tab w:val="right" w:pos="9638"/>
      </w:tabs>
      <w:rPr>
        <w:b/>
        <w:sz w:val="18"/>
      </w:rPr>
    </w:pPr>
    <w:r>
      <w:tab/>
    </w:r>
    <w:r w:rsidRPr="00735C38">
      <w:rPr>
        <w:b/>
        <w:sz w:val="18"/>
      </w:rPr>
      <w:fldChar w:fldCharType="begin"/>
    </w:r>
    <w:r w:rsidRPr="00735C38">
      <w:rPr>
        <w:b/>
        <w:sz w:val="18"/>
      </w:rPr>
      <w:instrText xml:space="preserve"> PAGE  \* MERGEFORMAT </w:instrText>
    </w:r>
    <w:r w:rsidRPr="00735C38">
      <w:rPr>
        <w:b/>
        <w:sz w:val="18"/>
      </w:rPr>
      <w:fldChar w:fldCharType="separate"/>
    </w:r>
    <w:r w:rsidR="00BC2CFF">
      <w:rPr>
        <w:b/>
        <w:noProof/>
        <w:sz w:val="18"/>
      </w:rPr>
      <w:t>5</w:t>
    </w:r>
    <w:r w:rsidRPr="00735C3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C38" w:rsidRPr="000B175B" w:rsidRDefault="00735C38" w:rsidP="000B175B">
      <w:pPr>
        <w:tabs>
          <w:tab w:val="right" w:pos="2155"/>
        </w:tabs>
        <w:spacing w:after="80"/>
        <w:ind w:left="680"/>
        <w:rPr>
          <w:u w:val="single"/>
        </w:rPr>
      </w:pPr>
      <w:r>
        <w:rPr>
          <w:u w:val="single"/>
        </w:rPr>
        <w:tab/>
      </w:r>
    </w:p>
  </w:footnote>
  <w:footnote w:type="continuationSeparator" w:id="0">
    <w:p w:rsidR="00735C38" w:rsidRPr="00FC68B7" w:rsidRDefault="00735C38" w:rsidP="00FC68B7">
      <w:pPr>
        <w:tabs>
          <w:tab w:val="left" w:pos="2155"/>
        </w:tabs>
        <w:spacing w:after="80"/>
        <w:ind w:left="680"/>
        <w:rPr>
          <w:u w:val="single"/>
        </w:rPr>
      </w:pPr>
      <w:r>
        <w:rPr>
          <w:u w:val="single"/>
        </w:rPr>
        <w:tab/>
      </w:r>
    </w:p>
  </w:footnote>
  <w:footnote w:type="continuationNotice" w:id="1">
    <w:p w:rsidR="00735C38" w:rsidRDefault="00735C38"/>
  </w:footnote>
  <w:footnote w:id="2">
    <w:p w:rsidR="00735C38" w:rsidRDefault="00735C38" w:rsidP="00735C38">
      <w:pPr>
        <w:pStyle w:val="FootnoteText"/>
        <w:rPr>
          <w:szCs w:val="18"/>
        </w:rPr>
      </w:pPr>
      <w:r>
        <w:tab/>
      </w:r>
      <w:r w:rsidRPr="00606DB7">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8" w:rsidRPr="00735C38" w:rsidRDefault="00735C38">
    <w:pPr>
      <w:pStyle w:val="Header"/>
    </w:pPr>
    <w:r>
      <w:t>A/HRC/34/12/Add.1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8" w:rsidRPr="00735C38" w:rsidRDefault="00735C38" w:rsidP="00735C38">
    <w:pPr>
      <w:pStyle w:val="Header"/>
      <w:jc w:val="right"/>
    </w:pPr>
    <w:r>
      <w:t>A/HRC/34/12/Add.1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0F6412"/>
    <w:multiLevelType w:val="hybridMultilevel"/>
    <w:tmpl w:val="B7E8D9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6"/>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38"/>
    <w:rsid w:val="00007F7F"/>
    <w:rsid w:val="00022DB5"/>
    <w:rsid w:val="000403D1"/>
    <w:rsid w:val="000449AA"/>
    <w:rsid w:val="00050F6B"/>
    <w:rsid w:val="00066854"/>
    <w:rsid w:val="00072C8C"/>
    <w:rsid w:val="00073E70"/>
    <w:rsid w:val="00086A63"/>
    <w:rsid w:val="000876EB"/>
    <w:rsid w:val="00091419"/>
    <w:rsid w:val="000931C0"/>
    <w:rsid w:val="000A6047"/>
    <w:rsid w:val="000B175B"/>
    <w:rsid w:val="000B3A0F"/>
    <w:rsid w:val="000B4A3B"/>
    <w:rsid w:val="000D1851"/>
    <w:rsid w:val="000E0415"/>
    <w:rsid w:val="0010574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C21F0"/>
    <w:rsid w:val="003107FA"/>
    <w:rsid w:val="00317977"/>
    <w:rsid w:val="003229D8"/>
    <w:rsid w:val="003314D1"/>
    <w:rsid w:val="00335A2F"/>
    <w:rsid w:val="00341937"/>
    <w:rsid w:val="0039277A"/>
    <w:rsid w:val="003972E0"/>
    <w:rsid w:val="003975ED"/>
    <w:rsid w:val="003C2CC4"/>
    <w:rsid w:val="003D4B23"/>
    <w:rsid w:val="003D6600"/>
    <w:rsid w:val="00424C80"/>
    <w:rsid w:val="004325CB"/>
    <w:rsid w:val="0044503A"/>
    <w:rsid w:val="00446DE4"/>
    <w:rsid w:val="00447761"/>
    <w:rsid w:val="00451EC3"/>
    <w:rsid w:val="00456F4A"/>
    <w:rsid w:val="004721B1"/>
    <w:rsid w:val="004859EC"/>
    <w:rsid w:val="00496A15"/>
    <w:rsid w:val="004A029B"/>
    <w:rsid w:val="004B75D2"/>
    <w:rsid w:val="004D1140"/>
    <w:rsid w:val="004F55ED"/>
    <w:rsid w:val="0052176C"/>
    <w:rsid w:val="005261E5"/>
    <w:rsid w:val="005420F2"/>
    <w:rsid w:val="00542574"/>
    <w:rsid w:val="005436AB"/>
    <w:rsid w:val="00546DBF"/>
    <w:rsid w:val="00553D76"/>
    <w:rsid w:val="005552B5"/>
    <w:rsid w:val="0056117B"/>
    <w:rsid w:val="00571365"/>
    <w:rsid w:val="005B3DB3"/>
    <w:rsid w:val="005B6E48"/>
    <w:rsid w:val="005E1712"/>
    <w:rsid w:val="00606DB7"/>
    <w:rsid w:val="00611FC4"/>
    <w:rsid w:val="006176FB"/>
    <w:rsid w:val="00640B26"/>
    <w:rsid w:val="00670741"/>
    <w:rsid w:val="00696BD6"/>
    <w:rsid w:val="006A6B9D"/>
    <w:rsid w:val="006A7392"/>
    <w:rsid w:val="006B3189"/>
    <w:rsid w:val="006B7D65"/>
    <w:rsid w:val="006D2812"/>
    <w:rsid w:val="006D2CBF"/>
    <w:rsid w:val="006D6DA6"/>
    <w:rsid w:val="006E564B"/>
    <w:rsid w:val="006F13F0"/>
    <w:rsid w:val="006F5035"/>
    <w:rsid w:val="007065EB"/>
    <w:rsid w:val="00720183"/>
    <w:rsid w:val="0072632A"/>
    <w:rsid w:val="00735C38"/>
    <w:rsid w:val="0074200B"/>
    <w:rsid w:val="00750C00"/>
    <w:rsid w:val="007A6296"/>
    <w:rsid w:val="007B6BA5"/>
    <w:rsid w:val="007C1B62"/>
    <w:rsid w:val="007C3390"/>
    <w:rsid w:val="007C4F4B"/>
    <w:rsid w:val="007D2CDC"/>
    <w:rsid w:val="007D5327"/>
    <w:rsid w:val="007F6611"/>
    <w:rsid w:val="008155C3"/>
    <w:rsid w:val="008175E9"/>
    <w:rsid w:val="0082243E"/>
    <w:rsid w:val="008242D7"/>
    <w:rsid w:val="0083008F"/>
    <w:rsid w:val="00837BA2"/>
    <w:rsid w:val="00856CD2"/>
    <w:rsid w:val="00861BC6"/>
    <w:rsid w:val="00867611"/>
    <w:rsid w:val="00871FD5"/>
    <w:rsid w:val="008979B1"/>
    <w:rsid w:val="008A6B25"/>
    <w:rsid w:val="008A6C4F"/>
    <w:rsid w:val="008C1E4D"/>
    <w:rsid w:val="008E0E46"/>
    <w:rsid w:val="0090452C"/>
    <w:rsid w:val="00907C3F"/>
    <w:rsid w:val="0092237C"/>
    <w:rsid w:val="0093707B"/>
    <w:rsid w:val="009400EB"/>
    <w:rsid w:val="009427E3"/>
    <w:rsid w:val="00956D9B"/>
    <w:rsid w:val="00963CBA"/>
    <w:rsid w:val="009654B7"/>
    <w:rsid w:val="00991261"/>
    <w:rsid w:val="009A0B83"/>
    <w:rsid w:val="009B3800"/>
    <w:rsid w:val="009C5981"/>
    <w:rsid w:val="009D22AC"/>
    <w:rsid w:val="009D50DB"/>
    <w:rsid w:val="009E1C4E"/>
    <w:rsid w:val="00A05E0B"/>
    <w:rsid w:val="00A1427D"/>
    <w:rsid w:val="00A4634F"/>
    <w:rsid w:val="00A51CF3"/>
    <w:rsid w:val="00A72F22"/>
    <w:rsid w:val="00A748A6"/>
    <w:rsid w:val="00A879A4"/>
    <w:rsid w:val="00A87E95"/>
    <w:rsid w:val="00A92E29"/>
    <w:rsid w:val="00AA11F8"/>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2CFF"/>
    <w:rsid w:val="00BC74E9"/>
    <w:rsid w:val="00BE618E"/>
    <w:rsid w:val="00C24693"/>
    <w:rsid w:val="00C35F0B"/>
    <w:rsid w:val="00C463DD"/>
    <w:rsid w:val="00C533A2"/>
    <w:rsid w:val="00C64458"/>
    <w:rsid w:val="00C745C3"/>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1572"/>
    <w:rsid w:val="00D978C6"/>
    <w:rsid w:val="00DA67AD"/>
    <w:rsid w:val="00DB18CE"/>
    <w:rsid w:val="00DE3EC0"/>
    <w:rsid w:val="00E11593"/>
    <w:rsid w:val="00E12B6B"/>
    <w:rsid w:val="00E130AB"/>
    <w:rsid w:val="00E438D9"/>
    <w:rsid w:val="00E5639B"/>
    <w:rsid w:val="00E5644E"/>
    <w:rsid w:val="00E7260F"/>
    <w:rsid w:val="00E806EE"/>
    <w:rsid w:val="00E96630"/>
    <w:rsid w:val="00EB0FB9"/>
    <w:rsid w:val="00ED0CA9"/>
    <w:rsid w:val="00ED7A2A"/>
    <w:rsid w:val="00EE35A4"/>
    <w:rsid w:val="00EF1D7F"/>
    <w:rsid w:val="00EF5BDB"/>
    <w:rsid w:val="00F07FD9"/>
    <w:rsid w:val="00F23933"/>
    <w:rsid w:val="00F24119"/>
    <w:rsid w:val="00F40E75"/>
    <w:rsid w:val="00F42CD9"/>
    <w:rsid w:val="00F52936"/>
    <w:rsid w:val="00F57AD5"/>
    <w:rsid w:val="00F677C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735C38"/>
    <w:rPr>
      <w:sz w:val="18"/>
      <w:lang w:eastAsia="en-US"/>
    </w:rPr>
  </w:style>
  <w:style w:type="paragraph" w:styleId="ListParagraph">
    <w:name w:val="List Paragraph"/>
    <w:basedOn w:val="Normal"/>
    <w:uiPriority w:val="34"/>
    <w:qFormat/>
    <w:rsid w:val="00EE35A4"/>
    <w:pPr>
      <w:ind w:left="567"/>
    </w:pPr>
  </w:style>
  <w:style w:type="paragraph" w:styleId="BalloonText">
    <w:name w:val="Balloon Text"/>
    <w:basedOn w:val="Normal"/>
    <w:link w:val="BalloonTextChar"/>
    <w:rsid w:val="00AA11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A11F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735C38"/>
    <w:rPr>
      <w:sz w:val="18"/>
      <w:lang w:eastAsia="en-US"/>
    </w:rPr>
  </w:style>
  <w:style w:type="paragraph" w:styleId="ListParagraph">
    <w:name w:val="List Paragraph"/>
    <w:basedOn w:val="Normal"/>
    <w:uiPriority w:val="34"/>
    <w:qFormat/>
    <w:rsid w:val="00EE35A4"/>
    <w:pPr>
      <w:ind w:left="567"/>
    </w:pPr>
  </w:style>
  <w:style w:type="paragraph" w:styleId="BalloonText">
    <w:name w:val="Balloon Text"/>
    <w:basedOn w:val="Normal"/>
    <w:link w:val="BalloonTextChar"/>
    <w:rsid w:val="00AA11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A11F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endnotes.xml.rels><?xml version="1.0" encoding="UTF-8" standalone="yes"?>
<Relationships xmlns="http://schemas.openxmlformats.org/package/2006/relationships"><Relationship Id="rId2" Type="http://schemas.openxmlformats.org/officeDocument/2006/relationships/hyperlink" Target="https://documents-dds-ny.un.org/doc/UNDOC/GEN/G16/436/71/PDF/G1643671.pdf?OpenElement" TargetMode="External"/><Relationship Id="rId1" Type="http://schemas.openxmlformats.org/officeDocument/2006/relationships/hyperlink" Target="https://documents-dds-ny.un.org/doc/UNDOC/GEN/G16/436/71/PDF/G1643671.pdf?OpenEl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B43390-C366-434A-9D0B-87EB89AE50E9}"/>
</file>

<file path=customXml/itemProps2.xml><?xml version="1.0" encoding="utf-8"?>
<ds:datastoreItem xmlns:ds="http://schemas.openxmlformats.org/officeDocument/2006/customXml" ds:itemID="{309E5839-D23B-4B0C-88D2-4AA49F69409E}"/>
</file>

<file path=customXml/itemProps3.xml><?xml version="1.0" encoding="utf-8"?>
<ds:datastoreItem xmlns:ds="http://schemas.openxmlformats.org/officeDocument/2006/customXml" ds:itemID="{32A07BC8-2DA6-4CE3-AF2B-B6698D05F504}"/>
</file>

<file path=docProps/app.xml><?xml version="1.0" encoding="utf-8"?>
<Properties xmlns="http://schemas.openxmlformats.org/officeDocument/2006/extended-properties" xmlns:vt="http://schemas.openxmlformats.org/officeDocument/2006/docPropsVTypes">
  <Template>A_E.dotm</Template>
  <TotalTime>1</TotalTime>
  <Pages>6</Pages>
  <Words>1953</Words>
  <Characters>11136</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on conclusions and/or recommendations, voluntary commitments and replies presented by Republic of Moldova in English</dc:title>
  <dc:creator>Sumiko IHARA</dc:creator>
  <cp:lastModifiedBy>Sumiko IHARA</cp:lastModifiedBy>
  <cp:revision>2</cp:revision>
  <cp:lastPrinted>2008-01-29T07:30:00Z</cp:lastPrinted>
  <dcterms:created xsi:type="dcterms:W3CDTF">2017-02-28T13:22:00Z</dcterms:created>
  <dcterms:modified xsi:type="dcterms:W3CDTF">2017-02-28T13:22:00Z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Order">
    <vt:r8>4800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