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B6C08">
        <w:trPr>
          <w:trHeight w:val="851"/>
        </w:trPr>
        <w:tc>
          <w:tcPr>
            <w:tcW w:w="1259" w:type="dxa"/>
            <w:tcBorders>
              <w:top w:val="nil"/>
              <w:left w:val="nil"/>
              <w:bottom w:val="single" w:sz="4" w:space="0" w:color="auto"/>
              <w:right w:val="nil"/>
            </w:tcBorders>
          </w:tcPr>
          <w:p w:rsidR="00446DE4" w:rsidRPr="00A66ABC"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6B6C08" w:rsidRDefault="00446DE4" w:rsidP="00B2559A">
            <w:pPr>
              <w:spacing w:after="80" w:line="300" w:lineRule="exact"/>
              <w:ind w:left="17"/>
              <w:rPr>
                <w:sz w:val="28"/>
                <w:szCs w:val="28"/>
              </w:rPr>
            </w:pPr>
          </w:p>
        </w:tc>
        <w:tc>
          <w:tcPr>
            <w:tcW w:w="6144" w:type="dxa"/>
            <w:gridSpan w:val="2"/>
            <w:tcBorders>
              <w:top w:val="nil"/>
              <w:left w:val="nil"/>
              <w:bottom w:val="single" w:sz="4" w:space="0" w:color="auto"/>
              <w:right w:val="nil"/>
            </w:tcBorders>
            <w:vAlign w:val="bottom"/>
          </w:tcPr>
          <w:p w:rsidR="00446DE4" w:rsidRPr="006B6C08" w:rsidRDefault="002B4AFF" w:rsidP="007F171C">
            <w:pPr>
              <w:jc w:val="right"/>
            </w:pPr>
            <w:r w:rsidRPr="006B6C08">
              <w:rPr>
                <w:sz w:val="40"/>
              </w:rPr>
              <w:t>A</w:t>
            </w:r>
            <w:r w:rsidRPr="006B6C08">
              <w:rPr>
                <w:sz w:val="20"/>
                <w:szCs w:val="20"/>
              </w:rPr>
              <w:t>/HRC/</w:t>
            </w:r>
            <w:r w:rsidR="006A253F" w:rsidRPr="006B6C08">
              <w:rPr>
                <w:sz w:val="20"/>
                <w:szCs w:val="20"/>
              </w:rPr>
              <w:t>34</w:t>
            </w:r>
            <w:r w:rsidRPr="006B6C08">
              <w:rPr>
                <w:sz w:val="20"/>
                <w:szCs w:val="20"/>
              </w:rPr>
              <w:t>/</w:t>
            </w:r>
            <w:r w:rsidR="007F171C" w:rsidRPr="006B6C08">
              <w:rPr>
                <w:sz w:val="20"/>
                <w:szCs w:val="20"/>
              </w:rPr>
              <w:t>38</w:t>
            </w:r>
          </w:p>
        </w:tc>
      </w:tr>
      <w:tr w:rsidR="003107FA" w:rsidRPr="006B6C08">
        <w:trPr>
          <w:trHeight w:val="2835"/>
        </w:trPr>
        <w:tc>
          <w:tcPr>
            <w:tcW w:w="1259" w:type="dxa"/>
            <w:tcBorders>
              <w:top w:val="single" w:sz="4" w:space="0" w:color="auto"/>
              <w:left w:val="nil"/>
              <w:bottom w:val="single" w:sz="12" w:space="0" w:color="auto"/>
              <w:right w:val="nil"/>
            </w:tcBorders>
          </w:tcPr>
          <w:p w:rsidR="003107FA" w:rsidRPr="006B6C08"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6B6C08" w:rsidRDefault="008234E7"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6B6C08" w:rsidRDefault="002B4AFF" w:rsidP="002B4AFF">
            <w:pPr>
              <w:spacing w:before="240" w:line="240" w:lineRule="exact"/>
              <w:rPr>
                <w:sz w:val="20"/>
                <w:szCs w:val="20"/>
              </w:rPr>
            </w:pPr>
            <w:r w:rsidRPr="006B6C08">
              <w:rPr>
                <w:sz w:val="20"/>
                <w:szCs w:val="20"/>
              </w:rPr>
              <w:t>Distr.: General</w:t>
            </w:r>
          </w:p>
          <w:p w:rsidR="002B4AFF" w:rsidRPr="006B6C08" w:rsidRDefault="006B6C08" w:rsidP="002B4AFF">
            <w:pPr>
              <w:spacing w:line="240" w:lineRule="exact"/>
              <w:rPr>
                <w:sz w:val="20"/>
                <w:szCs w:val="20"/>
              </w:rPr>
            </w:pPr>
            <w:r w:rsidRPr="006B6C08">
              <w:rPr>
                <w:sz w:val="20"/>
                <w:szCs w:val="20"/>
              </w:rPr>
              <w:t>16</w:t>
            </w:r>
            <w:r w:rsidR="003A1C6D" w:rsidRPr="006B6C08">
              <w:rPr>
                <w:sz w:val="20"/>
                <w:szCs w:val="20"/>
              </w:rPr>
              <w:t xml:space="preserve"> March </w:t>
            </w:r>
            <w:r w:rsidR="006A253F" w:rsidRPr="006B6C08">
              <w:rPr>
                <w:sz w:val="20"/>
                <w:szCs w:val="20"/>
              </w:rPr>
              <w:t>2017</w:t>
            </w:r>
          </w:p>
          <w:p w:rsidR="002B4AFF" w:rsidRPr="006B6C08" w:rsidRDefault="002B4AFF" w:rsidP="002B4AFF">
            <w:pPr>
              <w:spacing w:line="240" w:lineRule="exact"/>
              <w:rPr>
                <w:sz w:val="20"/>
                <w:szCs w:val="20"/>
              </w:rPr>
            </w:pPr>
          </w:p>
          <w:p w:rsidR="00615023" w:rsidRPr="006B6C08" w:rsidRDefault="002B4AFF" w:rsidP="0014569F">
            <w:pPr>
              <w:spacing w:line="240" w:lineRule="exact"/>
            </w:pPr>
            <w:r w:rsidRPr="006B6C08">
              <w:rPr>
                <w:sz w:val="20"/>
                <w:szCs w:val="20"/>
              </w:rPr>
              <w:t>Original: English</w:t>
            </w:r>
          </w:p>
        </w:tc>
      </w:tr>
    </w:tbl>
    <w:p w:rsidR="00690874" w:rsidRPr="006B6C08" w:rsidRDefault="00690874" w:rsidP="00690874">
      <w:pPr>
        <w:spacing w:line="20" w:lineRule="exact"/>
        <w:rPr>
          <w:b/>
          <w:sz w:val="2"/>
        </w:rPr>
      </w:pPr>
    </w:p>
    <w:p w:rsidR="00D0136E" w:rsidRPr="006B6C08" w:rsidRDefault="00D0136E" w:rsidP="00C747CD">
      <w:pPr>
        <w:spacing w:before="120"/>
        <w:outlineLvl w:val="0"/>
        <w:rPr>
          <w:b/>
        </w:rPr>
      </w:pPr>
      <w:r w:rsidRPr="006B6C08">
        <w:rPr>
          <w:b/>
        </w:rPr>
        <w:t>Human Rights Council</w:t>
      </w:r>
    </w:p>
    <w:p w:rsidR="00D0136E" w:rsidRPr="006B6C08" w:rsidRDefault="006A253F" w:rsidP="00C747CD">
      <w:pPr>
        <w:outlineLvl w:val="0"/>
        <w:rPr>
          <w:b/>
          <w:sz w:val="20"/>
          <w:szCs w:val="20"/>
        </w:rPr>
      </w:pPr>
      <w:r w:rsidRPr="006B6C08">
        <w:rPr>
          <w:b/>
          <w:sz w:val="20"/>
          <w:szCs w:val="20"/>
        </w:rPr>
        <w:t>Thirty-fourth</w:t>
      </w:r>
      <w:r w:rsidR="00831B6C" w:rsidRPr="006B6C08">
        <w:rPr>
          <w:b/>
          <w:sz w:val="20"/>
          <w:szCs w:val="20"/>
        </w:rPr>
        <w:t xml:space="preserve"> </w:t>
      </w:r>
      <w:r w:rsidR="00D0136E" w:rsidRPr="006B6C08">
        <w:rPr>
          <w:b/>
          <w:sz w:val="20"/>
          <w:szCs w:val="20"/>
        </w:rPr>
        <w:t>session</w:t>
      </w:r>
    </w:p>
    <w:p w:rsidR="00C23C9F" w:rsidRPr="006B6C08" w:rsidRDefault="00C23C9F" w:rsidP="00C23C9F">
      <w:pPr>
        <w:rPr>
          <w:b/>
          <w:sz w:val="20"/>
          <w:szCs w:val="20"/>
        </w:rPr>
      </w:pPr>
      <w:r w:rsidRPr="006B6C08">
        <w:rPr>
          <w:color w:val="000000"/>
          <w:sz w:val="20"/>
          <w:szCs w:val="20"/>
          <w:lang w:eastAsia="en-GB"/>
        </w:rPr>
        <w:t>27 February-24 March 2017</w:t>
      </w:r>
    </w:p>
    <w:p w:rsidR="00A816A6" w:rsidRPr="006B6C08" w:rsidRDefault="007F171C" w:rsidP="00C747CD">
      <w:pPr>
        <w:outlineLvl w:val="0"/>
        <w:rPr>
          <w:sz w:val="20"/>
          <w:szCs w:val="20"/>
        </w:rPr>
      </w:pPr>
      <w:r w:rsidRPr="006B6C08">
        <w:rPr>
          <w:sz w:val="20"/>
          <w:szCs w:val="20"/>
        </w:rPr>
        <w:t>Agenda items 2 and 7</w:t>
      </w:r>
      <w:r w:rsidR="00A816A6" w:rsidRPr="006B6C08">
        <w:rPr>
          <w:sz w:val="20"/>
          <w:szCs w:val="20"/>
        </w:rPr>
        <w:t xml:space="preserve"> </w:t>
      </w:r>
    </w:p>
    <w:p w:rsidR="00A816A6" w:rsidRPr="006B6C08" w:rsidRDefault="00A816A6" w:rsidP="00C747CD">
      <w:pPr>
        <w:outlineLvl w:val="0"/>
        <w:rPr>
          <w:b/>
          <w:sz w:val="20"/>
          <w:szCs w:val="20"/>
        </w:rPr>
      </w:pPr>
      <w:r w:rsidRPr="006B6C08">
        <w:rPr>
          <w:b/>
          <w:sz w:val="20"/>
          <w:szCs w:val="20"/>
        </w:rPr>
        <w:t xml:space="preserve">Annual report of the United Nations High Commissioner </w:t>
      </w:r>
    </w:p>
    <w:p w:rsidR="00A816A6" w:rsidRPr="006B6C08" w:rsidRDefault="00A816A6" w:rsidP="00A816A6">
      <w:pPr>
        <w:rPr>
          <w:b/>
          <w:sz w:val="20"/>
          <w:szCs w:val="20"/>
        </w:rPr>
      </w:pPr>
      <w:proofErr w:type="gramStart"/>
      <w:r w:rsidRPr="006B6C08">
        <w:rPr>
          <w:b/>
          <w:sz w:val="20"/>
          <w:szCs w:val="20"/>
        </w:rPr>
        <w:t>for</w:t>
      </w:r>
      <w:proofErr w:type="gramEnd"/>
      <w:r w:rsidRPr="006B6C08">
        <w:rPr>
          <w:b/>
          <w:sz w:val="20"/>
          <w:szCs w:val="20"/>
        </w:rPr>
        <w:t xml:space="preserve"> Human Rights and reports of the Office of the </w:t>
      </w:r>
    </w:p>
    <w:p w:rsidR="00A816A6" w:rsidRPr="006B6C08" w:rsidRDefault="00A816A6" w:rsidP="00C747CD">
      <w:pPr>
        <w:outlineLvl w:val="0"/>
        <w:rPr>
          <w:b/>
          <w:sz w:val="20"/>
          <w:szCs w:val="20"/>
        </w:rPr>
      </w:pPr>
      <w:r w:rsidRPr="006B6C08">
        <w:rPr>
          <w:b/>
          <w:sz w:val="20"/>
          <w:szCs w:val="20"/>
        </w:rPr>
        <w:t>High Commissioner and the Secretary-General</w:t>
      </w:r>
    </w:p>
    <w:p w:rsidR="00A816A6" w:rsidRPr="006B6C08" w:rsidRDefault="00A816A6" w:rsidP="00A816A6">
      <w:pPr>
        <w:rPr>
          <w:b/>
        </w:rPr>
      </w:pPr>
    </w:p>
    <w:p w:rsidR="00D0136E" w:rsidRPr="006B6C08" w:rsidRDefault="00A816A6" w:rsidP="00A816A6">
      <w:pPr>
        <w:rPr>
          <w:b/>
          <w:sz w:val="20"/>
          <w:szCs w:val="20"/>
        </w:rPr>
      </w:pPr>
      <w:r w:rsidRPr="006B6C08">
        <w:rPr>
          <w:b/>
          <w:bCs/>
          <w:sz w:val="20"/>
          <w:szCs w:val="20"/>
        </w:rPr>
        <w:t xml:space="preserve">Human rights situation in Palestine and other </w:t>
      </w:r>
      <w:r w:rsidRPr="006B6C08">
        <w:rPr>
          <w:b/>
          <w:bCs/>
          <w:sz w:val="20"/>
          <w:szCs w:val="20"/>
        </w:rPr>
        <w:br/>
        <w:t>occupied Arab territories</w:t>
      </w:r>
    </w:p>
    <w:p w:rsidR="00866C2B" w:rsidRPr="006B6C08" w:rsidRDefault="00D0136E" w:rsidP="002540DA">
      <w:pPr>
        <w:pStyle w:val="HChG"/>
        <w:tabs>
          <w:tab w:val="left" w:pos="8505"/>
        </w:tabs>
      </w:pPr>
      <w:r w:rsidRPr="006B6C08">
        <w:tab/>
      </w:r>
      <w:r w:rsidRPr="006B6C08">
        <w:tab/>
      </w:r>
      <w:r w:rsidR="00866C2B" w:rsidRPr="006B6C08">
        <w:t>Human rights situation in the Occupied Palestinian Territory, including East Jerusalem</w:t>
      </w:r>
      <w:r w:rsidR="00572786" w:rsidRPr="006B6C08">
        <w:rPr>
          <w:rStyle w:val="FootnoteReference"/>
          <w:sz w:val="20"/>
          <w:vertAlign w:val="baseline"/>
        </w:rPr>
        <w:footnoteReference w:customMarkFollows="1" w:id="2"/>
        <w:t>*</w:t>
      </w:r>
    </w:p>
    <w:p w:rsidR="00D0136E" w:rsidRPr="006B6C08" w:rsidRDefault="00416B28" w:rsidP="00C747CD">
      <w:pPr>
        <w:pStyle w:val="H1G"/>
        <w:outlineLvl w:val="0"/>
      </w:pPr>
      <w:r w:rsidRPr="006B6C08">
        <w:tab/>
      </w:r>
      <w:r w:rsidRPr="006B6C08">
        <w:tab/>
      </w:r>
      <w:r w:rsidR="002D26F8" w:rsidRPr="006B6C08">
        <w:t xml:space="preserve">Report of the </w:t>
      </w:r>
      <w:r w:rsidR="00866C2B" w:rsidRPr="006B6C08">
        <w:t>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60BD3" w:rsidRPr="006B6C08">
        <w:trPr>
          <w:jc w:val="center"/>
        </w:trPr>
        <w:tc>
          <w:tcPr>
            <w:tcW w:w="9637" w:type="dxa"/>
            <w:shd w:val="clear" w:color="auto" w:fill="auto"/>
          </w:tcPr>
          <w:p w:rsidR="00B60BD3" w:rsidRPr="006B6C08" w:rsidRDefault="00B60BD3" w:rsidP="00B60BD3">
            <w:pPr>
              <w:spacing w:before="240" w:after="120"/>
              <w:ind w:left="255"/>
              <w:rPr>
                <w:i/>
              </w:rPr>
            </w:pPr>
            <w:r w:rsidRPr="006B6C08">
              <w:rPr>
                <w:i/>
              </w:rPr>
              <w:t>Summary</w:t>
            </w:r>
          </w:p>
        </w:tc>
      </w:tr>
      <w:tr w:rsidR="00B60BD3" w:rsidRPr="006B6C08">
        <w:trPr>
          <w:jc w:val="center"/>
        </w:trPr>
        <w:tc>
          <w:tcPr>
            <w:tcW w:w="9637" w:type="dxa"/>
            <w:shd w:val="clear" w:color="auto" w:fill="auto"/>
          </w:tcPr>
          <w:p w:rsidR="00B60BD3" w:rsidRPr="006B6C08" w:rsidRDefault="00B60BD3" w:rsidP="00AC52B5">
            <w:pPr>
              <w:pStyle w:val="SingleTxtG"/>
              <w:ind w:firstLine="567"/>
              <w:rPr>
                <w:sz w:val="20"/>
                <w:szCs w:val="20"/>
              </w:rPr>
            </w:pPr>
            <w:r w:rsidRPr="006B6C08">
              <w:rPr>
                <w:sz w:val="20"/>
                <w:szCs w:val="20"/>
              </w:rPr>
              <w:t>The present report is submitted pursuant to Hu</w:t>
            </w:r>
            <w:r w:rsidR="006A253F" w:rsidRPr="006B6C08">
              <w:rPr>
                <w:sz w:val="20"/>
                <w:szCs w:val="20"/>
              </w:rPr>
              <w:t>man Rights Council resolution 31/34</w:t>
            </w:r>
            <w:r w:rsidRPr="006B6C08">
              <w:rPr>
                <w:sz w:val="20"/>
                <w:szCs w:val="20"/>
              </w:rPr>
              <w:t xml:space="preserve"> on the human rights situation in the Occupied Palestinian Territory, including East Jerusalem. It </w:t>
            </w:r>
            <w:r w:rsidR="006A253F" w:rsidRPr="006B6C08">
              <w:rPr>
                <w:sz w:val="20"/>
                <w:szCs w:val="20"/>
              </w:rPr>
              <w:t>focus</w:t>
            </w:r>
            <w:r w:rsidR="009E5404" w:rsidRPr="006B6C08">
              <w:rPr>
                <w:sz w:val="20"/>
                <w:szCs w:val="20"/>
              </w:rPr>
              <w:t>es</w:t>
            </w:r>
            <w:r w:rsidR="006A253F" w:rsidRPr="006B6C08">
              <w:rPr>
                <w:sz w:val="20"/>
                <w:szCs w:val="20"/>
              </w:rPr>
              <w:t xml:space="preserve"> on the recurrence and persistence of human rights </w:t>
            </w:r>
            <w:r w:rsidR="003A1C6D" w:rsidRPr="006B6C08">
              <w:rPr>
                <w:sz w:val="20"/>
                <w:szCs w:val="20"/>
              </w:rPr>
              <w:t>violations and</w:t>
            </w:r>
            <w:r w:rsidR="006A253F" w:rsidRPr="006B6C08">
              <w:rPr>
                <w:sz w:val="20"/>
                <w:szCs w:val="20"/>
              </w:rPr>
              <w:t xml:space="preserve"> the underlying policies leading to such patterns</w:t>
            </w:r>
            <w:r w:rsidRPr="006B6C08">
              <w:rPr>
                <w:sz w:val="20"/>
                <w:szCs w:val="20"/>
              </w:rPr>
              <w:t>.</w:t>
            </w:r>
          </w:p>
        </w:tc>
      </w:tr>
      <w:tr w:rsidR="00B60BD3" w:rsidRPr="006B6C08">
        <w:trPr>
          <w:jc w:val="center"/>
        </w:trPr>
        <w:tc>
          <w:tcPr>
            <w:tcW w:w="9637" w:type="dxa"/>
            <w:shd w:val="clear" w:color="auto" w:fill="auto"/>
          </w:tcPr>
          <w:p w:rsidR="00B60BD3" w:rsidRPr="006B6C08" w:rsidRDefault="00B60BD3" w:rsidP="00B60BD3"/>
        </w:tc>
      </w:tr>
    </w:tbl>
    <w:p w:rsidR="00B60BD3" w:rsidRPr="006B6C08" w:rsidRDefault="00B60BD3" w:rsidP="00B60BD3"/>
    <w:p w:rsidR="00AD4FE2" w:rsidRPr="006B6C08" w:rsidRDefault="008332CE" w:rsidP="002540DA">
      <w:pPr>
        <w:pStyle w:val="HChG"/>
        <w:tabs>
          <w:tab w:val="left" w:pos="567"/>
        </w:tabs>
      </w:pPr>
      <w:r w:rsidRPr="006B6C08">
        <w:br w:type="page"/>
      </w:r>
      <w:r w:rsidR="00E771AE" w:rsidRPr="006B6C08">
        <w:lastRenderedPageBreak/>
        <w:tab/>
      </w:r>
      <w:r w:rsidR="00AD4FE2" w:rsidRPr="006B6C08">
        <w:t>I.</w:t>
      </w:r>
      <w:r w:rsidR="00AD4FE2" w:rsidRPr="006B6C08">
        <w:tab/>
      </w:r>
      <w:r w:rsidR="002540DA" w:rsidRPr="006B6C08">
        <w:tab/>
      </w:r>
      <w:r w:rsidR="005B28B7" w:rsidRPr="006B6C08">
        <w:t>Introduction</w:t>
      </w:r>
      <w:r w:rsidR="00AD4FE2" w:rsidRPr="006B6C08">
        <w:t xml:space="preserve"> </w:t>
      </w:r>
    </w:p>
    <w:p w:rsidR="006A5805" w:rsidRPr="006B6C08" w:rsidRDefault="006B6C08" w:rsidP="006B6C08">
      <w:pPr>
        <w:pStyle w:val="SingleTxtG"/>
        <w:rPr>
          <w:sz w:val="20"/>
          <w:szCs w:val="20"/>
        </w:rPr>
      </w:pPr>
      <w:r w:rsidRPr="006B6C08">
        <w:rPr>
          <w:sz w:val="20"/>
          <w:szCs w:val="20"/>
        </w:rPr>
        <w:t>1.</w:t>
      </w:r>
      <w:r w:rsidRPr="006B6C08">
        <w:rPr>
          <w:sz w:val="20"/>
          <w:szCs w:val="20"/>
        </w:rPr>
        <w:tab/>
      </w:r>
      <w:r w:rsidR="00AC52B5" w:rsidRPr="006B6C08">
        <w:rPr>
          <w:sz w:val="20"/>
          <w:szCs w:val="20"/>
        </w:rPr>
        <w:t xml:space="preserve">This </w:t>
      </w:r>
      <w:r w:rsidR="006A253F" w:rsidRPr="006B6C08">
        <w:rPr>
          <w:sz w:val="20"/>
          <w:szCs w:val="20"/>
        </w:rPr>
        <w:t xml:space="preserve">report </w:t>
      </w:r>
      <w:r w:rsidR="00AC52B5" w:rsidRPr="006B6C08">
        <w:rPr>
          <w:sz w:val="20"/>
          <w:szCs w:val="20"/>
        </w:rPr>
        <w:t>is submitted pursuant to</w:t>
      </w:r>
      <w:r w:rsidR="006A253F" w:rsidRPr="006B6C08">
        <w:rPr>
          <w:sz w:val="20"/>
          <w:szCs w:val="20"/>
        </w:rPr>
        <w:t xml:space="preserve"> resolution 31/34</w:t>
      </w:r>
      <w:r w:rsidR="009E5404" w:rsidRPr="006B6C08">
        <w:rPr>
          <w:sz w:val="20"/>
          <w:szCs w:val="20"/>
        </w:rPr>
        <w:t xml:space="preserve"> of the Human Rights Council</w:t>
      </w:r>
      <w:r w:rsidR="00FA0B8A" w:rsidRPr="006B6C08">
        <w:rPr>
          <w:sz w:val="20"/>
          <w:szCs w:val="20"/>
        </w:rPr>
        <w:t>,</w:t>
      </w:r>
      <w:r w:rsidR="009E5404" w:rsidRPr="006B6C08">
        <w:rPr>
          <w:sz w:val="20"/>
          <w:szCs w:val="20"/>
        </w:rPr>
        <w:t xml:space="preserve"> which </w:t>
      </w:r>
      <w:r w:rsidR="006A253F" w:rsidRPr="006B6C08">
        <w:rPr>
          <w:sz w:val="20"/>
          <w:szCs w:val="20"/>
        </w:rPr>
        <w:t>requested the Secretary-General</w:t>
      </w:r>
      <w:r w:rsidR="00476BDD" w:rsidRPr="006B6C08">
        <w:rPr>
          <w:sz w:val="20"/>
          <w:szCs w:val="20"/>
        </w:rPr>
        <w:t xml:space="preserve"> to report on the implementation of that resolution, with a particular </w:t>
      </w:r>
      <w:r w:rsidR="006A253F" w:rsidRPr="006B6C08">
        <w:rPr>
          <w:sz w:val="20"/>
          <w:szCs w:val="20"/>
        </w:rPr>
        <w:t>focus</w:t>
      </w:r>
      <w:r w:rsidR="001B2B43" w:rsidRPr="006B6C08">
        <w:rPr>
          <w:sz w:val="20"/>
          <w:szCs w:val="20"/>
        </w:rPr>
        <w:t xml:space="preserve"> </w:t>
      </w:r>
      <w:r w:rsidR="006A253F" w:rsidRPr="006B6C08">
        <w:rPr>
          <w:sz w:val="20"/>
          <w:szCs w:val="20"/>
        </w:rPr>
        <w:t>on the recurrence</w:t>
      </w:r>
      <w:r w:rsidR="00476BDD" w:rsidRPr="006B6C08">
        <w:rPr>
          <w:sz w:val="20"/>
          <w:szCs w:val="20"/>
        </w:rPr>
        <w:t xml:space="preserve"> and persistence</w:t>
      </w:r>
      <w:r w:rsidR="006A253F" w:rsidRPr="006B6C08">
        <w:rPr>
          <w:sz w:val="20"/>
          <w:szCs w:val="20"/>
        </w:rPr>
        <w:t xml:space="preserve"> of </w:t>
      </w:r>
      <w:r w:rsidR="00446224" w:rsidRPr="006B6C08">
        <w:rPr>
          <w:sz w:val="20"/>
          <w:szCs w:val="20"/>
        </w:rPr>
        <w:t>human rights violations in the Occupied Palestinian Territory</w:t>
      </w:r>
      <w:r w:rsidR="006A253F" w:rsidRPr="006B6C08">
        <w:rPr>
          <w:sz w:val="20"/>
          <w:szCs w:val="20"/>
        </w:rPr>
        <w:t xml:space="preserve"> and the und</w:t>
      </w:r>
      <w:r w:rsidR="00446224" w:rsidRPr="006B6C08">
        <w:rPr>
          <w:sz w:val="20"/>
          <w:szCs w:val="20"/>
        </w:rPr>
        <w:t>erlying policies leading</w:t>
      </w:r>
      <w:r w:rsidR="003A1C6D" w:rsidRPr="006B6C08">
        <w:rPr>
          <w:sz w:val="20"/>
          <w:szCs w:val="20"/>
        </w:rPr>
        <w:t xml:space="preserve"> </w:t>
      </w:r>
      <w:r w:rsidR="00446224" w:rsidRPr="006B6C08">
        <w:rPr>
          <w:sz w:val="20"/>
          <w:szCs w:val="20"/>
        </w:rPr>
        <w:t>to</w:t>
      </w:r>
      <w:r w:rsidR="006A253F" w:rsidRPr="006B6C08">
        <w:rPr>
          <w:sz w:val="20"/>
          <w:szCs w:val="20"/>
        </w:rPr>
        <w:t xml:space="preserve"> </w:t>
      </w:r>
      <w:r w:rsidR="00476BDD" w:rsidRPr="006B6C08">
        <w:rPr>
          <w:sz w:val="20"/>
          <w:szCs w:val="20"/>
        </w:rPr>
        <w:t>such</w:t>
      </w:r>
      <w:r w:rsidR="00CD3B05" w:rsidRPr="006B6C08">
        <w:rPr>
          <w:sz w:val="20"/>
          <w:szCs w:val="20"/>
        </w:rPr>
        <w:t xml:space="preserve"> </w:t>
      </w:r>
      <w:r w:rsidR="006A253F" w:rsidRPr="006B6C08">
        <w:rPr>
          <w:sz w:val="20"/>
          <w:szCs w:val="20"/>
        </w:rPr>
        <w:t>patterns</w:t>
      </w:r>
      <w:r w:rsidR="00476BDD" w:rsidRPr="006B6C08">
        <w:rPr>
          <w:sz w:val="20"/>
          <w:szCs w:val="20"/>
        </w:rPr>
        <w:t>, including those involving forcible displacement.</w:t>
      </w:r>
      <w:r w:rsidR="007519A4" w:rsidRPr="006B6C08">
        <w:rPr>
          <w:sz w:val="20"/>
          <w:szCs w:val="20"/>
        </w:rPr>
        <w:t xml:space="preserve"> It covers the period from 1 November 2015 to 31 October 2016.</w:t>
      </w:r>
      <w:r w:rsidR="006A253F" w:rsidRPr="006B6C08">
        <w:rPr>
          <w:sz w:val="20"/>
          <w:szCs w:val="20"/>
        </w:rPr>
        <w:t xml:space="preserve"> Fifty years after the start of the occupation, </w:t>
      </w:r>
      <w:r w:rsidR="00721AC6" w:rsidRPr="006B6C08">
        <w:rPr>
          <w:sz w:val="20"/>
          <w:szCs w:val="20"/>
        </w:rPr>
        <w:t xml:space="preserve">the </w:t>
      </w:r>
      <w:r w:rsidR="006A253F" w:rsidRPr="006B6C08">
        <w:rPr>
          <w:sz w:val="20"/>
          <w:szCs w:val="20"/>
        </w:rPr>
        <w:t>patterns and persistence of</w:t>
      </w:r>
      <w:r w:rsidR="00351530" w:rsidRPr="006B6C08">
        <w:rPr>
          <w:sz w:val="20"/>
          <w:szCs w:val="20"/>
        </w:rPr>
        <w:t xml:space="preserve"> human rights</w:t>
      </w:r>
      <w:r w:rsidR="006A253F" w:rsidRPr="006B6C08">
        <w:rPr>
          <w:sz w:val="20"/>
          <w:szCs w:val="20"/>
        </w:rPr>
        <w:t xml:space="preserve"> violations </w:t>
      </w:r>
      <w:r w:rsidR="00893516" w:rsidRPr="006B6C08">
        <w:rPr>
          <w:sz w:val="20"/>
          <w:szCs w:val="20"/>
        </w:rPr>
        <w:t>in the Occupied Palestinian Territory are clearly discernible</w:t>
      </w:r>
      <w:r w:rsidR="006A253F" w:rsidRPr="006B6C08">
        <w:rPr>
          <w:sz w:val="20"/>
          <w:szCs w:val="20"/>
        </w:rPr>
        <w:t xml:space="preserve">. </w:t>
      </w:r>
      <w:r w:rsidR="00893516" w:rsidRPr="006B6C08">
        <w:rPr>
          <w:sz w:val="20"/>
          <w:szCs w:val="20"/>
        </w:rPr>
        <w:t xml:space="preserve">This </w:t>
      </w:r>
      <w:r w:rsidR="006A253F" w:rsidRPr="006B6C08">
        <w:rPr>
          <w:sz w:val="20"/>
          <w:szCs w:val="20"/>
        </w:rPr>
        <w:t>report provides a non-exhaustive</w:t>
      </w:r>
      <w:r w:rsidR="00925E95" w:rsidRPr="006B6C08">
        <w:rPr>
          <w:sz w:val="20"/>
          <w:szCs w:val="20"/>
        </w:rPr>
        <w:t xml:space="preserve"> overview</w:t>
      </w:r>
      <w:r w:rsidR="006A253F" w:rsidRPr="006B6C08">
        <w:rPr>
          <w:sz w:val="20"/>
          <w:szCs w:val="20"/>
        </w:rPr>
        <w:t xml:space="preserve"> of the most pressing human rights violations in the</w:t>
      </w:r>
      <w:r w:rsidR="00167713" w:rsidRPr="006B6C08">
        <w:rPr>
          <w:sz w:val="20"/>
          <w:szCs w:val="20"/>
        </w:rPr>
        <w:t xml:space="preserve"> </w:t>
      </w:r>
      <w:r w:rsidR="00C747CD" w:rsidRPr="006B6C08">
        <w:rPr>
          <w:sz w:val="20"/>
          <w:szCs w:val="20"/>
        </w:rPr>
        <w:t>Occupied Palestinian Territory</w:t>
      </w:r>
      <w:r w:rsidR="00ED7331" w:rsidRPr="006B6C08">
        <w:rPr>
          <w:sz w:val="20"/>
          <w:szCs w:val="20"/>
        </w:rPr>
        <w:t xml:space="preserve">, highlighting </w:t>
      </w:r>
      <w:r w:rsidR="006A5805" w:rsidRPr="006B6C08">
        <w:rPr>
          <w:sz w:val="20"/>
          <w:szCs w:val="20"/>
        </w:rPr>
        <w:t xml:space="preserve">the connection </w:t>
      </w:r>
      <w:r w:rsidR="00ED7331" w:rsidRPr="006B6C08">
        <w:rPr>
          <w:sz w:val="20"/>
          <w:szCs w:val="20"/>
        </w:rPr>
        <w:t xml:space="preserve">with </w:t>
      </w:r>
      <w:r w:rsidR="006A5805" w:rsidRPr="006B6C08">
        <w:rPr>
          <w:sz w:val="20"/>
          <w:szCs w:val="20"/>
        </w:rPr>
        <w:t xml:space="preserve">the </w:t>
      </w:r>
      <w:r w:rsidR="008C4198" w:rsidRPr="006B6C08">
        <w:rPr>
          <w:sz w:val="20"/>
          <w:szCs w:val="20"/>
        </w:rPr>
        <w:t xml:space="preserve">Israeli </w:t>
      </w:r>
      <w:r w:rsidR="006A5805" w:rsidRPr="006B6C08">
        <w:rPr>
          <w:sz w:val="20"/>
          <w:szCs w:val="20"/>
        </w:rPr>
        <w:t>occupation</w:t>
      </w:r>
      <w:r w:rsidR="00ED7331" w:rsidRPr="006B6C08">
        <w:rPr>
          <w:sz w:val="20"/>
          <w:szCs w:val="20"/>
        </w:rPr>
        <w:t xml:space="preserve">. The recommendations </w:t>
      </w:r>
      <w:r w:rsidR="006A5805" w:rsidRPr="006B6C08">
        <w:rPr>
          <w:sz w:val="20"/>
          <w:szCs w:val="20"/>
        </w:rPr>
        <w:t>encourage all duty</w:t>
      </w:r>
      <w:r w:rsidR="008F1C1C" w:rsidRPr="006B6C08">
        <w:rPr>
          <w:sz w:val="20"/>
          <w:szCs w:val="20"/>
        </w:rPr>
        <w:t>-</w:t>
      </w:r>
      <w:r w:rsidR="006A5805" w:rsidRPr="006B6C08">
        <w:rPr>
          <w:sz w:val="20"/>
          <w:szCs w:val="20"/>
        </w:rPr>
        <w:t>bearers to comply with their obligations under international law.</w:t>
      </w:r>
    </w:p>
    <w:p w:rsidR="008C5813" w:rsidRPr="006B6C08" w:rsidRDefault="006B6C08" w:rsidP="006B6C08">
      <w:pPr>
        <w:pStyle w:val="SingleTxtG"/>
        <w:rPr>
          <w:sz w:val="20"/>
          <w:szCs w:val="20"/>
        </w:rPr>
      </w:pPr>
      <w:r w:rsidRPr="006B6C08">
        <w:rPr>
          <w:sz w:val="20"/>
          <w:szCs w:val="20"/>
        </w:rPr>
        <w:t>2.</w:t>
      </w:r>
      <w:r w:rsidRPr="006B6C08">
        <w:rPr>
          <w:sz w:val="20"/>
          <w:szCs w:val="20"/>
        </w:rPr>
        <w:tab/>
      </w:r>
      <w:r w:rsidR="0026076F" w:rsidRPr="006B6C08">
        <w:rPr>
          <w:sz w:val="20"/>
          <w:szCs w:val="20"/>
        </w:rPr>
        <w:t>R</w:t>
      </w:r>
      <w:r w:rsidR="006D1CBD" w:rsidRPr="006B6C08">
        <w:rPr>
          <w:sz w:val="20"/>
          <w:szCs w:val="20"/>
        </w:rPr>
        <w:t xml:space="preserve">ecent </w:t>
      </w:r>
      <w:r w:rsidR="00925E95" w:rsidRPr="006B6C08">
        <w:rPr>
          <w:sz w:val="20"/>
          <w:szCs w:val="20"/>
        </w:rPr>
        <w:t>reports of</w:t>
      </w:r>
      <w:r w:rsidR="006D1CBD" w:rsidRPr="006B6C08">
        <w:rPr>
          <w:sz w:val="20"/>
          <w:szCs w:val="20"/>
        </w:rPr>
        <w:t xml:space="preserve"> the</w:t>
      </w:r>
      <w:r w:rsidR="006E744F" w:rsidRPr="006B6C08">
        <w:rPr>
          <w:sz w:val="20"/>
          <w:szCs w:val="20"/>
        </w:rPr>
        <w:t xml:space="preserve"> Secretary-General</w:t>
      </w:r>
      <w:r w:rsidR="006D1CBD" w:rsidRPr="006B6C08">
        <w:rPr>
          <w:sz w:val="20"/>
          <w:szCs w:val="20"/>
        </w:rPr>
        <w:t xml:space="preserve"> and</w:t>
      </w:r>
      <w:r w:rsidR="00476BDD" w:rsidRPr="006B6C08">
        <w:rPr>
          <w:sz w:val="20"/>
          <w:szCs w:val="20"/>
        </w:rPr>
        <w:t xml:space="preserve"> </w:t>
      </w:r>
      <w:r w:rsidR="00893516" w:rsidRPr="006B6C08">
        <w:rPr>
          <w:sz w:val="20"/>
          <w:szCs w:val="20"/>
        </w:rPr>
        <w:t>from</w:t>
      </w:r>
      <w:r w:rsidR="006D1CBD" w:rsidRPr="006B6C08">
        <w:rPr>
          <w:sz w:val="20"/>
          <w:szCs w:val="20"/>
        </w:rPr>
        <w:t xml:space="preserve"> the High Commissioner for Human Rights</w:t>
      </w:r>
      <w:r w:rsidR="004168E1" w:rsidRPr="006B6C08">
        <w:rPr>
          <w:sz w:val="20"/>
          <w:szCs w:val="20"/>
        </w:rPr>
        <w:t xml:space="preserve"> </w:t>
      </w:r>
      <w:r w:rsidR="006D1CBD" w:rsidRPr="006B6C08">
        <w:rPr>
          <w:sz w:val="20"/>
          <w:szCs w:val="20"/>
        </w:rPr>
        <w:t>provide a more in-depth analysis of the human rights situation in the Occupied Palestinian Territory</w:t>
      </w:r>
      <w:r w:rsidR="006A5805" w:rsidRPr="006B6C08">
        <w:rPr>
          <w:sz w:val="20"/>
          <w:szCs w:val="20"/>
        </w:rPr>
        <w:t>.</w:t>
      </w:r>
      <w:r w:rsidR="00925E95" w:rsidRPr="006B6C08">
        <w:rPr>
          <w:rStyle w:val="FootnoteReference"/>
          <w:sz w:val="20"/>
          <w:szCs w:val="20"/>
        </w:rPr>
        <w:footnoteReference w:id="3"/>
      </w:r>
      <w:r w:rsidR="006D1CBD" w:rsidRPr="006B6C08">
        <w:rPr>
          <w:sz w:val="20"/>
          <w:szCs w:val="20"/>
        </w:rPr>
        <w:t xml:space="preserve">  </w:t>
      </w:r>
    </w:p>
    <w:p w:rsidR="00AD4FE2" w:rsidRPr="006B6C08" w:rsidRDefault="00AD4FE2" w:rsidP="002540DA">
      <w:pPr>
        <w:pStyle w:val="HChG"/>
        <w:tabs>
          <w:tab w:val="left" w:pos="567"/>
        </w:tabs>
        <w:outlineLvl w:val="0"/>
      </w:pPr>
      <w:r w:rsidRPr="006B6C08">
        <w:tab/>
        <w:t>II.</w:t>
      </w:r>
      <w:r w:rsidRPr="006B6C08">
        <w:tab/>
      </w:r>
      <w:r w:rsidR="000833A2" w:rsidRPr="006B6C08">
        <w:t xml:space="preserve">Legal </w:t>
      </w:r>
      <w:r w:rsidR="00845F7D" w:rsidRPr="006B6C08">
        <w:t>b</w:t>
      </w:r>
      <w:r w:rsidR="008C5813" w:rsidRPr="006B6C08">
        <w:t>ackground</w:t>
      </w:r>
    </w:p>
    <w:p w:rsidR="00F840EE" w:rsidRPr="006B6C08" w:rsidRDefault="006B6C08" w:rsidP="006B6C08">
      <w:pPr>
        <w:pStyle w:val="SingleTxtG"/>
        <w:rPr>
          <w:sz w:val="20"/>
          <w:szCs w:val="20"/>
          <w:lang w:val="en-US"/>
        </w:rPr>
      </w:pPr>
      <w:r w:rsidRPr="006B6C08">
        <w:rPr>
          <w:sz w:val="20"/>
          <w:szCs w:val="20"/>
          <w:lang w:val="en-US"/>
        </w:rPr>
        <w:t>3.</w:t>
      </w:r>
      <w:r w:rsidRPr="006B6C08">
        <w:rPr>
          <w:sz w:val="20"/>
          <w:szCs w:val="20"/>
          <w:lang w:val="en-US"/>
        </w:rPr>
        <w:tab/>
      </w:r>
      <w:r w:rsidR="006A5805" w:rsidRPr="006B6C08">
        <w:rPr>
          <w:sz w:val="20"/>
          <w:szCs w:val="20"/>
        </w:rPr>
        <w:t>I</w:t>
      </w:r>
      <w:r w:rsidR="00392AB3" w:rsidRPr="006B6C08">
        <w:rPr>
          <w:sz w:val="20"/>
          <w:szCs w:val="20"/>
        </w:rPr>
        <w:t xml:space="preserve">nternational human rights law and international humanitarian law are applicable in the Occupied Palestinian Territory, </w:t>
      </w:r>
      <w:r w:rsidR="00FA0B8A" w:rsidRPr="006B6C08">
        <w:rPr>
          <w:sz w:val="20"/>
          <w:szCs w:val="20"/>
        </w:rPr>
        <w:t>namely</w:t>
      </w:r>
      <w:r w:rsidR="00392AB3" w:rsidRPr="006B6C08">
        <w:rPr>
          <w:sz w:val="20"/>
          <w:szCs w:val="20"/>
        </w:rPr>
        <w:t xml:space="preserve"> Gaza and the West Bank</w:t>
      </w:r>
      <w:r w:rsidR="00FA0B8A" w:rsidRPr="006B6C08">
        <w:rPr>
          <w:sz w:val="20"/>
          <w:szCs w:val="20"/>
        </w:rPr>
        <w:t xml:space="preserve">, </w:t>
      </w:r>
      <w:r w:rsidR="00392AB3" w:rsidRPr="006B6C08">
        <w:rPr>
          <w:sz w:val="20"/>
          <w:szCs w:val="20"/>
        </w:rPr>
        <w:t>including East Jerusalem.</w:t>
      </w:r>
      <w:r w:rsidR="00392AB3" w:rsidRPr="006B6C08">
        <w:rPr>
          <w:rStyle w:val="FootnoteReference"/>
          <w:sz w:val="20"/>
          <w:szCs w:val="20"/>
        </w:rPr>
        <w:footnoteReference w:id="4"/>
      </w:r>
      <w:r w:rsidR="00392AB3" w:rsidRPr="006B6C08">
        <w:rPr>
          <w:sz w:val="20"/>
          <w:szCs w:val="20"/>
        </w:rPr>
        <w:t xml:space="preserve"> </w:t>
      </w:r>
    </w:p>
    <w:p w:rsidR="00446224" w:rsidRPr="006B6C08" w:rsidRDefault="006B6C08" w:rsidP="006B6C08">
      <w:pPr>
        <w:pStyle w:val="SingleTxtG"/>
        <w:rPr>
          <w:sz w:val="20"/>
          <w:szCs w:val="20"/>
          <w:lang w:val="en-US"/>
        </w:rPr>
      </w:pPr>
      <w:r w:rsidRPr="006B6C08">
        <w:rPr>
          <w:sz w:val="20"/>
          <w:szCs w:val="20"/>
          <w:lang w:val="en-US"/>
        </w:rPr>
        <w:t>4.</w:t>
      </w:r>
      <w:r w:rsidRPr="006B6C08">
        <w:rPr>
          <w:sz w:val="20"/>
          <w:szCs w:val="20"/>
          <w:lang w:val="en-US"/>
        </w:rPr>
        <w:tab/>
      </w:r>
      <w:r w:rsidR="00DB367E" w:rsidRPr="006B6C08">
        <w:rPr>
          <w:sz w:val="20"/>
          <w:szCs w:val="20"/>
          <w:lang w:val="en-US"/>
        </w:rPr>
        <w:t xml:space="preserve">Israel is a party to </w:t>
      </w:r>
      <w:r w:rsidR="00DB367E" w:rsidRPr="006B6C08">
        <w:rPr>
          <w:sz w:val="20"/>
          <w:szCs w:val="20"/>
        </w:rPr>
        <w:t>the majority of core international human rights treaties</w:t>
      </w:r>
      <w:r w:rsidR="00DB367E" w:rsidRPr="006B6C08">
        <w:rPr>
          <w:rStyle w:val="FootnoteReference"/>
          <w:sz w:val="20"/>
          <w:szCs w:val="20"/>
        </w:rPr>
        <w:footnoteReference w:id="5"/>
      </w:r>
      <w:r w:rsidR="00DB367E" w:rsidRPr="006B6C08">
        <w:rPr>
          <w:sz w:val="20"/>
          <w:szCs w:val="20"/>
        </w:rPr>
        <w:t xml:space="preserve"> and ratified the Four Geneva Conventions.</w:t>
      </w:r>
      <w:r w:rsidR="00DB367E" w:rsidRPr="006B6C08">
        <w:rPr>
          <w:rStyle w:val="FootnoteReference"/>
          <w:sz w:val="20"/>
          <w:szCs w:val="20"/>
        </w:rPr>
        <w:footnoteReference w:id="6"/>
      </w:r>
      <w:r w:rsidR="00DB367E" w:rsidRPr="006B6C08">
        <w:rPr>
          <w:sz w:val="20"/>
          <w:szCs w:val="20"/>
        </w:rPr>
        <w:t xml:space="preserve"> On 1 April 2014, the State of Palestine acceded – among other instruments </w:t>
      </w:r>
      <w:r w:rsidR="00583034" w:rsidRPr="006B6C08">
        <w:rPr>
          <w:sz w:val="20"/>
          <w:szCs w:val="20"/>
        </w:rPr>
        <w:t>– to</w:t>
      </w:r>
      <w:r w:rsidR="00DB367E" w:rsidRPr="006B6C08">
        <w:rPr>
          <w:sz w:val="20"/>
          <w:szCs w:val="20"/>
        </w:rPr>
        <w:t xml:space="preserve"> the same core human rights treaties </w:t>
      </w:r>
      <w:r w:rsidR="00264533" w:rsidRPr="006B6C08">
        <w:rPr>
          <w:sz w:val="20"/>
          <w:szCs w:val="20"/>
        </w:rPr>
        <w:t xml:space="preserve">as </w:t>
      </w:r>
      <w:r w:rsidR="00DB367E" w:rsidRPr="006B6C08">
        <w:rPr>
          <w:sz w:val="20"/>
          <w:szCs w:val="20"/>
        </w:rPr>
        <w:t>Israel</w:t>
      </w:r>
      <w:r w:rsidR="008B47EC" w:rsidRPr="006B6C08">
        <w:rPr>
          <w:sz w:val="20"/>
          <w:szCs w:val="20"/>
        </w:rPr>
        <w:t xml:space="preserve"> and </w:t>
      </w:r>
      <w:r w:rsidR="00DB367E" w:rsidRPr="006B6C08">
        <w:rPr>
          <w:sz w:val="20"/>
          <w:szCs w:val="20"/>
        </w:rPr>
        <w:t xml:space="preserve">to the Four Geneva Conventions, their Additional Protocols and </w:t>
      </w:r>
      <w:r w:rsidR="00583034" w:rsidRPr="006B6C08">
        <w:rPr>
          <w:sz w:val="20"/>
          <w:szCs w:val="20"/>
        </w:rPr>
        <w:t>The</w:t>
      </w:r>
      <w:r w:rsidR="00476BDD" w:rsidRPr="006B6C08">
        <w:rPr>
          <w:sz w:val="20"/>
          <w:szCs w:val="20"/>
        </w:rPr>
        <w:t xml:space="preserve"> Fourth</w:t>
      </w:r>
      <w:r w:rsidR="00DB367E" w:rsidRPr="006B6C08">
        <w:rPr>
          <w:sz w:val="20"/>
          <w:szCs w:val="20"/>
        </w:rPr>
        <w:t xml:space="preserve"> Hague </w:t>
      </w:r>
      <w:r w:rsidR="00476BDD" w:rsidRPr="006B6C08">
        <w:rPr>
          <w:sz w:val="20"/>
          <w:szCs w:val="20"/>
        </w:rPr>
        <w:t>Convention</w:t>
      </w:r>
      <w:r w:rsidR="00DB367E" w:rsidRPr="006B6C08">
        <w:rPr>
          <w:sz w:val="20"/>
          <w:szCs w:val="20"/>
        </w:rPr>
        <w:t>.</w:t>
      </w:r>
      <w:r w:rsidR="00DB367E" w:rsidRPr="006B6C08">
        <w:rPr>
          <w:rStyle w:val="FootnoteReference"/>
          <w:sz w:val="20"/>
          <w:szCs w:val="20"/>
        </w:rPr>
        <w:footnoteReference w:id="7"/>
      </w:r>
    </w:p>
    <w:p w:rsidR="00DB367E" w:rsidRPr="006B6C08" w:rsidRDefault="006B6C08" w:rsidP="006B6C08">
      <w:pPr>
        <w:pStyle w:val="SingleTxtG"/>
        <w:ind w:hanging="360"/>
        <w:rPr>
          <w:lang w:val="en-US"/>
        </w:rPr>
      </w:pPr>
      <w:r w:rsidRPr="006B6C08">
        <w:rPr>
          <w:b/>
          <w:lang w:val="en-US"/>
        </w:rPr>
        <w:t>A.</w:t>
      </w:r>
      <w:r w:rsidRPr="006B6C08">
        <w:rPr>
          <w:b/>
          <w:lang w:val="en-US"/>
        </w:rPr>
        <w:tab/>
      </w:r>
      <w:r w:rsidR="00DB367E" w:rsidRPr="006B6C08">
        <w:rPr>
          <w:b/>
        </w:rPr>
        <w:t>International human rights law</w:t>
      </w:r>
    </w:p>
    <w:p w:rsidR="00E27E70" w:rsidRPr="006B6C08" w:rsidRDefault="006B6C08" w:rsidP="006B6C08">
      <w:pPr>
        <w:pStyle w:val="SingleTxtG"/>
        <w:ind w:left="1170"/>
        <w:rPr>
          <w:sz w:val="20"/>
          <w:szCs w:val="20"/>
        </w:rPr>
      </w:pPr>
      <w:r w:rsidRPr="006B6C08">
        <w:rPr>
          <w:sz w:val="20"/>
          <w:szCs w:val="20"/>
        </w:rPr>
        <w:t>5.</w:t>
      </w:r>
      <w:r w:rsidRPr="006B6C08">
        <w:rPr>
          <w:sz w:val="20"/>
          <w:szCs w:val="20"/>
        </w:rPr>
        <w:tab/>
      </w:r>
      <w:r w:rsidR="006A253F" w:rsidRPr="006B6C08">
        <w:rPr>
          <w:sz w:val="20"/>
          <w:szCs w:val="20"/>
        </w:rPr>
        <w:t xml:space="preserve">As a party to the majority of the core international human rights conventions, the State of Palestine is responsible </w:t>
      </w:r>
      <w:r w:rsidR="00264533" w:rsidRPr="006B6C08">
        <w:rPr>
          <w:sz w:val="20"/>
          <w:szCs w:val="20"/>
        </w:rPr>
        <w:t xml:space="preserve">for </w:t>
      </w:r>
      <w:r w:rsidR="006A253F" w:rsidRPr="006B6C08">
        <w:rPr>
          <w:sz w:val="20"/>
          <w:szCs w:val="20"/>
        </w:rPr>
        <w:t>implement</w:t>
      </w:r>
      <w:r w:rsidR="00264533" w:rsidRPr="006B6C08">
        <w:rPr>
          <w:sz w:val="20"/>
          <w:szCs w:val="20"/>
        </w:rPr>
        <w:t>ing</w:t>
      </w:r>
      <w:r w:rsidR="006A253F" w:rsidRPr="006B6C08">
        <w:rPr>
          <w:sz w:val="20"/>
          <w:szCs w:val="20"/>
        </w:rPr>
        <w:t xml:space="preserve"> its human rights obligations </w:t>
      </w:r>
      <w:r w:rsidR="0073798E" w:rsidRPr="006B6C08">
        <w:rPr>
          <w:sz w:val="20"/>
          <w:szCs w:val="20"/>
        </w:rPr>
        <w:t xml:space="preserve">to the extent of its jurisdiction. </w:t>
      </w:r>
      <w:r w:rsidR="007570DD" w:rsidRPr="006B6C08">
        <w:rPr>
          <w:sz w:val="20"/>
          <w:szCs w:val="20"/>
        </w:rPr>
        <w:t>The</w:t>
      </w:r>
      <w:r w:rsidR="006A253F" w:rsidRPr="006B6C08">
        <w:rPr>
          <w:sz w:val="20"/>
          <w:szCs w:val="20"/>
        </w:rPr>
        <w:t xml:space="preserve"> authorities in Gaza also bear human rights obligations</w:t>
      </w:r>
      <w:r w:rsidR="00E27E70" w:rsidRPr="006B6C08">
        <w:rPr>
          <w:sz w:val="20"/>
          <w:szCs w:val="20"/>
        </w:rPr>
        <w:t>,</w:t>
      </w:r>
      <w:r w:rsidR="006A253F" w:rsidRPr="006B6C08">
        <w:rPr>
          <w:sz w:val="20"/>
          <w:szCs w:val="20"/>
        </w:rPr>
        <w:t xml:space="preserve"> given their exercise of government-like functions and territorial control.</w:t>
      </w:r>
      <w:r w:rsidR="006A253F" w:rsidRPr="006B6C08">
        <w:rPr>
          <w:rStyle w:val="FootnoteReference"/>
          <w:sz w:val="20"/>
          <w:szCs w:val="20"/>
        </w:rPr>
        <w:footnoteReference w:id="8"/>
      </w:r>
      <w:r w:rsidR="006A253F" w:rsidRPr="006B6C08">
        <w:rPr>
          <w:sz w:val="20"/>
          <w:szCs w:val="20"/>
        </w:rPr>
        <w:t xml:space="preserve"> </w:t>
      </w:r>
    </w:p>
    <w:p w:rsidR="00E35BBE" w:rsidRPr="006B6C08" w:rsidRDefault="006B6C08" w:rsidP="006B6C08">
      <w:pPr>
        <w:pStyle w:val="SingleTxtG"/>
        <w:ind w:left="1170"/>
        <w:rPr>
          <w:sz w:val="20"/>
          <w:szCs w:val="20"/>
        </w:rPr>
      </w:pPr>
      <w:r w:rsidRPr="006B6C08">
        <w:rPr>
          <w:sz w:val="20"/>
          <w:szCs w:val="20"/>
        </w:rPr>
        <w:t>6.</w:t>
      </w:r>
      <w:r w:rsidRPr="006B6C08">
        <w:rPr>
          <w:sz w:val="20"/>
          <w:szCs w:val="20"/>
        </w:rPr>
        <w:tab/>
      </w:r>
      <w:r w:rsidR="006A253F" w:rsidRPr="006B6C08">
        <w:rPr>
          <w:sz w:val="20"/>
          <w:szCs w:val="20"/>
        </w:rPr>
        <w:t>Israel’s human rights obligations within the</w:t>
      </w:r>
      <w:r w:rsidR="00F47FC6" w:rsidRPr="006B6C08">
        <w:rPr>
          <w:sz w:val="20"/>
          <w:szCs w:val="20"/>
        </w:rPr>
        <w:t xml:space="preserve"> </w:t>
      </w:r>
      <w:r w:rsidR="00C747CD" w:rsidRPr="006B6C08">
        <w:rPr>
          <w:sz w:val="20"/>
          <w:szCs w:val="20"/>
        </w:rPr>
        <w:t>Occupied Palestinian Territory</w:t>
      </w:r>
      <w:r w:rsidR="006A253F" w:rsidRPr="006B6C08">
        <w:rPr>
          <w:sz w:val="20"/>
          <w:szCs w:val="20"/>
        </w:rPr>
        <w:t xml:space="preserve"> stem from the jurisdiction and effective control exercised by Israel as the occupying power. </w:t>
      </w:r>
      <w:r w:rsidR="00E27E70" w:rsidRPr="006B6C08">
        <w:rPr>
          <w:sz w:val="20"/>
          <w:szCs w:val="20"/>
        </w:rPr>
        <w:t xml:space="preserve"> </w:t>
      </w:r>
    </w:p>
    <w:p w:rsidR="002C2D6E" w:rsidRPr="006B6C08" w:rsidRDefault="005641FF" w:rsidP="00627701">
      <w:pPr>
        <w:pStyle w:val="SingleTxtG"/>
        <w:ind w:left="1170"/>
        <w:rPr>
          <w:sz w:val="20"/>
          <w:szCs w:val="20"/>
        </w:rPr>
      </w:pPr>
      <w:r w:rsidRPr="006B6C08">
        <w:rPr>
          <w:sz w:val="20"/>
          <w:szCs w:val="20"/>
        </w:rPr>
        <w:t>T</w:t>
      </w:r>
      <w:r w:rsidR="006A253F" w:rsidRPr="006B6C08">
        <w:rPr>
          <w:sz w:val="20"/>
          <w:szCs w:val="20"/>
        </w:rPr>
        <w:t xml:space="preserve">he scope of application of </w:t>
      </w:r>
      <w:r w:rsidR="00F47FC6" w:rsidRPr="006B6C08">
        <w:rPr>
          <w:sz w:val="20"/>
          <w:szCs w:val="20"/>
        </w:rPr>
        <w:t>international human rights law</w:t>
      </w:r>
      <w:r w:rsidR="006A253F" w:rsidRPr="006B6C08">
        <w:rPr>
          <w:sz w:val="20"/>
          <w:szCs w:val="20"/>
        </w:rPr>
        <w:t xml:space="preserve"> does not only depend on a State’s territorial limits, but also on the exercise of its jurisdiction or effective control, even </w:t>
      </w:r>
      <w:r w:rsidR="007F171C" w:rsidRPr="006B6C08">
        <w:rPr>
          <w:sz w:val="20"/>
          <w:szCs w:val="20"/>
        </w:rPr>
        <w:t>outside of the</w:t>
      </w:r>
      <w:r w:rsidR="006A253F" w:rsidRPr="006B6C08">
        <w:rPr>
          <w:sz w:val="20"/>
          <w:szCs w:val="20"/>
        </w:rPr>
        <w:t xml:space="preserve"> State’s sovereign territory.</w:t>
      </w:r>
      <w:r w:rsidR="006A253F" w:rsidRPr="006B6C08">
        <w:rPr>
          <w:rStyle w:val="FootnoteReference"/>
          <w:sz w:val="20"/>
          <w:szCs w:val="20"/>
        </w:rPr>
        <w:footnoteReference w:id="9"/>
      </w:r>
      <w:r w:rsidR="006A253F" w:rsidRPr="006B6C08">
        <w:rPr>
          <w:sz w:val="20"/>
          <w:szCs w:val="20"/>
        </w:rPr>
        <w:t xml:space="preserve"> </w:t>
      </w:r>
      <w:r w:rsidR="00A242DE" w:rsidRPr="006B6C08">
        <w:rPr>
          <w:sz w:val="20"/>
          <w:szCs w:val="20"/>
        </w:rPr>
        <w:t>Israel has rejected the applicability of its human rights obligations outside its national territory.</w:t>
      </w:r>
      <w:r w:rsidR="00A242DE" w:rsidRPr="006B6C08">
        <w:rPr>
          <w:sz w:val="20"/>
          <w:szCs w:val="20"/>
          <w:vertAlign w:val="superscript"/>
        </w:rPr>
        <w:footnoteReference w:id="10"/>
      </w:r>
      <w:r w:rsidR="00A242DE" w:rsidRPr="006B6C08">
        <w:rPr>
          <w:sz w:val="20"/>
          <w:szCs w:val="20"/>
        </w:rPr>
        <w:t xml:space="preserve"> However,</w:t>
      </w:r>
      <w:r w:rsidR="00B41678" w:rsidRPr="006B6C08">
        <w:rPr>
          <w:sz w:val="20"/>
          <w:szCs w:val="20"/>
        </w:rPr>
        <w:t xml:space="preserve"> </w:t>
      </w:r>
      <w:r w:rsidR="00A242DE" w:rsidRPr="006B6C08">
        <w:rPr>
          <w:sz w:val="20"/>
          <w:szCs w:val="20"/>
        </w:rPr>
        <w:t>t</w:t>
      </w:r>
      <w:r w:rsidR="006A253F" w:rsidRPr="006B6C08">
        <w:rPr>
          <w:sz w:val="20"/>
          <w:szCs w:val="20"/>
        </w:rPr>
        <w:t xml:space="preserve">he applicability of Israel’s </w:t>
      </w:r>
      <w:r w:rsidR="006A253F" w:rsidRPr="006B6C08">
        <w:rPr>
          <w:sz w:val="20"/>
          <w:szCs w:val="20"/>
        </w:rPr>
        <w:lastRenderedPageBreak/>
        <w:t xml:space="preserve">human rights </w:t>
      </w:r>
      <w:r w:rsidR="00A242DE" w:rsidRPr="006B6C08">
        <w:rPr>
          <w:sz w:val="20"/>
          <w:szCs w:val="20"/>
        </w:rPr>
        <w:t>obligations</w:t>
      </w:r>
      <w:r w:rsidR="006A253F" w:rsidRPr="006B6C08">
        <w:rPr>
          <w:sz w:val="20"/>
          <w:szCs w:val="20"/>
        </w:rPr>
        <w:t xml:space="preserve"> </w:t>
      </w:r>
      <w:r w:rsidR="002B50F0" w:rsidRPr="006B6C08">
        <w:rPr>
          <w:sz w:val="20"/>
          <w:szCs w:val="20"/>
        </w:rPr>
        <w:t>in</w:t>
      </w:r>
      <w:r w:rsidR="006A253F" w:rsidRPr="006B6C08">
        <w:rPr>
          <w:sz w:val="20"/>
          <w:szCs w:val="20"/>
        </w:rPr>
        <w:t xml:space="preserve"> the</w:t>
      </w:r>
      <w:r w:rsidRPr="006B6C08">
        <w:rPr>
          <w:sz w:val="20"/>
          <w:szCs w:val="20"/>
        </w:rPr>
        <w:t xml:space="preserve"> </w:t>
      </w:r>
      <w:r w:rsidR="00C747CD" w:rsidRPr="006B6C08">
        <w:rPr>
          <w:sz w:val="20"/>
          <w:szCs w:val="20"/>
        </w:rPr>
        <w:t>Occupied Palestinian Territory</w:t>
      </w:r>
      <w:r w:rsidR="006A253F" w:rsidRPr="006B6C08">
        <w:rPr>
          <w:sz w:val="20"/>
          <w:szCs w:val="20"/>
        </w:rPr>
        <w:t xml:space="preserve"> (i.e. the West Bank, including East Jerusalem, and the Gaza Strip) has been continuously asserted</w:t>
      </w:r>
      <w:r w:rsidR="0073798E" w:rsidRPr="006B6C08">
        <w:rPr>
          <w:sz w:val="20"/>
          <w:szCs w:val="20"/>
        </w:rPr>
        <w:t xml:space="preserve"> in the relevant resolutions of the General Assembly</w:t>
      </w:r>
      <w:r w:rsidR="0073798E" w:rsidRPr="006B6C08">
        <w:rPr>
          <w:rStyle w:val="FootnoteReference"/>
          <w:szCs w:val="20"/>
        </w:rPr>
        <w:footnoteReference w:id="11"/>
      </w:r>
      <w:r w:rsidR="0073798E" w:rsidRPr="006B6C08">
        <w:rPr>
          <w:sz w:val="20"/>
          <w:szCs w:val="20"/>
        </w:rPr>
        <w:t>,</w:t>
      </w:r>
      <w:r w:rsidR="006A253F" w:rsidRPr="006B6C08">
        <w:rPr>
          <w:sz w:val="20"/>
          <w:szCs w:val="20"/>
        </w:rPr>
        <w:t xml:space="preserve"> in reports of the Secretary-General</w:t>
      </w:r>
      <w:r w:rsidR="006A253F" w:rsidRPr="006B6C08">
        <w:rPr>
          <w:rStyle w:val="FootnoteReference"/>
          <w:sz w:val="20"/>
          <w:szCs w:val="20"/>
        </w:rPr>
        <w:footnoteReference w:id="12"/>
      </w:r>
      <w:r w:rsidR="00B65EB0" w:rsidRPr="006B6C08">
        <w:rPr>
          <w:sz w:val="20"/>
          <w:szCs w:val="20"/>
        </w:rPr>
        <w:t xml:space="preserve"> and</w:t>
      </w:r>
      <w:r w:rsidR="006A253F" w:rsidRPr="006B6C08">
        <w:rPr>
          <w:sz w:val="20"/>
          <w:szCs w:val="20"/>
        </w:rPr>
        <w:t xml:space="preserve"> the High Commissioner for Human Rights</w:t>
      </w:r>
      <w:r w:rsidR="006A253F" w:rsidRPr="006B6C08">
        <w:rPr>
          <w:rStyle w:val="FootnoteReference"/>
          <w:sz w:val="20"/>
          <w:szCs w:val="20"/>
        </w:rPr>
        <w:footnoteReference w:id="13"/>
      </w:r>
      <w:r w:rsidR="0073798E" w:rsidRPr="006B6C08">
        <w:rPr>
          <w:sz w:val="20"/>
          <w:szCs w:val="20"/>
        </w:rPr>
        <w:t>,</w:t>
      </w:r>
      <w:r w:rsidR="006A253F" w:rsidRPr="006B6C08">
        <w:rPr>
          <w:sz w:val="20"/>
          <w:szCs w:val="20"/>
        </w:rPr>
        <w:t xml:space="preserve"> and </w:t>
      </w:r>
      <w:r w:rsidR="00B65EB0" w:rsidRPr="006B6C08">
        <w:rPr>
          <w:sz w:val="20"/>
          <w:szCs w:val="20"/>
        </w:rPr>
        <w:t xml:space="preserve">by </w:t>
      </w:r>
      <w:r w:rsidR="006A253F" w:rsidRPr="006B6C08">
        <w:rPr>
          <w:sz w:val="20"/>
          <w:szCs w:val="20"/>
        </w:rPr>
        <w:t xml:space="preserve">various </w:t>
      </w:r>
      <w:r w:rsidR="00B65EB0" w:rsidRPr="006B6C08">
        <w:rPr>
          <w:sz w:val="20"/>
          <w:szCs w:val="20"/>
        </w:rPr>
        <w:t>h</w:t>
      </w:r>
      <w:r w:rsidR="006A253F" w:rsidRPr="006B6C08">
        <w:rPr>
          <w:sz w:val="20"/>
          <w:szCs w:val="20"/>
        </w:rPr>
        <w:t xml:space="preserve">uman </w:t>
      </w:r>
      <w:r w:rsidR="00B65EB0" w:rsidRPr="006B6C08">
        <w:rPr>
          <w:sz w:val="20"/>
          <w:szCs w:val="20"/>
        </w:rPr>
        <w:t>r</w:t>
      </w:r>
      <w:r w:rsidR="006A253F" w:rsidRPr="006B6C08">
        <w:rPr>
          <w:sz w:val="20"/>
          <w:szCs w:val="20"/>
        </w:rPr>
        <w:t>ights treaty bodies</w:t>
      </w:r>
      <w:r w:rsidR="002B50F0" w:rsidRPr="006B6C08">
        <w:rPr>
          <w:sz w:val="20"/>
          <w:szCs w:val="20"/>
        </w:rPr>
        <w:t>.</w:t>
      </w:r>
      <w:r w:rsidR="006A253F" w:rsidRPr="006B6C08">
        <w:rPr>
          <w:rStyle w:val="FootnoteReference"/>
          <w:sz w:val="20"/>
          <w:szCs w:val="20"/>
        </w:rPr>
        <w:footnoteReference w:id="14"/>
      </w:r>
      <w:r w:rsidR="002B50F0" w:rsidRPr="006B6C08">
        <w:rPr>
          <w:sz w:val="20"/>
          <w:szCs w:val="20"/>
        </w:rPr>
        <w:t xml:space="preserve"> </w:t>
      </w:r>
    </w:p>
    <w:p w:rsidR="00AD214F" w:rsidRPr="006B6C08" w:rsidRDefault="006B6C08" w:rsidP="006B6C08">
      <w:pPr>
        <w:pStyle w:val="SingleTxtG"/>
        <w:ind w:left="1170"/>
        <w:rPr>
          <w:sz w:val="20"/>
          <w:szCs w:val="20"/>
        </w:rPr>
      </w:pPr>
      <w:r w:rsidRPr="006B6C08">
        <w:rPr>
          <w:sz w:val="20"/>
          <w:szCs w:val="20"/>
        </w:rPr>
        <w:t>7.</w:t>
      </w:r>
      <w:r w:rsidRPr="006B6C08">
        <w:rPr>
          <w:sz w:val="20"/>
          <w:szCs w:val="20"/>
        </w:rPr>
        <w:tab/>
      </w:r>
      <w:r w:rsidR="005C57FC" w:rsidRPr="006B6C08">
        <w:rPr>
          <w:sz w:val="20"/>
          <w:szCs w:val="20"/>
        </w:rPr>
        <w:t xml:space="preserve">As the International Court of Justice (ICJ) stated in its 2004 Advisory Opinion on </w:t>
      </w:r>
      <w:r w:rsidR="003A1C6D" w:rsidRPr="006B6C08">
        <w:rPr>
          <w:sz w:val="20"/>
          <w:szCs w:val="20"/>
        </w:rPr>
        <w:t>the Wall</w:t>
      </w:r>
      <w:r w:rsidR="005C57FC" w:rsidRPr="006B6C08">
        <w:rPr>
          <w:sz w:val="20"/>
          <w:szCs w:val="20"/>
        </w:rPr>
        <w:t xml:space="preserve">, due to </w:t>
      </w:r>
      <w:r w:rsidR="002C2D6E" w:rsidRPr="006B6C08">
        <w:rPr>
          <w:sz w:val="20"/>
          <w:szCs w:val="20"/>
        </w:rPr>
        <w:t xml:space="preserve">its </w:t>
      </w:r>
      <w:r w:rsidR="005C57FC" w:rsidRPr="006B6C08">
        <w:rPr>
          <w:sz w:val="20"/>
          <w:szCs w:val="20"/>
        </w:rPr>
        <w:t>exercise of territorial jurisdiction over the Occupied Palestinian Territory as the occupying power, Israel is bound by human rights obligations to the local population.</w:t>
      </w:r>
      <w:r w:rsidR="005C57FC" w:rsidRPr="006B6C08">
        <w:rPr>
          <w:rStyle w:val="FootnoteReference"/>
          <w:sz w:val="20"/>
          <w:szCs w:val="20"/>
        </w:rPr>
        <w:footnoteReference w:id="15"/>
      </w:r>
      <w:r w:rsidR="005C57FC" w:rsidRPr="006B6C08">
        <w:rPr>
          <w:sz w:val="20"/>
          <w:szCs w:val="20"/>
        </w:rPr>
        <w:t xml:space="preserve"> </w:t>
      </w:r>
      <w:r w:rsidR="005276C4" w:rsidRPr="006B6C08">
        <w:rPr>
          <w:sz w:val="20"/>
          <w:szCs w:val="20"/>
        </w:rPr>
        <w:t xml:space="preserve">The </w:t>
      </w:r>
      <w:r w:rsidR="002C2D6E" w:rsidRPr="006B6C08">
        <w:rPr>
          <w:sz w:val="20"/>
          <w:szCs w:val="20"/>
        </w:rPr>
        <w:t xml:space="preserve">ICJ also observed that </w:t>
      </w:r>
      <w:r w:rsidR="006A253F" w:rsidRPr="006B6C08">
        <w:rPr>
          <w:sz w:val="20"/>
          <w:szCs w:val="20"/>
        </w:rPr>
        <w:t xml:space="preserve">Israel’s obligations under the </w:t>
      </w:r>
      <w:r w:rsidR="002C2D6E" w:rsidRPr="006B6C08">
        <w:rPr>
          <w:sz w:val="20"/>
          <w:szCs w:val="20"/>
        </w:rPr>
        <w:t>international Covenant on Economic, Social and Cultural Rights</w:t>
      </w:r>
      <w:r w:rsidR="006A253F" w:rsidRPr="006B6C08">
        <w:rPr>
          <w:sz w:val="20"/>
          <w:szCs w:val="20"/>
        </w:rPr>
        <w:t xml:space="preserve"> included “an obligation not to raise any obstacle to the exercise of such rights in those fields where competence has been transferred to Palestinian authorities.”</w:t>
      </w:r>
      <w:r w:rsidR="006A253F" w:rsidRPr="006B6C08">
        <w:rPr>
          <w:sz w:val="20"/>
          <w:szCs w:val="20"/>
          <w:vertAlign w:val="superscript"/>
        </w:rPr>
        <w:footnoteReference w:id="16"/>
      </w:r>
      <w:r w:rsidR="006A253F" w:rsidRPr="006B6C08">
        <w:rPr>
          <w:sz w:val="20"/>
          <w:szCs w:val="20"/>
        </w:rPr>
        <w:t xml:space="preserve"> </w:t>
      </w:r>
      <w:r w:rsidR="005641FF" w:rsidRPr="006B6C08">
        <w:rPr>
          <w:sz w:val="20"/>
          <w:szCs w:val="20"/>
        </w:rPr>
        <w:t>T</w:t>
      </w:r>
      <w:r w:rsidR="006A253F" w:rsidRPr="006B6C08">
        <w:rPr>
          <w:sz w:val="20"/>
          <w:szCs w:val="20"/>
        </w:rPr>
        <w:t>he accession of Palestine to human rights treaties does not affect Israel’s obligations under human rights law within the</w:t>
      </w:r>
      <w:r w:rsidR="0044379B" w:rsidRPr="006B6C08">
        <w:rPr>
          <w:sz w:val="20"/>
          <w:szCs w:val="20"/>
        </w:rPr>
        <w:t xml:space="preserve"> </w:t>
      </w:r>
      <w:r w:rsidR="00C747CD" w:rsidRPr="006B6C08">
        <w:rPr>
          <w:sz w:val="20"/>
          <w:szCs w:val="20"/>
        </w:rPr>
        <w:t>Occupied Palestinian Territory</w:t>
      </w:r>
      <w:r w:rsidR="006A253F" w:rsidRPr="006B6C08">
        <w:rPr>
          <w:sz w:val="20"/>
          <w:szCs w:val="20"/>
        </w:rPr>
        <w:t>.</w:t>
      </w:r>
      <w:r w:rsidR="006A253F" w:rsidRPr="006B6C08">
        <w:rPr>
          <w:rStyle w:val="FootnoteReference"/>
          <w:sz w:val="20"/>
          <w:szCs w:val="20"/>
        </w:rPr>
        <w:footnoteReference w:id="17"/>
      </w:r>
      <w:r w:rsidR="00B60BD3" w:rsidRPr="006B6C08">
        <w:rPr>
          <w:sz w:val="20"/>
          <w:szCs w:val="20"/>
        </w:rPr>
        <w:t xml:space="preserve"> </w:t>
      </w:r>
    </w:p>
    <w:p w:rsidR="00E35BBE" w:rsidRPr="006B6C08" w:rsidRDefault="006B6C08" w:rsidP="006B6C08">
      <w:pPr>
        <w:pStyle w:val="SingleTxtG"/>
        <w:ind w:left="1170"/>
        <w:rPr>
          <w:sz w:val="20"/>
          <w:szCs w:val="20"/>
        </w:rPr>
      </w:pPr>
      <w:r w:rsidRPr="006B6C08">
        <w:rPr>
          <w:sz w:val="20"/>
          <w:szCs w:val="20"/>
        </w:rPr>
        <w:t>8.</w:t>
      </w:r>
      <w:r w:rsidRPr="006B6C08">
        <w:rPr>
          <w:sz w:val="20"/>
          <w:szCs w:val="20"/>
        </w:rPr>
        <w:tab/>
      </w:r>
      <w:r w:rsidR="005641FF" w:rsidRPr="006B6C08">
        <w:rPr>
          <w:sz w:val="20"/>
          <w:szCs w:val="20"/>
        </w:rPr>
        <w:t>T</w:t>
      </w:r>
      <w:r w:rsidR="006A253F" w:rsidRPr="006B6C08">
        <w:rPr>
          <w:sz w:val="20"/>
          <w:szCs w:val="20"/>
        </w:rPr>
        <w:t>he applicability of human rights law in a situation of armed conflict or occupation</w:t>
      </w:r>
      <w:r w:rsidR="000054C0" w:rsidRPr="006B6C08">
        <w:rPr>
          <w:sz w:val="20"/>
          <w:szCs w:val="20"/>
        </w:rPr>
        <w:t xml:space="preserve"> concurrently with </w:t>
      </w:r>
      <w:r w:rsidR="00673F08" w:rsidRPr="006B6C08">
        <w:rPr>
          <w:sz w:val="20"/>
          <w:szCs w:val="20"/>
        </w:rPr>
        <w:t>i</w:t>
      </w:r>
      <w:r w:rsidR="000054C0" w:rsidRPr="006B6C08">
        <w:rPr>
          <w:sz w:val="20"/>
          <w:szCs w:val="20"/>
        </w:rPr>
        <w:t>nternational humanitarian law</w:t>
      </w:r>
      <w:r w:rsidR="006A253F" w:rsidRPr="006B6C08">
        <w:rPr>
          <w:sz w:val="20"/>
          <w:szCs w:val="20"/>
        </w:rPr>
        <w:t xml:space="preserve"> has been widely </w:t>
      </w:r>
      <w:r w:rsidR="00673F08" w:rsidRPr="006B6C08">
        <w:rPr>
          <w:sz w:val="20"/>
          <w:szCs w:val="20"/>
        </w:rPr>
        <w:t>af</w:t>
      </w:r>
      <w:r w:rsidR="006A253F" w:rsidRPr="006B6C08">
        <w:rPr>
          <w:sz w:val="20"/>
          <w:szCs w:val="20"/>
        </w:rPr>
        <w:t>firmed. The ICJ first addressed th</w:t>
      </w:r>
      <w:r w:rsidR="000054C0" w:rsidRPr="006B6C08">
        <w:rPr>
          <w:sz w:val="20"/>
          <w:szCs w:val="20"/>
        </w:rPr>
        <w:t>is</w:t>
      </w:r>
      <w:r w:rsidR="006A253F" w:rsidRPr="006B6C08">
        <w:rPr>
          <w:sz w:val="20"/>
          <w:szCs w:val="20"/>
        </w:rPr>
        <w:t xml:space="preserve"> issue in its 1996 Advisory Opinion on the </w:t>
      </w:r>
      <w:r w:rsidR="006A253F" w:rsidRPr="006B6C08">
        <w:rPr>
          <w:i/>
          <w:sz w:val="20"/>
          <w:szCs w:val="20"/>
        </w:rPr>
        <w:t>Legality of the Threat or Use of Nuclear Weapons</w:t>
      </w:r>
      <w:r w:rsidR="006A253F" w:rsidRPr="006B6C08">
        <w:rPr>
          <w:sz w:val="20"/>
          <w:szCs w:val="20"/>
        </w:rPr>
        <w:t xml:space="preserve">, and further confirmed the concurrent application of </w:t>
      </w:r>
      <w:r w:rsidR="00F47FC6" w:rsidRPr="006B6C08">
        <w:rPr>
          <w:sz w:val="20"/>
          <w:szCs w:val="20"/>
        </w:rPr>
        <w:t>international humanitarian law</w:t>
      </w:r>
      <w:r w:rsidR="006A253F" w:rsidRPr="006B6C08">
        <w:rPr>
          <w:sz w:val="20"/>
          <w:szCs w:val="20"/>
        </w:rPr>
        <w:t xml:space="preserve"> and human rights law in its Advisory Opinion on the </w:t>
      </w:r>
      <w:r w:rsidR="006A253F" w:rsidRPr="006B6C08">
        <w:rPr>
          <w:i/>
          <w:sz w:val="20"/>
          <w:szCs w:val="20"/>
        </w:rPr>
        <w:t>Wall</w:t>
      </w:r>
      <w:r w:rsidR="006A253F" w:rsidRPr="006B6C08">
        <w:rPr>
          <w:sz w:val="20"/>
          <w:szCs w:val="20"/>
        </w:rPr>
        <w:t xml:space="preserve">, including as </w:t>
      </w:r>
      <w:r w:rsidR="00F80D2E" w:rsidRPr="006B6C08">
        <w:rPr>
          <w:sz w:val="20"/>
          <w:szCs w:val="20"/>
        </w:rPr>
        <w:t xml:space="preserve">related </w:t>
      </w:r>
      <w:r w:rsidR="006A253F" w:rsidRPr="006B6C08">
        <w:rPr>
          <w:sz w:val="20"/>
          <w:szCs w:val="20"/>
        </w:rPr>
        <w:t>to the</w:t>
      </w:r>
      <w:r w:rsidR="0044379B" w:rsidRPr="006B6C08">
        <w:rPr>
          <w:sz w:val="20"/>
          <w:szCs w:val="20"/>
        </w:rPr>
        <w:t xml:space="preserve"> </w:t>
      </w:r>
      <w:r w:rsidR="00C747CD" w:rsidRPr="006B6C08">
        <w:rPr>
          <w:sz w:val="20"/>
          <w:szCs w:val="20"/>
        </w:rPr>
        <w:t>Occupied Palestinian Territory</w:t>
      </w:r>
      <w:r w:rsidR="006A253F" w:rsidRPr="006B6C08">
        <w:rPr>
          <w:i/>
          <w:sz w:val="20"/>
          <w:szCs w:val="20"/>
        </w:rPr>
        <w:t>.</w:t>
      </w:r>
      <w:r w:rsidR="006A253F" w:rsidRPr="006B6C08">
        <w:rPr>
          <w:rStyle w:val="FootnoteReference"/>
          <w:sz w:val="20"/>
          <w:szCs w:val="20"/>
        </w:rPr>
        <w:footnoteReference w:id="18"/>
      </w:r>
      <w:r w:rsidR="006A253F" w:rsidRPr="006B6C08">
        <w:rPr>
          <w:sz w:val="20"/>
          <w:szCs w:val="20"/>
        </w:rPr>
        <w:t xml:space="preserve"> </w:t>
      </w:r>
      <w:r w:rsidR="0044379B" w:rsidRPr="006B6C08">
        <w:rPr>
          <w:sz w:val="20"/>
          <w:szCs w:val="20"/>
        </w:rPr>
        <w:t xml:space="preserve">A </w:t>
      </w:r>
      <w:r w:rsidR="006A253F" w:rsidRPr="006B6C08">
        <w:rPr>
          <w:sz w:val="20"/>
          <w:szCs w:val="20"/>
        </w:rPr>
        <w:t>situation of armed conflict or occupation does not release a State from its human rights obligations.</w:t>
      </w:r>
      <w:r w:rsidR="006A253F" w:rsidRPr="006B6C08">
        <w:rPr>
          <w:rStyle w:val="FootnoteReference"/>
          <w:sz w:val="20"/>
          <w:szCs w:val="20"/>
        </w:rPr>
        <w:footnoteReference w:id="19"/>
      </w:r>
    </w:p>
    <w:p w:rsidR="00167713" w:rsidRPr="006B6C08" w:rsidRDefault="006B6C08" w:rsidP="006B6C08">
      <w:pPr>
        <w:pStyle w:val="SingleTxtG"/>
        <w:ind w:hanging="360"/>
        <w:outlineLvl w:val="0"/>
        <w:rPr>
          <w:b/>
        </w:rPr>
      </w:pPr>
      <w:r w:rsidRPr="006B6C08">
        <w:rPr>
          <w:b/>
        </w:rPr>
        <w:t>B.</w:t>
      </w:r>
      <w:r w:rsidRPr="006B6C08">
        <w:rPr>
          <w:b/>
        </w:rPr>
        <w:tab/>
      </w:r>
      <w:r w:rsidR="00167713" w:rsidRPr="006B6C08">
        <w:rPr>
          <w:b/>
        </w:rPr>
        <w:t>International humanitarian law</w:t>
      </w:r>
    </w:p>
    <w:p w:rsidR="00E35BBE" w:rsidRPr="006B6C08" w:rsidRDefault="006B6C08" w:rsidP="006B6C08">
      <w:pPr>
        <w:pStyle w:val="SingleTxtG"/>
        <w:ind w:left="1170"/>
        <w:rPr>
          <w:sz w:val="20"/>
          <w:szCs w:val="20"/>
        </w:rPr>
      </w:pPr>
      <w:r w:rsidRPr="006B6C08">
        <w:rPr>
          <w:sz w:val="20"/>
          <w:szCs w:val="20"/>
        </w:rPr>
        <w:t>9.</w:t>
      </w:r>
      <w:r w:rsidRPr="006B6C08">
        <w:rPr>
          <w:sz w:val="20"/>
          <w:szCs w:val="20"/>
        </w:rPr>
        <w:tab/>
      </w:r>
      <w:r w:rsidR="006A253F" w:rsidRPr="006B6C08">
        <w:rPr>
          <w:sz w:val="20"/>
          <w:szCs w:val="20"/>
        </w:rPr>
        <w:t>The</w:t>
      </w:r>
      <w:r w:rsidR="0044379B" w:rsidRPr="006B6C08">
        <w:rPr>
          <w:sz w:val="20"/>
          <w:szCs w:val="20"/>
        </w:rPr>
        <w:t xml:space="preserve"> </w:t>
      </w:r>
      <w:r w:rsidR="00C747CD" w:rsidRPr="006B6C08">
        <w:rPr>
          <w:sz w:val="20"/>
          <w:szCs w:val="20"/>
        </w:rPr>
        <w:t>Occupied Palestinian Territory</w:t>
      </w:r>
      <w:r w:rsidR="006A253F" w:rsidRPr="006B6C08">
        <w:rPr>
          <w:sz w:val="20"/>
          <w:szCs w:val="20"/>
        </w:rPr>
        <w:t xml:space="preserve"> is a territory under belligerent occupation</w:t>
      </w:r>
      <w:r w:rsidR="00F80D2E" w:rsidRPr="006B6C08">
        <w:rPr>
          <w:sz w:val="20"/>
          <w:szCs w:val="20"/>
        </w:rPr>
        <w:t>,</w:t>
      </w:r>
      <w:r w:rsidR="006A253F" w:rsidRPr="006B6C08">
        <w:rPr>
          <w:sz w:val="20"/>
          <w:szCs w:val="20"/>
        </w:rPr>
        <w:t xml:space="preserve"> to which </w:t>
      </w:r>
      <w:r w:rsidR="00F47FC6" w:rsidRPr="006B6C08">
        <w:rPr>
          <w:sz w:val="20"/>
          <w:szCs w:val="20"/>
        </w:rPr>
        <w:t>international humanitarian law</w:t>
      </w:r>
      <w:r w:rsidR="006A253F" w:rsidRPr="006B6C08">
        <w:rPr>
          <w:sz w:val="20"/>
          <w:szCs w:val="20"/>
        </w:rPr>
        <w:t xml:space="preserve"> applies. Israel is bound by the obligations of an occupying power set out in the 1907 Hague Regulations, the Fourth Geneva Convention and customary international law</w:t>
      </w:r>
      <w:r w:rsidR="00146857" w:rsidRPr="006B6C08">
        <w:rPr>
          <w:sz w:val="20"/>
          <w:szCs w:val="20"/>
        </w:rPr>
        <w:t>,</w:t>
      </w:r>
      <w:r w:rsidR="006A253F" w:rsidRPr="006B6C08">
        <w:rPr>
          <w:rStyle w:val="FootnoteReference"/>
          <w:sz w:val="20"/>
          <w:szCs w:val="20"/>
        </w:rPr>
        <w:footnoteReference w:id="20"/>
      </w:r>
      <w:r w:rsidR="00AA39D4" w:rsidRPr="006B6C08">
        <w:rPr>
          <w:sz w:val="20"/>
          <w:szCs w:val="20"/>
        </w:rPr>
        <w:t xml:space="preserve"> as</w:t>
      </w:r>
      <w:r w:rsidR="006A253F" w:rsidRPr="006B6C08">
        <w:rPr>
          <w:sz w:val="20"/>
          <w:szCs w:val="20"/>
        </w:rPr>
        <w:t xml:space="preserve"> confirmed by numerous international entities.</w:t>
      </w:r>
      <w:r w:rsidR="006A253F" w:rsidRPr="006B6C08">
        <w:rPr>
          <w:rStyle w:val="FootnoteReference"/>
          <w:sz w:val="20"/>
          <w:szCs w:val="20"/>
        </w:rPr>
        <w:footnoteReference w:id="21"/>
      </w:r>
      <w:r w:rsidR="006A253F" w:rsidRPr="006B6C08">
        <w:rPr>
          <w:sz w:val="20"/>
          <w:szCs w:val="20"/>
        </w:rPr>
        <w:t xml:space="preserve"> </w:t>
      </w:r>
      <w:r w:rsidR="0011005A" w:rsidRPr="006B6C08">
        <w:rPr>
          <w:sz w:val="20"/>
          <w:szCs w:val="20"/>
        </w:rPr>
        <w:t>International humanitarian</w:t>
      </w:r>
      <w:r w:rsidR="009E289B" w:rsidRPr="006B6C08">
        <w:rPr>
          <w:sz w:val="20"/>
          <w:szCs w:val="20"/>
        </w:rPr>
        <w:t xml:space="preserve"> law </w:t>
      </w:r>
      <w:r w:rsidR="006A253F" w:rsidRPr="006B6C08">
        <w:rPr>
          <w:sz w:val="20"/>
          <w:szCs w:val="20"/>
        </w:rPr>
        <w:t>applies to the entirety of the</w:t>
      </w:r>
      <w:r w:rsidR="008415BA" w:rsidRPr="006B6C08">
        <w:rPr>
          <w:sz w:val="20"/>
          <w:szCs w:val="20"/>
        </w:rPr>
        <w:t xml:space="preserve"> </w:t>
      </w:r>
      <w:r w:rsidR="00C747CD" w:rsidRPr="006B6C08">
        <w:rPr>
          <w:sz w:val="20"/>
          <w:szCs w:val="20"/>
        </w:rPr>
        <w:t>Occupied Palestinian Territory</w:t>
      </w:r>
      <w:r w:rsidR="009E289B" w:rsidRPr="006B6C08">
        <w:rPr>
          <w:sz w:val="20"/>
          <w:szCs w:val="20"/>
        </w:rPr>
        <w:t>:</w:t>
      </w:r>
      <w:r w:rsidR="006A253F" w:rsidRPr="006B6C08">
        <w:rPr>
          <w:sz w:val="20"/>
          <w:szCs w:val="20"/>
        </w:rPr>
        <w:t xml:space="preserve"> Gaza and the West Bank, including East Jerusalem. East Jerusalem remains an integra</w:t>
      </w:r>
      <w:r w:rsidR="0084774A" w:rsidRPr="006B6C08">
        <w:rPr>
          <w:sz w:val="20"/>
          <w:szCs w:val="20"/>
        </w:rPr>
        <w:t>l</w:t>
      </w:r>
      <w:r w:rsidR="006A253F" w:rsidRPr="006B6C08">
        <w:rPr>
          <w:sz w:val="20"/>
          <w:szCs w:val="20"/>
        </w:rPr>
        <w:t xml:space="preserve"> part of the West Bank</w:t>
      </w:r>
      <w:r w:rsidR="009E289B" w:rsidRPr="006B6C08">
        <w:rPr>
          <w:sz w:val="20"/>
          <w:szCs w:val="20"/>
        </w:rPr>
        <w:t>,</w:t>
      </w:r>
      <w:r w:rsidR="006A253F" w:rsidRPr="006B6C08">
        <w:rPr>
          <w:sz w:val="20"/>
          <w:szCs w:val="20"/>
        </w:rPr>
        <w:t xml:space="preserve"> and </w:t>
      </w:r>
      <w:r w:rsidR="00811E67" w:rsidRPr="006B6C08">
        <w:rPr>
          <w:sz w:val="20"/>
          <w:szCs w:val="20"/>
        </w:rPr>
        <w:t>t</w:t>
      </w:r>
      <w:r w:rsidR="006A253F" w:rsidRPr="006B6C08">
        <w:rPr>
          <w:sz w:val="20"/>
          <w:szCs w:val="20"/>
        </w:rPr>
        <w:t xml:space="preserve">he Security Council has </w:t>
      </w:r>
      <w:r w:rsidR="00F80D2E" w:rsidRPr="006B6C08">
        <w:rPr>
          <w:sz w:val="20"/>
          <w:szCs w:val="20"/>
        </w:rPr>
        <w:t xml:space="preserve">repeatedly </w:t>
      </w:r>
      <w:r w:rsidR="006A253F" w:rsidRPr="006B6C08">
        <w:rPr>
          <w:sz w:val="20"/>
          <w:szCs w:val="20"/>
        </w:rPr>
        <w:t>affirmed the continued application of the Fourth Geneva Convention to East Jerusalem.</w:t>
      </w:r>
      <w:r w:rsidR="006A253F" w:rsidRPr="006B6C08">
        <w:rPr>
          <w:rStyle w:val="FootnoteReference"/>
          <w:sz w:val="20"/>
          <w:szCs w:val="20"/>
        </w:rPr>
        <w:footnoteReference w:id="22"/>
      </w:r>
    </w:p>
    <w:p w:rsidR="00135F43" w:rsidRPr="006B6C08" w:rsidRDefault="006B6C08" w:rsidP="006B6C08">
      <w:pPr>
        <w:pStyle w:val="SingleTxtG"/>
        <w:ind w:left="1170"/>
        <w:rPr>
          <w:sz w:val="20"/>
          <w:szCs w:val="20"/>
        </w:rPr>
      </w:pPr>
      <w:r w:rsidRPr="006B6C08">
        <w:rPr>
          <w:sz w:val="20"/>
          <w:szCs w:val="20"/>
        </w:rPr>
        <w:lastRenderedPageBreak/>
        <w:t>10.</w:t>
      </w:r>
      <w:r w:rsidRPr="006B6C08">
        <w:rPr>
          <w:sz w:val="20"/>
          <w:szCs w:val="20"/>
        </w:rPr>
        <w:tab/>
      </w:r>
      <w:r w:rsidR="009E289B" w:rsidRPr="006B6C08">
        <w:rPr>
          <w:sz w:val="20"/>
          <w:szCs w:val="20"/>
        </w:rPr>
        <w:t>F</w:t>
      </w:r>
      <w:r w:rsidR="00135F43" w:rsidRPr="006B6C08">
        <w:rPr>
          <w:sz w:val="20"/>
          <w:szCs w:val="20"/>
        </w:rPr>
        <w:t xml:space="preserve">urther </w:t>
      </w:r>
      <w:r w:rsidR="004432DA" w:rsidRPr="006B6C08">
        <w:rPr>
          <w:sz w:val="20"/>
          <w:szCs w:val="20"/>
        </w:rPr>
        <w:t xml:space="preserve">norms of </w:t>
      </w:r>
      <w:r w:rsidR="00F47FC6" w:rsidRPr="006B6C08">
        <w:rPr>
          <w:sz w:val="20"/>
          <w:szCs w:val="20"/>
        </w:rPr>
        <w:t>international humanitarian law</w:t>
      </w:r>
      <w:r w:rsidR="00135F43" w:rsidRPr="006B6C08">
        <w:rPr>
          <w:sz w:val="20"/>
          <w:szCs w:val="20"/>
        </w:rPr>
        <w:t>, particular</w:t>
      </w:r>
      <w:r w:rsidR="0084774A" w:rsidRPr="006B6C08">
        <w:rPr>
          <w:sz w:val="20"/>
          <w:szCs w:val="20"/>
        </w:rPr>
        <w:t>ly</w:t>
      </w:r>
      <w:r w:rsidR="00135F43" w:rsidRPr="006B6C08">
        <w:rPr>
          <w:sz w:val="20"/>
          <w:szCs w:val="20"/>
        </w:rPr>
        <w:t xml:space="preserve"> those relating to the conduct of hostilities, </w:t>
      </w:r>
      <w:r w:rsidR="009E289B" w:rsidRPr="006B6C08">
        <w:rPr>
          <w:sz w:val="20"/>
          <w:szCs w:val="20"/>
        </w:rPr>
        <w:t xml:space="preserve">must </w:t>
      </w:r>
      <w:r w:rsidR="00135F43" w:rsidRPr="006B6C08">
        <w:rPr>
          <w:sz w:val="20"/>
          <w:szCs w:val="20"/>
        </w:rPr>
        <w:t>be respected by all parties to a conflict</w:t>
      </w:r>
      <w:r w:rsidR="001F35F9" w:rsidRPr="006B6C08">
        <w:rPr>
          <w:sz w:val="20"/>
          <w:szCs w:val="20"/>
        </w:rPr>
        <w:t>, including Palestinian armed group</w:t>
      </w:r>
      <w:r w:rsidR="00F46D52" w:rsidRPr="006B6C08">
        <w:rPr>
          <w:sz w:val="20"/>
          <w:szCs w:val="20"/>
        </w:rPr>
        <w:t>s.</w:t>
      </w:r>
      <w:r w:rsidR="00F46D52" w:rsidRPr="006B6C08">
        <w:rPr>
          <w:rStyle w:val="FootnoteReference"/>
          <w:sz w:val="20"/>
          <w:szCs w:val="20"/>
        </w:rPr>
        <w:footnoteReference w:id="23"/>
      </w:r>
      <w:r w:rsidR="00A22D7F" w:rsidRPr="006B6C08">
        <w:rPr>
          <w:sz w:val="20"/>
          <w:szCs w:val="20"/>
        </w:rPr>
        <w:t xml:space="preserve"> In particular, all parties</w:t>
      </w:r>
      <w:r w:rsidR="00146857" w:rsidRPr="006B6C08">
        <w:rPr>
          <w:sz w:val="20"/>
          <w:szCs w:val="20"/>
        </w:rPr>
        <w:t xml:space="preserve"> to a</w:t>
      </w:r>
      <w:r w:rsidR="00A22D7F" w:rsidRPr="006B6C08">
        <w:rPr>
          <w:sz w:val="20"/>
          <w:szCs w:val="20"/>
        </w:rPr>
        <w:t xml:space="preserve"> conflict have to respect the principles of distinction, proportionality and precaution.</w:t>
      </w:r>
      <w:r w:rsidR="00A22D7F" w:rsidRPr="006B6C08">
        <w:rPr>
          <w:rStyle w:val="FootnoteReference"/>
          <w:sz w:val="20"/>
          <w:szCs w:val="20"/>
        </w:rPr>
        <w:footnoteReference w:id="24"/>
      </w:r>
    </w:p>
    <w:p w:rsidR="00135F43" w:rsidRPr="006B6C08" w:rsidRDefault="006B6C08" w:rsidP="006B6C08">
      <w:pPr>
        <w:pStyle w:val="SingleTxtG"/>
        <w:ind w:left="1170"/>
        <w:rPr>
          <w:sz w:val="20"/>
          <w:szCs w:val="20"/>
        </w:rPr>
      </w:pPr>
      <w:r w:rsidRPr="006B6C08">
        <w:rPr>
          <w:sz w:val="20"/>
          <w:szCs w:val="20"/>
        </w:rPr>
        <w:t>11.</w:t>
      </w:r>
      <w:r w:rsidRPr="006B6C08">
        <w:rPr>
          <w:sz w:val="20"/>
          <w:szCs w:val="20"/>
        </w:rPr>
        <w:tab/>
      </w:r>
      <w:r w:rsidR="00135F43" w:rsidRPr="006B6C08">
        <w:rPr>
          <w:sz w:val="20"/>
          <w:szCs w:val="20"/>
        </w:rPr>
        <w:t>State parties to the Geneva Conventions have not only the duty to respect the</w:t>
      </w:r>
      <w:r w:rsidR="004432DA" w:rsidRPr="006B6C08">
        <w:rPr>
          <w:sz w:val="20"/>
          <w:szCs w:val="20"/>
        </w:rPr>
        <w:t xml:space="preserve"> Conventions</w:t>
      </w:r>
      <w:r w:rsidR="00135F43" w:rsidRPr="006B6C08">
        <w:rPr>
          <w:sz w:val="20"/>
          <w:szCs w:val="20"/>
        </w:rPr>
        <w:t xml:space="preserve">, but also to </w:t>
      </w:r>
      <w:r w:rsidR="00135F43" w:rsidRPr="006B6C08">
        <w:rPr>
          <w:i/>
          <w:sz w:val="20"/>
          <w:szCs w:val="20"/>
        </w:rPr>
        <w:t>ensure</w:t>
      </w:r>
      <w:r w:rsidR="00135F43" w:rsidRPr="006B6C08">
        <w:rPr>
          <w:sz w:val="20"/>
          <w:szCs w:val="20"/>
        </w:rPr>
        <w:t xml:space="preserve"> </w:t>
      </w:r>
      <w:r w:rsidR="009E289B" w:rsidRPr="006B6C08">
        <w:rPr>
          <w:sz w:val="20"/>
          <w:szCs w:val="20"/>
        </w:rPr>
        <w:t xml:space="preserve">respect </w:t>
      </w:r>
      <w:r w:rsidR="004432DA" w:rsidRPr="006B6C08">
        <w:rPr>
          <w:sz w:val="20"/>
          <w:szCs w:val="20"/>
        </w:rPr>
        <w:t>of the latter</w:t>
      </w:r>
      <w:r w:rsidR="00135F43" w:rsidRPr="006B6C08">
        <w:rPr>
          <w:sz w:val="20"/>
          <w:szCs w:val="20"/>
        </w:rPr>
        <w:t>.</w:t>
      </w:r>
      <w:r w:rsidR="00135F43" w:rsidRPr="006B6C08">
        <w:rPr>
          <w:rStyle w:val="FootnoteReference"/>
          <w:sz w:val="20"/>
          <w:szCs w:val="20"/>
        </w:rPr>
        <w:footnoteReference w:id="25"/>
      </w:r>
      <w:r w:rsidR="00135F43" w:rsidRPr="006B6C08">
        <w:rPr>
          <w:sz w:val="20"/>
          <w:szCs w:val="20"/>
        </w:rPr>
        <w:t xml:space="preserve"> </w:t>
      </w:r>
      <w:r w:rsidR="005276C4" w:rsidRPr="006B6C08">
        <w:rPr>
          <w:sz w:val="20"/>
          <w:szCs w:val="20"/>
        </w:rPr>
        <w:t>T</w:t>
      </w:r>
      <w:r w:rsidR="00135F43" w:rsidRPr="006B6C08">
        <w:rPr>
          <w:sz w:val="20"/>
          <w:szCs w:val="20"/>
        </w:rPr>
        <w:t xml:space="preserve">he obligation to ensure respect implies </w:t>
      </w:r>
      <w:r w:rsidR="009E289B" w:rsidRPr="006B6C08">
        <w:rPr>
          <w:sz w:val="20"/>
          <w:szCs w:val="20"/>
        </w:rPr>
        <w:t>an</w:t>
      </w:r>
      <w:r w:rsidR="00135F43" w:rsidRPr="006B6C08">
        <w:rPr>
          <w:sz w:val="20"/>
          <w:szCs w:val="20"/>
        </w:rPr>
        <w:t xml:space="preserve"> obligation to take measures in case of breach of the Conventions in order to prompt violating States to act in compliance with </w:t>
      </w:r>
      <w:r w:rsidR="00F47FC6" w:rsidRPr="006B6C08">
        <w:rPr>
          <w:sz w:val="20"/>
          <w:szCs w:val="20"/>
        </w:rPr>
        <w:t>international humanitarian law</w:t>
      </w:r>
      <w:r w:rsidR="00135F43" w:rsidRPr="006B6C08">
        <w:rPr>
          <w:sz w:val="20"/>
          <w:szCs w:val="20"/>
        </w:rPr>
        <w:t>.</w:t>
      </w:r>
      <w:r w:rsidR="00135F43" w:rsidRPr="006B6C08">
        <w:rPr>
          <w:rStyle w:val="FootnoteReference"/>
          <w:sz w:val="20"/>
          <w:szCs w:val="20"/>
        </w:rPr>
        <w:footnoteReference w:id="26"/>
      </w:r>
      <w:r w:rsidR="00135F43" w:rsidRPr="006B6C08">
        <w:rPr>
          <w:sz w:val="20"/>
          <w:szCs w:val="20"/>
        </w:rPr>
        <w:t xml:space="preserve"> It is on this obligation that the </w:t>
      </w:r>
      <w:r w:rsidR="00933675" w:rsidRPr="006B6C08">
        <w:rPr>
          <w:sz w:val="20"/>
          <w:szCs w:val="20"/>
        </w:rPr>
        <w:t>Security Council</w:t>
      </w:r>
      <w:r w:rsidR="00135F43" w:rsidRPr="006B6C08">
        <w:rPr>
          <w:sz w:val="20"/>
          <w:szCs w:val="20"/>
        </w:rPr>
        <w:t>, the General Assembly and the majority of the State parties to the Geneva Convention</w:t>
      </w:r>
      <w:r w:rsidR="005672E8" w:rsidRPr="006B6C08">
        <w:rPr>
          <w:sz w:val="20"/>
          <w:szCs w:val="20"/>
        </w:rPr>
        <w:t>s</w:t>
      </w:r>
      <w:r w:rsidR="00135F43" w:rsidRPr="006B6C08">
        <w:rPr>
          <w:sz w:val="20"/>
          <w:szCs w:val="20"/>
        </w:rPr>
        <w:t xml:space="preserve"> have relied when calling upon third States to react to </w:t>
      </w:r>
      <w:r w:rsidR="00F47FC6" w:rsidRPr="006B6C08">
        <w:rPr>
          <w:sz w:val="20"/>
          <w:szCs w:val="20"/>
        </w:rPr>
        <w:t>international humanitarian law</w:t>
      </w:r>
      <w:r w:rsidR="00135F43" w:rsidRPr="006B6C08">
        <w:rPr>
          <w:sz w:val="20"/>
          <w:szCs w:val="20"/>
        </w:rPr>
        <w:t xml:space="preserve"> violations by Israel.</w:t>
      </w:r>
      <w:r w:rsidR="00F46D52" w:rsidRPr="006B6C08">
        <w:rPr>
          <w:rStyle w:val="FootnoteReference"/>
          <w:sz w:val="20"/>
          <w:szCs w:val="20"/>
        </w:rPr>
        <w:footnoteReference w:id="27"/>
      </w:r>
      <w:r w:rsidR="00F46D52" w:rsidRPr="006B6C08">
        <w:rPr>
          <w:rStyle w:val="CommentReference"/>
          <w:sz w:val="20"/>
          <w:szCs w:val="20"/>
        </w:rPr>
        <w:t xml:space="preserve"> </w:t>
      </w:r>
    </w:p>
    <w:p w:rsidR="00E35BBE" w:rsidRPr="006B6C08" w:rsidRDefault="000833A2" w:rsidP="002540DA">
      <w:pPr>
        <w:pStyle w:val="HChG"/>
        <w:tabs>
          <w:tab w:val="left" w:pos="567"/>
        </w:tabs>
        <w:spacing w:line="240" w:lineRule="auto"/>
        <w:outlineLvl w:val="0"/>
      </w:pPr>
      <w:r w:rsidRPr="006B6C08">
        <w:tab/>
        <w:t>III.</w:t>
      </w:r>
      <w:r w:rsidRPr="006B6C08">
        <w:tab/>
      </w:r>
      <w:r w:rsidR="00135F43" w:rsidRPr="006B6C08">
        <w:t>Recurrent violations of international law in the</w:t>
      </w:r>
      <w:r w:rsidR="006A4290" w:rsidRPr="006B6C08">
        <w:t xml:space="preserve"> </w:t>
      </w:r>
      <w:r w:rsidR="00C747CD" w:rsidRPr="006B6C08">
        <w:t>Occupied Palestinian Territory</w:t>
      </w:r>
    </w:p>
    <w:p w:rsidR="006A4290" w:rsidRPr="006B6C08" w:rsidRDefault="006B6C08" w:rsidP="006B6C08">
      <w:pPr>
        <w:pStyle w:val="SingleTxtG"/>
        <w:rPr>
          <w:sz w:val="20"/>
          <w:szCs w:val="20"/>
        </w:rPr>
      </w:pPr>
      <w:r w:rsidRPr="006B6C08">
        <w:rPr>
          <w:sz w:val="20"/>
          <w:szCs w:val="20"/>
        </w:rPr>
        <w:t>12.</w:t>
      </w:r>
      <w:r w:rsidRPr="006B6C08">
        <w:rPr>
          <w:sz w:val="20"/>
          <w:szCs w:val="20"/>
        </w:rPr>
        <w:tab/>
      </w:r>
      <w:r w:rsidR="00BE229D" w:rsidRPr="006B6C08">
        <w:rPr>
          <w:sz w:val="20"/>
          <w:szCs w:val="20"/>
        </w:rPr>
        <w:t>The Palestinian population of the Occupied Palestinian Territory is specifically protected by international humanitarian law.</w:t>
      </w:r>
      <w:r w:rsidR="00BE229D" w:rsidRPr="006B6C08">
        <w:rPr>
          <w:rStyle w:val="FootnoteReference"/>
          <w:sz w:val="20"/>
          <w:szCs w:val="20"/>
        </w:rPr>
        <w:footnoteReference w:id="28"/>
      </w:r>
      <w:r w:rsidR="00BE229D" w:rsidRPr="006B6C08">
        <w:rPr>
          <w:sz w:val="20"/>
          <w:szCs w:val="20"/>
        </w:rPr>
        <w:t xml:space="preserve"> </w:t>
      </w:r>
      <w:r w:rsidR="006A4290" w:rsidRPr="006B6C08">
        <w:rPr>
          <w:sz w:val="20"/>
          <w:szCs w:val="20"/>
        </w:rPr>
        <w:t>As the occupying power, Israel has the duty to</w:t>
      </w:r>
      <w:r w:rsidR="00BE229D" w:rsidRPr="006B6C08">
        <w:rPr>
          <w:sz w:val="20"/>
          <w:szCs w:val="20"/>
        </w:rPr>
        <w:t xml:space="preserve"> protect the population of the Occupied Palestinian Territory and</w:t>
      </w:r>
      <w:r w:rsidR="006A4290" w:rsidRPr="006B6C08">
        <w:rPr>
          <w:sz w:val="20"/>
          <w:szCs w:val="20"/>
        </w:rPr>
        <w:t xml:space="preserve"> </w:t>
      </w:r>
      <w:r w:rsidR="00BE229D" w:rsidRPr="006B6C08">
        <w:rPr>
          <w:sz w:val="20"/>
          <w:szCs w:val="20"/>
        </w:rPr>
        <w:t xml:space="preserve">to </w:t>
      </w:r>
      <w:r w:rsidR="006A4290" w:rsidRPr="006B6C08">
        <w:rPr>
          <w:sz w:val="20"/>
          <w:szCs w:val="20"/>
        </w:rPr>
        <w:t>uphold public order and safety</w:t>
      </w:r>
      <w:r w:rsidR="00BE229D" w:rsidRPr="006B6C08">
        <w:rPr>
          <w:sz w:val="20"/>
          <w:szCs w:val="20"/>
        </w:rPr>
        <w:t>.</w:t>
      </w:r>
      <w:r w:rsidR="00BE229D" w:rsidRPr="006B6C08">
        <w:rPr>
          <w:rStyle w:val="FootnoteReference"/>
          <w:sz w:val="20"/>
          <w:szCs w:val="20"/>
        </w:rPr>
        <w:footnoteReference w:id="29"/>
      </w:r>
      <w:r w:rsidR="00BE229D" w:rsidRPr="006B6C08">
        <w:rPr>
          <w:sz w:val="20"/>
          <w:szCs w:val="20"/>
        </w:rPr>
        <w:t xml:space="preserve"> Th</w:t>
      </w:r>
      <w:r w:rsidR="00E548B9" w:rsidRPr="006B6C08">
        <w:rPr>
          <w:sz w:val="20"/>
          <w:szCs w:val="20"/>
        </w:rPr>
        <w:t>is</w:t>
      </w:r>
      <w:r w:rsidR="00BE229D" w:rsidRPr="006B6C08">
        <w:rPr>
          <w:sz w:val="20"/>
          <w:szCs w:val="20"/>
        </w:rPr>
        <w:t xml:space="preserve"> obligation is commonly understood as including an obligation to ensure the welfare and well</w:t>
      </w:r>
      <w:r w:rsidR="0084774A" w:rsidRPr="006B6C08">
        <w:rPr>
          <w:sz w:val="20"/>
          <w:szCs w:val="20"/>
        </w:rPr>
        <w:t>-</w:t>
      </w:r>
      <w:r w:rsidR="00BE229D" w:rsidRPr="006B6C08">
        <w:rPr>
          <w:sz w:val="20"/>
          <w:szCs w:val="20"/>
        </w:rPr>
        <w:t>being of the local population</w:t>
      </w:r>
      <w:r w:rsidR="006A4290" w:rsidRPr="006B6C08">
        <w:rPr>
          <w:sz w:val="20"/>
          <w:szCs w:val="20"/>
        </w:rPr>
        <w:t>.</w:t>
      </w:r>
      <w:r w:rsidR="006A4290" w:rsidRPr="006B6C08">
        <w:rPr>
          <w:rStyle w:val="FootnoteReference"/>
          <w:sz w:val="20"/>
          <w:szCs w:val="20"/>
        </w:rPr>
        <w:footnoteReference w:id="30"/>
      </w:r>
      <w:r w:rsidR="00BE229D" w:rsidRPr="006B6C08">
        <w:rPr>
          <w:sz w:val="20"/>
          <w:szCs w:val="20"/>
        </w:rPr>
        <w:t xml:space="preserve"> </w:t>
      </w:r>
      <w:r w:rsidR="006A4290" w:rsidRPr="006B6C08">
        <w:rPr>
          <w:sz w:val="20"/>
          <w:szCs w:val="20"/>
        </w:rPr>
        <w:t>Israel bears the obligation to meet the needs of the protected population</w:t>
      </w:r>
      <w:r w:rsidR="005A2A45" w:rsidRPr="006B6C08">
        <w:rPr>
          <w:sz w:val="20"/>
          <w:szCs w:val="20"/>
        </w:rPr>
        <w:t>,</w:t>
      </w:r>
      <w:r w:rsidR="006A4290" w:rsidRPr="006B6C08">
        <w:rPr>
          <w:rStyle w:val="FootnoteReference"/>
          <w:sz w:val="20"/>
          <w:szCs w:val="20"/>
        </w:rPr>
        <w:footnoteReference w:id="31"/>
      </w:r>
      <w:r w:rsidR="006A4290" w:rsidRPr="006B6C08">
        <w:rPr>
          <w:sz w:val="20"/>
          <w:szCs w:val="20"/>
        </w:rPr>
        <w:t xml:space="preserve"> </w:t>
      </w:r>
      <w:r w:rsidR="005A2A45" w:rsidRPr="006B6C08">
        <w:rPr>
          <w:sz w:val="20"/>
          <w:szCs w:val="20"/>
        </w:rPr>
        <w:t>and is obligated</w:t>
      </w:r>
      <w:r w:rsidR="006A4290" w:rsidRPr="006B6C08">
        <w:rPr>
          <w:sz w:val="20"/>
          <w:szCs w:val="20"/>
        </w:rPr>
        <w:t xml:space="preserve"> to allow and facilitate rapid and unimpeded passage of humanitarian relief for civilians in need.</w:t>
      </w:r>
      <w:r w:rsidR="006A4290" w:rsidRPr="006B6C08">
        <w:rPr>
          <w:rStyle w:val="FootnoteReference"/>
          <w:sz w:val="20"/>
          <w:szCs w:val="20"/>
        </w:rPr>
        <w:footnoteReference w:id="32"/>
      </w:r>
      <w:r w:rsidR="006A4290" w:rsidRPr="006B6C08">
        <w:rPr>
          <w:sz w:val="20"/>
          <w:szCs w:val="20"/>
        </w:rPr>
        <w:t xml:space="preserve"> </w:t>
      </w:r>
      <w:r w:rsidR="0084774A" w:rsidRPr="006B6C08">
        <w:rPr>
          <w:sz w:val="20"/>
          <w:szCs w:val="20"/>
        </w:rPr>
        <w:t xml:space="preserve">It </w:t>
      </w:r>
      <w:r w:rsidR="006A4290" w:rsidRPr="006B6C08">
        <w:rPr>
          <w:sz w:val="20"/>
          <w:szCs w:val="20"/>
        </w:rPr>
        <w:t xml:space="preserve">is </w:t>
      </w:r>
      <w:r w:rsidR="0084774A" w:rsidRPr="006B6C08">
        <w:rPr>
          <w:sz w:val="20"/>
          <w:szCs w:val="20"/>
        </w:rPr>
        <w:t xml:space="preserve">also </w:t>
      </w:r>
      <w:r w:rsidR="006A4290" w:rsidRPr="006B6C08">
        <w:rPr>
          <w:sz w:val="20"/>
          <w:szCs w:val="20"/>
        </w:rPr>
        <w:t>under an obligation to treat the protected population humanely, without any discrimination.</w:t>
      </w:r>
      <w:r w:rsidR="00BE7301" w:rsidRPr="006B6C08">
        <w:rPr>
          <w:rStyle w:val="FootnoteReference"/>
          <w:szCs w:val="20"/>
        </w:rPr>
        <w:footnoteReference w:id="33"/>
      </w:r>
      <w:r w:rsidR="006A4290" w:rsidRPr="006B6C08">
        <w:rPr>
          <w:sz w:val="20"/>
          <w:szCs w:val="20"/>
        </w:rPr>
        <w:t xml:space="preserve"> In all circumstances, it is obliged to respect the fundamental rights of protected persons, that </w:t>
      </w:r>
      <w:proofErr w:type="gramStart"/>
      <w:r w:rsidR="006A4290" w:rsidRPr="006B6C08">
        <w:rPr>
          <w:sz w:val="20"/>
          <w:szCs w:val="20"/>
        </w:rPr>
        <w:t>is</w:t>
      </w:r>
      <w:proofErr w:type="gramEnd"/>
      <w:r w:rsidR="006A4290" w:rsidRPr="006B6C08">
        <w:rPr>
          <w:sz w:val="20"/>
          <w:szCs w:val="20"/>
        </w:rPr>
        <w:t xml:space="preserve"> their right to physical, moral and intellectual integrity.</w:t>
      </w:r>
      <w:r w:rsidR="006A4290" w:rsidRPr="006B6C08">
        <w:rPr>
          <w:rStyle w:val="FootnoteReference"/>
          <w:sz w:val="20"/>
          <w:szCs w:val="20"/>
        </w:rPr>
        <w:footnoteReference w:id="34"/>
      </w:r>
      <w:r w:rsidR="006A4290" w:rsidRPr="006B6C08">
        <w:rPr>
          <w:sz w:val="20"/>
          <w:szCs w:val="20"/>
        </w:rPr>
        <w:t xml:space="preserve">  Israel’s obligation </w:t>
      </w:r>
      <w:r w:rsidR="0084774A" w:rsidRPr="006B6C08">
        <w:rPr>
          <w:sz w:val="20"/>
          <w:szCs w:val="20"/>
        </w:rPr>
        <w:t xml:space="preserve">as an occupying power </w:t>
      </w:r>
      <w:r w:rsidR="006A4290" w:rsidRPr="006B6C08">
        <w:rPr>
          <w:sz w:val="20"/>
          <w:szCs w:val="20"/>
        </w:rPr>
        <w:t>to protect the Palestinian population is in line with its obligation to respect, protect and fulfil the human rights of the Palestinian population</w:t>
      </w:r>
      <w:r w:rsidR="00C059A1" w:rsidRPr="006B6C08">
        <w:rPr>
          <w:sz w:val="20"/>
          <w:szCs w:val="20"/>
        </w:rPr>
        <w:t xml:space="preserve"> without</w:t>
      </w:r>
      <w:r w:rsidR="00846B2C" w:rsidRPr="006B6C08">
        <w:rPr>
          <w:sz w:val="20"/>
          <w:szCs w:val="20"/>
        </w:rPr>
        <w:t xml:space="preserve"> </w:t>
      </w:r>
      <w:r w:rsidR="00C059A1" w:rsidRPr="006B6C08">
        <w:rPr>
          <w:sz w:val="20"/>
          <w:szCs w:val="20"/>
        </w:rPr>
        <w:t>discrimination</w:t>
      </w:r>
      <w:r w:rsidR="006A4290" w:rsidRPr="006B6C08">
        <w:rPr>
          <w:sz w:val="20"/>
          <w:szCs w:val="20"/>
        </w:rPr>
        <w:t>.</w:t>
      </w:r>
    </w:p>
    <w:p w:rsidR="009B620A" w:rsidRPr="006B6C08" w:rsidRDefault="009B620A" w:rsidP="00C747CD">
      <w:pPr>
        <w:pStyle w:val="H1G"/>
        <w:outlineLvl w:val="0"/>
      </w:pPr>
      <w:r w:rsidRPr="006B6C08">
        <w:lastRenderedPageBreak/>
        <w:tab/>
      </w:r>
      <w:r w:rsidR="00146857" w:rsidRPr="006B6C08">
        <w:t>A</w:t>
      </w:r>
      <w:r w:rsidRPr="006B6C08">
        <w:t>.</w:t>
      </w:r>
      <w:r w:rsidRPr="006B6C08">
        <w:tab/>
      </w:r>
      <w:r w:rsidR="00135F43" w:rsidRPr="006B6C08">
        <w:t>Violations of the obligations of the occupying power</w:t>
      </w:r>
    </w:p>
    <w:p w:rsidR="006A4290" w:rsidRPr="006B6C08" w:rsidRDefault="006B6C08" w:rsidP="006B6C08">
      <w:pPr>
        <w:pStyle w:val="SingleTxtG"/>
        <w:rPr>
          <w:sz w:val="20"/>
          <w:szCs w:val="20"/>
        </w:rPr>
      </w:pPr>
      <w:r w:rsidRPr="006B6C08">
        <w:rPr>
          <w:sz w:val="20"/>
          <w:szCs w:val="20"/>
        </w:rPr>
        <w:t>13.</w:t>
      </w:r>
      <w:r w:rsidRPr="006B6C08">
        <w:rPr>
          <w:sz w:val="20"/>
          <w:szCs w:val="20"/>
        </w:rPr>
        <w:tab/>
      </w:r>
      <w:r w:rsidR="000E2CA4" w:rsidRPr="006B6C08">
        <w:rPr>
          <w:sz w:val="20"/>
          <w:szCs w:val="20"/>
        </w:rPr>
        <w:t>I</w:t>
      </w:r>
      <w:r w:rsidR="006A4290" w:rsidRPr="006B6C08">
        <w:rPr>
          <w:sz w:val="20"/>
          <w:szCs w:val="20"/>
        </w:rPr>
        <w:t>n the</w:t>
      </w:r>
      <w:r w:rsidR="00C059A1" w:rsidRPr="006B6C08">
        <w:rPr>
          <w:sz w:val="20"/>
          <w:szCs w:val="20"/>
        </w:rPr>
        <w:t xml:space="preserve"> </w:t>
      </w:r>
      <w:r w:rsidR="006A4290" w:rsidRPr="006B6C08">
        <w:rPr>
          <w:sz w:val="20"/>
          <w:szCs w:val="20"/>
        </w:rPr>
        <w:t>Occupied Palestinian Territory</w:t>
      </w:r>
      <w:r w:rsidR="000E2CA4" w:rsidRPr="006B6C08">
        <w:rPr>
          <w:sz w:val="20"/>
          <w:szCs w:val="20"/>
        </w:rPr>
        <w:t>,</w:t>
      </w:r>
      <w:r w:rsidR="006A4290" w:rsidRPr="006B6C08">
        <w:rPr>
          <w:sz w:val="20"/>
          <w:szCs w:val="20"/>
        </w:rPr>
        <w:t xml:space="preserve"> Israel</w:t>
      </w:r>
      <w:r w:rsidR="000E2CA4" w:rsidRPr="006B6C08">
        <w:rPr>
          <w:sz w:val="20"/>
          <w:szCs w:val="20"/>
        </w:rPr>
        <w:t xml:space="preserve"> </w:t>
      </w:r>
      <w:r w:rsidR="006A4290" w:rsidRPr="006B6C08">
        <w:rPr>
          <w:sz w:val="20"/>
          <w:szCs w:val="20"/>
        </w:rPr>
        <w:t>disregard</w:t>
      </w:r>
      <w:r w:rsidR="000E2CA4" w:rsidRPr="006B6C08">
        <w:rPr>
          <w:sz w:val="20"/>
          <w:szCs w:val="20"/>
        </w:rPr>
        <w:t>s</w:t>
      </w:r>
      <w:r w:rsidR="006A4290" w:rsidRPr="006B6C08">
        <w:rPr>
          <w:sz w:val="20"/>
          <w:szCs w:val="20"/>
        </w:rPr>
        <w:t xml:space="preserve"> the law of occupation and its obligations as an occupying power. The law of occupation is guided by the principle that the </w:t>
      </w:r>
      <w:r w:rsidR="006A4290" w:rsidRPr="006B6C08">
        <w:rPr>
          <w:i/>
          <w:sz w:val="20"/>
          <w:szCs w:val="20"/>
        </w:rPr>
        <w:t xml:space="preserve">status quo ante </w:t>
      </w:r>
      <w:r w:rsidR="006A4290" w:rsidRPr="006B6C08">
        <w:rPr>
          <w:sz w:val="20"/>
          <w:szCs w:val="20"/>
        </w:rPr>
        <w:t>has to be preserved as far as possible within the occupied territory.</w:t>
      </w:r>
      <w:r w:rsidR="006A4290" w:rsidRPr="006B6C08">
        <w:rPr>
          <w:rStyle w:val="FootnoteReference"/>
          <w:sz w:val="20"/>
          <w:szCs w:val="20"/>
        </w:rPr>
        <w:footnoteReference w:id="35"/>
      </w:r>
    </w:p>
    <w:p w:rsidR="006A4290" w:rsidRPr="006B6C08" w:rsidRDefault="006B6C08" w:rsidP="006B6C08">
      <w:pPr>
        <w:pStyle w:val="SingleTxtG"/>
        <w:rPr>
          <w:sz w:val="20"/>
          <w:szCs w:val="20"/>
        </w:rPr>
      </w:pPr>
      <w:r w:rsidRPr="006B6C08">
        <w:rPr>
          <w:sz w:val="20"/>
          <w:szCs w:val="20"/>
        </w:rPr>
        <w:t>14.</w:t>
      </w:r>
      <w:r w:rsidRPr="006B6C08">
        <w:rPr>
          <w:sz w:val="20"/>
          <w:szCs w:val="20"/>
        </w:rPr>
        <w:tab/>
      </w:r>
      <w:r w:rsidR="00D756EB" w:rsidRPr="006B6C08">
        <w:rPr>
          <w:sz w:val="20"/>
          <w:szCs w:val="20"/>
        </w:rPr>
        <w:t>A</w:t>
      </w:r>
      <w:r w:rsidR="00135F43" w:rsidRPr="006B6C08">
        <w:rPr>
          <w:sz w:val="20"/>
          <w:szCs w:val="20"/>
        </w:rPr>
        <w:t xml:space="preserve"> central violation of the law of oc</w:t>
      </w:r>
      <w:r w:rsidR="00B546BC" w:rsidRPr="006B6C08">
        <w:rPr>
          <w:sz w:val="20"/>
          <w:szCs w:val="20"/>
        </w:rPr>
        <w:t xml:space="preserve">cupation in the present context </w:t>
      </w:r>
      <w:r w:rsidR="00135F43" w:rsidRPr="006B6C08">
        <w:rPr>
          <w:sz w:val="20"/>
          <w:szCs w:val="20"/>
        </w:rPr>
        <w:t xml:space="preserve">is the construction and expansion of Israeli settlements within the West Bank. </w:t>
      </w:r>
      <w:r w:rsidR="00B57341" w:rsidRPr="006B6C08">
        <w:rPr>
          <w:sz w:val="20"/>
          <w:szCs w:val="20"/>
        </w:rPr>
        <w:t xml:space="preserve">The continued expansion of settlements not only </w:t>
      </w:r>
      <w:r w:rsidR="00135F43" w:rsidRPr="006B6C08">
        <w:rPr>
          <w:sz w:val="20"/>
          <w:szCs w:val="20"/>
        </w:rPr>
        <w:t xml:space="preserve">undermines the </w:t>
      </w:r>
      <w:r w:rsidR="00B57341" w:rsidRPr="006B6C08">
        <w:rPr>
          <w:sz w:val="20"/>
          <w:szCs w:val="20"/>
        </w:rPr>
        <w:t>possibility of</w:t>
      </w:r>
      <w:r w:rsidR="00135F43" w:rsidRPr="006B6C08">
        <w:rPr>
          <w:sz w:val="20"/>
          <w:szCs w:val="20"/>
        </w:rPr>
        <w:t xml:space="preserve"> a two-State solution, but </w:t>
      </w:r>
      <w:r w:rsidR="00B57341" w:rsidRPr="006B6C08">
        <w:rPr>
          <w:sz w:val="20"/>
          <w:szCs w:val="20"/>
        </w:rPr>
        <w:t xml:space="preserve">is </w:t>
      </w:r>
      <w:r w:rsidR="00135F43" w:rsidRPr="006B6C08">
        <w:rPr>
          <w:sz w:val="20"/>
          <w:szCs w:val="20"/>
        </w:rPr>
        <w:t>also at the core of many human rights violations within the West Bank.</w:t>
      </w:r>
      <w:r w:rsidR="00135F43" w:rsidRPr="006B6C08">
        <w:rPr>
          <w:rStyle w:val="FootnoteReference"/>
          <w:sz w:val="20"/>
          <w:szCs w:val="20"/>
        </w:rPr>
        <w:footnoteReference w:id="36"/>
      </w:r>
    </w:p>
    <w:p w:rsidR="006A4290" w:rsidRPr="006B6C08" w:rsidRDefault="006A4290" w:rsidP="006A4290">
      <w:pPr>
        <w:pStyle w:val="SingleTxtG"/>
        <w:rPr>
          <w:i/>
          <w:sz w:val="20"/>
          <w:szCs w:val="20"/>
        </w:rPr>
      </w:pPr>
      <w:r w:rsidRPr="006B6C08">
        <w:rPr>
          <w:b/>
          <w:i/>
          <w:sz w:val="20"/>
          <w:szCs w:val="20"/>
        </w:rPr>
        <w:t>Settlement expansion within the West Bank</w:t>
      </w:r>
    </w:p>
    <w:p w:rsidR="006A4290" w:rsidRPr="006B6C08" w:rsidRDefault="006B6C08" w:rsidP="006B6C08">
      <w:pPr>
        <w:pStyle w:val="SingleTxtG"/>
        <w:rPr>
          <w:sz w:val="20"/>
          <w:szCs w:val="20"/>
        </w:rPr>
      </w:pPr>
      <w:r w:rsidRPr="006B6C08">
        <w:rPr>
          <w:sz w:val="20"/>
          <w:szCs w:val="20"/>
        </w:rPr>
        <w:t>15.</w:t>
      </w:r>
      <w:r w:rsidRPr="006B6C08">
        <w:rPr>
          <w:sz w:val="20"/>
          <w:szCs w:val="20"/>
        </w:rPr>
        <w:tab/>
      </w:r>
      <w:r w:rsidR="00135F43" w:rsidRPr="006B6C08">
        <w:rPr>
          <w:sz w:val="20"/>
          <w:szCs w:val="20"/>
        </w:rPr>
        <w:t>Since the early years of the occupation, Israel has pursued a policy of establishing illegal settlements in the</w:t>
      </w:r>
      <w:r w:rsidR="004A6B16" w:rsidRPr="006B6C08">
        <w:rPr>
          <w:sz w:val="20"/>
          <w:szCs w:val="20"/>
        </w:rPr>
        <w:t xml:space="preserve"> </w:t>
      </w:r>
      <w:r w:rsidR="00C747CD" w:rsidRPr="006B6C08">
        <w:rPr>
          <w:sz w:val="20"/>
          <w:szCs w:val="20"/>
        </w:rPr>
        <w:t>Occupied Palestinian Territory</w:t>
      </w:r>
      <w:r w:rsidR="00135F43" w:rsidRPr="006B6C08">
        <w:rPr>
          <w:sz w:val="20"/>
          <w:szCs w:val="20"/>
        </w:rPr>
        <w:t>.</w:t>
      </w:r>
      <w:r w:rsidR="0058410D" w:rsidRPr="006B6C08">
        <w:rPr>
          <w:rStyle w:val="FootnoteReference"/>
          <w:sz w:val="20"/>
          <w:szCs w:val="20"/>
        </w:rPr>
        <w:footnoteReference w:id="37"/>
      </w:r>
      <w:r w:rsidR="00135F43" w:rsidRPr="006B6C08">
        <w:rPr>
          <w:sz w:val="20"/>
          <w:szCs w:val="20"/>
        </w:rPr>
        <w:t xml:space="preserve"> With a current total settler population of at least 5</w:t>
      </w:r>
      <w:r w:rsidR="009373B8" w:rsidRPr="006B6C08">
        <w:rPr>
          <w:sz w:val="20"/>
          <w:szCs w:val="20"/>
        </w:rPr>
        <w:t>9</w:t>
      </w:r>
      <w:r w:rsidR="00135F43" w:rsidRPr="006B6C08">
        <w:rPr>
          <w:sz w:val="20"/>
          <w:szCs w:val="20"/>
        </w:rPr>
        <w:t>0,000 in the West Bank</w:t>
      </w:r>
      <w:r w:rsidR="009373B8" w:rsidRPr="006B6C08">
        <w:rPr>
          <w:sz w:val="20"/>
          <w:szCs w:val="20"/>
        </w:rPr>
        <w:t xml:space="preserve"> (</w:t>
      </w:r>
      <w:r w:rsidR="00712B95" w:rsidRPr="006B6C08">
        <w:rPr>
          <w:sz w:val="20"/>
          <w:szCs w:val="20"/>
        </w:rPr>
        <w:t xml:space="preserve">around </w:t>
      </w:r>
      <w:r w:rsidR="009373B8" w:rsidRPr="006B6C08">
        <w:rPr>
          <w:sz w:val="20"/>
          <w:szCs w:val="20"/>
        </w:rPr>
        <w:t>386,000 in some 130 settlement in Area C, and 208,000 in East Jerusalem)</w:t>
      </w:r>
      <w:r w:rsidR="00135F43" w:rsidRPr="006B6C08">
        <w:rPr>
          <w:sz w:val="20"/>
          <w:szCs w:val="20"/>
        </w:rPr>
        <w:t>, the population of settlements has more than doubled since the beginning of the Oslo process in 1993.</w:t>
      </w:r>
      <w:r w:rsidR="00135F43" w:rsidRPr="006B6C08">
        <w:rPr>
          <w:rStyle w:val="FootnoteReference"/>
          <w:sz w:val="20"/>
          <w:szCs w:val="20"/>
        </w:rPr>
        <w:footnoteReference w:id="38"/>
      </w:r>
      <w:r w:rsidR="00135F43" w:rsidRPr="006B6C08">
        <w:rPr>
          <w:sz w:val="20"/>
          <w:szCs w:val="20"/>
        </w:rPr>
        <w:t xml:space="preserve"> In addition, approximately 100 illegal outposts </w:t>
      </w:r>
      <w:r w:rsidR="009373B8" w:rsidRPr="006B6C08">
        <w:rPr>
          <w:sz w:val="20"/>
          <w:szCs w:val="20"/>
        </w:rPr>
        <w:t>were</w:t>
      </w:r>
      <w:r w:rsidR="006B1E75" w:rsidRPr="006B6C08">
        <w:rPr>
          <w:sz w:val="20"/>
          <w:szCs w:val="20"/>
        </w:rPr>
        <w:t xml:space="preserve"> </w:t>
      </w:r>
      <w:r w:rsidR="00135F43" w:rsidRPr="006B6C08">
        <w:rPr>
          <w:sz w:val="20"/>
          <w:szCs w:val="20"/>
        </w:rPr>
        <w:t xml:space="preserve">built without </w:t>
      </w:r>
      <w:r w:rsidR="0002709B" w:rsidRPr="006B6C08">
        <w:rPr>
          <w:sz w:val="20"/>
          <w:szCs w:val="20"/>
        </w:rPr>
        <w:t xml:space="preserve">the </w:t>
      </w:r>
      <w:r w:rsidR="00135F43" w:rsidRPr="006B6C08">
        <w:rPr>
          <w:sz w:val="20"/>
          <w:szCs w:val="20"/>
        </w:rPr>
        <w:t xml:space="preserve">formal </w:t>
      </w:r>
      <w:r w:rsidR="0002709B" w:rsidRPr="006B6C08">
        <w:rPr>
          <w:sz w:val="20"/>
          <w:szCs w:val="20"/>
        </w:rPr>
        <w:t xml:space="preserve">approval of the </w:t>
      </w:r>
      <w:r w:rsidR="00135F43" w:rsidRPr="006B6C08">
        <w:rPr>
          <w:sz w:val="20"/>
          <w:szCs w:val="20"/>
        </w:rPr>
        <w:t xml:space="preserve">Government </w:t>
      </w:r>
      <w:r w:rsidR="0002709B" w:rsidRPr="006B6C08">
        <w:rPr>
          <w:sz w:val="20"/>
          <w:szCs w:val="20"/>
        </w:rPr>
        <w:t>of Isra</w:t>
      </w:r>
      <w:r w:rsidR="009373B8" w:rsidRPr="006B6C08">
        <w:rPr>
          <w:sz w:val="20"/>
          <w:szCs w:val="20"/>
        </w:rPr>
        <w:t>e</w:t>
      </w:r>
      <w:r w:rsidR="0002709B" w:rsidRPr="006B6C08">
        <w:rPr>
          <w:sz w:val="20"/>
          <w:szCs w:val="20"/>
        </w:rPr>
        <w:t xml:space="preserve">l </w:t>
      </w:r>
      <w:r w:rsidR="00135F43" w:rsidRPr="006B6C08">
        <w:rPr>
          <w:sz w:val="20"/>
          <w:szCs w:val="20"/>
        </w:rPr>
        <w:t>in Area C</w:t>
      </w:r>
      <w:r w:rsidR="0007085A" w:rsidRPr="006B6C08">
        <w:rPr>
          <w:sz w:val="20"/>
          <w:szCs w:val="20"/>
        </w:rPr>
        <w:t xml:space="preserve">, </w:t>
      </w:r>
      <w:r w:rsidR="000E2CA4" w:rsidRPr="006B6C08">
        <w:rPr>
          <w:sz w:val="20"/>
          <w:szCs w:val="20"/>
        </w:rPr>
        <w:t xml:space="preserve">with efforts underway in Israel to </w:t>
      </w:r>
      <w:r w:rsidR="0007085A" w:rsidRPr="006B6C08">
        <w:rPr>
          <w:sz w:val="20"/>
          <w:szCs w:val="20"/>
        </w:rPr>
        <w:t>legalize</w:t>
      </w:r>
      <w:r w:rsidR="00C37863" w:rsidRPr="006B6C08">
        <w:rPr>
          <w:sz w:val="20"/>
          <w:szCs w:val="20"/>
        </w:rPr>
        <w:t xml:space="preserve"> some </w:t>
      </w:r>
      <w:r w:rsidR="000E2CA4" w:rsidRPr="006B6C08">
        <w:rPr>
          <w:sz w:val="20"/>
          <w:szCs w:val="20"/>
        </w:rPr>
        <w:t>of them</w:t>
      </w:r>
      <w:r w:rsidR="00C20085" w:rsidRPr="006B6C08">
        <w:rPr>
          <w:sz w:val="20"/>
          <w:szCs w:val="20"/>
        </w:rPr>
        <w:t xml:space="preserve">. </w:t>
      </w:r>
      <w:r w:rsidR="00135F43" w:rsidRPr="006B6C08">
        <w:rPr>
          <w:rStyle w:val="FootnoteReference"/>
          <w:sz w:val="20"/>
          <w:szCs w:val="20"/>
        </w:rPr>
        <w:footnoteReference w:id="39"/>
      </w:r>
      <w:r w:rsidR="009B620A" w:rsidRPr="006B6C08">
        <w:rPr>
          <w:sz w:val="20"/>
          <w:szCs w:val="20"/>
        </w:rPr>
        <w:t xml:space="preserve"> </w:t>
      </w:r>
    </w:p>
    <w:p w:rsidR="0002709B" w:rsidRPr="006B6C08" w:rsidRDefault="006B6C08" w:rsidP="006B6C08">
      <w:pPr>
        <w:pStyle w:val="SingleTxtG"/>
        <w:rPr>
          <w:sz w:val="20"/>
          <w:szCs w:val="20"/>
        </w:rPr>
      </w:pPr>
      <w:r w:rsidRPr="006B6C08">
        <w:rPr>
          <w:sz w:val="20"/>
          <w:szCs w:val="20"/>
        </w:rPr>
        <w:t>16.</w:t>
      </w:r>
      <w:r w:rsidRPr="006B6C08">
        <w:rPr>
          <w:sz w:val="20"/>
          <w:szCs w:val="20"/>
        </w:rPr>
        <w:tab/>
      </w:r>
      <w:r w:rsidR="00135F43" w:rsidRPr="006B6C08">
        <w:rPr>
          <w:sz w:val="20"/>
          <w:szCs w:val="20"/>
        </w:rPr>
        <w:t>Besides the allocation of land for the purposes of constructing settlement housing and infrastructure, Israel supports the maintenance and development of settlements through the delivery of public services and the encouragement of economic activities, including agriculture and industr</w:t>
      </w:r>
      <w:r w:rsidR="00D52E06" w:rsidRPr="006B6C08">
        <w:rPr>
          <w:sz w:val="20"/>
          <w:szCs w:val="20"/>
        </w:rPr>
        <w:t>y</w:t>
      </w:r>
      <w:r w:rsidR="00135F43" w:rsidRPr="006B6C08">
        <w:rPr>
          <w:sz w:val="20"/>
          <w:szCs w:val="20"/>
        </w:rPr>
        <w:t xml:space="preserve">. Population growth in Israeli settlements is stimulated </w:t>
      </w:r>
      <w:r w:rsidR="00D52E06" w:rsidRPr="006B6C08">
        <w:rPr>
          <w:sz w:val="20"/>
          <w:szCs w:val="20"/>
        </w:rPr>
        <w:t>by housing, education, and tax</w:t>
      </w:r>
      <w:r w:rsidR="00135F43" w:rsidRPr="006B6C08">
        <w:rPr>
          <w:sz w:val="20"/>
          <w:szCs w:val="20"/>
        </w:rPr>
        <w:t xml:space="preserve"> benefits. Similar incentives are provided for settlement industries.</w:t>
      </w:r>
      <w:r w:rsidR="00135F43" w:rsidRPr="006B6C08">
        <w:rPr>
          <w:rStyle w:val="FootnoteReference"/>
          <w:sz w:val="20"/>
          <w:szCs w:val="20"/>
        </w:rPr>
        <w:footnoteReference w:id="40"/>
      </w:r>
      <w:r w:rsidR="00135F43" w:rsidRPr="006B6C08">
        <w:rPr>
          <w:sz w:val="20"/>
          <w:szCs w:val="20"/>
        </w:rPr>
        <w:t xml:space="preserve"> The development of archaeological sites, national parks and other touristic sites targeting Israeli audiences further contributes to settlement growth and Israeli control of land in the West Bank, including East Jerusalem.</w:t>
      </w:r>
      <w:r w:rsidR="00135F43" w:rsidRPr="006B6C08">
        <w:rPr>
          <w:sz w:val="20"/>
          <w:szCs w:val="20"/>
          <w:vertAlign w:val="superscript"/>
        </w:rPr>
        <w:footnoteReference w:id="41"/>
      </w:r>
      <w:r w:rsidR="00135F43" w:rsidRPr="006B6C08">
        <w:rPr>
          <w:sz w:val="20"/>
          <w:szCs w:val="20"/>
        </w:rPr>
        <w:t xml:space="preserve"> </w:t>
      </w:r>
    </w:p>
    <w:p w:rsidR="006A4290" w:rsidRPr="006B6C08" w:rsidRDefault="006B6C08" w:rsidP="006B6C08">
      <w:pPr>
        <w:pStyle w:val="SingleTxtG"/>
        <w:rPr>
          <w:sz w:val="20"/>
          <w:szCs w:val="20"/>
        </w:rPr>
      </w:pPr>
      <w:r w:rsidRPr="006B6C08">
        <w:rPr>
          <w:sz w:val="20"/>
          <w:szCs w:val="20"/>
        </w:rPr>
        <w:t>17.</w:t>
      </w:r>
      <w:r w:rsidRPr="006B6C08">
        <w:rPr>
          <w:sz w:val="20"/>
          <w:szCs w:val="20"/>
        </w:rPr>
        <w:tab/>
      </w:r>
      <w:r w:rsidR="00135F43" w:rsidRPr="006B6C08">
        <w:rPr>
          <w:sz w:val="20"/>
          <w:szCs w:val="20"/>
        </w:rPr>
        <w:t xml:space="preserve">Moreover, Israel </w:t>
      </w:r>
      <w:r w:rsidR="001219D7" w:rsidRPr="006B6C08">
        <w:rPr>
          <w:sz w:val="20"/>
          <w:szCs w:val="20"/>
        </w:rPr>
        <w:t>supports</w:t>
      </w:r>
      <w:r w:rsidR="00135F43" w:rsidRPr="006B6C08">
        <w:rPr>
          <w:sz w:val="20"/>
          <w:szCs w:val="20"/>
        </w:rPr>
        <w:t xml:space="preserve"> outposts</w:t>
      </w:r>
      <w:r w:rsidR="00D52E06" w:rsidRPr="006B6C08">
        <w:rPr>
          <w:sz w:val="20"/>
          <w:szCs w:val="20"/>
        </w:rPr>
        <w:t xml:space="preserve"> considered illegal under its domestic law</w:t>
      </w:r>
      <w:r w:rsidR="00135F43" w:rsidRPr="006B6C08">
        <w:rPr>
          <w:sz w:val="20"/>
          <w:szCs w:val="20"/>
        </w:rPr>
        <w:t xml:space="preserve"> and other unauthorized constructions through the provision of funds, infrastructure and security</w:t>
      </w:r>
      <w:r w:rsidR="005A2A45" w:rsidRPr="006B6C08">
        <w:rPr>
          <w:sz w:val="20"/>
          <w:szCs w:val="20"/>
        </w:rPr>
        <w:t>.</w:t>
      </w:r>
      <w:r w:rsidR="00135F43" w:rsidRPr="006B6C08">
        <w:rPr>
          <w:rStyle w:val="FootnoteReference"/>
          <w:sz w:val="20"/>
          <w:szCs w:val="20"/>
        </w:rPr>
        <w:footnoteReference w:id="42"/>
      </w:r>
      <w:r w:rsidR="00135F43" w:rsidRPr="006B6C08">
        <w:rPr>
          <w:sz w:val="20"/>
          <w:szCs w:val="20"/>
        </w:rPr>
        <w:t xml:space="preserve"> Settlement expansion is </w:t>
      </w:r>
      <w:r w:rsidR="002B4785" w:rsidRPr="006B6C08">
        <w:rPr>
          <w:sz w:val="20"/>
          <w:szCs w:val="20"/>
        </w:rPr>
        <w:t>also compounded</w:t>
      </w:r>
      <w:r w:rsidR="008664F3" w:rsidRPr="006B6C08">
        <w:rPr>
          <w:sz w:val="20"/>
          <w:szCs w:val="20"/>
        </w:rPr>
        <w:t xml:space="preserve"> </w:t>
      </w:r>
      <w:r w:rsidR="00D52E06" w:rsidRPr="006B6C08">
        <w:rPr>
          <w:sz w:val="20"/>
          <w:szCs w:val="20"/>
        </w:rPr>
        <w:t>by Israel’s</w:t>
      </w:r>
      <w:r w:rsidR="00135F43" w:rsidRPr="006B6C08">
        <w:rPr>
          <w:sz w:val="20"/>
          <w:szCs w:val="20"/>
        </w:rPr>
        <w:t xml:space="preserve"> failure to maintain public order and ensure accountability </w:t>
      </w:r>
      <w:r w:rsidR="00DC71EB" w:rsidRPr="006B6C08">
        <w:rPr>
          <w:sz w:val="20"/>
          <w:szCs w:val="20"/>
        </w:rPr>
        <w:t xml:space="preserve">for </w:t>
      </w:r>
      <w:r w:rsidR="00F62D77" w:rsidRPr="006B6C08">
        <w:rPr>
          <w:sz w:val="20"/>
          <w:szCs w:val="20"/>
        </w:rPr>
        <w:t xml:space="preserve">harassment and </w:t>
      </w:r>
      <w:r w:rsidR="00DC71EB" w:rsidRPr="006B6C08">
        <w:rPr>
          <w:sz w:val="20"/>
          <w:szCs w:val="20"/>
        </w:rPr>
        <w:t>violence</w:t>
      </w:r>
      <w:r w:rsidR="000E2CA4" w:rsidRPr="006B6C08">
        <w:rPr>
          <w:sz w:val="20"/>
          <w:szCs w:val="20"/>
        </w:rPr>
        <w:t xml:space="preserve"> perpetrated by Israeli settlers</w:t>
      </w:r>
      <w:r w:rsidR="00135F43" w:rsidRPr="006B6C08">
        <w:rPr>
          <w:sz w:val="20"/>
          <w:szCs w:val="20"/>
        </w:rPr>
        <w:t>.</w:t>
      </w:r>
    </w:p>
    <w:p w:rsidR="006A4290" w:rsidRPr="006B6C08" w:rsidRDefault="006B6C08" w:rsidP="006B6C08">
      <w:pPr>
        <w:pStyle w:val="SingleTxtG"/>
        <w:rPr>
          <w:sz w:val="20"/>
          <w:szCs w:val="20"/>
        </w:rPr>
      </w:pPr>
      <w:r w:rsidRPr="006B6C08">
        <w:rPr>
          <w:sz w:val="20"/>
          <w:szCs w:val="20"/>
        </w:rPr>
        <w:t>18.</w:t>
      </w:r>
      <w:r w:rsidRPr="006B6C08">
        <w:rPr>
          <w:sz w:val="20"/>
          <w:szCs w:val="20"/>
        </w:rPr>
        <w:tab/>
      </w:r>
      <w:r w:rsidR="00135F43" w:rsidRPr="006B6C08">
        <w:rPr>
          <w:sz w:val="20"/>
          <w:szCs w:val="20"/>
        </w:rPr>
        <w:t>Settlements amount to the transfer of a State’s population to the territory it occupies</w:t>
      </w:r>
      <w:r w:rsidR="0002709B" w:rsidRPr="006B6C08">
        <w:rPr>
          <w:sz w:val="20"/>
          <w:szCs w:val="20"/>
        </w:rPr>
        <w:t xml:space="preserve">, which </w:t>
      </w:r>
      <w:r w:rsidR="00135F43" w:rsidRPr="006B6C08">
        <w:rPr>
          <w:sz w:val="20"/>
          <w:szCs w:val="20"/>
        </w:rPr>
        <w:t xml:space="preserve">is prohibited by </w:t>
      </w:r>
      <w:r w:rsidR="00F47FC6" w:rsidRPr="006B6C08">
        <w:rPr>
          <w:sz w:val="20"/>
          <w:szCs w:val="20"/>
        </w:rPr>
        <w:t>international humanitarian law</w:t>
      </w:r>
      <w:r w:rsidR="00135F43" w:rsidRPr="006B6C08">
        <w:rPr>
          <w:sz w:val="20"/>
          <w:szCs w:val="20"/>
        </w:rPr>
        <w:t>.</w:t>
      </w:r>
      <w:r w:rsidR="00135F43" w:rsidRPr="006B6C08">
        <w:rPr>
          <w:rStyle w:val="FootnoteReference"/>
          <w:sz w:val="20"/>
          <w:szCs w:val="20"/>
        </w:rPr>
        <w:footnoteReference w:id="43"/>
      </w:r>
      <w:r w:rsidR="00135F43" w:rsidRPr="006B6C08">
        <w:rPr>
          <w:sz w:val="20"/>
          <w:szCs w:val="20"/>
        </w:rPr>
        <w:t xml:space="preserve"> </w:t>
      </w:r>
      <w:r w:rsidR="001E2B4F" w:rsidRPr="006B6C08">
        <w:rPr>
          <w:sz w:val="20"/>
          <w:szCs w:val="20"/>
        </w:rPr>
        <w:t>A</w:t>
      </w:r>
      <w:r w:rsidR="00135F43" w:rsidRPr="006B6C08">
        <w:rPr>
          <w:sz w:val="20"/>
          <w:szCs w:val="20"/>
        </w:rPr>
        <w:t>ny act that would facilitate population transfer</w:t>
      </w:r>
      <w:r w:rsidR="001E2B4F" w:rsidRPr="006B6C08">
        <w:rPr>
          <w:sz w:val="20"/>
          <w:szCs w:val="20"/>
        </w:rPr>
        <w:t xml:space="preserve"> is also prohibited under international humanitarian law</w:t>
      </w:r>
      <w:r w:rsidR="00135F43" w:rsidRPr="006B6C08">
        <w:rPr>
          <w:sz w:val="20"/>
          <w:szCs w:val="20"/>
        </w:rPr>
        <w:t>.</w:t>
      </w:r>
      <w:r w:rsidR="00135F43" w:rsidRPr="006B6C08">
        <w:rPr>
          <w:rStyle w:val="FootnoteReference"/>
          <w:sz w:val="20"/>
          <w:szCs w:val="20"/>
        </w:rPr>
        <w:footnoteReference w:id="44"/>
      </w:r>
      <w:r w:rsidR="00135F43" w:rsidRPr="006B6C08">
        <w:rPr>
          <w:sz w:val="20"/>
          <w:szCs w:val="20"/>
        </w:rPr>
        <w:t xml:space="preserve"> Such transfer </w:t>
      </w:r>
      <w:r w:rsidR="000E2CA4" w:rsidRPr="006B6C08">
        <w:rPr>
          <w:sz w:val="20"/>
          <w:szCs w:val="20"/>
        </w:rPr>
        <w:t>stands in violation</w:t>
      </w:r>
      <w:r w:rsidR="00135F43" w:rsidRPr="006B6C08">
        <w:rPr>
          <w:sz w:val="20"/>
          <w:szCs w:val="20"/>
        </w:rPr>
        <w:t xml:space="preserve"> of the Fourth Geneva Convention, and is recognized as a war crime that may lead to individual criminal responsibility.</w:t>
      </w:r>
      <w:r w:rsidR="00135F43" w:rsidRPr="006B6C08">
        <w:rPr>
          <w:rStyle w:val="FootnoteReference"/>
          <w:sz w:val="20"/>
          <w:szCs w:val="20"/>
        </w:rPr>
        <w:footnoteReference w:id="45"/>
      </w:r>
      <w:r w:rsidR="009B620A" w:rsidRPr="006B6C08">
        <w:rPr>
          <w:sz w:val="20"/>
          <w:szCs w:val="20"/>
        </w:rPr>
        <w:t xml:space="preserve"> </w:t>
      </w:r>
      <w:r w:rsidR="00A4749A" w:rsidRPr="006B6C08">
        <w:rPr>
          <w:sz w:val="20"/>
          <w:szCs w:val="20"/>
        </w:rPr>
        <w:t xml:space="preserve">The illegality </w:t>
      </w:r>
      <w:r w:rsidR="00D203BA" w:rsidRPr="006B6C08">
        <w:rPr>
          <w:sz w:val="20"/>
          <w:szCs w:val="20"/>
        </w:rPr>
        <w:t xml:space="preserve">of settlements </w:t>
      </w:r>
      <w:r w:rsidR="00A4749A" w:rsidRPr="006B6C08">
        <w:rPr>
          <w:sz w:val="20"/>
          <w:szCs w:val="20"/>
        </w:rPr>
        <w:t xml:space="preserve">under </w:t>
      </w:r>
      <w:r w:rsidR="00A4749A" w:rsidRPr="006B6C08">
        <w:rPr>
          <w:sz w:val="20"/>
          <w:szCs w:val="20"/>
        </w:rPr>
        <w:lastRenderedPageBreak/>
        <w:t xml:space="preserve">international law has been confirmed by </w:t>
      </w:r>
      <w:r w:rsidR="0002709B" w:rsidRPr="006B6C08">
        <w:rPr>
          <w:sz w:val="20"/>
          <w:szCs w:val="20"/>
        </w:rPr>
        <w:t xml:space="preserve">various </w:t>
      </w:r>
      <w:r w:rsidR="00C20085" w:rsidRPr="006B6C08">
        <w:rPr>
          <w:sz w:val="20"/>
          <w:szCs w:val="20"/>
        </w:rPr>
        <w:t>international bodies, including the I</w:t>
      </w:r>
      <w:r w:rsidR="006B1E75" w:rsidRPr="006B6C08">
        <w:rPr>
          <w:sz w:val="20"/>
          <w:szCs w:val="20"/>
        </w:rPr>
        <w:t>CJ</w:t>
      </w:r>
      <w:r w:rsidR="00C20085" w:rsidRPr="006B6C08">
        <w:rPr>
          <w:sz w:val="20"/>
          <w:szCs w:val="20"/>
        </w:rPr>
        <w:t>, the Security Council, the General Assembly and the Human Rights Council.</w:t>
      </w:r>
      <w:r w:rsidR="00C20085" w:rsidRPr="006B6C08">
        <w:rPr>
          <w:rStyle w:val="FootnoteReference"/>
          <w:sz w:val="20"/>
          <w:szCs w:val="20"/>
        </w:rPr>
        <w:footnoteReference w:id="46"/>
      </w:r>
      <w:r w:rsidR="00C20085" w:rsidRPr="006B6C08">
        <w:rPr>
          <w:sz w:val="20"/>
          <w:szCs w:val="20"/>
        </w:rPr>
        <w:t xml:space="preserve"> </w:t>
      </w:r>
    </w:p>
    <w:p w:rsidR="006A4290" w:rsidRPr="006B6C08" w:rsidRDefault="006B6C08" w:rsidP="006B6C08">
      <w:pPr>
        <w:pStyle w:val="SingleTxtG"/>
        <w:outlineLvl w:val="0"/>
        <w:rPr>
          <w:sz w:val="20"/>
          <w:szCs w:val="20"/>
        </w:rPr>
      </w:pPr>
      <w:r w:rsidRPr="006B6C08">
        <w:rPr>
          <w:sz w:val="20"/>
          <w:szCs w:val="20"/>
        </w:rPr>
        <w:t>19.</w:t>
      </w:r>
      <w:r w:rsidRPr="006B6C08">
        <w:rPr>
          <w:sz w:val="20"/>
          <w:szCs w:val="20"/>
        </w:rPr>
        <w:tab/>
      </w:r>
      <w:r w:rsidR="00135F43" w:rsidRPr="006B6C08">
        <w:rPr>
          <w:sz w:val="20"/>
          <w:szCs w:val="20"/>
        </w:rPr>
        <w:t xml:space="preserve">In addition to Israel’s violation of its obligations as an occupying power, settlements or related activities have repercussions </w:t>
      </w:r>
      <w:r w:rsidR="0002709B" w:rsidRPr="006B6C08">
        <w:rPr>
          <w:sz w:val="20"/>
          <w:szCs w:val="20"/>
        </w:rPr>
        <w:t xml:space="preserve">on </w:t>
      </w:r>
      <w:r w:rsidR="00135F43" w:rsidRPr="006B6C08">
        <w:rPr>
          <w:sz w:val="20"/>
          <w:szCs w:val="20"/>
        </w:rPr>
        <w:t xml:space="preserve">human rights. </w:t>
      </w:r>
      <w:r w:rsidR="0002709B" w:rsidRPr="006B6C08">
        <w:rPr>
          <w:sz w:val="20"/>
          <w:szCs w:val="20"/>
        </w:rPr>
        <w:t>The o</w:t>
      </w:r>
      <w:r w:rsidR="00135F43" w:rsidRPr="006B6C08">
        <w:rPr>
          <w:sz w:val="20"/>
          <w:szCs w:val="20"/>
        </w:rPr>
        <w:t xml:space="preserve">ngoing expansion of settlements </w:t>
      </w:r>
      <w:r w:rsidR="00BE3A36" w:rsidRPr="006B6C08">
        <w:rPr>
          <w:sz w:val="20"/>
          <w:szCs w:val="20"/>
        </w:rPr>
        <w:t>severely impedes</w:t>
      </w:r>
      <w:r w:rsidR="004678E0" w:rsidRPr="006B6C08">
        <w:rPr>
          <w:sz w:val="20"/>
          <w:szCs w:val="20"/>
        </w:rPr>
        <w:t xml:space="preserve"> </w:t>
      </w:r>
      <w:r w:rsidR="00BE3A36" w:rsidRPr="006B6C08">
        <w:rPr>
          <w:sz w:val="20"/>
          <w:szCs w:val="20"/>
        </w:rPr>
        <w:t xml:space="preserve">the exercise by the Palestinian people of its </w:t>
      </w:r>
      <w:r w:rsidR="00135F43" w:rsidRPr="006B6C08">
        <w:rPr>
          <w:sz w:val="20"/>
          <w:szCs w:val="20"/>
        </w:rPr>
        <w:t xml:space="preserve">right to self-determination </w:t>
      </w:r>
      <w:proofErr w:type="gramStart"/>
      <w:r w:rsidR="00135F43" w:rsidRPr="006B6C08">
        <w:rPr>
          <w:sz w:val="20"/>
          <w:szCs w:val="20"/>
        </w:rPr>
        <w:t xml:space="preserve">and </w:t>
      </w:r>
      <w:r w:rsidR="00C716C4" w:rsidRPr="006B6C08">
        <w:rPr>
          <w:sz w:val="20"/>
          <w:szCs w:val="20"/>
        </w:rPr>
        <w:t xml:space="preserve"> </w:t>
      </w:r>
      <w:r w:rsidR="00BE3A36" w:rsidRPr="006B6C08">
        <w:rPr>
          <w:sz w:val="20"/>
          <w:szCs w:val="20"/>
        </w:rPr>
        <w:t>seriously</w:t>
      </w:r>
      <w:proofErr w:type="gramEnd"/>
      <w:r w:rsidR="00BE3A36" w:rsidRPr="006B6C08">
        <w:rPr>
          <w:sz w:val="20"/>
          <w:szCs w:val="20"/>
        </w:rPr>
        <w:t xml:space="preserve"> deprives it of its </w:t>
      </w:r>
      <w:r w:rsidR="00135F43" w:rsidRPr="006B6C08">
        <w:rPr>
          <w:sz w:val="20"/>
          <w:szCs w:val="20"/>
        </w:rPr>
        <w:t>natural resources.</w:t>
      </w:r>
      <w:r w:rsidR="00135F43" w:rsidRPr="006B6C08">
        <w:rPr>
          <w:rStyle w:val="FootnoteReference"/>
          <w:sz w:val="20"/>
          <w:szCs w:val="20"/>
        </w:rPr>
        <w:footnoteReference w:id="47"/>
      </w:r>
      <w:r w:rsidR="00305568" w:rsidRPr="006B6C08">
        <w:rPr>
          <w:sz w:val="20"/>
          <w:szCs w:val="20"/>
        </w:rPr>
        <w:tab/>
      </w:r>
    </w:p>
    <w:p w:rsidR="006A4290" w:rsidRPr="006B6C08" w:rsidRDefault="006A4290" w:rsidP="006A4290">
      <w:pPr>
        <w:pStyle w:val="SingleTxtG"/>
        <w:outlineLvl w:val="0"/>
        <w:rPr>
          <w:i/>
          <w:sz w:val="20"/>
          <w:szCs w:val="20"/>
        </w:rPr>
      </w:pPr>
      <w:r w:rsidRPr="006B6C08">
        <w:rPr>
          <w:b/>
          <w:i/>
          <w:sz w:val="20"/>
          <w:szCs w:val="20"/>
        </w:rPr>
        <w:t>Unlawful Seizure and Destruction of Property</w:t>
      </w:r>
      <w:r w:rsidR="009B620A" w:rsidRPr="006B6C08">
        <w:rPr>
          <w:i/>
          <w:sz w:val="20"/>
          <w:szCs w:val="20"/>
        </w:rPr>
        <w:t xml:space="preserve"> </w:t>
      </w:r>
    </w:p>
    <w:p w:rsidR="007172BB" w:rsidRPr="006B6C08" w:rsidRDefault="006B6C08" w:rsidP="006B6C08">
      <w:pPr>
        <w:pStyle w:val="SingleTxtG"/>
        <w:ind w:left="1170"/>
        <w:outlineLvl w:val="0"/>
        <w:rPr>
          <w:sz w:val="20"/>
          <w:szCs w:val="20"/>
        </w:rPr>
      </w:pPr>
      <w:r w:rsidRPr="006B6C08">
        <w:rPr>
          <w:sz w:val="20"/>
          <w:szCs w:val="20"/>
        </w:rPr>
        <w:t>20.</w:t>
      </w:r>
      <w:r w:rsidRPr="006B6C08">
        <w:rPr>
          <w:sz w:val="20"/>
          <w:szCs w:val="20"/>
        </w:rPr>
        <w:tab/>
      </w:r>
      <w:r w:rsidR="00755A59" w:rsidRPr="006B6C08">
        <w:rPr>
          <w:sz w:val="20"/>
          <w:szCs w:val="20"/>
        </w:rPr>
        <w:t>According to the Fourth Geneva Convention, t</w:t>
      </w:r>
      <w:r w:rsidR="00436455" w:rsidRPr="006B6C08">
        <w:rPr>
          <w:sz w:val="20"/>
          <w:szCs w:val="20"/>
        </w:rPr>
        <w:t>he occupying power must administer public property according to the rules of usufruct</w:t>
      </w:r>
      <w:r w:rsidR="00530AE2" w:rsidRPr="006B6C08">
        <w:rPr>
          <w:sz w:val="20"/>
          <w:szCs w:val="20"/>
        </w:rPr>
        <w:t xml:space="preserve">. It can </w:t>
      </w:r>
      <w:r w:rsidR="00436455" w:rsidRPr="006B6C08">
        <w:rPr>
          <w:sz w:val="20"/>
          <w:szCs w:val="20"/>
        </w:rPr>
        <w:t>th</w:t>
      </w:r>
      <w:r w:rsidR="00530AE2" w:rsidRPr="006B6C08">
        <w:rPr>
          <w:sz w:val="20"/>
          <w:szCs w:val="20"/>
        </w:rPr>
        <w:t xml:space="preserve">us </w:t>
      </w:r>
      <w:r w:rsidR="00436455" w:rsidRPr="006B6C08">
        <w:rPr>
          <w:sz w:val="20"/>
          <w:szCs w:val="20"/>
        </w:rPr>
        <w:t>use and enjoy</w:t>
      </w:r>
      <w:r w:rsidR="00530AE2" w:rsidRPr="006B6C08">
        <w:rPr>
          <w:sz w:val="20"/>
          <w:szCs w:val="20"/>
        </w:rPr>
        <w:t xml:space="preserve"> it</w:t>
      </w:r>
      <w:r w:rsidR="00436455" w:rsidRPr="006B6C08">
        <w:rPr>
          <w:sz w:val="20"/>
          <w:szCs w:val="20"/>
        </w:rPr>
        <w:t>, but the character of the property shall not be altered.</w:t>
      </w:r>
      <w:r w:rsidR="00436455" w:rsidRPr="006B6C08">
        <w:rPr>
          <w:rStyle w:val="FootnoteReference"/>
          <w:sz w:val="20"/>
          <w:szCs w:val="20"/>
        </w:rPr>
        <w:footnoteReference w:id="48"/>
      </w:r>
      <w:r w:rsidR="00436455" w:rsidRPr="006B6C08">
        <w:rPr>
          <w:sz w:val="20"/>
          <w:szCs w:val="20"/>
        </w:rPr>
        <w:t xml:space="preserve"> Private property must be respected and cannot be confiscated</w:t>
      </w:r>
      <w:r w:rsidR="00530AE2" w:rsidRPr="006B6C08">
        <w:rPr>
          <w:sz w:val="20"/>
          <w:szCs w:val="20"/>
        </w:rPr>
        <w:t>,</w:t>
      </w:r>
      <w:r w:rsidR="00436455" w:rsidRPr="006B6C08">
        <w:rPr>
          <w:rStyle w:val="FootnoteReference"/>
          <w:sz w:val="20"/>
          <w:szCs w:val="20"/>
        </w:rPr>
        <w:footnoteReference w:id="49"/>
      </w:r>
      <w:r w:rsidR="00530AE2" w:rsidRPr="006B6C08">
        <w:rPr>
          <w:sz w:val="20"/>
          <w:szCs w:val="20"/>
        </w:rPr>
        <w:t xml:space="preserve"> and t</w:t>
      </w:r>
      <w:r w:rsidR="00436455" w:rsidRPr="006B6C08">
        <w:rPr>
          <w:sz w:val="20"/>
          <w:szCs w:val="20"/>
        </w:rPr>
        <w:t>he destruction of property by the occup</w:t>
      </w:r>
      <w:r w:rsidR="00200867" w:rsidRPr="006B6C08">
        <w:rPr>
          <w:sz w:val="20"/>
          <w:szCs w:val="20"/>
        </w:rPr>
        <w:t>ying</w:t>
      </w:r>
      <w:r w:rsidR="00436455" w:rsidRPr="006B6C08">
        <w:rPr>
          <w:sz w:val="20"/>
          <w:szCs w:val="20"/>
        </w:rPr>
        <w:t xml:space="preserve"> power is expressly prohibited by </w:t>
      </w:r>
      <w:r w:rsidR="00F47FC6" w:rsidRPr="006B6C08">
        <w:rPr>
          <w:sz w:val="20"/>
          <w:szCs w:val="20"/>
        </w:rPr>
        <w:t>international humanitarian law</w:t>
      </w:r>
      <w:r w:rsidR="00436455" w:rsidRPr="006B6C08">
        <w:rPr>
          <w:sz w:val="20"/>
          <w:szCs w:val="20"/>
        </w:rPr>
        <w:t>.</w:t>
      </w:r>
      <w:r w:rsidR="00436455" w:rsidRPr="006B6C08">
        <w:rPr>
          <w:rStyle w:val="FootnoteReference"/>
          <w:sz w:val="20"/>
          <w:szCs w:val="20"/>
        </w:rPr>
        <w:footnoteReference w:id="50"/>
      </w:r>
      <w:r w:rsidR="00436455" w:rsidRPr="006B6C08">
        <w:rPr>
          <w:sz w:val="20"/>
          <w:szCs w:val="20"/>
        </w:rPr>
        <w:t xml:space="preserve"> </w:t>
      </w:r>
      <w:proofErr w:type="gramStart"/>
      <w:r w:rsidR="00436455" w:rsidRPr="006B6C08">
        <w:rPr>
          <w:sz w:val="20"/>
          <w:szCs w:val="20"/>
        </w:rPr>
        <w:t>The seizure of property, as well as the demolition of Palestinian houses, infrastructure and orchards, in order to establish, develop and maintain settlements and access to the latter are a flagrant violation of th</w:t>
      </w:r>
      <w:r w:rsidR="00755A59" w:rsidRPr="006B6C08">
        <w:rPr>
          <w:sz w:val="20"/>
          <w:szCs w:val="20"/>
        </w:rPr>
        <w:t>e</w:t>
      </w:r>
      <w:r w:rsidR="00436455" w:rsidRPr="006B6C08">
        <w:rPr>
          <w:sz w:val="20"/>
          <w:szCs w:val="20"/>
        </w:rPr>
        <w:t>se rules.</w:t>
      </w:r>
      <w:proofErr w:type="gramEnd"/>
      <w:r w:rsidR="007172BB" w:rsidRPr="006B6C08">
        <w:rPr>
          <w:sz w:val="20"/>
          <w:szCs w:val="20"/>
        </w:rPr>
        <w:t xml:space="preserve"> </w:t>
      </w:r>
    </w:p>
    <w:p w:rsidR="006A4290" w:rsidRPr="006B6C08" w:rsidRDefault="006B6C08" w:rsidP="006B6C08">
      <w:pPr>
        <w:pStyle w:val="SingleTxtG"/>
        <w:ind w:left="1170"/>
        <w:outlineLvl w:val="0"/>
        <w:rPr>
          <w:sz w:val="20"/>
          <w:szCs w:val="20"/>
        </w:rPr>
      </w:pPr>
      <w:r w:rsidRPr="006B6C08">
        <w:rPr>
          <w:sz w:val="20"/>
          <w:szCs w:val="20"/>
        </w:rPr>
        <w:t>21.</w:t>
      </w:r>
      <w:r w:rsidRPr="006B6C08">
        <w:rPr>
          <w:sz w:val="20"/>
          <w:szCs w:val="20"/>
        </w:rPr>
        <w:tab/>
      </w:r>
      <w:r w:rsidR="00E52727" w:rsidRPr="006B6C08">
        <w:rPr>
          <w:sz w:val="20"/>
          <w:szCs w:val="20"/>
        </w:rPr>
        <w:t xml:space="preserve">Exceptions </w:t>
      </w:r>
      <w:r w:rsidR="00436455" w:rsidRPr="006B6C08">
        <w:rPr>
          <w:sz w:val="20"/>
          <w:szCs w:val="20"/>
        </w:rPr>
        <w:t xml:space="preserve">to these rules are only permitted if </w:t>
      </w:r>
      <w:r w:rsidR="008648D7" w:rsidRPr="006B6C08">
        <w:rPr>
          <w:sz w:val="20"/>
          <w:szCs w:val="20"/>
        </w:rPr>
        <w:t xml:space="preserve">those rules specifically provide for them. </w:t>
      </w:r>
      <w:r w:rsidR="00436455" w:rsidRPr="006B6C08">
        <w:rPr>
          <w:sz w:val="20"/>
          <w:szCs w:val="20"/>
        </w:rPr>
        <w:t xml:space="preserve">. In the absence of active hostilities in the West Bank, </w:t>
      </w:r>
      <w:r w:rsidR="008648D7" w:rsidRPr="006B6C08">
        <w:rPr>
          <w:sz w:val="20"/>
          <w:szCs w:val="20"/>
        </w:rPr>
        <w:t xml:space="preserve">any exception to the rule </w:t>
      </w:r>
      <w:proofErr w:type="gramStart"/>
      <w:r w:rsidR="008648D7" w:rsidRPr="006B6C08">
        <w:rPr>
          <w:sz w:val="20"/>
          <w:szCs w:val="20"/>
        </w:rPr>
        <w:t xml:space="preserve">prohibiting </w:t>
      </w:r>
      <w:r w:rsidR="00436455" w:rsidRPr="006B6C08">
        <w:rPr>
          <w:sz w:val="20"/>
          <w:szCs w:val="20"/>
        </w:rPr>
        <w:t xml:space="preserve"> the</w:t>
      </w:r>
      <w:proofErr w:type="gramEnd"/>
      <w:r w:rsidR="00436455" w:rsidRPr="006B6C08">
        <w:rPr>
          <w:sz w:val="20"/>
          <w:szCs w:val="20"/>
        </w:rPr>
        <w:t xml:space="preserve"> alteration or destruction of private and public </w:t>
      </w:r>
      <w:proofErr w:type="spellStart"/>
      <w:r w:rsidR="00436455" w:rsidRPr="006B6C08">
        <w:rPr>
          <w:sz w:val="20"/>
          <w:szCs w:val="20"/>
        </w:rPr>
        <w:t>propertyappears</w:t>
      </w:r>
      <w:proofErr w:type="spellEnd"/>
      <w:r w:rsidR="00436455" w:rsidRPr="006B6C08">
        <w:rPr>
          <w:sz w:val="20"/>
          <w:szCs w:val="20"/>
        </w:rPr>
        <w:t xml:space="preserve"> difficult to invoke.</w:t>
      </w:r>
      <w:r w:rsidR="006470E3" w:rsidRPr="006B6C08">
        <w:rPr>
          <w:rStyle w:val="FootnoteReference"/>
          <w:sz w:val="20"/>
          <w:szCs w:val="20"/>
        </w:rPr>
        <w:t xml:space="preserve"> </w:t>
      </w:r>
      <w:r w:rsidR="006470E3" w:rsidRPr="006B6C08">
        <w:rPr>
          <w:rStyle w:val="FootnoteReference"/>
          <w:sz w:val="20"/>
          <w:szCs w:val="20"/>
        </w:rPr>
        <w:footnoteReference w:id="51"/>
      </w:r>
      <w:r w:rsidR="005B06A3" w:rsidRPr="006B6C08">
        <w:rPr>
          <w:sz w:val="20"/>
          <w:szCs w:val="20"/>
        </w:rPr>
        <w:t xml:space="preserve"> </w:t>
      </w:r>
    </w:p>
    <w:p w:rsidR="006A4290" w:rsidRPr="006B6C08" w:rsidRDefault="006A4290" w:rsidP="00E52727">
      <w:pPr>
        <w:pStyle w:val="SingleTxtG"/>
        <w:ind w:left="1170"/>
        <w:outlineLvl w:val="0"/>
        <w:rPr>
          <w:rFonts w:eastAsia="Calibri"/>
          <w:b/>
          <w:i/>
          <w:sz w:val="20"/>
          <w:szCs w:val="20"/>
        </w:rPr>
      </w:pPr>
      <w:r w:rsidRPr="006B6C08">
        <w:rPr>
          <w:b/>
          <w:i/>
          <w:sz w:val="20"/>
          <w:szCs w:val="20"/>
        </w:rPr>
        <w:t>Demolitions and Forcible Transfer of Palestinians in the West Bank</w:t>
      </w:r>
    </w:p>
    <w:p w:rsidR="006A4290" w:rsidRPr="006B6C08" w:rsidRDefault="006B6C08" w:rsidP="006B6C08">
      <w:pPr>
        <w:pStyle w:val="SingleTxtG"/>
        <w:outlineLvl w:val="0"/>
        <w:rPr>
          <w:color w:val="333333"/>
          <w:sz w:val="20"/>
          <w:szCs w:val="20"/>
        </w:rPr>
      </w:pPr>
      <w:r w:rsidRPr="006B6C08">
        <w:rPr>
          <w:color w:val="333333"/>
          <w:sz w:val="20"/>
          <w:szCs w:val="20"/>
        </w:rPr>
        <w:t>22.</w:t>
      </w:r>
      <w:r w:rsidRPr="006B6C08">
        <w:rPr>
          <w:color w:val="333333"/>
          <w:sz w:val="20"/>
          <w:szCs w:val="20"/>
        </w:rPr>
        <w:tab/>
      </w:r>
      <w:r w:rsidR="00C059A1" w:rsidRPr="006B6C08">
        <w:rPr>
          <w:sz w:val="20"/>
          <w:szCs w:val="20"/>
        </w:rPr>
        <w:t>I</w:t>
      </w:r>
      <w:r w:rsidR="00F47FC6" w:rsidRPr="006B6C08">
        <w:rPr>
          <w:sz w:val="20"/>
          <w:szCs w:val="20"/>
        </w:rPr>
        <w:t>nternational humanitarian law</w:t>
      </w:r>
      <w:r w:rsidR="000811AE" w:rsidRPr="006B6C08">
        <w:rPr>
          <w:sz w:val="20"/>
          <w:szCs w:val="20"/>
        </w:rPr>
        <w:t xml:space="preserve"> not only prohibit</w:t>
      </w:r>
      <w:r w:rsidR="00F83361" w:rsidRPr="006B6C08">
        <w:rPr>
          <w:sz w:val="20"/>
          <w:szCs w:val="20"/>
        </w:rPr>
        <w:t>s</w:t>
      </w:r>
      <w:r w:rsidR="000811AE" w:rsidRPr="006B6C08">
        <w:rPr>
          <w:sz w:val="20"/>
          <w:szCs w:val="20"/>
        </w:rPr>
        <w:t xml:space="preserve"> the transfer of the population of the occupying State into the occupied territory, but also individual or mass forcible transfer or deportation of the population of an occupied territory regardless of the motive.</w:t>
      </w:r>
      <w:r w:rsidR="000811AE" w:rsidRPr="006B6C08">
        <w:rPr>
          <w:rStyle w:val="FootnoteReference"/>
          <w:sz w:val="20"/>
          <w:szCs w:val="20"/>
        </w:rPr>
        <w:footnoteReference w:id="52"/>
      </w:r>
      <w:r w:rsidR="000811AE" w:rsidRPr="006B6C08">
        <w:rPr>
          <w:sz w:val="20"/>
          <w:szCs w:val="20"/>
        </w:rPr>
        <w:t xml:space="preserve"> Such transfer amounts to a grave breach of the Geneva Convention and </w:t>
      </w:r>
      <w:r w:rsidR="00200867" w:rsidRPr="006B6C08">
        <w:rPr>
          <w:sz w:val="20"/>
          <w:szCs w:val="20"/>
        </w:rPr>
        <w:t xml:space="preserve">is </w:t>
      </w:r>
      <w:r w:rsidR="00677994" w:rsidRPr="006B6C08">
        <w:rPr>
          <w:sz w:val="20"/>
          <w:szCs w:val="20"/>
        </w:rPr>
        <w:t xml:space="preserve">also </w:t>
      </w:r>
      <w:r w:rsidR="000811AE" w:rsidRPr="006B6C08">
        <w:rPr>
          <w:sz w:val="20"/>
          <w:szCs w:val="20"/>
        </w:rPr>
        <w:t>considered a war crime.</w:t>
      </w:r>
      <w:r w:rsidR="000811AE" w:rsidRPr="006B6C08">
        <w:rPr>
          <w:rStyle w:val="FootnoteReference"/>
          <w:sz w:val="20"/>
          <w:szCs w:val="20"/>
        </w:rPr>
        <w:footnoteReference w:id="53"/>
      </w:r>
    </w:p>
    <w:p w:rsidR="00A06323" w:rsidRPr="006B6C08" w:rsidRDefault="006B6C08" w:rsidP="006B6C08">
      <w:pPr>
        <w:pStyle w:val="SingleTxtG"/>
        <w:outlineLvl w:val="0"/>
        <w:rPr>
          <w:sz w:val="20"/>
          <w:szCs w:val="20"/>
        </w:rPr>
      </w:pPr>
      <w:r w:rsidRPr="006B6C08">
        <w:rPr>
          <w:sz w:val="20"/>
          <w:szCs w:val="20"/>
        </w:rPr>
        <w:t>23.</w:t>
      </w:r>
      <w:r w:rsidRPr="006B6C08">
        <w:rPr>
          <w:sz w:val="20"/>
          <w:szCs w:val="20"/>
        </w:rPr>
        <w:tab/>
      </w:r>
      <w:r w:rsidR="000811AE" w:rsidRPr="006B6C08">
        <w:rPr>
          <w:sz w:val="20"/>
          <w:szCs w:val="20"/>
        </w:rPr>
        <w:t xml:space="preserve">Over the years, </w:t>
      </w:r>
      <w:r w:rsidR="000D2A6D" w:rsidRPr="006B6C08">
        <w:rPr>
          <w:sz w:val="20"/>
          <w:szCs w:val="20"/>
        </w:rPr>
        <w:t>my predecessor</w:t>
      </w:r>
      <w:r w:rsidR="000811AE" w:rsidRPr="006B6C08">
        <w:rPr>
          <w:sz w:val="20"/>
          <w:szCs w:val="20"/>
        </w:rPr>
        <w:t xml:space="preserve"> </w:t>
      </w:r>
      <w:r w:rsidR="00867E26" w:rsidRPr="006B6C08">
        <w:rPr>
          <w:sz w:val="20"/>
          <w:szCs w:val="20"/>
        </w:rPr>
        <w:t>reported</w:t>
      </w:r>
      <w:r w:rsidR="000811AE" w:rsidRPr="006B6C08">
        <w:rPr>
          <w:sz w:val="20"/>
          <w:szCs w:val="20"/>
        </w:rPr>
        <w:t xml:space="preserve"> on cases </w:t>
      </w:r>
      <w:r w:rsidR="00F1779D" w:rsidRPr="006B6C08">
        <w:rPr>
          <w:sz w:val="20"/>
          <w:szCs w:val="20"/>
        </w:rPr>
        <w:t>where</w:t>
      </w:r>
      <w:r w:rsidR="000811AE" w:rsidRPr="006B6C08">
        <w:rPr>
          <w:sz w:val="20"/>
          <w:szCs w:val="20"/>
        </w:rPr>
        <w:t xml:space="preserve"> forcible transfer of Palestinians</w:t>
      </w:r>
      <w:r w:rsidR="00F1779D" w:rsidRPr="006B6C08">
        <w:rPr>
          <w:sz w:val="20"/>
          <w:szCs w:val="20"/>
        </w:rPr>
        <w:t xml:space="preserve"> may have taken place</w:t>
      </w:r>
      <w:r w:rsidR="000811AE" w:rsidRPr="006B6C08">
        <w:rPr>
          <w:sz w:val="20"/>
          <w:szCs w:val="20"/>
        </w:rPr>
        <w:t xml:space="preserve"> within the West Bank, a</w:t>
      </w:r>
      <w:r w:rsidR="00A06323" w:rsidRPr="006B6C08">
        <w:rPr>
          <w:sz w:val="20"/>
          <w:szCs w:val="20"/>
        </w:rPr>
        <w:t>nd on the situation of</w:t>
      </w:r>
      <w:r w:rsidR="000811AE" w:rsidRPr="006B6C08">
        <w:rPr>
          <w:sz w:val="20"/>
          <w:szCs w:val="20"/>
        </w:rPr>
        <w:t xml:space="preserve"> individuals and communities at risk of forcible transfer, primarily Bedouins and other herder communities within Area C of the West Bank. </w:t>
      </w:r>
      <w:r w:rsidR="00F1779D" w:rsidRPr="006B6C08">
        <w:rPr>
          <w:sz w:val="20"/>
          <w:szCs w:val="20"/>
        </w:rPr>
        <w:t>Cases of forcible transfer are generally documented after demolition of homes and infrastructure that lead to forced evictions</w:t>
      </w:r>
      <w:r w:rsidR="007F0917" w:rsidRPr="006B6C08">
        <w:rPr>
          <w:sz w:val="20"/>
          <w:szCs w:val="20"/>
        </w:rPr>
        <w:t>,</w:t>
      </w:r>
      <w:r w:rsidR="00F1779D" w:rsidRPr="006B6C08">
        <w:rPr>
          <w:rStyle w:val="FootnoteReference"/>
          <w:sz w:val="20"/>
          <w:szCs w:val="20"/>
        </w:rPr>
        <w:footnoteReference w:id="54"/>
      </w:r>
      <w:r w:rsidR="00F1779D" w:rsidRPr="006B6C08">
        <w:rPr>
          <w:sz w:val="20"/>
          <w:szCs w:val="20"/>
        </w:rPr>
        <w:t xml:space="preserve"> in violation of international humanitarian law and international human rights law.</w:t>
      </w:r>
      <w:r w:rsidR="00F1779D" w:rsidRPr="006B6C08">
        <w:rPr>
          <w:rStyle w:val="FootnoteReference"/>
          <w:sz w:val="20"/>
          <w:szCs w:val="20"/>
        </w:rPr>
        <w:footnoteReference w:id="55"/>
      </w:r>
      <w:r w:rsidR="00F1779D" w:rsidRPr="006B6C08">
        <w:rPr>
          <w:sz w:val="20"/>
          <w:szCs w:val="20"/>
        </w:rPr>
        <w:t xml:space="preserve"> </w:t>
      </w:r>
    </w:p>
    <w:p w:rsidR="006A4290" w:rsidRPr="006B6C08" w:rsidRDefault="006B6C08" w:rsidP="006B6C08">
      <w:pPr>
        <w:pStyle w:val="SingleTxtG"/>
        <w:outlineLvl w:val="0"/>
        <w:rPr>
          <w:sz w:val="20"/>
          <w:szCs w:val="20"/>
        </w:rPr>
      </w:pPr>
      <w:r w:rsidRPr="006B6C08">
        <w:rPr>
          <w:sz w:val="20"/>
          <w:szCs w:val="20"/>
        </w:rPr>
        <w:t>24.</w:t>
      </w:r>
      <w:r w:rsidRPr="006B6C08">
        <w:rPr>
          <w:sz w:val="20"/>
          <w:szCs w:val="20"/>
        </w:rPr>
        <w:tab/>
      </w:r>
      <w:r w:rsidR="000811AE" w:rsidRPr="006B6C08">
        <w:rPr>
          <w:sz w:val="20"/>
          <w:szCs w:val="20"/>
        </w:rPr>
        <w:t xml:space="preserve">With </w:t>
      </w:r>
      <w:r w:rsidR="00C94D1D" w:rsidRPr="006B6C08">
        <w:rPr>
          <w:sz w:val="20"/>
          <w:szCs w:val="20"/>
        </w:rPr>
        <w:t>986</w:t>
      </w:r>
      <w:r w:rsidR="000811AE" w:rsidRPr="006B6C08">
        <w:rPr>
          <w:sz w:val="20"/>
          <w:szCs w:val="20"/>
        </w:rPr>
        <w:t xml:space="preserve"> structures destroyed or seized in 2016 as of </w:t>
      </w:r>
      <w:r w:rsidR="00C94D1D" w:rsidRPr="006B6C08">
        <w:rPr>
          <w:sz w:val="20"/>
          <w:szCs w:val="20"/>
        </w:rPr>
        <w:t xml:space="preserve">31 October </w:t>
      </w:r>
      <w:r w:rsidR="00BD73BD" w:rsidRPr="006B6C08">
        <w:rPr>
          <w:sz w:val="20"/>
          <w:szCs w:val="20"/>
        </w:rPr>
        <w:t>(</w:t>
      </w:r>
      <w:r w:rsidR="00C94D1D" w:rsidRPr="006B6C08">
        <w:rPr>
          <w:sz w:val="20"/>
          <w:szCs w:val="20"/>
        </w:rPr>
        <w:t xml:space="preserve">more than </w:t>
      </w:r>
      <w:r w:rsidR="00BD73BD" w:rsidRPr="006B6C08">
        <w:rPr>
          <w:sz w:val="20"/>
          <w:szCs w:val="20"/>
        </w:rPr>
        <w:t>twice as much as for the same period in 2015)</w:t>
      </w:r>
      <w:r w:rsidR="000811AE" w:rsidRPr="006B6C08">
        <w:rPr>
          <w:sz w:val="20"/>
          <w:szCs w:val="20"/>
        </w:rPr>
        <w:t>, the Israeli authorities demolished more Palestinian-owned structures in the West Bank, including East Jerusalem, than i</w:t>
      </w:r>
      <w:r w:rsidR="007570DD" w:rsidRPr="006B6C08">
        <w:rPr>
          <w:sz w:val="20"/>
          <w:szCs w:val="20"/>
        </w:rPr>
        <w:t>n any year since 2009, when the United Nations</w:t>
      </w:r>
      <w:r w:rsidR="000811AE" w:rsidRPr="006B6C08">
        <w:rPr>
          <w:sz w:val="20"/>
          <w:szCs w:val="20"/>
        </w:rPr>
        <w:t xml:space="preserve"> began to systematically monitor the issue. </w:t>
      </w:r>
      <w:r w:rsidR="000811AE" w:rsidRPr="006B6C08">
        <w:rPr>
          <w:color w:val="000000"/>
          <w:sz w:val="20"/>
          <w:szCs w:val="20"/>
        </w:rPr>
        <w:t xml:space="preserve">The </w:t>
      </w:r>
      <w:r w:rsidR="000811AE" w:rsidRPr="006B6C08">
        <w:rPr>
          <w:color w:val="000000"/>
          <w:sz w:val="20"/>
          <w:szCs w:val="20"/>
        </w:rPr>
        <w:lastRenderedPageBreak/>
        <w:t xml:space="preserve">majority of demolitions </w:t>
      </w:r>
      <w:r w:rsidR="00A06323" w:rsidRPr="006B6C08">
        <w:rPr>
          <w:color w:val="000000"/>
          <w:sz w:val="20"/>
          <w:szCs w:val="20"/>
        </w:rPr>
        <w:t xml:space="preserve">affected </w:t>
      </w:r>
      <w:r w:rsidR="000811AE" w:rsidRPr="006B6C08">
        <w:rPr>
          <w:color w:val="000000"/>
          <w:sz w:val="20"/>
          <w:szCs w:val="20"/>
        </w:rPr>
        <w:t xml:space="preserve">vulnerable Palestinian Bedouin and herding communities. Overall, 1,596 Palestinians </w:t>
      </w:r>
      <w:r w:rsidR="00A06323" w:rsidRPr="006B6C08">
        <w:rPr>
          <w:color w:val="000000"/>
          <w:sz w:val="20"/>
          <w:szCs w:val="20"/>
        </w:rPr>
        <w:t xml:space="preserve">were </w:t>
      </w:r>
      <w:r w:rsidR="000811AE" w:rsidRPr="006B6C08">
        <w:rPr>
          <w:color w:val="000000"/>
          <w:sz w:val="20"/>
          <w:szCs w:val="20"/>
        </w:rPr>
        <w:t xml:space="preserve">displaced in 2016, including 759 children, and 6,398 </w:t>
      </w:r>
      <w:r w:rsidR="00A06323" w:rsidRPr="006B6C08">
        <w:rPr>
          <w:color w:val="000000"/>
          <w:sz w:val="20"/>
          <w:szCs w:val="20"/>
        </w:rPr>
        <w:t xml:space="preserve">others </w:t>
      </w:r>
      <w:r w:rsidR="000811AE" w:rsidRPr="006B6C08">
        <w:rPr>
          <w:color w:val="000000"/>
          <w:sz w:val="20"/>
          <w:szCs w:val="20"/>
        </w:rPr>
        <w:t xml:space="preserve">affected, including 2,007 children, </w:t>
      </w:r>
      <w:r w:rsidR="002C5D5B" w:rsidRPr="006B6C08">
        <w:rPr>
          <w:color w:val="000000"/>
          <w:sz w:val="20"/>
          <w:szCs w:val="20"/>
        </w:rPr>
        <w:t>by</w:t>
      </w:r>
      <w:r w:rsidR="000811AE" w:rsidRPr="006B6C08">
        <w:rPr>
          <w:color w:val="000000"/>
          <w:sz w:val="20"/>
          <w:szCs w:val="20"/>
        </w:rPr>
        <w:t xml:space="preserve"> the demolition of</w:t>
      </w:r>
      <w:r w:rsidR="0064371F" w:rsidRPr="006B6C08">
        <w:rPr>
          <w:color w:val="000000"/>
          <w:sz w:val="20"/>
          <w:szCs w:val="20"/>
        </w:rPr>
        <w:t xml:space="preserve"> residential and</w:t>
      </w:r>
      <w:r w:rsidR="000811AE" w:rsidRPr="006B6C08">
        <w:rPr>
          <w:color w:val="000000"/>
          <w:sz w:val="20"/>
          <w:szCs w:val="20"/>
        </w:rPr>
        <w:t xml:space="preserve"> livelihood</w:t>
      </w:r>
      <w:r w:rsidR="0064371F" w:rsidRPr="006B6C08">
        <w:rPr>
          <w:color w:val="000000"/>
          <w:sz w:val="20"/>
          <w:szCs w:val="20"/>
          <w:lang w:val="en-US"/>
        </w:rPr>
        <w:t>-related</w:t>
      </w:r>
      <w:r w:rsidR="000811AE" w:rsidRPr="006B6C08">
        <w:rPr>
          <w:color w:val="000000"/>
          <w:sz w:val="20"/>
          <w:szCs w:val="20"/>
        </w:rPr>
        <w:t xml:space="preserve"> structures. </w:t>
      </w:r>
      <w:r w:rsidR="000811AE" w:rsidRPr="006B6C08">
        <w:rPr>
          <w:sz w:val="20"/>
          <w:szCs w:val="20"/>
        </w:rPr>
        <w:t xml:space="preserve">According to </w:t>
      </w:r>
      <w:r w:rsidR="00A06323" w:rsidRPr="006B6C08">
        <w:rPr>
          <w:sz w:val="20"/>
          <w:szCs w:val="20"/>
        </w:rPr>
        <w:t>the United Nations Office for the Coordination of Humanitarian Affairs (</w:t>
      </w:r>
      <w:r w:rsidR="000811AE" w:rsidRPr="006B6C08">
        <w:rPr>
          <w:sz w:val="20"/>
          <w:szCs w:val="20"/>
        </w:rPr>
        <w:t>OCHA</w:t>
      </w:r>
      <w:r w:rsidR="00A06323" w:rsidRPr="006B6C08">
        <w:rPr>
          <w:sz w:val="20"/>
          <w:szCs w:val="20"/>
        </w:rPr>
        <w:t>)</w:t>
      </w:r>
      <w:r w:rsidR="000811AE" w:rsidRPr="006B6C08">
        <w:rPr>
          <w:sz w:val="20"/>
          <w:szCs w:val="20"/>
        </w:rPr>
        <w:t xml:space="preserve">, official data released by the Israeli authorities indicates that over 11,000 demolition orders </w:t>
      </w:r>
      <w:r w:rsidR="00867E26" w:rsidRPr="006B6C08">
        <w:rPr>
          <w:sz w:val="20"/>
          <w:szCs w:val="20"/>
        </w:rPr>
        <w:t>in</w:t>
      </w:r>
      <w:r w:rsidR="00A06323" w:rsidRPr="006B6C08">
        <w:rPr>
          <w:sz w:val="20"/>
          <w:szCs w:val="20"/>
        </w:rPr>
        <w:t xml:space="preserve"> Area C were outstanding </w:t>
      </w:r>
      <w:r w:rsidR="00EB6124" w:rsidRPr="006B6C08">
        <w:rPr>
          <w:sz w:val="20"/>
          <w:szCs w:val="20"/>
        </w:rPr>
        <w:t>as of 2014</w:t>
      </w:r>
      <w:r w:rsidR="00A06323" w:rsidRPr="006B6C08">
        <w:rPr>
          <w:sz w:val="20"/>
          <w:szCs w:val="20"/>
        </w:rPr>
        <w:t>, concerning</w:t>
      </w:r>
      <w:r w:rsidR="000811AE" w:rsidRPr="006B6C08">
        <w:rPr>
          <w:sz w:val="20"/>
          <w:szCs w:val="20"/>
        </w:rPr>
        <w:t xml:space="preserve"> an estimated 17,000 Palestinian-owned structures.</w:t>
      </w:r>
      <w:r w:rsidR="000811AE" w:rsidRPr="006B6C08">
        <w:rPr>
          <w:rStyle w:val="FootnoteReference"/>
          <w:sz w:val="20"/>
          <w:szCs w:val="20"/>
        </w:rPr>
        <w:footnoteReference w:id="56"/>
      </w:r>
      <w:r w:rsidR="00677994" w:rsidRPr="006B6C08">
        <w:rPr>
          <w:sz w:val="20"/>
          <w:szCs w:val="20"/>
        </w:rPr>
        <w:t xml:space="preserve"> </w:t>
      </w:r>
    </w:p>
    <w:p w:rsidR="006A4290" w:rsidRPr="006B6C08" w:rsidRDefault="006B6C08" w:rsidP="006B6C08">
      <w:pPr>
        <w:pStyle w:val="SingleTxtG"/>
        <w:outlineLvl w:val="0"/>
        <w:rPr>
          <w:sz w:val="20"/>
          <w:szCs w:val="20"/>
        </w:rPr>
      </w:pPr>
      <w:r w:rsidRPr="006B6C08">
        <w:rPr>
          <w:sz w:val="20"/>
          <w:szCs w:val="20"/>
        </w:rPr>
        <w:t>25.</w:t>
      </w:r>
      <w:r w:rsidRPr="006B6C08">
        <w:rPr>
          <w:sz w:val="20"/>
          <w:szCs w:val="20"/>
        </w:rPr>
        <w:tab/>
      </w:r>
      <w:r w:rsidR="000811AE" w:rsidRPr="006B6C08">
        <w:rPr>
          <w:color w:val="000000"/>
          <w:sz w:val="20"/>
          <w:szCs w:val="20"/>
        </w:rPr>
        <w:t xml:space="preserve">Most structures were demolished </w:t>
      </w:r>
      <w:r w:rsidR="000D2A6D" w:rsidRPr="006B6C08">
        <w:rPr>
          <w:color w:val="000000"/>
          <w:sz w:val="20"/>
          <w:szCs w:val="20"/>
        </w:rPr>
        <w:t xml:space="preserve">due to </w:t>
      </w:r>
      <w:r w:rsidR="00A06323" w:rsidRPr="006B6C08">
        <w:rPr>
          <w:color w:val="000000"/>
          <w:sz w:val="20"/>
          <w:szCs w:val="20"/>
        </w:rPr>
        <w:t xml:space="preserve">the absence </w:t>
      </w:r>
      <w:r w:rsidR="000811AE" w:rsidRPr="006B6C08">
        <w:rPr>
          <w:color w:val="000000"/>
          <w:sz w:val="20"/>
          <w:szCs w:val="20"/>
        </w:rPr>
        <w:t>of building permits</w:t>
      </w:r>
      <w:r w:rsidR="00A06323" w:rsidRPr="006B6C08">
        <w:rPr>
          <w:color w:val="000000"/>
          <w:sz w:val="20"/>
          <w:szCs w:val="20"/>
        </w:rPr>
        <w:t xml:space="preserve"> issued by the Israeli authorities</w:t>
      </w:r>
      <w:r w:rsidR="000811AE" w:rsidRPr="006B6C08">
        <w:rPr>
          <w:color w:val="000000"/>
          <w:sz w:val="20"/>
          <w:szCs w:val="20"/>
        </w:rPr>
        <w:t xml:space="preserve">, which are near impossible for Palestinians to </w:t>
      </w:r>
      <w:r w:rsidR="0066013F" w:rsidRPr="006B6C08">
        <w:rPr>
          <w:color w:val="000000"/>
          <w:sz w:val="20"/>
          <w:szCs w:val="20"/>
        </w:rPr>
        <w:t>obtain</w:t>
      </w:r>
      <w:r w:rsidR="00B44D26" w:rsidRPr="006B6C08">
        <w:rPr>
          <w:color w:val="000000"/>
          <w:sz w:val="20"/>
          <w:szCs w:val="20"/>
        </w:rPr>
        <w:t>.</w:t>
      </w:r>
      <w:r w:rsidR="000811AE" w:rsidRPr="006B6C08">
        <w:rPr>
          <w:sz w:val="20"/>
          <w:szCs w:val="20"/>
        </w:rPr>
        <w:t xml:space="preserve"> </w:t>
      </w:r>
      <w:r w:rsidR="000D2A6D" w:rsidRPr="006B6C08">
        <w:rPr>
          <w:sz w:val="20"/>
          <w:szCs w:val="20"/>
        </w:rPr>
        <w:t xml:space="preserve">In previous reports, my predecessor </w:t>
      </w:r>
      <w:r w:rsidR="000811AE" w:rsidRPr="006B6C08">
        <w:rPr>
          <w:sz w:val="20"/>
          <w:szCs w:val="20"/>
        </w:rPr>
        <w:t>noted that, “the Israeli zoning and planning policy in the West Bank, which regulates the construction of housing and structures in Area C, is restrictive, discriminatory and incompatible with requirements under international law.</w:t>
      </w:r>
      <w:r w:rsidR="00C97B66" w:rsidRPr="006B6C08">
        <w:rPr>
          <w:sz w:val="20"/>
          <w:szCs w:val="20"/>
        </w:rPr>
        <w:t>”</w:t>
      </w:r>
      <w:r w:rsidR="000811AE" w:rsidRPr="006B6C08">
        <w:rPr>
          <w:rStyle w:val="FootnoteReference"/>
          <w:sz w:val="20"/>
          <w:szCs w:val="20"/>
        </w:rPr>
        <w:footnoteReference w:id="57"/>
      </w:r>
      <w:r w:rsidR="00C81157" w:rsidRPr="006B6C08">
        <w:rPr>
          <w:sz w:val="20"/>
          <w:szCs w:val="20"/>
        </w:rPr>
        <w:t xml:space="preserve"> </w:t>
      </w:r>
      <w:r w:rsidR="00E22ED7" w:rsidRPr="006B6C08">
        <w:rPr>
          <w:sz w:val="20"/>
          <w:szCs w:val="20"/>
        </w:rPr>
        <w:t>Provided that internatio</w:t>
      </w:r>
      <w:r w:rsidR="00636ED4" w:rsidRPr="006B6C08">
        <w:rPr>
          <w:sz w:val="20"/>
          <w:szCs w:val="20"/>
        </w:rPr>
        <w:t xml:space="preserve">nal humanitarian law is otherwise </w:t>
      </w:r>
      <w:r w:rsidR="00E22ED7" w:rsidRPr="006B6C08">
        <w:rPr>
          <w:sz w:val="20"/>
          <w:szCs w:val="20"/>
        </w:rPr>
        <w:t>respected</w:t>
      </w:r>
      <w:r w:rsidR="00AB5AAE" w:rsidRPr="006B6C08">
        <w:rPr>
          <w:sz w:val="20"/>
          <w:szCs w:val="20"/>
        </w:rPr>
        <w:t>,</w:t>
      </w:r>
      <w:r w:rsidR="00E22ED7" w:rsidRPr="006B6C08">
        <w:rPr>
          <w:rStyle w:val="FootnoteReference"/>
          <w:sz w:val="20"/>
          <w:szCs w:val="20"/>
        </w:rPr>
        <w:footnoteReference w:id="58"/>
      </w:r>
      <w:r w:rsidR="007E4FE4" w:rsidRPr="006B6C08">
        <w:rPr>
          <w:sz w:val="20"/>
          <w:szCs w:val="20"/>
        </w:rPr>
        <w:t xml:space="preserve"> </w:t>
      </w:r>
      <w:r w:rsidR="00051369" w:rsidRPr="006B6C08">
        <w:rPr>
          <w:sz w:val="20"/>
          <w:szCs w:val="20"/>
        </w:rPr>
        <w:t>territorial</w:t>
      </w:r>
      <w:r w:rsidR="007E4FE4" w:rsidRPr="006B6C08">
        <w:rPr>
          <w:sz w:val="20"/>
          <w:szCs w:val="20"/>
        </w:rPr>
        <w:t xml:space="preserve"> planning has to be undertaken to enhance the life of the protected population</w:t>
      </w:r>
      <w:r w:rsidR="0065010F" w:rsidRPr="006B6C08">
        <w:rPr>
          <w:sz w:val="20"/>
          <w:szCs w:val="20"/>
        </w:rPr>
        <w:t>, which is not the case here</w:t>
      </w:r>
      <w:r w:rsidR="007E4FE4" w:rsidRPr="006B6C08">
        <w:rPr>
          <w:sz w:val="20"/>
          <w:szCs w:val="20"/>
        </w:rPr>
        <w:t xml:space="preserve">. </w:t>
      </w:r>
      <w:r w:rsidR="00E22ED7" w:rsidRPr="006B6C08">
        <w:rPr>
          <w:sz w:val="20"/>
          <w:szCs w:val="20"/>
        </w:rPr>
        <w:t>T</w:t>
      </w:r>
      <w:r w:rsidR="000811AE" w:rsidRPr="006B6C08">
        <w:rPr>
          <w:sz w:val="20"/>
          <w:szCs w:val="20"/>
        </w:rPr>
        <w:t xml:space="preserve">he implementation of the zoning and planning regime cannot be </w:t>
      </w:r>
      <w:r w:rsidR="00E22ED7" w:rsidRPr="006B6C08">
        <w:rPr>
          <w:sz w:val="20"/>
          <w:szCs w:val="20"/>
        </w:rPr>
        <w:t xml:space="preserve">invoked by Israel </w:t>
      </w:r>
      <w:r w:rsidR="000811AE" w:rsidRPr="006B6C08">
        <w:rPr>
          <w:sz w:val="20"/>
          <w:szCs w:val="20"/>
        </w:rPr>
        <w:t xml:space="preserve">to </w:t>
      </w:r>
      <w:r w:rsidR="00E22ED7" w:rsidRPr="006B6C08">
        <w:rPr>
          <w:sz w:val="20"/>
          <w:szCs w:val="20"/>
        </w:rPr>
        <w:t xml:space="preserve">justify any </w:t>
      </w:r>
      <w:r w:rsidR="000811AE" w:rsidRPr="006B6C08">
        <w:rPr>
          <w:sz w:val="20"/>
          <w:szCs w:val="20"/>
        </w:rPr>
        <w:t>violat</w:t>
      </w:r>
      <w:r w:rsidR="00E22ED7" w:rsidRPr="006B6C08">
        <w:rPr>
          <w:sz w:val="20"/>
          <w:szCs w:val="20"/>
        </w:rPr>
        <w:t>ion of</w:t>
      </w:r>
      <w:r w:rsidR="000811AE" w:rsidRPr="006B6C08">
        <w:rPr>
          <w:sz w:val="20"/>
          <w:szCs w:val="20"/>
        </w:rPr>
        <w:t xml:space="preserve"> international law.</w:t>
      </w:r>
    </w:p>
    <w:p w:rsidR="006A4290" w:rsidRPr="006B6C08" w:rsidRDefault="006B6C08" w:rsidP="006B6C08">
      <w:pPr>
        <w:pStyle w:val="SingleTxtG"/>
        <w:outlineLvl w:val="0"/>
        <w:rPr>
          <w:sz w:val="20"/>
          <w:szCs w:val="20"/>
        </w:rPr>
      </w:pPr>
      <w:r w:rsidRPr="006B6C08">
        <w:rPr>
          <w:sz w:val="20"/>
          <w:szCs w:val="20"/>
        </w:rPr>
        <w:t>26.</w:t>
      </w:r>
      <w:r w:rsidRPr="006B6C08">
        <w:rPr>
          <w:sz w:val="20"/>
          <w:szCs w:val="20"/>
        </w:rPr>
        <w:tab/>
      </w:r>
      <w:r w:rsidR="000811AE" w:rsidRPr="006B6C08">
        <w:rPr>
          <w:color w:val="000000"/>
          <w:sz w:val="20"/>
          <w:szCs w:val="20"/>
        </w:rPr>
        <w:t>Destruction of donor-funded humanitarian assistance to vulnerable communities spiked in 2016, with 292 donor-funded structures demolished or seized by the Israeli authorities in Area C</w:t>
      </w:r>
      <w:r w:rsidR="00A06323" w:rsidRPr="006B6C08">
        <w:rPr>
          <w:color w:val="000000"/>
          <w:sz w:val="20"/>
          <w:szCs w:val="20"/>
        </w:rPr>
        <w:t xml:space="preserve"> -</w:t>
      </w:r>
      <w:r w:rsidR="000811AE" w:rsidRPr="006B6C08">
        <w:rPr>
          <w:color w:val="000000"/>
          <w:sz w:val="20"/>
          <w:szCs w:val="20"/>
        </w:rPr>
        <w:t xml:space="preserve"> </w:t>
      </w:r>
      <w:r w:rsidR="00AB27C8" w:rsidRPr="006B6C08">
        <w:rPr>
          <w:color w:val="000000"/>
          <w:sz w:val="20"/>
          <w:szCs w:val="20"/>
        </w:rPr>
        <w:t xml:space="preserve">a rate </w:t>
      </w:r>
      <w:r w:rsidR="000811AE" w:rsidRPr="006B6C08">
        <w:rPr>
          <w:color w:val="000000"/>
          <w:sz w:val="20"/>
          <w:szCs w:val="20"/>
        </w:rPr>
        <w:t xml:space="preserve">over 165 per cent higher than </w:t>
      </w:r>
      <w:r w:rsidR="00A06323" w:rsidRPr="006B6C08">
        <w:rPr>
          <w:color w:val="000000"/>
          <w:sz w:val="20"/>
          <w:szCs w:val="20"/>
        </w:rPr>
        <w:t>in 2015</w:t>
      </w:r>
      <w:r w:rsidR="000811AE" w:rsidRPr="006B6C08">
        <w:rPr>
          <w:color w:val="000000"/>
          <w:sz w:val="20"/>
          <w:szCs w:val="20"/>
        </w:rPr>
        <w:t xml:space="preserve">. </w:t>
      </w:r>
      <w:r w:rsidR="000811AE" w:rsidRPr="006B6C08">
        <w:rPr>
          <w:sz w:val="20"/>
          <w:szCs w:val="20"/>
        </w:rPr>
        <w:t>Affected relief items include</w:t>
      </w:r>
      <w:r w:rsidR="00A06323" w:rsidRPr="006B6C08">
        <w:rPr>
          <w:sz w:val="20"/>
          <w:szCs w:val="20"/>
        </w:rPr>
        <w:t>d</w:t>
      </w:r>
      <w:r w:rsidR="000811AE" w:rsidRPr="006B6C08">
        <w:rPr>
          <w:sz w:val="20"/>
          <w:szCs w:val="20"/>
        </w:rPr>
        <w:t xml:space="preserve"> shelters and tents, water cisterns, animal barracks and other basic structures for survival and livelihoods. These actions are </w:t>
      </w:r>
      <w:r w:rsidR="00F83361" w:rsidRPr="006B6C08">
        <w:rPr>
          <w:sz w:val="20"/>
          <w:szCs w:val="20"/>
        </w:rPr>
        <w:t xml:space="preserve">irreconcilable </w:t>
      </w:r>
      <w:r w:rsidR="000811AE" w:rsidRPr="006B6C08">
        <w:rPr>
          <w:sz w:val="20"/>
          <w:szCs w:val="20"/>
        </w:rPr>
        <w:t>with the occupying power’s obligations to allow and facilitate humanitarian access for civilians in need.</w:t>
      </w:r>
      <w:r w:rsidR="000811AE" w:rsidRPr="006B6C08">
        <w:rPr>
          <w:rStyle w:val="FootnoteReference"/>
          <w:sz w:val="20"/>
          <w:szCs w:val="20"/>
        </w:rPr>
        <w:footnoteReference w:id="59"/>
      </w:r>
    </w:p>
    <w:p w:rsidR="006A4290" w:rsidRPr="006B6C08" w:rsidRDefault="006B6C08" w:rsidP="006B6C08">
      <w:pPr>
        <w:pStyle w:val="SingleTxtG"/>
        <w:outlineLvl w:val="0"/>
        <w:rPr>
          <w:rFonts w:eastAsia="Calibri"/>
          <w:sz w:val="20"/>
          <w:szCs w:val="20"/>
        </w:rPr>
      </w:pPr>
      <w:r w:rsidRPr="006B6C08">
        <w:rPr>
          <w:rFonts w:eastAsia="Calibri"/>
          <w:sz w:val="20"/>
          <w:szCs w:val="20"/>
        </w:rPr>
        <w:t>27.</w:t>
      </w:r>
      <w:r w:rsidRPr="006B6C08">
        <w:rPr>
          <w:rFonts w:eastAsia="Calibri"/>
          <w:sz w:val="20"/>
          <w:szCs w:val="20"/>
        </w:rPr>
        <w:tab/>
      </w:r>
      <w:r w:rsidR="00A319F0" w:rsidRPr="006B6C08">
        <w:rPr>
          <w:sz w:val="20"/>
          <w:szCs w:val="20"/>
        </w:rPr>
        <w:t>F</w:t>
      </w:r>
      <w:r w:rsidR="000811AE" w:rsidRPr="006B6C08">
        <w:rPr>
          <w:sz w:val="20"/>
          <w:szCs w:val="20"/>
        </w:rPr>
        <w:t>orcible transfer does not</w:t>
      </w:r>
      <w:r w:rsidR="002F1962" w:rsidRPr="006B6C08">
        <w:rPr>
          <w:sz w:val="20"/>
          <w:szCs w:val="20"/>
        </w:rPr>
        <w:t xml:space="preserve"> necessarily</w:t>
      </w:r>
      <w:r w:rsidR="000811AE" w:rsidRPr="006B6C08">
        <w:rPr>
          <w:sz w:val="20"/>
          <w:szCs w:val="20"/>
        </w:rPr>
        <w:t xml:space="preserve"> require the use of physical force by authorities, but may </w:t>
      </w:r>
      <w:r w:rsidR="002F1962" w:rsidRPr="006B6C08">
        <w:rPr>
          <w:sz w:val="20"/>
          <w:szCs w:val="20"/>
        </w:rPr>
        <w:t>be triggered by</w:t>
      </w:r>
      <w:r w:rsidR="000811AE" w:rsidRPr="006B6C08">
        <w:rPr>
          <w:sz w:val="20"/>
          <w:szCs w:val="20"/>
        </w:rPr>
        <w:t xml:space="preserve"> specific circumstances that leave individuals or communities </w:t>
      </w:r>
      <w:r w:rsidR="00AB27C8" w:rsidRPr="006B6C08">
        <w:rPr>
          <w:sz w:val="20"/>
          <w:szCs w:val="20"/>
        </w:rPr>
        <w:t xml:space="preserve">with no choice </w:t>
      </w:r>
      <w:r w:rsidR="000811AE" w:rsidRPr="006B6C08">
        <w:rPr>
          <w:sz w:val="20"/>
          <w:szCs w:val="20"/>
        </w:rPr>
        <w:t>but to leave</w:t>
      </w:r>
      <w:r w:rsidR="00677994" w:rsidRPr="006B6C08">
        <w:rPr>
          <w:sz w:val="20"/>
          <w:szCs w:val="20"/>
        </w:rPr>
        <w:t xml:space="preserve">; this is </w:t>
      </w:r>
      <w:r w:rsidR="0044128A" w:rsidRPr="006B6C08">
        <w:rPr>
          <w:sz w:val="20"/>
          <w:szCs w:val="20"/>
        </w:rPr>
        <w:t>known as a coercive environment</w:t>
      </w:r>
      <w:r w:rsidR="000811AE" w:rsidRPr="006B6C08">
        <w:rPr>
          <w:sz w:val="20"/>
          <w:szCs w:val="20"/>
        </w:rPr>
        <w:t>.</w:t>
      </w:r>
      <w:r w:rsidR="000811AE" w:rsidRPr="006B6C08">
        <w:rPr>
          <w:rStyle w:val="FootnoteReference"/>
          <w:sz w:val="20"/>
          <w:szCs w:val="20"/>
        </w:rPr>
        <w:footnoteReference w:id="60"/>
      </w:r>
      <w:r w:rsidR="000811AE" w:rsidRPr="006B6C08">
        <w:rPr>
          <w:sz w:val="20"/>
          <w:szCs w:val="20"/>
        </w:rPr>
        <w:t xml:space="preserve"> </w:t>
      </w:r>
      <w:r w:rsidR="001A4880" w:rsidRPr="006B6C08">
        <w:rPr>
          <w:sz w:val="20"/>
          <w:szCs w:val="20"/>
        </w:rPr>
        <w:t>Such transfer is considered forcible, except where the affected persons provide their genuine and fully informed consent. However, genuine c</w:t>
      </w:r>
      <w:r w:rsidR="000811AE" w:rsidRPr="006B6C08">
        <w:rPr>
          <w:sz w:val="20"/>
          <w:szCs w:val="20"/>
        </w:rPr>
        <w:t>onsent</w:t>
      </w:r>
      <w:r w:rsidR="0044128A" w:rsidRPr="006B6C08">
        <w:rPr>
          <w:sz w:val="20"/>
          <w:szCs w:val="20"/>
        </w:rPr>
        <w:t xml:space="preserve"> to a transfer</w:t>
      </w:r>
      <w:r w:rsidR="000811AE" w:rsidRPr="006B6C08">
        <w:rPr>
          <w:sz w:val="20"/>
          <w:szCs w:val="20"/>
        </w:rPr>
        <w:t xml:space="preserve"> cannot be </w:t>
      </w:r>
      <w:r w:rsidR="001A4880" w:rsidRPr="006B6C08">
        <w:rPr>
          <w:sz w:val="20"/>
          <w:szCs w:val="20"/>
        </w:rPr>
        <w:t>presumed</w:t>
      </w:r>
      <w:r w:rsidR="000811AE" w:rsidRPr="006B6C08">
        <w:rPr>
          <w:sz w:val="20"/>
          <w:szCs w:val="20"/>
        </w:rPr>
        <w:t xml:space="preserve"> in an environment marked by the use or threat of physical force, coercion, fear of violence</w:t>
      </w:r>
      <w:r w:rsidR="0044128A" w:rsidRPr="006B6C08">
        <w:rPr>
          <w:sz w:val="20"/>
          <w:szCs w:val="20"/>
        </w:rPr>
        <w:t>,</w:t>
      </w:r>
      <w:r w:rsidR="000811AE" w:rsidRPr="006B6C08">
        <w:rPr>
          <w:sz w:val="20"/>
          <w:szCs w:val="20"/>
        </w:rPr>
        <w:t xml:space="preserve"> or duress</w:t>
      </w:r>
      <w:r w:rsidR="0044128A" w:rsidRPr="006B6C08">
        <w:rPr>
          <w:sz w:val="20"/>
          <w:szCs w:val="20"/>
        </w:rPr>
        <w:t>.</w:t>
      </w:r>
      <w:r w:rsidR="000811AE" w:rsidRPr="006B6C08">
        <w:rPr>
          <w:rStyle w:val="FootnoteReference"/>
          <w:sz w:val="20"/>
          <w:szCs w:val="20"/>
        </w:rPr>
        <w:footnoteReference w:id="61"/>
      </w:r>
    </w:p>
    <w:p w:rsidR="006A4290" w:rsidRPr="006B6C08" w:rsidRDefault="006B6C08" w:rsidP="006B6C08">
      <w:pPr>
        <w:pStyle w:val="SingleTxtG"/>
        <w:outlineLvl w:val="0"/>
        <w:rPr>
          <w:sz w:val="20"/>
          <w:szCs w:val="20"/>
        </w:rPr>
      </w:pPr>
      <w:r w:rsidRPr="006B6C08">
        <w:rPr>
          <w:sz w:val="20"/>
          <w:szCs w:val="20"/>
        </w:rPr>
        <w:t>28.</w:t>
      </w:r>
      <w:r w:rsidRPr="006B6C08">
        <w:rPr>
          <w:sz w:val="20"/>
          <w:szCs w:val="20"/>
        </w:rPr>
        <w:tab/>
      </w:r>
      <w:r w:rsidR="000811AE" w:rsidRPr="006B6C08">
        <w:rPr>
          <w:sz w:val="20"/>
          <w:szCs w:val="20"/>
        </w:rPr>
        <w:t>Palestinians have been forced to move due to a coercive environment within Area C of the West Bank</w:t>
      </w:r>
      <w:r w:rsidR="000811AE" w:rsidRPr="006B6C08">
        <w:rPr>
          <w:rStyle w:val="FootnoteReference"/>
          <w:sz w:val="20"/>
          <w:szCs w:val="20"/>
        </w:rPr>
        <w:footnoteReference w:id="62"/>
      </w:r>
      <w:r w:rsidR="000811AE" w:rsidRPr="006B6C08">
        <w:rPr>
          <w:sz w:val="20"/>
          <w:szCs w:val="20"/>
        </w:rPr>
        <w:t xml:space="preserve"> and</w:t>
      </w:r>
      <w:r w:rsidR="00625461" w:rsidRPr="006B6C08">
        <w:rPr>
          <w:sz w:val="20"/>
          <w:szCs w:val="20"/>
        </w:rPr>
        <w:t xml:space="preserve"> the area of the city of</w:t>
      </w:r>
      <w:r w:rsidR="000811AE" w:rsidRPr="006B6C08">
        <w:rPr>
          <w:sz w:val="20"/>
          <w:szCs w:val="20"/>
        </w:rPr>
        <w:t xml:space="preserve"> Hebron</w:t>
      </w:r>
      <w:r w:rsidR="00C81157" w:rsidRPr="006B6C08">
        <w:rPr>
          <w:sz w:val="20"/>
          <w:szCs w:val="20"/>
        </w:rPr>
        <w:t>,</w:t>
      </w:r>
      <w:r w:rsidR="00625461" w:rsidRPr="006B6C08">
        <w:rPr>
          <w:sz w:val="20"/>
          <w:szCs w:val="20"/>
        </w:rPr>
        <w:t xml:space="preserve"> which is under Israeli control (</w:t>
      </w:r>
      <w:r w:rsidR="000811AE" w:rsidRPr="006B6C08">
        <w:rPr>
          <w:sz w:val="20"/>
          <w:szCs w:val="20"/>
        </w:rPr>
        <w:t>H2</w:t>
      </w:r>
      <w:r w:rsidR="00625461" w:rsidRPr="006B6C08">
        <w:rPr>
          <w:sz w:val="20"/>
          <w:szCs w:val="20"/>
        </w:rPr>
        <w:t>)</w:t>
      </w:r>
      <w:r w:rsidR="00C81157" w:rsidRPr="006B6C08">
        <w:rPr>
          <w:sz w:val="20"/>
          <w:szCs w:val="20"/>
        </w:rPr>
        <w:t>.</w:t>
      </w:r>
      <w:r w:rsidR="000811AE" w:rsidRPr="006B6C08">
        <w:rPr>
          <w:rStyle w:val="FootnoteReference"/>
          <w:sz w:val="20"/>
          <w:szCs w:val="20"/>
        </w:rPr>
        <w:footnoteReference w:id="63"/>
      </w:r>
      <w:r w:rsidR="000811AE" w:rsidRPr="006B6C08">
        <w:rPr>
          <w:sz w:val="20"/>
          <w:szCs w:val="20"/>
        </w:rPr>
        <w:t xml:space="preserve"> </w:t>
      </w:r>
      <w:r w:rsidR="00625461" w:rsidRPr="006B6C08">
        <w:rPr>
          <w:sz w:val="20"/>
          <w:szCs w:val="20"/>
        </w:rPr>
        <w:t xml:space="preserve">Coercive factors have also been </w:t>
      </w:r>
      <w:r w:rsidR="00EB6124" w:rsidRPr="006B6C08">
        <w:rPr>
          <w:sz w:val="20"/>
          <w:szCs w:val="20"/>
        </w:rPr>
        <w:t xml:space="preserve">reported </w:t>
      </w:r>
      <w:r w:rsidR="001B2B43" w:rsidRPr="006B6C08">
        <w:rPr>
          <w:sz w:val="20"/>
          <w:szCs w:val="20"/>
        </w:rPr>
        <w:t>in</w:t>
      </w:r>
      <w:r w:rsidR="00C63A98" w:rsidRPr="006B6C08">
        <w:rPr>
          <w:sz w:val="20"/>
          <w:szCs w:val="20"/>
        </w:rPr>
        <w:t xml:space="preserve"> </w:t>
      </w:r>
      <w:r w:rsidR="000811AE" w:rsidRPr="006B6C08">
        <w:rPr>
          <w:sz w:val="20"/>
          <w:szCs w:val="20"/>
        </w:rPr>
        <w:t>East Jerusalem</w:t>
      </w:r>
      <w:r w:rsidR="00F77DDF" w:rsidRPr="006B6C08">
        <w:rPr>
          <w:sz w:val="20"/>
          <w:szCs w:val="20"/>
        </w:rPr>
        <w:t>, such as home seizures and demolitions leading to forced evictions, movement and access restrictions, instances of excessive use of force by I</w:t>
      </w:r>
      <w:r w:rsidR="006519F2" w:rsidRPr="006B6C08">
        <w:rPr>
          <w:sz w:val="20"/>
          <w:szCs w:val="20"/>
        </w:rPr>
        <w:t xml:space="preserve">sraeli </w:t>
      </w:r>
      <w:r w:rsidR="00F77DDF" w:rsidRPr="006B6C08">
        <w:rPr>
          <w:sz w:val="20"/>
          <w:szCs w:val="20"/>
        </w:rPr>
        <w:t>S</w:t>
      </w:r>
      <w:r w:rsidR="006519F2" w:rsidRPr="006B6C08">
        <w:rPr>
          <w:sz w:val="20"/>
          <w:szCs w:val="20"/>
        </w:rPr>
        <w:t xml:space="preserve">ecurity </w:t>
      </w:r>
      <w:r w:rsidR="00F77DDF" w:rsidRPr="006B6C08">
        <w:rPr>
          <w:sz w:val="20"/>
          <w:szCs w:val="20"/>
        </w:rPr>
        <w:t>F</w:t>
      </w:r>
      <w:r w:rsidR="006519F2" w:rsidRPr="006B6C08">
        <w:rPr>
          <w:sz w:val="20"/>
          <w:szCs w:val="20"/>
        </w:rPr>
        <w:t>orces</w:t>
      </w:r>
      <w:r w:rsidR="00F77DDF" w:rsidRPr="006B6C08">
        <w:rPr>
          <w:sz w:val="20"/>
          <w:szCs w:val="20"/>
        </w:rPr>
        <w:t>, and settler violence</w:t>
      </w:r>
      <w:r w:rsidR="000811AE" w:rsidRPr="006B6C08">
        <w:rPr>
          <w:sz w:val="20"/>
          <w:szCs w:val="20"/>
        </w:rPr>
        <w:t>.</w:t>
      </w:r>
      <w:r w:rsidR="000811AE" w:rsidRPr="006B6C08">
        <w:rPr>
          <w:rStyle w:val="FootnoteReference"/>
          <w:sz w:val="20"/>
          <w:szCs w:val="20"/>
        </w:rPr>
        <w:footnoteReference w:id="64"/>
      </w:r>
      <w:r w:rsidR="000811AE" w:rsidRPr="006B6C08">
        <w:rPr>
          <w:sz w:val="20"/>
          <w:szCs w:val="20"/>
        </w:rPr>
        <w:t xml:space="preserve"> </w:t>
      </w:r>
      <w:r w:rsidR="00F77DDF" w:rsidRPr="006B6C08">
        <w:rPr>
          <w:sz w:val="20"/>
          <w:szCs w:val="20"/>
        </w:rPr>
        <w:t>F</w:t>
      </w:r>
      <w:r w:rsidR="000811AE" w:rsidRPr="006B6C08">
        <w:rPr>
          <w:sz w:val="20"/>
          <w:szCs w:val="20"/>
        </w:rPr>
        <w:t>orcible transfer ha</w:t>
      </w:r>
      <w:r w:rsidR="00F77DDF" w:rsidRPr="006B6C08">
        <w:rPr>
          <w:sz w:val="20"/>
          <w:szCs w:val="20"/>
        </w:rPr>
        <w:t>s</w:t>
      </w:r>
      <w:r w:rsidR="000811AE" w:rsidRPr="006B6C08">
        <w:rPr>
          <w:sz w:val="20"/>
          <w:szCs w:val="20"/>
        </w:rPr>
        <w:t xml:space="preserve"> </w:t>
      </w:r>
      <w:r w:rsidR="00F77DDF" w:rsidRPr="006B6C08">
        <w:rPr>
          <w:sz w:val="20"/>
          <w:szCs w:val="20"/>
        </w:rPr>
        <w:t xml:space="preserve">also </w:t>
      </w:r>
      <w:r w:rsidR="000811AE" w:rsidRPr="006B6C08">
        <w:rPr>
          <w:sz w:val="20"/>
          <w:szCs w:val="20"/>
        </w:rPr>
        <w:t>been</w:t>
      </w:r>
      <w:r w:rsidR="00F77DDF" w:rsidRPr="006B6C08">
        <w:rPr>
          <w:sz w:val="20"/>
          <w:szCs w:val="20"/>
        </w:rPr>
        <w:t xml:space="preserve"> documented</w:t>
      </w:r>
      <w:r w:rsidR="000811AE" w:rsidRPr="006B6C08">
        <w:rPr>
          <w:sz w:val="20"/>
          <w:szCs w:val="20"/>
        </w:rPr>
        <w:t xml:space="preserve"> following the revocation of residency permits in East </w:t>
      </w:r>
      <w:r w:rsidR="000811AE" w:rsidRPr="006B6C08">
        <w:rPr>
          <w:sz w:val="20"/>
          <w:szCs w:val="20"/>
        </w:rPr>
        <w:lastRenderedPageBreak/>
        <w:t>Jerusalem</w:t>
      </w:r>
      <w:r w:rsidR="000E12AF" w:rsidRPr="006B6C08">
        <w:rPr>
          <w:sz w:val="20"/>
          <w:szCs w:val="20"/>
        </w:rPr>
        <w:t>,</w:t>
      </w:r>
      <w:r w:rsidR="000811AE" w:rsidRPr="006B6C08">
        <w:rPr>
          <w:rStyle w:val="FootnoteReference"/>
          <w:sz w:val="20"/>
          <w:szCs w:val="20"/>
        </w:rPr>
        <w:footnoteReference w:id="65"/>
      </w:r>
      <w:r w:rsidR="000811AE" w:rsidRPr="006B6C08">
        <w:rPr>
          <w:sz w:val="20"/>
          <w:szCs w:val="20"/>
        </w:rPr>
        <w:t xml:space="preserve"> as well as the transfer of Palestinian detainees into Israeli prisons.</w:t>
      </w:r>
      <w:r w:rsidR="000811AE" w:rsidRPr="006B6C08">
        <w:rPr>
          <w:rStyle w:val="FootnoteReference"/>
          <w:sz w:val="20"/>
          <w:szCs w:val="20"/>
        </w:rPr>
        <w:footnoteReference w:id="66"/>
      </w:r>
      <w:r w:rsidR="00F77DDF" w:rsidRPr="006B6C08">
        <w:rPr>
          <w:sz w:val="20"/>
          <w:szCs w:val="20"/>
        </w:rPr>
        <w:t xml:space="preserve"> </w:t>
      </w:r>
      <w:r w:rsidR="00481984" w:rsidRPr="006B6C08">
        <w:rPr>
          <w:sz w:val="20"/>
          <w:szCs w:val="20"/>
        </w:rPr>
        <w:t xml:space="preserve">Human rights may also </w:t>
      </w:r>
      <w:r w:rsidR="00C94340" w:rsidRPr="006B6C08">
        <w:rPr>
          <w:sz w:val="20"/>
          <w:szCs w:val="20"/>
        </w:rPr>
        <w:t xml:space="preserve">be </w:t>
      </w:r>
      <w:r w:rsidR="00481984" w:rsidRPr="006B6C08">
        <w:rPr>
          <w:sz w:val="20"/>
          <w:szCs w:val="20"/>
        </w:rPr>
        <w:t>violated within the context of f</w:t>
      </w:r>
      <w:r w:rsidR="00F77DDF" w:rsidRPr="006B6C08">
        <w:rPr>
          <w:sz w:val="20"/>
          <w:szCs w:val="20"/>
        </w:rPr>
        <w:t>orcible transfer</w:t>
      </w:r>
      <w:r w:rsidR="00481984" w:rsidRPr="006B6C08">
        <w:rPr>
          <w:sz w:val="20"/>
          <w:szCs w:val="20"/>
        </w:rPr>
        <w:t>, such as the</w:t>
      </w:r>
      <w:r w:rsidR="00867E26" w:rsidRPr="006B6C08">
        <w:rPr>
          <w:sz w:val="20"/>
          <w:szCs w:val="20"/>
        </w:rPr>
        <w:t xml:space="preserve"> </w:t>
      </w:r>
      <w:r w:rsidR="00F77DDF" w:rsidRPr="006B6C08">
        <w:rPr>
          <w:sz w:val="20"/>
          <w:szCs w:val="20"/>
        </w:rPr>
        <w:t>rights</w:t>
      </w:r>
      <w:r w:rsidR="00943263" w:rsidRPr="006B6C08">
        <w:rPr>
          <w:sz w:val="20"/>
          <w:szCs w:val="20"/>
        </w:rPr>
        <w:t xml:space="preserve"> to </w:t>
      </w:r>
      <w:r w:rsidR="006519F2" w:rsidRPr="006B6C08">
        <w:rPr>
          <w:sz w:val="20"/>
          <w:szCs w:val="20"/>
        </w:rPr>
        <w:t xml:space="preserve">freedom </w:t>
      </w:r>
      <w:r w:rsidR="00943263" w:rsidRPr="006B6C08">
        <w:rPr>
          <w:sz w:val="20"/>
          <w:szCs w:val="20"/>
        </w:rPr>
        <w:t>of movement,</w:t>
      </w:r>
      <w:r w:rsidR="00F77DDF" w:rsidRPr="006B6C08">
        <w:rPr>
          <w:sz w:val="20"/>
          <w:szCs w:val="20"/>
        </w:rPr>
        <w:t xml:space="preserve"> privacy</w:t>
      </w:r>
      <w:r w:rsidR="00943263" w:rsidRPr="006B6C08">
        <w:rPr>
          <w:sz w:val="20"/>
          <w:szCs w:val="20"/>
        </w:rPr>
        <w:t xml:space="preserve"> and </w:t>
      </w:r>
      <w:r w:rsidR="00F77DDF" w:rsidRPr="006B6C08">
        <w:rPr>
          <w:sz w:val="20"/>
          <w:szCs w:val="20"/>
        </w:rPr>
        <w:t>family life,</w:t>
      </w:r>
      <w:r w:rsidR="00943263" w:rsidRPr="006B6C08">
        <w:rPr>
          <w:rStyle w:val="FootnoteReference"/>
          <w:sz w:val="20"/>
          <w:szCs w:val="20"/>
        </w:rPr>
        <w:footnoteReference w:id="67"/>
      </w:r>
      <w:r w:rsidR="00F77DDF" w:rsidRPr="006B6C08">
        <w:rPr>
          <w:sz w:val="20"/>
          <w:szCs w:val="20"/>
        </w:rPr>
        <w:t xml:space="preserve"> as well as a range of economic, social, and cultural rights.</w:t>
      </w:r>
      <w:r w:rsidR="00943263" w:rsidRPr="006B6C08">
        <w:rPr>
          <w:rStyle w:val="FootnoteReference"/>
          <w:sz w:val="20"/>
          <w:szCs w:val="20"/>
        </w:rPr>
        <w:footnoteReference w:id="68"/>
      </w:r>
    </w:p>
    <w:p w:rsidR="006A4290" w:rsidRPr="006B6C08" w:rsidRDefault="006A4290" w:rsidP="006A4290">
      <w:pPr>
        <w:pStyle w:val="SingleTxtG"/>
        <w:outlineLvl w:val="0"/>
        <w:rPr>
          <w:b/>
          <w:i/>
          <w:sz w:val="20"/>
          <w:szCs w:val="20"/>
        </w:rPr>
      </w:pPr>
      <w:r w:rsidRPr="006B6C08">
        <w:rPr>
          <w:b/>
          <w:i/>
          <w:sz w:val="20"/>
          <w:szCs w:val="20"/>
        </w:rPr>
        <w:t>Collective Punishment</w:t>
      </w:r>
    </w:p>
    <w:p w:rsidR="00BF1A42" w:rsidRPr="006B6C08" w:rsidRDefault="006B6C08" w:rsidP="006B6C08">
      <w:pPr>
        <w:pStyle w:val="SingleTxtG"/>
        <w:outlineLvl w:val="0"/>
        <w:rPr>
          <w:rStyle w:val="Strong"/>
          <w:sz w:val="20"/>
          <w:szCs w:val="20"/>
        </w:rPr>
      </w:pPr>
      <w:r w:rsidRPr="006B6C08">
        <w:rPr>
          <w:rStyle w:val="Strong"/>
          <w:b w:val="0"/>
          <w:sz w:val="20"/>
          <w:szCs w:val="20"/>
        </w:rPr>
        <w:t>29.</w:t>
      </w:r>
      <w:r w:rsidRPr="006B6C08">
        <w:rPr>
          <w:rStyle w:val="Strong"/>
          <w:b w:val="0"/>
          <w:sz w:val="20"/>
          <w:szCs w:val="20"/>
        </w:rPr>
        <w:tab/>
      </w:r>
      <w:r w:rsidR="000811AE" w:rsidRPr="006B6C08">
        <w:rPr>
          <w:sz w:val="20"/>
          <w:szCs w:val="20"/>
        </w:rPr>
        <w:t>In June 2007</w:t>
      </w:r>
      <w:r w:rsidR="000E12AF" w:rsidRPr="006B6C08">
        <w:rPr>
          <w:sz w:val="20"/>
          <w:szCs w:val="20"/>
        </w:rPr>
        <w:t>,</w:t>
      </w:r>
      <w:r w:rsidR="000811AE" w:rsidRPr="006B6C08">
        <w:rPr>
          <w:sz w:val="20"/>
          <w:szCs w:val="20"/>
        </w:rPr>
        <w:t xml:space="preserve"> following the takeover of Gaza by Hamas, </w:t>
      </w:r>
      <w:r w:rsidR="00DE3FD3" w:rsidRPr="006B6C08">
        <w:rPr>
          <w:sz w:val="20"/>
          <w:szCs w:val="20"/>
        </w:rPr>
        <w:t xml:space="preserve">and in </w:t>
      </w:r>
      <w:r w:rsidR="005400D6" w:rsidRPr="006B6C08">
        <w:rPr>
          <w:sz w:val="20"/>
          <w:szCs w:val="20"/>
        </w:rPr>
        <w:t xml:space="preserve">the context </w:t>
      </w:r>
      <w:proofErr w:type="spellStart"/>
      <w:r w:rsidR="005400D6" w:rsidRPr="006B6C08">
        <w:rPr>
          <w:sz w:val="20"/>
          <w:szCs w:val="20"/>
        </w:rPr>
        <w:t>of</w:t>
      </w:r>
      <w:r w:rsidR="00DE3FD3" w:rsidRPr="006B6C08">
        <w:rPr>
          <w:sz w:val="20"/>
          <w:szCs w:val="20"/>
        </w:rPr>
        <w:t>continued</w:t>
      </w:r>
      <w:proofErr w:type="spellEnd"/>
      <w:r w:rsidR="00DE3FD3" w:rsidRPr="006B6C08">
        <w:rPr>
          <w:sz w:val="20"/>
          <w:szCs w:val="20"/>
        </w:rPr>
        <w:t xml:space="preserve"> attacks against Israeli civilian targets emanating from Gaza, </w:t>
      </w:r>
      <w:r w:rsidR="000811AE" w:rsidRPr="006B6C08">
        <w:rPr>
          <w:sz w:val="20"/>
          <w:szCs w:val="20"/>
        </w:rPr>
        <w:t xml:space="preserve">Israel </w:t>
      </w:r>
      <w:r w:rsidR="00113F19" w:rsidRPr="006B6C08">
        <w:rPr>
          <w:sz w:val="20"/>
          <w:szCs w:val="20"/>
        </w:rPr>
        <w:t>significantly tightened restrictions on movement by land to and from the Gaza Strip, adding to its prevention of all access via the air and the sea since 1967.</w:t>
      </w:r>
      <w:r w:rsidR="000811AE" w:rsidRPr="006B6C08">
        <w:rPr>
          <w:sz w:val="20"/>
          <w:szCs w:val="20"/>
        </w:rPr>
        <w:t xml:space="preserve"> </w:t>
      </w:r>
      <w:r w:rsidR="00113F19" w:rsidRPr="006B6C08">
        <w:rPr>
          <w:sz w:val="20"/>
          <w:szCs w:val="20"/>
        </w:rPr>
        <w:t>Despite a gradual easing of some restrictions since 2010</w:t>
      </w:r>
      <w:r w:rsidR="000811AE" w:rsidRPr="006B6C08">
        <w:rPr>
          <w:sz w:val="20"/>
          <w:szCs w:val="20"/>
        </w:rPr>
        <w:t xml:space="preserve">, Israel continues to maintain </w:t>
      </w:r>
      <w:r w:rsidR="00113F19" w:rsidRPr="006B6C08">
        <w:rPr>
          <w:sz w:val="20"/>
          <w:szCs w:val="20"/>
        </w:rPr>
        <w:t>a tight closure policy</w:t>
      </w:r>
      <w:r w:rsidR="000E12AF" w:rsidRPr="006B6C08">
        <w:rPr>
          <w:sz w:val="20"/>
          <w:szCs w:val="20"/>
        </w:rPr>
        <w:t>,</w:t>
      </w:r>
      <w:r w:rsidR="000811AE" w:rsidRPr="006B6C08">
        <w:rPr>
          <w:rStyle w:val="FootnoteReference"/>
          <w:sz w:val="20"/>
          <w:szCs w:val="20"/>
        </w:rPr>
        <w:footnoteReference w:id="69"/>
      </w:r>
      <w:r w:rsidR="000811AE" w:rsidRPr="006B6C08">
        <w:rPr>
          <w:sz w:val="20"/>
          <w:szCs w:val="20"/>
        </w:rPr>
        <w:t xml:space="preserve"> </w:t>
      </w:r>
      <w:r w:rsidR="00113F19" w:rsidRPr="006B6C08">
        <w:rPr>
          <w:sz w:val="20"/>
          <w:szCs w:val="20"/>
        </w:rPr>
        <w:t>leaving</w:t>
      </w:r>
      <w:r w:rsidR="00113F19" w:rsidRPr="006B6C08">
        <w:rPr>
          <w:b/>
          <w:sz w:val="20"/>
          <w:szCs w:val="20"/>
        </w:rPr>
        <w:t xml:space="preserve"> </w:t>
      </w:r>
      <w:r w:rsidR="000811AE" w:rsidRPr="006B6C08">
        <w:rPr>
          <w:rStyle w:val="Strong"/>
          <w:b w:val="0"/>
          <w:color w:val="000000"/>
          <w:sz w:val="20"/>
          <w:szCs w:val="20"/>
          <w:bdr w:val="none" w:sz="0" w:space="0" w:color="auto" w:frame="1"/>
          <w:shd w:val="clear" w:color="auto" w:fill="FFFFFF"/>
        </w:rPr>
        <w:t xml:space="preserve">1.9 million Palestinians locked into Gaza, largely unable to access the </w:t>
      </w:r>
      <w:r w:rsidR="0014046C" w:rsidRPr="006B6C08">
        <w:rPr>
          <w:rStyle w:val="Strong"/>
          <w:b w:val="0"/>
          <w:color w:val="000000"/>
          <w:sz w:val="20"/>
          <w:szCs w:val="20"/>
          <w:bdr w:val="none" w:sz="0" w:space="0" w:color="auto" w:frame="1"/>
          <w:shd w:val="clear" w:color="auto" w:fill="FFFFFF"/>
        </w:rPr>
        <w:t>West Bank</w:t>
      </w:r>
      <w:r w:rsidR="007A3FC0" w:rsidRPr="006B6C08">
        <w:rPr>
          <w:rStyle w:val="Strong"/>
          <w:b w:val="0"/>
          <w:color w:val="000000"/>
          <w:sz w:val="20"/>
          <w:szCs w:val="20"/>
          <w:bdr w:val="none" w:sz="0" w:space="0" w:color="auto" w:frame="1"/>
          <w:shd w:val="clear" w:color="auto" w:fill="FFFFFF"/>
        </w:rPr>
        <w:t>, including East Jerusalem,</w:t>
      </w:r>
      <w:r w:rsidR="000811AE" w:rsidRPr="006B6C08">
        <w:rPr>
          <w:rStyle w:val="Strong"/>
          <w:b w:val="0"/>
          <w:color w:val="000000"/>
          <w:sz w:val="20"/>
          <w:szCs w:val="20"/>
          <w:bdr w:val="none" w:sz="0" w:space="0" w:color="auto" w:frame="1"/>
          <w:shd w:val="clear" w:color="auto" w:fill="FFFFFF"/>
        </w:rPr>
        <w:t xml:space="preserve"> and the outside world.</w:t>
      </w:r>
      <w:r w:rsidR="00113F19" w:rsidRPr="006B6C08">
        <w:rPr>
          <w:rStyle w:val="Strong"/>
          <w:b w:val="0"/>
          <w:color w:val="000000"/>
          <w:sz w:val="20"/>
          <w:szCs w:val="20"/>
          <w:bdr w:val="none" w:sz="0" w:space="0" w:color="auto" w:frame="1"/>
          <w:shd w:val="clear" w:color="auto" w:fill="FFFFFF"/>
        </w:rPr>
        <w:t xml:space="preserve"> The impact of th</w:t>
      </w:r>
      <w:r w:rsidR="005400D6" w:rsidRPr="006B6C08">
        <w:rPr>
          <w:rStyle w:val="Strong"/>
          <w:b w:val="0"/>
          <w:color w:val="000000"/>
          <w:sz w:val="20"/>
          <w:szCs w:val="20"/>
          <w:bdr w:val="none" w:sz="0" w:space="0" w:color="auto" w:frame="1"/>
          <w:shd w:val="clear" w:color="auto" w:fill="FFFFFF"/>
        </w:rPr>
        <w:t>is</w:t>
      </w:r>
      <w:r w:rsidR="00113F19" w:rsidRPr="006B6C08">
        <w:rPr>
          <w:rStyle w:val="Strong"/>
          <w:b w:val="0"/>
          <w:color w:val="000000"/>
          <w:sz w:val="20"/>
          <w:szCs w:val="20"/>
          <w:bdr w:val="none" w:sz="0" w:space="0" w:color="auto" w:frame="1"/>
          <w:shd w:val="clear" w:color="auto" w:fill="FFFFFF"/>
        </w:rPr>
        <w:t xml:space="preserve"> blockade is exacerbated by Egypt’s almost continuous closure of the Rafah passenger crossing </w:t>
      </w:r>
      <w:r w:rsidR="00314D26" w:rsidRPr="006B6C08">
        <w:rPr>
          <w:rStyle w:val="Strong"/>
          <w:b w:val="0"/>
          <w:color w:val="000000"/>
          <w:sz w:val="20"/>
          <w:szCs w:val="20"/>
          <w:bdr w:val="none" w:sz="0" w:space="0" w:color="auto" w:frame="1"/>
          <w:shd w:val="clear" w:color="auto" w:fill="FFFFFF"/>
        </w:rPr>
        <w:t xml:space="preserve">– which has seen some loosening of restrictions over the past year – </w:t>
      </w:r>
      <w:r w:rsidR="00113F19" w:rsidRPr="006B6C08">
        <w:rPr>
          <w:rStyle w:val="Strong"/>
          <w:b w:val="0"/>
          <w:color w:val="000000"/>
          <w:sz w:val="20"/>
          <w:szCs w:val="20"/>
          <w:bdr w:val="none" w:sz="0" w:space="0" w:color="auto" w:frame="1"/>
          <w:shd w:val="clear" w:color="auto" w:fill="FFFFFF"/>
        </w:rPr>
        <w:t>and</w:t>
      </w:r>
      <w:r w:rsidR="00314D26" w:rsidRPr="006B6C08">
        <w:rPr>
          <w:rStyle w:val="Strong"/>
          <w:b w:val="0"/>
          <w:color w:val="000000"/>
          <w:sz w:val="20"/>
          <w:szCs w:val="20"/>
          <w:bdr w:val="none" w:sz="0" w:space="0" w:color="auto" w:frame="1"/>
          <w:shd w:val="clear" w:color="auto" w:fill="FFFFFF"/>
        </w:rPr>
        <w:t xml:space="preserve"> </w:t>
      </w:r>
      <w:r w:rsidR="00113F19" w:rsidRPr="006B6C08">
        <w:rPr>
          <w:rStyle w:val="Strong"/>
          <w:b w:val="0"/>
          <w:color w:val="000000"/>
          <w:sz w:val="20"/>
          <w:szCs w:val="20"/>
          <w:bdr w:val="none" w:sz="0" w:space="0" w:color="auto" w:frame="1"/>
          <w:shd w:val="clear" w:color="auto" w:fill="FFFFFF"/>
        </w:rPr>
        <w:t xml:space="preserve">by Jordan’s increasing refusal to grant passage </w:t>
      </w:r>
      <w:r w:rsidR="000A5C24" w:rsidRPr="006B6C08">
        <w:rPr>
          <w:rStyle w:val="Strong"/>
          <w:b w:val="0"/>
          <w:color w:val="000000"/>
          <w:sz w:val="20"/>
          <w:szCs w:val="20"/>
          <w:bdr w:val="none" w:sz="0" w:space="0" w:color="auto" w:frame="1"/>
          <w:shd w:val="clear" w:color="auto" w:fill="FFFFFF"/>
        </w:rPr>
        <w:t>to Palestinians from</w:t>
      </w:r>
      <w:r w:rsidR="00113F19" w:rsidRPr="006B6C08">
        <w:rPr>
          <w:rStyle w:val="Strong"/>
          <w:b w:val="0"/>
          <w:color w:val="000000"/>
          <w:sz w:val="20"/>
          <w:szCs w:val="20"/>
          <w:bdr w:val="none" w:sz="0" w:space="0" w:color="auto" w:frame="1"/>
          <w:shd w:val="clear" w:color="auto" w:fill="FFFFFF"/>
        </w:rPr>
        <w:t xml:space="preserve"> Gaza through the Allenby crossing</w:t>
      </w:r>
      <w:r w:rsidR="00314D26" w:rsidRPr="006B6C08">
        <w:rPr>
          <w:rStyle w:val="Strong"/>
          <w:b w:val="0"/>
          <w:color w:val="000000"/>
          <w:sz w:val="20"/>
          <w:szCs w:val="20"/>
          <w:bdr w:val="none" w:sz="0" w:space="0" w:color="auto" w:frame="1"/>
          <w:shd w:val="clear" w:color="auto" w:fill="FFFFFF"/>
        </w:rPr>
        <w:t>.</w:t>
      </w:r>
      <w:r w:rsidR="00113F19" w:rsidRPr="006B6C08">
        <w:rPr>
          <w:rStyle w:val="FootnoteReference"/>
          <w:bCs/>
          <w:color w:val="000000"/>
          <w:sz w:val="20"/>
          <w:szCs w:val="20"/>
          <w:bdr w:val="none" w:sz="0" w:space="0" w:color="auto" w:frame="1"/>
          <w:shd w:val="clear" w:color="auto" w:fill="FFFFFF"/>
        </w:rPr>
        <w:footnoteReference w:id="70"/>
      </w:r>
      <w:r w:rsidR="000811AE" w:rsidRPr="006B6C08">
        <w:rPr>
          <w:rStyle w:val="Strong"/>
          <w:b w:val="0"/>
          <w:color w:val="000000"/>
          <w:sz w:val="20"/>
          <w:szCs w:val="20"/>
          <w:bdr w:val="none" w:sz="0" w:space="0" w:color="auto" w:frame="1"/>
          <w:shd w:val="clear" w:color="auto" w:fill="FFFFFF"/>
        </w:rPr>
        <w:t xml:space="preserve"> </w:t>
      </w:r>
    </w:p>
    <w:p w:rsidR="006A4290" w:rsidRPr="006B6C08" w:rsidRDefault="006B6C08" w:rsidP="006B6C08">
      <w:pPr>
        <w:pStyle w:val="SingleTxtG"/>
        <w:outlineLvl w:val="0"/>
        <w:rPr>
          <w:rStyle w:val="Strong"/>
          <w:sz w:val="20"/>
          <w:szCs w:val="20"/>
        </w:rPr>
      </w:pPr>
      <w:r w:rsidRPr="006B6C08">
        <w:rPr>
          <w:rStyle w:val="Strong"/>
          <w:b w:val="0"/>
          <w:sz w:val="20"/>
          <w:szCs w:val="20"/>
        </w:rPr>
        <w:t>30.</w:t>
      </w:r>
      <w:r w:rsidRPr="006B6C08">
        <w:rPr>
          <w:rStyle w:val="Strong"/>
          <w:b w:val="0"/>
          <w:sz w:val="20"/>
          <w:szCs w:val="20"/>
        </w:rPr>
        <w:tab/>
      </w:r>
      <w:r w:rsidR="0014046C" w:rsidRPr="006B6C08">
        <w:rPr>
          <w:rStyle w:val="Strong"/>
          <w:b w:val="0"/>
          <w:color w:val="000000"/>
          <w:sz w:val="20"/>
          <w:szCs w:val="20"/>
          <w:bdr w:val="none" w:sz="0" w:space="0" w:color="auto" w:frame="1"/>
          <w:shd w:val="clear" w:color="auto" w:fill="FFFFFF"/>
        </w:rPr>
        <w:t>T</w:t>
      </w:r>
      <w:r w:rsidR="000811AE" w:rsidRPr="006B6C08">
        <w:rPr>
          <w:rStyle w:val="Strong"/>
          <w:b w:val="0"/>
          <w:color w:val="000000"/>
          <w:sz w:val="20"/>
          <w:szCs w:val="20"/>
          <w:bdr w:val="none" w:sz="0" w:space="0" w:color="auto" w:frame="1"/>
          <w:shd w:val="clear" w:color="auto" w:fill="FFFFFF"/>
        </w:rPr>
        <w:t xml:space="preserve">he </w:t>
      </w:r>
      <w:proofErr w:type="gramStart"/>
      <w:r w:rsidR="005400D6" w:rsidRPr="006B6C08">
        <w:rPr>
          <w:rStyle w:val="Strong"/>
          <w:b w:val="0"/>
          <w:color w:val="000000"/>
          <w:sz w:val="20"/>
          <w:szCs w:val="20"/>
          <w:bdr w:val="none" w:sz="0" w:space="0" w:color="auto" w:frame="1"/>
          <w:shd w:val="clear" w:color="auto" w:fill="FFFFFF"/>
        </w:rPr>
        <w:t xml:space="preserve">closures </w:t>
      </w:r>
      <w:r w:rsidR="000811AE" w:rsidRPr="006B6C08">
        <w:rPr>
          <w:rStyle w:val="Strong"/>
          <w:b w:val="0"/>
          <w:color w:val="000000"/>
          <w:sz w:val="20"/>
          <w:szCs w:val="20"/>
          <w:bdr w:val="none" w:sz="0" w:space="0" w:color="auto" w:frame="1"/>
          <w:shd w:val="clear" w:color="auto" w:fill="FFFFFF"/>
        </w:rPr>
        <w:t xml:space="preserve"> imposed</w:t>
      </w:r>
      <w:proofErr w:type="gramEnd"/>
      <w:r w:rsidR="000811AE" w:rsidRPr="006B6C08">
        <w:rPr>
          <w:rStyle w:val="Strong"/>
          <w:b w:val="0"/>
          <w:color w:val="000000"/>
          <w:sz w:val="20"/>
          <w:szCs w:val="20"/>
          <w:bdr w:val="none" w:sz="0" w:space="0" w:color="auto" w:frame="1"/>
          <w:shd w:val="clear" w:color="auto" w:fill="FFFFFF"/>
        </w:rPr>
        <w:t xml:space="preserve"> on Gaza </w:t>
      </w:r>
      <w:r w:rsidR="005400D6" w:rsidRPr="006B6C08">
        <w:rPr>
          <w:rStyle w:val="Strong"/>
          <w:b w:val="0"/>
          <w:color w:val="000000"/>
          <w:sz w:val="20"/>
          <w:szCs w:val="20"/>
          <w:bdr w:val="none" w:sz="0" w:space="0" w:color="auto" w:frame="1"/>
          <w:shd w:val="clear" w:color="auto" w:fill="FFFFFF"/>
        </w:rPr>
        <w:t>are</w:t>
      </w:r>
      <w:r w:rsidR="000811AE" w:rsidRPr="006B6C08">
        <w:rPr>
          <w:rStyle w:val="Strong"/>
          <w:b w:val="0"/>
          <w:color w:val="000000"/>
          <w:sz w:val="20"/>
          <w:szCs w:val="20"/>
          <w:bdr w:val="none" w:sz="0" w:space="0" w:color="auto" w:frame="1"/>
          <w:shd w:val="clear" w:color="auto" w:fill="FFFFFF"/>
        </w:rPr>
        <w:t xml:space="preserve"> contrary to international law and </w:t>
      </w:r>
      <w:r w:rsidR="00976FEC" w:rsidRPr="006B6C08">
        <w:rPr>
          <w:rStyle w:val="Strong"/>
          <w:b w:val="0"/>
          <w:color w:val="000000"/>
          <w:sz w:val="20"/>
          <w:szCs w:val="20"/>
          <w:bdr w:val="none" w:sz="0" w:space="0" w:color="auto" w:frame="1"/>
          <w:shd w:val="clear" w:color="auto" w:fill="FFFFFF"/>
        </w:rPr>
        <w:t xml:space="preserve">may </w:t>
      </w:r>
      <w:r w:rsidR="000811AE" w:rsidRPr="006B6C08">
        <w:rPr>
          <w:rStyle w:val="Strong"/>
          <w:b w:val="0"/>
          <w:color w:val="000000"/>
          <w:sz w:val="20"/>
          <w:szCs w:val="20"/>
          <w:bdr w:val="none" w:sz="0" w:space="0" w:color="auto" w:frame="1"/>
          <w:shd w:val="clear" w:color="auto" w:fill="FFFFFF"/>
        </w:rPr>
        <w:t>amount to collective punishment</w:t>
      </w:r>
      <w:r w:rsidR="00E057B0" w:rsidRPr="006B6C08">
        <w:rPr>
          <w:rStyle w:val="Strong"/>
          <w:b w:val="0"/>
          <w:color w:val="000000"/>
          <w:sz w:val="20"/>
          <w:szCs w:val="20"/>
          <w:bdr w:val="none" w:sz="0" w:space="0" w:color="auto" w:frame="1"/>
          <w:shd w:val="clear" w:color="auto" w:fill="FFFFFF"/>
        </w:rPr>
        <w:t xml:space="preserve">, as it penalizes the </w:t>
      </w:r>
      <w:r w:rsidR="00CB21D5" w:rsidRPr="006B6C08">
        <w:rPr>
          <w:rStyle w:val="Strong"/>
          <w:b w:val="0"/>
          <w:color w:val="000000"/>
          <w:sz w:val="20"/>
          <w:szCs w:val="20"/>
          <w:bdr w:val="none" w:sz="0" w:space="0" w:color="auto" w:frame="1"/>
          <w:shd w:val="clear" w:color="auto" w:fill="FFFFFF"/>
        </w:rPr>
        <w:t xml:space="preserve">entire </w:t>
      </w:r>
      <w:r w:rsidR="00E057B0" w:rsidRPr="006B6C08">
        <w:rPr>
          <w:rStyle w:val="Strong"/>
          <w:b w:val="0"/>
          <w:color w:val="000000"/>
          <w:sz w:val="20"/>
          <w:szCs w:val="20"/>
          <w:bdr w:val="none" w:sz="0" w:space="0" w:color="auto" w:frame="1"/>
          <w:shd w:val="clear" w:color="auto" w:fill="FFFFFF"/>
        </w:rPr>
        <w:t xml:space="preserve">population </w:t>
      </w:r>
      <w:r w:rsidR="00CB21D5" w:rsidRPr="006B6C08">
        <w:rPr>
          <w:rStyle w:val="Strong"/>
          <w:b w:val="0"/>
          <w:color w:val="000000"/>
          <w:sz w:val="20"/>
          <w:szCs w:val="20"/>
          <w:bdr w:val="none" w:sz="0" w:space="0" w:color="auto" w:frame="1"/>
          <w:shd w:val="clear" w:color="auto" w:fill="FFFFFF"/>
        </w:rPr>
        <w:t>without regard to individual responsibility</w:t>
      </w:r>
      <w:r w:rsidR="00613776" w:rsidRPr="006B6C08">
        <w:rPr>
          <w:rStyle w:val="Strong"/>
          <w:b w:val="0"/>
          <w:color w:val="000000"/>
          <w:sz w:val="20"/>
          <w:szCs w:val="20"/>
          <w:bdr w:val="none" w:sz="0" w:space="0" w:color="auto" w:frame="1"/>
          <w:shd w:val="clear" w:color="auto" w:fill="FFFFFF"/>
        </w:rPr>
        <w:t>.</w:t>
      </w:r>
      <w:r w:rsidR="000811AE" w:rsidRPr="006B6C08">
        <w:rPr>
          <w:rStyle w:val="FootnoteReference"/>
          <w:bCs/>
          <w:color w:val="000000"/>
          <w:sz w:val="20"/>
          <w:szCs w:val="20"/>
          <w:bdr w:val="none" w:sz="0" w:space="0" w:color="auto" w:frame="1"/>
          <w:shd w:val="clear" w:color="auto" w:fill="FFFFFF"/>
        </w:rPr>
        <w:footnoteReference w:id="71"/>
      </w:r>
      <w:r w:rsidR="00613776" w:rsidRPr="006B6C08">
        <w:rPr>
          <w:rStyle w:val="Strong"/>
          <w:b w:val="0"/>
          <w:color w:val="000000"/>
          <w:sz w:val="20"/>
          <w:szCs w:val="20"/>
          <w:bdr w:val="none" w:sz="0" w:space="0" w:color="auto" w:frame="1"/>
          <w:shd w:val="clear" w:color="auto" w:fill="FFFFFF"/>
        </w:rPr>
        <w:t xml:space="preserve"> It has a serious impact on the right to freedom of movement and economic, social and cultural rights</w:t>
      </w:r>
      <w:r w:rsidR="000811AE" w:rsidRPr="006B6C08">
        <w:rPr>
          <w:rStyle w:val="Strong"/>
          <w:b w:val="0"/>
          <w:color w:val="000000"/>
          <w:sz w:val="20"/>
          <w:szCs w:val="20"/>
          <w:bdr w:val="none" w:sz="0" w:space="0" w:color="auto" w:frame="1"/>
          <w:shd w:val="clear" w:color="auto" w:fill="FFFFFF"/>
        </w:rPr>
        <w:t xml:space="preserve">. </w:t>
      </w:r>
    </w:p>
    <w:p w:rsidR="006A4290" w:rsidRPr="006B6C08" w:rsidRDefault="006B6C08" w:rsidP="006B6C08">
      <w:pPr>
        <w:pStyle w:val="SingleTxtG"/>
        <w:outlineLvl w:val="0"/>
        <w:rPr>
          <w:bCs/>
          <w:color w:val="000000"/>
          <w:sz w:val="20"/>
          <w:szCs w:val="20"/>
          <w:bdr w:val="none" w:sz="0" w:space="0" w:color="auto" w:frame="1"/>
          <w:shd w:val="clear" w:color="auto" w:fill="FFFFFF"/>
        </w:rPr>
      </w:pPr>
      <w:r w:rsidRPr="006B6C08">
        <w:rPr>
          <w:bCs/>
          <w:color w:val="000000"/>
          <w:sz w:val="20"/>
          <w:szCs w:val="20"/>
          <w:bdr w:val="none" w:sz="0" w:space="0" w:color="auto" w:frame="1"/>
        </w:rPr>
        <w:t>31.</w:t>
      </w:r>
      <w:r w:rsidRPr="006B6C08">
        <w:rPr>
          <w:bCs/>
          <w:color w:val="000000"/>
          <w:sz w:val="20"/>
          <w:szCs w:val="20"/>
          <w:bdr w:val="none" w:sz="0" w:space="0" w:color="auto" w:frame="1"/>
        </w:rPr>
        <w:tab/>
      </w:r>
      <w:r w:rsidR="00D522E9" w:rsidRPr="006B6C08">
        <w:rPr>
          <w:sz w:val="20"/>
          <w:szCs w:val="20"/>
        </w:rPr>
        <w:t>Following an attack against Israelis</w:t>
      </w:r>
      <w:r w:rsidR="000811AE" w:rsidRPr="006B6C08">
        <w:rPr>
          <w:sz w:val="20"/>
          <w:szCs w:val="20"/>
        </w:rPr>
        <w:t xml:space="preserve">, Israeli authorities </w:t>
      </w:r>
      <w:r w:rsidR="0014046C" w:rsidRPr="006B6C08">
        <w:rPr>
          <w:sz w:val="20"/>
          <w:szCs w:val="20"/>
        </w:rPr>
        <w:t xml:space="preserve">frequently </w:t>
      </w:r>
      <w:r w:rsidR="000811AE" w:rsidRPr="006B6C08">
        <w:rPr>
          <w:sz w:val="20"/>
          <w:szCs w:val="20"/>
        </w:rPr>
        <w:t xml:space="preserve">employ measures that </w:t>
      </w:r>
      <w:r w:rsidR="000F1791" w:rsidRPr="006B6C08">
        <w:rPr>
          <w:sz w:val="20"/>
          <w:szCs w:val="20"/>
        </w:rPr>
        <w:t xml:space="preserve">may </w:t>
      </w:r>
      <w:r w:rsidR="000811AE" w:rsidRPr="006B6C08">
        <w:rPr>
          <w:sz w:val="20"/>
          <w:szCs w:val="20"/>
        </w:rPr>
        <w:t>amount to collective punishment</w:t>
      </w:r>
      <w:r w:rsidR="00D522E9" w:rsidRPr="006B6C08">
        <w:rPr>
          <w:sz w:val="20"/>
          <w:szCs w:val="20"/>
        </w:rPr>
        <w:t xml:space="preserve"> that affect</w:t>
      </w:r>
      <w:r w:rsidR="007E5DED" w:rsidRPr="006B6C08">
        <w:rPr>
          <w:sz w:val="20"/>
          <w:szCs w:val="20"/>
        </w:rPr>
        <w:t xml:space="preserve"> the members of the family</w:t>
      </w:r>
      <w:r w:rsidR="00D522E9" w:rsidRPr="006B6C08">
        <w:rPr>
          <w:sz w:val="20"/>
          <w:szCs w:val="20"/>
        </w:rPr>
        <w:t xml:space="preserve"> </w:t>
      </w:r>
      <w:r w:rsidR="007E5DED" w:rsidRPr="006B6C08">
        <w:rPr>
          <w:sz w:val="20"/>
          <w:szCs w:val="20"/>
        </w:rPr>
        <w:t>or the communit</w:t>
      </w:r>
      <w:r w:rsidR="00D522E9" w:rsidRPr="006B6C08">
        <w:rPr>
          <w:sz w:val="20"/>
          <w:szCs w:val="20"/>
        </w:rPr>
        <w:t xml:space="preserve">y of </w:t>
      </w:r>
      <w:r w:rsidR="007E5DED" w:rsidRPr="006B6C08">
        <w:rPr>
          <w:sz w:val="20"/>
          <w:szCs w:val="20"/>
        </w:rPr>
        <w:t>the attacker</w:t>
      </w:r>
      <w:r w:rsidR="00D522E9" w:rsidRPr="006B6C08">
        <w:rPr>
          <w:sz w:val="20"/>
          <w:szCs w:val="20"/>
        </w:rPr>
        <w:t>s</w:t>
      </w:r>
      <w:r w:rsidR="007E5DED" w:rsidRPr="006B6C08">
        <w:rPr>
          <w:sz w:val="20"/>
          <w:szCs w:val="20"/>
        </w:rPr>
        <w:t xml:space="preserve"> or alleged</w:t>
      </w:r>
      <w:r w:rsidR="00867E26" w:rsidRPr="006B6C08">
        <w:rPr>
          <w:sz w:val="20"/>
          <w:szCs w:val="20"/>
        </w:rPr>
        <w:t xml:space="preserve"> </w:t>
      </w:r>
      <w:r w:rsidR="007E5DED" w:rsidRPr="006B6C08">
        <w:rPr>
          <w:sz w:val="20"/>
          <w:szCs w:val="20"/>
        </w:rPr>
        <w:t>attacker</w:t>
      </w:r>
      <w:r w:rsidR="00D522E9" w:rsidRPr="006B6C08">
        <w:rPr>
          <w:sz w:val="20"/>
          <w:szCs w:val="20"/>
        </w:rPr>
        <w:t>s</w:t>
      </w:r>
      <w:r w:rsidR="000811AE" w:rsidRPr="006B6C08">
        <w:rPr>
          <w:sz w:val="20"/>
          <w:szCs w:val="20"/>
        </w:rPr>
        <w:t>.</w:t>
      </w:r>
      <w:r w:rsidR="000811AE" w:rsidRPr="006B6C08">
        <w:rPr>
          <w:rStyle w:val="FootnoteReference"/>
          <w:sz w:val="20"/>
          <w:szCs w:val="20"/>
        </w:rPr>
        <w:footnoteReference w:id="72"/>
      </w:r>
      <w:r w:rsidR="000811AE" w:rsidRPr="006B6C08">
        <w:rPr>
          <w:bCs/>
          <w:sz w:val="20"/>
          <w:szCs w:val="20"/>
        </w:rPr>
        <w:t xml:space="preserve"> These</w:t>
      </w:r>
      <w:r w:rsidR="000811AE" w:rsidRPr="006B6C08">
        <w:rPr>
          <w:sz w:val="20"/>
          <w:szCs w:val="20"/>
        </w:rPr>
        <w:t xml:space="preserve"> have increased in the past three years</w:t>
      </w:r>
      <w:r w:rsidR="00310D5C" w:rsidRPr="006B6C08">
        <w:rPr>
          <w:sz w:val="20"/>
          <w:szCs w:val="20"/>
        </w:rPr>
        <w:t xml:space="preserve"> in the context of heightened violence, </w:t>
      </w:r>
      <w:r w:rsidR="000811AE" w:rsidRPr="006B6C08">
        <w:rPr>
          <w:sz w:val="20"/>
          <w:szCs w:val="20"/>
        </w:rPr>
        <w:t>and have included</w:t>
      </w:r>
      <w:r w:rsidR="00423DD3" w:rsidRPr="006B6C08">
        <w:rPr>
          <w:sz w:val="20"/>
          <w:szCs w:val="20"/>
        </w:rPr>
        <w:t>:</w:t>
      </w:r>
      <w:r w:rsidR="000811AE" w:rsidRPr="006B6C08">
        <w:rPr>
          <w:sz w:val="20"/>
          <w:szCs w:val="20"/>
        </w:rPr>
        <w:t xml:space="preserve"> punitive demolitions; cancellation of </w:t>
      </w:r>
      <w:r w:rsidR="00613776" w:rsidRPr="006B6C08">
        <w:rPr>
          <w:sz w:val="20"/>
          <w:szCs w:val="20"/>
        </w:rPr>
        <w:t xml:space="preserve">travel and </w:t>
      </w:r>
      <w:r w:rsidR="000811AE" w:rsidRPr="006B6C08">
        <w:rPr>
          <w:sz w:val="20"/>
          <w:szCs w:val="20"/>
        </w:rPr>
        <w:t>work</w:t>
      </w:r>
      <w:r w:rsidR="00613776" w:rsidRPr="006B6C08">
        <w:rPr>
          <w:sz w:val="20"/>
          <w:szCs w:val="20"/>
        </w:rPr>
        <w:t xml:space="preserve"> </w:t>
      </w:r>
      <w:r w:rsidR="000811AE" w:rsidRPr="006B6C08">
        <w:rPr>
          <w:sz w:val="20"/>
          <w:szCs w:val="20"/>
        </w:rPr>
        <w:t>permits and other administrative action; withholding of bodies; and closure of Palestinian towns and villages.</w:t>
      </w:r>
      <w:r w:rsidR="000811AE" w:rsidRPr="006B6C08">
        <w:rPr>
          <w:rStyle w:val="FootnoteReference"/>
          <w:sz w:val="20"/>
          <w:szCs w:val="20"/>
        </w:rPr>
        <w:footnoteReference w:id="73"/>
      </w:r>
      <w:r w:rsidR="000811AE" w:rsidRPr="006B6C08">
        <w:rPr>
          <w:sz w:val="20"/>
          <w:szCs w:val="20"/>
        </w:rPr>
        <w:t xml:space="preserve"> </w:t>
      </w:r>
    </w:p>
    <w:p w:rsidR="006B6C08" w:rsidRDefault="006B6C08" w:rsidP="006B6C08">
      <w:pPr>
        <w:pStyle w:val="SingleTxtG"/>
        <w:outlineLvl w:val="0"/>
        <w:rPr>
          <w:sz w:val="20"/>
          <w:szCs w:val="20"/>
        </w:rPr>
      </w:pPr>
      <w:r w:rsidRPr="006B6C08">
        <w:rPr>
          <w:sz w:val="20"/>
          <w:szCs w:val="20"/>
        </w:rPr>
        <w:t>32.</w:t>
      </w:r>
      <w:r w:rsidRPr="006B6C08">
        <w:rPr>
          <w:sz w:val="20"/>
          <w:szCs w:val="20"/>
        </w:rPr>
        <w:tab/>
      </w:r>
      <w:r w:rsidR="006A4290" w:rsidRPr="006B6C08">
        <w:rPr>
          <w:sz w:val="20"/>
          <w:szCs w:val="20"/>
        </w:rPr>
        <w:t>C</w:t>
      </w:r>
      <w:r w:rsidR="000811AE" w:rsidRPr="006B6C08">
        <w:rPr>
          <w:sz w:val="20"/>
          <w:szCs w:val="20"/>
        </w:rPr>
        <w:t xml:space="preserve">ollective punishment is expressly prohibited by </w:t>
      </w:r>
      <w:r w:rsidR="00F47FC6" w:rsidRPr="006B6C08">
        <w:rPr>
          <w:sz w:val="20"/>
          <w:szCs w:val="20"/>
        </w:rPr>
        <w:t>international humanitarian law</w:t>
      </w:r>
      <w:r w:rsidR="000811AE" w:rsidRPr="006B6C08">
        <w:rPr>
          <w:sz w:val="20"/>
          <w:szCs w:val="20"/>
        </w:rPr>
        <w:t>.</w:t>
      </w:r>
      <w:r w:rsidR="000811AE" w:rsidRPr="006B6C08">
        <w:rPr>
          <w:rStyle w:val="FootnoteReference"/>
          <w:sz w:val="20"/>
          <w:szCs w:val="20"/>
        </w:rPr>
        <w:footnoteReference w:id="74"/>
      </w:r>
      <w:r w:rsidR="000811AE" w:rsidRPr="006B6C08">
        <w:rPr>
          <w:sz w:val="20"/>
          <w:szCs w:val="20"/>
        </w:rPr>
        <w:t xml:space="preserve"> </w:t>
      </w:r>
      <w:r w:rsidR="007E5DED" w:rsidRPr="006B6C08">
        <w:rPr>
          <w:sz w:val="20"/>
          <w:szCs w:val="20"/>
        </w:rPr>
        <w:t>This</w:t>
      </w:r>
      <w:r w:rsidR="005952DD" w:rsidRPr="006B6C08">
        <w:rPr>
          <w:sz w:val="20"/>
          <w:szCs w:val="20"/>
        </w:rPr>
        <w:t xml:space="preserve"> prohibition </w:t>
      </w:r>
      <w:r w:rsidR="000811AE" w:rsidRPr="006B6C08">
        <w:rPr>
          <w:sz w:val="20"/>
          <w:szCs w:val="20"/>
        </w:rPr>
        <w:t>does not only apply to criminal sanctions but also to harassment of any sort, including administrative measures, carried out by the police or the military.</w:t>
      </w:r>
      <w:r w:rsidR="000811AE" w:rsidRPr="006B6C08">
        <w:rPr>
          <w:rStyle w:val="FootnoteReference"/>
          <w:sz w:val="20"/>
          <w:szCs w:val="20"/>
        </w:rPr>
        <w:footnoteReference w:id="75"/>
      </w:r>
      <w:r w:rsidR="000811AE" w:rsidRPr="006B6C08">
        <w:rPr>
          <w:sz w:val="20"/>
          <w:szCs w:val="20"/>
        </w:rPr>
        <w:t xml:space="preserve"> In addition to the right to a fair trial and other due process guarantees, including the principle of individual responsibility and the presumption of innocence</w:t>
      </w:r>
      <w:r w:rsidR="00B70CA0" w:rsidRPr="006B6C08">
        <w:rPr>
          <w:sz w:val="20"/>
          <w:szCs w:val="20"/>
        </w:rPr>
        <w:t xml:space="preserve">, </w:t>
      </w:r>
      <w:r w:rsidR="00BF1A42" w:rsidRPr="006B6C08">
        <w:rPr>
          <w:sz w:val="20"/>
          <w:szCs w:val="20"/>
        </w:rPr>
        <w:t xml:space="preserve">several </w:t>
      </w:r>
      <w:r w:rsidR="00B70CA0" w:rsidRPr="006B6C08">
        <w:rPr>
          <w:sz w:val="20"/>
          <w:szCs w:val="20"/>
        </w:rPr>
        <w:t>human rights are</w:t>
      </w:r>
      <w:r w:rsidR="00C63A98" w:rsidRPr="006B6C08">
        <w:rPr>
          <w:sz w:val="20"/>
          <w:szCs w:val="20"/>
        </w:rPr>
        <w:t xml:space="preserve"> negatively</w:t>
      </w:r>
      <w:r w:rsidR="00B70CA0" w:rsidRPr="006B6C08">
        <w:rPr>
          <w:sz w:val="20"/>
          <w:szCs w:val="20"/>
        </w:rPr>
        <w:t xml:space="preserve"> </w:t>
      </w:r>
      <w:r w:rsidR="00C63A98" w:rsidRPr="006B6C08">
        <w:rPr>
          <w:sz w:val="20"/>
          <w:szCs w:val="20"/>
        </w:rPr>
        <w:t>affected</w:t>
      </w:r>
      <w:r w:rsidR="00B70CA0" w:rsidRPr="006B6C08">
        <w:rPr>
          <w:sz w:val="20"/>
          <w:szCs w:val="20"/>
        </w:rPr>
        <w:t xml:space="preserve"> by such practices</w:t>
      </w:r>
      <w:r w:rsidR="000811AE" w:rsidRPr="006B6C08">
        <w:rPr>
          <w:sz w:val="20"/>
          <w:szCs w:val="20"/>
        </w:rPr>
        <w:t>.</w:t>
      </w:r>
      <w:r w:rsidR="000811AE" w:rsidRPr="006B6C08">
        <w:rPr>
          <w:rStyle w:val="FootnoteReference"/>
          <w:sz w:val="20"/>
          <w:szCs w:val="20"/>
        </w:rPr>
        <w:footnoteReference w:id="76"/>
      </w:r>
    </w:p>
    <w:p w:rsidR="006B6C08" w:rsidRDefault="006B6C08">
      <w:pPr>
        <w:suppressAutoHyphens w:val="0"/>
        <w:spacing w:line="240" w:lineRule="auto"/>
        <w:rPr>
          <w:sz w:val="20"/>
          <w:szCs w:val="20"/>
        </w:rPr>
      </w:pPr>
      <w:r>
        <w:rPr>
          <w:sz w:val="20"/>
          <w:szCs w:val="20"/>
        </w:rPr>
        <w:br w:type="page"/>
      </w:r>
    </w:p>
    <w:p w:rsidR="006A4290" w:rsidRPr="006B6C08" w:rsidRDefault="006A4290" w:rsidP="006A4290">
      <w:pPr>
        <w:pStyle w:val="SingleTxtG"/>
        <w:outlineLvl w:val="0"/>
        <w:rPr>
          <w:b/>
          <w:i/>
          <w:sz w:val="20"/>
          <w:szCs w:val="20"/>
        </w:rPr>
      </w:pPr>
      <w:r w:rsidRPr="006B6C08">
        <w:rPr>
          <w:b/>
          <w:i/>
          <w:sz w:val="20"/>
          <w:szCs w:val="20"/>
        </w:rPr>
        <w:lastRenderedPageBreak/>
        <w:t>Settler harassment and violence (including impunity)</w:t>
      </w:r>
    </w:p>
    <w:p w:rsidR="00807962" w:rsidRPr="006B6C08" w:rsidRDefault="006B6C08" w:rsidP="006B6C08">
      <w:pPr>
        <w:pStyle w:val="SingleTxtG"/>
        <w:outlineLvl w:val="0"/>
        <w:rPr>
          <w:sz w:val="20"/>
          <w:szCs w:val="20"/>
        </w:rPr>
      </w:pPr>
      <w:r w:rsidRPr="006B6C08">
        <w:rPr>
          <w:sz w:val="20"/>
          <w:szCs w:val="20"/>
        </w:rPr>
        <w:t>33.</w:t>
      </w:r>
      <w:r w:rsidRPr="006B6C08">
        <w:rPr>
          <w:sz w:val="20"/>
          <w:szCs w:val="20"/>
        </w:rPr>
        <w:tab/>
      </w:r>
      <w:r w:rsidR="008B2BDE" w:rsidRPr="006B6C08">
        <w:rPr>
          <w:sz w:val="20"/>
          <w:szCs w:val="20"/>
        </w:rPr>
        <w:t xml:space="preserve">Settler </w:t>
      </w:r>
      <w:r w:rsidR="008648D7" w:rsidRPr="006B6C08">
        <w:rPr>
          <w:sz w:val="20"/>
          <w:szCs w:val="20"/>
        </w:rPr>
        <w:t xml:space="preserve">harassment and </w:t>
      </w:r>
      <w:r w:rsidR="008B2BDE" w:rsidRPr="006B6C08">
        <w:rPr>
          <w:sz w:val="20"/>
          <w:szCs w:val="20"/>
        </w:rPr>
        <w:t>violence</w:t>
      </w:r>
      <w:r w:rsidR="002B1A23" w:rsidRPr="006B6C08">
        <w:rPr>
          <w:sz w:val="20"/>
          <w:szCs w:val="20"/>
        </w:rPr>
        <w:t xml:space="preserve"> against Palestinians</w:t>
      </w:r>
      <w:r w:rsidR="008B2BDE" w:rsidRPr="006B6C08">
        <w:rPr>
          <w:sz w:val="20"/>
          <w:szCs w:val="20"/>
        </w:rPr>
        <w:t xml:space="preserve">, and the failure </w:t>
      </w:r>
      <w:r w:rsidR="00B70CA0" w:rsidRPr="006B6C08">
        <w:rPr>
          <w:sz w:val="20"/>
          <w:szCs w:val="20"/>
        </w:rPr>
        <w:t>of Israel</w:t>
      </w:r>
      <w:r w:rsidR="006C1627" w:rsidRPr="006B6C08">
        <w:rPr>
          <w:sz w:val="20"/>
          <w:szCs w:val="20"/>
        </w:rPr>
        <w:t xml:space="preserve"> to</w:t>
      </w:r>
      <w:r w:rsidR="00B70CA0" w:rsidRPr="006B6C08">
        <w:rPr>
          <w:sz w:val="20"/>
          <w:szCs w:val="20"/>
        </w:rPr>
        <w:t xml:space="preserve"> </w:t>
      </w:r>
      <w:r w:rsidR="008B2BDE" w:rsidRPr="006B6C08">
        <w:rPr>
          <w:sz w:val="20"/>
          <w:szCs w:val="20"/>
        </w:rPr>
        <w:t xml:space="preserve">ensure accountability for </w:t>
      </w:r>
      <w:r w:rsidR="00B70CA0" w:rsidRPr="006B6C08">
        <w:rPr>
          <w:sz w:val="20"/>
          <w:szCs w:val="20"/>
        </w:rPr>
        <w:t>perpetrators</w:t>
      </w:r>
      <w:r w:rsidR="008B2BDE" w:rsidRPr="006B6C08">
        <w:rPr>
          <w:sz w:val="20"/>
          <w:szCs w:val="20"/>
        </w:rPr>
        <w:t xml:space="preserve">, has been an ongoing </w:t>
      </w:r>
      <w:r w:rsidR="005641FF" w:rsidRPr="006B6C08">
        <w:rPr>
          <w:sz w:val="20"/>
          <w:szCs w:val="20"/>
        </w:rPr>
        <w:t>issue</w:t>
      </w:r>
      <w:r w:rsidR="00DE3FD3" w:rsidRPr="006B6C08">
        <w:rPr>
          <w:sz w:val="20"/>
          <w:szCs w:val="20"/>
        </w:rPr>
        <w:t xml:space="preserve"> in </w:t>
      </w:r>
      <w:proofErr w:type="spellStart"/>
      <w:r w:rsidR="00DE3FD3" w:rsidRPr="006B6C08">
        <w:rPr>
          <w:sz w:val="20"/>
          <w:szCs w:val="20"/>
        </w:rPr>
        <w:t>the</w:t>
      </w:r>
      <w:r w:rsidR="003A1D03" w:rsidRPr="006B6C08">
        <w:rPr>
          <w:sz w:val="20"/>
          <w:szCs w:val="20"/>
        </w:rPr>
        <w:t>O</w:t>
      </w:r>
      <w:r w:rsidR="00DE3FD3" w:rsidRPr="006B6C08">
        <w:rPr>
          <w:sz w:val="20"/>
          <w:szCs w:val="20"/>
        </w:rPr>
        <w:t>ccupied</w:t>
      </w:r>
      <w:proofErr w:type="spellEnd"/>
      <w:r w:rsidR="00DE3FD3" w:rsidRPr="006B6C08">
        <w:rPr>
          <w:sz w:val="20"/>
          <w:szCs w:val="20"/>
        </w:rPr>
        <w:t xml:space="preserve"> Palestinian </w:t>
      </w:r>
      <w:r w:rsidR="003A1D03" w:rsidRPr="006B6C08">
        <w:rPr>
          <w:sz w:val="20"/>
          <w:szCs w:val="20"/>
        </w:rPr>
        <w:t>T</w:t>
      </w:r>
      <w:r w:rsidR="00DE3FD3" w:rsidRPr="006B6C08">
        <w:rPr>
          <w:sz w:val="20"/>
          <w:szCs w:val="20"/>
        </w:rPr>
        <w:t>erritory</w:t>
      </w:r>
      <w:r w:rsidR="008B2BDE" w:rsidRPr="006B6C08">
        <w:rPr>
          <w:sz w:val="20"/>
          <w:szCs w:val="20"/>
        </w:rPr>
        <w:t>.</w:t>
      </w:r>
      <w:r w:rsidR="008B2BDE" w:rsidRPr="006B6C08">
        <w:rPr>
          <w:rStyle w:val="FootnoteReference"/>
          <w:sz w:val="20"/>
          <w:szCs w:val="20"/>
        </w:rPr>
        <w:footnoteReference w:id="77"/>
      </w:r>
      <w:r w:rsidR="00B70CA0" w:rsidRPr="006B6C08">
        <w:rPr>
          <w:sz w:val="20"/>
          <w:szCs w:val="20"/>
        </w:rPr>
        <w:t xml:space="preserve"> </w:t>
      </w:r>
      <w:r w:rsidR="008648D7" w:rsidRPr="006B6C08">
        <w:rPr>
          <w:sz w:val="20"/>
          <w:szCs w:val="20"/>
        </w:rPr>
        <w:t xml:space="preserve">Such </w:t>
      </w:r>
      <w:r w:rsidR="004678E0" w:rsidRPr="006B6C08">
        <w:rPr>
          <w:sz w:val="20"/>
          <w:szCs w:val="20"/>
        </w:rPr>
        <w:t>i</w:t>
      </w:r>
      <w:r w:rsidR="002B1A23" w:rsidRPr="006B6C08">
        <w:rPr>
          <w:sz w:val="20"/>
          <w:szCs w:val="20"/>
        </w:rPr>
        <w:t xml:space="preserve">nstances </w:t>
      </w:r>
      <w:r w:rsidR="000C2AF5" w:rsidRPr="006B6C08">
        <w:rPr>
          <w:sz w:val="20"/>
          <w:szCs w:val="20"/>
        </w:rPr>
        <w:t>include</w:t>
      </w:r>
      <w:r w:rsidR="002B1A23" w:rsidRPr="006B6C08">
        <w:rPr>
          <w:sz w:val="20"/>
          <w:szCs w:val="20"/>
        </w:rPr>
        <w:t xml:space="preserve"> </w:t>
      </w:r>
      <w:r w:rsidR="000C2AF5" w:rsidRPr="006B6C08">
        <w:rPr>
          <w:sz w:val="20"/>
          <w:szCs w:val="20"/>
        </w:rPr>
        <w:t xml:space="preserve">verbal harassment, </w:t>
      </w:r>
      <w:r w:rsidR="002B1A23" w:rsidRPr="006B6C08">
        <w:rPr>
          <w:sz w:val="20"/>
          <w:szCs w:val="20"/>
        </w:rPr>
        <w:t xml:space="preserve">physical attacks </w:t>
      </w:r>
      <w:r w:rsidR="00807962" w:rsidRPr="006B6C08">
        <w:rPr>
          <w:sz w:val="20"/>
          <w:szCs w:val="20"/>
        </w:rPr>
        <w:t xml:space="preserve">causing </w:t>
      </w:r>
      <w:r w:rsidR="002B1A23" w:rsidRPr="006B6C08">
        <w:rPr>
          <w:sz w:val="20"/>
          <w:szCs w:val="20"/>
        </w:rPr>
        <w:t>cas</w:t>
      </w:r>
      <w:r w:rsidR="000C2AF5" w:rsidRPr="006B6C08">
        <w:rPr>
          <w:sz w:val="20"/>
          <w:szCs w:val="20"/>
        </w:rPr>
        <w:t>ual</w:t>
      </w:r>
      <w:r w:rsidR="002B1A23" w:rsidRPr="006B6C08">
        <w:rPr>
          <w:sz w:val="20"/>
          <w:szCs w:val="20"/>
        </w:rPr>
        <w:t xml:space="preserve">ties, </w:t>
      </w:r>
      <w:r w:rsidR="000C2AF5" w:rsidRPr="006B6C08">
        <w:rPr>
          <w:sz w:val="20"/>
          <w:szCs w:val="20"/>
        </w:rPr>
        <w:t>as well as</w:t>
      </w:r>
      <w:r w:rsidR="002B1A23" w:rsidRPr="006B6C08">
        <w:rPr>
          <w:sz w:val="20"/>
          <w:szCs w:val="20"/>
        </w:rPr>
        <w:t xml:space="preserve"> damage </w:t>
      </w:r>
      <w:r w:rsidR="000C2AF5" w:rsidRPr="006B6C08">
        <w:rPr>
          <w:sz w:val="20"/>
          <w:szCs w:val="20"/>
        </w:rPr>
        <w:t xml:space="preserve">to or destruction of </w:t>
      </w:r>
      <w:r w:rsidR="002B1A23" w:rsidRPr="006B6C08">
        <w:rPr>
          <w:sz w:val="20"/>
          <w:szCs w:val="20"/>
        </w:rPr>
        <w:t xml:space="preserve">Palestinian property, </w:t>
      </w:r>
      <w:r w:rsidR="000C2AF5" w:rsidRPr="006B6C08">
        <w:rPr>
          <w:sz w:val="20"/>
          <w:szCs w:val="20"/>
        </w:rPr>
        <w:t>with Palestinian-owned trees (mainly olive trees) being specifically targ</w:t>
      </w:r>
      <w:r w:rsidR="00E57838" w:rsidRPr="006B6C08">
        <w:rPr>
          <w:sz w:val="20"/>
          <w:szCs w:val="20"/>
        </w:rPr>
        <w:t>et</w:t>
      </w:r>
      <w:r w:rsidR="000C2AF5" w:rsidRPr="006B6C08">
        <w:rPr>
          <w:sz w:val="20"/>
          <w:szCs w:val="20"/>
        </w:rPr>
        <w:t>ed</w:t>
      </w:r>
      <w:r w:rsidR="002B1A23" w:rsidRPr="006B6C08">
        <w:rPr>
          <w:sz w:val="20"/>
          <w:szCs w:val="20"/>
        </w:rPr>
        <w:t>.</w:t>
      </w:r>
      <w:r w:rsidR="001D667F" w:rsidRPr="006B6C08">
        <w:rPr>
          <w:rStyle w:val="FootnoteReference"/>
          <w:szCs w:val="20"/>
        </w:rPr>
        <w:footnoteReference w:id="78"/>
      </w:r>
      <w:r w:rsidR="00E57838" w:rsidRPr="006B6C08">
        <w:rPr>
          <w:sz w:val="20"/>
          <w:szCs w:val="20"/>
        </w:rPr>
        <w:t xml:space="preserve"> </w:t>
      </w:r>
    </w:p>
    <w:p w:rsidR="006A4290" w:rsidRPr="006B6C08" w:rsidRDefault="006B6C08" w:rsidP="006B6C08">
      <w:pPr>
        <w:pStyle w:val="SingleTxtG"/>
        <w:outlineLvl w:val="0"/>
        <w:rPr>
          <w:sz w:val="20"/>
          <w:szCs w:val="20"/>
        </w:rPr>
      </w:pPr>
      <w:r w:rsidRPr="006B6C08">
        <w:rPr>
          <w:sz w:val="20"/>
          <w:szCs w:val="20"/>
        </w:rPr>
        <w:t>34.</w:t>
      </w:r>
      <w:r w:rsidRPr="006B6C08">
        <w:rPr>
          <w:sz w:val="20"/>
          <w:szCs w:val="20"/>
        </w:rPr>
        <w:tab/>
      </w:r>
      <w:r w:rsidR="008B2BDE" w:rsidRPr="006B6C08">
        <w:rPr>
          <w:sz w:val="20"/>
          <w:szCs w:val="20"/>
        </w:rPr>
        <w:t>The phenomenon has been directly linked to the continued existence and expansion of illegal settlements throughout the West Bank, as documented cases of settler attacks, trespassing and forceful takeover of land suggest that violence is often carried out as part of a</w:t>
      </w:r>
      <w:r w:rsidR="00DE3FD3" w:rsidRPr="006B6C08">
        <w:rPr>
          <w:sz w:val="20"/>
          <w:szCs w:val="20"/>
        </w:rPr>
        <w:t>n</w:t>
      </w:r>
      <w:r w:rsidR="008B2BDE" w:rsidRPr="006B6C08">
        <w:rPr>
          <w:sz w:val="20"/>
          <w:szCs w:val="20"/>
        </w:rPr>
        <w:t xml:space="preserve"> effort by settlers to push Palestinian farmers off</w:t>
      </w:r>
      <w:r w:rsidR="007E5DED" w:rsidRPr="006B6C08">
        <w:rPr>
          <w:sz w:val="20"/>
          <w:szCs w:val="20"/>
        </w:rPr>
        <w:t xml:space="preserve"> their land</w:t>
      </w:r>
      <w:r w:rsidR="008B2BDE" w:rsidRPr="006B6C08">
        <w:rPr>
          <w:sz w:val="20"/>
          <w:szCs w:val="20"/>
        </w:rPr>
        <w:t>.</w:t>
      </w:r>
      <w:r w:rsidR="00DB6761" w:rsidRPr="006B6C08">
        <w:rPr>
          <w:rStyle w:val="FootnoteReference"/>
          <w:sz w:val="20"/>
          <w:szCs w:val="20"/>
        </w:rPr>
        <w:footnoteReference w:id="79"/>
      </w:r>
      <w:r w:rsidR="006347A3" w:rsidRPr="006B6C08">
        <w:rPr>
          <w:sz w:val="20"/>
          <w:szCs w:val="20"/>
        </w:rPr>
        <w:t xml:space="preserve"> </w:t>
      </w:r>
    </w:p>
    <w:p w:rsidR="007149D4" w:rsidRPr="006B6C08" w:rsidRDefault="006B6C08" w:rsidP="006B6C08">
      <w:pPr>
        <w:pStyle w:val="SingleTxtG"/>
        <w:outlineLvl w:val="0"/>
        <w:rPr>
          <w:sz w:val="20"/>
          <w:szCs w:val="20"/>
        </w:rPr>
      </w:pPr>
      <w:r w:rsidRPr="006B6C08">
        <w:rPr>
          <w:sz w:val="20"/>
          <w:szCs w:val="20"/>
        </w:rPr>
        <w:t>35.</w:t>
      </w:r>
      <w:r w:rsidRPr="006B6C08">
        <w:rPr>
          <w:sz w:val="20"/>
          <w:szCs w:val="20"/>
        </w:rPr>
        <w:tab/>
      </w:r>
      <w:r w:rsidR="006347A3" w:rsidRPr="006B6C08">
        <w:rPr>
          <w:sz w:val="20"/>
          <w:szCs w:val="20"/>
        </w:rPr>
        <w:t>As the occupying power, Israel is obliged to uphold public order and safety within the</w:t>
      </w:r>
      <w:r w:rsidR="004A6B16" w:rsidRPr="006B6C08">
        <w:rPr>
          <w:sz w:val="20"/>
          <w:szCs w:val="20"/>
        </w:rPr>
        <w:t xml:space="preserve"> </w:t>
      </w:r>
      <w:r w:rsidR="00C747CD" w:rsidRPr="006B6C08">
        <w:rPr>
          <w:sz w:val="20"/>
          <w:szCs w:val="20"/>
        </w:rPr>
        <w:t>Occupied Palestinian Territory</w:t>
      </w:r>
      <w:r w:rsidR="006347A3" w:rsidRPr="006B6C08">
        <w:rPr>
          <w:sz w:val="20"/>
          <w:szCs w:val="20"/>
        </w:rPr>
        <w:t xml:space="preserve"> and to</w:t>
      </w:r>
      <w:r w:rsidR="00682CA5" w:rsidRPr="006B6C08">
        <w:rPr>
          <w:sz w:val="20"/>
          <w:szCs w:val="20"/>
        </w:rPr>
        <w:t xml:space="preserve"> </w:t>
      </w:r>
      <w:r w:rsidR="0055740A" w:rsidRPr="006B6C08">
        <w:rPr>
          <w:sz w:val="20"/>
          <w:szCs w:val="20"/>
        </w:rPr>
        <w:t>protect its inhabita</w:t>
      </w:r>
      <w:r w:rsidR="002D1A22" w:rsidRPr="006B6C08">
        <w:rPr>
          <w:sz w:val="20"/>
          <w:szCs w:val="20"/>
        </w:rPr>
        <w:t>nts</w:t>
      </w:r>
      <w:r w:rsidR="007149D4" w:rsidRPr="006B6C08">
        <w:rPr>
          <w:sz w:val="20"/>
          <w:szCs w:val="20"/>
        </w:rPr>
        <w:t>, notably from</w:t>
      </w:r>
      <w:r w:rsidR="002D1A22" w:rsidRPr="006B6C08">
        <w:rPr>
          <w:sz w:val="20"/>
          <w:szCs w:val="20"/>
        </w:rPr>
        <w:t xml:space="preserve"> all</w:t>
      </w:r>
      <w:r w:rsidR="00C94340" w:rsidRPr="006B6C08">
        <w:rPr>
          <w:sz w:val="20"/>
          <w:szCs w:val="20"/>
        </w:rPr>
        <w:t xml:space="preserve"> </w:t>
      </w:r>
      <w:r w:rsidR="006347A3" w:rsidRPr="006B6C08">
        <w:rPr>
          <w:bCs/>
          <w:sz w:val="20"/>
          <w:szCs w:val="20"/>
        </w:rPr>
        <w:t>acts of violence</w:t>
      </w:r>
      <w:r w:rsidR="007149D4" w:rsidRPr="006B6C08">
        <w:rPr>
          <w:bCs/>
          <w:sz w:val="20"/>
          <w:szCs w:val="20"/>
        </w:rPr>
        <w:t xml:space="preserve">, </w:t>
      </w:r>
      <w:r w:rsidR="006347A3" w:rsidRPr="006B6C08">
        <w:rPr>
          <w:bCs/>
          <w:sz w:val="20"/>
          <w:szCs w:val="20"/>
        </w:rPr>
        <w:t>threats</w:t>
      </w:r>
      <w:r w:rsidR="007149D4" w:rsidRPr="006B6C08">
        <w:rPr>
          <w:bCs/>
          <w:sz w:val="20"/>
          <w:szCs w:val="20"/>
        </w:rPr>
        <w:t xml:space="preserve"> and</w:t>
      </w:r>
      <w:r w:rsidR="006347A3" w:rsidRPr="006B6C08">
        <w:rPr>
          <w:bCs/>
          <w:sz w:val="20"/>
          <w:szCs w:val="20"/>
        </w:rPr>
        <w:t xml:space="preserve"> insults.</w:t>
      </w:r>
      <w:r w:rsidR="006347A3" w:rsidRPr="006B6C08">
        <w:rPr>
          <w:rStyle w:val="FootnoteReference"/>
          <w:bCs/>
          <w:sz w:val="20"/>
          <w:szCs w:val="20"/>
        </w:rPr>
        <w:footnoteReference w:id="80"/>
      </w:r>
      <w:r w:rsidR="006347A3" w:rsidRPr="006B6C08">
        <w:rPr>
          <w:sz w:val="20"/>
          <w:szCs w:val="20"/>
        </w:rPr>
        <w:t xml:space="preserve"> </w:t>
      </w:r>
      <w:r w:rsidR="00AA3401" w:rsidRPr="006B6C08">
        <w:rPr>
          <w:bCs/>
          <w:sz w:val="20"/>
          <w:szCs w:val="20"/>
        </w:rPr>
        <w:t>H</w:t>
      </w:r>
      <w:r w:rsidR="008B2BDE" w:rsidRPr="006B6C08">
        <w:rPr>
          <w:bCs/>
          <w:sz w:val="20"/>
          <w:szCs w:val="20"/>
        </w:rPr>
        <w:t>arassment and violence</w:t>
      </w:r>
      <w:r w:rsidR="00AA3401" w:rsidRPr="006B6C08">
        <w:rPr>
          <w:bCs/>
          <w:sz w:val="20"/>
          <w:szCs w:val="20"/>
        </w:rPr>
        <w:t xml:space="preserve"> b</w:t>
      </w:r>
      <w:r w:rsidR="00EA36EE" w:rsidRPr="006B6C08">
        <w:rPr>
          <w:bCs/>
          <w:sz w:val="20"/>
          <w:szCs w:val="20"/>
        </w:rPr>
        <w:t>y</w:t>
      </w:r>
      <w:r w:rsidR="00AA3401" w:rsidRPr="006B6C08">
        <w:rPr>
          <w:bCs/>
          <w:sz w:val="20"/>
          <w:szCs w:val="20"/>
        </w:rPr>
        <w:t xml:space="preserve"> settlers</w:t>
      </w:r>
      <w:r w:rsidR="008B2BDE" w:rsidRPr="006B6C08">
        <w:rPr>
          <w:bCs/>
          <w:sz w:val="20"/>
          <w:szCs w:val="20"/>
        </w:rPr>
        <w:t xml:space="preserve"> impede</w:t>
      </w:r>
      <w:r w:rsidR="00AA3401" w:rsidRPr="006B6C08">
        <w:rPr>
          <w:bCs/>
          <w:sz w:val="20"/>
          <w:szCs w:val="20"/>
        </w:rPr>
        <w:t>s</w:t>
      </w:r>
      <w:r w:rsidR="008B2BDE" w:rsidRPr="006B6C08">
        <w:rPr>
          <w:bCs/>
          <w:sz w:val="20"/>
          <w:szCs w:val="20"/>
        </w:rPr>
        <w:t xml:space="preserve"> the enjoyment of numerous human rights by the affected Palestinian population, including the right </w:t>
      </w:r>
      <w:r w:rsidR="00DB6761" w:rsidRPr="006B6C08">
        <w:rPr>
          <w:bCs/>
          <w:sz w:val="20"/>
          <w:szCs w:val="20"/>
        </w:rPr>
        <w:t xml:space="preserve">to life and physical integrity, </w:t>
      </w:r>
      <w:r w:rsidR="008B2BDE" w:rsidRPr="006B6C08">
        <w:rPr>
          <w:bCs/>
          <w:sz w:val="20"/>
          <w:szCs w:val="20"/>
        </w:rPr>
        <w:t>the right to privacy, family and home</w:t>
      </w:r>
      <w:r w:rsidR="00D522E9" w:rsidRPr="006B6C08">
        <w:rPr>
          <w:bCs/>
          <w:sz w:val="20"/>
          <w:szCs w:val="20"/>
        </w:rPr>
        <w:t>,</w:t>
      </w:r>
      <w:r w:rsidR="008B2BDE" w:rsidRPr="006B6C08">
        <w:rPr>
          <w:bCs/>
          <w:sz w:val="20"/>
          <w:szCs w:val="20"/>
        </w:rPr>
        <w:t xml:space="preserve"> and the right to an adequate standard of living.</w:t>
      </w:r>
      <w:r w:rsidR="008B2BDE" w:rsidRPr="006B6C08">
        <w:rPr>
          <w:rStyle w:val="FootnoteReference"/>
          <w:bCs/>
          <w:sz w:val="20"/>
          <w:szCs w:val="20"/>
        </w:rPr>
        <w:footnoteReference w:id="81"/>
      </w:r>
      <w:r w:rsidR="008B2BDE" w:rsidRPr="006B6C08">
        <w:rPr>
          <w:bCs/>
          <w:sz w:val="20"/>
          <w:szCs w:val="20"/>
        </w:rPr>
        <w:t xml:space="preserve"> </w:t>
      </w:r>
    </w:p>
    <w:p w:rsidR="008B2BDE" w:rsidRPr="006B6C08" w:rsidRDefault="006B6C08" w:rsidP="006B6C08">
      <w:pPr>
        <w:pStyle w:val="SingleTxtG"/>
        <w:outlineLvl w:val="0"/>
        <w:rPr>
          <w:sz w:val="20"/>
          <w:szCs w:val="20"/>
        </w:rPr>
      </w:pPr>
      <w:r w:rsidRPr="006B6C08">
        <w:rPr>
          <w:sz w:val="20"/>
          <w:szCs w:val="20"/>
        </w:rPr>
        <w:t>36.</w:t>
      </w:r>
      <w:r w:rsidRPr="006B6C08">
        <w:rPr>
          <w:sz w:val="20"/>
          <w:szCs w:val="20"/>
        </w:rPr>
        <w:tab/>
      </w:r>
      <w:r w:rsidR="007149D4" w:rsidRPr="006B6C08">
        <w:rPr>
          <w:bCs/>
          <w:sz w:val="20"/>
          <w:szCs w:val="20"/>
        </w:rPr>
        <w:t>Under its</w:t>
      </w:r>
      <w:r w:rsidR="008B2BDE" w:rsidRPr="006B6C08">
        <w:rPr>
          <w:bCs/>
          <w:sz w:val="20"/>
          <w:szCs w:val="20"/>
        </w:rPr>
        <w:t xml:space="preserve"> duty to respect, protect and fulfil the human rights of all individuals within its jurisdiction, without any discrimination, </w:t>
      </w:r>
      <w:r w:rsidR="008B2BDE" w:rsidRPr="006B6C08">
        <w:rPr>
          <w:sz w:val="20"/>
          <w:szCs w:val="20"/>
        </w:rPr>
        <w:t xml:space="preserve">Israel has the obligation to exercise due diligence to prevent, investigate, prosecute, punish and remedy </w:t>
      </w:r>
      <w:r w:rsidR="00DB367E" w:rsidRPr="006B6C08">
        <w:rPr>
          <w:sz w:val="20"/>
          <w:szCs w:val="20"/>
        </w:rPr>
        <w:t xml:space="preserve">any </w:t>
      </w:r>
      <w:r w:rsidR="008B2BDE" w:rsidRPr="006B6C08">
        <w:rPr>
          <w:sz w:val="20"/>
          <w:szCs w:val="20"/>
        </w:rPr>
        <w:t xml:space="preserve">harm sustained by Palestinians, whether </w:t>
      </w:r>
      <w:r w:rsidR="007149D4" w:rsidRPr="006B6C08">
        <w:rPr>
          <w:sz w:val="20"/>
          <w:szCs w:val="20"/>
        </w:rPr>
        <w:t xml:space="preserve">it </w:t>
      </w:r>
      <w:r w:rsidR="008B2BDE" w:rsidRPr="006B6C08">
        <w:rPr>
          <w:sz w:val="20"/>
          <w:szCs w:val="20"/>
        </w:rPr>
        <w:t>is caused by officials or private persons.</w:t>
      </w:r>
      <w:r w:rsidR="008B2BDE" w:rsidRPr="006B6C08">
        <w:rPr>
          <w:rStyle w:val="FootnoteReference"/>
          <w:sz w:val="20"/>
          <w:szCs w:val="20"/>
        </w:rPr>
        <w:footnoteReference w:id="82"/>
      </w:r>
    </w:p>
    <w:p w:rsidR="00DF055E" w:rsidRPr="006B6C08" w:rsidRDefault="006B6C08" w:rsidP="006B6C08">
      <w:pPr>
        <w:pStyle w:val="SingleTxtG"/>
        <w:outlineLvl w:val="0"/>
        <w:rPr>
          <w:sz w:val="20"/>
          <w:szCs w:val="20"/>
        </w:rPr>
      </w:pPr>
      <w:r w:rsidRPr="006B6C08">
        <w:rPr>
          <w:sz w:val="20"/>
          <w:szCs w:val="20"/>
        </w:rPr>
        <w:t>37.</w:t>
      </w:r>
      <w:r w:rsidRPr="006B6C08">
        <w:rPr>
          <w:sz w:val="20"/>
          <w:szCs w:val="20"/>
        </w:rPr>
        <w:tab/>
      </w:r>
      <w:r w:rsidR="007149D4" w:rsidRPr="006B6C08">
        <w:rPr>
          <w:sz w:val="20"/>
          <w:szCs w:val="20"/>
        </w:rPr>
        <w:t xml:space="preserve">Moreover, </w:t>
      </w:r>
      <w:r w:rsidR="00DF055E" w:rsidRPr="006B6C08">
        <w:rPr>
          <w:sz w:val="20"/>
          <w:szCs w:val="20"/>
        </w:rPr>
        <w:t>Israel should do its utmost to</w:t>
      </w:r>
      <w:r w:rsidR="00A47F71" w:rsidRPr="006B6C08">
        <w:rPr>
          <w:sz w:val="20"/>
          <w:szCs w:val="20"/>
        </w:rPr>
        <w:t xml:space="preserve"> ensure prompt and effective</w:t>
      </w:r>
      <w:r w:rsidR="00DF055E" w:rsidRPr="006B6C08">
        <w:rPr>
          <w:sz w:val="20"/>
          <w:szCs w:val="20"/>
        </w:rPr>
        <w:t xml:space="preserve"> investigat</w:t>
      </w:r>
      <w:r w:rsidR="00A47F71" w:rsidRPr="006B6C08">
        <w:rPr>
          <w:sz w:val="20"/>
          <w:szCs w:val="20"/>
        </w:rPr>
        <w:t>ions</w:t>
      </w:r>
      <w:r w:rsidR="00DF055E" w:rsidRPr="006B6C08">
        <w:rPr>
          <w:sz w:val="20"/>
          <w:szCs w:val="20"/>
        </w:rPr>
        <w:t xml:space="preserve"> </w:t>
      </w:r>
      <w:r w:rsidR="00933675" w:rsidRPr="006B6C08">
        <w:rPr>
          <w:sz w:val="20"/>
          <w:szCs w:val="20"/>
        </w:rPr>
        <w:t xml:space="preserve">into </w:t>
      </w:r>
      <w:r w:rsidR="00DF055E" w:rsidRPr="006B6C08">
        <w:rPr>
          <w:sz w:val="20"/>
          <w:szCs w:val="20"/>
        </w:rPr>
        <w:t>alleged violations and to prosecute suspected perpetrators.</w:t>
      </w:r>
      <w:r w:rsidR="00A47F71" w:rsidRPr="006B6C08">
        <w:rPr>
          <w:sz w:val="20"/>
          <w:szCs w:val="20"/>
          <w:vertAlign w:val="superscript"/>
        </w:rPr>
        <w:footnoteReference w:id="83"/>
      </w:r>
      <w:r w:rsidR="00DF055E" w:rsidRPr="006B6C08">
        <w:rPr>
          <w:sz w:val="20"/>
          <w:szCs w:val="20"/>
        </w:rPr>
        <w:t xml:space="preserve"> However, </w:t>
      </w:r>
      <w:r w:rsidR="009A6E74" w:rsidRPr="006B6C08">
        <w:rPr>
          <w:sz w:val="20"/>
          <w:szCs w:val="20"/>
        </w:rPr>
        <w:t>it is very rare that</w:t>
      </w:r>
      <w:r w:rsidR="00406B6A" w:rsidRPr="006B6C08">
        <w:rPr>
          <w:sz w:val="20"/>
          <w:szCs w:val="20"/>
        </w:rPr>
        <w:t xml:space="preserve"> </w:t>
      </w:r>
      <w:r w:rsidR="00DF055E" w:rsidRPr="006B6C08">
        <w:rPr>
          <w:sz w:val="20"/>
          <w:szCs w:val="20"/>
        </w:rPr>
        <w:t>police complaint</w:t>
      </w:r>
      <w:r w:rsidR="00406B6A" w:rsidRPr="006B6C08">
        <w:rPr>
          <w:sz w:val="20"/>
          <w:szCs w:val="20"/>
        </w:rPr>
        <w:t>s</w:t>
      </w:r>
      <w:r w:rsidR="00DF055E" w:rsidRPr="006B6C08">
        <w:rPr>
          <w:sz w:val="20"/>
          <w:szCs w:val="20"/>
        </w:rPr>
        <w:t xml:space="preserve"> filed by Palestinian</w:t>
      </w:r>
      <w:r w:rsidR="00406B6A" w:rsidRPr="006B6C08">
        <w:rPr>
          <w:sz w:val="20"/>
          <w:szCs w:val="20"/>
        </w:rPr>
        <w:t>s</w:t>
      </w:r>
      <w:r w:rsidR="00DF055E" w:rsidRPr="006B6C08">
        <w:rPr>
          <w:sz w:val="20"/>
          <w:szCs w:val="20"/>
        </w:rPr>
        <w:t xml:space="preserve"> in the West Bank</w:t>
      </w:r>
      <w:r w:rsidR="007149D4" w:rsidRPr="006B6C08">
        <w:rPr>
          <w:sz w:val="20"/>
          <w:szCs w:val="20"/>
        </w:rPr>
        <w:t xml:space="preserve"> </w:t>
      </w:r>
      <w:r w:rsidR="00DF055E" w:rsidRPr="006B6C08">
        <w:rPr>
          <w:sz w:val="20"/>
          <w:szCs w:val="20"/>
        </w:rPr>
        <w:t>lead to an investigation</w:t>
      </w:r>
      <w:r w:rsidR="009A6E74" w:rsidRPr="006B6C08">
        <w:rPr>
          <w:sz w:val="20"/>
          <w:szCs w:val="20"/>
        </w:rPr>
        <w:t>,</w:t>
      </w:r>
      <w:r w:rsidR="007149D4" w:rsidRPr="006B6C08">
        <w:rPr>
          <w:sz w:val="20"/>
          <w:szCs w:val="20"/>
        </w:rPr>
        <w:t xml:space="preserve"> let alone </w:t>
      </w:r>
      <w:r w:rsidR="00DF055E" w:rsidRPr="006B6C08">
        <w:rPr>
          <w:sz w:val="20"/>
          <w:szCs w:val="20"/>
        </w:rPr>
        <w:t>an indictment.</w:t>
      </w:r>
      <w:r w:rsidR="00DF055E" w:rsidRPr="006B6C08">
        <w:rPr>
          <w:rStyle w:val="FootnoteReference"/>
          <w:sz w:val="20"/>
          <w:szCs w:val="20"/>
        </w:rPr>
        <w:footnoteReference w:id="84"/>
      </w:r>
      <w:r w:rsidR="00DF055E" w:rsidRPr="006B6C08">
        <w:rPr>
          <w:sz w:val="20"/>
          <w:szCs w:val="20"/>
        </w:rPr>
        <w:t xml:space="preserve"> </w:t>
      </w:r>
      <w:r w:rsidR="00AA3401" w:rsidRPr="006B6C08">
        <w:rPr>
          <w:sz w:val="20"/>
          <w:szCs w:val="20"/>
        </w:rPr>
        <w:t>The</w:t>
      </w:r>
      <w:r w:rsidR="00DF055E" w:rsidRPr="006B6C08">
        <w:rPr>
          <w:sz w:val="20"/>
          <w:szCs w:val="20"/>
        </w:rPr>
        <w:t xml:space="preserve"> Israeli authorities</w:t>
      </w:r>
      <w:r w:rsidR="00AA3401" w:rsidRPr="006B6C08">
        <w:rPr>
          <w:sz w:val="20"/>
          <w:szCs w:val="20"/>
        </w:rPr>
        <w:t xml:space="preserve"> have recently made efforts</w:t>
      </w:r>
      <w:r w:rsidR="00DF055E" w:rsidRPr="006B6C08">
        <w:rPr>
          <w:sz w:val="20"/>
          <w:szCs w:val="20"/>
        </w:rPr>
        <w:t xml:space="preserve"> to address the issue of settler violence, including through intensified law enforcement activity and increased presence</w:t>
      </w:r>
      <w:r w:rsidR="00BD63B8" w:rsidRPr="006B6C08">
        <w:rPr>
          <w:sz w:val="20"/>
          <w:szCs w:val="20"/>
        </w:rPr>
        <w:t xml:space="preserve"> of the Israel </w:t>
      </w:r>
      <w:r w:rsidR="00DE3FD3" w:rsidRPr="006B6C08">
        <w:rPr>
          <w:sz w:val="20"/>
          <w:szCs w:val="20"/>
        </w:rPr>
        <w:t xml:space="preserve">Defense </w:t>
      </w:r>
      <w:r w:rsidR="00BD63B8" w:rsidRPr="006B6C08">
        <w:rPr>
          <w:sz w:val="20"/>
          <w:szCs w:val="20"/>
        </w:rPr>
        <w:t>Forces (IDF)</w:t>
      </w:r>
      <w:r w:rsidR="00DF055E" w:rsidRPr="006B6C08">
        <w:rPr>
          <w:sz w:val="20"/>
          <w:szCs w:val="20"/>
        </w:rPr>
        <w:t>.</w:t>
      </w:r>
      <w:r w:rsidR="00DF055E" w:rsidRPr="006B6C08">
        <w:rPr>
          <w:rStyle w:val="FootnoteReference"/>
          <w:sz w:val="20"/>
          <w:szCs w:val="20"/>
        </w:rPr>
        <w:footnoteReference w:id="85"/>
      </w:r>
      <w:r w:rsidR="00DF055E" w:rsidRPr="006B6C08">
        <w:rPr>
          <w:sz w:val="20"/>
          <w:szCs w:val="20"/>
        </w:rPr>
        <w:t xml:space="preserve">  These measures have been linked to a </w:t>
      </w:r>
      <w:r w:rsidR="009E54A2" w:rsidRPr="006B6C08">
        <w:rPr>
          <w:sz w:val="20"/>
          <w:szCs w:val="20"/>
        </w:rPr>
        <w:t xml:space="preserve">steady </w:t>
      </w:r>
      <w:r w:rsidR="00DF055E" w:rsidRPr="006B6C08">
        <w:rPr>
          <w:sz w:val="20"/>
          <w:szCs w:val="20"/>
        </w:rPr>
        <w:t>decline in recorded incidents of settler violence</w:t>
      </w:r>
      <w:r w:rsidR="009E54A2" w:rsidRPr="006B6C08">
        <w:rPr>
          <w:sz w:val="20"/>
          <w:szCs w:val="20"/>
        </w:rPr>
        <w:t xml:space="preserve"> over the past three years</w:t>
      </w:r>
      <w:r w:rsidR="00AA3401" w:rsidRPr="006B6C08">
        <w:rPr>
          <w:sz w:val="20"/>
          <w:szCs w:val="20"/>
        </w:rPr>
        <w:t xml:space="preserve">. </w:t>
      </w:r>
      <w:r w:rsidR="009E54A2" w:rsidRPr="006B6C08">
        <w:rPr>
          <w:sz w:val="20"/>
          <w:szCs w:val="20"/>
        </w:rPr>
        <w:t>This trend nevertheless contrasts with the exceptional degree of violence of some attacks in 2015</w:t>
      </w:r>
      <w:r w:rsidR="00DF055E" w:rsidRPr="006B6C08">
        <w:rPr>
          <w:sz w:val="20"/>
          <w:szCs w:val="20"/>
        </w:rPr>
        <w:t>.</w:t>
      </w:r>
      <w:r w:rsidR="00DF055E" w:rsidRPr="006B6C08">
        <w:rPr>
          <w:rStyle w:val="FootnoteReference"/>
          <w:sz w:val="20"/>
          <w:szCs w:val="20"/>
        </w:rPr>
        <w:footnoteReference w:id="86"/>
      </w:r>
    </w:p>
    <w:p w:rsidR="00DF055E" w:rsidRPr="006B6C08" w:rsidRDefault="00DF055E" w:rsidP="00DF055E">
      <w:pPr>
        <w:pStyle w:val="SingleTxtG"/>
        <w:outlineLvl w:val="0"/>
        <w:rPr>
          <w:b/>
          <w:i/>
          <w:sz w:val="20"/>
          <w:szCs w:val="20"/>
        </w:rPr>
      </w:pPr>
      <w:r w:rsidRPr="006B6C08">
        <w:rPr>
          <w:b/>
          <w:bCs/>
          <w:i/>
          <w:sz w:val="20"/>
          <w:szCs w:val="20"/>
        </w:rPr>
        <w:t>Application of Israeli Law in the West Bank</w:t>
      </w:r>
    </w:p>
    <w:p w:rsidR="00DF055E" w:rsidRPr="006B6C08" w:rsidRDefault="006B6C08" w:rsidP="006B6C08">
      <w:pPr>
        <w:pStyle w:val="SingleTxtG"/>
        <w:outlineLvl w:val="0"/>
        <w:rPr>
          <w:rFonts w:eastAsia="Calibri"/>
          <w:sz w:val="20"/>
          <w:szCs w:val="20"/>
        </w:rPr>
      </w:pPr>
      <w:r w:rsidRPr="006B6C08">
        <w:rPr>
          <w:rFonts w:eastAsia="Calibri"/>
          <w:sz w:val="20"/>
          <w:szCs w:val="20"/>
        </w:rPr>
        <w:t>38.</w:t>
      </w:r>
      <w:r w:rsidRPr="006B6C08">
        <w:rPr>
          <w:rFonts w:eastAsia="Calibri"/>
          <w:sz w:val="20"/>
          <w:szCs w:val="20"/>
        </w:rPr>
        <w:tab/>
      </w:r>
      <w:r w:rsidR="008B2BDE" w:rsidRPr="006B6C08">
        <w:rPr>
          <w:sz w:val="20"/>
          <w:szCs w:val="20"/>
        </w:rPr>
        <w:t xml:space="preserve">In the West Bank, Israeli domestic law </w:t>
      </w:r>
      <w:r w:rsidR="00084636" w:rsidRPr="006B6C08">
        <w:rPr>
          <w:sz w:val="20"/>
          <w:szCs w:val="20"/>
        </w:rPr>
        <w:t xml:space="preserve">is applied </w:t>
      </w:r>
      <w:r w:rsidR="003B3D18" w:rsidRPr="006B6C08">
        <w:rPr>
          <w:sz w:val="20"/>
          <w:szCs w:val="20"/>
        </w:rPr>
        <w:t xml:space="preserve">extraterritorially </w:t>
      </w:r>
      <w:r w:rsidR="008B2BDE" w:rsidRPr="006B6C08">
        <w:rPr>
          <w:sz w:val="20"/>
          <w:szCs w:val="20"/>
        </w:rPr>
        <w:t xml:space="preserve">to </w:t>
      </w:r>
      <w:r w:rsidR="00AA3401" w:rsidRPr="006B6C08">
        <w:rPr>
          <w:sz w:val="20"/>
          <w:szCs w:val="20"/>
        </w:rPr>
        <w:t xml:space="preserve">Israeli </w:t>
      </w:r>
      <w:r w:rsidR="008B2BDE" w:rsidRPr="006B6C08">
        <w:rPr>
          <w:sz w:val="20"/>
          <w:szCs w:val="20"/>
        </w:rPr>
        <w:t xml:space="preserve">settlers, while Palestinians are subject to Israeli military law in addition to </w:t>
      </w:r>
      <w:r w:rsidR="002054C9" w:rsidRPr="006B6C08">
        <w:rPr>
          <w:sz w:val="20"/>
          <w:szCs w:val="20"/>
        </w:rPr>
        <w:t>the Palestinian legal system</w:t>
      </w:r>
      <w:r w:rsidR="008B2BDE" w:rsidRPr="006B6C08">
        <w:rPr>
          <w:sz w:val="20"/>
          <w:szCs w:val="20"/>
        </w:rPr>
        <w:t xml:space="preserve">. The resulting </w:t>
      </w:r>
      <w:r w:rsidR="008B2BDE" w:rsidRPr="006B6C08">
        <w:rPr>
          <w:bCs/>
          <w:sz w:val="20"/>
          <w:szCs w:val="20"/>
        </w:rPr>
        <w:t>differentiation</w:t>
      </w:r>
      <w:r w:rsidR="008B2BDE" w:rsidRPr="006B6C08">
        <w:rPr>
          <w:sz w:val="20"/>
          <w:szCs w:val="20"/>
        </w:rPr>
        <w:t xml:space="preserve"> is particularly problematic as regards criminal matters.</w:t>
      </w:r>
      <w:r w:rsidR="003B3D18" w:rsidRPr="006B6C08">
        <w:rPr>
          <w:rStyle w:val="FootnoteReference"/>
          <w:sz w:val="20"/>
          <w:szCs w:val="20"/>
        </w:rPr>
        <w:footnoteReference w:id="87"/>
      </w:r>
      <w:r w:rsidR="008B2BDE" w:rsidRPr="006B6C08">
        <w:rPr>
          <w:sz w:val="20"/>
          <w:szCs w:val="20"/>
        </w:rPr>
        <w:t xml:space="preserve"> While Israeli settlers are tried under Israeli penal law in civilian courts in Israel, Palestinian</w:t>
      </w:r>
      <w:r w:rsidR="00C41E08" w:rsidRPr="006B6C08">
        <w:rPr>
          <w:sz w:val="20"/>
          <w:szCs w:val="20"/>
        </w:rPr>
        <w:t>s</w:t>
      </w:r>
      <w:r w:rsidR="008B2BDE" w:rsidRPr="006B6C08">
        <w:rPr>
          <w:sz w:val="20"/>
          <w:szCs w:val="20"/>
        </w:rPr>
        <w:t xml:space="preserve"> are prosecuted under Israeli military law</w:t>
      </w:r>
      <w:r w:rsidR="002054C9" w:rsidRPr="006B6C08">
        <w:rPr>
          <w:sz w:val="20"/>
          <w:szCs w:val="20"/>
        </w:rPr>
        <w:t xml:space="preserve"> for security offences and </w:t>
      </w:r>
      <w:r w:rsidR="007E4289" w:rsidRPr="006B6C08">
        <w:rPr>
          <w:sz w:val="20"/>
          <w:szCs w:val="20"/>
        </w:rPr>
        <w:t xml:space="preserve">other crimes </w:t>
      </w:r>
      <w:r w:rsidR="007E4289" w:rsidRPr="006B6C08">
        <w:rPr>
          <w:sz w:val="20"/>
          <w:szCs w:val="20"/>
        </w:rPr>
        <w:lastRenderedPageBreak/>
        <w:t>as defined by military orders</w:t>
      </w:r>
      <w:r w:rsidR="008B2BDE" w:rsidRPr="006B6C08">
        <w:rPr>
          <w:sz w:val="20"/>
          <w:szCs w:val="20"/>
        </w:rPr>
        <w:t xml:space="preserve">. It is </w:t>
      </w:r>
      <w:r w:rsidR="00B45CE0" w:rsidRPr="006B6C08">
        <w:rPr>
          <w:sz w:val="20"/>
          <w:szCs w:val="20"/>
        </w:rPr>
        <w:t>notable</w:t>
      </w:r>
      <w:r w:rsidR="008D130A" w:rsidRPr="006B6C08">
        <w:rPr>
          <w:sz w:val="20"/>
          <w:szCs w:val="20"/>
        </w:rPr>
        <w:t xml:space="preserve"> </w:t>
      </w:r>
      <w:r w:rsidR="008B2BDE" w:rsidRPr="006B6C08">
        <w:rPr>
          <w:sz w:val="20"/>
          <w:szCs w:val="20"/>
        </w:rPr>
        <w:t>that</w:t>
      </w:r>
      <w:proofErr w:type="gramStart"/>
      <w:r w:rsidR="008B2BDE" w:rsidRPr="006B6C08">
        <w:rPr>
          <w:sz w:val="20"/>
          <w:szCs w:val="20"/>
        </w:rPr>
        <w:t>,  Israeli</w:t>
      </w:r>
      <w:proofErr w:type="gramEnd"/>
      <w:r w:rsidR="008B2BDE" w:rsidRPr="006B6C08">
        <w:rPr>
          <w:sz w:val="20"/>
          <w:szCs w:val="20"/>
        </w:rPr>
        <w:t xml:space="preserve"> domestic law provides more </w:t>
      </w:r>
      <w:r w:rsidR="00A42E40" w:rsidRPr="006B6C08">
        <w:rPr>
          <w:sz w:val="20"/>
          <w:szCs w:val="20"/>
        </w:rPr>
        <w:t xml:space="preserve">procedural </w:t>
      </w:r>
      <w:r w:rsidR="00735776" w:rsidRPr="006B6C08">
        <w:rPr>
          <w:sz w:val="20"/>
          <w:szCs w:val="20"/>
        </w:rPr>
        <w:t xml:space="preserve">guarantees </w:t>
      </w:r>
      <w:r w:rsidR="008B2BDE" w:rsidRPr="006B6C08">
        <w:rPr>
          <w:sz w:val="20"/>
          <w:szCs w:val="20"/>
        </w:rPr>
        <w:t>to the suspect and defendant than Israeli military law</w:t>
      </w:r>
      <w:r w:rsidR="003D0A3B" w:rsidRPr="006B6C08">
        <w:rPr>
          <w:sz w:val="20"/>
          <w:szCs w:val="20"/>
        </w:rPr>
        <w:t xml:space="preserve"> for the same offence</w:t>
      </w:r>
      <w:r w:rsidR="008B2BDE" w:rsidRPr="006B6C08">
        <w:rPr>
          <w:sz w:val="20"/>
          <w:szCs w:val="20"/>
        </w:rPr>
        <w:t>.</w:t>
      </w:r>
      <w:r w:rsidR="008B2BDE" w:rsidRPr="006B6C08">
        <w:rPr>
          <w:rStyle w:val="FootnoteReference"/>
          <w:sz w:val="20"/>
          <w:szCs w:val="20"/>
        </w:rPr>
        <w:footnoteReference w:id="88"/>
      </w:r>
    </w:p>
    <w:p w:rsidR="004B5BF6" w:rsidRPr="006B6C08" w:rsidRDefault="006B6C08" w:rsidP="006B6C08">
      <w:pPr>
        <w:pStyle w:val="SingleTxtG"/>
        <w:outlineLvl w:val="0"/>
        <w:rPr>
          <w:sz w:val="20"/>
          <w:szCs w:val="20"/>
        </w:rPr>
      </w:pPr>
      <w:r w:rsidRPr="006B6C08">
        <w:rPr>
          <w:sz w:val="20"/>
          <w:szCs w:val="20"/>
        </w:rPr>
        <w:t>39.</w:t>
      </w:r>
      <w:r w:rsidRPr="006B6C08">
        <w:rPr>
          <w:sz w:val="20"/>
          <w:szCs w:val="20"/>
        </w:rPr>
        <w:tab/>
      </w:r>
      <w:r w:rsidR="009161A4" w:rsidRPr="006B6C08">
        <w:rPr>
          <w:sz w:val="20"/>
          <w:szCs w:val="20"/>
        </w:rPr>
        <w:t>T</w:t>
      </w:r>
      <w:r w:rsidR="008B2BDE" w:rsidRPr="006B6C08">
        <w:rPr>
          <w:sz w:val="20"/>
          <w:szCs w:val="20"/>
        </w:rPr>
        <w:t>he application of two different legal systems in the same territory, on the sole basis of nationality or origin, is inherently discriminatory.</w:t>
      </w:r>
      <w:r w:rsidR="008B2BDE" w:rsidRPr="006B6C08">
        <w:rPr>
          <w:rStyle w:val="FootnoteReference"/>
          <w:sz w:val="20"/>
          <w:szCs w:val="20"/>
        </w:rPr>
        <w:footnoteReference w:id="89"/>
      </w:r>
      <w:r w:rsidR="008B2BDE" w:rsidRPr="006B6C08">
        <w:rPr>
          <w:sz w:val="20"/>
          <w:szCs w:val="20"/>
        </w:rPr>
        <w:t xml:space="preserve"> It also violates the principle of equality before the law which is central to the right to a fair trial.</w:t>
      </w:r>
      <w:r w:rsidR="008B2BDE" w:rsidRPr="006B6C08">
        <w:rPr>
          <w:rStyle w:val="FootnoteReference"/>
          <w:sz w:val="20"/>
          <w:szCs w:val="20"/>
        </w:rPr>
        <w:footnoteReference w:id="90"/>
      </w:r>
      <w:r w:rsidR="009161A4" w:rsidRPr="006B6C08">
        <w:rPr>
          <w:sz w:val="20"/>
          <w:szCs w:val="20"/>
        </w:rPr>
        <w:t xml:space="preserve"> The application of Israeli domestic law to settlers and of Israeli military law to Palestinians in the West Bank also raise</w:t>
      </w:r>
      <w:r w:rsidR="00BB729E" w:rsidRPr="006B6C08">
        <w:rPr>
          <w:sz w:val="20"/>
          <w:szCs w:val="20"/>
        </w:rPr>
        <w:t>s</w:t>
      </w:r>
      <w:r w:rsidR="009161A4" w:rsidRPr="006B6C08">
        <w:rPr>
          <w:sz w:val="20"/>
          <w:szCs w:val="20"/>
        </w:rPr>
        <w:t xml:space="preserve"> concerns as to the obligation of the occupying power to respect the laws in force in the territory it occupies, unless absolutely prevented.</w:t>
      </w:r>
      <w:r w:rsidR="009161A4" w:rsidRPr="006B6C08">
        <w:rPr>
          <w:rStyle w:val="FootnoteReference"/>
          <w:sz w:val="20"/>
          <w:szCs w:val="20"/>
        </w:rPr>
        <w:footnoteReference w:id="91"/>
      </w:r>
    </w:p>
    <w:p w:rsidR="004B5BF6" w:rsidRPr="006B6C08" w:rsidRDefault="004B5BF6" w:rsidP="004B5BF6">
      <w:pPr>
        <w:pStyle w:val="H1G"/>
      </w:pPr>
      <w:r w:rsidRPr="006B6C08">
        <w:tab/>
        <w:t>B.</w:t>
      </w:r>
      <w:r w:rsidRPr="006B6C08">
        <w:tab/>
        <w:t>Obligations of all parties related to the conduct of hostilities</w:t>
      </w:r>
    </w:p>
    <w:p w:rsidR="004B5BF6" w:rsidRPr="006B6C08" w:rsidRDefault="006B6C08" w:rsidP="006B6C08">
      <w:pPr>
        <w:pStyle w:val="SingleTxtG"/>
        <w:outlineLvl w:val="0"/>
        <w:rPr>
          <w:bCs/>
          <w:sz w:val="20"/>
          <w:szCs w:val="20"/>
        </w:rPr>
      </w:pPr>
      <w:r w:rsidRPr="006B6C08">
        <w:rPr>
          <w:bCs/>
          <w:sz w:val="20"/>
          <w:szCs w:val="20"/>
        </w:rPr>
        <w:t>40.</w:t>
      </w:r>
      <w:r w:rsidRPr="006B6C08">
        <w:rPr>
          <w:bCs/>
          <w:sz w:val="20"/>
          <w:szCs w:val="20"/>
        </w:rPr>
        <w:tab/>
      </w:r>
      <w:r w:rsidR="008B2BDE" w:rsidRPr="006B6C08">
        <w:rPr>
          <w:sz w:val="20"/>
          <w:szCs w:val="20"/>
        </w:rPr>
        <w:t>Since 200</w:t>
      </w:r>
      <w:r w:rsidR="009B270E" w:rsidRPr="006B6C08">
        <w:rPr>
          <w:sz w:val="20"/>
          <w:szCs w:val="20"/>
        </w:rPr>
        <w:t>7</w:t>
      </w:r>
      <w:r w:rsidR="008B2BDE" w:rsidRPr="006B6C08">
        <w:rPr>
          <w:sz w:val="20"/>
          <w:szCs w:val="20"/>
        </w:rPr>
        <w:t xml:space="preserve">, </w:t>
      </w:r>
      <w:r w:rsidR="00BF5A71" w:rsidRPr="006B6C08">
        <w:rPr>
          <w:sz w:val="20"/>
          <w:szCs w:val="20"/>
        </w:rPr>
        <w:t>there have been</w:t>
      </w:r>
      <w:r w:rsidR="009B270E" w:rsidRPr="006B6C08">
        <w:rPr>
          <w:sz w:val="20"/>
          <w:szCs w:val="20"/>
        </w:rPr>
        <w:t xml:space="preserve"> three</w:t>
      </w:r>
      <w:r w:rsidR="008B2BDE" w:rsidRPr="006B6C08">
        <w:rPr>
          <w:sz w:val="20"/>
          <w:szCs w:val="20"/>
        </w:rPr>
        <w:t xml:space="preserve"> </w:t>
      </w:r>
      <w:r w:rsidR="00CE7C1D" w:rsidRPr="006B6C08">
        <w:rPr>
          <w:sz w:val="20"/>
          <w:szCs w:val="20"/>
        </w:rPr>
        <w:t>major escalations in Gaza</w:t>
      </w:r>
      <w:r w:rsidR="00E748BC" w:rsidRPr="006B6C08">
        <w:rPr>
          <w:sz w:val="20"/>
          <w:szCs w:val="20"/>
        </w:rPr>
        <w:t xml:space="preserve"> which </w:t>
      </w:r>
      <w:r w:rsidR="008B2BDE" w:rsidRPr="006B6C08">
        <w:rPr>
          <w:rFonts w:eastAsia="Calibri"/>
          <w:sz w:val="20"/>
          <w:szCs w:val="20"/>
        </w:rPr>
        <w:t>resulted</w:t>
      </w:r>
      <w:r w:rsidR="008B2BDE" w:rsidRPr="006B6C08">
        <w:rPr>
          <w:sz w:val="20"/>
          <w:szCs w:val="20"/>
        </w:rPr>
        <w:t xml:space="preserve"> in </w:t>
      </w:r>
      <w:r w:rsidR="00211F9E" w:rsidRPr="006B6C08">
        <w:rPr>
          <w:sz w:val="20"/>
          <w:szCs w:val="20"/>
        </w:rPr>
        <w:t xml:space="preserve">3,808 </w:t>
      </w:r>
      <w:r w:rsidR="008B2BDE" w:rsidRPr="006B6C08">
        <w:rPr>
          <w:sz w:val="20"/>
          <w:szCs w:val="20"/>
        </w:rPr>
        <w:t>Palestinian fatalities,</w:t>
      </w:r>
      <w:r w:rsidR="00211F9E" w:rsidRPr="006B6C08">
        <w:rPr>
          <w:sz w:val="20"/>
          <w:szCs w:val="20"/>
        </w:rPr>
        <w:t xml:space="preserve"> including 928 children.</w:t>
      </w:r>
      <w:r w:rsidR="00211F9E" w:rsidRPr="006B6C08">
        <w:rPr>
          <w:rStyle w:val="FootnoteReference"/>
          <w:sz w:val="20"/>
          <w:szCs w:val="20"/>
        </w:rPr>
        <w:footnoteReference w:id="92"/>
      </w:r>
      <w:r w:rsidR="008B2BDE" w:rsidRPr="006B6C08">
        <w:rPr>
          <w:sz w:val="20"/>
          <w:szCs w:val="20"/>
        </w:rPr>
        <w:t xml:space="preserve"> </w:t>
      </w:r>
      <w:r w:rsidR="00211F9E" w:rsidRPr="006B6C08">
        <w:rPr>
          <w:sz w:val="20"/>
          <w:szCs w:val="20"/>
        </w:rPr>
        <w:t>During the</w:t>
      </w:r>
      <w:r w:rsidR="00BD63B8" w:rsidRPr="006B6C08">
        <w:rPr>
          <w:sz w:val="20"/>
          <w:szCs w:val="20"/>
        </w:rPr>
        <w:t xml:space="preserve"> latest</w:t>
      </w:r>
      <w:r w:rsidR="00211F9E" w:rsidRPr="006B6C08">
        <w:rPr>
          <w:sz w:val="20"/>
          <w:szCs w:val="20"/>
        </w:rPr>
        <w:t xml:space="preserve"> escalation of hostilities</w:t>
      </w:r>
      <w:r w:rsidR="00BD63B8" w:rsidRPr="006B6C08">
        <w:rPr>
          <w:sz w:val="20"/>
          <w:szCs w:val="20"/>
        </w:rPr>
        <w:t xml:space="preserve"> in July-August 2014</w:t>
      </w:r>
      <w:r w:rsidR="00211F9E" w:rsidRPr="006B6C08">
        <w:rPr>
          <w:sz w:val="20"/>
          <w:szCs w:val="20"/>
        </w:rPr>
        <w:t xml:space="preserve">, </w:t>
      </w:r>
      <w:r w:rsidR="00BD63B8" w:rsidRPr="006B6C08">
        <w:rPr>
          <w:sz w:val="20"/>
          <w:szCs w:val="20"/>
        </w:rPr>
        <w:t xml:space="preserve">1460 civilians, including 556 children were killed, and </w:t>
      </w:r>
      <w:r w:rsidR="00211F9E" w:rsidRPr="006B6C08">
        <w:rPr>
          <w:sz w:val="20"/>
          <w:szCs w:val="20"/>
        </w:rPr>
        <w:t>82</w:t>
      </w:r>
      <w:r w:rsidR="00BB729E" w:rsidRPr="006B6C08">
        <w:rPr>
          <w:sz w:val="20"/>
          <w:szCs w:val="20"/>
        </w:rPr>
        <w:t xml:space="preserve"> </w:t>
      </w:r>
      <w:r w:rsidR="008B2BDE" w:rsidRPr="006B6C08">
        <w:rPr>
          <w:sz w:val="20"/>
          <w:szCs w:val="20"/>
        </w:rPr>
        <w:t xml:space="preserve">hospitals and </w:t>
      </w:r>
      <w:r w:rsidR="00211F9E" w:rsidRPr="006B6C08">
        <w:rPr>
          <w:sz w:val="20"/>
          <w:szCs w:val="20"/>
        </w:rPr>
        <w:t xml:space="preserve">295 schools </w:t>
      </w:r>
      <w:r w:rsidR="008B2BDE" w:rsidRPr="006B6C08">
        <w:rPr>
          <w:sz w:val="20"/>
          <w:szCs w:val="20"/>
        </w:rPr>
        <w:t xml:space="preserve">destroyed or damaged. In total </w:t>
      </w:r>
      <w:r w:rsidR="00211F9E" w:rsidRPr="006B6C08">
        <w:rPr>
          <w:sz w:val="20"/>
          <w:szCs w:val="20"/>
        </w:rPr>
        <w:t xml:space="preserve">90 </w:t>
      </w:r>
      <w:r w:rsidR="008B2BDE" w:rsidRPr="006B6C08">
        <w:rPr>
          <w:sz w:val="20"/>
          <w:szCs w:val="20"/>
        </w:rPr>
        <w:t>Israeli</w:t>
      </w:r>
      <w:r w:rsidR="00211F9E" w:rsidRPr="006B6C08">
        <w:rPr>
          <w:sz w:val="20"/>
          <w:szCs w:val="20"/>
        </w:rPr>
        <w:t>s, including 11</w:t>
      </w:r>
      <w:r w:rsidR="008B2BDE" w:rsidRPr="006B6C08">
        <w:rPr>
          <w:sz w:val="20"/>
          <w:szCs w:val="20"/>
        </w:rPr>
        <w:t xml:space="preserve"> </w:t>
      </w:r>
      <w:proofErr w:type="gramStart"/>
      <w:r w:rsidR="008B2BDE" w:rsidRPr="006B6C08">
        <w:rPr>
          <w:sz w:val="20"/>
          <w:szCs w:val="20"/>
        </w:rPr>
        <w:t>civilians</w:t>
      </w:r>
      <w:r w:rsidR="00211F9E" w:rsidRPr="006B6C08">
        <w:rPr>
          <w:sz w:val="20"/>
          <w:szCs w:val="20"/>
        </w:rPr>
        <w:t>,</w:t>
      </w:r>
      <w:proofErr w:type="gramEnd"/>
      <w:r w:rsidR="008B2BDE" w:rsidRPr="006B6C08">
        <w:rPr>
          <w:sz w:val="20"/>
          <w:szCs w:val="20"/>
        </w:rPr>
        <w:t xml:space="preserve"> were killed.</w:t>
      </w:r>
      <w:r w:rsidR="00BD63B8" w:rsidRPr="006B6C08">
        <w:rPr>
          <w:rStyle w:val="FootnoteReference"/>
          <w:sz w:val="20"/>
          <w:szCs w:val="20"/>
        </w:rPr>
        <w:footnoteReference w:id="93"/>
      </w:r>
    </w:p>
    <w:p w:rsidR="00643111" w:rsidRPr="006B6C08" w:rsidRDefault="006B6C08" w:rsidP="006B6C08">
      <w:pPr>
        <w:pStyle w:val="SingleTxtG"/>
        <w:outlineLvl w:val="0"/>
        <w:rPr>
          <w:sz w:val="20"/>
          <w:szCs w:val="20"/>
        </w:rPr>
      </w:pPr>
      <w:r w:rsidRPr="006B6C08">
        <w:rPr>
          <w:sz w:val="20"/>
          <w:szCs w:val="20"/>
        </w:rPr>
        <w:t>41.</w:t>
      </w:r>
      <w:r w:rsidRPr="006B6C08">
        <w:rPr>
          <w:sz w:val="20"/>
          <w:szCs w:val="20"/>
        </w:rPr>
        <w:tab/>
      </w:r>
      <w:r w:rsidR="008B2BDE" w:rsidRPr="006B6C08">
        <w:rPr>
          <w:sz w:val="20"/>
          <w:szCs w:val="20"/>
        </w:rPr>
        <w:t xml:space="preserve">More than two years after the 2014 escalation of hostilities, serious concerns persist </w:t>
      </w:r>
      <w:r w:rsidR="005D7AA8" w:rsidRPr="006B6C08">
        <w:rPr>
          <w:sz w:val="20"/>
          <w:szCs w:val="20"/>
        </w:rPr>
        <w:t xml:space="preserve">concerning </w:t>
      </w:r>
      <w:r w:rsidR="008B2BDE" w:rsidRPr="006B6C08">
        <w:rPr>
          <w:sz w:val="20"/>
          <w:szCs w:val="20"/>
        </w:rPr>
        <w:t xml:space="preserve">the lack of accountability by the Israeli and Palestinian authorities </w:t>
      </w:r>
      <w:r w:rsidR="005D7AA8" w:rsidRPr="006B6C08">
        <w:rPr>
          <w:sz w:val="20"/>
          <w:szCs w:val="20"/>
        </w:rPr>
        <w:t xml:space="preserve">with </w:t>
      </w:r>
      <w:r w:rsidR="00E748BC" w:rsidRPr="006B6C08">
        <w:rPr>
          <w:sz w:val="20"/>
          <w:szCs w:val="20"/>
        </w:rPr>
        <w:t>regard</w:t>
      </w:r>
      <w:r w:rsidR="005D7AA8" w:rsidRPr="006B6C08">
        <w:rPr>
          <w:sz w:val="20"/>
          <w:szCs w:val="20"/>
        </w:rPr>
        <w:t xml:space="preserve"> to </w:t>
      </w:r>
      <w:r w:rsidR="008B2BDE" w:rsidRPr="006B6C08">
        <w:rPr>
          <w:sz w:val="20"/>
          <w:szCs w:val="20"/>
        </w:rPr>
        <w:t>alleged violation</w:t>
      </w:r>
      <w:r w:rsidR="00EE7222" w:rsidRPr="006B6C08">
        <w:rPr>
          <w:sz w:val="20"/>
          <w:szCs w:val="20"/>
        </w:rPr>
        <w:t>s</w:t>
      </w:r>
      <w:r w:rsidR="008B2BDE" w:rsidRPr="006B6C08">
        <w:rPr>
          <w:sz w:val="20"/>
          <w:szCs w:val="20"/>
        </w:rPr>
        <w:t xml:space="preserve"> of </w:t>
      </w:r>
      <w:r w:rsidR="00EE7222" w:rsidRPr="006B6C08">
        <w:rPr>
          <w:sz w:val="20"/>
          <w:szCs w:val="20"/>
        </w:rPr>
        <w:t>international humanitarian law</w:t>
      </w:r>
      <w:r w:rsidR="008B2BDE" w:rsidRPr="006B6C08">
        <w:rPr>
          <w:sz w:val="20"/>
          <w:szCs w:val="20"/>
        </w:rPr>
        <w:t xml:space="preserve"> – including </w:t>
      </w:r>
      <w:r w:rsidR="00DA1757" w:rsidRPr="006B6C08">
        <w:rPr>
          <w:sz w:val="20"/>
          <w:szCs w:val="20"/>
        </w:rPr>
        <w:t xml:space="preserve">alleged </w:t>
      </w:r>
      <w:r w:rsidR="008B2BDE" w:rsidRPr="006B6C08">
        <w:rPr>
          <w:sz w:val="20"/>
          <w:szCs w:val="20"/>
        </w:rPr>
        <w:t xml:space="preserve">war crimes – and </w:t>
      </w:r>
      <w:r w:rsidR="00DA1757" w:rsidRPr="006B6C08">
        <w:rPr>
          <w:sz w:val="20"/>
          <w:szCs w:val="20"/>
        </w:rPr>
        <w:t xml:space="preserve">violations and abuses of </w:t>
      </w:r>
      <w:r w:rsidR="00F47FC6" w:rsidRPr="006B6C08">
        <w:rPr>
          <w:sz w:val="20"/>
          <w:szCs w:val="20"/>
        </w:rPr>
        <w:t>international human rights law</w:t>
      </w:r>
      <w:r w:rsidR="008B2BDE" w:rsidRPr="006B6C08">
        <w:rPr>
          <w:sz w:val="20"/>
          <w:szCs w:val="20"/>
        </w:rPr>
        <w:t>. No meaningful investigation has been announced by the Palestinian authorities so far.</w:t>
      </w:r>
      <w:r w:rsidR="00175514" w:rsidRPr="006B6C08">
        <w:rPr>
          <w:rStyle w:val="FootnoteReference"/>
          <w:sz w:val="20"/>
          <w:szCs w:val="20"/>
        </w:rPr>
        <w:footnoteReference w:id="94"/>
      </w:r>
      <w:r w:rsidR="008B2BDE" w:rsidRPr="006B6C08">
        <w:rPr>
          <w:sz w:val="20"/>
          <w:szCs w:val="20"/>
        </w:rPr>
        <w:t xml:space="preserve"> </w:t>
      </w:r>
      <w:r w:rsidR="00E748BC" w:rsidRPr="006B6C08">
        <w:rPr>
          <w:sz w:val="20"/>
          <w:szCs w:val="20"/>
        </w:rPr>
        <w:t xml:space="preserve">A </w:t>
      </w:r>
      <w:r w:rsidR="00F324D9" w:rsidRPr="006B6C08">
        <w:rPr>
          <w:sz w:val="20"/>
          <w:szCs w:val="20"/>
        </w:rPr>
        <w:t xml:space="preserve">high </w:t>
      </w:r>
      <w:r w:rsidR="00EE7222" w:rsidRPr="006B6C08">
        <w:rPr>
          <w:sz w:val="20"/>
          <w:szCs w:val="20"/>
        </w:rPr>
        <w:t xml:space="preserve">number </w:t>
      </w:r>
      <w:r w:rsidR="008B2BDE" w:rsidRPr="006B6C08">
        <w:rPr>
          <w:sz w:val="20"/>
          <w:szCs w:val="20"/>
        </w:rPr>
        <w:t xml:space="preserve">of cases </w:t>
      </w:r>
      <w:r w:rsidR="00E748BC" w:rsidRPr="006B6C08">
        <w:rPr>
          <w:sz w:val="20"/>
          <w:szCs w:val="20"/>
        </w:rPr>
        <w:t xml:space="preserve">involving </w:t>
      </w:r>
      <w:r w:rsidR="005D7AA8" w:rsidRPr="006B6C08">
        <w:rPr>
          <w:sz w:val="20"/>
          <w:szCs w:val="20"/>
        </w:rPr>
        <w:t xml:space="preserve">the </w:t>
      </w:r>
      <w:r w:rsidR="00E748BC" w:rsidRPr="006B6C08">
        <w:rPr>
          <w:sz w:val="20"/>
          <w:szCs w:val="20"/>
        </w:rPr>
        <w:t xml:space="preserve">IDF </w:t>
      </w:r>
      <w:r w:rsidR="008B2BDE" w:rsidRPr="006B6C08">
        <w:rPr>
          <w:sz w:val="20"/>
          <w:szCs w:val="20"/>
        </w:rPr>
        <w:t>will not be subject to criminal investigation as</w:t>
      </w:r>
      <w:r w:rsidR="00CE7C1D" w:rsidRPr="006B6C08">
        <w:rPr>
          <w:sz w:val="20"/>
          <w:szCs w:val="20"/>
        </w:rPr>
        <w:t xml:space="preserve"> they were</w:t>
      </w:r>
      <w:r w:rsidR="008B2BDE" w:rsidRPr="006B6C08">
        <w:rPr>
          <w:sz w:val="20"/>
          <w:szCs w:val="20"/>
        </w:rPr>
        <w:t xml:space="preserve"> closed by the </w:t>
      </w:r>
      <w:r w:rsidR="008B2BDE" w:rsidRPr="006B6C08">
        <w:rPr>
          <w:color w:val="000000"/>
          <w:sz w:val="20"/>
          <w:szCs w:val="20"/>
          <w:shd w:val="clear" w:color="auto" w:fill="FFFFFF"/>
        </w:rPr>
        <w:t xml:space="preserve">Office of the Israeli Military Advocate General for lack of reasonable grounds for suspicion of criminal </w:t>
      </w:r>
      <w:r w:rsidR="004E5407" w:rsidRPr="006B6C08">
        <w:rPr>
          <w:color w:val="000000"/>
          <w:sz w:val="20"/>
          <w:szCs w:val="20"/>
          <w:shd w:val="clear" w:color="auto" w:fill="FFFFFF"/>
        </w:rPr>
        <w:t>behaviour</w:t>
      </w:r>
      <w:r w:rsidR="009324DB" w:rsidRPr="006B6C08">
        <w:rPr>
          <w:color w:val="000000"/>
          <w:sz w:val="20"/>
          <w:szCs w:val="20"/>
          <w:shd w:val="clear" w:color="auto" w:fill="FFFFFF"/>
        </w:rPr>
        <w:t>, despite serious</w:t>
      </w:r>
      <w:r w:rsidR="004E5407" w:rsidRPr="006B6C08">
        <w:rPr>
          <w:color w:val="000000"/>
          <w:sz w:val="20"/>
          <w:szCs w:val="20"/>
          <w:shd w:val="clear" w:color="auto" w:fill="FFFFFF"/>
        </w:rPr>
        <w:t xml:space="preserve"> allegations</w:t>
      </w:r>
      <w:r w:rsidR="008B2BDE" w:rsidRPr="006B6C08">
        <w:rPr>
          <w:color w:val="000000"/>
          <w:sz w:val="20"/>
          <w:szCs w:val="20"/>
          <w:shd w:val="clear" w:color="auto" w:fill="FFFFFF"/>
        </w:rPr>
        <w:t>.</w:t>
      </w:r>
      <w:r w:rsidR="008B2BDE" w:rsidRPr="006B6C08">
        <w:rPr>
          <w:rStyle w:val="FootnoteReference"/>
          <w:sz w:val="20"/>
          <w:szCs w:val="20"/>
        </w:rPr>
        <w:footnoteReference w:id="95"/>
      </w:r>
      <w:r w:rsidR="000926A2" w:rsidRPr="006B6C08">
        <w:rPr>
          <w:sz w:val="20"/>
          <w:szCs w:val="20"/>
        </w:rPr>
        <w:t xml:space="preserve"> When investigations are opened, concerns remain </w:t>
      </w:r>
      <w:r w:rsidR="00014D78" w:rsidRPr="006B6C08">
        <w:rPr>
          <w:sz w:val="20"/>
          <w:szCs w:val="20"/>
        </w:rPr>
        <w:t xml:space="preserve">as to </w:t>
      </w:r>
      <w:r w:rsidR="000926A2" w:rsidRPr="006B6C08">
        <w:rPr>
          <w:sz w:val="20"/>
          <w:szCs w:val="20"/>
        </w:rPr>
        <w:t>whether th</w:t>
      </w:r>
      <w:r w:rsidR="00014D78" w:rsidRPr="006B6C08">
        <w:rPr>
          <w:sz w:val="20"/>
          <w:szCs w:val="20"/>
        </w:rPr>
        <w:t>ey</w:t>
      </w:r>
      <w:r w:rsidR="000926A2" w:rsidRPr="006B6C08">
        <w:rPr>
          <w:sz w:val="20"/>
          <w:szCs w:val="20"/>
        </w:rPr>
        <w:t xml:space="preserve"> meet human rights standards, especially in view of the small number and the low rank of alleged perpetrators that are eventually brought to justice, facing mainly lenient indictments and sentences.</w:t>
      </w:r>
      <w:r w:rsidR="000926A2" w:rsidRPr="006B6C08">
        <w:rPr>
          <w:rStyle w:val="FootnoteReference"/>
          <w:sz w:val="20"/>
          <w:szCs w:val="20"/>
        </w:rPr>
        <w:footnoteReference w:id="96"/>
      </w:r>
      <w:r w:rsidR="000926A2" w:rsidRPr="006B6C08">
        <w:rPr>
          <w:sz w:val="20"/>
          <w:szCs w:val="20"/>
        </w:rPr>
        <w:t xml:space="preserve"> </w:t>
      </w:r>
      <w:r w:rsidR="00A03A6F" w:rsidRPr="006B6C08">
        <w:rPr>
          <w:sz w:val="20"/>
          <w:szCs w:val="20"/>
        </w:rPr>
        <w:t>As for civil remedies, victims have</w:t>
      </w:r>
      <w:r w:rsidR="0018259B" w:rsidRPr="006B6C08">
        <w:rPr>
          <w:sz w:val="20"/>
          <w:szCs w:val="20"/>
        </w:rPr>
        <w:t xml:space="preserve"> no prospect for compensation either.</w:t>
      </w:r>
      <w:r w:rsidR="00A03A6F" w:rsidRPr="006B6C08">
        <w:rPr>
          <w:rStyle w:val="FootnoteReference"/>
          <w:sz w:val="20"/>
          <w:szCs w:val="20"/>
        </w:rPr>
        <w:footnoteReference w:id="97"/>
      </w:r>
      <w:r w:rsidR="0018259B" w:rsidRPr="006B6C08">
        <w:rPr>
          <w:sz w:val="20"/>
          <w:szCs w:val="20"/>
        </w:rPr>
        <w:t xml:space="preserve"> </w:t>
      </w:r>
      <w:r w:rsidR="00643111" w:rsidRPr="006B6C08">
        <w:rPr>
          <w:sz w:val="20"/>
          <w:szCs w:val="20"/>
        </w:rPr>
        <w:t xml:space="preserve">This overall lack of accountability contributes to fuelling the conflict. </w:t>
      </w:r>
    </w:p>
    <w:p w:rsidR="004B5BF6" w:rsidRPr="006B6C08" w:rsidRDefault="004B5BF6" w:rsidP="004B5BF6">
      <w:pPr>
        <w:pStyle w:val="H1G"/>
        <w:outlineLvl w:val="0"/>
      </w:pPr>
      <w:r w:rsidRPr="006B6C08">
        <w:lastRenderedPageBreak/>
        <w:tab/>
        <w:t>C.</w:t>
      </w:r>
      <w:r w:rsidRPr="006B6C08">
        <w:tab/>
        <w:t>Further recurrent human rights violations in the Occupied Palestinian Territory</w:t>
      </w:r>
    </w:p>
    <w:p w:rsidR="004B5BF6" w:rsidRPr="006B6C08" w:rsidRDefault="004B5BF6" w:rsidP="004B5BF6">
      <w:pPr>
        <w:pStyle w:val="H23G"/>
        <w:outlineLvl w:val="0"/>
        <w:rPr>
          <w:i/>
          <w:sz w:val="20"/>
          <w:szCs w:val="20"/>
        </w:rPr>
      </w:pPr>
      <w:r w:rsidRPr="006B6C08">
        <w:tab/>
      </w:r>
      <w:r w:rsidRPr="006B6C08">
        <w:tab/>
      </w:r>
      <w:r w:rsidRPr="006B6C08">
        <w:rPr>
          <w:i/>
          <w:sz w:val="20"/>
          <w:szCs w:val="20"/>
        </w:rPr>
        <w:t>Impunity as a driver of violations</w:t>
      </w:r>
    </w:p>
    <w:p w:rsidR="005A5313" w:rsidRPr="006B6C08" w:rsidRDefault="006B6C08" w:rsidP="006B6C08">
      <w:pPr>
        <w:pStyle w:val="SingleTxtG"/>
        <w:outlineLvl w:val="0"/>
        <w:rPr>
          <w:b/>
          <w:sz w:val="20"/>
          <w:szCs w:val="20"/>
        </w:rPr>
      </w:pPr>
      <w:r w:rsidRPr="006B6C08">
        <w:rPr>
          <w:sz w:val="20"/>
          <w:szCs w:val="20"/>
        </w:rPr>
        <w:t>42.</w:t>
      </w:r>
      <w:r w:rsidRPr="006B6C08">
        <w:rPr>
          <w:sz w:val="20"/>
          <w:szCs w:val="20"/>
        </w:rPr>
        <w:tab/>
      </w:r>
      <w:r w:rsidR="00497B7C" w:rsidRPr="006B6C08">
        <w:rPr>
          <w:sz w:val="20"/>
          <w:szCs w:val="20"/>
        </w:rPr>
        <w:t xml:space="preserve">Despite </w:t>
      </w:r>
      <w:r w:rsidR="00DA46F8" w:rsidRPr="006B6C08">
        <w:rPr>
          <w:sz w:val="20"/>
          <w:szCs w:val="20"/>
        </w:rPr>
        <w:t xml:space="preserve">various measures taken by </w:t>
      </w:r>
      <w:r w:rsidR="00497B7C" w:rsidRPr="006B6C08">
        <w:rPr>
          <w:sz w:val="20"/>
          <w:szCs w:val="20"/>
        </w:rPr>
        <w:t>Israel</w:t>
      </w:r>
      <w:r w:rsidR="00DA46F8" w:rsidRPr="006B6C08">
        <w:rPr>
          <w:sz w:val="20"/>
          <w:szCs w:val="20"/>
        </w:rPr>
        <w:t xml:space="preserve"> to address impunity</w:t>
      </w:r>
      <w:r w:rsidR="00C226C8" w:rsidRPr="006B6C08">
        <w:rPr>
          <w:sz w:val="20"/>
          <w:szCs w:val="20"/>
        </w:rPr>
        <w:t>,</w:t>
      </w:r>
      <w:r w:rsidR="00497B7C" w:rsidRPr="006B6C08">
        <w:rPr>
          <w:rStyle w:val="FootnoteReference"/>
          <w:sz w:val="20"/>
          <w:szCs w:val="20"/>
        </w:rPr>
        <w:footnoteReference w:id="98"/>
      </w:r>
      <w:r w:rsidR="00497B7C" w:rsidRPr="006B6C08">
        <w:rPr>
          <w:sz w:val="20"/>
          <w:szCs w:val="20"/>
        </w:rPr>
        <w:t xml:space="preserve"> the failure to </w:t>
      </w:r>
      <w:r w:rsidR="00FB2026" w:rsidRPr="006B6C08">
        <w:rPr>
          <w:sz w:val="20"/>
          <w:szCs w:val="20"/>
        </w:rPr>
        <w:t xml:space="preserve">ensure </w:t>
      </w:r>
      <w:r w:rsidR="00497B7C" w:rsidRPr="006B6C08">
        <w:rPr>
          <w:sz w:val="20"/>
          <w:szCs w:val="20"/>
        </w:rPr>
        <w:t xml:space="preserve">accountability creates an </w:t>
      </w:r>
      <w:r w:rsidR="00497B7C" w:rsidRPr="006B6C08">
        <w:rPr>
          <w:color w:val="000000"/>
          <w:sz w:val="20"/>
          <w:szCs w:val="20"/>
        </w:rPr>
        <w:t>environment</w:t>
      </w:r>
      <w:r w:rsidR="00497B7C" w:rsidRPr="006B6C08">
        <w:rPr>
          <w:sz w:val="20"/>
          <w:szCs w:val="20"/>
        </w:rPr>
        <w:t xml:space="preserve"> </w:t>
      </w:r>
      <w:r w:rsidR="00FB2026" w:rsidRPr="006B6C08">
        <w:rPr>
          <w:sz w:val="20"/>
          <w:szCs w:val="20"/>
        </w:rPr>
        <w:t xml:space="preserve">of impunity where </w:t>
      </w:r>
      <w:r w:rsidR="00497B7C" w:rsidRPr="006B6C08">
        <w:rPr>
          <w:sz w:val="20"/>
          <w:szCs w:val="20"/>
        </w:rPr>
        <w:t xml:space="preserve">victims and families </w:t>
      </w:r>
      <w:r w:rsidR="00FB2026" w:rsidRPr="006B6C08">
        <w:rPr>
          <w:sz w:val="20"/>
          <w:szCs w:val="20"/>
        </w:rPr>
        <w:t xml:space="preserve">have little </w:t>
      </w:r>
      <w:r w:rsidR="003D0A3B" w:rsidRPr="006B6C08">
        <w:rPr>
          <w:sz w:val="20"/>
          <w:szCs w:val="20"/>
        </w:rPr>
        <w:t xml:space="preserve">or </w:t>
      </w:r>
      <w:r w:rsidR="00FB2026" w:rsidRPr="006B6C08">
        <w:rPr>
          <w:sz w:val="20"/>
          <w:szCs w:val="20"/>
        </w:rPr>
        <w:t xml:space="preserve">no </w:t>
      </w:r>
      <w:r w:rsidR="00497B7C" w:rsidRPr="006B6C08">
        <w:rPr>
          <w:sz w:val="20"/>
          <w:szCs w:val="20"/>
        </w:rPr>
        <w:t>redress</w:t>
      </w:r>
      <w:r w:rsidR="003D0A3B" w:rsidRPr="006B6C08">
        <w:rPr>
          <w:sz w:val="20"/>
          <w:szCs w:val="20"/>
        </w:rPr>
        <w:t xml:space="preserve">, which may encourage </w:t>
      </w:r>
      <w:r w:rsidR="00497B7C" w:rsidRPr="006B6C08">
        <w:rPr>
          <w:sz w:val="20"/>
          <w:szCs w:val="20"/>
        </w:rPr>
        <w:t>further abuses</w:t>
      </w:r>
      <w:r w:rsidR="00D87B1B" w:rsidRPr="006B6C08">
        <w:rPr>
          <w:sz w:val="20"/>
          <w:szCs w:val="20"/>
        </w:rPr>
        <w:t xml:space="preserve"> on all sides</w:t>
      </w:r>
      <w:r w:rsidR="00497B7C" w:rsidRPr="006B6C08">
        <w:rPr>
          <w:sz w:val="20"/>
          <w:szCs w:val="20"/>
        </w:rPr>
        <w:t xml:space="preserve">. </w:t>
      </w:r>
    </w:p>
    <w:p w:rsidR="005A5313" w:rsidRPr="006B6C08" w:rsidRDefault="006B6C08" w:rsidP="006B6C08">
      <w:pPr>
        <w:pStyle w:val="SingleTxtG"/>
        <w:outlineLvl w:val="0"/>
        <w:rPr>
          <w:b/>
          <w:sz w:val="20"/>
          <w:szCs w:val="20"/>
        </w:rPr>
      </w:pPr>
      <w:r w:rsidRPr="006B6C08">
        <w:rPr>
          <w:sz w:val="20"/>
          <w:szCs w:val="20"/>
        </w:rPr>
        <w:t>43.</w:t>
      </w:r>
      <w:r w:rsidRPr="006B6C08">
        <w:rPr>
          <w:sz w:val="20"/>
          <w:szCs w:val="20"/>
        </w:rPr>
        <w:tab/>
      </w:r>
      <w:r w:rsidR="005D7AA8" w:rsidRPr="006B6C08">
        <w:rPr>
          <w:sz w:val="20"/>
          <w:szCs w:val="20"/>
        </w:rPr>
        <w:t xml:space="preserve">Accountability for violations committed by all parties would be </w:t>
      </w:r>
      <w:proofErr w:type="gramStart"/>
      <w:r w:rsidR="005D7AA8" w:rsidRPr="006B6C08">
        <w:rPr>
          <w:sz w:val="20"/>
          <w:szCs w:val="20"/>
        </w:rPr>
        <w:t>key</w:t>
      </w:r>
      <w:proofErr w:type="gramEnd"/>
      <w:r w:rsidR="005D7AA8" w:rsidRPr="006B6C08">
        <w:rPr>
          <w:sz w:val="20"/>
          <w:szCs w:val="20"/>
        </w:rPr>
        <w:t xml:space="preserve"> to breaking the cycle of violence.</w:t>
      </w:r>
      <w:r w:rsidR="005D7AA8" w:rsidRPr="006B6C08">
        <w:rPr>
          <w:rStyle w:val="FootnoteReference"/>
          <w:sz w:val="20"/>
          <w:szCs w:val="20"/>
        </w:rPr>
        <w:footnoteReference w:id="99"/>
      </w:r>
      <w:r w:rsidR="00314D26" w:rsidRPr="006B6C08">
        <w:rPr>
          <w:sz w:val="20"/>
          <w:szCs w:val="20"/>
        </w:rPr>
        <w:t xml:space="preserve"> </w:t>
      </w:r>
      <w:r w:rsidR="005D7AA8" w:rsidRPr="006B6C08">
        <w:rPr>
          <w:sz w:val="20"/>
          <w:szCs w:val="20"/>
        </w:rPr>
        <w:t xml:space="preserve">Few Israeli security personnel are indicted for </w:t>
      </w:r>
      <w:r w:rsidR="00DD0CC2" w:rsidRPr="006B6C08">
        <w:rPr>
          <w:sz w:val="20"/>
          <w:szCs w:val="20"/>
        </w:rPr>
        <w:t>their</w:t>
      </w:r>
      <w:r w:rsidR="005D7AA8" w:rsidRPr="006B6C08">
        <w:rPr>
          <w:sz w:val="20"/>
          <w:szCs w:val="20"/>
        </w:rPr>
        <w:t xml:space="preserve"> </w:t>
      </w:r>
      <w:proofErr w:type="spellStart"/>
      <w:r w:rsidR="005D7AA8" w:rsidRPr="006B6C08">
        <w:rPr>
          <w:sz w:val="20"/>
          <w:szCs w:val="20"/>
        </w:rPr>
        <w:t>actions</w:t>
      </w:r>
      <w:r w:rsidR="00314D26" w:rsidRPr="006B6C08">
        <w:rPr>
          <w:sz w:val="20"/>
          <w:szCs w:val="20"/>
        </w:rPr>
        <w:t>.</w:t>
      </w:r>
      <w:r w:rsidR="00FB2026" w:rsidRPr="006B6C08">
        <w:rPr>
          <w:sz w:val="20"/>
          <w:szCs w:val="20"/>
        </w:rPr>
        <w:t>I</w:t>
      </w:r>
      <w:r w:rsidR="00497B7C" w:rsidRPr="006B6C08">
        <w:rPr>
          <w:sz w:val="20"/>
          <w:szCs w:val="20"/>
        </w:rPr>
        <w:t>ncitement</w:t>
      </w:r>
      <w:proofErr w:type="spellEnd"/>
      <w:r w:rsidR="00497B7C" w:rsidRPr="006B6C08">
        <w:rPr>
          <w:sz w:val="20"/>
          <w:szCs w:val="20"/>
        </w:rPr>
        <w:t xml:space="preserve"> to violence </w:t>
      </w:r>
      <w:r w:rsidR="005D7AA8" w:rsidRPr="006B6C08">
        <w:rPr>
          <w:sz w:val="20"/>
          <w:szCs w:val="20"/>
        </w:rPr>
        <w:t xml:space="preserve">remains an issue. </w:t>
      </w:r>
      <w:r w:rsidR="00497B7C" w:rsidRPr="006B6C08">
        <w:rPr>
          <w:sz w:val="20"/>
          <w:szCs w:val="20"/>
        </w:rPr>
        <w:t>Palestinians committing attacks against Israelis are glorified by parts of the population and representatives of ruling parties.</w:t>
      </w:r>
      <w:r w:rsidR="00497B7C" w:rsidRPr="006B6C08">
        <w:rPr>
          <w:rStyle w:val="FootnoteReference"/>
          <w:sz w:val="20"/>
          <w:szCs w:val="20"/>
        </w:rPr>
        <w:footnoteReference w:id="100"/>
      </w:r>
      <w:r w:rsidR="00854A98" w:rsidRPr="006B6C08">
        <w:rPr>
          <w:sz w:val="20"/>
          <w:szCs w:val="20"/>
        </w:rPr>
        <w:t xml:space="preserve"> </w:t>
      </w:r>
    </w:p>
    <w:p w:rsidR="004B5BF6" w:rsidRPr="006B6C08" w:rsidRDefault="004B5BF6" w:rsidP="005A5313">
      <w:pPr>
        <w:pStyle w:val="SingleTxtG"/>
        <w:outlineLvl w:val="0"/>
        <w:rPr>
          <w:b/>
          <w:sz w:val="20"/>
          <w:szCs w:val="20"/>
        </w:rPr>
      </w:pPr>
      <w:r w:rsidRPr="006B6C08">
        <w:rPr>
          <w:b/>
          <w:sz w:val="20"/>
          <w:szCs w:val="20"/>
        </w:rPr>
        <w:t>Excessive Use of Force by Law Enforcement Officials</w:t>
      </w:r>
    </w:p>
    <w:p w:rsidR="00F42790" w:rsidRPr="006B6C08" w:rsidRDefault="006B6C08" w:rsidP="006B6C08">
      <w:pPr>
        <w:pStyle w:val="SingleTxtG"/>
        <w:outlineLvl w:val="0"/>
        <w:rPr>
          <w:sz w:val="20"/>
          <w:szCs w:val="20"/>
        </w:rPr>
      </w:pPr>
      <w:r w:rsidRPr="006B6C08">
        <w:rPr>
          <w:sz w:val="20"/>
          <w:szCs w:val="20"/>
        </w:rPr>
        <w:t>44.</w:t>
      </w:r>
      <w:r w:rsidRPr="006B6C08">
        <w:rPr>
          <w:sz w:val="20"/>
          <w:szCs w:val="20"/>
        </w:rPr>
        <w:tab/>
      </w:r>
      <w:r w:rsidR="005D7AA8" w:rsidRPr="006B6C08">
        <w:rPr>
          <w:sz w:val="20"/>
          <w:szCs w:val="20"/>
        </w:rPr>
        <w:t>Since</w:t>
      </w:r>
      <w:r w:rsidR="00497B7C" w:rsidRPr="006B6C08">
        <w:rPr>
          <w:sz w:val="20"/>
          <w:szCs w:val="20"/>
        </w:rPr>
        <w:t xml:space="preserve"> September 2015, </w:t>
      </w:r>
      <w:r w:rsidR="005D7AA8" w:rsidRPr="006B6C08">
        <w:rPr>
          <w:sz w:val="20"/>
          <w:szCs w:val="20"/>
        </w:rPr>
        <w:t xml:space="preserve">there has been a new escalation of violence in the West Bank, with attacks committed by Palestinians against Israelis. In this context, there </w:t>
      </w:r>
      <w:r w:rsidR="0049656E" w:rsidRPr="006B6C08">
        <w:rPr>
          <w:sz w:val="20"/>
          <w:szCs w:val="20"/>
        </w:rPr>
        <w:t>has</w:t>
      </w:r>
      <w:r w:rsidR="005D7AA8" w:rsidRPr="006B6C08">
        <w:rPr>
          <w:sz w:val="20"/>
          <w:szCs w:val="20"/>
        </w:rPr>
        <w:t xml:space="preserve"> also</w:t>
      </w:r>
      <w:r w:rsidR="0049656E" w:rsidRPr="006B6C08">
        <w:rPr>
          <w:sz w:val="20"/>
          <w:szCs w:val="20"/>
        </w:rPr>
        <w:t xml:space="preserve"> been</w:t>
      </w:r>
      <w:r w:rsidR="005D7AA8" w:rsidRPr="006B6C08">
        <w:rPr>
          <w:sz w:val="20"/>
          <w:szCs w:val="20"/>
        </w:rPr>
        <w:t xml:space="preserve"> </w:t>
      </w:r>
      <w:r w:rsidR="00497B7C" w:rsidRPr="006B6C08">
        <w:rPr>
          <w:sz w:val="20"/>
          <w:szCs w:val="20"/>
        </w:rPr>
        <w:t>a sharp increase in apparent incidents of excessive use of force, both in the context of clashes and in response to attacks or alleged attacks by Palestinians against Israelis.</w:t>
      </w:r>
      <w:r w:rsidR="00497B7C" w:rsidRPr="006B6C08">
        <w:rPr>
          <w:rStyle w:val="FootnoteReference"/>
          <w:sz w:val="20"/>
          <w:szCs w:val="20"/>
        </w:rPr>
        <w:footnoteReference w:id="101"/>
      </w:r>
      <w:r w:rsidR="00497B7C" w:rsidRPr="006B6C08">
        <w:rPr>
          <w:sz w:val="20"/>
          <w:szCs w:val="20"/>
        </w:rPr>
        <w:t xml:space="preserve"> </w:t>
      </w:r>
      <w:r w:rsidR="00230DF1" w:rsidRPr="006B6C08">
        <w:rPr>
          <w:sz w:val="20"/>
          <w:szCs w:val="20"/>
        </w:rPr>
        <w:t xml:space="preserve">In many instances it appears that </w:t>
      </w:r>
      <w:r w:rsidR="005D7AA8" w:rsidRPr="006B6C08">
        <w:rPr>
          <w:sz w:val="20"/>
          <w:szCs w:val="20"/>
        </w:rPr>
        <w:t xml:space="preserve">Israeli security forces </w:t>
      </w:r>
      <w:r w:rsidR="00230DF1" w:rsidRPr="006B6C08">
        <w:rPr>
          <w:sz w:val="20"/>
          <w:szCs w:val="20"/>
        </w:rPr>
        <w:t xml:space="preserve">do not reserve the </w:t>
      </w:r>
      <w:r w:rsidR="00497B7C" w:rsidRPr="006B6C08">
        <w:rPr>
          <w:sz w:val="20"/>
          <w:szCs w:val="20"/>
        </w:rPr>
        <w:t xml:space="preserve">use </w:t>
      </w:r>
      <w:r w:rsidR="00B04FC7" w:rsidRPr="006B6C08">
        <w:rPr>
          <w:sz w:val="20"/>
          <w:szCs w:val="20"/>
        </w:rPr>
        <w:t xml:space="preserve">of </w:t>
      </w:r>
      <w:r w:rsidR="00497B7C" w:rsidRPr="006B6C08">
        <w:rPr>
          <w:sz w:val="20"/>
          <w:szCs w:val="20"/>
        </w:rPr>
        <w:t xml:space="preserve">firearms against Palestinians as a </w:t>
      </w:r>
      <w:r w:rsidR="00230DF1" w:rsidRPr="006B6C08">
        <w:rPr>
          <w:sz w:val="20"/>
          <w:szCs w:val="20"/>
        </w:rPr>
        <w:t xml:space="preserve">last </w:t>
      </w:r>
      <w:r w:rsidR="00497B7C" w:rsidRPr="006B6C08">
        <w:rPr>
          <w:sz w:val="20"/>
          <w:szCs w:val="20"/>
        </w:rPr>
        <w:t>resort, even where there is no imminent threat to life or of serious injury.</w:t>
      </w:r>
      <w:r w:rsidR="00643111" w:rsidRPr="006B6C08">
        <w:rPr>
          <w:rStyle w:val="FootnoteReference"/>
          <w:szCs w:val="20"/>
        </w:rPr>
        <w:footnoteReference w:id="102"/>
      </w:r>
      <w:r w:rsidR="00497B7C" w:rsidRPr="006B6C08">
        <w:rPr>
          <w:sz w:val="20"/>
          <w:szCs w:val="20"/>
        </w:rPr>
        <w:t xml:space="preserve"> Similar concerns of unlawful killing arise in the context of the access-restricted areas in Gaza – with </w:t>
      </w:r>
      <w:r w:rsidR="005D7AA8" w:rsidRPr="006B6C08">
        <w:rPr>
          <w:sz w:val="20"/>
          <w:szCs w:val="20"/>
        </w:rPr>
        <w:t xml:space="preserve">the </w:t>
      </w:r>
      <w:r w:rsidR="00497B7C" w:rsidRPr="006B6C08">
        <w:rPr>
          <w:sz w:val="20"/>
          <w:szCs w:val="20"/>
        </w:rPr>
        <w:t xml:space="preserve">IDF routinely using firearms against </w:t>
      </w:r>
      <w:r w:rsidR="00F30DE1" w:rsidRPr="006B6C08">
        <w:rPr>
          <w:sz w:val="20"/>
          <w:szCs w:val="20"/>
        </w:rPr>
        <w:t xml:space="preserve">bystanders and </w:t>
      </w:r>
      <w:r w:rsidR="00497B7C" w:rsidRPr="006B6C08">
        <w:rPr>
          <w:sz w:val="20"/>
          <w:szCs w:val="20"/>
        </w:rPr>
        <w:t>protestors – along the Israel-Gaza fence, and at sea</w:t>
      </w:r>
      <w:r w:rsidR="00F30DE1" w:rsidRPr="006B6C08">
        <w:rPr>
          <w:sz w:val="20"/>
          <w:szCs w:val="20"/>
        </w:rPr>
        <w:t xml:space="preserve"> against small fishing vessels</w:t>
      </w:r>
      <w:r w:rsidR="00497B7C" w:rsidRPr="006B6C08">
        <w:rPr>
          <w:sz w:val="20"/>
          <w:szCs w:val="20"/>
        </w:rPr>
        <w:t>.</w:t>
      </w:r>
      <w:r w:rsidR="00497B7C" w:rsidRPr="006B6C08">
        <w:rPr>
          <w:rStyle w:val="FootnoteReference"/>
          <w:sz w:val="20"/>
          <w:szCs w:val="20"/>
        </w:rPr>
        <w:footnoteReference w:id="103"/>
      </w:r>
      <w:r w:rsidR="004B5BF6" w:rsidRPr="006B6C08">
        <w:rPr>
          <w:sz w:val="20"/>
          <w:szCs w:val="20"/>
        </w:rPr>
        <w:t xml:space="preserve"> </w:t>
      </w:r>
    </w:p>
    <w:p w:rsidR="00FB2026" w:rsidRPr="006B6C08" w:rsidRDefault="006B6C08" w:rsidP="006B6C08">
      <w:pPr>
        <w:pStyle w:val="SingleTxtG"/>
        <w:outlineLvl w:val="0"/>
        <w:rPr>
          <w:sz w:val="20"/>
          <w:szCs w:val="20"/>
        </w:rPr>
      </w:pPr>
      <w:r w:rsidRPr="006B6C08">
        <w:rPr>
          <w:sz w:val="20"/>
          <w:szCs w:val="20"/>
        </w:rPr>
        <w:t>45.</w:t>
      </w:r>
      <w:r w:rsidRPr="006B6C08">
        <w:rPr>
          <w:sz w:val="20"/>
          <w:szCs w:val="20"/>
        </w:rPr>
        <w:tab/>
      </w:r>
      <w:r w:rsidR="00AC7E09" w:rsidRPr="006B6C08">
        <w:rPr>
          <w:sz w:val="20"/>
          <w:szCs w:val="20"/>
        </w:rPr>
        <w:t xml:space="preserve">Such </w:t>
      </w:r>
      <w:r w:rsidR="00F42790" w:rsidRPr="006B6C08">
        <w:rPr>
          <w:sz w:val="20"/>
          <w:szCs w:val="20"/>
        </w:rPr>
        <w:t xml:space="preserve">use of firearms and the large number of resulting casualties raise serious questions as to whether the rules of engagement of </w:t>
      </w:r>
      <w:r w:rsidR="005D7AA8" w:rsidRPr="006B6C08">
        <w:rPr>
          <w:sz w:val="20"/>
          <w:szCs w:val="20"/>
        </w:rPr>
        <w:t xml:space="preserve">the IDF </w:t>
      </w:r>
      <w:r w:rsidR="00F42790" w:rsidRPr="006B6C08">
        <w:rPr>
          <w:sz w:val="20"/>
          <w:szCs w:val="20"/>
        </w:rPr>
        <w:t xml:space="preserve">comply with international law, whether </w:t>
      </w:r>
      <w:r w:rsidR="00FB2026" w:rsidRPr="006B6C08">
        <w:rPr>
          <w:sz w:val="20"/>
          <w:szCs w:val="20"/>
        </w:rPr>
        <w:t xml:space="preserve">they </w:t>
      </w:r>
      <w:r w:rsidR="00F42790" w:rsidRPr="006B6C08">
        <w:rPr>
          <w:sz w:val="20"/>
          <w:szCs w:val="20"/>
        </w:rPr>
        <w:t>are properly implemented and respected</w:t>
      </w:r>
      <w:r w:rsidR="00FB2026" w:rsidRPr="006B6C08">
        <w:rPr>
          <w:sz w:val="20"/>
          <w:szCs w:val="20"/>
        </w:rPr>
        <w:t>,</w:t>
      </w:r>
      <w:r w:rsidR="00F42790" w:rsidRPr="006B6C08">
        <w:rPr>
          <w:sz w:val="20"/>
          <w:szCs w:val="20"/>
        </w:rPr>
        <w:t xml:space="preserve"> and whether appropriate sanctions are imposed for non-compliance. </w:t>
      </w:r>
    </w:p>
    <w:p w:rsidR="00CE569A" w:rsidRPr="006B6C08" w:rsidRDefault="006B6C08" w:rsidP="006B6C08">
      <w:pPr>
        <w:pStyle w:val="SingleTxtG"/>
        <w:outlineLvl w:val="0"/>
        <w:rPr>
          <w:sz w:val="20"/>
          <w:szCs w:val="20"/>
        </w:rPr>
      </w:pPr>
      <w:r w:rsidRPr="006B6C08">
        <w:rPr>
          <w:sz w:val="20"/>
          <w:szCs w:val="20"/>
        </w:rPr>
        <w:t>46.</w:t>
      </w:r>
      <w:r w:rsidRPr="006B6C08">
        <w:rPr>
          <w:sz w:val="20"/>
          <w:szCs w:val="20"/>
        </w:rPr>
        <w:tab/>
      </w:r>
      <w:r w:rsidR="00F42790" w:rsidRPr="006B6C08">
        <w:rPr>
          <w:sz w:val="20"/>
          <w:szCs w:val="20"/>
        </w:rPr>
        <w:t>In law enforcement operations, the use of lethal force has to be limited to situations when it is strictly necessary and in accordance with the principle of proportionality. It should be restricted to situations of last resort</w:t>
      </w:r>
      <w:r w:rsidR="00A03A6F" w:rsidRPr="006B6C08">
        <w:rPr>
          <w:sz w:val="20"/>
          <w:szCs w:val="20"/>
        </w:rPr>
        <w:t xml:space="preserve">, i.e. as a response to </w:t>
      </w:r>
      <w:r w:rsidR="00F42790" w:rsidRPr="006B6C08">
        <w:rPr>
          <w:sz w:val="20"/>
          <w:szCs w:val="20"/>
        </w:rPr>
        <w:t>an imminent threat of death or serious injury.</w:t>
      </w:r>
      <w:r w:rsidR="00F42790" w:rsidRPr="006B6C08">
        <w:rPr>
          <w:rStyle w:val="FootnoteReference"/>
          <w:sz w:val="20"/>
          <w:szCs w:val="20"/>
        </w:rPr>
        <w:footnoteReference w:id="104"/>
      </w:r>
      <w:r w:rsidR="00F42790" w:rsidRPr="006B6C08">
        <w:rPr>
          <w:sz w:val="20"/>
          <w:szCs w:val="20"/>
        </w:rPr>
        <w:t xml:space="preserve"> </w:t>
      </w:r>
      <w:proofErr w:type="gramStart"/>
      <w:r w:rsidR="00F42790" w:rsidRPr="006B6C08">
        <w:rPr>
          <w:sz w:val="20"/>
          <w:szCs w:val="20"/>
        </w:rPr>
        <w:t>Use of force that does not comply with those principles and results in the death of the suspect amounts to an arbitrary deprivation of life.</w:t>
      </w:r>
      <w:proofErr w:type="gramEnd"/>
      <w:r w:rsidR="00F42790" w:rsidRPr="006B6C08">
        <w:rPr>
          <w:rStyle w:val="FootnoteReference"/>
          <w:sz w:val="20"/>
          <w:szCs w:val="20"/>
        </w:rPr>
        <w:footnoteReference w:id="105"/>
      </w:r>
      <w:r w:rsidR="00F42790" w:rsidRPr="006B6C08">
        <w:rPr>
          <w:sz w:val="20"/>
          <w:szCs w:val="20"/>
        </w:rPr>
        <w:t xml:space="preserve"> Under </w:t>
      </w:r>
      <w:r w:rsidR="00A03A6F" w:rsidRPr="006B6C08">
        <w:rPr>
          <w:sz w:val="20"/>
          <w:szCs w:val="20"/>
        </w:rPr>
        <w:t>i</w:t>
      </w:r>
      <w:r w:rsidR="00F42790" w:rsidRPr="006B6C08">
        <w:rPr>
          <w:sz w:val="20"/>
          <w:szCs w:val="20"/>
        </w:rPr>
        <w:t xml:space="preserve">nternational </w:t>
      </w:r>
      <w:r w:rsidR="00A03A6F" w:rsidRPr="006B6C08">
        <w:rPr>
          <w:sz w:val="20"/>
          <w:szCs w:val="20"/>
        </w:rPr>
        <w:t>h</w:t>
      </w:r>
      <w:r w:rsidR="00F42790" w:rsidRPr="006B6C08">
        <w:rPr>
          <w:sz w:val="20"/>
          <w:szCs w:val="20"/>
        </w:rPr>
        <w:t xml:space="preserve">umanitarian law, this may </w:t>
      </w:r>
      <w:r w:rsidR="00BC1EC3" w:rsidRPr="006B6C08">
        <w:rPr>
          <w:sz w:val="20"/>
          <w:szCs w:val="20"/>
        </w:rPr>
        <w:t xml:space="preserve">constitute </w:t>
      </w:r>
      <w:r w:rsidR="00F42790" w:rsidRPr="006B6C08">
        <w:rPr>
          <w:sz w:val="20"/>
          <w:szCs w:val="20"/>
        </w:rPr>
        <w:t>an act of wilful killing.</w:t>
      </w:r>
      <w:r w:rsidR="00F42790" w:rsidRPr="006B6C08">
        <w:rPr>
          <w:rStyle w:val="FootnoteReference"/>
          <w:sz w:val="20"/>
          <w:szCs w:val="20"/>
        </w:rPr>
        <w:footnoteReference w:id="106"/>
      </w:r>
      <w:r w:rsidR="00F42790" w:rsidRPr="006B6C08">
        <w:rPr>
          <w:sz w:val="20"/>
          <w:szCs w:val="20"/>
        </w:rPr>
        <w:t xml:space="preserve"> </w:t>
      </w:r>
    </w:p>
    <w:p w:rsidR="00F42790" w:rsidRPr="006B6C08" w:rsidRDefault="006B6C08" w:rsidP="006B6C08">
      <w:pPr>
        <w:pStyle w:val="SingleTxtG"/>
        <w:outlineLvl w:val="0"/>
        <w:rPr>
          <w:sz w:val="20"/>
          <w:szCs w:val="20"/>
        </w:rPr>
      </w:pPr>
      <w:r w:rsidRPr="006B6C08">
        <w:rPr>
          <w:sz w:val="20"/>
          <w:szCs w:val="20"/>
        </w:rPr>
        <w:t>47.</w:t>
      </w:r>
      <w:r w:rsidRPr="006B6C08">
        <w:rPr>
          <w:sz w:val="20"/>
          <w:szCs w:val="20"/>
        </w:rPr>
        <w:tab/>
      </w:r>
      <w:r w:rsidR="0049656E" w:rsidRPr="006B6C08">
        <w:rPr>
          <w:sz w:val="20"/>
          <w:szCs w:val="20"/>
        </w:rPr>
        <w:t>My predecessor</w:t>
      </w:r>
      <w:r w:rsidR="00F42790" w:rsidRPr="006B6C08">
        <w:rPr>
          <w:sz w:val="20"/>
          <w:szCs w:val="20"/>
        </w:rPr>
        <w:t xml:space="preserve"> </w:t>
      </w:r>
      <w:r w:rsidR="00AC7E09" w:rsidRPr="006B6C08">
        <w:rPr>
          <w:sz w:val="20"/>
          <w:szCs w:val="20"/>
        </w:rPr>
        <w:t xml:space="preserve">expressed serious concern regarding the </w:t>
      </w:r>
      <w:r w:rsidR="00F42790" w:rsidRPr="006B6C08">
        <w:rPr>
          <w:sz w:val="20"/>
          <w:szCs w:val="20"/>
        </w:rPr>
        <w:t xml:space="preserve">excessive use of force and unlawful killing by </w:t>
      </w:r>
      <w:r w:rsidR="0049656E" w:rsidRPr="006B6C08">
        <w:rPr>
          <w:sz w:val="20"/>
          <w:szCs w:val="20"/>
        </w:rPr>
        <w:t>Israeli security forces</w:t>
      </w:r>
      <w:r w:rsidR="00F42790" w:rsidRPr="006B6C08">
        <w:rPr>
          <w:sz w:val="20"/>
          <w:szCs w:val="20"/>
        </w:rPr>
        <w:t>, including apparent extrajudicial executions</w:t>
      </w:r>
      <w:r w:rsidR="00A03A6F" w:rsidRPr="006B6C08">
        <w:rPr>
          <w:sz w:val="20"/>
          <w:szCs w:val="20"/>
        </w:rPr>
        <w:t>.</w:t>
      </w:r>
      <w:r w:rsidR="00F42790" w:rsidRPr="006B6C08">
        <w:rPr>
          <w:rStyle w:val="FootnoteReference"/>
          <w:sz w:val="20"/>
          <w:szCs w:val="20"/>
        </w:rPr>
        <w:footnoteReference w:id="107"/>
      </w:r>
      <w:r w:rsidR="00994243" w:rsidRPr="006B6C08">
        <w:rPr>
          <w:sz w:val="20"/>
          <w:szCs w:val="20"/>
        </w:rPr>
        <w:t xml:space="preserve"> </w:t>
      </w:r>
      <w:r w:rsidR="00AC7E09" w:rsidRPr="006B6C08">
        <w:rPr>
          <w:sz w:val="20"/>
          <w:szCs w:val="20"/>
        </w:rPr>
        <w:t>C</w:t>
      </w:r>
      <w:r w:rsidR="00F42790" w:rsidRPr="006B6C08">
        <w:rPr>
          <w:sz w:val="20"/>
          <w:szCs w:val="20"/>
        </w:rPr>
        <w:t>oncerns remain regarding accountability in law enforcement operations.</w:t>
      </w:r>
      <w:r w:rsidR="00F42790" w:rsidRPr="006B6C08">
        <w:rPr>
          <w:rStyle w:val="FootnoteReference"/>
          <w:sz w:val="20"/>
          <w:szCs w:val="20"/>
        </w:rPr>
        <w:footnoteReference w:id="108"/>
      </w:r>
      <w:r w:rsidR="00F42790" w:rsidRPr="006B6C08">
        <w:rPr>
          <w:sz w:val="20"/>
          <w:szCs w:val="20"/>
        </w:rPr>
        <w:t xml:space="preserve"> Since the escalation of violence in September 2015, only one case among the 169 Palestinians killed </w:t>
      </w:r>
      <w:r w:rsidR="00F42790" w:rsidRPr="006B6C08">
        <w:rPr>
          <w:sz w:val="20"/>
          <w:szCs w:val="20"/>
          <w:lang w:val="en-US"/>
        </w:rPr>
        <w:lastRenderedPageBreak/>
        <w:t>(as of 31 October 2016)</w:t>
      </w:r>
      <w:r w:rsidR="00F42790" w:rsidRPr="006B6C08">
        <w:rPr>
          <w:sz w:val="20"/>
          <w:szCs w:val="20"/>
        </w:rPr>
        <w:t xml:space="preserve"> by </w:t>
      </w:r>
      <w:r w:rsidR="0049656E" w:rsidRPr="006B6C08">
        <w:rPr>
          <w:sz w:val="20"/>
          <w:szCs w:val="20"/>
        </w:rPr>
        <w:t xml:space="preserve">Israeli security forces </w:t>
      </w:r>
      <w:r w:rsidR="00F42790" w:rsidRPr="006B6C08">
        <w:rPr>
          <w:sz w:val="20"/>
          <w:szCs w:val="20"/>
        </w:rPr>
        <w:t>following an attack or alleged attack has led to an indictment and subsequent conviction.</w:t>
      </w:r>
      <w:r w:rsidR="00F42790" w:rsidRPr="006B6C08">
        <w:rPr>
          <w:rStyle w:val="FootnoteReference"/>
          <w:sz w:val="20"/>
          <w:szCs w:val="20"/>
        </w:rPr>
        <w:footnoteReference w:id="109"/>
      </w:r>
      <w:r w:rsidR="0049656E" w:rsidRPr="006B6C08">
        <w:rPr>
          <w:sz w:val="20"/>
          <w:szCs w:val="20"/>
        </w:rPr>
        <w:t xml:space="preserve"> </w:t>
      </w:r>
    </w:p>
    <w:p w:rsidR="004B5BF6" w:rsidRPr="006B6C08" w:rsidRDefault="004B5BF6" w:rsidP="00AF736C">
      <w:pPr>
        <w:pStyle w:val="SingleTxtG"/>
        <w:outlineLvl w:val="0"/>
        <w:rPr>
          <w:b/>
          <w:i/>
          <w:sz w:val="20"/>
          <w:szCs w:val="20"/>
        </w:rPr>
      </w:pPr>
      <w:r w:rsidRPr="006B6C08">
        <w:rPr>
          <w:b/>
          <w:i/>
          <w:sz w:val="20"/>
          <w:szCs w:val="20"/>
        </w:rPr>
        <w:t>Torture and ill-treatment in detention</w:t>
      </w:r>
    </w:p>
    <w:p w:rsidR="004B5BF6" w:rsidRPr="006B6C08" w:rsidRDefault="006B6C08" w:rsidP="006B6C08">
      <w:pPr>
        <w:pStyle w:val="SingleTxtG"/>
        <w:outlineLvl w:val="0"/>
        <w:rPr>
          <w:sz w:val="20"/>
          <w:szCs w:val="20"/>
        </w:rPr>
      </w:pPr>
      <w:r w:rsidRPr="006B6C08">
        <w:rPr>
          <w:sz w:val="20"/>
          <w:szCs w:val="20"/>
        </w:rPr>
        <w:t>48.</w:t>
      </w:r>
      <w:r w:rsidRPr="006B6C08">
        <w:rPr>
          <w:sz w:val="20"/>
          <w:szCs w:val="20"/>
        </w:rPr>
        <w:tab/>
      </w:r>
      <w:r w:rsidR="00497B7C" w:rsidRPr="006B6C08">
        <w:rPr>
          <w:sz w:val="20"/>
          <w:szCs w:val="20"/>
        </w:rPr>
        <w:t>Allegations of ill-treatment and torture of Palestinian detainees have been regularly reported over the years.</w:t>
      </w:r>
      <w:r w:rsidR="00497B7C" w:rsidRPr="006B6C08">
        <w:rPr>
          <w:rStyle w:val="FootnoteReference"/>
          <w:sz w:val="20"/>
          <w:szCs w:val="20"/>
        </w:rPr>
        <w:footnoteReference w:id="110"/>
      </w:r>
      <w:r w:rsidR="00497B7C" w:rsidRPr="006B6C08">
        <w:rPr>
          <w:sz w:val="20"/>
          <w:szCs w:val="20"/>
        </w:rPr>
        <w:t xml:space="preserve"> These </w:t>
      </w:r>
      <w:r w:rsidR="001806BC" w:rsidRPr="006B6C08">
        <w:rPr>
          <w:sz w:val="20"/>
          <w:szCs w:val="20"/>
        </w:rPr>
        <w:t>occur</w:t>
      </w:r>
      <w:r w:rsidR="00497B7C" w:rsidRPr="006B6C08">
        <w:rPr>
          <w:sz w:val="20"/>
          <w:szCs w:val="20"/>
        </w:rPr>
        <w:t xml:space="preserve"> largely during arrests</w:t>
      </w:r>
      <w:r w:rsidR="001806BC" w:rsidRPr="006B6C08">
        <w:rPr>
          <w:sz w:val="20"/>
          <w:szCs w:val="20"/>
        </w:rPr>
        <w:t>,</w:t>
      </w:r>
      <w:r w:rsidR="00497B7C" w:rsidRPr="006B6C08">
        <w:rPr>
          <w:sz w:val="20"/>
          <w:szCs w:val="20"/>
        </w:rPr>
        <w:t xml:space="preserve"> transfers and interrogations</w:t>
      </w:r>
      <w:r w:rsidR="00724FBD" w:rsidRPr="006B6C08">
        <w:rPr>
          <w:sz w:val="20"/>
          <w:szCs w:val="20"/>
        </w:rPr>
        <w:t xml:space="preserve">, </w:t>
      </w:r>
      <w:r w:rsidR="00497B7C" w:rsidRPr="006B6C08">
        <w:rPr>
          <w:sz w:val="20"/>
          <w:szCs w:val="20"/>
        </w:rPr>
        <w:t xml:space="preserve">particularly by the Israel Security Agency. Common </w:t>
      </w:r>
      <w:r w:rsidR="001806BC" w:rsidRPr="006B6C08">
        <w:rPr>
          <w:sz w:val="20"/>
          <w:szCs w:val="20"/>
        </w:rPr>
        <w:t>forms</w:t>
      </w:r>
      <w:r w:rsidR="00497B7C" w:rsidRPr="006B6C08">
        <w:rPr>
          <w:sz w:val="20"/>
          <w:szCs w:val="20"/>
        </w:rPr>
        <w:t xml:space="preserve"> of ill-</w:t>
      </w:r>
      <w:r w:rsidR="00497B7C" w:rsidRPr="006B6C08">
        <w:rPr>
          <w:color w:val="000000"/>
          <w:sz w:val="20"/>
          <w:szCs w:val="20"/>
        </w:rPr>
        <w:t>treatment</w:t>
      </w:r>
      <w:r w:rsidR="00497B7C" w:rsidRPr="006B6C08">
        <w:rPr>
          <w:sz w:val="20"/>
          <w:szCs w:val="20"/>
        </w:rPr>
        <w:t xml:space="preserve"> include sleep deprivation, stress positions, sexual harassment and physical assaults. In 2015, The Public Committee against Torture in Israel </w:t>
      </w:r>
      <w:r w:rsidR="005A202C" w:rsidRPr="006B6C08">
        <w:rPr>
          <w:sz w:val="20"/>
          <w:szCs w:val="20"/>
        </w:rPr>
        <w:t xml:space="preserve">(PCATI) </w:t>
      </w:r>
      <w:r w:rsidR="00497B7C" w:rsidRPr="006B6C08">
        <w:rPr>
          <w:sz w:val="20"/>
          <w:szCs w:val="20"/>
        </w:rPr>
        <w:t xml:space="preserve">documented </w:t>
      </w:r>
      <w:r w:rsidR="005A202C" w:rsidRPr="006B6C08">
        <w:rPr>
          <w:sz w:val="20"/>
          <w:szCs w:val="20"/>
        </w:rPr>
        <w:t>38</w:t>
      </w:r>
      <w:r w:rsidR="00497B7C" w:rsidRPr="006B6C08">
        <w:rPr>
          <w:sz w:val="20"/>
          <w:szCs w:val="20"/>
        </w:rPr>
        <w:t xml:space="preserve"> complaints of torture in Israeli detention facilities.</w:t>
      </w:r>
      <w:r w:rsidR="00497B7C" w:rsidRPr="006B6C08">
        <w:rPr>
          <w:rStyle w:val="FootnoteReference"/>
          <w:sz w:val="20"/>
          <w:szCs w:val="20"/>
        </w:rPr>
        <w:footnoteReference w:id="111"/>
      </w:r>
      <w:r w:rsidR="00497B7C" w:rsidRPr="006B6C08">
        <w:rPr>
          <w:sz w:val="20"/>
          <w:szCs w:val="20"/>
        </w:rPr>
        <w:t xml:space="preserve"> UNICEF and partner organizations also documented 58 cases of West Bank children reporting ill-treatment by </w:t>
      </w:r>
      <w:r w:rsidR="0049656E" w:rsidRPr="006B6C08">
        <w:rPr>
          <w:sz w:val="20"/>
          <w:szCs w:val="20"/>
        </w:rPr>
        <w:t xml:space="preserve">Israeli security forces </w:t>
      </w:r>
      <w:r w:rsidR="00497B7C" w:rsidRPr="006B6C08">
        <w:rPr>
          <w:sz w:val="20"/>
          <w:szCs w:val="20"/>
        </w:rPr>
        <w:t>in 2015.</w:t>
      </w:r>
      <w:r w:rsidR="00497B7C" w:rsidRPr="006B6C08">
        <w:rPr>
          <w:rStyle w:val="FootnoteReference"/>
          <w:sz w:val="20"/>
          <w:szCs w:val="20"/>
        </w:rPr>
        <w:footnoteReference w:id="112"/>
      </w:r>
      <w:r w:rsidR="00117C1B" w:rsidRPr="006B6C08">
        <w:rPr>
          <w:sz w:val="20"/>
          <w:szCs w:val="20"/>
        </w:rPr>
        <w:t xml:space="preserve"> </w:t>
      </w:r>
    </w:p>
    <w:p w:rsidR="001A31BF" w:rsidRPr="006B6C08" w:rsidRDefault="006B6C08" w:rsidP="006B6C08">
      <w:pPr>
        <w:pStyle w:val="SingleTxtG"/>
        <w:outlineLvl w:val="0"/>
        <w:rPr>
          <w:sz w:val="20"/>
          <w:szCs w:val="20"/>
        </w:rPr>
      </w:pPr>
      <w:r w:rsidRPr="006B6C08">
        <w:rPr>
          <w:sz w:val="20"/>
          <w:szCs w:val="20"/>
        </w:rPr>
        <w:t>49.</w:t>
      </w:r>
      <w:r w:rsidRPr="006B6C08">
        <w:rPr>
          <w:sz w:val="20"/>
          <w:szCs w:val="20"/>
        </w:rPr>
        <w:tab/>
      </w:r>
      <w:r w:rsidR="00AB36DC" w:rsidRPr="006B6C08">
        <w:rPr>
          <w:sz w:val="20"/>
          <w:szCs w:val="20"/>
        </w:rPr>
        <w:t>I</w:t>
      </w:r>
      <w:r w:rsidR="00F47FC6" w:rsidRPr="006B6C08">
        <w:rPr>
          <w:sz w:val="20"/>
          <w:szCs w:val="20"/>
        </w:rPr>
        <w:t>nternational human rights law</w:t>
      </w:r>
      <w:r w:rsidR="00497B7C" w:rsidRPr="006B6C08">
        <w:rPr>
          <w:sz w:val="20"/>
          <w:szCs w:val="20"/>
        </w:rPr>
        <w:t xml:space="preserve"> prohibits torture or cruel, inhumane or degrading treatment or punishment.</w:t>
      </w:r>
      <w:r w:rsidR="00497B7C" w:rsidRPr="006B6C08">
        <w:rPr>
          <w:rStyle w:val="FootnoteReference"/>
          <w:sz w:val="20"/>
          <w:szCs w:val="20"/>
        </w:rPr>
        <w:footnoteReference w:id="113"/>
      </w:r>
      <w:r w:rsidR="00497B7C" w:rsidRPr="006B6C08">
        <w:rPr>
          <w:sz w:val="20"/>
          <w:szCs w:val="20"/>
        </w:rPr>
        <w:t xml:space="preserve"> This prohibition is absolute and cannot be derogated from, even in a situation of armed conflict.</w:t>
      </w:r>
      <w:r w:rsidR="00497B7C" w:rsidRPr="006B6C08">
        <w:rPr>
          <w:rStyle w:val="FootnoteReference"/>
          <w:sz w:val="20"/>
          <w:szCs w:val="20"/>
        </w:rPr>
        <w:footnoteReference w:id="114"/>
      </w:r>
      <w:r w:rsidR="00497B7C" w:rsidRPr="006B6C08">
        <w:rPr>
          <w:sz w:val="20"/>
          <w:szCs w:val="20"/>
        </w:rPr>
        <w:t xml:space="preserve"> The occupied population is also specifically protected by </w:t>
      </w:r>
      <w:r w:rsidR="001A31BF" w:rsidRPr="006B6C08">
        <w:rPr>
          <w:sz w:val="20"/>
          <w:szCs w:val="20"/>
        </w:rPr>
        <w:t>international humanitarian law</w:t>
      </w:r>
      <w:r w:rsidR="00497B7C" w:rsidRPr="006B6C08">
        <w:rPr>
          <w:sz w:val="20"/>
          <w:szCs w:val="20"/>
        </w:rPr>
        <w:t>.</w:t>
      </w:r>
      <w:r w:rsidR="00497B7C" w:rsidRPr="006B6C08">
        <w:rPr>
          <w:rStyle w:val="FootnoteReference"/>
          <w:sz w:val="20"/>
          <w:szCs w:val="20"/>
        </w:rPr>
        <w:footnoteReference w:id="115"/>
      </w:r>
      <w:r w:rsidR="00497B7C"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50.</w:t>
      </w:r>
      <w:r w:rsidRPr="006B6C08">
        <w:rPr>
          <w:sz w:val="20"/>
          <w:szCs w:val="20"/>
        </w:rPr>
        <w:tab/>
      </w:r>
      <w:r w:rsidR="00497B7C" w:rsidRPr="006B6C08">
        <w:rPr>
          <w:sz w:val="20"/>
          <w:szCs w:val="20"/>
        </w:rPr>
        <w:t xml:space="preserve">Israeli law </w:t>
      </w:r>
      <w:r w:rsidR="001A31BF" w:rsidRPr="006B6C08">
        <w:rPr>
          <w:sz w:val="20"/>
          <w:szCs w:val="20"/>
        </w:rPr>
        <w:t xml:space="preserve">does not include any </w:t>
      </w:r>
      <w:r w:rsidR="00497B7C" w:rsidRPr="006B6C08">
        <w:rPr>
          <w:sz w:val="20"/>
          <w:szCs w:val="20"/>
        </w:rPr>
        <w:t>specific prohibition, definition or criminalization of torture.</w:t>
      </w:r>
      <w:r w:rsidR="00497B7C" w:rsidRPr="006B6C08">
        <w:rPr>
          <w:rStyle w:val="FootnoteReference"/>
          <w:sz w:val="20"/>
          <w:szCs w:val="20"/>
        </w:rPr>
        <w:footnoteReference w:id="116"/>
      </w:r>
      <w:r w:rsidR="00497B7C" w:rsidRPr="006B6C08">
        <w:rPr>
          <w:sz w:val="20"/>
          <w:szCs w:val="20"/>
        </w:rPr>
        <w:t xml:space="preserve"> </w:t>
      </w:r>
      <w:r w:rsidR="001A31BF" w:rsidRPr="006B6C08">
        <w:rPr>
          <w:sz w:val="20"/>
          <w:szCs w:val="20"/>
        </w:rPr>
        <w:t xml:space="preserve">Despite </w:t>
      </w:r>
      <w:r w:rsidR="00497B7C" w:rsidRPr="006B6C08">
        <w:rPr>
          <w:sz w:val="20"/>
          <w:szCs w:val="20"/>
        </w:rPr>
        <w:t>improvements</w:t>
      </w:r>
      <w:r w:rsidR="001A31BF" w:rsidRPr="006B6C08">
        <w:rPr>
          <w:sz w:val="20"/>
          <w:szCs w:val="20"/>
        </w:rPr>
        <w:t xml:space="preserve">, for instance with the creation of </w:t>
      </w:r>
      <w:r w:rsidR="00497B7C" w:rsidRPr="006B6C08">
        <w:rPr>
          <w:sz w:val="20"/>
          <w:szCs w:val="20"/>
        </w:rPr>
        <w:t xml:space="preserve">semi-independent accountability mechanisms, </w:t>
      </w:r>
      <w:r w:rsidR="001806BC" w:rsidRPr="006B6C08">
        <w:rPr>
          <w:sz w:val="20"/>
          <w:szCs w:val="20"/>
        </w:rPr>
        <w:t xml:space="preserve">the </w:t>
      </w:r>
      <w:r w:rsidR="00497B7C" w:rsidRPr="006B6C08">
        <w:rPr>
          <w:sz w:val="20"/>
          <w:szCs w:val="20"/>
        </w:rPr>
        <w:t xml:space="preserve">“necessity defence” is commonly </w:t>
      </w:r>
      <w:r w:rsidR="00103902" w:rsidRPr="006B6C08">
        <w:rPr>
          <w:sz w:val="20"/>
          <w:szCs w:val="20"/>
        </w:rPr>
        <w:t xml:space="preserve">invoked </w:t>
      </w:r>
      <w:r w:rsidR="00497B7C" w:rsidRPr="006B6C08">
        <w:rPr>
          <w:sz w:val="20"/>
          <w:szCs w:val="20"/>
        </w:rPr>
        <w:t>to prevent any criminal investigations.</w:t>
      </w:r>
      <w:r w:rsidR="00497B7C" w:rsidRPr="006B6C08">
        <w:rPr>
          <w:rStyle w:val="FootnoteReference"/>
          <w:sz w:val="20"/>
          <w:szCs w:val="20"/>
        </w:rPr>
        <w:footnoteReference w:id="117"/>
      </w:r>
      <w:r w:rsidR="00497B7C" w:rsidRPr="006B6C08">
        <w:rPr>
          <w:sz w:val="20"/>
          <w:szCs w:val="20"/>
        </w:rPr>
        <w:t xml:space="preserve"> The number of complaints of torture or ill-treatment </w:t>
      </w:r>
      <w:r w:rsidR="001A31BF" w:rsidRPr="006B6C08">
        <w:rPr>
          <w:sz w:val="20"/>
          <w:szCs w:val="20"/>
        </w:rPr>
        <w:t xml:space="preserve">involving the </w:t>
      </w:r>
      <w:r w:rsidR="00497B7C" w:rsidRPr="006B6C08">
        <w:rPr>
          <w:sz w:val="20"/>
          <w:szCs w:val="20"/>
        </w:rPr>
        <w:t>Israeli Security Agency has quadrupled since June 2013, but not one complaint has led to a criminal investigation.</w:t>
      </w:r>
      <w:r w:rsidR="00497B7C" w:rsidRPr="006B6C08">
        <w:rPr>
          <w:rStyle w:val="FootnoteReference"/>
          <w:sz w:val="20"/>
          <w:szCs w:val="20"/>
        </w:rPr>
        <w:footnoteReference w:id="118"/>
      </w:r>
      <w:r w:rsidR="00497B7C" w:rsidRPr="006B6C08">
        <w:rPr>
          <w:sz w:val="20"/>
          <w:szCs w:val="20"/>
        </w:rPr>
        <w:t xml:space="preserve"> Israel views the presentation of such complaints “as a method </w:t>
      </w:r>
      <w:r w:rsidR="00E7740F" w:rsidRPr="006B6C08">
        <w:rPr>
          <w:sz w:val="20"/>
          <w:szCs w:val="20"/>
        </w:rPr>
        <w:t xml:space="preserve">(…) </w:t>
      </w:r>
      <w:r w:rsidR="00497B7C" w:rsidRPr="006B6C08">
        <w:rPr>
          <w:sz w:val="20"/>
          <w:szCs w:val="20"/>
        </w:rPr>
        <w:t xml:space="preserve">to burden and hinder </w:t>
      </w:r>
      <w:r w:rsidR="00E7740F" w:rsidRPr="006B6C08">
        <w:rPr>
          <w:sz w:val="20"/>
          <w:szCs w:val="20"/>
        </w:rPr>
        <w:t>(</w:t>
      </w:r>
      <w:r w:rsidR="001A31BF" w:rsidRPr="006B6C08">
        <w:rPr>
          <w:sz w:val="20"/>
          <w:szCs w:val="20"/>
        </w:rPr>
        <w:t>its</w:t>
      </w:r>
      <w:r w:rsidR="00E7740F" w:rsidRPr="006B6C08">
        <w:rPr>
          <w:sz w:val="20"/>
          <w:szCs w:val="20"/>
        </w:rPr>
        <w:t>)</w:t>
      </w:r>
      <w:r w:rsidR="001A31BF" w:rsidRPr="006B6C08">
        <w:rPr>
          <w:sz w:val="20"/>
          <w:szCs w:val="20"/>
        </w:rPr>
        <w:t xml:space="preserve"> </w:t>
      </w:r>
      <w:r w:rsidR="00497B7C" w:rsidRPr="006B6C08">
        <w:rPr>
          <w:sz w:val="20"/>
          <w:szCs w:val="20"/>
        </w:rPr>
        <w:t>security agencies</w:t>
      </w:r>
      <w:r w:rsidR="00E7740F" w:rsidRPr="006B6C08">
        <w:rPr>
          <w:sz w:val="20"/>
          <w:szCs w:val="20"/>
        </w:rPr>
        <w:t xml:space="preserve"> (…)</w:t>
      </w:r>
      <w:r w:rsidR="00497B7C" w:rsidRPr="006B6C08">
        <w:rPr>
          <w:sz w:val="20"/>
          <w:szCs w:val="20"/>
        </w:rPr>
        <w:t xml:space="preserve"> in their </w:t>
      </w:r>
      <w:r w:rsidR="00E7740F" w:rsidRPr="006B6C08">
        <w:rPr>
          <w:sz w:val="20"/>
          <w:szCs w:val="20"/>
        </w:rPr>
        <w:t xml:space="preserve">ongoing </w:t>
      </w:r>
      <w:r w:rsidR="00497B7C" w:rsidRPr="006B6C08">
        <w:rPr>
          <w:sz w:val="20"/>
          <w:szCs w:val="20"/>
        </w:rPr>
        <w:t>fight against terrorism</w:t>
      </w:r>
      <w:r w:rsidR="00994243" w:rsidRPr="006B6C08">
        <w:rPr>
          <w:sz w:val="20"/>
          <w:szCs w:val="20"/>
        </w:rPr>
        <w:t>.</w:t>
      </w:r>
      <w:r w:rsidR="00497B7C" w:rsidRPr="006B6C08">
        <w:rPr>
          <w:sz w:val="20"/>
          <w:szCs w:val="20"/>
        </w:rPr>
        <w:t>”</w:t>
      </w:r>
      <w:r w:rsidR="00497B7C" w:rsidRPr="006B6C08">
        <w:rPr>
          <w:rStyle w:val="FootnoteReference"/>
          <w:sz w:val="20"/>
          <w:szCs w:val="20"/>
        </w:rPr>
        <w:footnoteReference w:id="119"/>
      </w:r>
      <w:r w:rsidR="004B5BF6"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51.</w:t>
      </w:r>
      <w:r w:rsidRPr="006B6C08">
        <w:rPr>
          <w:sz w:val="20"/>
          <w:szCs w:val="20"/>
        </w:rPr>
        <w:tab/>
      </w:r>
      <w:r w:rsidR="001A31BF" w:rsidRPr="006B6C08">
        <w:rPr>
          <w:sz w:val="20"/>
          <w:szCs w:val="20"/>
        </w:rPr>
        <w:t xml:space="preserve">OHCHR has consistently received and documented reliable allegations of torture and ill-treatment of Palestinian detainees </w:t>
      </w:r>
      <w:r w:rsidR="00E7135B" w:rsidRPr="006B6C08">
        <w:rPr>
          <w:sz w:val="20"/>
          <w:szCs w:val="20"/>
        </w:rPr>
        <w:t>i</w:t>
      </w:r>
      <w:r w:rsidR="00864AC0" w:rsidRPr="006B6C08">
        <w:rPr>
          <w:sz w:val="20"/>
          <w:szCs w:val="20"/>
        </w:rPr>
        <w:t>n the West Bank</w:t>
      </w:r>
      <w:r w:rsidR="00E7135B" w:rsidRPr="006B6C08">
        <w:rPr>
          <w:sz w:val="20"/>
          <w:szCs w:val="20"/>
        </w:rPr>
        <w:t xml:space="preserve"> and in Gaza</w:t>
      </w:r>
      <w:r w:rsidR="001A31BF" w:rsidRPr="006B6C08">
        <w:rPr>
          <w:sz w:val="20"/>
          <w:szCs w:val="20"/>
        </w:rPr>
        <w:t xml:space="preserve">, </w:t>
      </w:r>
      <w:r w:rsidR="00E7135B" w:rsidRPr="006B6C08">
        <w:rPr>
          <w:sz w:val="20"/>
          <w:szCs w:val="20"/>
        </w:rPr>
        <w:t>including cases that led to death</w:t>
      </w:r>
      <w:r w:rsidR="00497B7C" w:rsidRPr="006B6C08">
        <w:rPr>
          <w:sz w:val="20"/>
          <w:szCs w:val="20"/>
        </w:rPr>
        <w:t>.</w:t>
      </w:r>
      <w:r w:rsidR="00186979" w:rsidRPr="006B6C08">
        <w:rPr>
          <w:rStyle w:val="FootnoteReference"/>
          <w:szCs w:val="20"/>
        </w:rPr>
        <w:footnoteReference w:id="120"/>
      </w:r>
      <w:r w:rsidR="00497B7C" w:rsidRPr="006B6C08">
        <w:rPr>
          <w:sz w:val="20"/>
          <w:szCs w:val="20"/>
        </w:rPr>
        <w:t xml:space="preserve"> </w:t>
      </w:r>
      <w:r w:rsidR="00E7135B" w:rsidRPr="006B6C08">
        <w:rPr>
          <w:sz w:val="20"/>
          <w:szCs w:val="20"/>
        </w:rPr>
        <w:t>In the West Bank, p</w:t>
      </w:r>
      <w:r w:rsidR="00497B7C" w:rsidRPr="006B6C08">
        <w:rPr>
          <w:sz w:val="20"/>
          <w:szCs w:val="20"/>
        </w:rPr>
        <w:t>olitical opponents and activists, including students perceived to be linked to Hamas and Islamic Jihad</w:t>
      </w:r>
      <w:r w:rsidR="00CA14F7" w:rsidRPr="006B6C08">
        <w:rPr>
          <w:sz w:val="20"/>
          <w:szCs w:val="20"/>
        </w:rPr>
        <w:t>,</w:t>
      </w:r>
      <w:r w:rsidR="00497B7C" w:rsidRPr="006B6C08">
        <w:rPr>
          <w:sz w:val="20"/>
          <w:szCs w:val="20"/>
        </w:rPr>
        <w:t xml:space="preserve"> appear to be particularly targeted</w:t>
      </w:r>
      <w:r w:rsidR="00E7135B" w:rsidRPr="006B6C08">
        <w:rPr>
          <w:sz w:val="20"/>
          <w:szCs w:val="20"/>
        </w:rPr>
        <w:t xml:space="preserve"> by the Palestinian Authority</w:t>
      </w:r>
      <w:r w:rsidR="00497B7C" w:rsidRPr="006B6C08">
        <w:rPr>
          <w:sz w:val="20"/>
          <w:szCs w:val="20"/>
        </w:rPr>
        <w:t>.</w:t>
      </w:r>
      <w:r w:rsidR="00497B7C" w:rsidRPr="006B6C08">
        <w:rPr>
          <w:rStyle w:val="FootnoteReference"/>
          <w:sz w:val="20"/>
          <w:szCs w:val="20"/>
        </w:rPr>
        <w:footnoteReference w:id="121"/>
      </w:r>
      <w:r w:rsidR="00497B7C" w:rsidRPr="006B6C08">
        <w:rPr>
          <w:sz w:val="20"/>
          <w:szCs w:val="20"/>
        </w:rPr>
        <w:t xml:space="preserve"> In Gaza, the ruling authorities</w:t>
      </w:r>
      <w:r w:rsidR="00933675" w:rsidRPr="006B6C08">
        <w:rPr>
          <w:sz w:val="20"/>
          <w:szCs w:val="20"/>
        </w:rPr>
        <w:t xml:space="preserve"> and</w:t>
      </w:r>
      <w:r w:rsidR="00497B7C" w:rsidRPr="006B6C08">
        <w:rPr>
          <w:sz w:val="20"/>
          <w:szCs w:val="20"/>
        </w:rPr>
        <w:t xml:space="preserve"> armed groups have reportedly resorted to </w:t>
      </w:r>
      <w:r w:rsidR="00E7135B" w:rsidRPr="006B6C08">
        <w:rPr>
          <w:sz w:val="20"/>
          <w:szCs w:val="20"/>
        </w:rPr>
        <w:t>such practices</w:t>
      </w:r>
      <w:r w:rsidR="00497B7C" w:rsidRPr="006B6C08">
        <w:rPr>
          <w:sz w:val="20"/>
          <w:szCs w:val="20"/>
        </w:rPr>
        <w:t>.</w:t>
      </w:r>
      <w:r w:rsidR="00497B7C" w:rsidRPr="006B6C08">
        <w:rPr>
          <w:rStyle w:val="FootnoteReference"/>
          <w:sz w:val="20"/>
          <w:szCs w:val="20"/>
        </w:rPr>
        <w:footnoteReference w:id="122"/>
      </w:r>
      <w:r w:rsidR="00497B7C" w:rsidRPr="006B6C08">
        <w:rPr>
          <w:sz w:val="20"/>
          <w:szCs w:val="20"/>
        </w:rPr>
        <w:t xml:space="preserve"> Credible investigations into allegations are rare.</w:t>
      </w:r>
      <w:r w:rsidR="004B5BF6" w:rsidRPr="006B6C08">
        <w:rPr>
          <w:sz w:val="20"/>
          <w:szCs w:val="20"/>
        </w:rPr>
        <w:t xml:space="preserve"> </w:t>
      </w:r>
    </w:p>
    <w:p w:rsidR="004B5BF6" w:rsidRPr="006B6C08" w:rsidRDefault="004B5BF6" w:rsidP="004B5BF6">
      <w:pPr>
        <w:pStyle w:val="SingleTxtG"/>
        <w:outlineLvl w:val="0"/>
        <w:rPr>
          <w:b/>
          <w:i/>
          <w:sz w:val="20"/>
          <w:szCs w:val="20"/>
        </w:rPr>
      </w:pPr>
      <w:r w:rsidRPr="006B6C08">
        <w:rPr>
          <w:b/>
          <w:i/>
          <w:sz w:val="20"/>
          <w:szCs w:val="20"/>
        </w:rPr>
        <w:t xml:space="preserve">Administrative </w:t>
      </w:r>
      <w:r w:rsidR="004B5660" w:rsidRPr="006B6C08">
        <w:rPr>
          <w:b/>
          <w:i/>
          <w:sz w:val="20"/>
          <w:szCs w:val="20"/>
        </w:rPr>
        <w:t xml:space="preserve">and arbitrary </w:t>
      </w:r>
      <w:r w:rsidR="00830695" w:rsidRPr="006B6C08">
        <w:rPr>
          <w:b/>
          <w:i/>
          <w:sz w:val="20"/>
          <w:szCs w:val="20"/>
        </w:rPr>
        <w:t>d</w:t>
      </w:r>
      <w:r w:rsidRPr="006B6C08">
        <w:rPr>
          <w:b/>
          <w:i/>
          <w:sz w:val="20"/>
          <w:szCs w:val="20"/>
        </w:rPr>
        <w:t>etention</w:t>
      </w:r>
    </w:p>
    <w:p w:rsidR="004903C7" w:rsidRPr="006B6C08" w:rsidRDefault="006B6C08" w:rsidP="006B6C08">
      <w:pPr>
        <w:pStyle w:val="SingleTxtG"/>
        <w:outlineLvl w:val="0"/>
        <w:rPr>
          <w:sz w:val="20"/>
          <w:szCs w:val="20"/>
        </w:rPr>
      </w:pPr>
      <w:r w:rsidRPr="006B6C08">
        <w:rPr>
          <w:sz w:val="20"/>
          <w:szCs w:val="20"/>
        </w:rPr>
        <w:t>52.</w:t>
      </w:r>
      <w:r w:rsidRPr="006B6C08">
        <w:rPr>
          <w:sz w:val="20"/>
          <w:szCs w:val="20"/>
        </w:rPr>
        <w:tab/>
      </w:r>
      <w:r w:rsidR="00497B7C" w:rsidRPr="006B6C08">
        <w:rPr>
          <w:sz w:val="20"/>
          <w:szCs w:val="20"/>
        </w:rPr>
        <w:t>Since 2014, detention of Palestinians</w:t>
      </w:r>
      <w:r w:rsidR="00933675" w:rsidRPr="006B6C08">
        <w:rPr>
          <w:sz w:val="20"/>
          <w:szCs w:val="20"/>
        </w:rPr>
        <w:t xml:space="preserve"> has significantly increased,</w:t>
      </w:r>
      <w:r w:rsidR="00497B7C" w:rsidRPr="006B6C08">
        <w:rPr>
          <w:sz w:val="20"/>
          <w:szCs w:val="20"/>
        </w:rPr>
        <w:t xml:space="preserve"> with no prospect of charge or trial. </w:t>
      </w:r>
      <w:r w:rsidR="00830695" w:rsidRPr="006B6C08">
        <w:rPr>
          <w:sz w:val="20"/>
          <w:szCs w:val="20"/>
        </w:rPr>
        <w:t xml:space="preserve">As </w:t>
      </w:r>
      <w:r w:rsidR="00103902" w:rsidRPr="006B6C08">
        <w:rPr>
          <w:sz w:val="20"/>
          <w:szCs w:val="20"/>
        </w:rPr>
        <w:t>of 31 October 2016</w:t>
      </w:r>
      <w:r w:rsidR="00830695" w:rsidRPr="006B6C08">
        <w:rPr>
          <w:sz w:val="20"/>
          <w:szCs w:val="20"/>
        </w:rPr>
        <w:t xml:space="preserve">, </w:t>
      </w:r>
      <w:r w:rsidR="00497B7C" w:rsidRPr="006B6C08">
        <w:rPr>
          <w:sz w:val="20"/>
          <w:szCs w:val="20"/>
        </w:rPr>
        <w:t xml:space="preserve">720 Palestinians </w:t>
      </w:r>
      <w:r w:rsidR="00830695" w:rsidRPr="006B6C08">
        <w:rPr>
          <w:sz w:val="20"/>
          <w:szCs w:val="20"/>
        </w:rPr>
        <w:t>we</w:t>
      </w:r>
      <w:r w:rsidR="00497B7C" w:rsidRPr="006B6C08">
        <w:rPr>
          <w:sz w:val="20"/>
          <w:szCs w:val="20"/>
        </w:rPr>
        <w:t xml:space="preserve">re </w:t>
      </w:r>
      <w:r w:rsidR="00464D64" w:rsidRPr="006B6C08">
        <w:rPr>
          <w:sz w:val="20"/>
          <w:szCs w:val="20"/>
        </w:rPr>
        <w:t xml:space="preserve">reported to be </w:t>
      </w:r>
      <w:r w:rsidR="00497B7C" w:rsidRPr="006B6C08">
        <w:rPr>
          <w:sz w:val="20"/>
          <w:szCs w:val="20"/>
        </w:rPr>
        <w:t>held in Israeli administrative detention</w:t>
      </w:r>
      <w:r w:rsidR="0075756E" w:rsidRPr="006B6C08">
        <w:rPr>
          <w:sz w:val="20"/>
          <w:szCs w:val="20"/>
        </w:rPr>
        <w:t>,</w:t>
      </w:r>
      <w:r w:rsidR="00497B7C" w:rsidRPr="006B6C08">
        <w:rPr>
          <w:rStyle w:val="FootnoteReference"/>
          <w:sz w:val="20"/>
          <w:szCs w:val="20"/>
        </w:rPr>
        <w:footnoteReference w:id="123"/>
      </w:r>
      <w:r w:rsidR="00497B7C" w:rsidRPr="006B6C08">
        <w:rPr>
          <w:sz w:val="20"/>
          <w:szCs w:val="20"/>
        </w:rPr>
        <w:t xml:space="preserve"> after </w:t>
      </w:r>
      <w:r w:rsidR="0075756E" w:rsidRPr="006B6C08">
        <w:rPr>
          <w:sz w:val="20"/>
          <w:szCs w:val="20"/>
        </w:rPr>
        <w:t xml:space="preserve">their number had </w:t>
      </w:r>
      <w:r w:rsidR="00497B7C" w:rsidRPr="006B6C08">
        <w:rPr>
          <w:sz w:val="20"/>
          <w:szCs w:val="20"/>
        </w:rPr>
        <w:t xml:space="preserve">peaked at 750 earlier in 2016 – the </w:t>
      </w:r>
      <w:r w:rsidR="00497B7C" w:rsidRPr="006B6C08">
        <w:rPr>
          <w:sz w:val="20"/>
          <w:szCs w:val="20"/>
        </w:rPr>
        <w:lastRenderedPageBreak/>
        <w:t>highest number since early 2008.</w:t>
      </w:r>
      <w:r w:rsidR="00497B7C" w:rsidRPr="006B6C08">
        <w:rPr>
          <w:rStyle w:val="FootnoteReference"/>
          <w:sz w:val="20"/>
          <w:szCs w:val="20"/>
        </w:rPr>
        <w:footnoteReference w:id="124"/>
      </w:r>
      <w:r w:rsidR="00497B7C" w:rsidRPr="006B6C08">
        <w:rPr>
          <w:sz w:val="20"/>
          <w:szCs w:val="20"/>
        </w:rPr>
        <w:t xml:space="preserve"> Some administrative detainees have resorted to hunger strikes to protest their detention.</w:t>
      </w:r>
      <w:r w:rsidR="00497B7C" w:rsidRPr="006B6C08">
        <w:rPr>
          <w:rStyle w:val="FootnoteReference"/>
          <w:sz w:val="20"/>
          <w:szCs w:val="20"/>
        </w:rPr>
        <w:footnoteReference w:id="125"/>
      </w:r>
      <w:r w:rsidR="00497B7C" w:rsidRPr="006B6C08">
        <w:rPr>
          <w:sz w:val="20"/>
          <w:szCs w:val="20"/>
        </w:rPr>
        <w:t xml:space="preserve"> In July 2015, the Israeli Prisons Act was amended</w:t>
      </w:r>
      <w:r w:rsidR="00830695" w:rsidRPr="006B6C08">
        <w:rPr>
          <w:sz w:val="20"/>
          <w:szCs w:val="20"/>
        </w:rPr>
        <w:t>,</w:t>
      </w:r>
      <w:r w:rsidR="00497B7C" w:rsidRPr="006B6C08">
        <w:rPr>
          <w:sz w:val="20"/>
          <w:szCs w:val="20"/>
        </w:rPr>
        <w:t xml:space="preserve"> allowing judges to authorize force-feeding of a detainee on hunger strike.</w:t>
      </w:r>
      <w:r w:rsidR="00497B7C" w:rsidRPr="006B6C08">
        <w:rPr>
          <w:rStyle w:val="FootnoteReference"/>
          <w:sz w:val="20"/>
          <w:szCs w:val="20"/>
        </w:rPr>
        <w:footnoteReference w:id="126"/>
      </w:r>
      <w:r w:rsidR="004B5BF6" w:rsidRPr="006B6C08">
        <w:rPr>
          <w:sz w:val="20"/>
          <w:szCs w:val="20"/>
        </w:rPr>
        <w:t xml:space="preserve"> </w:t>
      </w:r>
      <w:r w:rsidR="004903C7" w:rsidRPr="006B6C08">
        <w:rPr>
          <w:sz w:val="20"/>
          <w:szCs w:val="20"/>
        </w:rPr>
        <w:t>Force-feeding was qualified by human rights experts as tantamount to cruel, inhuman or degrading treatment, and a violation of the rights to health.</w:t>
      </w:r>
      <w:r w:rsidR="004903C7" w:rsidRPr="006B6C08">
        <w:rPr>
          <w:rStyle w:val="FootnoteReference"/>
          <w:sz w:val="20"/>
          <w:szCs w:val="20"/>
        </w:rPr>
        <w:footnoteReference w:id="127"/>
      </w:r>
      <w:r w:rsidR="004903C7"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53.</w:t>
      </w:r>
      <w:r w:rsidRPr="006B6C08">
        <w:rPr>
          <w:sz w:val="20"/>
          <w:szCs w:val="20"/>
        </w:rPr>
        <w:tab/>
      </w:r>
      <w:r w:rsidR="00497B7C" w:rsidRPr="006B6C08">
        <w:rPr>
          <w:sz w:val="20"/>
          <w:szCs w:val="20"/>
        </w:rPr>
        <w:t xml:space="preserve">OHCHR has also documented a growing use of administrative detention by Palestinian security forces, </w:t>
      </w:r>
      <w:r w:rsidR="00C1058E" w:rsidRPr="006B6C08">
        <w:rPr>
          <w:sz w:val="20"/>
          <w:szCs w:val="20"/>
        </w:rPr>
        <w:t xml:space="preserve">in some cases </w:t>
      </w:r>
      <w:r w:rsidR="00497B7C" w:rsidRPr="006B6C08">
        <w:rPr>
          <w:sz w:val="20"/>
          <w:szCs w:val="20"/>
        </w:rPr>
        <w:t>on the basis of order</w:t>
      </w:r>
      <w:r w:rsidR="00C1058E" w:rsidRPr="006B6C08">
        <w:rPr>
          <w:sz w:val="20"/>
          <w:szCs w:val="20"/>
        </w:rPr>
        <w:t>s issued</w:t>
      </w:r>
      <w:r w:rsidR="00497B7C" w:rsidRPr="006B6C08">
        <w:rPr>
          <w:sz w:val="20"/>
          <w:szCs w:val="20"/>
        </w:rPr>
        <w:t xml:space="preserve"> by provincial Governors, or</w:t>
      </w:r>
      <w:r w:rsidR="00C1058E" w:rsidRPr="006B6C08">
        <w:rPr>
          <w:sz w:val="20"/>
          <w:szCs w:val="20"/>
        </w:rPr>
        <w:t xml:space="preserve"> simply</w:t>
      </w:r>
      <w:r w:rsidR="00497B7C" w:rsidRPr="006B6C08">
        <w:rPr>
          <w:sz w:val="20"/>
          <w:szCs w:val="20"/>
        </w:rPr>
        <w:t xml:space="preserve"> to justify delays in bringing the accused before a judge.</w:t>
      </w:r>
      <w:r w:rsidR="00497B7C" w:rsidRPr="006B6C08">
        <w:rPr>
          <w:rStyle w:val="FootnoteReference"/>
          <w:sz w:val="20"/>
          <w:szCs w:val="20"/>
        </w:rPr>
        <w:footnoteReference w:id="128"/>
      </w:r>
      <w:r w:rsidR="00497B7C" w:rsidRPr="006B6C08">
        <w:rPr>
          <w:sz w:val="20"/>
          <w:szCs w:val="20"/>
        </w:rPr>
        <w:t xml:space="preserve"> In Gaza, </w:t>
      </w:r>
      <w:r w:rsidR="00C1058E" w:rsidRPr="006B6C08">
        <w:rPr>
          <w:sz w:val="20"/>
          <w:szCs w:val="20"/>
        </w:rPr>
        <w:t>the</w:t>
      </w:r>
      <w:r w:rsidR="00497B7C" w:rsidRPr="006B6C08">
        <w:rPr>
          <w:sz w:val="20"/>
          <w:szCs w:val="20"/>
        </w:rPr>
        <w:t xml:space="preserve"> authorities have been resorting to arbitrary detention against</w:t>
      </w:r>
      <w:r w:rsidR="007966F9" w:rsidRPr="006B6C08">
        <w:rPr>
          <w:sz w:val="20"/>
          <w:szCs w:val="20"/>
        </w:rPr>
        <w:t xml:space="preserve"> perceived</w:t>
      </w:r>
      <w:r w:rsidR="00497B7C" w:rsidRPr="006B6C08">
        <w:rPr>
          <w:sz w:val="20"/>
          <w:szCs w:val="20"/>
        </w:rPr>
        <w:t xml:space="preserve"> political opponents, including members of Fatah and former personnel of the P</w:t>
      </w:r>
      <w:r w:rsidR="0081360B" w:rsidRPr="006B6C08">
        <w:rPr>
          <w:sz w:val="20"/>
          <w:szCs w:val="20"/>
        </w:rPr>
        <w:t xml:space="preserve">alestinian </w:t>
      </w:r>
      <w:r w:rsidR="00497B7C" w:rsidRPr="006B6C08">
        <w:rPr>
          <w:sz w:val="20"/>
          <w:szCs w:val="20"/>
        </w:rPr>
        <w:t>A</w:t>
      </w:r>
      <w:r w:rsidR="0081360B" w:rsidRPr="006B6C08">
        <w:rPr>
          <w:sz w:val="20"/>
          <w:szCs w:val="20"/>
        </w:rPr>
        <w:t>uthority</w:t>
      </w:r>
      <w:r w:rsidR="00497B7C" w:rsidRPr="006B6C08">
        <w:rPr>
          <w:sz w:val="20"/>
          <w:szCs w:val="20"/>
        </w:rPr>
        <w:t xml:space="preserve">, with cases of </w:t>
      </w:r>
      <w:proofErr w:type="gramStart"/>
      <w:r w:rsidR="00497B7C" w:rsidRPr="006B6C08">
        <w:rPr>
          <w:sz w:val="20"/>
          <w:szCs w:val="20"/>
        </w:rPr>
        <w:t>incommunicado</w:t>
      </w:r>
      <w:proofErr w:type="gramEnd"/>
      <w:r w:rsidR="00497B7C" w:rsidRPr="006B6C08">
        <w:rPr>
          <w:sz w:val="20"/>
          <w:szCs w:val="20"/>
        </w:rPr>
        <w:t xml:space="preserve"> detention</w:t>
      </w:r>
      <w:r w:rsidR="00C1058E" w:rsidRPr="006B6C08">
        <w:rPr>
          <w:sz w:val="20"/>
          <w:szCs w:val="20"/>
        </w:rPr>
        <w:t xml:space="preserve"> reported</w:t>
      </w:r>
      <w:r w:rsidR="0062211A" w:rsidRPr="006B6C08">
        <w:rPr>
          <w:sz w:val="20"/>
          <w:szCs w:val="20"/>
        </w:rPr>
        <w:t>, including by armed groups</w:t>
      </w:r>
      <w:r w:rsidR="00497B7C" w:rsidRPr="006B6C08">
        <w:rPr>
          <w:sz w:val="20"/>
          <w:szCs w:val="20"/>
        </w:rPr>
        <w:t>.</w:t>
      </w:r>
      <w:r w:rsidR="00497B7C" w:rsidRPr="006B6C08">
        <w:rPr>
          <w:rStyle w:val="FootnoteReference"/>
          <w:sz w:val="20"/>
          <w:szCs w:val="20"/>
        </w:rPr>
        <w:footnoteReference w:id="129"/>
      </w:r>
      <w:r w:rsidR="004B5BF6"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54.</w:t>
      </w:r>
      <w:r w:rsidRPr="006B6C08">
        <w:rPr>
          <w:sz w:val="20"/>
          <w:szCs w:val="20"/>
        </w:rPr>
        <w:tab/>
      </w:r>
      <w:r w:rsidR="00497B7C" w:rsidRPr="006B6C08">
        <w:rPr>
          <w:sz w:val="20"/>
          <w:szCs w:val="20"/>
        </w:rPr>
        <w:t>Human rights law guarantees to everyone the right to liberty and security. This implies that no one shall be subject to arbitrary arrest or detention</w:t>
      </w:r>
      <w:r w:rsidR="00830695" w:rsidRPr="006B6C08">
        <w:rPr>
          <w:sz w:val="20"/>
          <w:szCs w:val="20"/>
        </w:rPr>
        <w:t>,</w:t>
      </w:r>
      <w:r w:rsidR="00497B7C" w:rsidRPr="006B6C08">
        <w:rPr>
          <w:sz w:val="20"/>
          <w:szCs w:val="20"/>
        </w:rPr>
        <w:t xml:space="preserve"> and that any deprivation of liberty should occur on </w:t>
      </w:r>
      <w:r w:rsidR="00C1058E" w:rsidRPr="006B6C08">
        <w:rPr>
          <w:sz w:val="20"/>
          <w:szCs w:val="20"/>
        </w:rPr>
        <w:t xml:space="preserve">the basis of legal </w:t>
      </w:r>
      <w:r w:rsidR="00497B7C" w:rsidRPr="006B6C08">
        <w:rPr>
          <w:sz w:val="20"/>
          <w:szCs w:val="20"/>
        </w:rPr>
        <w:t xml:space="preserve">grounds and follow </w:t>
      </w:r>
      <w:r w:rsidR="00C1058E" w:rsidRPr="006B6C08">
        <w:rPr>
          <w:sz w:val="20"/>
          <w:szCs w:val="20"/>
        </w:rPr>
        <w:t xml:space="preserve">strict </w:t>
      </w:r>
      <w:r w:rsidR="00497B7C" w:rsidRPr="006B6C08">
        <w:rPr>
          <w:sz w:val="20"/>
          <w:szCs w:val="20"/>
        </w:rPr>
        <w:t>procedures as established by law.</w:t>
      </w:r>
      <w:r w:rsidR="00497B7C" w:rsidRPr="006B6C08">
        <w:rPr>
          <w:rStyle w:val="FootnoteReference"/>
          <w:sz w:val="20"/>
          <w:szCs w:val="20"/>
        </w:rPr>
        <w:footnoteReference w:id="130"/>
      </w:r>
      <w:r w:rsidR="00497B7C" w:rsidRPr="006B6C08">
        <w:rPr>
          <w:sz w:val="20"/>
          <w:szCs w:val="20"/>
        </w:rPr>
        <w:t xml:space="preserve"> Detainees should be promptly charged or released. Administrative detention is only permitted in exceptional circumstances</w:t>
      </w:r>
      <w:r w:rsidR="00830695" w:rsidRPr="006B6C08">
        <w:rPr>
          <w:sz w:val="20"/>
          <w:szCs w:val="20"/>
        </w:rPr>
        <w:t xml:space="preserve"> and</w:t>
      </w:r>
      <w:r w:rsidR="001D750E" w:rsidRPr="006B6C08">
        <w:rPr>
          <w:sz w:val="20"/>
          <w:szCs w:val="20"/>
        </w:rPr>
        <w:t xml:space="preserve"> should never be used as an alternative to criminal proceedings</w:t>
      </w:r>
      <w:r w:rsidR="00830695" w:rsidRPr="006B6C08">
        <w:rPr>
          <w:sz w:val="20"/>
          <w:szCs w:val="20"/>
        </w:rPr>
        <w:t>.</w:t>
      </w:r>
      <w:r w:rsidR="005A41D9" w:rsidRPr="006B6C08">
        <w:rPr>
          <w:rStyle w:val="FootnoteReference"/>
          <w:szCs w:val="20"/>
        </w:rPr>
        <w:footnoteReference w:id="131"/>
      </w:r>
      <w:r w:rsidR="00830695" w:rsidRPr="006B6C08">
        <w:rPr>
          <w:sz w:val="20"/>
          <w:szCs w:val="20"/>
        </w:rPr>
        <w:t xml:space="preserve"> It </w:t>
      </w:r>
      <w:r w:rsidR="001D750E" w:rsidRPr="006B6C08">
        <w:rPr>
          <w:sz w:val="20"/>
          <w:szCs w:val="20"/>
        </w:rPr>
        <w:t xml:space="preserve">is </w:t>
      </w:r>
      <w:r w:rsidR="00497B7C" w:rsidRPr="006B6C08">
        <w:rPr>
          <w:sz w:val="20"/>
          <w:szCs w:val="20"/>
        </w:rPr>
        <w:t>subject to stringent safeguards to prevent arbitrary detention</w:t>
      </w:r>
      <w:r w:rsidR="00830695" w:rsidRPr="006B6C08">
        <w:rPr>
          <w:sz w:val="20"/>
          <w:szCs w:val="20"/>
        </w:rPr>
        <w:t xml:space="preserve">, including </w:t>
      </w:r>
      <w:r w:rsidR="00497B7C" w:rsidRPr="006B6C08">
        <w:rPr>
          <w:color w:val="000000"/>
          <w:sz w:val="20"/>
          <w:szCs w:val="20"/>
        </w:rPr>
        <w:t xml:space="preserve">basic </w:t>
      </w:r>
      <w:r w:rsidR="004B5660" w:rsidRPr="006B6C08">
        <w:rPr>
          <w:color w:val="000000"/>
          <w:sz w:val="20"/>
          <w:szCs w:val="20"/>
        </w:rPr>
        <w:t>procedural guarantees</w:t>
      </w:r>
      <w:r w:rsidR="00497B7C" w:rsidRPr="006B6C08">
        <w:rPr>
          <w:color w:val="000000"/>
          <w:sz w:val="20"/>
          <w:szCs w:val="20"/>
        </w:rPr>
        <w:t>, such as the right</w:t>
      </w:r>
      <w:r w:rsidR="00830695" w:rsidRPr="006B6C08">
        <w:rPr>
          <w:color w:val="000000"/>
          <w:sz w:val="20"/>
          <w:szCs w:val="20"/>
        </w:rPr>
        <w:t>s</w:t>
      </w:r>
      <w:r w:rsidR="00497B7C" w:rsidRPr="006B6C08">
        <w:rPr>
          <w:color w:val="000000"/>
          <w:sz w:val="20"/>
          <w:szCs w:val="20"/>
        </w:rPr>
        <w:t xml:space="preserve"> to be informed promptly and fully of the reasons for the detention, to take proceedings before a court and to challenge the legal basis of the detention, </w:t>
      </w:r>
      <w:r w:rsidR="00830695" w:rsidRPr="006B6C08">
        <w:rPr>
          <w:color w:val="000000"/>
          <w:sz w:val="20"/>
          <w:szCs w:val="20"/>
        </w:rPr>
        <w:t xml:space="preserve">and </w:t>
      </w:r>
      <w:r w:rsidR="00497B7C" w:rsidRPr="006B6C08">
        <w:rPr>
          <w:color w:val="000000"/>
          <w:sz w:val="20"/>
          <w:szCs w:val="20"/>
        </w:rPr>
        <w:t>to be presumed innocent.</w:t>
      </w:r>
      <w:r w:rsidR="005A5313" w:rsidRPr="006B6C08">
        <w:rPr>
          <w:color w:val="000000"/>
          <w:sz w:val="20"/>
          <w:szCs w:val="20"/>
        </w:rPr>
        <w:t xml:space="preserve"> </w:t>
      </w:r>
      <w:r w:rsidR="00497B7C" w:rsidRPr="006B6C08">
        <w:rPr>
          <w:sz w:val="20"/>
          <w:szCs w:val="20"/>
        </w:rPr>
        <w:t>Breaches should give rise to compensation.</w:t>
      </w:r>
      <w:r w:rsidR="00497B7C" w:rsidRPr="006B6C08">
        <w:rPr>
          <w:rStyle w:val="FootnoteReference"/>
          <w:sz w:val="20"/>
          <w:szCs w:val="20"/>
        </w:rPr>
        <w:footnoteReference w:id="132"/>
      </w:r>
    </w:p>
    <w:p w:rsidR="004B5BF6" w:rsidRPr="006B6C08" w:rsidRDefault="006B6C08" w:rsidP="006B6C08">
      <w:pPr>
        <w:pStyle w:val="SingleTxtG"/>
        <w:outlineLvl w:val="0"/>
        <w:rPr>
          <w:sz w:val="20"/>
          <w:szCs w:val="20"/>
        </w:rPr>
      </w:pPr>
      <w:r w:rsidRPr="006B6C08">
        <w:rPr>
          <w:sz w:val="20"/>
          <w:szCs w:val="20"/>
        </w:rPr>
        <w:t>55.</w:t>
      </w:r>
      <w:r w:rsidRPr="006B6C08">
        <w:rPr>
          <w:sz w:val="20"/>
          <w:szCs w:val="20"/>
        </w:rPr>
        <w:tab/>
      </w:r>
      <w:r w:rsidR="00497B7C" w:rsidRPr="006B6C08">
        <w:rPr>
          <w:sz w:val="20"/>
          <w:szCs w:val="20"/>
        </w:rPr>
        <w:t xml:space="preserve">The Israeli practice of administrative detention </w:t>
      </w:r>
      <w:r w:rsidR="009D66B5" w:rsidRPr="006B6C08">
        <w:rPr>
          <w:sz w:val="20"/>
          <w:szCs w:val="20"/>
        </w:rPr>
        <w:t xml:space="preserve">often leads to </w:t>
      </w:r>
      <w:r w:rsidR="00497B7C" w:rsidRPr="006B6C08">
        <w:rPr>
          <w:sz w:val="20"/>
          <w:szCs w:val="20"/>
        </w:rPr>
        <w:t>indefinite detention without charge</w:t>
      </w:r>
      <w:r w:rsidR="009D66B5" w:rsidRPr="006B6C08">
        <w:rPr>
          <w:sz w:val="20"/>
          <w:szCs w:val="20"/>
        </w:rPr>
        <w:t>. Hearings for administrative detainees are often conducted</w:t>
      </w:r>
      <w:r w:rsidR="00497B7C" w:rsidRPr="006B6C08">
        <w:rPr>
          <w:sz w:val="20"/>
          <w:szCs w:val="20"/>
        </w:rPr>
        <w:t xml:space="preserve"> in closed session</w:t>
      </w:r>
      <w:r w:rsidR="009D66B5" w:rsidRPr="006B6C08">
        <w:rPr>
          <w:sz w:val="20"/>
          <w:szCs w:val="20"/>
        </w:rPr>
        <w:t>, with detainees regularly held</w:t>
      </w:r>
      <w:r w:rsidR="00AB4CB2" w:rsidRPr="006B6C08">
        <w:rPr>
          <w:sz w:val="20"/>
          <w:szCs w:val="20"/>
        </w:rPr>
        <w:t xml:space="preserve"> on the </w:t>
      </w:r>
      <w:r w:rsidR="00497B7C" w:rsidRPr="006B6C08">
        <w:rPr>
          <w:sz w:val="20"/>
          <w:szCs w:val="20"/>
        </w:rPr>
        <w:t>basis of secret evidence</w:t>
      </w:r>
      <w:r w:rsidR="009D66B5" w:rsidRPr="006B6C08">
        <w:rPr>
          <w:sz w:val="20"/>
          <w:szCs w:val="20"/>
        </w:rPr>
        <w:t xml:space="preserve"> to which neither the</w:t>
      </w:r>
      <w:r w:rsidR="00830695" w:rsidRPr="006B6C08">
        <w:rPr>
          <w:sz w:val="20"/>
          <w:szCs w:val="20"/>
        </w:rPr>
        <w:t>y</w:t>
      </w:r>
      <w:r w:rsidR="009D66B5" w:rsidRPr="006B6C08">
        <w:rPr>
          <w:sz w:val="20"/>
          <w:szCs w:val="20"/>
        </w:rPr>
        <w:t xml:space="preserve"> </w:t>
      </w:r>
      <w:r w:rsidR="00AB4CB2" w:rsidRPr="006B6C08">
        <w:rPr>
          <w:sz w:val="20"/>
          <w:szCs w:val="20"/>
        </w:rPr>
        <w:t>nor their lawyers are</w:t>
      </w:r>
      <w:r w:rsidR="009D66B5" w:rsidRPr="006B6C08">
        <w:rPr>
          <w:sz w:val="20"/>
          <w:szCs w:val="20"/>
        </w:rPr>
        <w:t xml:space="preserve"> given access. </w:t>
      </w:r>
      <w:r w:rsidR="00497B7C" w:rsidRPr="006B6C08">
        <w:rPr>
          <w:sz w:val="20"/>
          <w:szCs w:val="20"/>
        </w:rPr>
        <w:t xml:space="preserve">This practice has been widely condemned, including by </w:t>
      </w:r>
      <w:r w:rsidR="0075756E" w:rsidRPr="006B6C08">
        <w:rPr>
          <w:sz w:val="20"/>
          <w:szCs w:val="20"/>
        </w:rPr>
        <w:t>my predecessor</w:t>
      </w:r>
      <w:r w:rsidR="00497B7C" w:rsidRPr="006B6C08">
        <w:rPr>
          <w:sz w:val="20"/>
          <w:szCs w:val="20"/>
        </w:rPr>
        <w:t>, the High Commissioner for Human Rights and the Human Rights Committee, who called for its end.</w:t>
      </w:r>
      <w:r w:rsidR="00497B7C" w:rsidRPr="006B6C08">
        <w:rPr>
          <w:rStyle w:val="FootnoteReference"/>
          <w:sz w:val="20"/>
          <w:szCs w:val="20"/>
        </w:rPr>
        <w:footnoteReference w:id="133"/>
      </w:r>
      <w:r w:rsidR="00497B7C" w:rsidRPr="006B6C08">
        <w:rPr>
          <w:sz w:val="20"/>
          <w:szCs w:val="20"/>
        </w:rPr>
        <w:t xml:space="preserve"> In addition, </w:t>
      </w:r>
      <w:r w:rsidR="00830695" w:rsidRPr="006B6C08">
        <w:rPr>
          <w:sz w:val="20"/>
          <w:szCs w:val="20"/>
        </w:rPr>
        <w:t>this practice</w:t>
      </w:r>
      <w:r w:rsidR="009D66B5" w:rsidRPr="006B6C08">
        <w:rPr>
          <w:sz w:val="20"/>
          <w:szCs w:val="20"/>
        </w:rPr>
        <w:t xml:space="preserve"> </w:t>
      </w:r>
      <w:r w:rsidR="00497B7C" w:rsidRPr="006B6C08">
        <w:rPr>
          <w:sz w:val="20"/>
          <w:szCs w:val="20"/>
        </w:rPr>
        <w:t xml:space="preserve">is inconsistent with the exceptional nature of detention provided by </w:t>
      </w:r>
      <w:r w:rsidR="00F47FC6" w:rsidRPr="006B6C08">
        <w:rPr>
          <w:sz w:val="20"/>
          <w:szCs w:val="20"/>
        </w:rPr>
        <w:t>international humanitarian law</w:t>
      </w:r>
      <w:r w:rsidR="00497B7C" w:rsidRPr="006B6C08">
        <w:rPr>
          <w:sz w:val="20"/>
          <w:szCs w:val="20"/>
        </w:rPr>
        <w:t>.</w:t>
      </w:r>
      <w:r w:rsidR="00497B7C" w:rsidRPr="006B6C08">
        <w:rPr>
          <w:rStyle w:val="FootnoteReference"/>
          <w:sz w:val="20"/>
          <w:szCs w:val="20"/>
        </w:rPr>
        <w:footnoteReference w:id="134"/>
      </w:r>
      <w:r w:rsidR="00497B7C" w:rsidRPr="006B6C08">
        <w:rPr>
          <w:sz w:val="20"/>
          <w:szCs w:val="20"/>
        </w:rPr>
        <w:t xml:space="preserve"> Most administrative detainees are held in Israel, in violation of the prohibition of forcible transfer.</w:t>
      </w:r>
      <w:r w:rsidR="00497B7C" w:rsidRPr="006B6C08">
        <w:rPr>
          <w:rStyle w:val="FootnoteReference"/>
          <w:sz w:val="20"/>
          <w:szCs w:val="20"/>
        </w:rPr>
        <w:footnoteReference w:id="135"/>
      </w:r>
    </w:p>
    <w:p w:rsidR="004B5BF6" w:rsidRPr="006B6C08" w:rsidRDefault="004B5BF6" w:rsidP="004B5BF6">
      <w:pPr>
        <w:pStyle w:val="SingleTxtG"/>
        <w:outlineLvl w:val="0"/>
        <w:rPr>
          <w:b/>
          <w:i/>
          <w:sz w:val="20"/>
          <w:szCs w:val="20"/>
        </w:rPr>
      </w:pPr>
      <w:r w:rsidRPr="006B6C08">
        <w:rPr>
          <w:b/>
          <w:i/>
          <w:sz w:val="20"/>
          <w:szCs w:val="20"/>
        </w:rPr>
        <w:t>Arrest and Detention of Children</w:t>
      </w:r>
    </w:p>
    <w:p w:rsidR="00830695" w:rsidRPr="006B6C08" w:rsidRDefault="006B6C08" w:rsidP="006B6C08">
      <w:pPr>
        <w:pStyle w:val="SingleTxtG"/>
        <w:outlineLvl w:val="0"/>
        <w:rPr>
          <w:sz w:val="20"/>
          <w:szCs w:val="20"/>
        </w:rPr>
      </w:pPr>
      <w:r w:rsidRPr="006B6C08">
        <w:rPr>
          <w:sz w:val="20"/>
          <w:szCs w:val="20"/>
        </w:rPr>
        <w:t>56.</w:t>
      </w:r>
      <w:r w:rsidRPr="006B6C08">
        <w:rPr>
          <w:sz w:val="20"/>
          <w:szCs w:val="20"/>
        </w:rPr>
        <w:tab/>
      </w:r>
      <w:r w:rsidR="00497B7C" w:rsidRPr="006B6C08">
        <w:rPr>
          <w:sz w:val="20"/>
          <w:szCs w:val="20"/>
        </w:rPr>
        <w:t>Each year hundreds of Palestinian children, some as young as 12, are arrested and prosecuted in the Israeli military court system. Charges usually involve stone-throwing and</w:t>
      </w:r>
      <w:r w:rsidR="00830695" w:rsidRPr="006B6C08">
        <w:rPr>
          <w:sz w:val="20"/>
          <w:szCs w:val="20"/>
        </w:rPr>
        <w:t>,</w:t>
      </w:r>
      <w:r w:rsidR="00497B7C" w:rsidRPr="006B6C08">
        <w:rPr>
          <w:sz w:val="20"/>
          <w:szCs w:val="20"/>
        </w:rPr>
        <w:t xml:space="preserve"> more recently, incitement to violence based on social media posts. </w:t>
      </w:r>
    </w:p>
    <w:p w:rsidR="00830695" w:rsidRPr="006B6C08" w:rsidRDefault="006B6C08" w:rsidP="006B6C08">
      <w:pPr>
        <w:pStyle w:val="SingleTxtG"/>
        <w:outlineLvl w:val="0"/>
        <w:rPr>
          <w:sz w:val="20"/>
          <w:szCs w:val="20"/>
        </w:rPr>
      </w:pPr>
      <w:r w:rsidRPr="006B6C08">
        <w:rPr>
          <w:sz w:val="20"/>
          <w:szCs w:val="20"/>
        </w:rPr>
        <w:lastRenderedPageBreak/>
        <w:t>57.</w:t>
      </w:r>
      <w:r w:rsidRPr="006B6C08">
        <w:rPr>
          <w:sz w:val="20"/>
          <w:szCs w:val="20"/>
        </w:rPr>
        <w:tab/>
      </w:r>
      <w:r w:rsidR="00864AC0" w:rsidRPr="006B6C08">
        <w:rPr>
          <w:sz w:val="20"/>
          <w:szCs w:val="20"/>
        </w:rPr>
        <w:t xml:space="preserve">The number of </w:t>
      </w:r>
      <w:r w:rsidR="00497B7C" w:rsidRPr="006B6C08">
        <w:rPr>
          <w:sz w:val="20"/>
          <w:szCs w:val="20"/>
        </w:rPr>
        <w:t xml:space="preserve">children in detention </w:t>
      </w:r>
      <w:r w:rsidR="00864AC0" w:rsidRPr="006B6C08">
        <w:rPr>
          <w:sz w:val="20"/>
          <w:szCs w:val="20"/>
        </w:rPr>
        <w:t>has more than doubled in the last year</w:t>
      </w:r>
      <w:r w:rsidR="00AB36DC" w:rsidRPr="006B6C08">
        <w:rPr>
          <w:sz w:val="20"/>
          <w:szCs w:val="20"/>
        </w:rPr>
        <w:t>.</w:t>
      </w:r>
      <w:r w:rsidR="00497B7C" w:rsidRPr="006B6C08">
        <w:rPr>
          <w:rStyle w:val="FootnoteReference"/>
          <w:sz w:val="20"/>
          <w:szCs w:val="20"/>
        </w:rPr>
        <w:footnoteReference w:id="136"/>
      </w:r>
      <w:r w:rsidR="00497B7C" w:rsidRPr="006B6C08">
        <w:rPr>
          <w:sz w:val="20"/>
          <w:szCs w:val="20"/>
        </w:rPr>
        <w:t xml:space="preserve"> The peak figure of 440 children held in Israeli detention at the end of February </w:t>
      </w:r>
      <w:r w:rsidR="00864AC0" w:rsidRPr="006B6C08">
        <w:rPr>
          <w:sz w:val="20"/>
          <w:szCs w:val="20"/>
        </w:rPr>
        <w:t xml:space="preserve">2016 </w:t>
      </w:r>
      <w:r w:rsidR="00497B7C" w:rsidRPr="006B6C08">
        <w:rPr>
          <w:sz w:val="20"/>
          <w:szCs w:val="20"/>
        </w:rPr>
        <w:t>was the highest number of detained children since January 2008</w:t>
      </w:r>
      <w:r w:rsidR="00103902" w:rsidRPr="006B6C08">
        <w:rPr>
          <w:sz w:val="20"/>
          <w:szCs w:val="20"/>
        </w:rPr>
        <w:t>.</w:t>
      </w:r>
      <w:r w:rsidR="00497B7C" w:rsidRPr="006B6C08">
        <w:rPr>
          <w:rStyle w:val="FootnoteReference"/>
          <w:sz w:val="20"/>
          <w:szCs w:val="20"/>
        </w:rPr>
        <w:footnoteReference w:id="137"/>
      </w:r>
      <w:r w:rsidR="00103902" w:rsidRPr="006B6C08">
        <w:rPr>
          <w:sz w:val="20"/>
          <w:szCs w:val="20"/>
        </w:rPr>
        <w:t xml:space="preserve"> Administrative detention of children resumed in October 2015, a practice not seen since December 2011.</w:t>
      </w:r>
      <w:r w:rsidR="00103902" w:rsidRPr="006B6C08">
        <w:rPr>
          <w:rStyle w:val="FootnoteReference"/>
          <w:sz w:val="20"/>
          <w:szCs w:val="20"/>
        </w:rPr>
        <w:footnoteReference w:id="138"/>
      </w:r>
      <w:r w:rsidR="00103902" w:rsidRPr="006B6C08">
        <w:rPr>
          <w:sz w:val="20"/>
          <w:szCs w:val="20"/>
        </w:rPr>
        <w:t xml:space="preserve"> There are concerns </w:t>
      </w:r>
      <w:r w:rsidR="00497B7C" w:rsidRPr="006B6C08">
        <w:rPr>
          <w:sz w:val="20"/>
          <w:szCs w:val="20"/>
        </w:rPr>
        <w:t xml:space="preserve">as to whether </w:t>
      </w:r>
      <w:r w:rsidR="00103902" w:rsidRPr="006B6C08">
        <w:rPr>
          <w:sz w:val="20"/>
          <w:szCs w:val="20"/>
        </w:rPr>
        <w:t xml:space="preserve">child </w:t>
      </w:r>
      <w:r w:rsidR="00497B7C" w:rsidRPr="006B6C08">
        <w:rPr>
          <w:sz w:val="20"/>
          <w:szCs w:val="20"/>
        </w:rPr>
        <w:t>detention</w:t>
      </w:r>
      <w:r w:rsidR="00103902" w:rsidRPr="006B6C08">
        <w:rPr>
          <w:sz w:val="20"/>
          <w:szCs w:val="20"/>
        </w:rPr>
        <w:t xml:space="preserve"> </w:t>
      </w:r>
      <w:r w:rsidR="00497B7C" w:rsidRPr="006B6C08">
        <w:rPr>
          <w:sz w:val="20"/>
          <w:szCs w:val="20"/>
        </w:rPr>
        <w:t>is being used as a measure of last resort and for the shortest appropriate period</w:t>
      </w:r>
      <w:r w:rsidR="00103902" w:rsidRPr="006B6C08">
        <w:rPr>
          <w:sz w:val="20"/>
          <w:szCs w:val="20"/>
        </w:rPr>
        <w:t>,</w:t>
      </w:r>
      <w:r w:rsidR="00497B7C" w:rsidRPr="006B6C08">
        <w:rPr>
          <w:sz w:val="20"/>
          <w:szCs w:val="20"/>
        </w:rPr>
        <w:t xml:space="preserve"> as required by human rights law.</w:t>
      </w:r>
      <w:r w:rsidR="00497B7C" w:rsidRPr="006B6C08">
        <w:rPr>
          <w:rStyle w:val="FootnoteReference"/>
          <w:sz w:val="20"/>
          <w:szCs w:val="20"/>
        </w:rPr>
        <w:footnoteReference w:id="139"/>
      </w:r>
      <w:r w:rsidR="00497B7C"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58.</w:t>
      </w:r>
      <w:r w:rsidRPr="006B6C08">
        <w:rPr>
          <w:sz w:val="20"/>
          <w:szCs w:val="20"/>
        </w:rPr>
        <w:tab/>
      </w:r>
      <w:r w:rsidR="00497B7C" w:rsidRPr="006B6C08">
        <w:rPr>
          <w:sz w:val="20"/>
          <w:szCs w:val="20"/>
        </w:rPr>
        <w:t xml:space="preserve">The fact that Israeli military law applicable in the West Bank </w:t>
      </w:r>
      <w:r w:rsidR="00C33F85" w:rsidRPr="006B6C08">
        <w:rPr>
          <w:sz w:val="20"/>
          <w:szCs w:val="20"/>
        </w:rPr>
        <w:t>permits detention of</w:t>
      </w:r>
      <w:r w:rsidR="00497B7C" w:rsidRPr="006B6C08">
        <w:rPr>
          <w:sz w:val="20"/>
          <w:szCs w:val="20"/>
        </w:rPr>
        <w:t xml:space="preserve"> Palestinian children from the age of 12 </w:t>
      </w:r>
      <w:r w:rsidR="00C33F85" w:rsidRPr="006B6C08">
        <w:rPr>
          <w:sz w:val="20"/>
          <w:szCs w:val="20"/>
        </w:rPr>
        <w:t>is</w:t>
      </w:r>
      <w:r w:rsidR="00497B7C" w:rsidRPr="006B6C08">
        <w:rPr>
          <w:sz w:val="20"/>
          <w:szCs w:val="20"/>
        </w:rPr>
        <w:t xml:space="preserve"> at odds with the </w:t>
      </w:r>
      <w:r w:rsidR="00E310AA" w:rsidRPr="006B6C08">
        <w:rPr>
          <w:sz w:val="20"/>
          <w:szCs w:val="20"/>
        </w:rPr>
        <w:t xml:space="preserve">specific protection granted to children as a particularly vulnerable group, and the </w:t>
      </w:r>
      <w:r w:rsidR="00497B7C" w:rsidRPr="006B6C08">
        <w:rPr>
          <w:sz w:val="20"/>
          <w:szCs w:val="20"/>
        </w:rPr>
        <w:t xml:space="preserve">general rule that </w:t>
      </w:r>
      <w:r w:rsidR="00E75065" w:rsidRPr="006B6C08">
        <w:rPr>
          <w:sz w:val="20"/>
          <w:szCs w:val="20"/>
        </w:rPr>
        <w:t xml:space="preserve">any decision affecting them must have </w:t>
      </w:r>
      <w:r w:rsidR="00497B7C" w:rsidRPr="006B6C08">
        <w:rPr>
          <w:sz w:val="20"/>
          <w:szCs w:val="20"/>
        </w:rPr>
        <w:t>their best interest</w:t>
      </w:r>
      <w:r w:rsidR="00E75065" w:rsidRPr="006B6C08">
        <w:rPr>
          <w:sz w:val="20"/>
          <w:szCs w:val="20"/>
        </w:rPr>
        <w:t xml:space="preserve"> as a primary consideration</w:t>
      </w:r>
      <w:r w:rsidR="00497B7C" w:rsidRPr="006B6C08">
        <w:rPr>
          <w:sz w:val="20"/>
          <w:szCs w:val="20"/>
        </w:rPr>
        <w:t>.</w:t>
      </w:r>
      <w:r w:rsidR="00497B7C" w:rsidRPr="006B6C08">
        <w:rPr>
          <w:rStyle w:val="FootnoteReference"/>
          <w:sz w:val="20"/>
          <w:szCs w:val="20"/>
        </w:rPr>
        <w:footnoteReference w:id="140"/>
      </w:r>
    </w:p>
    <w:p w:rsidR="004B5BF6" w:rsidRPr="006B6C08" w:rsidRDefault="006B6C08" w:rsidP="006B6C08">
      <w:pPr>
        <w:pStyle w:val="SingleTxtG"/>
        <w:outlineLvl w:val="0"/>
        <w:rPr>
          <w:sz w:val="20"/>
          <w:szCs w:val="20"/>
        </w:rPr>
      </w:pPr>
      <w:r w:rsidRPr="006B6C08">
        <w:rPr>
          <w:sz w:val="20"/>
          <w:szCs w:val="20"/>
        </w:rPr>
        <w:t>59.</w:t>
      </w:r>
      <w:r w:rsidRPr="006B6C08">
        <w:rPr>
          <w:sz w:val="20"/>
          <w:szCs w:val="20"/>
        </w:rPr>
        <w:tab/>
      </w:r>
      <w:r w:rsidR="00497B7C" w:rsidRPr="006B6C08">
        <w:rPr>
          <w:sz w:val="20"/>
          <w:szCs w:val="20"/>
        </w:rPr>
        <w:t xml:space="preserve">A number of legal developments also appear to </w:t>
      </w:r>
      <w:r w:rsidR="008A5617" w:rsidRPr="006B6C08">
        <w:rPr>
          <w:sz w:val="20"/>
          <w:szCs w:val="20"/>
        </w:rPr>
        <w:t>target</w:t>
      </w:r>
      <w:r w:rsidR="00497B7C" w:rsidRPr="006B6C08">
        <w:rPr>
          <w:sz w:val="20"/>
          <w:szCs w:val="20"/>
        </w:rPr>
        <w:t xml:space="preserve"> children in East Jerusalem</w:t>
      </w:r>
      <w:r w:rsidR="00E310AA" w:rsidRPr="006B6C08">
        <w:rPr>
          <w:sz w:val="20"/>
          <w:szCs w:val="20"/>
        </w:rPr>
        <w:t xml:space="preserve"> in contravention of international standards</w:t>
      </w:r>
      <w:r w:rsidR="00497B7C" w:rsidRPr="006B6C08">
        <w:rPr>
          <w:sz w:val="20"/>
          <w:szCs w:val="20"/>
        </w:rPr>
        <w:t>.</w:t>
      </w:r>
      <w:r w:rsidR="00497B7C" w:rsidRPr="006B6C08">
        <w:rPr>
          <w:rStyle w:val="FootnoteReference"/>
          <w:sz w:val="20"/>
          <w:szCs w:val="20"/>
        </w:rPr>
        <w:footnoteReference w:id="141"/>
      </w:r>
      <w:r w:rsidR="00994243" w:rsidRPr="006B6C08">
        <w:rPr>
          <w:rStyle w:val="FootnoteReference"/>
          <w:sz w:val="20"/>
          <w:szCs w:val="20"/>
        </w:rPr>
        <w:t xml:space="preserve"> </w:t>
      </w:r>
      <w:r w:rsidR="00334380" w:rsidRPr="006B6C08">
        <w:rPr>
          <w:sz w:val="20"/>
          <w:szCs w:val="20"/>
        </w:rPr>
        <w:t>I</w:t>
      </w:r>
      <w:r w:rsidR="00C33F85" w:rsidRPr="006B6C08">
        <w:rPr>
          <w:sz w:val="20"/>
          <w:szCs w:val="20"/>
        </w:rPr>
        <w:t>n</w:t>
      </w:r>
      <w:r w:rsidR="00497B7C" w:rsidRPr="006B6C08">
        <w:rPr>
          <w:sz w:val="20"/>
          <w:szCs w:val="20"/>
        </w:rPr>
        <w:t xml:space="preserve"> August 2016</w:t>
      </w:r>
      <w:r w:rsidR="0075756E" w:rsidRPr="006B6C08">
        <w:rPr>
          <w:sz w:val="20"/>
          <w:szCs w:val="20"/>
        </w:rPr>
        <w:t>,</w:t>
      </w:r>
      <w:r w:rsidR="00864AC0" w:rsidRPr="006B6C08">
        <w:rPr>
          <w:sz w:val="20"/>
          <w:szCs w:val="20"/>
        </w:rPr>
        <w:t xml:space="preserve"> </w:t>
      </w:r>
      <w:r w:rsidR="00497B7C" w:rsidRPr="006B6C08">
        <w:rPr>
          <w:sz w:val="20"/>
          <w:szCs w:val="20"/>
        </w:rPr>
        <w:t>the Knesset approved amendments to the Israeli Youth Law which allow</w:t>
      </w:r>
      <w:r w:rsidR="00864AC0" w:rsidRPr="006B6C08">
        <w:rPr>
          <w:sz w:val="20"/>
          <w:szCs w:val="20"/>
        </w:rPr>
        <w:t xml:space="preserve"> prison sentences to be issued</w:t>
      </w:r>
      <w:r w:rsidR="00497B7C" w:rsidRPr="006B6C08">
        <w:rPr>
          <w:sz w:val="20"/>
          <w:szCs w:val="20"/>
        </w:rPr>
        <w:t xml:space="preserve"> for children </w:t>
      </w:r>
      <w:r w:rsidR="00103902" w:rsidRPr="006B6C08">
        <w:rPr>
          <w:sz w:val="20"/>
          <w:szCs w:val="20"/>
        </w:rPr>
        <w:t xml:space="preserve">aged </w:t>
      </w:r>
      <w:r w:rsidR="00497B7C" w:rsidRPr="006B6C08">
        <w:rPr>
          <w:sz w:val="20"/>
          <w:szCs w:val="20"/>
        </w:rPr>
        <w:t>between 12 and 14 for specific serious crimes</w:t>
      </w:r>
      <w:r w:rsidR="00830695" w:rsidRPr="006B6C08">
        <w:rPr>
          <w:sz w:val="20"/>
          <w:szCs w:val="20"/>
        </w:rPr>
        <w:t>.</w:t>
      </w:r>
      <w:r w:rsidR="00497B7C" w:rsidRPr="006B6C08">
        <w:rPr>
          <w:rStyle w:val="FootnoteReference"/>
          <w:sz w:val="20"/>
          <w:szCs w:val="20"/>
        </w:rPr>
        <w:footnoteReference w:id="142"/>
      </w:r>
      <w:r w:rsidR="00E310AA" w:rsidRPr="006B6C08">
        <w:rPr>
          <w:sz w:val="20"/>
          <w:szCs w:val="20"/>
        </w:rPr>
        <w:t xml:space="preserve"> </w:t>
      </w:r>
    </w:p>
    <w:p w:rsidR="004B5BF6" w:rsidRPr="006B6C08" w:rsidRDefault="004B5BF6" w:rsidP="004B5BF6">
      <w:pPr>
        <w:pStyle w:val="SingleTxtG"/>
        <w:outlineLvl w:val="0"/>
        <w:rPr>
          <w:b/>
          <w:i/>
          <w:sz w:val="20"/>
          <w:szCs w:val="20"/>
        </w:rPr>
      </w:pPr>
      <w:r w:rsidRPr="006B6C08">
        <w:rPr>
          <w:b/>
          <w:i/>
          <w:sz w:val="20"/>
          <w:szCs w:val="20"/>
        </w:rPr>
        <w:t>Death Penalty</w:t>
      </w:r>
    </w:p>
    <w:p w:rsidR="007E2E38" w:rsidRPr="006B6C08" w:rsidRDefault="006B6C08" w:rsidP="006B6C08">
      <w:pPr>
        <w:pStyle w:val="SingleTxtG"/>
        <w:ind w:left="1170"/>
        <w:outlineLvl w:val="0"/>
        <w:rPr>
          <w:sz w:val="20"/>
          <w:szCs w:val="20"/>
        </w:rPr>
      </w:pPr>
      <w:r w:rsidRPr="006B6C08">
        <w:rPr>
          <w:sz w:val="20"/>
          <w:szCs w:val="20"/>
        </w:rPr>
        <w:t>60.</w:t>
      </w:r>
      <w:r w:rsidRPr="006B6C08">
        <w:rPr>
          <w:sz w:val="20"/>
          <w:szCs w:val="20"/>
        </w:rPr>
        <w:tab/>
      </w:r>
      <w:r w:rsidR="00830695" w:rsidRPr="006B6C08">
        <w:rPr>
          <w:sz w:val="20"/>
          <w:szCs w:val="20"/>
        </w:rPr>
        <w:t>Under Palestinian law, d</w:t>
      </w:r>
      <w:r w:rsidR="00497B7C" w:rsidRPr="006B6C08">
        <w:rPr>
          <w:sz w:val="20"/>
          <w:szCs w:val="20"/>
        </w:rPr>
        <w:t xml:space="preserve">eath sentences are permitted for a large number </w:t>
      </w:r>
      <w:r w:rsidR="00103902" w:rsidRPr="006B6C08">
        <w:rPr>
          <w:sz w:val="20"/>
          <w:szCs w:val="20"/>
        </w:rPr>
        <w:t xml:space="preserve">and </w:t>
      </w:r>
      <w:r w:rsidR="00497B7C" w:rsidRPr="006B6C08">
        <w:rPr>
          <w:sz w:val="20"/>
          <w:szCs w:val="20"/>
        </w:rPr>
        <w:t xml:space="preserve">mandatory for a smaller number of offences. </w:t>
      </w:r>
      <w:r w:rsidR="00830695" w:rsidRPr="006B6C08">
        <w:rPr>
          <w:sz w:val="20"/>
          <w:szCs w:val="20"/>
        </w:rPr>
        <w:t>T</w:t>
      </w:r>
      <w:r w:rsidR="00497B7C" w:rsidRPr="006B6C08">
        <w:rPr>
          <w:sz w:val="20"/>
          <w:szCs w:val="20"/>
        </w:rPr>
        <w:t xml:space="preserve">he President </w:t>
      </w:r>
      <w:r w:rsidR="00830695" w:rsidRPr="006B6C08">
        <w:rPr>
          <w:sz w:val="20"/>
          <w:szCs w:val="20"/>
        </w:rPr>
        <w:t xml:space="preserve">is required </w:t>
      </w:r>
      <w:r w:rsidR="00497B7C" w:rsidRPr="006B6C08">
        <w:rPr>
          <w:sz w:val="20"/>
          <w:szCs w:val="20"/>
        </w:rPr>
        <w:t>to confirm the death sentence. Although there is no formal moratorium on executions</w:t>
      </w:r>
      <w:r w:rsidR="003309E0" w:rsidRPr="006B6C08">
        <w:rPr>
          <w:sz w:val="20"/>
          <w:szCs w:val="20"/>
        </w:rPr>
        <w:t>,</w:t>
      </w:r>
      <w:r w:rsidR="00CA7E88" w:rsidRPr="006B6C08">
        <w:rPr>
          <w:sz w:val="20"/>
          <w:szCs w:val="20"/>
        </w:rPr>
        <w:t xml:space="preserve"> </w:t>
      </w:r>
      <w:r w:rsidR="003309E0" w:rsidRPr="006B6C08">
        <w:rPr>
          <w:sz w:val="20"/>
          <w:szCs w:val="20"/>
        </w:rPr>
        <w:t>in the West Bank none have been carried out</w:t>
      </w:r>
      <w:r w:rsidR="00497B7C" w:rsidRPr="006B6C08">
        <w:rPr>
          <w:sz w:val="20"/>
          <w:szCs w:val="20"/>
        </w:rPr>
        <w:t xml:space="preserve"> </w:t>
      </w:r>
      <w:r w:rsidR="003309E0" w:rsidRPr="006B6C08">
        <w:rPr>
          <w:sz w:val="20"/>
          <w:szCs w:val="20"/>
        </w:rPr>
        <w:t>since</w:t>
      </w:r>
      <w:r w:rsidR="00497B7C" w:rsidRPr="006B6C08">
        <w:rPr>
          <w:sz w:val="20"/>
          <w:szCs w:val="20"/>
        </w:rPr>
        <w:t xml:space="preserve"> </w:t>
      </w:r>
      <w:r w:rsidR="003309E0" w:rsidRPr="006B6C08">
        <w:rPr>
          <w:sz w:val="20"/>
          <w:szCs w:val="20"/>
        </w:rPr>
        <w:t>an</w:t>
      </w:r>
      <w:r w:rsidR="00497B7C" w:rsidRPr="006B6C08">
        <w:rPr>
          <w:sz w:val="20"/>
          <w:szCs w:val="20"/>
        </w:rPr>
        <w:t xml:space="preserve"> announcement by the Palestinian President in </w:t>
      </w:r>
      <w:r w:rsidR="00CA7E88" w:rsidRPr="006B6C08">
        <w:rPr>
          <w:sz w:val="20"/>
          <w:szCs w:val="20"/>
        </w:rPr>
        <w:t xml:space="preserve">2005 </w:t>
      </w:r>
      <w:r w:rsidR="00497B7C" w:rsidRPr="006B6C08">
        <w:rPr>
          <w:sz w:val="20"/>
          <w:szCs w:val="20"/>
        </w:rPr>
        <w:t>that he w</w:t>
      </w:r>
      <w:r w:rsidR="00CA7E88" w:rsidRPr="006B6C08">
        <w:rPr>
          <w:sz w:val="20"/>
          <w:szCs w:val="20"/>
        </w:rPr>
        <w:t>ould</w:t>
      </w:r>
      <w:r w:rsidR="00497B7C" w:rsidRPr="006B6C08">
        <w:rPr>
          <w:sz w:val="20"/>
          <w:szCs w:val="20"/>
        </w:rPr>
        <w:t xml:space="preserve"> not confirm any death sentences.</w:t>
      </w:r>
      <w:r w:rsidR="00497B7C" w:rsidRPr="006B6C08">
        <w:rPr>
          <w:rStyle w:val="FootnoteReference"/>
          <w:sz w:val="20"/>
          <w:szCs w:val="20"/>
        </w:rPr>
        <w:footnoteReference w:id="143"/>
      </w:r>
      <w:r w:rsidR="00497B7C" w:rsidRPr="006B6C08">
        <w:rPr>
          <w:sz w:val="20"/>
          <w:szCs w:val="20"/>
        </w:rPr>
        <w:t xml:space="preserve"> Both in the West Bank and in Gaza,</w:t>
      </w:r>
      <w:r w:rsidR="003309E0" w:rsidRPr="006B6C08">
        <w:rPr>
          <w:sz w:val="20"/>
          <w:szCs w:val="20"/>
        </w:rPr>
        <w:t xml:space="preserve"> however,</w:t>
      </w:r>
      <w:r w:rsidR="00497B7C" w:rsidRPr="006B6C08">
        <w:rPr>
          <w:sz w:val="20"/>
          <w:szCs w:val="20"/>
        </w:rPr>
        <w:t xml:space="preserve"> courts continue to </w:t>
      </w:r>
      <w:r w:rsidR="00EF3B73" w:rsidRPr="006B6C08">
        <w:rPr>
          <w:sz w:val="20"/>
          <w:szCs w:val="20"/>
        </w:rPr>
        <w:t xml:space="preserve">issue death </w:t>
      </w:r>
      <w:r w:rsidR="00497B7C" w:rsidRPr="006B6C08">
        <w:rPr>
          <w:sz w:val="20"/>
          <w:szCs w:val="20"/>
        </w:rPr>
        <w:t>sentence</w:t>
      </w:r>
      <w:r w:rsidR="00EF3B73" w:rsidRPr="006B6C08">
        <w:rPr>
          <w:sz w:val="20"/>
          <w:szCs w:val="20"/>
        </w:rPr>
        <w:t>s</w:t>
      </w:r>
      <w:r w:rsidR="00497B7C" w:rsidRPr="006B6C08">
        <w:rPr>
          <w:sz w:val="20"/>
          <w:szCs w:val="20"/>
        </w:rPr>
        <w:t xml:space="preserve">. In Gaza, </w:t>
      </w:r>
      <w:r w:rsidR="003309E0" w:rsidRPr="006B6C08">
        <w:rPr>
          <w:sz w:val="20"/>
          <w:szCs w:val="20"/>
        </w:rPr>
        <w:t xml:space="preserve">executions resumed in </w:t>
      </w:r>
      <w:r w:rsidR="00CA7E88" w:rsidRPr="006B6C08">
        <w:rPr>
          <w:sz w:val="20"/>
          <w:szCs w:val="20"/>
        </w:rPr>
        <w:t>2010</w:t>
      </w:r>
      <w:r w:rsidR="00EF3B73" w:rsidRPr="006B6C08">
        <w:rPr>
          <w:sz w:val="20"/>
          <w:szCs w:val="20"/>
        </w:rPr>
        <w:t xml:space="preserve">, and </w:t>
      </w:r>
      <w:r w:rsidR="001F3D0C" w:rsidRPr="006B6C08">
        <w:rPr>
          <w:sz w:val="20"/>
          <w:szCs w:val="20"/>
        </w:rPr>
        <w:t xml:space="preserve">22 of the 101 death sentences pronounced since 2008 have reportedly </w:t>
      </w:r>
      <w:r w:rsidR="00617723" w:rsidRPr="006B6C08">
        <w:rPr>
          <w:sz w:val="20"/>
          <w:szCs w:val="20"/>
        </w:rPr>
        <w:t>been carried out</w:t>
      </w:r>
      <w:r w:rsidR="00497B7C" w:rsidRPr="006B6C08">
        <w:rPr>
          <w:sz w:val="20"/>
          <w:szCs w:val="20"/>
        </w:rPr>
        <w:t xml:space="preserve">, </w:t>
      </w:r>
      <w:r w:rsidR="00EF3B73" w:rsidRPr="006B6C08">
        <w:rPr>
          <w:sz w:val="20"/>
          <w:szCs w:val="20"/>
        </w:rPr>
        <w:t xml:space="preserve">although they were not approved by </w:t>
      </w:r>
      <w:r w:rsidR="00497B7C" w:rsidRPr="006B6C08">
        <w:rPr>
          <w:sz w:val="20"/>
          <w:szCs w:val="20"/>
        </w:rPr>
        <w:t xml:space="preserve">the Palestinian President. </w:t>
      </w:r>
    </w:p>
    <w:p w:rsidR="004B5BF6" w:rsidRPr="006B6C08" w:rsidRDefault="004B5BF6" w:rsidP="000B1FD3">
      <w:pPr>
        <w:pStyle w:val="SingleTxtG"/>
        <w:outlineLvl w:val="0"/>
        <w:rPr>
          <w:b/>
          <w:i/>
          <w:sz w:val="20"/>
          <w:szCs w:val="20"/>
        </w:rPr>
      </w:pPr>
      <w:r w:rsidRPr="006B6C08">
        <w:rPr>
          <w:b/>
          <w:i/>
          <w:sz w:val="20"/>
          <w:szCs w:val="20"/>
        </w:rPr>
        <w:t xml:space="preserve">Freedom of movement and </w:t>
      </w:r>
      <w:r w:rsidR="00082A76" w:rsidRPr="006B6C08">
        <w:rPr>
          <w:b/>
          <w:i/>
          <w:sz w:val="20"/>
          <w:szCs w:val="20"/>
        </w:rPr>
        <w:t>e</w:t>
      </w:r>
      <w:r w:rsidRPr="006B6C08">
        <w:rPr>
          <w:b/>
          <w:i/>
          <w:sz w:val="20"/>
          <w:szCs w:val="20"/>
        </w:rPr>
        <w:t>conomic</w:t>
      </w:r>
      <w:r w:rsidR="0075756E" w:rsidRPr="006B6C08">
        <w:rPr>
          <w:b/>
          <w:i/>
          <w:sz w:val="20"/>
          <w:szCs w:val="20"/>
        </w:rPr>
        <w:t>,</w:t>
      </w:r>
      <w:r w:rsidRPr="006B6C08">
        <w:rPr>
          <w:b/>
          <w:i/>
          <w:sz w:val="20"/>
          <w:szCs w:val="20"/>
        </w:rPr>
        <w:t xml:space="preserve"> </w:t>
      </w:r>
      <w:r w:rsidR="00082A76" w:rsidRPr="006B6C08">
        <w:rPr>
          <w:b/>
          <w:i/>
          <w:sz w:val="20"/>
          <w:szCs w:val="20"/>
        </w:rPr>
        <w:t>s</w:t>
      </w:r>
      <w:r w:rsidRPr="006B6C08">
        <w:rPr>
          <w:b/>
          <w:i/>
          <w:sz w:val="20"/>
          <w:szCs w:val="20"/>
        </w:rPr>
        <w:t xml:space="preserve">ocial and </w:t>
      </w:r>
      <w:r w:rsidR="00082A76" w:rsidRPr="006B6C08">
        <w:rPr>
          <w:b/>
          <w:i/>
          <w:sz w:val="20"/>
          <w:szCs w:val="20"/>
        </w:rPr>
        <w:t>c</w:t>
      </w:r>
      <w:r w:rsidRPr="006B6C08">
        <w:rPr>
          <w:b/>
          <w:i/>
          <w:sz w:val="20"/>
          <w:szCs w:val="20"/>
        </w:rPr>
        <w:t xml:space="preserve">ultural </w:t>
      </w:r>
      <w:r w:rsidR="00082A76" w:rsidRPr="006B6C08">
        <w:rPr>
          <w:b/>
          <w:i/>
          <w:sz w:val="20"/>
          <w:szCs w:val="20"/>
        </w:rPr>
        <w:t>r</w:t>
      </w:r>
      <w:r w:rsidRPr="006B6C08">
        <w:rPr>
          <w:b/>
          <w:i/>
          <w:sz w:val="20"/>
          <w:szCs w:val="20"/>
        </w:rPr>
        <w:t>ights</w:t>
      </w:r>
    </w:p>
    <w:p w:rsidR="00082A76" w:rsidRPr="006B6C08" w:rsidRDefault="006B6C08" w:rsidP="006B6C08">
      <w:pPr>
        <w:pStyle w:val="SingleTxtG"/>
        <w:outlineLvl w:val="0"/>
        <w:rPr>
          <w:sz w:val="20"/>
          <w:szCs w:val="20"/>
        </w:rPr>
      </w:pPr>
      <w:r w:rsidRPr="006B6C08">
        <w:rPr>
          <w:sz w:val="20"/>
          <w:szCs w:val="20"/>
        </w:rPr>
        <w:t>61.</w:t>
      </w:r>
      <w:r w:rsidRPr="006B6C08">
        <w:rPr>
          <w:sz w:val="20"/>
          <w:szCs w:val="20"/>
        </w:rPr>
        <w:tab/>
      </w:r>
      <w:r w:rsidR="008B79D9" w:rsidRPr="006B6C08">
        <w:rPr>
          <w:sz w:val="20"/>
          <w:szCs w:val="20"/>
        </w:rPr>
        <w:t xml:space="preserve">Palestinians’ </w:t>
      </w:r>
      <w:r w:rsidR="00FF0972" w:rsidRPr="006B6C08">
        <w:rPr>
          <w:sz w:val="20"/>
          <w:szCs w:val="20"/>
        </w:rPr>
        <w:t>freedom of movement</w:t>
      </w:r>
      <w:r w:rsidR="008B79D9" w:rsidRPr="006B6C08">
        <w:rPr>
          <w:sz w:val="20"/>
          <w:szCs w:val="20"/>
        </w:rPr>
        <w:t xml:space="preserve"> within the Occupied Palestinian Territory</w:t>
      </w:r>
      <w:r w:rsidR="00FF0972" w:rsidRPr="006B6C08">
        <w:rPr>
          <w:sz w:val="20"/>
          <w:szCs w:val="20"/>
        </w:rPr>
        <w:t xml:space="preserve"> </w:t>
      </w:r>
      <w:r w:rsidR="008B79D9" w:rsidRPr="006B6C08">
        <w:rPr>
          <w:sz w:val="20"/>
          <w:szCs w:val="20"/>
        </w:rPr>
        <w:t>i</w:t>
      </w:r>
      <w:r w:rsidR="00FF0972" w:rsidRPr="006B6C08">
        <w:rPr>
          <w:sz w:val="20"/>
          <w:szCs w:val="20"/>
        </w:rPr>
        <w:t xml:space="preserve">s </w:t>
      </w:r>
      <w:r w:rsidR="008B79D9" w:rsidRPr="006B6C08">
        <w:rPr>
          <w:sz w:val="20"/>
          <w:szCs w:val="20"/>
        </w:rPr>
        <w:t xml:space="preserve">significantly </w:t>
      </w:r>
      <w:r w:rsidR="00FF0972" w:rsidRPr="006B6C08">
        <w:rPr>
          <w:sz w:val="20"/>
          <w:szCs w:val="20"/>
        </w:rPr>
        <w:t xml:space="preserve">restricted </w:t>
      </w:r>
      <w:r w:rsidR="008B79D9" w:rsidRPr="006B6C08">
        <w:rPr>
          <w:sz w:val="20"/>
          <w:szCs w:val="20"/>
        </w:rPr>
        <w:t xml:space="preserve">by </w:t>
      </w:r>
      <w:r w:rsidR="00FF0972" w:rsidRPr="006B6C08">
        <w:rPr>
          <w:sz w:val="20"/>
          <w:szCs w:val="20"/>
        </w:rPr>
        <w:t>a complex and multi</w:t>
      </w:r>
      <w:r w:rsidR="008B79D9" w:rsidRPr="006B6C08">
        <w:rPr>
          <w:sz w:val="20"/>
          <w:szCs w:val="20"/>
        </w:rPr>
        <w:t>-</w:t>
      </w:r>
      <w:r w:rsidR="00FF0972" w:rsidRPr="006B6C08">
        <w:rPr>
          <w:sz w:val="20"/>
          <w:szCs w:val="20"/>
        </w:rPr>
        <w:t>layered system of administrative, bureaucratic and physical constraints</w:t>
      </w:r>
      <w:r w:rsidR="00082A76" w:rsidRPr="006B6C08">
        <w:rPr>
          <w:sz w:val="20"/>
          <w:szCs w:val="20"/>
        </w:rPr>
        <w:t>,</w:t>
      </w:r>
      <w:r w:rsidR="0039110C" w:rsidRPr="006B6C08">
        <w:rPr>
          <w:sz w:val="20"/>
          <w:szCs w:val="20"/>
        </w:rPr>
        <w:t xml:space="preserve"> including permit requirements, checkpoints, and physical obsta</w:t>
      </w:r>
      <w:r w:rsidR="00AB36DC" w:rsidRPr="006B6C08">
        <w:rPr>
          <w:sz w:val="20"/>
          <w:szCs w:val="20"/>
        </w:rPr>
        <w:t>c</w:t>
      </w:r>
      <w:r w:rsidR="0039110C" w:rsidRPr="006B6C08">
        <w:rPr>
          <w:sz w:val="20"/>
          <w:szCs w:val="20"/>
        </w:rPr>
        <w:t>les</w:t>
      </w:r>
      <w:r w:rsidR="00FF0972" w:rsidRPr="006B6C08">
        <w:rPr>
          <w:sz w:val="20"/>
          <w:szCs w:val="20"/>
        </w:rPr>
        <w:t xml:space="preserve"> impacting almost every aspect of daily life.</w:t>
      </w:r>
      <w:r w:rsidR="00FF0972" w:rsidRPr="006B6C08">
        <w:rPr>
          <w:rStyle w:val="FootnoteReference"/>
          <w:sz w:val="20"/>
          <w:szCs w:val="20"/>
        </w:rPr>
        <w:footnoteReference w:id="144"/>
      </w:r>
      <w:r w:rsidR="00FF0972"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62.</w:t>
      </w:r>
      <w:r w:rsidRPr="006B6C08">
        <w:rPr>
          <w:sz w:val="20"/>
          <w:szCs w:val="20"/>
        </w:rPr>
        <w:tab/>
      </w:r>
      <w:r w:rsidR="00FF0972" w:rsidRPr="006B6C08">
        <w:rPr>
          <w:sz w:val="20"/>
          <w:szCs w:val="20"/>
        </w:rPr>
        <w:t xml:space="preserve">Movement restrictions are particularly </w:t>
      </w:r>
      <w:r w:rsidR="0039110C" w:rsidRPr="006B6C08">
        <w:rPr>
          <w:sz w:val="20"/>
          <w:szCs w:val="20"/>
        </w:rPr>
        <w:t>prevalent</w:t>
      </w:r>
      <w:r w:rsidR="00FF0972" w:rsidRPr="006B6C08">
        <w:rPr>
          <w:sz w:val="20"/>
          <w:szCs w:val="20"/>
        </w:rPr>
        <w:t xml:space="preserve"> in the vicinity of settlements. East Jerusalem is isolated from the rest of the West Bank</w:t>
      </w:r>
      <w:r w:rsidR="0039110C" w:rsidRPr="006B6C08">
        <w:rPr>
          <w:sz w:val="20"/>
          <w:szCs w:val="20"/>
        </w:rPr>
        <w:t xml:space="preserve"> due to permit requirements,</w:t>
      </w:r>
      <w:r w:rsidR="00FF0972" w:rsidRPr="006B6C08">
        <w:rPr>
          <w:sz w:val="20"/>
          <w:szCs w:val="20"/>
        </w:rPr>
        <w:t xml:space="preserve"> as are areas of the “seam zone</w:t>
      </w:r>
      <w:r w:rsidR="00994243" w:rsidRPr="006B6C08">
        <w:rPr>
          <w:sz w:val="20"/>
          <w:szCs w:val="20"/>
        </w:rPr>
        <w:t>,</w:t>
      </w:r>
      <w:r w:rsidR="00FF0972" w:rsidRPr="006B6C08">
        <w:rPr>
          <w:sz w:val="20"/>
          <w:szCs w:val="20"/>
        </w:rPr>
        <w:t xml:space="preserve">” i.e. areas west of </w:t>
      </w:r>
      <w:r w:rsidR="0075756E" w:rsidRPr="006B6C08">
        <w:rPr>
          <w:sz w:val="20"/>
          <w:szCs w:val="20"/>
        </w:rPr>
        <w:t>Israel’s</w:t>
      </w:r>
      <w:r w:rsidR="003A1C6D" w:rsidRPr="006B6C08">
        <w:rPr>
          <w:sz w:val="20"/>
          <w:szCs w:val="20"/>
        </w:rPr>
        <w:t xml:space="preserve"> </w:t>
      </w:r>
      <w:r w:rsidR="00890033" w:rsidRPr="006B6C08">
        <w:rPr>
          <w:sz w:val="20"/>
          <w:szCs w:val="20"/>
        </w:rPr>
        <w:t>w</w:t>
      </w:r>
      <w:r w:rsidR="003A1C6D" w:rsidRPr="006B6C08">
        <w:rPr>
          <w:sz w:val="20"/>
          <w:szCs w:val="20"/>
        </w:rPr>
        <w:t>all</w:t>
      </w:r>
      <w:r w:rsidR="0075756E" w:rsidRPr="006B6C08">
        <w:rPr>
          <w:sz w:val="20"/>
          <w:szCs w:val="20"/>
        </w:rPr>
        <w:t xml:space="preserve"> in the West Bank</w:t>
      </w:r>
      <w:r w:rsidR="00FF0972" w:rsidRPr="006B6C08">
        <w:rPr>
          <w:sz w:val="20"/>
          <w:szCs w:val="20"/>
        </w:rPr>
        <w:t xml:space="preserve">. The </w:t>
      </w:r>
      <w:r w:rsidR="00890033" w:rsidRPr="006B6C08">
        <w:rPr>
          <w:sz w:val="20"/>
          <w:szCs w:val="20"/>
        </w:rPr>
        <w:t>w</w:t>
      </w:r>
      <w:r w:rsidR="00FF0972" w:rsidRPr="006B6C08">
        <w:rPr>
          <w:sz w:val="20"/>
          <w:szCs w:val="20"/>
        </w:rPr>
        <w:t>all</w:t>
      </w:r>
      <w:r w:rsidR="00CA5282" w:rsidRPr="006B6C08">
        <w:rPr>
          <w:rStyle w:val="FootnoteReference"/>
          <w:sz w:val="20"/>
          <w:szCs w:val="20"/>
        </w:rPr>
        <w:footnoteReference w:id="145"/>
      </w:r>
      <w:r w:rsidR="00FF0972" w:rsidRPr="006B6C08">
        <w:rPr>
          <w:sz w:val="20"/>
          <w:szCs w:val="20"/>
        </w:rPr>
        <w:t xml:space="preserve"> remains a key obstacle to freedom of movement. </w:t>
      </w:r>
      <w:r w:rsidR="0081360B" w:rsidRPr="006B6C08">
        <w:rPr>
          <w:sz w:val="20"/>
          <w:szCs w:val="20"/>
        </w:rPr>
        <w:t>In</w:t>
      </w:r>
      <w:r w:rsidR="00FF0972" w:rsidRPr="006B6C08">
        <w:rPr>
          <w:sz w:val="20"/>
          <w:szCs w:val="20"/>
        </w:rPr>
        <w:t xml:space="preserve"> Gaza, the continuing </w:t>
      </w:r>
      <w:r w:rsidR="00B04FC7" w:rsidRPr="006B6C08">
        <w:rPr>
          <w:sz w:val="20"/>
          <w:szCs w:val="20"/>
        </w:rPr>
        <w:t>closures</w:t>
      </w:r>
      <w:r w:rsidR="003A1C6D" w:rsidRPr="006B6C08">
        <w:rPr>
          <w:sz w:val="20"/>
          <w:szCs w:val="20"/>
        </w:rPr>
        <w:t xml:space="preserve"> </w:t>
      </w:r>
      <w:r w:rsidR="00FF0972" w:rsidRPr="006B6C08">
        <w:rPr>
          <w:sz w:val="20"/>
          <w:szCs w:val="20"/>
        </w:rPr>
        <w:t>and the related permit regime strictly limits the possibility for Gaza residents to exit Gaza and, to a lesser extent, West Bank residents to enter Gaza.</w:t>
      </w:r>
      <w:r w:rsidR="001F771F" w:rsidRPr="006B6C08">
        <w:rPr>
          <w:rStyle w:val="FootnoteReference"/>
          <w:szCs w:val="20"/>
        </w:rPr>
        <w:footnoteReference w:id="146"/>
      </w:r>
    </w:p>
    <w:p w:rsidR="004B5BF6" w:rsidRPr="006B6C08" w:rsidRDefault="006B6C08" w:rsidP="006B6C08">
      <w:pPr>
        <w:pStyle w:val="SingleTxtG"/>
        <w:outlineLvl w:val="0"/>
        <w:rPr>
          <w:sz w:val="20"/>
          <w:szCs w:val="20"/>
        </w:rPr>
      </w:pPr>
      <w:r w:rsidRPr="006B6C08">
        <w:rPr>
          <w:sz w:val="20"/>
          <w:szCs w:val="20"/>
        </w:rPr>
        <w:lastRenderedPageBreak/>
        <w:t>63.</w:t>
      </w:r>
      <w:r w:rsidRPr="006B6C08">
        <w:rPr>
          <w:sz w:val="20"/>
          <w:szCs w:val="20"/>
        </w:rPr>
        <w:tab/>
      </w:r>
      <w:r w:rsidR="00FF0972" w:rsidRPr="006B6C08">
        <w:rPr>
          <w:sz w:val="20"/>
          <w:szCs w:val="20"/>
        </w:rPr>
        <w:t xml:space="preserve">Freedom of movement is guaranteed under </w:t>
      </w:r>
      <w:r w:rsidR="00F47FC6" w:rsidRPr="006B6C08">
        <w:rPr>
          <w:sz w:val="20"/>
          <w:szCs w:val="20"/>
        </w:rPr>
        <w:t>international human rights law</w:t>
      </w:r>
      <w:r w:rsidR="00FF0972" w:rsidRPr="006B6C08">
        <w:rPr>
          <w:sz w:val="20"/>
          <w:szCs w:val="20"/>
        </w:rPr>
        <w:t>.</w:t>
      </w:r>
      <w:r w:rsidR="00FF0972" w:rsidRPr="006B6C08">
        <w:rPr>
          <w:rStyle w:val="FootnoteReference"/>
          <w:sz w:val="20"/>
          <w:szCs w:val="20"/>
        </w:rPr>
        <w:footnoteReference w:id="147"/>
      </w:r>
      <w:r w:rsidR="00FF0972" w:rsidRPr="006B6C08">
        <w:rPr>
          <w:sz w:val="20"/>
          <w:szCs w:val="20"/>
        </w:rPr>
        <w:t xml:space="preserve"> As </w:t>
      </w:r>
      <w:r w:rsidR="00082A76" w:rsidRPr="006B6C08">
        <w:rPr>
          <w:sz w:val="20"/>
          <w:szCs w:val="20"/>
        </w:rPr>
        <w:t xml:space="preserve">previously </w:t>
      </w:r>
      <w:r w:rsidR="00FF0972" w:rsidRPr="006B6C08">
        <w:rPr>
          <w:sz w:val="20"/>
          <w:szCs w:val="20"/>
        </w:rPr>
        <w:t>highlighte</w:t>
      </w:r>
      <w:r w:rsidR="007E2E38" w:rsidRPr="006B6C08">
        <w:rPr>
          <w:sz w:val="20"/>
          <w:szCs w:val="20"/>
        </w:rPr>
        <w:t>d</w:t>
      </w:r>
      <w:r w:rsidR="00FF0972" w:rsidRPr="006B6C08">
        <w:rPr>
          <w:sz w:val="20"/>
          <w:szCs w:val="20"/>
        </w:rPr>
        <w:t xml:space="preserve">, restrictions on freedom of movement may also amount to collective punishment, in violation of </w:t>
      </w:r>
      <w:r w:rsidR="00F47FC6" w:rsidRPr="006B6C08">
        <w:rPr>
          <w:sz w:val="20"/>
          <w:szCs w:val="20"/>
        </w:rPr>
        <w:t>international humanitarian law</w:t>
      </w:r>
      <w:r w:rsidR="00FF0972" w:rsidRPr="006B6C08">
        <w:rPr>
          <w:sz w:val="20"/>
          <w:szCs w:val="20"/>
        </w:rPr>
        <w:t>.</w:t>
      </w:r>
      <w:r w:rsidR="00FF0972" w:rsidRPr="006B6C08">
        <w:rPr>
          <w:rStyle w:val="FootnoteReference"/>
          <w:sz w:val="20"/>
          <w:szCs w:val="20"/>
        </w:rPr>
        <w:footnoteReference w:id="148"/>
      </w:r>
      <w:r w:rsidR="00FF0972" w:rsidRPr="006B6C08">
        <w:rPr>
          <w:sz w:val="20"/>
          <w:szCs w:val="20"/>
        </w:rPr>
        <w:t xml:space="preserve"> </w:t>
      </w:r>
      <w:r w:rsidR="00082A76" w:rsidRPr="006B6C08">
        <w:rPr>
          <w:sz w:val="20"/>
          <w:szCs w:val="20"/>
        </w:rPr>
        <w:t>While t</w:t>
      </w:r>
      <w:r w:rsidR="00FF0972" w:rsidRPr="006B6C08">
        <w:rPr>
          <w:sz w:val="20"/>
          <w:szCs w:val="20"/>
        </w:rPr>
        <w:t>h</w:t>
      </w:r>
      <w:r w:rsidR="006B6289" w:rsidRPr="006B6C08">
        <w:rPr>
          <w:sz w:val="20"/>
          <w:szCs w:val="20"/>
        </w:rPr>
        <w:t>is</w:t>
      </w:r>
      <w:r w:rsidR="00FF0972" w:rsidRPr="006B6C08">
        <w:rPr>
          <w:sz w:val="20"/>
          <w:szCs w:val="20"/>
        </w:rPr>
        <w:t xml:space="preserve"> right may nevertheless be restricted to address legitimate security needs</w:t>
      </w:r>
      <w:r w:rsidR="00082A76" w:rsidRPr="006B6C08">
        <w:rPr>
          <w:sz w:val="20"/>
          <w:szCs w:val="20"/>
        </w:rPr>
        <w:t>, a</w:t>
      </w:r>
      <w:r w:rsidR="00FF0972" w:rsidRPr="006B6C08">
        <w:rPr>
          <w:sz w:val="20"/>
          <w:szCs w:val="20"/>
        </w:rPr>
        <w:t xml:space="preserve">ny limitation has to be necessary and proportional to the end sought and </w:t>
      </w:r>
      <w:r w:rsidR="00613875" w:rsidRPr="006B6C08">
        <w:rPr>
          <w:sz w:val="20"/>
          <w:szCs w:val="20"/>
        </w:rPr>
        <w:t>must</w:t>
      </w:r>
      <w:r w:rsidR="00FF0972" w:rsidRPr="006B6C08">
        <w:rPr>
          <w:sz w:val="20"/>
          <w:szCs w:val="20"/>
        </w:rPr>
        <w:t xml:space="preserve"> be</w:t>
      </w:r>
      <w:r w:rsidR="00613875" w:rsidRPr="006B6C08">
        <w:rPr>
          <w:sz w:val="20"/>
          <w:szCs w:val="20"/>
        </w:rPr>
        <w:t xml:space="preserve"> applied</w:t>
      </w:r>
      <w:r w:rsidR="00FF0972" w:rsidRPr="006B6C08">
        <w:rPr>
          <w:sz w:val="20"/>
          <w:szCs w:val="20"/>
        </w:rPr>
        <w:t xml:space="preserve"> consistent</w:t>
      </w:r>
      <w:r w:rsidR="00613875" w:rsidRPr="006B6C08">
        <w:rPr>
          <w:sz w:val="20"/>
          <w:szCs w:val="20"/>
        </w:rPr>
        <w:t>ly with protections afforded by human rights</w:t>
      </w:r>
      <w:r w:rsidR="00FF0972" w:rsidRPr="006B6C08">
        <w:rPr>
          <w:sz w:val="20"/>
          <w:szCs w:val="20"/>
        </w:rPr>
        <w:t>.</w:t>
      </w:r>
      <w:r w:rsidR="00FF0972" w:rsidRPr="006B6C08">
        <w:rPr>
          <w:rStyle w:val="FootnoteReference"/>
          <w:sz w:val="20"/>
          <w:szCs w:val="20"/>
        </w:rPr>
        <w:footnoteReference w:id="149"/>
      </w:r>
    </w:p>
    <w:p w:rsidR="00082A76" w:rsidRPr="006B6C08" w:rsidRDefault="006B6C08" w:rsidP="006B6C08">
      <w:pPr>
        <w:pStyle w:val="SingleTxtG"/>
        <w:outlineLvl w:val="0"/>
        <w:rPr>
          <w:sz w:val="20"/>
          <w:szCs w:val="20"/>
        </w:rPr>
      </w:pPr>
      <w:r w:rsidRPr="006B6C08">
        <w:rPr>
          <w:sz w:val="20"/>
          <w:szCs w:val="20"/>
        </w:rPr>
        <w:t>64.</w:t>
      </w:r>
      <w:r w:rsidRPr="006B6C08">
        <w:rPr>
          <w:sz w:val="20"/>
          <w:szCs w:val="20"/>
        </w:rPr>
        <w:tab/>
      </w:r>
      <w:r w:rsidR="00FF0972" w:rsidRPr="006B6C08">
        <w:rPr>
          <w:sz w:val="20"/>
          <w:szCs w:val="20"/>
        </w:rPr>
        <w:t>Freedom of movement is a precondition for the exercise of several other human rights,</w:t>
      </w:r>
      <w:r w:rsidR="00613875" w:rsidRPr="006B6C08">
        <w:rPr>
          <w:sz w:val="20"/>
          <w:szCs w:val="20"/>
        </w:rPr>
        <w:t xml:space="preserve"> including</w:t>
      </w:r>
      <w:r w:rsidR="00FF0972" w:rsidRPr="006B6C08">
        <w:rPr>
          <w:sz w:val="20"/>
          <w:szCs w:val="20"/>
        </w:rPr>
        <w:t xml:space="preserve"> economic, social and cultural rights. </w:t>
      </w:r>
      <w:r w:rsidR="00613875" w:rsidRPr="006B6C08">
        <w:rPr>
          <w:sz w:val="20"/>
          <w:szCs w:val="20"/>
        </w:rPr>
        <w:t>A</w:t>
      </w:r>
      <w:r w:rsidR="00FF0972" w:rsidRPr="006B6C08">
        <w:rPr>
          <w:sz w:val="20"/>
          <w:szCs w:val="20"/>
        </w:rPr>
        <w:t>ccess restrictions have a</w:t>
      </w:r>
      <w:r w:rsidR="00613875" w:rsidRPr="006B6C08">
        <w:rPr>
          <w:sz w:val="20"/>
          <w:szCs w:val="20"/>
        </w:rPr>
        <w:t xml:space="preserve"> </w:t>
      </w:r>
      <w:r w:rsidR="00FF0972" w:rsidRPr="006B6C08">
        <w:rPr>
          <w:sz w:val="20"/>
          <w:szCs w:val="20"/>
        </w:rPr>
        <w:t>n</w:t>
      </w:r>
      <w:r w:rsidR="00613875" w:rsidRPr="006B6C08">
        <w:rPr>
          <w:sz w:val="20"/>
          <w:szCs w:val="20"/>
        </w:rPr>
        <w:t>egative</w:t>
      </w:r>
      <w:r w:rsidR="00FF0972" w:rsidRPr="006B6C08">
        <w:rPr>
          <w:sz w:val="20"/>
          <w:szCs w:val="20"/>
        </w:rPr>
        <w:t xml:space="preserve"> impact on the right</w:t>
      </w:r>
      <w:r w:rsidR="006B6289" w:rsidRPr="006B6C08">
        <w:rPr>
          <w:sz w:val="20"/>
          <w:szCs w:val="20"/>
        </w:rPr>
        <w:t>s</w:t>
      </w:r>
      <w:r w:rsidR="00FF0972" w:rsidRPr="006B6C08">
        <w:rPr>
          <w:sz w:val="20"/>
          <w:szCs w:val="20"/>
        </w:rPr>
        <w:t xml:space="preserve"> to education, health, work and family life throughout the</w:t>
      </w:r>
      <w:r w:rsidR="00613875" w:rsidRPr="006B6C08">
        <w:rPr>
          <w:sz w:val="20"/>
          <w:szCs w:val="20"/>
        </w:rPr>
        <w:t xml:space="preserve"> </w:t>
      </w:r>
      <w:r w:rsidR="00C747CD" w:rsidRPr="006B6C08">
        <w:rPr>
          <w:sz w:val="20"/>
          <w:szCs w:val="20"/>
        </w:rPr>
        <w:t>Occupied Palestinian Territory</w:t>
      </w:r>
      <w:r w:rsidR="00FF0972" w:rsidRPr="006B6C08">
        <w:rPr>
          <w:sz w:val="20"/>
          <w:szCs w:val="20"/>
        </w:rPr>
        <w:t>.</w:t>
      </w:r>
      <w:r w:rsidR="00FF0972" w:rsidRPr="006B6C08">
        <w:rPr>
          <w:rStyle w:val="FootnoteReference"/>
          <w:sz w:val="20"/>
          <w:szCs w:val="20"/>
        </w:rPr>
        <w:footnoteReference w:id="150"/>
      </w:r>
      <w:r w:rsidR="00FF0972"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65.</w:t>
      </w:r>
      <w:r w:rsidRPr="006B6C08">
        <w:rPr>
          <w:sz w:val="20"/>
          <w:szCs w:val="20"/>
        </w:rPr>
        <w:tab/>
      </w:r>
      <w:r w:rsidR="00FF0972" w:rsidRPr="006B6C08">
        <w:rPr>
          <w:sz w:val="20"/>
          <w:szCs w:val="20"/>
        </w:rPr>
        <w:t>Movement and other restrictions also prevent the development of the Palestinian economy. The agricultural sector has been particularly affected by the denial of access for farmers to agricultural areas, water resources and domestic and external markets.</w:t>
      </w:r>
      <w:r w:rsidR="00FF0972" w:rsidRPr="006B6C08">
        <w:rPr>
          <w:rStyle w:val="FootnoteReference"/>
          <w:sz w:val="20"/>
          <w:szCs w:val="20"/>
        </w:rPr>
        <w:footnoteReference w:id="151"/>
      </w:r>
      <w:r w:rsidR="00FF0972" w:rsidRPr="006B6C08">
        <w:rPr>
          <w:sz w:val="20"/>
          <w:szCs w:val="20"/>
        </w:rPr>
        <w:t xml:space="preserve"> </w:t>
      </w:r>
      <w:r w:rsidR="00C44738" w:rsidRPr="006B6C08">
        <w:rPr>
          <w:sz w:val="20"/>
          <w:szCs w:val="20"/>
        </w:rPr>
        <w:t>I</w:t>
      </w:r>
      <w:r w:rsidR="00FF0972" w:rsidRPr="006B6C08">
        <w:rPr>
          <w:sz w:val="20"/>
          <w:szCs w:val="20"/>
        </w:rPr>
        <w:t xml:space="preserve">mpediments to Palestinians’ economic, social and cultural development also </w:t>
      </w:r>
      <w:r w:rsidR="004A12B0" w:rsidRPr="006B6C08">
        <w:rPr>
          <w:sz w:val="20"/>
          <w:szCs w:val="20"/>
        </w:rPr>
        <w:t>affe</w:t>
      </w:r>
      <w:r w:rsidR="004A6F48" w:rsidRPr="006B6C08">
        <w:rPr>
          <w:sz w:val="20"/>
          <w:szCs w:val="20"/>
        </w:rPr>
        <w:t>ct</w:t>
      </w:r>
      <w:r w:rsidR="004A12B0" w:rsidRPr="006B6C08">
        <w:rPr>
          <w:sz w:val="20"/>
          <w:szCs w:val="20"/>
        </w:rPr>
        <w:t xml:space="preserve"> the </w:t>
      </w:r>
      <w:r w:rsidR="00613875" w:rsidRPr="006B6C08">
        <w:rPr>
          <w:sz w:val="20"/>
          <w:szCs w:val="20"/>
        </w:rPr>
        <w:t>exercise of the</w:t>
      </w:r>
      <w:r w:rsidR="00FF0972" w:rsidRPr="006B6C08">
        <w:rPr>
          <w:sz w:val="20"/>
          <w:szCs w:val="20"/>
        </w:rPr>
        <w:t xml:space="preserve"> right to self-determination.</w:t>
      </w:r>
      <w:r w:rsidR="00FF0972" w:rsidRPr="006B6C08">
        <w:rPr>
          <w:rStyle w:val="FootnoteReference"/>
          <w:sz w:val="20"/>
          <w:szCs w:val="20"/>
        </w:rPr>
        <w:footnoteReference w:id="152"/>
      </w:r>
      <w:r w:rsidR="004B5BF6" w:rsidRPr="006B6C08">
        <w:rPr>
          <w:sz w:val="20"/>
          <w:szCs w:val="20"/>
        </w:rPr>
        <w:t xml:space="preserve"> </w:t>
      </w:r>
    </w:p>
    <w:p w:rsidR="004B5BF6" w:rsidRPr="006B6C08" w:rsidRDefault="006B6C08" w:rsidP="006B6C08">
      <w:pPr>
        <w:pStyle w:val="SingleTxtG"/>
        <w:outlineLvl w:val="0"/>
        <w:rPr>
          <w:rStyle w:val="Strong"/>
          <w:sz w:val="20"/>
          <w:szCs w:val="20"/>
        </w:rPr>
      </w:pPr>
      <w:r w:rsidRPr="006B6C08">
        <w:rPr>
          <w:rStyle w:val="Strong"/>
          <w:b w:val="0"/>
          <w:sz w:val="20"/>
          <w:szCs w:val="20"/>
        </w:rPr>
        <w:t>66.</w:t>
      </w:r>
      <w:r w:rsidRPr="006B6C08">
        <w:rPr>
          <w:rStyle w:val="Strong"/>
          <w:b w:val="0"/>
          <w:sz w:val="20"/>
          <w:szCs w:val="20"/>
        </w:rPr>
        <w:tab/>
      </w:r>
      <w:r w:rsidR="00FF0972" w:rsidRPr="006B6C08">
        <w:rPr>
          <w:sz w:val="20"/>
          <w:szCs w:val="20"/>
        </w:rPr>
        <w:t>The</w:t>
      </w:r>
      <w:r w:rsidR="006B6289" w:rsidRPr="006B6C08">
        <w:rPr>
          <w:sz w:val="20"/>
          <w:szCs w:val="20"/>
        </w:rPr>
        <w:t xml:space="preserve"> </w:t>
      </w:r>
      <w:r w:rsidR="00B04FC7" w:rsidRPr="006B6C08">
        <w:rPr>
          <w:sz w:val="20"/>
          <w:szCs w:val="20"/>
        </w:rPr>
        <w:t xml:space="preserve">closures in </w:t>
      </w:r>
      <w:r w:rsidR="006B6289" w:rsidRPr="006B6C08">
        <w:rPr>
          <w:sz w:val="20"/>
          <w:szCs w:val="20"/>
        </w:rPr>
        <w:t>Gaza</w:t>
      </w:r>
      <w:r w:rsidR="00FF0972" w:rsidRPr="006B6C08">
        <w:rPr>
          <w:sz w:val="20"/>
          <w:szCs w:val="20"/>
        </w:rPr>
        <w:t>, together with successiv</w:t>
      </w:r>
      <w:r w:rsidR="006B6289" w:rsidRPr="006B6C08">
        <w:rPr>
          <w:sz w:val="20"/>
          <w:szCs w:val="20"/>
        </w:rPr>
        <w:t>e</w:t>
      </w:r>
      <w:r w:rsidR="00FF0972" w:rsidRPr="006B6C08">
        <w:rPr>
          <w:sz w:val="20"/>
          <w:szCs w:val="20"/>
        </w:rPr>
        <w:t xml:space="preserve"> military campaigns by </w:t>
      </w:r>
      <w:r w:rsidR="0075756E" w:rsidRPr="006B6C08">
        <w:rPr>
          <w:sz w:val="20"/>
          <w:szCs w:val="20"/>
        </w:rPr>
        <w:t xml:space="preserve">the IDF </w:t>
      </w:r>
      <w:r w:rsidR="00FF0972" w:rsidRPr="006B6C08">
        <w:rPr>
          <w:sz w:val="20"/>
          <w:szCs w:val="20"/>
        </w:rPr>
        <w:t xml:space="preserve">and the use of force in </w:t>
      </w:r>
      <w:r w:rsidR="0075756E" w:rsidRPr="006B6C08">
        <w:rPr>
          <w:sz w:val="20"/>
          <w:szCs w:val="20"/>
        </w:rPr>
        <w:t>access-</w:t>
      </w:r>
      <w:r w:rsidR="00FF0972" w:rsidRPr="006B6C08">
        <w:rPr>
          <w:sz w:val="20"/>
          <w:szCs w:val="20"/>
        </w:rPr>
        <w:t>restricted areas</w:t>
      </w:r>
      <w:r w:rsidR="00994243" w:rsidRPr="006B6C08">
        <w:rPr>
          <w:sz w:val="20"/>
          <w:szCs w:val="20"/>
        </w:rPr>
        <w:t>,</w:t>
      </w:r>
      <w:r w:rsidR="00FF0972" w:rsidRPr="006B6C08">
        <w:rPr>
          <w:sz w:val="20"/>
          <w:szCs w:val="20"/>
        </w:rPr>
        <w:t xml:space="preserve"> </w:t>
      </w:r>
      <w:r w:rsidR="0075756E" w:rsidRPr="006B6C08">
        <w:rPr>
          <w:sz w:val="20"/>
          <w:szCs w:val="20"/>
        </w:rPr>
        <w:t xml:space="preserve">has </w:t>
      </w:r>
      <w:r w:rsidR="00101B35" w:rsidRPr="006B6C08">
        <w:rPr>
          <w:sz w:val="20"/>
          <w:szCs w:val="20"/>
        </w:rPr>
        <w:t>exacerbated the</w:t>
      </w:r>
      <w:r w:rsidR="00FF0972" w:rsidRPr="006B6C08">
        <w:rPr>
          <w:sz w:val="20"/>
          <w:szCs w:val="20"/>
        </w:rPr>
        <w:t xml:space="preserve"> humanitarian crisis in Gaza</w:t>
      </w:r>
      <w:r w:rsidR="00613875" w:rsidRPr="006B6C08">
        <w:rPr>
          <w:sz w:val="20"/>
          <w:szCs w:val="20"/>
        </w:rPr>
        <w:t>,</w:t>
      </w:r>
      <w:r w:rsidR="00FF0972" w:rsidRPr="006B6C08">
        <w:rPr>
          <w:sz w:val="20"/>
          <w:szCs w:val="20"/>
        </w:rPr>
        <w:t xml:space="preserve"> </w:t>
      </w:r>
      <w:r w:rsidR="00C37863" w:rsidRPr="006B6C08">
        <w:rPr>
          <w:sz w:val="20"/>
          <w:szCs w:val="20"/>
        </w:rPr>
        <w:t>severely undermining any effort at development</w:t>
      </w:r>
      <w:r w:rsidR="00FF0972" w:rsidRPr="006B6C08">
        <w:rPr>
          <w:sz w:val="20"/>
          <w:szCs w:val="20"/>
        </w:rPr>
        <w:t>, and resulting in recurrent violations of human rights.</w:t>
      </w:r>
      <w:r w:rsidR="001F7768" w:rsidRPr="006B6C08">
        <w:rPr>
          <w:sz w:val="20"/>
          <w:szCs w:val="20"/>
        </w:rPr>
        <w:t xml:space="preserve"> </w:t>
      </w:r>
      <w:r w:rsidR="00C727E2" w:rsidRPr="006B6C08">
        <w:rPr>
          <w:rStyle w:val="Strong"/>
          <w:b w:val="0"/>
          <w:color w:val="000000"/>
          <w:sz w:val="20"/>
          <w:szCs w:val="20"/>
          <w:bdr w:val="none" w:sz="0" w:space="0" w:color="auto" w:frame="1"/>
          <w:shd w:val="clear" w:color="auto" w:fill="FFFFFF"/>
        </w:rPr>
        <w:t xml:space="preserve">The </w:t>
      </w:r>
      <w:proofErr w:type="gramStart"/>
      <w:r w:rsidR="005400D6" w:rsidRPr="006B6C08">
        <w:rPr>
          <w:rStyle w:val="Strong"/>
          <w:b w:val="0"/>
          <w:color w:val="000000"/>
          <w:sz w:val="20"/>
          <w:szCs w:val="20"/>
          <w:bdr w:val="none" w:sz="0" w:space="0" w:color="auto" w:frame="1"/>
          <w:shd w:val="clear" w:color="auto" w:fill="FFFFFF"/>
        </w:rPr>
        <w:t xml:space="preserve">closures </w:t>
      </w:r>
      <w:r w:rsidR="00C727E2" w:rsidRPr="006B6C08">
        <w:rPr>
          <w:rStyle w:val="Strong"/>
          <w:b w:val="0"/>
          <w:color w:val="000000"/>
          <w:sz w:val="20"/>
          <w:szCs w:val="20"/>
          <w:bdr w:val="none" w:sz="0" w:space="0" w:color="auto" w:frame="1"/>
          <w:shd w:val="clear" w:color="auto" w:fill="FFFFFF"/>
        </w:rPr>
        <w:t xml:space="preserve"> ha</w:t>
      </w:r>
      <w:r w:rsidR="005400D6" w:rsidRPr="006B6C08">
        <w:rPr>
          <w:rStyle w:val="Strong"/>
          <w:b w:val="0"/>
          <w:color w:val="000000"/>
          <w:sz w:val="20"/>
          <w:szCs w:val="20"/>
          <w:bdr w:val="none" w:sz="0" w:space="0" w:color="auto" w:frame="1"/>
          <w:shd w:val="clear" w:color="auto" w:fill="FFFFFF"/>
        </w:rPr>
        <w:t>ve</w:t>
      </w:r>
      <w:proofErr w:type="gramEnd"/>
      <w:r w:rsidR="00C727E2" w:rsidRPr="006B6C08">
        <w:rPr>
          <w:rStyle w:val="Strong"/>
          <w:b w:val="0"/>
          <w:color w:val="000000"/>
          <w:sz w:val="20"/>
          <w:szCs w:val="20"/>
          <w:bdr w:val="none" w:sz="0" w:space="0" w:color="auto" w:frame="1"/>
          <w:shd w:val="clear" w:color="auto" w:fill="FFFFFF"/>
        </w:rPr>
        <w:t xml:space="preserve"> a negative impact on </w:t>
      </w:r>
      <w:r w:rsidR="00C727E2" w:rsidRPr="006B6C08">
        <w:rPr>
          <w:sz w:val="20"/>
          <w:szCs w:val="20"/>
        </w:rPr>
        <w:t>basic human rights and economic prospects, as well as the availability of essential services, exacerbating poverty and aid dependency</w:t>
      </w:r>
      <w:r w:rsidR="00C727E2" w:rsidRPr="006B6C08">
        <w:rPr>
          <w:rStyle w:val="Strong"/>
          <w:color w:val="000000"/>
          <w:sz w:val="20"/>
          <w:szCs w:val="20"/>
          <w:bdr w:val="none" w:sz="0" w:space="0" w:color="auto" w:frame="1"/>
          <w:shd w:val="clear" w:color="auto" w:fill="FFFFFF"/>
        </w:rPr>
        <w:t>.</w:t>
      </w:r>
      <w:r w:rsidR="00C727E2" w:rsidRPr="006B6C08">
        <w:rPr>
          <w:rStyle w:val="FootnoteReference"/>
          <w:bCs/>
          <w:color w:val="000000"/>
          <w:sz w:val="20"/>
          <w:szCs w:val="20"/>
          <w:bdr w:val="none" w:sz="0" w:space="0" w:color="auto" w:frame="1"/>
          <w:shd w:val="clear" w:color="auto" w:fill="FFFFFF"/>
        </w:rPr>
        <w:footnoteReference w:id="153"/>
      </w:r>
      <w:r w:rsidR="00C727E2" w:rsidRPr="006B6C08">
        <w:rPr>
          <w:rStyle w:val="Strong"/>
          <w:b w:val="0"/>
          <w:color w:val="000000"/>
          <w:sz w:val="20"/>
          <w:szCs w:val="20"/>
          <w:bdr w:val="none" w:sz="0" w:space="0" w:color="auto" w:frame="1"/>
          <w:shd w:val="clear" w:color="auto" w:fill="FFFFFF"/>
        </w:rPr>
        <w:t xml:space="preserve"> </w:t>
      </w:r>
      <w:r w:rsidR="001F7768" w:rsidRPr="006B6C08">
        <w:rPr>
          <w:sz w:val="20"/>
          <w:szCs w:val="20"/>
        </w:rPr>
        <w:t>Access to health, education and broader economic and social rights are res</w:t>
      </w:r>
      <w:r w:rsidR="00613875" w:rsidRPr="006B6C08">
        <w:rPr>
          <w:sz w:val="20"/>
          <w:szCs w:val="20"/>
        </w:rPr>
        <w:t>tricted</w:t>
      </w:r>
      <w:r w:rsidR="001F7768" w:rsidRPr="006B6C08">
        <w:rPr>
          <w:sz w:val="20"/>
          <w:szCs w:val="20"/>
        </w:rPr>
        <w:t xml:space="preserve">. The situation </w:t>
      </w:r>
      <w:r w:rsidR="0020478B" w:rsidRPr="006B6C08">
        <w:rPr>
          <w:sz w:val="20"/>
          <w:szCs w:val="20"/>
        </w:rPr>
        <w:t>causes</w:t>
      </w:r>
      <w:r w:rsidR="001F7768" w:rsidRPr="006B6C08">
        <w:rPr>
          <w:sz w:val="20"/>
          <w:szCs w:val="20"/>
        </w:rPr>
        <w:t xml:space="preserve"> growing frustration and despair</w:t>
      </w:r>
      <w:r w:rsidR="00E213C2" w:rsidRPr="006B6C08">
        <w:rPr>
          <w:sz w:val="20"/>
          <w:szCs w:val="20"/>
        </w:rPr>
        <w:t>,</w:t>
      </w:r>
      <w:r w:rsidR="001F7768" w:rsidRPr="006B6C08">
        <w:rPr>
          <w:sz w:val="20"/>
          <w:szCs w:val="20"/>
        </w:rPr>
        <w:t xml:space="preserve"> </w:t>
      </w:r>
      <w:r w:rsidR="00613875" w:rsidRPr="006B6C08">
        <w:rPr>
          <w:sz w:val="20"/>
          <w:szCs w:val="20"/>
        </w:rPr>
        <w:t>with an ongoing</w:t>
      </w:r>
      <w:r w:rsidR="001F7768" w:rsidRPr="006B6C08">
        <w:rPr>
          <w:sz w:val="20"/>
          <w:szCs w:val="20"/>
        </w:rPr>
        <w:t xml:space="preserve"> breakdown in societal ties</w:t>
      </w:r>
      <w:r w:rsidR="00613875" w:rsidRPr="006B6C08">
        <w:rPr>
          <w:sz w:val="20"/>
          <w:szCs w:val="20"/>
        </w:rPr>
        <w:t xml:space="preserve"> accompanied by an increase in</w:t>
      </w:r>
      <w:r w:rsidR="001F7768" w:rsidRPr="006B6C08">
        <w:rPr>
          <w:sz w:val="20"/>
          <w:szCs w:val="20"/>
        </w:rPr>
        <w:t xml:space="preserve"> disease</w:t>
      </w:r>
      <w:r w:rsidR="00C727E2" w:rsidRPr="006B6C08">
        <w:rPr>
          <w:sz w:val="20"/>
          <w:szCs w:val="20"/>
        </w:rPr>
        <w:t>s</w:t>
      </w:r>
      <w:r w:rsidR="001F7768" w:rsidRPr="006B6C08">
        <w:rPr>
          <w:sz w:val="20"/>
          <w:szCs w:val="20"/>
        </w:rPr>
        <w:t>, crime rates, family disputes</w:t>
      </w:r>
      <w:r w:rsidR="00BD5B65" w:rsidRPr="006B6C08">
        <w:rPr>
          <w:sz w:val="20"/>
          <w:szCs w:val="20"/>
        </w:rPr>
        <w:t>, domestic violence</w:t>
      </w:r>
      <w:r w:rsidR="001F7768" w:rsidRPr="006B6C08">
        <w:rPr>
          <w:sz w:val="20"/>
          <w:szCs w:val="20"/>
        </w:rPr>
        <w:t xml:space="preserve"> and cases of self-harm. </w:t>
      </w:r>
      <w:r w:rsidR="007851E7" w:rsidRPr="006B6C08">
        <w:rPr>
          <w:sz w:val="20"/>
          <w:szCs w:val="20"/>
        </w:rPr>
        <w:t xml:space="preserve">The living conditions of people displaced due to the conflict have </w:t>
      </w:r>
      <w:r w:rsidR="006B6289" w:rsidRPr="006B6C08">
        <w:rPr>
          <w:sz w:val="20"/>
          <w:szCs w:val="20"/>
        </w:rPr>
        <w:t xml:space="preserve">also </w:t>
      </w:r>
      <w:r w:rsidR="007851E7" w:rsidRPr="006B6C08">
        <w:rPr>
          <w:sz w:val="20"/>
          <w:szCs w:val="20"/>
        </w:rPr>
        <w:t xml:space="preserve">resulted in an increased risk of violence </w:t>
      </w:r>
      <w:r w:rsidR="00C44738" w:rsidRPr="006B6C08">
        <w:rPr>
          <w:sz w:val="20"/>
          <w:szCs w:val="20"/>
        </w:rPr>
        <w:t xml:space="preserve">against </w:t>
      </w:r>
      <w:r w:rsidR="007851E7" w:rsidRPr="006B6C08">
        <w:rPr>
          <w:sz w:val="20"/>
          <w:szCs w:val="20"/>
        </w:rPr>
        <w:t>women and children.</w:t>
      </w:r>
      <w:r w:rsidR="007851E7" w:rsidRPr="006B6C08">
        <w:rPr>
          <w:sz w:val="20"/>
          <w:szCs w:val="20"/>
          <w:vertAlign w:val="superscript"/>
        </w:rPr>
        <w:footnoteReference w:id="154"/>
      </w:r>
      <w:r w:rsidR="004A6F48" w:rsidRPr="006B6C08">
        <w:rPr>
          <w:sz w:val="20"/>
          <w:szCs w:val="20"/>
        </w:rPr>
        <w:t xml:space="preserve"> </w:t>
      </w:r>
    </w:p>
    <w:p w:rsidR="004B5BF6" w:rsidRPr="006B6C08" w:rsidRDefault="006B6C08" w:rsidP="006B6C08">
      <w:pPr>
        <w:pStyle w:val="SingleTxtG"/>
        <w:outlineLvl w:val="0"/>
        <w:rPr>
          <w:sz w:val="20"/>
          <w:szCs w:val="20"/>
        </w:rPr>
      </w:pPr>
      <w:r w:rsidRPr="006B6C08">
        <w:rPr>
          <w:sz w:val="20"/>
          <w:szCs w:val="20"/>
        </w:rPr>
        <w:t>67.</w:t>
      </w:r>
      <w:r w:rsidRPr="006B6C08">
        <w:rPr>
          <w:sz w:val="20"/>
          <w:szCs w:val="20"/>
        </w:rPr>
        <w:tab/>
      </w:r>
      <w:r w:rsidR="00C727E2" w:rsidRPr="006B6C08">
        <w:rPr>
          <w:rStyle w:val="Strong"/>
          <w:b w:val="0"/>
          <w:color w:val="000000"/>
          <w:sz w:val="20"/>
          <w:szCs w:val="20"/>
          <w:bdr w:val="none" w:sz="0" w:space="0" w:color="auto" w:frame="1"/>
          <w:shd w:val="clear" w:color="auto" w:fill="FFFFFF"/>
        </w:rPr>
        <w:t xml:space="preserve">As of </w:t>
      </w:r>
      <w:r w:rsidR="000B1FD3" w:rsidRPr="006B6C08">
        <w:rPr>
          <w:rStyle w:val="Strong"/>
          <w:b w:val="0"/>
          <w:color w:val="000000"/>
          <w:sz w:val="20"/>
          <w:szCs w:val="20"/>
          <w:bdr w:val="none" w:sz="0" w:space="0" w:color="auto" w:frame="1"/>
          <w:shd w:val="clear" w:color="auto" w:fill="FFFFFF"/>
        </w:rPr>
        <w:t>November 2016,</w:t>
      </w:r>
      <w:r w:rsidR="00C727E2" w:rsidRPr="006B6C08">
        <w:rPr>
          <w:rStyle w:val="Strong"/>
          <w:b w:val="0"/>
          <w:color w:val="000000"/>
          <w:sz w:val="20"/>
          <w:szCs w:val="20"/>
          <w:bdr w:val="none" w:sz="0" w:space="0" w:color="auto" w:frame="1"/>
          <w:shd w:val="clear" w:color="auto" w:fill="FFFFFF"/>
        </w:rPr>
        <w:t xml:space="preserve"> a</w:t>
      </w:r>
      <w:r w:rsidR="001F7768" w:rsidRPr="006B6C08">
        <w:rPr>
          <w:rStyle w:val="Strong"/>
          <w:b w:val="0"/>
          <w:color w:val="000000"/>
          <w:sz w:val="20"/>
          <w:szCs w:val="20"/>
          <w:bdr w:val="none" w:sz="0" w:space="0" w:color="auto" w:frame="1"/>
          <w:shd w:val="clear" w:color="auto" w:fill="FFFFFF"/>
        </w:rPr>
        <w:t xml:space="preserve">ccording to OCHA, 1.3 million people in Gaza </w:t>
      </w:r>
      <w:r w:rsidR="00C727E2" w:rsidRPr="006B6C08">
        <w:rPr>
          <w:rStyle w:val="Strong"/>
          <w:b w:val="0"/>
          <w:color w:val="000000"/>
          <w:sz w:val="20"/>
          <w:szCs w:val="20"/>
          <w:bdr w:val="none" w:sz="0" w:space="0" w:color="auto" w:frame="1"/>
          <w:shd w:val="clear" w:color="auto" w:fill="FFFFFF"/>
        </w:rPr>
        <w:t>we</w:t>
      </w:r>
      <w:r w:rsidR="001F7768" w:rsidRPr="006B6C08">
        <w:rPr>
          <w:rStyle w:val="Strong"/>
          <w:b w:val="0"/>
          <w:color w:val="000000"/>
          <w:sz w:val="20"/>
          <w:szCs w:val="20"/>
          <w:bdr w:val="none" w:sz="0" w:space="0" w:color="auto" w:frame="1"/>
          <w:shd w:val="clear" w:color="auto" w:fill="FFFFFF"/>
        </w:rPr>
        <w:t>re in need of humanitarian assistance.</w:t>
      </w:r>
      <w:r w:rsidR="001F7768" w:rsidRPr="006B6C08">
        <w:rPr>
          <w:rStyle w:val="FootnoteReference"/>
          <w:bCs/>
          <w:color w:val="000000"/>
          <w:sz w:val="20"/>
          <w:szCs w:val="20"/>
          <w:bdr w:val="none" w:sz="0" w:space="0" w:color="auto" w:frame="1"/>
          <w:shd w:val="clear" w:color="auto" w:fill="FFFFFF"/>
        </w:rPr>
        <w:footnoteReference w:id="155"/>
      </w:r>
      <w:r w:rsidR="001F7768" w:rsidRPr="006B6C08">
        <w:rPr>
          <w:rStyle w:val="Strong"/>
          <w:b w:val="0"/>
          <w:color w:val="000000"/>
          <w:sz w:val="20"/>
          <w:szCs w:val="20"/>
          <w:bdr w:val="none" w:sz="0" w:space="0" w:color="auto" w:frame="1"/>
          <w:shd w:val="clear" w:color="auto" w:fill="FFFFFF"/>
        </w:rPr>
        <w:t xml:space="preserve"> However, efforts by humanitarian actors to address the most pressing needs following the 2014 escalation of hostilities, such as housing, </w:t>
      </w:r>
      <w:r w:rsidR="001F7768" w:rsidRPr="006B6C08">
        <w:rPr>
          <w:color w:val="000000"/>
          <w:sz w:val="20"/>
          <w:szCs w:val="20"/>
        </w:rPr>
        <w:t>health, education, and water and sanitation services, have been hampered by restrictions on the import of goods considered by Israel as “dual-use” items</w:t>
      </w:r>
      <w:r w:rsidR="00100562" w:rsidRPr="006B6C08">
        <w:rPr>
          <w:color w:val="000000"/>
          <w:sz w:val="20"/>
          <w:szCs w:val="20"/>
        </w:rPr>
        <w:t>. Those are</w:t>
      </w:r>
      <w:r w:rsidR="0020478B" w:rsidRPr="006B6C08">
        <w:rPr>
          <w:color w:val="000000"/>
          <w:sz w:val="20"/>
          <w:szCs w:val="20"/>
        </w:rPr>
        <w:t xml:space="preserve"> civilian goods that Israel considers as also being of military use, such as construction materials or medical equipment.</w:t>
      </w:r>
      <w:r w:rsidR="00C97E31" w:rsidRPr="006B6C08">
        <w:rPr>
          <w:rStyle w:val="FootnoteReference"/>
          <w:color w:val="000000"/>
          <w:sz w:val="20"/>
          <w:szCs w:val="20"/>
        </w:rPr>
        <w:footnoteReference w:id="156"/>
      </w:r>
      <w:r w:rsidR="001F7768" w:rsidRPr="006B6C08">
        <w:rPr>
          <w:color w:val="000000"/>
          <w:sz w:val="20"/>
          <w:szCs w:val="20"/>
        </w:rPr>
        <w:t xml:space="preserve"> These restrictions </w:t>
      </w:r>
      <w:r w:rsidR="008014E5" w:rsidRPr="006B6C08">
        <w:rPr>
          <w:color w:val="000000"/>
          <w:sz w:val="20"/>
          <w:szCs w:val="20"/>
        </w:rPr>
        <w:t>constitute a violation of</w:t>
      </w:r>
      <w:r w:rsidR="001F7768" w:rsidRPr="006B6C08">
        <w:rPr>
          <w:color w:val="000000"/>
          <w:sz w:val="20"/>
          <w:szCs w:val="20"/>
        </w:rPr>
        <w:t xml:space="preserve"> Israel’s obligation as an occupying power </w:t>
      </w:r>
      <w:r w:rsidR="001F7768" w:rsidRPr="006B6C08">
        <w:rPr>
          <w:sz w:val="20"/>
          <w:szCs w:val="20"/>
        </w:rPr>
        <w:t>to allow and facilitate rapid and unimpeded passage of humanitarian relief for civilians in need.</w:t>
      </w:r>
      <w:r w:rsidR="001F7768" w:rsidRPr="006B6C08">
        <w:rPr>
          <w:rStyle w:val="FootnoteReference"/>
          <w:sz w:val="20"/>
          <w:szCs w:val="20"/>
        </w:rPr>
        <w:footnoteReference w:id="157"/>
      </w:r>
    </w:p>
    <w:p w:rsidR="004B5BF6" w:rsidRPr="006B6C08" w:rsidRDefault="004B5BF6" w:rsidP="004B5BF6">
      <w:pPr>
        <w:pStyle w:val="SingleTxtG"/>
        <w:outlineLvl w:val="0"/>
        <w:rPr>
          <w:b/>
          <w:i/>
          <w:sz w:val="20"/>
          <w:szCs w:val="20"/>
        </w:rPr>
      </w:pPr>
      <w:r w:rsidRPr="006B6C08">
        <w:rPr>
          <w:b/>
          <w:i/>
          <w:sz w:val="20"/>
          <w:szCs w:val="20"/>
        </w:rPr>
        <w:t>Freedom of expression and peaceful assembly</w:t>
      </w:r>
    </w:p>
    <w:p w:rsidR="004B5BF6" w:rsidRPr="006B6C08" w:rsidRDefault="006B6C08" w:rsidP="006B6C08">
      <w:pPr>
        <w:pStyle w:val="SingleTxtG"/>
        <w:outlineLvl w:val="0"/>
        <w:rPr>
          <w:sz w:val="20"/>
          <w:szCs w:val="20"/>
        </w:rPr>
      </w:pPr>
      <w:r w:rsidRPr="006B6C08">
        <w:rPr>
          <w:sz w:val="20"/>
          <w:szCs w:val="20"/>
        </w:rPr>
        <w:t>68.</w:t>
      </w:r>
      <w:r w:rsidRPr="006B6C08">
        <w:rPr>
          <w:sz w:val="20"/>
          <w:szCs w:val="20"/>
        </w:rPr>
        <w:tab/>
      </w:r>
      <w:r w:rsidR="00FF0972" w:rsidRPr="006B6C08">
        <w:rPr>
          <w:sz w:val="20"/>
          <w:szCs w:val="20"/>
        </w:rPr>
        <w:t xml:space="preserve">Significant concerns remain </w:t>
      </w:r>
      <w:r w:rsidR="00E75065" w:rsidRPr="006B6C08">
        <w:rPr>
          <w:sz w:val="20"/>
          <w:szCs w:val="20"/>
        </w:rPr>
        <w:t xml:space="preserve">regarding </w:t>
      </w:r>
      <w:r w:rsidR="00FF0972" w:rsidRPr="006B6C08">
        <w:rPr>
          <w:sz w:val="20"/>
          <w:szCs w:val="20"/>
        </w:rPr>
        <w:t>violation</w:t>
      </w:r>
      <w:r w:rsidR="00C727E2" w:rsidRPr="006B6C08">
        <w:rPr>
          <w:sz w:val="20"/>
          <w:szCs w:val="20"/>
        </w:rPr>
        <w:t>s</w:t>
      </w:r>
      <w:r w:rsidR="00FF0972" w:rsidRPr="006B6C08">
        <w:rPr>
          <w:sz w:val="20"/>
          <w:szCs w:val="20"/>
        </w:rPr>
        <w:t xml:space="preserve"> </w:t>
      </w:r>
      <w:r w:rsidR="00E75065" w:rsidRPr="006B6C08">
        <w:rPr>
          <w:sz w:val="20"/>
          <w:szCs w:val="20"/>
        </w:rPr>
        <w:t xml:space="preserve">and abuses </w:t>
      </w:r>
      <w:r w:rsidR="00C727E2" w:rsidRPr="006B6C08">
        <w:rPr>
          <w:sz w:val="20"/>
          <w:szCs w:val="20"/>
        </w:rPr>
        <w:t xml:space="preserve">by all duty-bearers </w:t>
      </w:r>
      <w:r w:rsidR="00FF0972" w:rsidRPr="006B6C08">
        <w:rPr>
          <w:sz w:val="20"/>
          <w:szCs w:val="20"/>
        </w:rPr>
        <w:t xml:space="preserve">of the rights to freedom of expression, </w:t>
      </w:r>
      <w:r w:rsidR="00C727E2" w:rsidRPr="006B6C08">
        <w:rPr>
          <w:sz w:val="20"/>
          <w:szCs w:val="20"/>
        </w:rPr>
        <w:t xml:space="preserve">peaceful </w:t>
      </w:r>
      <w:r w:rsidR="00FF0972" w:rsidRPr="006B6C08">
        <w:rPr>
          <w:sz w:val="20"/>
          <w:szCs w:val="20"/>
        </w:rPr>
        <w:t xml:space="preserve">assembly and association. </w:t>
      </w:r>
      <w:r w:rsidR="00E213C2" w:rsidRPr="006B6C08">
        <w:rPr>
          <w:sz w:val="20"/>
          <w:szCs w:val="20"/>
        </w:rPr>
        <w:t xml:space="preserve">Israeli and </w:t>
      </w:r>
      <w:r w:rsidR="00E213C2" w:rsidRPr="006B6C08">
        <w:rPr>
          <w:sz w:val="20"/>
          <w:szCs w:val="20"/>
        </w:rPr>
        <w:lastRenderedPageBreak/>
        <w:t xml:space="preserve">Palestinian authorities impose restrictions and subject both </w:t>
      </w:r>
      <w:r w:rsidR="00FF0972" w:rsidRPr="006B6C08">
        <w:rPr>
          <w:sz w:val="20"/>
          <w:szCs w:val="20"/>
        </w:rPr>
        <w:t>Israeli and Palestinian human rights defenders focusing on the</w:t>
      </w:r>
      <w:r w:rsidR="009C1E61" w:rsidRPr="006B6C08">
        <w:rPr>
          <w:sz w:val="20"/>
          <w:szCs w:val="20"/>
        </w:rPr>
        <w:t xml:space="preserve"> </w:t>
      </w:r>
      <w:r w:rsidR="00C747CD" w:rsidRPr="006B6C08">
        <w:rPr>
          <w:sz w:val="20"/>
          <w:szCs w:val="20"/>
        </w:rPr>
        <w:t>Occupied Palestinian Territory</w:t>
      </w:r>
      <w:r w:rsidR="00FF0972" w:rsidRPr="006B6C08">
        <w:rPr>
          <w:sz w:val="20"/>
          <w:szCs w:val="20"/>
        </w:rPr>
        <w:t xml:space="preserve"> </w:t>
      </w:r>
      <w:r w:rsidR="00E213C2" w:rsidRPr="006B6C08">
        <w:rPr>
          <w:sz w:val="20"/>
          <w:szCs w:val="20"/>
        </w:rPr>
        <w:t xml:space="preserve">to </w:t>
      </w:r>
      <w:r w:rsidR="00FF0972" w:rsidRPr="006B6C08">
        <w:rPr>
          <w:sz w:val="20"/>
          <w:szCs w:val="20"/>
        </w:rPr>
        <w:t>pressure and harassment.</w:t>
      </w:r>
      <w:r w:rsidR="00FF0972" w:rsidRPr="006B6C08">
        <w:rPr>
          <w:rStyle w:val="FootnoteReference"/>
          <w:sz w:val="20"/>
          <w:szCs w:val="20"/>
        </w:rPr>
        <w:footnoteReference w:id="158"/>
      </w:r>
      <w:r w:rsidR="00FF0972" w:rsidRPr="006B6C08">
        <w:rPr>
          <w:sz w:val="20"/>
          <w:szCs w:val="20"/>
        </w:rPr>
        <w:t xml:space="preserve"> Palestinian activists are also </w:t>
      </w:r>
      <w:r w:rsidR="00B95F8B" w:rsidRPr="006B6C08">
        <w:rPr>
          <w:sz w:val="20"/>
          <w:szCs w:val="20"/>
        </w:rPr>
        <w:t xml:space="preserve">regularly </w:t>
      </w:r>
      <w:r w:rsidR="00FF0972" w:rsidRPr="006B6C08">
        <w:rPr>
          <w:sz w:val="20"/>
          <w:szCs w:val="20"/>
        </w:rPr>
        <w:t xml:space="preserve">arrested, assaulted and harassed by </w:t>
      </w:r>
      <w:r w:rsidR="00E213C2" w:rsidRPr="006B6C08">
        <w:rPr>
          <w:sz w:val="20"/>
          <w:szCs w:val="20"/>
        </w:rPr>
        <w:t xml:space="preserve">Israeli security forces, </w:t>
      </w:r>
      <w:r w:rsidR="00FF0972" w:rsidRPr="006B6C08">
        <w:rPr>
          <w:sz w:val="20"/>
          <w:szCs w:val="20"/>
        </w:rPr>
        <w:t>in addition to facing physical attacks and harassment from settlers, particularly in Hebron.</w:t>
      </w:r>
      <w:r w:rsidR="00FF0972" w:rsidRPr="006B6C08">
        <w:rPr>
          <w:rStyle w:val="FootnoteReference"/>
          <w:sz w:val="20"/>
          <w:szCs w:val="20"/>
        </w:rPr>
        <w:footnoteReference w:id="159"/>
      </w:r>
      <w:r w:rsidR="00FF0972" w:rsidRPr="006B6C08">
        <w:rPr>
          <w:sz w:val="20"/>
          <w:szCs w:val="20"/>
        </w:rPr>
        <w:t xml:space="preserve"> Israeli human rights organizations</w:t>
      </w:r>
      <w:r w:rsidR="00712A97" w:rsidRPr="006B6C08">
        <w:rPr>
          <w:sz w:val="20"/>
          <w:szCs w:val="20"/>
        </w:rPr>
        <w:t xml:space="preserve"> advocating for Palestinians’</w:t>
      </w:r>
      <w:r w:rsidR="001D750E" w:rsidRPr="006B6C08">
        <w:rPr>
          <w:sz w:val="20"/>
          <w:szCs w:val="20"/>
        </w:rPr>
        <w:t xml:space="preserve"> human rights</w:t>
      </w:r>
      <w:r w:rsidR="00712A97" w:rsidRPr="006B6C08">
        <w:rPr>
          <w:sz w:val="20"/>
          <w:szCs w:val="20"/>
        </w:rPr>
        <w:t xml:space="preserve"> </w:t>
      </w:r>
      <w:r w:rsidR="00E213C2" w:rsidRPr="006B6C08">
        <w:rPr>
          <w:sz w:val="20"/>
          <w:szCs w:val="20"/>
        </w:rPr>
        <w:t>have come under attack from</w:t>
      </w:r>
      <w:r w:rsidR="00B95F8B" w:rsidRPr="006B6C08">
        <w:rPr>
          <w:sz w:val="20"/>
          <w:szCs w:val="20"/>
        </w:rPr>
        <w:t xml:space="preserve"> </w:t>
      </w:r>
      <w:r w:rsidR="00FF0972" w:rsidRPr="006B6C08">
        <w:rPr>
          <w:sz w:val="20"/>
          <w:szCs w:val="20"/>
        </w:rPr>
        <w:t xml:space="preserve">Israeli politicians, </w:t>
      </w:r>
      <w:r w:rsidR="00E213C2" w:rsidRPr="006B6C08">
        <w:rPr>
          <w:sz w:val="20"/>
          <w:szCs w:val="20"/>
        </w:rPr>
        <w:t xml:space="preserve">whose statements </w:t>
      </w:r>
      <w:r w:rsidR="00FF0972" w:rsidRPr="006B6C08">
        <w:rPr>
          <w:sz w:val="20"/>
          <w:szCs w:val="20"/>
        </w:rPr>
        <w:t>may amount to incitement to violence.</w:t>
      </w:r>
      <w:r w:rsidR="00FF0972" w:rsidRPr="006B6C08">
        <w:rPr>
          <w:rStyle w:val="FootnoteReference"/>
          <w:sz w:val="20"/>
          <w:szCs w:val="20"/>
        </w:rPr>
        <w:footnoteReference w:id="160"/>
      </w:r>
      <w:r w:rsidR="00712A97" w:rsidRPr="006B6C08">
        <w:rPr>
          <w:sz w:val="20"/>
          <w:szCs w:val="20"/>
        </w:rPr>
        <w:t xml:space="preserve"> Of additional concern is the recent growing intimidation against NGOs that have been calling for the use of foreign jurisdictions and international justice mechanisms to ensure accountability for Israeli violations.</w:t>
      </w:r>
      <w:r w:rsidR="00712A97" w:rsidRPr="006B6C08">
        <w:rPr>
          <w:rStyle w:val="FootnoteReference"/>
          <w:sz w:val="20"/>
          <w:szCs w:val="20"/>
        </w:rPr>
        <w:footnoteReference w:id="161"/>
      </w:r>
    </w:p>
    <w:p w:rsidR="004B5BF6" w:rsidRPr="006B6C08" w:rsidRDefault="006B6C08" w:rsidP="006B6C08">
      <w:pPr>
        <w:pStyle w:val="SingleTxtG"/>
        <w:outlineLvl w:val="0"/>
        <w:rPr>
          <w:sz w:val="20"/>
          <w:szCs w:val="20"/>
        </w:rPr>
      </w:pPr>
      <w:r w:rsidRPr="006B6C08">
        <w:rPr>
          <w:sz w:val="20"/>
          <w:szCs w:val="20"/>
        </w:rPr>
        <w:t>69.</w:t>
      </w:r>
      <w:r w:rsidRPr="006B6C08">
        <w:rPr>
          <w:sz w:val="20"/>
          <w:szCs w:val="20"/>
        </w:rPr>
        <w:tab/>
      </w:r>
      <w:r w:rsidR="00FF0972" w:rsidRPr="006B6C08">
        <w:rPr>
          <w:sz w:val="20"/>
          <w:szCs w:val="20"/>
        </w:rPr>
        <w:t>In the</w:t>
      </w:r>
      <w:r w:rsidR="00616ED8" w:rsidRPr="006B6C08">
        <w:rPr>
          <w:sz w:val="20"/>
          <w:szCs w:val="20"/>
        </w:rPr>
        <w:t xml:space="preserve"> </w:t>
      </w:r>
      <w:r w:rsidR="00C747CD" w:rsidRPr="006B6C08">
        <w:rPr>
          <w:sz w:val="20"/>
          <w:szCs w:val="20"/>
        </w:rPr>
        <w:t>Occupied Palestinian Territory</w:t>
      </w:r>
      <w:r w:rsidR="00FF0972" w:rsidRPr="006B6C08">
        <w:rPr>
          <w:sz w:val="20"/>
          <w:szCs w:val="20"/>
        </w:rPr>
        <w:t xml:space="preserve">, political </w:t>
      </w:r>
      <w:r w:rsidR="00616ED8" w:rsidRPr="006B6C08">
        <w:rPr>
          <w:sz w:val="20"/>
          <w:szCs w:val="20"/>
        </w:rPr>
        <w:t xml:space="preserve">tensions often lead to </w:t>
      </w:r>
      <w:r w:rsidR="00FF0972" w:rsidRPr="006B6C08">
        <w:rPr>
          <w:sz w:val="20"/>
          <w:szCs w:val="20"/>
        </w:rPr>
        <w:t>human right</w:t>
      </w:r>
      <w:r w:rsidR="00616ED8" w:rsidRPr="006B6C08">
        <w:rPr>
          <w:sz w:val="20"/>
          <w:szCs w:val="20"/>
        </w:rPr>
        <w:t>s</w:t>
      </w:r>
      <w:r w:rsidR="00FF0972" w:rsidRPr="006B6C08">
        <w:rPr>
          <w:sz w:val="20"/>
          <w:szCs w:val="20"/>
        </w:rPr>
        <w:t xml:space="preserve"> abuses, with restrictions </w:t>
      </w:r>
      <w:r w:rsidR="00616ED8" w:rsidRPr="006B6C08">
        <w:rPr>
          <w:sz w:val="20"/>
          <w:szCs w:val="20"/>
        </w:rPr>
        <w:t>o</w:t>
      </w:r>
      <w:r w:rsidR="00FF0972" w:rsidRPr="006B6C08">
        <w:rPr>
          <w:sz w:val="20"/>
          <w:szCs w:val="20"/>
        </w:rPr>
        <w:t xml:space="preserve">n freedom of expression and </w:t>
      </w:r>
      <w:r w:rsidR="001E5935" w:rsidRPr="006B6C08">
        <w:rPr>
          <w:sz w:val="20"/>
          <w:szCs w:val="20"/>
        </w:rPr>
        <w:t xml:space="preserve">peaceful </w:t>
      </w:r>
      <w:r w:rsidR="00FF0972" w:rsidRPr="006B6C08">
        <w:rPr>
          <w:sz w:val="20"/>
          <w:szCs w:val="20"/>
        </w:rPr>
        <w:t>assembly, in addition to the targeting of political opponents through harassment, threats, arbitrary arrests, assaults, ill-treatment and torture. OHCHR</w:t>
      </w:r>
      <w:r w:rsidR="008014E5" w:rsidRPr="006B6C08">
        <w:rPr>
          <w:sz w:val="20"/>
          <w:szCs w:val="20"/>
        </w:rPr>
        <w:t xml:space="preserve"> regularly</w:t>
      </w:r>
      <w:r w:rsidR="00FF0972" w:rsidRPr="006B6C08">
        <w:rPr>
          <w:sz w:val="20"/>
          <w:szCs w:val="20"/>
        </w:rPr>
        <w:t xml:space="preserve"> receives reports of </w:t>
      </w:r>
      <w:r w:rsidR="00616ED8" w:rsidRPr="006B6C08">
        <w:rPr>
          <w:sz w:val="20"/>
          <w:szCs w:val="20"/>
        </w:rPr>
        <w:t xml:space="preserve">human rights </w:t>
      </w:r>
      <w:r w:rsidR="00FF0972" w:rsidRPr="006B6C08">
        <w:rPr>
          <w:sz w:val="20"/>
          <w:szCs w:val="20"/>
        </w:rPr>
        <w:t>violations</w:t>
      </w:r>
      <w:r w:rsidR="00616ED8" w:rsidRPr="006B6C08">
        <w:rPr>
          <w:sz w:val="20"/>
          <w:szCs w:val="20"/>
        </w:rPr>
        <w:t xml:space="preserve"> perpetrated</w:t>
      </w:r>
      <w:r w:rsidR="00FF0972" w:rsidRPr="006B6C08">
        <w:rPr>
          <w:sz w:val="20"/>
          <w:szCs w:val="20"/>
        </w:rPr>
        <w:t xml:space="preserve"> by the Palestinian Security Forces and the authorities in Gaza, particularly against individuals and groups critical of the authorities.</w:t>
      </w:r>
      <w:r w:rsidR="00FF0972" w:rsidRPr="006B6C08">
        <w:rPr>
          <w:rStyle w:val="FootnoteReference"/>
          <w:sz w:val="20"/>
          <w:szCs w:val="20"/>
        </w:rPr>
        <w:footnoteReference w:id="162"/>
      </w:r>
    </w:p>
    <w:p w:rsidR="004B5BF6" w:rsidRPr="006B6C08" w:rsidRDefault="006B6C08" w:rsidP="006B6C08">
      <w:pPr>
        <w:pStyle w:val="SingleTxtG"/>
        <w:outlineLvl w:val="0"/>
        <w:rPr>
          <w:sz w:val="20"/>
          <w:szCs w:val="20"/>
        </w:rPr>
      </w:pPr>
      <w:r w:rsidRPr="006B6C08">
        <w:rPr>
          <w:sz w:val="20"/>
          <w:szCs w:val="20"/>
        </w:rPr>
        <w:t>70.</w:t>
      </w:r>
      <w:r w:rsidRPr="006B6C08">
        <w:rPr>
          <w:sz w:val="20"/>
          <w:szCs w:val="20"/>
        </w:rPr>
        <w:tab/>
      </w:r>
      <w:r w:rsidR="00FF0972" w:rsidRPr="006B6C08">
        <w:rPr>
          <w:sz w:val="20"/>
          <w:szCs w:val="20"/>
        </w:rPr>
        <w:t>Throughout the</w:t>
      </w:r>
      <w:r w:rsidR="00616ED8" w:rsidRPr="006B6C08">
        <w:rPr>
          <w:sz w:val="20"/>
          <w:szCs w:val="20"/>
        </w:rPr>
        <w:t xml:space="preserve"> </w:t>
      </w:r>
      <w:r w:rsidR="00C747CD" w:rsidRPr="006B6C08">
        <w:rPr>
          <w:sz w:val="20"/>
          <w:szCs w:val="20"/>
        </w:rPr>
        <w:t>Occupied Palestinian Territory</w:t>
      </w:r>
      <w:r w:rsidR="00FF0972" w:rsidRPr="006B6C08">
        <w:rPr>
          <w:sz w:val="20"/>
          <w:szCs w:val="20"/>
        </w:rPr>
        <w:t xml:space="preserve">, social media is monitored, and </w:t>
      </w:r>
      <w:r w:rsidR="00FF0972" w:rsidRPr="006B6C08">
        <w:rPr>
          <w:color w:val="000000"/>
          <w:sz w:val="20"/>
          <w:szCs w:val="20"/>
        </w:rPr>
        <w:t>journalists and activists are harassed, arrested, detained and</w:t>
      </w:r>
      <w:r w:rsidR="001E5935" w:rsidRPr="006B6C08">
        <w:rPr>
          <w:color w:val="000000"/>
          <w:sz w:val="20"/>
          <w:szCs w:val="20"/>
        </w:rPr>
        <w:t>,</w:t>
      </w:r>
      <w:r w:rsidR="00FF0972" w:rsidRPr="006B6C08">
        <w:rPr>
          <w:color w:val="000000"/>
          <w:sz w:val="20"/>
          <w:szCs w:val="20"/>
        </w:rPr>
        <w:t xml:space="preserve"> in some cases, subject</w:t>
      </w:r>
      <w:r w:rsidR="001E5935" w:rsidRPr="006B6C08">
        <w:rPr>
          <w:color w:val="000000"/>
          <w:sz w:val="20"/>
          <w:szCs w:val="20"/>
        </w:rPr>
        <w:t>ed</w:t>
      </w:r>
      <w:r w:rsidR="00FF0972" w:rsidRPr="006B6C08">
        <w:rPr>
          <w:color w:val="000000"/>
          <w:sz w:val="20"/>
          <w:szCs w:val="20"/>
        </w:rPr>
        <w:t xml:space="preserve"> to ill-treatment or torture.</w:t>
      </w:r>
      <w:r w:rsidR="00FF0972" w:rsidRPr="006B6C08">
        <w:rPr>
          <w:rStyle w:val="FootnoteReference"/>
          <w:sz w:val="20"/>
          <w:szCs w:val="20"/>
        </w:rPr>
        <w:footnoteReference w:id="163"/>
      </w:r>
      <w:r w:rsidR="00FF0972" w:rsidRPr="006B6C08">
        <w:rPr>
          <w:sz w:val="20"/>
          <w:szCs w:val="20"/>
        </w:rPr>
        <w:t xml:space="preserve"> Authorities in both the West Bank and Gaza have also </w:t>
      </w:r>
      <w:r w:rsidR="001B006E" w:rsidRPr="006B6C08">
        <w:rPr>
          <w:sz w:val="20"/>
          <w:szCs w:val="20"/>
        </w:rPr>
        <w:t xml:space="preserve">restricted </w:t>
      </w:r>
      <w:r w:rsidR="00FF0972" w:rsidRPr="006B6C08">
        <w:rPr>
          <w:sz w:val="20"/>
          <w:szCs w:val="20"/>
        </w:rPr>
        <w:t>peaceful assemblies. These practices denote the rise of a repressive environment and promote self-censorship among the Palestinian population.</w:t>
      </w:r>
    </w:p>
    <w:p w:rsidR="00FF0972" w:rsidRPr="006B6C08" w:rsidRDefault="006B6C08" w:rsidP="006B6C08">
      <w:pPr>
        <w:pStyle w:val="SingleTxtG"/>
        <w:outlineLvl w:val="0"/>
        <w:rPr>
          <w:sz w:val="20"/>
          <w:szCs w:val="20"/>
        </w:rPr>
      </w:pPr>
      <w:r w:rsidRPr="006B6C08">
        <w:rPr>
          <w:sz w:val="20"/>
          <w:szCs w:val="20"/>
        </w:rPr>
        <w:t>71.</w:t>
      </w:r>
      <w:r w:rsidRPr="006B6C08">
        <w:rPr>
          <w:sz w:val="20"/>
          <w:szCs w:val="20"/>
        </w:rPr>
        <w:tab/>
      </w:r>
      <w:r w:rsidR="00EB537A" w:rsidRPr="006B6C08">
        <w:rPr>
          <w:sz w:val="20"/>
          <w:szCs w:val="20"/>
        </w:rPr>
        <w:t>I</w:t>
      </w:r>
      <w:r w:rsidR="00F47FC6" w:rsidRPr="006B6C08">
        <w:rPr>
          <w:sz w:val="20"/>
          <w:szCs w:val="20"/>
        </w:rPr>
        <w:t>nternational human rights law</w:t>
      </w:r>
      <w:r w:rsidR="00FF0972" w:rsidRPr="006B6C08">
        <w:rPr>
          <w:sz w:val="20"/>
          <w:szCs w:val="20"/>
        </w:rPr>
        <w:t xml:space="preserve"> guarantees freedom</w:t>
      </w:r>
      <w:r w:rsidR="001E5935" w:rsidRPr="006B6C08">
        <w:rPr>
          <w:sz w:val="20"/>
          <w:szCs w:val="20"/>
        </w:rPr>
        <w:t>s</w:t>
      </w:r>
      <w:r w:rsidR="00FF0972" w:rsidRPr="006B6C08">
        <w:rPr>
          <w:sz w:val="20"/>
          <w:szCs w:val="20"/>
        </w:rPr>
        <w:t xml:space="preserve"> of expression, association and </w:t>
      </w:r>
      <w:r w:rsidR="001E5935" w:rsidRPr="006B6C08">
        <w:rPr>
          <w:sz w:val="20"/>
          <w:szCs w:val="20"/>
        </w:rPr>
        <w:t xml:space="preserve">peaceful </w:t>
      </w:r>
      <w:r w:rsidR="00FF0972" w:rsidRPr="006B6C08">
        <w:rPr>
          <w:sz w:val="20"/>
          <w:szCs w:val="20"/>
        </w:rPr>
        <w:t>assembly.</w:t>
      </w:r>
      <w:r w:rsidR="00FF0972" w:rsidRPr="006B6C08">
        <w:rPr>
          <w:rStyle w:val="FootnoteReference"/>
          <w:sz w:val="20"/>
          <w:szCs w:val="20"/>
        </w:rPr>
        <w:footnoteReference w:id="164"/>
      </w:r>
      <w:r w:rsidR="00FF0972" w:rsidRPr="006B6C08">
        <w:rPr>
          <w:sz w:val="20"/>
          <w:szCs w:val="20"/>
        </w:rPr>
        <w:t xml:space="preserve">Although restrictions </w:t>
      </w:r>
      <w:r w:rsidR="00616ED8" w:rsidRPr="006B6C08">
        <w:rPr>
          <w:sz w:val="20"/>
          <w:szCs w:val="20"/>
        </w:rPr>
        <w:t>on</w:t>
      </w:r>
      <w:r w:rsidR="00FF0972" w:rsidRPr="006B6C08">
        <w:rPr>
          <w:sz w:val="20"/>
          <w:szCs w:val="20"/>
        </w:rPr>
        <w:t xml:space="preserve"> the exercise of these rights are </w:t>
      </w:r>
      <w:r w:rsidR="00616ED8" w:rsidRPr="006B6C08">
        <w:rPr>
          <w:sz w:val="20"/>
          <w:szCs w:val="20"/>
        </w:rPr>
        <w:t>permitted</w:t>
      </w:r>
      <w:r w:rsidR="00FF0972" w:rsidRPr="006B6C08">
        <w:rPr>
          <w:sz w:val="20"/>
          <w:szCs w:val="20"/>
        </w:rPr>
        <w:t xml:space="preserve">, </w:t>
      </w:r>
      <w:r w:rsidR="00616ED8" w:rsidRPr="006B6C08">
        <w:rPr>
          <w:sz w:val="20"/>
          <w:szCs w:val="20"/>
        </w:rPr>
        <w:t>these must be</w:t>
      </w:r>
      <w:r w:rsidR="00FF0972" w:rsidRPr="006B6C08">
        <w:rPr>
          <w:sz w:val="20"/>
          <w:szCs w:val="20"/>
        </w:rPr>
        <w:t xml:space="preserve"> provided by law, and have to be necessary for the protection of the rights and freedoms of others</w:t>
      </w:r>
      <w:r w:rsidR="001E5935" w:rsidRPr="006B6C08">
        <w:rPr>
          <w:sz w:val="20"/>
          <w:szCs w:val="20"/>
        </w:rPr>
        <w:t>,</w:t>
      </w:r>
      <w:r w:rsidR="00FF0972" w:rsidRPr="006B6C08">
        <w:rPr>
          <w:sz w:val="20"/>
          <w:szCs w:val="20"/>
        </w:rPr>
        <w:t xml:space="preserve"> and for the protection of national security and order.</w:t>
      </w:r>
    </w:p>
    <w:p w:rsidR="00FF0972" w:rsidRPr="006B6C08" w:rsidRDefault="00D9296A" w:rsidP="00C747CD">
      <w:pPr>
        <w:pStyle w:val="HChG"/>
        <w:outlineLvl w:val="0"/>
      </w:pPr>
      <w:r w:rsidRPr="006B6C08">
        <w:tab/>
        <w:t>IV.</w:t>
      </w:r>
      <w:r w:rsidRPr="006B6C08">
        <w:tab/>
      </w:r>
      <w:r w:rsidR="00FF0972" w:rsidRPr="006B6C08">
        <w:t>Conclusion</w:t>
      </w:r>
    </w:p>
    <w:p w:rsidR="00351530" w:rsidRPr="006B6C08" w:rsidRDefault="006B6C08" w:rsidP="006B6C08">
      <w:pPr>
        <w:pStyle w:val="SingleTxtG"/>
        <w:outlineLvl w:val="0"/>
        <w:rPr>
          <w:b/>
          <w:sz w:val="20"/>
          <w:szCs w:val="20"/>
        </w:rPr>
      </w:pPr>
      <w:r w:rsidRPr="006B6C08">
        <w:rPr>
          <w:sz w:val="20"/>
          <w:szCs w:val="20"/>
        </w:rPr>
        <w:t>72.</w:t>
      </w:r>
      <w:r w:rsidRPr="006B6C08">
        <w:rPr>
          <w:sz w:val="20"/>
          <w:szCs w:val="20"/>
        </w:rPr>
        <w:tab/>
      </w:r>
      <w:r w:rsidR="00351530" w:rsidRPr="006B6C08">
        <w:rPr>
          <w:b/>
          <w:sz w:val="20"/>
          <w:szCs w:val="20"/>
        </w:rPr>
        <w:t>Chronic violations of international human rights law and international humanitarian law by all parties have persisted. Violations by Israel of fundamental provisions of the law of occupation continued, particularly with the</w:t>
      </w:r>
      <w:r w:rsidR="005400D6" w:rsidRPr="006B6C08">
        <w:rPr>
          <w:b/>
          <w:sz w:val="20"/>
          <w:szCs w:val="20"/>
        </w:rPr>
        <w:t xml:space="preserve"> closures</w:t>
      </w:r>
      <w:r w:rsidR="00351530" w:rsidRPr="006B6C08">
        <w:rPr>
          <w:b/>
          <w:sz w:val="20"/>
          <w:szCs w:val="20"/>
        </w:rPr>
        <w:t xml:space="preserve"> </w:t>
      </w:r>
      <w:r w:rsidR="005400D6" w:rsidRPr="006B6C08">
        <w:rPr>
          <w:b/>
          <w:sz w:val="20"/>
          <w:szCs w:val="20"/>
        </w:rPr>
        <w:t>in</w:t>
      </w:r>
      <w:r w:rsidR="00351530" w:rsidRPr="006B6C08">
        <w:rPr>
          <w:b/>
          <w:sz w:val="20"/>
          <w:szCs w:val="20"/>
        </w:rPr>
        <w:t xml:space="preserve"> Gaza and the consolidation and expansion of settlements, suggesting clear patterns and policies. The transfer of parts of the Israeli and the Palestinian populations, and the lack of respect for public and private property, profoundly alter the status quo in the Occupied Palestinian Territory.</w:t>
      </w:r>
    </w:p>
    <w:p w:rsidR="00FC3BC0" w:rsidRPr="006B6C08" w:rsidRDefault="006B6C08" w:rsidP="006B6C08">
      <w:pPr>
        <w:pStyle w:val="SingleTxtG"/>
        <w:outlineLvl w:val="0"/>
        <w:rPr>
          <w:b/>
          <w:sz w:val="20"/>
          <w:szCs w:val="20"/>
        </w:rPr>
      </w:pPr>
      <w:r w:rsidRPr="006B6C08">
        <w:rPr>
          <w:sz w:val="20"/>
          <w:szCs w:val="20"/>
        </w:rPr>
        <w:t>73.</w:t>
      </w:r>
      <w:r w:rsidRPr="006B6C08">
        <w:rPr>
          <w:sz w:val="20"/>
          <w:szCs w:val="20"/>
        </w:rPr>
        <w:tab/>
      </w:r>
      <w:r w:rsidR="00FF0972" w:rsidRPr="006B6C08" w:rsidDel="001E5935">
        <w:rPr>
          <w:b/>
          <w:sz w:val="20"/>
          <w:szCs w:val="20"/>
        </w:rPr>
        <w:t xml:space="preserve">The </w:t>
      </w:r>
      <w:r w:rsidR="005057C3" w:rsidRPr="006B6C08" w:rsidDel="001E5935">
        <w:rPr>
          <w:b/>
          <w:sz w:val="20"/>
          <w:szCs w:val="20"/>
        </w:rPr>
        <w:t xml:space="preserve">absence </w:t>
      </w:r>
      <w:r w:rsidR="00FF0972" w:rsidRPr="006B6C08" w:rsidDel="001E5935">
        <w:rPr>
          <w:b/>
          <w:sz w:val="20"/>
          <w:szCs w:val="20"/>
        </w:rPr>
        <w:t>of</w:t>
      </w:r>
      <w:r w:rsidR="00C87227" w:rsidRPr="006B6C08" w:rsidDel="001E5935">
        <w:rPr>
          <w:b/>
          <w:sz w:val="20"/>
          <w:szCs w:val="20"/>
        </w:rPr>
        <w:t xml:space="preserve"> law enforcement</w:t>
      </w:r>
      <w:r w:rsidR="00FF0972" w:rsidRPr="006B6C08" w:rsidDel="001E5935">
        <w:rPr>
          <w:b/>
          <w:sz w:val="20"/>
          <w:szCs w:val="20"/>
        </w:rPr>
        <w:t xml:space="preserve"> </w:t>
      </w:r>
      <w:r w:rsidR="00AB5D4F" w:rsidRPr="006B6C08">
        <w:rPr>
          <w:b/>
          <w:sz w:val="20"/>
          <w:szCs w:val="20"/>
        </w:rPr>
        <w:t xml:space="preserve">and accountability </w:t>
      </w:r>
      <w:r w:rsidR="00C87227" w:rsidRPr="006B6C08" w:rsidDel="001E5935">
        <w:rPr>
          <w:b/>
          <w:sz w:val="20"/>
          <w:szCs w:val="20"/>
        </w:rPr>
        <w:t xml:space="preserve">against Israeli perpetrators </w:t>
      </w:r>
      <w:r w:rsidR="00FF0972" w:rsidRPr="006B6C08" w:rsidDel="001E5935">
        <w:rPr>
          <w:b/>
          <w:sz w:val="20"/>
          <w:szCs w:val="20"/>
        </w:rPr>
        <w:t>further contravenes Israel’s obligation as an occupying power to ensure public order and safety, and to protect the Palestinian population in all circumstances</w:t>
      </w:r>
      <w:r w:rsidR="005057C3" w:rsidRPr="006B6C08" w:rsidDel="001E5935">
        <w:rPr>
          <w:b/>
          <w:sz w:val="20"/>
          <w:szCs w:val="20"/>
        </w:rPr>
        <w:t xml:space="preserve">. </w:t>
      </w:r>
      <w:r w:rsidR="00AB5D4F" w:rsidRPr="006B6C08">
        <w:rPr>
          <w:b/>
          <w:sz w:val="20"/>
          <w:szCs w:val="20"/>
        </w:rPr>
        <w:t>Moreover, t</w:t>
      </w:r>
      <w:r w:rsidR="00FF0972" w:rsidRPr="006B6C08">
        <w:rPr>
          <w:b/>
          <w:sz w:val="20"/>
          <w:szCs w:val="20"/>
        </w:rPr>
        <w:t xml:space="preserve">he application of Israeli national law to </w:t>
      </w:r>
      <w:r w:rsidR="005057C3" w:rsidRPr="006B6C08">
        <w:rPr>
          <w:b/>
          <w:sz w:val="20"/>
          <w:szCs w:val="20"/>
        </w:rPr>
        <w:t xml:space="preserve">Israelis in </w:t>
      </w:r>
      <w:r w:rsidR="00FF0972" w:rsidRPr="006B6C08">
        <w:rPr>
          <w:b/>
          <w:sz w:val="20"/>
          <w:szCs w:val="20"/>
        </w:rPr>
        <w:t xml:space="preserve">the West </w:t>
      </w:r>
      <w:proofErr w:type="gramStart"/>
      <w:r w:rsidR="00FF0972" w:rsidRPr="006B6C08">
        <w:rPr>
          <w:b/>
          <w:sz w:val="20"/>
          <w:szCs w:val="20"/>
        </w:rPr>
        <w:t xml:space="preserve">Bank </w:t>
      </w:r>
      <w:r w:rsidR="00B87EEE" w:rsidRPr="006B6C08">
        <w:rPr>
          <w:b/>
          <w:sz w:val="20"/>
          <w:szCs w:val="20"/>
        </w:rPr>
        <w:t xml:space="preserve"> raises</w:t>
      </w:r>
      <w:proofErr w:type="gramEnd"/>
      <w:r w:rsidR="00B87EEE" w:rsidRPr="006B6C08">
        <w:rPr>
          <w:b/>
          <w:sz w:val="20"/>
          <w:szCs w:val="20"/>
        </w:rPr>
        <w:t xml:space="preserve"> concerns under </w:t>
      </w:r>
      <w:r w:rsidR="005057C3" w:rsidRPr="006B6C08">
        <w:rPr>
          <w:b/>
          <w:sz w:val="20"/>
          <w:szCs w:val="20"/>
        </w:rPr>
        <w:t>international law</w:t>
      </w:r>
      <w:r w:rsidR="00CF6F13" w:rsidRPr="006B6C08">
        <w:rPr>
          <w:b/>
          <w:sz w:val="20"/>
          <w:szCs w:val="20"/>
        </w:rPr>
        <w:t xml:space="preserve">. </w:t>
      </w:r>
    </w:p>
    <w:p w:rsidR="00FC3BC0" w:rsidRPr="006B6C08" w:rsidRDefault="006B6C08" w:rsidP="006B6C08">
      <w:pPr>
        <w:pStyle w:val="SingleTxtG"/>
        <w:outlineLvl w:val="0"/>
        <w:rPr>
          <w:rFonts w:eastAsia="Calibri"/>
          <w:b/>
          <w:sz w:val="20"/>
          <w:szCs w:val="20"/>
        </w:rPr>
      </w:pPr>
      <w:r w:rsidRPr="006B6C08">
        <w:rPr>
          <w:rFonts w:eastAsia="Calibri"/>
          <w:sz w:val="20"/>
          <w:szCs w:val="20"/>
        </w:rPr>
        <w:lastRenderedPageBreak/>
        <w:t>74.</w:t>
      </w:r>
      <w:r w:rsidRPr="006B6C08">
        <w:rPr>
          <w:rFonts w:eastAsia="Calibri"/>
          <w:sz w:val="20"/>
          <w:szCs w:val="20"/>
        </w:rPr>
        <w:tab/>
      </w:r>
      <w:r w:rsidR="00F43DF5" w:rsidRPr="006B6C08">
        <w:rPr>
          <w:b/>
          <w:sz w:val="20"/>
          <w:szCs w:val="20"/>
        </w:rPr>
        <w:t>In 2013,</w:t>
      </w:r>
      <w:r w:rsidR="00351530" w:rsidRPr="006B6C08">
        <w:rPr>
          <w:b/>
          <w:sz w:val="20"/>
          <w:szCs w:val="20"/>
        </w:rPr>
        <w:t xml:space="preserve"> </w:t>
      </w:r>
      <w:r w:rsidR="00FF0972" w:rsidRPr="006B6C08">
        <w:rPr>
          <w:b/>
          <w:sz w:val="20"/>
          <w:szCs w:val="20"/>
        </w:rPr>
        <w:t>experts denounced the “creeping annexation” of the West Bank,</w:t>
      </w:r>
      <w:r w:rsidR="00F43DF5" w:rsidRPr="006B6C08">
        <w:rPr>
          <w:b/>
          <w:sz w:val="20"/>
          <w:szCs w:val="20"/>
        </w:rPr>
        <w:t xml:space="preserve"> </w:t>
      </w:r>
      <w:r w:rsidR="00FF0972" w:rsidRPr="006B6C08">
        <w:rPr>
          <w:b/>
          <w:sz w:val="20"/>
          <w:szCs w:val="20"/>
        </w:rPr>
        <w:t>prevent</w:t>
      </w:r>
      <w:r w:rsidR="0018731B" w:rsidRPr="006B6C08">
        <w:rPr>
          <w:b/>
          <w:sz w:val="20"/>
          <w:szCs w:val="20"/>
        </w:rPr>
        <w:t>ing</w:t>
      </w:r>
      <w:r w:rsidR="00FF0972" w:rsidRPr="006B6C08">
        <w:rPr>
          <w:b/>
          <w:sz w:val="20"/>
          <w:szCs w:val="20"/>
        </w:rPr>
        <w:t xml:space="preserve"> the establishment of a contiguous and viable Palestinian State</w:t>
      </w:r>
      <w:r w:rsidR="006F7CAA" w:rsidRPr="006B6C08">
        <w:rPr>
          <w:b/>
          <w:sz w:val="20"/>
          <w:szCs w:val="20"/>
        </w:rPr>
        <w:t>,</w:t>
      </w:r>
      <w:r w:rsidR="00FF0972" w:rsidRPr="006B6C08">
        <w:rPr>
          <w:b/>
          <w:sz w:val="20"/>
          <w:szCs w:val="20"/>
        </w:rPr>
        <w:t xml:space="preserve"> </w:t>
      </w:r>
      <w:r w:rsidR="001E5935" w:rsidRPr="006B6C08">
        <w:rPr>
          <w:b/>
          <w:sz w:val="20"/>
          <w:szCs w:val="20"/>
        </w:rPr>
        <w:t>and</w:t>
      </w:r>
      <w:r w:rsidR="006F7CAA" w:rsidRPr="006B6C08">
        <w:rPr>
          <w:b/>
          <w:sz w:val="20"/>
          <w:szCs w:val="20"/>
        </w:rPr>
        <w:t xml:space="preserve"> </w:t>
      </w:r>
      <w:r w:rsidR="00FF0972" w:rsidRPr="006B6C08">
        <w:rPr>
          <w:b/>
          <w:sz w:val="20"/>
          <w:szCs w:val="20"/>
        </w:rPr>
        <w:t>undermin</w:t>
      </w:r>
      <w:r w:rsidR="0018731B" w:rsidRPr="006B6C08">
        <w:rPr>
          <w:b/>
          <w:sz w:val="20"/>
          <w:szCs w:val="20"/>
        </w:rPr>
        <w:t>ing</w:t>
      </w:r>
      <w:r w:rsidR="00FF0972" w:rsidRPr="006B6C08">
        <w:rPr>
          <w:b/>
          <w:sz w:val="20"/>
          <w:szCs w:val="20"/>
        </w:rPr>
        <w:t xml:space="preserve"> the right of the Palestinian people to self-determination</w:t>
      </w:r>
      <w:r w:rsidR="0018731B" w:rsidRPr="006B6C08">
        <w:rPr>
          <w:b/>
          <w:sz w:val="20"/>
          <w:szCs w:val="20"/>
        </w:rPr>
        <w:t>.</w:t>
      </w:r>
      <w:r w:rsidR="00FF0972" w:rsidRPr="006B6C08">
        <w:rPr>
          <w:rStyle w:val="FootnoteReference"/>
          <w:b/>
          <w:sz w:val="20"/>
          <w:szCs w:val="20"/>
        </w:rPr>
        <w:footnoteReference w:id="165"/>
      </w:r>
      <w:r w:rsidR="00FF0972" w:rsidRPr="006B6C08">
        <w:rPr>
          <w:b/>
          <w:sz w:val="20"/>
          <w:szCs w:val="20"/>
        </w:rPr>
        <w:t xml:space="preserve"> </w:t>
      </w:r>
      <w:r w:rsidR="000E088C" w:rsidRPr="006B6C08">
        <w:rPr>
          <w:b/>
          <w:sz w:val="20"/>
          <w:szCs w:val="20"/>
        </w:rPr>
        <w:t>.</w:t>
      </w:r>
      <w:r w:rsidR="00D4008B" w:rsidRPr="006B6C08">
        <w:rPr>
          <w:b/>
          <w:sz w:val="20"/>
          <w:szCs w:val="20"/>
        </w:rPr>
        <w:t>T</w:t>
      </w:r>
      <w:r w:rsidR="0018731B" w:rsidRPr="006B6C08">
        <w:rPr>
          <w:b/>
          <w:sz w:val="20"/>
          <w:szCs w:val="20"/>
        </w:rPr>
        <w:t xml:space="preserve">he </w:t>
      </w:r>
      <w:r w:rsidR="00FF0972" w:rsidRPr="006B6C08">
        <w:rPr>
          <w:b/>
          <w:sz w:val="20"/>
          <w:szCs w:val="20"/>
        </w:rPr>
        <w:t xml:space="preserve">devastating impact </w:t>
      </w:r>
      <w:r w:rsidR="0018731B" w:rsidRPr="006B6C08">
        <w:rPr>
          <w:b/>
          <w:sz w:val="20"/>
          <w:szCs w:val="20"/>
        </w:rPr>
        <w:t xml:space="preserve">of the Israeli occupation </w:t>
      </w:r>
      <w:r w:rsidR="00FF0972" w:rsidRPr="006B6C08">
        <w:rPr>
          <w:b/>
          <w:sz w:val="20"/>
          <w:szCs w:val="20"/>
        </w:rPr>
        <w:t>on the rights of the Palestinian population</w:t>
      </w:r>
      <w:r w:rsidR="0018731B" w:rsidRPr="006B6C08">
        <w:rPr>
          <w:b/>
          <w:sz w:val="20"/>
          <w:szCs w:val="20"/>
        </w:rPr>
        <w:t xml:space="preserve"> </w:t>
      </w:r>
      <w:r w:rsidR="00CF6F13" w:rsidRPr="006B6C08">
        <w:rPr>
          <w:b/>
          <w:sz w:val="20"/>
          <w:szCs w:val="20"/>
        </w:rPr>
        <w:t xml:space="preserve">can </w:t>
      </w:r>
      <w:r w:rsidR="00757227" w:rsidRPr="006B6C08">
        <w:rPr>
          <w:b/>
          <w:sz w:val="20"/>
          <w:szCs w:val="20"/>
        </w:rPr>
        <w:t>only be</w:t>
      </w:r>
      <w:r w:rsidR="0018731B" w:rsidRPr="006B6C08">
        <w:rPr>
          <w:b/>
          <w:sz w:val="20"/>
          <w:szCs w:val="20"/>
        </w:rPr>
        <w:t xml:space="preserve"> reasserted</w:t>
      </w:r>
      <w:r w:rsidR="00F43DF5" w:rsidRPr="006B6C08">
        <w:rPr>
          <w:b/>
          <w:sz w:val="20"/>
          <w:szCs w:val="20"/>
        </w:rPr>
        <w:t>.</w:t>
      </w:r>
    </w:p>
    <w:p w:rsidR="00E21B6F" w:rsidRPr="006B6C08" w:rsidRDefault="006B6C08" w:rsidP="006B6C08">
      <w:pPr>
        <w:pStyle w:val="SingleTxtG"/>
        <w:outlineLvl w:val="0"/>
        <w:rPr>
          <w:rFonts w:eastAsia="Calibri"/>
          <w:b/>
          <w:sz w:val="20"/>
          <w:szCs w:val="20"/>
        </w:rPr>
      </w:pPr>
      <w:r w:rsidRPr="006B6C08">
        <w:rPr>
          <w:rFonts w:eastAsia="Calibri"/>
          <w:sz w:val="20"/>
          <w:szCs w:val="20"/>
        </w:rPr>
        <w:t>75.</w:t>
      </w:r>
      <w:r w:rsidRPr="006B6C08">
        <w:rPr>
          <w:rFonts w:eastAsia="Calibri"/>
          <w:sz w:val="20"/>
          <w:szCs w:val="20"/>
        </w:rPr>
        <w:tab/>
      </w:r>
      <w:r w:rsidR="00E21B6F" w:rsidRPr="006B6C08">
        <w:rPr>
          <w:b/>
          <w:sz w:val="20"/>
          <w:szCs w:val="20"/>
        </w:rPr>
        <w:t xml:space="preserve">International law violations by </w:t>
      </w:r>
      <w:r w:rsidR="006A734E" w:rsidRPr="006B6C08">
        <w:rPr>
          <w:b/>
          <w:sz w:val="20"/>
          <w:szCs w:val="20"/>
        </w:rPr>
        <w:t xml:space="preserve">the </w:t>
      </w:r>
      <w:r w:rsidR="00E21B6F" w:rsidRPr="006B6C08">
        <w:rPr>
          <w:b/>
          <w:sz w:val="20"/>
          <w:szCs w:val="20"/>
        </w:rPr>
        <w:t xml:space="preserve">Palestinian Authority, the authorities in Gaza and Palestinian armed groups </w:t>
      </w:r>
      <w:r w:rsidR="00D919B3" w:rsidRPr="006B6C08">
        <w:rPr>
          <w:b/>
          <w:sz w:val="20"/>
          <w:szCs w:val="20"/>
        </w:rPr>
        <w:t>are a</w:t>
      </w:r>
      <w:r w:rsidR="00E75065" w:rsidRPr="006B6C08">
        <w:rPr>
          <w:b/>
          <w:sz w:val="20"/>
          <w:szCs w:val="20"/>
        </w:rPr>
        <w:t xml:space="preserve">lso of </w:t>
      </w:r>
      <w:r w:rsidR="00D919B3" w:rsidRPr="006B6C08">
        <w:rPr>
          <w:b/>
          <w:sz w:val="20"/>
          <w:szCs w:val="20"/>
        </w:rPr>
        <w:t>concern. T</w:t>
      </w:r>
      <w:r w:rsidR="00E21B6F" w:rsidRPr="006B6C08">
        <w:rPr>
          <w:b/>
          <w:sz w:val="20"/>
          <w:szCs w:val="20"/>
        </w:rPr>
        <w:t xml:space="preserve">he </w:t>
      </w:r>
      <w:r w:rsidR="00CF6F13" w:rsidRPr="006B6C08">
        <w:rPr>
          <w:b/>
          <w:sz w:val="20"/>
          <w:szCs w:val="20"/>
        </w:rPr>
        <w:t xml:space="preserve">obligation </w:t>
      </w:r>
      <w:r w:rsidR="00E21B6F" w:rsidRPr="006B6C08">
        <w:rPr>
          <w:b/>
          <w:sz w:val="20"/>
          <w:szCs w:val="20"/>
        </w:rPr>
        <w:t xml:space="preserve">of the Palestinian authorities in </w:t>
      </w:r>
      <w:r w:rsidR="006A734E" w:rsidRPr="006B6C08">
        <w:rPr>
          <w:b/>
          <w:sz w:val="20"/>
          <w:szCs w:val="20"/>
        </w:rPr>
        <w:t>upholding human rights in the entirety of the occupied Palestinian territory has to be emphasized</w:t>
      </w:r>
      <w:r w:rsidR="00057562" w:rsidRPr="006B6C08">
        <w:rPr>
          <w:b/>
          <w:sz w:val="20"/>
          <w:szCs w:val="20"/>
        </w:rPr>
        <w:t xml:space="preserve"> as an essential element of the State of Palestine</w:t>
      </w:r>
      <w:r w:rsidR="006A734E" w:rsidRPr="006B6C08">
        <w:rPr>
          <w:b/>
          <w:sz w:val="20"/>
          <w:szCs w:val="20"/>
        </w:rPr>
        <w:t xml:space="preserve">. </w:t>
      </w:r>
    </w:p>
    <w:p w:rsidR="00FC3BC0" w:rsidRPr="006B6C08" w:rsidRDefault="00FC3BC0" w:rsidP="002540DA">
      <w:pPr>
        <w:pStyle w:val="HChG"/>
        <w:outlineLvl w:val="0"/>
      </w:pPr>
      <w:r w:rsidRPr="006B6C08">
        <w:tab/>
        <w:t xml:space="preserve">V. </w:t>
      </w:r>
      <w:r w:rsidRPr="006B6C08">
        <w:tab/>
        <w:t>Recommendations</w:t>
      </w:r>
    </w:p>
    <w:p w:rsidR="00EB7B49" w:rsidRPr="006B6C08" w:rsidRDefault="006B6C08" w:rsidP="006B6C08">
      <w:pPr>
        <w:pStyle w:val="SingleTxtG"/>
        <w:outlineLvl w:val="0"/>
        <w:rPr>
          <w:rFonts w:eastAsia="Calibri"/>
          <w:b/>
          <w:sz w:val="20"/>
          <w:szCs w:val="20"/>
        </w:rPr>
      </w:pPr>
      <w:r w:rsidRPr="006B6C08">
        <w:rPr>
          <w:rFonts w:eastAsia="Calibri"/>
          <w:sz w:val="20"/>
          <w:szCs w:val="20"/>
        </w:rPr>
        <w:t>76.</w:t>
      </w:r>
      <w:r w:rsidRPr="006B6C08">
        <w:rPr>
          <w:rFonts w:eastAsia="Calibri"/>
          <w:sz w:val="20"/>
          <w:szCs w:val="20"/>
        </w:rPr>
        <w:tab/>
      </w:r>
      <w:r w:rsidR="00EE692F" w:rsidRPr="006B6C08">
        <w:rPr>
          <w:rFonts w:eastAsia="Calibri"/>
          <w:b/>
          <w:sz w:val="20"/>
          <w:szCs w:val="20"/>
        </w:rPr>
        <w:t xml:space="preserve">All violations and abuses of the human rights of the Palestinian people must immediately cease and such violations and abuses must be </w:t>
      </w:r>
      <w:r w:rsidR="00EE692F" w:rsidRPr="006B6C08">
        <w:rPr>
          <w:rStyle w:val="Emphasis"/>
          <w:sz w:val="20"/>
          <w:szCs w:val="20"/>
        </w:rPr>
        <w:t>promptly</w:t>
      </w:r>
      <w:r w:rsidR="00EE692F" w:rsidRPr="006B6C08">
        <w:rPr>
          <w:rStyle w:val="st1"/>
          <w:sz w:val="20"/>
          <w:szCs w:val="20"/>
        </w:rPr>
        <w:t xml:space="preserve">, </w:t>
      </w:r>
      <w:r w:rsidR="00EE692F" w:rsidRPr="006B6C08">
        <w:rPr>
          <w:rStyle w:val="Emphasis"/>
          <w:sz w:val="20"/>
          <w:szCs w:val="20"/>
        </w:rPr>
        <w:t>impartially</w:t>
      </w:r>
      <w:r w:rsidR="00EE692F" w:rsidRPr="006B6C08">
        <w:rPr>
          <w:rStyle w:val="st1"/>
          <w:sz w:val="20"/>
          <w:szCs w:val="20"/>
        </w:rPr>
        <w:t xml:space="preserve"> and </w:t>
      </w:r>
      <w:r w:rsidR="00EE692F" w:rsidRPr="006B6C08">
        <w:rPr>
          <w:rStyle w:val="Emphasis"/>
          <w:sz w:val="20"/>
          <w:szCs w:val="20"/>
        </w:rPr>
        <w:t xml:space="preserve">independently investigated and those responsible </w:t>
      </w:r>
      <w:r w:rsidR="008F3729" w:rsidRPr="006B6C08">
        <w:rPr>
          <w:rStyle w:val="Emphasis"/>
          <w:sz w:val="20"/>
          <w:szCs w:val="20"/>
        </w:rPr>
        <w:t xml:space="preserve">held </w:t>
      </w:r>
      <w:r w:rsidR="00EE692F" w:rsidRPr="006B6C08">
        <w:rPr>
          <w:rStyle w:val="Emphasis"/>
          <w:sz w:val="20"/>
          <w:szCs w:val="20"/>
        </w:rPr>
        <w:t>accountable</w:t>
      </w:r>
      <w:r w:rsidR="00EE692F" w:rsidRPr="006B6C08">
        <w:rPr>
          <w:rFonts w:eastAsia="Calibri"/>
          <w:b/>
          <w:sz w:val="20"/>
          <w:szCs w:val="20"/>
        </w:rPr>
        <w:t xml:space="preserve">. </w:t>
      </w:r>
      <w:r w:rsidR="007775B7" w:rsidRPr="006B6C08">
        <w:rPr>
          <w:rFonts w:eastAsia="Calibri"/>
          <w:b/>
          <w:sz w:val="20"/>
          <w:szCs w:val="20"/>
        </w:rPr>
        <w:t xml:space="preserve">All </w:t>
      </w:r>
      <w:r w:rsidR="008F3729" w:rsidRPr="006B6C08">
        <w:rPr>
          <w:rFonts w:eastAsia="Calibri"/>
          <w:b/>
          <w:sz w:val="20"/>
          <w:szCs w:val="20"/>
        </w:rPr>
        <w:t xml:space="preserve">parties </w:t>
      </w:r>
      <w:r w:rsidR="007775B7" w:rsidRPr="006B6C08">
        <w:rPr>
          <w:rFonts w:eastAsia="Calibri"/>
          <w:b/>
          <w:sz w:val="20"/>
          <w:szCs w:val="20"/>
        </w:rPr>
        <w:t>must respect international law</w:t>
      </w:r>
      <w:r w:rsidR="00EE692F" w:rsidRPr="006B6C08">
        <w:rPr>
          <w:rFonts w:eastAsia="Calibri"/>
          <w:b/>
          <w:sz w:val="20"/>
          <w:szCs w:val="20"/>
        </w:rPr>
        <w:t xml:space="preserve"> and comply with </w:t>
      </w:r>
      <w:r w:rsidR="007775B7" w:rsidRPr="006B6C08">
        <w:rPr>
          <w:rFonts w:eastAsia="Calibri"/>
          <w:b/>
          <w:sz w:val="20"/>
          <w:szCs w:val="20"/>
        </w:rPr>
        <w:t xml:space="preserve">their obligations </w:t>
      </w:r>
      <w:r w:rsidR="00EE692F" w:rsidRPr="006B6C08">
        <w:rPr>
          <w:rFonts w:eastAsia="Calibri"/>
          <w:b/>
          <w:sz w:val="20"/>
          <w:szCs w:val="20"/>
        </w:rPr>
        <w:t xml:space="preserve">or responsibilities </w:t>
      </w:r>
      <w:r w:rsidR="007775B7" w:rsidRPr="006B6C08">
        <w:rPr>
          <w:rFonts w:eastAsia="Calibri"/>
          <w:b/>
          <w:sz w:val="20"/>
          <w:szCs w:val="20"/>
        </w:rPr>
        <w:t>under international human r</w:t>
      </w:r>
      <w:r w:rsidR="00467958" w:rsidRPr="006B6C08">
        <w:rPr>
          <w:rFonts w:eastAsia="Calibri"/>
          <w:b/>
          <w:sz w:val="20"/>
          <w:szCs w:val="20"/>
        </w:rPr>
        <w:t xml:space="preserve">ights law. </w:t>
      </w:r>
    </w:p>
    <w:p w:rsidR="00EE692F" w:rsidRPr="006B6C08" w:rsidRDefault="006B6C08" w:rsidP="006B6C08">
      <w:pPr>
        <w:pStyle w:val="SingleTxtG"/>
        <w:outlineLvl w:val="0"/>
        <w:rPr>
          <w:rFonts w:eastAsia="Calibri"/>
          <w:b/>
          <w:sz w:val="20"/>
          <w:szCs w:val="20"/>
        </w:rPr>
      </w:pPr>
      <w:r w:rsidRPr="006B6C08">
        <w:rPr>
          <w:rFonts w:eastAsia="Calibri"/>
          <w:sz w:val="20"/>
          <w:szCs w:val="20"/>
        </w:rPr>
        <w:t>77.</w:t>
      </w:r>
      <w:r w:rsidRPr="006B6C08">
        <w:rPr>
          <w:rFonts w:eastAsia="Calibri"/>
          <w:sz w:val="20"/>
          <w:szCs w:val="20"/>
        </w:rPr>
        <w:tab/>
      </w:r>
      <w:r w:rsidR="00D81640" w:rsidRPr="006B6C08">
        <w:rPr>
          <w:b/>
          <w:sz w:val="20"/>
          <w:szCs w:val="20"/>
        </w:rPr>
        <w:t>All parties, including Palestinian armed groups, shall respect</w:t>
      </w:r>
      <w:r w:rsidR="00B87EEE" w:rsidRPr="006B6C08">
        <w:rPr>
          <w:b/>
          <w:sz w:val="20"/>
          <w:szCs w:val="20"/>
        </w:rPr>
        <w:t xml:space="preserve"> the applicable rules of </w:t>
      </w:r>
      <w:r w:rsidR="00D81640" w:rsidRPr="006B6C08">
        <w:rPr>
          <w:b/>
          <w:sz w:val="20"/>
          <w:szCs w:val="20"/>
        </w:rPr>
        <w:t xml:space="preserve">international humanitarian law, </w:t>
      </w:r>
      <w:r w:rsidR="00EE692F" w:rsidRPr="006B6C08">
        <w:rPr>
          <w:b/>
          <w:sz w:val="20"/>
          <w:szCs w:val="20"/>
        </w:rPr>
        <w:t>including</w:t>
      </w:r>
      <w:r w:rsidR="00B87EEE" w:rsidRPr="006B6C08">
        <w:rPr>
          <w:b/>
          <w:sz w:val="20"/>
          <w:szCs w:val="20"/>
        </w:rPr>
        <w:t>, where applicable,</w:t>
      </w:r>
      <w:r w:rsidR="00EE692F" w:rsidRPr="006B6C08">
        <w:rPr>
          <w:b/>
          <w:sz w:val="20"/>
          <w:szCs w:val="20"/>
        </w:rPr>
        <w:t xml:space="preserve"> </w:t>
      </w:r>
      <w:r w:rsidR="00D81640" w:rsidRPr="006B6C08">
        <w:rPr>
          <w:b/>
          <w:sz w:val="20"/>
          <w:szCs w:val="20"/>
        </w:rPr>
        <w:t xml:space="preserve">the principles of distinction, proportionality and precaution, and ensure accountability for </w:t>
      </w:r>
      <w:r w:rsidR="00E72916" w:rsidRPr="006B6C08">
        <w:rPr>
          <w:b/>
          <w:sz w:val="20"/>
          <w:szCs w:val="20"/>
        </w:rPr>
        <w:t>all</w:t>
      </w:r>
      <w:r w:rsidR="00D81640" w:rsidRPr="006B6C08">
        <w:rPr>
          <w:b/>
          <w:sz w:val="20"/>
          <w:szCs w:val="20"/>
        </w:rPr>
        <w:t xml:space="preserve"> violations. </w:t>
      </w:r>
    </w:p>
    <w:p w:rsidR="00EB7B49" w:rsidRPr="006B6C08" w:rsidRDefault="006B6C08" w:rsidP="006B6C08">
      <w:pPr>
        <w:pStyle w:val="SingleTxtG"/>
        <w:outlineLvl w:val="0"/>
        <w:rPr>
          <w:rFonts w:eastAsia="Calibri"/>
          <w:b/>
          <w:sz w:val="20"/>
          <w:szCs w:val="20"/>
        </w:rPr>
      </w:pPr>
      <w:r w:rsidRPr="006B6C08">
        <w:rPr>
          <w:rFonts w:eastAsia="Calibri"/>
          <w:sz w:val="20"/>
          <w:szCs w:val="20"/>
        </w:rPr>
        <w:t>78.</w:t>
      </w:r>
      <w:r w:rsidRPr="006B6C08">
        <w:rPr>
          <w:rFonts w:eastAsia="Calibri"/>
          <w:sz w:val="20"/>
          <w:szCs w:val="20"/>
        </w:rPr>
        <w:tab/>
      </w:r>
      <w:r w:rsidR="00EE692F" w:rsidRPr="006B6C08">
        <w:rPr>
          <w:rFonts w:eastAsia="Calibri"/>
          <w:b/>
          <w:sz w:val="20"/>
          <w:szCs w:val="20"/>
        </w:rPr>
        <w:t xml:space="preserve">All </w:t>
      </w:r>
      <w:r w:rsidR="00EE40C2" w:rsidRPr="006B6C08">
        <w:rPr>
          <w:rFonts w:eastAsia="Calibri"/>
          <w:b/>
          <w:sz w:val="20"/>
          <w:szCs w:val="20"/>
        </w:rPr>
        <w:t xml:space="preserve">previous recommendations of the United </w:t>
      </w:r>
      <w:r w:rsidR="00EE40C2" w:rsidRPr="006B6C08">
        <w:rPr>
          <w:b/>
          <w:sz w:val="20"/>
          <w:szCs w:val="20"/>
        </w:rPr>
        <w:t>Nations</w:t>
      </w:r>
      <w:r w:rsidR="00EE40C2" w:rsidRPr="006B6C08">
        <w:rPr>
          <w:rFonts w:eastAsia="Calibri"/>
          <w:b/>
          <w:sz w:val="20"/>
          <w:szCs w:val="20"/>
        </w:rPr>
        <w:t xml:space="preserve"> human rights treaty bodies</w:t>
      </w:r>
      <w:r w:rsidR="000334F9" w:rsidRPr="006B6C08">
        <w:rPr>
          <w:rFonts w:eastAsia="Calibri"/>
          <w:b/>
          <w:sz w:val="20"/>
          <w:szCs w:val="20"/>
        </w:rPr>
        <w:t xml:space="preserve"> and other mechanisms</w:t>
      </w:r>
      <w:r w:rsidR="00EE40C2" w:rsidRPr="006B6C08">
        <w:rPr>
          <w:rFonts w:eastAsia="Calibri"/>
          <w:b/>
          <w:sz w:val="20"/>
          <w:szCs w:val="20"/>
        </w:rPr>
        <w:t xml:space="preserve">, </w:t>
      </w:r>
      <w:r w:rsidR="00EE692F" w:rsidRPr="006B6C08">
        <w:rPr>
          <w:rFonts w:eastAsia="Calibri"/>
          <w:b/>
          <w:sz w:val="20"/>
          <w:szCs w:val="20"/>
        </w:rPr>
        <w:t xml:space="preserve">of </w:t>
      </w:r>
      <w:r w:rsidR="008F3729" w:rsidRPr="006B6C08">
        <w:rPr>
          <w:rFonts w:eastAsia="Calibri"/>
          <w:b/>
          <w:sz w:val="20"/>
          <w:szCs w:val="20"/>
        </w:rPr>
        <w:t xml:space="preserve">my predecessor as </w:t>
      </w:r>
      <w:r w:rsidR="00EE40C2" w:rsidRPr="006B6C08">
        <w:rPr>
          <w:rFonts w:eastAsia="Calibri"/>
          <w:b/>
          <w:sz w:val="20"/>
          <w:szCs w:val="20"/>
        </w:rPr>
        <w:t xml:space="preserve">Secretary-General and </w:t>
      </w:r>
      <w:r w:rsidR="00EE692F" w:rsidRPr="006B6C08">
        <w:rPr>
          <w:rFonts w:eastAsia="Calibri"/>
          <w:b/>
          <w:sz w:val="20"/>
          <w:szCs w:val="20"/>
        </w:rPr>
        <w:t xml:space="preserve">of </w:t>
      </w:r>
      <w:r w:rsidR="00EE40C2" w:rsidRPr="006B6C08">
        <w:rPr>
          <w:rFonts w:eastAsia="Calibri"/>
          <w:b/>
          <w:sz w:val="20"/>
          <w:szCs w:val="20"/>
        </w:rPr>
        <w:t>the High Commissione</w:t>
      </w:r>
      <w:r w:rsidR="00DE3277" w:rsidRPr="006B6C08">
        <w:rPr>
          <w:rFonts w:eastAsia="Calibri"/>
          <w:b/>
          <w:sz w:val="20"/>
          <w:szCs w:val="20"/>
        </w:rPr>
        <w:t xml:space="preserve">r for Human Rights, as well as </w:t>
      </w:r>
      <w:r w:rsidR="00EE40C2" w:rsidRPr="006B6C08">
        <w:rPr>
          <w:rFonts w:eastAsia="Calibri"/>
          <w:b/>
          <w:sz w:val="20"/>
          <w:szCs w:val="20"/>
        </w:rPr>
        <w:t xml:space="preserve">commissions of </w:t>
      </w:r>
      <w:r w:rsidR="00E86757" w:rsidRPr="006B6C08">
        <w:rPr>
          <w:rFonts w:eastAsia="Calibri"/>
          <w:b/>
          <w:sz w:val="20"/>
          <w:szCs w:val="20"/>
        </w:rPr>
        <w:t>i</w:t>
      </w:r>
      <w:r w:rsidR="00EE40C2" w:rsidRPr="006B6C08">
        <w:rPr>
          <w:rFonts w:eastAsia="Calibri"/>
          <w:b/>
          <w:sz w:val="20"/>
          <w:szCs w:val="20"/>
        </w:rPr>
        <w:t>nquiry</w:t>
      </w:r>
      <w:r w:rsidR="00E86757" w:rsidRPr="006B6C08">
        <w:rPr>
          <w:rFonts w:eastAsia="Calibri"/>
          <w:b/>
          <w:sz w:val="20"/>
          <w:szCs w:val="20"/>
        </w:rPr>
        <w:t xml:space="preserve"> and fact-finding missions</w:t>
      </w:r>
      <w:r w:rsidR="00EE40C2" w:rsidRPr="006B6C08">
        <w:rPr>
          <w:rFonts w:eastAsia="Calibri"/>
          <w:b/>
          <w:sz w:val="20"/>
          <w:szCs w:val="20"/>
        </w:rPr>
        <w:t>, which remain valid</w:t>
      </w:r>
      <w:r w:rsidR="00EE692F" w:rsidRPr="006B6C08">
        <w:rPr>
          <w:rFonts w:eastAsia="Calibri"/>
          <w:b/>
          <w:sz w:val="20"/>
          <w:szCs w:val="20"/>
        </w:rPr>
        <w:t>, must be fully and promptly implemented</w:t>
      </w:r>
      <w:r w:rsidR="00EE40C2" w:rsidRPr="006B6C08">
        <w:rPr>
          <w:rFonts w:eastAsia="Calibri"/>
          <w:b/>
          <w:sz w:val="20"/>
          <w:szCs w:val="20"/>
        </w:rPr>
        <w:t>.</w:t>
      </w:r>
      <w:r w:rsidR="00DE3277" w:rsidRPr="006B6C08">
        <w:rPr>
          <w:rFonts w:eastAsia="Calibri"/>
          <w:b/>
          <w:sz w:val="20"/>
          <w:szCs w:val="20"/>
        </w:rPr>
        <w:t xml:space="preserve"> </w:t>
      </w:r>
    </w:p>
    <w:p w:rsidR="00FC3BC0" w:rsidRPr="006B6C08" w:rsidRDefault="006B6C08" w:rsidP="006B6C08">
      <w:pPr>
        <w:pStyle w:val="SingleTxtG"/>
        <w:outlineLvl w:val="0"/>
        <w:rPr>
          <w:rFonts w:eastAsia="Calibri"/>
          <w:b/>
          <w:sz w:val="20"/>
          <w:szCs w:val="20"/>
        </w:rPr>
      </w:pPr>
      <w:r w:rsidRPr="006B6C08">
        <w:rPr>
          <w:rFonts w:eastAsia="Calibri"/>
          <w:sz w:val="20"/>
          <w:szCs w:val="20"/>
        </w:rPr>
        <w:t>79.</w:t>
      </w:r>
      <w:r w:rsidRPr="006B6C08">
        <w:rPr>
          <w:rFonts w:eastAsia="Calibri"/>
          <w:sz w:val="20"/>
          <w:szCs w:val="20"/>
        </w:rPr>
        <w:tab/>
      </w:r>
      <w:r w:rsidR="00804443" w:rsidRPr="006B6C08">
        <w:rPr>
          <w:rFonts w:eastAsia="Calibri"/>
          <w:b/>
          <w:sz w:val="20"/>
          <w:szCs w:val="20"/>
        </w:rPr>
        <w:t>All States party to the Geneva Conventions should take measures to ensure the respect of the Conventions by all sides.</w:t>
      </w:r>
    </w:p>
    <w:p w:rsidR="00EB7B49" w:rsidRPr="006B6C08" w:rsidRDefault="006B6C08" w:rsidP="006B6C08">
      <w:pPr>
        <w:pStyle w:val="SingleTxtG"/>
        <w:outlineLvl w:val="0"/>
        <w:rPr>
          <w:rFonts w:eastAsia="Calibri"/>
          <w:b/>
          <w:sz w:val="20"/>
          <w:szCs w:val="20"/>
        </w:rPr>
      </w:pPr>
      <w:r w:rsidRPr="006B6C08">
        <w:rPr>
          <w:rFonts w:eastAsia="Calibri"/>
          <w:sz w:val="20"/>
          <w:szCs w:val="20"/>
        </w:rPr>
        <w:t>80.</w:t>
      </w:r>
      <w:r w:rsidRPr="006B6C08">
        <w:rPr>
          <w:rFonts w:eastAsia="Calibri"/>
          <w:sz w:val="20"/>
          <w:szCs w:val="20"/>
        </w:rPr>
        <w:tab/>
      </w:r>
      <w:r w:rsidR="00467958" w:rsidRPr="006B6C08">
        <w:rPr>
          <w:rFonts w:eastAsia="Calibri"/>
          <w:b/>
          <w:sz w:val="20"/>
          <w:szCs w:val="20"/>
        </w:rPr>
        <w:t xml:space="preserve">Israel must end and reverse all settlement activity in the West Bank, including East Jerusalem, </w:t>
      </w:r>
      <w:r w:rsidR="000334F9" w:rsidRPr="006B6C08">
        <w:rPr>
          <w:rFonts w:eastAsia="Calibri"/>
          <w:b/>
          <w:sz w:val="20"/>
          <w:szCs w:val="20"/>
        </w:rPr>
        <w:t xml:space="preserve">and </w:t>
      </w:r>
      <w:r w:rsidR="00467958" w:rsidRPr="006B6C08">
        <w:rPr>
          <w:rFonts w:eastAsia="Calibri"/>
          <w:b/>
          <w:sz w:val="20"/>
          <w:szCs w:val="20"/>
        </w:rPr>
        <w:t xml:space="preserve">lift the </w:t>
      </w:r>
      <w:r w:rsidR="005400D6" w:rsidRPr="006B6C08">
        <w:rPr>
          <w:rFonts w:eastAsia="Calibri"/>
          <w:b/>
          <w:sz w:val="20"/>
          <w:szCs w:val="20"/>
        </w:rPr>
        <w:t>situation of blockade in Gaza.</w:t>
      </w:r>
    </w:p>
    <w:p w:rsidR="00FC3BC0" w:rsidRPr="006B6C08" w:rsidRDefault="006B6C08" w:rsidP="006B6C08">
      <w:pPr>
        <w:pStyle w:val="SingleTxtG"/>
        <w:outlineLvl w:val="0"/>
        <w:rPr>
          <w:rFonts w:eastAsia="Calibri"/>
          <w:b/>
          <w:sz w:val="20"/>
          <w:szCs w:val="20"/>
        </w:rPr>
      </w:pPr>
      <w:r w:rsidRPr="006B6C08">
        <w:rPr>
          <w:rFonts w:eastAsia="Calibri"/>
          <w:sz w:val="20"/>
          <w:szCs w:val="20"/>
        </w:rPr>
        <w:t>81.</w:t>
      </w:r>
      <w:r w:rsidRPr="006B6C08">
        <w:rPr>
          <w:rFonts w:eastAsia="Calibri"/>
          <w:sz w:val="20"/>
          <w:szCs w:val="20"/>
        </w:rPr>
        <w:tab/>
      </w:r>
      <w:r w:rsidR="000334F9" w:rsidRPr="006B6C08">
        <w:rPr>
          <w:rFonts w:eastAsia="Calibri"/>
          <w:b/>
          <w:sz w:val="20"/>
          <w:szCs w:val="20"/>
        </w:rPr>
        <w:t xml:space="preserve">In </w:t>
      </w:r>
      <w:r w:rsidR="00467958" w:rsidRPr="006B6C08">
        <w:rPr>
          <w:rFonts w:eastAsia="Calibri"/>
          <w:b/>
          <w:sz w:val="20"/>
          <w:szCs w:val="20"/>
        </w:rPr>
        <w:t xml:space="preserve">ensuring </w:t>
      </w:r>
      <w:r w:rsidR="000334F9" w:rsidRPr="006B6C08">
        <w:rPr>
          <w:rFonts w:eastAsia="Calibri"/>
          <w:b/>
          <w:sz w:val="20"/>
          <w:szCs w:val="20"/>
        </w:rPr>
        <w:t xml:space="preserve">its </w:t>
      </w:r>
      <w:r w:rsidR="00467958" w:rsidRPr="006B6C08">
        <w:rPr>
          <w:rFonts w:eastAsia="Calibri"/>
          <w:b/>
          <w:sz w:val="20"/>
          <w:szCs w:val="20"/>
        </w:rPr>
        <w:t>legitimate security needs</w:t>
      </w:r>
      <w:r w:rsidR="000334F9" w:rsidRPr="006B6C08">
        <w:rPr>
          <w:rFonts w:eastAsia="Calibri"/>
          <w:b/>
          <w:sz w:val="20"/>
          <w:szCs w:val="20"/>
        </w:rPr>
        <w:t xml:space="preserve">, </w:t>
      </w:r>
      <w:r w:rsidR="00467958" w:rsidRPr="006B6C08">
        <w:rPr>
          <w:rFonts w:eastAsia="Calibri"/>
          <w:b/>
          <w:sz w:val="20"/>
          <w:szCs w:val="20"/>
        </w:rPr>
        <w:t>Israel</w:t>
      </w:r>
      <w:r w:rsidR="000334F9" w:rsidRPr="006B6C08">
        <w:rPr>
          <w:rFonts w:eastAsia="Calibri"/>
          <w:b/>
          <w:sz w:val="20"/>
          <w:szCs w:val="20"/>
        </w:rPr>
        <w:t xml:space="preserve"> must</w:t>
      </w:r>
      <w:r w:rsidR="00467958" w:rsidRPr="006B6C08">
        <w:rPr>
          <w:rFonts w:eastAsia="Calibri"/>
          <w:b/>
          <w:sz w:val="20"/>
          <w:szCs w:val="20"/>
        </w:rPr>
        <w:t xml:space="preserve"> respect international humanitarian law and international human rights law.</w:t>
      </w:r>
    </w:p>
    <w:p w:rsidR="007775B7" w:rsidRDefault="006B6C08" w:rsidP="006B6C08">
      <w:pPr>
        <w:pStyle w:val="SingleTxtG"/>
        <w:outlineLvl w:val="0"/>
        <w:rPr>
          <w:rFonts w:eastAsia="Calibri"/>
          <w:b/>
          <w:sz w:val="20"/>
          <w:szCs w:val="20"/>
        </w:rPr>
      </w:pPr>
      <w:r w:rsidRPr="006B6C08">
        <w:rPr>
          <w:rFonts w:eastAsia="Calibri"/>
          <w:sz w:val="20"/>
          <w:szCs w:val="20"/>
        </w:rPr>
        <w:t>82.</w:t>
      </w:r>
      <w:r w:rsidRPr="006B6C08">
        <w:rPr>
          <w:rFonts w:eastAsia="Calibri"/>
          <w:sz w:val="20"/>
          <w:szCs w:val="20"/>
        </w:rPr>
        <w:tab/>
      </w:r>
      <w:r w:rsidR="00467958" w:rsidRPr="006B6C08">
        <w:rPr>
          <w:rFonts w:eastAsia="Calibri"/>
          <w:b/>
          <w:sz w:val="20"/>
          <w:szCs w:val="20"/>
        </w:rPr>
        <w:t>The Palestinian authorities should take steps to encourage national political parties to resolve the political disunity that obstructs the equal implementation of the human rights obligations of the Government of the State of Palestine throughout the occupied Palestinian territory.</w:t>
      </w:r>
    </w:p>
    <w:p w:rsidR="006B6C08" w:rsidRPr="006B6C08" w:rsidRDefault="006B6C08" w:rsidP="006B6C08">
      <w:pPr>
        <w:pStyle w:val="SingleTxtG"/>
        <w:spacing w:before="240" w:after="0"/>
        <w:jc w:val="center"/>
        <w:rPr>
          <w:rFonts w:eastAsia="Calibri"/>
          <w:b/>
          <w:sz w:val="20"/>
          <w:szCs w:val="20"/>
          <w:u w:val="single"/>
        </w:rPr>
      </w:pPr>
      <w:r>
        <w:rPr>
          <w:rFonts w:eastAsia="Calibri"/>
          <w:sz w:val="20"/>
          <w:szCs w:val="20"/>
          <w:u w:val="single"/>
        </w:rPr>
        <w:tab/>
      </w:r>
      <w:r>
        <w:rPr>
          <w:rFonts w:eastAsia="Calibri"/>
          <w:sz w:val="20"/>
          <w:szCs w:val="20"/>
          <w:u w:val="single"/>
        </w:rPr>
        <w:tab/>
      </w:r>
      <w:r>
        <w:rPr>
          <w:rFonts w:eastAsia="Calibri"/>
          <w:sz w:val="20"/>
          <w:szCs w:val="20"/>
          <w:u w:val="single"/>
        </w:rPr>
        <w:tab/>
      </w:r>
    </w:p>
    <w:sectPr w:rsidR="006B6C08" w:rsidRPr="006B6C08" w:rsidSect="0069087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BBDAF" w15:done="0"/>
  <w15:commentEx w15:paraId="6146668C" w15:paraIdParent="7FCBBDAF" w15:done="0"/>
  <w15:commentEx w15:paraId="4638EAA5" w15:done="0"/>
  <w15:commentEx w15:paraId="3B0468F9" w15:paraIdParent="4638EAA5" w15:done="0"/>
  <w15:commentEx w15:paraId="108E9064" w15:done="0"/>
  <w15:commentEx w15:paraId="5CC18F66" w15:paraIdParent="108E9064" w15:done="0"/>
  <w15:commentEx w15:paraId="4845F4A4" w15:done="0"/>
  <w15:commentEx w15:paraId="695DC2B2" w15:paraIdParent="4845F4A4" w15:done="0"/>
  <w15:commentEx w15:paraId="3EC706C7" w15:done="0"/>
  <w15:commentEx w15:paraId="69EF167B" w15:paraIdParent="3EC706C7" w15:done="0"/>
  <w15:commentEx w15:paraId="1439FF6B" w15:done="0"/>
  <w15:commentEx w15:paraId="745BD9E8" w15:done="0"/>
  <w15:commentEx w15:paraId="5BE321D1" w15:paraIdParent="745BD9E8" w15:done="0"/>
  <w15:commentEx w15:paraId="02C37C6A" w15:done="0"/>
  <w15:commentEx w15:paraId="0D39640D" w15:paraIdParent="02C37C6A" w15:done="0"/>
  <w15:commentEx w15:paraId="2088ADF9" w15:done="0"/>
  <w15:commentEx w15:paraId="1E23948B" w15:paraIdParent="2088ADF9" w15:done="0"/>
  <w15:commentEx w15:paraId="3686FD88" w15:done="0"/>
  <w15:commentEx w15:paraId="262530F4" w15:paraIdParent="3686FD88" w15:done="0"/>
  <w15:commentEx w15:paraId="73B90D3D" w15:done="0"/>
  <w15:commentEx w15:paraId="1B096E5A" w15:paraIdParent="73B90D3D" w15:done="0"/>
  <w15:commentEx w15:paraId="1D3DDE44" w15:done="0"/>
  <w15:commentEx w15:paraId="3BFF824A" w15:paraIdParent="1D3DDE44" w15:done="0"/>
  <w15:commentEx w15:paraId="698488FA" w15:done="0"/>
  <w15:commentEx w15:paraId="3F2F00BA" w15:paraIdParent="698488FA" w15:done="0"/>
  <w15:commentEx w15:paraId="1C87DA74" w15:done="0"/>
  <w15:commentEx w15:paraId="1924CD4B" w15:paraIdParent="1C87DA74" w15:done="0"/>
  <w15:commentEx w15:paraId="22D462BE" w15:done="0"/>
  <w15:commentEx w15:paraId="0FA35AED" w15:paraIdParent="22D462BE" w15:done="0"/>
  <w15:commentEx w15:paraId="48DCDB41" w15:done="1"/>
  <w15:commentEx w15:paraId="3BD213D5" w15:paraIdParent="48DCDB41" w15:done="0"/>
  <w15:commentEx w15:paraId="5BD42A59" w15:done="0"/>
  <w15:commentEx w15:paraId="2BD434CE" w15:paraIdParent="5BD42A59" w15:done="0"/>
  <w15:commentEx w15:paraId="75697B16" w15:done="0"/>
  <w15:commentEx w15:paraId="11716A9F" w15:paraIdParent="75697B16" w15:done="0"/>
  <w15:commentEx w15:paraId="6AA3E444" w15:done="0"/>
  <w15:commentEx w15:paraId="2CC9F7A0" w15:paraIdParent="6AA3E444" w15:done="0"/>
  <w15:commentEx w15:paraId="2C78E67C" w15:done="0"/>
  <w15:commentEx w15:paraId="05EEF9F5" w15:paraIdParent="2C78E67C" w15:done="0"/>
  <w15:commentEx w15:paraId="352EFE76" w15:done="0"/>
  <w15:commentEx w15:paraId="5EBA41D5" w15:paraIdParent="352EFE76" w15:done="0"/>
  <w15:commentEx w15:paraId="66E4BF6B" w15:done="0"/>
  <w15:commentEx w15:paraId="44A22E87" w15:paraIdParent="66E4BF6B" w15:done="0"/>
  <w15:commentEx w15:paraId="709061CE" w15:done="0"/>
  <w15:commentEx w15:paraId="43801ADB" w15:paraIdParent="709061CE" w15:done="0"/>
  <w15:commentEx w15:paraId="5481C3D8" w15:done="0"/>
  <w15:commentEx w15:paraId="4C952414" w15:paraIdParent="5481C3D8" w15:done="0"/>
  <w15:commentEx w15:paraId="11432424" w15:done="0"/>
  <w15:commentEx w15:paraId="4D82AAB7" w15:paraIdParent="11432424" w15:done="0"/>
  <w15:commentEx w15:paraId="57CE376B" w15:done="0"/>
  <w15:commentEx w15:paraId="08E9AC2F" w15:paraIdParent="57CE376B" w15:done="0"/>
  <w15:commentEx w15:paraId="1D30E282" w15:done="0"/>
  <w15:commentEx w15:paraId="6EFA7DDF" w15:paraIdParent="1D30E282" w15:done="0"/>
  <w15:commentEx w15:paraId="776E5882" w15:done="0"/>
  <w15:commentEx w15:paraId="77A2330A" w15:paraIdParent="776E5882" w15:done="0"/>
  <w15:commentEx w15:paraId="2D6DCD35" w15:done="0"/>
  <w15:commentEx w15:paraId="64A92E69" w15:paraIdParent="2D6DCD35" w15:done="0"/>
  <w15:commentEx w15:paraId="686641C5" w15:done="0"/>
  <w15:commentEx w15:paraId="2649F0D4" w15:paraIdParent="686641C5" w15:done="0"/>
  <w15:commentEx w15:paraId="35F60267" w15:done="0"/>
  <w15:commentEx w15:paraId="171443F3" w15:paraIdParent="35F60267" w15:done="0"/>
  <w15:commentEx w15:paraId="39C6E91C" w15:done="0"/>
  <w15:commentEx w15:paraId="392C9229" w15:paraIdParent="39C6E91C" w15:done="0"/>
  <w15:commentEx w15:paraId="1EE999C9" w15:done="0"/>
  <w15:commentEx w15:paraId="1590A448" w15:paraIdParent="1EE999C9" w15:done="0"/>
  <w15:commentEx w15:paraId="02BD79DB" w15:done="0"/>
  <w15:commentEx w15:paraId="39F88520" w15:done="0"/>
  <w15:commentEx w15:paraId="6E05C436" w15:paraIdParent="39F88520" w15:done="0"/>
  <w15:commentEx w15:paraId="0E17E9CF" w15:done="0"/>
  <w15:commentEx w15:paraId="6E25F07B" w15:paraIdParent="0E17E9CF" w15:done="0"/>
  <w15:commentEx w15:paraId="467151C3" w15:done="0"/>
  <w15:commentEx w15:paraId="7828F7BE" w15:paraIdParent="467151C3" w15:done="0"/>
  <w15:commentEx w15:paraId="045A7C16" w15:done="0"/>
  <w15:commentEx w15:paraId="5FA2D4D7" w15:paraIdParent="045A7C16" w15:done="0"/>
  <w15:commentEx w15:paraId="1E570E18" w15:done="0"/>
  <w15:commentEx w15:paraId="7BFA00C3" w15:paraIdParent="1E570E18" w15:done="0"/>
  <w15:commentEx w15:paraId="0CC467BE" w15:done="0"/>
  <w15:commentEx w15:paraId="61D0CD63" w15:paraIdParent="0CC467BE" w15:done="0"/>
  <w15:commentEx w15:paraId="65CCA044" w15:done="0"/>
  <w15:commentEx w15:paraId="007C0523" w15:paraIdParent="65CCA044" w15:done="0"/>
  <w15:commentEx w15:paraId="762D2C0A" w15:done="0"/>
  <w15:commentEx w15:paraId="525E988A" w15:paraIdParent="762D2C0A" w15:done="0"/>
  <w15:commentEx w15:paraId="3DFF6595" w15:done="0"/>
  <w15:commentEx w15:paraId="4DAB0AAB" w15:paraIdParent="3DFF6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F5" w:rsidRDefault="007F20F5"/>
  </w:endnote>
  <w:endnote w:type="continuationSeparator" w:id="0">
    <w:p w:rsidR="007F20F5" w:rsidRDefault="007F20F5"/>
  </w:endnote>
  <w:endnote w:type="continuationNotice" w:id="1">
    <w:p w:rsidR="007F20F5" w:rsidRDefault="007F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rsidP="002B4AFF">
    <w:pPr>
      <w:pStyle w:val="Footer"/>
      <w:tabs>
        <w:tab w:val="right" w:pos="9638"/>
      </w:tabs>
    </w:pPr>
    <w:r>
      <w:fldChar w:fldCharType="begin"/>
    </w:r>
    <w:r>
      <w:instrText xml:space="preserve"> PAGE  \* MERGEFORMAT </w:instrText>
    </w:r>
    <w:r>
      <w:fldChar w:fldCharType="separate"/>
    </w:r>
    <w:r w:rsidR="003C58E4" w:rsidRPr="003C58E4">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rsidP="00414C67">
    <w:pPr>
      <w:pStyle w:val="Footer"/>
      <w:tabs>
        <w:tab w:val="left" w:pos="4695"/>
        <w:tab w:val="right" w:pos="9638"/>
      </w:tabs>
      <w:rPr>
        <w:b/>
        <w:sz w:val="18"/>
      </w:rPr>
    </w:pPr>
    <w:r>
      <w:tab/>
    </w:r>
    <w:r>
      <w:tab/>
    </w:r>
    <w:r>
      <w:fldChar w:fldCharType="begin"/>
    </w:r>
    <w:r>
      <w:instrText xml:space="preserve"> PAGE  \* MERGEFORMAT </w:instrText>
    </w:r>
    <w:r>
      <w:fldChar w:fldCharType="separate"/>
    </w:r>
    <w:r w:rsidR="003C58E4" w:rsidRPr="003C58E4">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F5" w:rsidRPr="000B175B" w:rsidRDefault="007F20F5" w:rsidP="000B175B">
      <w:pPr>
        <w:tabs>
          <w:tab w:val="right" w:pos="2155"/>
        </w:tabs>
        <w:spacing w:after="80"/>
        <w:ind w:left="680"/>
        <w:rPr>
          <w:u w:val="single"/>
        </w:rPr>
      </w:pPr>
      <w:r>
        <w:rPr>
          <w:u w:val="single"/>
        </w:rPr>
        <w:tab/>
      </w:r>
    </w:p>
  </w:footnote>
  <w:footnote w:type="continuationSeparator" w:id="0">
    <w:p w:rsidR="007F20F5" w:rsidRPr="00FC68B7" w:rsidRDefault="007F20F5" w:rsidP="00FC68B7">
      <w:pPr>
        <w:tabs>
          <w:tab w:val="left" w:pos="2155"/>
        </w:tabs>
        <w:spacing w:after="80"/>
        <w:ind w:left="680"/>
        <w:rPr>
          <w:u w:val="single"/>
        </w:rPr>
      </w:pPr>
      <w:r>
        <w:rPr>
          <w:u w:val="single"/>
        </w:rPr>
        <w:tab/>
      </w:r>
    </w:p>
  </w:footnote>
  <w:footnote w:type="continuationNotice" w:id="1">
    <w:p w:rsidR="007F20F5" w:rsidRDefault="007F20F5"/>
  </w:footnote>
  <w:footnote w:id="2">
    <w:p w:rsidR="007F20F5" w:rsidRPr="00572786" w:rsidRDefault="007F20F5" w:rsidP="00370D1D">
      <w:pPr>
        <w:pStyle w:val="FootnoteText"/>
        <w:tabs>
          <w:tab w:val="left" w:pos="1134"/>
        </w:tabs>
        <w:rPr>
          <w:lang w:val="en-GB"/>
        </w:rPr>
      </w:pPr>
      <w:r>
        <w:rPr>
          <w:rStyle w:val="FootnoteReference"/>
        </w:rPr>
        <w:tab/>
      </w:r>
      <w:r w:rsidRPr="00572786">
        <w:rPr>
          <w:rStyle w:val="FootnoteReference"/>
          <w:sz w:val="20"/>
          <w:vertAlign w:val="baseline"/>
        </w:rPr>
        <w:t>*</w:t>
      </w:r>
      <w:r>
        <w:rPr>
          <w:rStyle w:val="FootnoteReference"/>
          <w:sz w:val="20"/>
          <w:vertAlign w:val="baseline"/>
        </w:rPr>
        <w:tab/>
      </w:r>
      <w:r>
        <w:t>This report was submitted after the deadline in order to reflect the most recent developments.</w:t>
      </w:r>
    </w:p>
  </w:footnote>
  <w:footnote w:id="3">
    <w:p w:rsidR="007F20F5" w:rsidRPr="00B2559A" w:rsidRDefault="007F20F5" w:rsidP="00370D1D">
      <w:pPr>
        <w:pStyle w:val="FootnoteText"/>
        <w:tabs>
          <w:tab w:val="left" w:pos="1134"/>
        </w:tabs>
        <w:rPr>
          <w:szCs w:val="18"/>
          <w:lang w:val="en-GB"/>
        </w:rPr>
      </w:pPr>
      <w:r>
        <w:rPr>
          <w:szCs w:val="18"/>
        </w:rPr>
        <w:tab/>
      </w:r>
      <w:r w:rsidRPr="00B2559A">
        <w:rPr>
          <w:rStyle w:val="FootnoteReference"/>
          <w:szCs w:val="18"/>
        </w:rPr>
        <w:footnoteRef/>
      </w:r>
      <w:r>
        <w:rPr>
          <w:szCs w:val="18"/>
        </w:rPr>
        <w:tab/>
      </w:r>
      <w:r w:rsidRPr="00B2559A">
        <w:rPr>
          <w:szCs w:val="18"/>
        </w:rPr>
        <w:t>See e.g. A/71/364, A/71/355, A/HRC/34/36 and A/HRC/34/39.</w:t>
      </w:r>
    </w:p>
  </w:footnote>
  <w:footnote w:id="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See e.g. A/HRC/31/44, para. 3; A/HRC/28/45, para.3</w:t>
      </w:r>
    </w:p>
  </w:footnote>
  <w:footnote w:id="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Israel ratified ICERD, ICCPR; ICESR; CRC; and CEDAW and CRPD.</w:t>
      </w:r>
    </w:p>
  </w:footnote>
  <w:footnote w:id="6">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Israel is not a party to the 1908 Hague Regulations (HR), </w:t>
      </w:r>
      <w:proofErr w:type="gramStart"/>
      <w:r w:rsidRPr="00B2559A">
        <w:rPr>
          <w:szCs w:val="18"/>
        </w:rPr>
        <w:t>nor</w:t>
      </w:r>
      <w:proofErr w:type="gramEnd"/>
      <w:r w:rsidRPr="00B2559A">
        <w:rPr>
          <w:szCs w:val="18"/>
        </w:rPr>
        <w:t xml:space="preserve"> to the 1977 Additional Protocols (AP) to the Geneva Conventions (GC). </w:t>
      </w:r>
    </w:p>
  </w:footnote>
  <w:footnote w:id="7">
    <w:p w:rsidR="007F20F5" w:rsidRPr="00B2559A" w:rsidRDefault="007F20F5" w:rsidP="00370D1D">
      <w:pPr>
        <w:pStyle w:val="FootnoteText"/>
        <w:tabs>
          <w:tab w:val="left" w:pos="1134"/>
        </w:tabs>
        <w:spacing w:line="240" w:lineRule="auto"/>
        <w:rPr>
          <w:szCs w:val="18"/>
          <w:lang w:val="es-ES"/>
        </w:rPr>
      </w:pPr>
      <w:r w:rsidRPr="006B6C08">
        <w:rPr>
          <w:szCs w:val="18"/>
          <w:lang w:val="en-GB"/>
        </w:rPr>
        <w:tab/>
      </w:r>
      <w:r w:rsidRPr="00B2559A">
        <w:rPr>
          <w:rStyle w:val="FootnoteReference"/>
          <w:szCs w:val="18"/>
        </w:rPr>
        <w:footnoteRef/>
      </w:r>
      <w:r>
        <w:rPr>
          <w:szCs w:val="18"/>
          <w:lang w:val="es-ES"/>
        </w:rPr>
        <w:tab/>
      </w:r>
      <w:r w:rsidRPr="00B2559A">
        <w:rPr>
          <w:szCs w:val="18"/>
          <w:lang w:val="es-ES"/>
        </w:rPr>
        <w:t>A/HRC/12/37, para.7 and A/HRC/8/17, para.8.</w:t>
      </w:r>
    </w:p>
  </w:footnote>
  <w:footnote w:id="8">
    <w:p w:rsidR="007F20F5" w:rsidRPr="00B2559A" w:rsidRDefault="007F20F5" w:rsidP="00370D1D">
      <w:pPr>
        <w:pStyle w:val="FootnoteText"/>
        <w:tabs>
          <w:tab w:val="left" w:pos="1134"/>
        </w:tabs>
        <w:spacing w:line="240" w:lineRule="auto"/>
        <w:rPr>
          <w:szCs w:val="18"/>
          <w:lang w:val="es-ES"/>
        </w:rPr>
      </w:pPr>
      <w:r>
        <w:rPr>
          <w:szCs w:val="18"/>
          <w:lang w:val="es-ES"/>
        </w:rPr>
        <w:tab/>
      </w:r>
      <w:r w:rsidRPr="00B2559A">
        <w:rPr>
          <w:rStyle w:val="FootnoteReference"/>
          <w:szCs w:val="18"/>
        </w:rPr>
        <w:footnoteRef/>
      </w:r>
      <w:r>
        <w:rPr>
          <w:szCs w:val="18"/>
          <w:lang w:val="es-ES"/>
        </w:rPr>
        <w:tab/>
      </w:r>
      <w:r w:rsidRPr="00B2559A">
        <w:rPr>
          <w:szCs w:val="18"/>
          <w:lang w:val="es-ES"/>
        </w:rPr>
        <w:t>A/HRC/8/17 para.9.</w:t>
      </w:r>
    </w:p>
  </w:footnote>
  <w:footnote w:id="9">
    <w:p w:rsidR="007F20F5" w:rsidRPr="006B6C08" w:rsidRDefault="007F20F5" w:rsidP="00370D1D">
      <w:pPr>
        <w:pStyle w:val="FootnoteText"/>
        <w:tabs>
          <w:tab w:val="left" w:pos="1134"/>
        </w:tabs>
        <w:spacing w:line="240" w:lineRule="auto"/>
        <w:rPr>
          <w:szCs w:val="18"/>
          <w:lang w:val="es-ES"/>
        </w:rPr>
      </w:pPr>
      <w:r w:rsidRPr="006B6C08">
        <w:rPr>
          <w:szCs w:val="18"/>
          <w:lang w:val="es-ES"/>
        </w:rPr>
        <w:tab/>
      </w:r>
      <w:r w:rsidRPr="00B2559A">
        <w:rPr>
          <w:rStyle w:val="FootnoteReference"/>
          <w:szCs w:val="18"/>
        </w:rPr>
        <w:footnoteRef/>
      </w:r>
      <w:r>
        <w:rPr>
          <w:szCs w:val="18"/>
        </w:rPr>
        <w:tab/>
      </w:r>
      <w:proofErr w:type="gramStart"/>
      <w:r w:rsidRPr="00B2559A">
        <w:rPr>
          <w:szCs w:val="18"/>
        </w:rPr>
        <w:t>ICJ Advisory Opinion on the Wall (</w:t>
      </w:r>
      <w:r w:rsidRPr="00B2559A">
        <w:rPr>
          <w:i/>
          <w:szCs w:val="18"/>
        </w:rPr>
        <w:t>Wall</w:t>
      </w:r>
      <w:r w:rsidRPr="00B2559A">
        <w:rPr>
          <w:szCs w:val="18"/>
        </w:rPr>
        <w:t xml:space="preserve"> case), para.</w:t>
      </w:r>
      <w:proofErr w:type="gramEnd"/>
      <w:r w:rsidRPr="00B2559A">
        <w:rPr>
          <w:szCs w:val="18"/>
        </w:rPr>
        <w:t xml:space="preserve"> </w:t>
      </w:r>
      <w:r w:rsidRPr="006B6C08">
        <w:rPr>
          <w:szCs w:val="18"/>
          <w:lang w:val="es-ES"/>
        </w:rPr>
        <w:t>109.</w:t>
      </w:r>
    </w:p>
  </w:footnote>
  <w:footnote w:id="10">
    <w:p w:rsidR="007F20F5" w:rsidRPr="00370D1D" w:rsidRDefault="007F20F5" w:rsidP="00370D1D">
      <w:pPr>
        <w:tabs>
          <w:tab w:val="right" w:pos="1021"/>
          <w:tab w:val="left" w:pos="1134"/>
        </w:tabs>
        <w:spacing w:line="240" w:lineRule="auto"/>
        <w:ind w:left="1134" w:hanging="1134"/>
        <w:rPr>
          <w:sz w:val="18"/>
          <w:szCs w:val="18"/>
          <w:lang w:val="es-ES"/>
        </w:rPr>
      </w:pPr>
      <w:r>
        <w:rPr>
          <w:sz w:val="18"/>
          <w:szCs w:val="18"/>
          <w:lang w:val="es-ES"/>
        </w:rPr>
        <w:tab/>
      </w:r>
      <w:r w:rsidRPr="00B2559A">
        <w:rPr>
          <w:sz w:val="18"/>
          <w:szCs w:val="18"/>
          <w:vertAlign w:val="superscript"/>
        </w:rPr>
        <w:footnoteRef/>
      </w:r>
      <w:r>
        <w:rPr>
          <w:sz w:val="18"/>
          <w:szCs w:val="18"/>
          <w:lang w:val="es-ES"/>
        </w:rPr>
        <w:tab/>
      </w:r>
      <w:proofErr w:type="spellStart"/>
      <w:r w:rsidRPr="00370D1D">
        <w:rPr>
          <w:sz w:val="18"/>
          <w:szCs w:val="18"/>
          <w:lang w:val="es-ES"/>
        </w:rPr>
        <w:t>e.g</w:t>
      </w:r>
      <w:proofErr w:type="spellEnd"/>
      <w:r w:rsidRPr="00370D1D">
        <w:rPr>
          <w:sz w:val="18"/>
          <w:szCs w:val="18"/>
          <w:lang w:val="es-ES"/>
        </w:rPr>
        <w:t xml:space="preserve">. E/C.12/1/Add.27, para.8; </w:t>
      </w:r>
      <w:r w:rsidRPr="00370D1D">
        <w:rPr>
          <w:i/>
          <w:sz w:val="18"/>
          <w:szCs w:val="18"/>
          <w:lang w:val="es-ES"/>
        </w:rPr>
        <w:t>Wall</w:t>
      </w:r>
      <w:r w:rsidRPr="00370D1D">
        <w:rPr>
          <w:sz w:val="18"/>
          <w:szCs w:val="18"/>
          <w:lang w:val="es-ES"/>
        </w:rPr>
        <w:t xml:space="preserve"> case, para.112.</w:t>
      </w:r>
    </w:p>
  </w:footnote>
  <w:footnote w:id="11">
    <w:p w:rsidR="007F20F5" w:rsidRPr="0073798E" w:rsidRDefault="007F20F5" w:rsidP="00370D1D">
      <w:pPr>
        <w:pStyle w:val="FootnoteText"/>
        <w:tabs>
          <w:tab w:val="left" w:pos="1134"/>
        </w:tabs>
      </w:pPr>
      <w:r>
        <w:rPr>
          <w:lang w:val="es-ES"/>
        </w:rPr>
        <w:tab/>
      </w:r>
      <w:r>
        <w:rPr>
          <w:rStyle w:val="FootnoteReference"/>
        </w:rPr>
        <w:footnoteRef/>
      </w:r>
      <w:r w:rsidRPr="006B6C08">
        <w:rPr>
          <w:lang w:val="en-GB"/>
        </w:rPr>
        <w:tab/>
      </w:r>
      <w:r>
        <w:t xml:space="preserve"> General Assembly Resolution 71/98 (A/RES/71/98)</w:t>
      </w:r>
    </w:p>
  </w:footnote>
  <w:footnote w:id="12">
    <w:p w:rsidR="007F20F5" w:rsidRPr="00BA3D50"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r w:rsidRPr="00BA3D50">
        <w:rPr>
          <w:rFonts w:eastAsia="Times New Roman"/>
          <w:szCs w:val="18"/>
          <w:lang w:eastAsia="en-US"/>
        </w:rPr>
        <w:t>A/69/348, para.5; see also A/HRC/28/44, para.6.</w:t>
      </w:r>
    </w:p>
  </w:footnote>
  <w:footnote w:id="13">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proofErr w:type="gramStart"/>
      <w:r w:rsidRPr="00BA3D50">
        <w:rPr>
          <w:rFonts w:eastAsia="Times New Roman"/>
          <w:szCs w:val="18"/>
          <w:lang w:val="pt-PT" w:eastAsia="en-US"/>
        </w:rPr>
        <w:t>e.g.</w:t>
      </w:r>
      <w:proofErr w:type="gramEnd"/>
      <w:r w:rsidRPr="00BA3D50">
        <w:rPr>
          <w:rFonts w:eastAsia="Times New Roman"/>
          <w:szCs w:val="18"/>
          <w:lang w:val="pt-PT" w:eastAsia="en-US"/>
        </w:rPr>
        <w:t xml:space="preserve"> A/HRC/8/17, para.</w:t>
      </w:r>
      <w:r w:rsidRPr="00BA3D50">
        <w:rPr>
          <w:szCs w:val="18"/>
          <w:lang w:val="pt-PT"/>
        </w:rPr>
        <w:t>7, and A/HRC/12/37, para.5-6.</w:t>
      </w:r>
    </w:p>
  </w:footnote>
  <w:footnote w:id="14">
    <w:p w:rsidR="007F20F5" w:rsidRPr="00BA3D50" w:rsidRDefault="007F20F5" w:rsidP="00370D1D">
      <w:pPr>
        <w:pStyle w:val="FootnoteText"/>
        <w:tabs>
          <w:tab w:val="left" w:pos="1134"/>
        </w:tabs>
        <w:spacing w:line="240" w:lineRule="auto"/>
        <w:rPr>
          <w:szCs w:val="18"/>
          <w:lang w:val="en-GB"/>
        </w:rPr>
      </w:pPr>
      <w:r>
        <w:rPr>
          <w:szCs w:val="18"/>
          <w:lang w:val="en-GB"/>
        </w:rPr>
        <w:tab/>
      </w:r>
      <w:r w:rsidRPr="00B2559A">
        <w:rPr>
          <w:rStyle w:val="FootnoteReference"/>
          <w:szCs w:val="18"/>
        </w:rPr>
        <w:footnoteRef/>
      </w:r>
      <w:r>
        <w:rPr>
          <w:szCs w:val="18"/>
          <w:lang w:val="en-GB"/>
        </w:rPr>
        <w:tab/>
      </w:r>
      <w:r w:rsidRPr="00BA3D50">
        <w:rPr>
          <w:szCs w:val="18"/>
          <w:lang w:val="en-GB"/>
        </w:rPr>
        <w:t>Human Rights Committee (CCPR), General Comment 31 (2005), para.10; see concluding observations on Israel’s periodic reports: E/C.12/1/Add.90, para.</w:t>
      </w:r>
      <w:r w:rsidRPr="00BA3D50">
        <w:rPr>
          <w:rFonts w:eastAsia="Times New Roman"/>
          <w:szCs w:val="18"/>
          <w:lang w:val="en-GB" w:eastAsia="en-US"/>
        </w:rPr>
        <w:t>31; CCPR/C/ISR/CO/4, para.5; CRC/C/ISR/CO/2-4, para.3; CAT/C/ISR/CO/4, para.11; CERD/C/ISR/CO/14-16, para.</w:t>
      </w:r>
      <w:r w:rsidRPr="00BA3D50">
        <w:rPr>
          <w:szCs w:val="18"/>
          <w:lang w:val="en-GB"/>
        </w:rPr>
        <w:t>10.</w:t>
      </w:r>
    </w:p>
  </w:footnote>
  <w:footnote w:id="15">
    <w:p w:rsidR="007F20F5" w:rsidRPr="00B2559A" w:rsidRDefault="007F20F5" w:rsidP="00370D1D">
      <w:pPr>
        <w:pStyle w:val="FootnoteText"/>
        <w:widowControl w:val="0"/>
        <w:tabs>
          <w:tab w:val="left" w:pos="1134"/>
        </w:tabs>
        <w:rPr>
          <w:szCs w:val="18"/>
          <w:lang w:val="es-ES"/>
        </w:rPr>
      </w:pPr>
      <w:r w:rsidRPr="006B6C08">
        <w:rPr>
          <w:rFonts w:eastAsia="Times New Roman"/>
          <w:i/>
          <w:szCs w:val="18"/>
          <w:lang w:eastAsia="en-US"/>
        </w:rPr>
        <w:tab/>
      </w:r>
      <w:r w:rsidRPr="00B2559A">
        <w:rPr>
          <w:rStyle w:val="FootnoteReference"/>
          <w:szCs w:val="18"/>
        </w:rPr>
        <w:footnoteRef/>
      </w:r>
      <w:r>
        <w:rPr>
          <w:rFonts w:eastAsia="Times New Roman"/>
          <w:i/>
          <w:szCs w:val="18"/>
          <w:lang w:val="es-ES" w:eastAsia="en-US"/>
        </w:rPr>
        <w:tab/>
      </w:r>
      <w:proofErr w:type="spellStart"/>
      <w:r w:rsidRPr="00B2559A">
        <w:rPr>
          <w:rFonts w:eastAsia="Times New Roman"/>
          <w:i/>
          <w:szCs w:val="18"/>
          <w:lang w:val="es-ES" w:eastAsia="en-US"/>
        </w:rPr>
        <w:t>Ibid</w:t>
      </w:r>
      <w:proofErr w:type="spellEnd"/>
      <w:r w:rsidRPr="00B2559A">
        <w:rPr>
          <w:rFonts w:eastAsia="Times New Roman"/>
          <w:szCs w:val="18"/>
          <w:lang w:val="es-ES" w:eastAsia="en-US"/>
        </w:rPr>
        <w:t>, para.110-113.</w:t>
      </w:r>
    </w:p>
  </w:footnote>
  <w:footnote w:id="16">
    <w:p w:rsidR="007F20F5" w:rsidRPr="00B2559A" w:rsidRDefault="007F20F5" w:rsidP="00370D1D">
      <w:pPr>
        <w:tabs>
          <w:tab w:val="right" w:pos="1021"/>
          <w:tab w:val="left" w:pos="1134"/>
        </w:tabs>
        <w:spacing w:line="240" w:lineRule="auto"/>
        <w:ind w:left="1134" w:hanging="1134"/>
        <w:rPr>
          <w:sz w:val="18"/>
          <w:szCs w:val="18"/>
          <w:lang w:val="es-ES"/>
        </w:rPr>
      </w:pPr>
      <w:r>
        <w:rPr>
          <w:sz w:val="18"/>
          <w:szCs w:val="18"/>
          <w:lang w:val="es-ES"/>
        </w:rPr>
        <w:tab/>
      </w:r>
      <w:r w:rsidRPr="00B2559A">
        <w:rPr>
          <w:sz w:val="18"/>
          <w:szCs w:val="18"/>
          <w:vertAlign w:val="superscript"/>
        </w:rPr>
        <w:footnoteRef/>
      </w:r>
      <w:r>
        <w:rPr>
          <w:sz w:val="18"/>
          <w:szCs w:val="18"/>
          <w:lang w:val="es-ES"/>
        </w:rPr>
        <w:tab/>
      </w:r>
      <w:r w:rsidRPr="00B2559A">
        <w:rPr>
          <w:sz w:val="18"/>
          <w:szCs w:val="18"/>
          <w:lang w:val="es-ES"/>
        </w:rPr>
        <w:t xml:space="preserve">ICJ </w:t>
      </w:r>
      <w:r w:rsidRPr="00B2559A">
        <w:rPr>
          <w:i/>
          <w:sz w:val="18"/>
          <w:szCs w:val="18"/>
          <w:lang w:val="es-ES"/>
        </w:rPr>
        <w:t>Wall</w:t>
      </w:r>
      <w:r w:rsidRPr="00B2559A">
        <w:rPr>
          <w:sz w:val="18"/>
          <w:szCs w:val="18"/>
          <w:lang w:val="es-ES"/>
        </w:rPr>
        <w:t xml:space="preserve"> case, para.112. </w:t>
      </w:r>
    </w:p>
  </w:footnote>
  <w:footnote w:id="17">
    <w:p w:rsidR="007F20F5" w:rsidRPr="00B2559A" w:rsidRDefault="007F20F5" w:rsidP="00370D1D">
      <w:pPr>
        <w:pStyle w:val="FootnoteText"/>
        <w:tabs>
          <w:tab w:val="left" w:pos="1134"/>
        </w:tabs>
        <w:spacing w:line="240" w:lineRule="auto"/>
        <w:rPr>
          <w:szCs w:val="18"/>
          <w:lang w:val="es-ES"/>
        </w:rPr>
      </w:pPr>
      <w:r>
        <w:rPr>
          <w:szCs w:val="18"/>
          <w:lang w:val="es-ES"/>
        </w:rPr>
        <w:tab/>
      </w:r>
      <w:r w:rsidRPr="00B2559A">
        <w:rPr>
          <w:rStyle w:val="FootnoteReference"/>
          <w:szCs w:val="18"/>
        </w:rPr>
        <w:footnoteRef/>
      </w:r>
      <w:r>
        <w:rPr>
          <w:szCs w:val="18"/>
          <w:lang w:val="es-ES"/>
        </w:rPr>
        <w:tab/>
      </w:r>
      <w:r w:rsidRPr="00B2559A">
        <w:rPr>
          <w:szCs w:val="18"/>
          <w:lang w:val="es-ES"/>
        </w:rPr>
        <w:t>A/HRC/28/44, para.6; A/69/348, para.5.</w:t>
      </w:r>
    </w:p>
  </w:footnote>
  <w:footnote w:id="18">
    <w:p w:rsidR="007F20F5" w:rsidRPr="00B2559A" w:rsidRDefault="007F20F5" w:rsidP="00370D1D">
      <w:pPr>
        <w:pStyle w:val="FootnoteText"/>
        <w:tabs>
          <w:tab w:val="left" w:pos="1134"/>
        </w:tabs>
        <w:spacing w:line="240" w:lineRule="auto"/>
        <w:rPr>
          <w:szCs w:val="18"/>
        </w:rPr>
      </w:pPr>
      <w:r>
        <w:rPr>
          <w:szCs w:val="18"/>
          <w:lang w:val="es-ES"/>
        </w:rPr>
        <w:tab/>
      </w:r>
      <w:r w:rsidRPr="00B2559A">
        <w:rPr>
          <w:rStyle w:val="FootnoteReference"/>
          <w:szCs w:val="18"/>
        </w:rPr>
        <w:footnoteRef/>
      </w:r>
      <w:r w:rsidRPr="006B6C08">
        <w:rPr>
          <w:szCs w:val="18"/>
          <w:lang w:val="en-GB"/>
        </w:rPr>
        <w:tab/>
      </w:r>
      <w:proofErr w:type="gramStart"/>
      <w:r w:rsidRPr="00B2559A">
        <w:rPr>
          <w:szCs w:val="18"/>
        </w:rPr>
        <w:t xml:space="preserve">ICJ Advisory Opinion on </w:t>
      </w:r>
      <w:r w:rsidRPr="00B2559A">
        <w:rPr>
          <w:i/>
          <w:szCs w:val="18"/>
        </w:rPr>
        <w:t>Nuclear Weapons</w:t>
      </w:r>
      <w:r w:rsidRPr="00B2559A">
        <w:rPr>
          <w:szCs w:val="18"/>
        </w:rPr>
        <w:t xml:space="preserve">, para.25; ICJ </w:t>
      </w:r>
      <w:r w:rsidRPr="00B2559A">
        <w:rPr>
          <w:i/>
          <w:szCs w:val="18"/>
        </w:rPr>
        <w:t xml:space="preserve">Wall </w:t>
      </w:r>
      <w:r w:rsidRPr="00B2559A">
        <w:rPr>
          <w:szCs w:val="18"/>
        </w:rPr>
        <w:t>case, para.106.</w:t>
      </w:r>
      <w:proofErr w:type="gramEnd"/>
    </w:p>
  </w:footnote>
  <w:footnote w:id="19">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A/HRC/12/37, para.6 (with references).</w:t>
      </w:r>
      <w:proofErr w:type="gramEnd"/>
      <w:r w:rsidRPr="00B2559A">
        <w:rPr>
          <w:szCs w:val="18"/>
        </w:rPr>
        <w:t xml:space="preserve"> </w:t>
      </w:r>
    </w:p>
  </w:footnote>
  <w:footnote w:id="2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Although Israel is not a party to </w:t>
      </w:r>
      <w:proofErr w:type="gramStart"/>
      <w:r w:rsidRPr="00B2559A">
        <w:rPr>
          <w:szCs w:val="18"/>
        </w:rPr>
        <w:t>the</w:t>
      </w:r>
      <w:proofErr w:type="gramEnd"/>
      <w:r w:rsidRPr="00B2559A">
        <w:rPr>
          <w:szCs w:val="18"/>
        </w:rPr>
        <w:t xml:space="preserve"> Hague Regulations, the rules contained therein are applicable as they are considered customary law. </w:t>
      </w:r>
      <w:proofErr w:type="gramStart"/>
      <w:r w:rsidRPr="00B2559A">
        <w:rPr>
          <w:szCs w:val="18"/>
        </w:rPr>
        <w:t xml:space="preserve">While Israel has disputed the </w:t>
      </w:r>
      <w:r w:rsidRPr="00B2559A">
        <w:rPr>
          <w:i/>
          <w:szCs w:val="18"/>
        </w:rPr>
        <w:t xml:space="preserve">de jure </w:t>
      </w:r>
      <w:r w:rsidRPr="00B2559A">
        <w:rPr>
          <w:szCs w:val="18"/>
        </w:rPr>
        <w:t>application of the law of occupation based on an interpretation of Art.</w:t>
      </w:r>
      <w:proofErr w:type="gramEnd"/>
      <w:r w:rsidRPr="00B2559A">
        <w:rPr>
          <w:szCs w:val="18"/>
        </w:rPr>
        <w:t xml:space="preserve"> 2 Common to the GC - which has been rejected by various international entities – it has nevertheless been applying selected provisions of the Fourth Geneva Convention (GC IV).</w:t>
      </w:r>
    </w:p>
  </w:footnote>
  <w:footnote w:id="21">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ICJ </w:t>
      </w:r>
      <w:r w:rsidRPr="00B2559A">
        <w:rPr>
          <w:i/>
          <w:szCs w:val="18"/>
        </w:rPr>
        <w:t>Wall</w:t>
      </w:r>
      <w:r w:rsidRPr="00B2559A">
        <w:rPr>
          <w:szCs w:val="18"/>
        </w:rPr>
        <w:t xml:space="preserve"> case, para.101; SC resolutions (e.g. 1860(2009) and 2334(2016)); GA resolutions (e.g. 62/181, 63/98); HRC resolutions (e.g. 10/18); Secretary-General’s reports (e.g. A/HRC/12/37, para.9; A/HRC/8/17, para.5); Declaration of 17 December 2014 adopted by Conference of High Contracting Parties to GC IV</w:t>
      </w:r>
    </w:p>
  </w:footnote>
  <w:footnote w:id="22">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SC resolutions 478</w:t>
      </w:r>
      <w:r>
        <w:rPr>
          <w:szCs w:val="18"/>
        </w:rPr>
        <w:t xml:space="preserve"> </w:t>
      </w:r>
      <w:r w:rsidRPr="00B2559A">
        <w:rPr>
          <w:szCs w:val="18"/>
        </w:rPr>
        <w:t>(1980), 476</w:t>
      </w:r>
      <w:r>
        <w:rPr>
          <w:szCs w:val="18"/>
        </w:rPr>
        <w:t xml:space="preserve"> </w:t>
      </w:r>
      <w:r w:rsidRPr="00B2559A">
        <w:rPr>
          <w:szCs w:val="18"/>
        </w:rPr>
        <w:t xml:space="preserve">(1980); GA resolution </w:t>
      </w:r>
      <w:r>
        <w:rPr>
          <w:szCs w:val="18"/>
        </w:rPr>
        <w:t>70</w:t>
      </w:r>
      <w:r w:rsidRPr="00B2559A">
        <w:rPr>
          <w:szCs w:val="18"/>
        </w:rPr>
        <w:t>/</w:t>
      </w:r>
      <w:r>
        <w:rPr>
          <w:szCs w:val="18"/>
        </w:rPr>
        <w:t>88 and 71/96 (A/RES/71/96).</w:t>
      </w:r>
      <w:proofErr w:type="gramEnd"/>
    </w:p>
  </w:footnote>
  <w:footnote w:id="23">
    <w:p w:rsidR="007F20F5" w:rsidRPr="00B2559A" w:rsidRDefault="007F20F5" w:rsidP="002540DA">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3 Common to GC.</w:t>
      </w:r>
      <w:proofErr w:type="gramEnd"/>
    </w:p>
  </w:footnote>
  <w:footnote w:id="24">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ICRC Customary Law Study, Rules 1–15.   </w:t>
      </w:r>
    </w:p>
  </w:footnote>
  <w:footnote w:id="25">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 Common to GC.</w:t>
      </w:r>
      <w:proofErr w:type="gramEnd"/>
    </w:p>
  </w:footnote>
  <w:footnote w:id="26">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ICRC Commentary to Art.</w:t>
      </w:r>
      <w:proofErr w:type="gramEnd"/>
      <w:r w:rsidRPr="00B2559A">
        <w:rPr>
          <w:szCs w:val="18"/>
        </w:rPr>
        <w:t xml:space="preserve"> 1 common to the GC, 2016, para.154; Declaration of the Conference of the High Contracting Parties to GC IV, 5 December 2001, para.4; ICJ </w:t>
      </w:r>
      <w:r w:rsidRPr="00B2559A">
        <w:rPr>
          <w:i/>
          <w:szCs w:val="18"/>
        </w:rPr>
        <w:t xml:space="preserve">Wall </w:t>
      </w:r>
      <w:r w:rsidRPr="00B2559A">
        <w:rPr>
          <w:szCs w:val="18"/>
        </w:rPr>
        <w:t xml:space="preserve">case, para. </w:t>
      </w:r>
      <w:proofErr w:type="gramStart"/>
      <w:r w:rsidRPr="00B2559A">
        <w:rPr>
          <w:szCs w:val="18"/>
        </w:rPr>
        <w:t xml:space="preserve">158-159 and ICJ </w:t>
      </w:r>
      <w:r w:rsidRPr="00B2559A">
        <w:rPr>
          <w:i/>
          <w:szCs w:val="18"/>
        </w:rPr>
        <w:t>Nicaragua</w:t>
      </w:r>
      <w:r w:rsidRPr="00B2559A">
        <w:rPr>
          <w:szCs w:val="18"/>
        </w:rPr>
        <w:t xml:space="preserve"> Case, para.220.</w:t>
      </w:r>
      <w:proofErr w:type="gramEnd"/>
    </w:p>
  </w:footnote>
  <w:footnote w:id="27">
    <w:p w:rsidR="007F20F5" w:rsidRPr="00B2559A" w:rsidRDefault="007F20F5" w:rsidP="002540DA">
      <w:pPr>
        <w:pStyle w:val="FootnoteText"/>
        <w:tabs>
          <w:tab w:val="left" w:pos="1134"/>
        </w:tabs>
        <w:rPr>
          <w:szCs w:val="18"/>
        </w:rPr>
      </w:pPr>
      <w:r>
        <w:rPr>
          <w:szCs w:val="18"/>
        </w:rPr>
        <w:tab/>
      </w:r>
      <w:r w:rsidRPr="00B2559A">
        <w:rPr>
          <w:rStyle w:val="FootnoteReference"/>
          <w:szCs w:val="18"/>
        </w:rPr>
        <w:footnoteRef/>
      </w:r>
      <w:r>
        <w:rPr>
          <w:szCs w:val="18"/>
        </w:rPr>
        <w:tab/>
      </w:r>
      <w:proofErr w:type="gramStart"/>
      <w:r w:rsidRPr="00B2559A">
        <w:rPr>
          <w:szCs w:val="18"/>
        </w:rPr>
        <w:t>See e.g. S/RES/2334(2016) and S/RES/465(1980); A/RES/70/89, OP 9 and 10; Declaration of the Conference of the High Contracting Parties to GC IV, 17 December 2014, para.4.</w:t>
      </w:r>
      <w:proofErr w:type="gramEnd"/>
    </w:p>
  </w:footnote>
  <w:footnote w:id="28">
    <w:p w:rsidR="007F20F5" w:rsidRPr="00B2559A" w:rsidRDefault="007F20F5" w:rsidP="002540DA">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4 GC IV.</w:t>
      </w:r>
      <w:proofErr w:type="gramEnd"/>
      <w:r w:rsidRPr="00B2559A">
        <w:rPr>
          <w:szCs w:val="18"/>
        </w:rPr>
        <w:t xml:space="preserve"> </w:t>
      </w:r>
    </w:p>
  </w:footnote>
  <w:footnote w:id="29">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Hague Regulations Art.</w:t>
      </w:r>
      <w:proofErr w:type="gramEnd"/>
      <w:r>
        <w:rPr>
          <w:szCs w:val="18"/>
        </w:rPr>
        <w:t xml:space="preserve"> </w:t>
      </w:r>
      <w:r w:rsidRPr="00B2559A">
        <w:rPr>
          <w:szCs w:val="18"/>
        </w:rPr>
        <w:t>43,</w:t>
      </w:r>
      <w:r>
        <w:rPr>
          <w:szCs w:val="18"/>
        </w:rPr>
        <w:t xml:space="preserve"> </w:t>
      </w:r>
      <w:r w:rsidRPr="00B2559A">
        <w:rPr>
          <w:szCs w:val="18"/>
        </w:rPr>
        <w:t>46</w:t>
      </w:r>
    </w:p>
  </w:footnote>
  <w:footnote w:id="30">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D. </w:t>
      </w:r>
      <w:proofErr w:type="spellStart"/>
      <w:r w:rsidRPr="00B2559A">
        <w:rPr>
          <w:szCs w:val="18"/>
        </w:rPr>
        <w:t>Kretzmer</w:t>
      </w:r>
      <w:proofErr w:type="spellEnd"/>
      <w:r w:rsidRPr="00B2559A">
        <w:rPr>
          <w:szCs w:val="18"/>
        </w:rPr>
        <w:t xml:space="preserve">, “The law of belligerent occupation in the Supreme Court of Israel”, International Review of the Red Cross, Vol. 94, Nr. 885, Spring 2012, p. 216-217. </w:t>
      </w:r>
    </w:p>
  </w:footnote>
  <w:footnote w:id="31">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55(1) GC IV regarding food and medical supplies; see also Art. </w:t>
      </w:r>
      <w:proofErr w:type="gramStart"/>
      <w:r w:rsidRPr="00B2559A">
        <w:rPr>
          <w:szCs w:val="18"/>
        </w:rPr>
        <w:t>56 GC IV regarding duty to ensure and maintain medical services; see also Art.</w:t>
      </w:r>
      <w:proofErr w:type="gramEnd"/>
      <w:r w:rsidRPr="00B2559A">
        <w:rPr>
          <w:szCs w:val="18"/>
        </w:rPr>
        <w:t xml:space="preserve"> </w:t>
      </w:r>
      <w:proofErr w:type="gramStart"/>
      <w:r w:rsidRPr="00B2559A">
        <w:rPr>
          <w:szCs w:val="18"/>
        </w:rPr>
        <w:t>50 GC IV for duty to facilitate proper working of education institutions.</w:t>
      </w:r>
      <w:proofErr w:type="gramEnd"/>
    </w:p>
  </w:footnote>
  <w:footnote w:id="32">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59 GC IV; ICRC Customary Law Study, Rule 55.</w:t>
      </w:r>
      <w:proofErr w:type="gramEnd"/>
      <w:r w:rsidRPr="00B2559A">
        <w:rPr>
          <w:szCs w:val="18"/>
        </w:rPr>
        <w:t xml:space="preserve"> As consent of the occupying power remains necessary, it cannot be withheld on grounds</w:t>
      </w:r>
      <w:r>
        <w:rPr>
          <w:szCs w:val="18"/>
        </w:rPr>
        <w:t xml:space="preserve"> other than those set out in art.59 GC IV</w:t>
      </w:r>
      <w:r w:rsidRPr="00B2559A">
        <w:rPr>
          <w:szCs w:val="18"/>
        </w:rPr>
        <w:t>.</w:t>
      </w:r>
    </w:p>
  </w:footnote>
  <w:footnote w:id="33">
    <w:p w:rsidR="007F20F5" w:rsidRDefault="007F20F5" w:rsidP="002540DA">
      <w:pPr>
        <w:pStyle w:val="FootnoteText"/>
        <w:tabs>
          <w:tab w:val="left" w:pos="1134"/>
        </w:tabs>
      </w:pPr>
      <w:r>
        <w:tab/>
      </w:r>
      <w:r>
        <w:rPr>
          <w:rStyle w:val="FootnoteReference"/>
        </w:rPr>
        <w:footnoteRef/>
      </w:r>
      <w:r>
        <w:tab/>
        <w:t>Art. 27 GC IV</w:t>
      </w:r>
    </w:p>
  </w:footnote>
  <w:footnote w:id="34">
    <w:p w:rsidR="007F20F5" w:rsidRPr="00B2559A" w:rsidRDefault="007F20F5" w:rsidP="002540DA">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27 GC IV and 1958 Commentary thereto, p. 201.</w:t>
      </w:r>
      <w:proofErr w:type="gramEnd"/>
    </w:p>
  </w:footnote>
  <w:footnote w:id="3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ICRC, “Contemporary challenges to IHL – Occupation: Overview” June 2012.</w:t>
      </w:r>
    </w:p>
  </w:footnote>
  <w:footnote w:id="36">
    <w:p w:rsidR="007F20F5" w:rsidRPr="00154CFC" w:rsidRDefault="007F20F5" w:rsidP="00370D1D">
      <w:pPr>
        <w:pStyle w:val="FootnoteText"/>
        <w:tabs>
          <w:tab w:val="left" w:pos="1134"/>
        </w:tabs>
        <w:spacing w:line="240" w:lineRule="auto"/>
        <w:rPr>
          <w:szCs w:val="18"/>
          <w:lang w:val="en-GB"/>
        </w:rPr>
      </w:pPr>
      <w:r>
        <w:rPr>
          <w:szCs w:val="18"/>
          <w:lang w:val="en-GB"/>
        </w:rPr>
        <w:tab/>
      </w:r>
      <w:r w:rsidRPr="00B2559A">
        <w:rPr>
          <w:rStyle w:val="FootnoteReference"/>
          <w:szCs w:val="18"/>
        </w:rPr>
        <w:footnoteRef/>
      </w:r>
      <w:r>
        <w:rPr>
          <w:szCs w:val="18"/>
          <w:lang w:val="en-GB"/>
        </w:rPr>
        <w:tab/>
      </w:r>
      <w:proofErr w:type="gramStart"/>
      <w:r w:rsidRPr="008B648B">
        <w:rPr>
          <w:szCs w:val="18"/>
          <w:lang w:val="en-GB"/>
        </w:rPr>
        <w:t>A/HRC/34/39; A/71/355, para.</w:t>
      </w:r>
      <w:proofErr w:type="gramEnd"/>
      <w:r w:rsidRPr="008B648B">
        <w:rPr>
          <w:szCs w:val="18"/>
          <w:lang w:val="en-GB"/>
        </w:rPr>
        <w:t xml:space="preserve"> 34. </w:t>
      </w:r>
    </w:p>
  </w:footnote>
  <w:footnote w:id="37">
    <w:p w:rsidR="007F20F5" w:rsidRPr="00B2559A" w:rsidRDefault="007F20F5" w:rsidP="00370D1D">
      <w:pPr>
        <w:pStyle w:val="FootnoteText"/>
        <w:tabs>
          <w:tab w:val="left" w:pos="1134"/>
        </w:tabs>
        <w:rPr>
          <w:szCs w:val="18"/>
          <w:lang w:val="en-GB"/>
        </w:rPr>
      </w:pPr>
      <w:r>
        <w:rPr>
          <w:szCs w:val="18"/>
        </w:rPr>
        <w:tab/>
      </w:r>
      <w:r w:rsidRPr="00B2559A">
        <w:rPr>
          <w:rStyle w:val="FootnoteReference"/>
          <w:szCs w:val="18"/>
        </w:rPr>
        <w:footnoteRef/>
      </w:r>
      <w:r>
        <w:rPr>
          <w:szCs w:val="18"/>
        </w:rPr>
        <w:tab/>
      </w:r>
      <w:r w:rsidRPr="00B2559A">
        <w:rPr>
          <w:szCs w:val="18"/>
          <w:lang w:val="en-GB"/>
        </w:rPr>
        <w:t>S/13450 Report of the Security Council Commission established under resolution 446(1979)</w:t>
      </w:r>
    </w:p>
  </w:footnote>
  <w:footnote w:id="38">
    <w:p w:rsidR="007F20F5" w:rsidRPr="00BA3D50" w:rsidRDefault="007F20F5" w:rsidP="00370D1D">
      <w:pPr>
        <w:pStyle w:val="FootnoteText"/>
        <w:tabs>
          <w:tab w:val="left" w:pos="1134"/>
        </w:tabs>
        <w:spacing w:line="240" w:lineRule="auto"/>
        <w:rPr>
          <w:szCs w:val="18"/>
          <w:lang w:val="pt-PT"/>
        </w:rPr>
      </w:pPr>
      <w:r>
        <w:rPr>
          <w:szCs w:val="18"/>
          <w:lang w:val="en-GB"/>
        </w:rPr>
        <w:tab/>
      </w:r>
      <w:r w:rsidRPr="00B2559A">
        <w:rPr>
          <w:rStyle w:val="FootnoteReference"/>
          <w:szCs w:val="18"/>
        </w:rPr>
        <w:footnoteRef/>
      </w:r>
      <w:r>
        <w:rPr>
          <w:szCs w:val="18"/>
          <w:lang w:val="en-GB"/>
        </w:rPr>
        <w:tab/>
      </w:r>
      <w:r w:rsidRPr="00BA3D50">
        <w:rPr>
          <w:szCs w:val="18"/>
          <w:lang w:val="pt-PT"/>
        </w:rPr>
        <w:t>Quartet report, 2016, p.4.</w:t>
      </w:r>
    </w:p>
  </w:footnote>
  <w:footnote w:id="39">
    <w:p w:rsidR="007F20F5" w:rsidRPr="00BA3D50" w:rsidRDefault="007F20F5" w:rsidP="00370D1D">
      <w:pPr>
        <w:pStyle w:val="FootnoteText"/>
        <w:tabs>
          <w:tab w:val="left" w:pos="1134"/>
        </w:tabs>
        <w:spacing w:line="240" w:lineRule="auto"/>
        <w:rPr>
          <w:szCs w:val="18"/>
          <w:lang w:val="pt-PT"/>
        </w:rPr>
      </w:pPr>
      <w:r>
        <w:rPr>
          <w:szCs w:val="18"/>
          <w:lang w:val="pt-PT"/>
        </w:rPr>
        <w:tab/>
      </w:r>
      <w:r w:rsidRPr="00B2559A">
        <w:rPr>
          <w:rStyle w:val="FootnoteReference"/>
          <w:szCs w:val="18"/>
        </w:rPr>
        <w:footnoteRef/>
      </w:r>
      <w:r>
        <w:rPr>
          <w:szCs w:val="18"/>
          <w:lang w:val="pt-PT"/>
        </w:rPr>
        <w:tab/>
      </w:r>
      <w:r w:rsidRPr="00BA3D50">
        <w:rPr>
          <w:szCs w:val="18"/>
          <w:lang w:val="pt-PT"/>
        </w:rPr>
        <w:t xml:space="preserve">A/HRC/34/39, </w:t>
      </w:r>
      <w:proofErr w:type="gramStart"/>
      <w:r w:rsidRPr="00BA3D50">
        <w:rPr>
          <w:szCs w:val="18"/>
          <w:lang w:val="pt-PT"/>
        </w:rPr>
        <w:t>para.</w:t>
      </w:r>
      <w:proofErr w:type="gramEnd"/>
      <w:r w:rsidRPr="00BA3D50">
        <w:rPr>
          <w:szCs w:val="18"/>
          <w:lang w:val="pt-PT"/>
        </w:rPr>
        <w:t xml:space="preserve">33; A/71/355, para.10-14; Quartet report, 2016, p. 5. </w:t>
      </w:r>
    </w:p>
  </w:footnote>
  <w:footnote w:id="40">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A/68/513, para. 24; A/71/355, para. 4; see also A/HRC/22/63 para. </w:t>
      </w:r>
      <w:r w:rsidRPr="00BA3D50">
        <w:rPr>
          <w:szCs w:val="18"/>
          <w:lang w:val="pt-PT"/>
        </w:rPr>
        <w:t>19, 22 and 97.</w:t>
      </w:r>
    </w:p>
  </w:footnote>
  <w:footnote w:id="41">
    <w:p w:rsidR="007F20F5" w:rsidRPr="00B2559A" w:rsidRDefault="007F20F5" w:rsidP="00370D1D">
      <w:pPr>
        <w:pStyle w:val="FootnoteText"/>
        <w:tabs>
          <w:tab w:val="left" w:pos="1134"/>
        </w:tabs>
        <w:spacing w:line="240" w:lineRule="auto"/>
        <w:jc w:val="both"/>
        <w:rPr>
          <w:szCs w:val="18"/>
        </w:rPr>
      </w:pPr>
      <w:r>
        <w:rPr>
          <w:szCs w:val="18"/>
          <w:lang w:val="pt-PT"/>
        </w:rPr>
        <w:tab/>
      </w:r>
      <w:r w:rsidRPr="00B2559A">
        <w:rPr>
          <w:rStyle w:val="FootnoteReference"/>
          <w:szCs w:val="18"/>
        </w:rPr>
        <w:footnoteRef/>
      </w:r>
      <w:r>
        <w:rPr>
          <w:szCs w:val="18"/>
          <w:lang w:val="pt-PT"/>
        </w:rPr>
        <w:tab/>
      </w:r>
      <w:r w:rsidRPr="00BA3D50">
        <w:rPr>
          <w:szCs w:val="18"/>
          <w:lang w:val="pt-PT"/>
        </w:rPr>
        <w:t xml:space="preserve">A/69/348 para. 33-35; A/70/351 para. </w:t>
      </w:r>
      <w:r w:rsidRPr="006B6C08">
        <w:rPr>
          <w:szCs w:val="18"/>
          <w:lang w:val="en-GB"/>
        </w:rPr>
        <w:t xml:space="preserve">33-36, A/71/355, para. </w:t>
      </w:r>
      <w:r w:rsidRPr="00B2559A">
        <w:rPr>
          <w:szCs w:val="18"/>
        </w:rPr>
        <w:t>4</w:t>
      </w:r>
      <w:r>
        <w:rPr>
          <w:szCs w:val="18"/>
        </w:rPr>
        <w:t>.</w:t>
      </w:r>
    </w:p>
  </w:footnote>
  <w:footnote w:id="42">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A/68/513, para.15-16; see </w:t>
      </w:r>
      <w:proofErr w:type="spellStart"/>
      <w:r w:rsidRPr="00B2559A">
        <w:rPr>
          <w:szCs w:val="18"/>
        </w:rPr>
        <w:t>Talya</w:t>
      </w:r>
      <w:proofErr w:type="spellEnd"/>
      <w:r w:rsidRPr="00B2559A">
        <w:rPr>
          <w:szCs w:val="18"/>
        </w:rPr>
        <w:t xml:space="preserve"> </w:t>
      </w:r>
      <w:proofErr w:type="spellStart"/>
      <w:r w:rsidRPr="00B2559A">
        <w:rPr>
          <w:szCs w:val="18"/>
        </w:rPr>
        <w:t>Sasson</w:t>
      </w:r>
      <w:proofErr w:type="spellEnd"/>
      <w:r w:rsidRPr="00B2559A">
        <w:rPr>
          <w:szCs w:val="18"/>
        </w:rPr>
        <w:t>, “Summary of the opinion concerning unauthorized outposts”, 10 March 2005.</w:t>
      </w:r>
    </w:p>
  </w:footnote>
  <w:footnote w:id="43">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49(6) GC IV.</w:t>
      </w:r>
      <w:proofErr w:type="gramEnd"/>
      <w:r w:rsidRPr="00B2559A">
        <w:rPr>
          <w:szCs w:val="18"/>
        </w:rPr>
        <w:t xml:space="preserve"> </w:t>
      </w:r>
    </w:p>
  </w:footnote>
  <w:footnote w:id="4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See 1958 Commentary to Art. </w:t>
      </w:r>
      <w:proofErr w:type="gramStart"/>
      <w:r w:rsidRPr="00B2559A">
        <w:rPr>
          <w:szCs w:val="18"/>
        </w:rPr>
        <w:t>49(6) GC IV, p.283.</w:t>
      </w:r>
      <w:proofErr w:type="gramEnd"/>
      <w:r w:rsidRPr="00B2559A">
        <w:rPr>
          <w:szCs w:val="18"/>
        </w:rPr>
        <w:t xml:space="preserve"> </w:t>
      </w:r>
    </w:p>
  </w:footnote>
  <w:footnote w:id="4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147 GC IV and Art.</w:t>
      </w:r>
      <w:proofErr w:type="gramEnd"/>
      <w:r w:rsidRPr="00B2559A">
        <w:rPr>
          <w:szCs w:val="18"/>
        </w:rPr>
        <w:t xml:space="preserve"> </w:t>
      </w:r>
      <w:proofErr w:type="gramStart"/>
      <w:r w:rsidRPr="00B2559A">
        <w:rPr>
          <w:szCs w:val="18"/>
        </w:rPr>
        <w:t>8 (2) (b) (viii) Rome Statute of the ICC.</w:t>
      </w:r>
      <w:proofErr w:type="gramEnd"/>
    </w:p>
  </w:footnote>
  <w:footnote w:id="46">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sidRPr="00B2559A">
        <w:rPr>
          <w:szCs w:val="18"/>
        </w:rPr>
        <w:t xml:space="preserve"> </w:t>
      </w:r>
      <w:r>
        <w:rPr>
          <w:szCs w:val="18"/>
        </w:rPr>
        <w:tab/>
      </w:r>
      <w:proofErr w:type="gramStart"/>
      <w:r w:rsidRPr="00B2559A">
        <w:rPr>
          <w:szCs w:val="18"/>
        </w:rPr>
        <w:t>ICJ</w:t>
      </w:r>
      <w:r w:rsidRPr="00B2559A">
        <w:rPr>
          <w:i/>
          <w:szCs w:val="18"/>
        </w:rPr>
        <w:t xml:space="preserve"> Wall </w:t>
      </w:r>
      <w:r w:rsidRPr="00B2559A">
        <w:rPr>
          <w:szCs w:val="18"/>
        </w:rPr>
        <w:t>case, para.</w:t>
      </w:r>
      <w:proofErr w:type="gramEnd"/>
      <w:r w:rsidRPr="00B2559A">
        <w:rPr>
          <w:szCs w:val="18"/>
        </w:rPr>
        <w:t xml:space="preserve"> </w:t>
      </w:r>
      <w:proofErr w:type="gramStart"/>
      <w:r w:rsidRPr="00B2559A">
        <w:rPr>
          <w:szCs w:val="18"/>
        </w:rPr>
        <w:t>120; SC resolutions 2334</w:t>
      </w:r>
      <w:r>
        <w:rPr>
          <w:szCs w:val="18"/>
        </w:rPr>
        <w:t xml:space="preserve"> </w:t>
      </w:r>
      <w:r w:rsidRPr="00B2559A">
        <w:rPr>
          <w:szCs w:val="18"/>
        </w:rPr>
        <w:t>(2016) and 465</w:t>
      </w:r>
      <w:r>
        <w:rPr>
          <w:szCs w:val="18"/>
        </w:rPr>
        <w:t xml:space="preserve"> </w:t>
      </w:r>
      <w:r w:rsidRPr="00B2559A">
        <w:rPr>
          <w:szCs w:val="18"/>
        </w:rPr>
        <w:t>(1980), GA resolution 70/89 and HRC resolution 31/36, and earlier resolutions; Declaration of 17 December 2014 of the High Contracting Parties to GC IV, para.</w:t>
      </w:r>
      <w:proofErr w:type="gramEnd"/>
      <w:r w:rsidRPr="00B2559A">
        <w:rPr>
          <w:szCs w:val="18"/>
        </w:rPr>
        <w:t xml:space="preserve"> 8.</w:t>
      </w:r>
    </w:p>
  </w:footnote>
  <w:footnote w:id="47">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t xml:space="preserve">ICJ </w:t>
      </w:r>
      <w:r>
        <w:rPr>
          <w:i/>
          <w:szCs w:val="18"/>
        </w:rPr>
        <w:t xml:space="preserve">Wall </w:t>
      </w:r>
      <w:r>
        <w:rPr>
          <w:szCs w:val="18"/>
        </w:rPr>
        <w:t xml:space="preserve">case, </w:t>
      </w:r>
      <w:proofErr w:type="gramStart"/>
      <w:r>
        <w:rPr>
          <w:szCs w:val="18"/>
        </w:rPr>
        <w:t>para.122 ;</w:t>
      </w:r>
      <w:proofErr w:type="gramEnd"/>
      <w:r>
        <w:rPr>
          <w:szCs w:val="18"/>
        </w:rPr>
        <w:t xml:space="preserve"> General Assembly Resolution 71/247 (A/RES/71/247) ; and </w:t>
      </w:r>
      <w:r w:rsidRPr="00B2559A">
        <w:rPr>
          <w:szCs w:val="18"/>
        </w:rPr>
        <w:t>A/HRC/22/63, para. 38.</w:t>
      </w:r>
    </w:p>
  </w:footnote>
  <w:footnote w:id="48">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55 HR, Art. 53 GC IV; see ICRC Study on customary IHL, Rule 51 </w:t>
      </w:r>
    </w:p>
  </w:footnote>
  <w:footnote w:id="49">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46 and 56 HR, Art.</w:t>
      </w:r>
      <w:proofErr w:type="gramEnd"/>
      <w:r w:rsidRPr="00B2559A">
        <w:rPr>
          <w:szCs w:val="18"/>
        </w:rPr>
        <w:t xml:space="preserve"> 53 GC IV; see ICRC Study on customary IHL, Rule 51.</w:t>
      </w:r>
    </w:p>
  </w:footnote>
  <w:footnote w:id="5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Art. 53 GC IV; see ICRC Study on customary IHL, Rule 51.</w:t>
      </w:r>
    </w:p>
  </w:footnote>
  <w:footnote w:id="51">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1958 commentary to GC IV, Art.</w:t>
      </w:r>
      <w:proofErr w:type="gramEnd"/>
      <w:r w:rsidRPr="00B2559A">
        <w:rPr>
          <w:szCs w:val="18"/>
        </w:rPr>
        <w:t xml:space="preserve"> </w:t>
      </w:r>
      <w:proofErr w:type="gramStart"/>
      <w:r w:rsidRPr="00B2559A">
        <w:rPr>
          <w:szCs w:val="18"/>
        </w:rPr>
        <w:t>53, p.302.</w:t>
      </w:r>
      <w:proofErr w:type="gramEnd"/>
      <w:r w:rsidRPr="00B2559A">
        <w:rPr>
          <w:szCs w:val="18"/>
        </w:rPr>
        <w:t xml:space="preserve"> </w:t>
      </w:r>
    </w:p>
  </w:footnote>
  <w:footnote w:id="52">
    <w:p w:rsidR="007F20F5" w:rsidRPr="00B2559A" w:rsidRDefault="007F20F5" w:rsidP="00370D1D">
      <w:pPr>
        <w:pStyle w:val="FootnoteText"/>
        <w:tabs>
          <w:tab w:val="left" w:pos="1134"/>
        </w:tabs>
        <w:spacing w:line="240" w:lineRule="auto"/>
        <w:rPr>
          <w:szCs w:val="18"/>
          <w:lang w:val="en-GB"/>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49(2) GC IV for exceptions.</w:t>
      </w:r>
      <w:proofErr w:type="gramEnd"/>
    </w:p>
  </w:footnote>
  <w:footnote w:id="53">
    <w:p w:rsidR="007F20F5" w:rsidRPr="00B2559A" w:rsidRDefault="007F20F5" w:rsidP="00370D1D">
      <w:pPr>
        <w:pStyle w:val="FootnoteText"/>
        <w:tabs>
          <w:tab w:val="left" w:pos="1134"/>
        </w:tabs>
        <w:spacing w:line="240" w:lineRule="auto"/>
        <w:rPr>
          <w:szCs w:val="18"/>
        </w:rPr>
      </w:pPr>
      <w:r>
        <w:rPr>
          <w:szCs w:val="18"/>
          <w:lang w:val="en-GB"/>
        </w:rPr>
        <w:tab/>
      </w:r>
      <w:r w:rsidRPr="00B2559A">
        <w:rPr>
          <w:rStyle w:val="FootnoteReference"/>
          <w:szCs w:val="18"/>
        </w:rPr>
        <w:footnoteRef/>
      </w:r>
      <w:r>
        <w:rPr>
          <w:szCs w:val="18"/>
          <w:lang w:val="en-GB"/>
        </w:rPr>
        <w:tab/>
      </w:r>
      <w:r w:rsidRPr="00B2559A">
        <w:rPr>
          <w:szCs w:val="18"/>
        </w:rPr>
        <w:t xml:space="preserve">Art. </w:t>
      </w:r>
      <w:proofErr w:type="gramStart"/>
      <w:r w:rsidRPr="00B2559A">
        <w:rPr>
          <w:szCs w:val="18"/>
        </w:rPr>
        <w:t>147 GC IV; Art.</w:t>
      </w:r>
      <w:proofErr w:type="gramEnd"/>
      <w:r w:rsidRPr="00B2559A">
        <w:rPr>
          <w:szCs w:val="18"/>
        </w:rPr>
        <w:t xml:space="preserve"> 8(2</w:t>
      </w:r>
      <w:proofErr w:type="gramStart"/>
      <w:r w:rsidRPr="00B2559A">
        <w:rPr>
          <w:szCs w:val="18"/>
        </w:rPr>
        <w:t>)(</w:t>
      </w:r>
      <w:proofErr w:type="gramEnd"/>
      <w:r w:rsidRPr="00B2559A">
        <w:rPr>
          <w:szCs w:val="18"/>
        </w:rPr>
        <w:t xml:space="preserve">b)(viii) Rome Statute. </w:t>
      </w:r>
    </w:p>
  </w:footnote>
  <w:footnote w:id="5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See e.g. A/HRC/25/40 para. </w:t>
      </w:r>
      <w:proofErr w:type="gramStart"/>
      <w:r w:rsidRPr="00B2559A">
        <w:rPr>
          <w:szCs w:val="18"/>
        </w:rPr>
        <w:t>18-21; A/69/347 para.</w:t>
      </w:r>
      <w:proofErr w:type="gramEnd"/>
      <w:r w:rsidRPr="00B2559A">
        <w:rPr>
          <w:szCs w:val="18"/>
        </w:rPr>
        <w:t xml:space="preserve"> </w:t>
      </w:r>
      <w:proofErr w:type="gramStart"/>
      <w:r w:rsidRPr="00B2559A">
        <w:rPr>
          <w:szCs w:val="18"/>
        </w:rPr>
        <w:t>26; A/67/372, para.</w:t>
      </w:r>
      <w:proofErr w:type="gramEnd"/>
      <w:r w:rsidRPr="00B2559A">
        <w:rPr>
          <w:szCs w:val="18"/>
        </w:rPr>
        <w:t xml:space="preserve"> 36-37.</w:t>
      </w:r>
    </w:p>
  </w:footnote>
  <w:footnote w:id="5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53 GC IV; Art.</w:t>
      </w:r>
      <w:proofErr w:type="gramEnd"/>
      <w:r w:rsidRPr="00B2559A">
        <w:rPr>
          <w:szCs w:val="18"/>
        </w:rPr>
        <w:t xml:space="preserve"> </w:t>
      </w:r>
      <w:proofErr w:type="gramStart"/>
      <w:r w:rsidRPr="00B2559A">
        <w:rPr>
          <w:szCs w:val="18"/>
        </w:rPr>
        <w:t>11 ICESCR and Art.</w:t>
      </w:r>
      <w:proofErr w:type="gramEnd"/>
      <w:r w:rsidRPr="00B2559A">
        <w:rPr>
          <w:szCs w:val="18"/>
        </w:rPr>
        <w:t xml:space="preserve"> </w:t>
      </w:r>
      <w:proofErr w:type="gramStart"/>
      <w:r w:rsidRPr="00B2559A">
        <w:rPr>
          <w:szCs w:val="18"/>
        </w:rPr>
        <w:t>17 ICCPR.</w:t>
      </w:r>
      <w:proofErr w:type="gramEnd"/>
      <w:r w:rsidRPr="00B2559A">
        <w:rPr>
          <w:szCs w:val="18"/>
        </w:rPr>
        <w:t xml:space="preserve"> </w:t>
      </w:r>
    </w:p>
  </w:footnote>
  <w:footnote w:id="56">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OCHA, Official data on demolitions orders in Area C </w:t>
      </w:r>
      <w:r w:rsidRPr="00B2559A">
        <w:rPr>
          <w:color w:val="333333"/>
          <w:szCs w:val="18"/>
        </w:rPr>
        <w:t>(http://data.ochaopt.org/demolitions.aspx).</w:t>
      </w:r>
    </w:p>
  </w:footnote>
  <w:footnote w:id="57">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A/HRC/31/43, para.</w:t>
      </w:r>
      <w:proofErr w:type="gramEnd"/>
      <w:r w:rsidRPr="00B2559A">
        <w:rPr>
          <w:szCs w:val="18"/>
        </w:rPr>
        <w:t xml:space="preserve"> </w:t>
      </w:r>
      <w:proofErr w:type="gramStart"/>
      <w:r w:rsidRPr="00B2559A">
        <w:rPr>
          <w:szCs w:val="18"/>
        </w:rPr>
        <w:t>45, referring to A/HRC/25/38, paras.</w:t>
      </w:r>
      <w:proofErr w:type="gramEnd"/>
      <w:r w:rsidRPr="00B2559A">
        <w:rPr>
          <w:szCs w:val="18"/>
        </w:rPr>
        <w:t xml:space="preserve"> 11-20; see also A/68/513, para. 30-34. The implementation of the Israeli planning and zoning regime is problematic with regard to the prohibition of discrimination enshrined in human rights law and the right to adequate housing (art. 11 ICESCR), including the prohibition on forced evictions and on unlawful or arbitrary interference with privacy, family and home (CESCR, general comment 7 (1997), para. 3).</w:t>
      </w:r>
    </w:p>
  </w:footnote>
  <w:footnote w:id="58">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In particular, the Israeli planning and zoning regime may violate the obligation of the occupying power under international humanitarian law to ensure public order and safety while respecting the laws in force in the occupied territory (Art. 43 HR).</w:t>
      </w:r>
    </w:p>
  </w:footnote>
  <w:footnote w:id="59">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Art. 59 GC IV; see also ICRC Customary Law Study, Rule 55.</w:t>
      </w:r>
    </w:p>
  </w:footnote>
  <w:footnote w:id="6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A/HRC/34/39</w:t>
      </w:r>
      <w:r>
        <w:rPr>
          <w:szCs w:val="18"/>
        </w:rPr>
        <w:t>.</w:t>
      </w:r>
      <w:proofErr w:type="gramEnd"/>
    </w:p>
  </w:footnote>
  <w:footnote w:id="61">
    <w:p w:rsidR="007F20F5" w:rsidRPr="00370D1D" w:rsidRDefault="007F20F5" w:rsidP="00370D1D">
      <w:pPr>
        <w:pStyle w:val="FootnoteText"/>
        <w:tabs>
          <w:tab w:val="left" w:pos="1134"/>
        </w:tabs>
        <w:spacing w:line="240" w:lineRule="auto"/>
        <w:rPr>
          <w:szCs w:val="18"/>
        </w:rPr>
      </w:pPr>
      <w:r>
        <w:rPr>
          <w:szCs w:val="18"/>
          <w:lang w:val="en-GB"/>
        </w:rPr>
        <w:tab/>
      </w:r>
      <w:r w:rsidRPr="00B2559A">
        <w:rPr>
          <w:rStyle w:val="FootnoteReference"/>
          <w:szCs w:val="18"/>
        </w:rPr>
        <w:footnoteRef/>
      </w:r>
      <w:r>
        <w:rPr>
          <w:szCs w:val="18"/>
          <w:lang w:val="en-GB"/>
        </w:rPr>
        <w:tab/>
      </w:r>
      <w:proofErr w:type="gramStart"/>
      <w:r w:rsidRPr="00B2559A">
        <w:rPr>
          <w:szCs w:val="18"/>
          <w:lang w:val="en-GB"/>
        </w:rPr>
        <w:t>A/67/372, para.</w:t>
      </w:r>
      <w:proofErr w:type="gramEnd"/>
      <w:r w:rsidRPr="00B2559A">
        <w:rPr>
          <w:szCs w:val="18"/>
          <w:lang w:val="en-GB"/>
        </w:rPr>
        <w:t xml:space="preserve"> 37; see also A/HRC/24/30 para 29.</w:t>
      </w:r>
      <w:r>
        <w:rPr>
          <w:szCs w:val="18"/>
          <w:lang w:val="en-GB"/>
        </w:rPr>
        <w:t xml:space="preserve">  </w:t>
      </w:r>
    </w:p>
  </w:footnote>
  <w:footnote w:id="62">
    <w:p w:rsidR="007F20F5" w:rsidRPr="00BA3D50" w:rsidRDefault="007F20F5" w:rsidP="00370D1D">
      <w:pPr>
        <w:pStyle w:val="FootnoteText"/>
        <w:tabs>
          <w:tab w:val="left" w:pos="1134"/>
        </w:tabs>
        <w:spacing w:line="240" w:lineRule="auto"/>
        <w:rPr>
          <w:szCs w:val="18"/>
          <w:lang w:val="en-GB"/>
        </w:rPr>
      </w:pPr>
      <w:r>
        <w:rPr>
          <w:szCs w:val="18"/>
        </w:rPr>
        <w:tab/>
      </w:r>
      <w:r w:rsidRPr="00B2559A">
        <w:rPr>
          <w:rStyle w:val="FootnoteReference"/>
          <w:szCs w:val="18"/>
        </w:rPr>
        <w:footnoteRef/>
      </w:r>
      <w:r w:rsidRPr="006B6C08">
        <w:rPr>
          <w:szCs w:val="18"/>
          <w:lang w:val="es-ES"/>
        </w:rPr>
        <w:tab/>
        <w:t xml:space="preserve">A/HRC/31/43, para. </w:t>
      </w:r>
      <w:r w:rsidRPr="006B6C08">
        <w:rPr>
          <w:rFonts w:eastAsia="Times New Roman"/>
          <w:szCs w:val="18"/>
          <w:lang w:val="es-ES" w:eastAsia="en-US"/>
        </w:rPr>
        <w:t>46; A/69</w:t>
      </w:r>
      <w:r w:rsidRPr="00370D1D">
        <w:rPr>
          <w:rFonts w:eastAsia="Times New Roman"/>
          <w:szCs w:val="18"/>
          <w:lang w:val="es-ES" w:eastAsia="en-US"/>
        </w:rPr>
        <w:t xml:space="preserve">/348, para. </w:t>
      </w:r>
      <w:r w:rsidRPr="006B6C08">
        <w:rPr>
          <w:rFonts w:eastAsia="Times New Roman"/>
          <w:szCs w:val="18"/>
          <w:lang w:val="en-GB" w:eastAsia="en-US"/>
        </w:rPr>
        <w:t xml:space="preserve">16; See also A/67/372, para. </w:t>
      </w:r>
      <w:r w:rsidRPr="00BA3D50">
        <w:rPr>
          <w:rFonts w:eastAsia="Times New Roman"/>
          <w:szCs w:val="18"/>
          <w:lang w:val="en-GB" w:eastAsia="en-US"/>
        </w:rPr>
        <w:t>37.</w:t>
      </w:r>
    </w:p>
  </w:footnote>
  <w:footnote w:id="63">
    <w:p w:rsidR="007F20F5" w:rsidRPr="00BA3D50" w:rsidRDefault="007F20F5" w:rsidP="00370D1D">
      <w:pPr>
        <w:pStyle w:val="FootnoteText"/>
        <w:tabs>
          <w:tab w:val="left" w:pos="1134"/>
        </w:tabs>
        <w:spacing w:line="240" w:lineRule="auto"/>
        <w:rPr>
          <w:szCs w:val="18"/>
          <w:lang w:val="en-GB"/>
        </w:rPr>
      </w:pPr>
      <w:r>
        <w:rPr>
          <w:rFonts w:eastAsia="Times New Roman"/>
          <w:szCs w:val="18"/>
          <w:lang w:val="en-GB" w:eastAsia="en-US"/>
        </w:rPr>
        <w:tab/>
      </w:r>
      <w:r w:rsidRPr="00B2559A">
        <w:rPr>
          <w:rStyle w:val="FootnoteReference"/>
          <w:szCs w:val="18"/>
        </w:rPr>
        <w:footnoteRef/>
      </w:r>
      <w:r>
        <w:rPr>
          <w:rFonts w:eastAsia="Times New Roman"/>
          <w:szCs w:val="18"/>
          <w:lang w:val="en-GB" w:eastAsia="en-US"/>
        </w:rPr>
        <w:tab/>
      </w:r>
      <w:r w:rsidRPr="00BA3D50">
        <w:rPr>
          <w:rFonts w:eastAsia="Times New Roman"/>
          <w:szCs w:val="18"/>
          <w:lang w:val="en-GB" w:eastAsia="en-US"/>
        </w:rPr>
        <w:t>A/71/355, Section IV.</w:t>
      </w:r>
    </w:p>
  </w:footnote>
  <w:footnote w:id="64">
    <w:p w:rsidR="007F20F5" w:rsidRPr="00BA3D50" w:rsidRDefault="007F20F5" w:rsidP="00370D1D">
      <w:pPr>
        <w:pStyle w:val="FootnoteText"/>
        <w:tabs>
          <w:tab w:val="left" w:pos="1134"/>
        </w:tabs>
        <w:spacing w:line="240" w:lineRule="auto"/>
        <w:rPr>
          <w:szCs w:val="18"/>
          <w:lang w:val="pt-PT"/>
        </w:rPr>
      </w:pPr>
      <w:r>
        <w:rPr>
          <w:rFonts w:eastAsia="Times New Roman"/>
          <w:szCs w:val="18"/>
          <w:lang w:eastAsia="en-US"/>
        </w:rPr>
        <w:tab/>
      </w:r>
      <w:r w:rsidRPr="00B2559A">
        <w:rPr>
          <w:rStyle w:val="FootnoteReference"/>
          <w:szCs w:val="18"/>
        </w:rPr>
        <w:footnoteRef/>
      </w:r>
      <w:r w:rsidRPr="006B6C08">
        <w:rPr>
          <w:rFonts w:eastAsia="Times New Roman"/>
          <w:szCs w:val="18"/>
          <w:lang w:val="es-ES" w:eastAsia="en-US"/>
        </w:rPr>
        <w:tab/>
        <w:t xml:space="preserve">A/70/351, para. 25-51 and A/HRC/16/71, para. </w:t>
      </w:r>
      <w:r w:rsidRPr="00BA3D50">
        <w:rPr>
          <w:rFonts w:eastAsia="Times New Roman"/>
          <w:szCs w:val="18"/>
          <w:lang w:val="pt-PT" w:eastAsia="en-US"/>
        </w:rPr>
        <w:t>20-22.</w:t>
      </w:r>
    </w:p>
  </w:footnote>
  <w:footnote w:id="65">
    <w:p w:rsidR="007F20F5" w:rsidRPr="00B2559A" w:rsidRDefault="007F20F5" w:rsidP="00370D1D">
      <w:pPr>
        <w:pStyle w:val="FootnoteText"/>
        <w:tabs>
          <w:tab w:val="left" w:pos="1134"/>
        </w:tabs>
        <w:spacing w:line="240" w:lineRule="auto"/>
        <w:rPr>
          <w:szCs w:val="18"/>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A/67/372 para. </w:t>
      </w:r>
      <w:r w:rsidRPr="00BA3D50">
        <w:rPr>
          <w:szCs w:val="18"/>
          <w:lang w:val="pt-PT"/>
        </w:rPr>
        <w:t xml:space="preserve">39 and A/HRC/16/71, para. </w:t>
      </w:r>
      <w:r w:rsidRPr="00B2559A">
        <w:rPr>
          <w:szCs w:val="18"/>
        </w:rPr>
        <w:t>23-24.</w:t>
      </w:r>
    </w:p>
  </w:footnote>
  <w:footnote w:id="66">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78 GC IV; the transfer of prisoners into the territory of the Occupying Power is forbidden by Art. </w:t>
      </w:r>
      <w:proofErr w:type="gramStart"/>
      <w:r w:rsidRPr="00B2559A">
        <w:rPr>
          <w:szCs w:val="18"/>
        </w:rPr>
        <w:t>76 GC IV.</w:t>
      </w:r>
      <w:proofErr w:type="gramEnd"/>
    </w:p>
  </w:footnote>
  <w:footnote w:id="67">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12 and 17 ICCPR.</w:t>
      </w:r>
      <w:proofErr w:type="gramEnd"/>
      <w:r w:rsidRPr="00B2559A">
        <w:rPr>
          <w:szCs w:val="18"/>
        </w:rPr>
        <w:t xml:space="preserve"> </w:t>
      </w:r>
    </w:p>
  </w:footnote>
  <w:footnote w:id="68">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proofErr w:type="gramStart"/>
      <w:r w:rsidRPr="00B2559A">
        <w:rPr>
          <w:szCs w:val="18"/>
        </w:rPr>
        <w:t>A/HRC/16/71, para.</w:t>
      </w:r>
      <w:proofErr w:type="gramEnd"/>
      <w:r w:rsidRPr="00B2559A">
        <w:rPr>
          <w:szCs w:val="18"/>
        </w:rPr>
        <w:t xml:space="preserve"> 24. </w:t>
      </w:r>
    </w:p>
  </w:footnote>
  <w:footnote w:id="69">
    <w:p w:rsidR="007F20F5" w:rsidRPr="00370D1D" w:rsidRDefault="007F20F5" w:rsidP="00370D1D">
      <w:pPr>
        <w:pStyle w:val="FootnoteText"/>
        <w:tabs>
          <w:tab w:val="left" w:pos="1134"/>
        </w:tabs>
        <w:spacing w:line="240" w:lineRule="auto"/>
        <w:rPr>
          <w:szCs w:val="18"/>
          <w:lang w:val="es-ES"/>
        </w:rPr>
      </w:pPr>
      <w:r>
        <w:rPr>
          <w:szCs w:val="18"/>
        </w:rPr>
        <w:tab/>
      </w:r>
      <w:r w:rsidRPr="00627701">
        <w:rPr>
          <w:rStyle w:val="FootnoteReference"/>
          <w:szCs w:val="18"/>
        </w:rPr>
        <w:footnoteRef/>
      </w:r>
      <w:r>
        <w:rPr>
          <w:szCs w:val="18"/>
        </w:rPr>
        <w:tab/>
      </w:r>
      <w:r w:rsidRPr="00627701">
        <w:rPr>
          <w:szCs w:val="18"/>
        </w:rPr>
        <w:t xml:space="preserve">The term “blockade” is used here to describe Israel’s imposition of </w:t>
      </w:r>
      <w:r w:rsidRPr="00627701">
        <w:rPr>
          <w:spacing w:val="4"/>
          <w:szCs w:val="18"/>
        </w:rPr>
        <w:t xml:space="preserve">prolonged closures and economic and movement restrictions in the Gaza Strip (see A/71/364 para. </w:t>
      </w:r>
      <w:r w:rsidRPr="00627701">
        <w:rPr>
          <w:spacing w:val="4"/>
          <w:szCs w:val="18"/>
          <w:lang w:val="es-ES"/>
        </w:rPr>
        <w:t xml:space="preserve">5, </w:t>
      </w:r>
      <w:r w:rsidR="008234E7">
        <w:fldChar w:fldCharType="begin"/>
      </w:r>
      <w:r w:rsidR="008234E7" w:rsidRPr="006B6C08">
        <w:rPr>
          <w:lang w:val="es-ES"/>
        </w:rPr>
        <w:instrText xml:space="preserve"> HYPERLINK "http://undocs.org/A/HRC/24/30" </w:instrText>
      </w:r>
      <w:r w:rsidR="008234E7">
        <w:fldChar w:fldCharType="separate"/>
      </w:r>
      <w:r w:rsidRPr="00627701">
        <w:rPr>
          <w:rStyle w:val="Hyperlink"/>
          <w:spacing w:val="4"/>
          <w:szCs w:val="18"/>
          <w:lang w:val="es-ES"/>
        </w:rPr>
        <w:t>A/HRC/24/30</w:t>
      </w:r>
      <w:r w:rsidR="008234E7">
        <w:rPr>
          <w:rStyle w:val="Hyperlink"/>
          <w:spacing w:val="4"/>
          <w:szCs w:val="18"/>
          <w:lang w:val="es-ES"/>
        </w:rPr>
        <w:fldChar w:fldCharType="end"/>
      </w:r>
      <w:r w:rsidRPr="00627701">
        <w:rPr>
          <w:szCs w:val="18"/>
          <w:lang w:val="es-ES"/>
        </w:rPr>
        <w:t xml:space="preserve"> para. 21 to 23, A/69/347 para. 30-34 and </w:t>
      </w:r>
      <w:r w:rsidR="008234E7">
        <w:fldChar w:fldCharType="begin"/>
      </w:r>
      <w:r w:rsidR="008234E7" w:rsidRPr="006B6C08">
        <w:rPr>
          <w:lang w:val="es-ES"/>
        </w:rPr>
        <w:instrText xml:space="preserve"> HYPERLINK "http://undocs.org/A/RES/69/93" </w:instrText>
      </w:r>
      <w:r w:rsidR="008234E7">
        <w:fldChar w:fldCharType="separate"/>
      </w:r>
      <w:r w:rsidRPr="00627701">
        <w:rPr>
          <w:rStyle w:val="Hyperlink"/>
          <w:szCs w:val="18"/>
          <w:lang w:val="es-ES"/>
        </w:rPr>
        <w:t>A/RES/69/93</w:t>
      </w:r>
      <w:r w:rsidR="008234E7">
        <w:rPr>
          <w:rStyle w:val="Hyperlink"/>
          <w:szCs w:val="18"/>
          <w:lang w:val="es-ES"/>
        </w:rPr>
        <w:fldChar w:fldCharType="end"/>
      </w:r>
      <w:r w:rsidRPr="00627701">
        <w:rPr>
          <w:szCs w:val="18"/>
          <w:lang w:val="es-ES"/>
        </w:rPr>
        <w:t>).</w:t>
      </w:r>
    </w:p>
  </w:footnote>
  <w:footnote w:id="70">
    <w:p w:rsidR="007F20F5" w:rsidRPr="00370D1D" w:rsidRDefault="007F20F5" w:rsidP="00370D1D">
      <w:pPr>
        <w:pStyle w:val="FootnoteText"/>
        <w:tabs>
          <w:tab w:val="left" w:pos="1134"/>
        </w:tabs>
        <w:rPr>
          <w:szCs w:val="18"/>
          <w:lang w:val="es-ES"/>
        </w:rPr>
      </w:pPr>
      <w:r>
        <w:rPr>
          <w:szCs w:val="18"/>
          <w:lang w:val="es-ES"/>
        </w:rPr>
        <w:tab/>
      </w:r>
      <w:r w:rsidRPr="00B2559A">
        <w:rPr>
          <w:rStyle w:val="FootnoteReference"/>
          <w:szCs w:val="18"/>
        </w:rPr>
        <w:footnoteRef/>
      </w:r>
      <w:r>
        <w:rPr>
          <w:szCs w:val="18"/>
          <w:lang w:val="es-ES"/>
        </w:rPr>
        <w:tab/>
      </w:r>
      <w:r w:rsidRPr="00370D1D">
        <w:rPr>
          <w:szCs w:val="18"/>
          <w:lang w:val="es-ES"/>
        </w:rPr>
        <w:t xml:space="preserve">A/71/364, para. 28. </w:t>
      </w:r>
    </w:p>
  </w:footnote>
  <w:footnote w:id="71">
    <w:p w:rsidR="007F20F5" w:rsidRPr="00B2559A" w:rsidRDefault="007F20F5" w:rsidP="00370D1D">
      <w:pPr>
        <w:pStyle w:val="FootnoteText"/>
        <w:tabs>
          <w:tab w:val="left" w:pos="1134"/>
        </w:tabs>
        <w:spacing w:line="240" w:lineRule="auto"/>
        <w:rPr>
          <w:szCs w:val="18"/>
        </w:rPr>
      </w:pPr>
      <w:r>
        <w:rPr>
          <w:szCs w:val="18"/>
          <w:lang w:val="es-ES"/>
        </w:rPr>
        <w:tab/>
      </w:r>
      <w:r w:rsidRPr="00B2559A">
        <w:rPr>
          <w:rStyle w:val="FootnoteReference"/>
          <w:szCs w:val="18"/>
        </w:rPr>
        <w:footnoteRef/>
      </w:r>
      <w:r>
        <w:rPr>
          <w:szCs w:val="18"/>
          <w:lang w:val="es-ES"/>
        </w:rPr>
        <w:tab/>
      </w:r>
      <w:r w:rsidRPr="00370D1D">
        <w:rPr>
          <w:szCs w:val="18"/>
          <w:lang w:val="es-ES"/>
        </w:rPr>
        <w:t xml:space="preserve">A/HRC/31/40 para. 36, A/HRC/24/30, para. </w:t>
      </w:r>
      <w:proofErr w:type="gramStart"/>
      <w:r w:rsidRPr="00B2559A">
        <w:rPr>
          <w:szCs w:val="18"/>
        </w:rPr>
        <w:t>22 with references.</w:t>
      </w:r>
      <w:proofErr w:type="gramEnd"/>
    </w:p>
  </w:footnote>
  <w:footnote w:id="72">
    <w:p w:rsidR="007F20F5" w:rsidRPr="006B6C08" w:rsidRDefault="007F20F5" w:rsidP="00370D1D">
      <w:pPr>
        <w:pStyle w:val="FootnoteText"/>
        <w:tabs>
          <w:tab w:val="left" w:pos="1134"/>
        </w:tabs>
        <w:spacing w:line="240" w:lineRule="auto"/>
        <w:rPr>
          <w:szCs w:val="18"/>
          <w:lang w:val="en-GB"/>
        </w:rPr>
      </w:pPr>
      <w:r>
        <w:rPr>
          <w:szCs w:val="18"/>
        </w:rPr>
        <w:tab/>
      </w:r>
      <w:r w:rsidRPr="00B2559A">
        <w:rPr>
          <w:rStyle w:val="FootnoteReference"/>
          <w:szCs w:val="18"/>
        </w:rPr>
        <w:footnoteRef/>
      </w:r>
      <w:r w:rsidRPr="006B6C08">
        <w:rPr>
          <w:szCs w:val="18"/>
          <w:lang w:val="en-GB"/>
        </w:rPr>
        <w:tab/>
        <w:t>A/HRC/34/36; A/HRC/31/40.</w:t>
      </w:r>
    </w:p>
  </w:footnote>
  <w:footnote w:id="73">
    <w:p w:rsidR="007F20F5" w:rsidRPr="00370D1D" w:rsidRDefault="007F20F5" w:rsidP="00370D1D">
      <w:pPr>
        <w:pStyle w:val="FootnoteText"/>
        <w:tabs>
          <w:tab w:val="left" w:pos="1134"/>
        </w:tabs>
        <w:spacing w:line="240" w:lineRule="auto"/>
        <w:rPr>
          <w:szCs w:val="18"/>
          <w:lang w:val="es-ES"/>
        </w:rPr>
      </w:pPr>
      <w:r w:rsidRPr="006B6C08">
        <w:rPr>
          <w:rFonts w:eastAsia="Times New Roman"/>
          <w:szCs w:val="18"/>
          <w:lang w:val="en-GB" w:eastAsia="en-US"/>
        </w:rPr>
        <w:tab/>
      </w:r>
      <w:r w:rsidRPr="00B2559A">
        <w:rPr>
          <w:rStyle w:val="FootnoteReference"/>
          <w:szCs w:val="18"/>
        </w:rPr>
        <w:footnoteRef/>
      </w:r>
      <w:r>
        <w:rPr>
          <w:rFonts w:eastAsia="Times New Roman"/>
          <w:szCs w:val="18"/>
          <w:lang w:val="es-ES" w:eastAsia="en-US"/>
        </w:rPr>
        <w:tab/>
      </w:r>
      <w:r w:rsidRPr="00370D1D">
        <w:rPr>
          <w:rFonts w:eastAsia="Times New Roman"/>
          <w:szCs w:val="18"/>
          <w:lang w:val="es-ES" w:eastAsia="en-US"/>
        </w:rPr>
        <w:t xml:space="preserve">A/71/364, para. 25-26; A/HRC/34/36, para. 31-33; A/HRC/31/40, para. 29-33; http://www.ohchr.org/EN/NewsEvents/Pages/DisplayNews.aspx?NewsID=20082&amp;LangID=E. </w:t>
      </w:r>
    </w:p>
  </w:footnote>
  <w:footnote w:id="74">
    <w:p w:rsidR="007F20F5" w:rsidRPr="00B2559A" w:rsidRDefault="007F20F5" w:rsidP="00370D1D">
      <w:pPr>
        <w:pStyle w:val="FootnoteText"/>
        <w:tabs>
          <w:tab w:val="left" w:pos="1134"/>
        </w:tabs>
        <w:spacing w:line="240" w:lineRule="auto"/>
        <w:rPr>
          <w:szCs w:val="18"/>
        </w:rPr>
      </w:pPr>
      <w:r w:rsidRPr="006B6C08">
        <w:rPr>
          <w:szCs w:val="18"/>
          <w:lang w:val="es-ES"/>
        </w:rPr>
        <w:tab/>
      </w:r>
      <w:r w:rsidRPr="00B2559A">
        <w:rPr>
          <w:rStyle w:val="FootnoteReference"/>
          <w:szCs w:val="18"/>
        </w:rPr>
        <w:footnoteRef/>
      </w:r>
      <w:r>
        <w:rPr>
          <w:szCs w:val="18"/>
        </w:rPr>
        <w:tab/>
      </w:r>
      <w:r w:rsidRPr="00B2559A">
        <w:rPr>
          <w:szCs w:val="18"/>
        </w:rPr>
        <w:t xml:space="preserve">Art. 50 HR, Art. </w:t>
      </w:r>
      <w:proofErr w:type="gramStart"/>
      <w:r w:rsidRPr="00B2559A">
        <w:rPr>
          <w:szCs w:val="18"/>
        </w:rPr>
        <w:t>33 GC IV.</w:t>
      </w:r>
      <w:proofErr w:type="gramEnd"/>
      <w:r w:rsidRPr="00B2559A">
        <w:rPr>
          <w:szCs w:val="18"/>
        </w:rPr>
        <w:t xml:space="preserve"> </w:t>
      </w:r>
    </w:p>
  </w:footnote>
  <w:footnote w:id="7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ICRC Study on Customary IHL, Commentary to Rule 103.</w:t>
      </w:r>
    </w:p>
  </w:footnote>
  <w:footnote w:id="76">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11, 12, 14 and 17 ICCPR; see also Art.</w:t>
      </w:r>
      <w:proofErr w:type="gramEnd"/>
      <w:r w:rsidRPr="00B2559A">
        <w:rPr>
          <w:szCs w:val="18"/>
        </w:rPr>
        <w:t xml:space="preserve"> </w:t>
      </w:r>
      <w:proofErr w:type="gramStart"/>
      <w:r w:rsidRPr="00B2559A">
        <w:rPr>
          <w:szCs w:val="18"/>
        </w:rPr>
        <w:t>71-73 GC IV.</w:t>
      </w:r>
      <w:proofErr w:type="gramEnd"/>
      <w:r w:rsidRPr="00B2559A">
        <w:rPr>
          <w:szCs w:val="18"/>
        </w:rPr>
        <w:t xml:space="preserve"> </w:t>
      </w:r>
    </w:p>
  </w:footnote>
  <w:footnote w:id="77">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Pr>
          <w:szCs w:val="18"/>
        </w:rPr>
        <w:t>e</w:t>
      </w:r>
      <w:r w:rsidRPr="00B2559A">
        <w:rPr>
          <w:szCs w:val="18"/>
        </w:rPr>
        <w:t>.g</w:t>
      </w:r>
      <w:proofErr w:type="gramEnd"/>
      <w:r w:rsidRPr="00B2559A">
        <w:rPr>
          <w:szCs w:val="18"/>
        </w:rPr>
        <w:t xml:space="preserve">. A/71/355, A/HRC/31/43, and numerous previous reports; see also </w:t>
      </w:r>
      <w:proofErr w:type="spellStart"/>
      <w:r w:rsidRPr="00B2559A">
        <w:rPr>
          <w:szCs w:val="18"/>
        </w:rPr>
        <w:t>Talya</w:t>
      </w:r>
      <w:proofErr w:type="spellEnd"/>
      <w:r w:rsidRPr="00B2559A">
        <w:rPr>
          <w:szCs w:val="18"/>
        </w:rPr>
        <w:t xml:space="preserve"> </w:t>
      </w:r>
      <w:proofErr w:type="spellStart"/>
      <w:r w:rsidRPr="00B2559A">
        <w:rPr>
          <w:szCs w:val="18"/>
        </w:rPr>
        <w:t>Sasson</w:t>
      </w:r>
      <w:proofErr w:type="spellEnd"/>
      <w:r w:rsidRPr="00B2559A">
        <w:rPr>
          <w:szCs w:val="18"/>
        </w:rPr>
        <w:t>, Summary Opinion, 2005.</w:t>
      </w:r>
    </w:p>
  </w:footnote>
  <w:footnote w:id="78">
    <w:p w:rsidR="007F20F5" w:rsidRDefault="007F20F5" w:rsidP="00370D1D">
      <w:pPr>
        <w:pStyle w:val="FootnoteText"/>
        <w:tabs>
          <w:tab w:val="left" w:pos="1134"/>
        </w:tabs>
      </w:pPr>
      <w:r>
        <w:tab/>
      </w:r>
      <w:r>
        <w:rPr>
          <w:rStyle w:val="FootnoteReference"/>
        </w:rPr>
        <w:footnoteRef/>
      </w:r>
      <w:r>
        <w:tab/>
      </w:r>
      <w:proofErr w:type="gramStart"/>
      <w:r>
        <w:t>OCHA, “Israeli settler violence in the West Bank”, November 2011.</w:t>
      </w:r>
      <w:proofErr w:type="gramEnd"/>
    </w:p>
  </w:footnote>
  <w:footnote w:id="79">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See case studies in Yesh Din, “The road to dispossession”, February 2013, and A/69/348, para. 39</w:t>
      </w:r>
      <w:r>
        <w:rPr>
          <w:szCs w:val="18"/>
        </w:rPr>
        <w:t xml:space="preserve">; see also </w:t>
      </w:r>
      <w:proofErr w:type="spellStart"/>
      <w:r>
        <w:rPr>
          <w:szCs w:val="18"/>
        </w:rPr>
        <w:t>Kerem</w:t>
      </w:r>
      <w:proofErr w:type="spellEnd"/>
      <w:r>
        <w:rPr>
          <w:szCs w:val="18"/>
        </w:rPr>
        <w:t xml:space="preserve"> </w:t>
      </w:r>
      <w:proofErr w:type="spellStart"/>
      <w:r>
        <w:rPr>
          <w:szCs w:val="18"/>
        </w:rPr>
        <w:t>Navot</w:t>
      </w:r>
      <w:proofErr w:type="spellEnd"/>
      <w:r>
        <w:rPr>
          <w:szCs w:val="18"/>
        </w:rPr>
        <w:t>, “Israeli settler agriculture as a means of land take over in the West Bank”, August 2013.</w:t>
      </w:r>
    </w:p>
  </w:footnote>
  <w:footnote w:id="8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27(1) Geneva Convention IV; see Art. </w:t>
      </w:r>
      <w:proofErr w:type="gramStart"/>
      <w:r w:rsidRPr="00B2559A">
        <w:rPr>
          <w:szCs w:val="18"/>
        </w:rPr>
        <w:t>46 HR.</w:t>
      </w:r>
      <w:proofErr w:type="gramEnd"/>
      <w:r w:rsidRPr="00B2559A">
        <w:rPr>
          <w:szCs w:val="18"/>
        </w:rPr>
        <w:t xml:space="preserve"> </w:t>
      </w:r>
    </w:p>
  </w:footnote>
  <w:footnote w:id="81">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Pr>
          <w:szCs w:val="18"/>
        </w:rPr>
        <w:t>e</w:t>
      </w:r>
      <w:r w:rsidRPr="00B2559A">
        <w:rPr>
          <w:szCs w:val="18"/>
        </w:rPr>
        <w:t>.g</w:t>
      </w:r>
      <w:proofErr w:type="gramEnd"/>
      <w:r w:rsidRPr="00B2559A">
        <w:rPr>
          <w:szCs w:val="18"/>
        </w:rPr>
        <w:t xml:space="preserve">. Art. </w:t>
      </w:r>
      <w:proofErr w:type="gramStart"/>
      <w:r w:rsidRPr="00B2559A">
        <w:rPr>
          <w:szCs w:val="18"/>
        </w:rPr>
        <w:t>7 and 17 ICCPR; Art.</w:t>
      </w:r>
      <w:proofErr w:type="gramEnd"/>
      <w:r w:rsidRPr="00B2559A">
        <w:rPr>
          <w:szCs w:val="18"/>
        </w:rPr>
        <w:t xml:space="preserve"> </w:t>
      </w:r>
      <w:proofErr w:type="gramStart"/>
      <w:r w:rsidRPr="00B2559A">
        <w:rPr>
          <w:szCs w:val="18"/>
        </w:rPr>
        <w:t>11 ICESCR and 5 CERD.</w:t>
      </w:r>
      <w:proofErr w:type="gramEnd"/>
    </w:p>
  </w:footnote>
  <w:footnote w:id="82">
    <w:p w:rsidR="007F20F5" w:rsidRPr="00BA3D50" w:rsidRDefault="007F20F5" w:rsidP="00370D1D">
      <w:pPr>
        <w:pStyle w:val="FootnoteText"/>
        <w:tabs>
          <w:tab w:val="left" w:pos="1134"/>
        </w:tabs>
        <w:spacing w:line="240" w:lineRule="auto"/>
        <w:rPr>
          <w:szCs w:val="18"/>
          <w:lang w:val="pt-PT"/>
        </w:rPr>
      </w:pPr>
      <w:r>
        <w:rPr>
          <w:szCs w:val="18"/>
        </w:rPr>
        <w:tab/>
      </w:r>
      <w:r w:rsidRPr="00B2559A">
        <w:rPr>
          <w:rStyle w:val="FootnoteReference"/>
          <w:szCs w:val="18"/>
        </w:rPr>
        <w:footnoteRef/>
      </w:r>
      <w:r>
        <w:rPr>
          <w:szCs w:val="18"/>
        </w:rPr>
        <w:tab/>
      </w:r>
      <w:r w:rsidRPr="00B2559A">
        <w:rPr>
          <w:rStyle w:val="FootnoteReference"/>
          <w:szCs w:val="18"/>
        </w:rPr>
        <w:t xml:space="preserve"> </w:t>
      </w:r>
      <w:proofErr w:type="gramStart"/>
      <w:r w:rsidRPr="00B2559A">
        <w:rPr>
          <w:szCs w:val="18"/>
        </w:rPr>
        <w:t xml:space="preserve">ICJ </w:t>
      </w:r>
      <w:r w:rsidRPr="00B2559A">
        <w:rPr>
          <w:i/>
          <w:szCs w:val="18"/>
        </w:rPr>
        <w:t xml:space="preserve">Wall </w:t>
      </w:r>
      <w:r w:rsidRPr="00B2559A">
        <w:rPr>
          <w:szCs w:val="18"/>
        </w:rPr>
        <w:t>case, para.</w:t>
      </w:r>
      <w:proofErr w:type="gramEnd"/>
      <w:r w:rsidRPr="00B2559A">
        <w:rPr>
          <w:szCs w:val="18"/>
        </w:rPr>
        <w:t xml:space="preserve"> </w:t>
      </w:r>
      <w:proofErr w:type="gramStart"/>
      <w:r w:rsidRPr="00B2559A">
        <w:rPr>
          <w:szCs w:val="18"/>
        </w:rPr>
        <w:t>110; CCPR concluding observations on Israel, para.</w:t>
      </w:r>
      <w:proofErr w:type="gramEnd"/>
      <w:r w:rsidRPr="00B2559A">
        <w:rPr>
          <w:szCs w:val="18"/>
        </w:rPr>
        <w:t xml:space="preserve"> </w:t>
      </w:r>
      <w:r w:rsidRPr="00BA3D50">
        <w:rPr>
          <w:szCs w:val="18"/>
          <w:lang w:val="pt-PT"/>
        </w:rPr>
        <w:t>11, 2003 (CCPR/CO/78/ISR); CCPR , General Comment 31, para. 8.</w:t>
      </w:r>
    </w:p>
  </w:footnote>
  <w:footnote w:id="83">
    <w:p w:rsidR="007F20F5" w:rsidRPr="00BA3D50" w:rsidRDefault="007F20F5" w:rsidP="00370D1D">
      <w:pPr>
        <w:pStyle w:val="FootnoteText"/>
        <w:tabs>
          <w:tab w:val="left" w:pos="1134"/>
        </w:tabs>
        <w:spacing w:line="240" w:lineRule="auto"/>
        <w:rPr>
          <w:szCs w:val="18"/>
          <w:lang w:val="pt-PT"/>
        </w:rPr>
      </w:pPr>
      <w:r>
        <w:rPr>
          <w:szCs w:val="18"/>
          <w:lang w:val="pt-PT"/>
        </w:rPr>
        <w:tab/>
      </w:r>
      <w:r w:rsidRPr="00B2559A">
        <w:rPr>
          <w:szCs w:val="18"/>
          <w:vertAlign w:val="superscript"/>
          <w:lang w:val="pt-PT"/>
        </w:rPr>
        <w:footnoteRef/>
      </w:r>
      <w:r>
        <w:rPr>
          <w:szCs w:val="18"/>
          <w:lang w:val="pt-PT"/>
        </w:rPr>
        <w:tab/>
      </w:r>
      <w:r w:rsidRPr="00B2559A">
        <w:rPr>
          <w:szCs w:val="18"/>
          <w:lang w:val="pt-PT"/>
        </w:rPr>
        <w:t>A/71/355, para. 19 and A/HRC/25/38, paras.42-43.</w:t>
      </w:r>
    </w:p>
  </w:footnote>
  <w:footnote w:id="84">
    <w:p w:rsidR="007F20F5" w:rsidRPr="00BA3D50" w:rsidRDefault="007F20F5" w:rsidP="00370D1D">
      <w:pPr>
        <w:pStyle w:val="FootnoteText"/>
        <w:tabs>
          <w:tab w:val="left" w:pos="1134"/>
        </w:tabs>
        <w:spacing w:line="240" w:lineRule="auto"/>
        <w:rPr>
          <w:szCs w:val="18"/>
          <w:lang w:val="en-GB"/>
        </w:rPr>
      </w:pPr>
      <w:r>
        <w:rPr>
          <w:szCs w:val="18"/>
        </w:rPr>
        <w:tab/>
      </w:r>
      <w:r w:rsidRPr="00B2559A">
        <w:rPr>
          <w:rStyle w:val="FootnoteReference"/>
          <w:szCs w:val="18"/>
        </w:rPr>
        <w:footnoteRef/>
      </w:r>
      <w:r>
        <w:rPr>
          <w:szCs w:val="18"/>
        </w:rPr>
        <w:tab/>
      </w:r>
      <w:r w:rsidRPr="00B2559A">
        <w:rPr>
          <w:szCs w:val="18"/>
        </w:rPr>
        <w:t xml:space="preserve">Yesh Din, Data Sheet, October 2015, referred to in A/71/355 para. </w:t>
      </w:r>
      <w:r w:rsidRPr="00BA3D50">
        <w:rPr>
          <w:szCs w:val="18"/>
          <w:lang w:val="en-GB"/>
        </w:rPr>
        <w:t>19.</w:t>
      </w:r>
    </w:p>
  </w:footnote>
  <w:footnote w:id="85">
    <w:p w:rsidR="007F20F5" w:rsidRPr="00BA3D50" w:rsidRDefault="007F20F5" w:rsidP="00370D1D">
      <w:pPr>
        <w:pStyle w:val="FootnoteText"/>
        <w:tabs>
          <w:tab w:val="left" w:pos="1134"/>
        </w:tabs>
        <w:spacing w:line="240" w:lineRule="auto"/>
        <w:rPr>
          <w:szCs w:val="18"/>
          <w:lang w:val="en-GB"/>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r w:rsidRPr="00370D1D">
        <w:rPr>
          <w:rFonts w:eastAsia="Times New Roman"/>
          <w:szCs w:val="18"/>
          <w:lang w:val="es-ES" w:eastAsia="en-US"/>
        </w:rPr>
        <w:t xml:space="preserve">A/71/355 para. 20, A/HRC/31/43 para. </w:t>
      </w:r>
      <w:r w:rsidRPr="00BA3D50">
        <w:rPr>
          <w:szCs w:val="18"/>
          <w:lang w:val="en-GB"/>
        </w:rPr>
        <w:t>40-43.</w:t>
      </w:r>
    </w:p>
  </w:footnote>
  <w:footnote w:id="86">
    <w:p w:rsidR="007F20F5" w:rsidRPr="00BA3D50" w:rsidRDefault="007F20F5" w:rsidP="00370D1D">
      <w:pPr>
        <w:pStyle w:val="FootnoteText"/>
        <w:tabs>
          <w:tab w:val="left" w:pos="1134"/>
        </w:tabs>
        <w:spacing w:line="240" w:lineRule="auto"/>
        <w:rPr>
          <w:szCs w:val="18"/>
          <w:lang w:val="en-GB"/>
        </w:rPr>
      </w:pPr>
      <w:r>
        <w:rPr>
          <w:szCs w:val="18"/>
          <w:lang w:val="en-GB"/>
        </w:rPr>
        <w:tab/>
      </w:r>
      <w:r w:rsidRPr="00B2559A">
        <w:rPr>
          <w:rStyle w:val="FootnoteReference"/>
          <w:szCs w:val="18"/>
        </w:rPr>
        <w:footnoteRef/>
      </w:r>
      <w:r>
        <w:rPr>
          <w:szCs w:val="18"/>
          <w:lang w:val="en-GB"/>
        </w:rPr>
        <w:tab/>
      </w:r>
      <w:proofErr w:type="gramStart"/>
      <w:r w:rsidRPr="00BA3D50">
        <w:rPr>
          <w:szCs w:val="18"/>
          <w:lang w:val="en-GB"/>
        </w:rPr>
        <w:t>A/HRC/34/39, A/71/355 para.</w:t>
      </w:r>
      <w:proofErr w:type="gramEnd"/>
      <w:r w:rsidRPr="00BA3D50">
        <w:rPr>
          <w:szCs w:val="18"/>
          <w:lang w:val="en-GB"/>
        </w:rPr>
        <w:t xml:space="preserve"> 18.</w:t>
      </w:r>
    </w:p>
  </w:footnote>
  <w:footnote w:id="87">
    <w:p w:rsidR="007F20F5" w:rsidRPr="00B2559A"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sidRPr="006B6C08">
        <w:rPr>
          <w:rFonts w:eastAsia="Times New Roman"/>
          <w:szCs w:val="18"/>
          <w:lang w:val="es-ES" w:eastAsia="en-US"/>
        </w:rPr>
        <w:tab/>
        <w:t xml:space="preserve">A/HRC/28/44 para. 53, A/HRC/22/63 para. </w:t>
      </w:r>
      <w:proofErr w:type="gramStart"/>
      <w:r w:rsidRPr="00B2559A">
        <w:rPr>
          <w:szCs w:val="18"/>
        </w:rPr>
        <w:t>41, 46.</w:t>
      </w:r>
      <w:proofErr w:type="gramEnd"/>
    </w:p>
  </w:footnote>
  <w:footnote w:id="88">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Differences notably pertain to the authority to arrest, the maximum period of detention before being brought before a judge, the right to meet with an attorney, protections for defendants during trial, maximum punishment, and release before sentence completion; Israeli military law also provides for additional offenses that are not part of Israeli criminal legislation, such as stone throwing or assaulting a soldier (ACRI “One Rule, Two Legal Systems: Israel’s Regime of Laws in the West Bank”, November 2014  and B’Tselem, “Dual system of law”, January 2011 ).</w:t>
      </w:r>
    </w:p>
  </w:footnote>
  <w:footnote w:id="89">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2 ICCPR.</w:t>
      </w:r>
      <w:proofErr w:type="gramEnd"/>
    </w:p>
  </w:footnote>
  <w:footnote w:id="9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14 ICCPR.</w:t>
      </w:r>
      <w:proofErr w:type="gramEnd"/>
      <w:r w:rsidRPr="00B2559A">
        <w:rPr>
          <w:szCs w:val="18"/>
        </w:rPr>
        <w:t xml:space="preserve">  </w:t>
      </w:r>
    </w:p>
  </w:footnote>
  <w:footnote w:id="91">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43 HR and Art.</w:t>
      </w:r>
      <w:proofErr w:type="gramEnd"/>
      <w:r w:rsidRPr="00B2559A">
        <w:rPr>
          <w:szCs w:val="18"/>
        </w:rPr>
        <w:t xml:space="preserve"> </w:t>
      </w:r>
      <w:proofErr w:type="gramStart"/>
      <w:r w:rsidRPr="00B2559A">
        <w:rPr>
          <w:szCs w:val="18"/>
        </w:rPr>
        <w:t>64 GC IV.</w:t>
      </w:r>
      <w:proofErr w:type="gramEnd"/>
      <w:r w:rsidRPr="00B2559A">
        <w:rPr>
          <w:szCs w:val="18"/>
        </w:rPr>
        <w:t xml:space="preserve"> The possible passage of a Bill in the Knesset that would enable the retroactive legalization of outposts built on Palestinian-owned land is of additional concern, as it would be the first time that the Knesset enacts legislation to be specifically applied in the West Bank.</w:t>
      </w:r>
    </w:p>
  </w:footnote>
  <w:footnote w:id="92">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sidRPr="00B2559A">
        <w:rPr>
          <w:szCs w:val="18"/>
        </w:rPr>
        <w:t xml:space="preserve"> </w:t>
      </w:r>
      <w:r>
        <w:rPr>
          <w:szCs w:val="18"/>
        </w:rPr>
        <w:tab/>
        <w:t>Figures from OCHA</w:t>
      </w:r>
    </w:p>
  </w:footnote>
  <w:footnote w:id="93">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 xml:space="preserve">A Thai national was also killed. </w:t>
      </w:r>
    </w:p>
  </w:footnote>
  <w:footnote w:id="94">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 xml:space="preserve">The </w:t>
      </w:r>
      <w:r w:rsidRPr="00B2559A">
        <w:rPr>
          <w:color w:val="000000"/>
          <w:szCs w:val="18"/>
          <w:shd w:val="clear" w:color="auto" w:fill="FFFFFF"/>
        </w:rPr>
        <w:t>report of the Palestinian Independent National Committee established to follow up on the recommendations addressed to the Palestinian Authority by the Independent International Commission of Inquiry (A/HRC/29/52) was reportedly handed over to the Palestinian President on 8 January 2017.</w:t>
      </w:r>
    </w:p>
  </w:footnote>
  <w:footnote w:id="95">
    <w:p w:rsidR="007F20F5" w:rsidRPr="00BA3D50" w:rsidRDefault="007F20F5" w:rsidP="00370D1D">
      <w:pPr>
        <w:pStyle w:val="FootnoteText"/>
        <w:tabs>
          <w:tab w:val="left" w:pos="1134"/>
        </w:tabs>
        <w:spacing w:line="240" w:lineRule="auto"/>
        <w:rPr>
          <w:szCs w:val="18"/>
          <w:lang w:val="pt-PT"/>
        </w:rPr>
      </w:pPr>
      <w:r>
        <w:rPr>
          <w:szCs w:val="18"/>
        </w:rPr>
        <w:tab/>
      </w:r>
      <w:r w:rsidRPr="00B2559A">
        <w:rPr>
          <w:rStyle w:val="FootnoteReference"/>
          <w:szCs w:val="18"/>
        </w:rPr>
        <w:footnoteRef/>
      </w:r>
      <w:r>
        <w:rPr>
          <w:szCs w:val="18"/>
        </w:rPr>
        <w:tab/>
      </w:r>
      <w:r w:rsidRPr="00B2559A">
        <w:rPr>
          <w:szCs w:val="18"/>
        </w:rPr>
        <w:t xml:space="preserve">IDF MAG, decisions regarding exceptional incidents that allegedly occurred during operation ‘Protective Edge’; see A/71/364 para. </w:t>
      </w:r>
      <w:r w:rsidRPr="00BA3D50">
        <w:rPr>
          <w:rFonts w:eastAsia="Times New Roman"/>
          <w:szCs w:val="18"/>
          <w:lang w:val="pt-PT" w:eastAsia="en-US"/>
        </w:rPr>
        <w:t>38-41.</w:t>
      </w:r>
    </w:p>
  </w:footnote>
  <w:footnote w:id="96">
    <w:p w:rsidR="007F20F5" w:rsidRPr="00BA3D50" w:rsidRDefault="007F20F5" w:rsidP="00370D1D">
      <w:pPr>
        <w:pStyle w:val="FootnoteText"/>
        <w:tabs>
          <w:tab w:val="left" w:pos="1134"/>
        </w:tabs>
        <w:rPr>
          <w:szCs w:val="18"/>
          <w:lang w:val="pt-PT"/>
        </w:rPr>
      </w:pPr>
      <w:r>
        <w:rPr>
          <w:szCs w:val="18"/>
          <w:lang w:val="pt-PT"/>
        </w:rPr>
        <w:tab/>
      </w:r>
      <w:r w:rsidRPr="00B2559A">
        <w:rPr>
          <w:rStyle w:val="FootnoteReference"/>
          <w:szCs w:val="18"/>
        </w:rPr>
        <w:footnoteRef/>
      </w:r>
      <w:r>
        <w:rPr>
          <w:szCs w:val="18"/>
          <w:lang w:val="pt-PT"/>
        </w:rPr>
        <w:tab/>
      </w:r>
      <w:r w:rsidRPr="00BA3D50">
        <w:rPr>
          <w:szCs w:val="18"/>
          <w:lang w:val="pt-PT"/>
        </w:rPr>
        <w:t>A/71/364, para. 40.</w:t>
      </w:r>
    </w:p>
  </w:footnote>
  <w:footnote w:id="97">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A/71/364, para. 56-57.</w:t>
      </w:r>
    </w:p>
  </w:footnote>
  <w:footnote w:id="98">
    <w:p w:rsidR="007F20F5" w:rsidRPr="00B2559A" w:rsidRDefault="007F20F5" w:rsidP="00370D1D">
      <w:pPr>
        <w:pStyle w:val="FootnoteText"/>
        <w:tabs>
          <w:tab w:val="left" w:pos="1134"/>
        </w:tabs>
        <w:spacing w:line="240" w:lineRule="auto"/>
        <w:rPr>
          <w:szCs w:val="18"/>
          <w:lang w:val="es-ES"/>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See CAT/C/ISR/5; A/71/364 para. </w:t>
      </w:r>
      <w:r w:rsidRPr="00B2559A">
        <w:rPr>
          <w:rFonts w:eastAsia="Times New Roman"/>
          <w:szCs w:val="18"/>
          <w:lang w:val="es-ES" w:eastAsia="en-US"/>
        </w:rPr>
        <w:t>61-6</w:t>
      </w:r>
      <w:r>
        <w:rPr>
          <w:rFonts w:eastAsia="Times New Roman"/>
          <w:szCs w:val="18"/>
          <w:lang w:val="es-ES" w:eastAsia="en-US"/>
        </w:rPr>
        <w:t>3</w:t>
      </w:r>
      <w:r w:rsidRPr="00B2559A">
        <w:rPr>
          <w:rFonts w:eastAsia="Times New Roman"/>
          <w:szCs w:val="18"/>
          <w:lang w:val="es-ES" w:eastAsia="en-US"/>
        </w:rPr>
        <w:t>.</w:t>
      </w:r>
    </w:p>
  </w:footnote>
  <w:footnote w:id="99">
    <w:p w:rsidR="007F20F5" w:rsidRPr="00370D1D" w:rsidRDefault="007F20F5" w:rsidP="00370D1D">
      <w:pPr>
        <w:pStyle w:val="FootnoteText"/>
        <w:tabs>
          <w:tab w:val="left" w:pos="1134"/>
        </w:tabs>
        <w:spacing w:line="240" w:lineRule="auto"/>
        <w:rPr>
          <w:szCs w:val="18"/>
          <w:lang w:val="es-ES"/>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r w:rsidRPr="00370D1D">
        <w:rPr>
          <w:rFonts w:eastAsia="Times New Roman"/>
          <w:szCs w:val="18"/>
          <w:lang w:val="es-ES" w:eastAsia="en-US"/>
        </w:rPr>
        <w:t>A/71/364, para. 71.</w:t>
      </w:r>
    </w:p>
  </w:footnote>
  <w:footnote w:id="100">
    <w:p w:rsidR="007F20F5" w:rsidRPr="00370D1D" w:rsidRDefault="007F20F5" w:rsidP="00370D1D">
      <w:pPr>
        <w:pStyle w:val="FootnoteText"/>
        <w:tabs>
          <w:tab w:val="left" w:pos="1134"/>
        </w:tabs>
        <w:spacing w:line="240" w:lineRule="auto"/>
        <w:rPr>
          <w:szCs w:val="18"/>
          <w:lang w:val="es-ES"/>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proofErr w:type="spellStart"/>
      <w:r w:rsidRPr="00370D1D">
        <w:rPr>
          <w:rFonts w:eastAsia="Times New Roman"/>
          <w:szCs w:val="18"/>
          <w:lang w:val="es-ES" w:eastAsia="en-US"/>
        </w:rPr>
        <w:t>Quartet</w:t>
      </w:r>
      <w:proofErr w:type="spellEnd"/>
      <w:r w:rsidRPr="00370D1D">
        <w:rPr>
          <w:rFonts w:eastAsia="Times New Roman"/>
          <w:szCs w:val="18"/>
          <w:lang w:val="es-ES" w:eastAsia="en-US"/>
        </w:rPr>
        <w:t xml:space="preserve"> </w:t>
      </w:r>
      <w:proofErr w:type="spellStart"/>
      <w:r w:rsidRPr="00370D1D">
        <w:rPr>
          <w:rFonts w:eastAsia="Times New Roman"/>
          <w:szCs w:val="18"/>
          <w:lang w:val="es-ES" w:eastAsia="en-US"/>
        </w:rPr>
        <w:t>report</w:t>
      </w:r>
      <w:proofErr w:type="spellEnd"/>
      <w:r w:rsidRPr="00370D1D">
        <w:rPr>
          <w:rFonts w:eastAsia="Times New Roman"/>
          <w:szCs w:val="18"/>
          <w:lang w:val="es-ES" w:eastAsia="en-US"/>
        </w:rPr>
        <w:t>, p. 3.</w:t>
      </w:r>
    </w:p>
  </w:footnote>
  <w:footnote w:id="101">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A/HRC/31/40.</w:t>
      </w:r>
    </w:p>
  </w:footnote>
  <w:footnote w:id="102">
    <w:p w:rsidR="007F20F5" w:rsidRPr="007F20F5" w:rsidRDefault="007F20F5" w:rsidP="00370D1D">
      <w:pPr>
        <w:pStyle w:val="FootnoteText"/>
        <w:tabs>
          <w:tab w:val="left" w:pos="1134"/>
        </w:tabs>
      </w:pPr>
      <w:r>
        <w:rPr>
          <w:lang w:val="pt-PT"/>
        </w:rPr>
        <w:tab/>
      </w:r>
      <w:r>
        <w:rPr>
          <w:rStyle w:val="FootnoteReference"/>
        </w:rPr>
        <w:footnoteRef/>
      </w:r>
      <w:r>
        <w:rPr>
          <w:lang w:val="pt-PT"/>
        </w:rPr>
        <w:tab/>
      </w:r>
      <w:r w:rsidRPr="00BA3D50">
        <w:rPr>
          <w:lang w:val="pt-PT"/>
        </w:rPr>
        <w:t xml:space="preserve">A/71/364 para. 8-10,  A/71/355 para. </w:t>
      </w:r>
      <w:r w:rsidRPr="007F20F5">
        <w:t xml:space="preserve">38-43. </w:t>
      </w:r>
    </w:p>
  </w:footnote>
  <w:footnote w:id="103">
    <w:p w:rsidR="007F20F5" w:rsidRPr="007F20F5"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7F20F5">
        <w:rPr>
          <w:rFonts w:eastAsia="Times New Roman"/>
          <w:szCs w:val="18"/>
          <w:lang w:eastAsia="en-US"/>
        </w:rPr>
        <w:t>A/70/421, para.30-38; A/71/364, para.</w:t>
      </w:r>
      <w:r w:rsidRPr="007F20F5">
        <w:rPr>
          <w:szCs w:val="18"/>
        </w:rPr>
        <w:t>13-15.</w:t>
      </w:r>
      <w:proofErr w:type="gramEnd"/>
    </w:p>
  </w:footnote>
  <w:footnote w:id="10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7F20F5">
        <w:rPr>
          <w:szCs w:val="18"/>
        </w:rPr>
        <w:t>Code of Conduc</w:t>
      </w:r>
      <w:r w:rsidRPr="00B2559A">
        <w:rPr>
          <w:szCs w:val="18"/>
        </w:rPr>
        <w:t>t for Law Enforcement Officials, 1979, Art.</w:t>
      </w:r>
      <w:proofErr w:type="gramEnd"/>
      <w:r w:rsidRPr="00B2559A">
        <w:rPr>
          <w:szCs w:val="18"/>
        </w:rPr>
        <w:t xml:space="preserve"> 2-3; Principles 5, 9, 13 and 14, Basic Principles on the Use of Force and Firearms by Law Enforcement Officials, 1990.</w:t>
      </w:r>
    </w:p>
  </w:footnote>
  <w:footnote w:id="10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6 ICCPR.</w:t>
      </w:r>
      <w:proofErr w:type="gramEnd"/>
    </w:p>
  </w:footnote>
  <w:footnote w:id="106">
    <w:p w:rsidR="007F20F5" w:rsidRPr="006B6C08" w:rsidRDefault="007F20F5" w:rsidP="00370D1D">
      <w:pPr>
        <w:pStyle w:val="FootnoteText"/>
        <w:tabs>
          <w:tab w:val="left" w:pos="1134"/>
        </w:tabs>
        <w:spacing w:line="240" w:lineRule="auto"/>
        <w:rPr>
          <w:szCs w:val="18"/>
          <w:lang w:val="en-GB"/>
        </w:rPr>
      </w:pPr>
      <w:r>
        <w:rPr>
          <w:szCs w:val="18"/>
        </w:rPr>
        <w:tab/>
      </w:r>
      <w:r w:rsidRPr="00B2559A">
        <w:rPr>
          <w:rStyle w:val="FootnoteReference"/>
          <w:szCs w:val="18"/>
        </w:rPr>
        <w:footnoteRef/>
      </w:r>
      <w:r w:rsidRPr="006B6C08">
        <w:rPr>
          <w:szCs w:val="18"/>
          <w:lang w:val="en-GB"/>
        </w:rPr>
        <w:tab/>
        <w:t>Art. 147 GC IV.</w:t>
      </w:r>
    </w:p>
  </w:footnote>
  <w:footnote w:id="107">
    <w:p w:rsidR="007F20F5" w:rsidRPr="00B2559A" w:rsidRDefault="007F20F5" w:rsidP="00370D1D">
      <w:pPr>
        <w:pStyle w:val="FootnoteText"/>
        <w:tabs>
          <w:tab w:val="left" w:pos="1134"/>
        </w:tabs>
        <w:spacing w:line="240" w:lineRule="auto"/>
        <w:rPr>
          <w:szCs w:val="18"/>
          <w:lang w:val="es-ES"/>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A/71/355, para. 43, A/71/364 para. 8-9, A/HRC/31/40 para. </w:t>
      </w:r>
      <w:r w:rsidRPr="00B2559A">
        <w:rPr>
          <w:rFonts w:eastAsia="Times New Roman"/>
          <w:szCs w:val="18"/>
          <w:lang w:val="es-ES" w:eastAsia="en-US"/>
        </w:rPr>
        <w:t>10-15</w:t>
      </w:r>
      <w:r>
        <w:rPr>
          <w:rFonts w:eastAsia="Times New Roman"/>
          <w:szCs w:val="18"/>
          <w:lang w:val="es-ES" w:eastAsia="en-US"/>
        </w:rPr>
        <w:t>.</w:t>
      </w:r>
    </w:p>
  </w:footnote>
  <w:footnote w:id="108">
    <w:p w:rsidR="007F20F5" w:rsidRPr="00B2559A" w:rsidRDefault="007F20F5" w:rsidP="00370D1D">
      <w:pPr>
        <w:pStyle w:val="FootnoteText"/>
        <w:tabs>
          <w:tab w:val="left" w:pos="1134"/>
        </w:tabs>
        <w:spacing w:line="240" w:lineRule="auto"/>
        <w:rPr>
          <w:szCs w:val="18"/>
          <w:lang w:val="es-ES"/>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r w:rsidRPr="00B2559A">
        <w:rPr>
          <w:rFonts w:eastAsia="Times New Roman"/>
          <w:szCs w:val="18"/>
          <w:lang w:val="es-ES" w:eastAsia="en-US"/>
        </w:rPr>
        <w:t>A/71/364, para. 42-50.</w:t>
      </w:r>
    </w:p>
  </w:footnote>
  <w:footnote w:id="109">
    <w:p w:rsidR="007F20F5" w:rsidRPr="00B2559A" w:rsidRDefault="007F20F5" w:rsidP="00370D1D">
      <w:pPr>
        <w:pStyle w:val="FootnoteText"/>
        <w:tabs>
          <w:tab w:val="left" w:pos="1134"/>
        </w:tabs>
        <w:rPr>
          <w:szCs w:val="18"/>
        </w:rPr>
      </w:pPr>
      <w:r>
        <w:rPr>
          <w:szCs w:val="18"/>
          <w:lang w:val="es-ES"/>
        </w:rPr>
        <w:tab/>
      </w:r>
      <w:r w:rsidRPr="00B2559A">
        <w:rPr>
          <w:rStyle w:val="FootnoteReference"/>
          <w:szCs w:val="18"/>
        </w:rPr>
        <w:footnoteRef/>
      </w:r>
      <w:r>
        <w:rPr>
          <w:szCs w:val="18"/>
          <w:lang w:val="es-ES"/>
        </w:rPr>
        <w:tab/>
      </w:r>
      <w:r w:rsidRPr="00BA3D50">
        <w:rPr>
          <w:szCs w:val="18"/>
          <w:lang w:val="pt-PT"/>
        </w:rPr>
        <w:t xml:space="preserve">See A/71/355 para. 45; A/71/364 para. </w:t>
      </w:r>
      <w:r>
        <w:rPr>
          <w:szCs w:val="18"/>
        </w:rPr>
        <w:t>45</w:t>
      </w:r>
      <w:r w:rsidRPr="00B2559A">
        <w:rPr>
          <w:szCs w:val="18"/>
        </w:rPr>
        <w:t xml:space="preserve">; </w:t>
      </w:r>
      <w:proofErr w:type="spellStart"/>
      <w:r w:rsidRPr="00B2559A">
        <w:rPr>
          <w:szCs w:val="18"/>
        </w:rPr>
        <w:t>Elor</w:t>
      </w:r>
      <w:proofErr w:type="spellEnd"/>
      <w:r w:rsidRPr="00B2559A">
        <w:rPr>
          <w:szCs w:val="18"/>
        </w:rPr>
        <w:t xml:space="preserve"> Azaria was convicted for manslaughter on 4 January 2017; at the time of writing, it is not clear whether there will be an appeal to the judgment.</w:t>
      </w:r>
    </w:p>
  </w:footnote>
  <w:footnote w:id="110">
    <w:p w:rsidR="007F20F5" w:rsidRPr="00571691"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571691">
        <w:rPr>
          <w:rFonts w:eastAsia="Times New Roman"/>
          <w:szCs w:val="18"/>
          <w:lang w:eastAsia="en-US"/>
        </w:rPr>
        <w:t>A/HRC/28/80, A/HRC/31/40, A/71/364.</w:t>
      </w:r>
      <w:proofErr w:type="gramEnd"/>
    </w:p>
  </w:footnote>
  <w:footnote w:id="111">
    <w:p w:rsidR="007F20F5" w:rsidRPr="00571691"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r w:rsidRPr="00571691">
        <w:rPr>
          <w:rFonts w:eastAsia="Times New Roman"/>
          <w:szCs w:val="18"/>
          <w:lang w:eastAsia="en-US"/>
        </w:rPr>
        <w:t>Update provided by PCATI.</w:t>
      </w:r>
    </w:p>
  </w:footnote>
  <w:footnote w:id="112">
    <w:p w:rsidR="007F20F5" w:rsidRPr="00571691"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sidRPr="00571691">
        <w:rPr>
          <w:rFonts w:eastAsia="Times New Roman"/>
          <w:szCs w:val="18"/>
          <w:lang w:eastAsia="en-US"/>
        </w:rPr>
        <w:t xml:space="preserve"> </w:t>
      </w:r>
      <w:r>
        <w:rPr>
          <w:rFonts w:eastAsia="Times New Roman"/>
          <w:szCs w:val="18"/>
          <w:lang w:eastAsia="en-US"/>
        </w:rPr>
        <w:tab/>
      </w:r>
      <w:proofErr w:type="gramStart"/>
      <w:r w:rsidRPr="00571691">
        <w:rPr>
          <w:rFonts w:eastAsia="Times New Roman"/>
          <w:szCs w:val="18"/>
          <w:lang w:eastAsia="en-US"/>
        </w:rPr>
        <w:t>A/HRC/31/40, para 47.</w:t>
      </w:r>
      <w:proofErr w:type="gramEnd"/>
    </w:p>
  </w:footnote>
  <w:footnote w:id="113">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7 ICCPR.</w:t>
      </w:r>
      <w:proofErr w:type="gramEnd"/>
    </w:p>
  </w:footnote>
  <w:footnote w:id="11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sidRPr="00B2559A">
        <w:rPr>
          <w:szCs w:val="18"/>
        </w:rPr>
        <w:t xml:space="preserve"> </w:t>
      </w:r>
      <w:r>
        <w:rPr>
          <w:szCs w:val="18"/>
        </w:rPr>
        <w:tab/>
        <w:t>A</w:t>
      </w:r>
      <w:r w:rsidRPr="00B2559A">
        <w:rPr>
          <w:szCs w:val="18"/>
        </w:rPr>
        <w:t xml:space="preserve">rt. </w:t>
      </w:r>
      <w:proofErr w:type="gramStart"/>
      <w:r w:rsidRPr="00B2559A">
        <w:rPr>
          <w:szCs w:val="18"/>
        </w:rPr>
        <w:t>4 ICCPR.</w:t>
      </w:r>
      <w:proofErr w:type="gramEnd"/>
    </w:p>
  </w:footnote>
  <w:footnote w:id="11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27 GC IV</w:t>
      </w:r>
      <w:r>
        <w:rPr>
          <w:szCs w:val="18"/>
        </w:rPr>
        <w:t xml:space="preserve"> and art.32 GC IV</w:t>
      </w:r>
      <w:r w:rsidRPr="00B2559A">
        <w:rPr>
          <w:szCs w:val="18"/>
        </w:rPr>
        <w:t>.</w:t>
      </w:r>
      <w:proofErr w:type="gramEnd"/>
    </w:p>
  </w:footnote>
  <w:footnote w:id="116">
    <w:p w:rsidR="007F20F5" w:rsidRPr="00E7740F"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E7740F">
        <w:rPr>
          <w:rFonts w:eastAsia="Times New Roman"/>
          <w:szCs w:val="18"/>
          <w:lang w:eastAsia="en-US"/>
        </w:rPr>
        <w:t>CAT/C/ISR/CO/5, para.</w:t>
      </w:r>
      <w:proofErr w:type="gramEnd"/>
      <w:r w:rsidRPr="00E7740F">
        <w:rPr>
          <w:rFonts w:eastAsia="Times New Roman"/>
          <w:szCs w:val="18"/>
          <w:lang w:eastAsia="en-US"/>
        </w:rPr>
        <w:t xml:space="preserve"> 12-13</w:t>
      </w:r>
      <w:r>
        <w:rPr>
          <w:rFonts w:eastAsia="Times New Roman"/>
          <w:szCs w:val="18"/>
          <w:lang w:eastAsia="en-US"/>
        </w:rPr>
        <w:t xml:space="preserve">; see A/71/364, para. </w:t>
      </w:r>
      <w:proofErr w:type="gramStart"/>
      <w:r>
        <w:rPr>
          <w:rFonts w:eastAsia="Times New Roman"/>
          <w:szCs w:val="18"/>
          <w:lang w:eastAsia="en-US"/>
        </w:rPr>
        <w:t>41 and 59.</w:t>
      </w:r>
      <w:proofErr w:type="gramEnd"/>
    </w:p>
  </w:footnote>
  <w:footnote w:id="117">
    <w:p w:rsidR="007F20F5" w:rsidRPr="00571691"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571691">
        <w:rPr>
          <w:rFonts w:eastAsia="Times New Roman"/>
          <w:szCs w:val="18"/>
          <w:lang w:eastAsia="en-US"/>
        </w:rPr>
        <w:t>A/71/364, para.</w:t>
      </w:r>
      <w:proofErr w:type="gramEnd"/>
      <w:r w:rsidRPr="00571691">
        <w:rPr>
          <w:rFonts w:eastAsia="Times New Roman"/>
          <w:szCs w:val="18"/>
          <w:lang w:eastAsia="en-US"/>
        </w:rPr>
        <w:t xml:space="preserve"> 59 (with references).</w:t>
      </w:r>
    </w:p>
  </w:footnote>
  <w:footnote w:id="118">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A/71/364, para 60.</w:t>
      </w:r>
    </w:p>
  </w:footnote>
  <w:footnote w:id="119">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CAT/C/ISR/5, para. 11.</w:t>
      </w:r>
    </w:p>
  </w:footnote>
  <w:footnote w:id="120">
    <w:p w:rsidR="007F20F5" w:rsidRPr="00BA3D50" w:rsidRDefault="007F20F5" w:rsidP="00370D1D">
      <w:pPr>
        <w:pStyle w:val="FootnoteText"/>
        <w:tabs>
          <w:tab w:val="left" w:pos="1134"/>
        </w:tabs>
        <w:rPr>
          <w:lang w:val="pt-PT"/>
        </w:rPr>
      </w:pPr>
      <w:r>
        <w:rPr>
          <w:lang w:val="pt-PT"/>
        </w:rPr>
        <w:tab/>
      </w:r>
      <w:r>
        <w:rPr>
          <w:rStyle w:val="FootnoteReference"/>
        </w:rPr>
        <w:footnoteRef/>
      </w:r>
      <w:r>
        <w:rPr>
          <w:lang w:val="pt-PT"/>
        </w:rPr>
        <w:tab/>
      </w:r>
      <w:r w:rsidRPr="00BA3D50">
        <w:rPr>
          <w:lang w:val="pt-PT"/>
        </w:rPr>
        <w:t>A/HRC/31/40, para. 60-62; A/HRC/34/36.</w:t>
      </w:r>
    </w:p>
  </w:footnote>
  <w:footnote w:id="121">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186979">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A/HRC/31/40, para. 61; </w:t>
      </w:r>
      <w:r w:rsidRPr="00BA3D50">
        <w:rPr>
          <w:lang w:val="pt-PT"/>
        </w:rPr>
        <w:t>A/HRC/34/36.</w:t>
      </w:r>
    </w:p>
  </w:footnote>
  <w:footnote w:id="122">
    <w:p w:rsidR="007F20F5" w:rsidRPr="006B6C08" w:rsidRDefault="007F20F5" w:rsidP="00370D1D">
      <w:pPr>
        <w:pStyle w:val="FootnoteText"/>
        <w:tabs>
          <w:tab w:val="left" w:pos="1134"/>
        </w:tabs>
        <w:spacing w:line="240" w:lineRule="auto"/>
        <w:rPr>
          <w:szCs w:val="18"/>
          <w:lang w:val="es-ES"/>
        </w:rPr>
      </w:pPr>
      <w:r>
        <w:rPr>
          <w:rFonts w:eastAsia="Times New Roman"/>
          <w:szCs w:val="18"/>
          <w:lang w:val="es-ES" w:eastAsia="en-US"/>
        </w:rPr>
        <w:tab/>
      </w:r>
      <w:r w:rsidRPr="00B2559A">
        <w:rPr>
          <w:rStyle w:val="FootnoteReference"/>
          <w:szCs w:val="18"/>
        </w:rPr>
        <w:footnoteRef/>
      </w:r>
      <w:r w:rsidRPr="006B6C08">
        <w:rPr>
          <w:rFonts w:eastAsia="Times New Roman"/>
          <w:szCs w:val="18"/>
          <w:lang w:val="es-ES" w:eastAsia="en-US"/>
        </w:rPr>
        <w:tab/>
        <w:t>A/HRC/34/36.</w:t>
      </w:r>
    </w:p>
  </w:footnote>
  <w:footnote w:id="123">
    <w:p w:rsidR="007F20F5" w:rsidRPr="00B2559A" w:rsidRDefault="007F20F5" w:rsidP="00370D1D">
      <w:pPr>
        <w:pStyle w:val="FootnoteText"/>
        <w:tabs>
          <w:tab w:val="left" w:pos="1134"/>
        </w:tabs>
        <w:spacing w:line="240" w:lineRule="auto"/>
        <w:rPr>
          <w:szCs w:val="18"/>
        </w:rPr>
      </w:pPr>
      <w:r w:rsidRPr="006B6C08">
        <w:rPr>
          <w:rFonts w:eastAsia="Times New Roman"/>
          <w:szCs w:val="18"/>
          <w:lang w:val="es-ES" w:eastAsia="en-US"/>
        </w:rPr>
        <w:tab/>
      </w:r>
      <w:r w:rsidRPr="00B2559A">
        <w:rPr>
          <w:rStyle w:val="FootnoteReference"/>
          <w:szCs w:val="18"/>
        </w:rPr>
        <w:footnoteRef/>
      </w:r>
      <w:r w:rsidRPr="006B6C08">
        <w:rPr>
          <w:rFonts w:eastAsia="Times New Roman"/>
          <w:szCs w:val="18"/>
          <w:lang w:val="es-ES" w:eastAsia="en-US"/>
        </w:rPr>
        <w:tab/>
        <w:t xml:space="preserve">http://www.addameer.org/statistics. </w:t>
      </w:r>
      <w:r w:rsidRPr="00B2559A">
        <w:rPr>
          <w:szCs w:val="18"/>
        </w:rPr>
        <w:t>Three Jewish-Israeli men were also held in administrative detention in 2015.</w:t>
      </w:r>
    </w:p>
  </w:footnote>
  <w:footnote w:id="12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5A1196">
        <w:rPr>
          <w:szCs w:val="18"/>
        </w:rPr>
        <w:t>http://www.addameer.org/statistics/20160730</w:t>
      </w:r>
      <w:r>
        <w:rPr>
          <w:szCs w:val="18"/>
        </w:rPr>
        <w:t xml:space="preserve">;    </w:t>
      </w:r>
      <w:hyperlink r:id="rId1" w:history="1">
        <w:r w:rsidRPr="00B2559A">
          <w:rPr>
            <w:rStyle w:val="Hyperlink"/>
            <w:szCs w:val="18"/>
          </w:rPr>
          <w:t>http://www.btselem.org/administrative_detention/statistics</w:t>
        </w:r>
      </w:hyperlink>
      <w:r>
        <w:rPr>
          <w:rStyle w:val="Hyperlink"/>
          <w:szCs w:val="18"/>
        </w:rPr>
        <w:t>.</w:t>
      </w:r>
      <w:proofErr w:type="gramEnd"/>
      <w:r w:rsidRPr="00B2559A">
        <w:rPr>
          <w:szCs w:val="18"/>
        </w:rPr>
        <w:t xml:space="preserve"> </w:t>
      </w:r>
    </w:p>
  </w:footnote>
  <w:footnote w:id="125">
    <w:p w:rsidR="007F20F5" w:rsidRPr="00370D1D" w:rsidRDefault="007F20F5" w:rsidP="00370D1D">
      <w:pPr>
        <w:pStyle w:val="FootnoteText"/>
        <w:tabs>
          <w:tab w:val="left" w:pos="1134"/>
        </w:tabs>
        <w:spacing w:line="240" w:lineRule="auto"/>
        <w:rPr>
          <w:szCs w:val="18"/>
          <w:lang w:val="es-ES"/>
        </w:rPr>
      </w:pPr>
      <w:r>
        <w:rPr>
          <w:rFonts w:eastAsia="Times New Roman"/>
          <w:szCs w:val="18"/>
          <w:lang w:eastAsia="en-US"/>
        </w:rPr>
        <w:tab/>
      </w:r>
      <w:r w:rsidRPr="00B2559A">
        <w:rPr>
          <w:rStyle w:val="FootnoteReference"/>
          <w:szCs w:val="18"/>
        </w:rPr>
        <w:footnoteRef/>
      </w:r>
      <w:r w:rsidRPr="006B6C08">
        <w:rPr>
          <w:rFonts w:eastAsia="Times New Roman"/>
          <w:szCs w:val="18"/>
          <w:lang w:val="es-ES" w:eastAsia="en-US"/>
        </w:rPr>
        <w:tab/>
      </w:r>
      <w:r w:rsidRPr="00370D1D">
        <w:rPr>
          <w:rFonts w:eastAsia="Times New Roman"/>
          <w:szCs w:val="18"/>
          <w:lang w:val="es-ES" w:eastAsia="en-US"/>
        </w:rPr>
        <w:t>A/HRC/31/40, para. 44, A/HRC/34/36, para 21-22.</w:t>
      </w:r>
    </w:p>
  </w:footnote>
  <w:footnote w:id="126">
    <w:p w:rsidR="007F20F5" w:rsidRPr="00B2559A" w:rsidRDefault="007F20F5" w:rsidP="00370D1D">
      <w:pPr>
        <w:pStyle w:val="FootnoteText"/>
        <w:tabs>
          <w:tab w:val="left" w:pos="1134"/>
        </w:tabs>
        <w:spacing w:line="240" w:lineRule="auto"/>
        <w:rPr>
          <w:szCs w:val="18"/>
        </w:rPr>
      </w:pPr>
      <w:r w:rsidRPr="006B6C08">
        <w:rPr>
          <w:rFonts w:eastAsia="Times New Roman"/>
          <w:szCs w:val="18"/>
          <w:lang w:val="es-ES" w:eastAsia="en-US"/>
        </w:rPr>
        <w:tab/>
      </w:r>
      <w:r w:rsidRPr="00B2559A">
        <w:rPr>
          <w:rStyle w:val="FootnoteReference"/>
          <w:szCs w:val="18"/>
        </w:rPr>
        <w:footnoteRef/>
      </w:r>
      <w:r>
        <w:rPr>
          <w:rFonts w:eastAsia="Times New Roman"/>
          <w:szCs w:val="18"/>
          <w:lang w:eastAsia="en-US"/>
        </w:rPr>
        <w:tab/>
      </w:r>
      <w:proofErr w:type="gramStart"/>
      <w:r w:rsidRPr="00B2559A">
        <w:rPr>
          <w:rFonts w:eastAsia="Times New Roman"/>
          <w:szCs w:val="18"/>
          <w:lang w:eastAsia="en-US"/>
        </w:rPr>
        <w:t>A/HRC/31/40, para</w:t>
      </w:r>
      <w:r>
        <w:rPr>
          <w:rFonts w:eastAsia="Times New Roman"/>
          <w:szCs w:val="18"/>
          <w:lang w:eastAsia="en-US"/>
        </w:rPr>
        <w:t>.</w:t>
      </w:r>
      <w:proofErr w:type="gramEnd"/>
      <w:r w:rsidRPr="00B2559A">
        <w:rPr>
          <w:rFonts w:eastAsia="Times New Roman"/>
          <w:szCs w:val="18"/>
          <w:lang w:eastAsia="en-US"/>
        </w:rPr>
        <w:t xml:space="preserve"> 45</w:t>
      </w:r>
      <w:r>
        <w:rPr>
          <w:rFonts w:eastAsia="Times New Roman"/>
          <w:szCs w:val="18"/>
          <w:lang w:eastAsia="en-US"/>
        </w:rPr>
        <w:t>.</w:t>
      </w:r>
    </w:p>
  </w:footnote>
  <w:footnote w:id="127">
    <w:p w:rsidR="007F20F5" w:rsidRPr="00B2559A"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r w:rsidRPr="00B2559A">
        <w:rPr>
          <w:szCs w:val="18"/>
        </w:rPr>
        <w:t>See joint statement of 28 July 2015 by the UN Special Rapporteurs on torture and other cruel, inhuman or degrading treatment or punishment, and on the Right to Health.</w:t>
      </w:r>
      <w:r w:rsidRPr="00994243">
        <w:t xml:space="preserve"> </w:t>
      </w:r>
      <w:hyperlink r:id="rId2" w:history="1">
        <w:r w:rsidRPr="00994243">
          <w:rPr>
            <w:rStyle w:val="Hyperlink"/>
            <w:szCs w:val="18"/>
          </w:rPr>
          <w:t>http://www.ohchr.org/RU/NewsEvents/Pages/DisplayNews.aspx?NewsID=16269&amp;LangID=E</w:t>
        </w:r>
      </w:hyperlink>
      <w:r w:rsidRPr="00994243">
        <w:rPr>
          <w:szCs w:val="18"/>
        </w:rPr>
        <w:t xml:space="preserve"> </w:t>
      </w:r>
    </w:p>
  </w:footnote>
  <w:footnote w:id="128">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A/HRC/31/40, para. 58.</w:t>
      </w:r>
    </w:p>
  </w:footnote>
  <w:footnote w:id="129">
    <w:p w:rsidR="007F20F5" w:rsidRPr="00BA3D50" w:rsidRDefault="007F20F5" w:rsidP="00370D1D">
      <w:pPr>
        <w:pStyle w:val="FootnoteText"/>
        <w:tabs>
          <w:tab w:val="left" w:pos="1134"/>
        </w:tabs>
        <w:spacing w:line="240" w:lineRule="auto"/>
        <w:rPr>
          <w:szCs w:val="18"/>
          <w:lang w:val="pt-PT"/>
        </w:rPr>
      </w:pPr>
      <w:r>
        <w:rPr>
          <w:szCs w:val="18"/>
          <w:lang w:val="pt-PT"/>
        </w:rPr>
        <w:tab/>
      </w:r>
      <w:r w:rsidRPr="00B2559A">
        <w:rPr>
          <w:rStyle w:val="FootnoteReference"/>
          <w:szCs w:val="18"/>
        </w:rPr>
        <w:footnoteRef/>
      </w:r>
      <w:r>
        <w:rPr>
          <w:szCs w:val="18"/>
          <w:lang w:val="pt-PT"/>
        </w:rPr>
        <w:tab/>
      </w:r>
      <w:r w:rsidRPr="00BA3D50">
        <w:rPr>
          <w:szCs w:val="18"/>
          <w:lang w:val="pt-PT"/>
        </w:rPr>
        <w:t xml:space="preserve">A/HRC/34/36. </w:t>
      </w:r>
    </w:p>
  </w:footnote>
  <w:footnote w:id="130">
    <w:p w:rsidR="007F20F5" w:rsidRPr="00BA3D50" w:rsidRDefault="007F20F5" w:rsidP="00370D1D">
      <w:pPr>
        <w:pStyle w:val="FootnoteText"/>
        <w:tabs>
          <w:tab w:val="left" w:pos="1134"/>
        </w:tabs>
        <w:spacing w:line="240" w:lineRule="auto"/>
        <w:rPr>
          <w:szCs w:val="18"/>
          <w:lang w:val="pt-PT"/>
        </w:rPr>
      </w:pPr>
      <w:r w:rsidRPr="006B6C08">
        <w:rPr>
          <w:szCs w:val="18"/>
          <w:lang w:val="es-ES"/>
        </w:rPr>
        <w:tab/>
      </w:r>
      <w:r w:rsidRPr="00B2559A">
        <w:rPr>
          <w:rStyle w:val="FootnoteReference"/>
          <w:szCs w:val="18"/>
        </w:rPr>
        <w:footnoteRef/>
      </w:r>
      <w:r>
        <w:rPr>
          <w:szCs w:val="18"/>
        </w:rPr>
        <w:tab/>
      </w:r>
      <w:r w:rsidRPr="00B2559A">
        <w:rPr>
          <w:szCs w:val="18"/>
        </w:rPr>
        <w:t xml:space="preserve">Art. </w:t>
      </w:r>
      <w:proofErr w:type="gramStart"/>
      <w:r w:rsidRPr="00B2559A">
        <w:rPr>
          <w:szCs w:val="18"/>
        </w:rPr>
        <w:t>9 ICCPR; General Comment 35, para.</w:t>
      </w:r>
      <w:proofErr w:type="gramEnd"/>
      <w:r>
        <w:rPr>
          <w:szCs w:val="18"/>
        </w:rPr>
        <w:t xml:space="preserve"> </w:t>
      </w:r>
      <w:r w:rsidRPr="00BA3D50">
        <w:rPr>
          <w:szCs w:val="18"/>
          <w:lang w:val="pt-PT"/>
        </w:rPr>
        <w:t>15 (2014).</w:t>
      </w:r>
    </w:p>
  </w:footnote>
  <w:footnote w:id="131">
    <w:p w:rsidR="007F20F5" w:rsidRPr="00BA3D50" w:rsidRDefault="007F20F5" w:rsidP="00370D1D">
      <w:pPr>
        <w:pStyle w:val="FootnoteText"/>
        <w:tabs>
          <w:tab w:val="left" w:pos="1134"/>
        </w:tabs>
        <w:rPr>
          <w:i/>
          <w:lang w:val="pt-PT"/>
        </w:rPr>
      </w:pPr>
      <w:r>
        <w:rPr>
          <w:lang w:val="pt-PT"/>
        </w:rPr>
        <w:tab/>
      </w:r>
      <w:r>
        <w:rPr>
          <w:rStyle w:val="FootnoteReference"/>
        </w:rPr>
        <w:footnoteRef/>
      </w:r>
      <w:r w:rsidRPr="00BA3D50">
        <w:rPr>
          <w:lang w:val="pt-PT"/>
        </w:rPr>
        <w:t xml:space="preserve"> </w:t>
      </w:r>
      <w:r>
        <w:rPr>
          <w:lang w:val="pt-PT"/>
        </w:rPr>
        <w:tab/>
      </w:r>
      <w:r w:rsidRPr="00BA3D50">
        <w:rPr>
          <w:i/>
          <w:lang w:val="pt-PT"/>
        </w:rPr>
        <w:t>Ibidem.</w:t>
      </w:r>
    </w:p>
  </w:footnote>
  <w:footnote w:id="132">
    <w:p w:rsidR="007F20F5" w:rsidRPr="00BA3D50" w:rsidRDefault="007F20F5" w:rsidP="00370D1D">
      <w:pPr>
        <w:pStyle w:val="FootnoteText"/>
        <w:tabs>
          <w:tab w:val="left" w:pos="1134"/>
        </w:tabs>
        <w:spacing w:line="240" w:lineRule="auto"/>
        <w:rPr>
          <w:szCs w:val="18"/>
          <w:lang w:val="pt-PT"/>
        </w:rPr>
      </w:pPr>
      <w:r>
        <w:rPr>
          <w:szCs w:val="18"/>
          <w:lang w:val="pt-PT"/>
        </w:rPr>
        <w:tab/>
      </w:r>
      <w:r w:rsidRPr="00B2559A">
        <w:rPr>
          <w:rStyle w:val="FootnoteReference"/>
          <w:szCs w:val="18"/>
        </w:rPr>
        <w:footnoteRef/>
      </w:r>
      <w:r>
        <w:rPr>
          <w:szCs w:val="18"/>
          <w:lang w:val="pt-PT"/>
        </w:rPr>
        <w:tab/>
      </w:r>
      <w:r w:rsidRPr="00BA3D50">
        <w:rPr>
          <w:szCs w:val="18"/>
          <w:lang w:val="pt-PT"/>
        </w:rPr>
        <w:t>Art. 9 ICCPR.</w:t>
      </w:r>
    </w:p>
  </w:footnote>
  <w:footnote w:id="133">
    <w:p w:rsidR="007F20F5" w:rsidRPr="00B2559A" w:rsidRDefault="007F20F5" w:rsidP="00370D1D">
      <w:pPr>
        <w:pStyle w:val="FootnoteText"/>
        <w:tabs>
          <w:tab w:val="left" w:pos="1134"/>
        </w:tabs>
        <w:spacing w:line="240" w:lineRule="auto"/>
        <w:rPr>
          <w:szCs w:val="18"/>
        </w:rPr>
      </w:pPr>
      <w:r>
        <w:rPr>
          <w:szCs w:val="18"/>
          <w:lang w:val="pt-PT"/>
        </w:rPr>
        <w:tab/>
      </w:r>
      <w:r w:rsidRPr="00B2559A">
        <w:rPr>
          <w:rStyle w:val="FootnoteReference"/>
          <w:szCs w:val="18"/>
        </w:rPr>
        <w:footnoteRef/>
      </w:r>
      <w:r>
        <w:rPr>
          <w:szCs w:val="18"/>
          <w:lang w:val="pt-PT"/>
        </w:rPr>
        <w:tab/>
      </w:r>
      <w:r w:rsidRPr="00BA3D50">
        <w:rPr>
          <w:szCs w:val="18"/>
          <w:lang w:val="pt-PT"/>
        </w:rPr>
        <w:t xml:space="preserve">A/HRC/28/80, para. </w:t>
      </w:r>
      <w:r w:rsidRPr="00B2559A">
        <w:rPr>
          <w:szCs w:val="18"/>
        </w:rPr>
        <w:t>33.</w:t>
      </w:r>
    </w:p>
  </w:footnote>
  <w:footnote w:id="13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78 GC IV.</w:t>
      </w:r>
      <w:proofErr w:type="gramEnd"/>
    </w:p>
  </w:footnote>
  <w:footnote w:id="135">
    <w:p w:rsidR="007F20F5" w:rsidRPr="00BA3D50" w:rsidRDefault="007F20F5" w:rsidP="00370D1D">
      <w:pPr>
        <w:pStyle w:val="FootnoteText"/>
        <w:tabs>
          <w:tab w:val="left" w:pos="1134"/>
        </w:tabs>
        <w:spacing w:line="240" w:lineRule="auto"/>
        <w:rPr>
          <w:szCs w:val="18"/>
          <w:lang w:val="pt-PT"/>
        </w:rPr>
      </w:pPr>
      <w:r>
        <w:rPr>
          <w:szCs w:val="18"/>
        </w:rPr>
        <w:tab/>
      </w:r>
      <w:r w:rsidRPr="00B2559A">
        <w:rPr>
          <w:rStyle w:val="FootnoteReference"/>
          <w:szCs w:val="18"/>
        </w:rPr>
        <w:footnoteRef/>
      </w:r>
      <w:r>
        <w:rPr>
          <w:szCs w:val="18"/>
        </w:rPr>
        <w:tab/>
      </w:r>
      <w:r w:rsidRPr="007F20F5">
        <w:rPr>
          <w:szCs w:val="18"/>
        </w:rPr>
        <w:t xml:space="preserve">Art. 49, 147 GC IV; see A/HRC/31/40, para. </w:t>
      </w:r>
      <w:r w:rsidRPr="00BA3D50">
        <w:rPr>
          <w:rFonts w:eastAsia="Times New Roman"/>
          <w:szCs w:val="18"/>
          <w:lang w:val="pt-PT" w:eastAsia="en-US"/>
        </w:rPr>
        <w:t>43.</w:t>
      </w:r>
    </w:p>
  </w:footnote>
  <w:footnote w:id="136">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A/HRC/34/36, para. 24.</w:t>
      </w:r>
    </w:p>
  </w:footnote>
  <w:footnote w:id="137">
    <w:p w:rsidR="007F20F5" w:rsidRPr="00BA3D50" w:rsidRDefault="007F20F5" w:rsidP="00370D1D">
      <w:pPr>
        <w:pStyle w:val="FootnoteText"/>
        <w:tabs>
          <w:tab w:val="left" w:pos="1134"/>
        </w:tabs>
        <w:spacing w:line="240" w:lineRule="auto"/>
        <w:rPr>
          <w:szCs w:val="18"/>
          <w:lang w:val="pt-PT"/>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A/71/364, para. 36.</w:t>
      </w:r>
    </w:p>
  </w:footnote>
  <w:footnote w:id="138">
    <w:p w:rsidR="007F20F5" w:rsidRPr="00D662C2" w:rsidRDefault="007F20F5" w:rsidP="00370D1D">
      <w:pPr>
        <w:pStyle w:val="FootnoteText"/>
        <w:tabs>
          <w:tab w:val="left" w:pos="1134"/>
        </w:tabs>
        <w:spacing w:line="240" w:lineRule="auto"/>
        <w:rPr>
          <w:szCs w:val="18"/>
          <w:lang w:val="en-GB"/>
        </w:rPr>
      </w:pPr>
      <w:r>
        <w:rPr>
          <w:rFonts w:eastAsia="Times New Roman"/>
          <w:szCs w:val="18"/>
          <w:lang w:val="pt-PT" w:eastAsia="en-US"/>
        </w:rPr>
        <w:tab/>
      </w:r>
      <w:r w:rsidRPr="00B2559A">
        <w:rPr>
          <w:rStyle w:val="FootnoteReference"/>
          <w:szCs w:val="18"/>
        </w:rPr>
        <w:footnoteRef/>
      </w:r>
      <w:r>
        <w:rPr>
          <w:rFonts w:eastAsia="Times New Roman"/>
          <w:szCs w:val="18"/>
          <w:lang w:val="pt-PT" w:eastAsia="en-US"/>
        </w:rPr>
        <w:tab/>
      </w:r>
      <w:r w:rsidRPr="00BA3D50">
        <w:rPr>
          <w:rFonts w:eastAsia="Times New Roman"/>
          <w:szCs w:val="18"/>
          <w:lang w:val="pt-PT" w:eastAsia="en-US"/>
        </w:rPr>
        <w:t xml:space="preserve">A/HRC/31/40, para. 41; A/71/364, para. </w:t>
      </w:r>
      <w:r w:rsidRPr="00D662C2">
        <w:rPr>
          <w:rFonts w:eastAsia="Times New Roman"/>
          <w:szCs w:val="18"/>
          <w:lang w:val="en-GB" w:eastAsia="en-US"/>
        </w:rPr>
        <w:t>34</w:t>
      </w:r>
    </w:p>
  </w:footnote>
  <w:footnote w:id="139">
    <w:p w:rsidR="007F20F5" w:rsidRPr="00D662C2" w:rsidRDefault="007F20F5" w:rsidP="00370D1D">
      <w:pPr>
        <w:pStyle w:val="FootnoteText"/>
        <w:tabs>
          <w:tab w:val="left" w:pos="1134"/>
        </w:tabs>
        <w:rPr>
          <w:szCs w:val="18"/>
          <w:lang w:val="en-GB"/>
        </w:rPr>
      </w:pPr>
      <w:r>
        <w:rPr>
          <w:szCs w:val="18"/>
          <w:lang w:val="en-GB"/>
        </w:rPr>
        <w:tab/>
      </w:r>
      <w:r w:rsidRPr="00B2559A">
        <w:rPr>
          <w:rStyle w:val="FootnoteReference"/>
          <w:szCs w:val="18"/>
        </w:rPr>
        <w:footnoteRef/>
      </w:r>
      <w:r>
        <w:rPr>
          <w:szCs w:val="18"/>
          <w:lang w:val="en-GB"/>
        </w:rPr>
        <w:tab/>
      </w:r>
      <w:r w:rsidRPr="00D662C2">
        <w:rPr>
          <w:szCs w:val="18"/>
          <w:lang w:val="en-GB"/>
        </w:rPr>
        <w:t xml:space="preserve">Art. </w:t>
      </w:r>
      <w:proofErr w:type="gramStart"/>
      <w:r w:rsidRPr="00D662C2">
        <w:rPr>
          <w:szCs w:val="18"/>
          <w:lang w:val="en-GB"/>
        </w:rPr>
        <w:t>37(b) CRC.</w:t>
      </w:r>
      <w:proofErr w:type="gramEnd"/>
    </w:p>
  </w:footnote>
  <w:footnote w:id="140">
    <w:p w:rsidR="007F20F5" w:rsidRPr="006B6C08" w:rsidRDefault="007F20F5" w:rsidP="00370D1D">
      <w:pPr>
        <w:pStyle w:val="FootnoteText"/>
        <w:tabs>
          <w:tab w:val="left" w:pos="1134"/>
        </w:tabs>
        <w:spacing w:line="240" w:lineRule="auto"/>
        <w:rPr>
          <w:szCs w:val="18"/>
          <w:lang w:val="en-GB"/>
        </w:rPr>
      </w:pPr>
      <w:r>
        <w:rPr>
          <w:szCs w:val="18"/>
          <w:lang w:val="en-GB"/>
        </w:rPr>
        <w:tab/>
      </w:r>
      <w:r w:rsidRPr="00B2559A">
        <w:rPr>
          <w:rStyle w:val="FootnoteReference"/>
          <w:szCs w:val="18"/>
        </w:rPr>
        <w:footnoteRef/>
      </w:r>
      <w:r w:rsidRPr="006B6C08">
        <w:rPr>
          <w:szCs w:val="18"/>
          <w:lang w:val="en-GB"/>
        </w:rPr>
        <w:tab/>
        <w:t>Art. 3(1) CRC.</w:t>
      </w:r>
    </w:p>
  </w:footnote>
  <w:footnote w:id="141">
    <w:p w:rsidR="007F20F5" w:rsidRPr="00370D1D" w:rsidRDefault="007F20F5" w:rsidP="00370D1D">
      <w:pPr>
        <w:pStyle w:val="FootnoteText"/>
        <w:tabs>
          <w:tab w:val="left" w:pos="1134"/>
        </w:tabs>
        <w:spacing w:line="240" w:lineRule="auto"/>
        <w:rPr>
          <w:szCs w:val="18"/>
          <w:lang w:val="es-ES"/>
        </w:rPr>
      </w:pPr>
      <w:r w:rsidRPr="006B6C08">
        <w:rPr>
          <w:rFonts w:eastAsia="Times New Roman"/>
          <w:szCs w:val="18"/>
          <w:lang w:val="en-GB" w:eastAsia="en-US"/>
        </w:rPr>
        <w:tab/>
      </w:r>
      <w:r w:rsidRPr="00B2559A">
        <w:rPr>
          <w:rStyle w:val="FootnoteReference"/>
          <w:szCs w:val="18"/>
        </w:rPr>
        <w:footnoteRef/>
      </w:r>
      <w:r>
        <w:rPr>
          <w:rFonts w:eastAsia="Times New Roman"/>
          <w:szCs w:val="18"/>
          <w:lang w:val="es-ES" w:eastAsia="en-US"/>
        </w:rPr>
        <w:tab/>
      </w:r>
      <w:r w:rsidRPr="00370D1D">
        <w:rPr>
          <w:rFonts w:eastAsia="Times New Roman"/>
          <w:szCs w:val="18"/>
          <w:lang w:val="es-ES" w:eastAsia="en-US"/>
        </w:rPr>
        <w:t>A/HRC/31/40, para. 49-51.</w:t>
      </w:r>
    </w:p>
  </w:footnote>
  <w:footnote w:id="142">
    <w:p w:rsidR="007F20F5" w:rsidRPr="00370D1D" w:rsidRDefault="007F20F5" w:rsidP="00370D1D">
      <w:pPr>
        <w:pStyle w:val="FootnoteText"/>
        <w:tabs>
          <w:tab w:val="left" w:pos="1134"/>
        </w:tabs>
        <w:spacing w:line="240" w:lineRule="auto"/>
        <w:rPr>
          <w:szCs w:val="18"/>
          <w:lang w:val="es-ES"/>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r w:rsidRPr="00370D1D">
        <w:rPr>
          <w:rFonts w:eastAsia="Times New Roman"/>
          <w:szCs w:val="18"/>
          <w:lang w:val="es-ES" w:eastAsia="en-US"/>
        </w:rPr>
        <w:t>A/HRC/34/36, para. 29.</w:t>
      </w:r>
    </w:p>
  </w:footnote>
  <w:footnote w:id="143">
    <w:p w:rsidR="007F20F5" w:rsidRPr="00370D1D" w:rsidRDefault="007F20F5" w:rsidP="00370D1D">
      <w:pPr>
        <w:pStyle w:val="FootnoteText"/>
        <w:tabs>
          <w:tab w:val="left" w:pos="1134"/>
        </w:tabs>
        <w:spacing w:line="240" w:lineRule="auto"/>
        <w:rPr>
          <w:szCs w:val="18"/>
          <w:lang w:val="es-ES"/>
        </w:rPr>
      </w:pPr>
      <w:r>
        <w:rPr>
          <w:szCs w:val="18"/>
          <w:lang w:val="es-ES"/>
        </w:rPr>
        <w:tab/>
      </w:r>
      <w:r w:rsidRPr="00B2559A">
        <w:rPr>
          <w:rStyle w:val="FootnoteReference"/>
          <w:szCs w:val="18"/>
        </w:rPr>
        <w:footnoteRef/>
      </w:r>
      <w:r>
        <w:rPr>
          <w:szCs w:val="18"/>
          <w:lang w:val="es-ES"/>
        </w:rPr>
        <w:tab/>
      </w:r>
      <w:r w:rsidRPr="00370D1D">
        <w:rPr>
          <w:szCs w:val="18"/>
          <w:lang w:val="es-ES"/>
        </w:rPr>
        <w:t>A/HRC/34/36, para. 57.</w:t>
      </w:r>
    </w:p>
  </w:footnote>
  <w:footnote w:id="144">
    <w:p w:rsidR="007F20F5" w:rsidRPr="006B6C08" w:rsidRDefault="007F20F5" w:rsidP="00370D1D">
      <w:pPr>
        <w:pStyle w:val="FootnoteText"/>
        <w:tabs>
          <w:tab w:val="left" w:pos="1134"/>
        </w:tabs>
        <w:spacing w:line="240" w:lineRule="auto"/>
        <w:rPr>
          <w:szCs w:val="18"/>
          <w:lang w:val="en-GB"/>
        </w:rPr>
      </w:pPr>
      <w:r>
        <w:rPr>
          <w:szCs w:val="18"/>
          <w:lang w:val="es-ES"/>
        </w:rPr>
        <w:tab/>
      </w:r>
      <w:r w:rsidRPr="00B2559A">
        <w:rPr>
          <w:rStyle w:val="FootnoteReference"/>
          <w:szCs w:val="18"/>
        </w:rPr>
        <w:footnoteRef/>
      </w:r>
      <w:r>
        <w:rPr>
          <w:szCs w:val="18"/>
          <w:lang w:val="es-ES"/>
        </w:rPr>
        <w:tab/>
      </w:r>
      <w:r w:rsidRPr="00370D1D">
        <w:rPr>
          <w:szCs w:val="18"/>
          <w:lang w:val="es-ES"/>
        </w:rPr>
        <w:t xml:space="preserve">A/HRC/31/44, para. </w:t>
      </w:r>
      <w:r w:rsidRPr="006B6C08">
        <w:rPr>
          <w:szCs w:val="18"/>
          <w:lang w:val="en-GB"/>
        </w:rPr>
        <w:t>12-43.</w:t>
      </w:r>
    </w:p>
  </w:footnote>
  <w:footnote w:id="145">
    <w:p w:rsidR="007F20F5" w:rsidRPr="00B2559A" w:rsidRDefault="007F20F5" w:rsidP="00370D1D">
      <w:pPr>
        <w:pStyle w:val="FootnoteText"/>
        <w:tabs>
          <w:tab w:val="left" w:pos="1134"/>
        </w:tabs>
        <w:rPr>
          <w:szCs w:val="18"/>
        </w:rPr>
      </w:pPr>
      <w:r w:rsidRPr="006B6C08">
        <w:rPr>
          <w:szCs w:val="18"/>
          <w:lang w:val="en-GB"/>
        </w:rPr>
        <w:tab/>
      </w:r>
      <w:r w:rsidRPr="00B2559A">
        <w:rPr>
          <w:rStyle w:val="FootnoteReference"/>
          <w:szCs w:val="18"/>
        </w:rPr>
        <w:footnoteRef/>
      </w:r>
      <w:r w:rsidRPr="007F20F5">
        <w:rPr>
          <w:szCs w:val="18"/>
        </w:rPr>
        <w:tab/>
        <w:t>In 2002, Israel s</w:t>
      </w:r>
      <w:r w:rsidRPr="00B2559A">
        <w:rPr>
          <w:szCs w:val="18"/>
        </w:rPr>
        <w:t>tarted to build a</w:t>
      </w:r>
      <w:r>
        <w:rPr>
          <w:szCs w:val="18"/>
        </w:rPr>
        <w:t xml:space="preserve"> wall</w:t>
      </w:r>
      <w:r w:rsidRPr="00B2559A">
        <w:rPr>
          <w:szCs w:val="18"/>
        </w:rPr>
        <w:t xml:space="preserve"> between Israel and the West Bank in order to prevent attacks from Palestinians within Israel. Some 85% of the wall route nevertheless runs into the West Bank, which would – once fully completed – isolate 9.4% of the West Bank, including East Jerusalem.  </w:t>
      </w:r>
    </w:p>
  </w:footnote>
  <w:footnote w:id="146">
    <w:p w:rsidR="007F20F5" w:rsidRDefault="007F20F5" w:rsidP="00370D1D">
      <w:pPr>
        <w:pStyle w:val="FootnoteText"/>
        <w:tabs>
          <w:tab w:val="left" w:pos="1134"/>
        </w:tabs>
      </w:pPr>
      <w:r>
        <w:tab/>
      </w:r>
      <w:r>
        <w:rPr>
          <w:rStyle w:val="FootnoteReference"/>
        </w:rPr>
        <w:footnoteRef/>
      </w:r>
      <w:r>
        <w:tab/>
      </w:r>
      <w:proofErr w:type="gramStart"/>
      <w:r>
        <w:t>A/HRC/31/44, para.</w:t>
      </w:r>
      <w:proofErr w:type="gramEnd"/>
      <w:r>
        <w:t xml:space="preserve"> 12-20.</w:t>
      </w:r>
    </w:p>
  </w:footnote>
  <w:footnote w:id="147">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12(1) ICCPR.</w:t>
      </w:r>
      <w:proofErr w:type="gramEnd"/>
      <w:r w:rsidRPr="00B2559A">
        <w:rPr>
          <w:szCs w:val="18"/>
        </w:rPr>
        <w:t xml:space="preserve"> </w:t>
      </w:r>
    </w:p>
  </w:footnote>
  <w:footnote w:id="148">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50 HR; Art.</w:t>
      </w:r>
      <w:proofErr w:type="gramEnd"/>
      <w:r w:rsidRPr="00B2559A">
        <w:rPr>
          <w:szCs w:val="18"/>
        </w:rPr>
        <w:t xml:space="preserve"> </w:t>
      </w:r>
      <w:proofErr w:type="gramStart"/>
      <w:r w:rsidRPr="00B2559A">
        <w:rPr>
          <w:szCs w:val="18"/>
        </w:rPr>
        <w:t>33 GC IV.</w:t>
      </w:r>
      <w:proofErr w:type="gramEnd"/>
    </w:p>
  </w:footnote>
  <w:footnote w:id="149">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12 (3) ICCPR; CCPR, General Comment 27, para.</w:t>
      </w:r>
      <w:proofErr w:type="gramEnd"/>
      <w:r w:rsidRPr="00B2559A">
        <w:rPr>
          <w:szCs w:val="18"/>
        </w:rPr>
        <w:t xml:space="preserve"> 14.</w:t>
      </w:r>
    </w:p>
  </w:footnote>
  <w:footnote w:id="150">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6, 11-13 ICESCR; see A/HRC/31/44, para. 44-73. </w:t>
      </w:r>
    </w:p>
  </w:footnote>
  <w:footnote w:id="151">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A/HRC/22/63, para.</w:t>
      </w:r>
      <w:proofErr w:type="gramEnd"/>
      <w:r w:rsidRPr="00B2559A">
        <w:rPr>
          <w:szCs w:val="18"/>
        </w:rPr>
        <w:t xml:space="preserve"> 89. </w:t>
      </w:r>
    </w:p>
  </w:footnote>
  <w:footnote w:id="152">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 ICCPR and 1 ICESCR; see A/HRC/31/44 para.</w:t>
      </w:r>
      <w:proofErr w:type="gramEnd"/>
      <w:r w:rsidRPr="00B2559A">
        <w:rPr>
          <w:szCs w:val="18"/>
        </w:rPr>
        <w:t xml:space="preserve"> 11.</w:t>
      </w:r>
    </w:p>
  </w:footnote>
  <w:footnote w:id="153">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A/71/364</w:t>
      </w:r>
      <w:r>
        <w:rPr>
          <w:szCs w:val="18"/>
        </w:rPr>
        <w:t>,</w:t>
      </w:r>
      <w:r w:rsidRPr="00B2559A">
        <w:rPr>
          <w:szCs w:val="18"/>
        </w:rPr>
        <w:t xml:space="preserve"> para.</w:t>
      </w:r>
      <w:proofErr w:type="gramEnd"/>
      <w:r w:rsidRPr="00B2559A">
        <w:rPr>
          <w:szCs w:val="18"/>
        </w:rPr>
        <w:t xml:space="preserve"> 5.</w:t>
      </w:r>
    </w:p>
  </w:footnote>
  <w:footnote w:id="15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See UN Women, OCHA, Needs of Women and Girls in Gaza, August 2015 p 2.</w:t>
      </w:r>
    </w:p>
  </w:footnote>
  <w:footnote w:id="155">
    <w:p w:rsidR="007F20F5" w:rsidRPr="00B2559A" w:rsidRDefault="007F20F5" w:rsidP="00370D1D">
      <w:pPr>
        <w:pStyle w:val="Heading1"/>
        <w:shd w:val="clear" w:color="auto" w:fill="FFFFFF"/>
        <w:tabs>
          <w:tab w:val="right" w:pos="1021"/>
          <w:tab w:val="left" w:pos="1134"/>
        </w:tabs>
        <w:ind w:hanging="1134"/>
        <w:textAlignment w:val="baseline"/>
        <w:rPr>
          <w:color w:val="296AB3"/>
          <w:sz w:val="18"/>
          <w:szCs w:val="18"/>
        </w:rPr>
      </w:pPr>
      <w:r>
        <w:rPr>
          <w:rFonts w:eastAsia="Calibri"/>
          <w:bCs/>
          <w:szCs w:val="18"/>
          <w:lang w:val="en-US"/>
        </w:rPr>
        <w:tab/>
      </w:r>
      <w:r w:rsidRPr="00B2559A">
        <w:rPr>
          <w:rStyle w:val="FootnoteReference"/>
          <w:rFonts w:eastAsia="Calibri"/>
          <w:bCs/>
          <w:szCs w:val="18"/>
        </w:rPr>
        <w:footnoteRef/>
      </w:r>
      <w:r>
        <w:rPr>
          <w:rFonts w:eastAsia="Calibri"/>
          <w:bCs/>
          <w:szCs w:val="18"/>
          <w:lang w:val="en-US"/>
        </w:rPr>
        <w:tab/>
      </w:r>
      <w:r w:rsidRPr="00B2559A">
        <w:rPr>
          <w:rFonts w:eastAsia="Calibri"/>
          <w:bCs/>
          <w:sz w:val="18"/>
          <w:szCs w:val="18"/>
        </w:rPr>
        <w:t>OCHA, “The Gaza Strip: The Humanitarian Impact of the Blockade</w:t>
      </w:r>
      <w:r>
        <w:rPr>
          <w:rFonts w:eastAsia="Calibri"/>
          <w:bCs/>
          <w:sz w:val="18"/>
          <w:szCs w:val="18"/>
        </w:rPr>
        <w:t>,</w:t>
      </w:r>
      <w:r w:rsidRPr="00B2559A">
        <w:rPr>
          <w:rFonts w:eastAsia="Calibri"/>
          <w:bCs/>
          <w:sz w:val="18"/>
          <w:szCs w:val="18"/>
        </w:rPr>
        <w:t>” November 2016.</w:t>
      </w:r>
    </w:p>
  </w:footnote>
  <w:footnote w:id="156">
    <w:p w:rsidR="007F20F5" w:rsidRPr="00B2559A" w:rsidRDefault="007F20F5" w:rsidP="00370D1D">
      <w:pPr>
        <w:pStyle w:val="FootnoteText"/>
        <w:tabs>
          <w:tab w:val="left" w:pos="1134"/>
        </w:tabs>
        <w:rPr>
          <w:szCs w:val="18"/>
        </w:rPr>
      </w:pPr>
      <w:r>
        <w:rPr>
          <w:szCs w:val="18"/>
          <w:lang w:val="en-GB"/>
        </w:rPr>
        <w:tab/>
      </w:r>
      <w:r w:rsidRPr="00B2559A">
        <w:rPr>
          <w:rStyle w:val="FootnoteReference"/>
          <w:szCs w:val="18"/>
        </w:rPr>
        <w:footnoteRef/>
      </w:r>
      <w:r>
        <w:rPr>
          <w:szCs w:val="18"/>
          <w:lang w:val="en-GB"/>
        </w:rPr>
        <w:tab/>
      </w:r>
      <w:r>
        <w:rPr>
          <w:color w:val="000000"/>
          <w:szCs w:val="18"/>
        </w:rPr>
        <w:t xml:space="preserve">See Gisha, “Dark-gray lists”, Information sheet, January 2016. </w:t>
      </w:r>
      <w:r w:rsidRPr="00B2559A">
        <w:rPr>
          <w:color w:val="000000"/>
          <w:szCs w:val="18"/>
        </w:rPr>
        <w:t>http://gisha.org/publication/4860</w:t>
      </w:r>
      <w:r w:rsidRPr="00B2559A">
        <w:rPr>
          <w:szCs w:val="18"/>
        </w:rPr>
        <w:t>.</w:t>
      </w:r>
    </w:p>
  </w:footnote>
  <w:footnote w:id="157">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59 GC IV; ICRC Customary Law Study, Rule 55.</w:t>
      </w:r>
      <w:proofErr w:type="gramEnd"/>
    </w:p>
  </w:footnote>
  <w:footnote w:id="158">
    <w:p w:rsidR="007F20F5" w:rsidRPr="00BA3D50"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BA3D50">
        <w:rPr>
          <w:rFonts w:eastAsia="Times New Roman"/>
          <w:szCs w:val="18"/>
          <w:lang w:eastAsia="en-US"/>
        </w:rPr>
        <w:t>A/HRC/34/36, para.</w:t>
      </w:r>
      <w:proofErr w:type="gramEnd"/>
      <w:r w:rsidRPr="00BA3D50">
        <w:rPr>
          <w:rFonts w:eastAsia="Times New Roman"/>
          <w:szCs w:val="18"/>
          <w:lang w:eastAsia="en-US"/>
        </w:rPr>
        <w:t xml:space="preserve"> 39-42.</w:t>
      </w:r>
    </w:p>
  </w:footnote>
  <w:footnote w:id="159">
    <w:p w:rsidR="007F20F5" w:rsidRPr="00BA3D50"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sidRPr="006B6C08">
        <w:rPr>
          <w:rFonts w:eastAsia="Times New Roman"/>
          <w:szCs w:val="18"/>
          <w:lang w:val="es-ES" w:eastAsia="en-US"/>
        </w:rPr>
        <w:tab/>
        <w:t xml:space="preserve">A/HRC/31/40, para. 52, A/HRC/34/36, para. </w:t>
      </w:r>
      <w:r w:rsidRPr="00BA3D50">
        <w:rPr>
          <w:rFonts w:eastAsia="Times New Roman"/>
          <w:szCs w:val="18"/>
          <w:lang w:eastAsia="en-US"/>
        </w:rPr>
        <w:t>39.</w:t>
      </w:r>
    </w:p>
  </w:footnote>
  <w:footnote w:id="160">
    <w:p w:rsidR="007F20F5" w:rsidRPr="00BA3D50" w:rsidRDefault="007F20F5" w:rsidP="00370D1D">
      <w:pPr>
        <w:pStyle w:val="FootnoteText"/>
        <w:tabs>
          <w:tab w:val="left" w:pos="1134"/>
        </w:tabs>
        <w:spacing w:line="240" w:lineRule="auto"/>
        <w:rPr>
          <w:szCs w:val="18"/>
        </w:rPr>
      </w:pPr>
      <w:r>
        <w:rPr>
          <w:rFonts w:eastAsia="Times New Roman"/>
          <w:szCs w:val="18"/>
          <w:lang w:eastAsia="en-US"/>
        </w:rPr>
        <w:tab/>
      </w:r>
      <w:r w:rsidRPr="00B2559A">
        <w:rPr>
          <w:rStyle w:val="FootnoteReference"/>
          <w:szCs w:val="18"/>
        </w:rPr>
        <w:footnoteRef/>
      </w:r>
      <w:r>
        <w:rPr>
          <w:rFonts w:eastAsia="Times New Roman"/>
          <w:szCs w:val="18"/>
          <w:lang w:eastAsia="en-US"/>
        </w:rPr>
        <w:tab/>
      </w:r>
      <w:proofErr w:type="gramStart"/>
      <w:r w:rsidRPr="00BA3D50">
        <w:rPr>
          <w:rFonts w:eastAsia="Times New Roman"/>
          <w:szCs w:val="18"/>
          <w:lang w:eastAsia="en-US"/>
        </w:rPr>
        <w:t>A/HRC/34/36, para.</w:t>
      </w:r>
      <w:proofErr w:type="gramEnd"/>
      <w:r w:rsidRPr="00BA3D50">
        <w:rPr>
          <w:rFonts w:eastAsia="Times New Roman"/>
          <w:szCs w:val="18"/>
          <w:lang w:eastAsia="en-US"/>
        </w:rPr>
        <w:t xml:space="preserve"> 42</w:t>
      </w:r>
    </w:p>
  </w:footnote>
  <w:footnote w:id="161">
    <w:p w:rsidR="007F20F5" w:rsidRPr="00BA3D50" w:rsidRDefault="007F20F5" w:rsidP="00370D1D">
      <w:pPr>
        <w:pStyle w:val="FootnoteText"/>
        <w:tabs>
          <w:tab w:val="left" w:pos="1134"/>
        </w:tabs>
        <w:rPr>
          <w:szCs w:val="18"/>
        </w:rPr>
      </w:pPr>
      <w:r>
        <w:rPr>
          <w:szCs w:val="18"/>
        </w:rPr>
        <w:tab/>
      </w:r>
      <w:r w:rsidRPr="00B2559A">
        <w:rPr>
          <w:rStyle w:val="FootnoteReference"/>
          <w:szCs w:val="18"/>
        </w:rPr>
        <w:footnoteRef/>
      </w:r>
      <w:r>
        <w:rPr>
          <w:szCs w:val="18"/>
        </w:rPr>
        <w:tab/>
      </w:r>
      <w:proofErr w:type="gramStart"/>
      <w:r w:rsidRPr="00BA3D50">
        <w:rPr>
          <w:szCs w:val="18"/>
        </w:rPr>
        <w:t>http://www.alhaq.org/advocacy/topics/human-rights-defenders/1026-al-haq-under-attack-staff-members-life-threatened; http://www.mezan.org/en/post/21475.</w:t>
      </w:r>
      <w:proofErr w:type="gramEnd"/>
    </w:p>
  </w:footnote>
  <w:footnote w:id="162">
    <w:p w:rsidR="007F20F5" w:rsidRPr="00B2559A" w:rsidRDefault="007F20F5" w:rsidP="00370D1D">
      <w:pPr>
        <w:pStyle w:val="FootnoteText"/>
        <w:tabs>
          <w:tab w:val="left" w:pos="1134"/>
        </w:tabs>
        <w:spacing w:line="240" w:lineRule="auto"/>
        <w:rPr>
          <w:szCs w:val="18"/>
          <w:lang w:val="es-ES"/>
        </w:rPr>
      </w:pPr>
      <w:r>
        <w:rPr>
          <w:rFonts w:eastAsia="Times New Roman"/>
          <w:szCs w:val="18"/>
          <w:lang w:eastAsia="en-US"/>
        </w:rPr>
        <w:tab/>
      </w:r>
      <w:r w:rsidRPr="00B2559A">
        <w:rPr>
          <w:rStyle w:val="FootnoteReference"/>
          <w:szCs w:val="18"/>
        </w:rPr>
        <w:footnoteRef/>
      </w:r>
      <w:r w:rsidRPr="006B6C08">
        <w:rPr>
          <w:rFonts w:eastAsia="Times New Roman"/>
          <w:szCs w:val="18"/>
          <w:lang w:val="es-ES" w:eastAsia="en-US"/>
        </w:rPr>
        <w:tab/>
      </w:r>
      <w:r w:rsidRPr="00B2559A">
        <w:rPr>
          <w:rFonts w:eastAsia="Times New Roman"/>
          <w:szCs w:val="18"/>
          <w:lang w:val="es-ES" w:eastAsia="en-US"/>
        </w:rPr>
        <w:t>A/HRC/31/40, para.</w:t>
      </w:r>
      <w:r>
        <w:rPr>
          <w:rFonts w:eastAsia="Times New Roman"/>
          <w:szCs w:val="18"/>
          <w:lang w:val="es-ES" w:eastAsia="en-US"/>
        </w:rPr>
        <w:t xml:space="preserve"> </w:t>
      </w:r>
      <w:r w:rsidRPr="00B2559A">
        <w:rPr>
          <w:rFonts w:eastAsia="Times New Roman"/>
          <w:szCs w:val="18"/>
          <w:lang w:val="es-ES" w:eastAsia="en-US"/>
        </w:rPr>
        <w:t>66-67, A/HRC/34/36, para.</w:t>
      </w:r>
      <w:r>
        <w:rPr>
          <w:rFonts w:eastAsia="Times New Roman"/>
          <w:szCs w:val="18"/>
          <w:lang w:val="es-ES" w:eastAsia="en-US"/>
        </w:rPr>
        <w:t xml:space="preserve"> </w:t>
      </w:r>
      <w:r w:rsidRPr="00B2559A">
        <w:rPr>
          <w:rFonts w:eastAsia="Times New Roman"/>
          <w:szCs w:val="18"/>
          <w:lang w:val="es-ES" w:eastAsia="en-US"/>
        </w:rPr>
        <w:t>51-53.</w:t>
      </w:r>
    </w:p>
  </w:footnote>
  <w:footnote w:id="163">
    <w:p w:rsidR="007F20F5" w:rsidRPr="00DC5585" w:rsidRDefault="007F20F5" w:rsidP="00370D1D">
      <w:pPr>
        <w:pStyle w:val="FootnoteText"/>
        <w:tabs>
          <w:tab w:val="left" w:pos="1134"/>
        </w:tabs>
        <w:spacing w:line="240" w:lineRule="auto"/>
        <w:rPr>
          <w:szCs w:val="18"/>
          <w:lang w:val="en-GB"/>
        </w:rPr>
      </w:pPr>
      <w:r>
        <w:rPr>
          <w:rFonts w:eastAsia="Times New Roman"/>
          <w:szCs w:val="18"/>
          <w:lang w:val="es-ES" w:eastAsia="en-US"/>
        </w:rPr>
        <w:tab/>
      </w:r>
      <w:r w:rsidRPr="00B2559A">
        <w:rPr>
          <w:rStyle w:val="FootnoteReference"/>
          <w:szCs w:val="18"/>
        </w:rPr>
        <w:footnoteRef/>
      </w:r>
      <w:r>
        <w:rPr>
          <w:rFonts w:eastAsia="Times New Roman"/>
          <w:szCs w:val="18"/>
          <w:lang w:val="es-ES" w:eastAsia="en-US"/>
        </w:rPr>
        <w:tab/>
      </w:r>
      <w:r w:rsidRPr="002C2E6B">
        <w:rPr>
          <w:rFonts w:eastAsia="Times New Roman"/>
          <w:szCs w:val="18"/>
          <w:lang w:val="es-ES" w:eastAsia="en-US"/>
        </w:rPr>
        <w:t xml:space="preserve">A/HRC/31/40, para. 56-57, A/HRC/34/36, para. </w:t>
      </w:r>
      <w:r w:rsidRPr="00DC5585">
        <w:rPr>
          <w:rFonts w:eastAsia="Times New Roman"/>
          <w:szCs w:val="18"/>
          <w:lang w:val="en-GB" w:eastAsia="en-US"/>
        </w:rPr>
        <w:t xml:space="preserve">49. </w:t>
      </w:r>
    </w:p>
  </w:footnote>
  <w:footnote w:id="164">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r w:rsidRPr="00B2559A">
        <w:rPr>
          <w:szCs w:val="18"/>
        </w:rPr>
        <w:t xml:space="preserve">Art. </w:t>
      </w:r>
      <w:proofErr w:type="gramStart"/>
      <w:r w:rsidRPr="00B2559A">
        <w:rPr>
          <w:szCs w:val="18"/>
        </w:rPr>
        <w:t>19,</w:t>
      </w:r>
      <w:r>
        <w:rPr>
          <w:szCs w:val="18"/>
        </w:rPr>
        <w:t xml:space="preserve"> </w:t>
      </w:r>
      <w:r w:rsidRPr="00B2559A">
        <w:rPr>
          <w:szCs w:val="18"/>
        </w:rPr>
        <w:t>21,</w:t>
      </w:r>
      <w:r>
        <w:rPr>
          <w:szCs w:val="18"/>
        </w:rPr>
        <w:t xml:space="preserve"> </w:t>
      </w:r>
      <w:r w:rsidRPr="00B2559A">
        <w:rPr>
          <w:szCs w:val="18"/>
        </w:rPr>
        <w:t>22 ICCPR.</w:t>
      </w:r>
      <w:proofErr w:type="gramEnd"/>
      <w:r w:rsidRPr="00B2559A">
        <w:rPr>
          <w:szCs w:val="18"/>
        </w:rPr>
        <w:t xml:space="preserve"> </w:t>
      </w:r>
    </w:p>
  </w:footnote>
  <w:footnote w:id="165">
    <w:p w:rsidR="007F20F5" w:rsidRPr="00B2559A" w:rsidRDefault="007F20F5" w:rsidP="00370D1D">
      <w:pPr>
        <w:pStyle w:val="FootnoteText"/>
        <w:tabs>
          <w:tab w:val="left" w:pos="1134"/>
        </w:tabs>
        <w:spacing w:line="240" w:lineRule="auto"/>
        <w:rPr>
          <w:szCs w:val="18"/>
        </w:rPr>
      </w:pPr>
      <w:r>
        <w:rPr>
          <w:szCs w:val="18"/>
        </w:rPr>
        <w:tab/>
      </w:r>
      <w:r w:rsidRPr="00B2559A">
        <w:rPr>
          <w:rStyle w:val="FootnoteReference"/>
          <w:szCs w:val="18"/>
        </w:rPr>
        <w:footnoteRef/>
      </w:r>
      <w:r>
        <w:rPr>
          <w:szCs w:val="18"/>
        </w:rPr>
        <w:tab/>
      </w:r>
      <w:proofErr w:type="gramStart"/>
      <w:r w:rsidRPr="00B2559A">
        <w:rPr>
          <w:szCs w:val="18"/>
        </w:rPr>
        <w:t>A/HRC/22/63, para.</w:t>
      </w:r>
      <w:proofErr w:type="gramEnd"/>
      <w:r>
        <w:rPr>
          <w:szCs w:val="18"/>
        </w:rPr>
        <w:t xml:space="preserve"> </w:t>
      </w:r>
      <w:r w:rsidRPr="00B2559A">
        <w:rPr>
          <w:szCs w:val="18"/>
        </w:rPr>
        <w:t>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pPr>
      <w:pStyle w:val="Header"/>
    </w:pPr>
    <w:r>
      <w:t>A/HRC/34/38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rsidP="002B4AFF">
    <w:pPr>
      <w:pStyle w:val="Header"/>
      <w:jc w:val="right"/>
    </w:pPr>
    <w:r>
      <w:t>A/HRC/34/38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326E"/>
    <w:multiLevelType w:val="hybridMultilevel"/>
    <w:tmpl w:val="D8EC87BC"/>
    <w:lvl w:ilvl="0" w:tplc="5C7EBFAC">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DD1DE5"/>
    <w:multiLevelType w:val="hybridMultilevel"/>
    <w:tmpl w:val="9A3EDA3C"/>
    <w:lvl w:ilvl="0" w:tplc="CF0EC33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05CE4"/>
    <w:multiLevelType w:val="hybridMultilevel"/>
    <w:tmpl w:val="B2607930"/>
    <w:lvl w:ilvl="0" w:tplc="FB324446">
      <w:start w:val="1"/>
      <w:numFmt w:val="decimal"/>
      <w:lvlText w:val="%1."/>
      <w:lvlJc w:val="left"/>
      <w:pPr>
        <w:ind w:left="1637" w:hanging="360"/>
      </w:pPr>
      <w:rPr>
        <w:rFonts w:ascii="Times New Roman" w:hAnsi="Times New Roman" w:cs="Times New Roman" w:hint="default"/>
        <w:b w:val="0"/>
        <w:sz w:val="22"/>
        <w:szCs w:val="22"/>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5FB7B5A"/>
    <w:multiLevelType w:val="hybridMultilevel"/>
    <w:tmpl w:val="47B8BE78"/>
    <w:lvl w:ilvl="0" w:tplc="DF3CB7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B9142EF"/>
    <w:multiLevelType w:val="hybridMultilevel"/>
    <w:tmpl w:val="D9FE6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CD25F3E"/>
    <w:multiLevelType w:val="hybridMultilevel"/>
    <w:tmpl w:val="A602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E547E"/>
    <w:multiLevelType w:val="hybridMultilevel"/>
    <w:tmpl w:val="034CB9B6"/>
    <w:lvl w:ilvl="0" w:tplc="0E8C70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90D09"/>
    <w:multiLevelType w:val="hybridMultilevel"/>
    <w:tmpl w:val="9BFC87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745E9C"/>
    <w:multiLevelType w:val="hybridMultilevel"/>
    <w:tmpl w:val="A57886F4"/>
    <w:lvl w:ilvl="0" w:tplc="653E99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32180"/>
    <w:multiLevelType w:val="hybridMultilevel"/>
    <w:tmpl w:val="B2201D90"/>
    <w:lvl w:ilvl="0" w:tplc="7660A4E4">
      <w:start w:val="25"/>
      <w:numFmt w:val="decimal"/>
      <w:lvlText w:val="%1."/>
      <w:lvlJc w:val="left"/>
      <w:pPr>
        <w:ind w:left="1495" w:hanging="360"/>
      </w:pPr>
      <w:rPr>
        <w:rFonts w:hint="default"/>
        <w:i w:val="0"/>
        <w:iCs w:val="0"/>
        <w:sz w:val="24"/>
        <w:szCs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467459"/>
    <w:multiLevelType w:val="hybridMultilevel"/>
    <w:tmpl w:val="CA2E0084"/>
    <w:lvl w:ilvl="0" w:tplc="091E0F8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366E4D4A"/>
    <w:multiLevelType w:val="hybridMultilevel"/>
    <w:tmpl w:val="931886AE"/>
    <w:lvl w:ilvl="0" w:tplc="E95E5764">
      <w:start w:val="1"/>
      <w:numFmt w:val="decimal"/>
      <w:lvlText w:val="%1."/>
      <w:lvlJc w:val="left"/>
      <w:pPr>
        <w:ind w:left="1571" w:hanging="720"/>
      </w:pPr>
      <w:rPr>
        <w:rFonts w:ascii="Times New Roman" w:hAnsi="Times New Roman" w:cs="Times New Roman" w:hint="default"/>
        <w:b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7">
    <w:nsid w:val="3C16590E"/>
    <w:multiLevelType w:val="hybridMultilevel"/>
    <w:tmpl w:val="CE0A0F10"/>
    <w:lvl w:ilvl="0" w:tplc="0A20ED8C">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8">
    <w:nsid w:val="438F075E"/>
    <w:multiLevelType w:val="hybridMultilevel"/>
    <w:tmpl w:val="C7EAFC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556D9"/>
    <w:multiLevelType w:val="hybridMultilevel"/>
    <w:tmpl w:val="82F80120"/>
    <w:lvl w:ilvl="0" w:tplc="95E29CC4">
      <w:start w:val="1"/>
      <w:numFmt w:val="upperRoman"/>
      <w:lvlText w:val="%1."/>
      <w:lvlJc w:val="left"/>
      <w:pPr>
        <w:ind w:left="1416" w:hanging="72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0">
    <w:nsid w:val="44E433B9"/>
    <w:multiLevelType w:val="hybridMultilevel"/>
    <w:tmpl w:val="4D369782"/>
    <w:lvl w:ilvl="0" w:tplc="E0C46438">
      <w:start w:val="2"/>
      <w:numFmt w:val="upperRoman"/>
      <w:lvlText w:val="%1."/>
      <w:lvlJc w:val="left"/>
      <w:pPr>
        <w:ind w:left="1713" w:hanging="720"/>
      </w:pPr>
      <w:rPr>
        <w:rFonts w:hint="default"/>
        <w:b/>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49CC4A2E"/>
    <w:multiLevelType w:val="hybridMultilevel"/>
    <w:tmpl w:val="E0F6F508"/>
    <w:lvl w:ilvl="0" w:tplc="569AC91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D410E19"/>
    <w:multiLevelType w:val="hybridMultilevel"/>
    <w:tmpl w:val="6B82DCC8"/>
    <w:lvl w:ilvl="0" w:tplc="0409000F">
      <w:start w:val="1"/>
      <w:numFmt w:val="decimal"/>
      <w:lvlText w:val="%1."/>
      <w:lvlJc w:val="left"/>
      <w:pPr>
        <w:ind w:left="6881" w:hanging="360"/>
      </w:p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A320380"/>
    <w:multiLevelType w:val="hybridMultilevel"/>
    <w:tmpl w:val="EDEC0B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0AA26FD"/>
    <w:multiLevelType w:val="hybridMultilevel"/>
    <w:tmpl w:val="91224EBC"/>
    <w:lvl w:ilvl="0" w:tplc="B6FECC6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nsid w:val="677C4698"/>
    <w:multiLevelType w:val="hybridMultilevel"/>
    <w:tmpl w:val="F2E006AE"/>
    <w:lvl w:ilvl="0" w:tplc="B93E1956">
      <w:start w:val="1"/>
      <w:numFmt w:val="upperRoman"/>
      <w:lvlText w:val="%1."/>
      <w:lvlJc w:val="left"/>
      <w:pPr>
        <w:ind w:left="1455" w:hanging="720"/>
      </w:pPr>
      <w:rPr>
        <w:rFonts w:ascii="Times New Roman" w:eastAsia="Times New Roman" w:hAnsi="Times New Roman" w:cs="Times New Roman"/>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6">
    <w:nsid w:val="67B14D9C"/>
    <w:multiLevelType w:val="hybridMultilevel"/>
    <w:tmpl w:val="76262C34"/>
    <w:lvl w:ilvl="0" w:tplc="50682320">
      <w:start w:val="25"/>
      <w:numFmt w:val="decimal"/>
      <w:lvlText w:val="%1"/>
      <w:lvlJc w:val="left"/>
      <w:pPr>
        <w:ind w:left="1495" w:hanging="360"/>
      </w:pPr>
      <w:rPr>
        <w:rFonts w:hint="default"/>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827D4D"/>
    <w:multiLevelType w:val="hybridMultilevel"/>
    <w:tmpl w:val="AD2E320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C745F92"/>
    <w:multiLevelType w:val="hybridMultilevel"/>
    <w:tmpl w:val="1E96C6B2"/>
    <w:lvl w:ilvl="0" w:tplc="0409000F">
      <w:start w:val="1"/>
      <w:numFmt w:val="decimal"/>
      <w:lvlText w:val="%1."/>
      <w:lvlJc w:val="left"/>
      <w:pPr>
        <w:ind w:left="6881" w:hanging="360"/>
      </w:p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0262569"/>
    <w:multiLevelType w:val="hybridMultilevel"/>
    <w:tmpl w:val="26B099C8"/>
    <w:lvl w:ilvl="0" w:tplc="9EA0C60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1727672"/>
    <w:multiLevelType w:val="hybridMultilevel"/>
    <w:tmpl w:val="F28CA732"/>
    <w:lvl w:ilvl="0" w:tplc="0409000F">
      <w:start w:val="1"/>
      <w:numFmt w:val="decimal"/>
      <w:lvlText w:val="%1."/>
      <w:lvlJc w:val="left"/>
      <w:pPr>
        <w:ind w:left="6881" w:hanging="360"/>
      </w:p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72602015"/>
    <w:multiLevelType w:val="hybridMultilevel"/>
    <w:tmpl w:val="11B6F0CC"/>
    <w:lvl w:ilvl="0" w:tplc="C5724B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520CD0"/>
    <w:multiLevelType w:val="hybridMultilevel"/>
    <w:tmpl w:val="5DEA4456"/>
    <w:lvl w:ilvl="0" w:tplc="0409000F">
      <w:start w:val="1"/>
      <w:numFmt w:val="decimal"/>
      <w:lvlText w:val="%1."/>
      <w:lvlJc w:val="left"/>
      <w:pPr>
        <w:ind w:left="6881" w:hanging="360"/>
      </w:p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5FE5809"/>
    <w:multiLevelType w:val="hybridMultilevel"/>
    <w:tmpl w:val="58A2A8EC"/>
    <w:lvl w:ilvl="0" w:tplc="BF8E59E6">
      <w:start w:val="1"/>
      <w:numFmt w:val="decimal"/>
      <w:lvlText w:val="%1."/>
      <w:lvlJc w:val="left"/>
      <w:pPr>
        <w:ind w:left="1353" w:hanging="360"/>
      </w:pPr>
      <w:rPr>
        <w:b w:val="0"/>
      </w:rPr>
    </w:lvl>
    <w:lvl w:ilvl="1" w:tplc="04090001">
      <w:start w:val="1"/>
      <w:numFmt w:val="bullet"/>
      <w:lvlText w:val=""/>
      <w:lvlJc w:val="left"/>
      <w:pPr>
        <w:ind w:left="4627" w:hanging="540"/>
      </w:pPr>
      <w:rPr>
        <w:rFonts w:ascii="Symbol" w:hAnsi="Symbol" w:hint="default"/>
      </w:rPr>
    </w:lvl>
    <w:lvl w:ilvl="2" w:tplc="F0860294">
      <w:start w:val="1"/>
      <w:numFmt w:val="lowerLetter"/>
      <w:lvlText w:val="(%3)"/>
      <w:lvlJc w:val="left"/>
      <w:pPr>
        <w:ind w:left="5422" w:hanging="435"/>
      </w:pPr>
      <w:rPr>
        <w:rFonts w:hint="default"/>
      </w:rPr>
    </w:lvl>
    <w:lvl w:ilvl="3" w:tplc="0C8CCB78">
      <w:start w:val="1"/>
      <w:numFmt w:val="lowerLetter"/>
      <w:lvlText w:val="%4)"/>
      <w:lvlJc w:val="left"/>
      <w:pPr>
        <w:ind w:left="5887" w:hanging="360"/>
      </w:pPr>
      <w:rPr>
        <w:rFonts w:hint="default"/>
      </w:rPr>
    </w:lvl>
    <w:lvl w:ilvl="4" w:tplc="04090019" w:tentative="1">
      <w:start w:val="1"/>
      <w:numFmt w:val="lowerLetter"/>
      <w:lvlText w:val="%5."/>
      <w:lvlJc w:val="left"/>
      <w:pPr>
        <w:ind w:left="6607" w:hanging="360"/>
      </w:pPr>
    </w:lvl>
    <w:lvl w:ilvl="5" w:tplc="0409001B" w:tentative="1">
      <w:start w:val="1"/>
      <w:numFmt w:val="lowerRoman"/>
      <w:lvlText w:val="%6."/>
      <w:lvlJc w:val="right"/>
      <w:pPr>
        <w:ind w:left="7327" w:hanging="180"/>
      </w:pPr>
    </w:lvl>
    <w:lvl w:ilvl="6" w:tplc="0409000F" w:tentative="1">
      <w:start w:val="1"/>
      <w:numFmt w:val="decimal"/>
      <w:lvlText w:val="%7."/>
      <w:lvlJc w:val="left"/>
      <w:pPr>
        <w:ind w:left="8047" w:hanging="360"/>
      </w:pPr>
    </w:lvl>
    <w:lvl w:ilvl="7" w:tplc="04090019" w:tentative="1">
      <w:start w:val="1"/>
      <w:numFmt w:val="lowerLetter"/>
      <w:lvlText w:val="%8."/>
      <w:lvlJc w:val="left"/>
      <w:pPr>
        <w:ind w:left="8767" w:hanging="360"/>
      </w:pPr>
    </w:lvl>
    <w:lvl w:ilvl="8" w:tplc="0409001B" w:tentative="1">
      <w:start w:val="1"/>
      <w:numFmt w:val="lowerRoman"/>
      <w:lvlText w:val="%9."/>
      <w:lvlJc w:val="right"/>
      <w:pPr>
        <w:ind w:left="9487" w:hanging="180"/>
      </w:pPr>
    </w:lvl>
  </w:abstractNum>
  <w:abstractNum w:abstractNumId="36">
    <w:nsid w:val="76B1317C"/>
    <w:multiLevelType w:val="hybridMultilevel"/>
    <w:tmpl w:val="0520D852"/>
    <w:lvl w:ilvl="0" w:tplc="1FBA880E">
      <w:start w:val="1"/>
      <w:numFmt w:val="upp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7">
    <w:nsid w:val="7CDF4E81"/>
    <w:multiLevelType w:val="hybridMultilevel"/>
    <w:tmpl w:val="41B40036"/>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nsid w:val="7CEC30A0"/>
    <w:multiLevelType w:val="hybridMultilevel"/>
    <w:tmpl w:val="63DEB4F6"/>
    <w:lvl w:ilvl="0" w:tplc="1D20DAD2">
      <w:start w:val="2"/>
      <w:numFmt w:val="bullet"/>
      <w:lvlText w:val="-"/>
      <w:lvlJc w:val="left"/>
      <w:pPr>
        <w:ind w:left="1494" w:hanging="360"/>
      </w:pPr>
      <w:rPr>
        <w:rFonts w:ascii="Times New Roman" w:eastAsia="Times New Roman" w:hAnsi="Times New Roman" w:cs="Times New Roman" w:hint="default"/>
      </w:rPr>
    </w:lvl>
    <w:lvl w:ilvl="1" w:tplc="100A0003">
      <w:start w:val="1"/>
      <w:numFmt w:val="bullet"/>
      <w:lvlText w:val="o"/>
      <w:lvlJc w:val="left"/>
      <w:pPr>
        <w:ind w:left="2214" w:hanging="360"/>
      </w:pPr>
      <w:rPr>
        <w:rFonts w:ascii="Courier New" w:hAnsi="Courier New" w:cs="Arial"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Arial"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Arial" w:hint="default"/>
      </w:rPr>
    </w:lvl>
    <w:lvl w:ilvl="8" w:tplc="100A0005" w:tentative="1">
      <w:start w:val="1"/>
      <w:numFmt w:val="bullet"/>
      <w:lvlText w:val=""/>
      <w:lvlJc w:val="left"/>
      <w:pPr>
        <w:ind w:left="7254" w:hanging="360"/>
      </w:pPr>
      <w:rPr>
        <w:rFonts w:ascii="Wingdings" w:hAnsi="Wingdings" w:hint="default"/>
      </w:rPr>
    </w:lvl>
  </w:abstractNum>
  <w:num w:numId="1">
    <w:abstractNumId w:val="14"/>
  </w:num>
  <w:num w:numId="2">
    <w:abstractNumId w:val="10"/>
  </w:num>
  <w:num w:numId="3">
    <w:abstractNumId w:val="29"/>
  </w:num>
  <w:num w:numId="4">
    <w:abstractNumId w:val="4"/>
  </w:num>
  <w:num w:numId="5">
    <w:abstractNumId w:val="0"/>
  </w:num>
  <w:num w:numId="6">
    <w:abstractNumId w:val="2"/>
  </w:num>
  <w:num w:numId="7">
    <w:abstractNumId w:val="27"/>
  </w:num>
  <w:num w:numId="8">
    <w:abstractNumId w:val="5"/>
  </w:num>
  <w:num w:numId="9">
    <w:abstractNumId w:val="38"/>
  </w:num>
  <w:num w:numId="10">
    <w:abstractNumId w:val="37"/>
  </w:num>
  <w:num w:numId="11">
    <w:abstractNumId w:val="15"/>
  </w:num>
  <w:num w:numId="12">
    <w:abstractNumId w:val="12"/>
  </w:num>
  <w:num w:numId="13">
    <w:abstractNumId w:val="6"/>
  </w:num>
  <w:num w:numId="14">
    <w:abstractNumId w:val="31"/>
  </w:num>
  <w:num w:numId="15">
    <w:abstractNumId w:val="18"/>
  </w:num>
  <w:num w:numId="16">
    <w:abstractNumId w:val="25"/>
  </w:num>
  <w:num w:numId="17">
    <w:abstractNumId w:val="24"/>
  </w:num>
  <w:num w:numId="18">
    <w:abstractNumId w:val="19"/>
  </w:num>
  <w:num w:numId="19">
    <w:abstractNumId w:val="9"/>
  </w:num>
  <w:num w:numId="20">
    <w:abstractNumId w:val="21"/>
  </w:num>
  <w:num w:numId="21">
    <w:abstractNumId w:val="7"/>
  </w:num>
  <w:num w:numId="22">
    <w:abstractNumId w:val="28"/>
  </w:num>
  <w:num w:numId="23">
    <w:abstractNumId w:val="17"/>
  </w:num>
  <w:num w:numId="24">
    <w:abstractNumId w:val="16"/>
  </w:num>
  <w:num w:numId="25">
    <w:abstractNumId w:val="20"/>
  </w:num>
  <w:num w:numId="26">
    <w:abstractNumId w:val="13"/>
  </w:num>
  <w:num w:numId="27">
    <w:abstractNumId w:val="36"/>
  </w:num>
  <w:num w:numId="28">
    <w:abstractNumId w:val="26"/>
  </w:num>
  <w:num w:numId="29">
    <w:abstractNumId w:val="23"/>
  </w:num>
  <w:num w:numId="30">
    <w:abstractNumId w:val="3"/>
  </w:num>
  <w:num w:numId="31">
    <w:abstractNumId w:val="8"/>
  </w:num>
  <w:num w:numId="32">
    <w:abstractNumId w:val="35"/>
  </w:num>
  <w:num w:numId="33">
    <w:abstractNumId w:val="30"/>
  </w:num>
  <w:num w:numId="34">
    <w:abstractNumId w:val="34"/>
  </w:num>
  <w:num w:numId="35">
    <w:abstractNumId w:val="22"/>
  </w:num>
  <w:num w:numId="36">
    <w:abstractNumId w:val="32"/>
  </w:num>
  <w:num w:numId="37">
    <w:abstractNumId w:val="33"/>
  </w:num>
  <w:num w:numId="38">
    <w:abstractNumId w:val="11"/>
  </w:num>
  <w:num w:numId="3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que">
    <w15:presenceInfo w15:providerId="None" w15:userId="Ja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s-MX" w:vendorID="64" w:dllVersion="0" w:nlCheck="1" w:checkStyle="1"/>
  <w:activeWritingStyle w:appName="MSWord" w:lang="es-CO" w:vendorID="64" w:dllVersion="0" w:nlCheck="1" w:checkStyle="1"/>
  <w:activeWritingStyle w:appName="MSWord" w:lang="es-ES" w:vendorID="64" w:dllVersion="0" w:nlCheck="1" w:checkStyle="0"/>
  <w:activeWritingStyle w:appName="MSWord" w:lang="fr-CH" w:vendorID="64" w:dllVersion="0" w:nlCheck="1" w:checkStyle="0"/>
  <w:activeWritingStyle w:appName="MSWord" w:lang="es-CR" w:vendorID="64" w:dllVersion="0" w:nlCheck="1" w:checkStyle="1"/>
  <w:activeWritingStyle w:appName="MSWord" w:lang="en-CA"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03B05"/>
    <w:rsid w:val="000054C0"/>
    <w:rsid w:val="00005662"/>
    <w:rsid w:val="0000672E"/>
    <w:rsid w:val="00007CBC"/>
    <w:rsid w:val="00007F7F"/>
    <w:rsid w:val="0001016A"/>
    <w:rsid w:val="000102A9"/>
    <w:rsid w:val="000113A9"/>
    <w:rsid w:val="00011738"/>
    <w:rsid w:val="00014CBB"/>
    <w:rsid w:val="00014D78"/>
    <w:rsid w:val="00014F53"/>
    <w:rsid w:val="0002082E"/>
    <w:rsid w:val="00021A1B"/>
    <w:rsid w:val="00022DB5"/>
    <w:rsid w:val="0002709B"/>
    <w:rsid w:val="000334F9"/>
    <w:rsid w:val="00034A86"/>
    <w:rsid w:val="000354C0"/>
    <w:rsid w:val="000373ED"/>
    <w:rsid w:val="000403D1"/>
    <w:rsid w:val="000418C1"/>
    <w:rsid w:val="0004208E"/>
    <w:rsid w:val="00043AD1"/>
    <w:rsid w:val="000449AA"/>
    <w:rsid w:val="00045A9F"/>
    <w:rsid w:val="00050F6B"/>
    <w:rsid w:val="00051369"/>
    <w:rsid w:val="00051572"/>
    <w:rsid w:val="00051715"/>
    <w:rsid w:val="000529D0"/>
    <w:rsid w:val="00053219"/>
    <w:rsid w:val="00053467"/>
    <w:rsid w:val="00056475"/>
    <w:rsid w:val="000565B3"/>
    <w:rsid w:val="00056DB2"/>
    <w:rsid w:val="00057562"/>
    <w:rsid w:val="0007085A"/>
    <w:rsid w:val="00072C8C"/>
    <w:rsid w:val="00073E70"/>
    <w:rsid w:val="000745B1"/>
    <w:rsid w:val="00076EF1"/>
    <w:rsid w:val="00080DE4"/>
    <w:rsid w:val="000811AE"/>
    <w:rsid w:val="0008228E"/>
    <w:rsid w:val="00082A76"/>
    <w:rsid w:val="000833A2"/>
    <w:rsid w:val="000836F2"/>
    <w:rsid w:val="00084636"/>
    <w:rsid w:val="000876EB"/>
    <w:rsid w:val="00091419"/>
    <w:rsid w:val="000926A2"/>
    <w:rsid w:val="00092CEF"/>
    <w:rsid w:val="000931C0"/>
    <w:rsid w:val="00094654"/>
    <w:rsid w:val="00095E6C"/>
    <w:rsid w:val="000A10DE"/>
    <w:rsid w:val="000A3132"/>
    <w:rsid w:val="000A4929"/>
    <w:rsid w:val="000A4EEF"/>
    <w:rsid w:val="000A5C24"/>
    <w:rsid w:val="000B0731"/>
    <w:rsid w:val="000B175B"/>
    <w:rsid w:val="000B1FD3"/>
    <w:rsid w:val="000B3A0F"/>
    <w:rsid w:val="000B4781"/>
    <w:rsid w:val="000B4A3B"/>
    <w:rsid w:val="000B529D"/>
    <w:rsid w:val="000C2AF5"/>
    <w:rsid w:val="000C4270"/>
    <w:rsid w:val="000C6003"/>
    <w:rsid w:val="000C644D"/>
    <w:rsid w:val="000C73CC"/>
    <w:rsid w:val="000D1733"/>
    <w:rsid w:val="000D17D7"/>
    <w:rsid w:val="000D1851"/>
    <w:rsid w:val="000D2A6D"/>
    <w:rsid w:val="000D41BD"/>
    <w:rsid w:val="000D7730"/>
    <w:rsid w:val="000E0415"/>
    <w:rsid w:val="000E088C"/>
    <w:rsid w:val="000E12AF"/>
    <w:rsid w:val="000E2CA4"/>
    <w:rsid w:val="000E3D02"/>
    <w:rsid w:val="000E7302"/>
    <w:rsid w:val="000E7790"/>
    <w:rsid w:val="000F1791"/>
    <w:rsid w:val="000F277E"/>
    <w:rsid w:val="000F7535"/>
    <w:rsid w:val="001002AC"/>
    <w:rsid w:val="00100562"/>
    <w:rsid w:val="00101B35"/>
    <w:rsid w:val="001021E4"/>
    <w:rsid w:val="00102A63"/>
    <w:rsid w:val="00103902"/>
    <w:rsid w:val="001050AC"/>
    <w:rsid w:val="0011005A"/>
    <w:rsid w:val="00110CB7"/>
    <w:rsid w:val="00112F79"/>
    <w:rsid w:val="00113B82"/>
    <w:rsid w:val="00113F19"/>
    <w:rsid w:val="00116269"/>
    <w:rsid w:val="00117067"/>
    <w:rsid w:val="00117A0C"/>
    <w:rsid w:val="00117C1B"/>
    <w:rsid w:val="00120C6F"/>
    <w:rsid w:val="00121404"/>
    <w:rsid w:val="001219D7"/>
    <w:rsid w:val="00123C90"/>
    <w:rsid w:val="001244C9"/>
    <w:rsid w:val="00126187"/>
    <w:rsid w:val="0013152B"/>
    <w:rsid w:val="00133153"/>
    <w:rsid w:val="00133926"/>
    <w:rsid w:val="00133B77"/>
    <w:rsid w:val="0013428A"/>
    <w:rsid w:val="00135F43"/>
    <w:rsid w:val="00136293"/>
    <w:rsid w:val="001368BA"/>
    <w:rsid w:val="00136CEE"/>
    <w:rsid w:val="0014046C"/>
    <w:rsid w:val="00142C5F"/>
    <w:rsid w:val="00144612"/>
    <w:rsid w:val="00144637"/>
    <w:rsid w:val="0014569F"/>
    <w:rsid w:val="00146857"/>
    <w:rsid w:val="00146D32"/>
    <w:rsid w:val="00146F41"/>
    <w:rsid w:val="001509BA"/>
    <w:rsid w:val="00151E58"/>
    <w:rsid w:val="00152502"/>
    <w:rsid w:val="00153353"/>
    <w:rsid w:val="00154669"/>
    <w:rsid w:val="00154A64"/>
    <w:rsid w:val="00154CFC"/>
    <w:rsid w:val="00156688"/>
    <w:rsid w:val="00156E06"/>
    <w:rsid w:val="0015702E"/>
    <w:rsid w:val="00160F60"/>
    <w:rsid w:val="00162193"/>
    <w:rsid w:val="00162A50"/>
    <w:rsid w:val="00167713"/>
    <w:rsid w:val="00173F2F"/>
    <w:rsid w:val="00174CFF"/>
    <w:rsid w:val="00175514"/>
    <w:rsid w:val="00177AA3"/>
    <w:rsid w:val="00177CD5"/>
    <w:rsid w:val="001806BC"/>
    <w:rsid w:val="001817EC"/>
    <w:rsid w:val="001824B9"/>
    <w:rsid w:val="0018259B"/>
    <w:rsid w:val="001862C4"/>
    <w:rsid w:val="00186979"/>
    <w:rsid w:val="0018731B"/>
    <w:rsid w:val="001912AC"/>
    <w:rsid w:val="0019232E"/>
    <w:rsid w:val="001937AA"/>
    <w:rsid w:val="001944AE"/>
    <w:rsid w:val="0019557F"/>
    <w:rsid w:val="001958B7"/>
    <w:rsid w:val="001A31BF"/>
    <w:rsid w:val="001A47D1"/>
    <w:rsid w:val="001A4880"/>
    <w:rsid w:val="001A49DF"/>
    <w:rsid w:val="001A5186"/>
    <w:rsid w:val="001B006E"/>
    <w:rsid w:val="001B0E09"/>
    <w:rsid w:val="001B0F19"/>
    <w:rsid w:val="001B1A95"/>
    <w:rsid w:val="001B2B43"/>
    <w:rsid w:val="001B2E87"/>
    <w:rsid w:val="001B4B04"/>
    <w:rsid w:val="001B5302"/>
    <w:rsid w:val="001B5D08"/>
    <w:rsid w:val="001B7E06"/>
    <w:rsid w:val="001C3298"/>
    <w:rsid w:val="001C6663"/>
    <w:rsid w:val="001C685F"/>
    <w:rsid w:val="001C7895"/>
    <w:rsid w:val="001D0651"/>
    <w:rsid w:val="001D132C"/>
    <w:rsid w:val="001D26DF"/>
    <w:rsid w:val="001D667F"/>
    <w:rsid w:val="001D6C52"/>
    <w:rsid w:val="001D750E"/>
    <w:rsid w:val="001E1179"/>
    <w:rsid w:val="001E2790"/>
    <w:rsid w:val="001E2B4F"/>
    <w:rsid w:val="001E2CC8"/>
    <w:rsid w:val="001E475E"/>
    <w:rsid w:val="001E5935"/>
    <w:rsid w:val="001E723E"/>
    <w:rsid w:val="001F0E7E"/>
    <w:rsid w:val="001F35F9"/>
    <w:rsid w:val="001F3D0C"/>
    <w:rsid w:val="001F771F"/>
    <w:rsid w:val="001F7768"/>
    <w:rsid w:val="00200784"/>
    <w:rsid w:val="00200867"/>
    <w:rsid w:val="00201689"/>
    <w:rsid w:val="00202FDA"/>
    <w:rsid w:val="0020478B"/>
    <w:rsid w:val="002054C9"/>
    <w:rsid w:val="00207752"/>
    <w:rsid w:val="00210C9F"/>
    <w:rsid w:val="00211E0B"/>
    <w:rsid w:val="00211E72"/>
    <w:rsid w:val="00211F9E"/>
    <w:rsid w:val="00214047"/>
    <w:rsid w:val="00214327"/>
    <w:rsid w:val="002158F3"/>
    <w:rsid w:val="00216278"/>
    <w:rsid w:val="00217559"/>
    <w:rsid w:val="0022007F"/>
    <w:rsid w:val="0022130F"/>
    <w:rsid w:val="00222077"/>
    <w:rsid w:val="0022437D"/>
    <w:rsid w:val="0022484F"/>
    <w:rsid w:val="00224CE3"/>
    <w:rsid w:val="0022711D"/>
    <w:rsid w:val="00230DF1"/>
    <w:rsid w:val="00232E6E"/>
    <w:rsid w:val="00232EF2"/>
    <w:rsid w:val="0023438F"/>
    <w:rsid w:val="00234808"/>
    <w:rsid w:val="002365AF"/>
    <w:rsid w:val="00237785"/>
    <w:rsid w:val="002410DD"/>
    <w:rsid w:val="00241466"/>
    <w:rsid w:val="00243CC9"/>
    <w:rsid w:val="00244CCF"/>
    <w:rsid w:val="002460C2"/>
    <w:rsid w:val="002530AE"/>
    <w:rsid w:val="00253D58"/>
    <w:rsid w:val="002540DA"/>
    <w:rsid w:val="002542A5"/>
    <w:rsid w:val="00256B19"/>
    <w:rsid w:val="0026050B"/>
    <w:rsid w:val="0026076F"/>
    <w:rsid w:val="00261A6D"/>
    <w:rsid w:val="00262018"/>
    <w:rsid w:val="002624EC"/>
    <w:rsid w:val="0026364B"/>
    <w:rsid w:val="00264533"/>
    <w:rsid w:val="00271DB5"/>
    <w:rsid w:val="002728FB"/>
    <w:rsid w:val="00273FD2"/>
    <w:rsid w:val="002758F6"/>
    <w:rsid w:val="0027725F"/>
    <w:rsid w:val="002809D0"/>
    <w:rsid w:val="00282D62"/>
    <w:rsid w:val="0028320F"/>
    <w:rsid w:val="0028579F"/>
    <w:rsid w:val="00292E9A"/>
    <w:rsid w:val="00293418"/>
    <w:rsid w:val="00297164"/>
    <w:rsid w:val="002A40AE"/>
    <w:rsid w:val="002A6B9F"/>
    <w:rsid w:val="002B0132"/>
    <w:rsid w:val="002B1A23"/>
    <w:rsid w:val="002B2700"/>
    <w:rsid w:val="002B3E2D"/>
    <w:rsid w:val="002B3FF0"/>
    <w:rsid w:val="002B441F"/>
    <w:rsid w:val="002B4785"/>
    <w:rsid w:val="002B4AFF"/>
    <w:rsid w:val="002B50F0"/>
    <w:rsid w:val="002C124D"/>
    <w:rsid w:val="002C21F0"/>
    <w:rsid w:val="002C2D6E"/>
    <w:rsid w:val="002C2E6B"/>
    <w:rsid w:val="002C5578"/>
    <w:rsid w:val="002C5D5B"/>
    <w:rsid w:val="002D1A22"/>
    <w:rsid w:val="002D26F8"/>
    <w:rsid w:val="002D4199"/>
    <w:rsid w:val="002D4904"/>
    <w:rsid w:val="002D66DA"/>
    <w:rsid w:val="002E035C"/>
    <w:rsid w:val="002E20EC"/>
    <w:rsid w:val="002E34CB"/>
    <w:rsid w:val="002E423B"/>
    <w:rsid w:val="002E49CF"/>
    <w:rsid w:val="002E527D"/>
    <w:rsid w:val="002F1962"/>
    <w:rsid w:val="002F20F1"/>
    <w:rsid w:val="002F401E"/>
    <w:rsid w:val="002F5449"/>
    <w:rsid w:val="002F569F"/>
    <w:rsid w:val="00300255"/>
    <w:rsid w:val="00301BCF"/>
    <w:rsid w:val="00301D2C"/>
    <w:rsid w:val="00303A60"/>
    <w:rsid w:val="003046C1"/>
    <w:rsid w:val="00305568"/>
    <w:rsid w:val="003107FA"/>
    <w:rsid w:val="00310D5C"/>
    <w:rsid w:val="00311821"/>
    <w:rsid w:val="00314BA2"/>
    <w:rsid w:val="00314D26"/>
    <w:rsid w:val="00317977"/>
    <w:rsid w:val="003229D8"/>
    <w:rsid w:val="003309E0"/>
    <w:rsid w:val="00330E16"/>
    <w:rsid w:val="003314D1"/>
    <w:rsid w:val="0033216B"/>
    <w:rsid w:val="0033291C"/>
    <w:rsid w:val="00334380"/>
    <w:rsid w:val="00334ADB"/>
    <w:rsid w:val="00335A2F"/>
    <w:rsid w:val="00336084"/>
    <w:rsid w:val="00341937"/>
    <w:rsid w:val="0034212A"/>
    <w:rsid w:val="00342241"/>
    <w:rsid w:val="0034773C"/>
    <w:rsid w:val="00347E6A"/>
    <w:rsid w:val="00350182"/>
    <w:rsid w:val="003504AA"/>
    <w:rsid w:val="00350CF4"/>
    <w:rsid w:val="00350D7B"/>
    <w:rsid w:val="00351530"/>
    <w:rsid w:val="003524D4"/>
    <w:rsid w:val="003526C3"/>
    <w:rsid w:val="00354D64"/>
    <w:rsid w:val="00355144"/>
    <w:rsid w:val="003642FC"/>
    <w:rsid w:val="00364D2E"/>
    <w:rsid w:val="00365805"/>
    <w:rsid w:val="00366F02"/>
    <w:rsid w:val="00370D1D"/>
    <w:rsid w:val="0037245B"/>
    <w:rsid w:val="003733C8"/>
    <w:rsid w:val="00376805"/>
    <w:rsid w:val="00381FED"/>
    <w:rsid w:val="00382920"/>
    <w:rsid w:val="00382DA5"/>
    <w:rsid w:val="00382DE2"/>
    <w:rsid w:val="003846EE"/>
    <w:rsid w:val="0039110C"/>
    <w:rsid w:val="0039277A"/>
    <w:rsid w:val="00392AB3"/>
    <w:rsid w:val="00394113"/>
    <w:rsid w:val="00395618"/>
    <w:rsid w:val="003959DA"/>
    <w:rsid w:val="00395B48"/>
    <w:rsid w:val="003972E0"/>
    <w:rsid w:val="0039750E"/>
    <w:rsid w:val="003975ED"/>
    <w:rsid w:val="00397C85"/>
    <w:rsid w:val="003A01F0"/>
    <w:rsid w:val="003A1C6D"/>
    <w:rsid w:val="003A1D03"/>
    <w:rsid w:val="003A288C"/>
    <w:rsid w:val="003A2905"/>
    <w:rsid w:val="003A682A"/>
    <w:rsid w:val="003A6AE2"/>
    <w:rsid w:val="003B2CE2"/>
    <w:rsid w:val="003B3D18"/>
    <w:rsid w:val="003B5222"/>
    <w:rsid w:val="003B5C60"/>
    <w:rsid w:val="003B688D"/>
    <w:rsid w:val="003B7705"/>
    <w:rsid w:val="003B788C"/>
    <w:rsid w:val="003B7D58"/>
    <w:rsid w:val="003C2CC4"/>
    <w:rsid w:val="003C4470"/>
    <w:rsid w:val="003C5724"/>
    <w:rsid w:val="003C5899"/>
    <w:rsid w:val="003C58E4"/>
    <w:rsid w:val="003C7A88"/>
    <w:rsid w:val="003D0072"/>
    <w:rsid w:val="003D0A3B"/>
    <w:rsid w:val="003D126F"/>
    <w:rsid w:val="003D3DAE"/>
    <w:rsid w:val="003D4A14"/>
    <w:rsid w:val="003D4B23"/>
    <w:rsid w:val="003D7835"/>
    <w:rsid w:val="003E35CD"/>
    <w:rsid w:val="003E3C7D"/>
    <w:rsid w:val="003E626F"/>
    <w:rsid w:val="003E6CAD"/>
    <w:rsid w:val="003E78E0"/>
    <w:rsid w:val="003F231F"/>
    <w:rsid w:val="003F2CF3"/>
    <w:rsid w:val="003F4AC2"/>
    <w:rsid w:val="003F4B41"/>
    <w:rsid w:val="003F6305"/>
    <w:rsid w:val="003F67A9"/>
    <w:rsid w:val="00403394"/>
    <w:rsid w:val="00403B49"/>
    <w:rsid w:val="00405208"/>
    <w:rsid w:val="00406B6A"/>
    <w:rsid w:val="00414C67"/>
    <w:rsid w:val="004168E1"/>
    <w:rsid w:val="00416B28"/>
    <w:rsid w:val="0042050F"/>
    <w:rsid w:val="004214B8"/>
    <w:rsid w:val="00422DF5"/>
    <w:rsid w:val="0042301A"/>
    <w:rsid w:val="00423DD3"/>
    <w:rsid w:val="00424C80"/>
    <w:rsid w:val="00424F7F"/>
    <w:rsid w:val="004271BF"/>
    <w:rsid w:val="00427E5B"/>
    <w:rsid w:val="004308A6"/>
    <w:rsid w:val="00430D21"/>
    <w:rsid w:val="00431C10"/>
    <w:rsid w:val="00431D8D"/>
    <w:rsid w:val="004325CB"/>
    <w:rsid w:val="0043266B"/>
    <w:rsid w:val="0043427E"/>
    <w:rsid w:val="00435FA7"/>
    <w:rsid w:val="0043602E"/>
    <w:rsid w:val="00436455"/>
    <w:rsid w:val="00440C9B"/>
    <w:rsid w:val="0044128A"/>
    <w:rsid w:val="004432DA"/>
    <w:rsid w:val="0044379B"/>
    <w:rsid w:val="004441A3"/>
    <w:rsid w:val="0044503A"/>
    <w:rsid w:val="004455C1"/>
    <w:rsid w:val="004457AC"/>
    <w:rsid w:val="00445C8A"/>
    <w:rsid w:val="004460AE"/>
    <w:rsid w:val="00446224"/>
    <w:rsid w:val="00446484"/>
    <w:rsid w:val="00446DE4"/>
    <w:rsid w:val="00447761"/>
    <w:rsid w:val="00447E42"/>
    <w:rsid w:val="00450135"/>
    <w:rsid w:val="00451EC3"/>
    <w:rsid w:val="00452C41"/>
    <w:rsid w:val="0045745C"/>
    <w:rsid w:val="00462759"/>
    <w:rsid w:val="00464D64"/>
    <w:rsid w:val="00465A58"/>
    <w:rsid w:val="00466404"/>
    <w:rsid w:val="00466BE1"/>
    <w:rsid w:val="004678E0"/>
    <w:rsid w:val="00467958"/>
    <w:rsid w:val="00467F82"/>
    <w:rsid w:val="004721B1"/>
    <w:rsid w:val="004723FE"/>
    <w:rsid w:val="0047351B"/>
    <w:rsid w:val="00476BDD"/>
    <w:rsid w:val="00481984"/>
    <w:rsid w:val="004852BA"/>
    <w:rsid w:val="004859EC"/>
    <w:rsid w:val="00485A7B"/>
    <w:rsid w:val="004867F9"/>
    <w:rsid w:val="004874F3"/>
    <w:rsid w:val="004903C7"/>
    <w:rsid w:val="00491986"/>
    <w:rsid w:val="00492012"/>
    <w:rsid w:val="00493400"/>
    <w:rsid w:val="00493D5F"/>
    <w:rsid w:val="0049656E"/>
    <w:rsid w:val="00496A15"/>
    <w:rsid w:val="00497B7C"/>
    <w:rsid w:val="004A0C7A"/>
    <w:rsid w:val="004A12B0"/>
    <w:rsid w:val="004A6B16"/>
    <w:rsid w:val="004A6F48"/>
    <w:rsid w:val="004B02D9"/>
    <w:rsid w:val="004B1992"/>
    <w:rsid w:val="004B4AE2"/>
    <w:rsid w:val="004B5660"/>
    <w:rsid w:val="004B5BF6"/>
    <w:rsid w:val="004B688E"/>
    <w:rsid w:val="004B75D2"/>
    <w:rsid w:val="004C035A"/>
    <w:rsid w:val="004C4616"/>
    <w:rsid w:val="004C6667"/>
    <w:rsid w:val="004D056A"/>
    <w:rsid w:val="004D1140"/>
    <w:rsid w:val="004D2BB2"/>
    <w:rsid w:val="004D3BE5"/>
    <w:rsid w:val="004D5C07"/>
    <w:rsid w:val="004E0735"/>
    <w:rsid w:val="004E31D9"/>
    <w:rsid w:val="004E4F48"/>
    <w:rsid w:val="004E5407"/>
    <w:rsid w:val="004E5F84"/>
    <w:rsid w:val="004E74AA"/>
    <w:rsid w:val="004F55ED"/>
    <w:rsid w:val="005004E3"/>
    <w:rsid w:val="00500C42"/>
    <w:rsid w:val="005035E6"/>
    <w:rsid w:val="005038A8"/>
    <w:rsid w:val="00503C05"/>
    <w:rsid w:val="005057C3"/>
    <w:rsid w:val="00505BCD"/>
    <w:rsid w:val="005060AB"/>
    <w:rsid w:val="005063AD"/>
    <w:rsid w:val="005074C5"/>
    <w:rsid w:val="00511092"/>
    <w:rsid w:val="00513E1C"/>
    <w:rsid w:val="00514796"/>
    <w:rsid w:val="005162E8"/>
    <w:rsid w:val="00517F2E"/>
    <w:rsid w:val="0052176C"/>
    <w:rsid w:val="0052371B"/>
    <w:rsid w:val="005253CB"/>
    <w:rsid w:val="005261E5"/>
    <w:rsid w:val="005267CC"/>
    <w:rsid w:val="005276C4"/>
    <w:rsid w:val="00527F55"/>
    <w:rsid w:val="005300A8"/>
    <w:rsid w:val="00530AE2"/>
    <w:rsid w:val="00532EDF"/>
    <w:rsid w:val="005357D4"/>
    <w:rsid w:val="005362F8"/>
    <w:rsid w:val="00536423"/>
    <w:rsid w:val="005365B2"/>
    <w:rsid w:val="0053782E"/>
    <w:rsid w:val="005400D6"/>
    <w:rsid w:val="00541277"/>
    <w:rsid w:val="005420F2"/>
    <w:rsid w:val="00542574"/>
    <w:rsid w:val="00542B11"/>
    <w:rsid w:val="005436AB"/>
    <w:rsid w:val="0054401E"/>
    <w:rsid w:val="00545973"/>
    <w:rsid w:val="00546A9E"/>
    <w:rsid w:val="00546DBF"/>
    <w:rsid w:val="005500D0"/>
    <w:rsid w:val="00550CC0"/>
    <w:rsid w:val="00550F32"/>
    <w:rsid w:val="00553D76"/>
    <w:rsid w:val="005552B5"/>
    <w:rsid w:val="00555AEE"/>
    <w:rsid w:val="00555F54"/>
    <w:rsid w:val="0055740A"/>
    <w:rsid w:val="005609E5"/>
    <w:rsid w:val="0056117B"/>
    <w:rsid w:val="00561C05"/>
    <w:rsid w:val="005641FF"/>
    <w:rsid w:val="005672E8"/>
    <w:rsid w:val="005677FF"/>
    <w:rsid w:val="00571365"/>
    <w:rsid w:val="00571691"/>
    <w:rsid w:val="00572786"/>
    <w:rsid w:val="00572F1D"/>
    <w:rsid w:val="00574051"/>
    <w:rsid w:val="005768F2"/>
    <w:rsid w:val="00576DBA"/>
    <w:rsid w:val="00577248"/>
    <w:rsid w:val="005811B3"/>
    <w:rsid w:val="00583034"/>
    <w:rsid w:val="0058410D"/>
    <w:rsid w:val="00585789"/>
    <w:rsid w:val="0058727D"/>
    <w:rsid w:val="0059400D"/>
    <w:rsid w:val="005952DD"/>
    <w:rsid w:val="00596F5C"/>
    <w:rsid w:val="005972DD"/>
    <w:rsid w:val="00597868"/>
    <w:rsid w:val="005A1113"/>
    <w:rsid w:val="005A1196"/>
    <w:rsid w:val="005A1A57"/>
    <w:rsid w:val="005A1AEF"/>
    <w:rsid w:val="005A202C"/>
    <w:rsid w:val="005A2A45"/>
    <w:rsid w:val="005A398C"/>
    <w:rsid w:val="005A41D9"/>
    <w:rsid w:val="005A4515"/>
    <w:rsid w:val="005A485E"/>
    <w:rsid w:val="005A4A67"/>
    <w:rsid w:val="005A4BF7"/>
    <w:rsid w:val="005A5313"/>
    <w:rsid w:val="005B06A3"/>
    <w:rsid w:val="005B28B7"/>
    <w:rsid w:val="005B3DB3"/>
    <w:rsid w:val="005B4816"/>
    <w:rsid w:val="005B6E48"/>
    <w:rsid w:val="005B7387"/>
    <w:rsid w:val="005C3A12"/>
    <w:rsid w:val="005C4B06"/>
    <w:rsid w:val="005C57FC"/>
    <w:rsid w:val="005C5A1A"/>
    <w:rsid w:val="005D312A"/>
    <w:rsid w:val="005D39B2"/>
    <w:rsid w:val="005D479A"/>
    <w:rsid w:val="005D4EA3"/>
    <w:rsid w:val="005D7AA8"/>
    <w:rsid w:val="005E0053"/>
    <w:rsid w:val="005E1712"/>
    <w:rsid w:val="005E74DD"/>
    <w:rsid w:val="005F04A1"/>
    <w:rsid w:val="005F06A6"/>
    <w:rsid w:val="005F4C5D"/>
    <w:rsid w:val="005F598C"/>
    <w:rsid w:val="005F7C9B"/>
    <w:rsid w:val="00602139"/>
    <w:rsid w:val="00602783"/>
    <w:rsid w:val="0060411F"/>
    <w:rsid w:val="006056E1"/>
    <w:rsid w:val="00610339"/>
    <w:rsid w:val="00611577"/>
    <w:rsid w:val="00611808"/>
    <w:rsid w:val="00611AC1"/>
    <w:rsid w:val="00611FC4"/>
    <w:rsid w:val="00613776"/>
    <w:rsid w:val="00613875"/>
    <w:rsid w:val="006143B3"/>
    <w:rsid w:val="00615023"/>
    <w:rsid w:val="00616ED8"/>
    <w:rsid w:val="006176FB"/>
    <w:rsid w:val="00617723"/>
    <w:rsid w:val="006179A7"/>
    <w:rsid w:val="00620BE3"/>
    <w:rsid w:val="006218D9"/>
    <w:rsid w:val="0062211A"/>
    <w:rsid w:val="0062217E"/>
    <w:rsid w:val="0062272A"/>
    <w:rsid w:val="0062316F"/>
    <w:rsid w:val="00625461"/>
    <w:rsid w:val="00626C80"/>
    <w:rsid w:val="00627701"/>
    <w:rsid w:val="00627E8C"/>
    <w:rsid w:val="0063102D"/>
    <w:rsid w:val="006312D2"/>
    <w:rsid w:val="006347A3"/>
    <w:rsid w:val="00634BF4"/>
    <w:rsid w:val="006359D9"/>
    <w:rsid w:val="00636ED4"/>
    <w:rsid w:val="00640A1C"/>
    <w:rsid w:val="00640B26"/>
    <w:rsid w:val="00643111"/>
    <w:rsid w:val="0064371F"/>
    <w:rsid w:val="00646D25"/>
    <w:rsid w:val="006470E3"/>
    <w:rsid w:val="00647236"/>
    <w:rsid w:val="0065010F"/>
    <w:rsid w:val="006504F5"/>
    <w:rsid w:val="006519F2"/>
    <w:rsid w:val="00657210"/>
    <w:rsid w:val="0066013F"/>
    <w:rsid w:val="0066329B"/>
    <w:rsid w:val="00670741"/>
    <w:rsid w:val="00673F08"/>
    <w:rsid w:val="00674F0E"/>
    <w:rsid w:val="006752C6"/>
    <w:rsid w:val="006769A2"/>
    <w:rsid w:val="006772E5"/>
    <w:rsid w:val="00677810"/>
    <w:rsid w:val="00677994"/>
    <w:rsid w:val="00680F57"/>
    <w:rsid w:val="00682CA5"/>
    <w:rsid w:val="00683F68"/>
    <w:rsid w:val="006878A5"/>
    <w:rsid w:val="0069004B"/>
    <w:rsid w:val="00690874"/>
    <w:rsid w:val="00692B3B"/>
    <w:rsid w:val="00696AE4"/>
    <w:rsid w:val="00696BD6"/>
    <w:rsid w:val="0069777D"/>
    <w:rsid w:val="006A0A0C"/>
    <w:rsid w:val="006A253F"/>
    <w:rsid w:val="006A4290"/>
    <w:rsid w:val="006A5805"/>
    <w:rsid w:val="006A6B9D"/>
    <w:rsid w:val="006A734E"/>
    <w:rsid w:val="006A7392"/>
    <w:rsid w:val="006B1E75"/>
    <w:rsid w:val="006B24A0"/>
    <w:rsid w:val="006B3189"/>
    <w:rsid w:val="006B3233"/>
    <w:rsid w:val="006B3CB5"/>
    <w:rsid w:val="006B45AE"/>
    <w:rsid w:val="006B6289"/>
    <w:rsid w:val="006B6B3A"/>
    <w:rsid w:val="006B6C08"/>
    <w:rsid w:val="006B7D65"/>
    <w:rsid w:val="006C1627"/>
    <w:rsid w:val="006C4ACF"/>
    <w:rsid w:val="006C6AD0"/>
    <w:rsid w:val="006D0950"/>
    <w:rsid w:val="006D1CBD"/>
    <w:rsid w:val="006D2689"/>
    <w:rsid w:val="006D520B"/>
    <w:rsid w:val="006D6DA6"/>
    <w:rsid w:val="006E1943"/>
    <w:rsid w:val="006E4474"/>
    <w:rsid w:val="006E564B"/>
    <w:rsid w:val="006E64DB"/>
    <w:rsid w:val="006E744F"/>
    <w:rsid w:val="006E74A1"/>
    <w:rsid w:val="006F13F0"/>
    <w:rsid w:val="006F5035"/>
    <w:rsid w:val="006F7CAA"/>
    <w:rsid w:val="00700F73"/>
    <w:rsid w:val="007024E5"/>
    <w:rsid w:val="00703CEA"/>
    <w:rsid w:val="007065EB"/>
    <w:rsid w:val="00706F38"/>
    <w:rsid w:val="00712A97"/>
    <w:rsid w:val="00712B95"/>
    <w:rsid w:val="00712C3A"/>
    <w:rsid w:val="00713906"/>
    <w:rsid w:val="007149D4"/>
    <w:rsid w:val="00715010"/>
    <w:rsid w:val="0071533C"/>
    <w:rsid w:val="007172BB"/>
    <w:rsid w:val="00720183"/>
    <w:rsid w:val="00721AC6"/>
    <w:rsid w:val="007244E8"/>
    <w:rsid w:val="00724FBD"/>
    <w:rsid w:val="00726265"/>
    <w:rsid w:val="0072632A"/>
    <w:rsid w:val="00733D71"/>
    <w:rsid w:val="00735776"/>
    <w:rsid w:val="00735BF4"/>
    <w:rsid w:val="0073798E"/>
    <w:rsid w:val="0074200B"/>
    <w:rsid w:val="007429FE"/>
    <w:rsid w:val="007441FF"/>
    <w:rsid w:val="007474BE"/>
    <w:rsid w:val="007517FD"/>
    <w:rsid w:val="007519A4"/>
    <w:rsid w:val="007555E7"/>
    <w:rsid w:val="00755A59"/>
    <w:rsid w:val="00755A65"/>
    <w:rsid w:val="007570DD"/>
    <w:rsid w:val="00757227"/>
    <w:rsid w:val="0075756E"/>
    <w:rsid w:val="00760A28"/>
    <w:rsid w:val="0076549C"/>
    <w:rsid w:val="00770244"/>
    <w:rsid w:val="00771543"/>
    <w:rsid w:val="00771D26"/>
    <w:rsid w:val="00773D2C"/>
    <w:rsid w:val="00773F4E"/>
    <w:rsid w:val="0077484E"/>
    <w:rsid w:val="007775B7"/>
    <w:rsid w:val="00781F1E"/>
    <w:rsid w:val="007851E7"/>
    <w:rsid w:val="007877F7"/>
    <w:rsid w:val="007929E5"/>
    <w:rsid w:val="0079328A"/>
    <w:rsid w:val="007932B3"/>
    <w:rsid w:val="00795EB9"/>
    <w:rsid w:val="007966F9"/>
    <w:rsid w:val="007A1BFB"/>
    <w:rsid w:val="007A3FC0"/>
    <w:rsid w:val="007A6296"/>
    <w:rsid w:val="007A704F"/>
    <w:rsid w:val="007B5DC8"/>
    <w:rsid w:val="007B5FBA"/>
    <w:rsid w:val="007B6BA5"/>
    <w:rsid w:val="007B7A9E"/>
    <w:rsid w:val="007C1B62"/>
    <w:rsid w:val="007C3390"/>
    <w:rsid w:val="007C4F4B"/>
    <w:rsid w:val="007C6EB0"/>
    <w:rsid w:val="007C73DE"/>
    <w:rsid w:val="007D2CDC"/>
    <w:rsid w:val="007D5327"/>
    <w:rsid w:val="007D5852"/>
    <w:rsid w:val="007D6667"/>
    <w:rsid w:val="007D71BC"/>
    <w:rsid w:val="007D7C33"/>
    <w:rsid w:val="007E2B3B"/>
    <w:rsid w:val="007E2E38"/>
    <w:rsid w:val="007E3A23"/>
    <w:rsid w:val="007E4289"/>
    <w:rsid w:val="007E4FE4"/>
    <w:rsid w:val="007E54BE"/>
    <w:rsid w:val="007E5DED"/>
    <w:rsid w:val="007F0917"/>
    <w:rsid w:val="007F171C"/>
    <w:rsid w:val="007F20F5"/>
    <w:rsid w:val="007F40A1"/>
    <w:rsid w:val="007F6462"/>
    <w:rsid w:val="007F6611"/>
    <w:rsid w:val="007F73D1"/>
    <w:rsid w:val="007F7C47"/>
    <w:rsid w:val="008014E5"/>
    <w:rsid w:val="00803261"/>
    <w:rsid w:val="00803D54"/>
    <w:rsid w:val="00804443"/>
    <w:rsid w:val="0080620B"/>
    <w:rsid w:val="00807095"/>
    <w:rsid w:val="00807962"/>
    <w:rsid w:val="00811E67"/>
    <w:rsid w:val="00811EC1"/>
    <w:rsid w:val="0081252A"/>
    <w:rsid w:val="0081274F"/>
    <w:rsid w:val="0081360B"/>
    <w:rsid w:val="008155C3"/>
    <w:rsid w:val="00816A78"/>
    <w:rsid w:val="008175E9"/>
    <w:rsid w:val="0082243E"/>
    <w:rsid w:val="008234E7"/>
    <w:rsid w:val="008242D7"/>
    <w:rsid w:val="00825891"/>
    <w:rsid w:val="00825A04"/>
    <w:rsid w:val="00826C89"/>
    <w:rsid w:val="00830695"/>
    <w:rsid w:val="00831B6C"/>
    <w:rsid w:val="008332CE"/>
    <w:rsid w:val="0083441F"/>
    <w:rsid w:val="008348AE"/>
    <w:rsid w:val="00837D10"/>
    <w:rsid w:val="00840C73"/>
    <w:rsid w:val="008415BA"/>
    <w:rsid w:val="008445FF"/>
    <w:rsid w:val="008446B5"/>
    <w:rsid w:val="00845F7D"/>
    <w:rsid w:val="00846B2C"/>
    <w:rsid w:val="0084774A"/>
    <w:rsid w:val="00850310"/>
    <w:rsid w:val="0085120A"/>
    <w:rsid w:val="00854A98"/>
    <w:rsid w:val="00856CD2"/>
    <w:rsid w:val="00861BC6"/>
    <w:rsid w:val="008648D7"/>
    <w:rsid w:val="00864AC0"/>
    <w:rsid w:val="008664F3"/>
    <w:rsid w:val="00866C2B"/>
    <w:rsid w:val="00867156"/>
    <w:rsid w:val="008677C3"/>
    <w:rsid w:val="00867E26"/>
    <w:rsid w:val="008709D6"/>
    <w:rsid w:val="00871861"/>
    <w:rsid w:val="00871FD5"/>
    <w:rsid w:val="0087255A"/>
    <w:rsid w:val="00884786"/>
    <w:rsid w:val="0088628F"/>
    <w:rsid w:val="00890033"/>
    <w:rsid w:val="008907E9"/>
    <w:rsid w:val="00890AA7"/>
    <w:rsid w:val="008910FB"/>
    <w:rsid w:val="00893516"/>
    <w:rsid w:val="00894B3E"/>
    <w:rsid w:val="00896824"/>
    <w:rsid w:val="00896A52"/>
    <w:rsid w:val="008979B1"/>
    <w:rsid w:val="008A05AD"/>
    <w:rsid w:val="008A063D"/>
    <w:rsid w:val="008A14DF"/>
    <w:rsid w:val="008A2703"/>
    <w:rsid w:val="008A330F"/>
    <w:rsid w:val="008A48FA"/>
    <w:rsid w:val="008A5617"/>
    <w:rsid w:val="008A6B25"/>
    <w:rsid w:val="008A6C4F"/>
    <w:rsid w:val="008A7943"/>
    <w:rsid w:val="008A7C48"/>
    <w:rsid w:val="008B282D"/>
    <w:rsid w:val="008B2BDE"/>
    <w:rsid w:val="008B47EC"/>
    <w:rsid w:val="008B648B"/>
    <w:rsid w:val="008B79D9"/>
    <w:rsid w:val="008C148F"/>
    <w:rsid w:val="008C1ACF"/>
    <w:rsid w:val="008C1E4D"/>
    <w:rsid w:val="008C4198"/>
    <w:rsid w:val="008C5813"/>
    <w:rsid w:val="008C6578"/>
    <w:rsid w:val="008D03F0"/>
    <w:rsid w:val="008D130A"/>
    <w:rsid w:val="008D23D9"/>
    <w:rsid w:val="008D5830"/>
    <w:rsid w:val="008E031F"/>
    <w:rsid w:val="008E0836"/>
    <w:rsid w:val="008E0E46"/>
    <w:rsid w:val="008E13D4"/>
    <w:rsid w:val="008E38AD"/>
    <w:rsid w:val="008E4FB7"/>
    <w:rsid w:val="008F1C1C"/>
    <w:rsid w:val="008F3729"/>
    <w:rsid w:val="008F4575"/>
    <w:rsid w:val="008F6D76"/>
    <w:rsid w:val="0090452C"/>
    <w:rsid w:val="0090498F"/>
    <w:rsid w:val="00907C3F"/>
    <w:rsid w:val="009147E4"/>
    <w:rsid w:val="009161A4"/>
    <w:rsid w:val="00917FFB"/>
    <w:rsid w:val="00920569"/>
    <w:rsid w:val="0092237C"/>
    <w:rsid w:val="00922514"/>
    <w:rsid w:val="009227FE"/>
    <w:rsid w:val="00925E95"/>
    <w:rsid w:val="009324DB"/>
    <w:rsid w:val="00933675"/>
    <w:rsid w:val="00933729"/>
    <w:rsid w:val="0093707B"/>
    <w:rsid w:val="009372B4"/>
    <w:rsid w:val="009373B8"/>
    <w:rsid w:val="009400EB"/>
    <w:rsid w:val="009427E3"/>
    <w:rsid w:val="00943263"/>
    <w:rsid w:val="0094504A"/>
    <w:rsid w:val="00945847"/>
    <w:rsid w:val="009534AE"/>
    <w:rsid w:val="009544BE"/>
    <w:rsid w:val="009561E4"/>
    <w:rsid w:val="00956D9B"/>
    <w:rsid w:val="00957BEC"/>
    <w:rsid w:val="00963CBA"/>
    <w:rsid w:val="009654B7"/>
    <w:rsid w:val="009717AC"/>
    <w:rsid w:val="00973342"/>
    <w:rsid w:val="00976FEC"/>
    <w:rsid w:val="009773BB"/>
    <w:rsid w:val="00984279"/>
    <w:rsid w:val="009842E3"/>
    <w:rsid w:val="00985872"/>
    <w:rsid w:val="00991261"/>
    <w:rsid w:val="009912A3"/>
    <w:rsid w:val="009915A2"/>
    <w:rsid w:val="00994243"/>
    <w:rsid w:val="009A0B83"/>
    <w:rsid w:val="009A28D0"/>
    <w:rsid w:val="009A2975"/>
    <w:rsid w:val="009A2F23"/>
    <w:rsid w:val="009A4CB1"/>
    <w:rsid w:val="009A6BA3"/>
    <w:rsid w:val="009A6E74"/>
    <w:rsid w:val="009A75B8"/>
    <w:rsid w:val="009B08DE"/>
    <w:rsid w:val="009B270E"/>
    <w:rsid w:val="009B3800"/>
    <w:rsid w:val="009B620A"/>
    <w:rsid w:val="009C1D06"/>
    <w:rsid w:val="009C1D63"/>
    <w:rsid w:val="009C1E61"/>
    <w:rsid w:val="009C38FA"/>
    <w:rsid w:val="009C59FE"/>
    <w:rsid w:val="009C62EA"/>
    <w:rsid w:val="009D1082"/>
    <w:rsid w:val="009D21CD"/>
    <w:rsid w:val="009D22AC"/>
    <w:rsid w:val="009D50DB"/>
    <w:rsid w:val="009D5B48"/>
    <w:rsid w:val="009D66B5"/>
    <w:rsid w:val="009E1C4E"/>
    <w:rsid w:val="009E289B"/>
    <w:rsid w:val="009E2C32"/>
    <w:rsid w:val="009E5404"/>
    <w:rsid w:val="009E54A2"/>
    <w:rsid w:val="009E56F6"/>
    <w:rsid w:val="009F1060"/>
    <w:rsid w:val="009F268D"/>
    <w:rsid w:val="00A00ACD"/>
    <w:rsid w:val="00A0173A"/>
    <w:rsid w:val="00A01F3D"/>
    <w:rsid w:val="00A030E3"/>
    <w:rsid w:val="00A03A6F"/>
    <w:rsid w:val="00A05E0B"/>
    <w:rsid w:val="00A06323"/>
    <w:rsid w:val="00A125AE"/>
    <w:rsid w:val="00A13A2A"/>
    <w:rsid w:val="00A1427D"/>
    <w:rsid w:val="00A1480B"/>
    <w:rsid w:val="00A16AFA"/>
    <w:rsid w:val="00A20DA7"/>
    <w:rsid w:val="00A21ECD"/>
    <w:rsid w:val="00A22D7F"/>
    <w:rsid w:val="00A242DE"/>
    <w:rsid w:val="00A25DCD"/>
    <w:rsid w:val="00A319F0"/>
    <w:rsid w:val="00A32807"/>
    <w:rsid w:val="00A32AA6"/>
    <w:rsid w:val="00A356F5"/>
    <w:rsid w:val="00A37D3A"/>
    <w:rsid w:val="00A42E40"/>
    <w:rsid w:val="00A43AE2"/>
    <w:rsid w:val="00A44DFC"/>
    <w:rsid w:val="00A4634F"/>
    <w:rsid w:val="00A4749A"/>
    <w:rsid w:val="00A47F71"/>
    <w:rsid w:val="00A51CF3"/>
    <w:rsid w:val="00A55A1F"/>
    <w:rsid w:val="00A57DF2"/>
    <w:rsid w:val="00A63EE9"/>
    <w:rsid w:val="00A66ABC"/>
    <w:rsid w:val="00A676DF"/>
    <w:rsid w:val="00A71B8C"/>
    <w:rsid w:val="00A72F22"/>
    <w:rsid w:val="00A73F17"/>
    <w:rsid w:val="00A73FFC"/>
    <w:rsid w:val="00A748A6"/>
    <w:rsid w:val="00A75905"/>
    <w:rsid w:val="00A77753"/>
    <w:rsid w:val="00A80CD3"/>
    <w:rsid w:val="00A816A6"/>
    <w:rsid w:val="00A81C8E"/>
    <w:rsid w:val="00A82CC9"/>
    <w:rsid w:val="00A8365F"/>
    <w:rsid w:val="00A84B6C"/>
    <w:rsid w:val="00A87486"/>
    <w:rsid w:val="00A879A4"/>
    <w:rsid w:val="00A87E95"/>
    <w:rsid w:val="00A92581"/>
    <w:rsid w:val="00A927B3"/>
    <w:rsid w:val="00A92839"/>
    <w:rsid w:val="00A92E29"/>
    <w:rsid w:val="00A94DFC"/>
    <w:rsid w:val="00A95FDB"/>
    <w:rsid w:val="00A97A5B"/>
    <w:rsid w:val="00AA2DB7"/>
    <w:rsid w:val="00AA3401"/>
    <w:rsid w:val="00AA36EF"/>
    <w:rsid w:val="00AA39D4"/>
    <w:rsid w:val="00AA75E4"/>
    <w:rsid w:val="00AB27C8"/>
    <w:rsid w:val="00AB36DC"/>
    <w:rsid w:val="00AB3969"/>
    <w:rsid w:val="00AB4CB2"/>
    <w:rsid w:val="00AB5AAE"/>
    <w:rsid w:val="00AB5D4F"/>
    <w:rsid w:val="00AC0B46"/>
    <w:rsid w:val="00AC1AEB"/>
    <w:rsid w:val="00AC2F2C"/>
    <w:rsid w:val="00AC4D63"/>
    <w:rsid w:val="00AC52B5"/>
    <w:rsid w:val="00AC5719"/>
    <w:rsid w:val="00AC7E09"/>
    <w:rsid w:val="00AD09E9"/>
    <w:rsid w:val="00AD214F"/>
    <w:rsid w:val="00AD367E"/>
    <w:rsid w:val="00AD4FE2"/>
    <w:rsid w:val="00AE3607"/>
    <w:rsid w:val="00AF0576"/>
    <w:rsid w:val="00AF0578"/>
    <w:rsid w:val="00AF1756"/>
    <w:rsid w:val="00AF3829"/>
    <w:rsid w:val="00AF4DAC"/>
    <w:rsid w:val="00AF736C"/>
    <w:rsid w:val="00B0087D"/>
    <w:rsid w:val="00B00C6A"/>
    <w:rsid w:val="00B01B24"/>
    <w:rsid w:val="00B02E3B"/>
    <w:rsid w:val="00B037F0"/>
    <w:rsid w:val="00B04FC7"/>
    <w:rsid w:val="00B050B8"/>
    <w:rsid w:val="00B051DD"/>
    <w:rsid w:val="00B064ED"/>
    <w:rsid w:val="00B07C70"/>
    <w:rsid w:val="00B10065"/>
    <w:rsid w:val="00B12B53"/>
    <w:rsid w:val="00B13DEB"/>
    <w:rsid w:val="00B155C4"/>
    <w:rsid w:val="00B204B9"/>
    <w:rsid w:val="00B20D01"/>
    <w:rsid w:val="00B20E54"/>
    <w:rsid w:val="00B2327D"/>
    <w:rsid w:val="00B2559A"/>
    <w:rsid w:val="00B26569"/>
    <w:rsid w:val="00B2718F"/>
    <w:rsid w:val="00B30179"/>
    <w:rsid w:val="00B307B2"/>
    <w:rsid w:val="00B32CD0"/>
    <w:rsid w:val="00B3317B"/>
    <w:rsid w:val="00B334DC"/>
    <w:rsid w:val="00B3631A"/>
    <w:rsid w:val="00B3718E"/>
    <w:rsid w:val="00B410D8"/>
    <w:rsid w:val="00B41678"/>
    <w:rsid w:val="00B41DF4"/>
    <w:rsid w:val="00B41EBD"/>
    <w:rsid w:val="00B42CA1"/>
    <w:rsid w:val="00B44D26"/>
    <w:rsid w:val="00B45CE0"/>
    <w:rsid w:val="00B46131"/>
    <w:rsid w:val="00B46464"/>
    <w:rsid w:val="00B50535"/>
    <w:rsid w:val="00B53013"/>
    <w:rsid w:val="00B53F54"/>
    <w:rsid w:val="00B546BC"/>
    <w:rsid w:val="00B57341"/>
    <w:rsid w:val="00B60BD3"/>
    <w:rsid w:val="00B61241"/>
    <w:rsid w:val="00B61444"/>
    <w:rsid w:val="00B6432A"/>
    <w:rsid w:val="00B64E07"/>
    <w:rsid w:val="00B6572D"/>
    <w:rsid w:val="00B65EB0"/>
    <w:rsid w:val="00B66CE2"/>
    <w:rsid w:val="00B67F5E"/>
    <w:rsid w:val="00B67FD1"/>
    <w:rsid w:val="00B70CA0"/>
    <w:rsid w:val="00B728B2"/>
    <w:rsid w:val="00B73E65"/>
    <w:rsid w:val="00B75E73"/>
    <w:rsid w:val="00B81E12"/>
    <w:rsid w:val="00B82CBE"/>
    <w:rsid w:val="00B83A8E"/>
    <w:rsid w:val="00B8523C"/>
    <w:rsid w:val="00B87110"/>
    <w:rsid w:val="00B87EEE"/>
    <w:rsid w:val="00B90428"/>
    <w:rsid w:val="00B916AB"/>
    <w:rsid w:val="00B94203"/>
    <w:rsid w:val="00B95F8B"/>
    <w:rsid w:val="00B9769F"/>
    <w:rsid w:val="00B97FA8"/>
    <w:rsid w:val="00BA2DAC"/>
    <w:rsid w:val="00BA3D50"/>
    <w:rsid w:val="00BA46E7"/>
    <w:rsid w:val="00BB0FB2"/>
    <w:rsid w:val="00BB5F08"/>
    <w:rsid w:val="00BB729E"/>
    <w:rsid w:val="00BB7653"/>
    <w:rsid w:val="00BC0B0A"/>
    <w:rsid w:val="00BC1385"/>
    <w:rsid w:val="00BC1E9C"/>
    <w:rsid w:val="00BC1EC3"/>
    <w:rsid w:val="00BC3296"/>
    <w:rsid w:val="00BC5CD6"/>
    <w:rsid w:val="00BC6DE8"/>
    <w:rsid w:val="00BC74E9"/>
    <w:rsid w:val="00BC7565"/>
    <w:rsid w:val="00BD37BE"/>
    <w:rsid w:val="00BD4DE8"/>
    <w:rsid w:val="00BD5B65"/>
    <w:rsid w:val="00BD63B8"/>
    <w:rsid w:val="00BD73BD"/>
    <w:rsid w:val="00BE0129"/>
    <w:rsid w:val="00BE229D"/>
    <w:rsid w:val="00BE3A36"/>
    <w:rsid w:val="00BE6010"/>
    <w:rsid w:val="00BE618E"/>
    <w:rsid w:val="00BE67D5"/>
    <w:rsid w:val="00BE6A34"/>
    <w:rsid w:val="00BE7301"/>
    <w:rsid w:val="00BE74B0"/>
    <w:rsid w:val="00BE7A59"/>
    <w:rsid w:val="00BE7D60"/>
    <w:rsid w:val="00BF155E"/>
    <w:rsid w:val="00BF1A42"/>
    <w:rsid w:val="00BF3CAF"/>
    <w:rsid w:val="00BF4968"/>
    <w:rsid w:val="00BF5A71"/>
    <w:rsid w:val="00BF5BB2"/>
    <w:rsid w:val="00BF5E74"/>
    <w:rsid w:val="00C0547D"/>
    <w:rsid w:val="00C059A1"/>
    <w:rsid w:val="00C0709C"/>
    <w:rsid w:val="00C0757F"/>
    <w:rsid w:val="00C1058E"/>
    <w:rsid w:val="00C11203"/>
    <w:rsid w:val="00C1171E"/>
    <w:rsid w:val="00C12EF9"/>
    <w:rsid w:val="00C20085"/>
    <w:rsid w:val="00C201BC"/>
    <w:rsid w:val="00C20994"/>
    <w:rsid w:val="00C226C8"/>
    <w:rsid w:val="00C23C9F"/>
    <w:rsid w:val="00C24693"/>
    <w:rsid w:val="00C24EA5"/>
    <w:rsid w:val="00C27C09"/>
    <w:rsid w:val="00C32817"/>
    <w:rsid w:val="00C32D1E"/>
    <w:rsid w:val="00C331F9"/>
    <w:rsid w:val="00C334A9"/>
    <w:rsid w:val="00C33F85"/>
    <w:rsid w:val="00C35E16"/>
    <w:rsid w:val="00C35F0B"/>
    <w:rsid w:val="00C37863"/>
    <w:rsid w:val="00C41446"/>
    <w:rsid w:val="00C41E08"/>
    <w:rsid w:val="00C434F9"/>
    <w:rsid w:val="00C44738"/>
    <w:rsid w:val="00C44BA3"/>
    <w:rsid w:val="00C463DD"/>
    <w:rsid w:val="00C479DC"/>
    <w:rsid w:val="00C50282"/>
    <w:rsid w:val="00C51BAE"/>
    <w:rsid w:val="00C536D1"/>
    <w:rsid w:val="00C55482"/>
    <w:rsid w:val="00C557E1"/>
    <w:rsid w:val="00C56832"/>
    <w:rsid w:val="00C6014E"/>
    <w:rsid w:val="00C60968"/>
    <w:rsid w:val="00C625E0"/>
    <w:rsid w:val="00C63A98"/>
    <w:rsid w:val="00C63C56"/>
    <w:rsid w:val="00C64458"/>
    <w:rsid w:val="00C65F29"/>
    <w:rsid w:val="00C67466"/>
    <w:rsid w:val="00C716C4"/>
    <w:rsid w:val="00C727E2"/>
    <w:rsid w:val="00C72B1E"/>
    <w:rsid w:val="00C745C3"/>
    <w:rsid w:val="00C747CD"/>
    <w:rsid w:val="00C75F71"/>
    <w:rsid w:val="00C77B2C"/>
    <w:rsid w:val="00C8031F"/>
    <w:rsid w:val="00C80454"/>
    <w:rsid w:val="00C80570"/>
    <w:rsid w:val="00C80E17"/>
    <w:rsid w:val="00C81157"/>
    <w:rsid w:val="00C825E8"/>
    <w:rsid w:val="00C83E78"/>
    <w:rsid w:val="00C87227"/>
    <w:rsid w:val="00C907D3"/>
    <w:rsid w:val="00C91075"/>
    <w:rsid w:val="00C91426"/>
    <w:rsid w:val="00C91C74"/>
    <w:rsid w:val="00C93467"/>
    <w:rsid w:val="00C937F3"/>
    <w:rsid w:val="00C94340"/>
    <w:rsid w:val="00C94D1D"/>
    <w:rsid w:val="00C97B66"/>
    <w:rsid w:val="00C97E31"/>
    <w:rsid w:val="00CA0F85"/>
    <w:rsid w:val="00CA14F7"/>
    <w:rsid w:val="00CA2A58"/>
    <w:rsid w:val="00CA4209"/>
    <w:rsid w:val="00CA5282"/>
    <w:rsid w:val="00CA7E88"/>
    <w:rsid w:val="00CB21D5"/>
    <w:rsid w:val="00CB233C"/>
    <w:rsid w:val="00CB28A4"/>
    <w:rsid w:val="00CB3029"/>
    <w:rsid w:val="00CB45C1"/>
    <w:rsid w:val="00CB61DA"/>
    <w:rsid w:val="00CC0B55"/>
    <w:rsid w:val="00CC16CB"/>
    <w:rsid w:val="00CC3DAF"/>
    <w:rsid w:val="00CC736E"/>
    <w:rsid w:val="00CD3B05"/>
    <w:rsid w:val="00CD4205"/>
    <w:rsid w:val="00CD4A9B"/>
    <w:rsid w:val="00CD56D5"/>
    <w:rsid w:val="00CD5F1E"/>
    <w:rsid w:val="00CD6995"/>
    <w:rsid w:val="00CE1510"/>
    <w:rsid w:val="00CE419E"/>
    <w:rsid w:val="00CE4A8F"/>
    <w:rsid w:val="00CE5166"/>
    <w:rsid w:val="00CE569A"/>
    <w:rsid w:val="00CE7C1D"/>
    <w:rsid w:val="00CF0214"/>
    <w:rsid w:val="00CF0309"/>
    <w:rsid w:val="00CF058D"/>
    <w:rsid w:val="00CF08B5"/>
    <w:rsid w:val="00CF13F0"/>
    <w:rsid w:val="00CF1877"/>
    <w:rsid w:val="00CF586F"/>
    <w:rsid w:val="00CF6F13"/>
    <w:rsid w:val="00CF7D43"/>
    <w:rsid w:val="00D0136E"/>
    <w:rsid w:val="00D0171B"/>
    <w:rsid w:val="00D055AC"/>
    <w:rsid w:val="00D11129"/>
    <w:rsid w:val="00D17D0C"/>
    <w:rsid w:val="00D2031B"/>
    <w:rsid w:val="00D203BA"/>
    <w:rsid w:val="00D22332"/>
    <w:rsid w:val="00D226FD"/>
    <w:rsid w:val="00D22B61"/>
    <w:rsid w:val="00D22F5F"/>
    <w:rsid w:val="00D23179"/>
    <w:rsid w:val="00D249C9"/>
    <w:rsid w:val="00D25FE2"/>
    <w:rsid w:val="00D3171F"/>
    <w:rsid w:val="00D32159"/>
    <w:rsid w:val="00D33862"/>
    <w:rsid w:val="00D3448B"/>
    <w:rsid w:val="00D34C63"/>
    <w:rsid w:val="00D34D5A"/>
    <w:rsid w:val="00D36B58"/>
    <w:rsid w:val="00D37A85"/>
    <w:rsid w:val="00D4008B"/>
    <w:rsid w:val="00D40974"/>
    <w:rsid w:val="00D4306C"/>
    <w:rsid w:val="00D43252"/>
    <w:rsid w:val="00D460A3"/>
    <w:rsid w:val="00D522E9"/>
    <w:rsid w:val="00D52E06"/>
    <w:rsid w:val="00D550F9"/>
    <w:rsid w:val="00D56B52"/>
    <w:rsid w:val="00D572B0"/>
    <w:rsid w:val="00D61FED"/>
    <w:rsid w:val="00D6283C"/>
    <w:rsid w:val="00D62E90"/>
    <w:rsid w:val="00D63270"/>
    <w:rsid w:val="00D65317"/>
    <w:rsid w:val="00D65888"/>
    <w:rsid w:val="00D662C2"/>
    <w:rsid w:val="00D7068E"/>
    <w:rsid w:val="00D7228F"/>
    <w:rsid w:val="00D750F9"/>
    <w:rsid w:val="00D756EB"/>
    <w:rsid w:val="00D76BE5"/>
    <w:rsid w:val="00D81640"/>
    <w:rsid w:val="00D83F7B"/>
    <w:rsid w:val="00D87B1B"/>
    <w:rsid w:val="00D909AB"/>
    <w:rsid w:val="00D91402"/>
    <w:rsid w:val="00D919B3"/>
    <w:rsid w:val="00D9296A"/>
    <w:rsid w:val="00D9455C"/>
    <w:rsid w:val="00D94931"/>
    <w:rsid w:val="00D9522A"/>
    <w:rsid w:val="00D9581C"/>
    <w:rsid w:val="00D962CA"/>
    <w:rsid w:val="00D96445"/>
    <w:rsid w:val="00D978C6"/>
    <w:rsid w:val="00DA0323"/>
    <w:rsid w:val="00DA158B"/>
    <w:rsid w:val="00DA1757"/>
    <w:rsid w:val="00DA28F3"/>
    <w:rsid w:val="00DA3D2A"/>
    <w:rsid w:val="00DA3D7F"/>
    <w:rsid w:val="00DA46F8"/>
    <w:rsid w:val="00DA67AD"/>
    <w:rsid w:val="00DA687A"/>
    <w:rsid w:val="00DA741D"/>
    <w:rsid w:val="00DB18CE"/>
    <w:rsid w:val="00DB2A0D"/>
    <w:rsid w:val="00DB2EF4"/>
    <w:rsid w:val="00DB3365"/>
    <w:rsid w:val="00DB367E"/>
    <w:rsid w:val="00DB6761"/>
    <w:rsid w:val="00DB6C39"/>
    <w:rsid w:val="00DC0006"/>
    <w:rsid w:val="00DC11B5"/>
    <w:rsid w:val="00DC175A"/>
    <w:rsid w:val="00DC20AE"/>
    <w:rsid w:val="00DC2557"/>
    <w:rsid w:val="00DC40EA"/>
    <w:rsid w:val="00DC5015"/>
    <w:rsid w:val="00DC5585"/>
    <w:rsid w:val="00DC71EB"/>
    <w:rsid w:val="00DD0CC2"/>
    <w:rsid w:val="00DD15E1"/>
    <w:rsid w:val="00DD1FB3"/>
    <w:rsid w:val="00DD68B4"/>
    <w:rsid w:val="00DE2962"/>
    <w:rsid w:val="00DE2FD4"/>
    <w:rsid w:val="00DE3277"/>
    <w:rsid w:val="00DE3EC0"/>
    <w:rsid w:val="00DE3ED8"/>
    <w:rsid w:val="00DE3FD3"/>
    <w:rsid w:val="00DF055E"/>
    <w:rsid w:val="00DF77B6"/>
    <w:rsid w:val="00E0038E"/>
    <w:rsid w:val="00E0405E"/>
    <w:rsid w:val="00E057B0"/>
    <w:rsid w:val="00E07F63"/>
    <w:rsid w:val="00E1089F"/>
    <w:rsid w:val="00E11593"/>
    <w:rsid w:val="00E11FAD"/>
    <w:rsid w:val="00E12B6B"/>
    <w:rsid w:val="00E130AB"/>
    <w:rsid w:val="00E15742"/>
    <w:rsid w:val="00E213C2"/>
    <w:rsid w:val="00E21B6F"/>
    <w:rsid w:val="00E2261B"/>
    <w:rsid w:val="00E22C2D"/>
    <w:rsid w:val="00E22ED7"/>
    <w:rsid w:val="00E2474B"/>
    <w:rsid w:val="00E25408"/>
    <w:rsid w:val="00E27E70"/>
    <w:rsid w:val="00E310AA"/>
    <w:rsid w:val="00E35BBE"/>
    <w:rsid w:val="00E35FA3"/>
    <w:rsid w:val="00E363BE"/>
    <w:rsid w:val="00E37000"/>
    <w:rsid w:val="00E37C23"/>
    <w:rsid w:val="00E37ECD"/>
    <w:rsid w:val="00E438D9"/>
    <w:rsid w:val="00E45871"/>
    <w:rsid w:val="00E52727"/>
    <w:rsid w:val="00E52888"/>
    <w:rsid w:val="00E5301E"/>
    <w:rsid w:val="00E536CA"/>
    <w:rsid w:val="00E548B9"/>
    <w:rsid w:val="00E5644E"/>
    <w:rsid w:val="00E57043"/>
    <w:rsid w:val="00E57838"/>
    <w:rsid w:val="00E60271"/>
    <w:rsid w:val="00E62D87"/>
    <w:rsid w:val="00E63AA3"/>
    <w:rsid w:val="00E64879"/>
    <w:rsid w:val="00E6543A"/>
    <w:rsid w:val="00E659BB"/>
    <w:rsid w:val="00E677FB"/>
    <w:rsid w:val="00E7135B"/>
    <w:rsid w:val="00E7260F"/>
    <w:rsid w:val="00E72916"/>
    <w:rsid w:val="00E733EC"/>
    <w:rsid w:val="00E748BC"/>
    <w:rsid w:val="00E75065"/>
    <w:rsid w:val="00E764F9"/>
    <w:rsid w:val="00E771AE"/>
    <w:rsid w:val="00E7740F"/>
    <w:rsid w:val="00E806EE"/>
    <w:rsid w:val="00E83CBF"/>
    <w:rsid w:val="00E86757"/>
    <w:rsid w:val="00E9162C"/>
    <w:rsid w:val="00E964F4"/>
    <w:rsid w:val="00E96630"/>
    <w:rsid w:val="00E9689C"/>
    <w:rsid w:val="00EA2C3C"/>
    <w:rsid w:val="00EA2D2F"/>
    <w:rsid w:val="00EA36EE"/>
    <w:rsid w:val="00EA5182"/>
    <w:rsid w:val="00EB0FB9"/>
    <w:rsid w:val="00EB2870"/>
    <w:rsid w:val="00EB2F0D"/>
    <w:rsid w:val="00EB3DEF"/>
    <w:rsid w:val="00EB537A"/>
    <w:rsid w:val="00EB6124"/>
    <w:rsid w:val="00EB7A1F"/>
    <w:rsid w:val="00EB7B49"/>
    <w:rsid w:val="00EC2076"/>
    <w:rsid w:val="00EC3789"/>
    <w:rsid w:val="00EC4762"/>
    <w:rsid w:val="00ED08D9"/>
    <w:rsid w:val="00ED0CA9"/>
    <w:rsid w:val="00ED13FF"/>
    <w:rsid w:val="00ED1688"/>
    <w:rsid w:val="00ED51AB"/>
    <w:rsid w:val="00ED5C60"/>
    <w:rsid w:val="00ED6199"/>
    <w:rsid w:val="00ED7001"/>
    <w:rsid w:val="00ED7331"/>
    <w:rsid w:val="00ED7A2A"/>
    <w:rsid w:val="00EE0219"/>
    <w:rsid w:val="00EE19E2"/>
    <w:rsid w:val="00EE1CDB"/>
    <w:rsid w:val="00EE40C2"/>
    <w:rsid w:val="00EE5B2D"/>
    <w:rsid w:val="00EE64E2"/>
    <w:rsid w:val="00EE692F"/>
    <w:rsid w:val="00EE6D5C"/>
    <w:rsid w:val="00EE7222"/>
    <w:rsid w:val="00EE7BD2"/>
    <w:rsid w:val="00EF1445"/>
    <w:rsid w:val="00EF1D7F"/>
    <w:rsid w:val="00EF2CFA"/>
    <w:rsid w:val="00EF3B73"/>
    <w:rsid w:val="00EF5993"/>
    <w:rsid w:val="00EF5BDB"/>
    <w:rsid w:val="00EF6930"/>
    <w:rsid w:val="00F01887"/>
    <w:rsid w:val="00F01BE5"/>
    <w:rsid w:val="00F04503"/>
    <w:rsid w:val="00F0493A"/>
    <w:rsid w:val="00F05237"/>
    <w:rsid w:val="00F060C2"/>
    <w:rsid w:val="00F078A8"/>
    <w:rsid w:val="00F07FD9"/>
    <w:rsid w:val="00F103AD"/>
    <w:rsid w:val="00F12D63"/>
    <w:rsid w:val="00F134C0"/>
    <w:rsid w:val="00F1359E"/>
    <w:rsid w:val="00F145B0"/>
    <w:rsid w:val="00F1779D"/>
    <w:rsid w:val="00F20538"/>
    <w:rsid w:val="00F23933"/>
    <w:rsid w:val="00F24119"/>
    <w:rsid w:val="00F25957"/>
    <w:rsid w:val="00F30C31"/>
    <w:rsid w:val="00F30DE1"/>
    <w:rsid w:val="00F324D9"/>
    <w:rsid w:val="00F35753"/>
    <w:rsid w:val="00F3667D"/>
    <w:rsid w:val="00F377B7"/>
    <w:rsid w:val="00F37813"/>
    <w:rsid w:val="00F37B28"/>
    <w:rsid w:val="00F40E75"/>
    <w:rsid w:val="00F41116"/>
    <w:rsid w:val="00F4112F"/>
    <w:rsid w:val="00F41FB6"/>
    <w:rsid w:val="00F42790"/>
    <w:rsid w:val="00F42CD9"/>
    <w:rsid w:val="00F43DF5"/>
    <w:rsid w:val="00F46D52"/>
    <w:rsid w:val="00F47FC6"/>
    <w:rsid w:val="00F5242E"/>
    <w:rsid w:val="00F525DB"/>
    <w:rsid w:val="00F52936"/>
    <w:rsid w:val="00F52B75"/>
    <w:rsid w:val="00F54A09"/>
    <w:rsid w:val="00F56D38"/>
    <w:rsid w:val="00F56EF7"/>
    <w:rsid w:val="00F62D77"/>
    <w:rsid w:val="00F65F26"/>
    <w:rsid w:val="00F677A6"/>
    <w:rsid w:val="00F677CB"/>
    <w:rsid w:val="00F67AB9"/>
    <w:rsid w:val="00F73D48"/>
    <w:rsid w:val="00F77DDF"/>
    <w:rsid w:val="00F80D2E"/>
    <w:rsid w:val="00F83361"/>
    <w:rsid w:val="00F83BC0"/>
    <w:rsid w:val="00F840EE"/>
    <w:rsid w:val="00F87711"/>
    <w:rsid w:val="00F878FB"/>
    <w:rsid w:val="00F90B60"/>
    <w:rsid w:val="00FA08D1"/>
    <w:rsid w:val="00FA0B8A"/>
    <w:rsid w:val="00FA3183"/>
    <w:rsid w:val="00FA46BE"/>
    <w:rsid w:val="00FA6005"/>
    <w:rsid w:val="00FA7DF3"/>
    <w:rsid w:val="00FB1534"/>
    <w:rsid w:val="00FB2026"/>
    <w:rsid w:val="00FB21DC"/>
    <w:rsid w:val="00FB48B1"/>
    <w:rsid w:val="00FB6830"/>
    <w:rsid w:val="00FC0783"/>
    <w:rsid w:val="00FC1774"/>
    <w:rsid w:val="00FC3BC0"/>
    <w:rsid w:val="00FC68B7"/>
    <w:rsid w:val="00FC7AEE"/>
    <w:rsid w:val="00FC7E0C"/>
    <w:rsid w:val="00FD053E"/>
    <w:rsid w:val="00FD06CD"/>
    <w:rsid w:val="00FD7C12"/>
    <w:rsid w:val="00FE0C68"/>
    <w:rsid w:val="00FE3CE8"/>
    <w:rsid w:val="00FE4C50"/>
    <w:rsid w:val="00FE6772"/>
    <w:rsid w:val="00FF0972"/>
    <w:rsid w:val="00FF1004"/>
    <w:rsid w:val="00FF5194"/>
    <w:rsid w:val="00FF625E"/>
    <w:rsid w:val="00FF627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link w:val="CharChar1CharCharCharChar1CharCharCharCharCharCharCharCharCharCharCharCharCharCharCharChar"/>
    <w:uiPriority w:val="99"/>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uiPriority w:val="99"/>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uiPriority w:val="99"/>
    <w:rsid w:val="00E15742"/>
    <w:rPr>
      <w:rFonts w:eastAsia="SimSun"/>
      <w:sz w:val="18"/>
      <w:lang w:val="en-US" w:eastAsia="zh-CN"/>
    </w:rPr>
  </w:style>
  <w:style w:type="character" w:customStyle="1" w:styleId="HeaderChar">
    <w:name w:val="Header Char"/>
    <w:aliases w:val="6_G Char"/>
    <w:link w:val="Header"/>
    <w:uiPriority w:val="99"/>
    <w:rsid w:val="00AD4FE2"/>
    <w:rPr>
      <w:b/>
      <w:sz w:val="18"/>
      <w:lang w:eastAsia="en-US"/>
    </w:rPr>
  </w:style>
  <w:style w:type="paragraph" w:customStyle="1" w:styleId="Default">
    <w:name w:val="Default"/>
    <w:rsid w:val="00AD4FE2"/>
    <w:pPr>
      <w:autoSpaceDE w:val="0"/>
      <w:autoSpaceDN w:val="0"/>
      <w:adjustRightInd w:val="0"/>
    </w:pPr>
    <w:rPr>
      <w:color w:val="000000"/>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uiPriority w:val="99"/>
    <w:rsid w:val="00B61241"/>
    <w:rPr>
      <w:sz w:val="16"/>
      <w:szCs w:val="16"/>
    </w:rPr>
  </w:style>
  <w:style w:type="paragraph" w:styleId="CommentText">
    <w:name w:val="annotation text"/>
    <w:basedOn w:val="Normal"/>
    <w:link w:val="CommentTextChar"/>
    <w:uiPriority w:val="99"/>
    <w:rsid w:val="00B61241"/>
    <w:pPr>
      <w:spacing w:line="240" w:lineRule="auto"/>
    </w:pPr>
  </w:style>
  <w:style w:type="character" w:customStyle="1" w:styleId="CommentTextChar">
    <w:name w:val="Comment Text Char"/>
    <w:basedOn w:val="DefaultParagraphFont"/>
    <w:link w:val="CommentText"/>
    <w:uiPriority w:val="99"/>
    <w:rsid w:val="00B61241"/>
    <w:rPr>
      <w:lang w:eastAsia="en-US"/>
    </w:rPr>
  </w:style>
  <w:style w:type="paragraph" w:styleId="CommentSubject">
    <w:name w:val="annotation subject"/>
    <w:basedOn w:val="CommentText"/>
    <w:next w:val="CommentText"/>
    <w:link w:val="CommentSubjectChar"/>
    <w:rsid w:val="00B61241"/>
    <w:rPr>
      <w:b/>
      <w:bCs/>
    </w:rPr>
  </w:style>
  <w:style w:type="character" w:customStyle="1" w:styleId="CommentSubjectChar">
    <w:name w:val="Comment Subject Char"/>
    <w:basedOn w:val="CommentTextChar"/>
    <w:link w:val="CommentSubject"/>
    <w:rsid w:val="00B61241"/>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6A253F"/>
    <w:pPr>
      <w:suppressAutoHyphens w:val="0"/>
      <w:spacing w:after="160" w:line="240" w:lineRule="exact"/>
    </w:pPr>
    <w:rPr>
      <w:sz w:val="18"/>
      <w:vertAlign w:val="superscript"/>
      <w:lang w:eastAsia="en-GB"/>
    </w:rPr>
  </w:style>
  <w:style w:type="character" w:styleId="Strong">
    <w:name w:val="Strong"/>
    <w:uiPriority w:val="22"/>
    <w:qFormat/>
    <w:rsid w:val="000811AE"/>
    <w:rPr>
      <w:b/>
      <w:bCs/>
    </w:rPr>
  </w:style>
  <w:style w:type="paragraph" w:styleId="Revision">
    <w:name w:val="Revision"/>
    <w:hidden/>
    <w:uiPriority w:val="99"/>
    <w:semiHidden/>
    <w:rsid w:val="00C059A1"/>
    <w:rPr>
      <w:lang w:eastAsia="en-US"/>
    </w:rPr>
  </w:style>
  <w:style w:type="character" w:styleId="Emphasis">
    <w:name w:val="Emphasis"/>
    <w:basedOn w:val="DefaultParagraphFont"/>
    <w:uiPriority w:val="20"/>
    <w:qFormat/>
    <w:rsid w:val="00EE692F"/>
    <w:rPr>
      <w:b/>
      <w:bCs/>
      <w:i w:val="0"/>
      <w:iCs w:val="0"/>
    </w:rPr>
  </w:style>
  <w:style w:type="character" w:customStyle="1" w:styleId="st1">
    <w:name w:val="st1"/>
    <w:basedOn w:val="DefaultParagraphFont"/>
    <w:rsid w:val="00EE692F"/>
  </w:style>
  <w:style w:type="character" w:customStyle="1" w:styleId="apple-converted-space">
    <w:name w:val="apple-converted-space"/>
    <w:basedOn w:val="DefaultParagraphFont"/>
    <w:rsid w:val="005A202C"/>
  </w:style>
  <w:style w:type="character" w:customStyle="1" w:styleId="ui--blog-link">
    <w:name w:val="ui--blog-link"/>
    <w:basedOn w:val="DefaultParagraphFont"/>
    <w:rsid w:val="00700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link w:val="CharChar1CharCharCharChar1CharCharCharCharCharCharCharCharCharCharCharCharCharCharCharChar"/>
    <w:uiPriority w:val="99"/>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uiPriority w:val="99"/>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uiPriority w:val="99"/>
    <w:rsid w:val="00E15742"/>
    <w:rPr>
      <w:rFonts w:eastAsia="SimSun"/>
      <w:sz w:val="18"/>
      <w:lang w:val="en-US" w:eastAsia="zh-CN"/>
    </w:rPr>
  </w:style>
  <w:style w:type="character" w:customStyle="1" w:styleId="HeaderChar">
    <w:name w:val="Header Char"/>
    <w:aliases w:val="6_G Char"/>
    <w:link w:val="Header"/>
    <w:uiPriority w:val="99"/>
    <w:rsid w:val="00AD4FE2"/>
    <w:rPr>
      <w:b/>
      <w:sz w:val="18"/>
      <w:lang w:eastAsia="en-US"/>
    </w:rPr>
  </w:style>
  <w:style w:type="paragraph" w:customStyle="1" w:styleId="Default">
    <w:name w:val="Default"/>
    <w:rsid w:val="00AD4FE2"/>
    <w:pPr>
      <w:autoSpaceDE w:val="0"/>
      <w:autoSpaceDN w:val="0"/>
      <w:adjustRightInd w:val="0"/>
    </w:pPr>
    <w:rPr>
      <w:color w:val="000000"/>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uiPriority w:val="99"/>
    <w:rsid w:val="00B61241"/>
    <w:rPr>
      <w:sz w:val="16"/>
      <w:szCs w:val="16"/>
    </w:rPr>
  </w:style>
  <w:style w:type="paragraph" w:styleId="CommentText">
    <w:name w:val="annotation text"/>
    <w:basedOn w:val="Normal"/>
    <w:link w:val="CommentTextChar"/>
    <w:uiPriority w:val="99"/>
    <w:rsid w:val="00B61241"/>
    <w:pPr>
      <w:spacing w:line="240" w:lineRule="auto"/>
    </w:pPr>
  </w:style>
  <w:style w:type="character" w:customStyle="1" w:styleId="CommentTextChar">
    <w:name w:val="Comment Text Char"/>
    <w:basedOn w:val="DefaultParagraphFont"/>
    <w:link w:val="CommentText"/>
    <w:uiPriority w:val="99"/>
    <w:rsid w:val="00B61241"/>
    <w:rPr>
      <w:lang w:eastAsia="en-US"/>
    </w:rPr>
  </w:style>
  <w:style w:type="paragraph" w:styleId="CommentSubject">
    <w:name w:val="annotation subject"/>
    <w:basedOn w:val="CommentText"/>
    <w:next w:val="CommentText"/>
    <w:link w:val="CommentSubjectChar"/>
    <w:rsid w:val="00B61241"/>
    <w:rPr>
      <w:b/>
      <w:bCs/>
    </w:rPr>
  </w:style>
  <w:style w:type="character" w:customStyle="1" w:styleId="CommentSubjectChar">
    <w:name w:val="Comment Subject Char"/>
    <w:basedOn w:val="CommentTextChar"/>
    <w:link w:val="CommentSubject"/>
    <w:rsid w:val="00B61241"/>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6A253F"/>
    <w:pPr>
      <w:suppressAutoHyphens w:val="0"/>
      <w:spacing w:after="160" w:line="240" w:lineRule="exact"/>
    </w:pPr>
    <w:rPr>
      <w:sz w:val="18"/>
      <w:vertAlign w:val="superscript"/>
      <w:lang w:eastAsia="en-GB"/>
    </w:rPr>
  </w:style>
  <w:style w:type="character" w:styleId="Strong">
    <w:name w:val="Strong"/>
    <w:uiPriority w:val="22"/>
    <w:qFormat/>
    <w:rsid w:val="000811AE"/>
    <w:rPr>
      <w:b/>
      <w:bCs/>
    </w:rPr>
  </w:style>
  <w:style w:type="paragraph" w:styleId="Revision">
    <w:name w:val="Revision"/>
    <w:hidden/>
    <w:uiPriority w:val="99"/>
    <w:semiHidden/>
    <w:rsid w:val="00C059A1"/>
    <w:rPr>
      <w:lang w:eastAsia="en-US"/>
    </w:rPr>
  </w:style>
  <w:style w:type="character" w:styleId="Emphasis">
    <w:name w:val="Emphasis"/>
    <w:basedOn w:val="DefaultParagraphFont"/>
    <w:uiPriority w:val="20"/>
    <w:qFormat/>
    <w:rsid w:val="00EE692F"/>
    <w:rPr>
      <w:b/>
      <w:bCs/>
      <w:i w:val="0"/>
      <w:iCs w:val="0"/>
    </w:rPr>
  </w:style>
  <w:style w:type="character" w:customStyle="1" w:styleId="st1">
    <w:name w:val="st1"/>
    <w:basedOn w:val="DefaultParagraphFont"/>
    <w:rsid w:val="00EE692F"/>
  </w:style>
  <w:style w:type="character" w:customStyle="1" w:styleId="apple-converted-space">
    <w:name w:val="apple-converted-space"/>
    <w:basedOn w:val="DefaultParagraphFont"/>
    <w:rsid w:val="005A202C"/>
  </w:style>
  <w:style w:type="character" w:customStyle="1" w:styleId="ui--blog-link">
    <w:name w:val="ui--blog-link"/>
    <w:basedOn w:val="DefaultParagraphFont"/>
    <w:rsid w:val="0070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43">
      <w:bodyDiv w:val="1"/>
      <w:marLeft w:val="0"/>
      <w:marRight w:val="0"/>
      <w:marTop w:val="0"/>
      <w:marBottom w:val="0"/>
      <w:divBdr>
        <w:top w:val="none" w:sz="0" w:space="0" w:color="auto"/>
        <w:left w:val="none" w:sz="0" w:space="0" w:color="auto"/>
        <w:bottom w:val="none" w:sz="0" w:space="0" w:color="auto"/>
        <w:right w:val="none" w:sz="0" w:space="0" w:color="auto"/>
      </w:divBdr>
    </w:div>
    <w:div w:id="926497882">
      <w:bodyDiv w:val="1"/>
      <w:marLeft w:val="0"/>
      <w:marRight w:val="0"/>
      <w:marTop w:val="0"/>
      <w:marBottom w:val="0"/>
      <w:divBdr>
        <w:top w:val="none" w:sz="0" w:space="0" w:color="auto"/>
        <w:left w:val="none" w:sz="0" w:space="0" w:color="auto"/>
        <w:bottom w:val="none" w:sz="0" w:space="0" w:color="auto"/>
        <w:right w:val="none" w:sz="0" w:space="0" w:color="auto"/>
      </w:divBdr>
    </w:div>
    <w:div w:id="1041443209">
      <w:bodyDiv w:val="1"/>
      <w:marLeft w:val="0"/>
      <w:marRight w:val="0"/>
      <w:marTop w:val="0"/>
      <w:marBottom w:val="0"/>
      <w:divBdr>
        <w:top w:val="none" w:sz="0" w:space="0" w:color="auto"/>
        <w:left w:val="none" w:sz="0" w:space="0" w:color="auto"/>
        <w:bottom w:val="none" w:sz="0" w:space="0" w:color="auto"/>
        <w:right w:val="none" w:sz="0" w:space="0" w:color="auto"/>
      </w:divBdr>
    </w:div>
    <w:div w:id="1535381132">
      <w:bodyDiv w:val="1"/>
      <w:marLeft w:val="0"/>
      <w:marRight w:val="0"/>
      <w:marTop w:val="0"/>
      <w:marBottom w:val="0"/>
      <w:divBdr>
        <w:top w:val="none" w:sz="0" w:space="0" w:color="auto"/>
        <w:left w:val="none" w:sz="0" w:space="0" w:color="auto"/>
        <w:bottom w:val="none" w:sz="0" w:space="0" w:color="auto"/>
        <w:right w:val="none" w:sz="0" w:space="0" w:color="auto"/>
      </w:divBdr>
      <w:divsChild>
        <w:div w:id="1183591529">
          <w:marLeft w:val="0"/>
          <w:marRight w:val="0"/>
          <w:marTop w:val="0"/>
          <w:marBottom w:val="0"/>
          <w:divBdr>
            <w:top w:val="none" w:sz="0" w:space="0" w:color="auto"/>
            <w:left w:val="none" w:sz="0" w:space="0" w:color="auto"/>
            <w:bottom w:val="none" w:sz="0" w:space="0" w:color="auto"/>
            <w:right w:val="none" w:sz="0" w:space="0" w:color="auto"/>
          </w:divBdr>
          <w:divsChild>
            <w:div w:id="2079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sChild>
        <w:div w:id="1289429522">
          <w:marLeft w:val="0"/>
          <w:marRight w:val="0"/>
          <w:marTop w:val="0"/>
          <w:marBottom w:val="0"/>
          <w:divBdr>
            <w:top w:val="none" w:sz="0" w:space="0" w:color="auto"/>
            <w:left w:val="none" w:sz="0" w:space="0" w:color="auto"/>
            <w:bottom w:val="none" w:sz="0" w:space="0" w:color="auto"/>
            <w:right w:val="none" w:sz="0" w:space="0" w:color="auto"/>
          </w:divBdr>
        </w:div>
        <w:div w:id="259678544">
          <w:marLeft w:val="0"/>
          <w:marRight w:val="0"/>
          <w:marTop w:val="0"/>
          <w:marBottom w:val="0"/>
          <w:divBdr>
            <w:top w:val="none" w:sz="0" w:space="0" w:color="auto"/>
            <w:left w:val="none" w:sz="0" w:space="0" w:color="auto"/>
            <w:bottom w:val="none" w:sz="0" w:space="0" w:color="auto"/>
            <w:right w:val="none" w:sz="0" w:space="0" w:color="auto"/>
          </w:divBdr>
        </w:div>
        <w:div w:id="1710841433">
          <w:marLeft w:val="0"/>
          <w:marRight w:val="0"/>
          <w:marTop w:val="0"/>
          <w:marBottom w:val="0"/>
          <w:divBdr>
            <w:top w:val="none" w:sz="0" w:space="0" w:color="auto"/>
            <w:left w:val="none" w:sz="0" w:space="0" w:color="auto"/>
            <w:bottom w:val="none" w:sz="0" w:space="0" w:color="auto"/>
            <w:right w:val="none" w:sz="0" w:space="0" w:color="auto"/>
          </w:divBdr>
        </w:div>
        <w:div w:id="234554571">
          <w:marLeft w:val="0"/>
          <w:marRight w:val="0"/>
          <w:marTop w:val="0"/>
          <w:marBottom w:val="0"/>
          <w:divBdr>
            <w:top w:val="none" w:sz="0" w:space="0" w:color="auto"/>
            <w:left w:val="none" w:sz="0" w:space="0" w:color="auto"/>
            <w:bottom w:val="none" w:sz="0" w:space="0" w:color="auto"/>
            <w:right w:val="none" w:sz="0" w:space="0" w:color="auto"/>
          </w:divBdr>
        </w:div>
        <w:div w:id="1708528239">
          <w:marLeft w:val="0"/>
          <w:marRight w:val="0"/>
          <w:marTop w:val="0"/>
          <w:marBottom w:val="0"/>
          <w:divBdr>
            <w:top w:val="none" w:sz="0" w:space="0" w:color="auto"/>
            <w:left w:val="none" w:sz="0" w:space="0" w:color="auto"/>
            <w:bottom w:val="none" w:sz="0" w:space="0" w:color="auto"/>
            <w:right w:val="none" w:sz="0" w:space="0" w:color="auto"/>
          </w:divBdr>
        </w:div>
        <w:div w:id="1155874901">
          <w:marLeft w:val="0"/>
          <w:marRight w:val="0"/>
          <w:marTop w:val="0"/>
          <w:marBottom w:val="0"/>
          <w:divBdr>
            <w:top w:val="none" w:sz="0" w:space="0" w:color="auto"/>
            <w:left w:val="none" w:sz="0" w:space="0" w:color="auto"/>
            <w:bottom w:val="none" w:sz="0" w:space="0" w:color="auto"/>
            <w:right w:val="none" w:sz="0" w:space="0" w:color="auto"/>
          </w:divBdr>
        </w:div>
        <w:div w:id="353926548">
          <w:marLeft w:val="0"/>
          <w:marRight w:val="0"/>
          <w:marTop w:val="0"/>
          <w:marBottom w:val="0"/>
          <w:divBdr>
            <w:top w:val="none" w:sz="0" w:space="0" w:color="auto"/>
            <w:left w:val="none" w:sz="0" w:space="0" w:color="auto"/>
            <w:bottom w:val="none" w:sz="0" w:space="0" w:color="auto"/>
            <w:right w:val="none" w:sz="0" w:space="0" w:color="auto"/>
          </w:divBdr>
        </w:div>
        <w:div w:id="1060666311">
          <w:marLeft w:val="0"/>
          <w:marRight w:val="0"/>
          <w:marTop w:val="0"/>
          <w:marBottom w:val="0"/>
          <w:divBdr>
            <w:top w:val="none" w:sz="0" w:space="0" w:color="auto"/>
            <w:left w:val="none" w:sz="0" w:space="0" w:color="auto"/>
            <w:bottom w:val="none" w:sz="0" w:space="0" w:color="auto"/>
            <w:right w:val="none" w:sz="0" w:space="0" w:color="auto"/>
          </w:divBdr>
        </w:div>
        <w:div w:id="1010378722">
          <w:marLeft w:val="0"/>
          <w:marRight w:val="0"/>
          <w:marTop w:val="0"/>
          <w:marBottom w:val="0"/>
          <w:divBdr>
            <w:top w:val="none" w:sz="0" w:space="0" w:color="auto"/>
            <w:left w:val="none" w:sz="0" w:space="0" w:color="auto"/>
            <w:bottom w:val="none" w:sz="0" w:space="0" w:color="auto"/>
            <w:right w:val="none" w:sz="0" w:space="0" w:color="auto"/>
          </w:divBdr>
        </w:div>
        <w:div w:id="416705958">
          <w:marLeft w:val="0"/>
          <w:marRight w:val="0"/>
          <w:marTop w:val="0"/>
          <w:marBottom w:val="0"/>
          <w:divBdr>
            <w:top w:val="none" w:sz="0" w:space="0" w:color="auto"/>
            <w:left w:val="none" w:sz="0" w:space="0" w:color="auto"/>
            <w:bottom w:val="none" w:sz="0" w:space="0" w:color="auto"/>
            <w:right w:val="none" w:sz="0" w:space="0" w:color="auto"/>
          </w:divBdr>
        </w:div>
        <w:div w:id="694042588">
          <w:marLeft w:val="0"/>
          <w:marRight w:val="0"/>
          <w:marTop w:val="0"/>
          <w:marBottom w:val="0"/>
          <w:divBdr>
            <w:top w:val="none" w:sz="0" w:space="0" w:color="auto"/>
            <w:left w:val="none" w:sz="0" w:space="0" w:color="auto"/>
            <w:bottom w:val="none" w:sz="0" w:space="0" w:color="auto"/>
            <w:right w:val="none" w:sz="0" w:space="0" w:color="auto"/>
          </w:divBdr>
        </w:div>
        <w:div w:id="143671070">
          <w:marLeft w:val="0"/>
          <w:marRight w:val="0"/>
          <w:marTop w:val="0"/>
          <w:marBottom w:val="0"/>
          <w:divBdr>
            <w:top w:val="none" w:sz="0" w:space="0" w:color="auto"/>
            <w:left w:val="none" w:sz="0" w:space="0" w:color="auto"/>
            <w:bottom w:val="none" w:sz="0" w:space="0" w:color="auto"/>
            <w:right w:val="none" w:sz="0" w:space="0" w:color="auto"/>
          </w:divBdr>
        </w:div>
        <w:div w:id="230426172">
          <w:marLeft w:val="0"/>
          <w:marRight w:val="0"/>
          <w:marTop w:val="0"/>
          <w:marBottom w:val="0"/>
          <w:divBdr>
            <w:top w:val="none" w:sz="0" w:space="0" w:color="auto"/>
            <w:left w:val="none" w:sz="0" w:space="0" w:color="auto"/>
            <w:bottom w:val="none" w:sz="0" w:space="0" w:color="auto"/>
            <w:right w:val="none" w:sz="0" w:space="0" w:color="auto"/>
          </w:divBdr>
        </w:div>
        <w:div w:id="623075338">
          <w:marLeft w:val="0"/>
          <w:marRight w:val="0"/>
          <w:marTop w:val="0"/>
          <w:marBottom w:val="0"/>
          <w:divBdr>
            <w:top w:val="none" w:sz="0" w:space="0" w:color="auto"/>
            <w:left w:val="none" w:sz="0" w:space="0" w:color="auto"/>
            <w:bottom w:val="none" w:sz="0" w:space="0" w:color="auto"/>
            <w:right w:val="none" w:sz="0" w:space="0" w:color="auto"/>
          </w:divBdr>
        </w:div>
        <w:div w:id="2135638938">
          <w:marLeft w:val="0"/>
          <w:marRight w:val="0"/>
          <w:marTop w:val="0"/>
          <w:marBottom w:val="0"/>
          <w:divBdr>
            <w:top w:val="none" w:sz="0" w:space="0" w:color="auto"/>
            <w:left w:val="none" w:sz="0" w:space="0" w:color="auto"/>
            <w:bottom w:val="none" w:sz="0" w:space="0" w:color="auto"/>
            <w:right w:val="none" w:sz="0" w:space="0" w:color="auto"/>
          </w:divBdr>
        </w:div>
        <w:div w:id="1965112325">
          <w:marLeft w:val="0"/>
          <w:marRight w:val="0"/>
          <w:marTop w:val="0"/>
          <w:marBottom w:val="0"/>
          <w:divBdr>
            <w:top w:val="none" w:sz="0" w:space="0" w:color="auto"/>
            <w:left w:val="none" w:sz="0" w:space="0" w:color="auto"/>
            <w:bottom w:val="none" w:sz="0" w:space="0" w:color="auto"/>
            <w:right w:val="none" w:sz="0" w:space="0" w:color="auto"/>
          </w:divBdr>
        </w:div>
        <w:div w:id="582498109">
          <w:marLeft w:val="0"/>
          <w:marRight w:val="0"/>
          <w:marTop w:val="0"/>
          <w:marBottom w:val="0"/>
          <w:divBdr>
            <w:top w:val="none" w:sz="0" w:space="0" w:color="auto"/>
            <w:left w:val="none" w:sz="0" w:space="0" w:color="auto"/>
            <w:bottom w:val="none" w:sz="0" w:space="0" w:color="auto"/>
            <w:right w:val="none" w:sz="0" w:space="0" w:color="auto"/>
          </w:divBdr>
        </w:div>
        <w:div w:id="648291610">
          <w:marLeft w:val="0"/>
          <w:marRight w:val="0"/>
          <w:marTop w:val="0"/>
          <w:marBottom w:val="0"/>
          <w:divBdr>
            <w:top w:val="none" w:sz="0" w:space="0" w:color="auto"/>
            <w:left w:val="none" w:sz="0" w:space="0" w:color="auto"/>
            <w:bottom w:val="none" w:sz="0" w:space="0" w:color="auto"/>
            <w:right w:val="none" w:sz="0" w:space="0" w:color="auto"/>
          </w:divBdr>
        </w:div>
        <w:div w:id="1761561807">
          <w:marLeft w:val="0"/>
          <w:marRight w:val="0"/>
          <w:marTop w:val="0"/>
          <w:marBottom w:val="0"/>
          <w:divBdr>
            <w:top w:val="none" w:sz="0" w:space="0" w:color="auto"/>
            <w:left w:val="none" w:sz="0" w:space="0" w:color="auto"/>
            <w:bottom w:val="none" w:sz="0" w:space="0" w:color="auto"/>
            <w:right w:val="none" w:sz="0" w:space="0" w:color="auto"/>
          </w:divBdr>
        </w:div>
        <w:div w:id="1383142134">
          <w:marLeft w:val="0"/>
          <w:marRight w:val="0"/>
          <w:marTop w:val="0"/>
          <w:marBottom w:val="0"/>
          <w:divBdr>
            <w:top w:val="none" w:sz="0" w:space="0" w:color="auto"/>
            <w:left w:val="none" w:sz="0" w:space="0" w:color="auto"/>
            <w:bottom w:val="none" w:sz="0" w:space="0" w:color="auto"/>
            <w:right w:val="none" w:sz="0" w:space="0" w:color="auto"/>
          </w:divBdr>
        </w:div>
        <w:div w:id="1966231198">
          <w:marLeft w:val="0"/>
          <w:marRight w:val="0"/>
          <w:marTop w:val="0"/>
          <w:marBottom w:val="0"/>
          <w:divBdr>
            <w:top w:val="none" w:sz="0" w:space="0" w:color="auto"/>
            <w:left w:val="none" w:sz="0" w:space="0" w:color="auto"/>
            <w:bottom w:val="none" w:sz="0" w:space="0" w:color="auto"/>
            <w:right w:val="none" w:sz="0" w:space="0" w:color="auto"/>
          </w:divBdr>
        </w:div>
        <w:div w:id="349569490">
          <w:marLeft w:val="0"/>
          <w:marRight w:val="0"/>
          <w:marTop w:val="0"/>
          <w:marBottom w:val="0"/>
          <w:divBdr>
            <w:top w:val="none" w:sz="0" w:space="0" w:color="auto"/>
            <w:left w:val="none" w:sz="0" w:space="0" w:color="auto"/>
            <w:bottom w:val="none" w:sz="0" w:space="0" w:color="auto"/>
            <w:right w:val="none" w:sz="0" w:space="0" w:color="auto"/>
          </w:divBdr>
        </w:div>
        <w:div w:id="1254895196">
          <w:marLeft w:val="0"/>
          <w:marRight w:val="0"/>
          <w:marTop w:val="0"/>
          <w:marBottom w:val="0"/>
          <w:divBdr>
            <w:top w:val="none" w:sz="0" w:space="0" w:color="auto"/>
            <w:left w:val="none" w:sz="0" w:space="0" w:color="auto"/>
            <w:bottom w:val="none" w:sz="0" w:space="0" w:color="auto"/>
            <w:right w:val="none" w:sz="0" w:space="0" w:color="auto"/>
          </w:divBdr>
        </w:div>
        <w:div w:id="444235202">
          <w:marLeft w:val="0"/>
          <w:marRight w:val="0"/>
          <w:marTop w:val="0"/>
          <w:marBottom w:val="0"/>
          <w:divBdr>
            <w:top w:val="none" w:sz="0" w:space="0" w:color="auto"/>
            <w:left w:val="none" w:sz="0" w:space="0" w:color="auto"/>
            <w:bottom w:val="none" w:sz="0" w:space="0" w:color="auto"/>
            <w:right w:val="none" w:sz="0" w:space="0" w:color="auto"/>
          </w:divBdr>
        </w:div>
        <w:div w:id="825053319">
          <w:marLeft w:val="0"/>
          <w:marRight w:val="0"/>
          <w:marTop w:val="0"/>
          <w:marBottom w:val="0"/>
          <w:divBdr>
            <w:top w:val="none" w:sz="0" w:space="0" w:color="auto"/>
            <w:left w:val="none" w:sz="0" w:space="0" w:color="auto"/>
            <w:bottom w:val="none" w:sz="0" w:space="0" w:color="auto"/>
            <w:right w:val="none" w:sz="0" w:space="0" w:color="auto"/>
          </w:divBdr>
        </w:div>
        <w:div w:id="1939561337">
          <w:marLeft w:val="0"/>
          <w:marRight w:val="0"/>
          <w:marTop w:val="0"/>
          <w:marBottom w:val="0"/>
          <w:divBdr>
            <w:top w:val="none" w:sz="0" w:space="0" w:color="auto"/>
            <w:left w:val="none" w:sz="0" w:space="0" w:color="auto"/>
            <w:bottom w:val="none" w:sz="0" w:space="0" w:color="auto"/>
            <w:right w:val="none" w:sz="0" w:space="0" w:color="auto"/>
          </w:divBdr>
        </w:div>
        <w:div w:id="1713076540">
          <w:marLeft w:val="0"/>
          <w:marRight w:val="0"/>
          <w:marTop w:val="0"/>
          <w:marBottom w:val="0"/>
          <w:divBdr>
            <w:top w:val="none" w:sz="0" w:space="0" w:color="auto"/>
            <w:left w:val="none" w:sz="0" w:space="0" w:color="auto"/>
            <w:bottom w:val="none" w:sz="0" w:space="0" w:color="auto"/>
            <w:right w:val="none" w:sz="0" w:space="0" w:color="auto"/>
          </w:divBdr>
        </w:div>
        <w:div w:id="819150956">
          <w:marLeft w:val="0"/>
          <w:marRight w:val="0"/>
          <w:marTop w:val="0"/>
          <w:marBottom w:val="0"/>
          <w:divBdr>
            <w:top w:val="none" w:sz="0" w:space="0" w:color="auto"/>
            <w:left w:val="none" w:sz="0" w:space="0" w:color="auto"/>
            <w:bottom w:val="none" w:sz="0" w:space="0" w:color="auto"/>
            <w:right w:val="none" w:sz="0" w:space="0" w:color="auto"/>
          </w:divBdr>
        </w:div>
        <w:div w:id="2016876752">
          <w:marLeft w:val="0"/>
          <w:marRight w:val="0"/>
          <w:marTop w:val="0"/>
          <w:marBottom w:val="0"/>
          <w:divBdr>
            <w:top w:val="none" w:sz="0" w:space="0" w:color="auto"/>
            <w:left w:val="none" w:sz="0" w:space="0" w:color="auto"/>
            <w:bottom w:val="none" w:sz="0" w:space="0" w:color="auto"/>
            <w:right w:val="none" w:sz="0" w:space="0" w:color="auto"/>
          </w:divBdr>
        </w:div>
        <w:div w:id="2061391841">
          <w:marLeft w:val="0"/>
          <w:marRight w:val="0"/>
          <w:marTop w:val="0"/>
          <w:marBottom w:val="0"/>
          <w:divBdr>
            <w:top w:val="none" w:sz="0" w:space="0" w:color="auto"/>
            <w:left w:val="none" w:sz="0" w:space="0" w:color="auto"/>
            <w:bottom w:val="none" w:sz="0" w:space="0" w:color="auto"/>
            <w:right w:val="none" w:sz="0" w:space="0" w:color="auto"/>
          </w:divBdr>
        </w:div>
        <w:div w:id="2082949768">
          <w:marLeft w:val="0"/>
          <w:marRight w:val="0"/>
          <w:marTop w:val="0"/>
          <w:marBottom w:val="0"/>
          <w:divBdr>
            <w:top w:val="none" w:sz="0" w:space="0" w:color="auto"/>
            <w:left w:val="none" w:sz="0" w:space="0" w:color="auto"/>
            <w:bottom w:val="none" w:sz="0" w:space="0" w:color="auto"/>
            <w:right w:val="none" w:sz="0" w:space="0" w:color="auto"/>
          </w:divBdr>
        </w:div>
        <w:div w:id="1417171996">
          <w:marLeft w:val="0"/>
          <w:marRight w:val="0"/>
          <w:marTop w:val="0"/>
          <w:marBottom w:val="0"/>
          <w:divBdr>
            <w:top w:val="none" w:sz="0" w:space="0" w:color="auto"/>
            <w:left w:val="none" w:sz="0" w:space="0" w:color="auto"/>
            <w:bottom w:val="none" w:sz="0" w:space="0" w:color="auto"/>
            <w:right w:val="none" w:sz="0" w:space="0" w:color="auto"/>
          </w:divBdr>
        </w:div>
        <w:div w:id="1296714120">
          <w:marLeft w:val="0"/>
          <w:marRight w:val="0"/>
          <w:marTop w:val="0"/>
          <w:marBottom w:val="0"/>
          <w:divBdr>
            <w:top w:val="none" w:sz="0" w:space="0" w:color="auto"/>
            <w:left w:val="none" w:sz="0" w:space="0" w:color="auto"/>
            <w:bottom w:val="none" w:sz="0" w:space="0" w:color="auto"/>
            <w:right w:val="none" w:sz="0" w:space="0" w:color="auto"/>
          </w:divBdr>
        </w:div>
        <w:div w:id="38707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RU/NewsEvents/Pages/DisplayNews.aspx?NewsID=16269&amp;LangID=E" TargetMode="External"/><Relationship Id="rId1" Type="http://schemas.openxmlformats.org/officeDocument/2006/relationships/hyperlink" Target="http://www.btselem.org/administrative_detention/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859AE-A7CC-47BD-A7AD-5346DDC28786}"/>
</file>

<file path=customXml/itemProps2.xml><?xml version="1.0" encoding="utf-8"?>
<ds:datastoreItem xmlns:ds="http://schemas.openxmlformats.org/officeDocument/2006/customXml" ds:itemID="{7B2D7BD7-1C72-4E6D-8BE9-3AF7D576ADF6}"/>
</file>

<file path=customXml/itemProps3.xml><?xml version="1.0" encoding="utf-8"?>
<ds:datastoreItem xmlns:ds="http://schemas.openxmlformats.org/officeDocument/2006/customXml" ds:itemID="{82B15A0A-4100-4CD7-868E-82FEB5F7930F}"/>
</file>

<file path=customXml/itemProps4.xml><?xml version="1.0" encoding="utf-8"?>
<ds:datastoreItem xmlns:ds="http://schemas.openxmlformats.org/officeDocument/2006/customXml" ds:itemID="{FCF71000-0F5A-424C-9FD9-99E2D8C7F105}"/>
</file>

<file path=docProps/app.xml><?xml version="1.0" encoding="utf-8"?>
<Properties xmlns="http://schemas.openxmlformats.org/officeDocument/2006/extended-properties" xmlns:vt="http://schemas.openxmlformats.org/officeDocument/2006/docPropsVTypes">
  <Template>Normal.dotm</Template>
  <TotalTime>0</TotalTime>
  <Pages>17</Pages>
  <Words>6393</Words>
  <Characters>36446</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42754</CharactersWithSpaces>
  <SharedDoc>false</SharedDoc>
  <HyperlinkBase/>
  <HLinks>
    <vt:vector size="42" baseType="variant">
      <vt:variant>
        <vt:i4>6029332</vt:i4>
      </vt:variant>
      <vt:variant>
        <vt:i4>0</vt:i4>
      </vt:variant>
      <vt:variant>
        <vt:i4>0</vt:i4>
      </vt:variant>
      <vt:variant>
        <vt:i4>5</vt:i4>
      </vt:variant>
      <vt:variant>
        <vt:lpwstr>http://www.google.com/url?q=http://www.cogat.idf.il/894-en/Matpash.aspx&amp;sa=U&amp;ved=0CCwQFjABahUKEwjlqcPr1PvIAhUBRBoKHYo-Ckc&amp;sig2=Z5lDtukYAlWZWgOsFKvLug&amp;usg=AFQjCNEL7ePRaJ03vsrFbzuiyDFzwwNKYQ</vt:lpwstr>
      </vt:variant>
      <vt:variant>
        <vt:lpwstr/>
      </vt:variant>
      <vt:variant>
        <vt:i4>2097185</vt:i4>
      </vt:variant>
      <vt:variant>
        <vt:i4>18</vt:i4>
      </vt:variant>
      <vt:variant>
        <vt:i4>0</vt:i4>
      </vt:variant>
      <vt:variant>
        <vt:i4>5</vt:i4>
      </vt:variant>
      <vt:variant>
        <vt:lpwstr>http://www.btselem.org/workers</vt:lpwstr>
      </vt:variant>
      <vt:variant>
        <vt:lpwstr/>
      </vt:variant>
      <vt:variant>
        <vt:i4>3604601</vt:i4>
      </vt:variant>
      <vt:variant>
        <vt:i4>12</vt:i4>
      </vt:variant>
      <vt:variant>
        <vt:i4>0</vt:i4>
      </vt:variant>
      <vt:variant>
        <vt:i4>5</vt:i4>
      </vt:variant>
      <vt:variant>
        <vt:lpwstr>http://www.gisha.org/UserFiles/File/publications/students/students-2012-eng.pdf</vt:lpwstr>
      </vt:variant>
      <vt:variant>
        <vt:lpwstr/>
      </vt:variant>
      <vt:variant>
        <vt:i4>1835097</vt:i4>
      </vt:variant>
      <vt:variant>
        <vt:i4>9</vt:i4>
      </vt:variant>
      <vt:variant>
        <vt:i4>0</vt:i4>
      </vt:variant>
      <vt:variant>
        <vt:i4>5</vt:i4>
      </vt:variant>
      <vt:variant>
        <vt:lpwstr>https://en.wikipedia.org/wiki/Israeli_Military_Governorate</vt:lpwstr>
      </vt:variant>
      <vt:variant>
        <vt:lpwstr/>
      </vt:variant>
      <vt:variant>
        <vt:i4>3145806</vt:i4>
      </vt:variant>
      <vt:variant>
        <vt:i4>6</vt:i4>
      </vt:variant>
      <vt:variant>
        <vt:i4>0</vt:i4>
      </vt:variant>
      <vt:variant>
        <vt:i4>5</vt:i4>
      </vt:variant>
      <vt:variant>
        <vt:lpwstr>https://en.wikipedia.org/wiki/West_Bank</vt:lpwstr>
      </vt:variant>
      <vt:variant>
        <vt:lpwstr/>
      </vt:variant>
      <vt:variant>
        <vt:i4>5439498</vt:i4>
      </vt:variant>
      <vt:variant>
        <vt:i4>3</vt:i4>
      </vt:variant>
      <vt:variant>
        <vt:i4>0</vt:i4>
      </vt:variant>
      <vt:variant>
        <vt:i4>5</vt:i4>
      </vt:variant>
      <vt:variant>
        <vt:lpwstr>https://en.wikipedia.org/wiki/Israel</vt:lpwstr>
      </vt:variant>
      <vt:variant>
        <vt:lpwstr/>
      </vt:variant>
      <vt:variant>
        <vt:i4>4849730</vt:i4>
      </vt:variant>
      <vt:variant>
        <vt:i4>0</vt:i4>
      </vt:variant>
      <vt:variant>
        <vt:i4>0</vt:i4>
      </vt:variant>
      <vt:variant>
        <vt:i4>5</vt:i4>
      </vt:variant>
      <vt:variant>
        <vt:lpwstr>http://gaza.ochaopt.org/2015/02/further-easing-of-criteria-and-quotas-for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Occupied Palestinian Territory, including East Jerusalem - Report of the Secretary-General in English</dc:title>
  <dc:creator>MENA</dc:creator>
  <cp:lastModifiedBy>Iuliia Somova</cp:lastModifiedBy>
  <cp:revision>2</cp:revision>
  <cp:lastPrinted>2017-02-06T11:02:00Z</cp:lastPrinted>
  <dcterms:created xsi:type="dcterms:W3CDTF">2017-03-16T12:46:00Z</dcterms:created>
  <dcterms:modified xsi:type="dcterms:W3CDTF">2017-03-16T12:46:00Z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