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00" w:rsidRDefault="00251F00" w:rsidP="00436883">
      <w:pPr>
        <w:jc w:val="center"/>
        <w:rPr>
          <w:b/>
          <w:sz w:val="26"/>
          <w:szCs w:val="26"/>
          <w:lang w:val="en-GB"/>
        </w:rPr>
      </w:pPr>
      <w:r>
        <w:rPr>
          <w:b/>
          <w:sz w:val="26"/>
          <w:szCs w:val="26"/>
          <w:lang w:val="en-GB"/>
        </w:rPr>
        <w:t>22 October 2019, 3pm</w:t>
      </w:r>
    </w:p>
    <w:p w:rsidR="00251F00" w:rsidRDefault="00251F00" w:rsidP="00436883">
      <w:pPr>
        <w:jc w:val="center"/>
        <w:rPr>
          <w:b/>
          <w:sz w:val="26"/>
          <w:szCs w:val="26"/>
          <w:lang w:val="en-GB"/>
        </w:rPr>
      </w:pPr>
      <w:r>
        <w:rPr>
          <w:b/>
          <w:sz w:val="26"/>
          <w:szCs w:val="26"/>
          <w:lang w:val="en-GB"/>
        </w:rPr>
        <w:t>PANEL 4</w:t>
      </w:r>
      <w:bookmarkStart w:id="0" w:name="_GoBack"/>
      <w:bookmarkEnd w:id="0"/>
    </w:p>
    <w:p w:rsidR="00251F00" w:rsidRDefault="00251F00" w:rsidP="00436883">
      <w:pPr>
        <w:jc w:val="center"/>
        <w:rPr>
          <w:b/>
          <w:sz w:val="26"/>
          <w:szCs w:val="26"/>
          <w:lang w:val="en-GB"/>
        </w:rPr>
      </w:pPr>
      <w:r>
        <w:rPr>
          <w:b/>
          <w:sz w:val="26"/>
          <w:szCs w:val="26"/>
          <w:lang w:val="en-GB"/>
        </w:rPr>
        <w:t>Felix NDAHINDA</w:t>
      </w:r>
    </w:p>
    <w:p w:rsidR="00251F00" w:rsidRDefault="00251F00" w:rsidP="00436883">
      <w:pPr>
        <w:jc w:val="center"/>
        <w:rPr>
          <w:b/>
          <w:sz w:val="26"/>
          <w:szCs w:val="26"/>
          <w:lang w:val="en-GB"/>
        </w:rPr>
      </w:pPr>
    </w:p>
    <w:p w:rsidR="00060BE3" w:rsidRPr="00CD400E" w:rsidRDefault="002E7E98" w:rsidP="00436883">
      <w:pPr>
        <w:jc w:val="center"/>
        <w:rPr>
          <w:b/>
          <w:sz w:val="26"/>
          <w:szCs w:val="26"/>
          <w:lang w:val="en-GB"/>
        </w:rPr>
      </w:pPr>
      <w:r w:rsidRPr="00CD400E">
        <w:rPr>
          <w:b/>
          <w:sz w:val="26"/>
          <w:szCs w:val="26"/>
          <w:lang w:val="en-GB"/>
        </w:rPr>
        <w:t>Integrating Human Rights and Peacebuilding Approaches to</w:t>
      </w:r>
      <w:r w:rsidR="00060BE3" w:rsidRPr="00CD400E">
        <w:rPr>
          <w:b/>
          <w:sz w:val="26"/>
          <w:szCs w:val="26"/>
          <w:lang w:val="en-GB"/>
        </w:rPr>
        <w:t xml:space="preserve"> Combatting </w:t>
      </w:r>
      <w:r w:rsidR="00436883" w:rsidRPr="00CD400E">
        <w:rPr>
          <w:b/>
          <w:sz w:val="26"/>
          <w:szCs w:val="26"/>
          <w:lang w:val="en-GB"/>
        </w:rPr>
        <w:t xml:space="preserve">Structural </w:t>
      </w:r>
      <w:r w:rsidR="00060BE3" w:rsidRPr="00CD400E">
        <w:rPr>
          <w:b/>
          <w:sz w:val="26"/>
          <w:szCs w:val="26"/>
          <w:lang w:val="en-GB"/>
        </w:rPr>
        <w:t xml:space="preserve">Discrimination </w:t>
      </w:r>
      <w:r w:rsidR="005B4893" w:rsidRPr="00CD400E">
        <w:rPr>
          <w:b/>
          <w:sz w:val="26"/>
          <w:szCs w:val="26"/>
          <w:lang w:val="en-GB"/>
        </w:rPr>
        <w:t>against</w:t>
      </w:r>
      <w:r w:rsidR="00060BE3" w:rsidRPr="00CD400E">
        <w:rPr>
          <w:b/>
          <w:sz w:val="26"/>
          <w:szCs w:val="26"/>
          <w:lang w:val="en-GB"/>
        </w:rPr>
        <w:t xml:space="preserve"> Indigenous Peoples in Africa</w:t>
      </w:r>
    </w:p>
    <w:p w:rsidR="003471FC" w:rsidRPr="00C723C8" w:rsidRDefault="00D2116C" w:rsidP="003471FC">
      <w:pPr>
        <w:jc w:val="both"/>
        <w:rPr>
          <w:lang w:val="en-GB"/>
        </w:rPr>
      </w:pPr>
      <w:r w:rsidRPr="00C723C8">
        <w:rPr>
          <w:lang w:val="en-GB"/>
        </w:rPr>
        <w:t>My presentation will focus on structural discrimination and marginalization of indigenous peoples on the African continent and</w:t>
      </w:r>
      <w:r w:rsidR="002D7B24" w:rsidRPr="00C723C8">
        <w:rPr>
          <w:lang w:val="en-GB"/>
        </w:rPr>
        <w:t>,</w:t>
      </w:r>
      <w:r w:rsidRPr="00C723C8">
        <w:rPr>
          <w:lang w:val="en-GB"/>
        </w:rPr>
        <w:t xml:space="preserve"> based on existing research, </w:t>
      </w:r>
      <w:r w:rsidR="002D7B24" w:rsidRPr="00C723C8">
        <w:rPr>
          <w:lang w:val="en-GB"/>
        </w:rPr>
        <w:t xml:space="preserve">it will discuss the steps that should be taken to </w:t>
      </w:r>
      <w:r w:rsidR="008C2623" w:rsidRPr="00C723C8">
        <w:rPr>
          <w:lang w:val="en-GB"/>
        </w:rPr>
        <w:t xml:space="preserve">vindicate </w:t>
      </w:r>
      <w:r w:rsidR="008C2623" w:rsidRPr="008C2623">
        <w:rPr>
          <w:lang w:val="en-GB"/>
        </w:rPr>
        <w:t xml:space="preserve">their </w:t>
      </w:r>
      <w:r w:rsidR="008C2623" w:rsidRPr="00C723C8">
        <w:rPr>
          <w:lang w:val="en-GB"/>
        </w:rPr>
        <w:t xml:space="preserve">rights and </w:t>
      </w:r>
      <w:r w:rsidR="002D7B24" w:rsidRPr="00C723C8">
        <w:rPr>
          <w:lang w:val="en-GB"/>
        </w:rPr>
        <w:t>empower these communities</w:t>
      </w:r>
      <w:r w:rsidR="008C2623" w:rsidRPr="00C723C8">
        <w:rPr>
          <w:lang w:val="en-GB"/>
        </w:rPr>
        <w:t xml:space="preserve">. </w:t>
      </w:r>
      <w:r w:rsidR="003335D2" w:rsidRPr="00C723C8">
        <w:rPr>
          <w:lang w:val="en-GB"/>
        </w:rPr>
        <w:t xml:space="preserve">It is </w:t>
      </w:r>
      <w:r w:rsidR="00F278A4" w:rsidRPr="00C723C8">
        <w:rPr>
          <w:lang w:val="en-GB"/>
        </w:rPr>
        <w:t xml:space="preserve">mainly </w:t>
      </w:r>
      <w:r w:rsidR="003335D2" w:rsidRPr="00C723C8">
        <w:rPr>
          <w:lang w:val="en-GB"/>
        </w:rPr>
        <w:t>informed by</w:t>
      </w:r>
      <w:r w:rsidR="00F278A4" w:rsidRPr="00C723C8">
        <w:rPr>
          <w:lang w:val="en-GB"/>
        </w:rPr>
        <w:t xml:space="preserve"> personal research conducted on the subject-matter over the last 14 years.</w:t>
      </w:r>
      <w:r w:rsidR="00F278A4" w:rsidRPr="00C723C8">
        <w:rPr>
          <w:rStyle w:val="FootnoteReference"/>
          <w:lang w:val="en-GB"/>
        </w:rPr>
        <w:footnoteReference w:id="1"/>
      </w:r>
      <w:r w:rsidR="00F278A4" w:rsidRPr="00C723C8">
        <w:rPr>
          <w:lang w:val="en-GB"/>
        </w:rPr>
        <w:t xml:space="preserve"> Obviously, personal research builds on and integrate</w:t>
      </w:r>
      <w:r w:rsidR="003335D2" w:rsidRPr="00C723C8">
        <w:rPr>
          <w:lang w:val="en-GB"/>
        </w:rPr>
        <w:t>s</w:t>
      </w:r>
      <w:r w:rsidR="00F278A4" w:rsidRPr="00C723C8">
        <w:rPr>
          <w:lang w:val="en-GB"/>
        </w:rPr>
        <w:t xml:space="preserve"> relevant insights from other individuals or institutions</w:t>
      </w:r>
      <w:r w:rsidR="008C2623">
        <w:rPr>
          <w:lang w:val="en-GB"/>
        </w:rPr>
        <w:t>, including relevant UN documentation on the subject-matter</w:t>
      </w:r>
      <w:r w:rsidR="00F278A4" w:rsidRPr="00C723C8">
        <w:rPr>
          <w:lang w:val="en-GB"/>
        </w:rPr>
        <w:t xml:space="preserve">. The presentation is articulated around four </w:t>
      </w:r>
      <w:r w:rsidR="003335D2" w:rsidRPr="00C723C8">
        <w:rPr>
          <w:lang w:val="en-GB"/>
        </w:rPr>
        <w:t>main points:</w:t>
      </w:r>
      <w:r w:rsidR="008C2623">
        <w:rPr>
          <w:lang w:val="en-GB"/>
        </w:rPr>
        <w:t xml:space="preserve"> </w:t>
      </w:r>
    </w:p>
    <w:p w:rsidR="003335D2" w:rsidRPr="00C723C8" w:rsidRDefault="003335D2" w:rsidP="003335D2">
      <w:pPr>
        <w:pStyle w:val="ListParagraph"/>
        <w:numPr>
          <w:ilvl w:val="0"/>
          <w:numId w:val="2"/>
        </w:numPr>
        <w:jc w:val="both"/>
        <w:rPr>
          <w:i/>
          <w:lang w:val="en-GB"/>
        </w:rPr>
      </w:pPr>
      <w:r w:rsidRPr="00C723C8">
        <w:rPr>
          <w:i/>
          <w:lang w:val="en-GB"/>
        </w:rPr>
        <w:t>The landscape of indigenous rights in Africa</w:t>
      </w:r>
    </w:p>
    <w:p w:rsidR="003335D2" w:rsidRPr="00C723C8" w:rsidRDefault="003335D2" w:rsidP="003335D2">
      <w:pPr>
        <w:pStyle w:val="ListParagraph"/>
        <w:numPr>
          <w:ilvl w:val="0"/>
          <w:numId w:val="2"/>
        </w:numPr>
        <w:jc w:val="both"/>
        <w:rPr>
          <w:i/>
          <w:lang w:val="en-GB"/>
        </w:rPr>
      </w:pPr>
      <w:r w:rsidRPr="00C723C8">
        <w:rPr>
          <w:i/>
          <w:lang w:val="en-GB"/>
        </w:rPr>
        <w:t>Contestations around indigenous rights</w:t>
      </w:r>
    </w:p>
    <w:p w:rsidR="003335D2" w:rsidRPr="00C723C8" w:rsidRDefault="003335D2" w:rsidP="003335D2">
      <w:pPr>
        <w:pStyle w:val="ListParagraph"/>
        <w:numPr>
          <w:ilvl w:val="0"/>
          <w:numId w:val="2"/>
        </w:numPr>
        <w:jc w:val="both"/>
        <w:rPr>
          <w:i/>
          <w:lang w:val="en-GB"/>
        </w:rPr>
      </w:pPr>
      <w:r w:rsidRPr="00C723C8">
        <w:rPr>
          <w:i/>
          <w:lang w:val="en-GB"/>
        </w:rPr>
        <w:t>Structural marginality</w:t>
      </w:r>
    </w:p>
    <w:p w:rsidR="003335D2" w:rsidRPr="00C723C8" w:rsidRDefault="003335D2" w:rsidP="003335D2">
      <w:pPr>
        <w:pStyle w:val="ListParagraph"/>
        <w:numPr>
          <w:ilvl w:val="0"/>
          <w:numId w:val="2"/>
        </w:numPr>
        <w:jc w:val="both"/>
        <w:rPr>
          <w:i/>
          <w:lang w:val="en-GB"/>
        </w:rPr>
      </w:pPr>
      <w:r w:rsidRPr="00C723C8">
        <w:rPr>
          <w:i/>
          <w:lang w:val="en-GB"/>
        </w:rPr>
        <w:t>Human rights and peacebuilding approach to empowerment</w:t>
      </w:r>
    </w:p>
    <w:p w:rsidR="003335D2" w:rsidRPr="00C723C8" w:rsidRDefault="003335D2" w:rsidP="003335D2">
      <w:pPr>
        <w:pStyle w:val="ListParagraph"/>
        <w:jc w:val="both"/>
        <w:rPr>
          <w:lang w:val="en-GB"/>
        </w:rPr>
      </w:pPr>
    </w:p>
    <w:p w:rsidR="003335D2" w:rsidRPr="00C723C8" w:rsidRDefault="003335D2" w:rsidP="003335D2">
      <w:pPr>
        <w:pStyle w:val="ListParagraph"/>
        <w:numPr>
          <w:ilvl w:val="0"/>
          <w:numId w:val="3"/>
        </w:numPr>
        <w:jc w:val="both"/>
        <w:rPr>
          <w:b/>
          <w:i/>
          <w:lang w:val="en-GB"/>
        </w:rPr>
      </w:pPr>
      <w:r w:rsidRPr="00C723C8">
        <w:rPr>
          <w:b/>
          <w:i/>
          <w:lang w:val="en-GB"/>
        </w:rPr>
        <w:t xml:space="preserve">The landscape of indigenous rights in Africa </w:t>
      </w:r>
    </w:p>
    <w:p w:rsidR="00546F6D" w:rsidRDefault="003471FC" w:rsidP="008226E7">
      <w:pPr>
        <w:jc w:val="both"/>
        <w:rPr>
          <w:lang w:val="en-GB"/>
        </w:rPr>
      </w:pPr>
      <w:r w:rsidRPr="00C723C8">
        <w:rPr>
          <w:lang w:val="en-GB"/>
        </w:rPr>
        <w:t xml:space="preserve">Since </w:t>
      </w:r>
      <w:r w:rsidR="002D7B24" w:rsidRPr="00C723C8">
        <w:rPr>
          <w:lang w:val="en-GB"/>
        </w:rPr>
        <w:t xml:space="preserve">the end of the </w:t>
      </w:r>
      <w:r w:rsidRPr="00C723C8">
        <w:rPr>
          <w:lang w:val="en-GB"/>
        </w:rPr>
        <w:t>198</w:t>
      </w:r>
      <w:r w:rsidR="002D7B24" w:rsidRPr="00C723C8">
        <w:rPr>
          <w:lang w:val="en-GB"/>
        </w:rPr>
        <w:t>0s</w:t>
      </w:r>
      <w:r w:rsidRPr="00C723C8">
        <w:rPr>
          <w:lang w:val="en-GB"/>
        </w:rPr>
        <w:t>, a growi</w:t>
      </w:r>
      <w:r w:rsidR="008C2623">
        <w:rPr>
          <w:lang w:val="en-GB"/>
        </w:rPr>
        <w:t xml:space="preserve">ng number of community representatives </w:t>
      </w:r>
      <w:r w:rsidRPr="00C723C8">
        <w:rPr>
          <w:lang w:val="en-GB"/>
        </w:rPr>
        <w:t xml:space="preserve">from across the African continent have joined other communities from around the world in networks </w:t>
      </w:r>
      <w:r w:rsidR="003335D2" w:rsidRPr="00C723C8">
        <w:rPr>
          <w:lang w:val="en-GB"/>
        </w:rPr>
        <w:t xml:space="preserve">and platforms </w:t>
      </w:r>
      <w:r w:rsidRPr="00C723C8">
        <w:rPr>
          <w:lang w:val="en-GB"/>
        </w:rPr>
        <w:t>of advocacy f</w:t>
      </w:r>
      <w:r w:rsidR="002D7B24" w:rsidRPr="00C723C8">
        <w:rPr>
          <w:lang w:val="en-GB"/>
        </w:rPr>
        <w:t xml:space="preserve">or recognition and protection of </w:t>
      </w:r>
      <w:r w:rsidR="00AD183F" w:rsidRPr="00C723C8">
        <w:rPr>
          <w:lang w:val="en-GB"/>
        </w:rPr>
        <w:t>their rights</w:t>
      </w:r>
      <w:r w:rsidR="002D7B24" w:rsidRPr="00C723C8">
        <w:rPr>
          <w:lang w:val="en-GB"/>
        </w:rPr>
        <w:t xml:space="preserve">. </w:t>
      </w:r>
      <w:r w:rsidR="00F278A4" w:rsidRPr="00C723C8">
        <w:rPr>
          <w:lang w:val="en-GB"/>
        </w:rPr>
        <w:t xml:space="preserve">It is widely documented that </w:t>
      </w:r>
      <w:r w:rsidR="003335D2" w:rsidRPr="00C723C8">
        <w:rPr>
          <w:lang w:val="en-GB"/>
        </w:rPr>
        <w:t xml:space="preserve">a large number of </w:t>
      </w:r>
      <w:r w:rsidR="005558B6" w:rsidRPr="00C723C8">
        <w:rPr>
          <w:lang w:val="en-GB"/>
        </w:rPr>
        <w:t xml:space="preserve">African </w:t>
      </w:r>
      <w:r w:rsidR="00F278A4" w:rsidRPr="00C723C8">
        <w:rPr>
          <w:lang w:val="en-GB"/>
        </w:rPr>
        <w:t>communities involved in the global indigenous movement</w:t>
      </w:r>
      <w:r w:rsidR="003335D2" w:rsidRPr="00C723C8">
        <w:rPr>
          <w:lang w:val="en-GB"/>
        </w:rPr>
        <w:t xml:space="preserve"> fall under the categories of current or former (1) hunter-gatherers or (</w:t>
      </w:r>
      <w:r w:rsidR="002D55A3" w:rsidRPr="00C723C8">
        <w:rPr>
          <w:lang w:val="en-GB"/>
        </w:rPr>
        <w:t xml:space="preserve">2) </w:t>
      </w:r>
      <w:r w:rsidR="003335D2" w:rsidRPr="00C723C8">
        <w:rPr>
          <w:lang w:val="en-GB"/>
        </w:rPr>
        <w:t>transhumant pastoralists</w:t>
      </w:r>
      <w:r w:rsidR="002D55A3" w:rsidRPr="00C723C8">
        <w:rPr>
          <w:lang w:val="en-GB"/>
        </w:rPr>
        <w:t xml:space="preserve">. </w:t>
      </w:r>
      <w:r w:rsidR="0096225C" w:rsidRPr="00C723C8">
        <w:rPr>
          <w:lang w:val="en-GB"/>
        </w:rPr>
        <w:t xml:space="preserve">Constant pressure on these traditional </w:t>
      </w:r>
      <w:r w:rsidR="002D55A3" w:rsidRPr="00C723C8">
        <w:rPr>
          <w:lang w:val="en-GB"/>
        </w:rPr>
        <w:t xml:space="preserve">modes of production that have historically sustained </w:t>
      </w:r>
      <w:r w:rsidR="0096225C" w:rsidRPr="00C723C8">
        <w:rPr>
          <w:lang w:val="en-GB"/>
        </w:rPr>
        <w:t>communities’ livelihoods</w:t>
      </w:r>
      <w:r w:rsidR="002D55A3" w:rsidRPr="00C723C8">
        <w:rPr>
          <w:lang w:val="en-GB"/>
        </w:rPr>
        <w:t xml:space="preserve"> </w:t>
      </w:r>
      <w:r w:rsidR="0096225C" w:rsidRPr="00C723C8">
        <w:rPr>
          <w:lang w:val="en-GB"/>
        </w:rPr>
        <w:t xml:space="preserve">– </w:t>
      </w:r>
      <w:r w:rsidR="002D55A3" w:rsidRPr="00C723C8">
        <w:rPr>
          <w:lang w:val="en-GB"/>
        </w:rPr>
        <w:t>through</w:t>
      </w:r>
      <w:r w:rsidR="0096225C" w:rsidRPr="00C723C8">
        <w:rPr>
          <w:lang w:val="en-GB"/>
        </w:rPr>
        <w:t>,</w:t>
      </w:r>
      <w:r w:rsidR="002D55A3" w:rsidRPr="00C723C8">
        <w:rPr>
          <w:lang w:val="en-GB"/>
        </w:rPr>
        <w:t xml:space="preserve"> </w:t>
      </w:r>
      <w:r w:rsidR="0096225C" w:rsidRPr="00C723C8">
        <w:rPr>
          <w:lang w:val="en-GB"/>
        </w:rPr>
        <w:t xml:space="preserve">among others, </w:t>
      </w:r>
      <w:r w:rsidR="002D55A3" w:rsidRPr="00C723C8">
        <w:rPr>
          <w:lang w:val="en-GB"/>
        </w:rPr>
        <w:t>deforestation, conservation or development policies, privatization of land and o</w:t>
      </w:r>
      <w:r w:rsidR="0096225C" w:rsidRPr="00C723C8">
        <w:rPr>
          <w:lang w:val="en-GB"/>
        </w:rPr>
        <w:t>ther resources</w:t>
      </w:r>
      <w:r w:rsidR="002D55A3" w:rsidRPr="00C723C8">
        <w:rPr>
          <w:lang w:val="en-GB"/>
        </w:rPr>
        <w:t xml:space="preserve"> </w:t>
      </w:r>
      <w:r w:rsidR="0096225C" w:rsidRPr="00C723C8">
        <w:rPr>
          <w:lang w:val="en-GB"/>
        </w:rPr>
        <w:t xml:space="preserve">- </w:t>
      </w:r>
      <w:r w:rsidR="00EB1A10" w:rsidRPr="00C723C8">
        <w:rPr>
          <w:lang w:val="en-GB"/>
        </w:rPr>
        <w:t xml:space="preserve">have </w:t>
      </w:r>
      <w:r w:rsidR="002D55A3" w:rsidRPr="00C723C8">
        <w:rPr>
          <w:lang w:val="en-GB"/>
        </w:rPr>
        <w:t>pushed these communities in the marg</w:t>
      </w:r>
      <w:r w:rsidR="008C2623">
        <w:rPr>
          <w:lang w:val="en-GB"/>
        </w:rPr>
        <w:t xml:space="preserve">ins of wider societies </w:t>
      </w:r>
      <w:r w:rsidR="002D55A3" w:rsidRPr="00C723C8">
        <w:rPr>
          <w:lang w:val="en-GB"/>
        </w:rPr>
        <w:t xml:space="preserve">where they live. </w:t>
      </w:r>
      <w:r w:rsidR="00EB1A10" w:rsidRPr="00C723C8">
        <w:rPr>
          <w:lang w:val="en-GB"/>
        </w:rPr>
        <w:t>Most indigenous communities currently live in very precar</w:t>
      </w:r>
      <w:r w:rsidR="008C2623">
        <w:rPr>
          <w:lang w:val="en-GB"/>
        </w:rPr>
        <w:t>ious conditions. There are commo</w:t>
      </w:r>
      <w:r w:rsidR="00EB1A10" w:rsidRPr="00C723C8">
        <w:rPr>
          <w:lang w:val="en-GB"/>
        </w:rPr>
        <w:t xml:space="preserve">nalities and differences in </w:t>
      </w:r>
      <w:r w:rsidR="00A03CF5" w:rsidRPr="00C723C8">
        <w:rPr>
          <w:lang w:val="en-GB"/>
        </w:rPr>
        <w:t xml:space="preserve">their </w:t>
      </w:r>
      <w:r w:rsidR="008C2623">
        <w:rPr>
          <w:lang w:val="en-GB"/>
        </w:rPr>
        <w:t xml:space="preserve">lived realities. Such realities </w:t>
      </w:r>
      <w:r w:rsidR="00A03CF5" w:rsidRPr="00C723C8">
        <w:rPr>
          <w:lang w:val="en-GB"/>
        </w:rPr>
        <w:t xml:space="preserve">are shaped by prevailing </w:t>
      </w:r>
      <w:r w:rsidR="00EB1A10" w:rsidRPr="00C723C8">
        <w:rPr>
          <w:lang w:val="en-GB"/>
        </w:rPr>
        <w:t xml:space="preserve">socio-political and economic </w:t>
      </w:r>
      <w:r w:rsidR="00A03CF5" w:rsidRPr="00C723C8">
        <w:rPr>
          <w:lang w:val="en-GB"/>
        </w:rPr>
        <w:t xml:space="preserve">structures </w:t>
      </w:r>
      <w:r w:rsidR="008C2623">
        <w:rPr>
          <w:lang w:val="en-GB"/>
        </w:rPr>
        <w:t xml:space="preserve">of broader </w:t>
      </w:r>
      <w:r w:rsidR="00A03CF5" w:rsidRPr="00C723C8">
        <w:rPr>
          <w:lang w:val="en-GB"/>
        </w:rPr>
        <w:t xml:space="preserve">societies where </w:t>
      </w:r>
      <w:r w:rsidR="008C2623">
        <w:rPr>
          <w:lang w:val="en-GB"/>
        </w:rPr>
        <w:t>indigenous peoples</w:t>
      </w:r>
      <w:r w:rsidR="00A03CF5" w:rsidRPr="00C723C8">
        <w:rPr>
          <w:lang w:val="en-GB"/>
        </w:rPr>
        <w:t xml:space="preserve"> live. Accordingly, it is important to stress that indigenous communities’ </w:t>
      </w:r>
      <w:r w:rsidR="00200824" w:rsidRPr="00C723C8">
        <w:rPr>
          <w:lang w:val="en-GB"/>
        </w:rPr>
        <w:t xml:space="preserve">structural </w:t>
      </w:r>
      <w:r w:rsidR="00A03CF5" w:rsidRPr="00C723C8">
        <w:rPr>
          <w:lang w:val="en-GB"/>
        </w:rPr>
        <w:t xml:space="preserve">discrimination and marginality should be </w:t>
      </w:r>
      <w:proofErr w:type="spellStart"/>
      <w:r w:rsidR="00200824" w:rsidRPr="00C723C8">
        <w:rPr>
          <w:lang w:val="en-GB"/>
        </w:rPr>
        <w:t>analyzed</w:t>
      </w:r>
      <w:proofErr w:type="spellEnd"/>
      <w:r w:rsidR="00200824" w:rsidRPr="00C723C8">
        <w:rPr>
          <w:lang w:val="en-GB"/>
        </w:rPr>
        <w:t xml:space="preserve"> as</w:t>
      </w:r>
      <w:r w:rsidR="00A03CF5" w:rsidRPr="00C723C8">
        <w:rPr>
          <w:lang w:val="en-GB"/>
        </w:rPr>
        <w:t xml:space="preserve"> contextual and relative. </w:t>
      </w:r>
    </w:p>
    <w:p w:rsidR="008226E7" w:rsidRPr="00C723C8" w:rsidRDefault="00957A19" w:rsidP="008226E7">
      <w:pPr>
        <w:jc w:val="both"/>
        <w:rPr>
          <w:lang w:val="en-GB"/>
        </w:rPr>
      </w:pPr>
      <w:r w:rsidRPr="00C723C8">
        <w:rPr>
          <w:lang w:val="en-GB"/>
        </w:rPr>
        <w:t>H</w:t>
      </w:r>
      <w:r w:rsidR="00200824" w:rsidRPr="00C723C8">
        <w:rPr>
          <w:lang w:val="en-GB"/>
        </w:rPr>
        <w:t xml:space="preserve">unter-gatherer communities such as the </w:t>
      </w:r>
      <w:proofErr w:type="spellStart"/>
      <w:r w:rsidR="00200824" w:rsidRPr="00C723C8">
        <w:rPr>
          <w:lang w:val="en-GB"/>
        </w:rPr>
        <w:t>Batwa</w:t>
      </w:r>
      <w:proofErr w:type="spellEnd"/>
      <w:r w:rsidR="00200824" w:rsidRPr="00C723C8">
        <w:rPr>
          <w:lang w:val="en-GB"/>
        </w:rPr>
        <w:t>/Pygmies of Central and Eastern Africa, the San-</w:t>
      </w:r>
      <w:proofErr w:type="spellStart"/>
      <w:r w:rsidR="00200824" w:rsidRPr="00C723C8">
        <w:rPr>
          <w:lang w:val="en-GB"/>
        </w:rPr>
        <w:t>Basarwa</w:t>
      </w:r>
      <w:proofErr w:type="spellEnd"/>
      <w:r w:rsidR="00200824" w:rsidRPr="00C723C8">
        <w:rPr>
          <w:lang w:val="en-GB"/>
        </w:rPr>
        <w:t xml:space="preserve"> of Southern Africa, among others, </w:t>
      </w:r>
      <w:r w:rsidRPr="00C723C8">
        <w:rPr>
          <w:lang w:val="en-GB"/>
        </w:rPr>
        <w:t>live in very precarious conditions</w:t>
      </w:r>
      <w:r w:rsidR="008226E7" w:rsidRPr="00C723C8">
        <w:rPr>
          <w:lang w:val="en-GB"/>
        </w:rPr>
        <w:t xml:space="preserve">, with a constant </w:t>
      </w:r>
      <w:r w:rsidRPr="00C723C8">
        <w:rPr>
          <w:lang w:val="en-GB"/>
        </w:rPr>
        <w:t xml:space="preserve">shrinking of </w:t>
      </w:r>
      <w:r w:rsidR="008226E7" w:rsidRPr="00C723C8">
        <w:rPr>
          <w:lang w:val="en-GB"/>
        </w:rPr>
        <w:t xml:space="preserve">their resource base. </w:t>
      </w:r>
      <w:r w:rsidR="005D77E4" w:rsidRPr="00C723C8">
        <w:rPr>
          <w:lang w:val="en-GB"/>
        </w:rPr>
        <w:t xml:space="preserve">They are often </w:t>
      </w:r>
      <w:r w:rsidR="00546F6D">
        <w:rPr>
          <w:lang w:val="en-GB"/>
        </w:rPr>
        <w:t xml:space="preserve">systematically </w:t>
      </w:r>
      <w:r w:rsidR="005D77E4" w:rsidRPr="00C723C8">
        <w:rPr>
          <w:lang w:val="en-GB"/>
        </w:rPr>
        <w:t>stigmatized and discriminated against on the basis of recei</w:t>
      </w:r>
      <w:r w:rsidR="00546F6D">
        <w:rPr>
          <w:lang w:val="en-GB"/>
        </w:rPr>
        <w:t>ved ideas about their backwardness or primitive lifestyles</w:t>
      </w:r>
      <w:r w:rsidR="005D77E4" w:rsidRPr="00C723C8">
        <w:rPr>
          <w:lang w:val="en-GB"/>
        </w:rPr>
        <w:t xml:space="preserve">. </w:t>
      </w:r>
      <w:r w:rsidR="008226E7" w:rsidRPr="00C723C8">
        <w:rPr>
          <w:lang w:val="en-GB"/>
        </w:rPr>
        <w:t xml:space="preserve">Studies on the </w:t>
      </w:r>
      <w:proofErr w:type="spellStart"/>
      <w:r w:rsidR="008226E7" w:rsidRPr="00C723C8">
        <w:rPr>
          <w:lang w:val="en-GB"/>
        </w:rPr>
        <w:t>Batwa</w:t>
      </w:r>
      <w:proofErr w:type="spellEnd"/>
      <w:r w:rsidR="008226E7" w:rsidRPr="00C723C8">
        <w:rPr>
          <w:lang w:val="en-GB"/>
        </w:rPr>
        <w:t xml:space="preserve"> of Burundi, Eastern Congo, Rwanda and Uganda show that many are landless and sustain their lives as day-</w:t>
      </w:r>
      <w:proofErr w:type="spellStart"/>
      <w:r w:rsidR="008226E7" w:rsidRPr="00C723C8">
        <w:rPr>
          <w:lang w:val="en-GB"/>
        </w:rPr>
        <w:t>laborers</w:t>
      </w:r>
      <w:proofErr w:type="spellEnd"/>
      <w:r w:rsidR="008226E7" w:rsidRPr="00C723C8">
        <w:rPr>
          <w:lang w:val="en-GB"/>
        </w:rPr>
        <w:t xml:space="preserve"> for members of other communities.</w:t>
      </w:r>
      <w:r w:rsidRPr="00C723C8">
        <w:rPr>
          <w:lang w:val="en-GB"/>
        </w:rPr>
        <w:t xml:space="preserve"> </w:t>
      </w:r>
      <w:r w:rsidR="008C2623">
        <w:rPr>
          <w:lang w:val="en-GB"/>
        </w:rPr>
        <w:t>Even more tragically, t</w:t>
      </w:r>
      <w:r w:rsidR="00546F6D">
        <w:rPr>
          <w:lang w:val="en-GB"/>
        </w:rPr>
        <w:t xml:space="preserve">here have been reports of </w:t>
      </w:r>
      <w:r w:rsidR="008C2623">
        <w:rPr>
          <w:lang w:val="en-GB"/>
        </w:rPr>
        <w:t xml:space="preserve">(quasi) </w:t>
      </w:r>
      <w:r w:rsidR="00546F6D">
        <w:rPr>
          <w:lang w:val="en-GB"/>
        </w:rPr>
        <w:lastRenderedPageBreak/>
        <w:t xml:space="preserve">enslavement of Pygmies in countries such as </w:t>
      </w:r>
      <w:r w:rsidR="00C12183">
        <w:rPr>
          <w:lang w:val="en-GB"/>
        </w:rPr>
        <w:t xml:space="preserve">CAR, Cameroon, R. Congo </w:t>
      </w:r>
      <w:r w:rsidR="00546F6D">
        <w:rPr>
          <w:lang w:val="en-GB"/>
        </w:rPr>
        <w:t>or the DRC.</w:t>
      </w:r>
      <w:r w:rsidR="00C12183">
        <w:rPr>
          <w:rStyle w:val="FootnoteReference"/>
          <w:lang w:val="en-GB"/>
        </w:rPr>
        <w:footnoteReference w:id="2"/>
      </w:r>
      <w:r w:rsidR="00546F6D">
        <w:rPr>
          <w:lang w:val="en-GB"/>
        </w:rPr>
        <w:t xml:space="preserve"> </w:t>
      </w:r>
      <w:r w:rsidR="008226E7" w:rsidRPr="00C723C8">
        <w:rPr>
          <w:lang w:val="en-GB"/>
        </w:rPr>
        <w:t>Members of pastoralists</w:t>
      </w:r>
      <w:r w:rsidR="00DB2434">
        <w:rPr>
          <w:lang w:val="en-GB"/>
        </w:rPr>
        <w:t xml:space="preserve"> communities</w:t>
      </w:r>
      <w:r w:rsidR="008226E7" w:rsidRPr="00C723C8">
        <w:rPr>
          <w:lang w:val="en-GB"/>
        </w:rPr>
        <w:t xml:space="preserve">, such as the </w:t>
      </w:r>
      <w:proofErr w:type="spellStart"/>
      <w:r w:rsidR="008226E7" w:rsidRPr="00C723C8">
        <w:rPr>
          <w:lang w:val="en-GB"/>
        </w:rPr>
        <w:t>Mbororo</w:t>
      </w:r>
      <w:proofErr w:type="spellEnd"/>
      <w:r w:rsidR="008226E7" w:rsidRPr="00C723C8">
        <w:rPr>
          <w:lang w:val="en-GB"/>
        </w:rPr>
        <w:t xml:space="preserve">, </w:t>
      </w:r>
      <w:proofErr w:type="spellStart"/>
      <w:r w:rsidR="008226E7" w:rsidRPr="00C723C8">
        <w:rPr>
          <w:lang w:val="en-GB"/>
        </w:rPr>
        <w:t>Maasai</w:t>
      </w:r>
      <w:proofErr w:type="spellEnd"/>
      <w:r w:rsidR="00DB2434">
        <w:rPr>
          <w:lang w:val="en-GB"/>
        </w:rPr>
        <w:t>,</w:t>
      </w:r>
      <w:r w:rsidR="008226E7" w:rsidRPr="00C723C8">
        <w:rPr>
          <w:lang w:val="en-GB"/>
        </w:rPr>
        <w:t xml:space="preserve"> Turkana </w:t>
      </w:r>
      <w:r w:rsidR="00DB2434">
        <w:rPr>
          <w:lang w:val="en-GB"/>
        </w:rPr>
        <w:t>or</w:t>
      </w:r>
      <w:r w:rsidR="008226E7" w:rsidRPr="00C723C8">
        <w:rPr>
          <w:lang w:val="en-GB"/>
        </w:rPr>
        <w:t xml:space="preserve"> </w:t>
      </w:r>
      <w:proofErr w:type="spellStart"/>
      <w:r w:rsidR="008226E7" w:rsidRPr="00C723C8">
        <w:rPr>
          <w:lang w:val="en-GB"/>
        </w:rPr>
        <w:t>Tuareg</w:t>
      </w:r>
      <w:proofErr w:type="spellEnd"/>
      <w:r w:rsidR="008226E7" w:rsidRPr="00C723C8">
        <w:rPr>
          <w:lang w:val="en-GB"/>
        </w:rPr>
        <w:t>/</w:t>
      </w:r>
      <w:proofErr w:type="spellStart"/>
      <w:r w:rsidR="008226E7" w:rsidRPr="00C723C8">
        <w:rPr>
          <w:lang w:val="en-GB"/>
        </w:rPr>
        <w:t>Imazighen</w:t>
      </w:r>
      <w:proofErr w:type="spellEnd"/>
      <w:r w:rsidR="008226E7" w:rsidRPr="00C723C8">
        <w:rPr>
          <w:lang w:val="en-GB"/>
        </w:rPr>
        <w:t xml:space="preserve"> are </w:t>
      </w:r>
      <w:r w:rsidR="001B3AC5">
        <w:rPr>
          <w:lang w:val="en-GB"/>
        </w:rPr>
        <w:t xml:space="preserve">also struggling to </w:t>
      </w:r>
      <w:r w:rsidR="008226E7" w:rsidRPr="00C723C8">
        <w:rPr>
          <w:lang w:val="en-GB"/>
        </w:rPr>
        <w:t xml:space="preserve">perpetuate their traditional transhumant lifestyles in contexts where multiple </w:t>
      </w:r>
      <w:r w:rsidR="00DB2434">
        <w:rPr>
          <w:lang w:val="en-GB"/>
        </w:rPr>
        <w:t xml:space="preserve">factors, including imposed </w:t>
      </w:r>
      <w:r w:rsidR="008226E7" w:rsidRPr="00C723C8">
        <w:rPr>
          <w:lang w:val="en-GB"/>
        </w:rPr>
        <w:t xml:space="preserve">boundaries </w:t>
      </w:r>
      <w:r w:rsidR="001B3AC5">
        <w:rPr>
          <w:lang w:val="en-GB"/>
        </w:rPr>
        <w:t xml:space="preserve">contribute to the </w:t>
      </w:r>
      <w:r w:rsidR="008226E7" w:rsidRPr="00C723C8">
        <w:rPr>
          <w:lang w:val="en-GB"/>
        </w:rPr>
        <w:t>shrink</w:t>
      </w:r>
      <w:r w:rsidR="001B3AC5">
        <w:rPr>
          <w:lang w:val="en-GB"/>
        </w:rPr>
        <w:t>ing of</w:t>
      </w:r>
      <w:r w:rsidR="008226E7" w:rsidRPr="00C723C8">
        <w:rPr>
          <w:lang w:val="en-GB"/>
        </w:rPr>
        <w:t xml:space="preserve"> previously enjoyed expansive spaces</w:t>
      </w:r>
      <w:r w:rsidR="001B3AC5">
        <w:rPr>
          <w:lang w:val="en-GB"/>
        </w:rPr>
        <w:t xml:space="preserve"> </w:t>
      </w:r>
      <w:r w:rsidR="00DB2434">
        <w:rPr>
          <w:lang w:val="en-GB"/>
        </w:rPr>
        <w:t xml:space="preserve">and </w:t>
      </w:r>
      <w:r w:rsidR="001B3AC5">
        <w:rPr>
          <w:lang w:val="en-GB"/>
        </w:rPr>
        <w:t>resources</w:t>
      </w:r>
      <w:r w:rsidR="008226E7" w:rsidRPr="00C723C8">
        <w:rPr>
          <w:lang w:val="en-GB"/>
        </w:rPr>
        <w:t>.</w:t>
      </w:r>
      <w:r w:rsidR="005558B6" w:rsidRPr="00C723C8">
        <w:rPr>
          <w:lang w:val="en-GB"/>
        </w:rPr>
        <w:t xml:space="preserve"> This focus on traditional lifestyles and modes of production in identification of indigenous peoples on the continent is contextually important in light of the fact that other criteria used to identify indigenous people – such as </w:t>
      </w:r>
      <w:r w:rsidR="005D77E4" w:rsidRPr="00C723C8">
        <w:rPr>
          <w:lang w:val="en-GB"/>
        </w:rPr>
        <w:t xml:space="preserve">aboriginality or cultural </w:t>
      </w:r>
      <w:r w:rsidR="005558B6" w:rsidRPr="00C723C8">
        <w:rPr>
          <w:lang w:val="en-GB"/>
        </w:rPr>
        <w:t xml:space="preserve">distinctiveness  </w:t>
      </w:r>
      <w:r w:rsidR="005D77E4" w:rsidRPr="00C723C8">
        <w:rPr>
          <w:lang w:val="en-GB"/>
        </w:rPr>
        <w:t xml:space="preserve">are rather contested with the African landscape </w:t>
      </w:r>
      <w:r w:rsidR="00F25D17">
        <w:rPr>
          <w:lang w:val="en-GB"/>
        </w:rPr>
        <w:t xml:space="preserve">characterized by </w:t>
      </w:r>
      <w:r w:rsidR="005D77E4" w:rsidRPr="00C723C8">
        <w:rPr>
          <w:lang w:val="en-GB"/>
        </w:rPr>
        <w:t xml:space="preserve">plural </w:t>
      </w:r>
      <w:r w:rsidR="00F25D17">
        <w:rPr>
          <w:lang w:val="en-GB"/>
        </w:rPr>
        <w:t xml:space="preserve">collective </w:t>
      </w:r>
      <w:r w:rsidR="005D77E4" w:rsidRPr="00C723C8">
        <w:rPr>
          <w:lang w:val="en-GB"/>
        </w:rPr>
        <w:t xml:space="preserve">identities and competing narratives on authentic belonging.  </w:t>
      </w:r>
    </w:p>
    <w:p w:rsidR="005D77E4" w:rsidRPr="00C723C8" w:rsidRDefault="005D77E4" w:rsidP="005D77E4">
      <w:pPr>
        <w:pStyle w:val="ListParagraph"/>
        <w:numPr>
          <w:ilvl w:val="0"/>
          <w:numId w:val="3"/>
        </w:numPr>
        <w:jc w:val="both"/>
        <w:rPr>
          <w:b/>
          <w:i/>
          <w:lang w:val="en-GB"/>
        </w:rPr>
      </w:pPr>
      <w:r w:rsidRPr="00C723C8">
        <w:rPr>
          <w:b/>
          <w:i/>
          <w:lang w:val="en-GB"/>
        </w:rPr>
        <w:t>Contestations around indigenous rights</w:t>
      </w:r>
    </w:p>
    <w:p w:rsidR="00BE6DDB" w:rsidRDefault="00883EA3" w:rsidP="008226E7">
      <w:pPr>
        <w:jc w:val="both"/>
        <w:rPr>
          <w:lang w:val="en-GB"/>
        </w:rPr>
      </w:pPr>
      <w:r w:rsidRPr="00C723C8">
        <w:rPr>
          <w:lang w:val="en-GB"/>
        </w:rPr>
        <w:t xml:space="preserve">Studies on indigenous peoples in Africa often avoid providing figures on the overall population or exhaustive lists of communities captured under this concept. Depending of used criteria, figures range between 50 million and 260 million individuals falling under the category. </w:t>
      </w:r>
      <w:r w:rsidR="00CC4ED0" w:rsidRPr="00C723C8">
        <w:rPr>
          <w:rStyle w:val="FootnoteReference"/>
          <w:lang w:val="en-GB"/>
        </w:rPr>
        <w:footnoteReference w:id="3"/>
      </w:r>
      <w:r w:rsidR="008724BF" w:rsidRPr="00C723C8">
        <w:rPr>
          <w:lang w:val="en-GB"/>
        </w:rPr>
        <w:t>They belong to dozens of communities found in more than half-African countries.</w:t>
      </w:r>
      <w:r w:rsidR="00CC4ED0" w:rsidRPr="00C723C8">
        <w:rPr>
          <w:rStyle w:val="FootnoteReference"/>
          <w:lang w:val="en-GB"/>
        </w:rPr>
        <w:footnoteReference w:id="4"/>
      </w:r>
      <w:r w:rsidR="008724BF" w:rsidRPr="00C723C8">
        <w:rPr>
          <w:lang w:val="en-GB"/>
        </w:rPr>
        <w:t xml:space="preserve"> </w:t>
      </w:r>
      <w:r w:rsidR="005D77E4" w:rsidRPr="00C723C8">
        <w:rPr>
          <w:lang w:val="en-GB"/>
        </w:rPr>
        <w:t>The</w:t>
      </w:r>
      <w:r w:rsidR="00643F9F" w:rsidRPr="00C723C8">
        <w:rPr>
          <w:lang w:val="en-GB"/>
        </w:rPr>
        <w:t xml:space="preserve"> end</w:t>
      </w:r>
      <w:r w:rsidR="005D77E4" w:rsidRPr="00C723C8">
        <w:rPr>
          <w:lang w:val="en-GB"/>
        </w:rPr>
        <w:t xml:space="preserve"> process </w:t>
      </w:r>
      <w:r w:rsidR="00643F9F" w:rsidRPr="00C723C8">
        <w:rPr>
          <w:lang w:val="en-GB"/>
        </w:rPr>
        <w:t xml:space="preserve">leading to the </w:t>
      </w:r>
      <w:r w:rsidR="005D77E4" w:rsidRPr="00C723C8">
        <w:rPr>
          <w:lang w:val="en-GB"/>
        </w:rPr>
        <w:t xml:space="preserve">adoption </w:t>
      </w:r>
      <w:r w:rsidR="00643F9F" w:rsidRPr="00C723C8">
        <w:rPr>
          <w:lang w:val="en-GB"/>
        </w:rPr>
        <w:t xml:space="preserve">of the United Nations Declaration on the Rights of Indigenous peoples </w:t>
      </w:r>
      <w:r w:rsidR="00F25D17">
        <w:rPr>
          <w:lang w:val="en-GB"/>
        </w:rPr>
        <w:t>(UNDRIP)</w:t>
      </w:r>
      <w:r w:rsidR="00643F9F" w:rsidRPr="00C723C8">
        <w:rPr>
          <w:lang w:val="en-GB"/>
        </w:rPr>
        <w:t>– namely deb</w:t>
      </w:r>
      <w:r w:rsidR="00F25D17">
        <w:rPr>
          <w:lang w:val="en-GB"/>
        </w:rPr>
        <w:t>ates in 2006 and 2007 – captured</w:t>
      </w:r>
      <w:r w:rsidR="00643F9F" w:rsidRPr="00C723C8">
        <w:rPr>
          <w:lang w:val="en-GB"/>
        </w:rPr>
        <w:t xml:space="preserve"> the persistent debates and narratives around recognition and implementation of indigenous rights on the African continent. </w:t>
      </w:r>
      <w:r w:rsidR="002E7E98" w:rsidRPr="00C723C8">
        <w:rPr>
          <w:lang w:val="en-GB"/>
        </w:rPr>
        <w:t xml:space="preserve">Hesitations by the African Group of states </w:t>
      </w:r>
      <w:r w:rsidR="00F25D17">
        <w:rPr>
          <w:lang w:val="en-GB"/>
        </w:rPr>
        <w:t>to</w:t>
      </w:r>
      <w:r w:rsidR="002E7E98" w:rsidRPr="00C723C8">
        <w:rPr>
          <w:lang w:val="en-GB"/>
        </w:rPr>
        <w:t xml:space="preserve"> endors</w:t>
      </w:r>
      <w:r w:rsidR="00F25D17">
        <w:rPr>
          <w:lang w:val="en-GB"/>
        </w:rPr>
        <w:t>e</w:t>
      </w:r>
      <w:r w:rsidR="002E7E98" w:rsidRPr="00C723C8">
        <w:rPr>
          <w:lang w:val="en-GB"/>
        </w:rPr>
        <w:t xml:space="preserve"> indigenous rights as a framework of domestic applicability were the reason for the postponement</w:t>
      </w:r>
      <w:r w:rsidR="00F25D17">
        <w:rPr>
          <w:lang w:val="en-GB"/>
        </w:rPr>
        <w:t>,</w:t>
      </w:r>
      <w:r w:rsidR="002E7E98" w:rsidRPr="00C723C8">
        <w:rPr>
          <w:lang w:val="en-GB"/>
        </w:rPr>
        <w:t xml:space="preserve"> for one year</w:t>
      </w:r>
      <w:r w:rsidR="00F25D17">
        <w:rPr>
          <w:lang w:val="en-GB"/>
        </w:rPr>
        <w:t>,</w:t>
      </w:r>
      <w:r w:rsidR="002E7E98" w:rsidRPr="00C723C8">
        <w:rPr>
          <w:lang w:val="en-GB"/>
        </w:rPr>
        <w:t xml:space="preserve"> of adoption of UNDRIP initially scheduled for 2006. While </w:t>
      </w:r>
      <w:r w:rsidR="00C723C8" w:rsidRPr="00C723C8">
        <w:rPr>
          <w:lang w:val="en-GB"/>
        </w:rPr>
        <w:t>the majority of African</w:t>
      </w:r>
      <w:r w:rsidR="00907CB0" w:rsidRPr="00C723C8">
        <w:rPr>
          <w:lang w:val="en-GB"/>
        </w:rPr>
        <w:t xml:space="preserve"> countries</w:t>
      </w:r>
      <w:r w:rsidR="00C723C8" w:rsidRPr="00C723C8">
        <w:rPr>
          <w:lang w:val="en-GB"/>
        </w:rPr>
        <w:t xml:space="preserve"> (35 in total) eventually voted in favour of UNDRIP</w:t>
      </w:r>
      <w:r w:rsidR="001C567F">
        <w:rPr>
          <w:lang w:val="en-GB"/>
        </w:rPr>
        <w:t>,</w:t>
      </w:r>
      <w:r w:rsidR="001C567F">
        <w:rPr>
          <w:rStyle w:val="FootnoteReference"/>
          <w:lang w:val="en-GB"/>
        </w:rPr>
        <w:footnoteReference w:id="5"/>
      </w:r>
      <w:r w:rsidR="00C723C8" w:rsidRPr="00C723C8">
        <w:rPr>
          <w:lang w:val="en-GB"/>
        </w:rPr>
        <w:t xml:space="preserve"> </w:t>
      </w:r>
      <w:r w:rsidR="002E7E98" w:rsidRPr="00C723C8">
        <w:rPr>
          <w:lang w:val="en-GB"/>
        </w:rPr>
        <w:t>statements from a number of African countries that accompanied the vote</w:t>
      </w:r>
      <w:r w:rsidR="001C567F">
        <w:rPr>
          <w:lang w:val="en-GB"/>
        </w:rPr>
        <w:t xml:space="preserve">, including votes in favour of the Declaration, </w:t>
      </w:r>
      <w:r w:rsidR="002E7E98" w:rsidRPr="00C723C8">
        <w:rPr>
          <w:lang w:val="en-GB"/>
        </w:rPr>
        <w:t xml:space="preserve">displayed their ambivalence towards indigenous rights. </w:t>
      </w:r>
      <w:r w:rsidR="001C567F">
        <w:rPr>
          <w:lang w:val="en-GB"/>
        </w:rPr>
        <w:t xml:space="preserve">Clearly, there are issues around a number of governments’ lack of political will to recognize domestic applicability of indigenous rights. However, contestations around indigenous rights go beyond vertical relationship as they involve horizontal inter-group relations. </w:t>
      </w:r>
    </w:p>
    <w:p w:rsidR="005D77E4" w:rsidRPr="00C723C8" w:rsidRDefault="00643F9F" w:rsidP="008226E7">
      <w:pPr>
        <w:jc w:val="both"/>
        <w:rPr>
          <w:lang w:val="en-GB"/>
        </w:rPr>
      </w:pPr>
      <w:r w:rsidRPr="00C723C8">
        <w:rPr>
          <w:lang w:val="en-GB"/>
        </w:rPr>
        <w:t xml:space="preserve">Arguments used to </w:t>
      </w:r>
      <w:r w:rsidR="002E7E98" w:rsidRPr="00C723C8">
        <w:rPr>
          <w:lang w:val="en-GB"/>
        </w:rPr>
        <w:t>challenge</w:t>
      </w:r>
      <w:r w:rsidRPr="00C723C8">
        <w:rPr>
          <w:lang w:val="en-GB"/>
        </w:rPr>
        <w:t xml:space="preserve"> indigenous communities special recognition and protection of their rights are three fold. First</w:t>
      </w:r>
      <w:r w:rsidR="00BE6DDB">
        <w:rPr>
          <w:lang w:val="en-GB"/>
        </w:rPr>
        <w:t>, on a diverse African continent</w:t>
      </w:r>
      <w:r w:rsidRPr="00C723C8">
        <w:rPr>
          <w:lang w:val="en-GB"/>
        </w:rPr>
        <w:t xml:space="preserve"> </w:t>
      </w:r>
      <w:r w:rsidR="00BE6DDB">
        <w:rPr>
          <w:lang w:val="en-GB"/>
        </w:rPr>
        <w:t xml:space="preserve">said to host some 2000 different ethnic communities, claims for special protection based on aboriginality of communities on specific territories </w:t>
      </w:r>
      <w:r w:rsidR="005B0174">
        <w:rPr>
          <w:lang w:val="en-GB"/>
        </w:rPr>
        <w:t xml:space="preserve">give rise to </w:t>
      </w:r>
      <w:r w:rsidR="00712DCC">
        <w:rPr>
          <w:lang w:val="en-GB"/>
        </w:rPr>
        <w:t>contestations</w:t>
      </w:r>
      <w:r w:rsidR="005B0174">
        <w:rPr>
          <w:lang w:val="en-GB"/>
        </w:rPr>
        <w:t xml:space="preserve"> based on an understanding that </w:t>
      </w:r>
      <w:r w:rsidR="00712DCC">
        <w:rPr>
          <w:lang w:val="en-GB"/>
        </w:rPr>
        <w:t xml:space="preserve">such claims may apply </w:t>
      </w:r>
      <w:r w:rsidR="00354608">
        <w:rPr>
          <w:lang w:val="en-GB"/>
        </w:rPr>
        <w:t xml:space="preserve">to more </w:t>
      </w:r>
      <w:r w:rsidR="00712DCC">
        <w:rPr>
          <w:lang w:val="en-GB"/>
        </w:rPr>
        <w:t xml:space="preserve">peoples </w:t>
      </w:r>
      <w:r w:rsidR="00354608">
        <w:rPr>
          <w:lang w:val="en-GB"/>
        </w:rPr>
        <w:t xml:space="preserve">than those communities currently involved in the global indigenous movement. </w:t>
      </w:r>
      <w:r w:rsidR="00712DCC">
        <w:rPr>
          <w:lang w:val="en-GB"/>
        </w:rPr>
        <w:t>Hence, it is argued, e</w:t>
      </w:r>
      <w:r w:rsidR="00354608">
        <w:rPr>
          <w:lang w:val="en-GB"/>
        </w:rPr>
        <w:t xml:space="preserve">nforcing indigenous rights as codified in UNDRIP may be challenging in those inherently multi-ethnic African countries. Second, marginality of indigenous communities is rather relative, particularly so on a continent where poverty and destitution affect millions and access to productive land is </w:t>
      </w:r>
      <w:r w:rsidR="00F25D17">
        <w:rPr>
          <w:lang w:val="en-GB"/>
        </w:rPr>
        <w:t xml:space="preserve">a </w:t>
      </w:r>
      <w:r w:rsidR="00354608">
        <w:rPr>
          <w:lang w:val="en-GB"/>
        </w:rPr>
        <w:t>need shared by many local communities. Third, owing to the continent’s diversity where relative dominance by (members of) some communities leaves many others in a competitive status o</w:t>
      </w:r>
      <w:r w:rsidR="00DF0EA9">
        <w:rPr>
          <w:lang w:val="en-GB"/>
        </w:rPr>
        <w:t>f disadvantage</w:t>
      </w:r>
      <w:r w:rsidR="00904F6F">
        <w:rPr>
          <w:lang w:val="en-GB"/>
        </w:rPr>
        <w:t>, preservation of distinctive cultural attributes is an aspiration shared by numerous non-dominant communities. T</w:t>
      </w:r>
      <w:r w:rsidR="00DF0EA9">
        <w:rPr>
          <w:lang w:val="en-GB"/>
        </w:rPr>
        <w:t xml:space="preserve">hese contestations are more salient in some </w:t>
      </w:r>
      <w:r w:rsidR="002F2118">
        <w:rPr>
          <w:lang w:val="en-GB"/>
        </w:rPr>
        <w:t xml:space="preserve">societies </w:t>
      </w:r>
      <w:r w:rsidR="00DF0EA9">
        <w:rPr>
          <w:lang w:val="en-GB"/>
        </w:rPr>
        <w:t xml:space="preserve">than </w:t>
      </w:r>
      <w:r w:rsidR="002F2118">
        <w:rPr>
          <w:lang w:val="en-GB"/>
        </w:rPr>
        <w:t xml:space="preserve">in </w:t>
      </w:r>
      <w:r w:rsidR="00DF0EA9">
        <w:rPr>
          <w:lang w:val="en-GB"/>
        </w:rPr>
        <w:t>others</w:t>
      </w:r>
      <w:r w:rsidR="002F2118">
        <w:rPr>
          <w:lang w:val="en-GB"/>
        </w:rPr>
        <w:t xml:space="preserve"> and, in each context, they are shaped by historical</w:t>
      </w:r>
      <w:r w:rsidR="00904F6F">
        <w:rPr>
          <w:lang w:val="en-GB"/>
        </w:rPr>
        <w:t xml:space="preserve">, social and political </w:t>
      </w:r>
      <w:r w:rsidR="002F2118">
        <w:rPr>
          <w:lang w:val="en-GB"/>
        </w:rPr>
        <w:t>dynamics.</w:t>
      </w:r>
      <w:r w:rsidR="00712DCC">
        <w:rPr>
          <w:lang w:val="en-GB"/>
        </w:rPr>
        <w:t xml:space="preserve"> Given these contestations around key identification criteria for indigeneity, </w:t>
      </w:r>
      <w:proofErr w:type="gramStart"/>
      <w:r w:rsidR="00712DCC">
        <w:rPr>
          <w:lang w:val="en-GB"/>
        </w:rPr>
        <w:t>It</w:t>
      </w:r>
      <w:proofErr w:type="gramEnd"/>
      <w:r w:rsidR="00712DCC">
        <w:rPr>
          <w:lang w:val="en-GB"/>
        </w:rPr>
        <w:t xml:space="preserve"> is </w:t>
      </w:r>
      <w:r w:rsidR="00042CB4">
        <w:rPr>
          <w:lang w:val="en-GB"/>
        </w:rPr>
        <w:t xml:space="preserve">important to stress the fact that self-identification remains central to contemporary </w:t>
      </w:r>
      <w:r w:rsidR="00AC26DA">
        <w:rPr>
          <w:lang w:val="en-GB"/>
        </w:rPr>
        <w:t xml:space="preserve">African involvement in the global indigenous movement.  </w:t>
      </w:r>
    </w:p>
    <w:p w:rsidR="0077208C" w:rsidRPr="00C723C8" w:rsidRDefault="00883EA3" w:rsidP="00883EA3">
      <w:pPr>
        <w:pStyle w:val="ListParagraph"/>
        <w:numPr>
          <w:ilvl w:val="0"/>
          <w:numId w:val="3"/>
        </w:numPr>
        <w:rPr>
          <w:b/>
          <w:i/>
          <w:lang w:val="en-GB"/>
        </w:rPr>
      </w:pPr>
      <w:r w:rsidRPr="00C723C8">
        <w:rPr>
          <w:b/>
          <w:i/>
          <w:lang w:val="en-GB"/>
        </w:rPr>
        <w:lastRenderedPageBreak/>
        <w:t xml:space="preserve">Structural Marginality </w:t>
      </w:r>
    </w:p>
    <w:p w:rsidR="00A851B1" w:rsidRDefault="00A851B1" w:rsidP="00233321">
      <w:pPr>
        <w:jc w:val="both"/>
        <w:rPr>
          <w:lang w:val="en-GB"/>
        </w:rPr>
      </w:pPr>
      <w:r>
        <w:rPr>
          <w:lang w:val="en-GB"/>
        </w:rPr>
        <w:t xml:space="preserve">It is a fact that since the colonial encounter, most African societies have had to adapt their traditional ways of life to meet the demands of changing times and environments. Those societies that try to </w:t>
      </w:r>
      <w:r w:rsidR="00712DCC">
        <w:rPr>
          <w:lang w:val="en-GB"/>
        </w:rPr>
        <w:t>preserve t</w:t>
      </w:r>
      <w:r>
        <w:rPr>
          <w:lang w:val="en-GB"/>
        </w:rPr>
        <w:t xml:space="preserve">raditional ways of life are increasingly </w:t>
      </w:r>
      <w:r w:rsidR="00553F3B">
        <w:rPr>
          <w:lang w:val="en-GB"/>
        </w:rPr>
        <w:t>constrained by dominant</w:t>
      </w:r>
      <w:r w:rsidR="00712DCC">
        <w:rPr>
          <w:lang w:val="en-GB"/>
        </w:rPr>
        <w:t xml:space="preserve"> modernizing </w:t>
      </w:r>
      <w:r w:rsidR="00553F3B">
        <w:rPr>
          <w:lang w:val="en-GB"/>
        </w:rPr>
        <w:t>structures that are generally not accommodative</w:t>
      </w:r>
      <w:r w:rsidR="00712DCC">
        <w:rPr>
          <w:lang w:val="en-GB"/>
        </w:rPr>
        <w:t xml:space="preserve"> of the former</w:t>
      </w:r>
      <w:r w:rsidR="00553F3B">
        <w:rPr>
          <w:lang w:val="en-GB"/>
        </w:rPr>
        <w:t xml:space="preserve">. The indigenous rights framework provides a welcome avenue for those marginalized communities to mobilize global solidarity in struggles for recognition, protection and empowerment. </w:t>
      </w:r>
      <w:r w:rsidR="008250B9">
        <w:rPr>
          <w:lang w:val="en-GB"/>
        </w:rPr>
        <w:t xml:space="preserve">As previously stated, challenges these communities face differ from one community to another. Some, like many current and former hunter-gatherer communities face issues of structural discrimination and even stigmatization for ages. One of the earliest documents I read on this topic was a 1993 IWGIA publication entitled “….Never Drink from the Same Cup”, a quote in reference to the treatment of the </w:t>
      </w:r>
      <w:proofErr w:type="spellStart"/>
      <w:r w:rsidR="008250B9">
        <w:rPr>
          <w:lang w:val="en-GB"/>
        </w:rPr>
        <w:t>Batwa</w:t>
      </w:r>
      <w:proofErr w:type="spellEnd"/>
      <w:r w:rsidR="008250B9">
        <w:rPr>
          <w:lang w:val="en-GB"/>
        </w:rPr>
        <w:t xml:space="preserve"> of Rwanda by members of other communities. </w:t>
      </w:r>
      <w:r w:rsidR="008C6CBC">
        <w:rPr>
          <w:lang w:val="en-GB"/>
        </w:rPr>
        <w:t>Stigmatization and prejudice based on stereotypical representations of entire communities is still something</w:t>
      </w:r>
      <w:r w:rsidR="00712DCC">
        <w:rPr>
          <w:lang w:val="en-GB"/>
        </w:rPr>
        <w:t xml:space="preserve"> many communities </w:t>
      </w:r>
      <w:r w:rsidR="008C6CBC">
        <w:rPr>
          <w:lang w:val="en-GB"/>
        </w:rPr>
        <w:t>claiming</w:t>
      </w:r>
      <w:r w:rsidR="00712DCC">
        <w:rPr>
          <w:lang w:val="en-GB"/>
        </w:rPr>
        <w:t xml:space="preserve"> recognition and protection of</w:t>
      </w:r>
      <w:r w:rsidR="008C6CBC">
        <w:rPr>
          <w:lang w:val="en-GB"/>
        </w:rPr>
        <w:t xml:space="preserve"> indigenous rights face in many countries across the continent. In recent years, particularly since 2013</w:t>
      </w:r>
      <w:r w:rsidR="008250B9">
        <w:rPr>
          <w:lang w:val="en-GB"/>
        </w:rPr>
        <w:t xml:space="preserve">, violence erupted in the Tanganyika Province </w:t>
      </w:r>
      <w:r w:rsidR="00664F58">
        <w:rPr>
          <w:lang w:val="en-GB"/>
        </w:rPr>
        <w:t xml:space="preserve">of the DRC </w:t>
      </w:r>
      <w:r w:rsidR="008250B9">
        <w:rPr>
          <w:lang w:val="en-GB"/>
        </w:rPr>
        <w:t xml:space="preserve">(part of the former Katanga) opposing the </w:t>
      </w:r>
      <w:proofErr w:type="spellStart"/>
      <w:r w:rsidR="008250B9">
        <w:rPr>
          <w:lang w:val="en-GB"/>
        </w:rPr>
        <w:t>Batwa</w:t>
      </w:r>
      <w:proofErr w:type="spellEnd"/>
      <w:r w:rsidR="008250B9">
        <w:rPr>
          <w:lang w:val="en-GB"/>
        </w:rPr>
        <w:t xml:space="preserve"> to members of neighbouring communities</w:t>
      </w:r>
      <w:r w:rsidR="0070335A">
        <w:rPr>
          <w:lang w:val="en-GB"/>
        </w:rPr>
        <w:t>.</w:t>
      </w:r>
      <w:r w:rsidR="008250B9">
        <w:rPr>
          <w:rStyle w:val="FootnoteReference"/>
          <w:lang w:val="en-GB"/>
        </w:rPr>
        <w:footnoteReference w:id="6"/>
      </w:r>
      <w:r w:rsidR="0070335A" w:rsidRPr="0070335A">
        <w:rPr>
          <w:lang w:val="en-US"/>
        </w:rPr>
        <w:t xml:space="preserve"> </w:t>
      </w:r>
      <w:r w:rsidR="00D676D4">
        <w:rPr>
          <w:lang w:val="en-US"/>
        </w:rPr>
        <w:t xml:space="preserve">Central to the conflict were </w:t>
      </w:r>
      <w:proofErr w:type="spellStart"/>
      <w:r w:rsidR="0070335A">
        <w:rPr>
          <w:lang w:val="en-US"/>
        </w:rPr>
        <w:t>Batwa</w:t>
      </w:r>
      <w:proofErr w:type="spellEnd"/>
      <w:r w:rsidR="0070335A">
        <w:rPr>
          <w:lang w:val="en-US"/>
        </w:rPr>
        <w:t xml:space="preserve"> recriminations against </w:t>
      </w:r>
      <w:r w:rsidR="00D676D4">
        <w:rPr>
          <w:lang w:val="en-US"/>
        </w:rPr>
        <w:t>neighboring communities</w:t>
      </w:r>
      <w:r w:rsidR="0070335A">
        <w:rPr>
          <w:lang w:val="en-US"/>
        </w:rPr>
        <w:t xml:space="preserve"> </w:t>
      </w:r>
      <w:r w:rsidR="00D676D4">
        <w:rPr>
          <w:lang w:val="en-US"/>
        </w:rPr>
        <w:t>for structural</w:t>
      </w:r>
      <w:r w:rsidR="0070335A" w:rsidRPr="0070335A">
        <w:rPr>
          <w:lang w:val="en-GB"/>
        </w:rPr>
        <w:t xml:space="preserve"> discrimination and non-inclusion in </w:t>
      </w:r>
      <w:r w:rsidR="00D676D4">
        <w:rPr>
          <w:lang w:val="en-GB"/>
        </w:rPr>
        <w:t xml:space="preserve">governance and, access to land. Like other </w:t>
      </w:r>
      <w:proofErr w:type="spellStart"/>
      <w:r w:rsidR="00D676D4">
        <w:rPr>
          <w:lang w:val="en-GB"/>
        </w:rPr>
        <w:t>Batwa</w:t>
      </w:r>
      <w:proofErr w:type="spellEnd"/>
      <w:r w:rsidR="00D676D4">
        <w:rPr>
          <w:lang w:val="en-GB"/>
        </w:rPr>
        <w:t xml:space="preserve"> </w:t>
      </w:r>
      <w:r w:rsidR="00CE2AD6">
        <w:rPr>
          <w:lang w:val="en-GB"/>
        </w:rPr>
        <w:t xml:space="preserve">from across </w:t>
      </w:r>
      <w:r w:rsidR="00D676D4">
        <w:rPr>
          <w:lang w:val="en-GB"/>
        </w:rPr>
        <w:t>the region, member</w:t>
      </w:r>
      <w:r w:rsidR="00CE2AD6">
        <w:rPr>
          <w:lang w:val="en-GB"/>
        </w:rPr>
        <w:t>s</w:t>
      </w:r>
      <w:r w:rsidR="00D676D4">
        <w:rPr>
          <w:lang w:val="en-GB"/>
        </w:rPr>
        <w:t xml:space="preserve"> of this communities earn their living as day labourers, working for other communities </w:t>
      </w:r>
      <w:r w:rsidR="00664F58">
        <w:rPr>
          <w:lang w:val="en-GB"/>
        </w:rPr>
        <w:t xml:space="preserve">because of </w:t>
      </w:r>
      <w:r w:rsidR="00D676D4">
        <w:rPr>
          <w:lang w:val="en-GB"/>
        </w:rPr>
        <w:t>imposed limitations on access to land in a country w</w:t>
      </w:r>
      <w:r w:rsidR="00664F58">
        <w:rPr>
          <w:lang w:val="en-GB"/>
        </w:rPr>
        <w:t xml:space="preserve">here this vital resource is </w:t>
      </w:r>
      <w:r w:rsidR="00D676D4">
        <w:rPr>
          <w:lang w:val="en-GB"/>
        </w:rPr>
        <w:t xml:space="preserve">far from scarce.  </w:t>
      </w:r>
    </w:p>
    <w:p w:rsidR="00894316" w:rsidRPr="00CD400E" w:rsidRDefault="00D85A8A" w:rsidP="00CD400E">
      <w:pPr>
        <w:jc w:val="both"/>
        <w:rPr>
          <w:lang w:val="en-GB"/>
        </w:rPr>
      </w:pPr>
      <w:r>
        <w:rPr>
          <w:lang w:val="en-GB"/>
        </w:rPr>
        <w:t>Limited a</w:t>
      </w:r>
      <w:r w:rsidR="00E33D44">
        <w:rPr>
          <w:lang w:val="en-GB"/>
        </w:rPr>
        <w:t>ccess to land</w:t>
      </w:r>
      <w:r>
        <w:rPr>
          <w:lang w:val="en-GB"/>
        </w:rPr>
        <w:t xml:space="preserve"> </w:t>
      </w:r>
      <w:r w:rsidR="00664F58">
        <w:rPr>
          <w:lang w:val="en-GB"/>
        </w:rPr>
        <w:t xml:space="preserve">and other </w:t>
      </w:r>
      <w:r>
        <w:rPr>
          <w:lang w:val="en-GB"/>
        </w:rPr>
        <w:t>vital resources for survival</w:t>
      </w:r>
      <w:r w:rsidR="00E33D44">
        <w:rPr>
          <w:lang w:val="en-GB"/>
        </w:rPr>
        <w:t xml:space="preserve">, </w:t>
      </w:r>
      <w:r>
        <w:rPr>
          <w:lang w:val="en-GB"/>
        </w:rPr>
        <w:t xml:space="preserve">non-inclusion </w:t>
      </w:r>
      <w:r w:rsidR="00E33D44">
        <w:rPr>
          <w:lang w:val="en-GB"/>
        </w:rPr>
        <w:t xml:space="preserve">in decision-making processes, </w:t>
      </w:r>
      <w:r>
        <w:rPr>
          <w:lang w:val="en-GB"/>
        </w:rPr>
        <w:t xml:space="preserve">and the ability to preserve ancestral culture and transmit it to the next generations are the most common challenges </w:t>
      </w:r>
      <w:r w:rsidR="00CE2AD6">
        <w:rPr>
          <w:lang w:val="en-GB"/>
        </w:rPr>
        <w:t xml:space="preserve">faced by </w:t>
      </w:r>
      <w:r>
        <w:rPr>
          <w:lang w:val="en-GB"/>
        </w:rPr>
        <w:t xml:space="preserve">most indigenous </w:t>
      </w:r>
      <w:r w:rsidR="00CE2AD6">
        <w:rPr>
          <w:lang w:val="en-GB"/>
        </w:rPr>
        <w:t>communities.</w:t>
      </w:r>
      <w:r>
        <w:rPr>
          <w:lang w:val="en-GB"/>
        </w:rPr>
        <w:t xml:space="preserve"> </w:t>
      </w:r>
      <w:r w:rsidR="00DB0EEC">
        <w:rPr>
          <w:lang w:val="en-GB"/>
        </w:rPr>
        <w:t xml:space="preserve">A </w:t>
      </w:r>
      <w:r w:rsidR="00664F58">
        <w:rPr>
          <w:lang w:val="en-GB"/>
        </w:rPr>
        <w:t>relatively</w:t>
      </w:r>
      <w:r w:rsidR="00F068A3">
        <w:rPr>
          <w:lang w:val="en-GB"/>
        </w:rPr>
        <w:t xml:space="preserve"> recent </w:t>
      </w:r>
      <w:r w:rsidR="00DB0EEC">
        <w:rPr>
          <w:lang w:val="en-GB"/>
        </w:rPr>
        <w:t xml:space="preserve">research project I was involved in on structural barriers for inclusion of </w:t>
      </w:r>
      <w:proofErr w:type="spellStart"/>
      <w:r w:rsidR="00DB0EEC">
        <w:rPr>
          <w:lang w:val="en-GB"/>
        </w:rPr>
        <w:t>Batwa</w:t>
      </w:r>
      <w:proofErr w:type="spellEnd"/>
      <w:r w:rsidR="00DB0EEC">
        <w:rPr>
          <w:lang w:val="en-GB"/>
        </w:rPr>
        <w:t xml:space="preserve"> in Rwanda</w:t>
      </w:r>
      <w:r w:rsidR="00761EDF">
        <w:rPr>
          <w:lang w:val="en-GB"/>
        </w:rPr>
        <w:t xml:space="preserve"> </w:t>
      </w:r>
      <w:r w:rsidR="00664F58">
        <w:rPr>
          <w:lang w:val="en-GB"/>
        </w:rPr>
        <w:t>(</w:t>
      </w:r>
      <w:r w:rsidR="00761EDF">
        <w:rPr>
          <w:lang w:val="en-GB"/>
        </w:rPr>
        <w:t>concluded in 2017</w:t>
      </w:r>
      <w:r w:rsidR="00664F58">
        <w:rPr>
          <w:lang w:val="en-GB"/>
        </w:rPr>
        <w:t>)</w:t>
      </w:r>
      <w:r w:rsidR="00DB0EEC">
        <w:rPr>
          <w:lang w:val="en-GB"/>
        </w:rPr>
        <w:t xml:space="preserve"> found that lack of access to productive resources, mainly land, was a corrosive factor of continued marginality as it affected other </w:t>
      </w:r>
      <w:proofErr w:type="spellStart"/>
      <w:r w:rsidR="00DB0EEC">
        <w:rPr>
          <w:lang w:val="en-GB"/>
        </w:rPr>
        <w:t>functionings</w:t>
      </w:r>
      <w:proofErr w:type="spellEnd"/>
      <w:r w:rsidR="00DB0EEC">
        <w:rPr>
          <w:lang w:val="en-GB"/>
        </w:rPr>
        <w:t xml:space="preserve"> such as </w:t>
      </w:r>
      <w:r w:rsidR="00761EDF">
        <w:rPr>
          <w:lang w:val="en-GB"/>
        </w:rPr>
        <w:t>access to freely available education</w:t>
      </w:r>
      <w:r w:rsidR="00F068A3">
        <w:rPr>
          <w:lang w:val="en-GB"/>
        </w:rPr>
        <w:t xml:space="preserve">, health </w:t>
      </w:r>
      <w:r w:rsidR="00664F58">
        <w:rPr>
          <w:lang w:val="en-GB"/>
        </w:rPr>
        <w:t xml:space="preserve">or </w:t>
      </w:r>
      <w:r w:rsidR="00F068A3">
        <w:rPr>
          <w:lang w:val="en-GB"/>
        </w:rPr>
        <w:t>the ability to own other property such as cattle</w:t>
      </w:r>
      <w:r w:rsidR="00761EDF">
        <w:rPr>
          <w:lang w:val="en-GB"/>
        </w:rPr>
        <w:t xml:space="preserve">. </w:t>
      </w:r>
    </w:p>
    <w:p w:rsidR="00883EA3" w:rsidRPr="00C723C8" w:rsidRDefault="00883EA3" w:rsidP="00883EA3">
      <w:pPr>
        <w:pStyle w:val="ListParagraph"/>
        <w:numPr>
          <w:ilvl w:val="0"/>
          <w:numId w:val="3"/>
        </w:numPr>
        <w:rPr>
          <w:b/>
          <w:i/>
          <w:lang w:val="en-GB"/>
        </w:rPr>
      </w:pPr>
      <w:r w:rsidRPr="00C723C8">
        <w:rPr>
          <w:b/>
          <w:i/>
          <w:lang w:val="en-GB"/>
        </w:rPr>
        <w:t>Human rights and peacebuilding approach to empowerment</w:t>
      </w:r>
    </w:p>
    <w:p w:rsidR="00A640C9" w:rsidRDefault="00CD557C" w:rsidP="00C735D3">
      <w:pPr>
        <w:jc w:val="both"/>
        <w:rPr>
          <w:lang w:val="en-GB"/>
        </w:rPr>
      </w:pPr>
      <w:r>
        <w:rPr>
          <w:lang w:val="en-GB"/>
        </w:rPr>
        <w:t xml:space="preserve">The </w:t>
      </w:r>
      <w:r w:rsidR="009D5715">
        <w:rPr>
          <w:lang w:val="en-GB"/>
        </w:rPr>
        <w:t xml:space="preserve">United Nations has played a great role in facilitating the development of global standards that </w:t>
      </w:r>
      <w:r w:rsidR="00205A10">
        <w:rPr>
          <w:lang w:val="en-GB"/>
        </w:rPr>
        <w:t xml:space="preserve">may complement or inspire </w:t>
      </w:r>
      <w:r w:rsidR="009D5715">
        <w:rPr>
          <w:lang w:val="en-GB"/>
        </w:rPr>
        <w:t xml:space="preserve">domestic policies and legal frameworks in addressing challenges that indigenous peoples face. </w:t>
      </w:r>
      <w:r w:rsidR="008A05FD">
        <w:rPr>
          <w:lang w:val="en-GB"/>
        </w:rPr>
        <w:t>Codified individual and collective rights to land, resources, self-governance</w:t>
      </w:r>
      <w:r w:rsidR="00546F6D">
        <w:rPr>
          <w:lang w:val="en-GB"/>
        </w:rPr>
        <w:t>, participation; free, prior and informed consent in matters affecting indigenous are key norms whose implementation would contribute to addressing structural marginality and prejudice indigenous peoples</w:t>
      </w:r>
      <w:r w:rsidR="00205A10">
        <w:rPr>
          <w:lang w:val="en-GB"/>
        </w:rPr>
        <w:t xml:space="preserve"> face</w:t>
      </w:r>
      <w:r w:rsidR="00546F6D">
        <w:rPr>
          <w:lang w:val="en-GB"/>
        </w:rPr>
        <w:t xml:space="preserve">. In </w:t>
      </w:r>
      <w:r w:rsidR="008F05D6">
        <w:rPr>
          <w:lang w:val="en-GB"/>
        </w:rPr>
        <w:t xml:space="preserve">some African contexts, legislative and policy steps have been taken to give effect to indigenous rights such as those codified in UNDRIP. </w:t>
      </w:r>
      <w:r w:rsidR="00540C04">
        <w:rPr>
          <w:lang w:val="en-GB"/>
        </w:rPr>
        <w:t>The ratification by the Central African Republic (CAR) of ILO Convention 169 (1989) on Indigenous and Tribal Peoples</w:t>
      </w:r>
      <w:r w:rsidR="006B3927">
        <w:rPr>
          <w:lang w:val="en-GB"/>
        </w:rPr>
        <w:t xml:space="preserve"> and</w:t>
      </w:r>
      <w:r w:rsidR="00540C04">
        <w:rPr>
          <w:lang w:val="en-GB"/>
        </w:rPr>
        <w:t xml:space="preserve">, the adoption of domestic legislations </w:t>
      </w:r>
      <w:r w:rsidR="006B3927">
        <w:rPr>
          <w:lang w:val="en-GB"/>
        </w:rPr>
        <w:t xml:space="preserve">recognizing and </w:t>
      </w:r>
      <w:r w:rsidR="00540C04">
        <w:rPr>
          <w:lang w:val="en-GB"/>
        </w:rPr>
        <w:t xml:space="preserve">protecting indigenous peoples rights in countries such as </w:t>
      </w:r>
      <w:r w:rsidR="001C7307">
        <w:rPr>
          <w:lang w:val="en-GB"/>
        </w:rPr>
        <w:t>the</w:t>
      </w:r>
      <w:r w:rsidR="00540C04">
        <w:rPr>
          <w:lang w:val="en-GB"/>
        </w:rPr>
        <w:t xml:space="preserve"> Republic of Congo</w:t>
      </w:r>
      <w:r w:rsidR="00540C04">
        <w:rPr>
          <w:rStyle w:val="FootnoteReference"/>
          <w:lang w:val="en-GB"/>
        </w:rPr>
        <w:footnoteReference w:id="7"/>
      </w:r>
      <w:r w:rsidR="00540C04">
        <w:rPr>
          <w:lang w:val="en-GB"/>
        </w:rPr>
        <w:t xml:space="preserve"> </w:t>
      </w:r>
      <w:r w:rsidR="006B3927">
        <w:rPr>
          <w:lang w:val="en-GB"/>
        </w:rPr>
        <w:t xml:space="preserve">and </w:t>
      </w:r>
      <w:r w:rsidR="00540C04">
        <w:rPr>
          <w:lang w:val="en-GB"/>
        </w:rPr>
        <w:t>Kenya</w:t>
      </w:r>
      <w:r w:rsidR="00540C04">
        <w:rPr>
          <w:rStyle w:val="FootnoteReference"/>
          <w:lang w:val="en-GB"/>
        </w:rPr>
        <w:footnoteReference w:id="8"/>
      </w:r>
      <w:r w:rsidR="00540C04">
        <w:rPr>
          <w:lang w:val="en-GB"/>
        </w:rPr>
        <w:t xml:space="preserve"> </w:t>
      </w:r>
      <w:r w:rsidR="001C7307">
        <w:rPr>
          <w:lang w:val="en-GB"/>
        </w:rPr>
        <w:t>have an empowering potential for those communities which, through these legislative measures, have tools to claim enforcement of their rights. There are other countries where policy measures have been adopted over the years in empowering indigenous communities,</w:t>
      </w:r>
      <w:r w:rsidR="001C7307">
        <w:rPr>
          <w:rStyle w:val="FootnoteReference"/>
          <w:lang w:val="en-GB"/>
        </w:rPr>
        <w:footnoteReference w:id="9"/>
      </w:r>
      <w:r w:rsidR="001C7307">
        <w:rPr>
          <w:lang w:val="en-GB"/>
        </w:rPr>
        <w:t xml:space="preserve"> </w:t>
      </w:r>
      <w:r w:rsidR="00020100">
        <w:rPr>
          <w:lang w:val="en-GB"/>
        </w:rPr>
        <w:t>or where court cases have recognized indigenous rights.</w:t>
      </w:r>
      <w:r w:rsidR="00CE2AD6">
        <w:rPr>
          <w:rStyle w:val="FootnoteReference"/>
          <w:lang w:val="en-GB"/>
        </w:rPr>
        <w:footnoteReference w:id="10"/>
      </w:r>
      <w:r w:rsidR="00020100">
        <w:rPr>
          <w:lang w:val="en-GB"/>
        </w:rPr>
        <w:t xml:space="preserve"> </w:t>
      </w:r>
    </w:p>
    <w:p w:rsidR="00414FC4" w:rsidRDefault="00020100" w:rsidP="00C735D3">
      <w:pPr>
        <w:jc w:val="both"/>
        <w:rPr>
          <w:lang w:val="en-GB"/>
        </w:rPr>
      </w:pPr>
      <w:r>
        <w:rPr>
          <w:lang w:val="en-GB"/>
        </w:rPr>
        <w:t xml:space="preserve">However, </w:t>
      </w:r>
      <w:r w:rsidR="00205A10">
        <w:rPr>
          <w:lang w:val="en-GB"/>
        </w:rPr>
        <w:t xml:space="preserve">in several contexts, including some of </w:t>
      </w:r>
      <w:r w:rsidR="00CE2AD6">
        <w:rPr>
          <w:lang w:val="en-GB"/>
        </w:rPr>
        <w:t>these contexts</w:t>
      </w:r>
      <w:r>
        <w:rPr>
          <w:lang w:val="en-GB"/>
        </w:rPr>
        <w:t xml:space="preserve"> where laws, policies and court decisions have </w:t>
      </w:r>
      <w:r w:rsidR="00205A10">
        <w:rPr>
          <w:lang w:val="en-GB"/>
        </w:rPr>
        <w:t xml:space="preserve">expressly </w:t>
      </w:r>
      <w:r>
        <w:rPr>
          <w:lang w:val="en-GB"/>
        </w:rPr>
        <w:t xml:space="preserve">recognized indigenous peoples marginality and need for special protection of their rights, the actual </w:t>
      </w:r>
      <w:r w:rsidR="00C735D3">
        <w:rPr>
          <w:lang w:val="en-GB"/>
        </w:rPr>
        <w:t>implementation remains</w:t>
      </w:r>
      <w:r w:rsidR="009E3EA9">
        <w:rPr>
          <w:lang w:val="en-GB"/>
        </w:rPr>
        <w:t xml:space="preserve"> rather generally challenging</w:t>
      </w:r>
      <w:r w:rsidR="00C735D3">
        <w:rPr>
          <w:lang w:val="en-GB"/>
        </w:rPr>
        <w:t xml:space="preserve">. Some implementation challenges are rooted in limited political will to enforce legislations, policies and court decisions. Others are linked to socio-political complexities involved in granting differential rights to specific communities within contexts where plural ethno-cultural communities </w:t>
      </w:r>
      <w:r w:rsidR="009E3EA9">
        <w:rPr>
          <w:lang w:val="en-GB"/>
        </w:rPr>
        <w:t xml:space="preserve">are engaged in competing claims for </w:t>
      </w:r>
      <w:r w:rsidR="00F40C87">
        <w:rPr>
          <w:lang w:val="en-GB"/>
        </w:rPr>
        <w:t>territorial rights. Narratives on authentic belonging in countries such as the DRC, Côte d’Ivoire</w:t>
      </w:r>
      <w:r w:rsidR="00074A5F">
        <w:rPr>
          <w:lang w:val="en-GB"/>
        </w:rPr>
        <w:t xml:space="preserve"> and several others</w:t>
      </w:r>
      <w:r w:rsidR="00F40C87">
        <w:rPr>
          <w:lang w:val="en-GB"/>
        </w:rPr>
        <w:t xml:space="preserve"> </w:t>
      </w:r>
      <w:r w:rsidR="00D70AC3">
        <w:rPr>
          <w:lang w:val="en-GB"/>
        </w:rPr>
        <w:t xml:space="preserve">have been a source of still active conflicts </w:t>
      </w:r>
      <w:r w:rsidR="00F40C87">
        <w:rPr>
          <w:lang w:val="en-GB"/>
        </w:rPr>
        <w:t xml:space="preserve">between communities. </w:t>
      </w:r>
      <w:r w:rsidR="00F152B0">
        <w:rPr>
          <w:lang w:val="en-GB"/>
        </w:rPr>
        <w:t xml:space="preserve">The facts of the </w:t>
      </w:r>
      <w:proofErr w:type="spellStart"/>
      <w:r w:rsidR="00F152B0">
        <w:rPr>
          <w:lang w:val="en-GB"/>
        </w:rPr>
        <w:t>Endorois</w:t>
      </w:r>
      <w:proofErr w:type="spellEnd"/>
      <w:r w:rsidR="00F152B0">
        <w:rPr>
          <w:lang w:val="en-GB"/>
        </w:rPr>
        <w:t xml:space="preserve"> Case </w:t>
      </w:r>
      <w:r w:rsidR="00414FC4">
        <w:rPr>
          <w:lang w:val="en-GB"/>
        </w:rPr>
        <w:t xml:space="preserve">adjudicated </w:t>
      </w:r>
      <w:r w:rsidR="00F152B0">
        <w:rPr>
          <w:lang w:val="en-GB"/>
        </w:rPr>
        <w:t xml:space="preserve">before the ACHPR </w:t>
      </w:r>
      <w:r w:rsidR="0036662C">
        <w:rPr>
          <w:lang w:val="en-GB"/>
        </w:rPr>
        <w:t>embody</w:t>
      </w:r>
      <w:r w:rsidR="003D7F5C">
        <w:rPr>
          <w:lang w:val="en-GB"/>
        </w:rPr>
        <w:t xml:space="preserve"> the intrica</w:t>
      </w:r>
      <w:r w:rsidR="0036662C">
        <w:rPr>
          <w:lang w:val="en-GB"/>
        </w:rPr>
        <w:t>cies and layers of identity that complicate collective empowerment of indigenous and other vulnerable peoples involved</w:t>
      </w:r>
      <w:r w:rsidR="003D7F5C">
        <w:rPr>
          <w:lang w:val="en-GB"/>
        </w:rPr>
        <w:t xml:space="preserve">. This widely celebrated decision for its vindication of collective rights of the </w:t>
      </w:r>
      <w:proofErr w:type="spellStart"/>
      <w:r w:rsidR="003D7F5C">
        <w:rPr>
          <w:lang w:val="en-GB"/>
        </w:rPr>
        <w:t>Endorois</w:t>
      </w:r>
      <w:proofErr w:type="spellEnd"/>
      <w:r w:rsidR="003D7F5C">
        <w:rPr>
          <w:lang w:val="en-GB"/>
        </w:rPr>
        <w:t xml:space="preserve"> did not fully address the complex identity questions raised by the government of Kenya over the boundaries of identity and peoplehood</w:t>
      </w:r>
      <w:r w:rsidR="008C2623">
        <w:rPr>
          <w:lang w:val="en-GB"/>
        </w:rPr>
        <w:t xml:space="preserve"> [</w:t>
      </w:r>
      <w:proofErr w:type="spellStart"/>
      <w:r w:rsidR="008C2623">
        <w:rPr>
          <w:lang w:val="en-GB"/>
        </w:rPr>
        <w:t>Endorois</w:t>
      </w:r>
      <w:proofErr w:type="spellEnd"/>
      <w:r w:rsidR="008C2623">
        <w:rPr>
          <w:lang w:val="en-GB"/>
        </w:rPr>
        <w:t xml:space="preserve">, </w:t>
      </w:r>
      <w:proofErr w:type="spellStart"/>
      <w:r w:rsidR="008C2623">
        <w:rPr>
          <w:lang w:val="en-GB"/>
        </w:rPr>
        <w:t>Tugen</w:t>
      </w:r>
      <w:proofErr w:type="spellEnd"/>
      <w:r w:rsidR="008C2623">
        <w:rPr>
          <w:lang w:val="en-GB"/>
        </w:rPr>
        <w:t>, Kalenjin, 25 claimant indigenous communities, 43 plus recognized ethnic groups or more}</w:t>
      </w:r>
      <w:r w:rsidR="003D7F5C">
        <w:rPr>
          <w:lang w:val="en-GB"/>
        </w:rPr>
        <w:t>.</w:t>
      </w:r>
      <w:r w:rsidR="003D7F5C">
        <w:rPr>
          <w:rStyle w:val="FootnoteReference"/>
          <w:lang w:val="en-GB"/>
        </w:rPr>
        <w:footnoteReference w:id="11"/>
      </w:r>
      <w:r w:rsidR="003D7F5C">
        <w:rPr>
          <w:lang w:val="en-GB"/>
        </w:rPr>
        <w:t xml:space="preserve"> </w:t>
      </w:r>
    </w:p>
    <w:p w:rsidR="009A06A5" w:rsidRPr="00C735D3" w:rsidRDefault="00205A10" w:rsidP="00C735D3">
      <w:pPr>
        <w:jc w:val="both"/>
        <w:rPr>
          <w:lang w:val="en-GB"/>
        </w:rPr>
      </w:pPr>
      <w:r>
        <w:rPr>
          <w:lang w:val="en-GB"/>
        </w:rPr>
        <w:t xml:space="preserve">In </w:t>
      </w:r>
      <w:r w:rsidR="008350E9">
        <w:rPr>
          <w:lang w:val="en-GB"/>
        </w:rPr>
        <w:t>such contexts, successful implementation</w:t>
      </w:r>
      <w:r>
        <w:rPr>
          <w:lang w:val="en-GB"/>
        </w:rPr>
        <w:t xml:space="preserve"> of indigenous rights </w:t>
      </w:r>
      <w:r w:rsidR="008350E9">
        <w:rPr>
          <w:lang w:val="en-GB"/>
        </w:rPr>
        <w:t xml:space="preserve">may depend not only on adopted legislative and policy measures </w:t>
      </w:r>
      <w:r w:rsidR="0036662C">
        <w:rPr>
          <w:lang w:val="en-GB"/>
        </w:rPr>
        <w:t xml:space="preserve">or jurisprudential decisions </w:t>
      </w:r>
      <w:r w:rsidR="008350E9">
        <w:rPr>
          <w:lang w:val="en-GB"/>
        </w:rPr>
        <w:t xml:space="preserve">but also on how societies are able </w:t>
      </w:r>
      <w:r w:rsidR="00A640C9">
        <w:rPr>
          <w:lang w:val="en-GB"/>
        </w:rPr>
        <w:t xml:space="preserve">to </w:t>
      </w:r>
      <w:r w:rsidR="00152297">
        <w:rPr>
          <w:lang w:val="en-GB"/>
        </w:rPr>
        <w:t>(re)</w:t>
      </w:r>
      <w:r w:rsidR="00A640C9">
        <w:rPr>
          <w:lang w:val="en-GB"/>
        </w:rPr>
        <w:t xml:space="preserve">negotiate peaceful and harmonious </w:t>
      </w:r>
      <w:r w:rsidR="008350E9">
        <w:rPr>
          <w:lang w:val="en-GB"/>
        </w:rPr>
        <w:t xml:space="preserve">horizontal relations. Addressing deep-seated prejudices at the source of discrimination of indigenous people active steps to re-create social relations based on principles of equalities between individuals and peoples. </w:t>
      </w:r>
      <w:r w:rsidR="000B3439">
        <w:rPr>
          <w:lang w:val="en-GB"/>
        </w:rPr>
        <w:t xml:space="preserve">Beyond vindication of rights, </w:t>
      </w:r>
      <w:r w:rsidR="00F152B0">
        <w:rPr>
          <w:lang w:val="en-GB"/>
        </w:rPr>
        <w:t>p</w:t>
      </w:r>
      <w:r w:rsidR="000B3439">
        <w:rPr>
          <w:lang w:val="en-GB"/>
        </w:rPr>
        <w:t xml:space="preserve">eacebuilding </w:t>
      </w:r>
      <w:r w:rsidR="00F152B0">
        <w:rPr>
          <w:lang w:val="en-GB"/>
        </w:rPr>
        <w:t xml:space="preserve">initiatives aimed at bridging societal divides may be needed. </w:t>
      </w:r>
      <w:r w:rsidR="00414FC4">
        <w:rPr>
          <w:lang w:val="en-GB"/>
        </w:rPr>
        <w:t xml:space="preserve">Breaking long held prejudices require </w:t>
      </w:r>
      <w:r w:rsidR="00152297">
        <w:rPr>
          <w:lang w:val="en-GB"/>
        </w:rPr>
        <w:t>policies and programs aimed at recreating social relations on a new basis.</w:t>
      </w:r>
      <w:r w:rsidR="0036662C">
        <w:rPr>
          <w:rStyle w:val="FootnoteReference"/>
          <w:lang w:val="en-GB"/>
        </w:rPr>
        <w:footnoteReference w:id="12"/>
      </w:r>
      <w:r w:rsidR="00152297">
        <w:rPr>
          <w:lang w:val="en-GB"/>
        </w:rPr>
        <w:t xml:space="preserve"> </w:t>
      </w:r>
    </w:p>
    <w:p w:rsidR="0077208C" w:rsidRPr="008C2623" w:rsidRDefault="0077208C" w:rsidP="008C2623">
      <w:pPr>
        <w:rPr>
          <w:lang w:val="en-GB"/>
        </w:rPr>
      </w:pPr>
    </w:p>
    <w:sectPr w:rsidR="0077208C" w:rsidRPr="008C2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89" w:rsidRDefault="00F06589" w:rsidP="00F278A4">
      <w:pPr>
        <w:spacing w:after="0" w:line="240" w:lineRule="auto"/>
      </w:pPr>
      <w:r>
        <w:separator/>
      </w:r>
    </w:p>
  </w:endnote>
  <w:endnote w:type="continuationSeparator" w:id="0">
    <w:p w:rsidR="00F06589" w:rsidRDefault="00F06589" w:rsidP="00F2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89" w:rsidRDefault="00F06589" w:rsidP="00F278A4">
      <w:pPr>
        <w:spacing w:after="0" w:line="240" w:lineRule="auto"/>
      </w:pPr>
      <w:r>
        <w:separator/>
      </w:r>
    </w:p>
  </w:footnote>
  <w:footnote w:type="continuationSeparator" w:id="0">
    <w:p w:rsidR="00F06589" w:rsidRDefault="00F06589" w:rsidP="00F278A4">
      <w:pPr>
        <w:spacing w:after="0" w:line="240" w:lineRule="auto"/>
      </w:pPr>
      <w:r>
        <w:continuationSeparator/>
      </w:r>
    </w:p>
  </w:footnote>
  <w:footnote w:id="1">
    <w:p w:rsidR="00C735D3" w:rsidRPr="003169CC" w:rsidRDefault="00C735D3" w:rsidP="003169CC">
      <w:pPr>
        <w:pStyle w:val="FootnoteText"/>
        <w:jc w:val="both"/>
        <w:rPr>
          <w:lang w:val="en-US"/>
        </w:rPr>
      </w:pPr>
      <w:r>
        <w:rPr>
          <w:rStyle w:val="FootnoteReference"/>
        </w:rPr>
        <w:footnoteRef/>
      </w:r>
      <w:r w:rsidRPr="00FA2D2C">
        <w:rPr>
          <w:lang w:val="en-US"/>
        </w:rPr>
        <w:t xml:space="preserve"> </w:t>
      </w:r>
      <w:r>
        <w:rPr>
          <w:lang w:val="en-US"/>
        </w:rPr>
        <w:t xml:space="preserve">See: </w:t>
      </w:r>
      <w:r w:rsidRPr="00FA2D2C">
        <w:rPr>
          <w:lang w:val="en-US"/>
        </w:rPr>
        <w:t>F.</w:t>
      </w:r>
      <w:r>
        <w:rPr>
          <w:lang w:val="en-US"/>
        </w:rPr>
        <w:t xml:space="preserve"> M.</w:t>
      </w:r>
      <w:r w:rsidRPr="00FA2D2C">
        <w:rPr>
          <w:lang w:val="en-US"/>
        </w:rPr>
        <w:t xml:space="preserve"> Ndahinda (2011</w:t>
      </w:r>
      <w:r w:rsidRPr="00FA2D2C">
        <w:rPr>
          <w:i/>
          <w:lang w:val="en-US"/>
        </w:rPr>
        <w:t>). Indigenousness in Africa: A contested legal framework for empowerment of 'Marginalized' communities</w:t>
      </w:r>
      <w:r w:rsidRPr="00FA2D2C">
        <w:rPr>
          <w:lang w:val="en-US"/>
        </w:rPr>
        <w:t xml:space="preserve">. </w:t>
      </w:r>
      <w:r w:rsidRPr="003169CC">
        <w:rPr>
          <w:lang w:val="en-US"/>
        </w:rPr>
        <w:t xml:space="preserve">Berlin/The Hague: Springer/T.M.C. Asser Press; F.M. </w:t>
      </w:r>
      <w:r>
        <w:rPr>
          <w:lang w:val="en-US"/>
        </w:rPr>
        <w:t xml:space="preserve">Ndahinda </w:t>
      </w:r>
      <w:r w:rsidRPr="003169CC">
        <w:rPr>
          <w:lang w:val="en-US"/>
        </w:rPr>
        <w:t xml:space="preserve">(2015), ‘The Future of Indigenous Rights in Africa: Debating Inclusiveness and Empowerment of Collective Identities’, in D. Sambo </w:t>
      </w:r>
      <w:proofErr w:type="spellStart"/>
      <w:r w:rsidRPr="003169CC">
        <w:rPr>
          <w:lang w:val="en-US"/>
        </w:rPr>
        <w:t>Dorough</w:t>
      </w:r>
      <w:proofErr w:type="spellEnd"/>
      <w:r w:rsidRPr="003169CC">
        <w:rPr>
          <w:lang w:val="en-US"/>
        </w:rPr>
        <w:t xml:space="preserve"> (et al), </w:t>
      </w:r>
      <w:r w:rsidRPr="003169CC">
        <w:rPr>
          <w:i/>
          <w:lang w:val="en-US"/>
        </w:rPr>
        <w:t xml:space="preserve">Indigenous Peoples’ Rights in International Law: Emergence and Application -- A Book in Honor of </w:t>
      </w:r>
      <w:proofErr w:type="spellStart"/>
      <w:r w:rsidRPr="003169CC">
        <w:rPr>
          <w:i/>
          <w:lang w:val="en-US"/>
        </w:rPr>
        <w:t>Asbjörn</w:t>
      </w:r>
      <w:proofErr w:type="spellEnd"/>
      <w:r w:rsidRPr="003169CC">
        <w:rPr>
          <w:i/>
          <w:lang w:val="en-US"/>
        </w:rPr>
        <w:t xml:space="preserve"> </w:t>
      </w:r>
      <w:proofErr w:type="spellStart"/>
      <w:r w:rsidRPr="003169CC">
        <w:rPr>
          <w:i/>
          <w:lang w:val="en-US"/>
        </w:rPr>
        <w:t>Eide</w:t>
      </w:r>
      <w:proofErr w:type="spellEnd"/>
      <w:r w:rsidRPr="003169CC">
        <w:rPr>
          <w:i/>
          <w:lang w:val="en-US"/>
        </w:rPr>
        <w:t xml:space="preserve"> at Eighty</w:t>
      </w:r>
      <w:r w:rsidRPr="003169CC">
        <w:rPr>
          <w:lang w:val="en-US"/>
        </w:rPr>
        <w:t>, IWGIA/</w:t>
      </w:r>
      <w:proofErr w:type="spellStart"/>
      <w:r w:rsidRPr="003169CC">
        <w:rPr>
          <w:lang w:val="en-US"/>
        </w:rPr>
        <w:t>Gladu</w:t>
      </w:r>
      <w:proofErr w:type="spellEnd"/>
      <w:r w:rsidRPr="003169CC">
        <w:rPr>
          <w:lang w:val="en-US"/>
        </w:rPr>
        <w:t>; F.M</w:t>
      </w:r>
      <w:r>
        <w:rPr>
          <w:lang w:val="en-US"/>
        </w:rPr>
        <w:t>.</w:t>
      </w:r>
      <w:r w:rsidRPr="003169CC">
        <w:rPr>
          <w:lang w:val="en-US"/>
        </w:rPr>
        <w:t xml:space="preserve"> </w:t>
      </w:r>
      <w:r>
        <w:rPr>
          <w:lang w:val="en-US"/>
        </w:rPr>
        <w:t>Ndahinda (2014).</w:t>
      </w:r>
      <w:r w:rsidRPr="003169CC">
        <w:rPr>
          <w:lang w:val="en-US"/>
        </w:rPr>
        <w:t xml:space="preserve"> ‘Historical development of indigenous identification and rights in Africa’. In K. </w:t>
      </w:r>
      <w:proofErr w:type="spellStart"/>
      <w:r w:rsidRPr="003169CC">
        <w:rPr>
          <w:lang w:val="en-US"/>
        </w:rPr>
        <w:t>Sing'Oei</w:t>
      </w:r>
      <w:proofErr w:type="spellEnd"/>
      <w:r w:rsidRPr="003169CC">
        <w:rPr>
          <w:lang w:val="en-US"/>
        </w:rPr>
        <w:t xml:space="preserve"> &amp; R. </w:t>
      </w:r>
      <w:proofErr w:type="spellStart"/>
      <w:r w:rsidRPr="003169CC">
        <w:rPr>
          <w:lang w:val="en-US"/>
        </w:rPr>
        <w:t>Laher</w:t>
      </w:r>
      <w:proofErr w:type="spellEnd"/>
      <w:r w:rsidRPr="003169CC">
        <w:rPr>
          <w:lang w:val="en-US"/>
        </w:rPr>
        <w:t xml:space="preserve"> (Eds.), </w:t>
      </w:r>
      <w:r w:rsidRPr="003169CC">
        <w:rPr>
          <w:i/>
          <w:lang w:val="en-US"/>
        </w:rPr>
        <w:t>Indigenous Peoples in Africa: Contestations, Empowerment and Group Rights</w:t>
      </w:r>
      <w:r w:rsidRPr="003169CC">
        <w:rPr>
          <w:lang w:val="en-US"/>
        </w:rPr>
        <w:t>, Africa Institute of South Afr</w:t>
      </w:r>
      <w:r>
        <w:rPr>
          <w:lang w:val="en-US"/>
        </w:rPr>
        <w:t xml:space="preserve">ica; </w:t>
      </w:r>
      <w:r w:rsidRPr="003169CC">
        <w:rPr>
          <w:lang w:val="en-US"/>
        </w:rPr>
        <w:t xml:space="preserve">F. M. </w:t>
      </w:r>
      <w:r>
        <w:rPr>
          <w:lang w:val="en-US"/>
        </w:rPr>
        <w:t>Ndahinda</w:t>
      </w:r>
      <w:r w:rsidRPr="003169CC">
        <w:rPr>
          <w:lang w:val="en-US"/>
        </w:rPr>
        <w:t xml:space="preserve"> (2016), ‘Peoples' rights, indigenous rights and interpretative ambiguities in decisions of the African Commission on Human and Peoples' Rights’, African Human Rights Law Journal, 16, 29-57</w:t>
      </w:r>
      <w:r>
        <w:rPr>
          <w:lang w:val="en-US"/>
        </w:rPr>
        <w:t xml:space="preserve">; F.M. </w:t>
      </w:r>
      <w:r w:rsidRPr="003169CC">
        <w:rPr>
          <w:lang w:val="en-US"/>
        </w:rPr>
        <w:t>Ndahinda</w:t>
      </w:r>
      <w:r>
        <w:rPr>
          <w:lang w:val="en-US"/>
        </w:rPr>
        <w:t xml:space="preserve"> </w:t>
      </w:r>
      <w:r w:rsidRPr="003169CC">
        <w:rPr>
          <w:lang w:val="en-US"/>
        </w:rPr>
        <w:t>(2011</w:t>
      </w:r>
      <w:r>
        <w:rPr>
          <w:lang w:val="en-US"/>
        </w:rPr>
        <w:t>).</w:t>
      </w:r>
      <w:r w:rsidRPr="003169CC">
        <w:rPr>
          <w:lang w:val="en-US"/>
        </w:rPr>
        <w:t xml:space="preserve"> ‘Introduction: Contrasted perspectives on recognition and implementation of indigenous rights’. International Journal on Minorit</w:t>
      </w:r>
      <w:r>
        <w:rPr>
          <w:lang w:val="en-US"/>
        </w:rPr>
        <w:t xml:space="preserve">y and Group Rights, 18, 413-418; F.M. </w:t>
      </w:r>
      <w:r w:rsidRPr="003169CC">
        <w:rPr>
          <w:lang w:val="en-US"/>
        </w:rPr>
        <w:t>Ndahinda</w:t>
      </w:r>
      <w:r>
        <w:rPr>
          <w:lang w:val="en-US"/>
        </w:rPr>
        <w:t xml:space="preserve"> (2011).</w:t>
      </w:r>
      <w:r w:rsidRPr="003169CC">
        <w:rPr>
          <w:lang w:val="en-US"/>
        </w:rPr>
        <w:t xml:space="preserve"> ‘Marginality, disempowerment and contested discourses on indigenousness in Africa’. International Journal on Minorit</w:t>
      </w:r>
      <w:r>
        <w:rPr>
          <w:lang w:val="en-US"/>
        </w:rPr>
        <w:t xml:space="preserve">y and Group Rights, 18, 479-514; F.M. </w:t>
      </w:r>
      <w:r w:rsidRPr="003169CC">
        <w:rPr>
          <w:lang w:val="en-US"/>
        </w:rPr>
        <w:t>Ndahinda</w:t>
      </w:r>
      <w:r>
        <w:rPr>
          <w:lang w:val="en-US"/>
        </w:rPr>
        <w:t xml:space="preserve"> </w:t>
      </w:r>
      <w:r w:rsidRPr="003169CC">
        <w:rPr>
          <w:lang w:val="en-US"/>
        </w:rPr>
        <w:t>(2007)</w:t>
      </w:r>
      <w:r>
        <w:rPr>
          <w:lang w:val="en-US"/>
        </w:rPr>
        <w:t>.</w:t>
      </w:r>
      <w:r w:rsidRPr="003169CC">
        <w:rPr>
          <w:lang w:val="en-US"/>
        </w:rPr>
        <w:t xml:space="preserve"> Victimization of African indigenous peoples: Appraisal of violations of collective rights under </w:t>
      </w:r>
      <w:proofErr w:type="spellStart"/>
      <w:r w:rsidRPr="003169CC">
        <w:rPr>
          <w:lang w:val="en-US"/>
        </w:rPr>
        <w:t>victimological</w:t>
      </w:r>
      <w:proofErr w:type="spellEnd"/>
      <w:r w:rsidRPr="003169CC">
        <w:rPr>
          <w:lang w:val="en-US"/>
        </w:rPr>
        <w:t xml:space="preserve"> and international law lenses. International Journal on Minority and Group Rights, 14(1), 1-23.</w:t>
      </w:r>
    </w:p>
  </w:footnote>
  <w:footnote w:id="2">
    <w:p w:rsidR="00C735D3" w:rsidRPr="00C12183" w:rsidRDefault="00C735D3" w:rsidP="00C12183">
      <w:pPr>
        <w:pStyle w:val="FootnoteText"/>
        <w:rPr>
          <w:lang w:val="fr-FR"/>
        </w:rPr>
      </w:pPr>
      <w:r>
        <w:rPr>
          <w:rStyle w:val="FootnoteReference"/>
        </w:rPr>
        <w:footnoteRef/>
      </w:r>
      <w:r w:rsidRPr="00C12183">
        <w:rPr>
          <w:lang w:val="fr-FR"/>
        </w:rPr>
        <w:t xml:space="preserve"> </w:t>
      </w:r>
      <w:r>
        <w:rPr>
          <w:lang w:val="fr-FR"/>
        </w:rPr>
        <w:t>M</w:t>
      </w:r>
      <w:r w:rsidR="003D7F5C">
        <w:rPr>
          <w:lang w:val="fr-FR"/>
        </w:rPr>
        <w:t>.</w:t>
      </w:r>
      <w:r>
        <w:rPr>
          <w:lang w:val="fr-FR"/>
        </w:rPr>
        <w:t xml:space="preserve"> Robillard and</w:t>
      </w:r>
      <w:r w:rsidRPr="00C12183">
        <w:rPr>
          <w:lang w:val="fr-FR"/>
        </w:rPr>
        <w:t xml:space="preserve"> S</w:t>
      </w:r>
      <w:r w:rsidR="003D7F5C">
        <w:rPr>
          <w:lang w:val="fr-FR"/>
        </w:rPr>
        <w:t>.</w:t>
      </w:r>
      <w:r w:rsidRPr="00C12183">
        <w:rPr>
          <w:lang w:val="fr-FR"/>
        </w:rPr>
        <w:t xml:space="preserve"> </w:t>
      </w:r>
      <w:proofErr w:type="spellStart"/>
      <w:r w:rsidRPr="00C12183">
        <w:rPr>
          <w:lang w:val="fr-FR"/>
        </w:rPr>
        <w:t>Bahuchet</w:t>
      </w:r>
      <w:proofErr w:type="spellEnd"/>
      <w:r>
        <w:rPr>
          <w:lang w:val="fr-FR"/>
        </w:rPr>
        <w:t>, «</w:t>
      </w:r>
      <w:r w:rsidRPr="00C12183">
        <w:rPr>
          <w:lang w:val="fr-FR"/>
        </w:rPr>
        <w:t>Les Pygmées et les autres : terminologie, catégorisation et politique</w:t>
      </w:r>
      <w:r>
        <w:rPr>
          <w:lang w:val="fr-FR"/>
        </w:rPr>
        <w:t xml:space="preserve">», </w:t>
      </w:r>
      <w:r w:rsidRPr="008F05D6">
        <w:rPr>
          <w:i/>
          <w:lang w:val="fr-FR"/>
        </w:rPr>
        <w:t>Journal des Africanistes</w:t>
      </w:r>
      <w:r>
        <w:rPr>
          <w:lang w:val="fr-FR"/>
        </w:rPr>
        <w:t xml:space="preserve"> </w:t>
      </w:r>
      <w:r w:rsidRPr="00C12183">
        <w:rPr>
          <w:lang w:val="fr-FR"/>
        </w:rPr>
        <w:t xml:space="preserve">82-1/2 </w:t>
      </w:r>
      <w:r>
        <w:rPr>
          <w:lang w:val="fr-FR"/>
        </w:rPr>
        <w:t>(</w:t>
      </w:r>
      <w:r w:rsidRPr="00C12183">
        <w:rPr>
          <w:lang w:val="fr-FR"/>
        </w:rPr>
        <w:t>2012</w:t>
      </w:r>
      <w:r>
        <w:rPr>
          <w:lang w:val="fr-FR"/>
        </w:rPr>
        <w:t xml:space="preserve">), </w:t>
      </w:r>
      <w:r w:rsidRPr="00C12183">
        <w:rPr>
          <w:lang w:val="fr-FR"/>
        </w:rPr>
        <w:t>15-51.</w:t>
      </w:r>
    </w:p>
  </w:footnote>
  <w:footnote w:id="3">
    <w:p w:rsidR="00C735D3" w:rsidRPr="00CC4ED0" w:rsidRDefault="00C735D3">
      <w:pPr>
        <w:pStyle w:val="FootnoteText"/>
        <w:rPr>
          <w:lang w:val="en-US"/>
        </w:rPr>
      </w:pPr>
      <w:r>
        <w:rPr>
          <w:rStyle w:val="FootnoteReference"/>
        </w:rPr>
        <w:footnoteRef/>
      </w:r>
      <w:r w:rsidRPr="00042CB4">
        <w:rPr>
          <w:lang w:val="en-US"/>
        </w:rPr>
        <w:t xml:space="preserve"> </w:t>
      </w:r>
      <w:r>
        <w:rPr>
          <w:lang w:val="en-US"/>
        </w:rPr>
        <w:t xml:space="preserve">Ndahinda. 2011, </w:t>
      </w:r>
    </w:p>
  </w:footnote>
  <w:footnote w:id="4">
    <w:p w:rsidR="00C735D3" w:rsidRPr="00CC4ED0" w:rsidRDefault="00C735D3" w:rsidP="00904F6F">
      <w:pPr>
        <w:pStyle w:val="FootnoteText"/>
        <w:jc w:val="both"/>
        <w:rPr>
          <w:lang w:val="en-US"/>
        </w:rPr>
      </w:pPr>
      <w:r>
        <w:rPr>
          <w:rStyle w:val="FootnoteReference"/>
        </w:rPr>
        <w:footnoteRef/>
      </w:r>
      <w:r w:rsidRPr="00CC4ED0">
        <w:rPr>
          <w:lang w:val="en-US"/>
        </w:rPr>
        <w:t xml:space="preserve"> </w:t>
      </w:r>
      <w:r>
        <w:rPr>
          <w:lang w:val="en-US"/>
        </w:rPr>
        <w:t xml:space="preserve">For instance, </w:t>
      </w:r>
      <w:r w:rsidRPr="00CC4ED0">
        <w:rPr>
          <w:lang w:val="en-US"/>
        </w:rPr>
        <w:t xml:space="preserve">ACHPR and IWGIA, </w:t>
      </w:r>
      <w:r w:rsidRPr="00904F6F">
        <w:rPr>
          <w:i/>
          <w:lang w:val="en-US"/>
        </w:rPr>
        <w:t>Indigenous Peoples in Africa: The Forgotten Peoples? The African Commission’s Work on Indigenous Peoples in Africa</w:t>
      </w:r>
      <w:r w:rsidRPr="00CC4ED0">
        <w:rPr>
          <w:lang w:val="en-US"/>
        </w:rPr>
        <w:t xml:space="preserve"> (</w:t>
      </w:r>
      <w:r>
        <w:rPr>
          <w:lang w:val="en-US"/>
        </w:rPr>
        <w:t>IWGIA Publications, Copenhagen, 2006), pp. 15-16 listed 59 groups. Ndahinda, 2011 expanded that list.</w:t>
      </w:r>
    </w:p>
  </w:footnote>
  <w:footnote w:id="5">
    <w:p w:rsidR="00C735D3" w:rsidRPr="001C567F" w:rsidRDefault="00C735D3">
      <w:pPr>
        <w:pStyle w:val="FootnoteText"/>
        <w:rPr>
          <w:lang w:val="en-US"/>
        </w:rPr>
      </w:pPr>
      <w:r>
        <w:rPr>
          <w:rStyle w:val="FootnoteReference"/>
        </w:rPr>
        <w:footnoteRef/>
      </w:r>
      <w:r w:rsidRPr="001C567F">
        <w:rPr>
          <w:lang w:val="en-US"/>
        </w:rPr>
        <w:t xml:space="preserve">  </w:t>
      </w:r>
      <w:r>
        <w:rPr>
          <w:lang w:val="en-US"/>
        </w:rPr>
        <w:t>Three</w:t>
      </w:r>
      <w:r w:rsidRPr="001C567F">
        <w:rPr>
          <w:lang w:val="en-US"/>
        </w:rPr>
        <w:t xml:space="preserve"> others abstained while 15 countries were recorded </w:t>
      </w:r>
      <w:r>
        <w:rPr>
          <w:lang w:val="en-US"/>
        </w:rPr>
        <w:t>as absent in the deliberations.</w:t>
      </w:r>
    </w:p>
  </w:footnote>
  <w:footnote w:id="6">
    <w:p w:rsidR="00C735D3" w:rsidRPr="00CD400E" w:rsidRDefault="00C735D3">
      <w:pPr>
        <w:pStyle w:val="FootnoteText"/>
        <w:rPr>
          <w:rFonts w:cstheme="minorHAnsi"/>
          <w:lang w:val="en-US"/>
        </w:rPr>
      </w:pPr>
      <w:r w:rsidRPr="00CD400E">
        <w:rPr>
          <w:rStyle w:val="FootnoteReference"/>
          <w:rFonts w:cstheme="minorHAnsi"/>
        </w:rPr>
        <w:footnoteRef/>
      </w:r>
      <w:r w:rsidRPr="00CD400E">
        <w:rPr>
          <w:rFonts w:cstheme="minorHAnsi"/>
          <w:lang w:val="en-US"/>
        </w:rPr>
        <w:t xml:space="preserve"> G</w:t>
      </w:r>
      <w:r w:rsidR="003D7F5C">
        <w:rPr>
          <w:rFonts w:cstheme="minorHAnsi"/>
          <w:lang w:val="en-US"/>
        </w:rPr>
        <w:t>.</w:t>
      </w:r>
      <w:r w:rsidRPr="00CD400E">
        <w:rPr>
          <w:rFonts w:cstheme="minorHAnsi"/>
          <w:lang w:val="en-US"/>
        </w:rPr>
        <w:t xml:space="preserve"> </w:t>
      </w:r>
      <w:proofErr w:type="spellStart"/>
      <w:r w:rsidRPr="00CD400E">
        <w:rPr>
          <w:rFonts w:cstheme="minorHAnsi"/>
          <w:lang w:val="en-US"/>
        </w:rPr>
        <w:t>Groleau</w:t>
      </w:r>
      <w:proofErr w:type="spellEnd"/>
      <w:r w:rsidRPr="00CD400E">
        <w:rPr>
          <w:rFonts w:cstheme="minorHAnsi"/>
          <w:lang w:val="en-US"/>
        </w:rPr>
        <w:t xml:space="preserve">, “A Silent Crisis in Congo: The Bantu and the Twa in Tanganyika”, Report, International Rescue Committee, 31 August 2017 at </w:t>
      </w:r>
      <w:hyperlink r:id="rId1" w:history="1">
        <w:r w:rsidRPr="00CD400E">
          <w:rPr>
            <w:rStyle w:val="Hyperlink"/>
            <w:rFonts w:cstheme="minorHAnsi"/>
            <w:lang w:val="en-US"/>
          </w:rPr>
          <w:t>https://www.rescue.org/sites/default/files/document/1854/conflictspotlighttanganyikav5.pdf</w:t>
        </w:r>
      </w:hyperlink>
      <w:r w:rsidRPr="00CD400E">
        <w:rPr>
          <w:rFonts w:cstheme="minorHAnsi"/>
          <w:lang w:val="en-US"/>
        </w:rPr>
        <w:t xml:space="preserve"> (visited on 15 October 2019).</w:t>
      </w:r>
    </w:p>
  </w:footnote>
  <w:footnote w:id="7">
    <w:p w:rsidR="00C735D3" w:rsidRPr="00CD400E" w:rsidRDefault="00C735D3">
      <w:pPr>
        <w:pStyle w:val="FootnoteText"/>
        <w:rPr>
          <w:rFonts w:cstheme="minorHAnsi"/>
          <w:lang w:val="fr-FR"/>
        </w:rPr>
      </w:pPr>
      <w:r w:rsidRPr="00CD400E">
        <w:rPr>
          <w:rStyle w:val="FootnoteReference"/>
          <w:rFonts w:cstheme="minorHAnsi"/>
        </w:rPr>
        <w:footnoteRef/>
      </w:r>
      <w:r w:rsidRPr="00CD400E">
        <w:rPr>
          <w:rFonts w:cstheme="minorHAnsi"/>
          <w:lang w:val="fr-FR"/>
        </w:rPr>
        <w:t xml:space="preserve"> Loi n°5-2011 du 25 février 2011 portant promotion et protection des droits des populations autochtones en République du Congo</w:t>
      </w:r>
    </w:p>
  </w:footnote>
  <w:footnote w:id="8">
    <w:p w:rsidR="00C735D3" w:rsidRPr="00540C04" w:rsidRDefault="00C735D3">
      <w:pPr>
        <w:pStyle w:val="FootnoteText"/>
        <w:rPr>
          <w:lang w:val="en-US"/>
        </w:rPr>
      </w:pPr>
      <w:r w:rsidRPr="00CD400E">
        <w:rPr>
          <w:rStyle w:val="FootnoteReference"/>
          <w:rFonts w:cstheme="minorHAnsi"/>
        </w:rPr>
        <w:footnoteRef/>
      </w:r>
      <w:r w:rsidRPr="00CD400E">
        <w:rPr>
          <w:rFonts w:cstheme="minorHAnsi"/>
          <w:lang w:val="en-US"/>
        </w:rPr>
        <w:t xml:space="preserve"> See the Constitution of the Republic of Kenya, definition of the concept “marginalized communities”.</w:t>
      </w:r>
      <w:r>
        <w:rPr>
          <w:lang w:val="en-US"/>
        </w:rPr>
        <w:t xml:space="preserve"> </w:t>
      </w:r>
    </w:p>
  </w:footnote>
  <w:footnote w:id="9">
    <w:p w:rsidR="00C735D3" w:rsidRPr="001C7307" w:rsidRDefault="00C735D3" w:rsidP="0036662C">
      <w:pPr>
        <w:pStyle w:val="FootnoteText"/>
        <w:jc w:val="both"/>
        <w:rPr>
          <w:lang w:val="en-US"/>
        </w:rPr>
      </w:pPr>
      <w:r>
        <w:rPr>
          <w:rStyle w:val="FootnoteReference"/>
        </w:rPr>
        <w:footnoteRef/>
      </w:r>
      <w:r w:rsidRPr="001C7307">
        <w:rPr>
          <w:lang w:val="en-US"/>
        </w:rPr>
        <w:t xml:space="preserve"> </w:t>
      </w:r>
      <w:r>
        <w:rPr>
          <w:lang w:val="en-US"/>
        </w:rPr>
        <w:t>For instance Rwanda’s policies targeting HMPs.</w:t>
      </w:r>
    </w:p>
  </w:footnote>
  <w:footnote w:id="10">
    <w:p w:rsidR="00CE2AD6" w:rsidRPr="00CE2AD6" w:rsidRDefault="00CE2AD6" w:rsidP="0036662C">
      <w:pPr>
        <w:pStyle w:val="FootnoteText"/>
        <w:jc w:val="both"/>
        <w:rPr>
          <w:lang w:val="en-US"/>
        </w:rPr>
      </w:pPr>
      <w:r>
        <w:rPr>
          <w:rStyle w:val="FootnoteReference"/>
        </w:rPr>
        <w:footnoteRef/>
      </w:r>
      <w:r w:rsidRPr="00CE2AD6">
        <w:rPr>
          <w:lang w:val="en-US"/>
        </w:rPr>
        <w:t xml:space="preserve"> </w:t>
      </w:r>
      <w:r>
        <w:rPr>
          <w:lang w:val="en-US"/>
        </w:rPr>
        <w:t>Botswana and South Africa are some interesting examples.</w:t>
      </w:r>
    </w:p>
  </w:footnote>
  <w:footnote w:id="11">
    <w:p w:rsidR="003D7F5C" w:rsidRPr="003D7F5C" w:rsidRDefault="003D7F5C" w:rsidP="0036662C">
      <w:pPr>
        <w:pStyle w:val="FootnoteText"/>
        <w:jc w:val="both"/>
        <w:rPr>
          <w:lang w:val="en-US"/>
        </w:rPr>
      </w:pPr>
      <w:r>
        <w:rPr>
          <w:rStyle w:val="FootnoteReference"/>
        </w:rPr>
        <w:footnoteRef/>
      </w:r>
      <w:r w:rsidRPr="003D7F5C">
        <w:rPr>
          <w:lang w:val="en-US"/>
        </w:rPr>
        <w:t xml:space="preserve"> F. M. Ndahin</w:t>
      </w:r>
      <w:r>
        <w:rPr>
          <w:lang w:val="en-US"/>
        </w:rPr>
        <w:t>da</w:t>
      </w:r>
      <w:r w:rsidRPr="003D7F5C">
        <w:rPr>
          <w:lang w:val="en-US"/>
        </w:rPr>
        <w:t xml:space="preserve"> (2016), ‘Peoples' rights, indigenous rights and interpretative ambiguities in decisions of the African Commission on Human and Peoples' Rights’, African Human Rights Law Journal, 16, 29-57</w:t>
      </w:r>
    </w:p>
  </w:footnote>
  <w:footnote w:id="12">
    <w:p w:rsidR="0036662C" w:rsidRPr="0036662C" w:rsidRDefault="0036662C" w:rsidP="0036662C">
      <w:pPr>
        <w:pStyle w:val="FootnoteText"/>
        <w:jc w:val="both"/>
        <w:rPr>
          <w:lang w:val="en-US"/>
        </w:rPr>
      </w:pPr>
      <w:r>
        <w:rPr>
          <w:rStyle w:val="FootnoteReference"/>
        </w:rPr>
        <w:footnoteRef/>
      </w:r>
      <w:r w:rsidRPr="0036662C">
        <w:rPr>
          <w:lang w:val="en-US"/>
        </w:rPr>
        <w:t xml:space="preserve"> </w:t>
      </w:r>
      <w:r>
        <w:rPr>
          <w:lang w:val="en-US"/>
        </w:rPr>
        <w:t xml:space="preserve">For more on peacebuilding values, see: </w:t>
      </w:r>
      <w:r w:rsidRPr="0036662C">
        <w:rPr>
          <w:lang w:val="en-US"/>
        </w:rPr>
        <w:t xml:space="preserve">Barry Hart (ed.), </w:t>
      </w:r>
      <w:r w:rsidRPr="0036662C">
        <w:rPr>
          <w:i/>
          <w:lang w:val="en-US"/>
        </w:rPr>
        <w:t>Peacebuilding in Traumatized Societies</w:t>
      </w:r>
      <w:r w:rsidRPr="0036662C">
        <w:rPr>
          <w:lang w:val="en-US"/>
        </w:rPr>
        <w:t>, Lanham, MD: University Press of America,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47F5"/>
    <w:multiLevelType w:val="hybridMultilevel"/>
    <w:tmpl w:val="3C805FDA"/>
    <w:lvl w:ilvl="0" w:tplc="EE32A3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FB06BE"/>
    <w:multiLevelType w:val="hybridMultilevel"/>
    <w:tmpl w:val="59CC652A"/>
    <w:lvl w:ilvl="0" w:tplc="D8A4AF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E0668A"/>
    <w:multiLevelType w:val="hybridMultilevel"/>
    <w:tmpl w:val="4D52C6B4"/>
    <w:lvl w:ilvl="0" w:tplc="2B1678C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5A6CFF"/>
    <w:multiLevelType w:val="hybridMultilevel"/>
    <w:tmpl w:val="3FC6E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37"/>
    <w:rsid w:val="00020100"/>
    <w:rsid w:val="00042CB4"/>
    <w:rsid w:val="00060BE3"/>
    <w:rsid w:val="00074A5F"/>
    <w:rsid w:val="000B3439"/>
    <w:rsid w:val="00152297"/>
    <w:rsid w:val="00184A1A"/>
    <w:rsid w:val="001B308D"/>
    <w:rsid w:val="001B3AC5"/>
    <w:rsid w:val="001C567F"/>
    <w:rsid w:val="001C7307"/>
    <w:rsid w:val="00200824"/>
    <w:rsid w:val="00205A10"/>
    <w:rsid w:val="00233321"/>
    <w:rsid w:val="00251F00"/>
    <w:rsid w:val="002D55A3"/>
    <w:rsid w:val="002D7B24"/>
    <w:rsid w:val="002E7E98"/>
    <w:rsid w:val="002F2118"/>
    <w:rsid w:val="003169CC"/>
    <w:rsid w:val="003335D2"/>
    <w:rsid w:val="003471FC"/>
    <w:rsid w:val="00354608"/>
    <w:rsid w:val="0036662C"/>
    <w:rsid w:val="003D7F5C"/>
    <w:rsid w:val="00414FC4"/>
    <w:rsid w:val="00436883"/>
    <w:rsid w:val="00496E58"/>
    <w:rsid w:val="00540C04"/>
    <w:rsid w:val="00546F6D"/>
    <w:rsid w:val="00553F3B"/>
    <w:rsid w:val="005558B6"/>
    <w:rsid w:val="005B0174"/>
    <w:rsid w:val="005B4893"/>
    <w:rsid w:val="005D77E4"/>
    <w:rsid w:val="00643F9F"/>
    <w:rsid w:val="00664F58"/>
    <w:rsid w:val="006B3927"/>
    <w:rsid w:val="0070335A"/>
    <w:rsid w:val="00712DCC"/>
    <w:rsid w:val="007171FB"/>
    <w:rsid w:val="00761EDF"/>
    <w:rsid w:val="0077208C"/>
    <w:rsid w:val="007945C9"/>
    <w:rsid w:val="007F6317"/>
    <w:rsid w:val="008226E7"/>
    <w:rsid w:val="008250B9"/>
    <w:rsid w:val="008350E9"/>
    <w:rsid w:val="008724BF"/>
    <w:rsid w:val="00883EA3"/>
    <w:rsid w:val="00894316"/>
    <w:rsid w:val="008A05FD"/>
    <w:rsid w:val="008C2623"/>
    <w:rsid w:val="008C6CBC"/>
    <w:rsid w:val="008F05D6"/>
    <w:rsid w:val="00904F6F"/>
    <w:rsid w:val="00907CB0"/>
    <w:rsid w:val="00957A19"/>
    <w:rsid w:val="0096225C"/>
    <w:rsid w:val="009A06A5"/>
    <w:rsid w:val="009D5715"/>
    <w:rsid w:val="009E3EA9"/>
    <w:rsid w:val="00A03CF5"/>
    <w:rsid w:val="00A331C5"/>
    <w:rsid w:val="00A45B34"/>
    <w:rsid w:val="00A640C9"/>
    <w:rsid w:val="00A851B1"/>
    <w:rsid w:val="00AC26DA"/>
    <w:rsid w:val="00AD183F"/>
    <w:rsid w:val="00B44F37"/>
    <w:rsid w:val="00BE6DDB"/>
    <w:rsid w:val="00C12183"/>
    <w:rsid w:val="00C723C8"/>
    <w:rsid w:val="00C735D3"/>
    <w:rsid w:val="00CB7103"/>
    <w:rsid w:val="00CC4ED0"/>
    <w:rsid w:val="00CD400E"/>
    <w:rsid w:val="00CD557C"/>
    <w:rsid w:val="00CE2AD6"/>
    <w:rsid w:val="00CF2F9D"/>
    <w:rsid w:val="00D2116C"/>
    <w:rsid w:val="00D676D4"/>
    <w:rsid w:val="00D70AC3"/>
    <w:rsid w:val="00D85A8A"/>
    <w:rsid w:val="00DB0EEC"/>
    <w:rsid w:val="00DB2434"/>
    <w:rsid w:val="00DF0EA9"/>
    <w:rsid w:val="00E21A03"/>
    <w:rsid w:val="00E33D44"/>
    <w:rsid w:val="00E56379"/>
    <w:rsid w:val="00EB1A10"/>
    <w:rsid w:val="00F06589"/>
    <w:rsid w:val="00F068A3"/>
    <w:rsid w:val="00F152B0"/>
    <w:rsid w:val="00F25D17"/>
    <w:rsid w:val="00F278A4"/>
    <w:rsid w:val="00F40C87"/>
    <w:rsid w:val="00FA2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D665"/>
  <w15:chartTrackingRefBased/>
  <w15:docId w15:val="{7560F8F5-85BE-4989-8CC7-FB9BD9FC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37"/>
    <w:pPr>
      <w:ind w:left="720"/>
      <w:contextualSpacing/>
    </w:pPr>
  </w:style>
  <w:style w:type="paragraph" w:styleId="FootnoteText">
    <w:name w:val="footnote text"/>
    <w:basedOn w:val="Normal"/>
    <w:link w:val="FootnoteTextChar"/>
    <w:uiPriority w:val="99"/>
    <w:unhideWhenUsed/>
    <w:rsid w:val="00F278A4"/>
    <w:pPr>
      <w:spacing w:after="0" w:line="240" w:lineRule="auto"/>
    </w:pPr>
    <w:rPr>
      <w:sz w:val="20"/>
      <w:szCs w:val="20"/>
    </w:rPr>
  </w:style>
  <w:style w:type="character" w:customStyle="1" w:styleId="FootnoteTextChar">
    <w:name w:val="Footnote Text Char"/>
    <w:basedOn w:val="DefaultParagraphFont"/>
    <w:link w:val="FootnoteText"/>
    <w:uiPriority w:val="99"/>
    <w:rsid w:val="00F278A4"/>
    <w:rPr>
      <w:sz w:val="20"/>
      <w:szCs w:val="20"/>
    </w:rPr>
  </w:style>
  <w:style w:type="character" w:styleId="FootnoteReference">
    <w:name w:val="footnote reference"/>
    <w:basedOn w:val="DefaultParagraphFont"/>
    <w:uiPriority w:val="99"/>
    <w:semiHidden/>
    <w:unhideWhenUsed/>
    <w:rsid w:val="00F278A4"/>
    <w:rPr>
      <w:vertAlign w:val="superscript"/>
    </w:rPr>
  </w:style>
  <w:style w:type="character" w:styleId="Hyperlink">
    <w:name w:val="Hyperlink"/>
    <w:uiPriority w:val="99"/>
    <w:unhideWhenUsed/>
    <w:rsid w:val="0070335A"/>
    <w:rPr>
      <w:color w:val="0000FF"/>
      <w:u w:val="single"/>
    </w:rPr>
  </w:style>
  <w:style w:type="paragraph" w:styleId="BalloonText">
    <w:name w:val="Balloon Text"/>
    <w:basedOn w:val="Normal"/>
    <w:link w:val="BalloonTextChar"/>
    <w:uiPriority w:val="99"/>
    <w:semiHidden/>
    <w:unhideWhenUsed/>
    <w:rsid w:val="00251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cue.org/sites/default/files/document/1854/conflictspotlighttanganyikav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30BF61-AC6D-4E1A-97A9-5AF11CFB5477}">
  <ds:schemaRefs>
    <ds:schemaRef ds:uri="http://schemas.openxmlformats.org/officeDocument/2006/bibliography"/>
  </ds:schemaRefs>
</ds:datastoreItem>
</file>

<file path=customXml/itemProps2.xml><?xml version="1.0" encoding="utf-8"?>
<ds:datastoreItem xmlns:ds="http://schemas.openxmlformats.org/officeDocument/2006/customXml" ds:itemID="{5280CABD-AFB6-4398-B285-A239BA00E02A}"/>
</file>

<file path=customXml/itemProps3.xml><?xml version="1.0" encoding="utf-8"?>
<ds:datastoreItem xmlns:ds="http://schemas.openxmlformats.org/officeDocument/2006/customXml" ds:itemID="{DDF055BF-BDB9-474A-B9AA-610B51A6479F}"/>
</file>

<file path=customXml/itemProps4.xml><?xml version="1.0" encoding="utf-8"?>
<ds:datastoreItem xmlns:ds="http://schemas.openxmlformats.org/officeDocument/2006/customXml" ds:itemID="{D232EB35-32F7-4B23-8655-401304186B39}"/>
</file>

<file path=docProps/app.xml><?xml version="1.0" encoding="utf-8"?>
<Properties xmlns="http://schemas.openxmlformats.org/officeDocument/2006/extended-properties" xmlns:vt="http://schemas.openxmlformats.org/officeDocument/2006/docPropsVTypes">
  <Template>Normal.dotm</Template>
  <TotalTime>1820</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Ndahinda</dc:creator>
  <cp:keywords/>
  <dc:description/>
  <cp:lastModifiedBy>PANUNCILLO Leselle</cp:lastModifiedBy>
  <cp:revision>12</cp:revision>
  <cp:lastPrinted>2019-10-18T16:26:00Z</cp:lastPrinted>
  <dcterms:created xsi:type="dcterms:W3CDTF">2019-10-09T09:12:00Z</dcterms:created>
  <dcterms:modified xsi:type="dcterms:W3CDTF">2019-10-18T16:26:00Z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