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9" w:type="dxa"/>
        <w:jc w:val="center"/>
        <w:tblInd w:w="-1181" w:type="dxa"/>
        <w:tblLayout w:type="fixed"/>
        <w:tblCellMar>
          <w:left w:w="54" w:type="dxa"/>
          <w:right w:w="54" w:type="dxa"/>
        </w:tblCellMar>
        <w:tblLook w:val="0000" w:firstRow="0" w:lastRow="0" w:firstColumn="0" w:lastColumn="0" w:noHBand="0" w:noVBand="0"/>
      </w:tblPr>
      <w:tblGrid>
        <w:gridCol w:w="4082"/>
        <w:gridCol w:w="2668"/>
        <w:gridCol w:w="3969"/>
      </w:tblGrid>
      <w:tr w:rsidR="008673B7" w:rsidRPr="002D7E80" w:rsidTr="00CD10A7">
        <w:trPr>
          <w:trHeight w:val="979"/>
          <w:jc w:val="center"/>
        </w:trPr>
        <w:tc>
          <w:tcPr>
            <w:tcW w:w="4082" w:type="dxa"/>
          </w:tcPr>
          <w:p w:rsidR="008673B7" w:rsidRDefault="008673B7" w:rsidP="00CD10A7">
            <w:pPr>
              <w:autoSpaceDE w:val="0"/>
              <w:autoSpaceDN w:val="0"/>
              <w:adjustRightInd w:val="0"/>
              <w:spacing w:after="0" w:line="240" w:lineRule="auto"/>
              <w:jc w:val="center"/>
              <w:rPr>
                <w:rFonts w:ascii="Times New Roman" w:eastAsia="Calibri" w:hAnsi="Times New Roman"/>
                <w:sz w:val="24"/>
                <w:szCs w:val="24"/>
                <w:lang w:val="fr-FR"/>
              </w:rPr>
            </w:pPr>
            <w:bookmarkStart w:id="0" w:name="_GoBack"/>
            <w:bookmarkEnd w:id="0"/>
            <w:r>
              <w:rPr>
                <w:noProof/>
                <w:lang w:val="en-GB" w:eastAsia="en-GB"/>
              </w:rPr>
              <w:drawing>
                <wp:inline distT="0" distB="0" distL="0" distR="0" wp14:anchorId="123202D9" wp14:editId="23A40BDC">
                  <wp:extent cx="756920" cy="651510"/>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6920" cy="651510"/>
                          </a:xfrm>
                          <a:prstGeom prst="rect">
                            <a:avLst/>
                          </a:prstGeom>
                          <a:noFill/>
                          <a:ln w="9525">
                            <a:noFill/>
                            <a:miter lim="800000"/>
                            <a:headEnd/>
                            <a:tailEnd/>
                          </a:ln>
                        </pic:spPr>
                      </pic:pic>
                    </a:graphicData>
                  </a:graphic>
                </wp:inline>
              </w:drawing>
            </w:r>
          </w:p>
          <w:p w:rsidR="008673B7" w:rsidRDefault="008673B7" w:rsidP="00CD10A7">
            <w:pPr>
              <w:autoSpaceDE w:val="0"/>
              <w:autoSpaceDN w:val="0"/>
              <w:adjustRightInd w:val="0"/>
              <w:spacing w:after="0" w:line="240" w:lineRule="auto"/>
              <w:jc w:val="center"/>
              <w:rPr>
                <w:rFonts w:ascii="Times New Roman" w:eastAsia="Calibri" w:hAnsi="Times New Roman"/>
                <w:sz w:val="24"/>
                <w:szCs w:val="24"/>
                <w:lang w:val="fr-FR"/>
              </w:rPr>
            </w:pPr>
          </w:p>
          <w:p w:rsidR="008673B7" w:rsidRPr="00273D27" w:rsidRDefault="008673B7" w:rsidP="00CD10A7">
            <w:pPr>
              <w:autoSpaceDE w:val="0"/>
              <w:autoSpaceDN w:val="0"/>
              <w:adjustRightInd w:val="0"/>
              <w:spacing w:after="0" w:line="240" w:lineRule="auto"/>
              <w:jc w:val="center"/>
              <w:rPr>
                <w:rFonts w:ascii="Times New Roman" w:eastAsia="Calibri" w:hAnsi="Times New Roman"/>
                <w:sz w:val="24"/>
                <w:szCs w:val="24"/>
                <w:lang w:val="fr-FR"/>
              </w:rPr>
            </w:pPr>
            <w:r w:rsidRPr="00273D27">
              <w:rPr>
                <w:rFonts w:ascii="Times New Roman" w:eastAsia="Calibri" w:hAnsi="Times New Roman"/>
                <w:sz w:val="24"/>
                <w:szCs w:val="24"/>
                <w:lang w:val="fr-FR"/>
              </w:rPr>
              <w:t>Mission de Stabilisation</w:t>
            </w:r>
          </w:p>
          <w:p w:rsidR="008673B7" w:rsidRPr="00273D27" w:rsidRDefault="008673B7" w:rsidP="00CD10A7">
            <w:pPr>
              <w:autoSpaceDE w:val="0"/>
              <w:autoSpaceDN w:val="0"/>
              <w:adjustRightInd w:val="0"/>
              <w:spacing w:after="0" w:line="240" w:lineRule="auto"/>
              <w:jc w:val="center"/>
              <w:rPr>
                <w:rFonts w:ascii="Times New Roman" w:eastAsia="Calibri" w:hAnsi="Times New Roman"/>
                <w:b/>
                <w:sz w:val="24"/>
                <w:szCs w:val="24"/>
                <w:lang w:val="fr-FR"/>
              </w:rPr>
            </w:pPr>
            <w:r w:rsidRPr="00273D27">
              <w:rPr>
                <w:rFonts w:ascii="Times New Roman" w:eastAsia="Calibri" w:hAnsi="Times New Roman"/>
                <w:sz w:val="24"/>
                <w:szCs w:val="24"/>
                <w:lang w:val="fr-FR"/>
              </w:rPr>
              <w:t>Des Nations Unies en Haïti</w:t>
            </w:r>
          </w:p>
          <w:p w:rsidR="008673B7" w:rsidRPr="00273D27" w:rsidRDefault="008673B7" w:rsidP="00CD10A7">
            <w:pPr>
              <w:autoSpaceDE w:val="0"/>
              <w:autoSpaceDN w:val="0"/>
              <w:adjustRightInd w:val="0"/>
              <w:spacing w:after="0" w:line="240" w:lineRule="auto"/>
              <w:jc w:val="center"/>
              <w:rPr>
                <w:rFonts w:ascii="Times New Roman" w:eastAsia="Calibri" w:hAnsi="Times New Roman"/>
                <w:b/>
                <w:sz w:val="24"/>
                <w:szCs w:val="24"/>
                <w:lang w:val="fr-FR"/>
              </w:rPr>
            </w:pPr>
          </w:p>
          <w:p w:rsidR="008673B7" w:rsidRPr="00273D27" w:rsidRDefault="008673B7" w:rsidP="00CD10A7">
            <w:pPr>
              <w:autoSpaceDE w:val="0"/>
              <w:autoSpaceDN w:val="0"/>
              <w:adjustRightInd w:val="0"/>
              <w:spacing w:after="0" w:line="240" w:lineRule="auto"/>
              <w:jc w:val="center"/>
              <w:rPr>
                <w:rFonts w:ascii="Times New Roman" w:eastAsia="Calibri" w:hAnsi="Times New Roman"/>
                <w:b/>
                <w:sz w:val="24"/>
                <w:szCs w:val="24"/>
                <w:lang w:val="fr-FR"/>
              </w:rPr>
            </w:pPr>
          </w:p>
        </w:tc>
        <w:tc>
          <w:tcPr>
            <w:tcW w:w="2668" w:type="dxa"/>
          </w:tcPr>
          <w:p w:rsidR="008673B7" w:rsidRPr="00273D27" w:rsidRDefault="008673B7" w:rsidP="00CD10A7">
            <w:pPr>
              <w:spacing w:after="0" w:line="240" w:lineRule="auto"/>
              <w:jc w:val="center"/>
              <w:outlineLvl w:val="1"/>
              <w:rPr>
                <w:rFonts w:ascii="Times New Roman" w:eastAsia="MS Mincho" w:hAnsi="Times New Roman"/>
                <w:b/>
                <w:bCs/>
                <w:color w:val="000066"/>
                <w:sz w:val="24"/>
                <w:szCs w:val="24"/>
                <w:lang w:val="fr-FR"/>
              </w:rPr>
            </w:pPr>
          </w:p>
        </w:tc>
        <w:tc>
          <w:tcPr>
            <w:tcW w:w="3969" w:type="dxa"/>
          </w:tcPr>
          <w:p w:rsidR="008673B7" w:rsidRDefault="008673B7" w:rsidP="00CD10A7">
            <w:pPr>
              <w:autoSpaceDE w:val="0"/>
              <w:autoSpaceDN w:val="0"/>
              <w:adjustRightInd w:val="0"/>
              <w:spacing w:after="0" w:line="240" w:lineRule="auto"/>
              <w:jc w:val="center"/>
              <w:rPr>
                <w:rFonts w:ascii="Times New Roman" w:eastAsia="Calibri" w:hAnsi="Times New Roman"/>
                <w:sz w:val="24"/>
                <w:szCs w:val="24"/>
                <w:lang w:val="fr-FR"/>
              </w:rPr>
            </w:pPr>
            <w:r>
              <w:rPr>
                <w:noProof/>
                <w:lang w:val="en-GB" w:eastAsia="en-GB"/>
              </w:rPr>
              <w:drawing>
                <wp:inline distT="0" distB="0" distL="0" distR="0" wp14:anchorId="6767C645" wp14:editId="132E2C9F">
                  <wp:extent cx="525780" cy="609600"/>
                  <wp:effectExtent l="1905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5780" cy="609600"/>
                          </a:xfrm>
                          <a:prstGeom prst="rect">
                            <a:avLst/>
                          </a:prstGeom>
                          <a:noFill/>
                          <a:ln w="9525">
                            <a:noFill/>
                            <a:miter lim="800000"/>
                            <a:headEnd/>
                            <a:tailEnd/>
                          </a:ln>
                        </pic:spPr>
                      </pic:pic>
                    </a:graphicData>
                  </a:graphic>
                </wp:inline>
              </w:drawing>
            </w:r>
          </w:p>
          <w:p w:rsidR="008673B7" w:rsidRDefault="008673B7" w:rsidP="00CD10A7">
            <w:pPr>
              <w:autoSpaceDE w:val="0"/>
              <w:autoSpaceDN w:val="0"/>
              <w:adjustRightInd w:val="0"/>
              <w:spacing w:after="0" w:line="240" w:lineRule="auto"/>
              <w:jc w:val="center"/>
              <w:rPr>
                <w:rFonts w:ascii="Times New Roman" w:eastAsia="Calibri" w:hAnsi="Times New Roman"/>
                <w:sz w:val="24"/>
                <w:szCs w:val="24"/>
                <w:lang w:val="fr-FR"/>
              </w:rPr>
            </w:pPr>
          </w:p>
          <w:p w:rsidR="008673B7" w:rsidRPr="00273D27" w:rsidRDefault="008673B7" w:rsidP="00CD10A7">
            <w:pPr>
              <w:autoSpaceDE w:val="0"/>
              <w:autoSpaceDN w:val="0"/>
              <w:adjustRightInd w:val="0"/>
              <w:spacing w:after="0" w:line="240" w:lineRule="auto"/>
              <w:jc w:val="center"/>
              <w:rPr>
                <w:rFonts w:ascii="Times New Roman" w:eastAsia="Calibri" w:hAnsi="Times New Roman"/>
                <w:sz w:val="24"/>
                <w:szCs w:val="24"/>
                <w:lang w:val="fr-FR"/>
              </w:rPr>
            </w:pPr>
            <w:r w:rsidRPr="00273D27">
              <w:rPr>
                <w:rFonts w:ascii="Times New Roman" w:eastAsia="Calibri" w:hAnsi="Times New Roman"/>
                <w:sz w:val="24"/>
                <w:szCs w:val="24"/>
                <w:lang w:val="fr-FR"/>
              </w:rPr>
              <w:t>Haut-Commissariat des Nations unies aux droits de l’homme</w:t>
            </w:r>
          </w:p>
        </w:tc>
      </w:tr>
    </w:tbl>
    <w:p w:rsidR="008673B7" w:rsidRPr="00273D27" w:rsidRDefault="008673B7" w:rsidP="008673B7">
      <w:pPr>
        <w:spacing w:after="0" w:line="240" w:lineRule="auto"/>
        <w:jc w:val="center"/>
        <w:rPr>
          <w:rFonts w:ascii="Times New Roman" w:eastAsia="Calibri" w:hAnsi="Times New Roman"/>
          <w:b/>
          <w:sz w:val="24"/>
          <w:szCs w:val="24"/>
          <w:lang w:val="fr-FR"/>
        </w:rPr>
      </w:pPr>
    </w:p>
    <w:p w:rsidR="008673B7" w:rsidRPr="00273D27" w:rsidRDefault="008673B7" w:rsidP="008673B7">
      <w:pPr>
        <w:spacing w:after="0" w:line="240" w:lineRule="auto"/>
        <w:jc w:val="center"/>
        <w:rPr>
          <w:rFonts w:ascii="Times New Roman" w:eastAsia="Calibri" w:hAnsi="Times New Roman"/>
          <w:b/>
          <w:sz w:val="24"/>
          <w:szCs w:val="24"/>
          <w:lang w:val="fr-FR"/>
        </w:rPr>
      </w:pPr>
    </w:p>
    <w:p w:rsidR="008673B7" w:rsidRPr="00273D27" w:rsidRDefault="008673B7" w:rsidP="008673B7">
      <w:pPr>
        <w:spacing w:after="0" w:line="240" w:lineRule="auto"/>
        <w:jc w:val="center"/>
        <w:rPr>
          <w:rFonts w:ascii="Times New Roman" w:eastAsia="Calibri" w:hAnsi="Times New Roman"/>
          <w:b/>
          <w:sz w:val="24"/>
          <w:szCs w:val="24"/>
          <w:lang w:val="fr-FR"/>
        </w:rPr>
      </w:pPr>
    </w:p>
    <w:p w:rsidR="008673B7" w:rsidRPr="00273D27" w:rsidRDefault="008673B7" w:rsidP="008673B7">
      <w:pPr>
        <w:spacing w:after="0" w:line="240" w:lineRule="auto"/>
        <w:jc w:val="center"/>
        <w:rPr>
          <w:rFonts w:ascii="Times New Roman" w:eastAsia="Calibri" w:hAnsi="Times New Roman"/>
          <w:b/>
          <w:sz w:val="24"/>
          <w:szCs w:val="24"/>
          <w:lang w:val="fr-FR"/>
        </w:rPr>
      </w:pPr>
    </w:p>
    <w:p w:rsidR="008673B7" w:rsidRPr="002D7E80" w:rsidRDefault="008673B7" w:rsidP="008673B7">
      <w:pPr>
        <w:spacing w:after="0" w:line="240" w:lineRule="auto"/>
        <w:jc w:val="center"/>
        <w:rPr>
          <w:rFonts w:ascii="Times New Roman" w:eastAsia="Calibri" w:hAnsi="Times New Roman"/>
          <w:b/>
          <w:sz w:val="36"/>
          <w:szCs w:val="36"/>
          <w:lang w:val="fr-FR"/>
        </w:rPr>
      </w:pPr>
    </w:p>
    <w:p w:rsidR="009D6CBF" w:rsidRPr="002D7E80" w:rsidRDefault="009D6CBF" w:rsidP="009D6CBF">
      <w:pPr>
        <w:spacing w:after="0" w:line="240" w:lineRule="auto"/>
        <w:jc w:val="center"/>
        <w:rPr>
          <w:rFonts w:ascii="Times New Roman" w:eastAsia="Calibri" w:hAnsi="Times New Roman"/>
          <w:b/>
          <w:sz w:val="36"/>
          <w:szCs w:val="36"/>
          <w:lang w:val="fr-FR"/>
        </w:rPr>
      </w:pPr>
      <w:r w:rsidRPr="002D7E80">
        <w:rPr>
          <w:rFonts w:ascii="Times New Roman" w:eastAsia="Calibri" w:hAnsi="Times New Roman"/>
          <w:b/>
          <w:sz w:val="36"/>
          <w:szCs w:val="36"/>
          <w:lang w:val="fr-FR"/>
        </w:rPr>
        <w:t>Rapport semestriel sur les droits de l’homme en Haïti</w:t>
      </w:r>
    </w:p>
    <w:p w:rsidR="009435E0" w:rsidRPr="002D7E80" w:rsidRDefault="009435E0" w:rsidP="009D6CBF">
      <w:pPr>
        <w:spacing w:after="0" w:line="240" w:lineRule="auto"/>
        <w:jc w:val="center"/>
        <w:rPr>
          <w:rFonts w:ascii="Times New Roman" w:eastAsia="Calibri" w:hAnsi="Times New Roman"/>
          <w:b/>
          <w:sz w:val="36"/>
          <w:szCs w:val="36"/>
          <w:lang w:val="fr-FR"/>
        </w:rPr>
      </w:pPr>
    </w:p>
    <w:p w:rsidR="009D6CBF" w:rsidRPr="002D7E80" w:rsidRDefault="009D6CBF" w:rsidP="009D6CBF">
      <w:pPr>
        <w:spacing w:after="0" w:line="240" w:lineRule="auto"/>
        <w:jc w:val="center"/>
        <w:rPr>
          <w:rFonts w:ascii="Times New Roman" w:eastAsia="Calibri" w:hAnsi="Times New Roman"/>
          <w:b/>
          <w:sz w:val="36"/>
          <w:szCs w:val="36"/>
          <w:lang w:val="fr-CA"/>
        </w:rPr>
      </w:pPr>
      <w:r w:rsidRPr="002D7E80">
        <w:rPr>
          <w:rFonts w:ascii="Times New Roman" w:eastAsia="Calibri" w:hAnsi="Times New Roman"/>
          <w:b/>
          <w:sz w:val="36"/>
          <w:szCs w:val="36"/>
          <w:lang w:val="fr-CA"/>
        </w:rPr>
        <w:t xml:space="preserve">Juillet - </w:t>
      </w:r>
      <w:r w:rsidR="00AD19AF" w:rsidRPr="002D7E80">
        <w:rPr>
          <w:rFonts w:ascii="Times New Roman" w:eastAsia="Calibri" w:hAnsi="Times New Roman"/>
          <w:b/>
          <w:sz w:val="36"/>
          <w:szCs w:val="36"/>
          <w:lang w:val="fr-CA"/>
        </w:rPr>
        <w:t>D</w:t>
      </w:r>
      <w:r w:rsidRPr="002D7E80">
        <w:rPr>
          <w:rFonts w:ascii="Times New Roman" w:eastAsia="Calibri" w:hAnsi="Times New Roman"/>
          <w:b/>
          <w:sz w:val="36"/>
          <w:szCs w:val="36"/>
          <w:lang w:val="fr-CA"/>
        </w:rPr>
        <w:t>écembre 2012</w:t>
      </w:r>
    </w:p>
    <w:p w:rsidR="009D6CBF" w:rsidRDefault="009D6CBF" w:rsidP="009D6CBF">
      <w:pPr>
        <w:spacing w:after="0" w:line="240" w:lineRule="auto"/>
        <w:jc w:val="center"/>
        <w:rPr>
          <w:rFonts w:ascii="Times New Roman" w:eastAsia="Calibri" w:hAnsi="Times New Roman"/>
          <w:b/>
          <w:sz w:val="32"/>
          <w:szCs w:val="32"/>
          <w:lang w:val="fr-CA"/>
        </w:rPr>
      </w:pPr>
    </w:p>
    <w:p w:rsidR="009D6CBF" w:rsidRDefault="009D6CBF" w:rsidP="009D6CBF">
      <w:pPr>
        <w:spacing w:after="0" w:line="240" w:lineRule="auto"/>
        <w:jc w:val="center"/>
        <w:rPr>
          <w:rFonts w:ascii="Times New Roman" w:eastAsia="Calibri" w:hAnsi="Times New Roman"/>
          <w:b/>
          <w:sz w:val="32"/>
          <w:szCs w:val="32"/>
          <w:lang w:val="fr-CA"/>
        </w:rPr>
      </w:pPr>
    </w:p>
    <w:p w:rsidR="009D6CBF" w:rsidRDefault="009D6CBF" w:rsidP="009D6CBF">
      <w:pPr>
        <w:spacing w:after="0" w:line="240" w:lineRule="auto"/>
        <w:jc w:val="center"/>
        <w:rPr>
          <w:rFonts w:ascii="Times New Roman" w:eastAsia="Calibri" w:hAnsi="Times New Roman"/>
          <w:b/>
          <w:sz w:val="32"/>
          <w:szCs w:val="32"/>
          <w:lang w:val="fr-CA"/>
        </w:rPr>
      </w:pPr>
    </w:p>
    <w:p w:rsidR="009D6CBF" w:rsidRPr="009A0A6B" w:rsidRDefault="009A0A6B" w:rsidP="009D6CBF">
      <w:pPr>
        <w:spacing w:after="0" w:line="240" w:lineRule="auto"/>
        <w:jc w:val="center"/>
        <w:rPr>
          <w:rFonts w:ascii="Times New Roman" w:eastAsia="Calibri" w:hAnsi="Times New Roman"/>
          <w:b/>
          <w:sz w:val="32"/>
          <w:szCs w:val="32"/>
          <w:lang w:val="fr-CA"/>
        </w:rPr>
      </w:pPr>
      <w:r>
        <w:rPr>
          <w:rFonts w:ascii="Times New Roman" w:eastAsia="Calibri" w:hAnsi="Times New Roman"/>
          <w:b/>
          <w:noProof/>
          <w:sz w:val="32"/>
          <w:szCs w:val="32"/>
          <w:lang w:val="en-GB" w:eastAsia="en-GB"/>
        </w:rPr>
        <w:drawing>
          <wp:inline distT="0" distB="0" distL="0" distR="0" wp14:anchorId="40051AE9" wp14:editId="1EE6240E">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for 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9D6CBF" w:rsidRDefault="009D6CBF" w:rsidP="009D6CBF">
      <w:pPr>
        <w:spacing w:after="0" w:line="240" w:lineRule="auto"/>
        <w:jc w:val="center"/>
        <w:rPr>
          <w:rFonts w:ascii="Times New Roman" w:eastAsia="Calibri" w:hAnsi="Times New Roman"/>
          <w:b/>
          <w:sz w:val="32"/>
          <w:szCs w:val="32"/>
          <w:lang w:val="fr-CA"/>
        </w:rPr>
      </w:pPr>
    </w:p>
    <w:p w:rsidR="009D6CBF" w:rsidRDefault="009D6CBF" w:rsidP="009D6CBF">
      <w:pPr>
        <w:spacing w:after="0" w:line="240" w:lineRule="auto"/>
        <w:jc w:val="center"/>
        <w:rPr>
          <w:rFonts w:ascii="Times New Roman" w:eastAsia="Calibri" w:hAnsi="Times New Roman"/>
          <w:b/>
          <w:sz w:val="32"/>
          <w:szCs w:val="32"/>
          <w:lang w:val="fr-CA"/>
        </w:rPr>
      </w:pPr>
    </w:p>
    <w:p w:rsidR="009D6CBF" w:rsidRDefault="009D6CBF" w:rsidP="009D6CBF">
      <w:pPr>
        <w:spacing w:after="0" w:line="240" w:lineRule="auto"/>
        <w:jc w:val="center"/>
        <w:rPr>
          <w:rFonts w:ascii="Times New Roman" w:eastAsia="Calibri" w:hAnsi="Times New Roman"/>
          <w:b/>
          <w:sz w:val="32"/>
          <w:szCs w:val="32"/>
          <w:lang w:val="fr-CA"/>
        </w:rPr>
      </w:pPr>
    </w:p>
    <w:p w:rsidR="009D6CBF" w:rsidRPr="009D6CBF" w:rsidRDefault="00AD19AF" w:rsidP="00AD19AF">
      <w:pPr>
        <w:spacing w:after="0" w:line="240" w:lineRule="auto"/>
        <w:jc w:val="center"/>
        <w:rPr>
          <w:rFonts w:ascii="Times New Roman" w:eastAsia="Calibri" w:hAnsi="Times New Roman"/>
          <w:b/>
          <w:sz w:val="24"/>
          <w:szCs w:val="24"/>
          <w:lang w:val="fr-CA"/>
        </w:rPr>
      </w:pPr>
      <w:r>
        <w:rPr>
          <w:rFonts w:ascii="Times New Roman" w:eastAsia="Calibri" w:hAnsi="Times New Roman"/>
          <w:b/>
          <w:sz w:val="24"/>
          <w:szCs w:val="24"/>
          <w:lang w:val="fr-CA"/>
        </w:rPr>
        <w:t>Avril</w:t>
      </w:r>
      <w:r w:rsidR="009D6CBF" w:rsidRPr="009D6CBF">
        <w:rPr>
          <w:rFonts w:ascii="Times New Roman" w:eastAsia="Calibri" w:hAnsi="Times New Roman"/>
          <w:b/>
          <w:sz w:val="24"/>
          <w:szCs w:val="24"/>
          <w:lang w:val="fr-CA"/>
        </w:rPr>
        <w:t xml:space="preserve"> 2013</w:t>
      </w:r>
    </w:p>
    <w:p w:rsidR="008673B7" w:rsidRPr="009D6CBF" w:rsidRDefault="008673B7" w:rsidP="008673B7">
      <w:pPr>
        <w:spacing w:after="0" w:line="240" w:lineRule="auto"/>
        <w:jc w:val="center"/>
        <w:rPr>
          <w:rFonts w:ascii="Times New Roman" w:eastAsia="Calibri" w:hAnsi="Times New Roman"/>
          <w:b/>
          <w:sz w:val="24"/>
          <w:szCs w:val="24"/>
          <w:lang w:val="fr-FR"/>
        </w:rPr>
      </w:pPr>
    </w:p>
    <w:p w:rsidR="008673B7" w:rsidRPr="00273D27" w:rsidRDefault="008673B7" w:rsidP="008673B7">
      <w:pPr>
        <w:spacing w:after="0" w:line="240" w:lineRule="auto"/>
        <w:jc w:val="center"/>
        <w:rPr>
          <w:rFonts w:ascii="Times New Roman" w:eastAsia="Calibri" w:hAnsi="Times New Roman"/>
          <w:b/>
          <w:sz w:val="24"/>
          <w:szCs w:val="24"/>
          <w:lang w:val="fr-FR"/>
        </w:rPr>
      </w:pPr>
    </w:p>
    <w:p w:rsidR="006A0A28" w:rsidRDefault="006A0A28" w:rsidP="008673B7">
      <w:pPr>
        <w:spacing w:after="0" w:line="240" w:lineRule="auto"/>
        <w:rPr>
          <w:rFonts w:ascii="Times New Roman" w:eastAsia="Calibri" w:hAnsi="Times New Roman"/>
          <w:b/>
          <w:sz w:val="24"/>
          <w:szCs w:val="24"/>
          <w:lang w:val="fr-CA"/>
        </w:rPr>
      </w:pPr>
    </w:p>
    <w:p w:rsidR="006A0A28" w:rsidRDefault="006A0A28"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9D6CBF" w:rsidRDefault="009D6CBF" w:rsidP="008673B7">
      <w:pPr>
        <w:spacing w:after="0" w:line="240" w:lineRule="auto"/>
        <w:rPr>
          <w:rFonts w:ascii="Times New Roman" w:eastAsia="Calibri" w:hAnsi="Times New Roman"/>
          <w:b/>
          <w:sz w:val="24"/>
          <w:szCs w:val="24"/>
          <w:lang w:val="fr-CA"/>
        </w:rPr>
      </w:pPr>
    </w:p>
    <w:p w:rsidR="006A0A28" w:rsidRDefault="006A0A28" w:rsidP="008673B7">
      <w:pPr>
        <w:spacing w:after="0" w:line="240" w:lineRule="auto"/>
        <w:rPr>
          <w:rFonts w:ascii="Times New Roman" w:eastAsia="Calibri" w:hAnsi="Times New Roman"/>
          <w:b/>
          <w:sz w:val="24"/>
          <w:szCs w:val="24"/>
          <w:lang w:val="fr-CA"/>
        </w:rPr>
      </w:pPr>
    </w:p>
    <w:p w:rsidR="006A0A28" w:rsidRDefault="006A0A28" w:rsidP="008673B7">
      <w:pPr>
        <w:spacing w:after="0" w:line="240" w:lineRule="auto"/>
        <w:rPr>
          <w:rFonts w:ascii="Times New Roman" w:eastAsia="Calibri" w:hAnsi="Times New Roman"/>
          <w:b/>
          <w:sz w:val="24"/>
          <w:szCs w:val="24"/>
          <w:lang w:val="fr-CA"/>
        </w:rPr>
      </w:pPr>
    </w:p>
    <w:p w:rsidR="006A0A28" w:rsidRDefault="006A0A28" w:rsidP="008673B7">
      <w:pPr>
        <w:spacing w:after="0" w:line="240" w:lineRule="auto"/>
        <w:rPr>
          <w:rFonts w:ascii="Times New Roman" w:eastAsia="Calibri" w:hAnsi="Times New Roman"/>
          <w:b/>
          <w:sz w:val="24"/>
          <w:szCs w:val="24"/>
          <w:lang w:val="fr-CA"/>
        </w:rPr>
      </w:pPr>
    </w:p>
    <w:p w:rsidR="006A0A28" w:rsidRDefault="006A0A28" w:rsidP="008673B7">
      <w:pPr>
        <w:spacing w:after="0" w:line="240" w:lineRule="auto"/>
        <w:rPr>
          <w:rFonts w:ascii="Times New Roman" w:eastAsia="Calibri" w:hAnsi="Times New Roman"/>
          <w:b/>
          <w:sz w:val="24"/>
          <w:szCs w:val="24"/>
          <w:lang w:val="fr-CA"/>
        </w:rPr>
      </w:pPr>
    </w:p>
    <w:p w:rsidR="006A0A28" w:rsidRDefault="006A0A28" w:rsidP="008673B7">
      <w:pPr>
        <w:spacing w:after="0" w:line="240" w:lineRule="auto"/>
        <w:rPr>
          <w:rFonts w:ascii="Times New Roman" w:eastAsia="Calibri" w:hAnsi="Times New Roman"/>
          <w:b/>
          <w:sz w:val="24"/>
          <w:szCs w:val="24"/>
          <w:lang w:val="fr-CA"/>
        </w:rPr>
      </w:pPr>
    </w:p>
    <w:p w:rsidR="006A0A28" w:rsidRDefault="006A0A28" w:rsidP="008673B7">
      <w:pPr>
        <w:spacing w:after="0" w:line="240" w:lineRule="auto"/>
        <w:rPr>
          <w:rFonts w:ascii="Times New Roman" w:eastAsia="Calibri" w:hAnsi="Times New Roman"/>
          <w:b/>
          <w:sz w:val="24"/>
          <w:szCs w:val="24"/>
          <w:lang w:val="fr-CA"/>
        </w:rPr>
      </w:pPr>
    </w:p>
    <w:p w:rsidR="006A0A28" w:rsidRDefault="006A0A28" w:rsidP="008673B7">
      <w:pPr>
        <w:spacing w:after="0" w:line="240" w:lineRule="auto"/>
        <w:rPr>
          <w:rFonts w:ascii="Times New Roman" w:eastAsia="Calibri" w:hAnsi="Times New Roman"/>
          <w:b/>
          <w:sz w:val="24"/>
          <w:szCs w:val="24"/>
          <w:lang w:val="fr-CA"/>
        </w:rPr>
      </w:pPr>
    </w:p>
    <w:sdt>
      <w:sdtPr>
        <w:rPr>
          <w:rFonts w:ascii="Times New Roman" w:hAnsi="Times New Roman"/>
        </w:rPr>
        <w:id w:val="1859084568"/>
        <w:docPartObj>
          <w:docPartGallery w:val="Table of Contents"/>
          <w:docPartUnique/>
        </w:docPartObj>
      </w:sdtPr>
      <w:sdtEndPr>
        <w:rPr>
          <w:noProof/>
        </w:rPr>
      </w:sdtEndPr>
      <w:sdtContent>
        <w:p w:rsidR="00A8570F" w:rsidRPr="00AE18AF" w:rsidRDefault="008673B7" w:rsidP="00A8570F">
          <w:pPr>
            <w:keepNext/>
            <w:keepLines/>
            <w:spacing w:after="0" w:line="240" w:lineRule="auto"/>
            <w:jc w:val="center"/>
            <w:rPr>
              <w:rFonts w:ascii="Times New Roman" w:eastAsiaTheme="majorEastAsia" w:hAnsi="Times New Roman"/>
              <w:b/>
              <w:bCs/>
              <w:sz w:val="28"/>
              <w:szCs w:val="28"/>
              <w:lang w:val="fr-FR"/>
            </w:rPr>
          </w:pPr>
          <w:r w:rsidRPr="00AE18AF">
            <w:rPr>
              <w:rFonts w:ascii="Times New Roman" w:eastAsiaTheme="majorEastAsia" w:hAnsi="Times New Roman"/>
              <w:b/>
              <w:bCs/>
              <w:sz w:val="28"/>
              <w:szCs w:val="28"/>
              <w:lang w:val="fr-FR"/>
            </w:rPr>
            <w:t>Table des matières</w:t>
          </w:r>
        </w:p>
        <w:p w:rsidR="00AE18AF" w:rsidRPr="00AE18AF" w:rsidRDefault="00AE18AF" w:rsidP="00A8570F">
          <w:pPr>
            <w:keepNext/>
            <w:keepLines/>
            <w:spacing w:after="0" w:line="240" w:lineRule="auto"/>
            <w:jc w:val="center"/>
            <w:rPr>
              <w:rFonts w:ascii="Times New Roman" w:eastAsiaTheme="majorEastAsia" w:hAnsi="Times New Roman"/>
              <w:bCs/>
              <w:sz w:val="28"/>
              <w:szCs w:val="28"/>
              <w:lang w:val="fr-FR"/>
            </w:rPr>
          </w:pPr>
        </w:p>
        <w:p w:rsidR="008673B7" w:rsidRPr="00AE18AF" w:rsidRDefault="008673B7" w:rsidP="008673B7">
          <w:pPr>
            <w:pStyle w:val="TOC1"/>
            <w:tabs>
              <w:tab w:val="right" w:leader="dot" w:pos="9350"/>
            </w:tabs>
            <w:rPr>
              <w:rFonts w:ascii="Times New Roman" w:eastAsiaTheme="minorEastAsia" w:hAnsi="Times New Roman"/>
              <w:noProof/>
            </w:rPr>
          </w:pPr>
          <w:r w:rsidRPr="00AE18AF">
            <w:rPr>
              <w:rFonts w:ascii="Times New Roman" w:hAnsi="Times New Roman"/>
            </w:rPr>
            <w:fldChar w:fldCharType="begin"/>
          </w:r>
          <w:r w:rsidRPr="00AE18AF">
            <w:rPr>
              <w:rFonts w:ascii="Times New Roman" w:hAnsi="Times New Roman"/>
            </w:rPr>
            <w:instrText xml:space="preserve"> TOC \o "1-3" \h \z \u </w:instrText>
          </w:r>
          <w:r w:rsidRPr="00AE18AF">
            <w:rPr>
              <w:rFonts w:ascii="Times New Roman" w:hAnsi="Times New Roman"/>
            </w:rPr>
            <w:fldChar w:fldCharType="separate"/>
          </w:r>
          <w:hyperlink w:anchor="_Toc350156676" w:history="1">
            <w:r w:rsidRPr="00AE18AF">
              <w:rPr>
                <w:rStyle w:val="Hyperlink"/>
                <w:rFonts w:ascii="Times New Roman" w:eastAsiaTheme="majorEastAsia" w:hAnsi="Times New Roman"/>
                <w:bCs/>
                <w:noProof/>
                <w:lang w:val="fr-FR"/>
              </w:rPr>
              <w:t>SOMMAIRE EXECUTIF</w:t>
            </w:r>
            <w:r w:rsidRPr="00AE18AF">
              <w:rPr>
                <w:rFonts w:ascii="Times New Roman" w:hAnsi="Times New Roman"/>
                <w:noProof/>
                <w:webHidden/>
              </w:rPr>
              <w:tab/>
            </w:r>
            <w:r w:rsidRPr="00AE18AF">
              <w:rPr>
                <w:rFonts w:ascii="Times New Roman" w:hAnsi="Times New Roman"/>
                <w:noProof/>
                <w:webHidden/>
              </w:rPr>
              <w:fldChar w:fldCharType="begin"/>
            </w:r>
            <w:r w:rsidRPr="00AE18AF">
              <w:rPr>
                <w:rFonts w:ascii="Times New Roman" w:hAnsi="Times New Roman"/>
                <w:noProof/>
                <w:webHidden/>
              </w:rPr>
              <w:instrText xml:space="preserve"> PAGEREF _Toc350156676 \h </w:instrText>
            </w:r>
            <w:r w:rsidRPr="00AE18AF">
              <w:rPr>
                <w:rFonts w:ascii="Times New Roman" w:hAnsi="Times New Roman"/>
                <w:noProof/>
                <w:webHidden/>
              </w:rPr>
            </w:r>
            <w:r w:rsidRPr="00AE18AF">
              <w:rPr>
                <w:rFonts w:ascii="Times New Roman" w:hAnsi="Times New Roman"/>
                <w:noProof/>
                <w:webHidden/>
              </w:rPr>
              <w:fldChar w:fldCharType="separate"/>
            </w:r>
            <w:r w:rsidR="00AE18AF">
              <w:rPr>
                <w:rFonts w:ascii="Times New Roman" w:hAnsi="Times New Roman"/>
                <w:noProof/>
                <w:webHidden/>
              </w:rPr>
              <w:t>4</w:t>
            </w:r>
            <w:r w:rsidRPr="00AE18AF">
              <w:rPr>
                <w:rFonts w:ascii="Times New Roman" w:hAnsi="Times New Roman"/>
                <w:noProof/>
                <w:webHidden/>
              </w:rPr>
              <w:fldChar w:fldCharType="end"/>
            </w:r>
          </w:hyperlink>
        </w:p>
        <w:p w:rsidR="008673B7" w:rsidRPr="00AE18AF" w:rsidRDefault="006C7303" w:rsidP="008673B7">
          <w:pPr>
            <w:pStyle w:val="TOC1"/>
            <w:tabs>
              <w:tab w:val="right" w:leader="dot" w:pos="9350"/>
            </w:tabs>
            <w:rPr>
              <w:rFonts w:ascii="Times New Roman" w:eastAsiaTheme="minorEastAsia" w:hAnsi="Times New Roman"/>
              <w:noProof/>
            </w:rPr>
          </w:pPr>
          <w:hyperlink w:anchor="_Toc350156677" w:history="1">
            <w:r w:rsidR="008673B7" w:rsidRPr="00AE18AF">
              <w:rPr>
                <w:rStyle w:val="Hyperlink"/>
                <w:rFonts w:ascii="Times New Roman" w:eastAsiaTheme="majorEastAsia" w:hAnsi="Times New Roman"/>
                <w:bCs/>
                <w:noProof/>
                <w:lang w:val="fr-FR"/>
              </w:rPr>
              <w:t>RECOMMANDATIONS CLES</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_Toc350156677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6</w:t>
            </w:r>
            <w:r w:rsidR="008673B7" w:rsidRPr="00AE18AF">
              <w:rPr>
                <w:rFonts w:ascii="Times New Roman" w:hAnsi="Times New Roman"/>
                <w:noProof/>
                <w:webHidden/>
              </w:rPr>
              <w:fldChar w:fldCharType="end"/>
            </w:r>
          </w:hyperlink>
        </w:p>
        <w:p w:rsidR="008673B7" w:rsidRPr="00AE18AF" w:rsidRDefault="006C7303" w:rsidP="008673B7">
          <w:pPr>
            <w:pStyle w:val="TOC1"/>
            <w:tabs>
              <w:tab w:val="right" w:leader="dot" w:pos="9350"/>
            </w:tabs>
            <w:rPr>
              <w:rFonts w:ascii="Times New Roman" w:eastAsiaTheme="minorEastAsia" w:hAnsi="Times New Roman"/>
              <w:noProof/>
            </w:rPr>
          </w:pPr>
          <w:hyperlink w:anchor="_Toc350156679" w:history="1">
            <w:r w:rsidR="008673B7" w:rsidRPr="00AE18AF">
              <w:rPr>
                <w:rStyle w:val="Hyperlink"/>
                <w:rFonts w:ascii="Times New Roman" w:eastAsiaTheme="majorEastAsia" w:hAnsi="Times New Roman"/>
                <w:bCs/>
                <w:noProof/>
                <w:lang w:val="fr-CA"/>
              </w:rPr>
              <w:t>ABRÉVIATIONS</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_Toc350156679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8</w:t>
            </w:r>
            <w:r w:rsidR="008673B7" w:rsidRPr="00AE18AF">
              <w:rPr>
                <w:rFonts w:ascii="Times New Roman" w:hAnsi="Times New Roman"/>
                <w:noProof/>
                <w:webHidden/>
              </w:rPr>
              <w:fldChar w:fldCharType="end"/>
            </w:r>
          </w:hyperlink>
        </w:p>
        <w:p w:rsidR="008673B7" w:rsidRPr="00AE18AF" w:rsidRDefault="001B63FA" w:rsidP="008673B7">
          <w:pPr>
            <w:pStyle w:val="TOC1"/>
            <w:tabs>
              <w:tab w:val="right" w:leader="dot" w:pos="9350"/>
            </w:tabs>
            <w:rPr>
              <w:rFonts w:ascii="Times New Roman" w:eastAsiaTheme="minorEastAsia" w:hAnsi="Times New Roman"/>
              <w:noProof/>
            </w:rPr>
          </w:pPr>
          <w:r w:rsidRPr="00AE18AF">
            <w:rPr>
              <w:rFonts w:ascii="Times New Roman" w:hAnsi="Times New Roman"/>
              <w:noProof/>
            </w:rPr>
            <w:t xml:space="preserve">I. </w:t>
          </w:r>
          <w:hyperlink w:anchor="_Toc350156680" w:history="1">
            <w:r w:rsidR="008673B7" w:rsidRPr="00AE18AF">
              <w:rPr>
                <w:rStyle w:val="Hyperlink"/>
                <w:rFonts w:ascii="Times New Roman" w:eastAsia="Calibri" w:hAnsi="Times New Roman"/>
                <w:bCs/>
                <w:noProof/>
                <w:lang w:val="fr-CA"/>
              </w:rPr>
              <w:t>INTRODUCTION</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_Toc350156680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9</w:t>
            </w:r>
            <w:r w:rsidR="008673B7" w:rsidRPr="00AE18AF">
              <w:rPr>
                <w:rFonts w:ascii="Times New Roman" w:hAnsi="Times New Roman"/>
                <w:noProof/>
                <w:webHidden/>
              </w:rPr>
              <w:fldChar w:fldCharType="end"/>
            </w:r>
          </w:hyperlink>
        </w:p>
        <w:p w:rsidR="008673B7" w:rsidRPr="00AE18AF" w:rsidRDefault="00A8570F" w:rsidP="008673B7">
          <w:pPr>
            <w:pStyle w:val="TOC2"/>
            <w:tabs>
              <w:tab w:val="right" w:leader="dot" w:pos="9350"/>
            </w:tabs>
            <w:rPr>
              <w:rFonts w:ascii="Times New Roman" w:eastAsiaTheme="minorEastAsia" w:hAnsi="Times New Roman"/>
              <w:noProof/>
            </w:rPr>
          </w:pPr>
          <w:r w:rsidRPr="00AE18AF">
            <w:rPr>
              <w:rFonts w:ascii="Times New Roman" w:hAnsi="Times New Roman"/>
              <w:noProof/>
            </w:rPr>
            <w:t xml:space="preserve">I.1. </w:t>
          </w:r>
          <w:hyperlink w:anchor="_Toc350156681" w:history="1">
            <w:r w:rsidR="008673B7" w:rsidRPr="00AE18AF">
              <w:rPr>
                <w:rStyle w:val="Hyperlink"/>
                <w:rFonts w:ascii="Times New Roman" w:eastAsia="Times New Roman" w:hAnsi="Times New Roman"/>
                <w:bCs/>
                <w:noProof/>
                <w:lang w:val="fr-CA"/>
              </w:rPr>
              <w:t>Contexte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_Toc350156681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9</w:t>
            </w:r>
            <w:r w:rsidR="008673B7" w:rsidRPr="00AE18AF">
              <w:rPr>
                <w:rFonts w:ascii="Times New Roman" w:hAnsi="Times New Roman"/>
                <w:noProof/>
                <w:webHidden/>
              </w:rPr>
              <w:fldChar w:fldCharType="end"/>
            </w:r>
          </w:hyperlink>
        </w:p>
        <w:p w:rsidR="008673B7" w:rsidRPr="00AE18AF" w:rsidRDefault="00A8570F" w:rsidP="008673B7">
          <w:pPr>
            <w:pStyle w:val="TOC2"/>
            <w:tabs>
              <w:tab w:val="right" w:leader="dot" w:pos="9350"/>
            </w:tabs>
            <w:rPr>
              <w:rFonts w:ascii="Times New Roman" w:eastAsiaTheme="minorEastAsia" w:hAnsi="Times New Roman"/>
              <w:noProof/>
            </w:rPr>
          </w:pPr>
          <w:r w:rsidRPr="00AE18AF">
            <w:rPr>
              <w:rFonts w:ascii="Times New Roman" w:hAnsi="Times New Roman"/>
              <w:noProof/>
            </w:rPr>
            <w:t xml:space="preserve">I.2. </w:t>
          </w:r>
          <w:hyperlink w:anchor="_Toc350156682" w:history="1">
            <w:r w:rsidR="008673B7" w:rsidRPr="00AE18AF">
              <w:rPr>
                <w:rStyle w:val="Hyperlink"/>
                <w:rFonts w:ascii="Times New Roman" w:eastAsia="Times New Roman" w:hAnsi="Times New Roman"/>
                <w:bCs/>
                <w:noProof/>
                <w:lang w:val="fr-FR"/>
              </w:rPr>
              <w:t>Structure et méthodologie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_Toc350156682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10</w:t>
            </w:r>
            <w:r w:rsidR="008673B7" w:rsidRPr="00AE18AF">
              <w:rPr>
                <w:rFonts w:ascii="Times New Roman" w:hAnsi="Times New Roman"/>
                <w:noProof/>
                <w:webHidden/>
              </w:rPr>
              <w:fldChar w:fldCharType="end"/>
            </w:r>
          </w:hyperlink>
        </w:p>
        <w:p w:rsidR="008673B7" w:rsidRPr="00AE18AF" w:rsidRDefault="006C7303" w:rsidP="008673B7">
          <w:pPr>
            <w:pStyle w:val="TOC1"/>
            <w:tabs>
              <w:tab w:val="right" w:leader="dot" w:pos="9350"/>
            </w:tabs>
            <w:rPr>
              <w:rFonts w:ascii="Times New Roman" w:eastAsiaTheme="minorEastAsia" w:hAnsi="Times New Roman"/>
              <w:noProof/>
            </w:rPr>
          </w:pPr>
          <w:hyperlink w:anchor="_Toc350156683" w:history="1">
            <w:r w:rsidR="008673B7" w:rsidRPr="00AE18AF">
              <w:rPr>
                <w:rStyle w:val="Hyperlink"/>
                <w:rFonts w:ascii="Times New Roman" w:eastAsiaTheme="majorEastAsia" w:hAnsi="Times New Roman"/>
                <w:noProof/>
                <w:lang w:val="fr-FR"/>
              </w:rPr>
              <w:t>I</w:t>
            </w:r>
            <w:r w:rsidR="001B63FA" w:rsidRPr="00AE18AF">
              <w:rPr>
                <w:rStyle w:val="Hyperlink"/>
                <w:rFonts w:ascii="Times New Roman" w:eastAsiaTheme="majorEastAsia" w:hAnsi="Times New Roman"/>
                <w:noProof/>
                <w:lang w:val="fr-FR"/>
              </w:rPr>
              <w:t>I</w:t>
            </w:r>
            <w:r w:rsidR="008673B7" w:rsidRPr="00AE18AF">
              <w:rPr>
                <w:rStyle w:val="Hyperlink"/>
                <w:rFonts w:ascii="Times New Roman" w:eastAsiaTheme="majorEastAsia" w:hAnsi="Times New Roman"/>
                <w:noProof/>
                <w:lang w:val="fr-FR"/>
              </w:rPr>
              <w:t>.</w:t>
            </w:r>
            <w:r w:rsidR="008673B7" w:rsidRPr="00AE18AF">
              <w:rPr>
                <w:rStyle w:val="Hyperlink"/>
                <w:rFonts w:ascii="Times New Roman" w:eastAsiaTheme="majorEastAsia" w:hAnsi="Times New Roman"/>
                <w:bCs/>
                <w:noProof/>
                <w:lang w:val="fr-FR"/>
              </w:rPr>
              <w:t xml:space="preserve"> MESURES LÉGISLATIVES, ADMINISTRATIVES ET JUDICIAIRES</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_Toc350156683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11</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684" w:history="1">
            <w:r w:rsidR="008673B7" w:rsidRPr="00AE18AF">
              <w:rPr>
                <w:rStyle w:val="Hyperlink"/>
                <w:rFonts w:ascii="Times New Roman" w:eastAsia="Times New Roman" w:hAnsi="Times New Roman"/>
                <w:bCs/>
                <w:noProof/>
                <w:lang w:val="fr-FR"/>
              </w:rPr>
              <w:t>I</w:t>
            </w:r>
            <w:r w:rsidR="001B63FA" w:rsidRPr="00AE18AF">
              <w:rPr>
                <w:rStyle w:val="Hyperlink"/>
                <w:rFonts w:ascii="Times New Roman" w:eastAsia="Times New Roman" w:hAnsi="Times New Roman"/>
                <w:bCs/>
                <w:noProof/>
                <w:lang w:val="fr-FR"/>
              </w:rPr>
              <w:t>I</w:t>
            </w:r>
            <w:r w:rsidR="008673B7" w:rsidRPr="00AE18AF">
              <w:rPr>
                <w:rStyle w:val="Hyperlink"/>
                <w:rFonts w:ascii="Times New Roman" w:eastAsia="Times New Roman" w:hAnsi="Times New Roman"/>
                <w:bCs/>
                <w:noProof/>
                <w:lang w:val="fr-FR"/>
              </w:rPr>
              <w:t>.1. Ratification des instruments internationaux relatifs aux droits de l'homme et engagement avec les mécanismes internationaux des droits de l'homme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_Toc350156684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11</w:t>
            </w:r>
            <w:r w:rsidR="008673B7" w:rsidRPr="00AE18AF">
              <w:rPr>
                <w:rFonts w:ascii="Times New Roman" w:hAnsi="Times New Roman"/>
                <w:noProof/>
                <w:webHidden/>
              </w:rPr>
              <w:fldChar w:fldCharType="end"/>
            </w:r>
          </w:hyperlink>
        </w:p>
        <w:p w:rsidR="008673B7" w:rsidRPr="00AE18AF" w:rsidRDefault="006C7303" w:rsidP="00AE18AF">
          <w:pPr>
            <w:pStyle w:val="TOC3"/>
            <w:rPr>
              <w:rFonts w:eastAsiaTheme="minorEastAsia"/>
              <w:noProof/>
            </w:rPr>
          </w:pPr>
          <w:hyperlink w:anchor="_Toc350156685" w:history="1">
            <w:r w:rsidR="008673B7" w:rsidRPr="00AE18AF">
              <w:rPr>
                <w:rStyle w:val="Hyperlink"/>
                <w:rFonts w:eastAsiaTheme="majorEastAsia"/>
                <w:bCs/>
                <w:noProof/>
              </w:rPr>
              <w:t>I</w:t>
            </w:r>
            <w:r w:rsidR="001B63FA" w:rsidRPr="00AE18AF">
              <w:rPr>
                <w:rStyle w:val="Hyperlink"/>
                <w:rFonts w:eastAsiaTheme="majorEastAsia"/>
                <w:bCs/>
                <w:noProof/>
              </w:rPr>
              <w:t>I</w:t>
            </w:r>
            <w:r w:rsidR="008673B7" w:rsidRPr="00AE18AF">
              <w:rPr>
                <w:rStyle w:val="Hyperlink"/>
                <w:rFonts w:eastAsiaTheme="majorEastAsia"/>
                <w:bCs/>
                <w:noProof/>
              </w:rPr>
              <w:t xml:space="preserve">.1.1. Progrès réalisés concernant la récente ratification </w:t>
            </w:r>
            <w:r w:rsidR="008673B7" w:rsidRPr="00AE18AF">
              <w:rPr>
                <w:rStyle w:val="Hyperlink"/>
                <w:rFonts w:eastAsia="Calibri"/>
                <w:bCs/>
                <w:noProof/>
              </w:rPr>
              <w:t>d’instruments internationaux relatifs aux droits de l’homme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_Toc350156685 \h </w:instrText>
            </w:r>
            <w:r w:rsidR="008673B7" w:rsidRPr="00AE18AF">
              <w:rPr>
                <w:noProof/>
                <w:webHidden/>
              </w:rPr>
            </w:r>
            <w:r w:rsidR="008673B7" w:rsidRPr="00AE18AF">
              <w:rPr>
                <w:noProof/>
                <w:webHidden/>
              </w:rPr>
              <w:fldChar w:fldCharType="separate"/>
            </w:r>
            <w:r w:rsidR="00AE18AF">
              <w:rPr>
                <w:noProof/>
                <w:webHidden/>
              </w:rPr>
              <w:t>11</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686" w:history="1">
            <w:r w:rsidR="008673B7" w:rsidRPr="00AE18AF">
              <w:rPr>
                <w:rStyle w:val="Hyperlink"/>
                <w:rFonts w:eastAsiaTheme="majorEastAsia"/>
                <w:bCs/>
                <w:noProof/>
              </w:rPr>
              <w:t>I</w:t>
            </w:r>
            <w:r w:rsidR="001B63FA" w:rsidRPr="00AE18AF">
              <w:rPr>
                <w:rStyle w:val="Hyperlink"/>
                <w:rFonts w:eastAsiaTheme="majorEastAsia"/>
                <w:bCs/>
                <w:noProof/>
              </w:rPr>
              <w:t>I</w:t>
            </w:r>
            <w:r w:rsidR="008673B7" w:rsidRPr="00AE18AF">
              <w:rPr>
                <w:rStyle w:val="Hyperlink"/>
                <w:rFonts w:eastAsiaTheme="majorEastAsia"/>
                <w:bCs/>
                <w:noProof/>
              </w:rPr>
              <w:t>.1.2. Obligation de rapporter périodiquement aux organes de traités sur les droits de l’homme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_Toc350156686 \h </w:instrText>
            </w:r>
            <w:r w:rsidR="008673B7" w:rsidRPr="00AE18AF">
              <w:rPr>
                <w:noProof/>
                <w:webHidden/>
              </w:rPr>
            </w:r>
            <w:r w:rsidR="008673B7" w:rsidRPr="00AE18AF">
              <w:rPr>
                <w:noProof/>
                <w:webHidden/>
              </w:rPr>
              <w:fldChar w:fldCharType="separate"/>
            </w:r>
            <w:r w:rsidR="00AE18AF">
              <w:rPr>
                <w:noProof/>
                <w:webHidden/>
              </w:rPr>
              <w:t>11</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687" w:history="1">
            <w:r w:rsidR="008673B7" w:rsidRPr="00AE18AF">
              <w:rPr>
                <w:rStyle w:val="Hyperlink"/>
                <w:rFonts w:eastAsia="Calibri"/>
                <w:bCs/>
                <w:noProof/>
              </w:rPr>
              <w:t>I</w:t>
            </w:r>
            <w:r w:rsidR="001B63FA" w:rsidRPr="00AE18AF">
              <w:rPr>
                <w:rStyle w:val="Hyperlink"/>
                <w:rFonts w:eastAsia="Calibri"/>
                <w:bCs/>
                <w:noProof/>
              </w:rPr>
              <w:t>I</w:t>
            </w:r>
            <w:r w:rsidR="008673B7" w:rsidRPr="00AE18AF">
              <w:rPr>
                <w:rStyle w:val="Hyperlink"/>
                <w:rFonts w:eastAsia="Calibri"/>
                <w:bCs/>
                <w:noProof/>
              </w:rPr>
              <w:t>.1.3. La mise en œuvre des recommandations dans le cadre de  l’EPU</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_Toc350156687 \h </w:instrText>
            </w:r>
            <w:r w:rsidR="008673B7" w:rsidRPr="00AE18AF">
              <w:rPr>
                <w:noProof/>
                <w:webHidden/>
              </w:rPr>
            </w:r>
            <w:r w:rsidR="008673B7" w:rsidRPr="00AE18AF">
              <w:rPr>
                <w:noProof/>
                <w:webHidden/>
              </w:rPr>
              <w:fldChar w:fldCharType="separate"/>
            </w:r>
            <w:r w:rsidR="00AE18AF">
              <w:rPr>
                <w:noProof/>
                <w:webHidden/>
              </w:rPr>
              <w:t>12</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688" w:history="1">
            <w:r w:rsidR="008673B7" w:rsidRPr="00AE18AF">
              <w:rPr>
                <w:rStyle w:val="Hyperlink"/>
                <w:rFonts w:eastAsiaTheme="majorEastAsia"/>
                <w:bCs/>
                <w:noProof/>
              </w:rPr>
              <w:t>I</w:t>
            </w:r>
            <w:r w:rsidR="001B63FA" w:rsidRPr="00AE18AF">
              <w:rPr>
                <w:rStyle w:val="Hyperlink"/>
                <w:rFonts w:eastAsiaTheme="majorEastAsia"/>
                <w:bCs/>
                <w:noProof/>
              </w:rPr>
              <w:t>I</w:t>
            </w:r>
            <w:r w:rsidR="008673B7" w:rsidRPr="00AE18AF">
              <w:rPr>
                <w:rStyle w:val="Hyperlink"/>
                <w:rFonts w:eastAsiaTheme="majorEastAsia"/>
                <w:bCs/>
                <w:noProof/>
              </w:rPr>
              <w:t>.1.4. Les mécanismes internationaux des droits de l'homme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_Toc350156688 \h </w:instrText>
            </w:r>
            <w:r w:rsidR="008673B7" w:rsidRPr="00AE18AF">
              <w:rPr>
                <w:noProof/>
                <w:webHidden/>
              </w:rPr>
            </w:r>
            <w:r w:rsidR="008673B7" w:rsidRPr="00AE18AF">
              <w:rPr>
                <w:noProof/>
                <w:webHidden/>
              </w:rPr>
              <w:fldChar w:fldCharType="separate"/>
            </w:r>
            <w:r w:rsidR="00AE18AF">
              <w:rPr>
                <w:noProof/>
                <w:webHidden/>
              </w:rPr>
              <w:t>12</w:t>
            </w:r>
            <w:r w:rsidR="008673B7" w:rsidRPr="00AE18AF">
              <w:rPr>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689" w:history="1">
            <w:r w:rsidR="008673B7" w:rsidRPr="00AE18AF">
              <w:rPr>
                <w:rStyle w:val="Hyperlink"/>
                <w:rFonts w:ascii="Times New Roman" w:eastAsia="Calibri" w:hAnsi="Times New Roman"/>
                <w:bCs/>
                <w:noProof/>
                <w:lang w:val="fr-FR"/>
              </w:rPr>
              <w:t>I</w:t>
            </w:r>
            <w:r w:rsidR="001B63FA" w:rsidRPr="00AE18AF">
              <w:rPr>
                <w:rStyle w:val="Hyperlink"/>
                <w:rFonts w:ascii="Times New Roman" w:eastAsia="Calibri" w:hAnsi="Times New Roman"/>
                <w:bCs/>
                <w:noProof/>
                <w:lang w:val="fr-FR"/>
              </w:rPr>
              <w:t>I</w:t>
            </w:r>
            <w:r w:rsidR="008673B7" w:rsidRPr="00AE18AF">
              <w:rPr>
                <w:rStyle w:val="Hyperlink"/>
                <w:rFonts w:ascii="Times New Roman" w:eastAsia="Calibri" w:hAnsi="Times New Roman"/>
                <w:bCs/>
                <w:noProof/>
                <w:lang w:val="fr-FR"/>
              </w:rPr>
              <w:t>.2. Mesures législatives</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_Toc350156689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13</w:t>
            </w:r>
            <w:r w:rsidR="008673B7" w:rsidRPr="00AE18AF">
              <w:rPr>
                <w:rFonts w:ascii="Times New Roman" w:hAnsi="Times New Roman"/>
                <w:noProof/>
                <w:webHidden/>
              </w:rPr>
              <w:fldChar w:fldCharType="end"/>
            </w:r>
          </w:hyperlink>
        </w:p>
        <w:p w:rsidR="008673B7" w:rsidRPr="00AE18AF" w:rsidRDefault="006C7303" w:rsidP="00AE18AF">
          <w:pPr>
            <w:pStyle w:val="TOC3"/>
            <w:rPr>
              <w:rFonts w:eastAsiaTheme="minorEastAsia"/>
              <w:noProof/>
            </w:rPr>
          </w:pPr>
          <w:hyperlink w:anchor="_Toc350156690" w:history="1">
            <w:r w:rsidR="008673B7" w:rsidRPr="00AE18AF">
              <w:rPr>
                <w:rStyle w:val="Hyperlink"/>
                <w:rFonts w:eastAsiaTheme="majorEastAsia"/>
                <w:bCs/>
                <w:noProof/>
              </w:rPr>
              <w:t>I</w:t>
            </w:r>
            <w:r w:rsidR="001B63FA" w:rsidRPr="00AE18AF">
              <w:rPr>
                <w:rStyle w:val="Hyperlink"/>
                <w:rFonts w:eastAsiaTheme="majorEastAsia"/>
                <w:bCs/>
                <w:noProof/>
              </w:rPr>
              <w:t>I</w:t>
            </w:r>
            <w:r w:rsidR="008673B7" w:rsidRPr="00AE18AF">
              <w:rPr>
                <w:rStyle w:val="Hyperlink"/>
                <w:rFonts w:eastAsiaTheme="majorEastAsia"/>
                <w:bCs/>
                <w:noProof/>
              </w:rPr>
              <w:t>.2.1. Loi portant sur l’organisation et le fonctionnement de l’Office de la protection du citoyen</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_Toc350156690 \h </w:instrText>
            </w:r>
            <w:r w:rsidR="008673B7" w:rsidRPr="00AE18AF">
              <w:rPr>
                <w:noProof/>
                <w:webHidden/>
              </w:rPr>
            </w:r>
            <w:r w:rsidR="008673B7" w:rsidRPr="00AE18AF">
              <w:rPr>
                <w:noProof/>
                <w:webHidden/>
              </w:rPr>
              <w:fldChar w:fldCharType="separate"/>
            </w:r>
            <w:r w:rsidR="00AE18AF">
              <w:rPr>
                <w:noProof/>
                <w:webHidden/>
              </w:rPr>
              <w:t>13</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691" w:history="1">
            <w:r w:rsidR="008673B7" w:rsidRPr="00AE18AF">
              <w:rPr>
                <w:rStyle w:val="Hyperlink"/>
                <w:rFonts w:eastAsiaTheme="majorEastAsia"/>
                <w:bCs/>
                <w:noProof/>
              </w:rPr>
              <w:t>I</w:t>
            </w:r>
            <w:r w:rsidR="001B63FA" w:rsidRPr="00AE18AF">
              <w:rPr>
                <w:rStyle w:val="Hyperlink"/>
                <w:rFonts w:eastAsiaTheme="majorEastAsia"/>
                <w:bCs/>
                <w:noProof/>
              </w:rPr>
              <w:t>I</w:t>
            </w:r>
            <w:r w:rsidR="008673B7" w:rsidRPr="00AE18AF">
              <w:rPr>
                <w:rStyle w:val="Hyperlink"/>
                <w:rFonts w:eastAsiaTheme="majorEastAsia"/>
                <w:bCs/>
                <w:noProof/>
              </w:rPr>
              <w:t>.2.2. Réformes législatives et progrès réalisés sur des lois récemment adoptées ou à adopter</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_Toc350156691 \h </w:instrText>
            </w:r>
            <w:r w:rsidR="008673B7" w:rsidRPr="00AE18AF">
              <w:rPr>
                <w:noProof/>
                <w:webHidden/>
              </w:rPr>
            </w:r>
            <w:r w:rsidR="008673B7" w:rsidRPr="00AE18AF">
              <w:rPr>
                <w:noProof/>
                <w:webHidden/>
              </w:rPr>
              <w:fldChar w:fldCharType="separate"/>
            </w:r>
            <w:r w:rsidR="00AE18AF">
              <w:rPr>
                <w:noProof/>
                <w:webHidden/>
              </w:rPr>
              <w:t>13</w:t>
            </w:r>
            <w:r w:rsidR="008673B7" w:rsidRPr="00AE18AF">
              <w:rPr>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692" w:history="1">
            <w:r w:rsidR="008673B7" w:rsidRPr="00AE18AF">
              <w:rPr>
                <w:rStyle w:val="Hyperlink"/>
                <w:rFonts w:ascii="Times New Roman" w:eastAsia="Calibri" w:hAnsi="Times New Roman"/>
                <w:bCs/>
                <w:noProof/>
                <w:lang w:val="fr-FR"/>
              </w:rPr>
              <w:t>I</w:t>
            </w:r>
            <w:r w:rsidR="00A8570F" w:rsidRPr="00AE18AF">
              <w:rPr>
                <w:rStyle w:val="Hyperlink"/>
                <w:rFonts w:ascii="Times New Roman" w:eastAsia="Calibri" w:hAnsi="Times New Roman"/>
                <w:bCs/>
                <w:noProof/>
                <w:lang w:val="fr-FR"/>
              </w:rPr>
              <w:t>I</w:t>
            </w:r>
            <w:r w:rsidR="008673B7" w:rsidRPr="00AE18AF">
              <w:rPr>
                <w:rStyle w:val="Hyperlink"/>
                <w:rFonts w:ascii="Times New Roman" w:eastAsia="Calibri" w:hAnsi="Times New Roman"/>
                <w:bCs/>
                <w:noProof/>
                <w:lang w:val="fr-FR"/>
              </w:rPr>
              <w:t>.3. Mesures administratives et politiques</w:t>
            </w:r>
            <w:r w:rsidR="001C7DFC" w:rsidRPr="00AE18AF">
              <w:rPr>
                <w:rStyle w:val="Hyperlink"/>
                <w:rFonts w:ascii="Times New Roman" w:eastAsia="Calibri" w:hAnsi="Times New Roman"/>
                <w:bCs/>
                <w:noProof/>
                <w:lang w:val="fr-FR"/>
              </w:rPr>
              <w:t xml:space="preserve"> relatives aux droits de l’homme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_Toc350156692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14</w:t>
            </w:r>
            <w:r w:rsidR="008673B7" w:rsidRPr="00AE18AF">
              <w:rPr>
                <w:rFonts w:ascii="Times New Roman" w:hAnsi="Times New Roman"/>
                <w:noProof/>
                <w:webHidden/>
              </w:rPr>
              <w:fldChar w:fldCharType="end"/>
            </w:r>
          </w:hyperlink>
        </w:p>
        <w:p w:rsidR="008673B7" w:rsidRPr="00AE18AF" w:rsidRDefault="006C7303" w:rsidP="00AE18AF">
          <w:pPr>
            <w:pStyle w:val="TOC3"/>
            <w:rPr>
              <w:rFonts w:eastAsiaTheme="minorEastAsia"/>
              <w:noProof/>
            </w:rPr>
          </w:pPr>
          <w:hyperlink w:anchor="_Toc350156693" w:history="1">
            <w:r w:rsidR="008673B7" w:rsidRPr="00AE18AF">
              <w:rPr>
                <w:rStyle w:val="Hyperlink"/>
                <w:rFonts w:eastAsiaTheme="majorEastAsia"/>
                <w:bCs/>
                <w:noProof/>
              </w:rPr>
              <w:t>I</w:t>
            </w:r>
            <w:r w:rsidR="00A8570F" w:rsidRPr="00AE18AF">
              <w:rPr>
                <w:rStyle w:val="Hyperlink"/>
                <w:rFonts w:eastAsiaTheme="majorEastAsia"/>
                <w:bCs/>
                <w:noProof/>
              </w:rPr>
              <w:t>I</w:t>
            </w:r>
            <w:r w:rsidR="008673B7" w:rsidRPr="00AE18AF">
              <w:rPr>
                <w:rStyle w:val="Hyperlink"/>
                <w:rFonts w:eastAsiaTheme="majorEastAsia"/>
                <w:bCs/>
                <w:noProof/>
              </w:rPr>
              <w:t>.3.1. Projet de la ministre déléguée chargée des droits de l'homme et de la lutte contre la pauvreté extrême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_Toc350156693 \h </w:instrText>
            </w:r>
            <w:r w:rsidR="008673B7" w:rsidRPr="00AE18AF">
              <w:rPr>
                <w:noProof/>
                <w:webHidden/>
              </w:rPr>
            </w:r>
            <w:r w:rsidR="008673B7" w:rsidRPr="00AE18AF">
              <w:rPr>
                <w:noProof/>
                <w:webHidden/>
              </w:rPr>
              <w:fldChar w:fldCharType="separate"/>
            </w:r>
            <w:r w:rsidR="00AE18AF">
              <w:rPr>
                <w:noProof/>
                <w:webHidden/>
              </w:rPr>
              <w:t>14</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694" w:history="1">
            <w:r w:rsidR="008673B7" w:rsidRPr="00AE18AF">
              <w:rPr>
                <w:rStyle w:val="Hyperlink"/>
                <w:rFonts w:eastAsiaTheme="majorEastAsia"/>
                <w:bCs/>
                <w:noProof/>
              </w:rPr>
              <w:t>I</w:t>
            </w:r>
            <w:r w:rsidR="00A8570F" w:rsidRPr="00AE18AF">
              <w:rPr>
                <w:rStyle w:val="Hyperlink"/>
                <w:rFonts w:eastAsiaTheme="majorEastAsia"/>
                <w:bCs/>
                <w:noProof/>
              </w:rPr>
              <w:t>I</w:t>
            </w:r>
            <w:r w:rsidR="008673B7" w:rsidRPr="00AE18AF">
              <w:rPr>
                <w:rStyle w:val="Hyperlink"/>
                <w:rFonts w:eastAsiaTheme="majorEastAsia"/>
                <w:bCs/>
                <w:noProof/>
              </w:rPr>
              <w:t>.3.2. Politique nationale du logement et du développement urbain</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_Toc350156694 \h </w:instrText>
            </w:r>
            <w:r w:rsidR="008673B7" w:rsidRPr="00AE18AF">
              <w:rPr>
                <w:noProof/>
                <w:webHidden/>
              </w:rPr>
            </w:r>
            <w:r w:rsidR="008673B7" w:rsidRPr="00AE18AF">
              <w:rPr>
                <w:noProof/>
                <w:webHidden/>
              </w:rPr>
              <w:fldChar w:fldCharType="separate"/>
            </w:r>
            <w:r w:rsidR="00AE18AF">
              <w:rPr>
                <w:noProof/>
                <w:webHidden/>
              </w:rPr>
              <w:t>14</w:t>
            </w:r>
            <w:r w:rsidR="008673B7" w:rsidRPr="00AE18AF">
              <w:rPr>
                <w:noProof/>
                <w:webHidden/>
              </w:rPr>
              <w:fldChar w:fldCharType="end"/>
            </w:r>
          </w:hyperlink>
        </w:p>
        <w:p w:rsidR="008673B7" w:rsidRPr="00AE18AF" w:rsidRDefault="006C7303" w:rsidP="008673B7">
          <w:pPr>
            <w:pStyle w:val="TOC1"/>
            <w:tabs>
              <w:tab w:val="right" w:leader="dot" w:pos="9350"/>
            </w:tabs>
            <w:rPr>
              <w:rFonts w:ascii="Times New Roman" w:eastAsiaTheme="minorEastAsia" w:hAnsi="Times New Roman"/>
              <w:noProof/>
            </w:rPr>
          </w:pPr>
          <w:hyperlink w:anchor="_Toc350156695" w:history="1">
            <w:r w:rsidR="008673B7" w:rsidRPr="00AE18AF">
              <w:rPr>
                <w:rStyle w:val="Hyperlink"/>
                <w:rFonts w:ascii="Times New Roman" w:hAnsi="Times New Roman"/>
                <w:noProof/>
                <w:lang w:val="fr-FR"/>
              </w:rPr>
              <w:t>I</w:t>
            </w:r>
            <w:r w:rsidR="001B63FA" w:rsidRPr="00AE18AF">
              <w:rPr>
                <w:rStyle w:val="Hyperlink"/>
                <w:rFonts w:ascii="Times New Roman" w:hAnsi="Times New Roman"/>
                <w:noProof/>
                <w:lang w:val="fr-FR"/>
              </w:rPr>
              <w:t>I</w:t>
            </w:r>
            <w:r w:rsidR="008673B7" w:rsidRPr="00AE18AF">
              <w:rPr>
                <w:rStyle w:val="Hyperlink"/>
                <w:rFonts w:ascii="Times New Roman" w:hAnsi="Times New Roman"/>
                <w:noProof/>
                <w:lang w:val="fr-FR"/>
              </w:rPr>
              <w:t>I. ÉTAT DE DROIT ET IMPUNITE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_Toc350156695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15</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696" w:history="1">
            <w:r w:rsidR="008673B7" w:rsidRPr="00AE18AF">
              <w:rPr>
                <w:rStyle w:val="Hyperlink"/>
                <w:rFonts w:ascii="Times New Roman" w:hAnsi="Times New Roman"/>
                <w:noProof/>
                <w:lang w:val="fr-FR"/>
              </w:rPr>
              <w:t>II</w:t>
            </w:r>
            <w:r w:rsidR="00A8570F" w:rsidRPr="00AE18AF">
              <w:rPr>
                <w:rStyle w:val="Hyperlink"/>
                <w:rFonts w:ascii="Times New Roman" w:hAnsi="Times New Roman"/>
                <w:noProof/>
                <w:lang w:val="fr-FR"/>
              </w:rPr>
              <w:t>I</w:t>
            </w:r>
            <w:r w:rsidR="008673B7" w:rsidRPr="00AE18AF">
              <w:rPr>
                <w:rStyle w:val="Hyperlink"/>
                <w:rFonts w:ascii="Times New Roman" w:hAnsi="Times New Roman"/>
                <w:noProof/>
                <w:lang w:val="fr-FR"/>
              </w:rPr>
              <w:t>.1. Violations alléguées des droits de l’homme par des agents de la PNH et de la DGD</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_Toc350156696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15</w:t>
            </w:r>
            <w:r w:rsidR="008673B7" w:rsidRPr="00AE18AF">
              <w:rPr>
                <w:rFonts w:ascii="Times New Roman" w:hAnsi="Times New Roman"/>
                <w:noProof/>
                <w:webHidden/>
              </w:rPr>
              <w:fldChar w:fldCharType="end"/>
            </w:r>
          </w:hyperlink>
        </w:p>
        <w:p w:rsidR="008673B7" w:rsidRPr="00AE18AF" w:rsidRDefault="006C7303" w:rsidP="00AE18AF">
          <w:pPr>
            <w:pStyle w:val="TOC3"/>
            <w:rPr>
              <w:rFonts w:eastAsiaTheme="minorEastAsia"/>
              <w:noProof/>
            </w:rPr>
          </w:pPr>
          <w:hyperlink w:anchor="_Toc350156697" w:history="1">
            <w:r w:rsidR="008673B7" w:rsidRPr="00AE18AF">
              <w:rPr>
                <w:rStyle w:val="Hyperlink"/>
                <w:noProof/>
              </w:rPr>
              <w:t>II</w:t>
            </w:r>
            <w:r w:rsidR="00A8570F" w:rsidRPr="00AE18AF">
              <w:rPr>
                <w:rStyle w:val="Hyperlink"/>
                <w:noProof/>
              </w:rPr>
              <w:t>I</w:t>
            </w:r>
            <w:r w:rsidR="008673B7" w:rsidRPr="00AE18AF">
              <w:rPr>
                <w:rStyle w:val="Hyperlink"/>
                <w:noProof/>
              </w:rPr>
              <w:t>.1.1. Usage excessif de la force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_Toc350156697 \h </w:instrText>
            </w:r>
            <w:r w:rsidR="008673B7" w:rsidRPr="00AE18AF">
              <w:rPr>
                <w:noProof/>
                <w:webHidden/>
              </w:rPr>
            </w:r>
            <w:r w:rsidR="008673B7" w:rsidRPr="00AE18AF">
              <w:rPr>
                <w:noProof/>
                <w:webHidden/>
              </w:rPr>
              <w:fldChar w:fldCharType="separate"/>
            </w:r>
            <w:r w:rsidR="00AE18AF">
              <w:rPr>
                <w:noProof/>
                <w:webHidden/>
              </w:rPr>
              <w:t>15</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698" w:history="1">
            <w:r w:rsidR="008673B7" w:rsidRPr="00AE18AF">
              <w:rPr>
                <w:rStyle w:val="Hyperlink"/>
                <w:noProof/>
                <w:lang w:val="fr-CA"/>
              </w:rPr>
              <w:t>Usage excessif de la force dans le cadre d’opérations d’évictions forcées</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_Toc350156698 \h </w:instrText>
            </w:r>
            <w:r w:rsidR="008673B7" w:rsidRPr="00AE18AF">
              <w:rPr>
                <w:noProof/>
                <w:webHidden/>
              </w:rPr>
            </w:r>
            <w:r w:rsidR="008673B7" w:rsidRPr="00AE18AF">
              <w:rPr>
                <w:noProof/>
                <w:webHidden/>
              </w:rPr>
              <w:fldChar w:fldCharType="separate"/>
            </w:r>
            <w:r w:rsidR="00AE18AF">
              <w:rPr>
                <w:noProof/>
                <w:webHidden/>
              </w:rPr>
              <w:t>15</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699" w:history="1">
            <w:r w:rsidR="008673B7" w:rsidRPr="00AE18AF">
              <w:rPr>
                <w:rStyle w:val="Hyperlink"/>
                <w:noProof/>
                <w:lang w:val="fr-CA"/>
              </w:rPr>
              <w:t>Usage excessif de la force dans le cadre de la répression de mouvements de protestation ou d’opérations anti-criminalité</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_Toc350156699 \h </w:instrText>
            </w:r>
            <w:r w:rsidR="008673B7" w:rsidRPr="00AE18AF">
              <w:rPr>
                <w:noProof/>
                <w:webHidden/>
              </w:rPr>
            </w:r>
            <w:r w:rsidR="008673B7" w:rsidRPr="00AE18AF">
              <w:rPr>
                <w:noProof/>
                <w:webHidden/>
              </w:rPr>
              <w:fldChar w:fldCharType="separate"/>
            </w:r>
            <w:r w:rsidR="00AE18AF">
              <w:rPr>
                <w:noProof/>
                <w:webHidden/>
              </w:rPr>
              <w:t>16</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00" w:history="1">
            <w:r w:rsidR="008673B7" w:rsidRPr="00AE18AF">
              <w:rPr>
                <w:rStyle w:val="Hyperlink"/>
                <w:noProof/>
              </w:rPr>
              <w:t>Usage excessif de la force dans le cadre d’incidents isolés</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_Toc350156700 \h </w:instrText>
            </w:r>
            <w:r w:rsidR="008673B7" w:rsidRPr="00AE18AF">
              <w:rPr>
                <w:noProof/>
                <w:webHidden/>
              </w:rPr>
            </w:r>
            <w:r w:rsidR="008673B7" w:rsidRPr="00AE18AF">
              <w:rPr>
                <w:noProof/>
                <w:webHidden/>
              </w:rPr>
              <w:fldChar w:fldCharType="separate"/>
            </w:r>
            <w:r w:rsidR="00AE18AF">
              <w:rPr>
                <w:noProof/>
                <w:webHidden/>
              </w:rPr>
              <w:t>17</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01" w:history="1">
            <w:r w:rsidR="008673B7" w:rsidRPr="00AE18AF">
              <w:rPr>
                <w:rStyle w:val="Hyperlink"/>
              </w:rPr>
              <w:t>II</w:t>
            </w:r>
            <w:r w:rsidR="00A8570F" w:rsidRPr="00AE18AF">
              <w:rPr>
                <w:rStyle w:val="Hyperlink"/>
              </w:rPr>
              <w:t>I</w:t>
            </w:r>
            <w:r w:rsidR="008673B7" w:rsidRPr="00AE18AF">
              <w:rPr>
                <w:rStyle w:val="Hyperlink"/>
                <w:noProof/>
              </w:rPr>
              <w:t>.1.2. Actes de mauvais traitements</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_Toc350156701 \h </w:instrText>
            </w:r>
            <w:r w:rsidR="008673B7" w:rsidRPr="00AE18AF">
              <w:rPr>
                <w:noProof/>
                <w:webHidden/>
              </w:rPr>
            </w:r>
            <w:r w:rsidR="008673B7" w:rsidRPr="00AE18AF">
              <w:rPr>
                <w:noProof/>
                <w:webHidden/>
              </w:rPr>
              <w:fldChar w:fldCharType="separate"/>
            </w:r>
            <w:r w:rsidR="00AE18AF">
              <w:rPr>
                <w:noProof/>
                <w:webHidden/>
              </w:rPr>
              <w:t>17</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02" w:history="1">
            <w:r w:rsidR="008673B7" w:rsidRPr="00AE18AF">
              <w:rPr>
                <w:rStyle w:val="Hyperlink"/>
                <w:noProof/>
              </w:rPr>
              <w:t>II</w:t>
            </w:r>
            <w:r w:rsidR="00A8570F" w:rsidRPr="00AE18AF">
              <w:rPr>
                <w:rStyle w:val="Hyperlink"/>
                <w:noProof/>
              </w:rPr>
              <w:t>I</w:t>
            </w:r>
            <w:r w:rsidR="008673B7" w:rsidRPr="00AE18AF">
              <w:rPr>
                <w:rStyle w:val="Hyperlink"/>
                <w:noProof/>
              </w:rPr>
              <w:t>.1.3. Suivis d’enquêtes concernant 47  allégations de violations soumises par la SDH à l’IGPNH</w:t>
            </w:r>
            <w:r w:rsidR="00AE18AF">
              <w:rPr>
                <w:rStyle w:val="Hyperlink"/>
                <w:noProof/>
              </w:rPr>
              <w:t xml:space="preserve"> </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_Toc350156702 \h </w:instrText>
            </w:r>
            <w:r w:rsidR="008673B7" w:rsidRPr="00AE18AF">
              <w:rPr>
                <w:noProof/>
                <w:webHidden/>
              </w:rPr>
            </w:r>
            <w:r w:rsidR="008673B7" w:rsidRPr="00AE18AF">
              <w:rPr>
                <w:noProof/>
                <w:webHidden/>
              </w:rPr>
              <w:fldChar w:fldCharType="separate"/>
            </w:r>
            <w:r w:rsidR="00AE18AF">
              <w:rPr>
                <w:noProof/>
                <w:webHidden/>
              </w:rPr>
              <w:t>18</w:t>
            </w:r>
            <w:r w:rsidR="008673B7" w:rsidRPr="00AE18AF">
              <w:rPr>
                <w:noProof/>
                <w:webHidden/>
              </w:rPr>
              <w:fldChar w:fldCharType="end"/>
            </w:r>
          </w:hyperlink>
        </w:p>
        <w:p w:rsidR="008673B7" w:rsidRPr="00AE18AF" w:rsidRDefault="006C7303" w:rsidP="00AE18AF">
          <w:pPr>
            <w:pStyle w:val="TOC2"/>
            <w:tabs>
              <w:tab w:val="right" w:leader="dot" w:pos="9350"/>
            </w:tabs>
            <w:rPr>
              <w:rStyle w:val="Hyperlink"/>
              <w:lang w:val="fr-FR"/>
            </w:rPr>
          </w:pPr>
          <w:hyperlink w:anchor="_Toc350156703" w:history="1">
            <w:r w:rsidR="008673B7" w:rsidRPr="00AE18AF">
              <w:rPr>
                <w:rStyle w:val="Hyperlink"/>
                <w:rFonts w:ascii="Times New Roman" w:hAnsi="Times New Roman"/>
                <w:noProof/>
                <w:lang w:val="fr-FR"/>
              </w:rPr>
              <w:t>II</w:t>
            </w:r>
            <w:r w:rsidR="00A8570F" w:rsidRPr="00AE18AF">
              <w:rPr>
                <w:rStyle w:val="Hyperlink"/>
                <w:rFonts w:ascii="Times New Roman" w:hAnsi="Times New Roman"/>
                <w:noProof/>
                <w:lang w:val="fr-FR"/>
              </w:rPr>
              <w:t>I</w:t>
            </w:r>
            <w:r w:rsidR="008673B7" w:rsidRPr="00AE18AF">
              <w:rPr>
                <w:rStyle w:val="Hyperlink"/>
                <w:rFonts w:ascii="Times New Roman" w:hAnsi="Times New Roman"/>
                <w:noProof/>
                <w:lang w:val="fr-FR"/>
              </w:rPr>
              <w:t>.2. Lynchages</w:t>
            </w:r>
            <w:r w:rsidR="008673B7" w:rsidRPr="00AE18AF">
              <w:rPr>
                <w:rStyle w:val="Hyperlink"/>
                <w:webHidden/>
                <w:lang w:val="fr-FR"/>
              </w:rPr>
              <w:tab/>
            </w:r>
            <w:r w:rsidR="008673B7" w:rsidRPr="00AE18AF">
              <w:rPr>
                <w:rStyle w:val="Hyperlink"/>
                <w:webHidden/>
                <w:lang w:val="fr-FR"/>
              </w:rPr>
              <w:fldChar w:fldCharType="begin"/>
            </w:r>
            <w:r w:rsidR="008673B7" w:rsidRPr="00AE18AF">
              <w:rPr>
                <w:rStyle w:val="Hyperlink"/>
                <w:webHidden/>
                <w:lang w:val="fr-FR"/>
              </w:rPr>
              <w:instrText xml:space="preserve"> PAGEREF _Toc350156703 \h </w:instrText>
            </w:r>
            <w:r w:rsidR="008673B7" w:rsidRPr="00AE18AF">
              <w:rPr>
                <w:rStyle w:val="Hyperlink"/>
                <w:webHidden/>
                <w:lang w:val="fr-FR"/>
              </w:rPr>
            </w:r>
            <w:r w:rsidR="008673B7" w:rsidRPr="00AE18AF">
              <w:rPr>
                <w:rStyle w:val="Hyperlink"/>
                <w:webHidden/>
                <w:lang w:val="fr-FR"/>
              </w:rPr>
              <w:fldChar w:fldCharType="separate"/>
            </w:r>
            <w:r w:rsidR="00AE18AF" w:rsidRPr="00AE18AF">
              <w:rPr>
                <w:rStyle w:val="Hyperlink"/>
                <w:webHidden/>
                <w:lang w:val="fr-FR"/>
              </w:rPr>
              <w:t>19</w:t>
            </w:r>
            <w:r w:rsidR="008673B7" w:rsidRPr="00AE18AF">
              <w:rPr>
                <w:rStyle w:val="Hyperlink"/>
                <w:webHidden/>
                <w:lang w:val="fr-FR"/>
              </w:rPr>
              <w:fldChar w:fldCharType="end"/>
            </w:r>
          </w:hyperlink>
        </w:p>
        <w:p w:rsidR="008673B7" w:rsidRPr="00AE18AF" w:rsidRDefault="006C7303" w:rsidP="00AE18AF">
          <w:pPr>
            <w:pStyle w:val="TOC2"/>
            <w:tabs>
              <w:tab w:val="right" w:leader="dot" w:pos="9350"/>
            </w:tabs>
            <w:rPr>
              <w:rStyle w:val="Hyperlink"/>
              <w:lang w:val="fr-FR"/>
            </w:rPr>
          </w:pPr>
          <w:hyperlink w:anchor="_Toc350156704" w:history="1">
            <w:r w:rsidR="008673B7" w:rsidRPr="00AE18AF">
              <w:rPr>
                <w:rStyle w:val="Hyperlink"/>
                <w:rFonts w:ascii="Times New Roman" w:hAnsi="Times New Roman"/>
                <w:noProof/>
                <w:lang w:val="fr-FR"/>
              </w:rPr>
              <w:t>II</w:t>
            </w:r>
            <w:r w:rsidR="00A8570F" w:rsidRPr="00AE18AF">
              <w:rPr>
                <w:rStyle w:val="Hyperlink"/>
                <w:rFonts w:ascii="Times New Roman" w:hAnsi="Times New Roman"/>
                <w:noProof/>
                <w:lang w:val="fr-FR"/>
              </w:rPr>
              <w:t>I</w:t>
            </w:r>
            <w:r w:rsidR="008673B7" w:rsidRPr="00AE18AF">
              <w:rPr>
                <w:rStyle w:val="Hyperlink"/>
                <w:rFonts w:ascii="Times New Roman" w:hAnsi="Times New Roman"/>
                <w:noProof/>
                <w:lang w:val="fr-FR"/>
              </w:rPr>
              <w:t>.3.Violences sexuelles</w:t>
            </w:r>
            <w:r w:rsidR="008673B7" w:rsidRPr="00AE18AF">
              <w:rPr>
                <w:rStyle w:val="Hyperlink"/>
                <w:webHidden/>
                <w:lang w:val="fr-FR"/>
              </w:rPr>
              <w:tab/>
            </w:r>
            <w:r w:rsidR="008673B7" w:rsidRPr="00AE18AF">
              <w:rPr>
                <w:rStyle w:val="Hyperlink"/>
                <w:webHidden/>
                <w:lang w:val="fr-FR"/>
              </w:rPr>
              <w:fldChar w:fldCharType="begin"/>
            </w:r>
            <w:r w:rsidR="008673B7" w:rsidRPr="00AE18AF">
              <w:rPr>
                <w:rStyle w:val="Hyperlink"/>
                <w:webHidden/>
                <w:lang w:val="fr-FR"/>
              </w:rPr>
              <w:instrText xml:space="preserve"> PAGEREF _Toc350156704 \h </w:instrText>
            </w:r>
            <w:r w:rsidR="008673B7" w:rsidRPr="00AE18AF">
              <w:rPr>
                <w:rStyle w:val="Hyperlink"/>
                <w:webHidden/>
                <w:lang w:val="fr-FR"/>
              </w:rPr>
            </w:r>
            <w:r w:rsidR="008673B7" w:rsidRPr="00AE18AF">
              <w:rPr>
                <w:rStyle w:val="Hyperlink"/>
                <w:webHidden/>
                <w:lang w:val="fr-FR"/>
              </w:rPr>
              <w:fldChar w:fldCharType="separate"/>
            </w:r>
            <w:r w:rsidR="00AE18AF" w:rsidRPr="00AE18AF">
              <w:rPr>
                <w:rStyle w:val="Hyperlink"/>
                <w:webHidden/>
                <w:lang w:val="fr-FR"/>
              </w:rPr>
              <w:t>19</w:t>
            </w:r>
            <w:r w:rsidR="008673B7" w:rsidRPr="00AE18AF">
              <w:rPr>
                <w:rStyle w:val="Hyperlink"/>
                <w:webHidden/>
                <w:lang w:val="fr-FR"/>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05" w:history="1">
            <w:r w:rsidR="008673B7" w:rsidRPr="00AE18AF">
              <w:rPr>
                <w:rStyle w:val="Hyperlink"/>
                <w:rFonts w:ascii="Times New Roman" w:hAnsi="Times New Roman"/>
                <w:noProof/>
                <w:lang w:val="fr-FR"/>
              </w:rPr>
              <w:t>II</w:t>
            </w:r>
            <w:r w:rsidR="00A8570F" w:rsidRPr="00AE18AF">
              <w:rPr>
                <w:rStyle w:val="Hyperlink"/>
                <w:rFonts w:ascii="Times New Roman" w:hAnsi="Times New Roman"/>
                <w:noProof/>
                <w:lang w:val="fr-FR"/>
              </w:rPr>
              <w:t>I</w:t>
            </w:r>
            <w:r w:rsidR="008673B7" w:rsidRPr="00AE18AF">
              <w:rPr>
                <w:rStyle w:val="Hyperlink"/>
                <w:rFonts w:ascii="Times New Roman" w:hAnsi="Times New Roman"/>
                <w:noProof/>
                <w:lang w:val="fr-FR"/>
              </w:rPr>
              <w:t>.4. Contrôle des forces de police : Vetting</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_Toc350156705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21</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06" w:history="1">
            <w:r w:rsidR="008673B7" w:rsidRPr="00AE18AF">
              <w:rPr>
                <w:rStyle w:val="Hyperlink"/>
                <w:rFonts w:ascii="Times New Roman" w:hAnsi="Times New Roman"/>
                <w:noProof/>
                <w:lang w:val="fr-FR"/>
              </w:rPr>
              <w:t>II</w:t>
            </w:r>
            <w:r w:rsidR="00A8570F" w:rsidRPr="00AE18AF">
              <w:rPr>
                <w:rStyle w:val="Hyperlink"/>
                <w:rFonts w:ascii="Times New Roman" w:hAnsi="Times New Roman"/>
                <w:noProof/>
                <w:lang w:val="fr-FR"/>
              </w:rPr>
              <w:t>I</w:t>
            </w:r>
            <w:r w:rsidR="008673B7" w:rsidRPr="00AE18AF">
              <w:rPr>
                <w:rStyle w:val="Hyperlink"/>
                <w:rFonts w:ascii="Times New Roman" w:hAnsi="Times New Roman"/>
                <w:noProof/>
                <w:lang w:val="fr-FR"/>
              </w:rPr>
              <w:t>.5. Indépendance de la justice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_Toc350156706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21</w:t>
            </w:r>
            <w:r w:rsidR="008673B7" w:rsidRPr="00AE18AF">
              <w:rPr>
                <w:rFonts w:ascii="Times New Roman" w:hAnsi="Times New Roman"/>
                <w:noProof/>
                <w:webHidden/>
              </w:rPr>
              <w:fldChar w:fldCharType="end"/>
            </w:r>
          </w:hyperlink>
        </w:p>
        <w:p w:rsidR="008673B7" w:rsidRPr="00AE18AF" w:rsidRDefault="006C7303" w:rsidP="00AE18AF">
          <w:pPr>
            <w:pStyle w:val="TOC3"/>
            <w:rPr>
              <w:rFonts w:eastAsiaTheme="minorEastAsia"/>
              <w:noProof/>
            </w:rPr>
          </w:pPr>
          <w:hyperlink w:anchor="_Toc350156707" w:history="1">
            <w:r w:rsidR="008673B7" w:rsidRPr="00AE18AF">
              <w:rPr>
                <w:rStyle w:val="Hyperlink"/>
                <w:noProof/>
              </w:rPr>
              <w:t>II</w:t>
            </w:r>
            <w:r w:rsidR="00A8570F" w:rsidRPr="00AE18AF">
              <w:rPr>
                <w:rStyle w:val="Hyperlink"/>
                <w:noProof/>
              </w:rPr>
              <w:t>I</w:t>
            </w:r>
            <w:r w:rsidR="008673B7" w:rsidRPr="00AE18AF">
              <w:rPr>
                <w:rStyle w:val="Hyperlink"/>
                <w:noProof/>
              </w:rPr>
              <w:t>.5.1. Les structures garantes de l’indépendance du pouvoir judiciaire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_Toc350156707 \h </w:instrText>
            </w:r>
            <w:r w:rsidR="008673B7" w:rsidRPr="00AE18AF">
              <w:rPr>
                <w:noProof/>
                <w:webHidden/>
              </w:rPr>
            </w:r>
            <w:r w:rsidR="008673B7" w:rsidRPr="00AE18AF">
              <w:rPr>
                <w:noProof/>
                <w:webHidden/>
              </w:rPr>
              <w:fldChar w:fldCharType="separate"/>
            </w:r>
            <w:r w:rsidR="00AE18AF">
              <w:rPr>
                <w:noProof/>
                <w:webHidden/>
              </w:rPr>
              <w:t>21</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08" w:history="1">
            <w:r w:rsidR="008673B7" w:rsidRPr="00AE18AF">
              <w:rPr>
                <w:rStyle w:val="Hyperlink"/>
                <w:noProof/>
              </w:rPr>
              <w:t>II</w:t>
            </w:r>
            <w:r w:rsidR="00A8570F" w:rsidRPr="00AE18AF">
              <w:rPr>
                <w:rStyle w:val="Hyperlink"/>
                <w:noProof/>
              </w:rPr>
              <w:t>I</w:t>
            </w:r>
            <w:r w:rsidR="008673B7" w:rsidRPr="00AE18AF">
              <w:rPr>
                <w:rStyle w:val="Hyperlink"/>
                <w:noProof/>
              </w:rPr>
              <w:t>.5.2. La question de l’indépendance des juges</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_Toc350156708 \h </w:instrText>
            </w:r>
            <w:r w:rsidR="008673B7" w:rsidRPr="00AE18AF">
              <w:rPr>
                <w:noProof/>
                <w:webHidden/>
              </w:rPr>
            </w:r>
            <w:r w:rsidR="008673B7" w:rsidRPr="00AE18AF">
              <w:rPr>
                <w:noProof/>
                <w:webHidden/>
              </w:rPr>
              <w:fldChar w:fldCharType="separate"/>
            </w:r>
            <w:r w:rsidR="00AE18AF">
              <w:rPr>
                <w:noProof/>
                <w:webHidden/>
              </w:rPr>
              <w:t>22</w:t>
            </w:r>
            <w:r w:rsidR="008673B7" w:rsidRPr="00AE18AF">
              <w:rPr>
                <w:noProof/>
                <w:webHidden/>
              </w:rPr>
              <w:fldChar w:fldCharType="end"/>
            </w:r>
          </w:hyperlink>
        </w:p>
        <w:p w:rsidR="008673B7" w:rsidRPr="00AE18AF" w:rsidRDefault="006C7303" w:rsidP="00AE18AF">
          <w:pPr>
            <w:pStyle w:val="TOC3"/>
            <w:rPr>
              <w:rStyle w:val="Hyperlink"/>
            </w:rPr>
          </w:pPr>
          <w:hyperlink w:anchor="_Toc350156709" w:history="1">
            <w:r w:rsidR="008673B7" w:rsidRPr="00AE18AF">
              <w:rPr>
                <w:rStyle w:val="Hyperlink"/>
                <w:noProof/>
              </w:rPr>
              <w:t>II</w:t>
            </w:r>
            <w:r w:rsidR="00A8570F" w:rsidRPr="00AE18AF">
              <w:rPr>
                <w:rStyle w:val="Hyperlink"/>
                <w:noProof/>
              </w:rPr>
              <w:t>I</w:t>
            </w:r>
            <w:r w:rsidR="008673B7" w:rsidRPr="00AE18AF">
              <w:rPr>
                <w:rStyle w:val="Hyperlink"/>
                <w:noProof/>
              </w:rPr>
              <w:t>.5.3. Dysfonctionnements de la justice</w:t>
            </w:r>
            <w:r w:rsidR="008673B7" w:rsidRPr="00AE18AF">
              <w:rPr>
                <w:rStyle w:val="Hyperlink"/>
                <w:webHidden/>
              </w:rPr>
              <w:tab/>
            </w:r>
            <w:r w:rsidR="008673B7" w:rsidRPr="00AE18AF">
              <w:rPr>
                <w:rStyle w:val="Hyperlink"/>
                <w:webHidden/>
              </w:rPr>
              <w:fldChar w:fldCharType="begin"/>
            </w:r>
            <w:r w:rsidR="008673B7" w:rsidRPr="00AE18AF">
              <w:rPr>
                <w:rStyle w:val="Hyperlink"/>
                <w:webHidden/>
              </w:rPr>
              <w:instrText xml:space="preserve"> PAGEREF _Toc350156709 \h </w:instrText>
            </w:r>
            <w:r w:rsidR="008673B7" w:rsidRPr="00AE18AF">
              <w:rPr>
                <w:rStyle w:val="Hyperlink"/>
                <w:webHidden/>
              </w:rPr>
            </w:r>
            <w:r w:rsidR="008673B7" w:rsidRPr="00AE18AF">
              <w:rPr>
                <w:rStyle w:val="Hyperlink"/>
                <w:webHidden/>
              </w:rPr>
              <w:fldChar w:fldCharType="separate"/>
            </w:r>
            <w:r w:rsidR="00AE18AF" w:rsidRPr="00AE18AF">
              <w:rPr>
                <w:rStyle w:val="Hyperlink"/>
                <w:webHidden/>
              </w:rPr>
              <w:t>23</w:t>
            </w:r>
            <w:r w:rsidR="008673B7" w:rsidRPr="00AE18AF">
              <w:rPr>
                <w:rStyle w:val="Hyperlink"/>
                <w:webHidden/>
              </w:rPr>
              <w:fldChar w:fldCharType="end"/>
            </w:r>
          </w:hyperlink>
        </w:p>
        <w:p w:rsidR="008673B7" w:rsidRPr="00AE18AF" w:rsidRDefault="006C7303" w:rsidP="00AE18AF">
          <w:pPr>
            <w:pStyle w:val="TOC3"/>
            <w:rPr>
              <w:rFonts w:eastAsiaTheme="minorEastAsia"/>
              <w:noProof/>
            </w:rPr>
          </w:pPr>
          <w:hyperlink w:anchor="_Toc350156710" w:history="1">
            <w:r w:rsidR="008673B7" w:rsidRPr="00AE18AF">
              <w:rPr>
                <w:rStyle w:val="Hyperlink"/>
                <w:noProof/>
              </w:rPr>
              <w:t>Arrestations et détentions illégales</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_Toc350156710 \h </w:instrText>
            </w:r>
            <w:r w:rsidR="008673B7" w:rsidRPr="00AE18AF">
              <w:rPr>
                <w:noProof/>
                <w:webHidden/>
              </w:rPr>
            </w:r>
            <w:r w:rsidR="008673B7" w:rsidRPr="00AE18AF">
              <w:rPr>
                <w:noProof/>
                <w:webHidden/>
              </w:rPr>
              <w:fldChar w:fldCharType="separate"/>
            </w:r>
            <w:r w:rsidR="00AE18AF">
              <w:rPr>
                <w:noProof/>
                <w:webHidden/>
              </w:rPr>
              <w:t>23</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11" w:history="1">
            <w:r w:rsidR="008673B7" w:rsidRPr="00AE18AF">
              <w:rPr>
                <w:rStyle w:val="Hyperlink"/>
                <w:noProof/>
              </w:rPr>
              <w:t>Juges de paix excédant leur compétence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_Toc350156711 \h </w:instrText>
            </w:r>
            <w:r w:rsidR="008673B7" w:rsidRPr="00AE18AF">
              <w:rPr>
                <w:noProof/>
                <w:webHidden/>
              </w:rPr>
            </w:r>
            <w:r w:rsidR="008673B7" w:rsidRPr="00AE18AF">
              <w:rPr>
                <w:noProof/>
                <w:webHidden/>
              </w:rPr>
              <w:fldChar w:fldCharType="separate"/>
            </w:r>
            <w:r w:rsidR="00AE18AF">
              <w:rPr>
                <w:noProof/>
                <w:webHidden/>
              </w:rPr>
              <w:t>24</w:t>
            </w:r>
            <w:r w:rsidR="008673B7" w:rsidRPr="00AE18AF">
              <w:rPr>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12" w:history="1">
            <w:r w:rsidR="008673B7" w:rsidRPr="00AE18AF">
              <w:rPr>
                <w:rStyle w:val="Hyperlink"/>
                <w:rFonts w:ascii="Times New Roman" w:hAnsi="Times New Roman"/>
                <w:noProof/>
                <w:lang w:val="fr-FR"/>
              </w:rPr>
              <w:t>II</w:t>
            </w:r>
            <w:r w:rsidR="00A8570F" w:rsidRPr="00AE18AF">
              <w:rPr>
                <w:rStyle w:val="Hyperlink"/>
                <w:rFonts w:ascii="Times New Roman" w:hAnsi="Times New Roman"/>
                <w:noProof/>
                <w:lang w:val="fr-FR"/>
              </w:rPr>
              <w:t>I</w:t>
            </w:r>
            <w:r w:rsidR="008673B7" w:rsidRPr="00AE18AF">
              <w:rPr>
                <w:rStyle w:val="Hyperlink"/>
                <w:rFonts w:ascii="Times New Roman" w:hAnsi="Times New Roman"/>
                <w:noProof/>
                <w:lang w:val="fr-FR"/>
              </w:rPr>
              <w:t>.6. Allégations d’utilisation de forces de sécurité parallèles</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_Toc350156712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24</w:t>
            </w:r>
            <w:r w:rsidR="008673B7" w:rsidRPr="00AE18AF">
              <w:rPr>
                <w:rFonts w:ascii="Times New Roman" w:hAnsi="Times New Roman"/>
                <w:noProof/>
                <w:webHidden/>
              </w:rPr>
              <w:fldChar w:fldCharType="end"/>
            </w:r>
          </w:hyperlink>
        </w:p>
        <w:p w:rsidR="008673B7" w:rsidRPr="00AE18AF" w:rsidRDefault="006C7303" w:rsidP="00AE18AF">
          <w:pPr>
            <w:pStyle w:val="TOC2"/>
            <w:tabs>
              <w:tab w:val="right" w:leader="dot" w:pos="9350"/>
            </w:tabs>
            <w:rPr>
              <w:rFonts w:ascii="Times New Roman" w:eastAsiaTheme="minorEastAsia" w:hAnsi="Times New Roman"/>
              <w:noProof/>
            </w:rPr>
          </w:pPr>
          <w:hyperlink w:anchor="_Toc350156713" w:history="1">
            <w:r w:rsidR="008673B7" w:rsidRPr="00AE18AF">
              <w:rPr>
                <w:rStyle w:val="Hyperlink"/>
                <w:rFonts w:ascii="Times New Roman" w:hAnsi="Times New Roman"/>
                <w:lang w:val="fr-FR"/>
              </w:rPr>
              <w:t>II</w:t>
            </w:r>
            <w:r w:rsidR="00A8570F" w:rsidRPr="00AE18AF">
              <w:rPr>
                <w:rStyle w:val="Hyperlink"/>
                <w:rFonts w:ascii="Times New Roman" w:hAnsi="Times New Roman"/>
                <w:lang w:val="fr-FR"/>
              </w:rPr>
              <w:t>I</w:t>
            </w:r>
            <w:r w:rsidR="008673B7" w:rsidRPr="00AE18AF">
              <w:rPr>
                <w:rStyle w:val="Hyperlink"/>
                <w:rFonts w:ascii="Times New Roman" w:hAnsi="Times New Roman"/>
                <w:noProof/>
                <w:lang w:val="fr-FR"/>
              </w:rPr>
              <w:t>.7. Détention</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_Toc350156713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26</w:t>
            </w:r>
            <w:r w:rsidR="008673B7" w:rsidRPr="00AE18AF">
              <w:rPr>
                <w:rFonts w:ascii="Times New Roman" w:hAnsi="Times New Roman"/>
                <w:noProof/>
                <w:webHidden/>
              </w:rPr>
              <w:fldChar w:fldCharType="end"/>
            </w:r>
          </w:hyperlink>
        </w:p>
        <w:p w:rsidR="008673B7" w:rsidRPr="00AE18AF" w:rsidRDefault="006C7303" w:rsidP="00AE18AF">
          <w:pPr>
            <w:pStyle w:val="TOC3"/>
            <w:rPr>
              <w:rFonts w:eastAsiaTheme="minorEastAsia"/>
              <w:noProof/>
            </w:rPr>
          </w:pPr>
          <w:hyperlink w:anchor="_Toc350156714" w:history="1">
            <w:r w:rsidR="008673B7" w:rsidRPr="00AE18AF">
              <w:rPr>
                <w:rStyle w:val="Hyperlink"/>
                <w:noProof/>
              </w:rPr>
              <w:t>II</w:t>
            </w:r>
            <w:r w:rsidR="00A8570F" w:rsidRPr="00AE18AF">
              <w:rPr>
                <w:rStyle w:val="Hyperlink"/>
                <w:noProof/>
              </w:rPr>
              <w:t>I</w:t>
            </w:r>
            <w:r w:rsidR="008673B7" w:rsidRPr="00AE18AF">
              <w:rPr>
                <w:rStyle w:val="Hyperlink"/>
                <w:noProof/>
              </w:rPr>
              <w:t>.7.1. La garde à vue et la détention dans les commissariats de police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_Toc350156714 \h </w:instrText>
            </w:r>
            <w:r w:rsidR="008673B7" w:rsidRPr="00AE18AF">
              <w:rPr>
                <w:noProof/>
                <w:webHidden/>
              </w:rPr>
            </w:r>
            <w:r w:rsidR="008673B7" w:rsidRPr="00AE18AF">
              <w:rPr>
                <w:noProof/>
                <w:webHidden/>
              </w:rPr>
              <w:fldChar w:fldCharType="separate"/>
            </w:r>
            <w:r w:rsidR="00AE18AF">
              <w:rPr>
                <w:noProof/>
                <w:webHidden/>
              </w:rPr>
              <w:t>26</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15" w:history="1">
            <w:r w:rsidR="008673B7" w:rsidRPr="00AE18AF">
              <w:rPr>
                <w:rStyle w:val="Hyperlink"/>
                <w:noProof/>
              </w:rPr>
              <w:t>II</w:t>
            </w:r>
            <w:r w:rsidR="00A8570F" w:rsidRPr="00AE18AF">
              <w:rPr>
                <w:rStyle w:val="Hyperlink"/>
                <w:noProof/>
              </w:rPr>
              <w:t>I</w:t>
            </w:r>
            <w:r w:rsidR="008673B7" w:rsidRPr="00AE18AF">
              <w:rPr>
                <w:rStyle w:val="Hyperlink"/>
                <w:noProof/>
              </w:rPr>
              <w:t>.7.2. La détention préventive</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_Toc350156715 \h </w:instrText>
            </w:r>
            <w:r w:rsidR="008673B7" w:rsidRPr="00AE18AF">
              <w:rPr>
                <w:noProof/>
                <w:webHidden/>
              </w:rPr>
            </w:r>
            <w:r w:rsidR="008673B7" w:rsidRPr="00AE18AF">
              <w:rPr>
                <w:noProof/>
                <w:webHidden/>
              </w:rPr>
              <w:fldChar w:fldCharType="separate"/>
            </w:r>
            <w:r w:rsidR="00AE18AF">
              <w:rPr>
                <w:noProof/>
                <w:webHidden/>
              </w:rPr>
              <w:t>26</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16" w:history="1">
            <w:r w:rsidR="008673B7" w:rsidRPr="00AE18AF">
              <w:rPr>
                <w:rStyle w:val="Hyperlink"/>
              </w:rPr>
              <w:t>II</w:t>
            </w:r>
            <w:r w:rsidR="00A8570F" w:rsidRPr="00AE18AF">
              <w:rPr>
                <w:rStyle w:val="Hyperlink"/>
              </w:rPr>
              <w:t>I</w:t>
            </w:r>
            <w:r w:rsidR="008673B7" w:rsidRPr="00AE18AF">
              <w:rPr>
                <w:rStyle w:val="Hyperlink"/>
                <w:noProof/>
              </w:rPr>
              <w:t>.7.3. La détention excédant le jugement</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_Toc350156716 \h </w:instrText>
            </w:r>
            <w:r w:rsidR="008673B7" w:rsidRPr="00AE18AF">
              <w:rPr>
                <w:noProof/>
                <w:webHidden/>
              </w:rPr>
            </w:r>
            <w:r w:rsidR="008673B7" w:rsidRPr="00AE18AF">
              <w:rPr>
                <w:noProof/>
                <w:webHidden/>
              </w:rPr>
              <w:fldChar w:fldCharType="separate"/>
            </w:r>
            <w:r w:rsidR="00AE18AF" w:rsidRPr="00AE18AF">
              <w:rPr>
                <w:noProof/>
                <w:webHidden/>
              </w:rPr>
              <w:t>27</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17" w:history="1">
            <w:r w:rsidR="008673B7" w:rsidRPr="00AE18AF">
              <w:rPr>
                <w:rStyle w:val="Hyperlink"/>
                <w:noProof/>
                <w:lang w:val="fr-BE"/>
              </w:rPr>
              <w:t>II</w:t>
            </w:r>
            <w:r w:rsidR="00A8570F" w:rsidRPr="00AE18AF">
              <w:rPr>
                <w:rStyle w:val="Hyperlink"/>
                <w:noProof/>
                <w:lang w:val="fr-BE"/>
              </w:rPr>
              <w:t>I</w:t>
            </w:r>
            <w:r w:rsidR="008673B7" w:rsidRPr="00AE18AF">
              <w:rPr>
                <w:rStyle w:val="Hyperlink"/>
                <w:noProof/>
                <w:lang w:val="fr-BE"/>
              </w:rPr>
              <w:t>.7.4. Actions menées pour lutter contre les irrégularités relatives à la durée de la détention</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_Toc350156717 \h </w:instrText>
            </w:r>
            <w:r w:rsidR="008673B7" w:rsidRPr="00AE18AF">
              <w:rPr>
                <w:noProof/>
                <w:webHidden/>
              </w:rPr>
            </w:r>
            <w:r w:rsidR="008673B7" w:rsidRPr="00AE18AF">
              <w:rPr>
                <w:noProof/>
                <w:webHidden/>
              </w:rPr>
              <w:fldChar w:fldCharType="separate"/>
            </w:r>
            <w:r w:rsidR="00AE18AF">
              <w:rPr>
                <w:noProof/>
                <w:webHidden/>
              </w:rPr>
              <w:t>27</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18" w:history="1">
            <w:r w:rsidR="008673B7" w:rsidRPr="00AE18AF">
              <w:rPr>
                <w:rStyle w:val="Hyperlink"/>
                <w:noProof/>
              </w:rPr>
              <w:t>Les Comités de suivi de la détention</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_Toc350156718 \h </w:instrText>
            </w:r>
            <w:r w:rsidR="008673B7" w:rsidRPr="00AE18AF">
              <w:rPr>
                <w:noProof/>
                <w:webHidden/>
              </w:rPr>
            </w:r>
            <w:r w:rsidR="008673B7" w:rsidRPr="00AE18AF">
              <w:rPr>
                <w:noProof/>
                <w:webHidden/>
              </w:rPr>
              <w:fldChar w:fldCharType="separate"/>
            </w:r>
            <w:r w:rsidR="00AE18AF">
              <w:rPr>
                <w:noProof/>
                <w:webHidden/>
              </w:rPr>
              <w:t>27</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19" w:history="1">
            <w:r w:rsidR="008673B7" w:rsidRPr="00AE18AF">
              <w:rPr>
                <w:rStyle w:val="Hyperlink"/>
                <w:noProof/>
              </w:rPr>
              <w:t>Audiences supplémentaires sans jury</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_Toc350156719 \h </w:instrText>
            </w:r>
            <w:r w:rsidR="008673B7" w:rsidRPr="00AE18AF">
              <w:rPr>
                <w:noProof/>
                <w:webHidden/>
              </w:rPr>
            </w:r>
            <w:r w:rsidR="008673B7" w:rsidRPr="00AE18AF">
              <w:rPr>
                <w:noProof/>
                <w:webHidden/>
              </w:rPr>
              <w:fldChar w:fldCharType="separate"/>
            </w:r>
            <w:r w:rsidR="00AE18AF">
              <w:rPr>
                <w:noProof/>
                <w:webHidden/>
              </w:rPr>
              <w:t>28</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20" w:history="1">
            <w:r w:rsidR="008673B7" w:rsidRPr="00AE18AF">
              <w:rPr>
                <w:rStyle w:val="Hyperlink"/>
                <w:lang w:val="fr-BE"/>
              </w:rPr>
              <w:t>II</w:t>
            </w:r>
            <w:r w:rsidR="00A8570F" w:rsidRPr="00AE18AF">
              <w:rPr>
                <w:rStyle w:val="Hyperlink"/>
                <w:lang w:val="fr-BE"/>
              </w:rPr>
              <w:t>I</w:t>
            </w:r>
            <w:r w:rsidR="008673B7" w:rsidRPr="00AE18AF">
              <w:rPr>
                <w:rStyle w:val="Hyperlink"/>
                <w:noProof/>
              </w:rPr>
              <w:t>.7.5. Les conditions de détention</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_Toc350156720 \h </w:instrText>
            </w:r>
            <w:r w:rsidR="008673B7" w:rsidRPr="00AE18AF">
              <w:rPr>
                <w:noProof/>
                <w:webHidden/>
              </w:rPr>
            </w:r>
            <w:r w:rsidR="008673B7" w:rsidRPr="00AE18AF">
              <w:rPr>
                <w:noProof/>
                <w:webHidden/>
              </w:rPr>
              <w:fldChar w:fldCharType="separate"/>
            </w:r>
            <w:r w:rsidR="00AE18AF">
              <w:rPr>
                <w:noProof/>
                <w:webHidden/>
              </w:rPr>
              <w:t>28</w:t>
            </w:r>
            <w:r w:rsidR="008673B7" w:rsidRPr="00AE18AF">
              <w:rPr>
                <w:noProof/>
                <w:webHidden/>
              </w:rPr>
              <w:fldChar w:fldCharType="end"/>
            </w:r>
          </w:hyperlink>
        </w:p>
        <w:p w:rsidR="008673B7" w:rsidRPr="00AE18AF" w:rsidRDefault="006C7303" w:rsidP="00AE18AF">
          <w:pPr>
            <w:pStyle w:val="TOC3"/>
            <w:rPr>
              <w:rFonts w:eastAsiaTheme="minorEastAsia"/>
              <w:noProof/>
            </w:rPr>
          </w:pPr>
          <w:hyperlink w:anchor="_Toc350156721" w:history="1">
            <w:r w:rsidR="008673B7" w:rsidRPr="00AE18AF">
              <w:rPr>
                <w:rStyle w:val="Hyperlink"/>
                <w:noProof/>
              </w:rPr>
              <w:t>II</w:t>
            </w:r>
            <w:r w:rsidR="00A8570F" w:rsidRPr="00AE18AF">
              <w:rPr>
                <w:rStyle w:val="Hyperlink"/>
                <w:noProof/>
              </w:rPr>
              <w:t>I</w:t>
            </w:r>
            <w:r w:rsidR="008673B7" w:rsidRPr="00AE18AF">
              <w:rPr>
                <w:rStyle w:val="Hyperlink"/>
                <w:noProof/>
              </w:rPr>
              <w:t>.7.6. La détention des mineurs</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_Toc350156721 \h </w:instrText>
            </w:r>
            <w:r w:rsidR="008673B7" w:rsidRPr="00AE18AF">
              <w:rPr>
                <w:noProof/>
                <w:webHidden/>
              </w:rPr>
            </w:r>
            <w:r w:rsidR="008673B7" w:rsidRPr="00AE18AF">
              <w:rPr>
                <w:noProof/>
                <w:webHidden/>
              </w:rPr>
              <w:fldChar w:fldCharType="separate"/>
            </w:r>
            <w:r w:rsidR="00AE18AF">
              <w:rPr>
                <w:noProof/>
                <w:webHidden/>
              </w:rPr>
              <w:t>29</w:t>
            </w:r>
            <w:r w:rsidR="008673B7" w:rsidRPr="00AE18AF">
              <w:rPr>
                <w:noProof/>
                <w:webHidden/>
              </w:rPr>
              <w:fldChar w:fldCharType="end"/>
            </w:r>
          </w:hyperlink>
        </w:p>
        <w:p w:rsidR="008673B7" w:rsidRPr="00AE18AF" w:rsidRDefault="006C7303" w:rsidP="00AE18AF">
          <w:pPr>
            <w:pStyle w:val="TOC3"/>
            <w:rPr>
              <w:noProof/>
            </w:rPr>
          </w:pPr>
          <w:hyperlink w:anchor="_Toc350156722" w:history="1">
            <w:r w:rsidR="008673B7" w:rsidRPr="00AE18AF">
              <w:rPr>
                <w:rStyle w:val="Hyperlink"/>
              </w:rPr>
              <w:t>II</w:t>
            </w:r>
            <w:r w:rsidR="00A8570F" w:rsidRPr="00AE18AF">
              <w:rPr>
                <w:rStyle w:val="Hyperlink"/>
              </w:rPr>
              <w:t>I</w:t>
            </w:r>
            <w:r w:rsidR="008673B7" w:rsidRPr="00AE18AF">
              <w:rPr>
                <w:rStyle w:val="Hyperlink"/>
                <w:noProof/>
              </w:rPr>
              <w:t>.7.7. La détention des femmes</w:t>
            </w:r>
            <w:r w:rsidR="008673B7" w:rsidRPr="00AE18AF">
              <w:rPr>
                <w:noProof/>
                <w:webHidden/>
              </w:rPr>
              <w:tab/>
            </w:r>
            <w:r w:rsidR="008673B7" w:rsidRPr="00AE18AF">
              <w:rPr>
                <w:noProof/>
                <w:webHidden/>
              </w:rPr>
              <w:fldChar w:fldCharType="begin"/>
            </w:r>
            <w:r w:rsidR="008673B7" w:rsidRPr="00AE18AF">
              <w:rPr>
                <w:noProof/>
                <w:webHidden/>
              </w:rPr>
              <w:instrText xml:space="preserve"> PAGEREF _Toc350156722 \h </w:instrText>
            </w:r>
            <w:r w:rsidR="008673B7" w:rsidRPr="00AE18AF">
              <w:rPr>
                <w:noProof/>
                <w:webHidden/>
              </w:rPr>
            </w:r>
            <w:r w:rsidR="008673B7" w:rsidRPr="00AE18AF">
              <w:rPr>
                <w:noProof/>
                <w:webHidden/>
              </w:rPr>
              <w:fldChar w:fldCharType="separate"/>
            </w:r>
            <w:r w:rsidR="00AE18AF">
              <w:rPr>
                <w:noProof/>
                <w:webHidden/>
              </w:rPr>
              <w:t>29</w:t>
            </w:r>
            <w:r w:rsidR="008673B7" w:rsidRPr="00AE18AF">
              <w:rPr>
                <w:noProof/>
                <w:webHidden/>
              </w:rPr>
              <w:fldChar w:fldCharType="end"/>
            </w:r>
          </w:hyperlink>
        </w:p>
        <w:p w:rsidR="008673B7" w:rsidRPr="00AE18AF" w:rsidRDefault="006C7303" w:rsidP="008673B7">
          <w:pPr>
            <w:pStyle w:val="TOC1"/>
            <w:tabs>
              <w:tab w:val="right" w:leader="dot" w:pos="9350"/>
            </w:tabs>
            <w:rPr>
              <w:rFonts w:ascii="Times New Roman" w:eastAsiaTheme="minorEastAsia" w:hAnsi="Times New Roman"/>
              <w:noProof/>
            </w:rPr>
          </w:pPr>
          <w:hyperlink w:anchor="_Toc350156726" w:history="1">
            <w:r w:rsidR="008673B7" w:rsidRPr="00AE18AF">
              <w:rPr>
                <w:rStyle w:val="Hyperlink"/>
                <w:rFonts w:ascii="Times New Roman" w:eastAsia="MS Mincho" w:hAnsi="Times New Roman"/>
                <w:bCs/>
                <w:noProof/>
                <w:lang w:val="fr-FR"/>
              </w:rPr>
              <w:t>I</w:t>
            </w:r>
            <w:r w:rsidR="00A8570F" w:rsidRPr="00AE18AF">
              <w:rPr>
                <w:rStyle w:val="Hyperlink"/>
                <w:rFonts w:ascii="Times New Roman" w:eastAsia="MS Mincho" w:hAnsi="Times New Roman"/>
                <w:bCs/>
                <w:noProof/>
                <w:lang w:val="fr-FR"/>
              </w:rPr>
              <w:t>V</w:t>
            </w:r>
            <w:r w:rsidR="008673B7" w:rsidRPr="00AE18AF">
              <w:rPr>
                <w:rStyle w:val="Hyperlink"/>
                <w:rFonts w:ascii="Times New Roman" w:eastAsia="MS Mincho" w:hAnsi="Times New Roman"/>
                <w:bCs/>
                <w:noProof/>
                <w:lang w:val="fr-FR"/>
              </w:rPr>
              <w:t>. PROTECTION DES DROITS DE L’HOMME DANS LA REPONSE HUMANITAIRE</w:t>
            </w:r>
            <w:r w:rsidR="008673B7" w:rsidRPr="00AE18AF">
              <w:rPr>
                <w:rFonts w:ascii="Times New Roman" w:hAnsi="Times New Roman"/>
                <w:noProof/>
                <w:webHidden/>
              </w:rPr>
              <w:tab/>
            </w:r>
            <w:r w:rsidR="005E7665" w:rsidRPr="00AE18AF">
              <w:rPr>
                <w:rFonts w:ascii="Times New Roman" w:hAnsi="Times New Roman"/>
                <w:noProof/>
                <w:webHidden/>
              </w:rPr>
              <w:t>3</w:t>
            </w:r>
          </w:hyperlink>
          <w:r w:rsidR="008673B7" w:rsidRPr="00AE18AF">
            <w:rPr>
              <w:rFonts w:ascii="Times New Roman" w:hAnsi="Times New Roman"/>
              <w:noProof/>
            </w:rPr>
            <w:t>0</w:t>
          </w:r>
        </w:p>
        <w:p w:rsidR="008673B7" w:rsidRPr="00AE18AF" w:rsidRDefault="006C7303" w:rsidP="008673B7">
          <w:pPr>
            <w:pStyle w:val="TOC2"/>
            <w:tabs>
              <w:tab w:val="right" w:leader="dot" w:pos="9350"/>
            </w:tabs>
            <w:rPr>
              <w:rFonts w:ascii="Times New Roman" w:eastAsiaTheme="minorEastAsia" w:hAnsi="Times New Roman"/>
              <w:noProof/>
            </w:rPr>
          </w:pPr>
          <w:hyperlink w:anchor="_Toc350156723" w:history="1">
            <w:r w:rsidR="00A8570F" w:rsidRPr="00AE18AF">
              <w:rPr>
                <w:rStyle w:val="Hyperlink"/>
                <w:rFonts w:ascii="Times New Roman" w:eastAsia="Times New Roman" w:hAnsi="Times New Roman"/>
                <w:bCs/>
                <w:noProof/>
                <w:lang w:val="fr-CA"/>
              </w:rPr>
              <w:t>IV</w:t>
            </w:r>
            <w:r w:rsidR="008673B7" w:rsidRPr="00AE18AF">
              <w:rPr>
                <w:rStyle w:val="Hyperlink"/>
                <w:rFonts w:ascii="Times New Roman" w:eastAsia="Times New Roman" w:hAnsi="Times New Roman"/>
                <w:bCs/>
                <w:noProof/>
                <w:lang w:val="fr-CA"/>
              </w:rPr>
              <w:t>.1. Le trafic humain</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_Toc350156723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30</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24" w:history="1">
            <w:r w:rsidR="00A8570F" w:rsidRPr="00AE18AF">
              <w:rPr>
                <w:rStyle w:val="Hyperlink"/>
                <w:rFonts w:ascii="Times New Roman" w:eastAsia="Times New Roman" w:hAnsi="Times New Roman"/>
                <w:bCs/>
                <w:noProof/>
                <w:lang w:val="fr-CA"/>
              </w:rPr>
              <w:t>IV</w:t>
            </w:r>
            <w:r w:rsidR="008673B7" w:rsidRPr="00AE18AF">
              <w:rPr>
                <w:rStyle w:val="Hyperlink"/>
                <w:rFonts w:ascii="Times New Roman" w:eastAsia="Times New Roman" w:hAnsi="Times New Roman"/>
                <w:bCs/>
                <w:noProof/>
                <w:lang w:val="fr-CA"/>
              </w:rPr>
              <w:t xml:space="preserve">.2. </w:t>
            </w:r>
            <w:r w:rsidR="008673B7" w:rsidRPr="00AE18AF">
              <w:rPr>
                <w:rStyle w:val="Hyperlink"/>
                <w:rFonts w:ascii="Times New Roman" w:eastAsia="Times New Roman" w:hAnsi="Times New Roman"/>
                <w:bCs/>
                <w:noProof/>
                <w:lang w:val="fr-FR"/>
              </w:rPr>
              <w:t>Les personnes handicapées</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_Toc350156724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30</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25" w:history="1">
            <w:r w:rsidR="00A8570F" w:rsidRPr="00AE18AF">
              <w:rPr>
                <w:rStyle w:val="Hyperlink"/>
                <w:rFonts w:ascii="Times New Roman" w:eastAsia="Times New Roman" w:hAnsi="Times New Roman"/>
                <w:bCs/>
                <w:noProof/>
                <w:lang w:val="fr-CA"/>
              </w:rPr>
              <w:t>IV</w:t>
            </w:r>
            <w:r w:rsidR="008673B7" w:rsidRPr="00AE18AF">
              <w:rPr>
                <w:rStyle w:val="Hyperlink"/>
                <w:rFonts w:ascii="Times New Roman" w:eastAsia="Times New Roman" w:hAnsi="Times New Roman"/>
                <w:bCs/>
                <w:noProof/>
                <w:lang w:val="fr-CA"/>
              </w:rPr>
              <w:t>.3. L</w:t>
            </w:r>
            <w:r w:rsidR="008673B7" w:rsidRPr="00AE18AF">
              <w:rPr>
                <w:rStyle w:val="Hyperlink"/>
                <w:rFonts w:ascii="Times New Roman" w:eastAsia="Times New Roman" w:hAnsi="Times New Roman"/>
                <w:bCs/>
                <w:noProof/>
                <w:lang w:val="fr-FR"/>
              </w:rPr>
              <w:t>es camps de personnes déplacées, expulsions forcées et intervention d'urgence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_Toc350156725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31</w:t>
            </w:r>
            <w:r w:rsidR="008673B7" w:rsidRPr="00AE18AF">
              <w:rPr>
                <w:rFonts w:ascii="Times New Roman" w:hAnsi="Times New Roman"/>
                <w:noProof/>
                <w:webHidden/>
              </w:rPr>
              <w:fldChar w:fldCharType="end"/>
            </w:r>
          </w:hyperlink>
        </w:p>
        <w:p w:rsidR="008673B7" w:rsidRPr="00AE18AF" w:rsidRDefault="006C7303" w:rsidP="008673B7">
          <w:pPr>
            <w:pStyle w:val="TOC1"/>
            <w:tabs>
              <w:tab w:val="right" w:leader="dot" w:pos="9350"/>
            </w:tabs>
            <w:rPr>
              <w:rFonts w:ascii="Times New Roman" w:eastAsiaTheme="minorEastAsia" w:hAnsi="Times New Roman"/>
              <w:noProof/>
            </w:rPr>
          </w:pPr>
          <w:hyperlink w:anchor="_Toc350156726" w:history="1">
            <w:r w:rsidR="008673B7" w:rsidRPr="00AE18AF">
              <w:rPr>
                <w:rStyle w:val="Hyperlink"/>
                <w:rFonts w:ascii="Times New Roman" w:eastAsia="MS Mincho" w:hAnsi="Times New Roman"/>
                <w:bCs/>
                <w:noProof/>
                <w:lang w:val="fr-FR"/>
              </w:rPr>
              <w:t>V. DROITS DE L'HOMME ET POLITIQUES PUBLIQUES</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_Toc350156726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32</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27" w:history="1">
            <w:r w:rsidR="008673B7" w:rsidRPr="00AE18AF">
              <w:rPr>
                <w:rStyle w:val="Hyperlink"/>
                <w:rFonts w:ascii="Times New Roman" w:eastAsia="MS Mincho" w:hAnsi="Times New Roman"/>
                <w:bCs/>
                <w:noProof/>
                <w:lang w:val="fr-FR"/>
              </w:rPr>
              <w:t>V.1. Participation de la population et de la société civile aux politiques publiques</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_Toc350156727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32</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28" w:history="1">
            <w:r w:rsidR="008673B7" w:rsidRPr="00AE18AF">
              <w:rPr>
                <w:rStyle w:val="Hyperlink"/>
                <w:rFonts w:ascii="Times New Roman" w:eastAsia="MS Mincho" w:hAnsi="Times New Roman"/>
                <w:bCs/>
                <w:noProof/>
                <w:lang w:val="fr-FR"/>
              </w:rPr>
              <w:t>V.2. Modes d’expression et de participation de la population et de la société civile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_Toc350156728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33</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29" w:history="1">
            <w:r w:rsidR="008673B7" w:rsidRPr="00AE18AF">
              <w:rPr>
                <w:rStyle w:val="Hyperlink"/>
                <w:rFonts w:ascii="Times New Roman" w:eastAsia="MS Mincho" w:hAnsi="Times New Roman"/>
                <w:bCs/>
                <w:noProof/>
                <w:lang w:val="fr-FR"/>
              </w:rPr>
              <w:t xml:space="preserve">V.3. Accroissement des capacités de </w:t>
            </w:r>
            <w:r w:rsidR="008673B7" w:rsidRPr="00AE18AF">
              <w:rPr>
                <w:rStyle w:val="Hyperlink"/>
                <w:rFonts w:ascii="Times New Roman" w:eastAsia="MS Mincho" w:hAnsi="Times New Roman"/>
                <w:bCs/>
                <w:i/>
                <w:noProof/>
                <w:lang w:val="fr-FR"/>
              </w:rPr>
              <w:t>monitoring</w:t>
            </w:r>
            <w:r w:rsidR="008673B7" w:rsidRPr="00AE18AF">
              <w:rPr>
                <w:rStyle w:val="Hyperlink"/>
                <w:rFonts w:ascii="Times New Roman" w:eastAsia="MS Mincho" w:hAnsi="Times New Roman"/>
                <w:bCs/>
                <w:noProof/>
                <w:lang w:val="fr-FR"/>
              </w:rPr>
              <w:t xml:space="preserve"> des politiques publiques par la société civile.</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_Toc350156729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33</w:t>
            </w:r>
            <w:r w:rsidR="008673B7" w:rsidRPr="00AE18AF">
              <w:rPr>
                <w:rFonts w:ascii="Times New Roman" w:hAnsi="Times New Roman"/>
                <w:noProof/>
                <w:webHidden/>
              </w:rPr>
              <w:fldChar w:fldCharType="end"/>
            </w:r>
          </w:hyperlink>
        </w:p>
        <w:p w:rsidR="008673B7" w:rsidRPr="00AE18AF" w:rsidRDefault="006C7303" w:rsidP="008673B7">
          <w:pPr>
            <w:pStyle w:val="TOC2"/>
            <w:tabs>
              <w:tab w:val="right" w:leader="dot" w:pos="9350"/>
            </w:tabs>
            <w:rPr>
              <w:rFonts w:ascii="Times New Roman" w:eastAsiaTheme="minorEastAsia" w:hAnsi="Times New Roman"/>
              <w:noProof/>
            </w:rPr>
          </w:pPr>
          <w:hyperlink w:anchor="_Toc350156730" w:history="1">
            <w:r w:rsidR="008673B7" w:rsidRPr="00AE18AF">
              <w:rPr>
                <w:rStyle w:val="Hyperlink"/>
                <w:rFonts w:ascii="Times New Roman" w:eastAsia="MS Mincho" w:hAnsi="Times New Roman"/>
                <w:bCs/>
                <w:noProof/>
                <w:lang w:val="fr-FR"/>
              </w:rPr>
              <w:t xml:space="preserve">V.4. Transparence dans les politiques publiques : </w:t>
            </w:r>
            <w:r w:rsidR="00A603BC" w:rsidRPr="00AE18AF">
              <w:rPr>
                <w:rStyle w:val="Hyperlink"/>
                <w:rFonts w:ascii="Times New Roman" w:eastAsia="MS Mincho" w:hAnsi="Times New Roman"/>
                <w:bCs/>
                <w:noProof/>
                <w:lang w:val="fr-FR"/>
              </w:rPr>
              <w:t>l</w:t>
            </w:r>
            <w:r w:rsidR="008673B7" w:rsidRPr="00AE18AF">
              <w:rPr>
                <w:rStyle w:val="Hyperlink"/>
                <w:rFonts w:ascii="Times New Roman" w:eastAsia="MS Mincho" w:hAnsi="Times New Roman"/>
                <w:bCs/>
                <w:noProof/>
                <w:lang w:val="fr-FR"/>
              </w:rPr>
              <w:t>a réponse au passage de l’ouragan Sandy</w:t>
            </w:r>
            <w:r w:rsidR="008673B7" w:rsidRPr="00AE18AF">
              <w:rPr>
                <w:rFonts w:ascii="Times New Roman" w:hAnsi="Times New Roman"/>
                <w:noProof/>
                <w:webHidden/>
              </w:rPr>
              <w:tab/>
            </w:r>
            <w:r w:rsidR="008673B7" w:rsidRPr="00AE18AF">
              <w:rPr>
                <w:rFonts w:ascii="Times New Roman" w:hAnsi="Times New Roman"/>
                <w:noProof/>
                <w:webHidden/>
              </w:rPr>
              <w:fldChar w:fldCharType="begin"/>
            </w:r>
            <w:r w:rsidR="008673B7" w:rsidRPr="00AE18AF">
              <w:rPr>
                <w:rFonts w:ascii="Times New Roman" w:hAnsi="Times New Roman"/>
                <w:noProof/>
                <w:webHidden/>
              </w:rPr>
              <w:instrText xml:space="preserve"> PAGEREF _Toc350156730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Pr>
                <w:rFonts w:ascii="Times New Roman" w:hAnsi="Times New Roman"/>
                <w:noProof/>
                <w:webHidden/>
              </w:rPr>
              <w:t>34</w:t>
            </w:r>
            <w:r w:rsidR="008673B7" w:rsidRPr="00AE18AF">
              <w:rPr>
                <w:rFonts w:ascii="Times New Roman" w:hAnsi="Times New Roman"/>
                <w:noProof/>
                <w:webHidden/>
              </w:rPr>
              <w:fldChar w:fldCharType="end"/>
            </w:r>
          </w:hyperlink>
        </w:p>
        <w:p w:rsidR="008673B7" w:rsidRPr="002D7E80" w:rsidRDefault="00A8570F" w:rsidP="008673B7">
          <w:pPr>
            <w:pStyle w:val="TOC1"/>
            <w:tabs>
              <w:tab w:val="right" w:leader="dot" w:pos="9350"/>
            </w:tabs>
            <w:rPr>
              <w:rFonts w:ascii="Times New Roman" w:eastAsiaTheme="minorEastAsia" w:hAnsi="Times New Roman"/>
              <w:noProof/>
              <w:lang w:val="fr-CA"/>
            </w:rPr>
          </w:pPr>
          <w:r w:rsidRPr="002D7E80">
            <w:rPr>
              <w:rFonts w:ascii="Times New Roman" w:hAnsi="Times New Roman"/>
              <w:noProof/>
              <w:lang w:val="fr-CA"/>
            </w:rPr>
            <w:t xml:space="preserve">VI. </w:t>
          </w:r>
          <w:hyperlink w:anchor="_Toc350156731" w:history="1">
            <w:r w:rsidR="008673B7" w:rsidRPr="00AE18AF">
              <w:rPr>
                <w:rStyle w:val="Hyperlink"/>
                <w:rFonts w:ascii="Times New Roman" w:eastAsiaTheme="majorEastAsia" w:hAnsi="Times New Roman"/>
                <w:bCs/>
                <w:noProof/>
                <w:lang w:val="fr-FR"/>
              </w:rPr>
              <w:t>RECOMMANDATIONS</w:t>
            </w:r>
            <w:r w:rsidR="008673B7" w:rsidRPr="002D7E80">
              <w:rPr>
                <w:rFonts w:ascii="Times New Roman" w:hAnsi="Times New Roman"/>
                <w:noProof/>
                <w:webHidden/>
                <w:lang w:val="fr-CA"/>
              </w:rPr>
              <w:tab/>
            </w:r>
            <w:r w:rsidR="008673B7" w:rsidRPr="00AE18AF">
              <w:rPr>
                <w:rFonts w:ascii="Times New Roman" w:hAnsi="Times New Roman"/>
                <w:noProof/>
                <w:webHidden/>
              </w:rPr>
              <w:fldChar w:fldCharType="begin"/>
            </w:r>
            <w:r w:rsidR="008673B7" w:rsidRPr="002D7E80">
              <w:rPr>
                <w:rFonts w:ascii="Times New Roman" w:hAnsi="Times New Roman"/>
                <w:noProof/>
                <w:webHidden/>
                <w:lang w:val="fr-CA"/>
              </w:rPr>
              <w:instrText xml:space="preserve"> PAGEREF _Toc350156731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sidRPr="002D7E80">
              <w:rPr>
                <w:rFonts w:ascii="Times New Roman" w:hAnsi="Times New Roman"/>
                <w:noProof/>
                <w:webHidden/>
                <w:lang w:val="fr-CA"/>
              </w:rPr>
              <w:t>35</w:t>
            </w:r>
            <w:r w:rsidR="008673B7" w:rsidRPr="00AE18AF">
              <w:rPr>
                <w:rFonts w:ascii="Times New Roman" w:hAnsi="Times New Roman"/>
                <w:noProof/>
                <w:webHidden/>
              </w:rPr>
              <w:fldChar w:fldCharType="end"/>
            </w:r>
          </w:hyperlink>
        </w:p>
        <w:p w:rsidR="008673B7" w:rsidRPr="002D7E80" w:rsidRDefault="0052350C" w:rsidP="008673B7">
          <w:pPr>
            <w:pStyle w:val="TOC2"/>
            <w:tabs>
              <w:tab w:val="right" w:leader="dot" w:pos="9350"/>
            </w:tabs>
            <w:rPr>
              <w:rFonts w:ascii="Times New Roman" w:eastAsiaTheme="minorEastAsia" w:hAnsi="Times New Roman"/>
              <w:noProof/>
              <w:lang w:val="fr-CA"/>
            </w:rPr>
          </w:pPr>
          <w:r w:rsidRPr="002D7E80">
            <w:rPr>
              <w:rFonts w:ascii="Times New Roman" w:hAnsi="Times New Roman"/>
              <w:noProof/>
              <w:lang w:val="fr-CA"/>
            </w:rPr>
            <w:t xml:space="preserve">VI.1. </w:t>
          </w:r>
          <w:hyperlink w:anchor="_Toc350156732" w:history="1">
            <w:r w:rsidR="008673B7" w:rsidRPr="00AE18AF">
              <w:rPr>
                <w:rStyle w:val="Hyperlink"/>
                <w:rFonts w:ascii="Times New Roman" w:eastAsia="Times New Roman" w:hAnsi="Times New Roman"/>
                <w:bCs/>
                <w:noProof/>
                <w:lang w:val="fr-FR"/>
              </w:rPr>
              <w:t>Au gouvernement haïtien </w:t>
            </w:r>
            <w:r w:rsidR="008673B7" w:rsidRPr="002D7E80">
              <w:rPr>
                <w:rFonts w:ascii="Times New Roman" w:hAnsi="Times New Roman"/>
                <w:noProof/>
                <w:webHidden/>
                <w:lang w:val="fr-CA"/>
              </w:rPr>
              <w:tab/>
            </w:r>
            <w:r w:rsidR="008673B7" w:rsidRPr="00AE18AF">
              <w:rPr>
                <w:rFonts w:ascii="Times New Roman" w:hAnsi="Times New Roman"/>
                <w:noProof/>
                <w:webHidden/>
              </w:rPr>
              <w:fldChar w:fldCharType="begin"/>
            </w:r>
            <w:r w:rsidR="008673B7" w:rsidRPr="002D7E80">
              <w:rPr>
                <w:rFonts w:ascii="Times New Roman" w:hAnsi="Times New Roman"/>
                <w:noProof/>
                <w:webHidden/>
                <w:lang w:val="fr-CA"/>
              </w:rPr>
              <w:instrText xml:space="preserve"> PAGEREF _Toc350156732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sidRPr="002D7E80">
              <w:rPr>
                <w:rFonts w:ascii="Times New Roman" w:hAnsi="Times New Roman"/>
                <w:noProof/>
                <w:webHidden/>
                <w:lang w:val="fr-CA"/>
              </w:rPr>
              <w:t>35</w:t>
            </w:r>
            <w:r w:rsidR="008673B7" w:rsidRPr="00AE18AF">
              <w:rPr>
                <w:rFonts w:ascii="Times New Roman" w:hAnsi="Times New Roman"/>
                <w:noProof/>
                <w:webHidden/>
              </w:rPr>
              <w:fldChar w:fldCharType="end"/>
            </w:r>
          </w:hyperlink>
        </w:p>
        <w:p w:rsidR="008673B7" w:rsidRPr="002D7E80" w:rsidRDefault="0052350C" w:rsidP="008673B7">
          <w:pPr>
            <w:pStyle w:val="TOC2"/>
            <w:tabs>
              <w:tab w:val="right" w:leader="dot" w:pos="9350"/>
            </w:tabs>
            <w:rPr>
              <w:rFonts w:ascii="Times New Roman" w:eastAsiaTheme="minorEastAsia" w:hAnsi="Times New Roman"/>
              <w:noProof/>
              <w:lang w:val="fr-CA"/>
            </w:rPr>
          </w:pPr>
          <w:r w:rsidRPr="002D7E80">
            <w:rPr>
              <w:rFonts w:ascii="Times New Roman" w:hAnsi="Times New Roman"/>
              <w:noProof/>
              <w:lang w:val="fr-CA"/>
            </w:rPr>
            <w:t xml:space="preserve">VI.2. </w:t>
          </w:r>
          <w:hyperlink w:anchor="_Toc350156733" w:history="1">
            <w:r w:rsidR="008673B7" w:rsidRPr="00AE18AF">
              <w:rPr>
                <w:rStyle w:val="Hyperlink"/>
                <w:rFonts w:ascii="Times New Roman" w:eastAsia="Calibri" w:hAnsi="Times New Roman"/>
                <w:bCs/>
                <w:noProof/>
                <w:lang w:val="fr-FR"/>
              </w:rPr>
              <w:t>Aux organes chargés du suivi du bon fonctionnement des institutions judiciaires et policières</w:t>
            </w:r>
            <w:r w:rsidR="008673B7" w:rsidRPr="002D7E80">
              <w:rPr>
                <w:rFonts w:ascii="Times New Roman" w:hAnsi="Times New Roman"/>
                <w:noProof/>
                <w:webHidden/>
                <w:lang w:val="fr-CA"/>
              </w:rPr>
              <w:tab/>
            </w:r>
            <w:r w:rsidR="008673B7" w:rsidRPr="00AE18AF">
              <w:rPr>
                <w:rFonts w:ascii="Times New Roman" w:hAnsi="Times New Roman"/>
                <w:noProof/>
                <w:webHidden/>
              </w:rPr>
              <w:fldChar w:fldCharType="begin"/>
            </w:r>
            <w:r w:rsidR="008673B7" w:rsidRPr="002D7E80">
              <w:rPr>
                <w:rFonts w:ascii="Times New Roman" w:hAnsi="Times New Roman"/>
                <w:noProof/>
                <w:webHidden/>
                <w:lang w:val="fr-CA"/>
              </w:rPr>
              <w:instrText xml:space="preserve"> PAGEREF _Toc350156733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sidRPr="002D7E80">
              <w:rPr>
                <w:rFonts w:ascii="Times New Roman" w:hAnsi="Times New Roman"/>
                <w:noProof/>
                <w:webHidden/>
                <w:lang w:val="fr-CA"/>
              </w:rPr>
              <w:t>36</w:t>
            </w:r>
            <w:r w:rsidR="008673B7" w:rsidRPr="00AE18AF">
              <w:rPr>
                <w:rFonts w:ascii="Times New Roman" w:hAnsi="Times New Roman"/>
                <w:noProof/>
                <w:webHidden/>
              </w:rPr>
              <w:fldChar w:fldCharType="end"/>
            </w:r>
          </w:hyperlink>
        </w:p>
        <w:p w:rsidR="008673B7" w:rsidRPr="002D7E80" w:rsidRDefault="0052350C" w:rsidP="008673B7">
          <w:pPr>
            <w:pStyle w:val="TOC2"/>
            <w:tabs>
              <w:tab w:val="right" w:leader="dot" w:pos="9350"/>
            </w:tabs>
            <w:rPr>
              <w:rFonts w:ascii="Times New Roman" w:hAnsi="Times New Roman"/>
              <w:noProof/>
              <w:lang w:val="fr-CA"/>
            </w:rPr>
          </w:pPr>
          <w:r w:rsidRPr="002D7E80">
            <w:rPr>
              <w:rFonts w:ascii="Times New Roman" w:hAnsi="Times New Roman"/>
              <w:noProof/>
              <w:lang w:val="fr-CA"/>
            </w:rPr>
            <w:t xml:space="preserve">VI.3. </w:t>
          </w:r>
          <w:hyperlink w:anchor="_Toc350156734" w:history="1">
            <w:r w:rsidR="008673B7" w:rsidRPr="00AE18AF">
              <w:rPr>
                <w:rStyle w:val="Hyperlink"/>
                <w:rFonts w:ascii="Times New Roman" w:eastAsia="Calibri" w:hAnsi="Times New Roman"/>
                <w:bCs/>
                <w:noProof/>
                <w:lang w:val="fr-FR"/>
              </w:rPr>
              <w:t>Aux organisations de la société civile </w:t>
            </w:r>
            <w:r w:rsidR="008673B7" w:rsidRPr="002D7E80">
              <w:rPr>
                <w:rFonts w:ascii="Times New Roman" w:hAnsi="Times New Roman"/>
                <w:noProof/>
                <w:webHidden/>
                <w:lang w:val="fr-CA"/>
              </w:rPr>
              <w:tab/>
            </w:r>
            <w:r w:rsidR="008673B7" w:rsidRPr="00AE18AF">
              <w:rPr>
                <w:rFonts w:ascii="Times New Roman" w:hAnsi="Times New Roman"/>
                <w:noProof/>
                <w:webHidden/>
              </w:rPr>
              <w:fldChar w:fldCharType="begin"/>
            </w:r>
            <w:r w:rsidR="008673B7" w:rsidRPr="002D7E80">
              <w:rPr>
                <w:rFonts w:ascii="Times New Roman" w:hAnsi="Times New Roman"/>
                <w:noProof/>
                <w:webHidden/>
                <w:lang w:val="fr-CA"/>
              </w:rPr>
              <w:instrText xml:space="preserve"> PAGEREF _Toc350156734 \h </w:instrText>
            </w:r>
            <w:r w:rsidR="008673B7" w:rsidRPr="00AE18AF">
              <w:rPr>
                <w:rFonts w:ascii="Times New Roman" w:hAnsi="Times New Roman"/>
                <w:noProof/>
                <w:webHidden/>
              </w:rPr>
            </w:r>
            <w:r w:rsidR="008673B7" w:rsidRPr="00AE18AF">
              <w:rPr>
                <w:rFonts w:ascii="Times New Roman" w:hAnsi="Times New Roman"/>
                <w:noProof/>
                <w:webHidden/>
              </w:rPr>
              <w:fldChar w:fldCharType="separate"/>
            </w:r>
            <w:r w:rsidR="00AE18AF" w:rsidRPr="002D7E80">
              <w:rPr>
                <w:rFonts w:ascii="Times New Roman" w:hAnsi="Times New Roman"/>
                <w:noProof/>
                <w:webHidden/>
                <w:lang w:val="fr-CA"/>
              </w:rPr>
              <w:t>37</w:t>
            </w:r>
            <w:r w:rsidR="008673B7" w:rsidRPr="00AE18AF">
              <w:rPr>
                <w:rFonts w:ascii="Times New Roman" w:hAnsi="Times New Roman"/>
                <w:noProof/>
                <w:webHidden/>
              </w:rPr>
              <w:fldChar w:fldCharType="end"/>
            </w:r>
          </w:hyperlink>
          <w:r w:rsidR="008673B7" w:rsidRPr="00AE18AF">
            <w:rPr>
              <w:rFonts w:ascii="Times New Roman" w:hAnsi="Times New Roman"/>
              <w:bCs/>
              <w:noProof/>
            </w:rPr>
            <w:fldChar w:fldCharType="end"/>
          </w:r>
        </w:p>
      </w:sdtContent>
    </w:sdt>
    <w:p w:rsidR="00AE18AF" w:rsidRDefault="00AE18AF" w:rsidP="008673B7">
      <w:pPr>
        <w:spacing w:after="0" w:line="240" w:lineRule="auto"/>
        <w:rPr>
          <w:rFonts w:ascii="Times New Roman" w:eastAsiaTheme="majorEastAsia" w:hAnsi="Times New Roman"/>
          <w:b/>
          <w:bCs/>
          <w:color w:val="365F91" w:themeColor="accent1" w:themeShade="BF"/>
          <w:sz w:val="28"/>
          <w:szCs w:val="28"/>
          <w:lang w:val="fr-FR"/>
        </w:rPr>
      </w:pPr>
      <w:bookmarkStart w:id="1" w:name="_Toc350156676"/>
    </w:p>
    <w:p w:rsidR="00AE18AF" w:rsidRDefault="00AE18AF" w:rsidP="008673B7">
      <w:pPr>
        <w:spacing w:after="0" w:line="240" w:lineRule="auto"/>
        <w:rPr>
          <w:rFonts w:ascii="Times New Roman" w:eastAsiaTheme="majorEastAsia" w:hAnsi="Times New Roman"/>
          <w:b/>
          <w:bCs/>
          <w:color w:val="365F91" w:themeColor="accent1" w:themeShade="BF"/>
          <w:sz w:val="28"/>
          <w:szCs w:val="28"/>
          <w:lang w:val="fr-FR"/>
        </w:rPr>
      </w:pPr>
    </w:p>
    <w:p w:rsidR="00AE18AF" w:rsidRDefault="00AE18AF" w:rsidP="008673B7">
      <w:pPr>
        <w:spacing w:after="0" w:line="240" w:lineRule="auto"/>
        <w:rPr>
          <w:rFonts w:ascii="Times New Roman" w:eastAsiaTheme="majorEastAsia" w:hAnsi="Times New Roman"/>
          <w:b/>
          <w:bCs/>
          <w:color w:val="365F91" w:themeColor="accent1" w:themeShade="BF"/>
          <w:sz w:val="28"/>
          <w:szCs w:val="28"/>
          <w:lang w:val="fr-FR"/>
        </w:rPr>
      </w:pPr>
    </w:p>
    <w:p w:rsidR="008673B7" w:rsidRPr="00273D27" w:rsidRDefault="008673B7" w:rsidP="008673B7">
      <w:pPr>
        <w:spacing w:after="0" w:line="240" w:lineRule="auto"/>
        <w:rPr>
          <w:rFonts w:ascii="Times New Roman" w:eastAsiaTheme="majorEastAsia" w:hAnsi="Times New Roman"/>
          <w:b/>
          <w:bCs/>
          <w:color w:val="365F91" w:themeColor="accent1" w:themeShade="BF"/>
          <w:sz w:val="28"/>
          <w:szCs w:val="28"/>
          <w:lang w:val="fr-FR"/>
        </w:rPr>
      </w:pPr>
      <w:r w:rsidRPr="00273D27">
        <w:rPr>
          <w:rFonts w:ascii="Times New Roman" w:eastAsiaTheme="majorEastAsia" w:hAnsi="Times New Roman"/>
          <w:b/>
          <w:bCs/>
          <w:color w:val="365F91" w:themeColor="accent1" w:themeShade="BF"/>
          <w:sz w:val="28"/>
          <w:szCs w:val="28"/>
          <w:lang w:val="fr-FR"/>
        </w:rPr>
        <w:t>SOMMAIRE EXECUTIF</w:t>
      </w:r>
      <w:bookmarkEnd w:id="1"/>
      <w:r w:rsidRPr="00273D27">
        <w:rPr>
          <w:rFonts w:ascii="Times New Roman" w:eastAsiaTheme="majorEastAsia" w:hAnsi="Times New Roman"/>
          <w:b/>
          <w:bCs/>
          <w:color w:val="365F91" w:themeColor="accent1" w:themeShade="BF"/>
          <w:sz w:val="28"/>
          <w:szCs w:val="28"/>
          <w:lang w:val="fr-FR"/>
        </w:rPr>
        <w:t xml:space="preserve"> </w:t>
      </w:r>
    </w:p>
    <w:p w:rsidR="008673B7" w:rsidRPr="00273D27" w:rsidRDefault="008673B7" w:rsidP="008673B7">
      <w:pPr>
        <w:spacing w:after="0" w:line="240" w:lineRule="auto"/>
        <w:jc w:val="both"/>
        <w:rPr>
          <w:rFonts w:ascii="Times New Roman" w:eastAsia="Calibri" w:hAnsi="Times New Roman"/>
          <w:b/>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 xml:space="preserve">Ce rapport présente et analyse des éléments clés de la situation des droits de l’homme en Haïti </w:t>
      </w:r>
      <w:r>
        <w:rPr>
          <w:rFonts w:ascii="Times New Roman" w:eastAsia="Calibri" w:hAnsi="Times New Roman"/>
          <w:sz w:val="24"/>
          <w:szCs w:val="24"/>
          <w:lang w:val="fr-FR"/>
        </w:rPr>
        <w:t>entre</w:t>
      </w:r>
      <w:r w:rsidRPr="00273D27">
        <w:rPr>
          <w:rFonts w:ascii="Times New Roman" w:eastAsia="Calibri" w:hAnsi="Times New Roman"/>
          <w:sz w:val="24"/>
          <w:szCs w:val="24"/>
          <w:lang w:val="fr-FR"/>
        </w:rPr>
        <w:t xml:space="preserve"> juillet </w:t>
      </w:r>
      <w:r>
        <w:rPr>
          <w:rFonts w:ascii="Times New Roman" w:eastAsia="Calibri" w:hAnsi="Times New Roman"/>
          <w:sz w:val="24"/>
          <w:szCs w:val="24"/>
          <w:lang w:val="fr-FR"/>
        </w:rPr>
        <w:t>et</w:t>
      </w:r>
      <w:r w:rsidRPr="00273D27">
        <w:rPr>
          <w:rFonts w:ascii="Times New Roman" w:eastAsia="Calibri" w:hAnsi="Times New Roman"/>
          <w:sz w:val="24"/>
          <w:szCs w:val="24"/>
          <w:lang w:val="fr-FR"/>
        </w:rPr>
        <w:t xml:space="preserve"> décembre 2012. Il fait suite à un rapport couvrant la période de janvier à juin 2012, publié en octobre 2012. Le dernier semestre de 2012 a connu certains développements positifs en matière de protection des droits de l’homme mais a également été marqué par des manquements importants au suivi et à la consolidation d’avancées observées durant la première partie de l’année.</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eastAsia="Calibri" w:hAnsi="Times New Roman"/>
          <w:iCs/>
          <w:sz w:val="24"/>
          <w:szCs w:val="24"/>
          <w:lang w:val="fr-FR"/>
        </w:rPr>
      </w:pPr>
      <w:r w:rsidRPr="00273D27">
        <w:rPr>
          <w:rFonts w:ascii="Times New Roman" w:eastAsia="Calibri" w:hAnsi="Times New Roman"/>
          <w:sz w:val="24"/>
          <w:szCs w:val="24"/>
          <w:lang w:val="fr-FR"/>
        </w:rPr>
        <w:t>Parmi les développements les plus importants</w:t>
      </w:r>
      <w:r w:rsidR="00CD10A7">
        <w:rPr>
          <w:rFonts w:ascii="Times New Roman" w:eastAsia="Calibri" w:hAnsi="Times New Roman"/>
          <w:sz w:val="24"/>
          <w:szCs w:val="24"/>
          <w:lang w:val="fr-FR"/>
        </w:rPr>
        <w:t>,</w:t>
      </w:r>
      <w:r w:rsidRPr="00273D27">
        <w:rPr>
          <w:rFonts w:ascii="Times New Roman" w:eastAsia="Calibri" w:hAnsi="Times New Roman"/>
          <w:sz w:val="24"/>
          <w:szCs w:val="24"/>
          <w:lang w:val="fr-FR"/>
        </w:rPr>
        <w:t xml:space="preserve"> on note la promulgation, le 20 juillet, de la </w:t>
      </w:r>
      <w:r w:rsidRPr="00273D27">
        <w:rPr>
          <w:rFonts w:ascii="Times New Roman" w:eastAsia="Calibri" w:hAnsi="Times New Roman"/>
          <w:iCs/>
          <w:sz w:val="24"/>
          <w:szCs w:val="24"/>
          <w:lang w:val="fr-FR"/>
        </w:rPr>
        <w:t>Loi portant sur l’organisation et le fonctionnement de l’Office de la protection du citoyen (OPC). Cette loi garantit l’indépendance de cette institution clé pour la protection des droits de l’homme, et définit son statut et son rôle.</w:t>
      </w:r>
    </w:p>
    <w:p w:rsidR="008673B7" w:rsidRPr="00273D27" w:rsidRDefault="008673B7" w:rsidP="008673B7">
      <w:pPr>
        <w:autoSpaceDE w:val="0"/>
        <w:autoSpaceDN w:val="0"/>
        <w:adjustRightInd w:val="0"/>
        <w:spacing w:after="0" w:line="240" w:lineRule="auto"/>
        <w:jc w:val="both"/>
        <w:rPr>
          <w:rFonts w:ascii="Times New Roman" w:eastAsia="Calibri" w:hAnsi="Times New Roman"/>
          <w:iCs/>
          <w:sz w:val="24"/>
          <w:szCs w:val="24"/>
          <w:lang w:val="fr-FR"/>
        </w:rPr>
      </w:pPr>
    </w:p>
    <w:p w:rsidR="008673B7" w:rsidRPr="00273D27" w:rsidRDefault="008673B7" w:rsidP="008673B7">
      <w:pPr>
        <w:autoSpaceDE w:val="0"/>
        <w:autoSpaceDN w:val="0"/>
        <w:adjustRightInd w:val="0"/>
        <w:spacing w:after="0" w:line="240" w:lineRule="auto"/>
        <w:jc w:val="both"/>
        <w:rPr>
          <w:rFonts w:ascii="Times New Roman" w:hAnsi="Times New Roman"/>
          <w:color w:val="000000"/>
          <w:sz w:val="24"/>
          <w:szCs w:val="24"/>
          <w:lang w:val="fr-CA"/>
        </w:rPr>
      </w:pPr>
      <w:r w:rsidRPr="00273D27">
        <w:rPr>
          <w:rFonts w:ascii="Times New Roman" w:hAnsi="Times New Roman"/>
          <w:color w:val="000000"/>
          <w:sz w:val="24"/>
          <w:szCs w:val="24"/>
          <w:lang w:val="fr-CA"/>
        </w:rPr>
        <w:t xml:space="preserve">Le 30 novembre, le gouvernement haïtien a soumis son rapport initial au Comité des droits de l’homme, 21 ans après la ratification du </w:t>
      </w:r>
      <w:r>
        <w:rPr>
          <w:rFonts w:ascii="Times New Roman" w:hAnsi="Times New Roman"/>
          <w:color w:val="000000"/>
          <w:sz w:val="24"/>
          <w:szCs w:val="24"/>
          <w:lang w:val="fr-CA"/>
        </w:rPr>
        <w:t>Pacte international relatif aux droits civils et politiques (</w:t>
      </w:r>
      <w:r w:rsidRPr="00273D27">
        <w:rPr>
          <w:rFonts w:ascii="Times New Roman" w:hAnsi="Times New Roman"/>
          <w:color w:val="000000"/>
          <w:sz w:val="24"/>
          <w:szCs w:val="24"/>
          <w:lang w:val="fr-CA"/>
        </w:rPr>
        <w:t>PIDCP</w:t>
      </w:r>
      <w:r>
        <w:rPr>
          <w:rFonts w:ascii="Times New Roman" w:hAnsi="Times New Roman"/>
          <w:color w:val="000000"/>
          <w:sz w:val="24"/>
          <w:szCs w:val="24"/>
          <w:lang w:val="fr-CA"/>
        </w:rPr>
        <w:t>)</w:t>
      </w:r>
      <w:r w:rsidRPr="00273D27">
        <w:rPr>
          <w:rFonts w:ascii="Times New Roman" w:hAnsi="Times New Roman"/>
          <w:color w:val="000000"/>
          <w:sz w:val="24"/>
          <w:szCs w:val="24"/>
          <w:lang w:val="fr-CA"/>
        </w:rPr>
        <w:t xml:space="preserve">. Ceci constitue une avancée significative en matière d’engagement de l’État haïtien avec les mécanismes internationaux des droits de l'homme. Cet accomplissement peut se lire dans le cadre des déclarations encourageantes faites par des représentants du gouvernement concernant la volonté de l’État haïtien d’améliorer la protection et la promotion des droits de l’homme en Haïti, notamment en ce qui concerne la ratification d’instruments internationaux relatifs aux droits de l’homme et l’obligation de rapporter périodiquement aux organes de traités sur les droits de l’homme. </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CA"/>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Il faut aussi signaler l’engagement formel du gouvernement à ratifier ou adhérer à six conventions internationales des droits de l’homme. En effet, le 24 septembre, le Premier Ministre, M. Laurent Lamothe s’est engagé,</w:t>
      </w:r>
      <w:r>
        <w:rPr>
          <w:rFonts w:ascii="Times New Roman" w:eastAsia="Calibri" w:hAnsi="Times New Roman"/>
          <w:sz w:val="24"/>
          <w:szCs w:val="24"/>
          <w:lang w:val="fr-FR"/>
        </w:rPr>
        <w:t xml:space="preserve"> lors de la 67</w:t>
      </w:r>
      <w:r w:rsidRPr="00663F64">
        <w:rPr>
          <w:rFonts w:ascii="Times New Roman" w:eastAsia="Calibri" w:hAnsi="Times New Roman"/>
          <w:sz w:val="24"/>
          <w:szCs w:val="24"/>
          <w:vertAlign w:val="superscript"/>
          <w:lang w:val="fr-FR"/>
        </w:rPr>
        <w:t>ème</w:t>
      </w:r>
      <w:r>
        <w:rPr>
          <w:rFonts w:ascii="Times New Roman" w:eastAsia="Calibri" w:hAnsi="Times New Roman"/>
          <w:sz w:val="24"/>
          <w:szCs w:val="24"/>
          <w:lang w:val="fr-FR"/>
        </w:rPr>
        <w:t xml:space="preserve"> session de l’Assemblée Générale des</w:t>
      </w:r>
      <w:r w:rsidRPr="00273D27">
        <w:rPr>
          <w:rFonts w:ascii="Times New Roman" w:eastAsia="Calibri" w:hAnsi="Times New Roman"/>
          <w:sz w:val="24"/>
          <w:szCs w:val="24"/>
          <w:lang w:val="fr-FR"/>
        </w:rPr>
        <w:t xml:space="preserve"> Nations Unies, à ce que le gouvernement haïtien adhère ou ratifie la Convention contre la torture et autres peines ou traitements cruels, inhumains ou dégradants; la Convention internationale pour la protection de toutes les personnes contre les disparitions forcées; la Convention internationale sur la protection des droits de tous les travailleurs migrants et des membres de leur famille; le Statut de Rome établissant la Cour pénale internationale; la Convention de 1954 relative au statut des apatrides ; et la Convention de 1961 sur la réduction des cas d’apatridie.</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 xml:space="preserve">Malgré ces pas encourageants, la </w:t>
      </w:r>
      <w:r w:rsidR="00CD10A7">
        <w:rPr>
          <w:rFonts w:ascii="Times New Roman" w:eastAsia="Calibri" w:hAnsi="Times New Roman"/>
          <w:sz w:val="24"/>
          <w:szCs w:val="24"/>
          <w:lang w:val="fr-FR"/>
        </w:rPr>
        <w:t>Section des droits de l’homme (SDH) de la MINUSTA</w:t>
      </w:r>
      <w:r w:rsidRPr="00273D27">
        <w:rPr>
          <w:rFonts w:ascii="Times New Roman" w:eastAsia="Calibri" w:hAnsi="Times New Roman"/>
          <w:sz w:val="24"/>
          <w:szCs w:val="24"/>
          <w:lang w:val="fr-FR"/>
        </w:rPr>
        <w:t>H</w:t>
      </w:r>
      <w:r w:rsidR="00CD10A7">
        <w:rPr>
          <w:rFonts w:ascii="Times New Roman" w:eastAsia="Calibri" w:hAnsi="Times New Roman"/>
          <w:sz w:val="24"/>
          <w:szCs w:val="24"/>
          <w:lang w:val="fr-FR"/>
        </w:rPr>
        <w:t xml:space="preserve"> / Haut-Commissariat aux droits de l’homme</w:t>
      </w:r>
      <w:r w:rsidRPr="00273D27">
        <w:rPr>
          <w:rFonts w:ascii="Times New Roman" w:eastAsia="Calibri" w:hAnsi="Times New Roman"/>
          <w:sz w:val="24"/>
          <w:szCs w:val="24"/>
          <w:lang w:val="fr-FR"/>
        </w:rPr>
        <w:t xml:space="preserve"> note dans ce rapport une absence de progrès dans d’autres domaines. Ainsi</w:t>
      </w:r>
      <w:r w:rsidR="00CD10A7">
        <w:rPr>
          <w:rFonts w:ascii="Times New Roman" w:eastAsia="Calibri" w:hAnsi="Times New Roman"/>
          <w:sz w:val="24"/>
          <w:szCs w:val="24"/>
          <w:lang w:val="fr-FR"/>
        </w:rPr>
        <w:t>,</w:t>
      </w:r>
      <w:r w:rsidRPr="00273D27">
        <w:rPr>
          <w:rFonts w:ascii="Times New Roman" w:eastAsia="Calibri" w:hAnsi="Times New Roman"/>
          <w:sz w:val="24"/>
          <w:szCs w:val="24"/>
          <w:lang w:val="fr-FR"/>
        </w:rPr>
        <w:t xml:space="preserve"> le Conseil électoral permanent (CEP) et le Conseil constitutionnel établis conformément aux amendements constitutionnels de juin 2012 n’ont pas </w:t>
      </w:r>
      <w:r w:rsidR="00CD10A7">
        <w:rPr>
          <w:rFonts w:ascii="Times New Roman" w:eastAsia="Calibri" w:hAnsi="Times New Roman"/>
          <w:sz w:val="24"/>
          <w:szCs w:val="24"/>
          <w:lang w:val="fr-FR"/>
        </w:rPr>
        <w:t>encore été créés et le Conseil s</w:t>
      </w:r>
      <w:r w:rsidRPr="00273D27">
        <w:rPr>
          <w:rFonts w:ascii="Times New Roman" w:eastAsia="Calibri" w:hAnsi="Times New Roman"/>
          <w:sz w:val="24"/>
          <w:szCs w:val="24"/>
          <w:lang w:val="fr-FR"/>
        </w:rPr>
        <w:t xml:space="preserve">upérieur du </w:t>
      </w:r>
      <w:r>
        <w:rPr>
          <w:rFonts w:ascii="Times New Roman" w:eastAsia="Calibri" w:hAnsi="Times New Roman"/>
          <w:sz w:val="24"/>
          <w:szCs w:val="24"/>
          <w:lang w:val="fr-FR"/>
        </w:rPr>
        <w:t>p</w:t>
      </w:r>
      <w:r w:rsidRPr="00273D27">
        <w:rPr>
          <w:rFonts w:ascii="Times New Roman" w:eastAsia="Calibri" w:hAnsi="Times New Roman"/>
          <w:sz w:val="24"/>
          <w:szCs w:val="24"/>
          <w:lang w:val="fr-FR"/>
        </w:rPr>
        <w:t xml:space="preserve">ouvoir </w:t>
      </w:r>
      <w:r>
        <w:rPr>
          <w:rFonts w:ascii="Times New Roman" w:eastAsia="Calibri" w:hAnsi="Times New Roman"/>
          <w:sz w:val="24"/>
          <w:szCs w:val="24"/>
          <w:lang w:val="fr-FR"/>
        </w:rPr>
        <w:t>j</w:t>
      </w:r>
      <w:r w:rsidRPr="00273D27">
        <w:rPr>
          <w:rFonts w:ascii="Times New Roman" w:eastAsia="Calibri" w:hAnsi="Times New Roman"/>
          <w:sz w:val="24"/>
          <w:szCs w:val="24"/>
          <w:lang w:val="fr-FR"/>
        </w:rPr>
        <w:t>udic</w:t>
      </w:r>
      <w:r w:rsidR="00CD10A7">
        <w:rPr>
          <w:rFonts w:ascii="Times New Roman" w:eastAsia="Calibri" w:hAnsi="Times New Roman"/>
          <w:sz w:val="24"/>
          <w:szCs w:val="24"/>
          <w:lang w:val="fr-FR"/>
        </w:rPr>
        <w:t>i</w:t>
      </w:r>
      <w:r w:rsidRPr="00273D27">
        <w:rPr>
          <w:rFonts w:ascii="Times New Roman" w:eastAsia="Calibri" w:hAnsi="Times New Roman"/>
          <w:sz w:val="24"/>
          <w:szCs w:val="24"/>
          <w:lang w:val="fr-FR"/>
        </w:rPr>
        <w:t xml:space="preserve">aire n’est pas encore </w:t>
      </w:r>
      <w:r>
        <w:rPr>
          <w:rFonts w:ascii="Times New Roman" w:eastAsia="Calibri" w:hAnsi="Times New Roman"/>
          <w:sz w:val="24"/>
          <w:szCs w:val="24"/>
          <w:lang w:val="fr-FR"/>
        </w:rPr>
        <w:t>pleinement</w:t>
      </w:r>
      <w:r w:rsidRPr="00273D27">
        <w:rPr>
          <w:rFonts w:ascii="Times New Roman" w:eastAsia="Calibri" w:hAnsi="Times New Roman"/>
          <w:sz w:val="24"/>
          <w:szCs w:val="24"/>
          <w:lang w:val="fr-FR"/>
        </w:rPr>
        <w:t xml:space="preserve"> opérationnel. L’organisation des élections municipales et législatives est de fait suspendue depuis 2011 </w:t>
      </w:r>
      <w:r>
        <w:rPr>
          <w:rFonts w:ascii="Times New Roman" w:eastAsia="Calibri" w:hAnsi="Times New Roman"/>
          <w:sz w:val="24"/>
          <w:szCs w:val="24"/>
          <w:lang w:val="fr-FR"/>
        </w:rPr>
        <w:t>en raison de</w:t>
      </w:r>
      <w:r w:rsidRPr="00273D27">
        <w:rPr>
          <w:rFonts w:ascii="Times New Roman" w:eastAsia="Calibri" w:hAnsi="Times New Roman"/>
          <w:sz w:val="24"/>
          <w:szCs w:val="24"/>
          <w:lang w:val="fr-FR"/>
        </w:rPr>
        <w:t xml:space="preserve"> l’incapacité de constituer le CEP. </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hAnsi="Times New Roman"/>
          <w:sz w:val="24"/>
          <w:szCs w:val="24"/>
          <w:lang w:val="fr-FR"/>
        </w:rPr>
      </w:pPr>
      <w:r w:rsidRPr="00273D27">
        <w:rPr>
          <w:rFonts w:ascii="Times New Roman" w:eastAsia="Calibri" w:hAnsi="Times New Roman"/>
          <w:sz w:val="24"/>
          <w:szCs w:val="24"/>
          <w:lang w:val="fr-FR"/>
        </w:rPr>
        <w:t xml:space="preserve">La nomination d’Agents exécutifs intérimaires (AEI) à des postes d’élus locaux s’est poursuivie. En se prolongeant indéfiniment dans l’attente de la tenue des élections, cette pratique </w:t>
      </w:r>
      <w:r w:rsidRPr="00273D27">
        <w:rPr>
          <w:rFonts w:ascii="Times New Roman" w:eastAsia="Calibri" w:hAnsi="Times New Roman"/>
          <w:sz w:val="24"/>
          <w:szCs w:val="24"/>
          <w:lang w:val="fr-FR"/>
        </w:rPr>
        <w:lastRenderedPageBreak/>
        <w:t xml:space="preserve">initialement justifiée pour assurer le bon fonctionnement des institutions locales compromet le caractère électif des fonctions concernées et présente un risque pour la démocratie. De façon similaire, </w:t>
      </w:r>
      <w:r w:rsidRPr="00273D27">
        <w:rPr>
          <w:rFonts w:ascii="Times New Roman" w:hAnsi="Times New Roman"/>
          <w:sz w:val="24"/>
          <w:szCs w:val="24"/>
          <w:lang w:val="fr-FR"/>
        </w:rPr>
        <w:t xml:space="preserve">le pouvoir exécutif a nommé ou transféré un nombre important de magistrats. Dans le contexte actuel, ces décisions peuvent être perçues comme une atteinte à l’indépendance de la magistrature.  </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hAnsi="Times New Roman"/>
          <w:b/>
          <w:iCs/>
          <w:sz w:val="24"/>
          <w:szCs w:val="24"/>
          <w:lang w:val="fr-FR"/>
        </w:rPr>
      </w:pPr>
      <w:r w:rsidRPr="00273D27">
        <w:rPr>
          <w:rFonts w:ascii="Times New Roman" w:hAnsi="Times New Roman"/>
          <w:bCs/>
          <w:iCs/>
          <w:sz w:val="24"/>
          <w:szCs w:val="24"/>
          <w:lang w:val="fr-FR"/>
        </w:rPr>
        <w:t>Au cours du second semestre 2012, la SDH a documenté plusieurs cas</w:t>
      </w:r>
      <w:r w:rsidR="00CD10A7">
        <w:rPr>
          <w:rFonts w:ascii="Times New Roman" w:hAnsi="Times New Roman"/>
          <w:bCs/>
          <w:iCs/>
          <w:sz w:val="24"/>
          <w:szCs w:val="24"/>
          <w:lang w:val="fr-FR"/>
        </w:rPr>
        <w:t xml:space="preserve"> d’allégations d’usage excessif de la force par </w:t>
      </w:r>
      <w:r w:rsidR="00CD10A7">
        <w:rPr>
          <w:rFonts w:ascii="Times New Roman" w:hAnsi="Times New Roman"/>
          <w:bCs/>
          <w:sz w:val="24"/>
          <w:szCs w:val="24"/>
          <w:lang w:val="fr-FR"/>
        </w:rPr>
        <w:t>des agents de la Police n</w:t>
      </w:r>
      <w:r w:rsidRPr="00273D27">
        <w:rPr>
          <w:rFonts w:ascii="Times New Roman" w:hAnsi="Times New Roman"/>
          <w:bCs/>
          <w:sz w:val="24"/>
          <w:szCs w:val="24"/>
          <w:lang w:val="fr-FR"/>
        </w:rPr>
        <w:t xml:space="preserve">ationale d’Haïti (PNH) auraient fait un usage excessif de la force </w:t>
      </w:r>
      <w:r w:rsidRPr="00273D27">
        <w:rPr>
          <w:rFonts w:ascii="Times New Roman" w:hAnsi="Times New Roman"/>
          <w:sz w:val="24"/>
          <w:szCs w:val="24"/>
          <w:lang w:val="fr-CA"/>
        </w:rPr>
        <w:t>dans le cadre d’opérations d’évictions forcées, de</w:t>
      </w:r>
      <w:r w:rsidR="00CD10A7">
        <w:rPr>
          <w:rFonts w:ascii="Times New Roman" w:hAnsi="Times New Roman"/>
          <w:sz w:val="24"/>
          <w:szCs w:val="24"/>
          <w:lang w:val="fr-CA"/>
        </w:rPr>
        <w:t xml:space="preserve"> la</w:t>
      </w:r>
      <w:r w:rsidRPr="00273D27">
        <w:rPr>
          <w:rFonts w:ascii="Times New Roman" w:hAnsi="Times New Roman"/>
          <w:sz w:val="24"/>
          <w:szCs w:val="24"/>
          <w:lang w:val="fr-CA"/>
        </w:rPr>
        <w:t xml:space="preserve"> répression de mouvements de protestation et d’opérations anti-criminalité,</w:t>
      </w:r>
      <w:r w:rsidRPr="00273D27">
        <w:rPr>
          <w:rFonts w:ascii="Times New Roman" w:hAnsi="Times New Roman"/>
          <w:iCs/>
          <w:sz w:val="24"/>
          <w:szCs w:val="24"/>
          <w:lang w:val="fr-FR"/>
        </w:rPr>
        <w:t xml:space="preserve"> ainsi que dans le cadre d’incidents isolés.</w:t>
      </w:r>
      <w:r w:rsidRPr="00273D27">
        <w:rPr>
          <w:rFonts w:ascii="Times New Roman" w:hAnsi="Times New Roman"/>
          <w:b/>
          <w:iCs/>
          <w:sz w:val="24"/>
          <w:szCs w:val="24"/>
          <w:lang w:val="fr-FR"/>
        </w:rPr>
        <w:t xml:space="preserve"> </w:t>
      </w:r>
      <w:r w:rsidRPr="00273D27">
        <w:rPr>
          <w:rFonts w:ascii="Times New Roman" w:hAnsi="Times New Roman"/>
          <w:iCs/>
          <w:sz w:val="24"/>
          <w:szCs w:val="24"/>
          <w:lang w:val="fr-FR"/>
        </w:rPr>
        <w:t>D</w:t>
      </w:r>
      <w:r w:rsidRPr="00273D27">
        <w:rPr>
          <w:rFonts w:ascii="Times New Roman" w:hAnsi="Times New Roman"/>
          <w:bCs/>
          <w:iCs/>
          <w:sz w:val="24"/>
          <w:szCs w:val="24"/>
          <w:lang w:val="fr-FR"/>
        </w:rPr>
        <w:t>es allégations de mauvais traitements par des agents de la PNH ont également été documentées.</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273D27">
        <w:rPr>
          <w:rFonts w:ascii="Times New Roman" w:hAnsi="Times New Roman"/>
          <w:iCs/>
          <w:sz w:val="24"/>
          <w:szCs w:val="24"/>
          <w:lang w:val="fr-FR"/>
        </w:rPr>
        <w:t xml:space="preserve">En mai 2012, la </w:t>
      </w:r>
      <w:r w:rsidR="00CD10A7">
        <w:rPr>
          <w:rFonts w:ascii="Times New Roman" w:hAnsi="Times New Roman"/>
          <w:iCs/>
          <w:sz w:val="24"/>
          <w:szCs w:val="24"/>
          <w:lang w:val="fr-FR"/>
        </w:rPr>
        <w:t>SDH avait transmis à l’Inspection g</w:t>
      </w:r>
      <w:r w:rsidRPr="00273D27">
        <w:rPr>
          <w:rFonts w:ascii="Times New Roman" w:hAnsi="Times New Roman"/>
          <w:iCs/>
          <w:sz w:val="24"/>
          <w:szCs w:val="24"/>
          <w:lang w:val="fr-FR"/>
        </w:rPr>
        <w:t xml:space="preserve">énérale de la Police </w:t>
      </w:r>
      <w:r w:rsidR="00CD10A7">
        <w:rPr>
          <w:rFonts w:ascii="Times New Roman" w:hAnsi="Times New Roman"/>
          <w:iCs/>
          <w:sz w:val="24"/>
          <w:szCs w:val="24"/>
          <w:lang w:val="fr-FR"/>
        </w:rPr>
        <w:t>n</w:t>
      </w:r>
      <w:r w:rsidRPr="00273D27">
        <w:rPr>
          <w:rFonts w:ascii="Times New Roman" w:hAnsi="Times New Roman"/>
          <w:iCs/>
          <w:sz w:val="24"/>
          <w:szCs w:val="24"/>
          <w:lang w:val="fr-FR"/>
        </w:rPr>
        <w:t>ationale d’Haïti (IGPNH)</w:t>
      </w:r>
      <w:r w:rsidR="00CD10A7">
        <w:rPr>
          <w:rFonts w:ascii="Times New Roman" w:hAnsi="Times New Roman"/>
          <w:iCs/>
          <w:sz w:val="24"/>
          <w:szCs w:val="24"/>
          <w:lang w:val="fr-FR"/>
        </w:rPr>
        <w:t>,</w:t>
      </w:r>
      <w:r w:rsidRPr="00273D27">
        <w:rPr>
          <w:rFonts w:ascii="Times New Roman" w:hAnsi="Times New Roman"/>
          <w:iCs/>
          <w:sz w:val="24"/>
          <w:szCs w:val="24"/>
          <w:lang w:val="fr-FR"/>
        </w:rPr>
        <w:t xml:space="preserve"> 47 allégations de violations commises par des agents de la PNH. Sur ces 47 cas, la SDH n’a reçu de réponses de la part de l’IGPNH que pour 10 cas. </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273D27">
        <w:rPr>
          <w:rFonts w:ascii="Times New Roman" w:hAnsi="Times New Roman"/>
          <w:iCs/>
          <w:sz w:val="24"/>
          <w:szCs w:val="24"/>
          <w:lang w:val="fr-FR"/>
        </w:rPr>
        <w:t>La SDH a documenté plusieurs cas illustrant le recours, par des autorités judiciaires et administratives, à des forces de sécurité parallèles composées de civils. Ces groupes ont, en certaines occasions, effectué des t</w:t>
      </w:r>
      <w:r>
        <w:rPr>
          <w:rFonts w:ascii="Times New Roman" w:hAnsi="Times New Roman"/>
          <w:iCs/>
          <w:sz w:val="24"/>
          <w:szCs w:val="24"/>
          <w:lang w:val="fr-FR"/>
        </w:rPr>
        <w:t>â</w:t>
      </w:r>
      <w:r w:rsidRPr="00273D27">
        <w:rPr>
          <w:rFonts w:ascii="Times New Roman" w:hAnsi="Times New Roman"/>
          <w:iCs/>
          <w:sz w:val="24"/>
          <w:szCs w:val="24"/>
          <w:lang w:val="fr-FR"/>
        </w:rPr>
        <w:t xml:space="preserve">ches réservées seulement aux autorités policières. Certaines figures politiques locales ont fait appel à des </w:t>
      </w:r>
      <w:r w:rsidRPr="00273D27">
        <w:rPr>
          <w:rFonts w:ascii="Times New Roman" w:hAnsi="Times New Roman"/>
          <w:i/>
          <w:iCs/>
          <w:sz w:val="24"/>
          <w:szCs w:val="24"/>
          <w:lang w:val="fr-FR"/>
        </w:rPr>
        <w:t>brigades</w:t>
      </w:r>
      <w:r w:rsidRPr="00273D27">
        <w:rPr>
          <w:rFonts w:ascii="Times New Roman" w:hAnsi="Times New Roman"/>
          <w:iCs/>
          <w:sz w:val="24"/>
          <w:szCs w:val="24"/>
          <w:lang w:val="fr-FR"/>
        </w:rPr>
        <w:t xml:space="preserve"> civiles au motif de garantir leur sécurité. La </w:t>
      </w:r>
      <w:r>
        <w:rPr>
          <w:rFonts w:ascii="Times New Roman" w:hAnsi="Times New Roman"/>
          <w:iCs/>
          <w:sz w:val="24"/>
          <w:szCs w:val="24"/>
          <w:lang w:val="fr-FR"/>
        </w:rPr>
        <w:t>formation</w:t>
      </w:r>
      <w:r w:rsidRPr="00273D27">
        <w:rPr>
          <w:rFonts w:ascii="Times New Roman" w:hAnsi="Times New Roman"/>
          <w:iCs/>
          <w:sz w:val="24"/>
          <w:szCs w:val="24"/>
          <w:lang w:val="fr-FR"/>
        </w:rPr>
        <w:t xml:space="preserve"> de tels groupes n’est pas sans risque, notamment dans la perspective de la tenue des prochaines élections. </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eastAsia="Calibri" w:hAnsi="Times New Roman"/>
          <w:iCs/>
          <w:sz w:val="24"/>
          <w:szCs w:val="24"/>
          <w:lang w:val="fr-FR"/>
        </w:rPr>
      </w:pPr>
      <w:r w:rsidRPr="00273D27">
        <w:rPr>
          <w:rFonts w:ascii="Times New Roman" w:eastAsia="Calibri" w:hAnsi="Times New Roman"/>
          <w:iCs/>
          <w:sz w:val="24"/>
          <w:szCs w:val="24"/>
          <w:lang w:val="fr-FR"/>
        </w:rPr>
        <w:t xml:space="preserve">Le phénomène de lynchage reste un sujet de vive préoccupation. Cinquante-six cas de lynchage ont été recensés par </w:t>
      </w:r>
      <w:r w:rsidR="00CD10A7">
        <w:rPr>
          <w:rFonts w:ascii="Times New Roman" w:eastAsia="Calibri" w:hAnsi="Times New Roman"/>
          <w:iCs/>
          <w:sz w:val="24"/>
          <w:szCs w:val="24"/>
          <w:lang w:val="fr-FR"/>
        </w:rPr>
        <w:t>la Police des Nations Unies (</w:t>
      </w:r>
      <w:r w:rsidRPr="00273D27">
        <w:rPr>
          <w:rFonts w:ascii="Times New Roman" w:eastAsia="Calibri" w:hAnsi="Times New Roman"/>
          <w:iCs/>
          <w:sz w:val="24"/>
          <w:szCs w:val="24"/>
          <w:lang w:val="fr-FR"/>
        </w:rPr>
        <w:t>UNPOL</w:t>
      </w:r>
      <w:r w:rsidR="00CD10A7">
        <w:rPr>
          <w:rFonts w:ascii="Times New Roman" w:eastAsia="Calibri" w:hAnsi="Times New Roman"/>
          <w:iCs/>
          <w:sz w:val="24"/>
          <w:szCs w:val="24"/>
          <w:lang w:val="fr-FR"/>
        </w:rPr>
        <w:t>)</w:t>
      </w:r>
      <w:r w:rsidRPr="00273D27">
        <w:rPr>
          <w:rFonts w:ascii="Times New Roman" w:eastAsia="Calibri" w:hAnsi="Times New Roman"/>
          <w:iCs/>
          <w:sz w:val="24"/>
          <w:szCs w:val="24"/>
          <w:lang w:val="fr-FR"/>
        </w:rPr>
        <w:t xml:space="preserve"> de la MINUSTAH au cours du second semestre 2012. La réponse des autorités pour prévenir et réprimer les lynchages reste insuffisante. </w:t>
      </w:r>
      <w:r w:rsidRPr="00273D27">
        <w:rPr>
          <w:rFonts w:ascii="Times New Roman" w:hAnsi="Times New Roman"/>
          <w:bCs/>
          <w:iCs/>
          <w:sz w:val="24"/>
          <w:szCs w:val="24"/>
          <w:lang w:val="fr-FR"/>
        </w:rPr>
        <w:t xml:space="preserve">De même, la réponse judiciaire aux actes de violences sexuelles est restée </w:t>
      </w:r>
      <w:r>
        <w:rPr>
          <w:rFonts w:ascii="Times New Roman" w:hAnsi="Times New Roman"/>
          <w:bCs/>
          <w:iCs/>
          <w:sz w:val="24"/>
          <w:szCs w:val="24"/>
          <w:lang w:val="fr-FR"/>
        </w:rPr>
        <w:t>inadéquate</w:t>
      </w:r>
      <w:r w:rsidRPr="00273D27">
        <w:rPr>
          <w:rFonts w:ascii="Times New Roman" w:hAnsi="Times New Roman"/>
          <w:bCs/>
          <w:iCs/>
          <w:sz w:val="24"/>
          <w:szCs w:val="24"/>
          <w:lang w:val="fr-FR"/>
        </w:rPr>
        <w:t xml:space="preserve"> et les recommandations du rapport de la SDH sur cette question, publié en juin 2012, sont pour la plupart restées lettre morte.</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273D27">
        <w:rPr>
          <w:rFonts w:ascii="Times New Roman" w:hAnsi="Times New Roman"/>
          <w:iCs/>
          <w:sz w:val="24"/>
          <w:szCs w:val="24"/>
          <w:lang w:val="fr-FR"/>
        </w:rPr>
        <w:t>La Cour d’appel devait se prononcer le 13 décembre sur le recours contre l’ordonnance rendu par le juge d’instruction dans le cadre des poursuites engagés contre l’ancien président Jean-Claude Duvalier. Toutefois, à la demande des victimes, la cour d’appel a décidé de reporter la séance au 24 janvier 2013.</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273D27">
        <w:rPr>
          <w:rFonts w:ascii="Times New Roman" w:eastAsia="Calibri" w:hAnsi="Times New Roman"/>
          <w:sz w:val="24"/>
          <w:szCs w:val="24"/>
          <w:lang w:val="fr-FR"/>
        </w:rPr>
        <w:t xml:space="preserve">La SDH n’a pas constaté d’amélioration, au plan national, concernant la situation des personnes placées en garde à vue et en détention. </w:t>
      </w:r>
      <w:r w:rsidRPr="00273D27">
        <w:rPr>
          <w:rFonts w:ascii="Times New Roman" w:hAnsi="Times New Roman"/>
          <w:iCs/>
          <w:sz w:val="24"/>
          <w:szCs w:val="24"/>
          <w:lang w:val="fr-FR"/>
        </w:rPr>
        <w:t>La SDH a continué de documenter de nombreux cas de personnes se trouvant en garde à vue au-delà du délai légal de 48 heures, et de recenser de nombreux</w:t>
      </w:r>
      <w:r w:rsidRPr="00273D27" w:rsidDel="00076C98">
        <w:rPr>
          <w:rFonts w:ascii="Times New Roman" w:hAnsi="Times New Roman"/>
          <w:iCs/>
          <w:sz w:val="24"/>
          <w:szCs w:val="24"/>
          <w:lang w:val="fr-FR"/>
        </w:rPr>
        <w:t xml:space="preserve"> </w:t>
      </w:r>
      <w:r w:rsidRPr="00273D27">
        <w:rPr>
          <w:rFonts w:ascii="Times New Roman" w:hAnsi="Times New Roman"/>
          <w:iCs/>
          <w:sz w:val="24"/>
          <w:szCs w:val="24"/>
          <w:lang w:val="fr-FR"/>
        </w:rPr>
        <w:t xml:space="preserve">cas de détentions préventives prolongées dans les prisons malgré la tenue de </w:t>
      </w:r>
      <w:r w:rsidRPr="00273D27">
        <w:rPr>
          <w:rFonts w:ascii="Times New Roman" w:hAnsi="Times New Roman"/>
          <w:bCs/>
          <w:iCs/>
          <w:sz w:val="24"/>
          <w:szCs w:val="24"/>
          <w:lang w:val="fr-FR"/>
        </w:rPr>
        <w:t>sessions correctionnelles ou d’assises supplémentaires. Plusieurs cas de personnes qui restent en détention après la fin de leur peine ont également été recensés.</w:t>
      </w:r>
      <w:r w:rsidRPr="00273D27">
        <w:rPr>
          <w:rFonts w:ascii="Times New Roman" w:hAnsi="Times New Roman"/>
          <w:iCs/>
          <w:sz w:val="24"/>
          <w:szCs w:val="24"/>
          <w:lang w:val="fr-FR"/>
        </w:rPr>
        <w:t xml:space="preserve"> En matière de conditions de détention, la SDH continue de s’inquiéter du manque généralisé d’accès à la nourriture et aux soins, des mauvaises conditions d’hygiène et de la surpopulation carcérale. La situation des mineurs et des femmes, notamment les femmes enceintes, est encore plus problématique.</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lastRenderedPageBreak/>
        <w:t>La seconde moitié de l’année a été marquée par d</w:t>
      </w:r>
      <w:r w:rsidR="00CD10A7">
        <w:rPr>
          <w:rFonts w:ascii="Times New Roman" w:eastAsia="Calibri" w:hAnsi="Times New Roman"/>
          <w:sz w:val="24"/>
          <w:szCs w:val="24"/>
          <w:lang w:val="fr-FR"/>
        </w:rPr>
        <w:t xml:space="preserve">’importantes </w:t>
      </w:r>
      <w:r w:rsidRPr="00273D27">
        <w:rPr>
          <w:rFonts w:ascii="Times New Roman" w:eastAsia="Calibri" w:hAnsi="Times New Roman"/>
          <w:sz w:val="24"/>
          <w:szCs w:val="24"/>
          <w:lang w:val="fr-FR"/>
        </w:rPr>
        <w:t xml:space="preserve">catastrophes naturelles qui ont à nouveau affecté la situation humanitaire </w:t>
      </w:r>
      <w:r w:rsidR="0042759D">
        <w:rPr>
          <w:rFonts w:ascii="Times New Roman" w:eastAsia="Calibri" w:hAnsi="Times New Roman"/>
          <w:sz w:val="24"/>
          <w:szCs w:val="24"/>
          <w:lang w:val="fr-FR"/>
        </w:rPr>
        <w:t xml:space="preserve">et </w:t>
      </w:r>
      <w:r w:rsidR="00F813C5">
        <w:rPr>
          <w:rFonts w:ascii="Times New Roman" w:eastAsia="Calibri" w:hAnsi="Times New Roman"/>
          <w:sz w:val="24"/>
          <w:szCs w:val="24"/>
          <w:lang w:val="fr-FR"/>
        </w:rPr>
        <w:t>bouleversé la vie du pays</w:t>
      </w:r>
      <w:r w:rsidRPr="00273D27">
        <w:rPr>
          <w:rFonts w:ascii="Times New Roman" w:eastAsia="Calibri" w:hAnsi="Times New Roman"/>
          <w:sz w:val="24"/>
          <w:szCs w:val="24"/>
          <w:lang w:val="fr-FR"/>
        </w:rPr>
        <w:t xml:space="preserve">. Ces événements ont mis en lumière la vulnérabilité persistante du pays à de telles catastrophes et la capacité </w:t>
      </w:r>
      <w:r>
        <w:rPr>
          <w:rFonts w:ascii="Times New Roman" w:eastAsia="Calibri" w:hAnsi="Times New Roman"/>
          <w:sz w:val="24"/>
          <w:szCs w:val="24"/>
          <w:lang w:val="fr-FR"/>
        </w:rPr>
        <w:t xml:space="preserve">limitée </w:t>
      </w:r>
      <w:r w:rsidRPr="00273D27">
        <w:rPr>
          <w:rFonts w:ascii="Times New Roman" w:eastAsia="Calibri" w:hAnsi="Times New Roman"/>
          <w:sz w:val="24"/>
          <w:szCs w:val="24"/>
          <w:lang w:val="fr-FR"/>
        </w:rPr>
        <w:t>de réponse des autorités de protection, telles que la Direction de la protection civile</w:t>
      </w:r>
      <w:r w:rsidRPr="00273D27">
        <w:rPr>
          <w:rFonts w:ascii="Times New Roman" w:eastAsia="Calibri" w:hAnsi="Times New Roman"/>
          <w:i/>
          <w:sz w:val="24"/>
          <w:szCs w:val="24"/>
          <w:lang w:val="fr-FR"/>
        </w:rPr>
        <w:t xml:space="preserve"> </w:t>
      </w:r>
      <w:r w:rsidRPr="00273D27">
        <w:rPr>
          <w:rFonts w:ascii="Times New Roman" w:eastAsia="Calibri" w:hAnsi="Times New Roman"/>
          <w:sz w:val="24"/>
          <w:szCs w:val="24"/>
          <w:lang w:val="fr-FR"/>
        </w:rPr>
        <w:t xml:space="preserve">(DPC). A la suite du passage de l’ouragan Sandy, le 31 octobre, le gouvernement haïtien a proclamé l’état d’urgence sur l’ensemble du pays, </w:t>
      </w:r>
      <w:r>
        <w:rPr>
          <w:rFonts w:ascii="Times New Roman" w:eastAsia="Calibri" w:hAnsi="Times New Roman"/>
          <w:sz w:val="24"/>
          <w:szCs w:val="24"/>
          <w:lang w:val="fr-FR"/>
        </w:rPr>
        <w:t>autorisant</w:t>
      </w:r>
      <w:r w:rsidRPr="00273D27">
        <w:rPr>
          <w:rFonts w:ascii="Times New Roman" w:eastAsia="Calibri" w:hAnsi="Times New Roman"/>
          <w:sz w:val="24"/>
          <w:szCs w:val="24"/>
          <w:lang w:val="fr-FR"/>
        </w:rPr>
        <w:t xml:space="preserve"> des restrictions aux libertés individuelles et octroyant des pouvoirs exceptionnels au pouvoir exécutif. </w:t>
      </w:r>
      <w:r w:rsidRPr="00273D27">
        <w:rPr>
          <w:rFonts w:ascii="Times New Roman" w:eastAsia="Times New Roman" w:hAnsi="Times New Roman"/>
          <w:sz w:val="24"/>
          <w:szCs w:val="24"/>
          <w:lang w:val="fr-FR"/>
        </w:rPr>
        <w:t>Le gouvernement devra rendre compte au Parlement de son action à l’issue de la période dite d’état d’urgence, commençant le 1 novembre pour une période d’un mois et prolongé pour une période additionnelle d’un mois au 5 décembre.</w:t>
      </w:r>
    </w:p>
    <w:p w:rsidR="008673B7" w:rsidRPr="00273D27" w:rsidRDefault="008673B7" w:rsidP="008673B7">
      <w:pPr>
        <w:autoSpaceDE w:val="0"/>
        <w:autoSpaceDN w:val="0"/>
        <w:adjustRightInd w:val="0"/>
        <w:spacing w:after="0" w:line="240" w:lineRule="auto"/>
        <w:jc w:val="both"/>
        <w:rPr>
          <w:rFonts w:ascii="Times New Roman" w:eastAsia="Calibri" w:hAnsi="Times New Roman"/>
          <w:sz w:val="24"/>
          <w:szCs w:val="24"/>
          <w:lang w:val="fr-FR"/>
        </w:rPr>
      </w:pPr>
    </w:p>
    <w:p w:rsidR="008673B7" w:rsidRPr="00273D27" w:rsidRDefault="008673B7" w:rsidP="008673B7">
      <w:pPr>
        <w:autoSpaceDE w:val="0"/>
        <w:autoSpaceDN w:val="0"/>
        <w:adjustRightInd w:val="0"/>
        <w:spacing w:after="0" w:line="240" w:lineRule="auto"/>
        <w:jc w:val="both"/>
        <w:rPr>
          <w:rFonts w:ascii="Times New Roman" w:hAnsi="Times New Roman"/>
          <w:sz w:val="24"/>
          <w:szCs w:val="24"/>
          <w:lang w:val="fr-FR"/>
        </w:rPr>
      </w:pPr>
      <w:r w:rsidRPr="00273D27">
        <w:rPr>
          <w:rFonts w:ascii="Times New Roman" w:eastAsia="Calibri" w:hAnsi="Times New Roman"/>
          <w:sz w:val="24"/>
          <w:szCs w:val="24"/>
          <w:lang w:val="fr-FR"/>
        </w:rPr>
        <w:t xml:space="preserve">Sur le plan économique et social, la période en revue a été marquée par l’organisation de manifestations dans l’ensemble du pays, visant à protester notamment contre la vie chère, la distribution inéquitable de l’électricité, des infrastructures inadéquates, un accès insuffisant au droit à un logement décent, la persistance du choléra et </w:t>
      </w:r>
      <w:r>
        <w:rPr>
          <w:rFonts w:ascii="Times New Roman" w:eastAsia="Calibri" w:hAnsi="Times New Roman"/>
          <w:sz w:val="24"/>
          <w:szCs w:val="24"/>
          <w:lang w:val="fr-FR"/>
        </w:rPr>
        <w:t xml:space="preserve">de </w:t>
      </w:r>
      <w:r w:rsidRPr="00273D27">
        <w:rPr>
          <w:rFonts w:ascii="Times New Roman" w:eastAsia="Calibri" w:hAnsi="Times New Roman"/>
          <w:sz w:val="24"/>
          <w:szCs w:val="24"/>
          <w:lang w:val="fr-FR"/>
        </w:rPr>
        <w:t>l’insécurité. Le rapport insiste sur l’importance de consulter et de tenir compte de l’avis de la société civile en matière de politiques publiques.</w:t>
      </w:r>
    </w:p>
    <w:p w:rsidR="008673B7" w:rsidRPr="00273D27" w:rsidRDefault="008673B7" w:rsidP="008673B7">
      <w:pPr>
        <w:keepNext/>
        <w:keepLines/>
        <w:spacing w:before="480" w:after="0"/>
        <w:outlineLvl w:val="0"/>
        <w:rPr>
          <w:rFonts w:ascii="Times New Roman" w:eastAsiaTheme="majorEastAsia" w:hAnsi="Times New Roman"/>
          <w:b/>
          <w:bCs/>
          <w:color w:val="365F91" w:themeColor="accent1" w:themeShade="BF"/>
          <w:sz w:val="28"/>
          <w:szCs w:val="28"/>
          <w:lang w:val="fr-FR"/>
        </w:rPr>
      </w:pPr>
      <w:bookmarkStart w:id="2" w:name="_Toc350156677"/>
      <w:r w:rsidRPr="00273D27">
        <w:rPr>
          <w:rFonts w:ascii="Times New Roman" w:eastAsiaTheme="majorEastAsia" w:hAnsi="Times New Roman"/>
          <w:b/>
          <w:bCs/>
          <w:color w:val="365F91" w:themeColor="accent1" w:themeShade="BF"/>
          <w:sz w:val="28"/>
          <w:szCs w:val="28"/>
          <w:lang w:val="fr-FR"/>
        </w:rPr>
        <w:t>RECOMMANDATIONS CLES</w:t>
      </w:r>
      <w:bookmarkEnd w:id="2"/>
      <w:r w:rsidRPr="00273D27">
        <w:rPr>
          <w:rFonts w:ascii="Times New Roman" w:eastAsiaTheme="majorEastAsia" w:hAnsi="Times New Roman"/>
          <w:b/>
          <w:bCs/>
          <w:color w:val="365F91" w:themeColor="accent1" w:themeShade="BF"/>
          <w:sz w:val="28"/>
          <w:szCs w:val="28"/>
          <w:lang w:val="fr-FR"/>
        </w:rPr>
        <w:t xml:space="preserve"> </w:t>
      </w:r>
    </w:p>
    <w:p w:rsidR="008673B7" w:rsidRPr="00273D27" w:rsidRDefault="008673B7" w:rsidP="008673B7">
      <w:pPr>
        <w:spacing w:after="0" w:line="240" w:lineRule="auto"/>
        <w:jc w:val="both"/>
        <w:rPr>
          <w:rFonts w:ascii="Times New Roman" w:hAnsi="Times New Roman"/>
          <w:b/>
          <w:iCs/>
          <w:sz w:val="24"/>
          <w:szCs w:val="24"/>
          <w:lang w:val="fr-FR"/>
        </w:rPr>
      </w:pPr>
    </w:p>
    <w:p w:rsidR="008673B7" w:rsidRPr="00B92E3F" w:rsidRDefault="008673B7" w:rsidP="008673B7">
      <w:pPr>
        <w:spacing w:after="0" w:line="240" w:lineRule="auto"/>
        <w:outlineLvl w:val="1"/>
        <w:rPr>
          <w:rFonts w:ascii="Verdana" w:eastAsia="Times New Roman" w:hAnsi="Verdana"/>
          <w:b/>
          <w:bCs/>
          <w:color w:val="000066"/>
          <w:sz w:val="20"/>
          <w:szCs w:val="20"/>
          <w:lang w:val="fr-FR"/>
        </w:rPr>
      </w:pPr>
      <w:bookmarkStart w:id="3" w:name="_Toc350156678"/>
      <w:r w:rsidRPr="00B92E3F">
        <w:rPr>
          <w:rFonts w:ascii="Verdana" w:eastAsia="Times New Roman" w:hAnsi="Verdana"/>
          <w:b/>
          <w:bCs/>
          <w:color w:val="000066"/>
          <w:sz w:val="20"/>
          <w:szCs w:val="20"/>
          <w:lang w:val="fr-FR"/>
        </w:rPr>
        <w:t>Au gouvernement haïtien :</w:t>
      </w:r>
      <w:bookmarkEnd w:id="3"/>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 xml:space="preserve">1. Promulguer la loi adoptée par le Parlement ratifiant le Pacte international </w:t>
      </w:r>
      <w:r w:rsidR="00CD10A7">
        <w:rPr>
          <w:rFonts w:ascii="Times New Roman" w:eastAsia="Calibri" w:hAnsi="Times New Roman"/>
          <w:sz w:val="24"/>
          <w:szCs w:val="24"/>
          <w:lang w:val="fr-FR"/>
        </w:rPr>
        <w:t>relatif aux droits économiques</w:t>
      </w:r>
      <w:r w:rsidRPr="00273D27">
        <w:rPr>
          <w:rFonts w:ascii="Times New Roman" w:eastAsia="Calibri" w:hAnsi="Times New Roman"/>
          <w:sz w:val="24"/>
          <w:szCs w:val="24"/>
          <w:lang w:val="fr-FR"/>
        </w:rPr>
        <w:t xml:space="preserve"> sociaux</w:t>
      </w:r>
      <w:r w:rsidR="00CD10A7">
        <w:rPr>
          <w:rFonts w:ascii="Times New Roman" w:eastAsia="Calibri" w:hAnsi="Times New Roman"/>
          <w:sz w:val="24"/>
          <w:szCs w:val="24"/>
          <w:lang w:val="fr-FR"/>
        </w:rPr>
        <w:t xml:space="preserve"> et culturels</w:t>
      </w:r>
      <w:r w:rsidRPr="00273D27">
        <w:rPr>
          <w:rFonts w:ascii="Times New Roman" w:eastAsia="Calibri" w:hAnsi="Times New Roman"/>
          <w:sz w:val="24"/>
          <w:szCs w:val="24"/>
          <w:lang w:val="fr-FR"/>
        </w:rPr>
        <w:t>, et déposer un instrument d’accession</w:t>
      </w:r>
      <w:r w:rsidR="00CD10A7">
        <w:rPr>
          <w:rFonts w:ascii="Times New Roman" w:eastAsia="Calibri" w:hAnsi="Times New Roman"/>
          <w:sz w:val="24"/>
          <w:szCs w:val="24"/>
          <w:lang w:val="fr-FR"/>
        </w:rPr>
        <w:t>,</w:t>
      </w:r>
      <w:r w:rsidRPr="00273D27">
        <w:rPr>
          <w:rFonts w:ascii="Times New Roman" w:eastAsia="Calibri" w:hAnsi="Times New Roman"/>
          <w:sz w:val="24"/>
          <w:szCs w:val="24"/>
          <w:lang w:val="fr-FR"/>
        </w:rPr>
        <w:t xml:space="preserve"> afin que le Pacte entre en vigueur en Haïti.  </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2. Ratifier, comme annoncé par le Premier Ministre lors de la réunion de haut niveau sur l’état de droit à New York, en septembre 2012, les conventions suivantes :</w:t>
      </w:r>
    </w:p>
    <w:p w:rsidR="008673B7" w:rsidRPr="00273D27" w:rsidRDefault="008673B7" w:rsidP="008673B7">
      <w:pPr>
        <w:numPr>
          <w:ilvl w:val="0"/>
          <w:numId w:val="27"/>
        </w:num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 xml:space="preserve">La Convention contre la torture et autres peines ou traitements cruels, inhumains ou dégradants ; </w:t>
      </w:r>
    </w:p>
    <w:p w:rsidR="008673B7" w:rsidRPr="00273D27" w:rsidRDefault="008673B7" w:rsidP="008673B7">
      <w:pPr>
        <w:numPr>
          <w:ilvl w:val="0"/>
          <w:numId w:val="27"/>
        </w:num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 xml:space="preserve">La Convention internationale pour la protection de toutes les personnes </w:t>
      </w:r>
      <w:r w:rsidR="00CD10A7">
        <w:rPr>
          <w:rFonts w:ascii="Times New Roman" w:eastAsia="Calibri" w:hAnsi="Times New Roman"/>
          <w:sz w:val="24"/>
          <w:szCs w:val="24"/>
          <w:lang w:val="fr-FR"/>
        </w:rPr>
        <w:t>contre les disparitions forcées ;</w:t>
      </w:r>
      <w:r w:rsidRPr="00273D27">
        <w:rPr>
          <w:rFonts w:ascii="Times New Roman" w:eastAsia="Calibri" w:hAnsi="Times New Roman"/>
          <w:sz w:val="24"/>
          <w:szCs w:val="24"/>
          <w:lang w:val="fr-FR"/>
        </w:rPr>
        <w:t xml:space="preserve"> </w:t>
      </w:r>
    </w:p>
    <w:p w:rsidR="008673B7" w:rsidRPr="00273D27" w:rsidRDefault="008673B7" w:rsidP="008673B7">
      <w:pPr>
        <w:numPr>
          <w:ilvl w:val="0"/>
          <w:numId w:val="27"/>
        </w:num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 xml:space="preserve">La Convention internationale sur la protection des droits de tous les travailleurs migrants et des membres de leur famille ; </w:t>
      </w:r>
    </w:p>
    <w:p w:rsidR="008673B7" w:rsidRPr="00273D27" w:rsidRDefault="008673B7" w:rsidP="008673B7">
      <w:pPr>
        <w:numPr>
          <w:ilvl w:val="0"/>
          <w:numId w:val="27"/>
        </w:num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Le Statut de Rome établissant la Cour pénale internationale ; </w:t>
      </w:r>
    </w:p>
    <w:p w:rsidR="008673B7" w:rsidRPr="00273D27" w:rsidRDefault="008673B7" w:rsidP="008673B7">
      <w:pPr>
        <w:numPr>
          <w:ilvl w:val="0"/>
          <w:numId w:val="27"/>
        </w:num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La Convention de 1954 relative au statut des apatrides et la Convention de 1961 sur la réduction des cas d’apatridie.</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eastAsia="Calibri" w:hAnsi="Times New Roman"/>
          <w:sz w:val="24"/>
          <w:szCs w:val="24"/>
          <w:lang w:val="fr-FR"/>
        </w:rPr>
        <w:t>3. Se consacrer à publier les lois adoptées par le Parlement et promul</w:t>
      </w:r>
      <w:r w:rsidR="00CD10A7">
        <w:rPr>
          <w:rFonts w:ascii="Times New Roman" w:eastAsia="Calibri" w:hAnsi="Times New Roman"/>
          <w:sz w:val="24"/>
          <w:szCs w:val="24"/>
          <w:lang w:val="fr-FR"/>
        </w:rPr>
        <w:t>guées par le Président dans le J</w:t>
      </w:r>
      <w:r w:rsidRPr="00273D27">
        <w:rPr>
          <w:rFonts w:ascii="Times New Roman" w:eastAsia="Calibri" w:hAnsi="Times New Roman"/>
          <w:sz w:val="24"/>
          <w:szCs w:val="24"/>
          <w:lang w:val="fr-FR"/>
        </w:rPr>
        <w:t xml:space="preserve">ournal </w:t>
      </w:r>
      <w:r w:rsidR="00CD10A7">
        <w:rPr>
          <w:rFonts w:ascii="Times New Roman" w:eastAsia="Calibri" w:hAnsi="Times New Roman"/>
          <w:sz w:val="24"/>
          <w:szCs w:val="24"/>
          <w:lang w:val="fr-FR"/>
        </w:rPr>
        <w:t>O</w:t>
      </w:r>
      <w:r w:rsidRPr="00273D27">
        <w:rPr>
          <w:rFonts w:ascii="Times New Roman" w:eastAsia="Calibri" w:hAnsi="Times New Roman"/>
          <w:sz w:val="24"/>
          <w:szCs w:val="24"/>
          <w:lang w:val="fr-FR"/>
        </w:rPr>
        <w:t xml:space="preserve">fficiel, </w:t>
      </w:r>
      <w:r w:rsidRPr="00273D27">
        <w:rPr>
          <w:rFonts w:ascii="Times New Roman" w:eastAsia="Calibri" w:hAnsi="Times New Roman"/>
          <w:i/>
          <w:sz w:val="24"/>
          <w:szCs w:val="24"/>
          <w:lang w:val="fr-FR"/>
        </w:rPr>
        <w:t>le Moniteur</w:t>
      </w:r>
      <w:r w:rsidRPr="00273D27">
        <w:rPr>
          <w:rFonts w:ascii="Times New Roman" w:eastAsia="Calibri" w:hAnsi="Times New Roman"/>
          <w:sz w:val="24"/>
          <w:szCs w:val="24"/>
          <w:lang w:val="fr-FR"/>
        </w:rPr>
        <w:t xml:space="preserve">, afin que la population haïtienne soit informée de ses droits et devoirs. Plus précisément, la loi ratifiant le Pacte international relatif aux droits économiques, sociaux et culturels (adoptée par le Parlement le 31 janvier 2012), la </w:t>
      </w:r>
      <w:r w:rsidRPr="00273D27">
        <w:rPr>
          <w:rFonts w:ascii="Times New Roman" w:hAnsi="Times New Roman"/>
          <w:sz w:val="24"/>
          <w:szCs w:val="24"/>
          <w:lang w:val="fr-FR"/>
        </w:rPr>
        <w:t>loi sur la paternité et la filiation (votée par le S</w:t>
      </w:r>
      <w:r w:rsidR="009435E0">
        <w:rPr>
          <w:rFonts w:ascii="Times New Roman" w:hAnsi="Times New Roman"/>
          <w:sz w:val="24"/>
          <w:szCs w:val="24"/>
          <w:lang w:val="fr-FR"/>
        </w:rPr>
        <w:t>é</w:t>
      </w:r>
      <w:r w:rsidRPr="00273D27">
        <w:rPr>
          <w:rFonts w:ascii="Times New Roman" w:hAnsi="Times New Roman"/>
          <w:sz w:val="24"/>
          <w:szCs w:val="24"/>
          <w:lang w:val="fr-FR"/>
        </w:rPr>
        <w:t>nat le 12 avril 2012) et le décret sur l’état d’urgence (adoptée le 30 octobre 2012) devraient être publiée</w:t>
      </w:r>
      <w:r w:rsidR="009435E0">
        <w:rPr>
          <w:rFonts w:ascii="Times New Roman" w:hAnsi="Times New Roman"/>
          <w:sz w:val="24"/>
          <w:szCs w:val="24"/>
          <w:lang w:val="fr-FR"/>
        </w:rPr>
        <w:t>s</w:t>
      </w:r>
      <w:r w:rsidRPr="00273D27">
        <w:rPr>
          <w:rFonts w:ascii="Times New Roman" w:hAnsi="Times New Roman"/>
          <w:sz w:val="24"/>
          <w:szCs w:val="24"/>
          <w:lang w:val="fr-FR"/>
        </w:rPr>
        <w:t xml:space="preserve"> au Journal Officiel.</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hAnsi="Times New Roman"/>
          <w:iCs/>
          <w:sz w:val="24"/>
          <w:szCs w:val="24"/>
          <w:lang w:val="fr-FR"/>
        </w:rPr>
      </w:pPr>
      <w:r w:rsidRPr="00273D27">
        <w:rPr>
          <w:rFonts w:ascii="Times New Roman" w:eastAsia="Calibri" w:hAnsi="Times New Roman"/>
          <w:sz w:val="24"/>
          <w:szCs w:val="24"/>
          <w:lang w:val="fr-FR"/>
        </w:rPr>
        <w:lastRenderedPageBreak/>
        <w:t xml:space="preserve">4. </w:t>
      </w:r>
      <w:r w:rsidRPr="00273D27">
        <w:rPr>
          <w:rFonts w:ascii="Times New Roman" w:hAnsi="Times New Roman"/>
          <w:iCs/>
          <w:sz w:val="24"/>
          <w:szCs w:val="24"/>
          <w:lang w:val="fr-FR"/>
        </w:rPr>
        <w:t xml:space="preserve">Interdire formellement le recours par des élus et des fonctionnaires d’état à des forces de sécurité parallèles, notamment  des civils armés.  </w:t>
      </w:r>
    </w:p>
    <w:p w:rsidR="008673B7" w:rsidRPr="00273D27" w:rsidRDefault="008673B7" w:rsidP="008673B7">
      <w:pPr>
        <w:spacing w:after="0" w:line="240" w:lineRule="auto"/>
        <w:outlineLvl w:val="1"/>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hAnsi="Times New Roman"/>
          <w:bCs/>
          <w:iCs/>
          <w:sz w:val="24"/>
          <w:szCs w:val="24"/>
          <w:lang w:val="fr-FR"/>
        </w:rPr>
      </w:pPr>
      <w:r w:rsidRPr="00273D27">
        <w:rPr>
          <w:rFonts w:ascii="Times New Roman" w:hAnsi="Times New Roman"/>
          <w:bCs/>
          <w:iCs/>
          <w:sz w:val="24"/>
          <w:szCs w:val="24"/>
          <w:lang w:val="fr-FR"/>
        </w:rPr>
        <w:t xml:space="preserve">5. Adopter une directive destinée aux agents de la PNH et aux magistrats, précisant que l’absence d’un certificat médical dans les cas d’agression sexuelle ne doit pas empêcher la poursuite de ces crimes. </w:t>
      </w:r>
    </w:p>
    <w:p w:rsidR="008673B7" w:rsidRPr="00273D27" w:rsidRDefault="008673B7" w:rsidP="008673B7">
      <w:pPr>
        <w:spacing w:after="0" w:line="240" w:lineRule="auto"/>
        <w:jc w:val="both"/>
        <w:rPr>
          <w:rFonts w:ascii="Times New Roman" w:hAnsi="Times New Roman"/>
          <w:bCs/>
          <w:iCs/>
          <w:sz w:val="24"/>
          <w:szCs w:val="24"/>
          <w:lang w:val="fr-FR"/>
        </w:rPr>
      </w:pPr>
    </w:p>
    <w:p w:rsidR="008673B7" w:rsidRPr="00273D27" w:rsidRDefault="008673B7" w:rsidP="008673B7">
      <w:pPr>
        <w:spacing w:after="0" w:line="240" w:lineRule="auto"/>
        <w:jc w:val="both"/>
        <w:rPr>
          <w:rFonts w:ascii="Times New Roman" w:hAnsi="Times New Roman"/>
          <w:iCs/>
          <w:sz w:val="24"/>
          <w:szCs w:val="24"/>
          <w:lang w:val="fr-FR"/>
        </w:rPr>
      </w:pPr>
      <w:r w:rsidRPr="00273D27">
        <w:rPr>
          <w:rFonts w:ascii="Times New Roman" w:eastAsia="Calibri" w:hAnsi="Times New Roman"/>
          <w:sz w:val="24"/>
          <w:szCs w:val="24"/>
          <w:lang w:val="fr-FR"/>
        </w:rPr>
        <w:t>6. Avec le soutien de la communauté internationale, adopter et mettre en œuvre une stratégie globale, notamment une politique de logement, afin de répondre aux besoins des personnes déplacées vivant dans des camps, éviter les évictions forcées et développer une vision pour un développement urbain respect</w:t>
      </w:r>
      <w:r>
        <w:rPr>
          <w:rFonts w:ascii="Times New Roman" w:eastAsia="Calibri" w:hAnsi="Times New Roman"/>
          <w:sz w:val="24"/>
          <w:szCs w:val="24"/>
          <w:lang w:val="fr-FR"/>
        </w:rPr>
        <w:t>ant</w:t>
      </w:r>
      <w:r w:rsidRPr="00273D27">
        <w:rPr>
          <w:rFonts w:ascii="Times New Roman" w:eastAsia="Calibri" w:hAnsi="Times New Roman"/>
          <w:sz w:val="24"/>
          <w:szCs w:val="24"/>
          <w:lang w:val="fr-FR"/>
        </w:rPr>
        <w:t xml:space="preserve"> </w:t>
      </w:r>
      <w:r>
        <w:rPr>
          <w:rFonts w:ascii="Times New Roman" w:eastAsia="Calibri" w:hAnsi="Times New Roman"/>
          <w:sz w:val="24"/>
          <w:szCs w:val="24"/>
          <w:lang w:val="fr-FR"/>
        </w:rPr>
        <w:t>l</w:t>
      </w:r>
      <w:r w:rsidRPr="00273D27">
        <w:rPr>
          <w:rFonts w:ascii="Times New Roman" w:eastAsia="Calibri" w:hAnsi="Times New Roman"/>
          <w:sz w:val="24"/>
          <w:szCs w:val="24"/>
          <w:lang w:val="fr-FR"/>
        </w:rPr>
        <w:t xml:space="preserve">es droits de l’homme.  </w:t>
      </w:r>
    </w:p>
    <w:p w:rsidR="008673B7" w:rsidRPr="00273D27" w:rsidRDefault="008673B7" w:rsidP="008673B7">
      <w:pPr>
        <w:ind w:left="720"/>
        <w:contextualSpacing/>
        <w:rPr>
          <w:rFonts w:ascii="Times New Roman" w:eastAsia="Calibri" w:hAnsi="Times New Roman"/>
          <w:sz w:val="24"/>
          <w:szCs w:val="24"/>
          <w:lang w:val="fr-FR"/>
        </w:rPr>
      </w:pPr>
    </w:p>
    <w:p w:rsidR="008673B7" w:rsidRPr="00273D27" w:rsidRDefault="008673B7" w:rsidP="008673B7">
      <w:pPr>
        <w:spacing w:after="0" w:line="240" w:lineRule="auto"/>
        <w:rPr>
          <w:rFonts w:ascii="Times New Roman" w:eastAsiaTheme="majorEastAsia" w:hAnsi="Times New Roman"/>
          <w:b/>
          <w:bCs/>
          <w:color w:val="365F91" w:themeColor="accent1" w:themeShade="BF"/>
          <w:sz w:val="28"/>
          <w:szCs w:val="28"/>
          <w:lang w:val="fr-CA"/>
        </w:rPr>
      </w:pPr>
      <w:r w:rsidRPr="00273D27">
        <w:rPr>
          <w:rFonts w:ascii="Times New Roman" w:hAnsi="Times New Roman"/>
          <w:lang w:val="fr-CA"/>
        </w:rPr>
        <w:br w:type="page"/>
      </w:r>
    </w:p>
    <w:p w:rsidR="008673B7" w:rsidRPr="00273D27" w:rsidRDefault="008673B7" w:rsidP="008673B7">
      <w:pPr>
        <w:keepNext/>
        <w:keepLines/>
        <w:spacing w:before="480" w:after="0"/>
        <w:outlineLvl w:val="0"/>
        <w:rPr>
          <w:rFonts w:ascii="Times New Roman" w:eastAsiaTheme="majorEastAsia" w:hAnsi="Times New Roman" w:cstheme="majorBidi"/>
          <w:b/>
          <w:bCs/>
          <w:color w:val="365F91" w:themeColor="accent1" w:themeShade="BF"/>
          <w:sz w:val="28"/>
          <w:szCs w:val="28"/>
          <w:lang w:val="fr-CA"/>
        </w:rPr>
      </w:pPr>
      <w:bookmarkStart w:id="4" w:name="_Toc350156679"/>
      <w:r w:rsidRPr="00273D27">
        <w:rPr>
          <w:rFonts w:ascii="Times New Roman" w:eastAsiaTheme="majorEastAsia" w:hAnsi="Times New Roman"/>
          <w:b/>
          <w:bCs/>
          <w:color w:val="365F91" w:themeColor="accent1" w:themeShade="BF"/>
          <w:sz w:val="28"/>
          <w:szCs w:val="28"/>
          <w:lang w:val="fr-CA"/>
        </w:rPr>
        <w:lastRenderedPageBreak/>
        <w:t>ABRÉVIATIONS</w:t>
      </w:r>
      <w:bookmarkEnd w:id="4"/>
    </w:p>
    <w:p w:rsidR="008673B7" w:rsidRPr="00273D27" w:rsidRDefault="008673B7" w:rsidP="008673B7">
      <w:pPr>
        <w:spacing w:after="0" w:line="240" w:lineRule="auto"/>
        <w:jc w:val="both"/>
        <w:rPr>
          <w:rFonts w:ascii="Times New Roman" w:eastAsia="Calibri" w:hAnsi="Times New Roman"/>
          <w:sz w:val="24"/>
          <w:szCs w:val="24"/>
          <w:lang w:val="fr-CA"/>
        </w:rPr>
      </w:pPr>
    </w:p>
    <w:p w:rsidR="008673B7" w:rsidRPr="00273D27" w:rsidRDefault="008673B7" w:rsidP="008673B7">
      <w:pPr>
        <w:rPr>
          <w:rFonts w:ascii="Times New Roman" w:eastAsia="Calibri" w:hAnsi="Times New Roman"/>
          <w:sz w:val="24"/>
          <w:szCs w:val="24"/>
          <w:lang w:val="fr-FR"/>
        </w:rPr>
      </w:pPr>
      <w:r w:rsidRPr="00273D27">
        <w:rPr>
          <w:rFonts w:ascii="Times New Roman" w:eastAsia="Calibri" w:hAnsi="Times New Roman"/>
          <w:iCs/>
          <w:sz w:val="24"/>
          <w:szCs w:val="24"/>
          <w:lang w:val="fr-FR"/>
        </w:rPr>
        <w:t xml:space="preserve">AEI - </w:t>
      </w:r>
      <w:r w:rsidRPr="00273D27">
        <w:rPr>
          <w:rFonts w:ascii="Times New Roman" w:eastAsia="Calibri" w:hAnsi="Times New Roman"/>
          <w:sz w:val="24"/>
          <w:szCs w:val="24"/>
          <w:lang w:val="fr-FR"/>
        </w:rPr>
        <w:t xml:space="preserve">Agents exécutifs intérimaires </w:t>
      </w:r>
    </w:p>
    <w:p w:rsidR="008673B7" w:rsidRPr="00273D27" w:rsidRDefault="00CD10A7" w:rsidP="008673B7">
      <w:pPr>
        <w:rPr>
          <w:rFonts w:ascii="Times New Roman" w:eastAsia="Calibri" w:hAnsi="Times New Roman"/>
          <w:sz w:val="24"/>
          <w:szCs w:val="24"/>
          <w:lang w:val="fr-FR"/>
        </w:rPr>
      </w:pPr>
      <w:r>
        <w:rPr>
          <w:rFonts w:ascii="Times New Roman" w:hAnsi="Times New Roman"/>
          <w:sz w:val="24"/>
          <w:szCs w:val="24"/>
          <w:lang w:val="fr-CA"/>
        </w:rPr>
        <w:t>BPM - Brigade pour la p</w:t>
      </w:r>
      <w:r w:rsidR="008673B7" w:rsidRPr="00273D27">
        <w:rPr>
          <w:rFonts w:ascii="Times New Roman" w:hAnsi="Times New Roman"/>
          <w:sz w:val="24"/>
          <w:szCs w:val="24"/>
          <w:lang w:val="fr-CA"/>
        </w:rPr>
        <w:t xml:space="preserve">rotection des </w:t>
      </w:r>
      <w:r>
        <w:rPr>
          <w:rFonts w:ascii="Times New Roman" w:hAnsi="Times New Roman"/>
          <w:sz w:val="24"/>
          <w:szCs w:val="24"/>
          <w:lang w:val="fr-CA"/>
        </w:rPr>
        <w:t>m</w:t>
      </w:r>
      <w:r w:rsidR="008673B7" w:rsidRPr="00273D27">
        <w:rPr>
          <w:rFonts w:ascii="Times New Roman" w:hAnsi="Times New Roman"/>
          <w:sz w:val="24"/>
          <w:szCs w:val="24"/>
          <w:lang w:val="fr-CA"/>
        </w:rPr>
        <w:t xml:space="preserve">ineurs </w:t>
      </w:r>
    </w:p>
    <w:p w:rsidR="008673B7" w:rsidRPr="00273D27" w:rsidRDefault="008673B7" w:rsidP="008673B7">
      <w:pPr>
        <w:rPr>
          <w:rFonts w:ascii="Times New Roman" w:eastAsia="Calibri" w:hAnsi="Times New Roman"/>
          <w:sz w:val="24"/>
          <w:szCs w:val="24"/>
          <w:lang w:val="fr-FR"/>
        </w:rPr>
      </w:pPr>
      <w:r w:rsidRPr="00273D27">
        <w:rPr>
          <w:rFonts w:ascii="Times New Roman" w:eastAsia="Calibri" w:hAnsi="Times New Roman"/>
          <w:sz w:val="24"/>
          <w:szCs w:val="24"/>
          <w:lang w:val="fr-FR"/>
        </w:rPr>
        <w:t>CASEC - Conseils d’administration des sections communales</w:t>
      </w:r>
    </w:p>
    <w:p w:rsidR="008673B7" w:rsidRPr="00273D27" w:rsidRDefault="008673B7" w:rsidP="008673B7">
      <w:pPr>
        <w:rPr>
          <w:rFonts w:ascii="Times New Roman" w:eastAsia="Calibri" w:hAnsi="Times New Roman"/>
          <w:sz w:val="24"/>
          <w:szCs w:val="24"/>
          <w:lang w:val="fr-FR"/>
        </w:rPr>
      </w:pPr>
      <w:r w:rsidRPr="00273D27">
        <w:rPr>
          <w:rFonts w:ascii="Times New Roman" w:hAnsi="Times New Roman"/>
          <w:iCs/>
          <w:sz w:val="24"/>
          <w:szCs w:val="24"/>
          <w:lang w:val="fr-FR"/>
        </w:rPr>
        <w:t>CERMICOL</w:t>
      </w:r>
      <w:r w:rsidRPr="00273D27">
        <w:rPr>
          <w:rFonts w:ascii="Times New Roman" w:hAnsi="Times New Roman"/>
          <w:sz w:val="24"/>
          <w:szCs w:val="24"/>
          <w:lang w:val="fr-FR"/>
        </w:rPr>
        <w:t xml:space="preserve"> - Centre de réhabilitation des mineurs en conflit avec la loi</w:t>
      </w:r>
      <w:r w:rsidRPr="00273D27">
        <w:rPr>
          <w:rFonts w:ascii="Times New Roman" w:hAnsi="Times New Roman"/>
          <w:iCs/>
          <w:sz w:val="24"/>
          <w:szCs w:val="24"/>
          <w:lang w:val="fr-FR"/>
        </w:rPr>
        <w:t xml:space="preserve"> </w:t>
      </w: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 xml:space="preserve">CSPJ - </w:t>
      </w:r>
      <w:r w:rsidR="00CD10A7">
        <w:rPr>
          <w:rFonts w:ascii="Times New Roman" w:hAnsi="Times New Roman"/>
          <w:color w:val="000000"/>
          <w:sz w:val="24"/>
          <w:szCs w:val="24"/>
          <w:lang w:val="fr-BE"/>
        </w:rPr>
        <w:t>Conseil supérieur du p</w:t>
      </w:r>
      <w:r w:rsidRPr="00273D27">
        <w:rPr>
          <w:rFonts w:ascii="Times New Roman" w:hAnsi="Times New Roman"/>
          <w:color w:val="000000"/>
          <w:sz w:val="24"/>
          <w:szCs w:val="24"/>
          <w:lang w:val="fr-BE"/>
        </w:rPr>
        <w:t>ouvoir judiciaire</w:t>
      </w: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 xml:space="preserve">DAP </w:t>
      </w:r>
      <w:r>
        <w:rPr>
          <w:rFonts w:ascii="Times New Roman" w:hAnsi="Times New Roman"/>
          <w:bCs/>
          <w:sz w:val="24"/>
          <w:szCs w:val="24"/>
          <w:lang w:val="fr-FR"/>
        </w:rPr>
        <w:t>-</w:t>
      </w:r>
      <w:r w:rsidR="00CD10A7">
        <w:rPr>
          <w:rFonts w:ascii="Times New Roman" w:hAnsi="Times New Roman"/>
          <w:bCs/>
          <w:sz w:val="24"/>
          <w:szCs w:val="24"/>
          <w:lang w:val="fr-FR"/>
        </w:rPr>
        <w:t xml:space="preserve"> Direction de l’a</w:t>
      </w:r>
      <w:r w:rsidRPr="00273D27">
        <w:rPr>
          <w:rFonts w:ascii="Times New Roman" w:hAnsi="Times New Roman"/>
          <w:bCs/>
          <w:sz w:val="24"/>
          <w:szCs w:val="24"/>
          <w:lang w:val="fr-FR"/>
        </w:rPr>
        <w:t xml:space="preserve">dministration pénitentiaire </w:t>
      </w:r>
    </w:p>
    <w:p w:rsidR="008673B7" w:rsidRPr="00273D27" w:rsidRDefault="00CD10A7" w:rsidP="008673B7">
      <w:pPr>
        <w:rPr>
          <w:lang w:val="fr-CA"/>
        </w:rPr>
      </w:pPr>
      <w:r>
        <w:rPr>
          <w:rFonts w:ascii="Times New Roman" w:hAnsi="Times New Roman"/>
          <w:bCs/>
          <w:sz w:val="24"/>
          <w:szCs w:val="24"/>
          <w:lang w:val="fr-FR"/>
        </w:rPr>
        <w:t>DGD - Direction générale des d</w:t>
      </w:r>
      <w:r w:rsidR="008673B7" w:rsidRPr="00273D27">
        <w:rPr>
          <w:rFonts w:ascii="Times New Roman" w:hAnsi="Times New Roman"/>
          <w:bCs/>
          <w:sz w:val="24"/>
          <w:szCs w:val="24"/>
          <w:lang w:val="fr-FR"/>
        </w:rPr>
        <w:t xml:space="preserve">ouanes </w:t>
      </w: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 xml:space="preserve">DPC - Direction de la </w:t>
      </w:r>
      <w:r w:rsidR="00CD10A7">
        <w:rPr>
          <w:rFonts w:ascii="Times New Roman" w:hAnsi="Times New Roman"/>
          <w:bCs/>
          <w:sz w:val="24"/>
          <w:szCs w:val="24"/>
          <w:lang w:val="fr-FR"/>
        </w:rPr>
        <w:t>p</w:t>
      </w:r>
      <w:r w:rsidRPr="00273D27">
        <w:rPr>
          <w:rFonts w:ascii="Times New Roman" w:hAnsi="Times New Roman"/>
          <w:bCs/>
          <w:sz w:val="24"/>
          <w:szCs w:val="24"/>
          <w:lang w:val="fr-FR"/>
        </w:rPr>
        <w:t>rotection civile</w:t>
      </w: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EPU - Examen périodique universel</w:t>
      </w: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 xml:space="preserve">HCDH </w:t>
      </w:r>
      <w:r>
        <w:rPr>
          <w:rFonts w:ascii="Times New Roman" w:hAnsi="Times New Roman"/>
          <w:bCs/>
          <w:sz w:val="24"/>
          <w:szCs w:val="24"/>
          <w:lang w:val="fr-FR"/>
        </w:rPr>
        <w:t>-</w:t>
      </w:r>
      <w:r w:rsidRPr="00273D27">
        <w:rPr>
          <w:rFonts w:ascii="Times New Roman" w:hAnsi="Times New Roman"/>
          <w:bCs/>
          <w:sz w:val="24"/>
          <w:szCs w:val="24"/>
          <w:lang w:val="fr-FR"/>
        </w:rPr>
        <w:t xml:space="preserve"> Haut-Commissariat aux droits de l’homme</w:t>
      </w: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 xml:space="preserve">IBESR </w:t>
      </w:r>
      <w:r>
        <w:rPr>
          <w:rFonts w:ascii="Times New Roman" w:hAnsi="Times New Roman"/>
          <w:bCs/>
          <w:sz w:val="24"/>
          <w:szCs w:val="24"/>
          <w:lang w:val="fr-FR"/>
        </w:rPr>
        <w:t>-</w:t>
      </w:r>
      <w:r w:rsidR="00CD10A7">
        <w:rPr>
          <w:rFonts w:ascii="Times New Roman" w:hAnsi="Times New Roman"/>
          <w:bCs/>
          <w:sz w:val="24"/>
          <w:szCs w:val="24"/>
          <w:lang w:val="fr-FR"/>
        </w:rPr>
        <w:t xml:space="preserve"> Institut du bien-être social et des r</w:t>
      </w:r>
      <w:r w:rsidRPr="00273D27">
        <w:rPr>
          <w:rFonts w:ascii="Times New Roman" w:hAnsi="Times New Roman"/>
          <w:bCs/>
          <w:sz w:val="24"/>
          <w:szCs w:val="24"/>
          <w:lang w:val="fr-FR"/>
        </w:rPr>
        <w:t>echerches</w:t>
      </w: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IGPNH</w:t>
      </w:r>
      <w:r w:rsidRPr="00273D27">
        <w:rPr>
          <w:rFonts w:ascii="Times New Roman" w:hAnsi="Times New Roman"/>
          <w:iCs/>
          <w:sz w:val="24"/>
          <w:szCs w:val="24"/>
          <w:lang w:val="fr-FR"/>
        </w:rPr>
        <w:t xml:space="preserve"> - Inspection générale de la Police nationale d’Haïti</w:t>
      </w:r>
    </w:p>
    <w:p w:rsidR="008673B7" w:rsidRPr="00273D27" w:rsidRDefault="008673B7" w:rsidP="008673B7">
      <w:pPr>
        <w:spacing w:after="0" w:line="240" w:lineRule="auto"/>
        <w:jc w:val="both"/>
        <w:rPr>
          <w:rFonts w:ascii="Times New Roman" w:eastAsia="Calibri" w:hAnsi="Times New Roman"/>
          <w:iCs/>
          <w:sz w:val="24"/>
          <w:szCs w:val="24"/>
          <w:lang w:val="fr-CA"/>
        </w:rPr>
      </w:pPr>
      <w:r w:rsidRPr="00273D27">
        <w:rPr>
          <w:rFonts w:ascii="Times New Roman" w:eastAsia="Calibri" w:hAnsi="Times New Roman"/>
          <w:sz w:val="24"/>
          <w:szCs w:val="24"/>
          <w:lang w:val="fr-CA"/>
        </w:rPr>
        <w:t>MAST -</w:t>
      </w:r>
      <w:r w:rsidRPr="00273D27">
        <w:rPr>
          <w:rFonts w:ascii="Times New Roman" w:eastAsia="Calibri" w:hAnsi="Times New Roman"/>
          <w:iCs/>
          <w:sz w:val="24"/>
          <w:szCs w:val="24"/>
          <w:lang w:val="fr-CA"/>
        </w:rPr>
        <w:t xml:space="preserve"> Ministère des Affaires sociales et du Travail</w:t>
      </w:r>
    </w:p>
    <w:p w:rsidR="008673B7" w:rsidRPr="00273D27" w:rsidRDefault="008673B7" w:rsidP="008673B7">
      <w:pPr>
        <w:spacing w:after="0" w:line="240" w:lineRule="auto"/>
        <w:jc w:val="both"/>
        <w:rPr>
          <w:rFonts w:ascii="Times New Roman" w:eastAsia="Calibri" w:hAnsi="Times New Roman"/>
          <w:iCs/>
          <w:sz w:val="24"/>
          <w:szCs w:val="24"/>
          <w:lang w:val="fr-CA"/>
        </w:rPr>
      </w:pPr>
    </w:p>
    <w:p w:rsidR="008673B7" w:rsidRPr="00273D27" w:rsidRDefault="008673B7" w:rsidP="008673B7">
      <w:pPr>
        <w:spacing w:after="0" w:line="240" w:lineRule="auto"/>
        <w:jc w:val="both"/>
        <w:rPr>
          <w:rFonts w:ascii="Times New Roman" w:eastAsia="Calibri" w:hAnsi="Times New Roman"/>
          <w:color w:val="000000"/>
          <w:sz w:val="24"/>
          <w:szCs w:val="24"/>
          <w:lang w:val="fr-CA"/>
        </w:rPr>
      </w:pPr>
      <w:r w:rsidRPr="00273D27">
        <w:rPr>
          <w:rFonts w:ascii="Times New Roman" w:eastAsia="Calibri" w:hAnsi="Times New Roman"/>
          <w:color w:val="000000"/>
          <w:sz w:val="24"/>
          <w:szCs w:val="24"/>
          <w:lang w:val="fr-CA"/>
        </w:rPr>
        <w:t>MCFDF - Ministère à la Condition féminine et aux Droits de la Femme</w:t>
      </w:r>
    </w:p>
    <w:p w:rsidR="008673B7" w:rsidRPr="00273D27" w:rsidRDefault="008673B7" w:rsidP="008673B7">
      <w:pPr>
        <w:spacing w:after="0" w:line="240" w:lineRule="auto"/>
        <w:jc w:val="both"/>
        <w:rPr>
          <w:rFonts w:ascii="Times New Roman" w:hAnsi="Times New Roman"/>
          <w:bCs/>
          <w:sz w:val="24"/>
          <w:szCs w:val="24"/>
          <w:lang w:val="fr-FR"/>
        </w:rPr>
      </w:pP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MINUSTAH - Mission de Nations Unies pour la Stabilisation en Haïti</w:t>
      </w:r>
    </w:p>
    <w:p w:rsidR="008673B7" w:rsidRPr="00273D27" w:rsidRDefault="008673B7" w:rsidP="008673B7">
      <w:pPr>
        <w:rPr>
          <w:rFonts w:ascii="Times New Roman" w:eastAsia="Calibri" w:hAnsi="Times New Roman"/>
          <w:iCs/>
          <w:sz w:val="24"/>
          <w:szCs w:val="24"/>
          <w:lang w:val="fr-FR"/>
        </w:rPr>
      </w:pPr>
      <w:r w:rsidRPr="00273D27">
        <w:rPr>
          <w:rFonts w:ascii="Times New Roman" w:hAnsi="Times New Roman"/>
          <w:lang w:val="fr-CA"/>
        </w:rPr>
        <w:t xml:space="preserve">OPC </w:t>
      </w:r>
      <w:r w:rsidRPr="00273D27">
        <w:rPr>
          <w:rFonts w:ascii="Times New Roman" w:eastAsia="Calibri" w:hAnsi="Times New Roman"/>
          <w:iCs/>
          <w:sz w:val="24"/>
          <w:szCs w:val="24"/>
          <w:lang w:val="fr-FR"/>
        </w:rPr>
        <w:t xml:space="preserve"> - Office de la protection du citoyen</w:t>
      </w:r>
    </w:p>
    <w:p w:rsidR="008673B7" w:rsidRPr="00273D27" w:rsidRDefault="008673B7" w:rsidP="008673B7">
      <w:pPr>
        <w:rPr>
          <w:rFonts w:ascii="Times New Roman" w:eastAsia="Calibri" w:hAnsi="Times New Roman"/>
          <w:iCs/>
          <w:sz w:val="24"/>
          <w:szCs w:val="24"/>
          <w:lang w:val="fr-FR"/>
        </w:rPr>
      </w:pPr>
      <w:r w:rsidRPr="00273D27">
        <w:rPr>
          <w:rFonts w:ascii="Times New Roman" w:eastAsia="Calibri" w:hAnsi="Times New Roman"/>
          <w:iCs/>
          <w:sz w:val="24"/>
          <w:szCs w:val="24"/>
          <w:lang w:val="fr-FR"/>
        </w:rPr>
        <w:t>OIM - Organis</w:t>
      </w:r>
      <w:r w:rsidR="00CD10A7">
        <w:rPr>
          <w:rFonts w:ascii="Times New Roman" w:eastAsia="Calibri" w:hAnsi="Times New Roman"/>
          <w:iCs/>
          <w:sz w:val="24"/>
          <w:szCs w:val="24"/>
          <w:lang w:val="fr-FR"/>
        </w:rPr>
        <w:t>ation  internationale pour les m</w:t>
      </w:r>
      <w:r w:rsidRPr="00273D27">
        <w:rPr>
          <w:rFonts w:ascii="Times New Roman" w:eastAsia="Calibri" w:hAnsi="Times New Roman"/>
          <w:iCs/>
          <w:sz w:val="24"/>
          <w:szCs w:val="24"/>
          <w:lang w:val="fr-FR"/>
        </w:rPr>
        <w:t>igrations</w:t>
      </w:r>
    </w:p>
    <w:p w:rsidR="008673B7" w:rsidRPr="00273D27" w:rsidRDefault="008673B7" w:rsidP="008673B7">
      <w:pPr>
        <w:rPr>
          <w:rFonts w:ascii="Times New Roman" w:hAnsi="Times New Roman"/>
          <w:bCs/>
          <w:sz w:val="24"/>
          <w:szCs w:val="24"/>
          <w:lang w:val="fr-FR"/>
        </w:rPr>
      </w:pPr>
      <w:r w:rsidRPr="00273D27">
        <w:rPr>
          <w:rFonts w:ascii="Times New Roman" w:eastAsia="Calibri" w:hAnsi="Times New Roman"/>
          <w:sz w:val="24"/>
          <w:szCs w:val="24"/>
          <w:lang w:val="fr-FR"/>
        </w:rPr>
        <w:t xml:space="preserve">PNH - </w:t>
      </w:r>
      <w:r w:rsidRPr="00273D27">
        <w:rPr>
          <w:rFonts w:ascii="Times New Roman" w:hAnsi="Times New Roman"/>
          <w:bCs/>
          <w:sz w:val="24"/>
          <w:szCs w:val="24"/>
          <w:lang w:val="fr-FR"/>
        </w:rPr>
        <w:t>Police nationale d’Haïti</w:t>
      </w: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 xml:space="preserve">SDH - Section des </w:t>
      </w:r>
      <w:r w:rsidR="00CD10A7">
        <w:rPr>
          <w:rFonts w:ascii="Times New Roman" w:hAnsi="Times New Roman"/>
          <w:bCs/>
          <w:sz w:val="24"/>
          <w:szCs w:val="24"/>
          <w:lang w:val="fr-FR"/>
        </w:rPr>
        <w:t>d</w:t>
      </w:r>
      <w:r w:rsidRPr="00273D27">
        <w:rPr>
          <w:rFonts w:ascii="Times New Roman" w:hAnsi="Times New Roman"/>
          <w:bCs/>
          <w:sz w:val="24"/>
          <w:szCs w:val="24"/>
          <w:lang w:val="fr-FR"/>
        </w:rPr>
        <w:t>roits de l’homme</w:t>
      </w:r>
    </w:p>
    <w:p w:rsidR="008673B7" w:rsidRPr="00273D27" w:rsidRDefault="008673B7" w:rsidP="008673B7">
      <w:pPr>
        <w:spacing w:after="0" w:line="240" w:lineRule="auto"/>
        <w:jc w:val="both"/>
        <w:rPr>
          <w:rFonts w:ascii="Times New Roman" w:eastAsia="Calibri" w:hAnsi="Times New Roman"/>
          <w:sz w:val="24"/>
          <w:szCs w:val="24"/>
          <w:lang w:val="fr-CA"/>
        </w:rPr>
      </w:pPr>
      <w:r>
        <w:rPr>
          <w:rFonts w:ascii="Times New Roman" w:eastAsia="Calibri" w:hAnsi="Times New Roman"/>
          <w:sz w:val="24"/>
          <w:szCs w:val="24"/>
          <w:lang w:val="fr-CA"/>
        </w:rPr>
        <w:t>UCL</w:t>
      </w:r>
      <w:r w:rsidRPr="00273D27">
        <w:rPr>
          <w:rFonts w:ascii="Times New Roman" w:eastAsia="Calibri" w:hAnsi="Times New Roman"/>
          <w:sz w:val="24"/>
          <w:szCs w:val="24"/>
          <w:lang w:val="fr-CA"/>
        </w:rPr>
        <w:t>B</w:t>
      </w:r>
      <w:r>
        <w:rPr>
          <w:rFonts w:ascii="Times New Roman" w:eastAsia="Calibri" w:hAnsi="Times New Roman"/>
          <w:sz w:val="24"/>
          <w:szCs w:val="24"/>
          <w:lang w:val="fr-CA"/>
        </w:rPr>
        <w:t>P</w:t>
      </w:r>
      <w:r w:rsidR="00CD10A7">
        <w:rPr>
          <w:rFonts w:ascii="Times New Roman" w:eastAsia="Calibri" w:hAnsi="Times New Roman"/>
          <w:sz w:val="24"/>
          <w:szCs w:val="24"/>
          <w:lang w:val="fr-CA"/>
        </w:rPr>
        <w:t xml:space="preserve"> - Unité de c</w:t>
      </w:r>
      <w:r w:rsidRPr="00273D27">
        <w:rPr>
          <w:rFonts w:ascii="Times New Roman" w:eastAsia="Calibri" w:hAnsi="Times New Roman"/>
          <w:sz w:val="24"/>
          <w:szCs w:val="24"/>
          <w:lang w:val="fr-CA"/>
        </w:rPr>
        <w:t xml:space="preserve">onstruction de </w:t>
      </w:r>
      <w:r w:rsidR="00CD10A7">
        <w:rPr>
          <w:rFonts w:ascii="Times New Roman" w:eastAsia="Calibri" w:hAnsi="Times New Roman"/>
          <w:sz w:val="24"/>
          <w:szCs w:val="24"/>
          <w:lang w:val="fr-CA"/>
        </w:rPr>
        <w:t>l</w:t>
      </w:r>
      <w:r w:rsidRPr="00273D27">
        <w:rPr>
          <w:rFonts w:ascii="Times New Roman" w:eastAsia="Calibri" w:hAnsi="Times New Roman"/>
          <w:sz w:val="24"/>
          <w:szCs w:val="24"/>
          <w:lang w:val="fr-CA"/>
        </w:rPr>
        <w:t xml:space="preserve">ogements et </w:t>
      </w:r>
      <w:r w:rsidR="00CD10A7">
        <w:rPr>
          <w:rFonts w:ascii="Times New Roman" w:eastAsia="Calibri" w:hAnsi="Times New Roman"/>
          <w:sz w:val="24"/>
          <w:szCs w:val="24"/>
          <w:lang w:val="fr-CA"/>
        </w:rPr>
        <w:t>b</w:t>
      </w:r>
      <w:r w:rsidRPr="00273D27">
        <w:rPr>
          <w:rFonts w:ascii="Times New Roman" w:eastAsia="Calibri" w:hAnsi="Times New Roman"/>
          <w:sz w:val="24"/>
          <w:szCs w:val="24"/>
          <w:lang w:val="fr-CA"/>
        </w:rPr>
        <w:t xml:space="preserve">âtiments publics </w:t>
      </w:r>
    </w:p>
    <w:p w:rsidR="008673B7" w:rsidRPr="00273D27" w:rsidRDefault="008673B7" w:rsidP="008673B7">
      <w:pPr>
        <w:spacing w:after="0" w:line="240" w:lineRule="auto"/>
        <w:jc w:val="both"/>
        <w:rPr>
          <w:rFonts w:ascii="Times New Roman" w:eastAsia="Calibri" w:hAnsi="Times New Roman"/>
          <w:sz w:val="24"/>
          <w:szCs w:val="24"/>
          <w:lang w:val="fr-CA"/>
        </w:rPr>
      </w:pPr>
    </w:p>
    <w:p w:rsidR="008673B7" w:rsidRPr="00273D27" w:rsidRDefault="008673B7" w:rsidP="008673B7">
      <w:pPr>
        <w:rPr>
          <w:rFonts w:ascii="Times New Roman" w:hAnsi="Times New Roman"/>
          <w:bCs/>
          <w:sz w:val="24"/>
          <w:szCs w:val="24"/>
          <w:lang w:val="fr-FR"/>
        </w:rPr>
      </w:pPr>
      <w:r w:rsidRPr="00273D27">
        <w:rPr>
          <w:rFonts w:ascii="Times New Roman" w:hAnsi="Times New Roman"/>
          <w:bCs/>
          <w:sz w:val="24"/>
          <w:szCs w:val="24"/>
          <w:lang w:val="fr-FR"/>
        </w:rPr>
        <w:t>UDMO</w:t>
      </w:r>
      <w:r w:rsidRPr="00273D27">
        <w:rPr>
          <w:rFonts w:ascii="Times New Roman" w:hAnsi="Times New Roman"/>
          <w:iCs/>
          <w:sz w:val="24"/>
          <w:szCs w:val="24"/>
          <w:lang w:val="fr-FR"/>
        </w:rPr>
        <w:t xml:space="preserve"> - Unité départementale de maintien de l’ordre</w:t>
      </w:r>
    </w:p>
    <w:p w:rsidR="008673B7" w:rsidRPr="002D7E80" w:rsidRDefault="008673B7" w:rsidP="008673B7">
      <w:pPr>
        <w:spacing w:after="0" w:line="240" w:lineRule="auto"/>
        <w:jc w:val="both"/>
        <w:rPr>
          <w:rFonts w:ascii="Times New Roman" w:eastAsia="Calibri" w:hAnsi="Times New Roman"/>
          <w:sz w:val="24"/>
          <w:szCs w:val="24"/>
        </w:rPr>
      </w:pPr>
      <w:r w:rsidRPr="002D7E80">
        <w:rPr>
          <w:rFonts w:ascii="Times New Roman" w:eastAsia="Calibri" w:hAnsi="Times New Roman"/>
          <w:sz w:val="24"/>
          <w:szCs w:val="24"/>
        </w:rPr>
        <w:t>UNPOL - United Nations Police</w:t>
      </w:r>
    </w:p>
    <w:p w:rsidR="008673B7" w:rsidRPr="002D7E80" w:rsidRDefault="008673B7" w:rsidP="008673B7">
      <w:pPr>
        <w:spacing w:after="0" w:line="240" w:lineRule="auto"/>
        <w:jc w:val="both"/>
        <w:rPr>
          <w:rFonts w:ascii="Times New Roman" w:eastAsia="Calibri" w:hAnsi="Times New Roman"/>
          <w:sz w:val="24"/>
          <w:szCs w:val="24"/>
        </w:rPr>
      </w:pPr>
    </w:p>
    <w:p w:rsidR="008673B7" w:rsidRPr="002D7E80" w:rsidRDefault="008673B7" w:rsidP="008673B7">
      <w:pPr>
        <w:spacing w:after="0" w:line="240" w:lineRule="auto"/>
        <w:rPr>
          <w:rFonts w:ascii="Times New Roman" w:eastAsia="Calibri" w:hAnsi="Times New Roman"/>
          <w:sz w:val="24"/>
          <w:szCs w:val="24"/>
        </w:rPr>
      </w:pPr>
      <w:r w:rsidRPr="002D7E80">
        <w:rPr>
          <w:rFonts w:ascii="Times New Roman" w:eastAsia="Calibri" w:hAnsi="Times New Roman"/>
          <w:sz w:val="24"/>
          <w:szCs w:val="24"/>
        </w:rPr>
        <w:br w:type="page"/>
      </w:r>
    </w:p>
    <w:p w:rsidR="008673B7" w:rsidRPr="002D7E80" w:rsidRDefault="00A8570F" w:rsidP="008673B7">
      <w:pPr>
        <w:keepNext/>
        <w:keepLines/>
        <w:spacing w:before="480" w:after="0"/>
        <w:outlineLvl w:val="0"/>
        <w:rPr>
          <w:rFonts w:ascii="Times New Roman" w:eastAsia="Calibri" w:hAnsi="Times New Roman"/>
          <w:b/>
          <w:bCs/>
          <w:color w:val="365F91" w:themeColor="accent1" w:themeShade="BF"/>
          <w:sz w:val="28"/>
          <w:szCs w:val="28"/>
        </w:rPr>
      </w:pPr>
      <w:bookmarkStart w:id="5" w:name="_Toc350156680"/>
      <w:r w:rsidRPr="002D7E80">
        <w:rPr>
          <w:rFonts w:ascii="Times New Roman" w:eastAsia="Calibri" w:hAnsi="Times New Roman"/>
          <w:b/>
          <w:bCs/>
          <w:color w:val="365F91" w:themeColor="accent1" w:themeShade="BF"/>
          <w:sz w:val="28"/>
          <w:szCs w:val="28"/>
        </w:rPr>
        <w:lastRenderedPageBreak/>
        <w:t xml:space="preserve">I. </w:t>
      </w:r>
      <w:r w:rsidR="008673B7" w:rsidRPr="002D7E80">
        <w:rPr>
          <w:rFonts w:ascii="Times New Roman" w:eastAsia="Calibri" w:hAnsi="Times New Roman"/>
          <w:b/>
          <w:bCs/>
          <w:color w:val="365F91" w:themeColor="accent1" w:themeShade="BF"/>
          <w:sz w:val="28"/>
          <w:szCs w:val="28"/>
        </w:rPr>
        <w:t>INTRODUCTION</w:t>
      </w:r>
      <w:bookmarkEnd w:id="5"/>
    </w:p>
    <w:p w:rsidR="008673B7" w:rsidRPr="002D7E80" w:rsidRDefault="008673B7" w:rsidP="008673B7">
      <w:pPr>
        <w:spacing w:after="0" w:line="240" w:lineRule="auto"/>
        <w:jc w:val="both"/>
        <w:rPr>
          <w:rFonts w:ascii="Times New Roman" w:eastAsia="Calibri" w:hAnsi="Times New Roman"/>
          <w:b/>
          <w:sz w:val="24"/>
          <w:szCs w:val="24"/>
        </w:rPr>
      </w:pPr>
    </w:p>
    <w:p w:rsidR="008673B7" w:rsidRPr="00273D27" w:rsidRDefault="00A8570F" w:rsidP="008673B7">
      <w:pPr>
        <w:spacing w:after="0" w:line="240" w:lineRule="auto"/>
        <w:outlineLvl w:val="1"/>
        <w:rPr>
          <w:rFonts w:ascii="Verdana" w:eastAsia="Times New Roman" w:hAnsi="Verdana"/>
          <w:b/>
          <w:bCs/>
          <w:color w:val="000066"/>
          <w:sz w:val="20"/>
          <w:szCs w:val="20"/>
          <w:lang w:val="fr-CA"/>
        </w:rPr>
      </w:pPr>
      <w:bookmarkStart w:id="6" w:name="_Toc350156681"/>
      <w:r>
        <w:rPr>
          <w:rFonts w:ascii="Verdana" w:eastAsia="Times New Roman" w:hAnsi="Verdana"/>
          <w:b/>
          <w:bCs/>
          <w:color w:val="000066"/>
          <w:sz w:val="20"/>
          <w:szCs w:val="20"/>
          <w:lang w:val="fr-CA"/>
        </w:rPr>
        <w:t xml:space="preserve">I.1. </w:t>
      </w:r>
      <w:r w:rsidR="008673B7" w:rsidRPr="00273D27">
        <w:rPr>
          <w:rFonts w:ascii="Verdana" w:eastAsia="Times New Roman" w:hAnsi="Verdana"/>
          <w:b/>
          <w:bCs/>
          <w:color w:val="000066"/>
          <w:sz w:val="20"/>
          <w:szCs w:val="20"/>
          <w:lang w:val="fr-CA"/>
        </w:rPr>
        <w:t>Contexte</w:t>
      </w:r>
      <w:bookmarkEnd w:id="6"/>
    </w:p>
    <w:p w:rsidR="008673B7" w:rsidRPr="00273D27" w:rsidRDefault="008673B7" w:rsidP="008673B7">
      <w:pPr>
        <w:spacing w:after="0" w:line="240" w:lineRule="auto"/>
        <w:ind w:left="720"/>
        <w:contextualSpacing/>
        <w:jc w:val="both"/>
        <w:rPr>
          <w:rFonts w:ascii="Times New Roman" w:hAnsi="Times New Roman"/>
          <w:sz w:val="24"/>
          <w:szCs w:val="24"/>
          <w:lang w:val="fr-CA"/>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La Mission des Nations Unies pour la Stabilisation en Haïti (MINUSTAH) exerce son mandat, comprenant entre autres la promotion et la protection des droits de l'homme en Haïti, conformément à la résolution 2070 du Conseil de sécurité des Nations Unies, adoptée en octobre 2012</w:t>
      </w:r>
      <w:r w:rsidRPr="00273D27">
        <w:rPr>
          <w:rFonts w:ascii="Times New Roman" w:hAnsi="Times New Roman"/>
          <w:sz w:val="24"/>
          <w:szCs w:val="24"/>
          <w:vertAlign w:val="superscript"/>
          <w:lang w:val="fr-FR"/>
        </w:rPr>
        <w:footnoteReference w:id="1"/>
      </w:r>
      <w:r w:rsidRPr="00273D27">
        <w:rPr>
          <w:rFonts w:ascii="Times New Roman" w:hAnsi="Times New Roman"/>
          <w:sz w:val="24"/>
          <w:szCs w:val="24"/>
          <w:lang w:val="fr-FR"/>
        </w:rPr>
        <w:t>. Le chef de la Section des droits de l'homme (SDH) de la MINUSTAH est également le représentant de la Haut-Commissaire aux droits de l’homme en Haïti</w:t>
      </w:r>
      <w:r w:rsidRPr="00273D27">
        <w:rPr>
          <w:rFonts w:ascii="Times New Roman" w:hAnsi="Times New Roman"/>
          <w:sz w:val="24"/>
          <w:szCs w:val="24"/>
          <w:vertAlign w:val="superscript"/>
          <w:lang w:val="fr-FR"/>
        </w:rPr>
        <w:footnoteReference w:id="2"/>
      </w:r>
      <w:r w:rsidRPr="00273D27">
        <w:rPr>
          <w:rFonts w:ascii="Times New Roman" w:hAnsi="Times New Roman"/>
          <w:sz w:val="24"/>
          <w:szCs w:val="24"/>
          <w:lang w:val="fr-FR"/>
        </w:rPr>
        <w:t>.</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spacing w:after="0" w:line="240" w:lineRule="auto"/>
        <w:jc w:val="both"/>
        <w:rPr>
          <w:rFonts w:ascii="Times New Roman" w:hAnsi="Times New Roman"/>
          <w:vanish/>
          <w:sz w:val="24"/>
          <w:szCs w:val="24"/>
          <w:lang w:val="fr-FR"/>
        </w:rPr>
      </w:pPr>
      <w:r w:rsidRPr="00273D27">
        <w:rPr>
          <w:rFonts w:ascii="Times New Roman" w:hAnsi="Times New Roman"/>
          <w:vanish/>
          <w:sz w:val="24"/>
          <w:szCs w:val="24"/>
          <w:lang w:val="fr-FR"/>
        </w:rPr>
        <w:t>2</w:t>
      </w:r>
      <w:r w:rsidRPr="00273D27">
        <w:rPr>
          <w:rFonts w:ascii="Times New Roman" w:hAnsi="Times New Roman"/>
          <w:sz w:val="24"/>
          <w:szCs w:val="24"/>
          <w:lang w:val="fr-FR"/>
        </w:rPr>
        <w:t>Haïti est lié par ses obligations conventionnelles internationales et par sa législation nationale à prendre des mesures de promotion et de protection des droits de l'homme.</w:t>
      </w:r>
      <w:r w:rsidRPr="00273D27">
        <w:rPr>
          <w:rFonts w:ascii="Times New Roman" w:hAnsi="Times New Roman"/>
          <w:vanish/>
          <w:sz w:val="24"/>
          <w:szCs w:val="24"/>
          <w:lang w:val="fr-FR"/>
        </w:rPr>
        <w:t>The International Covenant on Civil and Political Rights (ICCPR) and the International Covenant on Economic, Social and Cultural Rights (ICESCR), the latter ratified on 31 January this year, are clear on the basic rights to be protected at all times and provide the framework for developing laws, designing policy and implementing those laws and policy in a manner that furthers human rights.</w:t>
      </w:r>
      <w:r w:rsidRPr="00273D27">
        <w:rPr>
          <w:rFonts w:ascii="Times New Roman" w:hAnsi="Times New Roman"/>
          <w:sz w:val="24"/>
          <w:szCs w:val="24"/>
          <w:lang w:val="fr-FR"/>
        </w:rPr>
        <w:t xml:space="preserve"> La Déclaration universelle des droits de l’homme, le Pacte international relatif aux droits civils et politiques (PIDCP), et la Constitution de l’Etat haïtien, amendée en juin 2012, déterminent précisément les droits fondamentaux qui doivent être protégés en tout temps et constituent le cadre pour l'élaboration</w:t>
      </w:r>
      <w:r>
        <w:rPr>
          <w:rFonts w:ascii="Times New Roman" w:hAnsi="Times New Roman"/>
          <w:sz w:val="24"/>
          <w:szCs w:val="24"/>
          <w:lang w:val="fr-FR"/>
        </w:rPr>
        <w:t xml:space="preserve"> et la mise en </w:t>
      </w:r>
      <w:r w:rsidR="00CD10A7">
        <w:rPr>
          <w:rFonts w:ascii="Times New Roman" w:hAnsi="Times New Roman"/>
          <w:sz w:val="24"/>
          <w:szCs w:val="24"/>
          <w:lang w:val="fr-FR"/>
        </w:rPr>
        <w:t>œuvre</w:t>
      </w:r>
      <w:r w:rsidRPr="00273D27">
        <w:rPr>
          <w:rFonts w:ascii="Times New Roman" w:hAnsi="Times New Roman"/>
          <w:sz w:val="24"/>
          <w:szCs w:val="24"/>
          <w:lang w:val="fr-FR"/>
        </w:rPr>
        <w:t xml:space="preserve"> de lois</w:t>
      </w:r>
      <w:r>
        <w:rPr>
          <w:rFonts w:ascii="Times New Roman" w:hAnsi="Times New Roman"/>
          <w:sz w:val="24"/>
          <w:szCs w:val="24"/>
          <w:lang w:val="fr-FR"/>
        </w:rPr>
        <w:t xml:space="preserve"> et</w:t>
      </w:r>
      <w:r w:rsidRPr="00273D27">
        <w:rPr>
          <w:rFonts w:ascii="Times New Roman" w:hAnsi="Times New Roman"/>
          <w:sz w:val="24"/>
          <w:szCs w:val="24"/>
          <w:lang w:val="fr-FR"/>
        </w:rPr>
        <w:t xml:space="preserve"> des politiques de manière à faire progresser le respect des droits de l'homme. </w:t>
      </w:r>
      <w:r w:rsidRPr="00273D27">
        <w:rPr>
          <w:rFonts w:ascii="Times New Roman" w:hAnsi="Times New Roman"/>
          <w:vanish/>
          <w:sz w:val="24"/>
          <w:szCs w:val="24"/>
          <w:lang w:val="fr-FR"/>
        </w:rPr>
        <w:t>MINUSTAH remains committed to assisting the Haitian authorities to achieve these objectives, and to providing capacity building and training programmes for the governmental and non-governmental sector</w:t>
      </w:r>
    </w:p>
    <w:p w:rsidR="008673B7" w:rsidRPr="00273D27" w:rsidRDefault="008673B7" w:rsidP="008673B7">
      <w:pPr>
        <w:spacing w:after="0" w:line="240" w:lineRule="auto"/>
        <w:jc w:val="both"/>
        <w:rPr>
          <w:rFonts w:ascii="Times New Roman" w:hAnsi="Times New Roman"/>
          <w:vanish/>
          <w:sz w:val="24"/>
          <w:szCs w:val="24"/>
          <w:lang w:val="fr-FR"/>
        </w:rPr>
      </w:pPr>
    </w:p>
    <w:p w:rsidR="008673B7" w:rsidRPr="00273D27" w:rsidRDefault="008673B7" w:rsidP="008673B7">
      <w:pPr>
        <w:spacing w:after="0" w:line="240" w:lineRule="auto"/>
        <w:jc w:val="both"/>
        <w:rPr>
          <w:rFonts w:ascii="Times New Roman" w:hAnsi="Times New Roman"/>
          <w:vanish/>
          <w:sz w:val="24"/>
          <w:szCs w:val="24"/>
          <w:lang w:val="fr-FR"/>
        </w:rPr>
      </w:pPr>
    </w:p>
    <w:p w:rsidR="008673B7" w:rsidRPr="00273D27" w:rsidRDefault="008673B7" w:rsidP="008673B7">
      <w:pPr>
        <w:spacing w:after="0" w:line="240" w:lineRule="auto"/>
        <w:jc w:val="both"/>
        <w:rPr>
          <w:rFonts w:ascii="Times New Roman" w:hAnsi="Times New Roman"/>
          <w:vanish/>
          <w:sz w:val="24"/>
          <w:szCs w:val="24"/>
          <w:lang w:val="fr-FR"/>
        </w:rPr>
      </w:pPr>
    </w:p>
    <w:p w:rsidR="008673B7" w:rsidRPr="00273D27" w:rsidRDefault="008673B7" w:rsidP="008673B7">
      <w:pPr>
        <w:spacing w:after="0" w:line="240" w:lineRule="auto"/>
        <w:jc w:val="both"/>
        <w:rPr>
          <w:rFonts w:ascii="Times New Roman" w:hAnsi="Times New Roman"/>
          <w:vanish/>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 xml:space="preserve"> </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Le désaccord quant à la composition du Conseil électoral permanent</w:t>
      </w:r>
      <w:r w:rsidRPr="00273D27">
        <w:rPr>
          <w:rFonts w:ascii="Times New Roman" w:hAnsi="Times New Roman"/>
          <w:sz w:val="24"/>
          <w:szCs w:val="24"/>
          <w:vertAlign w:val="superscript"/>
          <w:lang w:val="fr-FR"/>
        </w:rPr>
        <w:footnoteReference w:id="3"/>
      </w:r>
      <w:r w:rsidRPr="00273D27">
        <w:rPr>
          <w:rFonts w:ascii="Times New Roman" w:hAnsi="Times New Roman"/>
          <w:sz w:val="24"/>
          <w:szCs w:val="24"/>
          <w:lang w:val="fr-FR"/>
        </w:rPr>
        <w:t xml:space="preserve"> (CEP) - l’institution mandatée pour l’organisation des élections, prévue par la Constitution haïtienne - continue à dominer la scène politique haïtienne, reportant encore des élections déjà retardées et violant ainsi l’article 25 du PIDCP</w:t>
      </w:r>
      <w:r w:rsidR="00BB292D">
        <w:rPr>
          <w:rFonts w:ascii="Times New Roman" w:hAnsi="Times New Roman"/>
          <w:sz w:val="24"/>
          <w:szCs w:val="24"/>
          <w:lang w:val="fr-FR"/>
        </w:rPr>
        <w:t>,</w:t>
      </w:r>
      <w:r w:rsidRPr="00273D27">
        <w:rPr>
          <w:rFonts w:ascii="Times New Roman" w:hAnsi="Times New Roman"/>
          <w:sz w:val="24"/>
          <w:szCs w:val="24"/>
          <w:lang w:val="fr-FR"/>
        </w:rPr>
        <w:t xml:space="preserve"> selon lequel « Tout citoyen a le droit et la possibilité, sans aucune des discriminations visées à l'article 2 et sans restrictions déraisonnables</w:t>
      </w:r>
      <w:r w:rsidR="00BB292D">
        <w:rPr>
          <w:rFonts w:ascii="Times New Roman" w:hAnsi="Times New Roman"/>
          <w:sz w:val="24"/>
          <w:szCs w:val="24"/>
          <w:lang w:val="fr-FR"/>
        </w:rPr>
        <w:t xml:space="preserve"> </w:t>
      </w:r>
      <w:r w:rsidRPr="00273D27">
        <w:rPr>
          <w:rFonts w:ascii="Times New Roman" w:hAnsi="Times New Roman"/>
          <w:sz w:val="24"/>
          <w:szCs w:val="24"/>
          <w:lang w:val="fr-FR"/>
        </w:rPr>
        <w:t>: a) De prendre part à la direction des affaires publiques, soit directement, soit par l'intermédiaire de représentants librement choisis</w:t>
      </w:r>
      <w:r w:rsidR="00BB292D">
        <w:rPr>
          <w:rFonts w:ascii="Times New Roman" w:hAnsi="Times New Roman"/>
          <w:sz w:val="24"/>
          <w:szCs w:val="24"/>
          <w:lang w:val="fr-FR"/>
        </w:rPr>
        <w:t xml:space="preserve"> </w:t>
      </w:r>
      <w:r w:rsidRPr="00273D27">
        <w:rPr>
          <w:rFonts w:ascii="Times New Roman" w:hAnsi="Times New Roman"/>
          <w:sz w:val="24"/>
          <w:szCs w:val="24"/>
          <w:lang w:val="fr-FR"/>
        </w:rPr>
        <w:t>; b) De voter et d'être élu, au cours d'élections périodiques, honnêtes, au suffrage universel et égal et au scrutin secret, assurant l'expression libre de la volonté des électeurs</w:t>
      </w:r>
      <w:r w:rsidR="00BB292D">
        <w:rPr>
          <w:rFonts w:ascii="Times New Roman" w:hAnsi="Times New Roman"/>
          <w:sz w:val="24"/>
          <w:szCs w:val="24"/>
          <w:lang w:val="fr-FR"/>
        </w:rPr>
        <w:t xml:space="preserve"> </w:t>
      </w:r>
      <w:r w:rsidRPr="00273D27">
        <w:rPr>
          <w:rFonts w:ascii="Times New Roman" w:hAnsi="Times New Roman"/>
          <w:sz w:val="24"/>
          <w:szCs w:val="24"/>
          <w:lang w:val="fr-FR"/>
        </w:rPr>
        <w:t>; c) D'accéder, dans des conditions générales d'égalité, aux fonctions publiques de son pays ». De plus, au motif de remplacer les mandats de certains élus, expirant fin 2011, le Président a signé plusieurs décrets nommant des Agents exécutifs intérimaires (AEI) et des vice-délégués à des postes électifs</w:t>
      </w:r>
      <w:r w:rsidRPr="00273D27">
        <w:rPr>
          <w:rFonts w:ascii="Times New Roman" w:hAnsi="Times New Roman"/>
          <w:sz w:val="24"/>
          <w:szCs w:val="24"/>
          <w:vertAlign w:val="superscript"/>
          <w:lang w:val="fr-FR"/>
        </w:rPr>
        <w:footnoteReference w:id="4"/>
      </w:r>
      <w:r w:rsidRPr="00273D27">
        <w:rPr>
          <w:rFonts w:ascii="Times New Roman" w:hAnsi="Times New Roman"/>
          <w:sz w:val="24"/>
          <w:szCs w:val="24"/>
          <w:lang w:val="fr-FR"/>
        </w:rPr>
        <w:t xml:space="preserve">. Cette pratique, pouvant être justifiée par le besoin d’assurer la continuité du fonctionnement des institutions locales, n’est néanmoins pas prévue </w:t>
      </w:r>
      <w:r>
        <w:rPr>
          <w:rFonts w:ascii="Times New Roman" w:hAnsi="Times New Roman"/>
          <w:sz w:val="24"/>
          <w:szCs w:val="24"/>
          <w:lang w:val="fr-FR"/>
        </w:rPr>
        <w:t>par</w:t>
      </w:r>
      <w:r w:rsidRPr="00273D27">
        <w:rPr>
          <w:rFonts w:ascii="Times New Roman" w:hAnsi="Times New Roman"/>
          <w:sz w:val="24"/>
          <w:szCs w:val="24"/>
          <w:lang w:val="fr-FR"/>
        </w:rPr>
        <w:t xml:space="preserve"> la Constitution haïtienne et compromet les principes démocratiques fondamentaux. </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lastRenderedPageBreak/>
        <w:t>La deuxième moitié de l’année a été marquée par d’importantes catastrophes naturelles, qui ont provoqué de graves crises humanitaires</w:t>
      </w:r>
      <w:r w:rsidR="000B4E33">
        <w:rPr>
          <w:rFonts w:ascii="Times New Roman" w:hAnsi="Times New Roman"/>
          <w:sz w:val="24"/>
          <w:szCs w:val="24"/>
          <w:lang w:val="fr-FR"/>
        </w:rPr>
        <w:t xml:space="preserve"> et </w:t>
      </w:r>
      <w:r w:rsidR="00F813C5">
        <w:rPr>
          <w:rFonts w:ascii="Times New Roman" w:eastAsia="Calibri" w:hAnsi="Times New Roman"/>
          <w:sz w:val="24"/>
          <w:szCs w:val="24"/>
          <w:lang w:val="fr-FR"/>
        </w:rPr>
        <w:t>bouleversé la vie du pays</w:t>
      </w:r>
      <w:r w:rsidRPr="00273D27">
        <w:rPr>
          <w:rFonts w:ascii="Times New Roman" w:hAnsi="Times New Roman"/>
          <w:sz w:val="24"/>
          <w:szCs w:val="24"/>
          <w:lang w:val="fr-FR"/>
        </w:rPr>
        <w:t>. La tempête tropicale Isaac, l’ouragan Sandy et les inondations dévastatrices dans les départements du Nord et de Nippes ont causé la mort de 92 personnes</w:t>
      </w:r>
      <w:r w:rsidRPr="00273D27">
        <w:rPr>
          <w:rFonts w:ascii="Times New Roman" w:hAnsi="Times New Roman"/>
          <w:sz w:val="24"/>
          <w:szCs w:val="24"/>
          <w:vertAlign w:val="superscript"/>
          <w:lang w:val="fr-FR"/>
        </w:rPr>
        <w:footnoteReference w:id="5"/>
      </w:r>
      <w:r w:rsidRPr="00273D27">
        <w:rPr>
          <w:rFonts w:ascii="Times New Roman" w:hAnsi="Times New Roman"/>
          <w:sz w:val="24"/>
          <w:szCs w:val="24"/>
          <w:lang w:val="fr-FR"/>
        </w:rPr>
        <w:t>, aggravé les conditions de vie dans les camps et les habitations informelles, endommagé les cultures et les infrastructures, aggravé l’insécurité alimentaire (actuellement 1.52 million de personnes vivent dans des conditions de risque d’insécurité alimentaire élevé, alors que ce chiffre était de 0.8 million en 2011)</w:t>
      </w:r>
      <w:r w:rsidR="00434533" w:rsidRPr="00273D27">
        <w:rPr>
          <w:rFonts w:ascii="Times New Roman" w:hAnsi="Times New Roman"/>
          <w:sz w:val="24"/>
          <w:szCs w:val="24"/>
          <w:vertAlign w:val="superscript"/>
          <w:lang w:val="fr-FR"/>
        </w:rPr>
        <w:footnoteReference w:id="6"/>
      </w:r>
      <w:r w:rsidRPr="00273D27">
        <w:rPr>
          <w:rFonts w:ascii="Times New Roman" w:hAnsi="Times New Roman"/>
          <w:sz w:val="24"/>
          <w:szCs w:val="24"/>
          <w:lang w:val="fr-FR"/>
        </w:rPr>
        <w:t xml:space="preserve"> et contribué à une hausse des cas de choléra. De tels événements </w:t>
      </w:r>
      <w:r>
        <w:rPr>
          <w:rFonts w:ascii="Times New Roman" w:hAnsi="Times New Roman"/>
          <w:sz w:val="24"/>
          <w:szCs w:val="24"/>
          <w:lang w:val="fr-FR"/>
        </w:rPr>
        <w:t>soulignent</w:t>
      </w:r>
      <w:r w:rsidRPr="00273D27">
        <w:rPr>
          <w:rFonts w:ascii="Times New Roman" w:hAnsi="Times New Roman"/>
          <w:sz w:val="24"/>
          <w:szCs w:val="24"/>
          <w:lang w:val="fr-FR"/>
        </w:rPr>
        <w:t xml:space="preserve"> la vulnérabilité du pays et mettent au défi la capacité de réponse des institutions compétentes, notamment celle de la Direction de la protection civile (DPC). </w:t>
      </w:r>
    </w:p>
    <w:p w:rsidR="008673B7" w:rsidRPr="00273D27" w:rsidRDefault="008673B7" w:rsidP="008673B7">
      <w:pPr>
        <w:spacing w:after="0" w:line="240" w:lineRule="auto"/>
        <w:jc w:val="both"/>
        <w:rPr>
          <w:rFonts w:ascii="Times New Roman" w:eastAsia="Times New Roman" w:hAnsi="Times New Roman"/>
          <w:sz w:val="24"/>
          <w:szCs w:val="24"/>
          <w:lang w:val="fr-FR"/>
        </w:rPr>
      </w:pPr>
    </w:p>
    <w:p w:rsidR="008673B7" w:rsidRPr="00273D27" w:rsidRDefault="008673B7" w:rsidP="008673B7">
      <w:pPr>
        <w:spacing w:after="0" w:line="240" w:lineRule="auto"/>
        <w:jc w:val="both"/>
        <w:rPr>
          <w:rFonts w:ascii="Times New Roman" w:eastAsia="Times New Roman" w:hAnsi="Times New Roman"/>
          <w:sz w:val="24"/>
          <w:szCs w:val="24"/>
          <w:lang w:val="fr-FR"/>
        </w:rPr>
      </w:pPr>
      <w:r w:rsidRPr="00273D27">
        <w:rPr>
          <w:rFonts w:ascii="Times New Roman" w:eastAsia="Times New Roman" w:hAnsi="Times New Roman"/>
          <w:sz w:val="24"/>
          <w:szCs w:val="24"/>
          <w:lang w:val="fr-FR"/>
        </w:rPr>
        <w:t>Aux niveaux économique et social, la période en revue a été caractérisée par des manifestations dans l’ensemble du pays. Les populations ont notamment protesté contre la vie chère, la distribution inéquitable de l’électricité, le manque d’infrastructures, l’accès insuffisant à l’eau, à l’assainissement et à un logement convenable, l’épidémie persistante de choléra et l’insécurité.</w:t>
      </w:r>
      <w:r w:rsidRPr="00273D27">
        <w:rPr>
          <w:rFonts w:ascii="Times New Roman" w:hAnsi="Times New Roman"/>
          <w:sz w:val="24"/>
          <w:szCs w:val="24"/>
          <w:vertAlign w:val="superscript"/>
          <w:lang w:val="fr-FR"/>
        </w:rPr>
        <w:footnoteReference w:id="7"/>
      </w:r>
      <w:r w:rsidRPr="00273D27">
        <w:rPr>
          <w:rFonts w:ascii="Times New Roman" w:eastAsia="Times New Roman" w:hAnsi="Times New Roman"/>
          <w:sz w:val="24"/>
          <w:szCs w:val="24"/>
          <w:lang w:val="fr-FR"/>
        </w:rPr>
        <w:t xml:space="preserve"> </w:t>
      </w:r>
    </w:p>
    <w:p w:rsidR="008673B7" w:rsidRPr="00273D27" w:rsidRDefault="008673B7" w:rsidP="008673B7">
      <w:pPr>
        <w:spacing w:after="0" w:line="240" w:lineRule="auto"/>
        <w:jc w:val="both"/>
        <w:rPr>
          <w:rFonts w:ascii="Times New Roman" w:hAnsi="Times New Roman"/>
          <w:b/>
          <w:sz w:val="24"/>
          <w:szCs w:val="24"/>
          <w:lang w:val="fr-FR"/>
        </w:rPr>
      </w:pPr>
    </w:p>
    <w:p w:rsidR="008673B7" w:rsidRPr="00A8570F" w:rsidRDefault="00A8570F" w:rsidP="00A8570F">
      <w:pPr>
        <w:spacing w:after="0" w:line="240" w:lineRule="auto"/>
        <w:outlineLvl w:val="1"/>
        <w:rPr>
          <w:rFonts w:ascii="Verdana" w:eastAsia="Times New Roman" w:hAnsi="Verdana"/>
          <w:b/>
          <w:bCs/>
          <w:color w:val="000066"/>
          <w:sz w:val="20"/>
          <w:szCs w:val="20"/>
          <w:lang w:val="fr-FR"/>
        </w:rPr>
      </w:pPr>
      <w:bookmarkStart w:id="7" w:name="_Toc350156682"/>
      <w:r>
        <w:rPr>
          <w:rFonts w:ascii="Verdana" w:eastAsia="Times New Roman" w:hAnsi="Verdana"/>
          <w:b/>
          <w:bCs/>
          <w:color w:val="000066"/>
          <w:sz w:val="20"/>
          <w:szCs w:val="20"/>
          <w:lang w:val="fr-FR"/>
        </w:rPr>
        <w:t xml:space="preserve">I.2. </w:t>
      </w:r>
      <w:r w:rsidR="008673B7" w:rsidRPr="00A8570F">
        <w:rPr>
          <w:rFonts w:ascii="Verdana" w:eastAsia="Times New Roman" w:hAnsi="Verdana"/>
          <w:b/>
          <w:bCs/>
          <w:color w:val="000066"/>
          <w:sz w:val="20"/>
          <w:szCs w:val="20"/>
          <w:lang w:val="fr-FR"/>
        </w:rPr>
        <w:t>Structure et méthodologie</w:t>
      </w:r>
      <w:bookmarkEnd w:id="7"/>
      <w:r w:rsidR="008673B7" w:rsidRPr="00A8570F">
        <w:rPr>
          <w:rFonts w:ascii="Verdana" w:eastAsia="Times New Roman" w:hAnsi="Verdana"/>
          <w:b/>
          <w:bCs/>
          <w:color w:val="000066"/>
          <w:sz w:val="20"/>
          <w:szCs w:val="20"/>
          <w:lang w:val="fr-FR"/>
        </w:rPr>
        <w:t xml:space="preserve"> </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Le présent rapport a été préparé par l’HCDH/SDH MINUSTAH et couvre la période allant du 1er juillet au 31 décembre 2012.</w:t>
      </w:r>
      <w:r w:rsidRPr="00273D27">
        <w:rPr>
          <w:rFonts w:ascii="Times New Roman" w:hAnsi="Times New Roman"/>
          <w:vanish/>
          <w:sz w:val="24"/>
          <w:szCs w:val="24"/>
          <w:lang w:val="fr-FR"/>
        </w:rPr>
        <w:t>The information contained in this report has been collected by MINUSTAH's Human Rights Section (HRS) officers in the course of carrying out its monitoring and reporting mandate.</w:t>
      </w:r>
      <w:r w:rsidRPr="00273D27">
        <w:rPr>
          <w:rFonts w:ascii="Times New Roman" w:hAnsi="Times New Roman"/>
          <w:sz w:val="24"/>
          <w:szCs w:val="24"/>
          <w:lang w:val="fr-FR"/>
        </w:rPr>
        <w:t xml:space="preserve"> </w:t>
      </w:r>
    </w:p>
    <w:p w:rsidR="008673B7" w:rsidRPr="00273D27" w:rsidRDefault="008673B7" w:rsidP="008673B7">
      <w:pPr>
        <w:spacing w:after="0" w:line="240" w:lineRule="auto"/>
        <w:jc w:val="both"/>
        <w:rPr>
          <w:rFonts w:ascii="Times New Roman" w:hAnsi="Times New Roman"/>
          <w:sz w:val="24"/>
          <w:szCs w:val="24"/>
          <w:lang w:val="fr-FR"/>
        </w:rPr>
      </w:pPr>
    </w:p>
    <w:p w:rsidR="008673B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Les informations contenues dans ce rapport ont été recueillies par le personnel de l’HCDH/SDH MINUSTAH basé à Port-au Prince (département de l’Ouest), et des bureaux régionaux du Cap Haïtien (département du Nord), des Cayes (département du Sud), de Fort-Liberté (département du Nord-est), de Gonaïves (département de l’Artibonite), de Hinche (département du Centre), de Jacmel (département du Sud-est) et de Jérémie (département de la Grande</w:t>
      </w:r>
      <w:r w:rsidR="00B71B61">
        <w:rPr>
          <w:rFonts w:ascii="Times New Roman" w:hAnsi="Times New Roman"/>
          <w:sz w:val="24"/>
          <w:szCs w:val="24"/>
          <w:lang w:val="fr-FR"/>
        </w:rPr>
        <w:t xml:space="preserve"> </w:t>
      </w:r>
      <w:r w:rsidRPr="00273D27">
        <w:rPr>
          <w:rFonts w:ascii="Times New Roman" w:hAnsi="Times New Roman"/>
          <w:sz w:val="24"/>
          <w:szCs w:val="24"/>
          <w:lang w:val="fr-FR"/>
        </w:rPr>
        <w:t xml:space="preserve">Anse), dans le cadre de ses activités d’observation et de production de rapports. </w:t>
      </w:r>
    </w:p>
    <w:p w:rsidR="00962443" w:rsidRDefault="00962443" w:rsidP="008673B7">
      <w:pPr>
        <w:spacing w:after="0" w:line="240" w:lineRule="auto"/>
        <w:jc w:val="both"/>
        <w:rPr>
          <w:rFonts w:ascii="Times New Roman" w:hAnsi="Times New Roman"/>
          <w:sz w:val="24"/>
          <w:szCs w:val="24"/>
          <w:lang w:val="fr-FR"/>
        </w:rPr>
      </w:pPr>
    </w:p>
    <w:p w:rsidR="00962443" w:rsidRDefault="00962443" w:rsidP="00962443">
      <w:pPr>
        <w:spacing w:after="0" w:line="240" w:lineRule="auto"/>
        <w:jc w:val="both"/>
        <w:rPr>
          <w:rFonts w:ascii="Times New Roman" w:hAnsi="Times New Roman"/>
          <w:sz w:val="24"/>
          <w:szCs w:val="24"/>
          <w:lang w:val="fr-FR"/>
        </w:rPr>
      </w:pPr>
      <w:r>
        <w:rPr>
          <w:rFonts w:ascii="Times New Roman" w:hAnsi="Times New Roman"/>
          <w:sz w:val="24"/>
          <w:szCs w:val="24"/>
          <w:lang w:val="fr-FR"/>
        </w:rPr>
        <w:t>Le présent rapport, transmis au gouvernement haïtien avant publication, prend en compte certains commentaires émis par ce dernier.</w:t>
      </w:r>
    </w:p>
    <w:p w:rsidR="00962443" w:rsidRDefault="00962443" w:rsidP="008673B7">
      <w:pPr>
        <w:spacing w:after="0" w:line="240" w:lineRule="auto"/>
        <w:jc w:val="both"/>
        <w:rPr>
          <w:rFonts w:ascii="Times New Roman" w:hAnsi="Times New Roman"/>
          <w:sz w:val="24"/>
          <w:szCs w:val="24"/>
          <w:lang w:val="fr-FR"/>
        </w:rPr>
      </w:pPr>
    </w:p>
    <w:p w:rsidR="00962443" w:rsidRDefault="00962443" w:rsidP="008673B7">
      <w:pPr>
        <w:spacing w:after="0" w:line="240" w:lineRule="auto"/>
        <w:jc w:val="both"/>
        <w:rPr>
          <w:rFonts w:ascii="Times New Roman" w:hAnsi="Times New Roman"/>
          <w:sz w:val="24"/>
          <w:szCs w:val="24"/>
          <w:lang w:val="fr-FR"/>
        </w:rPr>
      </w:pPr>
    </w:p>
    <w:p w:rsidR="00962443" w:rsidRDefault="00962443" w:rsidP="008673B7">
      <w:pPr>
        <w:spacing w:after="0" w:line="240" w:lineRule="auto"/>
        <w:jc w:val="both"/>
        <w:rPr>
          <w:rFonts w:ascii="Times New Roman" w:hAnsi="Times New Roman"/>
          <w:sz w:val="24"/>
          <w:szCs w:val="24"/>
          <w:lang w:val="fr-FR"/>
        </w:rPr>
      </w:pPr>
    </w:p>
    <w:p w:rsidR="00962443" w:rsidRDefault="00962443" w:rsidP="008673B7">
      <w:pPr>
        <w:spacing w:after="0" w:line="240" w:lineRule="auto"/>
        <w:jc w:val="both"/>
        <w:rPr>
          <w:rFonts w:ascii="Times New Roman" w:hAnsi="Times New Roman"/>
          <w:sz w:val="24"/>
          <w:szCs w:val="24"/>
          <w:lang w:val="fr-FR"/>
        </w:rPr>
      </w:pPr>
    </w:p>
    <w:p w:rsidR="00962443" w:rsidRDefault="00962443" w:rsidP="008673B7">
      <w:pPr>
        <w:spacing w:after="0" w:line="240" w:lineRule="auto"/>
        <w:jc w:val="both"/>
        <w:rPr>
          <w:rFonts w:ascii="Times New Roman" w:hAnsi="Times New Roman"/>
          <w:sz w:val="24"/>
          <w:szCs w:val="24"/>
          <w:lang w:val="fr-FR"/>
        </w:rPr>
      </w:pPr>
    </w:p>
    <w:p w:rsidR="00962443" w:rsidRPr="00273D27" w:rsidRDefault="00962443" w:rsidP="008673B7">
      <w:pPr>
        <w:spacing w:after="0" w:line="240" w:lineRule="auto"/>
        <w:jc w:val="both"/>
        <w:rPr>
          <w:rFonts w:ascii="Times New Roman" w:hAnsi="Times New Roman"/>
          <w:sz w:val="24"/>
          <w:szCs w:val="24"/>
          <w:lang w:val="fr-FR"/>
        </w:rPr>
      </w:pPr>
    </w:p>
    <w:p w:rsidR="008673B7" w:rsidRPr="001D6C9C" w:rsidRDefault="008673B7" w:rsidP="008673B7">
      <w:pPr>
        <w:keepNext/>
        <w:keepLines/>
        <w:spacing w:before="480" w:after="0"/>
        <w:outlineLvl w:val="0"/>
        <w:rPr>
          <w:rFonts w:ascii="Times New Roman" w:eastAsiaTheme="majorEastAsia" w:hAnsi="Times New Roman"/>
          <w:b/>
          <w:bCs/>
          <w:color w:val="365F91" w:themeColor="accent1" w:themeShade="BF"/>
          <w:sz w:val="28"/>
          <w:szCs w:val="28"/>
          <w:lang w:val="fr-FR"/>
        </w:rPr>
      </w:pPr>
      <w:bookmarkStart w:id="8" w:name="_Toc350156683"/>
      <w:r w:rsidRPr="00A8570F">
        <w:rPr>
          <w:rFonts w:ascii="Times New Roman" w:eastAsiaTheme="majorEastAsia" w:hAnsi="Times New Roman"/>
          <w:b/>
          <w:color w:val="365F91" w:themeColor="accent1" w:themeShade="BF"/>
          <w:sz w:val="28"/>
          <w:szCs w:val="28"/>
          <w:lang w:val="fr-FR"/>
        </w:rPr>
        <w:lastRenderedPageBreak/>
        <w:t>I</w:t>
      </w:r>
      <w:r w:rsidR="00A8570F" w:rsidRPr="00A8570F">
        <w:rPr>
          <w:rFonts w:ascii="Times New Roman" w:eastAsiaTheme="majorEastAsia" w:hAnsi="Times New Roman"/>
          <w:b/>
          <w:color w:val="365F91" w:themeColor="accent1" w:themeShade="BF"/>
          <w:sz w:val="28"/>
          <w:szCs w:val="28"/>
          <w:lang w:val="fr-FR"/>
        </w:rPr>
        <w:t>I</w:t>
      </w:r>
      <w:r w:rsidRPr="00A8570F">
        <w:rPr>
          <w:rFonts w:ascii="Times New Roman" w:eastAsiaTheme="majorEastAsia" w:hAnsi="Times New Roman"/>
          <w:b/>
          <w:color w:val="365F91" w:themeColor="accent1" w:themeShade="BF"/>
          <w:sz w:val="28"/>
          <w:szCs w:val="28"/>
          <w:lang w:val="fr-FR"/>
        </w:rPr>
        <w:t>.</w:t>
      </w:r>
      <w:r w:rsidRPr="001D6C9C">
        <w:rPr>
          <w:rFonts w:ascii="Times New Roman" w:eastAsiaTheme="majorEastAsia" w:hAnsi="Times New Roman"/>
          <w:b/>
          <w:bCs/>
          <w:color w:val="365F91" w:themeColor="accent1" w:themeShade="BF"/>
          <w:sz w:val="28"/>
          <w:szCs w:val="28"/>
          <w:lang w:val="fr-FR"/>
        </w:rPr>
        <w:t xml:space="preserve"> MESURES LÉGISLATIVES, ADMINISTRATIVES ET JUDICIAIRES</w:t>
      </w:r>
      <w:bookmarkEnd w:id="8"/>
      <w:r w:rsidRPr="001D6C9C">
        <w:rPr>
          <w:rFonts w:ascii="Times New Roman" w:eastAsiaTheme="majorEastAsia" w:hAnsi="Times New Roman"/>
          <w:b/>
          <w:bCs/>
          <w:color w:val="365F91" w:themeColor="accent1" w:themeShade="BF"/>
          <w:sz w:val="28"/>
          <w:szCs w:val="28"/>
          <w:lang w:val="fr-FR"/>
        </w:rPr>
        <w:t xml:space="preserve"> </w:t>
      </w:r>
    </w:p>
    <w:p w:rsidR="008673B7" w:rsidRPr="00273D27" w:rsidRDefault="008673B7" w:rsidP="008673B7">
      <w:pPr>
        <w:spacing w:after="0" w:line="240" w:lineRule="auto"/>
        <w:jc w:val="both"/>
        <w:rPr>
          <w:rFonts w:ascii="Times New Roman" w:hAnsi="Times New Roman"/>
          <w:b/>
          <w:sz w:val="24"/>
          <w:szCs w:val="24"/>
          <w:lang w:val="fr-FR"/>
        </w:rPr>
      </w:pPr>
    </w:p>
    <w:p w:rsidR="008673B7" w:rsidRPr="00273D27" w:rsidRDefault="008673B7" w:rsidP="008673B7">
      <w:pPr>
        <w:spacing w:after="0" w:line="240" w:lineRule="auto"/>
        <w:outlineLvl w:val="1"/>
        <w:rPr>
          <w:rFonts w:ascii="Verdana" w:eastAsia="Times New Roman" w:hAnsi="Verdana"/>
          <w:b/>
          <w:bCs/>
          <w:color w:val="000066"/>
          <w:sz w:val="20"/>
          <w:szCs w:val="20"/>
          <w:lang w:val="fr-FR"/>
        </w:rPr>
      </w:pPr>
      <w:bookmarkStart w:id="9" w:name="_Toc350156684"/>
      <w:r w:rsidRPr="00273D27">
        <w:rPr>
          <w:rFonts w:ascii="Verdana" w:eastAsia="Times New Roman" w:hAnsi="Verdana"/>
          <w:b/>
          <w:bCs/>
          <w:color w:val="000066"/>
          <w:sz w:val="20"/>
          <w:szCs w:val="20"/>
          <w:lang w:val="fr-FR"/>
        </w:rPr>
        <w:t>I</w:t>
      </w:r>
      <w:r w:rsidR="00A8570F">
        <w:rPr>
          <w:rFonts w:ascii="Verdana" w:eastAsia="Times New Roman" w:hAnsi="Verdana"/>
          <w:b/>
          <w:bCs/>
          <w:color w:val="000066"/>
          <w:sz w:val="20"/>
          <w:szCs w:val="20"/>
          <w:lang w:val="fr-FR"/>
        </w:rPr>
        <w:t>I</w:t>
      </w:r>
      <w:r w:rsidRPr="00273D27">
        <w:rPr>
          <w:rFonts w:ascii="Verdana" w:eastAsia="Times New Roman" w:hAnsi="Verdana"/>
          <w:b/>
          <w:bCs/>
          <w:color w:val="000066"/>
          <w:sz w:val="20"/>
          <w:szCs w:val="20"/>
          <w:lang w:val="fr-FR"/>
        </w:rPr>
        <w:t xml:space="preserve">.1. </w:t>
      </w:r>
      <w:r w:rsidRPr="00273D27">
        <w:rPr>
          <w:rFonts w:ascii="Verdana" w:eastAsia="Times New Roman" w:hAnsi="Verdana"/>
          <w:b/>
          <w:bCs/>
          <w:vanish/>
          <w:color w:val="000066"/>
          <w:sz w:val="20"/>
          <w:szCs w:val="20"/>
          <w:lang w:val="fr-FR"/>
        </w:rPr>
        <w:t xml:space="preserve">Haiti ' s Ratification of International Human Rights Instruments and Engagement with International Human Rights MechanA. </w:t>
      </w:r>
      <w:r w:rsidRPr="00273D27">
        <w:rPr>
          <w:rFonts w:ascii="Verdana" w:eastAsia="Times New Roman" w:hAnsi="Verdana"/>
          <w:b/>
          <w:bCs/>
          <w:color w:val="000066"/>
          <w:sz w:val="20"/>
          <w:szCs w:val="20"/>
          <w:lang w:val="fr-FR"/>
        </w:rPr>
        <w:t>Ratification des instruments internationaux relatifs aux droits de l'homme et engagement avec les mécanismes internationaux des droits de l'homme</w:t>
      </w:r>
      <w:bookmarkEnd w:id="9"/>
      <w:r w:rsidRPr="00273D27">
        <w:rPr>
          <w:rFonts w:ascii="Verdana" w:eastAsia="Times New Roman" w:hAnsi="Verdana"/>
          <w:b/>
          <w:bCs/>
          <w:color w:val="000066"/>
          <w:sz w:val="20"/>
          <w:szCs w:val="20"/>
          <w:lang w:val="fr-FR"/>
        </w:rPr>
        <w:t xml:space="preserve"> </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keepNext/>
        <w:keepLines/>
        <w:spacing w:before="200" w:after="0"/>
        <w:outlineLvl w:val="2"/>
        <w:rPr>
          <w:rFonts w:asciiTheme="majorHAnsi" w:eastAsiaTheme="majorEastAsia" w:hAnsiTheme="majorHAnsi" w:cstheme="majorBidi"/>
          <w:b/>
          <w:bCs/>
          <w:color w:val="4F81BD" w:themeColor="accent1"/>
          <w:lang w:val="fr-FR"/>
        </w:rPr>
      </w:pPr>
      <w:bookmarkStart w:id="10" w:name="_Toc350156685"/>
      <w:r w:rsidRPr="00273D27">
        <w:rPr>
          <w:rFonts w:asciiTheme="majorHAnsi" w:eastAsiaTheme="majorEastAsia" w:hAnsiTheme="majorHAnsi" w:cstheme="majorBidi"/>
          <w:b/>
          <w:bCs/>
          <w:color w:val="4F81BD" w:themeColor="accent1"/>
          <w:lang w:val="fr-FR"/>
        </w:rPr>
        <w:t>I</w:t>
      </w:r>
      <w:r w:rsidR="00A8570F">
        <w:rPr>
          <w:rFonts w:asciiTheme="majorHAnsi" w:eastAsiaTheme="majorEastAsia" w:hAnsiTheme="majorHAnsi" w:cstheme="majorBidi"/>
          <w:b/>
          <w:bCs/>
          <w:color w:val="4F81BD" w:themeColor="accent1"/>
          <w:lang w:val="fr-FR"/>
        </w:rPr>
        <w:t>I</w:t>
      </w:r>
      <w:r w:rsidRPr="00273D27">
        <w:rPr>
          <w:rFonts w:asciiTheme="majorHAnsi" w:eastAsiaTheme="majorEastAsia" w:hAnsiTheme="majorHAnsi" w:cstheme="majorBidi"/>
          <w:b/>
          <w:bCs/>
          <w:color w:val="4F81BD" w:themeColor="accent1"/>
          <w:lang w:val="fr-FR"/>
        </w:rPr>
        <w:t xml:space="preserve">.1.1. Progrès réalisés concernant la récente ratification </w:t>
      </w:r>
      <w:r w:rsidRPr="00273D27">
        <w:rPr>
          <w:rFonts w:asciiTheme="majorHAnsi" w:eastAsia="Calibri" w:hAnsiTheme="majorHAnsi" w:cstheme="majorBidi"/>
          <w:b/>
          <w:bCs/>
          <w:color w:val="4F81BD" w:themeColor="accent1"/>
          <w:lang w:val="fr-FR"/>
        </w:rPr>
        <w:t>d’instruments internationaux relatifs aux droits de l’homme</w:t>
      </w:r>
      <w:bookmarkEnd w:id="10"/>
      <w:r w:rsidRPr="00273D27">
        <w:rPr>
          <w:rFonts w:asciiTheme="majorHAnsi" w:eastAsiaTheme="majorEastAsia" w:hAnsiTheme="majorHAnsi" w:cstheme="majorBidi"/>
          <w:b/>
          <w:bCs/>
          <w:color w:val="4F81BD" w:themeColor="accent1"/>
          <w:lang w:val="fr-FR"/>
        </w:rPr>
        <w:t xml:space="preserve"> </w:t>
      </w: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vanish/>
          <w:sz w:val="24"/>
          <w:szCs w:val="24"/>
          <w:lang w:val="fr-FR"/>
        </w:rPr>
        <w:t>7.</w:t>
      </w: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vanish/>
          <w:sz w:val="24"/>
          <w:szCs w:val="24"/>
          <w:lang w:val="fr-FR"/>
        </w:rPr>
        <w:t>On 31 January, the Haitian Parliament approved a law to ratify the International Covenant on Economic, Social and Cultural Rights with a total of 55 votes in favour, 13 against and five absten</w:t>
      </w:r>
      <w:r w:rsidRPr="00273D27">
        <w:rPr>
          <w:rFonts w:ascii="Times New Roman" w:hAnsi="Times New Roman"/>
          <w:sz w:val="24"/>
          <w:szCs w:val="24"/>
          <w:lang w:val="fr-FR"/>
        </w:rPr>
        <w:t>Le 31 janvier, conformément aux recommandations formulées dans le cadre de l’</w:t>
      </w:r>
      <w:r w:rsidRPr="00273D27">
        <w:rPr>
          <w:rFonts w:ascii="Times New Roman" w:hAnsi="Times New Roman"/>
          <w:bCs/>
          <w:sz w:val="24"/>
          <w:szCs w:val="24"/>
          <w:lang w:val="fr-FR"/>
        </w:rPr>
        <w:t>Examen périodique universel</w:t>
      </w:r>
      <w:r w:rsidRPr="00273D27">
        <w:rPr>
          <w:rFonts w:ascii="Times New Roman" w:hAnsi="Times New Roman"/>
          <w:sz w:val="24"/>
          <w:szCs w:val="24"/>
          <w:lang w:val="fr-FR"/>
        </w:rPr>
        <w:t xml:space="preserve"> (EPU), le Parlement a approuvé une loi visant à ratifier le Pacte international </w:t>
      </w:r>
      <w:r w:rsidR="007E13FA">
        <w:rPr>
          <w:rFonts w:ascii="Times New Roman" w:hAnsi="Times New Roman"/>
          <w:sz w:val="24"/>
          <w:szCs w:val="24"/>
          <w:lang w:val="fr-FR"/>
        </w:rPr>
        <w:t>relatif aux</w:t>
      </w:r>
      <w:r w:rsidRPr="00273D27">
        <w:rPr>
          <w:rFonts w:ascii="Times New Roman" w:hAnsi="Times New Roman"/>
          <w:sz w:val="24"/>
          <w:szCs w:val="24"/>
          <w:lang w:val="fr-FR"/>
        </w:rPr>
        <w:t xml:space="preserve"> droits économiques, sociaux et culturels (PIDESC). Cependant, un an plus tard, le PIDESC n’est toujours pas entré en vigueur car le Président de la République doit encore promulguer la loi, et le gouvernement doit ensuite déposer un instrument d'adhésion auprès du Secrétaire général des Nations Unies, conformément à l'article 26 du Pacte. Ceci n’ayant pas été fait, aucun progrès n’a été réalisé quant à la mise en œuvre du PIDESC pendant la période en revue.    </w:t>
      </w: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vanish/>
          <w:sz w:val="24"/>
          <w:szCs w:val="24"/>
          <w:lang w:val="fr-FR"/>
        </w:rPr>
        <w:t>8.</w:t>
      </w: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vanish/>
          <w:sz w:val="24"/>
          <w:szCs w:val="24"/>
          <w:lang w:val="fr-FR"/>
        </w:rPr>
        <w:t>On 11 June, the Haitian Parliament approved the Decree for the ratification of the Hague Convention of 29 May 1993 on the Protection of Children and Co-operation in Respect of Inter-country adopti</w:t>
      </w:r>
      <w:r w:rsidRPr="00273D27">
        <w:rPr>
          <w:rFonts w:ascii="Times New Roman" w:hAnsi="Times New Roman"/>
          <w:sz w:val="24"/>
          <w:szCs w:val="24"/>
          <w:lang w:val="fr-FR"/>
        </w:rPr>
        <w:t>Le 11 juin, le Parlement a approuvé le décret pour la ratification de la Convention de La Haye du 29 mai 1993 sur la protection des enfants et la coopération en matière d'adoption internationale.</w:t>
      </w:r>
      <w:r w:rsidRPr="00273D27">
        <w:rPr>
          <w:rFonts w:ascii="Times New Roman" w:hAnsi="Times New Roman"/>
          <w:vanish/>
          <w:sz w:val="24"/>
          <w:szCs w:val="24"/>
          <w:lang w:val="fr-FR"/>
        </w:rPr>
        <w:t>For the ratification to take effect at the international level and for Haiti to be considered a State Party to the Convention, Haiti is yet to deposit its instrument of ratification before the Ministry of Foreign Affairs of the Kingdom of the Netherlands (the depository).</w:t>
      </w:r>
      <w:r w:rsidRPr="00273D27">
        <w:rPr>
          <w:rFonts w:ascii="Times New Roman" w:hAnsi="Times New Roman"/>
          <w:sz w:val="24"/>
          <w:szCs w:val="24"/>
          <w:lang w:val="fr-FR"/>
        </w:rPr>
        <w:t xml:space="preserve"> Pour que la ratification prenne effet au niveau international et qu’Haïti soit considéré comme un Etat partie à la Convention, le gouvernement doit encore déposer un instrument de ratification auprès du ministère des Affaires étrangères du Royaume des Pays-Bas (le dépositaire). </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keepNext/>
        <w:keepLines/>
        <w:spacing w:before="200" w:after="0"/>
        <w:outlineLvl w:val="2"/>
        <w:rPr>
          <w:rFonts w:asciiTheme="majorHAnsi" w:eastAsiaTheme="majorEastAsia" w:hAnsiTheme="majorHAnsi" w:cstheme="majorBidi"/>
          <w:b/>
          <w:bCs/>
          <w:color w:val="4F81BD" w:themeColor="accent1"/>
          <w:lang w:val="fr-FR"/>
        </w:rPr>
      </w:pPr>
      <w:bookmarkStart w:id="11" w:name="_Toc350156686"/>
      <w:r w:rsidRPr="00273D27">
        <w:rPr>
          <w:rFonts w:asciiTheme="majorHAnsi" w:eastAsiaTheme="majorEastAsia" w:hAnsiTheme="majorHAnsi" w:cstheme="majorBidi"/>
          <w:b/>
          <w:bCs/>
          <w:color w:val="4F81BD" w:themeColor="accent1"/>
          <w:lang w:val="fr-FR"/>
        </w:rPr>
        <w:t>I</w:t>
      </w:r>
      <w:r w:rsidR="00A8570F">
        <w:rPr>
          <w:rFonts w:asciiTheme="majorHAnsi" w:eastAsiaTheme="majorEastAsia" w:hAnsiTheme="majorHAnsi" w:cstheme="majorBidi"/>
          <w:b/>
          <w:bCs/>
          <w:color w:val="4F81BD" w:themeColor="accent1"/>
          <w:lang w:val="fr-FR"/>
        </w:rPr>
        <w:t>I</w:t>
      </w:r>
      <w:r w:rsidRPr="00273D27">
        <w:rPr>
          <w:rFonts w:asciiTheme="majorHAnsi" w:eastAsiaTheme="majorEastAsia" w:hAnsiTheme="majorHAnsi" w:cstheme="majorBidi"/>
          <w:b/>
          <w:bCs/>
          <w:color w:val="4F81BD" w:themeColor="accent1"/>
          <w:lang w:val="fr-FR"/>
        </w:rPr>
        <w:t>.1.2. Obligation de rapporter périodiquement aux organes de traités sur les droits de l’homme</w:t>
      </w:r>
      <w:bookmarkEnd w:id="11"/>
    </w:p>
    <w:p w:rsidR="008673B7" w:rsidRPr="00273D27" w:rsidRDefault="008673B7" w:rsidP="008673B7">
      <w:pPr>
        <w:spacing w:after="0" w:line="240" w:lineRule="auto"/>
        <w:jc w:val="both"/>
        <w:rPr>
          <w:rFonts w:ascii="Times New Roman" w:hAnsi="Times New Roman"/>
          <w:i/>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En tant qu’Etat partie au PIDCP depuis 1991, Haïti a l’obligation de produire des rapports (initial et périodiques) au Comité des droits de l’homme, veillant à la mise en œuvre du Pacte. Le 30 novembre, le gouvernement haïtien a soumis son rapport initial au Comité. Ce rapport a été préparé par le Comité interinstitutionnel</w:t>
      </w:r>
      <w:r w:rsidRPr="00273D27">
        <w:rPr>
          <w:rFonts w:ascii="Times New Roman" w:hAnsi="Times New Roman"/>
          <w:sz w:val="24"/>
          <w:szCs w:val="24"/>
          <w:vertAlign w:val="superscript"/>
          <w:lang w:val="fr-FR"/>
        </w:rPr>
        <w:footnoteReference w:id="8"/>
      </w:r>
      <w:r w:rsidRPr="00273D27">
        <w:rPr>
          <w:rFonts w:ascii="Times New Roman" w:hAnsi="Times New Roman"/>
          <w:sz w:val="24"/>
          <w:szCs w:val="24"/>
          <w:lang w:val="fr-FR"/>
        </w:rPr>
        <w:t xml:space="preserve"> sous l’égide de la </w:t>
      </w:r>
      <w:r>
        <w:rPr>
          <w:rFonts w:ascii="Times New Roman" w:hAnsi="Times New Roman"/>
          <w:sz w:val="24"/>
          <w:szCs w:val="24"/>
          <w:lang w:val="fr-FR"/>
        </w:rPr>
        <w:t>m</w:t>
      </w:r>
      <w:r w:rsidRPr="00273D27">
        <w:rPr>
          <w:rFonts w:ascii="Times New Roman" w:hAnsi="Times New Roman"/>
          <w:sz w:val="24"/>
          <w:szCs w:val="24"/>
          <w:lang w:val="fr-FR"/>
        </w:rPr>
        <w:t xml:space="preserve">inistre déléguée chargée des droits de l'homme et de la lutte contre la pauvreté extrême. Avant sa soumission, le rapport a été l’objet d’un atelier de consultation, organisé à l’attention des organisations non-gouvernementales œuvrant dans le domaine des droits de l’homme par la Ministre déléguée chargée des droits de l’homme, le Comité interinstitutionnel et </w:t>
      </w:r>
      <w:r w:rsidR="00F94BE4">
        <w:rPr>
          <w:rFonts w:ascii="Times New Roman" w:hAnsi="Times New Roman"/>
          <w:sz w:val="24"/>
          <w:szCs w:val="24"/>
          <w:lang w:val="fr-FR"/>
        </w:rPr>
        <w:t>l’HCDH / SDH MINUSTAH</w:t>
      </w:r>
      <w:r w:rsidRPr="00273D27">
        <w:rPr>
          <w:rFonts w:ascii="Times New Roman" w:hAnsi="Times New Roman"/>
          <w:sz w:val="24"/>
          <w:szCs w:val="24"/>
          <w:lang w:val="fr-FR"/>
        </w:rPr>
        <w:t xml:space="preserve">. La soumission de ce rapport initial, dû depuis l’adhésion d’Haïti au PIDCP il y a 21 ans, constitue une avancée importante vers l’acceptation, par Haïti, des responsabilités et des engagements découlant de la ratification des traités internationaux en matière de droits de l’homme. La société civile a créé un </w:t>
      </w:r>
      <w:r w:rsidRPr="00273D27">
        <w:rPr>
          <w:rFonts w:ascii="Times New Roman" w:hAnsi="Times New Roman"/>
          <w:sz w:val="24"/>
          <w:szCs w:val="24"/>
          <w:lang w:val="fr-FR"/>
        </w:rPr>
        <w:lastRenderedPageBreak/>
        <w:t xml:space="preserve">groupe de travail, afin de produire un rapport alternatif qui, fin décembre 2012, n’était pas encore rédigé. </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hAnsi="Times New Roman"/>
          <w:sz w:val="24"/>
          <w:szCs w:val="24"/>
          <w:lang w:val="fr-FR"/>
        </w:rPr>
        <w:t xml:space="preserve">Concernant les autres rapports dus aux organes de traités sur les droits de l’homme, le Premier Ministre, Laurent Lamothe a, au cours de son allocution </w:t>
      </w:r>
      <w:r>
        <w:rPr>
          <w:rFonts w:ascii="Times New Roman" w:hAnsi="Times New Roman"/>
          <w:sz w:val="24"/>
          <w:szCs w:val="24"/>
          <w:lang w:val="fr-FR"/>
        </w:rPr>
        <w:t>en marge de</w:t>
      </w:r>
      <w:r w:rsidRPr="00273D27">
        <w:rPr>
          <w:rFonts w:ascii="Times New Roman" w:hAnsi="Times New Roman"/>
          <w:sz w:val="24"/>
          <w:szCs w:val="24"/>
          <w:lang w:val="fr-FR"/>
        </w:rPr>
        <w:t xml:space="preserve"> </w:t>
      </w:r>
      <w:r>
        <w:rPr>
          <w:rFonts w:ascii="Times New Roman" w:hAnsi="Times New Roman"/>
          <w:sz w:val="24"/>
          <w:szCs w:val="24"/>
          <w:lang w:val="fr-FR"/>
        </w:rPr>
        <w:t xml:space="preserve">l’Assemblée Générale à </w:t>
      </w:r>
      <w:r w:rsidRPr="00273D27">
        <w:rPr>
          <w:rFonts w:ascii="Times New Roman" w:hAnsi="Times New Roman"/>
          <w:sz w:val="24"/>
          <w:szCs w:val="24"/>
          <w:lang w:val="fr-FR"/>
        </w:rPr>
        <w:t xml:space="preserve">New York, en septembre, déclaré que </w:t>
      </w:r>
      <w:r w:rsidRPr="00273D27">
        <w:rPr>
          <w:rFonts w:ascii="Times New Roman" w:eastAsia="Calibri" w:hAnsi="Times New Roman"/>
          <w:sz w:val="24"/>
          <w:szCs w:val="24"/>
          <w:lang w:val="fr-FR"/>
        </w:rPr>
        <w:t xml:space="preserve">“[l]a nouvelle équipe au pouvoir compte remettre, dans un délai raisonnable, ses rapports en retard aux organes de suivi des traités », mentionnant explicitement les rapports périodiques au Comité des droits de l’enfant, dus depuis 2007, et les rapports périodiques au Comité </w:t>
      </w:r>
      <w:r>
        <w:rPr>
          <w:rFonts w:ascii="Times New Roman" w:eastAsia="Calibri" w:hAnsi="Times New Roman"/>
          <w:sz w:val="24"/>
          <w:szCs w:val="24"/>
          <w:lang w:val="fr-FR"/>
        </w:rPr>
        <w:t xml:space="preserve">pour l’élimination de la discrimination raciale </w:t>
      </w:r>
      <w:r w:rsidRPr="00273D27">
        <w:rPr>
          <w:rFonts w:ascii="Times New Roman" w:eastAsia="Calibri" w:hAnsi="Times New Roman"/>
          <w:sz w:val="24"/>
          <w:szCs w:val="24"/>
          <w:lang w:val="fr-FR"/>
        </w:rPr>
        <w:t>dus depuis 2000</w:t>
      </w:r>
      <w:r w:rsidRPr="00273D27">
        <w:rPr>
          <w:rFonts w:ascii="Times New Roman" w:eastAsia="Calibri" w:hAnsi="Times New Roman"/>
          <w:sz w:val="24"/>
          <w:szCs w:val="24"/>
          <w:vertAlign w:val="superscript"/>
          <w:lang w:val="fr-FR"/>
        </w:rPr>
        <w:footnoteReference w:id="9"/>
      </w:r>
      <w:r w:rsidRPr="00273D27">
        <w:rPr>
          <w:rFonts w:ascii="Times New Roman" w:eastAsia="Calibri" w:hAnsi="Times New Roman"/>
          <w:sz w:val="24"/>
          <w:szCs w:val="24"/>
          <w:lang w:val="fr-FR"/>
        </w:rPr>
        <w:t xml:space="preserve">. Il convient de mentionner également le rapport initial au Comité des droits des personnes handicapées, dû depuis 2011. A la fin de la période en revue, le </w:t>
      </w:r>
      <w:r w:rsidRPr="00273D27">
        <w:rPr>
          <w:rFonts w:ascii="Times New Roman" w:hAnsi="Times New Roman"/>
          <w:sz w:val="24"/>
          <w:szCs w:val="24"/>
          <w:lang w:val="fr-FR"/>
        </w:rPr>
        <w:t xml:space="preserve">Comité interinstitutionnel était dans la phase initiale de la préparation du second rapport périodique d’Haïti au </w:t>
      </w:r>
      <w:r w:rsidRPr="00273D27">
        <w:rPr>
          <w:rFonts w:ascii="Times New Roman" w:eastAsia="Calibri" w:hAnsi="Times New Roman"/>
          <w:sz w:val="24"/>
          <w:szCs w:val="24"/>
          <w:lang w:val="fr-FR"/>
        </w:rPr>
        <w:t xml:space="preserve">Comité des droits de l’enfant, à l’initiative du </w:t>
      </w:r>
      <w:r>
        <w:rPr>
          <w:rFonts w:ascii="Times New Roman" w:eastAsia="Calibri" w:hAnsi="Times New Roman"/>
          <w:sz w:val="24"/>
          <w:szCs w:val="24"/>
          <w:lang w:val="fr-FR"/>
        </w:rPr>
        <w:t>m</w:t>
      </w:r>
      <w:r w:rsidRPr="00273D27">
        <w:rPr>
          <w:rFonts w:ascii="Times New Roman" w:eastAsia="Calibri" w:hAnsi="Times New Roman"/>
          <w:sz w:val="24"/>
          <w:szCs w:val="24"/>
          <w:lang w:val="fr-FR"/>
        </w:rPr>
        <w:t>inistère des Affaires sociales et du Travail (MAST)</w:t>
      </w:r>
      <w:r w:rsidRPr="00273D27">
        <w:rPr>
          <w:rFonts w:ascii="Times New Roman" w:eastAsia="Calibri" w:hAnsi="Times New Roman"/>
          <w:sz w:val="24"/>
          <w:szCs w:val="24"/>
          <w:vertAlign w:val="superscript"/>
          <w:lang w:val="fr-FR"/>
        </w:rPr>
        <w:footnoteReference w:id="10"/>
      </w:r>
      <w:r w:rsidR="00FF5B7B">
        <w:rPr>
          <w:rFonts w:ascii="Times New Roman" w:eastAsia="Calibri" w:hAnsi="Times New Roman"/>
          <w:sz w:val="24"/>
          <w:szCs w:val="24"/>
          <w:lang w:val="fr-FR"/>
        </w:rPr>
        <w:t>.</w:t>
      </w:r>
      <w:r w:rsidRPr="00273D27">
        <w:rPr>
          <w:rFonts w:ascii="Times New Roman" w:eastAsia="Calibri" w:hAnsi="Times New Roman"/>
          <w:sz w:val="24"/>
          <w:szCs w:val="24"/>
          <w:lang w:val="fr-FR"/>
        </w:rPr>
        <w:t xml:space="preserve"> Contrairement aux autres rapports dus par le gouvernement haïtien, aucun engagement de l’Etat concernant ce rapport n’a été mentionné par le Premier Ministre. </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eastAsia="Calibri" w:hAnsi="Times New Roman"/>
          <w:bCs/>
          <w:color w:val="FF0000"/>
          <w:sz w:val="24"/>
          <w:szCs w:val="24"/>
          <w:lang w:val="fr-FR"/>
        </w:rPr>
      </w:pPr>
      <w:r w:rsidRPr="00273D27">
        <w:rPr>
          <w:rFonts w:ascii="Times New Roman" w:hAnsi="Times New Roman"/>
          <w:sz w:val="24"/>
          <w:szCs w:val="24"/>
          <w:lang w:val="fr-FR"/>
        </w:rPr>
        <w:t xml:space="preserve">Le Comité interinstitutionnel est un organe </w:t>
      </w:r>
      <w:r w:rsidRPr="00273D27">
        <w:rPr>
          <w:rFonts w:ascii="Times New Roman" w:hAnsi="Times New Roman"/>
          <w:i/>
          <w:sz w:val="24"/>
          <w:szCs w:val="24"/>
          <w:lang w:val="fr-FR"/>
        </w:rPr>
        <w:t>ad hoc</w:t>
      </w:r>
      <w:r w:rsidRPr="00273D27">
        <w:rPr>
          <w:rFonts w:ascii="Times New Roman" w:hAnsi="Times New Roman"/>
          <w:sz w:val="24"/>
          <w:szCs w:val="24"/>
          <w:lang w:val="fr-FR"/>
        </w:rPr>
        <w:t xml:space="preserve">, dont les membres ont d’autres occupations professionnelles à temps plein. Afin d’assurer un progrès permanent en matière de rapports aux organes de traités sur les droits de l’homme, le gouvernement devrait institutionnaliser cette structure et lui attribuer un budget régulier. A cette fin et en vue de créer une institution permanente, l’HCDH/SDH MINUSTAH appuie l’élaboration d’un </w:t>
      </w:r>
      <w:r w:rsidRPr="00273D27">
        <w:rPr>
          <w:rFonts w:ascii="Times New Roman" w:eastAsia="Calibri" w:hAnsi="Times New Roman"/>
          <w:sz w:val="24"/>
          <w:szCs w:val="24"/>
          <w:lang w:val="fr-FR"/>
        </w:rPr>
        <w:t xml:space="preserve">projet d’arrêté présidentiel portant statut du Comité interinstitutionnel.  </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keepNext/>
        <w:keepLines/>
        <w:spacing w:before="200" w:after="0"/>
        <w:outlineLvl w:val="2"/>
        <w:rPr>
          <w:rFonts w:asciiTheme="majorHAnsi" w:eastAsia="Calibri" w:hAnsiTheme="majorHAnsi" w:cstheme="majorBidi"/>
          <w:b/>
          <w:bCs/>
          <w:color w:val="4F81BD" w:themeColor="accent1"/>
          <w:lang w:val="fr-FR"/>
        </w:rPr>
      </w:pPr>
      <w:bookmarkStart w:id="12" w:name="_Toc350156687"/>
      <w:r w:rsidRPr="00273D27">
        <w:rPr>
          <w:rFonts w:asciiTheme="majorHAnsi" w:eastAsia="Calibri" w:hAnsiTheme="majorHAnsi" w:cstheme="majorBidi"/>
          <w:b/>
          <w:bCs/>
          <w:color w:val="4F81BD" w:themeColor="accent1"/>
          <w:lang w:val="fr-FR"/>
        </w:rPr>
        <w:t>I</w:t>
      </w:r>
      <w:r w:rsidR="00A8570F">
        <w:rPr>
          <w:rFonts w:asciiTheme="majorHAnsi" w:eastAsia="Calibri" w:hAnsiTheme="majorHAnsi" w:cstheme="majorBidi"/>
          <w:b/>
          <w:bCs/>
          <w:color w:val="4F81BD" w:themeColor="accent1"/>
          <w:lang w:val="fr-FR"/>
        </w:rPr>
        <w:t>I</w:t>
      </w:r>
      <w:r w:rsidRPr="00273D27">
        <w:rPr>
          <w:rFonts w:asciiTheme="majorHAnsi" w:eastAsia="Calibri" w:hAnsiTheme="majorHAnsi" w:cstheme="majorBidi"/>
          <w:b/>
          <w:bCs/>
          <w:color w:val="4F81BD" w:themeColor="accent1"/>
          <w:lang w:val="fr-FR"/>
        </w:rPr>
        <w:t>.1.3. La mise en œuvre des recommandations dans le cadre de  l’EPU</w:t>
      </w:r>
      <w:bookmarkEnd w:id="12"/>
      <w:r w:rsidRPr="00273D27">
        <w:rPr>
          <w:rFonts w:asciiTheme="majorHAnsi" w:eastAsia="Calibri" w:hAnsiTheme="majorHAnsi" w:cstheme="majorBidi"/>
          <w:b/>
          <w:bCs/>
          <w:color w:val="4F81BD" w:themeColor="accent1"/>
          <w:lang w:val="fr-FR"/>
        </w:rPr>
        <w:t xml:space="preserve"> </w:t>
      </w:r>
    </w:p>
    <w:p w:rsidR="008673B7" w:rsidRPr="00273D27" w:rsidRDefault="008673B7" w:rsidP="008673B7">
      <w:pPr>
        <w:spacing w:after="0" w:line="240" w:lineRule="auto"/>
        <w:jc w:val="both"/>
        <w:rPr>
          <w:rFonts w:ascii="Times New Roman" w:eastAsia="Calibri" w:hAnsi="Times New Roman"/>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Haïti a pris part à l’EPU en 2011 et a accepté, dans ce cadre, 122 recommandations. Le ministre chargé des Droits de l’homme, le ministère des Affaires étrangères et le Comité interinstitutionnel ont organisé un atelier de travail le 28 septembre, à Port-au-Prince, afin de travailler sur ces recommandations. Plus de 50 représentants de la société civile, du corps diplomatique et des organes étatiques ont pris part à cette activité. L’atelier a permis à la société civile de participer à, et de donner leur vision sur l’élaboration d’un plan de travail et d’un calendrier, afin de faciliter l</w:t>
      </w:r>
      <w:r w:rsidR="00B71B61">
        <w:rPr>
          <w:rFonts w:ascii="Times New Roman" w:eastAsia="Calibri" w:hAnsi="Times New Roman"/>
          <w:sz w:val="24"/>
          <w:szCs w:val="24"/>
          <w:lang w:val="fr-FR"/>
        </w:rPr>
        <w:t>eur</w:t>
      </w:r>
      <w:r w:rsidRPr="00273D27">
        <w:rPr>
          <w:rFonts w:ascii="Times New Roman" w:eastAsia="Calibri" w:hAnsi="Times New Roman"/>
          <w:sz w:val="24"/>
          <w:szCs w:val="24"/>
          <w:lang w:val="fr-FR"/>
        </w:rPr>
        <w:t xml:space="preserve"> mis</w:t>
      </w:r>
      <w:r w:rsidR="00B71B61">
        <w:rPr>
          <w:rFonts w:ascii="Times New Roman" w:eastAsia="Calibri" w:hAnsi="Times New Roman"/>
          <w:sz w:val="24"/>
          <w:szCs w:val="24"/>
          <w:lang w:val="fr-FR"/>
        </w:rPr>
        <w:t>e en œuvre</w:t>
      </w:r>
      <w:r w:rsidRPr="00273D27">
        <w:rPr>
          <w:rFonts w:ascii="Times New Roman" w:eastAsia="Calibri" w:hAnsi="Times New Roman"/>
          <w:sz w:val="24"/>
          <w:szCs w:val="24"/>
          <w:lang w:val="fr-FR"/>
        </w:rPr>
        <w:t xml:space="preserve">. Le ministre des Affaires étrangères et des Cultes a, à cet égard, déclaré que même si le gouvernement attribuait des fonds publics pour prendre les mesures législatives et administratives nécessaires, le soutien technique et financier de la communauté internationale serait indispensable, afin de répondre aux engagements du gouvernement haïtien avant la prochaine session de l’EPU, en 2016.  </w:t>
      </w: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 xml:space="preserve">  </w:t>
      </w:r>
    </w:p>
    <w:p w:rsidR="008673B7" w:rsidRPr="00273D27" w:rsidRDefault="008673B7" w:rsidP="008673B7">
      <w:pPr>
        <w:keepNext/>
        <w:keepLines/>
        <w:spacing w:before="200" w:after="0"/>
        <w:outlineLvl w:val="2"/>
        <w:rPr>
          <w:rFonts w:asciiTheme="majorHAnsi" w:eastAsia="Calibri" w:hAnsiTheme="majorHAnsi" w:cstheme="majorBidi"/>
          <w:b/>
          <w:bCs/>
          <w:color w:val="4F81BD" w:themeColor="accent1"/>
          <w:lang w:val="fr-FR"/>
        </w:rPr>
      </w:pPr>
      <w:bookmarkStart w:id="13" w:name="_Toc350156688"/>
      <w:r w:rsidRPr="00273D27">
        <w:rPr>
          <w:rFonts w:asciiTheme="majorHAnsi" w:eastAsiaTheme="majorEastAsia" w:hAnsiTheme="majorHAnsi" w:cstheme="majorBidi"/>
          <w:b/>
          <w:bCs/>
          <w:color w:val="4F81BD" w:themeColor="accent1"/>
          <w:lang w:val="fr-FR"/>
        </w:rPr>
        <w:t>I</w:t>
      </w:r>
      <w:r w:rsidR="00A8570F">
        <w:rPr>
          <w:rFonts w:asciiTheme="majorHAnsi" w:eastAsiaTheme="majorEastAsia" w:hAnsiTheme="majorHAnsi" w:cstheme="majorBidi"/>
          <w:b/>
          <w:bCs/>
          <w:color w:val="4F81BD" w:themeColor="accent1"/>
          <w:lang w:val="fr-FR"/>
        </w:rPr>
        <w:t>I</w:t>
      </w:r>
      <w:r w:rsidRPr="00273D27">
        <w:rPr>
          <w:rFonts w:asciiTheme="majorHAnsi" w:eastAsiaTheme="majorEastAsia" w:hAnsiTheme="majorHAnsi" w:cstheme="majorBidi"/>
          <w:b/>
          <w:bCs/>
          <w:color w:val="4F81BD" w:themeColor="accent1"/>
          <w:lang w:val="fr-FR"/>
        </w:rPr>
        <w:t>.1.4. Les mécanismes internationaux des droits de l'homme</w:t>
      </w:r>
      <w:bookmarkEnd w:id="13"/>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 xml:space="preserve">L'Expert indépendant sur </w:t>
      </w:r>
      <w:r w:rsidRPr="00273D27">
        <w:rPr>
          <w:rFonts w:ascii="Times New Roman" w:hAnsi="Cambria Math"/>
          <w:sz w:val="24"/>
          <w:szCs w:val="24"/>
          <w:lang w:val="fr-FR"/>
        </w:rPr>
        <w:t>​​</w:t>
      </w:r>
      <w:r w:rsidRPr="00273D27">
        <w:rPr>
          <w:rFonts w:ascii="Times New Roman" w:hAnsi="Times New Roman"/>
          <w:sz w:val="24"/>
          <w:szCs w:val="24"/>
          <w:lang w:val="fr-FR"/>
        </w:rPr>
        <w:t xml:space="preserve">la situation des droits de l’homme en Haïti, Michel Forst, s'est rendu en Haïti du 25 novembre au 1er décembre avec l'objectif d'évaluer l’évolution de la situation des </w:t>
      </w:r>
      <w:r w:rsidRPr="00273D27">
        <w:rPr>
          <w:rFonts w:ascii="Times New Roman" w:hAnsi="Times New Roman"/>
          <w:sz w:val="24"/>
          <w:szCs w:val="24"/>
          <w:lang w:val="fr-FR"/>
        </w:rPr>
        <w:lastRenderedPageBreak/>
        <w:t>droits de l’homme depuis sa dernière mission en février 2012 et d'assurer le suivi des recommandations formulées dans son rapport</w:t>
      </w:r>
      <w:r>
        <w:rPr>
          <w:rFonts w:ascii="Times New Roman" w:hAnsi="Times New Roman"/>
          <w:sz w:val="24"/>
          <w:szCs w:val="24"/>
          <w:lang w:val="fr-FR"/>
        </w:rPr>
        <w:t xml:space="preserve"> précédent</w:t>
      </w:r>
      <w:r w:rsidRPr="00273D27">
        <w:rPr>
          <w:rFonts w:ascii="Times New Roman" w:hAnsi="Times New Roman"/>
          <w:sz w:val="24"/>
          <w:szCs w:val="24"/>
          <w:lang w:val="fr-FR"/>
        </w:rPr>
        <w:t xml:space="preserve"> présenté au Conseil des droits de l'homme le 4 avril 2012</w:t>
      </w:r>
      <w:r w:rsidRPr="00273D27">
        <w:rPr>
          <w:rFonts w:ascii="Times New Roman" w:hAnsi="Times New Roman"/>
          <w:sz w:val="24"/>
          <w:szCs w:val="24"/>
          <w:vertAlign w:val="superscript"/>
          <w:lang w:val="fr-FR"/>
        </w:rPr>
        <w:footnoteReference w:id="11"/>
      </w:r>
      <w:r w:rsidRPr="00273D27">
        <w:rPr>
          <w:rFonts w:ascii="Times New Roman" w:hAnsi="Times New Roman"/>
          <w:sz w:val="24"/>
          <w:szCs w:val="24"/>
          <w:lang w:val="fr-FR"/>
        </w:rPr>
        <w:t xml:space="preserve">. </w:t>
      </w:r>
      <w:r w:rsidRPr="00273D27">
        <w:rPr>
          <w:rFonts w:ascii="Times New Roman" w:hAnsi="Times New Roman"/>
          <w:vanish/>
          <w:sz w:val="24"/>
          <w:szCs w:val="24"/>
          <w:lang w:val="fr-FR"/>
        </w:rPr>
        <w:t xml:space="preserve">This was the Independent Expert's 10 </w:t>
      </w:r>
      <w:r w:rsidRPr="00273D27">
        <w:rPr>
          <w:rFonts w:ascii="Times New Roman" w:hAnsi="Times New Roman"/>
          <w:vanish/>
          <w:sz w:val="24"/>
          <w:szCs w:val="24"/>
          <w:vertAlign w:val="superscript"/>
          <w:lang w:val="fr-FR"/>
        </w:rPr>
        <w:t>th</w:t>
      </w:r>
      <w:r w:rsidRPr="00273D27">
        <w:rPr>
          <w:rFonts w:ascii="Times New Roman" w:hAnsi="Times New Roman"/>
          <w:vanish/>
          <w:sz w:val="24"/>
          <w:szCs w:val="24"/>
          <w:lang w:val="fr-FR"/>
        </w:rPr>
        <w:t xml:space="preserve"> mission to Haiti since 2008, leading to over 150 recommendati</w:t>
      </w:r>
      <w:r w:rsidRPr="00273D27">
        <w:rPr>
          <w:rFonts w:ascii="Times New Roman" w:hAnsi="Times New Roman"/>
          <w:sz w:val="24"/>
          <w:szCs w:val="24"/>
          <w:lang w:val="fr-FR"/>
        </w:rPr>
        <w:t>Il s’agissait de la onzième visite de l'Expert indépendant depuis 2008, aboutissant à un total de plus de 150 recommandations.</w:t>
      </w:r>
      <w:r w:rsidRPr="00273D27">
        <w:rPr>
          <w:rFonts w:ascii="Times New Roman" w:hAnsi="Times New Roman"/>
          <w:vanish/>
          <w:sz w:val="24"/>
          <w:szCs w:val="24"/>
          <w:lang w:val="fr-FR"/>
        </w:rPr>
        <w:t xml:space="preserve"> The Independent Expert will present his report on Haiti to the Human Rights Council in early July 2012; he will also present an addendum to the report on forced returns of Haitians by third countries.</w:t>
      </w:r>
      <w:r w:rsidRPr="00273D27">
        <w:rPr>
          <w:rFonts w:ascii="Times New Roman" w:hAnsi="Times New Roman"/>
          <w:sz w:val="24"/>
          <w:szCs w:val="24"/>
          <w:lang w:val="fr-FR"/>
        </w:rPr>
        <w:t xml:space="preserve"> Durant la conférence de presse clôturant sa visite, M. Forst a formulé des recommandations sur </w:t>
      </w:r>
      <w:r w:rsidRPr="00273D27">
        <w:rPr>
          <w:rFonts w:ascii="Times New Roman" w:hAnsi="Times New Roman"/>
          <w:color w:val="000000"/>
          <w:sz w:val="24"/>
          <w:szCs w:val="24"/>
          <w:lang w:val="fr-FR"/>
        </w:rPr>
        <w:t xml:space="preserve">l’établissement d’un comité interinstitutionnel concernant l’Etat de droit, le renforcement de l’OPC, la coordination de plans de contingence dans le cadre de la protection contre les catastrophes naturelles et l’ouverture d’un bureau </w:t>
      </w:r>
      <w:r>
        <w:rPr>
          <w:rFonts w:ascii="Times New Roman" w:hAnsi="Times New Roman"/>
          <w:color w:val="000000"/>
          <w:sz w:val="24"/>
          <w:szCs w:val="24"/>
          <w:lang w:val="fr-FR"/>
        </w:rPr>
        <w:t>du HCDH</w:t>
      </w:r>
      <w:r w:rsidRPr="00273D27">
        <w:rPr>
          <w:rFonts w:ascii="Times New Roman" w:hAnsi="Times New Roman"/>
          <w:color w:val="000000"/>
          <w:sz w:val="24"/>
          <w:szCs w:val="24"/>
          <w:lang w:val="fr-FR"/>
        </w:rPr>
        <w:t xml:space="preserve"> à Port-au-Prince. L</w:t>
      </w:r>
      <w:r w:rsidRPr="00273D27">
        <w:rPr>
          <w:rFonts w:ascii="Times New Roman" w:hAnsi="Times New Roman"/>
          <w:sz w:val="24"/>
          <w:szCs w:val="24"/>
          <w:lang w:val="fr-FR"/>
        </w:rPr>
        <w:t xml:space="preserve">'Expert indépendant présentera son rapport devant le Conseil des droits de l’homme le 20 mars 2013. </w:t>
      </w:r>
    </w:p>
    <w:p w:rsidR="008673B7" w:rsidRDefault="008673B7" w:rsidP="008673B7">
      <w:pPr>
        <w:spacing w:after="0" w:line="240" w:lineRule="auto"/>
        <w:jc w:val="both"/>
        <w:rPr>
          <w:rFonts w:ascii="Times New Roman" w:eastAsia="Calibri" w:hAnsi="Times New Roman"/>
          <w:sz w:val="24"/>
          <w:szCs w:val="24"/>
          <w:lang w:val="fr-FR"/>
        </w:rPr>
      </w:pPr>
    </w:p>
    <w:p w:rsidR="006F4C31" w:rsidRPr="00273D27" w:rsidRDefault="006F4C31" w:rsidP="008673B7">
      <w:pPr>
        <w:spacing w:after="0" w:line="240" w:lineRule="auto"/>
        <w:jc w:val="both"/>
        <w:rPr>
          <w:rFonts w:ascii="Times New Roman" w:eastAsia="Calibri" w:hAnsi="Times New Roman"/>
          <w:sz w:val="24"/>
          <w:szCs w:val="24"/>
          <w:lang w:val="fr-FR"/>
        </w:rPr>
      </w:pPr>
    </w:p>
    <w:p w:rsidR="008673B7" w:rsidRPr="00273D27" w:rsidRDefault="00A8570F" w:rsidP="008673B7">
      <w:pPr>
        <w:spacing w:after="0" w:line="240" w:lineRule="auto"/>
        <w:outlineLvl w:val="1"/>
        <w:rPr>
          <w:rFonts w:ascii="Verdana" w:eastAsia="Calibri" w:hAnsi="Verdana"/>
          <w:b/>
          <w:bCs/>
          <w:color w:val="000066"/>
          <w:sz w:val="20"/>
          <w:szCs w:val="20"/>
          <w:lang w:val="fr-FR"/>
        </w:rPr>
      </w:pPr>
      <w:bookmarkStart w:id="14" w:name="_Toc350156689"/>
      <w:r>
        <w:rPr>
          <w:rFonts w:ascii="Verdana" w:eastAsia="Calibri" w:hAnsi="Verdana"/>
          <w:b/>
          <w:bCs/>
          <w:color w:val="000066"/>
          <w:sz w:val="20"/>
          <w:szCs w:val="20"/>
          <w:lang w:val="fr-FR"/>
        </w:rPr>
        <w:t>I</w:t>
      </w:r>
      <w:r w:rsidR="008673B7" w:rsidRPr="00273D27">
        <w:rPr>
          <w:rFonts w:ascii="Verdana" w:eastAsia="Calibri" w:hAnsi="Verdana"/>
          <w:b/>
          <w:bCs/>
          <w:color w:val="000066"/>
          <w:sz w:val="20"/>
          <w:szCs w:val="20"/>
          <w:lang w:val="fr-FR"/>
        </w:rPr>
        <w:t>I.2. Mesures législatives</w:t>
      </w:r>
      <w:bookmarkEnd w:id="14"/>
    </w:p>
    <w:p w:rsidR="008673B7" w:rsidRPr="00273D27" w:rsidRDefault="008673B7" w:rsidP="008673B7">
      <w:pPr>
        <w:spacing w:after="0" w:line="240" w:lineRule="auto"/>
        <w:jc w:val="both"/>
        <w:rPr>
          <w:rFonts w:ascii="Times New Roman" w:eastAsia="Calibri" w:hAnsi="Times New Roman"/>
          <w:b/>
          <w:sz w:val="24"/>
          <w:szCs w:val="24"/>
          <w:lang w:val="fr-FR"/>
        </w:rPr>
      </w:pPr>
    </w:p>
    <w:p w:rsidR="008673B7" w:rsidRPr="00273D27" w:rsidRDefault="00A8570F" w:rsidP="008673B7">
      <w:pPr>
        <w:keepNext/>
        <w:keepLines/>
        <w:spacing w:before="200" w:after="0"/>
        <w:outlineLvl w:val="2"/>
        <w:rPr>
          <w:rFonts w:asciiTheme="majorHAnsi" w:eastAsiaTheme="majorEastAsia" w:hAnsiTheme="majorHAnsi" w:cstheme="majorBidi"/>
          <w:b/>
          <w:bCs/>
          <w:color w:val="4F81BD" w:themeColor="accent1"/>
          <w:lang w:val="fr-FR"/>
        </w:rPr>
      </w:pPr>
      <w:bookmarkStart w:id="15" w:name="_Toc350156690"/>
      <w:r>
        <w:rPr>
          <w:rFonts w:asciiTheme="majorHAnsi" w:eastAsiaTheme="majorEastAsia" w:hAnsiTheme="majorHAnsi" w:cstheme="majorBidi"/>
          <w:b/>
          <w:bCs/>
          <w:color w:val="4F81BD" w:themeColor="accent1"/>
          <w:lang w:val="fr-FR"/>
        </w:rPr>
        <w:t>I</w:t>
      </w:r>
      <w:r w:rsidR="008673B7" w:rsidRPr="00273D27">
        <w:rPr>
          <w:rFonts w:asciiTheme="majorHAnsi" w:eastAsiaTheme="majorEastAsia" w:hAnsiTheme="majorHAnsi" w:cstheme="majorBidi"/>
          <w:b/>
          <w:bCs/>
          <w:color w:val="4F81BD" w:themeColor="accent1"/>
          <w:lang w:val="fr-FR"/>
        </w:rPr>
        <w:t>I.2.1. Loi portant sur l’organisation et le fonctionnement de l’Office de la protection du citoyen</w:t>
      </w:r>
      <w:bookmarkEnd w:id="15"/>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tabs>
          <w:tab w:val="left" w:pos="90"/>
        </w:tabs>
        <w:spacing w:after="0" w:line="240" w:lineRule="auto"/>
        <w:contextualSpacing/>
        <w:jc w:val="both"/>
        <w:rPr>
          <w:rFonts w:ascii="Times New Roman" w:eastAsia="Calibri" w:hAnsi="Times New Roman"/>
          <w:sz w:val="24"/>
          <w:szCs w:val="24"/>
          <w:lang w:val="fr-FR"/>
        </w:rPr>
      </w:pPr>
      <w:r w:rsidRPr="00273D27">
        <w:rPr>
          <w:rFonts w:ascii="Times New Roman" w:hAnsi="Times New Roman"/>
          <w:sz w:val="24"/>
          <w:szCs w:val="24"/>
          <w:lang w:val="fr-FR"/>
        </w:rPr>
        <w:t xml:space="preserve">Le 20 juillet, la loi portant sur l’organisation et le fonctionnement de l’Office de la protection du citoyen </w:t>
      </w:r>
      <w:r w:rsidRPr="00273D27">
        <w:rPr>
          <w:rFonts w:ascii="Times New Roman" w:hAnsi="Times New Roman"/>
          <w:iCs/>
          <w:sz w:val="24"/>
          <w:szCs w:val="24"/>
          <w:lang w:val="fr-FR"/>
        </w:rPr>
        <w:t>(OPC, Ombudsman haïtien),</w:t>
      </w:r>
      <w:r w:rsidRPr="00273D27">
        <w:rPr>
          <w:rFonts w:ascii="Times New Roman" w:hAnsi="Times New Roman"/>
          <w:sz w:val="24"/>
          <w:szCs w:val="24"/>
          <w:lang w:val="fr-FR"/>
        </w:rPr>
        <w:t xml:space="preserve"> garantissant son indépendance et définissant son statut et son rôle, a été promulguée. La loi fournit un cadre pour une institution nationale indépendante des droits de l'homme, conformément aux Principes de Paris. L’HCDH/SDH MINUSTAH apporte un appui technique à l’OPC</w:t>
      </w:r>
      <w:r w:rsidR="00B71B61">
        <w:rPr>
          <w:rFonts w:ascii="Times New Roman" w:hAnsi="Times New Roman"/>
          <w:sz w:val="24"/>
          <w:szCs w:val="24"/>
          <w:lang w:val="fr-FR"/>
        </w:rPr>
        <w:t>,</w:t>
      </w:r>
      <w:r w:rsidRPr="00273D27">
        <w:rPr>
          <w:rFonts w:ascii="Times New Roman" w:hAnsi="Times New Roman"/>
          <w:sz w:val="24"/>
          <w:szCs w:val="24"/>
          <w:lang w:val="fr-FR"/>
        </w:rPr>
        <w:t xml:space="preserve"> afin de l’équiper d’un plan stratégique et d’accroître sa présence à travers les différents départements. Ainsi, l’OPC a déjà établi neuf bureaux régionaux, à </w:t>
      </w:r>
      <w:r w:rsidRPr="00273D27">
        <w:rPr>
          <w:rFonts w:ascii="Times New Roman" w:eastAsia="Calibri" w:hAnsi="Times New Roman"/>
          <w:sz w:val="24"/>
          <w:szCs w:val="24"/>
          <w:lang w:val="fr-FR"/>
        </w:rPr>
        <w:t>Anse-à-Veau, Cap-Haïtien, Fort-Liberté, Gonaïves, Jacmel, Jérémie, Les Cayes, Port-de-Paix et Port-au-Prince.</w:t>
      </w:r>
    </w:p>
    <w:p w:rsidR="008673B7" w:rsidRPr="00273D27" w:rsidRDefault="008673B7" w:rsidP="008673B7">
      <w:pPr>
        <w:spacing w:after="0" w:line="240" w:lineRule="auto"/>
        <w:rPr>
          <w:rFonts w:ascii="Times New Roman" w:hAnsi="Times New Roman"/>
          <w:sz w:val="24"/>
          <w:szCs w:val="24"/>
          <w:lang w:val="fr-FR"/>
        </w:rPr>
      </w:pPr>
    </w:p>
    <w:p w:rsidR="008673B7" w:rsidRPr="00273D27" w:rsidRDefault="00A8570F" w:rsidP="008673B7">
      <w:pPr>
        <w:keepNext/>
        <w:keepLines/>
        <w:spacing w:before="200" w:after="0"/>
        <w:outlineLvl w:val="2"/>
        <w:rPr>
          <w:rFonts w:asciiTheme="majorHAnsi" w:eastAsiaTheme="majorEastAsia" w:hAnsiTheme="majorHAnsi" w:cstheme="majorBidi"/>
          <w:b/>
          <w:bCs/>
          <w:color w:val="4F81BD" w:themeColor="accent1"/>
          <w:lang w:val="fr-FR"/>
        </w:rPr>
      </w:pPr>
      <w:bookmarkStart w:id="16" w:name="_Toc350156691"/>
      <w:r>
        <w:rPr>
          <w:rFonts w:asciiTheme="majorHAnsi" w:eastAsiaTheme="majorEastAsia" w:hAnsiTheme="majorHAnsi" w:cstheme="majorBidi"/>
          <w:b/>
          <w:bCs/>
          <w:color w:val="4F81BD" w:themeColor="accent1"/>
          <w:lang w:val="fr-FR"/>
        </w:rPr>
        <w:t>II</w:t>
      </w:r>
      <w:r w:rsidR="008673B7" w:rsidRPr="00273D27">
        <w:rPr>
          <w:rFonts w:asciiTheme="majorHAnsi" w:eastAsiaTheme="majorEastAsia" w:hAnsiTheme="majorHAnsi" w:cstheme="majorBidi"/>
          <w:b/>
          <w:bCs/>
          <w:color w:val="4F81BD" w:themeColor="accent1"/>
          <w:lang w:val="fr-FR"/>
        </w:rPr>
        <w:t>.2.2. Réformes législatives et progrès réalisés sur des lois récemment adoptées ou à adopter</w:t>
      </w:r>
      <w:bookmarkEnd w:id="16"/>
    </w:p>
    <w:p w:rsidR="008673B7" w:rsidRPr="00273D27" w:rsidRDefault="008673B7" w:rsidP="008673B7">
      <w:pPr>
        <w:spacing w:after="0" w:line="240" w:lineRule="auto"/>
        <w:jc w:val="both"/>
        <w:rPr>
          <w:rFonts w:ascii="Times New Roman" w:eastAsia="Calibri" w:hAnsi="Times New Roman"/>
          <w:i/>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Aucun progrès apparent n’a été réalisé pendant la période en revue concernant la réforme des lois essentielles à l’établissement de l’état de droit et à l’administration de la justice, comprenant entre autre le Code pénal, le Code d’instruction criminelle, la Loi sur le cadastre, le Code de l’immigration et le Code civil. Les projets d</w:t>
      </w:r>
      <w:r>
        <w:rPr>
          <w:rFonts w:ascii="Times New Roman" w:eastAsia="Calibri" w:hAnsi="Times New Roman"/>
          <w:sz w:val="24"/>
          <w:szCs w:val="24"/>
          <w:lang w:val="fr-FR"/>
        </w:rPr>
        <w:t>e</w:t>
      </w:r>
      <w:r w:rsidRPr="00273D27">
        <w:rPr>
          <w:rFonts w:ascii="Times New Roman" w:eastAsia="Calibri" w:hAnsi="Times New Roman"/>
          <w:sz w:val="24"/>
          <w:szCs w:val="24"/>
          <w:lang w:val="fr-FR"/>
        </w:rPr>
        <w:t xml:space="preserve"> Code pénal et d</w:t>
      </w:r>
      <w:r>
        <w:rPr>
          <w:rFonts w:ascii="Times New Roman" w:eastAsia="Calibri" w:hAnsi="Times New Roman"/>
          <w:sz w:val="24"/>
          <w:szCs w:val="24"/>
          <w:lang w:val="fr-FR"/>
        </w:rPr>
        <w:t>e</w:t>
      </w:r>
      <w:r w:rsidRPr="00273D27">
        <w:rPr>
          <w:rFonts w:ascii="Times New Roman" w:eastAsia="Calibri" w:hAnsi="Times New Roman"/>
          <w:sz w:val="24"/>
          <w:szCs w:val="24"/>
          <w:lang w:val="fr-FR"/>
        </w:rPr>
        <w:t xml:space="preserve"> Code d’instruction criminelle sont actuellement au niveau du ministère de la Justice et de la Sécurité publique. </w:t>
      </w:r>
    </w:p>
    <w:p w:rsidR="008673B7" w:rsidRPr="00273D27" w:rsidRDefault="008673B7" w:rsidP="008673B7">
      <w:pPr>
        <w:spacing w:after="0" w:line="240" w:lineRule="auto"/>
        <w:jc w:val="both"/>
        <w:rPr>
          <w:rFonts w:ascii="Times New Roman" w:eastAsia="Calibri" w:hAnsi="Times New Roman"/>
          <w:color w:val="FF0000"/>
          <w:sz w:val="24"/>
          <w:szCs w:val="24"/>
          <w:lang w:val="fr-FR"/>
        </w:rPr>
      </w:pPr>
    </w:p>
    <w:p w:rsidR="008673B7" w:rsidRPr="00273D27" w:rsidRDefault="008673B7" w:rsidP="008673B7">
      <w:pPr>
        <w:spacing w:after="0" w:line="240" w:lineRule="auto"/>
        <w:jc w:val="both"/>
        <w:rPr>
          <w:rFonts w:ascii="Times New Roman" w:eastAsia="Calibri" w:hAnsi="Times New Roman"/>
          <w:sz w:val="24"/>
          <w:szCs w:val="24"/>
          <w:lang w:val="fr-FR"/>
        </w:rPr>
      </w:pPr>
      <w:r>
        <w:rPr>
          <w:rFonts w:ascii="Times New Roman" w:eastAsia="Calibri" w:hAnsi="Times New Roman"/>
          <w:sz w:val="24"/>
          <w:szCs w:val="24"/>
          <w:lang w:val="fr-FR"/>
        </w:rPr>
        <w:t>Il</w:t>
      </w:r>
      <w:r w:rsidRPr="00273D27">
        <w:rPr>
          <w:rFonts w:ascii="Times New Roman" w:eastAsia="Calibri" w:hAnsi="Times New Roman"/>
          <w:sz w:val="24"/>
          <w:szCs w:val="24"/>
          <w:lang w:val="fr-FR"/>
        </w:rPr>
        <w:t xml:space="preserve"> n’y a pas eu </w:t>
      </w:r>
      <w:r>
        <w:rPr>
          <w:rFonts w:ascii="Times New Roman" w:eastAsia="Calibri" w:hAnsi="Times New Roman"/>
          <w:sz w:val="24"/>
          <w:szCs w:val="24"/>
          <w:lang w:val="fr-FR"/>
        </w:rPr>
        <w:t xml:space="preserve">non plus </w:t>
      </w:r>
      <w:r w:rsidRPr="00273D27">
        <w:rPr>
          <w:rFonts w:ascii="Times New Roman" w:eastAsia="Calibri" w:hAnsi="Times New Roman"/>
          <w:sz w:val="24"/>
          <w:szCs w:val="24"/>
          <w:lang w:val="fr-FR"/>
        </w:rPr>
        <w:t xml:space="preserve">de nouvelles initiatives quant à la mise en œuvre de la Loi sur l’intégration des personnes handicapées, </w:t>
      </w:r>
      <w:r w:rsidR="00B71B61">
        <w:rPr>
          <w:rFonts w:ascii="Times New Roman" w:hAnsi="Times New Roman"/>
          <w:sz w:val="24"/>
          <w:szCs w:val="24"/>
          <w:lang w:val="fr-FR"/>
        </w:rPr>
        <w:t>publiée au J</w:t>
      </w:r>
      <w:r w:rsidRPr="00273D27">
        <w:rPr>
          <w:rFonts w:ascii="Times New Roman" w:hAnsi="Times New Roman"/>
          <w:sz w:val="24"/>
          <w:szCs w:val="24"/>
          <w:lang w:val="fr-FR"/>
        </w:rPr>
        <w:t xml:space="preserve">ournal </w:t>
      </w:r>
      <w:r w:rsidR="00B71B61">
        <w:rPr>
          <w:rFonts w:ascii="Times New Roman" w:hAnsi="Times New Roman"/>
          <w:sz w:val="24"/>
          <w:szCs w:val="24"/>
          <w:lang w:val="fr-FR"/>
        </w:rPr>
        <w:t>O</w:t>
      </w:r>
      <w:r w:rsidRPr="00273D27">
        <w:rPr>
          <w:rFonts w:ascii="Times New Roman" w:hAnsi="Times New Roman"/>
          <w:sz w:val="24"/>
          <w:szCs w:val="24"/>
          <w:lang w:val="fr-FR"/>
        </w:rPr>
        <w:t>fficiel</w:t>
      </w:r>
      <w:r w:rsidR="00B71B61">
        <w:rPr>
          <w:rFonts w:ascii="Times New Roman" w:hAnsi="Times New Roman"/>
          <w:sz w:val="24"/>
          <w:szCs w:val="24"/>
          <w:lang w:val="fr-FR"/>
        </w:rPr>
        <w:t>,</w:t>
      </w:r>
      <w:r w:rsidR="00B71B61" w:rsidRPr="00B71B61">
        <w:rPr>
          <w:rFonts w:ascii="Times New Roman" w:hAnsi="Times New Roman"/>
          <w:i/>
          <w:sz w:val="24"/>
          <w:szCs w:val="24"/>
          <w:lang w:val="fr-FR"/>
        </w:rPr>
        <w:t xml:space="preserve"> Le</w:t>
      </w:r>
      <w:r w:rsidRPr="00273D27">
        <w:rPr>
          <w:rFonts w:ascii="Times New Roman" w:hAnsi="Times New Roman"/>
          <w:sz w:val="24"/>
          <w:szCs w:val="24"/>
          <w:lang w:val="fr-FR"/>
        </w:rPr>
        <w:t xml:space="preserve"> </w:t>
      </w:r>
      <w:r w:rsidR="00B71B61" w:rsidRPr="00273D27">
        <w:rPr>
          <w:rFonts w:ascii="Times New Roman" w:eastAsia="Calibri" w:hAnsi="Times New Roman"/>
          <w:i/>
          <w:sz w:val="24"/>
          <w:szCs w:val="24"/>
          <w:lang w:val="fr-FR"/>
        </w:rPr>
        <w:t>Moniteur</w:t>
      </w:r>
      <w:r w:rsidR="00B71B61">
        <w:rPr>
          <w:rFonts w:ascii="Times New Roman" w:eastAsia="Calibri" w:hAnsi="Times New Roman"/>
          <w:i/>
          <w:sz w:val="24"/>
          <w:szCs w:val="24"/>
          <w:lang w:val="fr-FR"/>
        </w:rPr>
        <w:t>,</w:t>
      </w:r>
      <w:r w:rsidR="00B71B61" w:rsidRPr="00273D27">
        <w:rPr>
          <w:rFonts w:ascii="Times New Roman" w:eastAsia="Calibri" w:hAnsi="Times New Roman"/>
          <w:i/>
          <w:sz w:val="24"/>
          <w:szCs w:val="24"/>
          <w:lang w:val="fr-FR"/>
        </w:rPr>
        <w:t xml:space="preserve"> </w:t>
      </w:r>
      <w:r w:rsidRPr="00273D27">
        <w:rPr>
          <w:rFonts w:ascii="Times New Roman" w:hAnsi="Times New Roman"/>
          <w:sz w:val="24"/>
          <w:szCs w:val="24"/>
          <w:lang w:val="fr-FR"/>
        </w:rPr>
        <w:t>le 21 mai</w:t>
      </w:r>
      <w:r w:rsidRPr="00273D27">
        <w:rPr>
          <w:rFonts w:ascii="Times New Roman" w:eastAsia="Calibri" w:hAnsi="Times New Roman"/>
          <w:sz w:val="24"/>
          <w:szCs w:val="24"/>
          <w:lang w:val="fr-FR"/>
        </w:rPr>
        <w:t>. La Loi sur la paternité et la filiation, votée par la Chambre des députés le 10 mai 2010 et par le Sénat, le 12 avril 2012, n’est</w:t>
      </w:r>
      <w:r w:rsidR="00B71B61">
        <w:rPr>
          <w:rFonts w:ascii="Times New Roman" w:eastAsia="Calibri" w:hAnsi="Times New Roman"/>
          <w:sz w:val="24"/>
          <w:szCs w:val="24"/>
          <w:lang w:val="fr-FR"/>
        </w:rPr>
        <w:t>, quant à elle,</w:t>
      </w:r>
      <w:r w:rsidRPr="00273D27">
        <w:rPr>
          <w:rFonts w:ascii="Times New Roman" w:eastAsia="Calibri" w:hAnsi="Times New Roman"/>
          <w:sz w:val="24"/>
          <w:szCs w:val="24"/>
          <w:lang w:val="fr-FR"/>
        </w:rPr>
        <w:t xml:space="preserve"> toujours pas publiée au</w:t>
      </w:r>
      <w:r w:rsidR="00B71B61">
        <w:rPr>
          <w:rFonts w:ascii="Times New Roman" w:eastAsia="Calibri" w:hAnsi="Times New Roman"/>
          <w:sz w:val="24"/>
          <w:szCs w:val="24"/>
          <w:lang w:val="fr-FR"/>
        </w:rPr>
        <w:t xml:space="preserve"> </w:t>
      </w:r>
      <w:r w:rsidR="00B71B61" w:rsidRPr="00B71B61">
        <w:rPr>
          <w:rFonts w:ascii="Times New Roman" w:eastAsia="Calibri" w:hAnsi="Times New Roman"/>
          <w:i/>
          <w:sz w:val="24"/>
          <w:szCs w:val="24"/>
          <w:lang w:val="fr-FR"/>
        </w:rPr>
        <w:t>Moniteur</w:t>
      </w:r>
      <w:r w:rsidRPr="00273D27">
        <w:rPr>
          <w:rFonts w:ascii="Times New Roman" w:eastAsia="Calibri" w:hAnsi="Times New Roman"/>
          <w:sz w:val="24"/>
          <w:szCs w:val="24"/>
          <w:lang w:val="fr-FR"/>
        </w:rPr>
        <w:t xml:space="preserve">. </w:t>
      </w:r>
    </w:p>
    <w:p w:rsidR="008673B7" w:rsidRPr="00273D27" w:rsidRDefault="008673B7" w:rsidP="005F1BCF">
      <w:pPr>
        <w:spacing w:after="0" w:line="240" w:lineRule="auto"/>
        <w:jc w:val="both"/>
        <w:rPr>
          <w:rFonts w:ascii="Times New Roman" w:eastAsia="Calibri" w:hAnsi="Times New Roman"/>
          <w:sz w:val="24"/>
          <w:szCs w:val="24"/>
          <w:lang w:val="fr-FR"/>
        </w:rPr>
      </w:pPr>
    </w:p>
    <w:p w:rsidR="008673B7" w:rsidRPr="00273D27" w:rsidRDefault="008673B7" w:rsidP="005F1BCF">
      <w:pPr>
        <w:jc w:val="both"/>
        <w:rPr>
          <w:rFonts w:ascii="Times New Roman" w:eastAsia="Calibri" w:hAnsi="Times New Roman"/>
          <w:sz w:val="24"/>
          <w:szCs w:val="24"/>
          <w:lang w:val="fr-FR"/>
        </w:rPr>
      </w:pPr>
      <w:r w:rsidRPr="00273D27">
        <w:rPr>
          <w:rFonts w:ascii="Times New Roman" w:eastAsia="Calibri" w:hAnsi="Times New Roman"/>
          <w:sz w:val="24"/>
          <w:szCs w:val="24"/>
          <w:lang w:val="fr-FR"/>
        </w:rPr>
        <w:t>Début 2012, face à d’importantes inquiétudes quant aux abus potentiels et réels de la procédure d’adoption internationale, l’</w:t>
      </w:r>
      <w:r w:rsidR="005F1BCF">
        <w:rPr>
          <w:rFonts w:ascii="Times New Roman" w:hAnsi="Times New Roman"/>
          <w:bCs/>
          <w:sz w:val="24"/>
          <w:szCs w:val="24"/>
          <w:lang w:val="fr-FR"/>
        </w:rPr>
        <w:t>Institut du bien-être social et des r</w:t>
      </w:r>
      <w:r w:rsidR="005F1BCF" w:rsidRPr="00273D27">
        <w:rPr>
          <w:rFonts w:ascii="Times New Roman" w:hAnsi="Times New Roman"/>
          <w:bCs/>
          <w:sz w:val="24"/>
          <w:szCs w:val="24"/>
          <w:lang w:val="fr-FR"/>
        </w:rPr>
        <w:t>echerches</w:t>
      </w:r>
      <w:r w:rsidR="005F1BCF">
        <w:rPr>
          <w:rFonts w:ascii="Times New Roman" w:hAnsi="Times New Roman"/>
          <w:bCs/>
          <w:sz w:val="24"/>
          <w:szCs w:val="24"/>
          <w:lang w:val="fr-FR"/>
        </w:rPr>
        <w:t xml:space="preserve"> (</w:t>
      </w:r>
      <w:r w:rsidRPr="00273D27">
        <w:rPr>
          <w:rFonts w:ascii="Times New Roman" w:eastAsia="Calibri" w:hAnsi="Times New Roman"/>
          <w:sz w:val="24"/>
          <w:szCs w:val="24"/>
          <w:lang w:val="fr-FR"/>
        </w:rPr>
        <w:t>IBESR</w:t>
      </w:r>
      <w:r w:rsidR="005F1BCF">
        <w:rPr>
          <w:rFonts w:ascii="Times New Roman" w:eastAsia="Calibri" w:hAnsi="Times New Roman"/>
          <w:sz w:val="24"/>
          <w:szCs w:val="24"/>
          <w:lang w:val="fr-FR"/>
        </w:rPr>
        <w:t>)</w:t>
      </w:r>
      <w:r w:rsidRPr="00273D27">
        <w:rPr>
          <w:rFonts w:ascii="Times New Roman" w:eastAsia="Calibri" w:hAnsi="Times New Roman"/>
          <w:sz w:val="24"/>
          <w:szCs w:val="24"/>
          <w:lang w:val="fr-FR"/>
        </w:rPr>
        <w:t xml:space="preserve"> a suspendu toutes les adoptions internationales dans l’attente d’une révision intégrale de la procédure, conformément aux standards internationaux en vigueur. Cette révision a été finalisée et une </w:t>
      </w:r>
      <w:r w:rsidRPr="00273D27">
        <w:rPr>
          <w:rFonts w:ascii="Times New Roman" w:eastAsia="Calibri" w:hAnsi="Times New Roman"/>
          <w:sz w:val="24"/>
          <w:szCs w:val="24"/>
          <w:lang w:val="fr-FR"/>
        </w:rPr>
        <w:lastRenderedPageBreak/>
        <w:t xml:space="preserve">nouvelle procédure a été adoptée en novembre. Entre temps, un projet de loi à ce sujet a été soumis au Parlement. </w:t>
      </w:r>
    </w:p>
    <w:p w:rsidR="008673B7" w:rsidRPr="00273D2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Le MCFDF consulte actuellement ses partenaires gouvernementaux et les organisations non-gouvernementales nationales et internationales par rapport au projet de Loi sur la prévention, la répression et l’élimination de la violence faite aux femmes, afin de récolter leurs points de vue avant la soumission de ce projet au Parlement</w:t>
      </w:r>
      <w:r w:rsidR="00B71B61">
        <w:rPr>
          <w:rFonts w:ascii="Times New Roman" w:eastAsia="Calibri" w:hAnsi="Times New Roman"/>
          <w:sz w:val="24"/>
          <w:szCs w:val="24"/>
          <w:lang w:val="fr-FR"/>
        </w:rPr>
        <w:t>,</w:t>
      </w:r>
      <w:r w:rsidRPr="00273D27">
        <w:rPr>
          <w:rFonts w:ascii="Times New Roman" w:eastAsia="Calibri" w:hAnsi="Times New Roman"/>
          <w:sz w:val="24"/>
          <w:szCs w:val="24"/>
          <w:lang w:val="fr-FR"/>
        </w:rPr>
        <w:t xml:space="preserve"> en 2013.   </w:t>
      </w:r>
    </w:p>
    <w:p w:rsidR="008673B7" w:rsidRDefault="008673B7" w:rsidP="008673B7">
      <w:pPr>
        <w:spacing w:after="0" w:line="240" w:lineRule="auto"/>
        <w:jc w:val="both"/>
        <w:rPr>
          <w:rFonts w:ascii="Times New Roman" w:eastAsia="Calibri" w:hAnsi="Times New Roman"/>
          <w:sz w:val="24"/>
          <w:szCs w:val="24"/>
          <w:lang w:val="fr-FR"/>
        </w:rPr>
      </w:pPr>
      <w:r w:rsidRPr="00273D27">
        <w:rPr>
          <w:rFonts w:ascii="Times New Roman" w:eastAsia="Calibri" w:hAnsi="Times New Roman"/>
          <w:sz w:val="24"/>
          <w:szCs w:val="24"/>
          <w:lang w:val="fr-FR"/>
        </w:rPr>
        <w:t xml:space="preserve">     </w:t>
      </w:r>
    </w:p>
    <w:p w:rsidR="008673B7" w:rsidRPr="00273D27" w:rsidRDefault="008673B7" w:rsidP="008673B7">
      <w:pPr>
        <w:spacing w:after="0" w:line="240" w:lineRule="auto"/>
        <w:outlineLvl w:val="1"/>
        <w:rPr>
          <w:rFonts w:ascii="Verdana" w:eastAsia="Calibri" w:hAnsi="Verdana"/>
          <w:b/>
          <w:bCs/>
          <w:color w:val="000066"/>
          <w:sz w:val="20"/>
          <w:szCs w:val="20"/>
          <w:lang w:val="fr-FR"/>
        </w:rPr>
      </w:pPr>
      <w:bookmarkStart w:id="17" w:name="_Toc350156692"/>
      <w:r w:rsidRPr="00273D27">
        <w:rPr>
          <w:rFonts w:ascii="Verdana" w:eastAsia="Calibri" w:hAnsi="Verdana"/>
          <w:b/>
          <w:bCs/>
          <w:color w:val="000066"/>
          <w:sz w:val="20"/>
          <w:szCs w:val="20"/>
          <w:lang w:val="fr-FR"/>
        </w:rPr>
        <w:t>I</w:t>
      </w:r>
      <w:r w:rsidR="00A8570F">
        <w:rPr>
          <w:rFonts w:ascii="Verdana" w:eastAsia="Calibri" w:hAnsi="Verdana"/>
          <w:b/>
          <w:bCs/>
          <w:color w:val="000066"/>
          <w:sz w:val="20"/>
          <w:szCs w:val="20"/>
          <w:lang w:val="fr-FR"/>
        </w:rPr>
        <w:t>I</w:t>
      </w:r>
      <w:r w:rsidRPr="00273D27">
        <w:rPr>
          <w:rFonts w:ascii="Verdana" w:eastAsia="Calibri" w:hAnsi="Verdana"/>
          <w:b/>
          <w:bCs/>
          <w:color w:val="000066"/>
          <w:sz w:val="20"/>
          <w:szCs w:val="20"/>
          <w:lang w:val="fr-FR"/>
        </w:rPr>
        <w:t>.3. Mesures administratives et politiques</w:t>
      </w:r>
      <w:bookmarkEnd w:id="17"/>
      <w:r>
        <w:rPr>
          <w:rFonts w:ascii="Verdana" w:eastAsia="Calibri" w:hAnsi="Verdana"/>
          <w:b/>
          <w:bCs/>
          <w:color w:val="000066"/>
          <w:sz w:val="20"/>
          <w:szCs w:val="20"/>
          <w:lang w:val="fr-FR"/>
        </w:rPr>
        <w:t xml:space="preserve"> relatives aux droits de l’homme</w:t>
      </w:r>
    </w:p>
    <w:p w:rsidR="008673B7" w:rsidRPr="00273D27" w:rsidRDefault="008673B7" w:rsidP="008673B7">
      <w:pPr>
        <w:spacing w:after="0" w:line="240" w:lineRule="auto"/>
        <w:jc w:val="both"/>
        <w:rPr>
          <w:rFonts w:ascii="Times New Roman" w:eastAsia="Calibri" w:hAnsi="Times New Roman"/>
          <w:b/>
          <w:sz w:val="24"/>
          <w:szCs w:val="24"/>
          <w:lang w:val="fr-FR"/>
        </w:rPr>
      </w:pPr>
    </w:p>
    <w:p w:rsidR="008673B7" w:rsidRPr="00273D27" w:rsidRDefault="008673B7" w:rsidP="008673B7">
      <w:pPr>
        <w:keepNext/>
        <w:keepLines/>
        <w:spacing w:before="200" w:after="0"/>
        <w:outlineLvl w:val="2"/>
        <w:rPr>
          <w:rFonts w:asciiTheme="majorHAnsi" w:eastAsiaTheme="majorEastAsia" w:hAnsiTheme="majorHAnsi" w:cstheme="majorBidi"/>
          <w:b/>
          <w:bCs/>
          <w:color w:val="4F81BD" w:themeColor="accent1"/>
          <w:lang w:val="fr-FR"/>
        </w:rPr>
      </w:pPr>
      <w:bookmarkStart w:id="18" w:name="_Toc350156693"/>
      <w:r w:rsidRPr="00273D27">
        <w:rPr>
          <w:rFonts w:asciiTheme="majorHAnsi" w:eastAsiaTheme="majorEastAsia" w:hAnsiTheme="majorHAnsi" w:cstheme="majorBidi"/>
          <w:b/>
          <w:bCs/>
          <w:color w:val="4F81BD" w:themeColor="accent1"/>
          <w:lang w:val="fr-FR"/>
        </w:rPr>
        <w:t>I</w:t>
      </w:r>
      <w:r w:rsidR="00A8570F">
        <w:rPr>
          <w:rFonts w:asciiTheme="majorHAnsi" w:eastAsiaTheme="majorEastAsia" w:hAnsiTheme="majorHAnsi" w:cstheme="majorBidi"/>
          <w:b/>
          <w:bCs/>
          <w:color w:val="4F81BD" w:themeColor="accent1"/>
          <w:lang w:val="fr-FR"/>
        </w:rPr>
        <w:t>I</w:t>
      </w:r>
      <w:r w:rsidRPr="00273D27">
        <w:rPr>
          <w:rFonts w:asciiTheme="majorHAnsi" w:eastAsiaTheme="majorEastAsia" w:hAnsiTheme="majorHAnsi" w:cstheme="majorBidi"/>
          <w:b/>
          <w:bCs/>
          <w:color w:val="4F81BD" w:themeColor="accent1"/>
          <w:lang w:val="fr-FR"/>
        </w:rPr>
        <w:t>.3.1. Projet de la ministre déléguée chargée des droits de l'homme et de la lutte contre la pauvreté extrême</w:t>
      </w:r>
      <w:bookmarkEnd w:id="18"/>
    </w:p>
    <w:p w:rsidR="006F4C31" w:rsidRDefault="006F4C31" w:rsidP="008673B7">
      <w:pPr>
        <w:spacing w:after="0" w:line="240" w:lineRule="auto"/>
        <w:jc w:val="both"/>
        <w:rPr>
          <w:rFonts w:ascii="Times New Roman" w:hAnsi="Times New Roman"/>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 xml:space="preserve">A la fin du mois de mai, la ministre déléguée chargée des droits de l'homme et de la lutte contre la pauvreté extrême, Mme Marie Carmelle Rose Anne Auguste, a fait circuler un projet de document proposant la création de trois mécanismes pour appuyer son mandat : une commission interministérielle de coordination de la lutte contre la pauvreté extrême un observatoire national des droits humains et des libertés fondamentales ; et une unité de recherche et d’expérimentation de solutions innovantes. </w:t>
      </w:r>
      <w:r w:rsidRPr="00273D27">
        <w:rPr>
          <w:rFonts w:ascii="Times New Roman" w:hAnsi="Times New Roman"/>
          <w:vanish/>
          <w:sz w:val="24"/>
          <w:szCs w:val="24"/>
          <w:lang w:val="fr-FR"/>
        </w:rPr>
        <w:t>However, there has been no budgetary allocation to the Delegate Minister's post in the Ministry of Economy and Finance's budget submitted to Parliament on 29 June for fiscal year 2012-2013.</w:t>
      </w:r>
      <w:r w:rsidRPr="00273D27">
        <w:rPr>
          <w:rFonts w:ascii="Times New Roman" w:hAnsi="Times New Roman"/>
          <w:sz w:val="24"/>
          <w:szCs w:val="24"/>
          <w:lang w:val="fr-FR"/>
        </w:rPr>
        <w:t xml:space="preserve">Cependant, le projet de budget soumis au Parlement par le ministère de l’économie et des finances, le 29 juin, pour l'exercice budgétaire 2012-2013, ne contient pas d’allocation spécifique même pour le poste de la ministre déléguée. </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keepNext/>
        <w:keepLines/>
        <w:spacing w:before="200" w:after="0"/>
        <w:outlineLvl w:val="2"/>
        <w:rPr>
          <w:rFonts w:asciiTheme="majorHAnsi" w:eastAsiaTheme="majorEastAsia" w:hAnsiTheme="majorHAnsi" w:cstheme="majorBidi"/>
          <w:b/>
          <w:bCs/>
          <w:color w:val="4F81BD" w:themeColor="accent1"/>
          <w:lang w:val="fr-FR"/>
        </w:rPr>
      </w:pPr>
      <w:bookmarkStart w:id="19" w:name="_Toc350156694"/>
      <w:r w:rsidRPr="00273D27">
        <w:rPr>
          <w:rFonts w:asciiTheme="majorHAnsi" w:eastAsiaTheme="majorEastAsia" w:hAnsiTheme="majorHAnsi" w:cstheme="majorBidi"/>
          <w:b/>
          <w:bCs/>
          <w:color w:val="4F81BD" w:themeColor="accent1"/>
          <w:lang w:val="fr-FR"/>
        </w:rPr>
        <w:t>I</w:t>
      </w:r>
      <w:r w:rsidR="00A8570F">
        <w:rPr>
          <w:rFonts w:asciiTheme="majorHAnsi" w:eastAsiaTheme="majorEastAsia" w:hAnsiTheme="majorHAnsi" w:cstheme="majorBidi"/>
          <w:b/>
          <w:bCs/>
          <w:color w:val="4F81BD" w:themeColor="accent1"/>
          <w:lang w:val="fr-FR"/>
        </w:rPr>
        <w:t>I</w:t>
      </w:r>
      <w:r w:rsidRPr="00273D27">
        <w:rPr>
          <w:rFonts w:asciiTheme="majorHAnsi" w:eastAsiaTheme="majorEastAsia" w:hAnsiTheme="majorHAnsi" w:cstheme="majorBidi"/>
          <w:b/>
          <w:bCs/>
          <w:color w:val="4F81BD" w:themeColor="accent1"/>
          <w:lang w:val="fr-FR"/>
        </w:rPr>
        <w:t>.3.2. Politique nationale du logement et du développement urbain</w:t>
      </w:r>
      <w:bookmarkEnd w:id="19"/>
    </w:p>
    <w:p w:rsidR="008673B7" w:rsidRPr="00273D27" w:rsidRDefault="008673B7" w:rsidP="008673B7">
      <w:pPr>
        <w:spacing w:after="0" w:line="240" w:lineRule="auto"/>
        <w:jc w:val="both"/>
        <w:rPr>
          <w:rFonts w:ascii="Times New Roman" w:eastAsia="Calibri" w:hAnsi="Times New Roman"/>
          <w:i/>
          <w:sz w:val="24"/>
          <w:szCs w:val="24"/>
          <w:lang w:val="fr-FR"/>
        </w:rPr>
      </w:pPr>
      <w:r w:rsidRPr="00273D27">
        <w:rPr>
          <w:rFonts w:ascii="Times New Roman" w:hAnsi="Times New Roman"/>
          <w:i/>
          <w:vanish/>
          <w:sz w:val="24"/>
          <w:szCs w:val="24"/>
          <w:lang w:val="fr-FR"/>
        </w:rPr>
        <w:t xml:space="preserve"> 19.</w:t>
      </w: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À la fin du mois de juin, l’UCLBP a divulgué son projet de politique nationale du logement et du développement urbain et a organisé une réunion de consultation avec la société civile autour de ce projet. Cependant, aucun progrès n’a été réalisé quant à son adoption. Tel quel, le projet n’inclut pas d’approche basée sur les droits de l’homme. Notamment, il manque des références à la réalisation progressive du droit au logement, comme prévu par la Constitution haïtienne et par le PIDESC. Une telle référence doterait la politique d’un cadre légal plus précis, permettant le développement d’indicateurs correspondant à la réalité socio-économique d’Haïti et à ses obligations en matière de respect,</w:t>
      </w:r>
      <w:r w:rsidR="00B71B61">
        <w:rPr>
          <w:rFonts w:ascii="Times New Roman" w:hAnsi="Times New Roman"/>
          <w:sz w:val="24"/>
          <w:szCs w:val="24"/>
          <w:lang w:val="fr-FR"/>
        </w:rPr>
        <w:t xml:space="preserve"> de</w:t>
      </w:r>
      <w:r w:rsidRPr="00273D27">
        <w:rPr>
          <w:rFonts w:ascii="Times New Roman" w:hAnsi="Times New Roman"/>
          <w:sz w:val="24"/>
          <w:szCs w:val="24"/>
          <w:lang w:val="fr-FR"/>
        </w:rPr>
        <w:t xml:space="preserve"> </w:t>
      </w:r>
      <w:r w:rsidR="00B71B61">
        <w:rPr>
          <w:rFonts w:ascii="Times New Roman" w:hAnsi="Times New Roman"/>
          <w:sz w:val="24"/>
          <w:szCs w:val="24"/>
          <w:lang w:val="fr-FR"/>
        </w:rPr>
        <w:t>promotion</w:t>
      </w:r>
      <w:r w:rsidR="00B71B61" w:rsidRPr="00273D27">
        <w:rPr>
          <w:rFonts w:ascii="Times New Roman" w:hAnsi="Times New Roman"/>
          <w:sz w:val="24"/>
          <w:szCs w:val="24"/>
          <w:lang w:val="fr-FR"/>
        </w:rPr>
        <w:t xml:space="preserve"> </w:t>
      </w:r>
      <w:r w:rsidR="00B71B61">
        <w:rPr>
          <w:rFonts w:ascii="Times New Roman" w:hAnsi="Times New Roman"/>
          <w:sz w:val="24"/>
          <w:szCs w:val="24"/>
          <w:lang w:val="fr-FR"/>
        </w:rPr>
        <w:t xml:space="preserve">et </w:t>
      </w:r>
      <w:r w:rsidRPr="00273D27">
        <w:rPr>
          <w:rFonts w:ascii="Times New Roman" w:hAnsi="Times New Roman"/>
          <w:sz w:val="24"/>
          <w:szCs w:val="24"/>
          <w:lang w:val="fr-FR"/>
        </w:rPr>
        <w:t>de prote</w:t>
      </w:r>
      <w:r w:rsidR="00B71B61">
        <w:rPr>
          <w:rFonts w:ascii="Times New Roman" w:hAnsi="Times New Roman"/>
          <w:sz w:val="24"/>
          <w:szCs w:val="24"/>
          <w:lang w:val="fr-FR"/>
        </w:rPr>
        <w:t>ction du droit à un</w:t>
      </w:r>
      <w:r w:rsidRPr="00273D27">
        <w:rPr>
          <w:rFonts w:ascii="Times New Roman" w:hAnsi="Times New Roman"/>
          <w:sz w:val="24"/>
          <w:szCs w:val="24"/>
          <w:lang w:val="fr-FR"/>
        </w:rPr>
        <w:t xml:space="preserve"> logement convenable. De plus, la politique proposée ne tient pas compte des besoins spécifiques des groupes vulnérables, tels que les personnes handicapées et les ménages avec femmes ou enfants à leur tête. Le gouvernement n’a pas encore adopté de position officielle sur les évictions forcées, ni sur l’éventuelle compensation des propriétaires de terrains privés occupés par des personnes déplacées suite au tremblement de terre. Un manque de stratégie globale pour la fermeture des camps officiels et non-officiels </w:t>
      </w:r>
      <w:r>
        <w:rPr>
          <w:rFonts w:ascii="Times New Roman" w:hAnsi="Times New Roman"/>
          <w:sz w:val="24"/>
          <w:szCs w:val="24"/>
          <w:lang w:val="fr-FR"/>
        </w:rPr>
        <w:t>est à noter</w:t>
      </w:r>
      <w:r w:rsidRPr="00273D27">
        <w:rPr>
          <w:rFonts w:ascii="Times New Roman" w:hAnsi="Times New Roman"/>
          <w:sz w:val="24"/>
          <w:szCs w:val="24"/>
          <w:lang w:val="fr-FR"/>
        </w:rPr>
        <w:t>, en particulier en ce qui concerne les camps informels non visés par le projet pilote 16/6 du Président Martelly</w:t>
      </w:r>
      <w:r>
        <w:rPr>
          <w:rStyle w:val="FootnoteReference"/>
          <w:rFonts w:ascii="Times New Roman" w:hAnsi="Times New Roman"/>
          <w:sz w:val="24"/>
          <w:szCs w:val="24"/>
          <w:lang w:val="fr-FR"/>
        </w:rPr>
        <w:footnoteReference w:id="12"/>
      </w:r>
      <w:r w:rsidRPr="00273D27">
        <w:rPr>
          <w:rFonts w:ascii="Times New Roman" w:hAnsi="Times New Roman"/>
          <w:sz w:val="24"/>
          <w:szCs w:val="24"/>
          <w:lang w:val="fr-FR"/>
        </w:rPr>
        <w:t xml:space="preserve">. </w:t>
      </w:r>
    </w:p>
    <w:p w:rsidR="008673B7" w:rsidRPr="00273D27" w:rsidRDefault="008673B7" w:rsidP="008673B7">
      <w:pPr>
        <w:spacing w:after="0" w:line="240" w:lineRule="auto"/>
        <w:jc w:val="both"/>
        <w:rPr>
          <w:rFonts w:ascii="Times New Roman" w:hAnsi="Times New Roman"/>
          <w:sz w:val="24"/>
          <w:szCs w:val="24"/>
          <w:lang w:val="fr-FR"/>
        </w:rPr>
      </w:pPr>
    </w:p>
    <w:p w:rsidR="008673B7" w:rsidRPr="00273D27" w:rsidRDefault="008673B7" w:rsidP="008673B7">
      <w:pPr>
        <w:spacing w:after="0" w:line="240" w:lineRule="auto"/>
        <w:jc w:val="both"/>
        <w:rPr>
          <w:rFonts w:ascii="Times New Roman" w:hAnsi="Times New Roman"/>
          <w:sz w:val="24"/>
          <w:szCs w:val="24"/>
          <w:lang w:val="fr-FR"/>
        </w:rPr>
      </w:pPr>
      <w:r w:rsidRPr="00273D27">
        <w:rPr>
          <w:rFonts w:ascii="Times New Roman" w:hAnsi="Times New Roman"/>
          <w:sz w:val="24"/>
          <w:szCs w:val="24"/>
          <w:lang w:val="fr-FR"/>
        </w:rPr>
        <w:t xml:space="preserve">Par ailleurs, le mandat de l’UCLBP, érigé par décret en juillet 2012 en tant qu’organisme principal supervisant la mise en œuvre de la politique de logement, reste vague, compliquant la </w:t>
      </w:r>
      <w:r w:rsidRPr="00273D27">
        <w:rPr>
          <w:rFonts w:ascii="Times New Roman" w:hAnsi="Times New Roman"/>
          <w:sz w:val="24"/>
          <w:szCs w:val="24"/>
          <w:lang w:val="fr-FR"/>
        </w:rPr>
        <w:lastRenderedPageBreak/>
        <w:t xml:space="preserve">mise en œuvre et le suivi de cette politique de logement, y compris en collaboration avec les autorités locales compétentes.  </w:t>
      </w:r>
    </w:p>
    <w:p w:rsidR="008673B7" w:rsidRPr="006F74B4" w:rsidRDefault="008673B7" w:rsidP="008673B7">
      <w:pPr>
        <w:pStyle w:val="Heading1"/>
        <w:rPr>
          <w:rFonts w:ascii="Times New Roman" w:hAnsi="Times New Roman" w:cs="Times New Roman"/>
          <w:lang w:val="fr-FR"/>
        </w:rPr>
      </w:pPr>
      <w:bookmarkStart w:id="20" w:name="_Toc350156695"/>
      <w:r w:rsidRPr="006F74B4">
        <w:rPr>
          <w:rFonts w:ascii="Times New Roman" w:hAnsi="Times New Roman" w:cs="Times New Roman"/>
          <w:lang w:val="fr-FR"/>
        </w:rPr>
        <w:t>II</w:t>
      </w:r>
      <w:r w:rsidR="00A8570F">
        <w:rPr>
          <w:rFonts w:ascii="Times New Roman" w:hAnsi="Times New Roman" w:cs="Times New Roman"/>
          <w:lang w:val="fr-FR"/>
        </w:rPr>
        <w:t>I</w:t>
      </w:r>
      <w:r w:rsidRPr="006F74B4">
        <w:rPr>
          <w:rFonts w:ascii="Times New Roman" w:hAnsi="Times New Roman" w:cs="Times New Roman"/>
          <w:lang w:val="fr-FR"/>
        </w:rPr>
        <w:t>. ÉTAT DE DROIT ET IMPUNITE</w:t>
      </w:r>
      <w:bookmarkEnd w:id="20"/>
    </w:p>
    <w:p w:rsidR="008673B7" w:rsidRPr="006F74B4" w:rsidRDefault="008673B7" w:rsidP="006F4C31">
      <w:pPr>
        <w:autoSpaceDE w:val="0"/>
        <w:autoSpaceDN w:val="0"/>
        <w:adjustRightInd w:val="0"/>
        <w:spacing w:before="200" w:after="0" w:line="240" w:lineRule="auto"/>
        <w:jc w:val="both"/>
        <w:rPr>
          <w:rFonts w:ascii="Times New Roman" w:hAnsi="Times New Roman"/>
          <w:b/>
          <w:bCs/>
          <w:iCs/>
          <w:lang w:val="fr-FR"/>
        </w:rPr>
      </w:pPr>
    </w:p>
    <w:p w:rsidR="008673B7" w:rsidRPr="007967B5" w:rsidRDefault="008673B7" w:rsidP="008673B7">
      <w:pPr>
        <w:pStyle w:val="Heading2"/>
        <w:rPr>
          <w:lang w:val="fr-FR"/>
        </w:rPr>
      </w:pPr>
      <w:bookmarkStart w:id="21" w:name="_Toc350156696"/>
      <w:r w:rsidRPr="007967B5">
        <w:rPr>
          <w:lang w:val="fr-FR"/>
        </w:rPr>
        <w:t>II</w:t>
      </w:r>
      <w:r w:rsidR="00A8570F">
        <w:rPr>
          <w:lang w:val="fr-FR"/>
        </w:rPr>
        <w:t>I</w:t>
      </w:r>
      <w:r w:rsidRPr="007967B5">
        <w:rPr>
          <w:lang w:val="fr-FR"/>
        </w:rPr>
        <w:t>.1. Violations alléguées des droits de l’homme par des agents de la PNH et de la DGD</w:t>
      </w:r>
      <w:bookmarkEnd w:id="21"/>
    </w:p>
    <w:p w:rsidR="008673B7" w:rsidRPr="006F74B4" w:rsidRDefault="008673B7" w:rsidP="008673B7">
      <w:pPr>
        <w:autoSpaceDE w:val="0"/>
        <w:autoSpaceDN w:val="0"/>
        <w:adjustRightInd w:val="0"/>
        <w:spacing w:after="0" w:line="240" w:lineRule="auto"/>
        <w:jc w:val="both"/>
        <w:rPr>
          <w:rFonts w:ascii="Times New Roman" w:hAnsi="Times New Roman"/>
          <w:b/>
          <w:bCs/>
          <w:iCs/>
          <w:lang w:val="fr-FR"/>
        </w:rPr>
      </w:pPr>
    </w:p>
    <w:p w:rsidR="008673B7" w:rsidRPr="007967B5" w:rsidRDefault="008673B7" w:rsidP="008673B7">
      <w:pPr>
        <w:pStyle w:val="Heading3"/>
        <w:rPr>
          <w:rFonts w:cs="Times New Roman"/>
          <w:lang w:val="fr-FR"/>
        </w:rPr>
      </w:pPr>
      <w:bookmarkStart w:id="22" w:name="_Toc350156697"/>
      <w:r w:rsidRPr="007967B5">
        <w:rPr>
          <w:rFonts w:cs="Times New Roman"/>
          <w:lang w:val="fr-FR"/>
        </w:rPr>
        <w:t>I</w:t>
      </w:r>
      <w:r w:rsidR="00A8570F">
        <w:rPr>
          <w:rFonts w:cs="Times New Roman"/>
          <w:lang w:val="fr-FR"/>
        </w:rPr>
        <w:t>I</w:t>
      </w:r>
      <w:r w:rsidRPr="007967B5">
        <w:rPr>
          <w:rFonts w:cs="Times New Roman"/>
          <w:lang w:val="fr-FR"/>
        </w:rPr>
        <w:t>I.1.1. Usage excessif de la force</w:t>
      </w:r>
      <w:bookmarkEnd w:id="22"/>
      <w:r w:rsidRPr="007967B5">
        <w:rPr>
          <w:rFonts w:cs="Times New Roman"/>
          <w:lang w:val="fr-FR"/>
        </w:rPr>
        <w:t xml:space="preserve"> </w:t>
      </w:r>
    </w:p>
    <w:p w:rsidR="008673B7" w:rsidRPr="006F74B4" w:rsidRDefault="008673B7" w:rsidP="008673B7">
      <w:pPr>
        <w:pStyle w:val="ListParagraph"/>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sz w:val="24"/>
          <w:szCs w:val="24"/>
          <w:lang w:val="fr-CA"/>
        </w:rPr>
      </w:pPr>
      <w:r w:rsidRPr="006F74B4">
        <w:rPr>
          <w:rFonts w:ascii="Times New Roman" w:hAnsi="Times New Roman"/>
          <w:bCs/>
          <w:iCs/>
          <w:sz w:val="24"/>
          <w:szCs w:val="24"/>
          <w:lang w:val="fr-FR"/>
        </w:rPr>
        <w:t xml:space="preserve">Au cours du second semestre 2012, la SDH a documenté plusieurs cas </w:t>
      </w:r>
      <w:r>
        <w:rPr>
          <w:rFonts w:ascii="Times New Roman" w:hAnsi="Times New Roman"/>
          <w:bCs/>
          <w:iCs/>
          <w:sz w:val="24"/>
          <w:szCs w:val="24"/>
          <w:lang w:val="fr-FR"/>
        </w:rPr>
        <w:t>d’allégations d’usage excessif de la force par</w:t>
      </w:r>
      <w:r>
        <w:rPr>
          <w:rFonts w:ascii="Times New Roman" w:hAnsi="Times New Roman"/>
          <w:bCs/>
          <w:sz w:val="24"/>
          <w:szCs w:val="24"/>
          <w:lang w:val="fr-FR"/>
        </w:rPr>
        <w:t xml:space="preserve"> des agents de la PNH</w:t>
      </w:r>
      <w:r w:rsidRPr="006F74B4">
        <w:rPr>
          <w:rFonts w:ascii="Times New Roman" w:hAnsi="Times New Roman"/>
          <w:bCs/>
          <w:sz w:val="24"/>
          <w:szCs w:val="24"/>
          <w:lang w:val="fr-FR"/>
        </w:rPr>
        <w:t xml:space="preserve"> et de la direction générale des douanes (DGD</w:t>
      </w:r>
      <w:r>
        <w:rPr>
          <w:rFonts w:ascii="Times New Roman" w:hAnsi="Times New Roman"/>
          <w:bCs/>
          <w:sz w:val="24"/>
          <w:szCs w:val="24"/>
          <w:lang w:val="fr-FR"/>
        </w:rPr>
        <w:t>)</w:t>
      </w:r>
      <w:r w:rsidRPr="006F74B4">
        <w:rPr>
          <w:rFonts w:ascii="Times New Roman" w:hAnsi="Times New Roman"/>
          <w:bCs/>
          <w:sz w:val="24"/>
          <w:szCs w:val="24"/>
          <w:lang w:val="fr-FR"/>
        </w:rPr>
        <w:t xml:space="preserve">. </w:t>
      </w:r>
      <w:r w:rsidRPr="006F74B4">
        <w:rPr>
          <w:rFonts w:ascii="Times New Roman" w:hAnsi="Times New Roman"/>
          <w:bCs/>
          <w:iCs/>
          <w:sz w:val="24"/>
          <w:szCs w:val="24"/>
          <w:lang w:val="fr-FR"/>
        </w:rPr>
        <w:t>Ces actes auraient été commis lors d’opérations d’évictions forcées, de la répression de mouvements de protestation, d’opérations de lutte anti-criminalité, ou encore, plus généralement, dans le cadre d’arrestations de droit commun.</w:t>
      </w:r>
      <w:r w:rsidRPr="006F74B4">
        <w:rPr>
          <w:rFonts w:ascii="Times New Roman" w:hAnsi="Times New Roman"/>
          <w:bCs/>
          <w:sz w:val="24"/>
          <w:szCs w:val="24"/>
          <w:lang w:val="fr-FR"/>
        </w:rPr>
        <w:t xml:space="preserve"> Au moins huit personnes, dont une femme</w:t>
      </w:r>
      <w:r w:rsidRPr="006F74B4">
        <w:rPr>
          <w:rStyle w:val="FootnoteReference"/>
          <w:rFonts w:ascii="Times New Roman" w:hAnsi="Times New Roman"/>
          <w:bCs/>
          <w:sz w:val="24"/>
          <w:szCs w:val="24"/>
          <w:lang w:val="fr-FR"/>
        </w:rPr>
        <w:footnoteReference w:id="13"/>
      </w:r>
      <w:r w:rsidRPr="006F74B4">
        <w:rPr>
          <w:rFonts w:ascii="Times New Roman" w:hAnsi="Times New Roman"/>
          <w:bCs/>
          <w:sz w:val="24"/>
          <w:szCs w:val="24"/>
          <w:lang w:val="fr-FR"/>
        </w:rPr>
        <w:t>, ont été tuées, plusieurs dizaines d’autres ont été blessées et de nombreux biens matériels ont été détruits</w:t>
      </w:r>
      <w:r w:rsidRPr="0056512A">
        <w:rPr>
          <w:rFonts w:ascii="Times New Roman" w:hAnsi="Times New Roman"/>
          <w:bCs/>
          <w:sz w:val="24"/>
          <w:szCs w:val="24"/>
          <w:lang w:val="fr-FR"/>
        </w:rPr>
        <w:t xml:space="preserve"> </w:t>
      </w:r>
      <w:r>
        <w:rPr>
          <w:rFonts w:ascii="Times New Roman" w:hAnsi="Times New Roman"/>
          <w:bCs/>
          <w:sz w:val="24"/>
          <w:szCs w:val="24"/>
          <w:lang w:val="fr-FR"/>
        </w:rPr>
        <w:t>suite à un usage excessif de la force</w:t>
      </w:r>
      <w:r>
        <w:rPr>
          <w:rStyle w:val="FootnoteReference"/>
          <w:rFonts w:ascii="Times New Roman" w:hAnsi="Times New Roman"/>
          <w:bCs/>
          <w:sz w:val="24"/>
          <w:szCs w:val="24"/>
          <w:lang w:val="fr-FR"/>
        </w:rPr>
        <w:footnoteReference w:id="14"/>
      </w:r>
      <w:r w:rsidRPr="006F74B4">
        <w:rPr>
          <w:rFonts w:ascii="Times New Roman" w:hAnsi="Times New Roman"/>
          <w:bCs/>
          <w:iCs/>
          <w:sz w:val="24"/>
          <w:szCs w:val="24"/>
          <w:lang w:val="fr-FR"/>
        </w:rPr>
        <w:t xml:space="preserve">. </w:t>
      </w:r>
      <w:r w:rsidRPr="006F74B4">
        <w:rPr>
          <w:rFonts w:ascii="Times New Roman" w:hAnsi="Times New Roman"/>
          <w:sz w:val="24"/>
          <w:szCs w:val="24"/>
          <w:lang w:val="fr-CA"/>
        </w:rPr>
        <w:t>S’il arrive qu’une enquête disciplinaire soit conclue par l’Inspection générale de la PNH (IGPNH), dans aucun cas l’une de ces allégations n’a fait l’objet de conclusions dans le cadre d’une enquête judiciaire.</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7967B5" w:rsidRDefault="008673B7" w:rsidP="008673B7">
      <w:pPr>
        <w:pStyle w:val="Heading3"/>
        <w:spacing w:before="0" w:line="240" w:lineRule="auto"/>
        <w:rPr>
          <w:rFonts w:ascii="Times New Roman" w:hAnsi="Times New Roman" w:cs="Times New Roman"/>
          <w:i/>
          <w:lang w:val="fr-CA"/>
        </w:rPr>
      </w:pPr>
      <w:bookmarkStart w:id="23" w:name="_Toc350156698"/>
      <w:r w:rsidRPr="007967B5">
        <w:rPr>
          <w:rFonts w:ascii="Times New Roman" w:hAnsi="Times New Roman" w:cs="Times New Roman"/>
          <w:i/>
          <w:lang w:val="fr-CA"/>
        </w:rPr>
        <w:t>Usage excessif de la force dans le cadre d’opérations d’évictions forcées</w:t>
      </w:r>
      <w:bookmarkEnd w:id="23"/>
    </w:p>
    <w:p w:rsidR="008673B7" w:rsidRPr="0027548C" w:rsidRDefault="008673B7" w:rsidP="008673B7">
      <w:pPr>
        <w:spacing w:after="0" w:line="240" w:lineRule="auto"/>
        <w:rPr>
          <w:lang w:val="fr-CA"/>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 Le 23 juillet, des éléments de la PNH et de l’Unité départementale de maintien de l’ordre (UDMO) de Jacmel ont tué par balles quatre personnes </w:t>
      </w:r>
      <w:r>
        <w:rPr>
          <w:rFonts w:ascii="Times New Roman" w:hAnsi="Times New Roman"/>
          <w:iCs/>
          <w:sz w:val="24"/>
          <w:szCs w:val="24"/>
          <w:lang w:val="fr-FR"/>
        </w:rPr>
        <w:t xml:space="preserve">non-armées </w:t>
      </w:r>
      <w:r w:rsidRPr="006F74B4">
        <w:rPr>
          <w:rFonts w:ascii="Times New Roman" w:hAnsi="Times New Roman"/>
          <w:iCs/>
          <w:sz w:val="24"/>
          <w:szCs w:val="24"/>
          <w:lang w:val="fr-FR"/>
        </w:rPr>
        <w:t>et détruit cinq maisons au cours d’une opération d’éviction forcée menée contre 147 familles vivant à Parc La Visite, à Galette Sèche Seguin (</w:t>
      </w:r>
      <w:r>
        <w:rPr>
          <w:rFonts w:ascii="Times New Roman" w:hAnsi="Times New Roman"/>
          <w:iCs/>
          <w:sz w:val="24"/>
          <w:szCs w:val="24"/>
          <w:lang w:val="fr-FR"/>
        </w:rPr>
        <w:t>département du Sud</w:t>
      </w:r>
      <w:r w:rsidRPr="006F74B4">
        <w:rPr>
          <w:rFonts w:ascii="Times New Roman" w:hAnsi="Times New Roman"/>
          <w:iCs/>
          <w:sz w:val="24"/>
          <w:szCs w:val="24"/>
          <w:lang w:val="fr-FR"/>
        </w:rPr>
        <w:t>-est). Les policiers étaient soutenus par des civils armés d’outils et accompagnés par le juge de paix de Marigot, le commissaire du gouvernement et le délégué départemental. Les familles des victimes ont tenté de porter plainte</w:t>
      </w:r>
      <w:r>
        <w:rPr>
          <w:rFonts w:ascii="Times New Roman" w:hAnsi="Times New Roman"/>
          <w:iCs/>
          <w:sz w:val="24"/>
          <w:szCs w:val="24"/>
          <w:lang w:val="fr-FR"/>
        </w:rPr>
        <w:t xml:space="preserve"> mais</w:t>
      </w:r>
      <w:r w:rsidRPr="006F74B4">
        <w:rPr>
          <w:rFonts w:ascii="Times New Roman" w:hAnsi="Times New Roman"/>
          <w:iCs/>
          <w:sz w:val="24"/>
          <w:szCs w:val="24"/>
          <w:lang w:val="fr-FR"/>
        </w:rPr>
        <w:t xml:space="preserve"> se sont heurtées au refus du juge de paix de Marigot de leur transmettre une copie certifiée du procès-verbal, alors que ce document est indispensable au dépôt de plainte. Par ailleurs, le procureur du tribunal de grande instance de Jacmel n’a pas ouvert d’enquête sur ces faits au motif que le constat du juge de paix </w:t>
      </w:r>
      <w:r>
        <w:rPr>
          <w:rFonts w:ascii="Times New Roman" w:hAnsi="Times New Roman"/>
          <w:iCs/>
          <w:sz w:val="24"/>
          <w:szCs w:val="24"/>
          <w:lang w:val="fr-FR"/>
        </w:rPr>
        <w:t>était</w:t>
      </w:r>
      <w:r w:rsidRPr="006F74B4">
        <w:rPr>
          <w:rFonts w:ascii="Times New Roman" w:hAnsi="Times New Roman"/>
          <w:iCs/>
          <w:sz w:val="24"/>
          <w:szCs w:val="24"/>
          <w:lang w:val="fr-FR"/>
        </w:rPr>
        <w:t xml:space="preserve"> incomplet et qu’il attendait donc que celui-ci le termine.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color w:val="000000"/>
          <w:sz w:val="24"/>
          <w:szCs w:val="24"/>
          <w:lang w:val="fr-BE"/>
        </w:rPr>
      </w:pPr>
      <w:r w:rsidRPr="006F74B4">
        <w:rPr>
          <w:rFonts w:ascii="Times New Roman" w:hAnsi="Times New Roman"/>
          <w:color w:val="000000"/>
          <w:sz w:val="24"/>
          <w:szCs w:val="24"/>
          <w:lang w:val="fr-BE"/>
        </w:rPr>
        <w:t>- Le 3 octobre, des éléments des UDMO et des officiers de police, conduit par le responsable du commissariat de Cabaret (</w:t>
      </w:r>
      <w:r>
        <w:rPr>
          <w:rFonts w:ascii="Times New Roman" w:hAnsi="Times New Roman"/>
          <w:color w:val="000000"/>
          <w:sz w:val="24"/>
          <w:szCs w:val="24"/>
          <w:lang w:val="fr-BE"/>
        </w:rPr>
        <w:t>département de l’Ouest</w:t>
      </w:r>
      <w:r w:rsidRPr="006F74B4">
        <w:rPr>
          <w:rFonts w:ascii="Times New Roman" w:hAnsi="Times New Roman"/>
          <w:color w:val="000000"/>
          <w:sz w:val="24"/>
          <w:szCs w:val="24"/>
          <w:lang w:val="fr-BE"/>
        </w:rPr>
        <w:t xml:space="preserve">), sont arrivés au camp de </w:t>
      </w:r>
      <w:r w:rsidRPr="006F74B4">
        <w:rPr>
          <w:rFonts w:ascii="Times New Roman" w:hAnsi="Times New Roman"/>
          <w:i/>
          <w:color w:val="000000"/>
          <w:sz w:val="24"/>
          <w:szCs w:val="24"/>
          <w:lang w:val="fr-BE"/>
        </w:rPr>
        <w:t>Mer frappée</w:t>
      </w:r>
      <w:r w:rsidRPr="006F74B4">
        <w:rPr>
          <w:rFonts w:ascii="Times New Roman" w:hAnsi="Times New Roman"/>
          <w:color w:val="000000"/>
          <w:sz w:val="24"/>
          <w:szCs w:val="24"/>
          <w:lang w:val="fr-BE"/>
        </w:rPr>
        <w:t xml:space="preserve">, soutenus par un groupe de 20 civils vêtus de tee-shirts blancs. Ces derniers, désignés comme </w:t>
      </w:r>
      <w:r w:rsidRPr="006F74B4">
        <w:rPr>
          <w:rFonts w:ascii="Times New Roman" w:hAnsi="Times New Roman"/>
          <w:color w:val="000000"/>
          <w:sz w:val="24"/>
          <w:szCs w:val="24"/>
          <w:lang w:val="fr-BE"/>
        </w:rPr>
        <w:lastRenderedPageBreak/>
        <w:t>“bandits” par la population, auraient incendié un nombre non déterminé de tentes et de maisonnettes, pendant que les policiers lançaient des gaz lacrymogènes et tiraient des coups de feu afin de forcer la population à évacuer les lieux. Au cours de cette opération, le bureau du comité du camp, la réserve d’eau et des biens privés ont été brûlés. Le jour suivant, un des juges de paix de Cabaret est venu au camp pour rédiger son constat. Cependant, le 5 octobre, la police et le</w:t>
      </w:r>
      <w:r>
        <w:rPr>
          <w:rFonts w:ascii="Times New Roman" w:hAnsi="Times New Roman"/>
          <w:color w:val="000000"/>
          <w:sz w:val="24"/>
          <w:szCs w:val="24"/>
          <w:lang w:val="fr-BE"/>
        </w:rPr>
        <w:t xml:space="preserve"> groupe décrit par la population comme les</w:t>
      </w:r>
      <w:r w:rsidRPr="006F74B4">
        <w:rPr>
          <w:rFonts w:ascii="Times New Roman" w:hAnsi="Times New Roman"/>
          <w:color w:val="000000"/>
          <w:sz w:val="24"/>
          <w:szCs w:val="24"/>
          <w:lang w:val="fr-BE"/>
        </w:rPr>
        <w:t xml:space="preserve"> « bandits » sont revenus pour finir de détruire le camp. Une femme de 43 ans aurait été violée par deux “bandits” alors qu’elle s’enfuyait. Selon différentes sources, des propriétaires terriens privés, qui se seraient déjà opposés à la présence de ces personnes sur ce terrain auraient “commandité” cette opération</w:t>
      </w:r>
      <w:r w:rsidRPr="006F74B4">
        <w:rPr>
          <w:rStyle w:val="FootnoteReference"/>
          <w:rFonts w:ascii="Times New Roman" w:hAnsi="Times New Roman"/>
          <w:color w:val="000000"/>
          <w:sz w:val="24"/>
          <w:szCs w:val="24"/>
          <w:lang w:val="fr-BE"/>
        </w:rPr>
        <w:footnoteReference w:id="15"/>
      </w:r>
      <w:r w:rsidRPr="006F74B4">
        <w:rPr>
          <w:rFonts w:ascii="Times New Roman" w:hAnsi="Times New Roman"/>
          <w:color w:val="000000"/>
          <w:sz w:val="24"/>
          <w:szCs w:val="24"/>
          <w:lang w:val="fr-BE"/>
        </w:rPr>
        <w:t xml:space="preserve">. </w:t>
      </w:r>
    </w:p>
    <w:p w:rsidR="008673B7" w:rsidRPr="007967B5" w:rsidRDefault="008673B7" w:rsidP="008673B7">
      <w:pPr>
        <w:pStyle w:val="Heading3"/>
        <w:rPr>
          <w:rFonts w:ascii="Times New Roman" w:hAnsi="Times New Roman" w:cs="Times New Roman"/>
          <w:i/>
          <w:iCs/>
          <w:lang w:val="fr-FR"/>
        </w:rPr>
      </w:pPr>
      <w:bookmarkStart w:id="24" w:name="_Toc350156699"/>
      <w:r w:rsidRPr="007967B5">
        <w:rPr>
          <w:rFonts w:ascii="Times New Roman" w:hAnsi="Times New Roman" w:cs="Times New Roman"/>
          <w:i/>
          <w:lang w:val="fr-CA"/>
        </w:rPr>
        <w:t>Usage excessif de la force dans le cadre de la répression de mouvements de protestation ou d’opérations anti-criminalité</w:t>
      </w:r>
      <w:bookmarkEnd w:id="24"/>
      <w:r w:rsidRPr="007967B5">
        <w:rPr>
          <w:rFonts w:ascii="Times New Roman" w:hAnsi="Times New Roman" w:cs="Times New Roman"/>
          <w:i/>
          <w:lang w:val="fr-CA"/>
        </w:rPr>
        <w:t xml:space="preserv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Au dernier semestre 2012, les éléments des forces de l’ordre ont, à plusieurs reprises, fait l’objet d’allégations d’un usage excessif de la force lors de manifestations ou d’opérations anti-criminalité.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Le 31 juillet, à Martissant, commune de Port-au-Prince (</w:t>
      </w:r>
      <w:r>
        <w:rPr>
          <w:rFonts w:ascii="Times New Roman" w:hAnsi="Times New Roman"/>
          <w:iCs/>
          <w:sz w:val="24"/>
          <w:szCs w:val="24"/>
          <w:lang w:val="fr-FR"/>
        </w:rPr>
        <w:t>département de l’Ouest</w:t>
      </w:r>
      <w:r w:rsidRPr="006F74B4">
        <w:rPr>
          <w:rFonts w:ascii="Times New Roman" w:hAnsi="Times New Roman"/>
          <w:iCs/>
          <w:sz w:val="24"/>
          <w:szCs w:val="24"/>
          <w:lang w:val="fr-FR"/>
        </w:rPr>
        <w:t>), des agents de la PNH s’en sont pris à la population après que plusieurs de leurs collègues eurent été blessés dans une attaque par des individus armés. Selon différentes sources, les agents locaux de la PNH appuyés par des agents d’autres localités et des membres des UDMO ont pénétré sans mandats dans les habitations des « suspects », ont jeté leurs biens dans la rue et les ont brûlés. Pendant l’opération, des habitants du quartier et des passants auraient été malmenés par les agents. L’Inspection générale de la PNH (IGPNH) a été saisie de la question et plusieurs policiers ont été mis en mesure conservatoire</w:t>
      </w:r>
      <w:r w:rsidRPr="006F74B4">
        <w:rPr>
          <w:rStyle w:val="FootnoteReference"/>
          <w:rFonts w:ascii="Times New Roman" w:hAnsi="Times New Roman"/>
          <w:iCs/>
          <w:sz w:val="24"/>
          <w:szCs w:val="24"/>
          <w:lang w:val="fr-FR"/>
        </w:rPr>
        <w:footnoteReference w:id="16"/>
      </w:r>
      <w:r w:rsidRPr="006F74B4">
        <w:rPr>
          <w:rFonts w:ascii="Times New Roman" w:hAnsi="Times New Roman"/>
          <w:iCs/>
          <w:sz w:val="24"/>
          <w:szCs w:val="24"/>
          <w:lang w:val="fr-FR"/>
        </w:rPr>
        <w:t xml:space="preserve">. Ils ont ensuite été renvoyés à leur service.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 Le 4 octobre, à Barette (section communale de Petit Goâve, </w:t>
      </w:r>
      <w:r>
        <w:rPr>
          <w:rFonts w:ascii="Times New Roman" w:hAnsi="Times New Roman"/>
          <w:iCs/>
          <w:sz w:val="24"/>
          <w:szCs w:val="24"/>
          <w:lang w:val="fr-FR"/>
        </w:rPr>
        <w:t>département de l’Ouest</w:t>
      </w:r>
      <w:r w:rsidRPr="006F74B4">
        <w:rPr>
          <w:rFonts w:ascii="Times New Roman" w:hAnsi="Times New Roman"/>
          <w:iCs/>
          <w:sz w:val="24"/>
          <w:szCs w:val="24"/>
          <w:lang w:val="fr-FR"/>
        </w:rPr>
        <w:t>), des membres de la PNH ont détruit des propriétés, tué du bétail et frappé deux conducteurs de motocyclettes avant de brûler ces dernières. Une femme âgée de 81 ans est décédée après avoir inhalé des gaz lacrymogènes.</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Le 8 octobre, à Fort-Liberté (</w:t>
      </w:r>
      <w:r>
        <w:rPr>
          <w:rFonts w:ascii="Times New Roman" w:hAnsi="Times New Roman"/>
          <w:iCs/>
          <w:sz w:val="24"/>
          <w:szCs w:val="24"/>
          <w:lang w:val="fr-FR"/>
        </w:rPr>
        <w:t>département du Nord</w:t>
      </w:r>
      <w:r w:rsidRPr="006F74B4">
        <w:rPr>
          <w:rFonts w:ascii="Times New Roman" w:hAnsi="Times New Roman"/>
          <w:iCs/>
          <w:sz w:val="24"/>
          <w:szCs w:val="24"/>
          <w:lang w:val="fr-FR"/>
        </w:rPr>
        <w:t>-est), un homme a été tué et un autre blessé lors de protestations contre l’annulation d’un projet de construction portuaire dans la ville. L’homme</w:t>
      </w:r>
      <w:r>
        <w:rPr>
          <w:rFonts w:ascii="Times New Roman" w:hAnsi="Times New Roman"/>
          <w:iCs/>
          <w:sz w:val="24"/>
          <w:szCs w:val="24"/>
          <w:lang w:val="fr-FR"/>
        </w:rPr>
        <w:t>,</w:t>
      </w:r>
      <w:r w:rsidRPr="006F74B4">
        <w:rPr>
          <w:rFonts w:ascii="Times New Roman" w:hAnsi="Times New Roman"/>
          <w:iCs/>
          <w:sz w:val="24"/>
          <w:szCs w:val="24"/>
          <w:lang w:val="fr-FR"/>
        </w:rPr>
        <w:t xml:space="preserve"> </w:t>
      </w:r>
      <w:r>
        <w:rPr>
          <w:rFonts w:ascii="Times New Roman" w:hAnsi="Times New Roman"/>
          <w:iCs/>
          <w:sz w:val="24"/>
          <w:szCs w:val="24"/>
          <w:lang w:val="fr-FR"/>
        </w:rPr>
        <w:t xml:space="preserve">faisant partie d’un groupe </w:t>
      </w:r>
      <w:r w:rsidRPr="00170A19">
        <w:rPr>
          <w:rFonts w:ascii="Times New Roman" w:hAnsi="Times New Roman"/>
          <w:iCs/>
          <w:sz w:val="24"/>
          <w:szCs w:val="24"/>
          <w:lang w:val="fr-FR"/>
        </w:rPr>
        <w:t>qui aurait lancé des pierres à l’encontre des policiers,</w:t>
      </w:r>
      <w:r w:rsidRPr="006F74B4">
        <w:rPr>
          <w:rFonts w:ascii="Times New Roman" w:hAnsi="Times New Roman"/>
          <w:iCs/>
          <w:sz w:val="24"/>
          <w:szCs w:val="24"/>
          <w:lang w:val="fr-FR"/>
        </w:rPr>
        <w:t xml:space="preserve"> serait mort après avoir reçu une balle dans le dos,</w:t>
      </w:r>
      <w:r>
        <w:rPr>
          <w:rFonts w:ascii="Times New Roman" w:hAnsi="Times New Roman"/>
          <w:iCs/>
          <w:sz w:val="24"/>
          <w:szCs w:val="24"/>
          <w:lang w:val="fr-FR"/>
        </w:rPr>
        <w:t xml:space="preserve"> </w:t>
      </w:r>
      <w:r w:rsidRPr="006F74B4">
        <w:rPr>
          <w:rFonts w:ascii="Times New Roman" w:hAnsi="Times New Roman"/>
          <w:iCs/>
          <w:sz w:val="24"/>
          <w:szCs w:val="24"/>
          <w:lang w:val="fr-FR"/>
        </w:rPr>
        <w:t xml:space="preserve">tirée par un membre identifié de l’UDMO qui aurait ouvert le feu pour disperser la foule. Par la suite, un autre homme, venu voir le corps de l’homme abattu, déposé près du commissariat de police et de la prison de Fort-Liberté, a été blessé d’une balle qui aurait été tirée par un agent identifié de la </w:t>
      </w:r>
      <w:r>
        <w:rPr>
          <w:rFonts w:ascii="Times New Roman" w:hAnsi="Times New Roman"/>
          <w:iCs/>
          <w:sz w:val="24"/>
          <w:szCs w:val="24"/>
          <w:lang w:val="fr-FR"/>
        </w:rPr>
        <w:t>D</w:t>
      </w:r>
      <w:r w:rsidRPr="006F74B4">
        <w:rPr>
          <w:rFonts w:ascii="Times New Roman" w:hAnsi="Times New Roman"/>
          <w:bCs/>
          <w:sz w:val="24"/>
          <w:szCs w:val="24"/>
          <w:lang w:val="fr-FR"/>
        </w:rPr>
        <w:t>irection de l’administration pénitentiaire (DAP</w:t>
      </w:r>
      <w:r>
        <w:rPr>
          <w:rFonts w:ascii="Times New Roman" w:hAnsi="Times New Roman"/>
          <w:iCs/>
          <w:sz w:val="24"/>
          <w:szCs w:val="24"/>
          <w:lang w:val="fr-FR"/>
        </w:rPr>
        <w:t>)</w:t>
      </w:r>
      <w:r w:rsidRPr="006F74B4">
        <w:rPr>
          <w:rFonts w:ascii="Times New Roman" w:hAnsi="Times New Roman"/>
          <w:iCs/>
          <w:sz w:val="24"/>
          <w:szCs w:val="24"/>
          <w:lang w:val="fr-FR"/>
        </w:rPr>
        <w:t>, alors en patrouille autour de la prison. Selon les autorités de la PNH, le membre de l’UDMO a dû rendre son arme et son badge et soumettre un rapport à sa hiérarchie. Toutefois, il a été transféré aux Cayes (</w:t>
      </w:r>
      <w:r>
        <w:rPr>
          <w:rFonts w:ascii="Times New Roman" w:hAnsi="Times New Roman"/>
          <w:iCs/>
          <w:sz w:val="24"/>
          <w:szCs w:val="24"/>
          <w:lang w:val="fr-FR"/>
        </w:rPr>
        <w:t>département du Sud</w:t>
      </w:r>
      <w:r w:rsidRPr="006F74B4">
        <w:rPr>
          <w:rFonts w:ascii="Times New Roman" w:hAnsi="Times New Roman"/>
          <w:iCs/>
          <w:sz w:val="24"/>
          <w:szCs w:val="24"/>
          <w:lang w:val="fr-FR"/>
        </w:rPr>
        <w:t xml:space="preserve">) et aucune enquête n’a été ouverte. Aucune enquête n’a, non plus, été ouverte concernant l’agent de la DAP.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sz w:val="24"/>
          <w:szCs w:val="24"/>
          <w:lang w:val="fr-BE"/>
        </w:rPr>
      </w:pPr>
      <w:r w:rsidRPr="006F74B4">
        <w:rPr>
          <w:rFonts w:ascii="Times New Roman" w:hAnsi="Times New Roman"/>
          <w:iCs/>
          <w:sz w:val="24"/>
          <w:szCs w:val="24"/>
          <w:lang w:val="fr-FR"/>
        </w:rPr>
        <w:t xml:space="preserve">- Le 30 novembre, </w:t>
      </w:r>
      <w:r>
        <w:rPr>
          <w:rFonts w:ascii="Times New Roman" w:hAnsi="Times New Roman"/>
          <w:iCs/>
          <w:sz w:val="24"/>
          <w:szCs w:val="24"/>
          <w:lang w:val="fr-FR"/>
        </w:rPr>
        <w:t xml:space="preserve">au cours de démonstrations </w:t>
      </w:r>
      <w:r w:rsidRPr="006F74B4">
        <w:rPr>
          <w:rFonts w:ascii="Times New Roman" w:hAnsi="Times New Roman"/>
          <w:iCs/>
          <w:sz w:val="24"/>
          <w:szCs w:val="24"/>
          <w:lang w:val="fr-FR"/>
        </w:rPr>
        <w:t>à</w:t>
      </w:r>
      <w:r w:rsidRPr="006F74B4">
        <w:rPr>
          <w:rFonts w:ascii="Times New Roman" w:hAnsi="Times New Roman"/>
          <w:i/>
          <w:iCs/>
          <w:sz w:val="24"/>
          <w:szCs w:val="24"/>
          <w:lang w:val="fr-FR"/>
        </w:rPr>
        <w:t xml:space="preserve"> </w:t>
      </w:r>
      <w:r w:rsidRPr="006F74B4">
        <w:rPr>
          <w:rFonts w:ascii="Times New Roman" w:hAnsi="Times New Roman"/>
          <w:iCs/>
          <w:sz w:val="24"/>
          <w:szCs w:val="24"/>
          <w:lang w:val="fr-FR"/>
        </w:rPr>
        <w:t xml:space="preserve">Jérémie (département de la </w:t>
      </w:r>
      <w:r w:rsidR="00B71B61">
        <w:rPr>
          <w:rFonts w:ascii="Times New Roman" w:hAnsi="Times New Roman"/>
          <w:iCs/>
          <w:sz w:val="24"/>
          <w:szCs w:val="24"/>
          <w:lang w:val="fr-FR"/>
        </w:rPr>
        <w:t xml:space="preserve">Grande </w:t>
      </w:r>
      <w:r>
        <w:rPr>
          <w:rFonts w:ascii="Times New Roman" w:hAnsi="Times New Roman"/>
          <w:iCs/>
          <w:sz w:val="24"/>
          <w:szCs w:val="24"/>
          <w:lang w:val="fr-FR"/>
        </w:rPr>
        <w:t>Anse</w:t>
      </w:r>
      <w:r w:rsidRPr="006F74B4">
        <w:rPr>
          <w:rFonts w:ascii="Times New Roman" w:hAnsi="Times New Roman"/>
          <w:iCs/>
          <w:sz w:val="24"/>
          <w:szCs w:val="24"/>
          <w:lang w:val="fr-FR"/>
        </w:rPr>
        <w:t>), un homme a été tué par balles et trois autres ont été grièvement blessés, lorsqu’un membre des forces, très probablement de celles venues en renfort de Port-au-Prince (Corps des brigades motorisés et Corps d’intervention et de maintien de l’ordre), a</w:t>
      </w:r>
      <w:r>
        <w:rPr>
          <w:rFonts w:ascii="Times New Roman" w:hAnsi="Times New Roman"/>
          <w:iCs/>
          <w:sz w:val="24"/>
          <w:szCs w:val="24"/>
          <w:lang w:val="fr-FR"/>
        </w:rPr>
        <w:t>urait</w:t>
      </w:r>
      <w:r w:rsidRPr="006F74B4">
        <w:rPr>
          <w:rFonts w:ascii="Times New Roman" w:hAnsi="Times New Roman"/>
          <w:iCs/>
          <w:sz w:val="24"/>
          <w:szCs w:val="24"/>
          <w:lang w:val="fr-FR"/>
        </w:rPr>
        <w:t xml:space="preserve"> tiré</w:t>
      </w:r>
      <w:r w:rsidRPr="003D086D">
        <w:rPr>
          <w:rFonts w:ascii="Times New Roman" w:hAnsi="Times New Roman"/>
          <w:iCs/>
          <w:sz w:val="24"/>
          <w:szCs w:val="24"/>
          <w:lang w:val="fr-FR"/>
        </w:rPr>
        <w:t xml:space="preserve"> </w:t>
      </w:r>
      <w:r>
        <w:rPr>
          <w:rFonts w:ascii="Times New Roman" w:hAnsi="Times New Roman"/>
          <w:iCs/>
          <w:sz w:val="24"/>
          <w:szCs w:val="24"/>
          <w:lang w:val="fr-FR"/>
        </w:rPr>
        <w:t>au hasard pour disperser</w:t>
      </w:r>
      <w:r w:rsidRPr="006F74B4">
        <w:rPr>
          <w:rFonts w:ascii="Times New Roman" w:hAnsi="Times New Roman"/>
          <w:iCs/>
          <w:sz w:val="24"/>
          <w:szCs w:val="24"/>
          <w:lang w:val="fr-FR"/>
        </w:rPr>
        <w:t xml:space="preserve"> les manifestants, qui protestaient contre le retrait d’une compagnie étrangère privée contractée pour construire une partie de la route nationale 2. Fin 2012, aucune arrestation n’avait encore eu lieu et aucune enquête n’avait été ouverte par le parquet. L</w:t>
      </w:r>
      <w:r w:rsidRPr="006F74B4">
        <w:rPr>
          <w:rFonts w:ascii="Times New Roman" w:hAnsi="Times New Roman"/>
          <w:bCs/>
          <w:sz w:val="24"/>
          <w:szCs w:val="24"/>
          <w:lang w:val="fr-BE"/>
        </w:rPr>
        <w:t>a famille de la victime a reçu la somme de 400,000 HTG (10.000 US$) de la part des autorités, en dehors de toute procédure civile.</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Le 10 décembre, des agents de l’UDMO ont réprimé des manifestations</w:t>
      </w:r>
      <w:r w:rsidRPr="006F74B4">
        <w:rPr>
          <w:rFonts w:ascii="Times New Roman" w:hAnsi="Times New Roman"/>
          <w:i/>
          <w:iCs/>
          <w:sz w:val="24"/>
          <w:szCs w:val="24"/>
          <w:lang w:val="fr-FR"/>
        </w:rPr>
        <w:t xml:space="preserve"> </w:t>
      </w:r>
      <w:r w:rsidRPr="006F74B4">
        <w:rPr>
          <w:rFonts w:ascii="Times New Roman" w:hAnsi="Times New Roman"/>
          <w:iCs/>
          <w:sz w:val="24"/>
          <w:szCs w:val="24"/>
          <w:lang w:val="fr-FR"/>
        </w:rPr>
        <w:t xml:space="preserve">organisées par des personnes vivant au camp Pelé, à Port-au-Prince, qui avaient érigé des barricades, afin de protester contre leurs conditions de vie et demander leur relocalisation. Les agents ont utilisé des gaz lacrymogènes, ont battu les manifestants et ont tiré sur eux, blessant cinq personnes, dont quatre par balle, y compris un bébé de sept mois. Plus de 300 tentes ont été endommagées à coups de couteaux. Selon les occupants du camp, ces violences policières ont pris fin lors de l’arrivée des patrouilles de la MINUSTAH. </w:t>
      </w:r>
    </w:p>
    <w:p w:rsidR="008673B7" w:rsidRPr="006F74B4" w:rsidRDefault="008673B7" w:rsidP="007967B5">
      <w:pPr>
        <w:autoSpaceDE w:val="0"/>
        <w:autoSpaceDN w:val="0"/>
        <w:adjustRightInd w:val="0"/>
        <w:spacing w:after="0" w:line="240" w:lineRule="auto"/>
        <w:jc w:val="both"/>
        <w:rPr>
          <w:rFonts w:ascii="Times New Roman" w:hAnsi="Times New Roman"/>
          <w:iCs/>
          <w:sz w:val="24"/>
          <w:szCs w:val="24"/>
          <w:lang w:val="fr-FR"/>
        </w:rPr>
      </w:pPr>
    </w:p>
    <w:p w:rsidR="008673B7" w:rsidRPr="007967B5" w:rsidRDefault="008673B7" w:rsidP="007967B5">
      <w:pPr>
        <w:pStyle w:val="Heading3"/>
        <w:spacing w:before="0" w:line="240" w:lineRule="auto"/>
        <w:rPr>
          <w:rFonts w:ascii="Times New Roman" w:hAnsi="Times New Roman" w:cs="Times New Roman"/>
          <w:i/>
          <w:lang w:val="fr-FR"/>
        </w:rPr>
      </w:pPr>
      <w:bookmarkStart w:id="25" w:name="_Toc350156700"/>
      <w:r w:rsidRPr="007967B5">
        <w:rPr>
          <w:rFonts w:ascii="Times New Roman" w:hAnsi="Times New Roman" w:cs="Times New Roman"/>
          <w:i/>
          <w:lang w:val="fr-FR"/>
        </w:rPr>
        <w:t>Usage excessif de la force dans le cadre d’incidents isolés</w:t>
      </w:r>
      <w:bookmarkEnd w:id="25"/>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bCs/>
          <w:iCs/>
          <w:sz w:val="24"/>
          <w:szCs w:val="24"/>
          <w:lang w:val="fr-FR"/>
        </w:rPr>
        <w:t xml:space="preserve">- Le 29 octobre, </w:t>
      </w:r>
      <w:r w:rsidRPr="00AF16DE">
        <w:rPr>
          <w:rFonts w:ascii="Times New Roman" w:hAnsi="Times New Roman"/>
          <w:bCs/>
          <w:iCs/>
          <w:sz w:val="24"/>
          <w:szCs w:val="24"/>
          <w:lang w:val="fr-FR"/>
        </w:rPr>
        <w:t>à Terrier Rouge (département du Nord-est</w:t>
      </w:r>
      <w:r>
        <w:rPr>
          <w:rFonts w:ascii="Times New Roman" w:hAnsi="Times New Roman"/>
          <w:bCs/>
          <w:iCs/>
          <w:sz w:val="24"/>
          <w:szCs w:val="24"/>
          <w:lang w:val="fr-FR"/>
        </w:rPr>
        <w:t xml:space="preserve">), </w:t>
      </w:r>
      <w:r w:rsidRPr="006F74B4">
        <w:rPr>
          <w:rFonts w:ascii="Times New Roman" w:hAnsi="Times New Roman"/>
          <w:bCs/>
          <w:iCs/>
          <w:sz w:val="24"/>
          <w:szCs w:val="24"/>
          <w:lang w:val="fr-FR"/>
        </w:rPr>
        <w:t xml:space="preserve">un agent de la </w:t>
      </w:r>
      <w:r w:rsidRPr="006F74B4">
        <w:rPr>
          <w:rFonts w:ascii="Times New Roman" w:hAnsi="Times New Roman"/>
          <w:iCs/>
          <w:sz w:val="24"/>
          <w:szCs w:val="24"/>
          <w:lang w:val="fr-FR"/>
        </w:rPr>
        <w:t>DGD</w:t>
      </w:r>
      <w:r w:rsidRPr="006F74B4">
        <w:rPr>
          <w:rFonts w:ascii="Times New Roman" w:hAnsi="Times New Roman"/>
          <w:bCs/>
          <w:iCs/>
          <w:sz w:val="24"/>
          <w:szCs w:val="24"/>
          <w:lang w:val="fr-FR"/>
        </w:rPr>
        <w:t xml:space="preserve"> a tiré sur un véhicule pensant que le conducteur cherchait à échapper à un contrôle, blessant quatre personnes dont une grièvement. L’agent public a été arrêté et son arme confisquée. Toutefois, </w:t>
      </w:r>
      <w:r w:rsidRPr="006F74B4">
        <w:rPr>
          <w:rFonts w:ascii="Times New Roman" w:hAnsi="Times New Roman"/>
          <w:iCs/>
          <w:sz w:val="24"/>
          <w:szCs w:val="24"/>
          <w:lang w:val="fr-FR"/>
        </w:rPr>
        <w:t xml:space="preserve">il </w:t>
      </w:r>
      <w:r>
        <w:rPr>
          <w:rFonts w:ascii="Times New Roman" w:hAnsi="Times New Roman"/>
          <w:iCs/>
          <w:sz w:val="24"/>
          <w:szCs w:val="24"/>
          <w:lang w:val="fr-FR"/>
        </w:rPr>
        <w:t>était</w:t>
      </w:r>
      <w:r w:rsidRPr="006F74B4">
        <w:rPr>
          <w:rFonts w:ascii="Times New Roman" w:hAnsi="Times New Roman"/>
          <w:iCs/>
          <w:sz w:val="24"/>
          <w:szCs w:val="24"/>
          <w:lang w:val="fr-FR"/>
        </w:rPr>
        <w:t xml:space="preserve"> libéré quatre jours plus tard sur ordre du commissaire du gouvernement de Fort-Liberté. Fin 2012, son arme lui avait été rendue et il avait réintégré son poste.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 </w:t>
      </w:r>
      <w:r w:rsidRPr="00DF46E7">
        <w:rPr>
          <w:rFonts w:ascii="Times New Roman" w:hAnsi="Times New Roman"/>
          <w:iCs/>
          <w:sz w:val="24"/>
          <w:szCs w:val="24"/>
          <w:lang w:val="fr-BE"/>
        </w:rPr>
        <w:t>Le 17 novembre, à Quartier Morin (département du Nord), un agent de la PNH a tué par balles deux personnes, dont une femme, qui</w:t>
      </w:r>
      <w:r>
        <w:rPr>
          <w:rFonts w:ascii="Times New Roman" w:hAnsi="Times New Roman"/>
          <w:iCs/>
          <w:sz w:val="24"/>
          <w:szCs w:val="24"/>
          <w:lang w:val="fr-BE"/>
        </w:rPr>
        <w:t xml:space="preserve"> </w:t>
      </w:r>
      <w:r w:rsidRPr="00DF46E7">
        <w:rPr>
          <w:rFonts w:ascii="Times New Roman" w:hAnsi="Times New Roman"/>
          <w:iCs/>
          <w:sz w:val="24"/>
          <w:szCs w:val="24"/>
          <w:lang w:val="fr-BE"/>
        </w:rPr>
        <w:t xml:space="preserve">se trouvaient aux alentours d’une distribution de nourriture et de vêtements devant le commissariat de la commune. L’agent de la PNH avait ouvert le feu pour empêcher le pillage des produits de la distribution par un groupe de personnes  Fin décembre 2012, le policier suspecté d’être l’auteur des tirs était toujours en poste au commissariat de Quartier Morin et une enquête administrative était en cours. Une plainte, déposée par les familles des victimes auprès du parquet du tribunal de première instance de Cap Haïtien, était en cours d’instruction. </w:t>
      </w:r>
    </w:p>
    <w:p w:rsidR="008673B7" w:rsidRPr="006F74B4" w:rsidRDefault="008673B7" w:rsidP="006F4C31">
      <w:pPr>
        <w:autoSpaceDE w:val="0"/>
        <w:autoSpaceDN w:val="0"/>
        <w:adjustRightInd w:val="0"/>
        <w:spacing w:line="240" w:lineRule="auto"/>
        <w:jc w:val="both"/>
        <w:rPr>
          <w:rFonts w:ascii="Times New Roman" w:hAnsi="Times New Roman"/>
          <w:iCs/>
          <w:sz w:val="24"/>
          <w:szCs w:val="24"/>
          <w:lang w:val="fr-FR"/>
        </w:rPr>
      </w:pPr>
    </w:p>
    <w:p w:rsidR="008673B7" w:rsidRPr="007967B5" w:rsidRDefault="008673B7" w:rsidP="007967B5">
      <w:pPr>
        <w:pStyle w:val="Heading3"/>
        <w:rPr>
          <w:rFonts w:cs="Times New Roman"/>
          <w:lang w:val="fr-FR"/>
        </w:rPr>
      </w:pPr>
      <w:bookmarkStart w:id="26" w:name="_Toc350156701"/>
      <w:r w:rsidRPr="007967B5">
        <w:rPr>
          <w:rFonts w:cs="Times New Roman"/>
          <w:lang w:val="fr-FR"/>
        </w:rPr>
        <w:t>I</w:t>
      </w:r>
      <w:r w:rsidR="00A8570F">
        <w:rPr>
          <w:rFonts w:cs="Times New Roman"/>
          <w:lang w:val="fr-FR"/>
        </w:rPr>
        <w:t>I</w:t>
      </w:r>
      <w:r w:rsidRPr="007967B5">
        <w:rPr>
          <w:rFonts w:cs="Times New Roman"/>
          <w:lang w:val="fr-FR"/>
        </w:rPr>
        <w:t>I.1.2. Actes de mauvais traitements</w:t>
      </w:r>
      <w:bookmarkEnd w:id="26"/>
      <w:r w:rsidRPr="007967B5">
        <w:rPr>
          <w:rFonts w:cs="Times New Roman"/>
          <w:lang w:val="fr-FR"/>
        </w:rPr>
        <w:t xml:space="preserve"> </w:t>
      </w:r>
    </w:p>
    <w:p w:rsidR="008673B7" w:rsidRPr="006F74B4" w:rsidRDefault="008673B7" w:rsidP="008673B7">
      <w:pPr>
        <w:pStyle w:val="ListParagraph"/>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 xml:space="preserve">Au cours de la période en revue, des allégations de mauvais traitements </w:t>
      </w:r>
      <w:r>
        <w:rPr>
          <w:rFonts w:ascii="Times New Roman" w:hAnsi="Times New Roman"/>
          <w:bCs/>
          <w:iCs/>
          <w:sz w:val="24"/>
          <w:szCs w:val="24"/>
          <w:lang w:val="fr-FR"/>
        </w:rPr>
        <w:t>commis par</w:t>
      </w:r>
      <w:r w:rsidRPr="006F74B4">
        <w:rPr>
          <w:rFonts w:ascii="Times New Roman" w:hAnsi="Times New Roman"/>
          <w:bCs/>
          <w:iCs/>
          <w:sz w:val="24"/>
          <w:szCs w:val="24"/>
          <w:lang w:val="fr-FR"/>
        </w:rPr>
        <w:t xml:space="preserve"> des agents de la PNH et des agents de la DAP ont été documentés par la SDH à Arc</w:t>
      </w:r>
      <w:r>
        <w:rPr>
          <w:rFonts w:ascii="Times New Roman" w:hAnsi="Times New Roman"/>
          <w:bCs/>
          <w:iCs/>
          <w:sz w:val="24"/>
          <w:szCs w:val="24"/>
          <w:lang w:val="fr-FR"/>
        </w:rPr>
        <w:t>a</w:t>
      </w:r>
      <w:r w:rsidRPr="006F74B4">
        <w:rPr>
          <w:rFonts w:ascii="Times New Roman" w:hAnsi="Times New Roman"/>
          <w:bCs/>
          <w:iCs/>
          <w:sz w:val="24"/>
          <w:szCs w:val="24"/>
          <w:lang w:val="fr-FR"/>
        </w:rPr>
        <w:t>haie (</w:t>
      </w:r>
      <w:r>
        <w:rPr>
          <w:rFonts w:ascii="Times New Roman" w:hAnsi="Times New Roman"/>
          <w:bCs/>
          <w:iCs/>
          <w:sz w:val="24"/>
          <w:szCs w:val="24"/>
          <w:lang w:val="fr-FR"/>
        </w:rPr>
        <w:t>département de l’Ouest</w:t>
      </w:r>
      <w:r w:rsidRPr="006F74B4">
        <w:rPr>
          <w:rFonts w:ascii="Times New Roman" w:hAnsi="Times New Roman"/>
          <w:bCs/>
          <w:iCs/>
          <w:sz w:val="24"/>
          <w:szCs w:val="24"/>
          <w:lang w:val="fr-FR"/>
        </w:rPr>
        <w:t>), à Cap Haïtien (</w:t>
      </w:r>
      <w:r>
        <w:rPr>
          <w:rFonts w:ascii="Times New Roman" w:hAnsi="Times New Roman"/>
          <w:bCs/>
          <w:iCs/>
          <w:sz w:val="24"/>
          <w:szCs w:val="24"/>
          <w:lang w:val="fr-FR"/>
        </w:rPr>
        <w:t>département du Nord</w:t>
      </w:r>
      <w:r w:rsidRPr="006F74B4">
        <w:rPr>
          <w:rFonts w:ascii="Times New Roman" w:hAnsi="Times New Roman"/>
          <w:bCs/>
          <w:iCs/>
          <w:sz w:val="24"/>
          <w:szCs w:val="24"/>
          <w:lang w:val="fr-FR"/>
        </w:rPr>
        <w:t>) et à Trou-du-Nord (</w:t>
      </w:r>
      <w:r>
        <w:rPr>
          <w:rFonts w:ascii="Times New Roman" w:hAnsi="Times New Roman"/>
          <w:bCs/>
          <w:iCs/>
          <w:sz w:val="24"/>
          <w:szCs w:val="24"/>
          <w:lang w:val="fr-FR"/>
        </w:rPr>
        <w:t>département du Nord</w:t>
      </w:r>
      <w:r w:rsidRPr="006F74B4">
        <w:rPr>
          <w:rFonts w:ascii="Times New Roman" w:hAnsi="Times New Roman"/>
          <w:bCs/>
          <w:iCs/>
          <w:sz w:val="24"/>
          <w:szCs w:val="24"/>
          <w:lang w:val="fr-FR"/>
        </w:rPr>
        <w:t>-est). La réponse des autorités judiciaires et disciplinaires donnée à ces cas est inégale.</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sz w:val="24"/>
          <w:szCs w:val="24"/>
          <w:lang w:val="fr-BE"/>
        </w:rPr>
      </w:pPr>
      <w:r w:rsidRPr="006F74B4">
        <w:rPr>
          <w:rFonts w:ascii="Times New Roman" w:hAnsi="Times New Roman"/>
          <w:sz w:val="24"/>
          <w:szCs w:val="24"/>
          <w:lang w:val="fr-BE"/>
        </w:rPr>
        <w:t>- Le 4 octobre, la SDH s’est entretenue avec un homme de 30 ans, détenu à la prison de Cap Haïtien (</w:t>
      </w:r>
      <w:r>
        <w:rPr>
          <w:rFonts w:ascii="Times New Roman" w:hAnsi="Times New Roman"/>
          <w:sz w:val="24"/>
          <w:szCs w:val="24"/>
          <w:lang w:val="fr-BE"/>
        </w:rPr>
        <w:t>département du Nord</w:t>
      </w:r>
      <w:r w:rsidRPr="006F74B4">
        <w:rPr>
          <w:rFonts w:ascii="Times New Roman" w:hAnsi="Times New Roman"/>
          <w:sz w:val="24"/>
          <w:szCs w:val="24"/>
          <w:lang w:val="fr-BE"/>
        </w:rPr>
        <w:t xml:space="preserve">) depuis un mois pour avoir frappé un agent de la PNH. Selon ses déclarations, des gardiens de la prison l’ont régulièrement giflé et battu à l’aide d’un bâton. La </w:t>
      </w:r>
      <w:r w:rsidRPr="006F74B4">
        <w:rPr>
          <w:rFonts w:ascii="Times New Roman" w:hAnsi="Times New Roman"/>
          <w:sz w:val="24"/>
          <w:szCs w:val="24"/>
          <w:lang w:val="fr-BE"/>
        </w:rPr>
        <w:lastRenderedPageBreak/>
        <w:t>SDH a pu constater des traces de blessures sur son corps y compris sur ses parties génitales. Le 9 octobre, SDH a été informée qu’une enquête avait été ouverte afin d’identifier les auteurs de ces actes, toutefois, fin 2012, aucune suite n’y avait été donnée.</w:t>
      </w:r>
    </w:p>
    <w:p w:rsidR="008673B7" w:rsidRDefault="008673B7" w:rsidP="008673B7">
      <w:pPr>
        <w:autoSpaceDE w:val="0"/>
        <w:autoSpaceDN w:val="0"/>
        <w:adjustRightInd w:val="0"/>
        <w:spacing w:after="0" w:line="240" w:lineRule="auto"/>
        <w:jc w:val="both"/>
        <w:rPr>
          <w:rFonts w:ascii="Times New Roman" w:hAnsi="Times New Roman"/>
          <w:bCs/>
          <w:iCs/>
          <w:sz w:val="24"/>
          <w:szCs w:val="24"/>
          <w:lang w:val="fr-BE"/>
        </w:rPr>
      </w:pPr>
    </w:p>
    <w:p w:rsidR="008673B7" w:rsidRPr="006F74B4" w:rsidRDefault="008673B7" w:rsidP="008673B7">
      <w:pPr>
        <w:autoSpaceDE w:val="0"/>
        <w:autoSpaceDN w:val="0"/>
        <w:adjustRightInd w:val="0"/>
        <w:spacing w:after="0" w:line="240" w:lineRule="auto"/>
        <w:jc w:val="both"/>
        <w:rPr>
          <w:rFonts w:ascii="Times New Roman" w:hAnsi="Times New Roman"/>
          <w:sz w:val="24"/>
          <w:szCs w:val="24"/>
          <w:lang w:val="fr-BE"/>
        </w:rPr>
      </w:pPr>
      <w:r w:rsidRPr="006F74B4">
        <w:rPr>
          <w:rFonts w:ascii="Times New Roman" w:hAnsi="Times New Roman"/>
          <w:sz w:val="24"/>
          <w:szCs w:val="24"/>
          <w:lang w:val="fr-FR"/>
        </w:rPr>
        <w:t>- L</w:t>
      </w:r>
      <w:r w:rsidRPr="006F74B4">
        <w:rPr>
          <w:rFonts w:ascii="Times New Roman" w:hAnsi="Times New Roman"/>
          <w:sz w:val="24"/>
          <w:szCs w:val="24"/>
          <w:lang w:val="fr-BE"/>
        </w:rPr>
        <w:t>e 14 octobre, trois détenus de la prison d’Arcahaie (</w:t>
      </w:r>
      <w:r>
        <w:rPr>
          <w:rFonts w:ascii="Times New Roman" w:hAnsi="Times New Roman"/>
          <w:sz w:val="24"/>
          <w:szCs w:val="24"/>
          <w:lang w:val="fr-BE"/>
        </w:rPr>
        <w:t>département de l’Ouest</w:t>
      </w:r>
      <w:r w:rsidRPr="006F74B4">
        <w:rPr>
          <w:rFonts w:ascii="Times New Roman" w:hAnsi="Times New Roman"/>
          <w:sz w:val="24"/>
          <w:szCs w:val="24"/>
          <w:lang w:val="fr-BE"/>
        </w:rPr>
        <w:t>) ont informé la SDH que des gardiens de la prison les auraient battus avec des barres de fer et des bâtons le 18 septembre, indiquant que cela faisait partie de la “discipline”. Ils ont affirmé avoir pu consulter un docteur après les faits. Aucune mesure disciplinaire n’a été prise contre les gardiens impliqués, notamment le chef de poste et le chef des opérations</w:t>
      </w:r>
      <w:r>
        <w:rPr>
          <w:rFonts w:ascii="Times New Roman" w:hAnsi="Times New Roman"/>
          <w:sz w:val="24"/>
          <w:szCs w:val="24"/>
          <w:lang w:val="fr-BE"/>
        </w:rPr>
        <w:t>,</w:t>
      </w:r>
      <w:r w:rsidRPr="006F74B4">
        <w:rPr>
          <w:rFonts w:ascii="Times New Roman" w:hAnsi="Times New Roman"/>
          <w:sz w:val="24"/>
          <w:szCs w:val="24"/>
          <w:lang w:val="fr-BE"/>
        </w:rPr>
        <w:t xml:space="preserve"> que les détenus auraient formellement identifiés.</w:t>
      </w:r>
    </w:p>
    <w:p w:rsidR="008673B7" w:rsidRDefault="008673B7" w:rsidP="008673B7">
      <w:pPr>
        <w:autoSpaceDE w:val="0"/>
        <w:autoSpaceDN w:val="0"/>
        <w:adjustRightInd w:val="0"/>
        <w:spacing w:after="0" w:line="240" w:lineRule="auto"/>
        <w:jc w:val="both"/>
        <w:rPr>
          <w:rFonts w:ascii="Times New Roman" w:hAnsi="Times New Roman"/>
          <w:bCs/>
          <w:iCs/>
          <w:sz w:val="24"/>
          <w:szCs w:val="24"/>
          <w:lang w:val="fr-BE"/>
        </w:rPr>
      </w:pPr>
    </w:p>
    <w:p w:rsidR="006F4C31" w:rsidRDefault="008673B7" w:rsidP="006F4C31">
      <w:pPr>
        <w:spacing w:after="0" w:line="240" w:lineRule="auto"/>
        <w:jc w:val="both"/>
        <w:rPr>
          <w:rFonts w:ascii="Times New Roman" w:hAnsi="Times New Roman"/>
          <w:sz w:val="24"/>
          <w:szCs w:val="24"/>
          <w:lang w:val="fr-BE"/>
        </w:rPr>
      </w:pPr>
      <w:r w:rsidRPr="006F74B4">
        <w:rPr>
          <w:rFonts w:ascii="Times New Roman" w:hAnsi="Times New Roman"/>
          <w:sz w:val="24"/>
          <w:szCs w:val="24"/>
          <w:lang w:val="fr-BE"/>
        </w:rPr>
        <w:t>- Le 23 octobre, un homme s’est rendu au commissariat de Trou</w:t>
      </w:r>
      <w:r>
        <w:rPr>
          <w:rFonts w:ascii="Times New Roman" w:hAnsi="Times New Roman"/>
          <w:sz w:val="24"/>
          <w:szCs w:val="24"/>
          <w:lang w:val="fr-BE"/>
        </w:rPr>
        <w:t>-</w:t>
      </w:r>
      <w:r w:rsidRPr="006F74B4">
        <w:rPr>
          <w:rFonts w:ascii="Times New Roman" w:hAnsi="Times New Roman"/>
          <w:sz w:val="24"/>
          <w:szCs w:val="24"/>
          <w:lang w:val="fr-BE"/>
        </w:rPr>
        <w:t>du</w:t>
      </w:r>
      <w:r>
        <w:rPr>
          <w:rFonts w:ascii="Times New Roman" w:hAnsi="Times New Roman"/>
          <w:sz w:val="24"/>
          <w:szCs w:val="24"/>
          <w:lang w:val="fr-BE"/>
        </w:rPr>
        <w:t>-</w:t>
      </w:r>
      <w:r w:rsidRPr="006F74B4">
        <w:rPr>
          <w:rFonts w:ascii="Times New Roman" w:hAnsi="Times New Roman"/>
          <w:sz w:val="24"/>
          <w:szCs w:val="24"/>
          <w:lang w:val="fr-BE"/>
        </w:rPr>
        <w:t>Nord (</w:t>
      </w:r>
      <w:r>
        <w:rPr>
          <w:rFonts w:ascii="Times New Roman" w:hAnsi="Times New Roman"/>
          <w:sz w:val="24"/>
          <w:szCs w:val="24"/>
          <w:lang w:val="fr-BE"/>
        </w:rPr>
        <w:t>département du Nord</w:t>
      </w:r>
      <w:r w:rsidRPr="006F74B4">
        <w:rPr>
          <w:rFonts w:ascii="Times New Roman" w:hAnsi="Times New Roman"/>
          <w:sz w:val="24"/>
          <w:szCs w:val="24"/>
          <w:lang w:val="fr-BE"/>
        </w:rPr>
        <w:t>-est) pour porter plainte suite à une agression. Il affirme</w:t>
      </w:r>
      <w:r>
        <w:rPr>
          <w:rFonts w:ascii="Times New Roman" w:hAnsi="Times New Roman"/>
          <w:sz w:val="24"/>
          <w:szCs w:val="24"/>
          <w:lang w:val="fr-BE"/>
        </w:rPr>
        <w:t xml:space="preserve"> </w:t>
      </w:r>
      <w:r w:rsidRPr="006F74B4">
        <w:rPr>
          <w:rFonts w:ascii="Times New Roman" w:hAnsi="Times New Roman"/>
          <w:sz w:val="24"/>
          <w:szCs w:val="24"/>
          <w:lang w:val="fr-BE"/>
        </w:rPr>
        <w:t>avoir été giflé à plusieurs reprises par un officier de police</w:t>
      </w:r>
      <w:r w:rsidRPr="006F74B4">
        <w:rPr>
          <w:rFonts w:ascii="Times New Roman" w:hAnsi="Times New Roman"/>
          <w:bCs/>
          <w:iCs/>
          <w:sz w:val="24"/>
          <w:szCs w:val="24"/>
          <w:lang w:val="fr-BE"/>
        </w:rPr>
        <w:t>,</w:t>
      </w:r>
      <w:r w:rsidRPr="006F74B4">
        <w:rPr>
          <w:rFonts w:ascii="Times New Roman" w:hAnsi="Times New Roman"/>
          <w:bCs/>
          <w:i/>
          <w:iCs/>
          <w:sz w:val="24"/>
          <w:szCs w:val="24"/>
          <w:lang w:val="fr-BE"/>
        </w:rPr>
        <w:t xml:space="preserve"> </w:t>
      </w:r>
      <w:r w:rsidRPr="006F74B4">
        <w:rPr>
          <w:rFonts w:ascii="Times New Roman" w:hAnsi="Times New Roman"/>
          <w:bCs/>
          <w:iCs/>
          <w:sz w:val="24"/>
          <w:szCs w:val="24"/>
          <w:lang w:val="fr-BE"/>
        </w:rPr>
        <w:t>qui</w:t>
      </w:r>
      <w:r w:rsidRPr="006F74B4">
        <w:rPr>
          <w:rFonts w:ascii="Times New Roman" w:hAnsi="Times New Roman"/>
          <w:b/>
          <w:bCs/>
          <w:i/>
          <w:iCs/>
          <w:sz w:val="24"/>
          <w:szCs w:val="24"/>
          <w:lang w:val="fr-BE"/>
        </w:rPr>
        <w:t xml:space="preserve"> </w:t>
      </w:r>
      <w:r w:rsidRPr="006F74B4">
        <w:rPr>
          <w:rFonts w:ascii="Times New Roman" w:hAnsi="Times New Roman"/>
          <w:bCs/>
          <w:iCs/>
          <w:sz w:val="24"/>
          <w:szCs w:val="24"/>
          <w:lang w:val="fr-BE"/>
        </w:rPr>
        <w:t>lui aurait également tordu le poignet et l’aurait obligé à s’agenouiller sur une de ses jambes blessées devant le responsable du commissariat.</w:t>
      </w:r>
      <w:r w:rsidRPr="006F74B4">
        <w:rPr>
          <w:rFonts w:ascii="Times New Roman" w:hAnsi="Times New Roman"/>
          <w:sz w:val="24"/>
          <w:szCs w:val="24"/>
          <w:lang w:val="fr-BE"/>
        </w:rPr>
        <w:t xml:space="preserve"> A la suite de cet incident, il a porté plainte auprès du tribunal de paix de Trou</w:t>
      </w:r>
      <w:r>
        <w:rPr>
          <w:rFonts w:ascii="Times New Roman" w:hAnsi="Times New Roman"/>
          <w:sz w:val="24"/>
          <w:szCs w:val="24"/>
          <w:lang w:val="fr-BE"/>
        </w:rPr>
        <w:t>-</w:t>
      </w:r>
      <w:r w:rsidRPr="006F74B4">
        <w:rPr>
          <w:rFonts w:ascii="Times New Roman" w:hAnsi="Times New Roman"/>
          <w:sz w:val="24"/>
          <w:szCs w:val="24"/>
          <w:lang w:val="fr-BE"/>
        </w:rPr>
        <w:t>du</w:t>
      </w:r>
      <w:r>
        <w:rPr>
          <w:rFonts w:ascii="Times New Roman" w:hAnsi="Times New Roman"/>
          <w:sz w:val="24"/>
          <w:szCs w:val="24"/>
          <w:lang w:val="fr-BE"/>
        </w:rPr>
        <w:t>-</w:t>
      </w:r>
      <w:r w:rsidRPr="006F74B4">
        <w:rPr>
          <w:rFonts w:ascii="Times New Roman" w:hAnsi="Times New Roman"/>
          <w:sz w:val="24"/>
          <w:szCs w:val="24"/>
          <w:lang w:val="fr-BE"/>
        </w:rPr>
        <w:t xml:space="preserve">Nord, qui a transmis la plainte au parquet du tribunal de première instance de Fort-Liberté. L’audience, fixée au 18 décembre, n’a pu avoir lieu, l’accusé ne s’y étant pas présenté. Fin 2012, l’affaire était toujours en cours.  </w:t>
      </w:r>
    </w:p>
    <w:p w:rsidR="008673B7" w:rsidRPr="007967B5" w:rsidRDefault="008673B7" w:rsidP="007967B5">
      <w:pPr>
        <w:pStyle w:val="Heading3"/>
        <w:rPr>
          <w:lang w:val="fr-FR"/>
        </w:rPr>
      </w:pPr>
      <w:bookmarkStart w:id="27" w:name="_Toc350156702"/>
      <w:r w:rsidRPr="007967B5">
        <w:rPr>
          <w:lang w:val="fr-FR"/>
        </w:rPr>
        <w:t>I</w:t>
      </w:r>
      <w:r w:rsidR="00A8570F">
        <w:rPr>
          <w:lang w:val="fr-FR"/>
        </w:rPr>
        <w:t>I</w:t>
      </w:r>
      <w:r w:rsidRPr="007967B5">
        <w:rPr>
          <w:lang w:val="fr-FR"/>
        </w:rPr>
        <w:t>I.1.3. Suivis d’enquêtes concernant 47  allégations de violations soumises par la SDH à l’IGPNH</w:t>
      </w:r>
      <w:bookmarkEnd w:id="27"/>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Default="008673B7" w:rsidP="008673B7">
      <w:pPr>
        <w:autoSpaceDE w:val="0"/>
        <w:autoSpaceDN w:val="0"/>
        <w:adjustRightInd w:val="0"/>
        <w:spacing w:after="0" w:line="240" w:lineRule="auto"/>
        <w:jc w:val="both"/>
        <w:rPr>
          <w:rFonts w:ascii="Times New Roman" w:hAnsi="Times New Roman"/>
          <w:iCs/>
          <w:sz w:val="24"/>
          <w:szCs w:val="24"/>
          <w:lang w:val="fr-FR"/>
        </w:rPr>
      </w:pPr>
      <w:r>
        <w:rPr>
          <w:rFonts w:ascii="Times New Roman" w:hAnsi="Times New Roman"/>
          <w:iCs/>
          <w:sz w:val="24"/>
          <w:szCs w:val="24"/>
          <w:lang w:val="fr-FR"/>
        </w:rPr>
        <w:t>E</w:t>
      </w:r>
      <w:r w:rsidRPr="006F74B4">
        <w:rPr>
          <w:rFonts w:ascii="Times New Roman" w:hAnsi="Times New Roman"/>
          <w:iCs/>
          <w:sz w:val="24"/>
          <w:szCs w:val="24"/>
          <w:lang w:val="fr-FR"/>
        </w:rPr>
        <w:t xml:space="preserve">n mai 2012, la </w:t>
      </w:r>
      <w:r>
        <w:rPr>
          <w:rFonts w:ascii="Times New Roman" w:hAnsi="Times New Roman"/>
          <w:iCs/>
          <w:sz w:val="24"/>
          <w:szCs w:val="24"/>
          <w:lang w:val="fr-FR"/>
        </w:rPr>
        <w:t>SDH</w:t>
      </w:r>
      <w:r w:rsidRPr="006F74B4">
        <w:rPr>
          <w:rFonts w:ascii="Times New Roman" w:hAnsi="Times New Roman"/>
          <w:iCs/>
          <w:sz w:val="24"/>
          <w:szCs w:val="24"/>
          <w:lang w:val="fr-FR"/>
        </w:rPr>
        <w:t xml:space="preserve"> a transmis 47 allégations de violations commises par des agents de la PNH à l’IGPNH</w:t>
      </w:r>
      <w:r>
        <w:rPr>
          <w:rFonts w:ascii="Times New Roman" w:hAnsi="Times New Roman"/>
          <w:iCs/>
          <w:sz w:val="24"/>
          <w:szCs w:val="24"/>
          <w:lang w:val="fr-FR"/>
        </w:rPr>
        <w:t xml:space="preserve"> et n’a reçu de réponses que pour dix cas. </w:t>
      </w:r>
    </w:p>
    <w:p w:rsidR="008673B7"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Pr>
          <w:rFonts w:ascii="Times New Roman" w:hAnsi="Times New Roman"/>
          <w:iCs/>
          <w:sz w:val="24"/>
          <w:szCs w:val="24"/>
          <w:lang w:val="fr-FR"/>
        </w:rPr>
        <w:t xml:space="preserve">Parmi ces cas se trouvait celui de </w:t>
      </w:r>
      <w:r w:rsidRPr="006F74B4">
        <w:rPr>
          <w:rFonts w:ascii="Times New Roman" w:hAnsi="Times New Roman"/>
          <w:iCs/>
          <w:sz w:val="24"/>
          <w:szCs w:val="24"/>
          <w:lang w:val="fr-FR"/>
        </w:rPr>
        <w:t>Serge Démosthène, torturé à mort au commissariat de Pétion</w:t>
      </w:r>
      <w:r w:rsidR="009653F7">
        <w:rPr>
          <w:rFonts w:ascii="Times New Roman" w:hAnsi="Times New Roman"/>
          <w:iCs/>
          <w:sz w:val="24"/>
          <w:szCs w:val="24"/>
          <w:lang w:val="fr-FR"/>
        </w:rPr>
        <w:t>- V</w:t>
      </w:r>
      <w:r w:rsidRPr="006F74B4">
        <w:rPr>
          <w:rFonts w:ascii="Times New Roman" w:hAnsi="Times New Roman"/>
          <w:iCs/>
          <w:sz w:val="24"/>
          <w:szCs w:val="24"/>
          <w:lang w:val="fr-FR"/>
        </w:rPr>
        <w:t>ille, le 15 juin 2011</w:t>
      </w:r>
      <w:r w:rsidRPr="006F74B4">
        <w:rPr>
          <w:rFonts w:ascii="Times New Roman" w:hAnsi="Times New Roman"/>
          <w:iCs/>
          <w:sz w:val="24"/>
          <w:szCs w:val="24"/>
          <w:vertAlign w:val="superscript"/>
          <w:lang w:val="fr-FR"/>
        </w:rPr>
        <w:footnoteReference w:id="17"/>
      </w:r>
      <w:r w:rsidRPr="006F74B4">
        <w:rPr>
          <w:rFonts w:ascii="Times New Roman" w:hAnsi="Times New Roman"/>
          <w:iCs/>
          <w:sz w:val="24"/>
          <w:szCs w:val="24"/>
          <w:lang w:val="fr-FR"/>
        </w:rPr>
        <w:t>. Dans son rapport d'enquête finalisé en août 2011, l'IGPNH a recommandé le renvoi du commissaire de police mis en cause. Toutefois, cette recommandation n’a pas été suivie puisque fin 2012, ce dernier était toujours à son poste. Aussi, aucune instruction n’avait encore été ouverte fin 2012, malgré la transmission du dossier au parquet fin 2011.</w:t>
      </w:r>
    </w:p>
    <w:p w:rsidR="008673B7" w:rsidRPr="002C27D9" w:rsidRDefault="008673B7" w:rsidP="008673B7">
      <w:pPr>
        <w:autoSpaceDE w:val="0"/>
        <w:autoSpaceDN w:val="0"/>
        <w:adjustRightInd w:val="0"/>
        <w:spacing w:after="0" w:line="240" w:lineRule="auto"/>
        <w:jc w:val="both"/>
        <w:rPr>
          <w:rFonts w:ascii="Times New Roman" w:hAnsi="Times New Roman"/>
          <w:iCs/>
          <w:sz w:val="24"/>
          <w:szCs w:val="24"/>
          <w:lang w:val="fr-BE"/>
        </w:rPr>
      </w:pPr>
    </w:p>
    <w:p w:rsidR="008673B7" w:rsidRPr="00170A19"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2C27D9">
        <w:rPr>
          <w:rFonts w:ascii="Times New Roman" w:hAnsi="Times New Roman"/>
          <w:iCs/>
          <w:sz w:val="24"/>
          <w:szCs w:val="24"/>
          <w:lang w:val="fr-BE"/>
        </w:rPr>
        <w:t>Les 47 cas incluent également le cas de Frantzi Duverseau tué lors d’une arrestation menée par la police, le 18 octobre 2010 ; le cas de Fritz Fernicien tué par balles, le 31 octobre 2010, dans le quartier de Bel Air ; le cas de Jeune Sterson et Louis Frantz, colleurs d’affiches pour la candidate Mirlande Manigat, tués par balles, les 5 et 6 mars 2011 respectivement, dans le quartier de Savane Pistache; le cas d’André Markerson, décédé après avoir été sévèrement battu lors de sa garde à vue, le 6 avril 2011, dans la commune de Cité Soleil et le cas de trois hommes tués par balles, le 3 mai 2011, dans le quartier de Mais Gâté. Ces cinq cas ont fait l’objet d’un rapport publié par la SDH en décembre 2011.</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Pa</w:t>
      </w:r>
      <w:r>
        <w:rPr>
          <w:rFonts w:ascii="Times New Roman" w:hAnsi="Times New Roman"/>
          <w:iCs/>
          <w:sz w:val="24"/>
          <w:szCs w:val="24"/>
          <w:lang w:val="fr-FR"/>
        </w:rPr>
        <w:t xml:space="preserve">rmi les 47 </w:t>
      </w:r>
      <w:r w:rsidRPr="006F74B4">
        <w:rPr>
          <w:rFonts w:ascii="Times New Roman" w:hAnsi="Times New Roman"/>
          <w:iCs/>
          <w:sz w:val="24"/>
          <w:szCs w:val="24"/>
          <w:lang w:val="fr-FR"/>
        </w:rPr>
        <w:t xml:space="preserve">cas se trouvait </w:t>
      </w:r>
      <w:r>
        <w:rPr>
          <w:rFonts w:ascii="Times New Roman" w:hAnsi="Times New Roman"/>
          <w:iCs/>
          <w:sz w:val="24"/>
          <w:szCs w:val="24"/>
          <w:lang w:val="fr-FR"/>
        </w:rPr>
        <w:t xml:space="preserve">aussi </w:t>
      </w:r>
      <w:r w:rsidRPr="006F74B4">
        <w:rPr>
          <w:rFonts w:ascii="Times New Roman" w:hAnsi="Times New Roman"/>
          <w:iCs/>
          <w:sz w:val="24"/>
          <w:szCs w:val="24"/>
          <w:lang w:val="fr-FR"/>
        </w:rPr>
        <w:t xml:space="preserve">celui d’un policier affecté au palais présidentiel, suspecté d’avoir commis deux homicides, en 2010 et 2011, et ayant bénéficié jusque-là d’une immunité </w:t>
      </w:r>
      <w:r w:rsidRPr="006F74B4">
        <w:rPr>
          <w:rFonts w:ascii="Times New Roman" w:hAnsi="Times New Roman"/>
          <w:iCs/>
          <w:sz w:val="24"/>
          <w:szCs w:val="24"/>
          <w:lang w:val="fr-FR"/>
        </w:rPr>
        <w:lastRenderedPageBreak/>
        <w:t>totale</w:t>
      </w:r>
      <w:r w:rsidRPr="006F74B4">
        <w:rPr>
          <w:rFonts w:ascii="Times New Roman" w:hAnsi="Times New Roman"/>
          <w:iCs/>
          <w:sz w:val="24"/>
          <w:szCs w:val="24"/>
          <w:vertAlign w:val="superscript"/>
          <w:lang w:val="fr-FR"/>
        </w:rPr>
        <w:footnoteReference w:id="18"/>
      </w:r>
      <w:r w:rsidRPr="006F74B4">
        <w:rPr>
          <w:rFonts w:ascii="Times New Roman" w:hAnsi="Times New Roman"/>
          <w:iCs/>
          <w:sz w:val="24"/>
          <w:szCs w:val="24"/>
          <w:lang w:val="fr-FR"/>
        </w:rPr>
        <w:t xml:space="preserve">. </w:t>
      </w:r>
      <w:r w:rsidRPr="006F74B4">
        <w:rPr>
          <w:rFonts w:ascii="Times New Roman" w:hAnsi="Times New Roman"/>
          <w:iCs/>
          <w:vanish/>
          <w:sz w:val="24"/>
          <w:szCs w:val="24"/>
          <w:lang w:val="fr-FR"/>
        </w:rPr>
        <w:t>A new complaint was lodged in February against the same police officer by a Ministry of Justice staff member for alleged death threats.</w:t>
      </w:r>
      <w:r w:rsidRPr="006F74B4">
        <w:rPr>
          <w:rFonts w:ascii="Times New Roman" w:hAnsi="Times New Roman"/>
          <w:iCs/>
          <w:sz w:val="24"/>
          <w:szCs w:val="24"/>
          <w:lang w:val="fr-FR"/>
        </w:rPr>
        <w:t xml:space="preserve">Une nouvelle plainte avait été déposée en février 2012 contre lui, par un membre du personnel du </w:t>
      </w:r>
      <w:r>
        <w:rPr>
          <w:rFonts w:ascii="Times New Roman" w:hAnsi="Times New Roman"/>
          <w:iCs/>
          <w:sz w:val="24"/>
          <w:szCs w:val="24"/>
          <w:lang w:val="fr-FR"/>
        </w:rPr>
        <w:t>m</w:t>
      </w:r>
      <w:r w:rsidRPr="006F74B4">
        <w:rPr>
          <w:rFonts w:ascii="Times New Roman" w:hAnsi="Times New Roman"/>
          <w:iCs/>
          <w:sz w:val="24"/>
          <w:szCs w:val="24"/>
          <w:lang w:val="fr-FR"/>
        </w:rPr>
        <w:t xml:space="preserve">inistère de la </w:t>
      </w:r>
      <w:r>
        <w:rPr>
          <w:rFonts w:ascii="Times New Roman" w:hAnsi="Times New Roman"/>
          <w:iCs/>
          <w:sz w:val="24"/>
          <w:szCs w:val="24"/>
          <w:lang w:val="fr-FR"/>
        </w:rPr>
        <w:t>J</w:t>
      </w:r>
      <w:r w:rsidRPr="006F74B4">
        <w:rPr>
          <w:rFonts w:ascii="Times New Roman" w:hAnsi="Times New Roman"/>
          <w:iCs/>
          <w:sz w:val="24"/>
          <w:szCs w:val="24"/>
          <w:lang w:val="fr-FR"/>
        </w:rPr>
        <w:t xml:space="preserve">ustice pour menaces de mort. Toutefois, fin 2012, l’enquête de l’IGPNH avait été abandonnée et aucune instruction judiciaire n’avait été ouverte. </w:t>
      </w:r>
    </w:p>
    <w:p w:rsidR="007967B5" w:rsidRPr="006F74B4" w:rsidRDefault="007967B5" w:rsidP="007967B5">
      <w:pPr>
        <w:autoSpaceDE w:val="0"/>
        <w:autoSpaceDN w:val="0"/>
        <w:adjustRightInd w:val="0"/>
        <w:spacing w:line="240" w:lineRule="auto"/>
        <w:jc w:val="both"/>
        <w:rPr>
          <w:rFonts w:ascii="Times New Roman" w:hAnsi="Times New Roman"/>
          <w:iCs/>
          <w:sz w:val="24"/>
          <w:szCs w:val="24"/>
          <w:lang w:val="fr-FR"/>
        </w:rPr>
      </w:pPr>
    </w:p>
    <w:p w:rsidR="008673B7" w:rsidRPr="007967B5" w:rsidRDefault="008673B7" w:rsidP="007967B5">
      <w:pPr>
        <w:pStyle w:val="Heading2"/>
        <w:rPr>
          <w:lang w:val="fr-FR"/>
        </w:rPr>
      </w:pPr>
      <w:bookmarkStart w:id="28" w:name="_Toc350156703"/>
      <w:r w:rsidRPr="007967B5">
        <w:rPr>
          <w:lang w:val="fr-FR"/>
        </w:rPr>
        <w:t>I</w:t>
      </w:r>
      <w:r w:rsidR="00A8570F">
        <w:rPr>
          <w:lang w:val="fr-FR"/>
        </w:rPr>
        <w:t>I</w:t>
      </w:r>
      <w:r w:rsidRPr="007967B5">
        <w:rPr>
          <w:lang w:val="fr-FR"/>
        </w:rPr>
        <w:t>I.2. Lynchages</w:t>
      </w:r>
      <w:bookmarkEnd w:id="28"/>
      <w:r w:rsidRPr="007967B5">
        <w:rPr>
          <w:lang w:val="fr-FR"/>
        </w:rPr>
        <w:t xml:space="preserv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spacing w:after="0" w:line="240" w:lineRule="auto"/>
        <w:jc w:val="both"/>
        <w:rPr>
          <w:rFonts w:ascii="Times New Roman" w:hAnsi="Times New Roman"/>
          <w:b/>
          <w:sz w:val="18"/>
          <w:szCs w:val="18"/>
          <w:lang w:val="fr-FR"/>
        </w:rPr>
      </w:pPr>
      <w:r w:rsidRPr="006F74B4">
        <w:rPr>
          <w:rFonts w:ascii="Times New Roman" w:hAnsi="Times New Roman"/>
          <w:sz w:val="24"/>
          <w:szCs w:val="24"/>
          <w:lang w:val="fr-FR"/>
        </w:rPr>
        <w:t>De juin à décembre, l’UNPOL a enregistré 56</w:t>
      </w:r>
      <w:r>
        <w:rPr>
          <w:rFonts w:ascii="Times New Roman" w:hAnsi="Times New Roman"/>
          <w:sz w:val="24"/>
          <w:szCs w:val="24"/>
          <w:lang w:val="fr-FR"/>
        </w:rPr>
        <w:t xml:space="preserve"> cas de</w:t>
      </w:r>
      <w:r w:rsidRPr="006F74B4">
        <w:rPr>
          <w:rFonts w:ascii="Times New Roman" w:hAnsi="Times New Roman"/>
          <w:sz w:val="24"/>
          <w:szCs w:val="24"/>
          <w:lang w:val="fr-FR"/>
        </w:rPr>
        <w:t xml:space="preserve"> personnes tuées par lynchage</w:t>
      </w:r>
      <w:r w:rsidRPr="006F74B4">
        <w:rPr>
          <w:rStyle w:val="FootnoteReference"/>
          <w:rFonts w:ascii="Times New Roman" w:hAnsi="Times New Roman"/>
          <w:sz w:val="24"/>
          <w:szCs w:val="24"/>
          <w:lang w:val="fr-FR"/>
        </w:rPr>
        <w:footnoteReference w:id="19"/>
      </w:r>
      <w:r w:rsidRPr="006F74B4">
        <w:rPr>
          <w:rFonts w:ascii="Times New Roman" w:hAnsi="Times New Roman"/>
          <w:sz w:val="24"/>
          <w:szCs w:val="24"/>
          <w:lang w:val="fr-FR"/>
        </w:rPr>
        <w:t xml:space="preserve">, 121 personnes pour l’ensemble de l’année 2012. Ce chiffre est en augmentation par rapport aux années précédentes. En effet, au cours des quatre dernières années, le nombre </w:t>
      </w:r>
      <w:r>
        <w:rPr>
          <w:rFonts w:ascii="Times New Roman" w:hAnsi="Times New Roman"/>
          <w:sz w:val="24"/>
          <w:szCs w:val="24"/>
          <w:lang w:val="fr-FR"/>
        </w:rPr>
        <w:t xml:space="preserve">connu </w:t>
      </w:r>
      <w:r w:rsidRPr="006F74B4">
        <w:rPr>
          <w:rFonts w:ascii="Times New Roman" w:hAnsi="Times New Roman"/>
          <w:sz w:val="24"/>
          <w:szCs w:val="24"/>
          <w:lang w:val="fr-FR"/>
        </w:rPr>
        <w:t>de morts par lynchages est en constante augmentation (90 morts rapportés en 2009 ; 97 rapportés en 2010 ; 116 rapportés en 2012</w:t>
      </w:r>
      <w:r w:rsidRPr="006F74B4">
        <w:rPr>
          <w:rStyle w:val="FootnoteReference"/>
          <w:rFonts w:ascii="Times New Roman" w:hAnsi="Times New Roman"/>
          <w:sz w:val="24"/>
          <w:szCs w:val="24"/>
          <w:lang w:val="fr-FR"/>
        </w:rPr>
        <w:footnoteReference w:id="20"/>
      </w:r>
      <w:r w:rsidRPr="006F74B4">
        <w:rPr>
          <w:rFonts w:ascii="Times New Roman" w:hAnsi="Times New Roman"/>
          <w:sz w:val="24"/>
          <w:szCs w:val="24"/>
          <w:lang w:val="fr-FR"/>
        </w:rPr>
        <w:t xml:space="preserve">). </w:t>
      </w:r>
      <w:r>
        <w:rPr>
          <w:rFonts w:ascii="Times New Roman" w:hAnsi="Times New Roman"/>
          <w:iCs/>
          <w:sz w:val="24"/>
          <w:szCs w:val="24"/>
          <w:lang w:val="fr-FR"/>
        </w:rPr>
        <w:t>C</w:t>
      </w:r>
      <w:r w:rsidRPr="006F74B4">
        <w:rPr>
          <w:rFonts w:ascii="Times New Roman" w:hAnsi="Times New Roman"/>
          <w:iCs/>
          <w:sz w:val="24"/>
          <w:szCs w:val="24"/>
          <w:lang w:val="fr-FR"/>
        </w:rPr>
        <w:t xml:space="preserve">e phénomène reste un sujet de préoccupation persistant en matière de droits de l’homme.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La SDH a plus particulièrement observé, rapporté et suivi 20 cas</w:t>
      </w:r>
      <w:r>
        <w:rPr>
          <w:rStyle w:val="FootnoteReference"/>
          <w:rFonts w:ascii="Times New Roman" w:hAnsi="Times New Roman"/>
          <w:iCs/>
          <w:sz w:val="24"/>
          <w:szCs w:val="24"/>
          <w:lang w:val="fr-FR"/>
        </w:rPr>
        <w:footnoteReference w:id="21"/>
      </w:r>
      <w:r w:rsidRPr="006F74B4">
        <w:rPr>
          <w:rFonts w:ascii="Times New Roman" w:hAnsi="Times New Roman"/>
          <w:iCs/>
          <w:sz w:val="24"/>
          <w:szCs w:val="24"/>
          <w:lang w:val="fr-FR"/>
        </w:rPr>
        <w:t xml:space="preserve"> de lynchages et tentatives de lynchages ayant abouti à la mort de 17 personnes et dans lesquels 8 personnes ont été </w:t>
      </w:r>
      <w:r>
        <w:rPr>
          <w:rFonts w:ascii="Times New Roman" w:hAnsi="Times New Roman"/>
          <w:iCs/>
          <w:sz w:val="24"/>
          <w:szCs w:val="24"/>
          <w:lang w:val="fr-FR"/>
        </w:rPr>
        <w:t xml:space="preserve">sauvées </w:t>
      </w:r>
      <w:r w:rsidRPr="006F74B4">
        <w:rPr>
          <w:rFonts w:ascii="Times New Roman" w:hAnsi="Times New Roman"/>
          <w:iCs/>
          <w:sz w:val="24"/>
          <w:szCs w:val="24"/>
          <w:lang w:val="fr-FR"/>
        </w:rPr>
        <w:t>par la PNH ou des autorités locales. Dans seulement trois de ces cas</w:t>
      </w:r>
      <w:r>
        <w:rPr>
          <w:rFonts w:ascii="Times New Roman" w:hAnsi="Times New Roman"/>
          <w:iCs/>
          <w:sz w:val="24"/>
          <w:szCs w:val="24"/>
          <w:lang w:val="fr-FR"/>
        </w:rPr>
        <w:t>,</w:t>
      </w:r>
      <w:r w:rsidRPr="006F74B4">
        <w:rPr>
          <w:rFonts w:ascii="Times New Roman" w:hAnsi="Times New Roman"/>
          <w:iCs/>
          <w:sz w:val="24"/>
          <w:szCs w:val="24"/>
          <w:lang w:val="fr-FR"/>
        </w:rPr>
        <w:t xml:space="preserve"> des enquêtes et d’instruction</w:t>
      </w:r>
      <w:r>
        <w:rPr>
          <w:rFonts w:ascii="Times New Roman" w:hAnsi="Times New Roman"/>
          <w:iCs/>
          <w:sz w:val="24"/>
          <w:szCs w:val="24"/>
          <w:lang w:val="fr-FR"/>
        </w:rPr>
        <w:t>s</w:t>
      </w:r>
      <w:r w:rsidRPr="006F74B4">
        <w:rPr>
          <w:rFonts w:ascii="Times New Roman" w:hAnsi="Times New Roman"/>
          <w:iCs/>
          <w:sz w:val="24"/>
          <w:szCs w:val="24"/>
          <w:lang w:val="fr-FR"/>
        </w:rPr>
        <w:t xml:space="preserve"> ont été mené après un constat effectué par un juge de paix. Par ailleurs, la SDH n’a observé aucune tenue de procès relatif à un cas de lynchage qui serait survenu au cours de la période écoulée ou précéde</w:t>
      </w:r>
      <w:r>
        <w:rPr>
          <w:rFonts w:ascii="Times New Roman" w:hAnsi="Times New Roman"/>
          <w:iCs/>
          <w:sz w:val="24"/>
          <w:szCs w:val="24"/>
          <w:lang w:val="fr-FR"/>
        </w:rPr>
        <w:t>nte</w:t>
      </w:r>
      <w:r w:rsidRPr="006F74B4">
        <w:rPr>
          <w:rFonts w:ascii="Times New Roman" w:hAnsi="Times New Roman"/>
          <w:iCs/>
          <w:sz w:val="24"/>
          <w:szCs w:val="24"/>
          <w:lang w:val="fr-FR"/>
        </w:rPr>
        <w:t xml:space="preserve">. Cette observation pose problème au regard </w:t>
      </w:r>
      <w:r>
        <w:rPr>
          <w:rFonts w:ascii="Times New Roman" w:hAnsi="Times New Roman"/>
          <w:iCs/>
          <w:sz w:val="24"/>
          <w:szCs w:val="24"/>
          <w:lang w:val="fr-FR"/>
        </w:rPr>
        <w:t>du</w:t>
      </w:r>
      <w:r w:rsidRPr="006F74B4">
        <w:rPr>
          <w:rFonts w:ascii="Times New Roman" w:hAnsi="Times New Roman"/>
          <w:iCs/>
          <w:sz w:val="24"/>
          <w:szCs w:val="24"/>
          <w:lang w:val="fr-FR"/>
        </w:rPr>
        <w:t xml:space="preserve"> nombre de cas et de morts par lynchages connus de la police et la justice haïtienne.</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highlight w:val="yellow"/>
          <w:lang w:val="fr-FR"/>
        </w:rPr>
      </w:pPr>
    </w:p>
    <w:p w:rsidR="008673B7" w:rsidRDefault="008673B7" w:rsidP="007967B5">
      <w:pPr>
        <w:autoSpaceDE w:val="0"/>
        <w:autoSpaceDN w:val="0"/>
        <w:adjustRightInd w:val="0"/>
        <w:spacing w:line="240" w:lineRule="auto"/>
        <w:jc w:val="both"/>
        <w:rPr>
          <w:rFonts w:ascii="Times New Roman" w:hAnsi="Times New Roman"/>
          <w:iCs/>
          <w:sz w:val="24"/>
          <w:szCs w:val="24"/>
          <w:lang w:val="fr-FR"/>
        </w:rPr>
      </w:pPr>
      <w:r w:rsidRPr="006F74B4">
        <w:rPr>
          <w:rFonts w:ascii="Times New Roman" w:hAnsi="Times New Roman"/>
          <w:iCs/>
          <w:sz w:val="24"/>
          <w:szCs w:val="24"/>
          <w:lang w:val="fr-FR"/>
        </w:rPr>
        <w:t>En n’intervenant que trop peu pour empêcher la commission d’un lynchage et en ne poursuivant qu’exceptionnellement les auteurs de ces actes, les autorités font preuve d’une passivité qui  laisse penser que le lynchage est une pratique implicitement acceptée en Haïti.</w:t>
      </w:r>
      <w:r>
        <w:rPr>
          <w:rFonts w:ascii="Times New Roman" w:hAnsi="Times New Roman"/>
          <w:iCs/>
          <w:sz w:val="24"/>
          <w:szCs w:val="24"/>
          <w:lang w:val="fr-FR"/>
        </w:rPr>
        <w:t xml:space="preserve"> </w:t>
      </w:r>
      <w:r w:rsidRPr="002C1D23">
        <w:rPr>
          <w:rFonts w:ascii="Times New Roman" w:hAnsi="Times New Roman"/>
          <w:iCs/>
          <w:sz w:val="24"/>
          <w:szCs w:val="24"/>
          <w:lang w:val="fr-FR"/>
        </w:rPr>
        <w:t xml:space="preserve">Ceci porte atteinte à l’obligation de protection du droit à la vie, tel que protégé </w:t>
      </w:r>
      <w:r>
        <w:rPr>
          <w:rFonts w:ascii="Times New Roman" w:hAnsi="Times New Roman"/>
          <w:iCs/>
          <w:sz w:val="24"/>
          <w:szCs w:val="24"/>
          <w:lang w:val="fr-FR"/>
        </w:rPr>
        <w:t>par</w:t>
      </w:r>
      <w:r w:rsidRPr="002C1D23">
        <w:rPr>
          <w:rFonts w:ascii="Times New Roman" w:hAnsi="Times New Roman"/>
          <w:iCs/>
          <w:sz w:val="24"/>
          <w:szCs w:val="24"/>
          <w:lang w:val="fr-FR"/>
        </w:rPr>
        <w:t xml:space="preserve"> l’article 6 du PIDCP, </w:t>
      </w:r>
      <w:r>
        <w:rPr>
          <w:rFonts w:ascii="Times New Roman" w:hAnsi="Times New Roman"/>
          <w:iCs/>
          <w:sz w:val="24"/>
          <w:szCs w:val="24"/>
          <w:lang w:val="fr-FR"/>
        </w:rPr>
        <w:t xml:space="preserve">ratifié </w:t>
      </w:r>
      <w:r w:rsidRPr="002C1D23">
        <w:rPr>
          <w:rFonts w:ascii="Times New Roman" w:hAnsi="Times New Roman"/>
          <w:iCs/>
          <w:sz w:val="24"/>
          <w:szCs w:val="24"/>
          <w:lang w:val="fr-FR"/>
        </w:rPr>
        <w:t>par l’Etat haïtien.</w:t>
      </w:r>
      <w:r>
        <w:rPr>
          <w:rFonts w:ascii="Times New Roman" w:hAnsi="Times New Roman"/>
          <w:iCs/>
          <w:sz w:val="24"/>
          <w:szCs w:val="24"/>
          <w:lang w:val="fr-FR"/>
        </w:rPr>
        <w:t xml:space="preserve"> </w:t>
      </w:r>
    </w:p>
    <w:p w:rsidR="008673B7" w:rsidRPr="002C1D23" w:rsidRDefault="008673B7" w:rsidP="00795E20">
      <w:pPr>
        <w:autoSpaceDE w:val="0"/>
        <w:autoSpaceDN w:val="0"/>
        <w:adjustRightInd w:val="0"/>
        <w:spacing w:after="0" w:line="240" w:lineRule="auto"/>
        <w:jc w:val="both"/>
        <w:rPr>
          <w:rFonts w:ascii="Times New Roman" w:hAnsi="Times New Roman"/>
          <w:iCs/>
          <w:sz w:val="24"/>
          <w:szCs w:val="24"/>
          <w:lang w:val="fr-FR"/>
        </w:rPr>
      </w:pPr>
    </w:p>
    <w:p w:rsidR="008673B7" w:rsidRPr="007967B5" w:rsidRDefault="008673B7" w:rsidP="007967B5">
      <w:pPr>
        <w:pStyle w:val="Heading2"/>
        <w:rPr>
          <w:lang w:val="fr-FR"/>
        </w:rPr>
      </w:pPr>
      <w:bookmarkStart w:id="29" w:name="_Toc350156704"/>
      <w:r w:rsidRPr="007967B5">
        <w:rPr>
          <w:lang w:val="fr-FR"/>
        </w:rPr>
        <w:t>II</w:t>
      </w:r>
      <w:r w:rsidR="00A8570F">
        <w:rPr>
          <w:lang w:val="fr-FR"/>
        </w:rPr>
        <w:t>I</w:t>
      </w:r>
      <w:r w:rsidRPr="007967B5">
        <w:rPr>
          <w:lang w:val="fr-FR"/>
        </w:rPr>
        <w:t>.3</w:t>
      </w:r>
      <w:r w:rsidR="00A8570F">
        <w:rPr>
          <w:lang w:val="fr-FR"/>
        </w:rPr>
        <w:t xml:space="preserve">.Violences </w:t>
      </w:r>
      <w:r w:rsidRPr="007967B5">
        <w:rPr>
          <w:lang w:val="fr-FR"/>
        </w:rPr>
        <w:t>sexuelles</w:t>
      </w:r>
      <w:bookmarkEnd w:id="29"/>
      <w:r w:rsidRPr="007967B5">
        <w:rPr>
          <w:lang w:val="fr-FR"/>
        </w:rPr>
        <w:t xml:space="preserve"> </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Au cours du second semestre 2012, la réponse judiciaire aux actes de violences sexuelles est restée très insuffisante et les recommandations du rapport de la SDH sur cette question, publié en juin 2012</w:t>
      </w:r>
      <w:r w:rsidRPr="006F74B4">
        <w:rPr>
          <w:rStyle w:val="FootnoteReference"/>
          <w:rFonts w:ascii="Times New Roman" w:hAnsi="Times New Roman"/>
          <w:bCs/>
          <w:iCs/>
          <w:sz w:val="24"/>
          <w:szCs w:val="24"/>
          <w:lang w:val="fr-FR"/>
        </w:rPr>
        <w:footnoteReference w:id="22"/>
      </w:r>
      <w:r w:rsidRPr="006F74B4">
        <w:rPr>
          <w:rFonts w:ascii="Times New Roman" w:hAnsi="Times New Roman"/>
          <w:bCs/>
          <w:iCs/>
          <w:sz w:val="24"/>
          <w:szCs w:val="24"/>
          <w:lang w:val="fr-FR"/>
        </w:rPr>
        <w:t>, sont pour la plupart restées lettre morte.</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 xml:space="preserve">Les victimes se heurtent toujours, dans leurs démarches, à l’exigence de certificat médical posé comme condition pour porter plainte, à la fois par la police et les autorités judiciaires, alors que cette exigence n’est pas prévue par la loi. De fait, les poursuites sont souvent abandonnées, au motif que l’absence de certificat médical constitue un manque de preuve, sans égard au témoignage de la victime. Ainsi, le père d’une jeune fille de 15 ans, violée à Bordes </w:t>
      </w:r>
      <w:r w:rsidRPr="006F74B4">
        <w:rPr>
          <w:rFonts w:ascii="Times New Roman" w:hAnsi="Times New Roman"/>
          <w:bCs/>
          <w:iCs/>
          <w:sz w:val="24"/>
          <w:szCs w:val="24"/>
          <w:lang w:val="fr-FR"/>
        </w:rPr>
        <w:lastRenderedPageBreak/>
        <w:t>(</w:t>
      </w:r>
      <w:r>
        <w:rPr>
          <w:rFonts w:ascii="Times New Roman" w:hAnsi="Times New Roman"/>
          <w:bCs/>
          <w:iCs/>
          <w:sz w:val="24"/>
          <w:szCs w:val="24"/>
          <w:lang w:val="fr-FR"/>
        </w:rPr>
        <w:t>département du Sud</w:t>
      </w:r>
      <w:r w:rsidRPr="006F74B4">
        <w:rPr>
          <w:rFonts w:ascii="Times New Roman" w:hAnsi="Times New Roman"/>
          <w:bCs/>
          <w:iCs/>
          <w:sz w:val="24"/>
          <w:szCs w:val="24"/>
          <w:lang w:val="fr-FR"/>
        </w:rPr>
        <w:t>-est) en 2011, a expliqué à la SDH que sa fille n’avait jamais été entendue par le juge d’instruction de Jacmel et que ce dernier avait ordonné un non-lieu pour le suspect en prétendant un manque de preuves</w:t>
      </w:r>
      <w:r>
        <w:rPr>
          <w:rFonts w:ascii="Times New Roman" w:hAnsi="Times New Roman"/>
          <w:bCs/>
          <w:iCs/>
          <w:sz w:val="24"/>
          <w:szCs w:val="24"/>
          <w:lang w:val="fr-FR"/>
        </w:rPr>
        <w:t xml:space="preserve"> dû à l’absence du certificat médical</w:t>
      </w:r>
      <w:r w:rsidRPr="006F74B4">
        <w:rPr>
          <w:rFonts w:ascii="Times New Roman" w:hAnsi="Times New Roman"/>
          <w:bCs/>
          <w:iCs/>
          <w:sz w:val="24"/>
          <w:szCs w:val="24"/>
          <w:lang w:val="fr-FR"/>
        </w:rPr>
        <w:t xml:space="preserve">. </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En outre, la police refuse souvent d’enquêter et de rechercher l’auteur du crime lorsque la victime ne le connaît pas ; lorsque la victime le connaît, un règlement à l’amiable est encouragé soit par la police, soit, très souvent, par les juges de paix. Ainsi, le 24 août, à Acul-Samedi (</w:t>
      </w:r>
      <w:r>
        <w:rPr>
          <w:rFonts w:ascii="Times New Roman" w:hAnsi="Times New Roman"/>
          <w:bCs/>
          <w:iCs/>
          <w:sz w:val="24"/>
          <w:szCs w:val="24"/>
          <w:lang w:val="fr-FR"/>
        </w:rPr>
        <w:t>département du Nord</w:t>
      </w:r>
      <w:r w:rsidRPr="006F74B4">
        <w:rPr>
          <w:rFonts w:ascii="Times New Roman" w:hAnsi="Times New Roman"/>
          <w:bCs/>
          <w:iCs/>
          <w:sz w:val="24"/>
          <w:szCs w:val="24"/>
          <w:lang w:val="fr-FR"/>
        </w:rPr>
        <w:t xml:space="preserve">-est), un arrangement a été trouvé par le juge de paix concernant le viol d’une mineure. La victime a ensuite signé un acte selon lequel elle retirait sa plainte et le juge de paix a ordonné la libération du suspect. </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 xml:space="preserve">Enfin, des victimes de viol ont indiqué à la SDH avoir fait l’objet de propos stigmatisants ou humiliants de la part de la PNH ou des institutions judiciaires. De tels propos tendent à les décourager de porter plainte et sont de fait un obstacle à la lutte contre l’impunité des actes de violence sexuelle. </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240CA7" w:rsidRDefault="008673B7" w:rsidP="008673B7">
      <w:pPr>
        <w:autoSpaceDE w:val="0"/>
        <w:autoSpaceDN w:val="0"/>
        <w:adjustRightInd w:val="0"/>
        <w:spacing w:after="0" w:line="240" w:lineRule="auto"/>
        <w:jc w:val="both"/>
        <w:rPr>
          <w:rFonts w:ascii="Times New Roman" w:hAnsi="Times New Roman"/>
          <w:iCs/>
          <w:sz w:val="24"/>
          <w:szCs w:val="24"/>
          <w:lang w:val="fr-BE"/>
        </w:rPr>
      </w:pPr>
      <w:r w:rsidRPr="006F74B4">
        <w:rPr>
          <w:rFonts w:ascii="Times New Roman" w:hAnsi="Times New Roman"/>
          <w:iCs/>
          <w:sz w:val="24"/>
          <w:szCs w:val="24"/>
          <w:lang w:val="fr-FR"/>
        </w:rPr>
        <w:t xml:space="preserve">Au cours de la période en revue, la SDH a cependant documenté, dans le </w:t>
      </w:r>
      <w:r>
        <w:rPr>
          <w:rFonts w:ascii="Times New Roman" w:hAnsi="Times New Roman"/>
          <w:iCs/>
          <w:sz w:val="24"/>
          <w:szCs w:val="24"/>
          <w:lang w:val="fr-FR"/>
        </w:rPr>
        <w:t>département du Nord</w:t>
      </w:r>
      <w:r w:rsidRPr="006F74B4">
        <w:rPr>
          <w:rFonts w:ascii="Times New Roman" w:hAnsi="Times New Roman"/>
          <w:iCs/>
          <w:sz w:val="24"/>
          <w:szCs w:val="24"/>
          <w:lang w:val="fr-FR"/>
        </w:rPr>
        <w:t xml:space="preserve">-est, quelques exemples de réactions correctes de la part des autorités judiciaires, qui méritent d’être soulignés. Notamment, le 7 novembre, le tribunal de première instance de Fort-Liberté a condamné à sept ans de prison le beau-frère d’une jeune fille de 17 ans, accusé de l’avoir violée en mars. La SDH a accompagné la victime, défendue par des avocats de l’ONG </w:t>
      </w:r>
      <w:r w:rsidRPr="006F74B4">
        <w:rPr>
          <w:rFonts w:ascii="Times New Roman" w:hAnsi="Times New Roman"/>
          <w:i/>
          <w:iCs/>
          <w:sz w:val="24"/>
          <w:szCs w:val="24"/>
          <w:lang w:val="fr-FR"/>
        </w:rPr>
        <w:t xml:space="preserve">Solidarité Fwontalye, </w:t>
      </w:r>
      <w:r w:rsidRPr="006F74B4">
        <w:rPr>
          <w:rFonts w:ascii="Times New Roman" w:hAnsi="Times New Roman"/>
          <w:iCs/>
          <w:sz w:val="24"/>
          <w:szCs w:val="24"/>
          <w:lang w:val="fr-FR"/>
        </w:rPr>
        <w:t xml:space="preserve">tout au long de ses démarches, et </w:t>
      </w:r>
      <w:r>
        <w:rPr>
          <w:rFonts w:ascii="Times New Roman" w:hAnsi="Times New Roman"/>
          <w:iCs/>
          <w:sz w:val="24"/>
          <w:szCs w:val="24"/>
          <w:lang w:val="fr-FR"/>
        </w:rPr>
        <w:t>a été</w:t>
      </w:r>
      <w:r w:rsidRPr="006F74B4">
        <w:rPr>
          <w:rFonts w:ascii="Times New Roman" w:hAnsi="Times New Roman"/>
          <w:iCs/>
          <w:sz w:val="24"/>
          <w:szCs w:val="24"/>
          <w:lang w:val="fr-FR"/>
        </w:rPr>
        <w:t xml:space="preserve"> présente au procès. De même, le 31 octobre, le juge de paix de Trou-du-Nord a transféré le cas du viol d’une jeune fille de 14 ans</w:t>
      </w:r>
      <w:r>
        <w:rPr>
          <w:rFonts w:ascii="Times New Roman" w:hAnsi="Times New Roman"/>
          <w:iCs/>
          <w:sz w:val="24"/>
          <w:szCs w:val="24"/>
          <w:lang w:val="fr-FR"/>
        </w:rPr>
        <w:t xml:space="preserve"> au commissaire du gouvernement m</w:t>
      </w:r>
      <w:r w:rsidRPr="006F74B4">
        <w:rPr>
          <w:rFonts w:ascii="Times New Roman" w:hAnsi="Times New Roman"/>
          <w:iCs/>
          <w:sz w:val="24"/>
          <w:szCs w:val="24"/>
          <w:lang w:val="fr-FR"/>
        </w:rPr>
        <w:t>algré le fait que la victime eut indi</w:t>
      </w:r>
      <w:r>
        <w:rPr>
          <w:rFonts w:ascii="Times New Roman" w:hAnsi="Times New Roman"/>
          <w:iCs/>
          <w:sz w:val="24"/>
          <w:szCs w:val="24"/>
          <w:lang w:val="fr-FR"/>
        </w:rPr>
        <w:t>qué que l’acte était consensuel.</w:t>
      </w:r>
      <w:r w:rsidRPr="006F74B4">
        <w:rPr>
          <w:rFonts w:ascii="Times New Roman" w:hAnsi="Times New Roman"/>
          <w:iCs/>
          <w:sz w:val="24"/>
          <w:szCs w:val="24"/>
          <w:lang w:val="fr-FR"/>
        </w:rPr>
        <w:t xml:space="preserve"> </w:t>
      </w:r>
      <w:r>
        <w:rPr>
          <w:rFonts w:ascii="Times New Roman" w:hAnsi="Times New Roman"/>
          <w:iCs/>
          <w:sz w:val="24"/>
          <w:szCs w:val="24"/>
          <w:lang w:val="fr-FR"/>
        </w:rPr>
        <w:t>E</w:t>
      </w:r>
      <w:r w:rsidRPr="006F74B4">
        <w:rPr>
          <w:rFonts w:ascii="Times New Roman" w:hAnsi="Times New Roman"/>
          <w:iCs/>
          <w:sz w:val="24"/>
          <w:szCs w:val="24"/>
          <w:lang w:val="fr-FR"/>
        </w:rPr>
        <w:t>n vertu du fait que légalement, il ne peut y avoir</w:t>
      </w:r>
      <w:r>
        <w:rPr>
          <w:rFonts w:ascii="Times New Roman" w:hAnsi="Times New Roman"/>
          <w:iCs/>
          <w:sz w:val="24"/>
          <w:szCs w:val="24"/>
          <w:lang w:val="fr-FR"/>
        </w:rPr>
        <w:t xml:space="preserve"> consentement à l’âge de 14 ans, l</w:t>
      </w:r>
      <w:r w:rsidRPr="006F74B4">
        <w:rPr>
          <w:rFonts w:ascii="Times New Roman" w:hAnsi="Times New Roman"/>
          <w:iCs/>
          <w:sz w:val="24"/>
          <w:szCs w:val="24"/>
          <w:lang w:val="fr-FR"/>
        </w:rPr>
        <w:t xml:space="preserve">e suspect a été placé en détention préventive. Il a été entendu fin novembre et l’instruction était en cours fin 2012.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Default="008673B7" w:rsidP="00795E20">
      <w:pPr>
        <w:autoSpaceDE w:val="0"/>
        <w:autoSpaceDN w:val="0"/>
        <w:adjustRightInd w:val="0"/>
        <w:spacing w:before="200"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En mai 2012, la SDH a adopté une stratégie sur le suivi des plaintes de </w:t>
      </w:r>
      <w:r>
        <w:rPr>
          <w:rFonts w:ascii="Times New Roman" w:hAnsi="Times New Roman"/>
          <w:iCs/>
          <w:sz w:val="24"/>
          <w:szCs w:val="24"/>
          <w:lang w:val="fr-FR"/>
        </w:rPr>
        <w:t xml:space="preserve">violences sexuelles et liées au genre </w:t>
      </w:r>
      <w:r w:rsidRPr="006F74B4">
        <w:rPr>
          <w:rFonts w:ascii="Times New Roman" w:hAnsi="Times New Roman"/>
          <w:iCs/>
          <w:sz w:val="24"/>
          <w:szCs w:val="24"/>
          <w:lang w:val="fr-FR"/>
        </w:rPr>
        <w:t>au sein de la chaîne pénale. Les bureaux régionaux collectent des informations sur le nombre de plaintes qui sont reçues et traitées par les commissariats, les juges de paix, les juges d’instruction, les commissaires du gouvernement et les Cours d’assises. Au 31 décembre 2012, les données en provenance d</w:t>
      </w:r>
      <w:r>
        <w:rPr>
          <w:rFonts w:ascii="Times New Roman" w:hAnsi="Times New Roman"/>
          <w:iCs/>
          <w:sz w:val="24"/>
          <w:szCs w:val="24"/>
          <w:lang w:val="fr-FR"/>
        </w:rPr>
        <w:t>’un échantillonnage de commissariats et de tribunaux issus de</w:t>
      </w:r>
      <w:r w:rsidRPr="006F74B4">
        <w:rPr>
          <w:rFonts w:ascii="Times New Roman" w:hAnsi="Times New Roman"/>
          <w:iCs/>
          <w:sz w:val="24"/>
          <w:szCs w:val="24"/>
          <w:lang w:val="fr-FR"/>
        </w:rPr>
        <w:t xml:space="preserve"> quatre bureaux régionaux de la SDH</w:t>
      </w:r>
      <w:r>
        <w:rPr>
          <w:rStyle w:val="FootnoteReference"/>
          <w:rFonts w:ascii="Times New Roman" w:hAnsi="Times New Roman"/>
          <w:iCs/>
          <w:sz w:val="24"/>
          <w:szCs w:val="24"/>
          <w:lang w:val="fr-FR"/>
        </w:rPr>
        <w:footnoteReference w:id="23"/>
      </w:r>
      <w:r w:rsidRPr="006F74B4">
        <w:rPr>
          <w:rFonts w:ascii="Times New Roman" w:hAnsi="Times New Roman"/>
          <w:iCs/>
          <w:sz w:val="24"/>
          <w:szCs w:val="24"/>
          <w:lang w:val="fr-FR"/>
        </w:rPr>
        <w:t xml:space="preserve"> montrent que 375 plaintes ont été déposées par des victimes, essentiellement auprès de la police (304 plaintes), mais aussi auprès des commissaires du gouvernement (47), des juges de paix (18) et des juges d’instruction (6). Un très grand nombre de ces plaintes semblent « se perdre » dans la chaîne pénale. Par exemple, alors que les victimes déposaient 304 plaintes dans les commissariats, ceux-ci ne transmettaient que 106 plaintes aux juges de paix (68) et aux commissaires du gouvernement (38). De la même façon, alors que les juges de paix recevaient 27 plaintes pendant cette période, ils n’en transmettaient que 13 au Parquet. Pendant cette période, 44 affaires ont été enrôlées aux Assises, 13 affaires ont été jugées et 7 condamnations ont été prononcées.</w:t>
      </w:r>
    </w:p>
    <w:p w:rsidR="00795E20" w:rsidRPr="006F74B4" w:rsidRDefault="00795E20" w:rsidP="008673B7">
      <w:pPr>
        <w:autoSpaceDE w:val="0"/>
        <w:autoSpaceDN w:val="0"/>
        <w:adjustRightInd w:val="0"/>
        <w:spacing w:after="0" w:line="240" w:lineRule="auto"/>
        <w:jc w:val="both"/>
        <w:rPr>
          <w:rFonts w:ascii="Times New Roman" w:hAnsi="Times New Roman"/>
          <w:iCs/>
          <w:sz w:val="24"/>
          <w:szCs w:val="24"/>
          <w:lang w:val="fr-FR"/>
        </w:rPr>
      </w:pPr>
    </w:p>
    <w:p w:rsidR="00795E20" w:rsidRDefault="00795E20" w:rsidP="008673B7">
      <w:pPr>
        <w:pStyle w:val="Heading2"/>
        <w:rPr>
          <w:lang w:val="fr-FR"/>
        </w:rPr>
      </w:pPr>
      <w:bookmarkStart w:id="30" w:name="_Toc350156705"/>
    </w:p>
    <w:p w:rsidR="008673B7" w:rsidRPr="007967B5" w:rsidRDefault="008673B7" w:rsidP="008673B7">
      <w:pPr>
        <w:pStyle w:val="Heading2"/>
        <w:rPr>
          <w:lang w:val="fr-FR"/>
        </w:rPr>
      </w:pPr>
      <w:r w:rsidRPr="007967B5">
        <w:rPr>
          <w:lang w:val="fr-FR"/>
        </w:rPr>
        <w:lastRenderedPageBreak/>
        <w:t>II</w:t>
      </w:r>
      <w:r w:rsidR="00A8570F">
        <w:rPr>
          <w:lang w:val="fr-FR"/>
        </w:rPr>
        <w:t>I</w:t>
      </w:r>
      <w:r w:rsidRPr="007967B5">
        <w:rPr>
          <w:lang w:val="fr-FR"/>
        </w:rPr>
        <w:t>.4. Contrôle des forces de police : Vetting</w:t>
      </w:r>
      <w:bookmarkEnd w:id="30"/>
    </w:p>
    <w:p w:rsidR="008673B7" w:rsidRPr="006F74B4" w:rsidRDefault="008673B7" w:rsidP="00795E20">
      <w:pPr>
        <w:autoSpaceDE w:val="0"/>
        <w:autoSpaceDN w:val="0"/>
        <w:adjustRightInd w:val="0"/>
        <w:spacing w:line="240" w:lineRule="auto"/>
        <w:jc w:val="both"/>
        <w:rPr>
          <w:rFonts w:ascii="Times New Roman" w:hAnsi="Times New Roman"/>
          <w:b/>
          <w:iCs/>
          <w:sz w:val="24"/>
          <w:szCs w:val="24"/>
          <w:lang w:val="fr-FR"/>
        </w:rPr>
      </w:pPr>
    </w:p>
    <w:p w:rsidR="008673B7" w:rsidRDefault="008673B7" w:rsidP="008673B7">
      <w:pPr>
        <w:spacing w:after="0" w:line="240" w:lineRule="auto"/>
        <w:jc w:val="both"/>
        <w:textAlignment w:val="top"/>
        <w:rPr>
          <w:rFonts w:ascii="Times New Roman" w:hAnsi="Times New Roman"/>
          <w:color w:val="000000"/>
          <w:sz w:val="24"/>
          <w:szCs w:val="24"/>
          <w:lang w:val="fr-FR"/>
        </w:rPr>
      </w:pPr>
      <w:r w:rsidRPr="006F74B4">
        <w:rPr>
          <w:rFonts w:ascii="Times New Roman" w:hAnsi="Times New Roman"/>
          <w:color w:val="000000"/>
          <w:sz w:val="24"/>
          <w:szCs w:val="24"/>
          <w:lang w:val="fr-FR"/>
        </w:rPr>
        <w:t>Entre 2006 et 2010, plus de 3.583 policiers (sur 10.600) ont fait l’objet d’une enquête conjointe PNH-UNPOL et leurs fichiers ont été soumis au ministère de la Justice. Parmi ces dossiers, 138 policiers avaient été identifiés comme ne possédant pas les compétences et ou la moralité pour faire partie de la Police nationale</w:t>
      </w:r>
      <w:r w:rsidRPr="006F74B4">
        <w:rPr>
          <w:rStyle w:val="FootnoteReference"/>
          <w:rFonts w:ascii="Times New Roman" w:hAnsi="Times New Roman"/>
          <w:bCs/>
          <w:sz w:val="24"/>
          <w:szCs w:val="24"/>
          <w:lang w:val="fr-FR"/>
        </w:rPr>
        <w:footnoteReference w:id="24"/>
      </w:r>
      <w:r w:rsidRPr="006F74B4">
        <w:rPr>
          <w:rFonts w:ascii="Times New Roman" w:hAnsi="Times New Roman"/>
          <w:color w:val="000000"/>
          <w:sz w:val="24"/>
          <w:szCs w:val="24"/>
          <w:lang w:val="fr-FR"/>
        </w:rPr>
        <w:t xml:space="preserve">. Au premier semestre 2012, une commission de révision, </w:t>
      </w:r>
      <w:r w:rsidRPr="006F74B4">
        <w:rPr>
          <w:rFonts w:ascii="Times New Roman" w:hAnsi="Times New Roman"/>
          <w:sz w:val="24"/>
          <w:szCs w:val="24"/>
          <w:lang w:val="fr-FR"/>
        </w:rPr>
        <w:t xml:space="preserve">composée d'éléments de la PNH et de la MINUSTAH, </w:t>
      </w:r>
      <w:r w:rsidRPr="006F74B4">
        <w:rPr>
          <w:rFonts w:ascii="Times New Roman" w:hAnsi="Times New Roman"/>
          <w:color w:val="000000"/>
          <w:sz w:val="24"/>
          <w:szCs w:val="24"/>
          <w:lang w:val="fr-FR"/>
        </w:rPr>
        <w:t xml:space="preserve">a réévalué chacun de ces dossiers et a recommandé que 92 policiers soient congédiés. Parmi eux, 13 élèves de l'École de police n’ont pas été engagés. Les 79 autres ont effectivement été congédiés par le ministre de la Justice en novembre. </w:t>
      </w:r>
    </w:p>
    <w:p w:rsidR="008673B7" w:rsidRDefault="008673B7" w:rsidP="008673B7">
      <w:pPr>
        <w:spacing w:after="0" w:line="240" w:lineRule="auto"/>
        <w:jc w:val="both"/>
        <w:textAlignment w:val="top"/>
        <w:rPr>
          <w:rFonts w:ascii="Times New Roman" w:hAnsi="Times New Roman"/>
          <w:color w:val="000000"/>
          <w:sz w:val="24"/>
          <w:szCs w:val="24"/>
          <w:lang w:val="fr-FR"/>
        </w:rPr>
      </w:pPr>
    </w:p>
    <w:p w:rsidR="008673B7" w:rsidRDefault="008673B7" w:rsidP="008673B7">
      <w:pPr>
        <w:spacing w:after="0" w:line="240" w:lineRule="auto"/>
        <w:jc w:val="both"/>
        <w:textAlignment w:val="top"/>
        <w:rPr>
          <w:rFonts w:ascii="Times New Roman" w:hAnsi="Times New Roman"/>
          <w:color w:val="000000"/>
          <w:sz w:val="24"/>
          <w:szCs w:val="24"/>
          <w:lang w:val="fr-FR"/>
        </w:rPr>
      </w:pPr>
      <w:r w:rsidRPr="006F74B4">
        <w:rPr>
          <w:rFonts w:ascii="Times New Roman" w:hAnsi="Times New Roman"/>
          <w:color w:val="000000"/>
          <w:sz w:val="24"/>
          <w:szCs w:val="24"/>
          <w:lang w:val="fr-FR"/>
        </w:rPr>
        <w:t>Après avoir reçu les plaintes de plusieurs policiers, l</w:t>
      </w:r>
      <w:r w:rsidRPr="006F74B4">
        <w:rPr>
          <w:rFonts w:ascii="Times New Roman" w:hAnsi="Times New Roman"/>
          <w:sz w:val="24"/>
          <w:szCs w:val="24"/>
          <w:lang w:val="fr-FR"/>
        </w:rPr>
        <w:t xml:space="preserve">a SDH a fait part à l’Inspecteur général de la PNH de son souci que des policiers aient été congédiés apparemment sans avoir été informés des actes qu’on leur reprochait, sans avoir eu l’occasion de se défendre et sans voie de recours. L’Inspecteur a informé </w:t>
      </w:r>
      <w:r>
        <w:rPr>
          <w:rFonts w:ascii="Times New Roman" w:hAnsi="Times New Roman"/>
          <w:sz w:val="24"/>
          <w:szCs w:val="24"/>
          <w:lang w:val="fr-FR"/>
        </w:rPr>
        <w:t xml:space="preserve">la SDH </w:t>
      </w:r>
      <w:r w:rsidRPr="006F74B4">
        <w:rPr>
          <w:rFonts w:ascii="Times New Roman" w:hAnsi="Times New Roman"/>
          <w:sz w:val="24"/>
          <w:szCs w:val="24"/>
          <w:lang w:val="fr-FR"/>
        </w:rPr>
        <w:t xml:space="preserve">qu’il avait recommandé au </w:t>
      </w:r>
      <w:r>
        <w:rPr>
          <w:rFonts w:ascii="Times New Roman" w:hAnsi="Times New Roman"/>
          <w:sz w:val="24"/>
          <w:szCs w:val="24"/>
          <w:lang w:val="fr-FR"/>
        </w:rPr>
        <w:t>D</w:t>
      </w:r>
      <w:r w:rsidRPr="006F74B4">
        <w:rPr>
          <w:rFonts w:ascii="Times New Roman" w:hAnsi="Times New Roman"/>
          <w:sz w:val="24"/>
          <w:szCs w:val="24"/>
          <w:lang w:val="fr-FR"/>
        </w:rPr>
        <w:t xml:space="preserve">irecteur général de la PNH de constituer un comité de recours. </w:t>
      </w:r>
      <w:r>
        <w:rPr>
          <w:rFonts w:ascii="Times New Roman" w:hAnsi="Times New Roman"/>
          <w:color w:val="000000"/>
          <w:sz w:val="24"/>
          <w:szCs w:val="24"/>
          <w:lang w:val="fr-FR"/>
        </w:rPr>
        <w:t>F</w:t>
      </w:r>
      <w:r w:rsidRPr="006F74B4">
        <w:rPr>
          <w:rFonts w:ascii="Times New Roman" w:hAnsi="Times New Roman"/>
          <w:color w:val="000000"/>
          <w:sz w:val="24"/>
          <w:szCs w:val="24"/>
          <w:lang w:val="fr-FR"/>
        </w:rPr>
        <w:t xml:space="preserve">in 2012, 35 policiers </w:t>
      </w:r>
      <w:r>
        <w:rPr>
          <w:rFonts w:ascii="Times New Roman" w:hAnsi="Times New Roman"/>
          <w:color w:val="000000"/>
          <w:sz w:val="24"/>
          <w:szCs w:val="24"/>
          <w:lang w:val="fr-FR"/>
        </w:rPr>
        <w:t>avaient</w:t>
      </w:r>
      <w:r w:rsidRPr="006F74B4">
        <w:rPr>
          <w:rFonts w:ascii="Times New Roman" w:hAnsi="Times New Roman"/>
          <w:color w:val="000000"/>
          <w:sz w:val="24"/>
          <w:szCs w:val="24"/>
          <w:lang w:val="fr-FR"/>
        </w:rPr>
        <w:t xml:space="preserve"> écrit à l’Inspecteur général pour demander leur réintégration dans la police, en se fondant sur le Manuel de Police. </w:t>
      </w:r>
    </w:p>
    <w:p w:rsidR="008673B7" w:rsidRDefault="008673B7" w:rsidP="008673B7">
      <w:pPr>
        <w:spacing w:after="0" w:line="240" w:lineRule="auto"/>
        <w:jc w:val="both"/>
        <w:textAlignment w:val="top"/>
        <w:rPr>
          <w:rFonts w:ascii="Times New Roman" w:hAnsi="Times New Roman"/>
          <w:color w:val="000000"/>
          <w:sz w:val="24"/>
          <w:szCs w:val="24"/>
          <w:lang w:val="fr-FR"/>
        </w:rPr>
      </w:pPr>
    </w:p>
    <w:p w:rsidR="008673B7" w:rsidRDefault="008673B7" w:rsidP="008673B7">
      <w:pPr>
        <w:spacing w:after="0" w:line="240" w:lineRule="auto"/>
        <w:jc w:val="both"/>
        <w:textAlignment w:val="top"/>
        <w:rPr>
          <w:rFonts w:ascii="Times New Roman" w:hAnsi="Times New Roman"/>
          <w:color w:val="000000"/>
          <w:sz w:val="24"/>
          <w:szCs w:val="24"/>
          <w:lang w:val="fr-FR"/>
        </w:rPr>
      </w:pPr>
      <w:r w:rsidRPr="006F74B4">
        <w:rPr>
          <w:rFonts w:ascii="Times New Roman" w:hAnsi="Times New Roman"/>
          <w:color w:val="000000"/>
          <w:sz w:val="24"/>
          <w:szCs w:val="24"/>
          <w:lang w:val="fr-FR"/>
        </w:rPr>
        <w:t>Fin 2012, les 22</w:t>
      </w:r>
      <w:r w:rsidRPr="006F74B4">
        <w:rPr>
          <w:rFonts w:ascii="Times New Roman" w:hAnsi="Times New Roman"/>
          <w:color w:val="000000"/>
          <w:sz w:val="24"/>
          <w:szCs w:val="24"/>
          <w:vertAlign w:val="superscript"/>
          <w:lang w:val="fr-FR"/>
        </w:rPr>
        <w:t>e</w:t>
      </w:r>
      <w:r w:rsidRPr="006F74B4">
        <w:rPr>
          <w:rFonts w:ascii="Times New Roman" w:hAnsi="Times New Roman"/>
          <w:color w:val="000000"/>
          <w:sz w:val="24"/>
          <w:szCs w:val="24"/>
          <w:lang w:val="fr-FR"/>
        </w:rPr>
        <w:t xml:space="preserve"> et 23</w:t>
      </w:r>
      <w:r w:rsidRPr="006F74B4">
        <w:rPr>
          <w:rFonts w:ascii="Times New Roman" w:hAnsi="Times New Roman"/>
          <w:color w:val="000000"/>
          <w:sz w:val="24"/>
          <w:szCs w:val="24"/>
          <w:vertAlign w:val="superscript"/>
          <w:lang w:val="fr-FR"/>
        </w:rPr>
        <w:t>e</w:t>
      </w:r>
      <w:r w:rsidRPr="006F74B4">
        <w:rPr>
          <w:rFonts w:ascii="Times New Roman" w:hAnsi="Times New Roman"/>
          <w:color w:val="000000"/>
          <w:sz w:val="24"/>
          <w:szCs w:val="24"/>
          <w:lang w:val="fr-FR"/>
        </w:rPr>
        <w:t xml:space="preserve"> promotions de l’École de police ainsi que les policiers des régions font l’objet de vérifications, ce qui constitue 2 597 nouveaux dossiers de </w:t>
      </w:r>
      <w:r w:rsidRPr="006F74B4">
        <w:rPr>
          <w:rFonts w:ascii="Times New Roman" w:hAnsi="Times New Roman"/>
          <w:i/>
          <w:color w:val="000000"/>
          <w:sz w:val="24"/>
          <w:szCs w:val="24"/>
          <w:lang w:val="fr-FR"/>
        </w:rPr>
        <w:t>vetting</w:t>
      </w:r>
      <w:r w:rsidRPr="006F74B4">
        <w:rPr>
          <w:rFonts w:ascii="Times New Roman" w:hAnsi="Times New Roman"/>
          <w:color w:val="000000"/>
          <w:sz w:val="24"/>
          <w:szCs w:val="24"/>
          <w:lang w:val="fr-FR"/>
        </w:rPr>
        <w:t>. Les problèmes de disponibilité de la PNH pour se rendre dans les régions ralentissent sensiblement l’ensemble du processus.</w:t>
      </w:r>
    </w:p>
    <w:p w:rsidR="008673B7" w:rsidRDefault="008673B7" w:rsidP="006F4C31">
      <w:pPr>
        <w:pStyle w:val="Heading2"/>
        <w:spacing w:after="200"/>
        <w:rPr>
          <w:rFonts w:ascii="Times New Roman" w:eastAsia="Batang" w:hAnsi="Times New Roman"/>
          <w:bCs w:val="0"/>
          <w:iCs/>
          <w:color w:val="auto"/>
          <w:sz w:val="24"/>
          <w:szCs w:val="24"/>
          <w:lang w:val="fr-FR"/>
        </w:rPr>
      </w:pPr>
    </w:p>
    <w:p w:rsidR="008673B7" w:rsidRPr="007967B5" w:rsidRDefault="008673B7" w:rsidP="008673B7">
      <w:pPr>
        <w:pStyle w:val="Heading2"/>
        <w:rPr>
          <w:lang w:val="fr-FR"/>
        </w:rPr>
      </w:pPr>
      <w:bookmarkStart w:id="31" w:name="_Toc350156706"/>
      <w:r w:rsidRPr="007967B5">
        <w:rPr>
          <w:lang w:val="fr-FR"/>
        </w:rPr>
        <w:t>II</w:t>
      </w:r>
      <w:r w:rsidR="00A8570F">
        <w:rPr>
          <w:lang w:val="fr-FR"/>
        </w:rPr>
        <w:t>I</w:t>
      </w:r>
      <w:r w:rsidRPr="007967B5">
        <w:rPr>
          <w:lang w:val="fr-FR"/>
        </w:rPr>
        <w:t>.5. Indépendance de la justice</w:t>
      </w:r>
      <w:bookmarkEnd w:id="31"/>
    </w:p>
    <w:p w:rsidR="008673B7" w:rsidRPr="006F74B4" w:rsidRDefault="008673B7" w:rsidP="008673B7">
      <w:pPr>
        <w:spacing w:after="0" w:line="240" w:lineRule="auto"/>
        <w:jc w:val="both"/>
        <w:rPr>
          <w:rFonts w:ascii="Times New Roman" w:hAnsi="Times New Roman"/>
          <w:color w:val="000000"/>
          <w:sz w:val="24"/>
          <w:szCs w:val="24"/>
          <w:lang w:val="fr-FR"/>
        </w:rPr>
      </w:pPr>
    </w:p>
    <w:p w:rsidR="008673B7" w:rsidRPr="007967B5" w:rsidRDefault="008673B7" w:rsidP="008673B7">
      <w:pPr>
        <w:pStyle w:val="Heading3"/>
        <w:rPr>
          <w:rFonts w:cs="Times New Roman"/>
          <w:lang w:val="fr-FR"/>
        </w:rPr>
      </w:pPr>
      <w:bookmarkStart w:id="32" w:name="_Toc350156707"/>
      <w:r w:rsidRPr="007967B5">
        <w:rPr>
          <w:rFonts w:cs="Times New Roman"/>
          <w:lang w:val="fr-FR"/>
        </w:rPr>
        <w:t>II</w:t>
      </w:r>
      <w:r w:rsidR="00A8570F">
        <w:rPr>
          <w:rFonts w:cs="Times New Roman"/>
          <w:lang w:val="fr-FR"/>
        </w:rPr>
        <w:t>I</w:t>
      </w:r>
      <w:r w:rsidRPr="007967B5">
        <w:rPr>
          <w:rFonts w:cs="Times New Roman"/>
          <w:lang w:val="fr-FR"/>
        </w:rPr>
        <w:t>.5.1. Les structures garantes de l’indépendance du pouvoir judiciaire</w:t>
      </w:r>
      <w:bookmarkEnd w:id="32"/>
    </w:p>
    <w:p w:rsidR="008673B7" w:rsidRPr="006F74B4" w:rsidRDefault="008673B7" w:rsidP="008673B7">
      <w:pPr>
        <w:pStyle w:val="Heading4"/>
        <w:rPr>
          <w:rFonts w:ascii="Times New Roman" w:hAnsi="Times New Roman" w:cs="Times New Roman"/>
          <w:lang w:val="fr-FR"/>
        </w:rPr>
      </w:pPr>
      <w:r w:rsidRPr="006F74B4">
        <w:rPr>
          <w:rFonts w:ascii="Times New Roman" w:hAnsi="Times New Roman" w:cs="Times New Roman"/>
          <w:lang w:val="fr-FR"/>
        </w:rPr>
        <w:t>Le C</w:t>
      </w:r>
      <w:r>
        <w:rPr>
          <w:rFonts w:ascii="Times New Roman" w:hAnsi="Times New Roman" w:cs="Times New Roman"/>
          <w:lang w:val="fr-FR"/>
        </w:rPr>
        <w:t xml:space="preserve">onseil </w:t>
      </w:r>
      <w:r w:rsidR="006D168D">
        <w:rPr>
          <w:rFonts w:ascii="Times New Roman" w:hAnsi="Times New Roman" w:cs="Times New Roman"/>
          <w:lang w:val="fr-FR"/>
        </w:rPr>
        <w:t>s</w:t>
      </w:r>
      <w:r>
        <w:rPr>
          <w:rFonts w:ascii="Times New Roman" w:hAnsi="Times New Roman" w:cs="Times New Roman"/>
          <w:lang w:val="fr-FR"/>
        </w:rPr>
        <w:t xml:space="preserve">upérieur du </w:t>
      </w:r>
      <w:r w:rsidR="006D168D">
        <w:rPr>
          <w:rFonts w:ascii="Times New Roman" w:hAnsi="Times New Roman" w:cs="Times New Roman"/>
          <w:lang w:val="fr-FR"/>
        </w:rPr>
        <w:t>p</w:t>
      </w:r>
      <w:r>
        <w:rPr>
          <w:rFonts w:ascii="Times New Roman" w:hAnsi="Times New Roman" w:cs="Times New Roman"/>
          <w:lang w:val="fr-FR"/>
        </w:rPr>
        <w:t xml:space="preserve">ouvoir </w:t>
      </w:r>
      <w:r w:rsidR="006D168D">
        <w:rPr>
          <w:rFonts w:ascii="Times New Roman" w:hAnsi="Times New Roman" w:cs="Times New Roman"/>
          <w:lang w:val="fr-FR"/>
        </w:rPr>
        <w:t>j</w:t>
      </w:r>
      <w:r>
        <w:rPr>
          <w:rFonts w:ascii="Times New Roman" w:hAnsi="Times New Roman" w:cs="Times New Roman"/>
          <w:lang w:val="fr-FR"/>
        </w:rPr>
        <w:t>udiciaire</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pStyle w:val="CommentText"/>
        <w:jc w:val="both"/>
        <w:rPr>
          <w:rFonts w:ascii="Times New Roman" w:hAnsi="Times New Roman"/>
          <w:sz w:val="24"/>
          <w:szCs w:val="24"/>
          <w:lang w:val="fr-BE"/>
        </w:rPr>
      </w:pPr>
      <w:r w:rsidRPr="006F74B4">
        <w:rPr>
          <w:rFonts w:ascii="Times New Roman" w:hAnsi="Times New Roman"/>
          <w:color w:val="000000"/>
          <w:sz w:val="24"/>
          <w:szCs w:val="24"/>
          <w:lang w:val="fr-BE"/>
        </w:rPr>
        <w:t xml:space="preserve">Le 3 juillet, le Conseil supérieur du pouvoir judiciaire (CSPJ) </w:t>
      </w:r>
      <w:r>
        <w:rPr>
          <w:rFonts w:ascii="Times New Roman" w:hAnsi="Times New Roman"/>
          <w:color w:val="000000"/>
          <w:sz w:val="24"/>
          <w:szCs w:val="24"/>
          <w:lang w:val="fr-BE"/>
        </w:rPr>
        <w:t>était établi</w:t>
      </w:r>
      <w:r w:rsidRPr="006F74B4">
        <w:rPr>
          <w:rFonts w:ascii="Times New Roman" w:hAnsi="Times New Roman"/>
          <w:color w:val="000000"/>
          <w:sz w:val="24"/>
          <w:szCs w:val="24"/>
          <w:lang w:val="fr-BE"/>
        </w:rPr>
        <w:t>, cinq ans après l’adoption de la loi portant sa création</w:t>
      </w:r>
      <w:r w:rsidRPr="006F74B4">
        <w:rPr>
          <w:rStyle w:val="FootnoteReference"/>
          <w:rFonts w:ascii="Times New Roman" w:hAnsi="Times New Roman"/>
          <w:color w:val="000000"/>
          <w:sz w:val="24"/>
          <w:szCs w:val="24"/>
          <w:lang w:val="fr-FR"/>
        </w:rPr>
        <w:footnoteReference w:id="25"/>
      </w:r>
      <w:r w:rsidRPr="006F74B4">
        <w:rPr>
          <w:rFonts w:ascii="Times New Roman" w:hAnsi="Times New Roman"/>
          <w:color w:val="000000"/>
          <w:sz w:val="24"/>
          <w:szCs w:val="24"/>
          <w:lang w:val="fr-BE"/>
        </w:rPr>
        <w:t xml:space="preserve">. </w:t>
      </w:r>
      <w:r w:rsidRPr="006F74B4">
        <w:rPr>
          <w:rFonts w:ascii="Times New Roman" w:hAnsi="Times New Roman"/>
          <w:sz w:val="24"/>
          <w:szCs w:val="24"/>
          <w:lang w:val="fr-CA"/>
        </w:rPr>
        <w:t xml:space="preserve">Le CSPJ est l'organe d'administration, de contrôle, de discipline et de délibération du pouvoir judiciaire. </w:t>
      </w:r>
      <w:r>
        <w:rPr>
          <w:rFonts w:ascii="Times New Roman" w:hAnsi="Times New Roman"/>
          <w:sz w:val="24"/>
          <w:szCs w:val="24"/>
          <w:lang w:val="fr-CA"/>
        </w:rPr>
        <w:t>Selon la loi, i</w:t>
      </w:r>
      <w:r w:rsidRPr="006F74B4">
        <w:rPr>
          <w:rFonts w:ascii="Times New Roman" w:hAnsi="Times New Roman"/>
          <w:sz w:val="24"/>
          <w:szCs w:val="24"/>
          <w:lang w:val="fr-CA"/>
        </w:rPr>
        <w:t>l se prononce sur les matières disciplinaires qui concernent les juges du siège et le personnel judiciaire.</w:t>
      </w:r>
      <w:r w:rsidRPr="006F74B4">
        <w:rPr>
          <w:rFonts w:ascii="Times New Roman" w:hAnsi="Times New Roman"/>
          <w:color w:val="000000"/>
          <w:sz w:val="24"/>
          <w:szCs w:val="24"/>
          <w:lang w:val="fr-BE"/>
        </w:rPr>
        <w:t xml:space="preserve"> Il peut ainsi suspendre, renvoyer ou mettre en disponibilité les magistrats en guise de sanction</w:t>
      </w:r>
      <w:r w:rsidRPr="006F74B4">
        <w:rPr>
          <w:rStyle w:val="FootnoteReference"/>
          <w:rFonts w:ascii="Times New Roman" w:hAnsi="Times New Roman"/>
          <w:color w:val="000000"/>
          <w:sz w:val="24"/>
          <w:szCs w:val="24"/>
        </w:rPr>
        <w:footnoteReference w:id="26"/>
      </w:r>
      <w:r w:rsidRPr="006F74B4">
        <w:rPr>
          <w:rFonts w:ascii="Times New Roman" w:hAnsi="Times New Roman"/>
          <w:color w:val="000000"/>
          <w:sz w:val="24"/>
          <w:szCs w:val="24"/>
          <w:lang w:val="fr-BE"/>
        </w:rPr>
        <w:t xml:space="preserve">. </w:t>
      </w:r>
      <w:r w:rsidRPr="006F74B4">
        <w:rPr>
          <w:rFonts w:ascii="Times New Roman" w:hAnsi="Times New Roman"/>
          <w:sz w:val="24"/>
          <w:szCs w:val="24"/>
          <w:lang w:val="fr-CA"/>
        </w:rPr>
        <w:t>Le Conseil donne également son avis sur la nomination des juges du siège qui sont nommés par le Ministre</w:t>
      </w:r>
      <w:r w:rsidRPr="006F74B4">
        <w:rPr>
          <w:rFonts w:ascii="Times New Roman" w:hAnsi="Times New Roman"/>
          <w:lang w:val="fr-CA"/>
        </w:rPr>
        <w:t xml:space="preserve">. </w:t>
      </w:r>
      <w:r w:rsidRPr="006F74B4">
        <w:rPr>
          <w:rFonts w:ascii="Times New Roman" w:hAnsi="Times New Roman"/>
          <w:sz w:val="24"/>
          <w:szCs w:val="24"/>
          <w:lang w:val="fr-CA"/>
        </w:rPr>
        <w:t>Le ministre de la Justice, le président de la Cour d’appel, les doyens des tribunaux</w:t>
      </w:r>
      <w:r w:rsidRPr="006F74B4">
        <w:rPr>
          <w:rFonts w:ascii="Times New Roman" w:hAnsi="Times New Roman"/>
          <w:color w:val="000000"/>
          <w:sz w:val="24"/>
          <w:szCs w:val="24"/>
          <w:lang w:val="fr-CA"/>
        </w:rPr>
        <w:t xml:space="preserve">, ainsi que les victimes sont habilités à porter plainte auprès du CSPJ. Le CSPJ doit publier un rapport annuel sur l’état du pouvoir judiciaire en Haïti, évaluant son indépendance. </w:t>
      </w:r>
      <w:r w:rsidRPr="006F74B4">
        <w:rPr>
          <w:rFonts w:ascii="Times New Roman" w:hAnsi="Times New Roman"/>
          <w:sz w:val="24"/>
          <w:szCs w:val="24"/>
          <w:lang w:val="fr-BE"/>
        </w:rPr>
        <w:t xml:space="preserve">Le CSPJ gère et administre </w:t>
      </w:r>
      <w:r w:rsidRPr="006F74B4">
        <w:rPr>
          <w:rFonts w:ascii="Times New Roman" w:hAnsi="Times New Roman"/>
          <w:sz w:val="24"/>
          <w:szCs w:val="24"/>
          <w:lang w:val="fr-BE"/>
        </w:rPr>
        <w:lastRenderedPageBreak/>
        <w:t xml:space="preserve">le budget de fonctionnement alloué aux cours et tribunaux. </w:t>
      </w:r>
      <w:r w:rsidRPr="00022547">
        <w:rPr>
          <w:rFonts w:ascii="Times New Roman" w:hAnsi="Times New Roman"/>
          <w:sz w:val="24"/>
          <w:szCs w:val="24"/>
          <w:lang w:val="fr-BE"/>
        </w:rPr>
        <w:t xml:space="preserve">Fin 2012, </w:t>
      </w:r>
      <w:r>
        <w:rPr>
          <w:rFonts w:ascii="Times New Roman" w:eastAsia="Calibri" w:hAnsi="Times New Roman"/>
          <w:sz w:val="24"/>
          <w:szCs w:val="24"/>
          <w:lang w:val="fr-FR"/>
        </w:rPr>
        <w:t xml:space="preserve">bien que le CSPJ </w:t>
      </w:r>
      <w:r w:rsidRPr="00273D27">
        <w:rPr>
          <w:rFonts w:ascii="Times New Roman" w:eastAsia="Calibri" w:hAnsi="Times New Roman"/>
          <w:sz w:val="24"/>
          <w:szCs w:val="24"/>
          <w:lang w:val="fr-FR"/>
        </w:rPr>
        <w:t>n</w:t>
      </w:r>
      <w:r>
        <w:rPr>
          <w:rFonts w:ascii="Times New Roman" w:eastAsia="Calibri" w:hAnsi="Times New Roman"/>
          <w:sz w:val="24"/>
          <w:szCs w:val="24"/>
          <w:lang w:val="fr-FR"/>
        </w:rPr>
        <w:t xml:space="preserve">e soit </w:t>
      </w:r>
      <w:r w:rsidRPr="00273D27">
        <w:rPr>
          <w:rFonts w:ascii="Times New Roman" w:eastAsia="Calibri" w:hAnsi="Times New Roman"/>
          <w:sz w:val="24"/>
          <w:szCs w:val="24"/>
          <w:lang w:val="fr-FR"/>
        </w:rPr>
        <w:t>pas encore entièrement opérationnel</w:t>
      </w:r>
      <w:r>
        <w:rPr>
          <w:rFonts w:ascii="Times New Roman" w:eastAsia="Calibri" w:hAnsi="Times New Roman"/>
          <w:sz w:val="24"/>
          <w:szCs w:val="24"/>
          <w:lang w:val="fr-FR"/>
        </w:rPr>
        <w:t>,</w:t>
      </w:r>
      <w:r w:rsidRPr="00022547">
        <w:rPr>
          <w:rFonts w:ascii="Times New Roman" w:hAnsi="Times New Roman"/>
          <w:sz w:val="24"/>
          <w:szCs w:val="24"/>
          <w:lang w:val="fr-BE"/>
        </w:rPr>
        <w:t xml:space="preserve"> les conditions d’infrastructures et bud</w:t>
      </w:r>
      <w:r>
        <w:rPr>
          <w:rFonts w:ascii="Times New Roman" w:hAnsi="Times New Roman"/>
          <w:sz w:val="24"/>
          <w:szCs w:val="24"/>
          <w:lang w:val="fr-BE"/>
        </w:rPr>
        <w:t>gétaires étaient réunies pour son bon fonctionnement</w:t>
      </w:r>
      <w:r w:rsidRPr="00022547">
        <w:rPr>
          <w:rFonts w:ascii="Times New Roman" w:hAnsi="Times New Roman"/>
          <w:sz w:val="24"/>
          <w:szCs w:val="24"/>
          <w:lang w:val="fr-BE"/>
        </w:rPr>
        <w:t>.</w:t>
      </w:r>
    </w:p>
    <w:p w:rsidR="008673B7" w:rsidRDefault="008673B7" w:rsidP="00A95D51">
      <w:pPr>
        <w:pStyle w:val="Heading4"/>
        <w:rPr>
          <w:rFonts w:ascii="Times New Roman" w:hAnsi="Times New Roman" w:cs="Times New Roman"/>
          <w:lang w:val="fr-BE"/>
        </w:rPr>
      </w:pPr>
      <w:r w:rsidRPr="006F74B4">
        <w:rPr>
          <w:rFonts w:ascii="Times New Roman" w:hAnsi="Times New Roman" w:cs="Times New Roman"/>
          <w:lang w:val="fr-BE"/>
        </w:rPr>
        <w:t>L’Inspection judiciaire</w:t>
      </w:r>
    </w:p>
    <w:p w:rsidR="00A95D51" w:rsidRPr="00A95D51" w:rsidRDefault="00A95D51" w:rsidP="00A95D51">
      <w:pPr>
        <w:spacing w:after="0"/>
        <w:rPr>
          <w:lang w:val="fr-BE"/>
        </w:rPr>
      </w:pPr>
    </w:p>
    <w:p w:rsidR="008673B7" w:rsidRPr="006F74B4" w:rsidRDefault="008673B7" w:rsidP="00F813C5">
      <w:pPr>
        <w:pStyle w:val="CommentText"/>
        <w:spacing w:after="0"/>
        <w:jc w:val="both"/>
        <w:rPr>
          <w:rFonts w:ascii="Times New Roman" w:hAnsi="Times New Roman"/>
          <w:color w:val="000000"/>
          <w:sz w:val="24"/>
          <w:szCs w:val="24"/>
          <w:lang w:val="fr-BE"/>
        </w:rPr>
      </w:pPr>
      <w:r w:rsidRPr="006F74B4">
        <w:rPr>
          <w:rFonts w:ascii="Times New Roman" w:hAnsi="Times New Roman"/>
          <w:color w:val="000000"/>
          <w:sz w:val="24"/>
          <w:szCs w:val="24"/>
          <w:lang w:val="fr-BE"/>
        </w:rPr>
        <w:t xml:space="preserve">Début décembre 2012, un magistrat a été nommé directeur de l’Inspection judiciaire, au sein du CSPJ, et un budget de fonctionnement a été affecté à ce service. </w:t>
      </w:r>
    </w:p>
    <w:p w:rsidR="00795E20" w:rsidRDefault="00795E20" w:rsidP="00F813C5">
      <w:pPr>
        <w:pStyle w:val="Heading3"/>
        <w:spacing w:before="0" w:line="240" w:lineRule="auto"/>
        <w:rPr>
          <w:rFonts w:cs="Times New Roman"/>
          <w:lang w:val="fr-FR"/>
        </w:rPr>
      </w:pPr>
      <w:bookmarkStart w:id="33" w:name="_Toc350156708"/>
    </w:p>
    <w:p w:rsidR="008673B7" w:rsidRPr="007967B5" w:rsidRDefault="00A8570F" w:rsidP="008673B7">
      <w:pPr>
        <w:pStyle w:val="Heading3"/>
        <w:rPr>
          <w:rFonts w:cs="Times New Roman"/>
          <w:lang w:val="fr-FR"/>
        </w:rPr>
      </w:pPr>
      <w:r>
        <w:rPr>
          <w:rFonts w:cs="Times New Roman"/>
          <w:lang w:val="fr-FR"/>
        </w:rPr>
        <w:t>I</w:t>
      </w:r>
      <w:r w:rsidR="008673B7" w:rsidRPr="007967B5">
        <w:rPr>
          <w:rFonts w:cs="Times New Roman"/>
          <w:lang w:val="fr-FR"/>
        </w:rPr>
        <w:t>II.5.2. La question de l’indépendance des juges</w:t>
      </w:r>
      <w:bookmarkEnd w:id="33"/>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Default="008673B7" w:rsidP="000144C4">
      <w:pPr>
        <w:pStyle w:val="CommentText"/>
        <w:jc w:val="both"/>
        <w:rPr>
          <w:rFonts w:ascii="Times New Roman" w:hAnsi="Times New Roman"/>
          <w:sz w:val="24"/>
          <w:szCs w:val="24"/>
          <w:lang w:val="fr-FR"/>
        </w:rPr>
      </w:pPr>
      <w:r w:rsidRPr="006F74B4">
        <w:rPr>
          <w:rFonts w:ascii="Times New Roman" w:hAnsi="Times New Roman"/>
          <w:color w:val="000000"/>
          <w:sz w:val="24"/>
          <w:szCs w:val="24"/>
          <w:lang w:val="fr-FR"/>
        </w:rPr>
        <w:t>A</w:t>
      </w:r>
      <w:r w:rsidRPr="006F74B4">
        <w:rPr>
          <w:rFonts w:ascii="Times New Roman" w:hAnsi="Times New Roman"/>
          <w:sz w:val="24"/>
          <w:szCs w:val="24"/>
          <w:lang w:val="fr-FR"/>
        </w:rPr>
        <w:t>u cours du second semestre 2012, un nombre important de magistrats ont été</w:t>
      </w:r>
      <w:r>
        <w:rPr>
          <w:rFonts w:ascii="Times New Roman" w:hAnsi="Times New Roman"/>
          <w:sz w:val="24"/>
          <w:szCs w:val="24"/>
          <w:lang w:val="fr-FR"/>
        </w:rPr>
        <w:t xml:space="preserve"> nommés, transférés ou suspendus </w:t>
      </w:r>
      <w:r w:rsidRPr="006F74B4">
        <w:rPr>
          <w:rFonts w:ascii="Times New Roman" w:hAnsi="Times New Roman"/>
          <w:sz w:val="24"/>
          <w:szCs w:val="24"/>
          <w:lang w:val="fr-FR"/>
        </w:rPr>
        <w:t xml:space="preserve">par décisions du pouvoir exécutif. </w:t>
      </w:r>
      <w:r w:rsidRPr="009F0C35">
        <w:rPr>
          <w:rFonts w:ascii="Times New Roman" w:hAnsi="Times New Roman"/>
          <w:sz w:val="24"/>
          <w:szCs w:val="24"/>
          <w:lang w:val="fr-FR"/>
        </w:rPr>
        <w:t xml:space="preserve">Dans le contexte actuel, ces décisions ont </w:t>
      </w:r>
      <w:r>
        <w:rPr>
          <w:rFonts w:ascii="Times New Roman" w:hAnsi="Times New Roman"/>
          <w:sz w:val="24"/>
          <w:szCs w:val="24"/>
          <w:lang w:val="fr-FR"/>
        </w:rPr>
        <w:t>été</w:t>
      </w:r>
      <w:r w:rsidRPr="009F0C35">
        <w:rPr>
          <w:rFonts w:ascii="Times New Roman" w:hAnsi="Times New Roman"/>
          <w:sz w:val="24"/>
          <w:szCs w:val="24"/>
          <w:lang w:val="fr-FR"/>
        </w:rPr>
        <w:t xml:space="preserve"> perçues comme </w:t>
      </w:r>
      <w:r>
        <w:rPr>
          <w:rFonts w:ascii="Times New Roman" w:hAnsi="Times New Roman"/>
          <w:sz w:val="24"/>
          <w:szCs w:val="24"/>
          <w:lang w:val="fr-FR"/>
        </w:rPr>
        <w:t xml:space="preserve">une atteinte </w:t>
      </w:r>
      <w:r w:rsidRPr="009F0C35">
        <w:rPr>
          <w:rFonts w:ascii="Times New Roman" w:hAnsi="Times New Roman"/>
          <w:sz w:val="24"/>
          <w:szCs w:val="24"/>
          <w:lang w:val="fr-FR"/>
        </w:rPr>
        <w:t>à l’indépendance de la magistrature</w:t>
      </w:r>
      <w:r w:rsidRPr="006F74B4">
        <w:rPr>
          <w:rFonts w:ascii="Times New Roman" w:hAnsi="Times New Roman"/>
          <w:sz w:val="24"/>
          <w:szCs w:val="24"/>
          <w:lang w:val="fr-FR"/>
        </w:rPr>
        <w:t xml:space="preserve">. </w:t>
      </w:r>
    </w:p>
    <w:p w:rsidR="008673B7" w:rsidRDefault="008673B7" w:rsidP="000144C4">
      <w:pPr>
        <w:pStyle w:val="Heading4"/>
        <w:spacing w:line="240" w:lineRule="auto"/>
        <w:rPr>
          <w:rFonts w:ascii="Times New Roman" w:hAnsi="Times New Roman" w:cs="Times New Roman"/>
          <w:lang w:val="fr-BE"/>
        </w:rPr>
      </w:pPr>
      <w:r w:rsidRPr="00E04C0C">
        <w:rPr>
          <w:rFonts w:ascii="Times New Roman" w:hAnsi="Times New Roman" w:cs="Times New Roman"/>
          <w:lang w:val="fr-BE"/>
        </w:rPr>
        <w:t>Transfert pour insubordination</w:t>
      </w:r>
    </w:p>
    <w:p w:rsidR="00A95D51" w:rsidRPr="00A95D51" w:rsidRDefault="00A95D51" w:rsidP="000144C4">
      <w:pPr>
        <w:spacing w:after="0" w:line="240" w:lineRule="auto"/>
        <w:rPr>
          <w:lang w:val="fr-BE"/>
        </w:rPr>
      </w:pPr>
    </w:p>
    <w:p w:rsidR="008673B7" w:rsidRDefault="008673B7" w:rsidP="000144C4">
      <w:pPr>
        <w:pStyle w:val="CommentText"/>
        <w:jc w:val="both"/>
        <w:rPr>
          <w:rFonts w:ascii="Times New Roman" w:hAnsi="Times New Roman"/>
          <w:color w:val="000000"/>
          <w:sz w:val="24"/>
          <w:szCs w:val="24"/>
          <w:lang w:val="fr-FR"/>
        </w:rPr>
      </w:pPr>
      <w:r w:rsidRPr="006E15F9">
        <w:rPr>
          <w:rFonts w:ascii="Times New Roman" w:hAnsi="Times New Roman"/>
          <w:color w:val="000000"/>
          <w:sz w:val="24"/>
          <w:szCs w:val="24"/>
          <w:lang w:val="fr-CA"/>
        </w:rPr>
        <w:t>Début septembre, dans le département du Sud, le ministre de la Justice a ordonné le transfert du doyen du tribunal et du commissaire du gouvernement des Cayes, et suspendu ce dernier pour raison d’enquête, sans précision des motifs de la dite enquête. Compte tenu de ses relations houleuses avec le délégué départemental des Cayes, le commissaire du gouvernement suspecte une motivation politique dans ces mesures. Tous deux ont finalement été réintégrés dans leurs fonctions suite à de vives protestations de la part de la population.</w:t>
      </w:r>
    </w:p>
    <w:p w:rsidR="008673B7" w:rsidRDefault="008673B7" w:rsidP="000144C4">
      <w:pPr>
        <w:pStyle w:val="Heading4"/>
        <w:spacing w:line="240" w:lineRule="auto"/>
        <w:rPr>
          <w:rFonts w:ascii="Times New Roman" w:hAnsi="Times New Roman" w:cs="Times New Roman"/>
          <w:lang w:val="fr-BE"/>
        </w:rPr>
      </w:pPr>
      <w:r w:rsidRPr="00E04C0C">
        <w:rPr>
          <w:rFonts w:ascii="Times New Roman" w:hAnsi="Times New Roman" w:cs="Times New Roman"/>
          <w:lang w:val="fr-BE"/>
        </w:rPr>
        <w:t xml:space="preserve">Commissaire du Gouvernement </w:t>
      </w:r>
    </w:p>
    <w:p w:rsidR="00A95D51" w:rsidRDefault="00A95D51" w:rsidP="000144C4">
      <w:pPr>
        <w:pStyle w:val="CommentText"/>
        <w:spacing w:after="0"/>
        <w:jc w:val="both"/>
        <w:rPr>
          <w:rFonts w:ascii="Times New Roman" w:hAnsi="Times New Roman"/>
          <w:color w:val="000000"/>
          <w:sz w:val="24"/>
          <w:szCs w:val="24"/>
          <w:lang w:val="fr-FR"/>
        </w:rPr>
      </w:pPr>
    </w:p>
    <w:p w:rsidR="008673B7" w:rsidRPr="006F74B4" w:rsidRDefault="008673B7" w:rsidP="000144C4">
      <w:pPr>
        <w:pStyle w:val="CommentText"/>
        <w:jc w:val="both"/>
        <w:rPr>
          <w:rFonts w:ascii="Times New Roman" w:hAnsi="Times New Roman"/>
          <w:iCs/>
          <w:color w:val="000000"/>
          <w:sz w:val="24"/>
          <w:szCs w:val="24"/>
          <w:lang w:val="fr-FR"/>
        </w:rPr>
      </w:pPr>
      <w:r>
        <w:rPr>
          <w:rFonts w:ascii="Times New Roman" w:hAnsi="Times New Roman"/>
          <w:color w:val="000000"/>
          <w:sz w:val="24"/>
          <w:szCs w:val="24"/>
          <w:lang w:val="fr-FR"/>
        </w:rPr>
        <w:t>A</w:t>
      </w:r>
      <w:r w:rsidRPr="006F74B4">
        <w:rPr>
          <w:rFonts w:ascii="Times New Roman" w:hAnsi="Times New Roman"/>
          <w:color w:val="000000"/>
          <w:sz w:val="24"/>
          <w:szCs w:val="24"/>
          <w:lang w:val="fr-FR"/>
        </w:rPr>
        <w:t xml:space="preserve"> Port-au-Prince, </w:t>
      </w:r>
      <w:r w:rsidRPr="006F74B4">
        <w:rPr>
          <w:rFonts w:ascii="Times New Roman" w:hAnsi="Times New Roman"/>
          <w:sz w:val="24"/>
          <w:szCs w:val="24"/>
          <w:lang w:val="fr-FR"/>
        </w:rPr>
        <w:t xml:space="preserve">le </w:t>
      </w:r>
      <w:r w:rsidR="002A28C1">
        <w:rPr>
          <w:rFonts w:ascii="Times New Roman" w:hAnsi="Times New Roman"/>
          <w:sz w:val="24"/>
          <w:szCs w:val="24"/>
          <w:lang w:val="fr-FR"/>
        </w:rPr>
        <w:t>c</w:t>
      </w:r>
      <w:r w:rsidRPr="006F74B4">
        <w:rPr>
          <w:rFonts w:ascii="Times New Roman" w:hAnsi="Times New Roman"/>
          <w:sz w:val="24"/>
          <w:szCs w:val="24"/>
          <w:lang w:val="fr-FR"/>
        </w:rPr>
        <w:t xml:space="preserve">ommissaire du </w:t>
      </w:r>
      <w:r>
        <w:rPr>
          <w:rFonts w:ascii="Times New Roman" w:hAnsi="Times New Roman"/>
          <w:sz w:val="24"/>
          <w:szCs w:val="24"/>
          <w:lang w:val="fr-FR"/>
        </w:rPr>
        <w:t>g</w:t>
      </w:r>
      <w:r w:rsidRPr="006F74B4">
        <w:rPr>
          <w:rFonts w:ascii="Times New Roman" w:hAnsi="Times New Roman"/>
          <w:sz w:val="24"/>
          <w:szCs w:val="24"/>
          <w:lang w:val="fr-FR"/>
        </w:rPr>
        <w:t>ouvernement (procureur) Me Jean Renel Sénatus a déclaré avoir été démis de ses fonctions</w:t>
      </w:r>
      <w:r w:rsidRPr="006F74B4">
        <w:rPr>
          <w:rFonts w:ascii="Times New Roman" w:hAnsi="Times New Roman"/>
          <w:color w:val="000000"/>
          <w:sz w:val="24"/>
          <w:szCs w:val="24"/>
          <w:lang w:val="fr-FR"/>
        </w:rPr>
        <w:t xml:space="preserve"> par le ministre de la Justice</w:t>
      </w:r>
      <w:r w:rsidRPr="006F74B4">
        <w:rPr>
          <w:rFonts w:ascii="Times New Roman" w:hAnsi="Times New Roman"/>
          <w:sz w:val="24"/>
          <w:szCs w:val="24"/>
          <w:lang w:val="fr-FR"/>
        </w:rPr>
        <w:t xml:space="preserve">, fin septembre, au motif qu’il aurait refusé </w:t>
      </w:r>
      <w:r w:rsidRPr="00DF57EE">
        <w:rPr>
          <w:rFonts w:ascii="Times New Roman" w:hAnsi="Times New Roman"/>
          <w:sz w:val="24"/>
          <w:szCs w:val="24"/>
          <w:lang w:val="fr-FR"/>
        </w:rPr>
        <w:t>d’émettre un certain nombre de mandats d’arrêt contre des membres de l’opposition ou contre des personnes ayant critiqué les affaires de la famille du Président. Son</w:t>
      </w:r>
      <w:r w:rsidRPr="006F74B4">
        <w:rPr>
          <w:rFonts w:ascii="Times New Roman" w:hAnsi="Times New Roman"/>
          <w:sz w:val="24"/>
          <w:szCs w:val="24"/>
          <w:lang w:val="fr-FR"/>
        </w:rPr>
        <w:t xml:space="preserve"> remplaçant par intérim, Me </w:t>
      </w:r>
      <w:r w:rsidRPr="006F74B4">
        <w:rPr>
          <w:rFonts w:ascii="Times New Roman" w:hAnsi="Times New Roman"/>
          <w:color w:val="000000"/>
          <w:sz w:val="24"/>
          <w:szCs w:val="24"/>
          <w:lang w:val="fr-FR"/>
        </w:rPr>
        <w:t xml:space="preserve">Gérald Norgaisse, </w:t>
      </w:r>
      <w:r>
        <w:rPr>
          <w:rFonts w:ascii="Times New Roman" w:hAnsi="Times New Roman"/>
          <w:color w:val="000000"/>
          <w:sz w:val="24"/>
          <w:szCs w:val="24"/>
          <w:lang w:val="fr-FR"/>
        </w:rPr>
        <w:t>était</w:t>
      </w:r>
      <w:r w:rsidRPr="006F74B4">
        <w:rPr>
          <w:rFonts w:ascii="Times New Roman" w:hAnsi="Times New Roman"/>
          <w:color w:val="000000"/>
          <w:sz w:val="24"/>
          <w:szCs w:val="24"/>
          <w:lang w:val="fr-FR"/>
        </w:rPr>
        <w:t xml:space="preserve"> à son tour suspendu temporairement de ses fonctions, le 14 décembre, pour avoir ordonné - selon lui pour manque de preuves -, la libération de cinq étudiants arrêtés le 10 décembre pour « trouble à l’ordre public » et « endommagement de biens privés ».</w:t>
      </w:r>
      <w:r w:rsidRPr="006F74B4">
        <w:rPr>
          <w:rFonts w:ascii="Times New Roman" w:hAnsi="Times New Roman"/>
          <w:i/>
          <w:iCs/>
          <w:color w:val="000000"/>
          <w:sz w:val="24"/>
          <w:szCs w:val="24"/>
          <w:lang w:val="fr-FR"/>
        </w:rPr>
        <w:t xml:space="preserve"> </w:t>
      </w:r>
      <w:r w:rsidRPr="006F74B4">
        <w:rPr>
          <w:rFonts w:ascii="Times New Roman" w:hAnsi="Times New Roman"/>
          <w:iCs/>
          <w:color w:val="000000"/>
          <w:sz w:val="24"/>
          <w:szCs w:val="24"/>
          <w:lang w:val="fr-FR"/>
        </w:rPr>
        <w:t xml:space="preserve">Depuis le début de l’investiture du président Martelly, Me Norgaisse est le huitième procureur à avoir été démis de ses fonctions à Port-au-Prince. </w:t>
      </w:r>
    </w:p>
    <w:p w:rsidR="008673B7" w:rsidRPr="006F74B4" w:rsidRDefault="008673B7" w:rsidP="000144C4">
      <w:pPr>
        <w:autoSpaceDE w:val="0"/>
        <w:autoSpaceDN w:val="0"/>
        <w:adjustRightInd w:val="0"/>
        <w:spacing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 xml:space="preserve">Par ailleurs, </w:t>
      </w:r>
      <w:r>
        <w:rPr>
          <w:rFonts w:ascii="Times New Roman" w:hAnsi="Times New Roman"/>
          <w:bCs/>
          <w:iCs/>
          <w:sz w:val="24"/>
          <w:szCs w:val="24"/>
          <w:lang w:val="fr-FR"/>
        </w:rPr>
        <w:t>au cours de la période en revue, la SDH a suivi plusieurs</w:t>
      </w:r>
      <w:r w:rsidRPr="006F74B4">
        <w:rPr>
          <w:rFonts w:ascii="Times New Roman" w:hAnsi="Times New Roman"/>
          <w:bCs/>
          <w:iCs/>
          <w:sz w:val="24"/>
          <w:szCs w:val="24"/>
          <w:lang w:val="fr-FR"/>
        </w:rPr>
        <w:t xml:space="preserve"> cas </w:t>
      </w:r>
      <w:r>
        <w:rPr>
          <w:rFonts w:ascii="Times New Roman" w:hAnsi="Times New Roman"/>
          <w:bCs/>
          <w:iCs/>
          <w:sz w:val="24"/>
          <w:szCs w:val="24"/>
          <w:lang w:val="fr-FR"/>
        </w:rPr>
        <w:t>qui ont pu</w:t>
      </w:r>
      <w:r w:rsidRPr="006F74B4">
        <w:rPr>
          <w:rFonts w:ascii="Times New Roman" w:hAnsi="Times New Roman"/>
          <w:bCs/>
          <w:iCs/>
          <w:sz w:val="24"/>
          <w:szCs w:val="24"/>
          <w:lang w:val="fr-FR"/>
        </w:rPr>
        <w:t xml:space="preserve"> laisser croire que les juges </w:t>
      </w:r>
      <w:r>
        <w:rPr>
          <w:rFonts w:ascii="Times New Roman" w:hAnsi="Times New Roman"/>
          <w:bCs/>
          <w:iCs/>
          <w:sz w:val="24"/>
          <w:szCs w:val="24"/>
          <w:lang w:val="fr-FR"/>
        </w:rPr>
        <w:t>avaie</w:t>
      </w:r>
      <w:r w:rsidRPr="006F74B4">
        <w:rPr>
          <w:rFonts w:ascii="Times New Roman" w:hAnsi="Times New Roman"/>
          <w:bCs/>
          <w:iCs/>
          <w:sz w:val="24"/>
          <w:szCs w:val="24"/>
          <w:lang w:val="fr-FR"/>
        </w:rPr>
        <w:t xml:space="preserve">nt reçu et suivi des instructions de responsables politiques pour </w:t>
      </w:r>
      <w:r>
        <w:rPr>
          <w:rFonts w:ascii="Times New Roman" w:hAnsi="Times New Roman"/>
          <w:bCs/>
          <w:iCs/>
          <w:sz w:val="24"/>
          <w:szCs w:val="24"/>
          <w:lang w:val="fr-FR"/>
        </w:rPr>
        <w:t xml:space="preserve">se prononcer ou </w:t>
      </w:r>
      <w:r w:rsidRPr="006F74B4">
        <w:rPr>
          <w:rFonts w:ascii="Times New Roman" w:hAnsi="Times New Roman"/>
          <w:bCs/>
          <w:iCs/>
          <w:sz w:val="24"/>
          <w:szCs w:val="24"/>
          <w:lang w:val="fr-FR"/>
        </w:rPr>
        <w:t>rendre leur décision</w:t>
      </w:r>
      <w:r>
        <w:rPr>
          <w:rFonts w:ascii="Times New Roman" w:hAnsi="Times New Roman"/>
          <w:bCs/>
          <w:iCs/>
          <w:sz w:val="24"/>
          <w:szCs w:val="24"/>
          <w:lang w:val="fr-FR"/>
        </w:rPr>
        <w:t>, comme détaillé ci-dessous.</w:t>
      </w:r>
    </w:p>
    <w:p w:rsidR="008673B7" w:rsidRPr="006F74B4" w:rsidRDefault="008673B7" w:rsidP="000144C4">
      <w:pPr>
        <w:pStyle w:val="Heading4"/>
        <w:spacing w:line="240" w:lineRule="auto"/>
        <w:rPr>
          <w:rFonts w:ascii="Times New Roman" w:hAnsi="Times New Roman" w:cs="Times New Roman"/>
          <w:lang w:val="fr-FR"/>
        </w:rPr>
      </w:pPr>
      <w:r w:rsidRPr="006F74B4">
        <w:rPr>
          <w:rFonts w:ascii="Times New Roman" w:hAnsi="Times New Roman" w:cs="Times New Roman"/>
          <w:lang w:val="fr-FR"/>
        </w:rPr>
        <w:t>Le cas des Irois</w:t>
      </w:r>
    </w:p>
    <w:p w:rsidR="008673B7" w:rsidRPr="006F74B4" w:rsidRDefault="008673B7" w:rsidP="000144C4">
      <w:pPr>
        <w:autoSpaceDE w:val="0"/>
        <w:autoSpaceDN w:val="0"/>
        <w:adjustRightInd w:val="0"/>
        <w:spacing w:after="0" w:line="240" w:lineRule="auto"/>
        <w:jc w:val="both"/>
        <w:rPr>
          <w:rFonts w:ascii="Times New Roman" w:hAnsi="Times New Roman"/>
          <w:bCs/>
          <w:iCs/>
          <w:sz w:val="24"/>
          <w:szCs w:val="24"/>
          <w:lang w:val="fr-FR"/>
        </w:rPr>
      </w:pPr>
    </w:p>
    <w:p w:rsidR="008673B7" w:rsidRDefault="008673B7" w:rsidP="000144C4">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bCs/>
          <w:iCs/>
          <w:sz w:val="24"/>
          <w:szCs w:val="24"/>
          <w:lang w:val="fr-FR"/>
        </w:rPr>
        <w:t xml:space="preserve">Aux Irois (département de la </w:t>
      </w:r>
      <w:r w:rsidR="00B71B61">
        <w:rPr>
          <w:rFonts w:ascii="Times New Roman" w:hAnsi="Times New Roman"/>
          <w:bCs/>
          <w:iCs/>
          <w:sz w:val="24"/>
          <w:szCs w:val="24"/>
          <w:lang w:val="fr-FR"/>
        </w:rPr>
        <w:t xml:space="preserve">Grande </w:t>
      </w:r>
      <w:r>
        <w:rPr>
          <w:rFonts w:ascii="Times New Roman" w:hAnsi="Times New Roman"/>
          <w:bCs/>
          <w:iCs/>
          <w:sz w:val="24"/>
          <w:szCs w:val="24"/>
          <w:lang w:val="fr-FR"/>
        </w:rPr>
        <w:t>Anse</w:t>
      </w:r>
      <w:r w:rsidRPr="006F74B4">
        <w:rPr>
          <w:rFonts w:ascii="Times New Roman" w:hAnsi="Times New Roman"/>
          <w:bCs/>
          <w:iCs/>
          <w:sz w:val="24"/>
          <w:szCs w:val="24"/>
          <w:lang w:val="fr-FR"/>
        </w:rPr>
        <w:t xml:space="preserve">), </w:t>
      </w:r>
      <w:r>
        <w:rPr>
          <w:rFonts w:ascii="Times New Roman" w:hAnsi="Times New Roman"/>
          <w:bCs/>
          <w:iCs/>
          <w:sz w:val="24"/>
          <w:szCs w:val="24"/>
          <w:lang w:val="fr-FR"/>
        </w:rPr>
        <w:t xml:space="preserve">un </w:t>
      </w:r>
      <w:r w:rsidRPr="006F74B4">
        <w:rPr>
          <w:rFonts w:ascii="Times New Roman" w:hAnsi="Times New Roman"/>
          <w:bCs/>
          <w:iCs/>
          <w:sz w:val="24"/>
          <w:szCs w:val="24"/>
          <w:lang w:val="fr-FR"/>
        </w:rPr>
        <w:t xml:space="preserve">ancien maire de la commune, </w:t>
      </w:r>
      <w:r w:rsidRPr="006F74B4">
        <w:rPr>
          <w:rFonts w:ascii="Times New Roman" w:hAnsi="Times New Roman"/>
          <w:iCs/>
          <w:sz w:val="24"/>
          <w:szCs w:val="24"/>
          <w:lang w:val="fr-FR"/>
        </w:rPr>
        <w:t xml:space="preserve">M. Jean Morose Viliena, a été nommé maire par intérim en août 2012 dans le cadre du remplacement des conseils municipaux par des agents exécutifs intérimaires, alors qu’il était formellement inculpé pour </w:t>
      </w:r>
      <w:r w:rsidRPr="006F74B4">
        <w:rPr>
          <w:rFonts w:ascii="Times New Roman" w:hAnsi="Times New Roman"/>
          <w:iCs/>
          <w:sz w:val="24"/>
          <w:szCs w:val="24"/>
          <w:lang w:val="fr-FR"/>
        </w:rPr>
        <w:lastRenderedPageBreak/>
        <w:t>« destruction de biens et complicité de meurtre », depuis décembre 2009</w:t>
      </w:r>
      <w:r w:rsidRPr="006F74B4">
        <w:rPr>
          <w:rStyle w:val="FootnoteReference"/>
          <w:rFonts w:ascii="Times New Roman" w:hAnsi="Times New Roman"/>
          <w:iCs/>
          <w:sz w:val="24"/>
          <w:szCs w:val="24"/>
          <w:lang w:val="fr-FR"/>
        </w:rPr>
        <w:footnoteReference w:id="27"/>
      </w:r>
      <w:r w:rsidRPr="006F74B4">
        <w:rPr>
          <w:rFonts w:ascii="Times New Roman" w:hAnsi="Times New Roman"/>
          <w:iCs/>
          <w:sz w:val="24"/>
          <w:szCs w:val="24"/>
          <w:lang w:val="fr-FR"/>
        </w:rPr>
        <w:t>. Suite à cette nomination, le commissaire du gouvernement de Jérémie a indiqué que M. Viliena avait été “déclaré innocent de toutes les charges pesant contre lui” par un récent jugement de la Cour Suprême. Toutefois, la copie du jugement obtenue par la SDH ne fait référence qu’à l’annulation des sanctions prononcées contre d’autres individus déjà jugés dans cette affaire, et ne contient aucune mention de  M. Viliena. Ce dernier continuait donc d’être poursuivi fin 2012.</w:t>
      </w:r>
    </w:p>
    <w:p w:rsidR="008673B7" w:rsidRDefault="008673B7" w:rsidP="000144C4">
      <w:pPr>
        <w:pStyle w:val="Heading4"/>
        <w:spacing w:line="240" w:lineRule="auto"/>
        <w:rPr>
          <w:rFonts w:ascii="Times New Roman" w:hAnsi="Times New Roman" w:cs="Times New Roman"/>
          <w:lang w:val="fr-FR"/>
        </w:rPr>
      </w:pPr>
      <w:r w:rsidRPr="006F74B4">
        <w:rPr>
          <w:rFonts w:ascii="Times New Roman" w:hAnsi="Times New Roman" w:cs="Times New Roman"/>
          <w:lang w:val="fr-FR"/>
        </w:rPr>
        <w:t>Le cas Calixte Valentin</w:t>
      </w:r>
    </w:p>
    <w:p w:rsidR="008673B7" w:rsidRPr="006F74B4" w:rsidRDefault="008673B7" w:rsidP="000144C4">
      <w:pPr>
        <w:autoSpaceDE w:val="0"/>
        <w:autoSpaceDN w:val="0"/>
        <w:adjustRightInd w:val="0"/>
        <w:spacing w:after="0" w:line="240" w:lineRule="auto"/>
        <w:ind w:firstLine="720"/>
        <w:jc w:val="both"/>
        <w:rPr>
          <w:rFonts w:ascii="Times New Roman" w:hAnsi="Times New Roman"/>
          <w:iCs/>
          <w:sz w:val="24"/>
          <w:szCs w:val="24"/>
          <w:lang w:val="fr-FR"/>
        </w:rPr>
      </w:pPr>
    </w:p>
    <w:p w:rsidR="008673B7" w:rsidRPr="006F74B4" w:rsidRDefault="008673B7" w:rsidP="000144C4">
      <w:pPr>
        <w:autoSpaceDE w:val="0"/>
        <w:autoSpaceDN w:val="0"/>
        <w:adjustRightInd w:val="0"/>
        <w:spacing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Le 7 novembre, après six mois de détention, M. Calixte Valentin, conseiller politique du Président Martelly, accusé du meurtre d’un passant à Fonds-Parisien, près du poste-frontière de Malpasse, </w:t>
      </w:r>
      <w:r>
        <w:rPr>
          <w:rFonts w:ascii="Times New Roman" w:hAnsi="Times New Roman"/>
          <w:iCs/>
          <w:sz w:val="24"/>
          <w:szCs w:val="24"/>
          <w:lang w:val="fr-FR"/>
        </w:rPr>
        <w:t>était</w:t>
      </w:r>
      <w:r w:rsidRPr="006F74B4">
        <w:rPr>
          <w:rFonts w:ascii="Times New Roman" w:hAnsi="Times New Roman"/>
          <w:iCs/>
          <w:sz w:val="24"/>
          <w:szCs w:val="24"/>
          <w:lang w:val="fr-FR"/>
        </w:rPr>
        <w:t xml:space="preserve"> libéré par </w:t>
      </w:r>
      <w:r w:rsidR="00B71B61" w:rsidRPr="006F74B4">
        <w:rPr>
          <w:rFonts w:ascii="Times New Roman" w:hAnsi="Times New Roman"/>
          <w:iCs/>
          <w:sz w:val="24"/>
          <w:szCs w:val="24"/>
          <w:lang w:val="fr-FR"/>
        </w:rPr>
        <w:t>main levée</w:t>
      </w:r>
      <w:r w:rsidRPr="006F74B4">
        <w:rPr>
          <w:rFonts w:ascii="Times New Roman" w:hAnsi="Times New Roman"/>
          <w:iCs/>
          <w:sz w:val="24"/>
          <w:szCs w:val="24"/>
          <w:lang w:val="fr-FR"/>
        </w:rPr>
        <w:t xml:space="preserve"> d’écrou du juge d’instruction Jude-Paul Fermot, sans avoir été traduit en justice. </w:t>
      </w:r>
      <w:r w:rsidRPr="006F74B4">
        <w:rPr>
          <w:rFonts w:ascii="Times New Roman" w:hAnsi="Times New Roman"/>
          <w:sz w:val="24"/>
          <w:szCs w:val="24"/>
          <w:lang w:val="fr-CA"/>
        </w:rPr>
        <w:t>Officiellement, la mainlevée est une mesure de liberté provisoire pendant que se poursuit l’instruction et en l’attente du procès</w:t>
      </w:r>
      <w:r w:rsidRPr="006F74B4">
        <w:rPr>
          <w:rStyle w:val="FootnoteReference"/>
          <w:rFonts w:ascii="Times New Roman" w:hAnsi="Times New Roman"/>
          <w:sz w:val="24"/>
          <w:szCs w:val="24"/>
          <w:lang w:val="fr-CA"/>
        </w:rPr>
        <w:footnoteReference w:id="28"/>
      </w:r>
      <w:r w:rsidRPr="006F74B4">
        <w:rPr>
          <w:rFonts w:ascii="Times New Roman" w:hAnsi="Times New Roman"/>
          <w:sz w:val="24"/>
          <w:szCs w:val="24"/>
          <w:lang w:val="fr-CA"/>
        </w:rPr>
        <w:t xml:space="preserve">. Toutefois, </w:t>
      </w:r>
      <w:r w:rsidRPr="006F74B4">
        <w:rPr>
          <w:rFonts w:ascii="Times New Roman" w:hAnsi="Times New Roman"/>
          <w:iCs/>
          <w:sz w:val="24"/>
          <w:szCs w:val="24"/>
          <w:lang w:val="fr-FR"/>
        </w:rPr>
        <w:t xml:space="preserve">le fait que cette mesure ne bénéficie pas au plus grand nombre dans un contexte judiciaire marqué par un nombre élevé de détentions préventives prolongées, voire irrégulières ou illégales, donne l’impression d’une justice à deux vitesses, </w:t>
      </w:r>
      <w:r w:rsidRPr="006F74B4">
        <w:rPr>
          <w:rFonts w:ascii="Times New Roman" w:hAnsi="Times New Roman"/>
          <w:sz w:val="24"/>
          <w:szCs w:val="24"/>
          <w:lang w:val="fr-CA"/>
        </w:rPr>
        <w:t>et laisse craindre que le juge n’ait mis fin à son instruction.</w:t>
      </w:r>
      <w:r w:rsidRPr="006F74B4">
        <w:rPr>
          <w:rFonts w:ascii="Times New Roman" w:hAnsi="Times New Roman"/>
          <w:iCs/>
          <w:sz w:val="24"/>
          <w:szCs w:val="24"/>
          <w:lang w:val="fr-FR"/>
        </w:rPr>
        <w:t xml:space="preserve"> </w:t>
      </w:r>
    </w:p>
    <w:p w:rsidR="008673B7" w:rsidRPr="006F74B4" w:rsidRDefault="008673B7" w:rsidP="000144C4">
      <w:pPr>
        <w:pStyle w:val="Heading4"/>
        <w:spacing w:line="240" w:lineRule="auto"/>
        <w:rPr>
          <w:rFonts w:ascii="Times New Roman" w:hAnsi="Times New Roman" w:cs="Times New Roman"/>
          <w:lang w:val="fr-FR"/>
        </w:rPr>
      </w:pPr>
      <w:r w:rsidRPr="006F74B4">
        <w:rPr>
          <w:rFonts w:ascii="Times New Roman" w:hAnsi="Times New Roman" w:cs="Times New Roman"/>
          <w:lang w:val="fr-FR"/>
        </w:rPr>
        <w:t>Suivi du procès Duvalier</w:t>
      </w:r>
    </w:p>
    <w:p w:rsidR="008673B7" w:rsidRPr="006F74B4" w:rsidRDefault="008673B7" w:rsidP="000144C4">
      <w:pPr>
        <w:autoSpaceDE w:val="0"/>
        <w:autoSpaceDN w:val="0"/>
        <w:adjustRightInd w:val="0"/>
        <w:spacing w:after="0" w:line="240" w:lineRule="auto"/>
        <w:jc w:val="both"/>
        <w:rPr>
          <w:rFonts w:ascii="Times New Roman" w:hAnsi="Times New Roman"/>
          <w:iCs/>
          <w:sz w:val="24"/>
          <w:szCs w:val="24"/>
          <w:lang w:val="fr-FR"/>
        </w:rPr>
      </w:pPr>
    </w:p>
    <w:p w:rsidR="008673B7" w:rsidRDefault="008673B7" w:rsidP="000144C4">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Le 21 mars, les victimes présumées de violations graves des droits de l’homme commises pendant la présidence de M. Jean-Claude Duvalier</w:t>
      </w:r>
      <w:r>
        <w:rPr>
          <w:rFonts w:ascii="Times New Roman" w:hAnsi="Times New Roman"/>
          <w:iCs/>
          <w:sz w:val="24"/>
          <w:szCs w:val="24"/>
          <w:lang w:val="fr-FR"/>
        </w:rPr>
        <w:t>,</w:t>
      </w:r>
      <w:r w:rsidRPr="006F74B4">
        <w:rPr>
          <w:rFonts w:ascii="Times New Roman" w:hAnsi="Times New Roman"/>
          <w:iCs/>
          <w:sz w:val="24"/>
          <w:szCs w:val="24"/>
          <w:lang w:val="fr-FR"/>
        </w:rPr>
        <w:t xml:space="preserve"> et leurs familles, qui avaient déposé plainte </w:t>
      </w:r>
      <w:r w:rsidRPr="006F74B4">
        <w:rPr>
          <w:rFonts w:ascii="Times New Roman" w:hAnsi="Times New Roman"/>
          <w:sz w:val="24"/>
          <w:szCs w:val="24"/>
          <w:lang w:val="fr-BE"/>
        </w:rPr>
        <w:t>au lendemain de son retour en Haïti en janvier 2011</w:t>
      </w:r>
      <w:r w:rsidRPr="006F74B4">
        <w:rPr>
          <w:rFonts w:ascii="Times New Roman" w:hAnsi="Times New Roman"/>
          <w:lang w:val="fr-BE"/>
        </w:rPr>
        <w:t>,</w:t>
      </w:r>
      <w:r w:rsidRPr="006F74B4">
        <w:rPr>
          <w:rFonts w:ascii="Times New Roman" w:hAnsi="Times New Roman"/>
          <w:iCs/>
          <w:sz w:val="24"/>
          <w:szCs w:val="24"/>
          <w:lang w:val="fr-FR"/>
        </w:rPr>
        <w:t xml:space="preserve"> ont déposé un recours afin de faire appel de l’ordonnance du juge d’instruction rendue en janvier, indiquant que M.</w:t>
      </w:r>
      <w:r>
        <w:rPr>
          <w:rFonts w:ascii="Times New Roman" w:hAnsi="Times New Roman"/>
          <w:iCs/>
          <w:sz w:val="24"/>
          <w:szCs w:val="24"/>
          <w:lang w:val="fr-FR"/>
        </w:rPr>
        <w:t xml:space="preserve"> </w:t>
      </w:r>
      <w:r w:rsidRPr="006F74B4">
        <w:rPr>
          <w:rFonts w:ascii="Times New Roman" w:hAnsi="Times New Roman"/>
          <w:iCs/>
          <w:sz w:val="24"/>
          <w:szCs w:val="24"/>
          <w:lang w:val="fr-FR"/>
        </w:rPr>
        <w:t>Duvalier devrait être poursuivi pour crimes financiers et non pour crimes contre l'humanité. L’appel interjeté par les victimes se fonde sur le fait que le</w:t>
      </w:r>
      <w:r w:rsidRPr="006F74B4">
        <w:rPr>
          <w:rFonts w:ascii="Times New Roman" w:hAnsi="Times New Roman"/>
          <w:sz w:val="24"/>
          <w:szCs w:val="24"/>
          <w:lang w:val="fr-BE"/>
        </w:rPr>
        <w:t>s tortures, disparitions, exécutions extrajudiciaires commises de manière massive ou systématique</w:t>
      </w:r>
      <w:r>
        <w:rPr>
          <w:rFonts w:ascii="Times New Roman" w:hAnsi="Times New Roman"/>
          <w:sz w:val="24"/>
          <w:szCs w:val="24"/>
          <w:lang w:val="fr-BE"/>
        </w:rPr>
        <w:t>,</w:t>
      </w:r>
      <w:r w:rsidRPr="006F74B4">
        <w:rPr>
          <w:rFonts w:ascii="Times New Roman" w:hAnsi="Times New Roman"/>
          <w:sz w:val="24"/>
          <w:szCs w:val="24"/>
          <w:lang w:val="fr-BE"/>
        </w:rPr>
        <w:t xml:space="preserve"> sont constitutives de crimes contre l’humanité, qui ne peuvent être prescrits.</w:t>
      </w:r>
      <w:r w:rsidRPr="006F74B4">
        <w:rPr>
          <w:rFonts w:ascii="Times New Roman" w:hAnsi="Times New Roman"/>
          <w:lang w:val="fr-BE"/>
        </w:rPr>
        <w:t xml:space="preserve"> </w:t>
      </w:r>
      <w:r w:rsidRPr="006F74B4">
        <w:rPr>
          <w:rFonts w:ascii="Times New Roman" w:hAnsi="Times New Roman"/>
          <w:iCs/>
          <w:sz w:val="24"/>
          <w:szCs w:val="24"/>
          <w:lang w:val="fr-FR"/>
        </w:rPr>
        <w:t>La Cour d’appel devait se prononcer le 13 décembre sur ce recours. Toutefois, à la demande des victimes, le tribunal a décidé de reporter la séance au 24 janvier 2013.</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7967B5" w:rsidRDefault="008673B7" w:rsidP="007967B5">
      <w:pPr>
        <w:pStyle w:val="Heading3"/>
        <w:rPr>
          <w:lang w:val="fr-FR"/>
        </w:rPr>
      </w:pPr>
      <w:bookmarkStart w:id="34" w:name="_Toc350156709"/>
      <w:r w:rsidRPr="007967B5">
        <w:rPr>
          <w:lang w:val="fr-FR"/>
        </w:rPr>
        <w:t>I</w:t>
      </w:r>
      <w:r w:rsidR="00A8570F">
        <w:rPr>
          <w:lang w:val="fr-FR"/>
        </w:rPr>
        <w:t>I</w:t>
      </w:r>
      <w:r w:rsidRPr="007967B5">
        <w:rPr>
          <w:lang w:val="fr-FR"/>
        </w:rPr>
        <w:t>I.5.3. Dysfonctionnements de la justice</w:t>
      </w:r>
      <w:bookmarkEnd w:id="34"/>
    </w:p>
    <w:p w:rsidR="008673B7" w:rsidRPr="007967B5" w:rsidRDefault="008673B7" w:rsidP="008673B7">
      <w:pPr>
        <w:pStyle w:val="Heading3"/>
        <w:rPr>
          <w:rFonts w:ascii="Times New Roman" w:hAnsi="Times New Roman" w:cs="Times New Roman"/>
          <w:i/>
          <w:lang w:val="fr-FR"/>
        </w:rPr>
      </w:pPr>
      <w:bookmarkStart w:id="35" w:name="_Toc350156710"/>
      <w:r w:rsidRPr="007967B5">
        <w:rPr>
          <w:rFonts w:ascii="Times New Roman" w:hAnsi="Times New Roman" w:cs="Times New Roman"/>
          <w:i/>
          <w:lang w:val="fr-FR"/>
        </w:rPr>
        <w:t>Arrestations et détentions illégales</w:t>
      </w:r>
      <w:bookmarkEnd w:id="35"/>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7967B5">
      <w:pPr>
        <w:autoSpaceDE w:val="0"/>
        <w:autoSpaceDN w:val="0"/>
        <w:adjustRightInd w:val="0"/>
        <w:spacing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Au cours de la période en revue, la SDH a recensé de nombreux cas d’arrestations et de détentions arbitraires. Le cas de 32 personnes, gardées à vue et placées en détention à la prison civile de Cap Haïtien </w:t>
      </w:r>
      <w:r>
        <w:rPr>
          <w:rFonts w:ascii="Times New Roman" w:hAnsi="Times New Roman"/>
          <w:iCs/>
          <w:sz w:val="24"/>
          <w:szCs w:val="24"/>
          <w:lang w:val="fr-FR"/>
        </w:rPr>
        <w:t xml:space="preserve">depuis </w:t>
      </w:r>
      <w:r w:rsidRPr="006F74B4">
        <w:rPr>
          <w:rFonts w:ascii="Times New Roman" w:hAnsi="Times New Roman"/>
          <w:iCs/>
          <w:sz w:val="24"/>
          <w:szCs w:val="24"/>
          <w:lang w:val="fr-FR"/>
        </w:rPr>
        <w:t>fin novembre, illustre</w:t>
      </w:r>
      <w:r>
        <w:rPr>
          <w:rFonts w:ascii="Times New Roman" w:hAnsi="Times New Roman"/>
          <w:iCs/>
          <w:sz w:val="24"/>
          <w:szCs w:val="24"/>
          <w:lang w:val="fr-FR"/>
        </w:rPr>
        <w:t xml:space="preserve"> </w:t>
      </w:r>
      <w:r w:rsidRPr="006F74B4">
        <w:rPr>
          <w:rFonts w:ascii="Times New Roman" w:hAnsi="Times New Roman"/>
          <w:iCs/>
          <w:sz w:val="24"/>
          <w:szCs w:val="24"/>
          <w:lang w:val="fr-FR"/>
        </w:rPr>
        <w:t xml:space="preserve">les dysfonctionnements de la justice haïtienne. En effet, les 23 et 30 novembre respectivement, 18 et 14 personnes </w:t>
      </w:r>
      <w:r>
        <w:rPr>
          <w:rFonts w:ascii="Times New Roman" w:hAnsi="Times New Roman"/>
          <w:iCs/>
          <w:sz w:val="24"/>
          <w:szCs w:val="24"/>
          <w:lang w:val="fr-FR"/>
        </w:rPr>
        <w:t>étaient</w:t>
      </w:r>
      <w:r w:rsidRPr="006F74B4">
        <w:rPr>
          <w:rFonts w:ascii="Times New Roman" w:hAnsi="Times New Roman"/>
          <w:iCs/>
          <w:sz w:val="24"/>
          <w:szCs w:val="24"/>
          <w:lang w:val="fr-FR"/>
        </w:rPr>
        <w:t xml:space="preserve"> arrêtées dans le cadre d’opérations « anti-criminalité »</w:t>
      </w:r>
      <w:r>
        <w:rPr>
          <w:rFonts w:ascii="Times New Roman" w:hAnsi="Times New Roman"/>
          <w:iCs/>
          <w:sz w:val="24"/>
          <w:szCs w:val="24"/>
          <w:lang w:val="fr-FR"/>
        </w:rPr>
        <w:t>, sans être</w:t>
      </w:r>
      <w:r w:rsidRPr="006F74B4">
        <w:rPr>
          <w:rFonts w:ascii="Times New Roman" w:hAnsi="Times New Roman"/>
          <w:iCs/>
          <w:sz w:val="24"/>
          <w:szCs w:val="24"/>
          <w:lang w:val="fr-FR"/>
        </w:rPr>
        <w:t xml:space="preserve"> informées des motifs de leur arrestation</w:t>
      </w:r>
      <w:r>
        <w:rPr>
          <w:rFonts w:ascii="Times New Roman" w:hAnsi="Times New Roman"/>
          <w:iCs/>
          <w:sz w:val="24"/>
          <w:szCs w:val="24"/>
          <w:lang w:val="fr-FR"/>
        </w:rPr>
        <w:t>.</w:t>
      </w:r>
      <w:r w:rsidRPr="006F74B4">
        <w:rPr>
          <w:rFonts w:ascii="Times New Roman" w:hAnsi="Times New Roman"/>
          <w:iCs/>
          <w:sz w:val="24"/>
          <w:szCs w:val="24"/>
          <w:lang w:val="fr-FR"/>
        </w:rPr>
        <w:t xml:space="preserve"> </w:t>
      </w:r>
      <w:r>
        <w:rPr>
          <w:rFonts w:ascii="Times New Roman" w:hAnsi="Times New Roman"/>
          <w:iCs/>
          <w:sz w:val="24"/>
          <w:szCs w:val="24"/>
          <w:lang w:val="fr-FR"/>
        </w:rPr>
        <w:t>E</w:t>
      </w:r>
      <w:r w:rsidRPr="006F74B4">
        <w:rPr>
          <w:rFonts w:ascii="Times New Roman" w:hAnsi="Times New Roman"/>
          <w:iCs/>
          <w:sz w:val="24"/>
          <w:szCs w:val="24"/>
          <w:lang w:val="fr-FR"/>
        </w:rPr>
        <w:t>lles ont été</w:t>
      </w:r>
      <w:r>
        <w:rPr>
          <w:rFonts w:ascii="Times New Roman" w:hAnsi="Times New Roman"/>
          <w:iCs/>
          <w:sz w:val="24"/>
          <w:szCs w:val="24"/>
          <w:lang w:val="fr-FR"/>
        </w:rPr>
        <w:t xml:space="preserve"> maintenues</w:t>
      </w:r>
      <w:r w:rsidRPr="006F74B4">
        <w:rPr>
          <w:rFonts w:ascii="Times New Roman" w:hAnsi="Times New Roman"/>
          <w:iCs/>
          <w:sz w:val="24"/>
          <w:szCs w:val="24"/>
          <w:lang w:val="fr-FR"/>
        </w:rPr>
        <w:t xml:space="preserve"> en garde à vue au-delà du délai légal sans être auditionnées et ont été </w:t>
      </w:r>
      <w:r w:rsidRPr="006F74B4">
        <w:rPr>
          <w:rFonts w:ascii="Times New Roman" w:hAnsi="Times New Roman"/>
          <w:iCs/>
          <w:sz w:val="24"/>
          <w:szCs w:val="24"/>
          <w:lang w:val="fr-FR"/>
        </w:rPr>
        <w:lastRenderedPageBreak/>
        <w:t>transférées à la prison de civile de Cap Haïtien sans avoir été entendues par un juge malgré un court passage au parquet du tribunal de première instance. En outre, la SDH a constaté que leur dossier ne contenait aucun ordre de détention, seulement une note manuscrite du substitut du commissaire du gouvernement demandant à la DAP de les « détenir temporairement », en violation des règles applicables. Ils ont finalement été libérés les 6, 12 et 20 décembre.</w:t>
      </w:r>
    </w:p>
    <w:p w:rsidR="008673B7" w:rsidRPr="007967B5" w:rsidRDefault="008673B7" w:rsidP="008673B7">
      <w:pPr>
        <w:pStyle w:val="Heading3"/>
        <w:rPr>
          <w:rFonts w:ascii="Times New Roman" w:hAnsi="Times New Roman" w:cs="Times New Roman"/>
          <w:i/>
          <w:lang w:val="fr-FR"/>
        </w:rPr>
      </w:pPr>
      <w:bookmarkStart w:id="36" w:name="_Toc350156711"/>
      <w:r w:rsidRPr="007967B5">
        <w:rPr>
          <w:rFonts w:ascii="Times New Roman" w:hAnsi="Times New Roman" w:cs="Times New Roman"/>
          <w:i/>
          <w:lang w:val="fr-FR"/>
        </w:rPr>
        <w:t>Juges de paix excédant leur compétence</w:t>
      </w:r>
      <w:bookmarkEnd w:id="36"/>
    </w:p>
    <w:p w:rsidR="008673B7" w:rsidRPr="006F74B4" w:rsidRDefault="008673B7" w:rsidP="008673B7">
      <w:pPr>
        <w:pStyle w:val="ListParagraph"/>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Cent quatre-vingt-neuf tribunaux de paix sont actuellement répartis sur l’ensemble du pays, qui comporte chacun un juge de paix, un juge de paix suppléant et un greffier. Les juges de paix sont habilités à juger sur des contraventions</w:t>
      </w:r>
      <w:r w:rsidRPr="006F74B4">
        <w:rPr>
          <w:rStyle w:val="FootnoteReference"/>
          <w:rFonts w:ascii="Times New Roman" w:hAnsi="Times New Roman"/>
          <w:iCs/>
          <w:sz w:val="24"/>
          <w:szCs w:val="24"/>
          <w:lang w:val="fr-FR"/>
        </w:rPr>
        <w:footnoteReference w:id="29"/>
      </w:r>
      <w:r w:rsidRPr="006F74B4">
        <w:rPr>
          <w:rFonts w:ascii="Times New Roman" w:hAnsi="Times New Roman"/>
          <w:iCs/>
          <w:sz w:val="24"/>
          <w:szCs w:val="24"/>
          <w:lang w:val="fr-FR"/>
        </w:rPr>
        <w:t>, mais dans le cas de crimes et délits, ils ont l’obligation de transmettre le dossier au parquet ou au juge d’instruction d’un tribunal d’instance</w:t>
      </w:r>
      <w:r w:rsidRPr="006F74B4">
        <w:rPr>
          <w:rFonts w:ascii="Times New Roman" w:hAnsi="Times New Roman"/>
          <w:iCs/>
          <w:sz w:val="24"/>
          <w:szCs w:val="24"/>
          <w:vertAlign w:val="superscript"/>
          <w:lang w:val="fr-FR"/>
        </w:rPr>
        <w:footnoteReference w:id="30"/>
      </w:r>
      <w:r w:rsidRPr="006F74B4">
        <w:rPr>
          <w:rFonts w:ascii="Times New Roman" w:hAnsi="Times New Roman"/>
          <w:iCs/>
          <w:sz w:val="24"/>
          <w:szCs w:val="24"/>
          <w:lang w:val="fr-FR"/>
        </w:rPr>
        <w:t>. Or, la SDH a constaté que de nombreux juges de paix ont ordonné la libération de personnes suspectées de crimes et délits, outrepassant ainsi leurs compétences. A titre d’exemple, les 24 et 25 septembre, à Gonaïves et à Saint-Marc, la SDH a identifié huit personnes relâchées sans être déférées au parquet par les juges de paix,</w:t>
      </w:r>
      <w:r w:rsidRPr="006F74B4">
        <w:rPr>
          <w:rFonts w:ascii="Times New Roman" w:hAnsi="Times New Roman"/>
          <w:i/>
          <w:iCs/>
          <w:sz w:val="24"/>
          <w:szCs w:val="24"/>
          <w:lang w:val="fr-FR"/>
        </w:rPr>
        <w:t xml:space="preserve"> </w:t>
      </w:r>
      <w:r w:rsidRPr="006F74B4">
        <w:rPr>
          <w:rFonts w:ascii="Times New Roman" w:hAnsi="Times New Roman"/>
          <w:iCs/>
          <w:sz w:val="24"/>
          <w:szCs w:val="24"/>
          <w:lang w:val="fr-FR"/>
        </w:rPr>
        <w:t xml:space="preserve">pour des infractions telles qu’enlèvement de mineurs, destruction de champs, tentative d’assassinat, coups et blessures, etc.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Par ailleurs, dans de très nombreux cas, les juges de paix ont clos des dossiers en arrangeant des règlements à l’amiable entre suspects et victimes</w:t>
      </w:r>
      <w:r>
        <w:rPr>
          <w:rFonts w:ascii="Times New Roman" w:hAnsi="Times New Roman"/>
          <w:bCs/>
          <w:iCs/>
          <w:sz w:val="24"/>
          <w:szCs w:val="24"/>
          <w:lang w:val="fr-FR"/>
        </w:rPr>
        <w:t xml:space="preserve">, </w:t>
      </w:r>
      <w:r w:rsidRPr="006F74B4">
        <w:rPr>
          <w:rFonts w:ascii="Times New Roman" w:hAnsi="Times New Roman"/>
          <w:bCs/>
          <w:iCs/>
          <w:sz w:val="24"/>
          <w:szCs w:val="24"/>
          <w:lang w:val="fr-FR"/>
        </w:rPr>
        <w:t xml:space="preserve">notamment dans les cas de viols. Ainsi, le 26 septembre, le </w:t>
      </w:r>
      <w:r w:rsidRPr="006F74B4">
        <w:rPr>
          <w:rFonts w:ascii="Times New Roman" w:hAnsi="Times New Roman"/>
          <w:bCs/>
          <w:i/>
          <w:iCs/>
          <w:sz w:val="24"/>
          <w:szCs w:val="24"/>
          <w:lang w:val="fr-FR"/>
        </w:rPr>
        <w:t>juge de paix</w:t>
      </w:r>
      <w:r w:rsidRPr="006F74B4">
        <w:rPr>
          <w:rFonts w:ascii="Times New Roman" w:hAnsi="Times New Roman"/>
          <w:bCs/>
          <w:iCs/>
          <w:sz w:val="24"/>
          <w:szCs w:val="24"/>
          <w:lang w:val="fr-FR"/>
        </w:rPr>
        <w:t xml:space="preserve"> de Limbé (</w:t>
      </w:r>
      <w:r>
        <w:rPr>
          <w:rFonts w:ascii="Times New Roman" w:hAnsi="Times New Roman"/>
          <w:bCs/>
          <w:iCs/>
          <w:sz w:val="24"/>
          <w:szCs w:val="24"/>
          <w:lang w:val="fr-FR"/>
        </w:rPr>
        <w:t>département du Nord</w:t>
      </w:r>
      <w:r w:rsidRPr="006F74B4">
        <w:rPr>
          <w:rFonts w:ascii="Times New Roman" w:hAnsi="Times New Roman"/>
          <w:bCs/>
          <w:iCs/>
          <w:sz w:val="24"/>
          <w:szCs w:val="24"/>
          <w:lang w:val="fr-FR"/>
        </w:rPr>
        <w:t>) a indiqué avoir clos un cas de viol pour manque de preuve, alors qu’il n’est pas habilité à traiter de</w:t>
      </w:r>
      <w:r>
        <w:rPr>
          <w:rFonts w:ascii="Times New Roman" w:hAnsi="Times New Roman"/>
          <w:bCs/>
          <w:iCs/>
          <w:sz w:val="24"/>
          <w:szCs w:val="24"/>
          <w:lang w:val="fr-FR"/>
        </w:rPr>
        <w:t xml:space="preserve"> tels</w:t>
      </w:r>
      <w:r w:rsidRPr="006F74B4">
        <w:rPr>
          <w:rFonts w:ascii="Times New Roman" w:hAnsi="Times New Roman"/>
          <w:bCs/>
          <w:iCs/>
          <w:sz w:val="24"/>
          <w:szCs w:val="24"/>
          <w:lang w:val="fr-FR"/>
        </w:rPr>
        <w:t xml:space="preserve"> cas qui constituent un crime. </w:t>
      </w:r>
    </w:p>
    <w:p w:rsidR="008673B7" w:rsidRPr="006F74B4" w:rsidRDefault="008673B7" w:rsidP="006F4C31">
      <w:pPr>
        <w:autoSpaceDE w:val="0"/>
        <w:autoSpaceDN w:val="0"/>
        <w:adjustRightInd w:val="0"/>
        <w:spacing w:line="240" w:lineRule="auto"/>
        <w:jc w:val="both"/>
        <w:rPr>
          <w:rFonts w:ascii="Times New Roman" w:hAnsi="Times New Roman"/>
          <w:bCs/>
          <w:iCs/>
          <w:sz w:val="24"/>
          <w:szCs w:val="24"/>
          <w:lang w:val="fr-FR"/>
        </w:rPr>
      </w:pPr>
      <w:r w:rsidRPr="006F74B4" w:rsidDel="00C95F06">
        <w:rPr>
          <w:rFonts w:ascii="Times New Roman" w:hAnsi="Times New Roman"/>
          <w:bCs/>
          <w:iCs/>
          <w:sz w:val="24"/>
          <w:szCs w:val="24"/>
          <w:lang w:val="fr-FR"/>
        </w:rPr>
        <w:t xml:space="preserve"> </w:t>
      </w:r>
    </w:p>
    <w:p w:rsidR="008673B7" w:rsidRPr="007967B5" w:rsidRDefault="008673B7" w:rsidP="008673B7">
      <w:pPr>
        <w:pStyle w:val="Heading2"/>
        <w:rPr>
          <w:lang w:val="fr-FR"/>
        </w:rPr>
      </w:pPr>
      <w:bookmarkStart w:id="37" w:name="_Toc350156712"/>
      <w:r w:rsidRPr="007967B5">
        <w:rPr>
          <w:lang w:val="fr-FR"/>
        </w:rPr>
        <w:t>I</w:t>
      </w:r>
      <w:r w:rsidR="00A8570F">
        <w:rPr>
          <w:lang w:val="fr-FR"/>
        </w:rPr>
        <w:t>I</w:t>
      </w:r>
      <w:r w:rsidRPr="007967B5">
        <w:rPr>
          <w:lang w:val="fr-FR"/>
        </w:rPr>
        <w:t>I.6. Allégations d’utilisation de forces de sécurité parallèles</w:t>
      </w:r>
      <w:bookmarkEnd w:id="37"/>
      <w:r w:rsidRPr="007967B5">
        <w:rPr>
          <w:lang w:val="fr-FR"/>
        </w:rPr>
        <w:t xml:space="preserve"> </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Au cours de la période en revue, la SDH a documenté plusieurs cas </w:t>
      </w:r>
      <w:r>
        <w:rPr>
          <w:rFonts w:ascii="Times New Roman" w:hAnsi="Times New Roman"/>
          <w:iCs/>
          <w:sz w:val="24"/>
          <w:szCs w:val="24"/>
          <w:lang w:val="fr-FR"/>
        </w:rPr>
        <w:t>d</w:t>
      </w:r>
      <w:r w:rsidRPr="006F74B4">
        <w:rPr>
          <w:rFonts w:ascii="Times New Roman" w:hAnsi="Times New Roman"/>
          <w:iCs/>
          <w:sz w:val="24"/>
          <w:szCs w:val="24"/>
          <w:lang w:val="fr-FR"/>
        </w:rPr>
        <w:t>e recours, par des autorités judiciaires et administratives, à des forces de sécurité parallèles composées de civils, pour mener des t</w:t>
      </w:r>
      <w:r>
        <w:rPr>
          <w:rFonts w:ascii="Times New Roman" w:hAnsi="Times New Roman"/>
          <w:iCs/>
          <w:sz w:val="24"/>
          <w:szCs w:val="24"/>
          <w:lang w:val="fr-FR"/>
        </w:rPr>
        <w:t>â</w:t>
      </w:r>
      <w:r w:rsidRPr="006F74B4">
        <w:rPr>
          <w:rFonts w:ascii="Times New Roman" w:hAnsi="Times New Roman"/>
          <w:iCs/>
          <w:sz w:val="24"/>
          <w:szCs w:val="24"/>
          <w:lang w:val="fr-FR"/>
        </w:rPr>
        <w:t xml:space="preserve">ches réservées aux seules autorités chargées de l’application des lois. Par ailleurs, des figures politiques locales ont fait appel à des </w:t>
      </w:r>
      <w:r w:rsidRPr="006F74B4">
        <w:rPr>
          <w:rFonts w:ascii="Times New Roman" w:hAnsi="Times New Roman"/>
          <w:i/>
          <w:iCs/>
          <w:sz w:val="24"/>
          <w:szCs w:val="24"/>
          <w:lang w:val="fr-FR"/>
        </w:rPr>
        <w:t>brigades</w:t>
      </w:r>
      <w:r w:rsidRPr="006F74B4">
        <w:rPr>
          <w:rFonts w:ascii="Times New Roman" w:hAnsi="Times New Roman"/>
          <w:iCs/>
          <w:sz w:val="24"/>
          <w:szCs w:val="24"/>
          <w:lang w:val="fr-FR"/>
        </w:rPr>
        <w:t xml:space="preserve"> civiles au motif de garantir leur sécurité. La </w:t>
      </w:r>
      <w:r>
        <w:rPr>
          <w:rFonts w:ascii="Times New Roman" w:hAnsi="Times New Roman"/>
          <w:iCs/>
          <w:sz w:val="24"/>
          <w:szCs w:val="24"/>
          <w:lang w:val="fr-FR"/>
        </w:rPr>
        <w:t>formation</w:t>
      </w:r>
      <w:r w:rsidRPr="006F74B4">
        <w:rPr>
          <w:rFonts w:ascii="Times New Roman" w:hAnsi="Times New Roman"/>
          <w:iCs/>
          <w:sz w:val="24"/>
          <w:szCs w:val="24"/>
          <w:lang w:val="fr-FR"/>
        </w:rPr>
        <w:t xml:space="preserve"> de tels groupes repr</w:t>
      </w:r>
      <w:r>
        <w:rPr>
          <w:rFonts w:ascii="Times New Roman" w:hAnsi="Times New Roman"/>
          <w:iCs/>
          <w:sz w:val="24"/>
          <w:szCs w:val="24"/>
          <w:lang w:val="fr-FR"/>
        </w:rPr>
        <w:t>é</w:t>
      </w:r>
      <w:r w:rsidRPr="006F74B4">
        <w:rPr>
          <w:rFonts w:ascii="Times New Roman" w:hAnsi="Times New Roman"/>
          <w:iCs/>
          <w:sz w:val="24"/>
          <w:szCs w:val="24"/>
          <w:lang w:val="fr-FR"/>
        </w:rPr>
        <w:t>sent</w:t>
      </w:r>
      <w:r>
        <w:rPr>
          <w:rFonts w:ascii="Times New Roman" w:hAnsi="Times New Roman"/>
          <w:iCs/>
          <w:sz w:val="24"/>
          <w:szCs w:val="24"/>
          <w:lang w:val="fr-FR"/>
        </w:rPr>
        <w:t>e</w:t>
      </w:r>
      <w:r w:rsidRPr="006F74B4">
        <w:rPr>
          <w:rFonts w:ascii="Times New Roman" w:hAnsi="Times New Roman"/>
          <w:iCs/>
          <w:sz w:val="24"/>
          <w:szCs w:val="24"/>
          <w:lang w:val="fr-FR"/>
        </w:rPr>
        <w:t xml:space="preserve"> un risque notamment </w:t>
      </w:r>
      <w:r>
        <w:rPr>
          <w:rFonts w:ascii="Times New Roman" w:hAnsi="Times New Roman"/>
          <w:iCs/>
          <w:sz w:val="24"/>
          <w:szCs w:val="24"/>
          <w:lang w:val="fr-FR"/>
        </w:rPr>
        <w:t>en</w:t>
      </w:r>
      <w:r w:rsidRPr="006F74B4">
        <w:rPr>
          <w:rFonts w:ascii="Times New Roman" w:hAnsi="Times New Roman"/>
          <w:iCs/>
          <w:sz w:val="24"/>
          <w:szCs w:val="24"/>
          <w:lang w:val="fr-FR"/>
        </w:rPr>
        <w:t xml:space="preserve"> période pré-électorale.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Pr>
          <w:rFonts w:ascii="Times New Roman" w:hAnsi="Times New Roman"/>
          <w:iCs/>
          <w:sz w:val="24"/>
          <w:szCs w:val="24"/>
          <w:lang w:val="fr-FR"/>
        </w:rPr>
        <w:t xml:space="preserve">Par ailleurs, dans </w:t>
      </w:r>
      <w:r w:rsidRPr="00045515">
        <w:rPr>
          <w:rFonts w:ascii="Times New Roman" w:hAnsi="Times New Roman"/>
          <w:iCs/>
          <w:sz w:val="24"/>
          <w:szCs w:val="24"/>
          <w:lang w:val="fr-FR"/>
        </w:rPr>
        <w:t>plusieurs cas</w:t>
      </w:r>
      <w:r>
        <w:rPr>
          <w:rFonts w:ascii="Times New Roman" w:hAnsi="Times New Roman"/>
          <w:iCs/>
          <w:sz w:val="24"/>
          <w:szCs w:val="24"/>
          <w:lang w:val="fr-FR"/>
        </w:rPr>
        <w:t>,</w:t>
      </w:r>
      <w:r w:rsidRPr="00045515">
        <w:rPr>
          <w:rFonts w:ascii="Times New Roman" w:hAnsi="Times New Roman"/>
          <w:iCs/>
          <w:sz w:val="24"/>
          <w:szCs w:val="24"/>
          <w:lang w:val="fr-FR"/>
        </w:rPr>
        <w:t xml:space="preserve"> les juges de paix </w:t>
      </w:r>
      <w:r>
        <w:rPr>
          <w:rFonts w:ascii="Times New Roman" w:hAnsi="Times New Roman"/>
          <w:iCs/>
          <w:sz w:val="24"/>
          <w:szCs w:val="24"/>
          <w:lang w:val="fr-FR"/>
        </w:rPr>
        <w:t xml:space="preserve">ont </w:t>
      </w:r>
      <w:r w:rsidRPr="00045515">
        <w:rPr>
          <w:rFonts w:ascii="Times New Roman" w:hAnsi="Times New Roman"/>
          <w:iCs/>
          <w:sz w:val="24"/>
          <w:szCs w:val="24"/>
          <w:lang w:val="fr-FR"/>
        </w:rPr>
        <w:t>f</w:t>
      </w:r>
      <w:r>
        <w:rPr>
          <w:rFonts w:ascii="Times New Roman" w:hAnsi="Times New Roman"/>
          <w:iCs/>
          <w:sz w:val="24"/>
          <w:szCs w:val="24"/>
          <w:lang w:val="fr-FR"/>
        </w:rPr>
        <w:t>ai</w:t>
      </w:r>
      <w:r w:rsidRPr="00045515">
        <w:rPr>
          <w:rFonts w:ascii="Times New Roman" w:hAnsi="Times New Roman"/>
          <w:iCs/>
          <w:sz w:val="24"/>
          <w:szCs w:val="24"/>
          <w:lang w:val="fr-FR"/>
        </w:rPr>
        <w:t xml:space="preserve">t appel à des personnes civiles pour délivrer des mandats d’arrêt ou arrêter des personnes, alors que seuls les agents de la PNH sont autorisés à le faire. Ainsi, en octobre, le juge de paix des Roseaux (département de la </w:t>
      </w:r>
      <w:r>
        <w:rPr>
          <w:rFonts w:ascii="Times New Roman" w:hAnsi="Times New Roman"/>
          <w:iCs/>
          <w:sz w:val="24"/>
          <w:szCs w:val="24"/>
          <w:lang w:val="fr-FR"/>
        </w:rPr>
        <w:t>Grande</w:t>
      </w:r>
      <w:r w:rsidR="00B71B61">
        <w:rPr>
          <w:rFonts w:ascii="Times New Roman" w:hAnsi="Times New Roman"/>
          <w:iCs/>
          <w:sz w:val="24"/>
          <w:szCs w:val="24"/>
          <w:lang w:val="fr-FR"/>
        </w:rPr>
        <w:t xml:space="preserve"> </w:t>
      </w:r>
      <w:r>
        <w:rPr>
          <w:rFonts w:ascii="Times New Roman" w:hAnsi="Times New Roman"/>
          <w:iCs/>
          <w:sz w:val="24"/>
          <w:szCs w:val="24"/>
          <w:lang w:val="fr-FR"/>
        </w:rPr>
        <w:t>Anse</w:t>
      </w:r>
      <w:r w:rsidRPr="00045515">
        <w:rPr>
          <w:rFonts w:ascii="Times New Roman" w:hAnsi="Times New Roman"/>
          <w:iCs/>
          <w:sz w:val="24"/>
          <w:szCs w:val="24"/>
          <w:lang w:val="fr-FR"/>
        </w:rPr>
        <w:t>), aurait recruté des civils pour délivrer des mandats d’arrêt, au motif qu’il n’a pas d’autre choix dans la mesure où  les agents de la PNH refusent de se rendre dans des localités isolées par manque de moyen de transport. Bien que cet argument soit révélateur du manque de ressources réel des forces de police, cette pratique est illégale et comporte de graves risques d’abus.</w:t>
      </w:r>
      <w:r w:rsidRPr="006F74B4">
        <w:rPr>
          <w:rFonts w:ascii="Times New Roman" w:hAnsi="Times New Roman"/>
          <w:iCs/>
          <w:sz w:val="24"/>
          <w:szCs w:val="24"/>
          <w:lang w:val="fr-FR"/>
        </w:rPr>
        <w:t xml:space="preserve"> Aux Irois par exemple (département de la </w:t>
      </w:r>
      <w:r>
        <w:rPr>
          <w:rFonts w:ascii="Times New Roman" w:hAnsi="Times New Roman"/>
          <w:iCs/>
          <w:sz w:val="24"/>
          <w:szCs w:val="24"/>
          <w:lang w:val="fr-FR"/>
        </w:rPr>
        <w:t>Gran</w:t>
      </w:r>
      <w:r w:rsidR="00B71B61">
        <w:rPr>
          <w:rFonts w:ascii="Times New Roman" w:hAnsi="Times New Roman"/>
          <w:iCs/>
          <w:sz w:val="24"/>
          <w:szCs w:val="24"/>
          <w:lang w:val="fr-FR"/>
        </w:rPr>
        <w:t xml:space="preserve">de </w:t>
      </w:r>
      <w:r>
        <w:rPr>
          <w:rFonts w:ascii="Times New Roman" w:hAnsi="Times New Roman"/>
          <w:iCs/>
          <w:sz w:val="24"/>
          <w:szCs w:val="24"/>
          <w:lang w:val="fr-FR"/>
        </w:rPr>
        <w:t>Anse</w:t>
      </w:r>
      <w:r w:rsidRPr="006F74B4">
        <w:rPr>
          <w:rFonts w:ascii="Times New Roman" w:hAnsi="Times New Roman"/>
          <w:iCs/>
          <w:sz w:val="24"/>
          <w:szCs w:val="24"/>
          <w:lang w:val="fr-FR"/>
        </w:rPr>
        <w:t xml:space="preserve">), des individus recrutés par le juge de paix, munis de faux badges portant le nom du ministère de la </w:t>
      </w:r>
      <w:r>
        <w:rPr>
          <w:rFonts w:ascii="Times New Roman" w:hAnsi="Times New Roman"/>
          <w:iCs/>
          <w:sz w:val="24"/>
          <w:szCs w:val="24"/>
          <w:lang w:val="fr-FR"/>
        </w:rPr>
        <w:t>J</w:t>
      </w:r>
      <w:r w:rsidRPr="006F74B4">
        <w:rPr>
          <w:rFonts w:ascii="Times New Roman" w:hAnsi="Times New Roman"/>
          <w:iCs/>
          <w:sz w:val="24"/>
          <w:szCs w:val="24"/>
          <w:lang w:val="fr-FR"/>
        </w:rPr>
        <w:t>ustice, se seraient livrés à des actes d’extorsion auprès de la population les jours de marché. De même, le 27 septembre, à Mombin Crochu (</w:t>
      </w:r>
      <w:r>
        <w:rPr>
          <w:rFonts w:ascii="Times New Roman" w:hAnsi="Times New Roman"/>
          <w:iCs/>
          <w:sz w:val="24"/>
          <w:szCs w:val="24"/>
          <w:lang w:val="fr-FR"/>
        </w:rPr>
        <w:t>département du Nord</w:t>
      </w:r>
      <w:r w:rsidRPr="006F74B4">
        <w:rPr>
          <w:rFonts w:ascii="Times New Roman" w:hAnsi="Times New Roman"/>
          <w:iCs/>
          <w:sz w:val="24"/>
          <w:szCs w:val="24"/>
          <w:lang w:val="fr-FR"/>
        </w:rPr>
        <w:t xml:space="preserve">-est) des </w:t>
      </w:r>
      <w:r w:rsidRPr="006F74B4">
        <w:rPr>
          <w:rFonts w:ascii="Times New Roman" w:hAnsi="Times New Roman"/>
          <w:i/>
          <w:iCs/>
          <w:sz w:val="24"/>
          <w:szCs w:val="24"/>
          <w:lang w:val="fr-FR"/>
        </w:rPr>
        <w:t xml:space="preserve">brigadiers </w:t>
      </w:r>
      <w:r w:rsidRPr="006F74B4">
        <w:rPr>
          <w:rFonts w:ascii="Times New Roman" w:hAnsi="Times New Roman"/>
          <w:iCs/>
          <w:sz w:val="24"/>
          <w:szCs w:val="24"/>
          <w:lang w:val="fr-FR"/>
        </w:rPr>
        <w:t>“recrutés” par le juge de paix</w:t>
      </w:r>
      <w:r w:rsidRPr="006F74B4">
        <w:rPr>
          <w:rFonts w:ascii="Times New Roman" w:hAnsi="Times New Roman"/>
          <w:i/>
          <w:iCs/>
          <w:sz w:val="24"/>
          <w:szCs w:val="24"/>
          <w:lang w:val="fr-FR"/>
        </w:rPr>
        <w:t xml:space="preserve"> </w:t>
      </w:r>
      <w:r w:rsidRPr="006F74B4">
        <w:rPr>
          <w:rFonts w:ascii="Times New Roman" w:hAnsi="Times New Roman"/>
          <w:iCs/>
          <w:sz w:val="24"/>
          <w:szCs w:val="24"/>
          <w:lang w:val="fr-FR"/>
        </w:rPr>
        <w:t>avec l’accord du maire, ont battu un homme</w:t>
      </w:r>
      <w:r>
        <w:rPr>
          <w:rFonts w:ascii="Times New Roman" w:hAnsi="Times New Roman"/>
          <w:iCs/>
          <w:sz w:val="24"/>
          <w:szCs w:val="24"/>
          <w:lang w:val="fr-FR"/>
        </w:rPr>
        <w:t xml:space="preserve"> </w:t>
      </w:r>
      <w:r w:rsidRPr="006F74B4">
        <w:rPr>
          <w:rFonts w:ascii="Times New Roman" w:hAnsi="Times New Roman"/>
          <w:iCs/>
          <w:sz w:val="24"/>
          <w:szCs w:val="24"/>
          <w:lang w:val="fr-FR"/>
        </w:rPr>
        <w:t>alors qu’ils étaient à la recherche de son frère.</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Default="008673B7" w:rsidP="008673B7">
      <w:pPr>
        <w:autoSpaceDE w:val="0"/>
        <w:autoSpaceDN w:val="0"/>
        <w:adjustRightInd w:val="0"/>
        <w:spacing w:line="240" w:lineRule="auto"/>
        <w:jc w:val="both"/>
        <w:rPr>
          <w:rFonts w:ascii="Times New Roman" w:hAnsi="Times New Roman"/>
          <w:iCs/>
          <w:sz w:val="24"/>
          <w:szCs w:val="24"/>
          <w:lang w:val="fr-FR"/>
        </w:rPr>
      </w:pPr>
      <w:r>
        <w:rPr>
          <w:rFonts w:ascii="Times New Roman" w:hAnsi="Times New Roman"/>
          <w:iCs/>
          <w:sz w:val="24"/>
          <w:szCs w:val="24"/>
          <w:lang w:val="fr-FR"/>
        </w:rPr>
        <w:t>L</w:t>
      </w:r>
      <w:r w:rsidRPr="006F74B4">
        <w:rPr>
          <w:rFonts w:ascii="Times New Roman" w:hAnsi="Times New Roman"/>
          <w:iCs/>
          <w:sz w:val="24"/>
          <w:szCs w:val="24"/>
          <w:lang w:val="fr-FR"/>
        </w:rPr>
        <w:t xml:space="preserve">a situation observée dans l’arrondissement d’Ouanaminthe a été particulièrement préoccupante au cours de la période en revue. </w:t>
      </w:r>
      <w:r>
        <w:rPr>
          <w:rFonts w:ascii="Times New Roman" w:hAnsi="Times New Roman"/>
          <w:iCs/>
          <w:sz w:val="24"/>
          <w:szCs w:val="24"/>
          <w:lang w:val="fr-FR"/>
        </w:rPr>
        <w:t>Dans</w:t>
      </w:r>
      <w:r w:rsidRPr="006F74B4">
        <w:rPr>
          <w:rFonts w:ascii="Times New Roman" w:hAnsi="Times New Roman"/>
          <w:iCs/>
          <w:sz w:val="24"/>
          <w:szCs w:val="24"/>
          <w:lang w:val="fr-FR"/>
        </w:rPr>
        <w:t xml:space="preserve"> cet arrondissement, l’ancien vice-délégué départemental</w:t>
      </w:r>
      <w:r w:rsidRPr="006F74B4">
        <w:rPr>
          <w:rStyle w:val="FootnoteReference"/>
          <w:rFonts w:ascii="Times New Roman" w:hAnsi="Times New Roman"/>
          <w:iCs/>
          <w:sz w:val="24"/>
          <w:szCs w:val="24"/>
          <w:lang w:val="fr-FR"/>
        </w:rPr>
        <w:footnoteReference w:id="31"/>
      </w:r>
      <w:r w:rsidRPr="006F74B4">
        <w:rPr>
          <w:rFonts w:ascii="Times New Roman" w:hAnsi="Times New Roman"/>
          <w:iCs/>
          <w:sz w:val="24"/>
          <w:szCs w:val="24"/>
          <w:lang w:val="fr-FR"/>
        </w:rPr>
        <w:t xml:space="preserve"> a, à plusieurs reprises, procédé à l’arrestation de personnes en dehors de tout cadre légal. </w:t>
      </w:r>
    </w:p>
    <w:p w:rsidR="008673B7" w:rsidRPr="006F74B4" w:rsidRDefault="008673B7" w:rsidP="008673B7">
      <w:pPr>
        <w:autoSpaceDE w:val="0"/>
        <w:autoSpaceDN w:val="0"/>
        <w:adjustRightInd w:val="0"/>
        <w:spacing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Notamment : </w:t>
      </w:r>
    </w:p>
    <w:p w:rsidR="008673B7" w:rsidRPr="006F74B4" w:rsidRDefault="008673B7" w:rsidP="008673B7">
      <w:pPr>
        <w:pStyle w:val="ListParagraph"/>
        <w:numPr>
          <w:ilvl w:val="0"/>
          <w:numId w:val="11"/>
        </w:numPr>
        <w:autoSpaceDE w:val="0"/>
        <w:autoSpaceDN w:val="0"/>
        <w:adjustRightInd w:val="0"/>
        <w:spacing w:line="240" w:lineRule="auto"/>
        <w:jc w:val="both"/>
        <w:rPr>
          <w:rFonts w:ascii="Times New Roman" w:hAnsi="Times New Roman"/>
          <w:iCs/>
          <w:sz w:val="24"/>
          <w:szCs w:val="24"/>
          <w:lang w:val="fr-FR"/>
        </w:rPr>
      </w:pPr>
      <w:r w:rsidRPr="006F74B4">
        <w:rPr>
          <w:rFonts w:ascii="Times New Roman" w:hAnsi="Times New Roman"/>
          <w:iCs/>
          <w:sz w:val="24"/>
          <w:szCs w:val="24"/>
          <w:lang w:val="fr-FR"/>
        </w:rPr>
        <w:t>Fin septembre, l</w:t>
      </w:r>
      <w:r>
        <w:rPr>
          <w:rFonts w:ascii="Times New Roman" w:hAnsi="Times New Roman"/>
          <w:iCs/>
          <w:sz w:val="24"/>
          <w:szCs w:val="24"/>
          <w:lang w:val="fr-FR"/>
        </w:rPr>
        <w:t>’ex-</w:t>
      </w:r>
      <w:r w:rsidRPr="006F74B4">
        <w:rPr>
          <w:rFonts w:ascii="Times New Roman" w:hAnsi="Times New Roman"/>
          <w:iCs/>
          <w:sz w:val="24"/>
          <w:szCs w:val="24"/>
          <w:lang w:val="fr-FR"/>
        </w:rPr>
        <w:t xml:space="preserve">vice-délégué a ordonné l’arrestation de sept personnes, sans mandat, par des personnes qu’il avait « recrutées » y compris des agents de la sécurité de la vice-délégation et des repris de justice. Fin octobre, deux de ceux qui avaient été arrêtés restaient détenus à la prison civile de Fort-Liberté. </w:t>
      </w:r>
    </w:p>
    <w:p w:rsidR="008673B7" w:rsidRPr="006F74B4" w:rsidRDefault="008673B7" w:rsidP="008673B7">
      <w:pPr>
        <w:pStyle w:val="ListParagraph"/>
        <w:numPr>
          <w:ilvl w:val="0"/>
          <w:numId w:val="11"/>
        </w:numPr>
        <w:autoSpaceDE w:val="0"/>
        <w:autoSpaceDN w:val="0"/>
        <w:adjustRightInd w:val="0"/>
        <w:spacing w:line="240" w:lineRule="auto"/>
        <w:jc w:val="both"/>
        <w:rPr>
          <w:rFonts w:ascii="Times New Roman" w:hAnsi="Times New Roman"/>
          <w:iCs/>
          <w:sz w:val="24"/>
          <w:szCs w:val="24"/>
          <w:lang w:val="fr-BE"/>
        </w:rPr>
      </w:pPr>
      <w:r w:rsidRPr="006F74B4">
        <w:rPr>
          <w:rFonts w:ascii="Times New Roman" w:hAnsi="Times New Roman"/>
          <w:iCs/>
          <w:sz w:val="24"/>
          <w:szCs w:val="24"/>
          <w:lang w:val="fr-BE"/>
        </w:rPr>
        <w:t>Le 1er octobre, l</w:t>
      </w:r>
      <w:r>
        <w:rPr>
          <w:rFonts w:ascii="Times New Roman" w:hAnsi="Times New Roman"/>
          <w:iCs/>
          <w:sz w:val="24"/>
          <w:szCs w:val="24"/>
          <w:lang w:val="fr-BE"/>
        </w:rPr>
        <w:t>’</w:t>
      </w:r>
      <w:r w:rsidRPr="006F74B4">
        <w:rPr>
          <w:rFonts w:ascii="Times New Roman" w:hAnsi="Times New Roman"/>
          <w:iCs/>
          <w:sz w:val="24"/>
          <w:szCs w:val="24"/>
          <w:lang w:val="fr-BE"/>
        </w:rPr>
        <w:t>e</w:t>
      </w:r>
      <w:r>
        <w:rPr>
          <w:rFonts w:ascii="Times New Roman" w:hAnsi="Times New Roman"/>
          <w:iCs/>
          <w:sz w:val="24"/>
          <w:szCs w:val="24"/>
          <w:lang w:val="fr-BE"/>
        </w:rPr>
        <w:t>x-</w:t>
      </w:r>
      <w:r w:rsidRPr="006F74B4">
        <w:rPr>
          <w:rFonts w:ascii="Times New Roman" w:hAnsi="Times New Roman"/>
          <w:iCs/>
          <w:sz w:val="24"/>
          <w:szCs w:val="24"/>
          <w:lang w:val="fr-BE"/>
        </w:rPr>
        <w:t xml:space="preserve">vice-délégué et le juge de paix suppléant ont arrêté par le même biais 12 personnes, dont neuf à Dajabón (République dominicaine), sans aucune participation des autorités judiciaires dominicaines. </w:t>
      </w:r>
      <w:r w:rsidRPr="006F74B4">
        <w:rPr>
          <w:rFonts w:ascii="Times New Roman" w:hAnsi="Times New Roman"/>
          <w:sz w:val="24"/>
          <w:szCs w:val="24"/>
          <w:lang w:val="fr-BE"/>
        </w:rPr>
        <w:t>Fin décembre</w:t>
      </w:r>
      <w:r w:rsidRPr="006F74B4">
        <w:rPr>
          <w:rFonts w:ascii="Times New Roman" w:hAnsi="Times New Roman"/>
          <w:iCs/>
          <w:sz w:val="24"/>
          <w:szCs w:val="24"/>
          <w:lang w:val="fr-BE"/>
        </w:rPr>
        <w:t xml:space="preserve">, deux des personnes arrêtées, restaient détenus à la prison de Fort-Liberté pour « association de malfaiteur ». </w:t>
      </w:r>
    </w:p>
    <w:p w:rsidR="008673B7" w:rsidRDefault="008673B7" w:rsidP="008673B7">
      <w:pPr>
        <w:pStyle w:val="ListParagraph"/>
        <w:numPr>
          <w:ilvl w:val="0"/>
          <w:numId w:val="11"/>
        </w:numPr>
        <w:autoSpaceDE w:val="0"/>
        <w:autoSpaceDN w:val="0"/>
        <w:adjustRightInd w:val="0"/>
        <w:spacing w:line="240" w:lineRule="auto"/>
        <w:jc w:val="both"/>
        <w:rPr>
          <w:rFonts w:ascii="Times New Roman" w:hAnsi="Times New Roman"/>
          <w:color w:val="000000"/>
          <w:sz w:val="24"/>
          <w:szCs w:val="24"/>
          <w:lang w:val="fr-FR"/>
        </w:rPr>
      </w:pPr>
      <w:r w:rsidRPr="006F74B4">
        <w:rPr>
          <w:rFonts w:ascii="Times New Roman" w:hAnsi="Times New Roman"/>
          <w:iCs/>
          <w:sz w:val="24"/>
          <w:szCs w:val="24"/>
          <w:lang w:val="fr-BE"/>
        </w:rPr>
        <w:t>Enfin</w:t>
      </w:r>
      <w:r w:rsidRPr="006F74B4">
        <w:rPr>
          <w:rFonts w:ascii="Times New Roman" w:hAnsi="Times New Roman"/>
          <w:iCs/>
          <w:sz w:val="24"/>
          <w:szCs w:val="24"/>
          <w:lang w:val="fr-FR"/>
        </w:rPr>
        <w:t>, dans le même arrondissement, à Mapou, le juge de paix suppléant et l</w:t>
      </w:r>
      <w:r>
        <w:rPr>
          <w:rFonts w:ascii="Times New Roman" w:hAnsi="Times New Roman"/>
          <w:iCs/>
          <w:sz w:val="24"/>
          <w:szCs w:val="24"/>
          <w:lang w:val="fr-FR"/>
        </w:rPr>
        <w:t>’</w:t>
      </w:r>
      <w:r w:rsidRPr="006F74B4">
        <w:rPr>
          <w:rFonts w:ascii="Times New Roman" w:hAnsi="Times New Roman"/>
          <w:iCs/>
          <w:sz w:val="24"/>
          <w:szCs w:val="24"/>
          <w:lang w:val="fr-FR"/>
        </w:rPr>
        <w:t>e</w:t>
      </w:r>
      <w:r>
        <w:rPr>
          <w:rFonts w:ascii="Times New Roman" w:hAnsi="Times New Roman"/>
          <w:iCs/>
          <w:sz w:val="24"/>
          <w:szCs w:val="24"/>
          <w:lang w:val="fr-FR"/>
        </w:rPr>
        <w:t>x-</w:t>
      </w:r>
      <w:r w:rsidRPr="006F74B4">
        <w:rPr>
          <w:rFonts w:ascii="Times New Roman" w:hAnsi="Times New Roman"/>
          <w:iCs/>
          <w:sz w:val="24"/>
          <w:szCs w:val="24"/>
          <w:lang w:val="fr-FR"/>
        </w:rPr>
        <w:t xml:space="preserve">vice-délégué, appuyés par un groupe de civils armés et des agents de l’UDMO </w:t>
      </w:r>
      <w:r>
        <w:rPr>
          <w:rFonts w:ascii="Times New Roman" w:hAnsi="Times New Roman"/>
          <w:iCs/>
          <w:sz w:val="24"/>
          <w:szCs w:val="24"/>
          <w:lang w:val="fr-FR"/>
        </w:rPr>
        <w:t>arrêtaient</w:t>
      </w:r>
      <w:r w:rsidRPr="006F74B4">
        <w:rPr>
          <w:rFonts w:ascii="Times New Roman" w:hAnsi="Times New Roman"/>
          <w:iCs/>
          <w:sz w:val="24"/>
          <w:szCs w:val="24"/>
          <w:lang w:val="fr-FR"/>
        </w:rPr>
        <w:t xml:space="preserve"> cinq individus suspectés de jeter des pierres et de tirer en l’air la nuit, le 15 novembre. Tous ont été battus par les forces civiles avant d’être embarqués par les UDMO. </w:t>
      </w:r>
      <w:r w:rsidRPr="006F74B4">
        <w:rPr>
          <w:rFonts w:ascii="Times New Roman" w:hAnsi="Times New Roman"/>
          <w:color w:val="000000"/>
          <w:sz w:val="24"/>
          <w:szCs w:val="24"/>
          <w:lang w:val="fr-FR"/>
        </w:rPr>
        <w:t>Des inspecteurs des douanes et des repris de justice auraient pris part à cette « opération ». L</w:t>
      </w:r>
      <w:r>
        <w:rPr>
          <w:rFonts w:ascii="Times New Roman" w:hAnsi="Times New Roman"/>
          <w:color w:val="000000"/>
          <w:sz w:val="24"/>
          <w:szCs w:val="24"/>
          <w:lang w:val="fr-FR"/>
        </w:rPr>
        <w:t>’</w:t>
      </w:r>
      <w:r w:rsidRPr="006F74B4">
        <w:rPr>
          <w:rFonts w:ascii="Times New Roman" w:hAnsi="Times New Roman"/>
          <w:color w:val="000000"/>
          <w:sz w:val="24"/>
          <w:szCs w:val="24"/>
          <w:lang w:val="fr-FR"/>
        </w:rPr>
        <w:t>e</w:t>
      </w:r>
      <w:r>
        <w:rPr>
          <w:rFonts w:ascii="Times New Roman" w:hAnsi="Times New Roman"/>
          <w:color w:val="000000"/>
          <w:sz w:val="24"/>
          <w:szCs w:val="24"/>
          <w:lang w:val="fr-FR"/>
        </w:rPr>
        <w:t>x</w:t>
      </w:r>
      <w:r w:rsidRPr="006F74B4">
        <w:rPr>
          <w:rFonts w:ascii="Times New Roman" w:hAnsi="Times New Roman"/>
          <w:color w:val="000000"/>
          <w:sz w:val="24"/>
          <w:szCs w:val="24"/>
          <w:lang w:val="fr-FR"/>
        </w:rPr>
        <w:t xml:space="preserve"> vice-délégué a rejeté l’accusation d’avoir eu recours à des forces parallèles au motif que ces personnes avaient depuis été nommées inspecteurs des douanes. </w:t>
      </w:r>
      <w:r>
        <w:rPr>
          <w:rFonts w:ascii="Times New Roman" w:hAnsi="Times New Roman"/>
          <w:color w:val="000000"/>
          <w:sz w:val="24"/>
          <w:szCs w:val="24"/>
          <w:lang w:val="fr-FR"/>
        </w:rPr>
        <w:t xml:space="preserve">Il </w:t>
      </w:r>
      <w:r w:rsidRPr="006F74B4">
        <w:rPr>
          <w:rFonts w:ascii="Times New Roman" w:hAnsi="Times New Roman"/>
          <w:color w:val="000000"/>
          <w:sz w:val="24"/>
          <w:szCs w:val="24"/>
          <w:lang w:val="fr-FR"/>
        </w:rPr>
        <w:t xml:space="preserve">faut noter que les inspecteurs des douanes ne font aucunement partie de la PNH et que ces personnes ont été récemment nommées par le délégué départemental, avec l’approbation du ministre de l’Intérieur, en dehors du processus de recrutement habituel. </w:t>
      </w:r>
    </w:p>
    <w:p w:rsidR="008673B7" w:rsidRDefault="008673B7" w:rsidP="008673B7">
      <w:pPr>
        <w:autoSpaceDE w:val="0"/>
        <w:autoSpaceDN w:val="0"/>
        <w:adjustRightInd w:val="0"/>
        <w:spacing w:after="0" w:line="240" w:lineRule="auto"/>
        <w:jc w:val="both"/>
        <w:rPr>
          <w:rFonts w:ascii="Times New Roman" w:hAnsi="Times New Roman"/>
          <w:color w:val="000000"/>
          <w:sz w:val="24"/>
          <w:szCs w:val="24"/>
          <w:lang w:val="fr-FR"/>
        </w:rPr>
      </w:pPr>
      <w:r w:rsidRPr="002A445E">
        <w:rPr>
          <w:rFonts w:ascii="Times New Roman" w:hAnsi="Times New Roman"/>
          <w:sz w:val="24"/>
          <w:szCs w:val="24"/>
          <w:lang w:val="fr-BE"/>
        </w:rPr>
        <w:t xml:space="preserve">En octobre, toujours à Ouanaminthe, les deux maires adjoints de la commune, deux </w:t>
      </w:r>
      <w:r w:rsidRPr="002A445E">
        <w:rPr>
          <w:rFonts w:ascii="Times New Roman" w:hAnsi="Times New Roman"/>
          <w:i/>
          <w:iCs/>
          <w:sz w:val="24"/>
          <w:szCs w:val="24"/>
          <w:lang w:val="fr-BE"/>
        </w:rPr>
        <w:t xml:space="preserve">agents exécutifs intérimaires </w:t>
      </w:r>
      <w:r w:rsidRPr="002A445E">
        <w:rPr>
          <w:rFonts w:ascii="Times New Roman" w:hAnsi="Times New Roman"/>
          <w:sz w:val="24"/>
          <w:szCs w:val="24"/>
          <w:lang w:val="fr-BE"/>
        </w:rPr>
        <w:t xml:space="preserve">(AEI) candidats aux prochaines élections locales, ont mis sur pied des </w:t>
      </w:r>
      <w:r w:rsidRPr="002A445E">
        <w:rPr>
          <w:rFonts w:ascii="Times New Roman" w:hAnsi="Times New Roman"/>
          <w:i/>
          <w:sz w:val="24"/>
          <w:szCs w:val="24"/>
          <w:lang w:val="fr-BE"/>
        </w:rPr>
        <w:t>brigades de sécurité</w:t>
      </w:r>
      <w:r w:rsidRPr="002A445E">
        <w:rPr>
          <w:rFonts w:ascii="Times New Roman" w:hAnsi="Times New Roman"/>
          <w:sz w:val="24"/>
          <w:szCs w:val="24"/>
          <w:lang w:val="fr-BE"/>
        </w:rPr>
        <w:t xml:space="preserve"> allant jusqu’à leur fournir des badges au nom de la mairie. </w:t>
      </w:r>
      <w:r w:rsidRPr="002A445E">
        <w:rPr>
          <w:rFonts w:ascii="Times New Roman" w:hAnsi="Times New Roman"/>
          <w:color w:val="000000"/>
          <w:sz w:val="24"/>
          <w:szCs w:val="24"/>
          <w:lang w:val="fr-FR"/>
        </w:rPr>
        <w:t xml:space="preserve">De façon similaire, vingt personnes auraient été recrutés pour travailler bénévolement dans le cadre d'une compagnie de sécurité privée, nommée "Etoile plus sécurité", afin de protéger les intérêts d'un candidat aux élections municipales, à Port-de-Paix (département du Nord-ouest). Le commissaire du gouvernement du département serait membre du conseil d'administration de cette compagnie. Un autre candidat aux élections locales aurait, de son côté, également constitué sa propre compagnie de sécurité. </w:t>
      </w:r>
    </w:p>
    <w:p w:rsidR="008673B7" w:rsidRDefault="008673B7" w:rsidP="008673B7">
      <w:pPr>
        <w:autoSpaceDE w:val="0"/>
        <w:autoSpaceDN w:val="0"/>
        <w:adjustRightInd w:val="0"/>
        <w:spacing w:after="0" w:line="240" w:lineRule="auto"/>
        <w:jc w:val="both"/>
        <w:rPr>
          <w:rFonts w:ascii="Times New Roman" w:hAnsi="Times New Roman"/>
          <w:color w:val="000000"/>
          <w:sz w:val="24"/>
          <w:szCs w:val="24"/>
          <w:lang w:val="fr-FR"/>
        </w:rPr>
      </w:pPr>
    </w:p>
    <w:p w:rsidR="008673B7" w:rsidRDefault="008673B7" w:rsidP="008673B7">
      <w:pPr>
        <w:autoSpaceDE w:val="0"/>
        <w:autoSpaceDN w:val="0"/>
        <w:adjustRightInd w:val="0"/>
        <w:spacing w:after="0" w:line="240" w:lineRule="auto"/>
        <w:jc w:val="both"/>
        <w:rPr>
          <w:rFonts w:ascii="Times New Roman" w:hAnsi="Times New Roman"/>
          <w:color w:val="000000"/>
          <w:lang w:val="fr-BE" w:eastAsia="ja-JP"/>
        </w:rPr>
      </w:pPr>
      <w:r>
        <w:rPr>
          <w:rFonts w:ascii="Times New Roman" w:hAnsi="Times New Roman"/>
          <w:iCs/>
          <w:sz w:val="24"/>
          <w:szCs w:val="24"/>
          <w:lang w:val="fr-FR"/>
        </w:rPr>
        <w:t>L</w:t>
      </w:r>
      <w:r w:rsidRPr="006F74B4">
        <w:rPr>
          <w:rFonts w:ascii="Times New Roman" w:hAnsi="Times New Roman"/>
          <w:iCs/>
          <w:sz w:val="24"/>
          <w:szCs w:val="24"/>
          <w:lang w:val="fr-FR"/>
        </w:rPr>
        <w:t xml:space="preserve">a situation observée </w:t>
      </w:r>
      <w:r>
        <w:rPr>
          <w:rFonts w:ascii="Times New Roman" w:hAnsi="Times New Roman"/>
          <w:iCs/>
          <w:sz w:val="24"/>
          <w:szCs w:val="24"/>
          <w:lang w:val="fr-FR"/>
        </w:rPr>
        <w:t xml:space="preserve">aux </w:t>
      </w:r>
      <w:r w:rsidR="00B71B61">
        <w:rPr>
          <w:rFonts w:ascii="Times New Roman" w:hAnsi="Times New Roman"/>
          <w:iCs/>
          <w:sz w:val="24"/>
          <w:szCs w:val="24"/>
          <w:lang w:val="fr-FR"/>
        </w:rPr>
        <w:t xml:space="preserve">Irois (département de la Grande </w:t>
      </w:r>
      <w:r>
        <w:rPr>
          <w:rFonts w:ascii="Times New Roman" w:hAnsi="Times New Roman"/>
          <w:iCs/>
          <w:sz w:val="24"/>
          <w:szCs w:val="24"/>
          <w:lang w:val="fr-FR"/>
        </w:rPr>
        <w:t>Anse</w:t>
      </w:r>
      <w:r w:rsidRPr="00602155">
        <w:rPr>
          <w:rFonts w:ascii="Times New Roman" w:hAnsi="Times New Roman"/>
          <w:iCs/>
          <w:sz w:val="24"/>
          <w:szCs w:val="24"/>
          <w:lang w:val="fr-FR"/>
        </w:rPr>
        <w:t xml:space="preserve">) a été également préoccupante au cours de la période en revue. Ainsi, le 8 novembre, </w:t>
      </w:r>
      <w:r>
        <w:rPr>
          <w:rFonts w:ascii="Times New Roman" w:hAnsi="Times New Roman"/>
          <w:iCs/>
          <w:sz w:val="24"/>
          <w:szCs w:val="24"/>
          <w:lang w:val="fr-FR"/>
        </w:rPr>
        <w:t>12</w:t>
      </w:r>
      <w:r w:rsidRPr="00602155">
        <w:rPr>
          <w:rFonts w:ascii="Times New Roman" w:hAnsi="Times New Roman"/>
          <w:iCs/>
          <w:sz w:val="24"/>
          <w:szCs w:val="24"/>
          <w:lang w:val="fr-FR"/>
        </w:rPr>
        <w:t xml:space="preserve"> personnes</w:t>
      </w:r>
      <w:r>
        <w:rPr>
          <w:rFonts w:ascii="Times New Roman" w:hAnsi="Times New Roman"/>
          <w:iCs/>
          <w:sz w:val="24"/>
          <w:szCs w:val="24"/>
          <w:lang w:val="fr-FR"/>
        </w:rPr>
        <w:t xml:space="preserve"> se déclarant victimes de M. Viliena, maire par intérim de la commune, </w:t>
      </w:r>
      <w:r w:rsidRPr="00602155">
        <w:rPr>
          <w:rFonts w:ascii="Times New Roman" w:hAnsi="Times New Roman"/>
          <w:iCs/>
          <w:sz w:val="24"/>
          <w:szCs w:val="24"/>
          <w:lang w:val="fr-FR"/>
        </w:rPr>
        <w:t xml:space="preserve">ont cherché refuge au sous-commissariat de police </w:t>
      </w:r>
      <w:r>
        <w:rPr>
          <w:rFonts w:ascii="Times New Roman" w:hAnsi="Times New Roman"/>
          <w:iCs/>
          <w:sz w:val="24"/>
          <w:szCs w:val="24"/>
          <w:lang w:val="fr-FR"/>
        </w:rPr>
        <w:t>des Irois pendant six jours, après avoir fait l’objet de menaces de mort de la part des partisans de ce dernier. Par ailleurs,</w:t>
      </w:r>
      <w:r w:rsidRPr="00602155">
        <w:rPr>
          <w:rFonts w:ascii="Times New Roman" w:hAnsi="Times New Roman"/>
          <w:iCs/>
          <w:sz w:val="24"/>
          <w:szCs w:val="24"/>
          <w:lang w:val="fr-FR"/>
        </w:rPr>
        <w:t xml:space="preserve"> </w:t>
      </w:r>
      <w:r w:rsidRPr="006F74B4">
        <w:rPr>
          <w:rFonts w:ascii="Times New Roman" w:hAnsi="Times New Roman"/>
          <w:color w:val="000000"/>
          <w:sz w:val="24"/>
          <w:szCs w:val="24"/>
          <w:lang w:val="fr-FR"/>
        </w:rPr>
        <w:t>le 11 décembre, un représentant de la Croix rouge haïtienne aux Cayes (</w:t>
      </w:r>
      <w:r>
        <w:rPr>
          <w:rFonts w:ascii="Times New Roman" w:hAnsi="Times New Roman"/>
          <w:color w:val="000000"/>
          <w:sz w:val="24"/>
          <w:szCs w:val="24"/>
          <w:lang w:val="fr-FR"/>
        </w:rPr>
        <w:t>département du Sud</w:t>
      </w:r>
      <w:r w:rsidRPr="006F74B4">
        <w:rPr>
          <w:rFonts w:ascii="Times New Roman" w:hAnsi="Times New Roman"/>
          <w:color w:val="000000"/>
          <w:sz w:val="24"/>
          <w:szCs w:val="24"/>
          <w:lang w:val="fr-FR"/>
        </w:rPr>
        <w:t>), a informé la SDH qu’il avait reçu des menaces de mort après avoir distribué de la nourriture à des personnes jugées « peu importantes », omettant ceux qui avaient voté pour le Président Martelly. Selon plusieurs sources, les auteurs de ces menaces seraient liés au groupe nommé « le Police », un groupe formé d'une centaine de jeunes</w:t>
      </w:r>
      <w:r>
        <w:rPr>
          <w:rFonts w:ascii="Times New Roman" w:hAnsi="Times New Roman"/>
          <w:color w:val="000000"/>
          <w:sz w:val="24"/>
          <w:szCs w:val="24"/>
          <w:lang w:val="fr-FR"/>
        </w:rPr>
        <w:t xml:space="preserve"> </w:t>
      </w:r>
      <w:r w:rsidRPr="006F74B4">
        <w:rPr>
          <w:rFonts w:ascii="Times New Roman" w:hAnsi="Times New Roman"/>
          <w:color w:val="000000"/>
          <w:sz w:val="24"/>
          <w:szCs w:val="24"/>
          <w:lang w:val="fr-FR"/>
        </w:rPr>
        <w:t>portant des uniformes bleu marine et qu’on suspecte d’être impliqués dans des activités criminelles.</w:t>
      </w:r>
      <w:r w:rsidRPr="006F74B4">
        <w:rPr>
          <w:rFonts w:ascii="Times New Roman" w:hAnsi="Times New Roman"/>
          <w:i/>
          <w:lang w:val="fr-BE"/>
        </w:rPr>
        <w:t xml:space="preserve"> </w:t>
      </w:r>
      <w:r w:rsidRPr="006F74B4">
        <w:rPr>
          <w:rFonts w:ascii="Times New Roman" w:hAnsi="Times New Roman"/>
          <w:sz w:val="24"/>
          <w:szCs w:val="24"/>
          <w:lang w:val="fr-BE"/>
        </w:rPr>
        <w:t xml:space="preserve">Au même moment, les agissements de ce groupe </w:t>
      </w:r>
      <w:r>
        <w:rPr>
          <w:rFonts w:ascii="Times New Roman" w:hAnsi="Times New Roman"/>
          <w:sz w:val="24"/>
          <w:szCs w:val="24"/>
          <w:lang w:val="fr-BE"/>
        </w:rPr>
        <w:t>étaient</w:t>
      </w:r>
      <w:r w:rsidRPr="006F74B4">
        <w:rPr>
          <w:rFonts w:ascii="Times New Roman" w:hAnsi="Times New Roman"/>
          <w:sz w:val="24"/>
          <w:szCs w:val="24"/>
          <w:lang w:val="fr-BE"/>
        </w:rPr>
        <w:t xml:space="preserve"> dénoncés par le </w:t>
      </w:r>
      <w:r w:rsidR="002A28C1">
        <w:rPr>
          <w:rFonts w:ascii="Times New Roman" w:hAnsi="Times New Roman"/>
          <w:sz w:val="24"/>
          <w:szCs w:val="24"/>
          <w:lang w:val="fr-BE"/>
        </w:rPr>
        <w:t>c</w:t>
      </w:r>
      <w:r w:rsidRPr="006F74B4">
        <w:rPr>
          <w:rFonts w:ascii="Times New Roman" w:hAnsi="Times New Roman"/>
          <w:sz w:val="24"/>
          <w:szCs w:val="24"/>
          <w:lang w:val="fr-BE"/>
        </w:rPr>
        <w:t>ommissaire du gouvernement</w:t>
      </w:r>
      <w:r w:rsidRPr="006F74B4">
        <w:rPr>
          <w:rFonts w:ascii="Times New Roman" w:hAnsi="Times New Roman"/>
          <w:color w:val="000000"/>
          <w:sz w:val="24"/>
          <w:szCs w:val="24"/>
          <w:lang w:val="fr-BE"/>
        </w:rPr>
        <w:t xml:space="preserve"> </w:t>
      </w:r>
      <w:r w:rsidRPr="006F74B4">
        <w:rPr>
          <w:rFonts w:ascii="Times New Roman" w:hAnsi="Times New Roman"/>
          <w:color w:val="000000"/>
          <w:sz w:val="24"/>
          <w:szCs w:val="24"/>
          <w:lang w:val="fr-BE" w:eastAsia="ja-JP"/>
        </w:rPr>
        <w:t xml:space="preserve">candidat au </w:t>
      </w:r>
      <w:r>
        <w:rPr>
          <w:rFonts w:ascii="Times New Roman" w:hAnsi="Times New Roman"/>
          <w:color w:val="000000"/>
          <w:sz w:val="24"/>
          <w:szCs w:val="24"/>
          <w:lang w:val="fr-BE" w:eastAsia="ja-JP"/>
        </w:rPr>
        <w:t>S</w:t>
      </w:r>
      <w:r w:rsidRPr="006F74B4">
        <w:rPr>
          <w:rFonts w:ascii="Times New Roman" w:hAnsi="Times New Roman"/>
          <w:color w:val="000000"/>
          <w:sz w:val="24"/>
          <w:szCs w:val="24"/>
          <w:lang w:val="fr-BE" w:eastAsia="ja-JP"/>
        </w:rPr>
        <w:t xml:space="preserve">énat sur une liste </w:t>
      </w:r>
      <w:r>
        <w:rPr>
          <w:rFonts w:ascii="Times New Roman" w:hAnsi="Times New Roman"/>
          <w:color w:val="000000"/>
          <w:sz w:val="24"/>
          <w:szCs w:val="24"/>
          <w:lang w:val="fr-BE" w:eastAsia="ja-JP"/>
        </w:rPr>
        <w:t>de l’opposition</w:t>
      </w:r>
      <w:r w:rsidRPr="006F74B4">
        <w:rPr>
          <w:rFonts w:ascii="Times New Roman" w:hAnsi="Times New Roman"/>
          <w:color w:val="000000"/>
          <w:sz w:val="24"/>
          <w:szCs w:val="24"/>
          <w:lang w:val="fr-BE" w:eastAsia="ja-JP"/>
        </w:rPr>
        <w:t>.</w:t>
      </w:r>
      <w:r w:rsidRPr="006F74B4">
        <w:rPr>
          <w:rFonts w:ascii="Times New Roman" w:hAnsi="Times New Roman"/>
          <w:color w:val="000000"/>
          <w:lang w:val="fr-BE" w:eastAsia="ja-JP"/>
        </w:rPr>
        <w:t xml:space="preserve"> </w:t>
      </w:r>
    </w:p>
    <w:p w:rsidR="007967B5" w:rsidRDefault="007967B5" w:rsidP="008673B7">
      <w:pPr>
        <w:autoSpaceDE w:val="0"/>
        <w:autoSpaceDN w:val="0"/>
        <w:adjustRightInd w:val="0"/>
        <w:spacing w:after="0" w:line="240" w:lineRule="auto"/>
        <w:jc w:val="both"/>
        <w:rPr>
          <w:rFonts w:ascii="Times New Roman" w:hAnsi="Times New Roman"/>
          <w:color w:val="000000"/>
          <w:lang w:val="fr-BE" w:eastAsia="ja-JP"/>
        </w:rPr>
      </w:pPr>
    </w:p>
    <w:p w:rsidR="008673B7" w:rsidRPr="007967B5" w:rsidRDefault="008673B7" w:rsidP="007967B5">
      <w:pPr>
        <w:pStyle w:val="Heading2"/>
        <w:rPr>
          <w:lang w:val="fr-FR"/>
        </w:rPr>
      </w:pPr>
      <w:bookmarkStart w:id="38" w:name="_Toc350156713"/>
      <w:r w:rsidRPr="007967B5">
        <w:rPr>
          <w:lang w:val="fr-FR"/>
        </w:rPr>
        <w:t>I</w:t>
      </w:r>
      <w:r w:rsidR="00A8570F">
        <w:rPr>
          <w:lang w:val="fr-FR"/>
        </w:rPr>
        <w:t>I</w:t>
      </w:r>
      <w:r w:rsidRPr="007967B5">
        <w:rPr>
          <w:lang w:val="fr-FR"/>
        </w:rPr>
        <w:t>I.7. Détention</w:t>
      </w:r>
      <w:bookmarkEnd w:id="38"/>
    </w:p>
    <w:p w:rsidR="008673B7" w:rsidRPr="006F74B4" w:rsidRDefault="008673B7" w:rsidP="008673B7">
      <w:pPr>
        <w:autoSpaceDE w:val="0"/>
        <w:autoSpaceDN w:val="0"/>
        <w:adjustRightInd w:val="0"/>
        <w:spacing w:after="0" w:line="240" w:lineRule="auto"/>
        <w:jc w:val="both"/>
        <w:rPr>
          <w:rFonts w:ascii="Times New Roman" w:hAnsi="Times New Roman"/>
          <w:b/>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3F59E2">
        <w:rPr>
          <w:rFonts w:ascii="Times New Roman" w:hAnsi="Times New Roman"/>
          <w:bCs/>
          <w:iCs/>
          <w:sz w:val="24"/>
          <w:szCs w:val="24"/>
          <w:lang w:val="fr-FR"/>
        </w:rPr>
        <w:t xml:space="preserve">De très sérieux problèmes </w:t>
      </w:r>
      <w:r>
        <w:rPr>
          <w:rFonts w:ascii="Times New Roman" w:hAnsi="Times New Roman"/>
          <w:bCs/>
          <w:iCs/>
          <w:sz w:val="24"/>
          <w:szCs w:val="24"/>
          <w:lang w:val="fr-FR"/>
        </w:rPr>
        <w:t xml:space="preserve">en matière de </w:t>
      </w:r>
      <w:r w:rsidRPr="003F59E2">
        <w:rPr>
          <w:rFonts w:ascii="Times New Roman" w:hAnsi="Times New Roman"/>
          <w:bCs/>
          <w:iCs/>
          <w:sz w:val="24"/>
          <w:szCs w:val="24"/>
          <w:lang w:val="fr-FR"/>
        </w:rPr>
        <w:t xml:space="preserve">droits de l’homme en Haïti résultent du recours abusif à la détention ainsi que des conditions de détention. </w:t>
      </w:r>
      <w:r w:rsidRPr="006F74B4">
        <w:rPr>
          <w:rFonts w:ascii="Times New Roman" w:hAnsi="Times New Roman"/>
          <w:bCs/>
          <w:iCs/>
          <w:sz w:val="24"/>
          <w:szCs w:val="24"/>
          <w:lang w:val="fr-FR"/>
        </w:rPr>
        <w:t>Le taux de détention provisoire reste en effet extrêmement élevé (cf. ci-dessous) et les conditions de détention, que ce soit dans les commissariats de police ou dans les prisons, continuent de porter gravement atteinte à la dignité humaine. Par ailleurs, malgré une volonté affichée d’y remédier, la réponse donnée par les autorités haïtiennes à ce problème reste très insuffisante.</w:t>
      </w:r>
    </w:p>
    <w:p w:rsidR="008673B7" w:rsidRPr="006F74B4" w:rsidRDefault="008673B7" w:rsidP="008673B7">
      <w:pPr>
        <w:autoSpaceDE w:val="0"/>
        <w:autoSpaceDN w:val="0"/>
        <w:adjustRightInd w:val="0"/>
        <w:spacing w:after="0" w:line="240" w:lineRule="auto"/>
        <w:jc w:val="both"/>
        <w:rPr>
          <w:rFonts w:ascii="Times New Roman" w:hAnsi="Times New Roman"/>
          <w:b/>
          <w:bCs/>
          <w:iCs/>
          <w:sz w:val="24"/>
          <w:szCs w:val="24"/>
          <w:lang w:val="fr-FR"/>
        </w:rPr>
      </w:pPr>
    </w:p>
    <w:p w:rsidR="008673B7" w:rsidRPr="006F74B4" w:rsidRDefault="008673B7" w:rsidP="00DC37B4">
      <w:pPr>
        <w:pStyle w:val="Heading3"/>
        <w:rPr>
          <w:rFonts w:ascii="Times New Roman" w:hAnsi="Times New Roman"/>
          <w:lang w:val="fr-FR"/>
        </w:rPr>
      </w:pPr>
      <w:bookmarkStart w:id="39" w:name="_Toc350156714"/>
      <w:r w:rsidRPr="006F74B4">
        <w:rPr>
          <w:rFonts w:ascii="Times New Roman" w:hAnsi="Times New Roman"/>
          <w:lang w:val="fr-FR"/>
        </w:rPr>
        <w:t>I</w:t>
      </w:r>
      <w:r w:rsidR="00A8570F">
        <w:rPr>
          <w:rFonts w:ascii="Times New Roman" w:hAnsi="Times New Roman"/>
          <w:lang w:val="fr-FR"/>
        </w:rPr>
        <w:t>I</w:t>
      </w:r>
      <w:r w:rsidRPr="006F74B4">
        <w:rPr>
          <w:rFonts w:ascii="Times New Roman" w:hAnsi="Times New Roman"/>
          <w:lang w:val="fr-FR"/>
        </w:rPr>
        <w:t>I.7.1. La garde à vue et la détention dans les commissariats de police</w:t>
      </w:r>
      <w:bookmarkEnd w:id="39"/>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Au second semestre 2012, la SDH a continué de documenter de nombreux cas de personnes se trouvant en garde à vue au-delà du délai légal de 48 heures, </w:t>
      </w:r>
      <w:r>
        <w:rPr>
          <w:rFonts w:ascii="Times New Roman" w:hAnsi="Times New Roman"/>
          <w:iCs/>
          <w:sz w:val="24"/>
          <w:szCs w:val="24"/>
          <w:lang w:val="fr-FR"/>
        </w:rPr>
        <w:t>dans</w:t>
      </w:r>
      <w:r w:rsidRPr="006F74B4">
        <w:rPr>
          <w:rFonts w:ascii="Times New Roman" w:hAnsi="Times New Roman"/>
          <w:iCs/>
          <w:sz w:val="24"/>
          <w:szCs w:val="24"/>
          <w:lang w:val="fr-FR"/>
        </w:rPr>
        <w:t xml:space="preserve"> l’ensemble du pays. A titre d’exemple, lors d’une visite au commissariat de Pétion</w:t>
      </w:r>
      <w:r w:rsidR="002A28C1">
        <w:rPr>
          <w:rFonts w:ascii="Times New Roman" w:hAnsi="Times New Roman"/>
          <w:iCs/>
          <w:sz w:val="24"/>
          <w:szCs w:val="24"/>
          <w:lang w:val="fr-FR"/>
        </w:rPr>
        <w:t>-V</w:t>
      </w:r>
      <w:r w:rsidRPr="006F74B4">
        <w:rPr>
          <w:rFonts w:ascii="Times New Roman" w:hAnsi="Times New Roman"/>
          <w:iCs/>
          <w:sz w:val="24"/>
          <w:szCs w:val="24"/>
          <w:lang w:val="fr-FR"/>
        </w:rPr>
        <w:t>ille le 17 septembre, la SDH a constaté que sur les 38 personnes détenues au commissariat, 21 personnes se trouvaient détenues hors du délai de 48 heures. Bien souvent, les agents de la PNH justifient ces dépassements de délais par « les besoins de l’enquête », alors que ce motif est illégal. Ils invoquent également des raisons logistiques (manque d’essence, manque de véhicules, etc.),</w:t>
      </w:r>
      <w:r w:rsidRPr="006F74B4">
        <w:rPr>
          <w:rFonts w:ascii="Times New Roman" w:hAnsi="Times New Roman"/>
          <w:iCs/>
          <w:color w:val="FF0000"/>
          <w:sz w:val="24"/>
          <w:szCs w:val="24"/>
          <w:lang w:val="fr-FR"/>
        </w:rPr>
        <w:t xml:space="preserve"> </w:t>
      </w:r>
      <w:r w:rsidRPr="006F74B4">
        <w:rPr>
          <w:rFonts w:ascii="Times New Roman" w:hAnsi="Times New Roman"/>
          <w:iCs/>
          <w:sz w:val="24"/>
          <w:szCs w:val="24"/>
          <w:lang w:val="fr-FR"/>
        </w:rPr>
        <w:t xml:space="preserve">dans la mesure où certains commissariats se trouvent particulièrement éloignés des tribunaux, auprès desquels les prévenus doivent être déferrés. A cet égard, il convient de signaler que la PNH continue effectivement de manquer cruellement de moyens. </w:t>
      </w:r>
      <w:r>
        <w:rPr>
          <w:rFonts w:ascii="Times New Roman" w:hAnsi="Times New Roman"/>
          <w:iCs/>
          <w:sz w:val="24"/>
          <w:szCs w:val="24"/>
          <w:lang w:val="fr-FR"/>
        </w:rPr>
        <w:t>De plus, le manque d’accès à l’assistance légale aggrave le phénomène de détention préventive prolongée.</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Par ailleurs, la SDH a constaté la présence, dans les cellules de certains commissariats, de personnes détenues ayant déjà été déférées devant un juge, et qui devraient donc se trouver dans une maison d’arrêt. Ainsi, les agents du commissariat de Port-au-Prince ont indiqué à la SDH que de nombreuses personnes leur étaient envoyées « en dépôt » pour deux ou trois semaines par le parquet ou les juges d’instance. De même, certaines personnes déjà condamnées se trouvent détenues dans certains commissariats. Par exemple, le 16 octobre, le Comité de suivi de la détention préventive de Croix des Bouquets (</w:t>
      </w:r>
      <w:r>
        <w:rPr>
          <w:rFonts w:ascii="Times New Roman" w:hAnsi="Times New Roman"/>
          <w:iCs/>
          <w:sz w:val="24"/>
          <w:szCs w:val="24"/>
          <w:lang w:val="fr-FR"/>
        </w:rPr>
        <w:t>département de l’Ouest</w:t>
      </w:r>
      <w:r w:rsidRPr="006F74B4">
        <w:rPr>
          <w:rFonts w:ascii="Times New Roman" w:hAnsi="Times New Roman"/>
          <w:iCs/>
          <w:sz w:val="24"/>
          <w:szCs w:val="24"/>
          <w:lang w:val="fr-FR"/>
        </w:rPr>
        <w:t xml:space="preserve">), a constaté que cinq des 24 personnes détenues dans les cellules du commissariat de Calvaire avaient déjà été jugées et condamnées à des peines allant de 3 à 12 mois d’emprisonnement.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DC37B4">
      <w:pPr>
        <w:pStyle w:val="Heading3"/>
        <w:rPr>
          <w:rFonts w:ascii="Times New Roman" w:hAnsi="Times New Roman"/>
          <w:lang w:val="fr-FR"/>
        </w:rPr>
      </w:pPr>
      <w:bookmarkStart w:id="40" w:name="_Toc350156715"/>
      <w:r w:rsidRPr="006F74B4">
        <w:rPr>
          <w:rFonts w:ascii="Times New Roman" w:hAnsi="Times New Roman"/>
          <w:lang w:val="fr-FR"/>
        </w:rPr>
        <w:t>I</w:t>
      </w:r>
      <w:r w:rsidR="00A8570F">
        <w:rPr>
          <w:rFonts w:ascii="Times New Roman" w:hAnsi="Times New Roman"/>
          <w:lang w:val="fr-FR"/>
        </w:rPr>
        <w:t>I</w:t>
      </w:r>
      <w:r w:rsidRPr="006F74B4">
        <w:rPr>
          <w:rFonts w:ascii="Times New Roman" w:hAnsi="Times New Roman"/>
          <w:lang w:val="fr-FR"/>
        </w:rPr>
        <w:t>I.7.2. La détention préventive</w:t>
      </w:r>
      <w:bookmarkEnd w:id="40"/>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7B6844" w:rsidRDefault="008673B7" w:rsidP="008673B7">
      <w:pPr>
        <w:autoSpaceDE w:val="0"/>
        <w:autoSpaceDN w:val="0"/>
        <w:adjustRightInd w:val="0"/>
        <w:spacing w:after="0" w:line="240" w:lineRule="auto"/>
        <w:jc w:val="both"/>
        <w:rPr>
          <w:iCs/>
          <w:lang w:val="fr-BE"/>
        </w:rPr>
      </w:pPr>
      <w:r w:rsidRPr="006F74B4">
        <w:rPr>
          <w:rFonts w:ascii="Times New Roman" w:hAnsi="Times New Roman"/>
          <w:iCs/>
          <w:sz w:val="24"/>
          <w:szCs w:val="24"/>
          <w:lang w:val="fr-FR"/>
        </w:rPr>
        <w:t xml:space="preserve">Au second semestre 2012, la SDH a continué </w:t>
      </w:r>
      <w:r>
        <w:rPr>
          <w:rFonts w:ascii="Times New Roman" w:hAnsi="Times New Roman"/>
          <w:iCs/>
          <w:sz w:val="24"/>
          <w:szCs w:val="24"/>
          <w:lang w:val="fr-FR"/>
        </w:rPr>
        <w:t>à</w:t>
      </w:r>
      <w:r w:rsidRPr="006F74B4">
        <w:rPr>
          <w:rFonts w:ascii="Times New Roman" w:hAnsi="Times New Roman"/>
          <w:iCs/>
          <w:sz w:val="24"/>
          <w:szCs w:val="24"/>
          <w:lang w:val="fr-FR"/>
        </w:rPr>
        <w:t xml:space="preserve"> recenser des abus graves de la détention préventive dans les prisons</w:t>
      </w:r>
      <w:r w:rsidRPr="006F74B4">
        <w:rPr>
          <w:rFonts w:ascii="Times New Roman" w:hAnsi="Times New Roman"/>
          <w:bCs/>
          <w:iCs/>
          <w:sz w:val="24"/>
          <w:szCs w:val="24"/>
          <w:lang w:val="fr-FR"/>
        </w:rPr>
        <w:t>.</w:t>
      </w:r>
      <w:r w:rsidRPr="006F74B4">
        <w:rPr>
          <w:rFonts w:ascii="Times New Roman" w:hAnsi="Times New Roman"/>
          <w:iCs/>
          <w:sz w:val="24"/>
          <w:szCs w:val="24"/>
          <w:lang w:val="fr-FR"/>
        </w:rPr>
        <w:t xml:space="preserve"> En novembre 2012, selon la section Justice de la MINUSTAH, 71.8% de la population carcérale de Haïti se trouv</w:t>
      </w:r>
      <w:r>
        <w:rPr>
          <w:rFonts w:ascii="Times New Roman" w:hAnsi="Times New Roman"/>
          <w:iCs/>
          <w:sz w:val="24"/>
          <w:szCs w:val="24"/>
          <w:lang w:val="fr-FR"/>
        </w:rPr>
        <w:t>ait</w:t>
      </w:r>
      <w:r w:rsidRPr="006F74B4">
        <w:rPr>
          <w:rFonts w:ascii="Times New Roman" w:hAnsi="Times New Roman"/>
          <w:iCs/>
          <w:sz w:val="24"/>
          <w:szCs w:val="24"/>
          <w:lang w:val="fr-FR"/>
        </w:rPr>
        <w:t xml:space="preserve"> en détention pr</w:t>
      </w:r>
      <w:r>
        <w:rPr>
          <w:rFonts w:ascii="Times New Roman" w:hAnsi="Times New Roman"/>
          <w:iCs/>
          <w:sz w:val="24"/>
          <w:szCs w:val="24"/>
          <w:lang w:val="fr-FR"/>
        </w:rPr>
        <w:t>éventive</w:t>
      </w:r>
      <w:r w:rsidRPr="006F74B4">
        <w:rPr>
          <w:rFonts w:ascii="Times New Roman" w:hAnsi="Times New Roman"/>
          <w:iCs/>
          <w:sz w:val="24"/>
          <w:szCs w:val="24"/>
          <w:lang w:val="fr-FR"/>
        </w:rPr>
        <w:t xml:space="preserve"> dans l’attente d’être entendue par un juge. La proportion </w:t>
      </w:r>
      <w:r>
        <w:rPr>
          <w:rFonts w:ascii="Times New Roman" w:hAnsi="Times New Roman"/>
          <w:iCs/>
          <w:sz w:val="24"/>
          <w:szCs w:val="24"/>
          <w:lang w:val="fr-FR"/>
        </w:rPr>
        <w:t>était</w:t>
      </w:r>
      <w:r w:rsidRPr="006F74B4">
        <w:rPr>
          <w:rFonts w:ascii="Times New Roman" w:hAnsi="Times New Roman"/>
          <w:iCs/>
          <w:sz w:val="24"/>
          <w:szCs w:val="24"/>
          <w:lang w:val="fr-FR"/>
        </w:rPr>
        <w:t xml:space="preserve"> de 87.1 % dans la zone métropolitaine de Port-au-Prince.</w:t>
      </w:r>
      <w:r w:rsidRPr="006F74B4">
        <w:rPr>
          <w:rFonts w:ascii="Times New Roman" w:hAnsi="Times New Roman"/>
          <w:lang w:val="fr-FR"/>
        </w:rPr>
        <w:t xml:space="preserve"> </w:t>
      </w:r>
      <w:r w:rsidRPr="006F74B4">
        <w:rPr>
          <w:rFonts w:ascii="Times New Roman" w:hAnsi="Times New Roman"/>
          <w:iCs/>
          <w:sz w:val="24"/>
          <w:szCs w:val="24"/>
          <w:lang w:val="fr-FR"/>
        </w:rPr>
        <w:t xml:space="preserve"> Fi</w:t>
      </w:r>
      <w:r>
        <w:rPr>
          <w:rFonts w:ascii="Times New Roman" w:hAnsi="Times New Roman"/>
          <w:iCs/>
          <w:sz w:val="24"/>
          <w:szCs w:val="24"/>
          <w:lang w:val="fr-FR"/>
        </w:rPr>
        <w:t>n novembre, 6225 personnes dé</w:t>
      </w:r>
      <w:r w:rsidRPr="006F74B4">
        <w:rPr>
          <w:rFonts w:ascii="Times New Roman" w:hAnsi="Times New Roman"/>
          <w:iCs/>
          <w:sz w:val="24"/>
          <w:szCs w:val="24"/>
          <w:lang w:val="fr-FR"/>
        </w:rPr>
        <w:t>tenu</w:t>
      </w:r>
      <w:r>
        <w:rPr>
          <w:rFonts w:ascii="Times New Roman" w:hAnsi="Times New Roman"/>
          <w:iCs/>
          <w:sz w:val="24"/>
          <w:szCs w:val="24"/>
          <w:lang w:val="fr-FR"/>
        </w:rPr>
        <w:t>e</w:t>
      </w:r>
      <w:r w:rsidRPr="006F74B4">
        <w:rPr>
          <w:rFonts w:ascii="Times New Roman" w:hAnsi="Times New Roman"/>
          <w:iCs/>
          <w:sz w:val="24"/>
          <w:szCs w:val="24"/>
          <w:lang w:val="fr-FR"/>
        </w:rPr>
        <w:t>s  ét</w:t>
      </w:r>
      <w:r>
        <w:rPr>
          <w:rFonts w:ascii="Times New Roman" w:hAnsi="Times New Roman"/>
          <w:iCs/>
          <w:sz w:val="24"/>
          <w:szCs w:val="24"/>
          <w:lang w:val="fr-FR"/>
        </w:rPr>
        <w:t>aient en attente de leur procès et très souvent détenues avec des condamnés.</w:t>
      </w:r>
      <w:r>
        <w:rPr>
          <w:rStyle w:val="FootnoteReference"/>
          <w:rFonts w:ascii="Times New Roman" w:hAnsi="Times New Roman"/>
          <w:iCs/>
          <w:sz w:val="24"/>
          <w:szCs w:val="24"/>
          <w:lang w:val="fr-FR"/>
        </w:rPr>
        <w:footnoteReference w:id="32"/>
      </w:r>
      <w:r>
        <w:rPr>
          <w:rFonts w:ascii="Times New Roman" w:hAnsi="Times New Roman"/>
          <w:iCs/>
          <w:sz w:val="24"/>
          <w:szCs w:val="24"/>
          <w:lang w:val="fr-FR"/>
        </w:rPr>
        <w:t xml:space="preserv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DC37B4">
      <w:pPr>
        <w:pStyle w:val="Heading3"/>
        <w:rPr>
          <w:rFonts w:ascii="Times New Roman" w:hAnsi="Times New Roman"/>
          <w:lang w:val="fr-FR"/>
        </w:rPr>
      </w:pPr>
      <w:bookmarkStart w:id="41" w:name="_Toc350156716"/>
      <w:r w:rsidRPr="006F74B4">
        <w:rPr>
          <w:rFonts w:ascii="Times New Roman" w:hAnsi="Times New Roman"/>
          <w:lang w:val="fr-FR"/>
        </w:rPr>
        <w:t>II</w:t>
      </w:r>
      <w:r w:rsidR="00A8570F">
        <w:rPr>
          <w:rFonts w:ascii="Times New Roman" w:hAnsi="Times New Roman"/>
          <w:lang w:val="fr-FR"/>
        </w:rPr>
        <w:t>I</w:t>
      </w:r>
      <w:r w:rsidRPr="006F74B4">
        <w:rPr>
          <w:rFonts w:ascii="Times New Roman" w:hAnsi="Times New Roman"/>
          <w:lang w:val="fr-FR"/>
        </w:rPr>
        <w:t>.7.3. La détention excédant le jugement</w:t>
      </w:r>
      <w:bookmarkEnd w:id="41"/>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 xml:space="preserve">Au cours de la période en revue, la SDH a documenté plusieurs cas de personnes qui restent en détention après avoir purgé leur peine en raison de l’absence d’un mécanisme central qui permettrait aux autorités de consigner la date d’incarcération et de libération des détenus. Ainsi, le 30 novembre, lors d’une visite à la prison des Gonaïves (département de l’Artibonite), la SDH a noté que 12 personnes ayant déjà purgé leur peine étaient toujours détenues. Le 21 novembre, lors d’une séance de travail avec le commis greffier du parquet de Petit-Goâve, la SDH a constaté que seule la date d’incarcération - et non la date d’arrestation - était mentionnée dans les registres, rendant difficile </w:t>
      </w:r>
      <w:r>
        <w:rPr>
          <w:rFonts w:ascii="Times New Roman" w:hAnsi="Times New Roman"/>
          <w:bCs/>
          <w:iCs/>
          <w:sz w:val="24"/>
          <w:szCs w:val="24"/>
          <w:lang w:val="fr-FR"/>
        </w:rPr>
        <w:t>la détermination</w:t>
      </w:r>
      <w:r w:rsidRPr="006F74B4">
        <w:rPr>
          <w:rFonts w:ascii="Times New Roman" w:hAnsi="Times New Roman"/>
          <w:bCs/>
          <w:iCs/>
          <w:sz w:val="24"/>
          <w:szCs w:val="24"/>
          <w:lang w:val="fr-FR"/>
        </w:rPr>
        <w:t xml:space="preserve"> de la date de libération. </w:t>
      </w: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r w:rsidRPr="006F74B4">
        <w:rPr>
          <w:rFonts w:ascii="Times New Roman" w:hAnsi="Times New Roman"/>
          <w:bCs/>
          <w:iCs/>
          <w:sz w:val="24"/>
          <w:szCs w:val="24"/>
          <w:lang w:val="fr-FR"/>
        </w:rPr>
        <w:t xml:space="preserve">Par ailleurs, la SDH a documenté un certain nombre de cas </w:t>
      </w:r>
      <w:r>
        <w:rPr>
          <w:rFonts w:ascii="Times New Roman" w:hAnsi="Times New Roman"/>
          <w:bCs/>
          <w:iCs/>
          <w:sz w:val="24"/>
          <w:szCs w:val="24"/>
          <w:lang w:val="fr-FR"/>
        </w:rPr>
        <w:t>pour</w:t>
      </w:r>
      <w:r w:rsidRPr="006F74B4">
        <w:rPr>
          <w:rFonts w:ascii="Times New Roman" w:hAnsi="Times New Roman"/>
          <w:bCs/>
          <w:iCs/>
          <w:sz w:val="24"/>
          <w:szCs w:val="24"/>
          <w:lang w:val="fr-FR"/>
        </w:rPr>
        <w:t xml:space="preserve"> lesquels les autorités connaissent la date de la fin de la sentence des détenus mais conditionnent leur libération. Ainsi, le 16 octobre, à Jacmel (</w:t>
      </w:r>
      <w:r>
        <w:rPr>
          <w:rFonts w:ascii="Times New Roman" w:hAnsi="Times New Roman"/>
          <w:bCs/>
          <w:iCs/>
          <w:sz w:val="24"/>
          <w:szCs w:val="24"/>
          <w:lang w:val="fr-FR"/>
        </w:rPr>
        <w:t>département du Sud</w:t>
      </w:r>
      <w:r w:rsidRPr="006F74B4">
        <w:rPr>
          <w:rFonts w:ascii="Times New Roman" w:hAnsi="Times New Roman"/>
          <w:bCs/>
          <w:iCs/>
          <w:sz w:val="24"/>
          <w:szCs w:val="24"/>
          <w:lang w:val="fr-FR"/>
        </w:rPr>
        <w:t>-est),</w:t>
      </w:r>
      <w:r w:rsidRPr="006F74B4">
        <w:rPr>
          <w:rFonts w:ascii="Times New Roman" w:hAnsi="Times New Roman"/>
          <w:b/>
          <w:bCs/>
          <w:i/>
          <w:iCs/>
          <w:sz w:val="24"/>
          <w:szCs w:val="24"/>
          <w:lang w:val="fr-FR"/>
        </w:rPr>
        <w:t xml:space="preserve"> </w:t>
      </w:r>
      <w:r w:rsidRPr="006F74B4">
        <w:rPr>
          <w:rFonts w:ascii="Times New Roman" w:hAnsi="Times New Roman"/>
          <w:bCs/>
          <w:iCs/>
          <w:sz w:val="24"/>
          <w:szCs w:val="24"/>
          <w:lang w:val="fr-FR"/>
        </w:rPr>
        <w:t>la SDH et l’OPC ont porté</w:t>
      </w:r>
      <w:r w:rsidRPr="006F74B4">
        <w:rPr>
          <w:rFonts w:ascii="Times New Roman" w:hAnsi="Times New Roman"/>
          <w:b/>
          <w:bCs/>
          <w:iCs/>
          <w:sz w:val="24"/>
          <w:szCs w:val="24"/>
          <w:lang w:val="fr-FR"/>
        </w:rPr>
        <w:t xml:space="preserve"> </w:t>
      </w:r>
      <w:r w:rsidRPr="006F74B4">
        <w:rPr>
          <w:rFonts w:ascii="Times New Roman" w:hAnsi="Times New Roman"/>
          <w:bCs/>
          <w:iCs/>
          <w:sz w:val="24"/>
          <w:szCs w:val="24"/>
          <w:lang w:val="fr-FR"/>
        </w:rPr>
        <w:t>à</w:t>
      </w:r>
      <w:r w:rsidRPr="006F74B4">
        <w:rPr>
          <w:rFonts w:ascii="Times New Roman" w:hAnsi="Times New Roman"/>
          <w:b/>
          <w:bCs/>
          <w:iCs/>
          <w:sz w:val="24"/>
          <w:szCs w:val="24"/>
          <w:lang w:val="fr-FR"/>
        </w:rPr>
        <w:t xml:space="preserve"> </w:t>
      </w:r>
      <w:r w:rsidRPr="006F74B4">
        <w:rPr>
          <w:rFonts w:ascii="Times New Roman" w:hAnsi="Times New Roman"/>
          <w:bCs/>
          <w:iCs/>
          <w:sz w:val="24"/>
          <w:szCs w:val="24"/>
          <w:lang w:val="fr-FR"/>
        </w:rPr>
        <w:t xml:space="preserve">l’attention du commissaire du gouvernement le cas de deux prisonniers ayant purgé leur peine depuis le 14 juillet, mais </w:t>
      </w:r>
      <w:r>
        <w:rPr>
          <w:rFonts w:ascii="Times New Roman" w:hAnsi="Times New Roman"/>
          <w:bCs/>
          <w:iCs/>
          <w:sz w:val="24"/>
          <w:szCs w:val="24"/>
          <w:lang w:val="fr-FR"/>
        </w:rPr>
        <w:t xml:space="preserve">qui </w:t>
      </w:r>
      <w:r w:rsidRPr="006F74B4">
        <w:rPr>
          <w:rFonts w:ascii="Times New Roman" w:hAnsi="Times New Roman"/>
          <w:bCs/>
          <w:iCs/>
          <w:sz w:val="24"/>
          <w:szCs w:val="24"/>
          <w:lang w:val="fr-FR"/>
        </w:rPr>
        <w:t>se trouv</w:t>
      </w:r>
      <w:r>
        <w:rPr>
          <w:rFonts w:ascii="Times New Roman" w:hAnsi="Times New Roman"/>
          <w:bCs/>
          <w:iCs/>
          <w:sz w:val="24"/>
          <w:szCs w:val="24"/>
          <w:lang w:val="fr-FR"/>
        </w:rPr>
        <w:t>e</w:t>
      </w:r>
      <w:r w:rsidRPr="006F74B4">
        <w:rPr>
          <w:rFonts w:ascii="Times New Roman" w:hAnsi="Times New Roman"/>
          <w:bCs/>
          <w:iCs/>
          <w:sz w:val="24"/>
          <w:szCs w:val="24"/>
          <w:lang w:val="fr-FR"/>
        </w:rPr>
        <w:t xml:space="preserve">nt toujours détenus parce qu’ils ne s’étaient pas acquitté d’une amende envers l’état haïtien. Le 18 octobre, le </w:t>
      </w:r>
      <w:r w:rsidRPr="006F74B4">
        <w:rPr>
          <w:rFonts w:ascii="Times New Roman" w:hAnsi="Times New Roman"/>
          <w:bCs/>
          <w:i/>
          <w:iCs/>
          <w:sz w:val="24"/>
          <w:szCs w:val="24"/>
          <w:lang w:val="fr-FR"/>
        </w:rPr>
        <w:t>commissaire</w:t>
      </w:r>
      <w:r w:rsidRPr="006F74B4">
        <w:rPr>
          <w:rFonts w:ascii="Times New Roman" w:hAnsi="Times New Roman"/>
          <w:bCs/>
          <w:iCs/>
          <w:sz w:val="24"/>
          <w:szCs w:val="24"/>
          <w:lang w:val="fr-FR"/>
        </w:rPr>
        <w:t xml:space="preserve"> </w:t>
      </w:r>
      <w:r>
        <w:rPr>
          <w:rFonts w:ascii="Times New Roman" w:hAnsi="Times New Roman"/>
          <w:bCs/>
          <w:iCs/>
          <w:sz w:val="24"/>
          <w:szCs w:val="24"/>
          <w:lang w:val="fr-FR"/>
        </w:rPr>
        <w:t>décidait</w:t>
      </w:r>
      <w:r w:rsidRPr="006F74B4">
        <w:rPr>
          <w:rFonts w:ascii="Times New Roman" w:hAnsi="Times New Roman"/>
          <w:bCs/>
          <w:iCs/>
          <w:sz w:val="24"/>
          <w:szCs w:val="24"/>
          <w:lang w:val="fr-FR"/>
        </w:rPr>
        <w:t xml:space="preserve"> d’ordonner leur libération à condition qu’ils paient la moitié de l’amende. Fin décembre, les deux personnes restaient détenues, n’ayant toujours pas pu payer cette amende. </w:t>
      </w:r>
    </w:p>
    <w:p w:rsidR="008673B7"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A8570F" w:rsidRDefault="008673B7" w:rsidP="00A8570F">
      <w:pPr>
        <w:pStyle w:val="Heading3"/>
        <w:rPr>
          <w:rFonts w:ascii="Times New Roman" w:hAnsi="Times New Roman"/>
          <w:lang w:val="fr-FR"/>
        </w:rPr>
      </w:pPr>
      <w:bookmarkStart w:id="42" w:name="_Toc350156717"/>
      <w:r w:rsidRPr="00A8570F">
        <w:rPr>
          <w:rFonts w:ascii="Times New Roman" w:hAnsi="Times New Roman"/>
          <w:lang w:val="fr-FR"/>
        </w:rPr>
        <w:t>I</w:t>
      </w:r>
      <w:r w:rsidR="00A8570F" w:rsidRPr="00A8570F">
        <w:rPr>
          <w:rFonts w:ascii="Times New Roman" w:hAnsi="Times New Roman"/>
          <w:lang w:val="fr-FR"/>
        </w:rPr>
        <w:t>I</w:t>
      </w:r>
      <w:r w:rsidRPr="00A8570F">
        <w:rPr>
          <w:rFonts w:ascii="Times New Roman" w:hAnsi="Times New Roman"/>
          <w:lang w:val="fr-FR"/>
        </w:rPr>
        <w:t>I.7.4. Actions menées pour lutter contre les irrégularités relatives à la durée de la détention</w:t>
      </w:r>
      <w:bookmarkEnd w:id="42"/>
      <w:r w:rsidRPr="00A8570F">
        <w:rPr>
          <w:rFonts w:ascii="Times New Roman" w:hAnsi="Times New Roman"/>
          <w:lang w:val="fr-FR"/>
        </w:rPr>
        <w:t xml:space="preserve"> </w:t>
      </w:r>
    </w:p>
    <w:p w:rsidR="00DC37B4" w:rsidRPr="006F74B4" w:rsidRDefault="00DC37B4" w:rsidP="008673B7">
      <w:pPr>
        <w:pStyle w:val="Heading2"/>
        <w:rPr>
          <w:rFonts w:ascii="Times New Roman" w:hAnsi="Times New Roman"/>
          <w:lang w:val="fr-BE"/>
        </w:rPr>
      </w:pPr>
    </w:p>
    <w:p w:rsidR="008673B7" w:rsidRPr="00DC37B4" w:rsidRDefault="008673B7" w:rsidP="008673B7">
      <w:pPr>
        <w:pStyle w:val="Heading3"/>
        <w:rPr>
          <w:rFonts w:ascii="Times New Roman" w:hAnsi="Times New Roman" w:cs="Times New Roman"/>
          <w:i/>
          <w:lang w:val="fr-FR"/>
        </w:rPr>
      </w:pPr>
      <w:bookmarkStart w:id="43" w:name="_Toc350156718"/>
      <w:r w:rsidRPr="00DC37B4">
        <w:rPr>
          <w:rFonts w:ascii="Times New Roman" w:hAnsi="Times New Roman" w:cs="Times New Roman"/>
          <w:i/>
          <w:lang w:val="fr-FR"/>
        </w:rPr>
        <w:t>Les Comités de suivi de l</w:t>
      </w:r>
      <w:r w:rsidR="006F4C31" w:rsidRPr="00DC37B4">
        <w:rPr>
          <w:rFonts w:ascii="Times New Roman" w:hAnsi="Times New Roman" w:cs="Times New Roman"/>
          <w:i/>
          <w:lang w:val="fr-FR"/>
        </w:rPr>
        <w:t>a</w:t>
      </w:r>
      <w:r w:rsidRPr="00DC37B4">
        <w:rPr>
          <w:rFonts w:ascii="Times New Roman" w:hAnsi="Times New Roman" w:cs="Times New Roman"/>
          <w:i/>
          <w:lang w:val="fr-FR"/>
        </w:rPr>
        <w:t xml:space="preserve"> détention</w:t>
      </w:r>
      <w:bookmarkEnd w:id="43"/>
      <w:r w:rsidRPr="00DC37B4">
        <w:rPr>
          <w:rFonts w:ascii="Times New Roman" w:hAnsi="Times New Roman" w:cs="Times New Roman"/>
          <w:i/>
          <w:lang w:val="fr-FR"/>
        </w:rPr>
        <w:t xml:space="preserve">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E8380E"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Afin de faciliter le traitement des dossiers de détention préventive prolongée et autres irrégularités de la détention, des comités de suivi réunissant différents acteurs du système judiciaire (parquet, commissaires du gouvernement, DAP, OPC) et différentes composantes de la MINUSTAH (</w:t>
      </w:r>
      <w:r>
        <w:rPr>
          <w:rFonts w:ascii="Times New Roman" w:hAnsi="Times New Roman"/>
          <w:iCs/>
          <w:sz w:val="24"/>
          <w:szCs w:val="24"/>
          <w:lang w:val="fr-FR"/>
        </w:rPr>
        <w:t>j</w:t>
      </w:r>
      <w:r w:rsidRPr="006F74B4">
        <w:rPr>
          <w:rFonts w:ascii="Times New Roman" w:hAnsi="Times New Roman"/>
          <w:iCs/>
          <w:sz w:val="24"/>
          <w:szCs w:val="24"/>
          <w:lang w:val="fr-FR"/>
        </w:rPr>
        <w:t xml:space="preserve">ustice, </w:t>
      </w:r>
      <w:r>
        <w:rPr>
          <w:rFonts w:ascii="Times New Roman" w:hAnsi="Times New Roman"/>
          <w:iCs/>
          <w:sz w:val="24"/>
          <w:szCs w:val="24"/>
          <w:lang w:val="fr-FR"/>
        </w:rPr>
        <w:t>c</w:t>
      </w:r>
      <w:r w:rsidRPr="006F74B4">
        <w:rPr>
          <w:rFonts w:ascii="Times New Roman" w:hAnsi="Times New Roman"/>
          <w:iCs/>
          <w:sz w:val="24"/>
          <w:szCs w:val="24"/>
          <w:lang w:val="fr-FR"/>
        </w:rPr>
        <w:t xml:space="preserve">orrection, section des droits de l’homme) ont été constitués. Les membres de ces comités se réunissent de façon périodique, afin de suivre et de traiter au cas par cas les dossiers de personnes en détention préventive prolongée et ceux des personnes détenues ayant purgé leur peine, souvent sur la base de listes de cas soumis par la MINUSTAH. </w:t>
      </w:r>
      <w:r w:rsidRPr="00E8380E">
        <w:rPr>
          <w:rFonts w:ascii="Times New Roman" w:hAnsi="Times New Roman"/>
          <w:lang w:val="fr-FR"/>
        </w:rPr>
        <w:t>C</w:t>
      </w:r>
      <w:r w:rsidRPr="00E8380E">
        <w:rPr>
          <w:rFonts w:ascii="Times New Roman" w:hAnsi="Times New Roman"/>
          <w:sz w:val="24"/>
          <w:szCs w:val="24"/>
          <w:lang w:val="fr-FR"/>
        </w:rPr>
        <w:t xml:space="preserve">ertains comités organisent des visites dans les prisons et les commissariats. Les réunions des Comités offrent, plus généralement, un espace pour échanger et initier des mesures pouvant contribuer à remédier à l’ensemble de ces irrégularités. En novembre 2012, des comités de suivi de la détention préventive se sont constitués à Gonaïves (département de l’Artibonite) et à Fort-Liberté (département du Nord-est). Le résultat de ces travaux est inégal et est souvent dépendant du fonctionnement et du degré d’implication des autorités judiciaires locales dans ce processus. Ainsi, à Port-au-Prince, le comité de suivi n’a que rarement fonctionné en 2012, en raison des nombreux changements à la tête du parquet. A Jacmel, les travaux du </w:t>
      </w:r>
      <w:r>
        <w:rPr>
          <w:rFonts w:ascii="Times New Roman" w:hAnsi="Times New Roman"/>
          <w:sz w:val="24"/>
          <w:szCs w:val="24"/>
          <w:lang w:val="fr-FR"/>
        </w:rPr>
        <w:t>c</w:t>
      </w:r>
      <w:r w:rsidRPr="00E8380E">
        <w:rPr>
          <w:rFonts w:ascii="Times New Roman" w:hAnsi="Times New Roman"/>
          <w:sz w:val="24"/>
          <w:szCs w:val="24"/>
          <w:lang w:val="fr-FR"/>
        </w:rPr>
        <w:t xml:space="preserve">omité ont été suspendus depuis le départ en décembre 2012, du projet PNUD / Etat de droit, qui avait initié la constitution du comité. A Mirebalais, le </w:t>
      </w:r>
      <w:r>
        <w:rPr>
          <w:rFonts w:ascii="Times New Roman" w:hAnsi="Times New Roman"/>
          <w:sz w:val="24"/>
          <w:szCs w:val="24"/>
          <w:lang w:val="fr-FR"/>
        </w:rPr>
        <w:t>c</w:t>
      </w:r>
      <w:r w:rsidRPr="00E8380E">
        <w:rPr>
          <w:rFonts w:ascii="Times New Roman" w:hAnsi="Times New Roman"/>
          <w:sz w:val="24"/>
          <w:szCs w:val="24"/>
          <w:lang w:val="fr-FR"/>
        </w:rPr>
        <w:t>omité de suivi, officiellement relancé fin juin 2012, n’a tenu aucune réunion depuis sa création.</w:t>
      </w:r>
    </w:p>
    <w:p w:rsidR="008673B7" w:rsidRPr="00DC37B4" w:rsidRDefault="008673B7" w:rsidP="008673B7">
      <w:pPr>
        <w:pStyle w:val="Heading3"/>
        <w:rPr>
          <w:rFonts w:ascii="Times New Roman" w:hAnsi="Times New Roman" w:cs="Times New Roman"/>
          <w:i/>
          <w:lang w:val="fr-FR"/>
        </w:rPr>
      </w:pPr>
      <w:bookmarkStart w:id="44" w:name="_Toc350156719"/>
      <w:r w:rsidRPr="00DC37B4">
        <w:rPr>
          <w:rFonts w:ascii="Times New Roman" w:hAnsi="Times New Roman" w:cs="Times New Roman"/>
          <w:i/>
          <w:lang w:val="fr-FR"/>
        </w:rPr>
        <w:t>Audiences supplémentaires sans jury</w:t>
      </w:r>
      <w:bookmarkEnd w:id="44"/>
      <w:r w:rsidRPr="00DC37B4">
        <w:rPr>
          <w:rFonts w:ascii="Times New Roman" w:hAnsi="Times New Roman" w:cs="Times New Roman"/>
          <w:i/>
          <w:lang w:val="fr-FR"/>
        </w:rPr>
        <w:t xml:space="preserve"> </w:t>
      </w:r>
    </w:p>
    <w:p w:rsidR="008673B7" w:rsidRPr="006F74B4" w:rsidRDefault="008673B7" w:rsidP="008673B7">
      <w:pPr>
        <w:pStyle w:val="ListParagraph"/>
        <w:autoSpaceDE w:val="0"/>
        <w:autoSpaceDN w:val="0"/>
        <w:adjustRightInd w:val="0"/>
        <w:spacing w:after="0" w:line="240" w:lineRule="auto"/>
        <w:jc w:val="both"/>
        <w:rPr>
          <w:rFonts w:ascii="Times New Roman" w:hAnsi="Times New Roman"/>
          <w:b/>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sz w:val="24"/>
          <w:szCs w:val="24"/>
          <w:lang w:val="fr-BE"/>
        </w:rPr>
      </w:pPr>
      <w:r w:rsidRPr="006F74B4">
        <w:rPr>
          <w:rFonts w:ascii="Times New Roman" w:hAnsi="Times New Roman"/>
          <w:iCs/>
          <w:sz w:val="24"/>
          <w:szCs w:val="24"/>
          <w:lang w:val="fr-FR"/>
        </w:rPr>
        <w:t>Dans certains tribunaux de grande instance</w:t>
      </w:r>
      <w:r>
        <w:rPr>
          <w:rFonts w:ascii="Times New Roman" w:hAnsi="Times New Roman"/>
          <w:iCs/>
          <w:sz w:val="24"/>
          <w:szCs w:val="24"/>
          <w:lang w:val="fr-FR"/>
        </w:rPr>
        <w:t>,</w:t>
      </w:r>
      <w:r w:rsidRPr="006F74B4">
        <w:rPr>
          <w:rFonts w:ascii="Times New Roman" w:hAnsi="Times New Roman"/>
          <w:iCs/>
          <w:sz w:val="24"/>
          <w:szCs w:val="24"/>
          <w:lang w:val="fr-FR"/>
        </w:rPr>
        <w:t xml:space="preserve"> les autorités judiciaires ont décidé d’organiser des audiences correctionnelles et des audiences d’assises sans jury afin de désengorger la liste des détenus en attente de leur procès. De telles audiences ont eu lieu à Fort-Liberté d’octobre à décembre. </w:t>
      </w:r>
      <w:r w:rsidRPr="006F74B4">
        <w:rPr>
          <w:rFonts w:ascii="Times New Roman" w:hAnsi="Times New Roman"/>
          <w:sz w:val="24"/>
          <w:szCs w:val="24"/>
          <w:lang w:val="fr-BE"/>
        </w:rPr>
        <w:t>Par ailleurs, à Cap Haïtien, la construction d'une salle d'audience supplémentaire grâce au financement d'un projet QUIP de la MINUSTAH, inaugurée le 28 octobre 2012, a contribué à augmenter le nombre des audiences tenues dans cette juridiction. Toutefois, ces mesures ne suffisent pas à réduire</w:t>
      </w:r>
      <w:r w:rsidRPr="00321A56">
        <w:rPr>
          <w:rFonts w:ascii="Times New Roman" w:hAnsi="Times New Roman"/>
          <w:sz w:val="24"/>
          <w:szCs w:val="24"/>
          <w:lang w:val="fr-BE"/>
        </w:rPr>
        <w:t xml:space="preserve"> de façon significative</w:t>
      </w:r>
      <w:r w:rsidRPr="006F74B4">
        <w:rPr>
          <w:rFonts w:ascii="Times New Roman" w:hAnsi="Times New Roman"/>
          <w:sz w:val="24"/>
          <w:szCs w:val="24"/>
          <w:lang w:val="fr-BE"/>
        </w:rPr>
        <w:t xml:space="preserve"> le nombre de personnes en détention préventive pro</w:t>
      </w:r>
      <w:r>
        <w:rPr>
          <w:rFonts w:ascii="Times New Roman" w:hAnsi="Times New Roman"/>
          <w:sz w:val="24"/>
          <w:szCs w:val="24"/>
          <w:lang w:val="fr-BE"/>
        </w:rPr>
        <w:t>longée</w:t>
      </w:r>
      <w:r w:rsidRPr="006F74B4">
        <w:rPr>
          <w:rFonts w:ascii="Times New Roman" w:hAnsi="Times New Roman"/>
          <w:sz w:val="24"/>
          <w:szCs w:val="24"/>
          <w:lang w:val="fr-BE"/>
        </w:rPr>
        <w:t>.</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DC37B4">
      <w:pPr>
        <w:pStyle w:val="Heading3"/>
        <w:rPr>
          <w:rFonts w:ascii="Times New Roman" w:hAnsi="Times New Roman"/>
          <w:lang w:val="fr-FR"/>
        </w:rPr>
      </w:pPr>
      <w:bookmarkStart w:id="45" w:name="_Toc350156720"/>
      <w:r w:rsidRPr="006F74B4">
        <w:rPr>
          <w:rFonts w:ascii="Times New Roman" w:hAnsi="Times New Roman"/>
          <w:lang w:val="fr-FR"/>
        </w:rPr>
        <w:t>II</w:t>
      </w:r>
      <w:r w:rsidR="00A8570F">
        <w:rPr>
          <w:rFonts w:ascii="Times New Roman" w:hAnsi="Times New Roman"/>
          <w:lang w:val="fr-FR"/>
        </w:rPr>
        <w:t>I</w:t>
      </w:r>
      <w:r w:rsidRPr="006F74B4">
        <w:rPr>
          <w:rFonts w:ascii="Times New Roman" w:hAnsi="Times New Roman"/>
          <w:lang w:val="fr-FR"/>
        </w:rPr>
        <w:t>.7.5. Les conditions de détention</w:t>
      </w:r>
      <w:bookmarkEnd w:id="45"/>
    </w:p>
    <w:p w:rsidR="008673B7" w:rsidRPr="006F74B4" w:rsidRDefault="008673B7" w:rsidP="008673B7">
      <w:pPr>
        <w:autoSpaceDE w:val="0"/>
        <w:autoSpaceDN w:val="0"/>
        <w:adjustRightInd w:val="0"/>
        <w:spacing w:after="0" w:line="240" w:lineRule="auto"/>
        <w:jc w:val="both"/>
        <w:rPr>
          <w:rFonts w:ascii="Times New Roman" w:hAnsi="Times New Roman"/>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Lors de ses visites régulières dans les centres de détention, la SDH </w:t>
      </w:r>
      <w:r>
        <w:rPr>
          <w:rFonts w:ascii="Times New Roman" w:hAnsi="Times New Roman"/>
          <w:iCs/>
          <w:sz w:val="24"/>
          <w:szCs w:val="24"/>
          <w:lang w:val="fr-FR"/>
        </w:rPr>
        <w:t xml:space="preserve">a pu </w:t>
      </w:r>
      <w:r w:rsidRPr="006F74B4">
        <w:rPr>
          <w:rFonts w:ascii="Times New Roman" w:hAnsi="Times New Roman"/>
          <w:iCs/>
          <w:sz w:val="24"/>
          <w:szCs w:val="24"/>
          <w:lang w:val="fr-FR"/>
        </w:rPr>
        <w:t>constat</w:t>
      </w:r>
      <w:r>
        <w:rPr>
          <w:rFonts w:ascii="Times New Roman" w:hAnsi="Times New Roman"/>
          <w:iCs/>
          <w:sz w:val="24"/>
          <w:szCs w:val="24"/>
          <w:lang w:val="fr-FR"/>
        </w:rPr>
        <w:t>er</w:t>
      </w:r>
      <w:r w:rsidRPr="006F74B4">
        <w:rPr>
          <w:rFonts w:ascii="Times New Roman" w:hAnsi="Times New Roman"/>
          <w:iCs/>
          <w:sz w:val="24"/>
          <w:szCs w:val="24"/>
          <w:lang w:val="fr-FR"/>
        </w:rPr>
        <w:t xml:space="preserve"> un manque généralisé d’accès aux soins, </w:t>
      </w:r>
      <w:r>
        <w:rPr>
          <w:rFonts w:ascii="Times New Roman" w:hAnsi="Times New Roman"/>
          <w:iCs/>
          <w:sz w:val="24"/>
          <w:szCs w:val="24"/>
          <w:lang w:val="fr-FR"/>
        </w:rPr>
        <w:t xml:space="preserve">à l’alimentation, </w:t>
      </w:r>
      <w:r w:rsidRPr="006F74B4">
        <w:rPr>
          <w:rFonts w:ascii="Times New Roman" w:hAnsi="Times New Roman"/>
          <w:iCs/>
          <w:sz w:val="24"/>
          <w:szCs w:val="24"/>
          <w:lang w:val="fr-FR"/>
        </w:rPr>
        <w:t>de</w:t>
      </w:r>
      <w:r>
        <w:rPr>
          <w:rFonts w:ascii="Times New Roman" w:hAnsi="Times New Roman"/>
          <w:iCs/>
          <w:sz w:val="24"/>
          <w:szCs w:val="24"/>
          <w:lang w:val="fr-FR"/>
        </w:rPr>
        <w:t>s</w:t>
      </w:r>
      <w:r w:rsidRPr="006F74B4">
        <w:rPr>
          <w:rFonts w:ascii="Times New Roman" w:hAnsi="Times New Roman"/>
          <w:iCs/>
          <w:sz w:val="24"/>
          <w:szCs w:val="24"/>
          <w:lang w:val="fr-FR"/>
        </w:rPr>
        <w:t xml:space="preserve"> mauvaises conditions d’hygiène et une réelle surpopulation carcérale</w:t>
      </w:r>
      <w:r w:rsidRPr="006F74B4">
        <w:rPr>
          <w:rStyle w:val="FootnoteReference"/>
          <w:rFonts w:ascii="Times New Roman" w:hAnsi="Times New Roman"/>
          <w:iCs/>
          <w:sz w:val="24"/>
          <w:szCs w:val="24"/>
          <w:lang w:val="fr-FR"/>
        </w:rPr>
        <w:footnoteReference w:id="33"/>
      </w:r>
      <w:r w:rsidRPr="006F74B4">
        <w:rPr>
          <w:rFonts w:ascii="Times New Roman" w:hAnsi="Times New Roman"/>
          <w:iCs/>
          <w:sz w:val="24"/>
          <w:szCs w:val="24"/>
          <w:lang w:val="fr-FR"/>
        </w:rPr>
        <w:t xml:space="preserve">. De plus, la SDH a pu constater que la population avait augmenté dans certaines prisons. Ainsi, à Fort-Liberté, le nombre de détenus est passé de 322 en septembre à 373 en octobre. A la prison de Jacmel, le nombre de détenus est passé de 452 le 4 août à 503 le 16 octobre. De même, à la suite du retour de 51 détenus qui avaient été transférés à Saint-Marc et à Port-au-Prince les 23 et 24 août en prévision du cyclone Isaac, les conditions de détention au commissariat des Gonaïves, utilisé comme prison depuis 2004, se sont détériorées.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Dans ce contexte, l’inauguration, de la prison de Croix des Bouquets (</w:t>
      </w:r>
      <w:r>
        <w:rPr>
          <w:rFonts w:ascii="Times New Roman" w:hAnsi="Times New Roman"/>
          <w:iCs/>
          <w:sz w:val="24"/>
          <w:szCs w:val="24"/>
          <w:lang w:val="fr-FR"/>
        </w:rPr>
        <w:t>département de l’Ouest</w:t>
      </w:r>
      <w:r w:rsidRPr="006F74B4">
        <w:rPr>
          <w:rFonts w:ascii="Times New Roman" w:hAnsi="Times New Roman"/>
          <w:iCs/>
          <w:sz w:val="24"/>
          <w:szCs w:val="24"/>
          <w:lang w:val="fr-FR"/>
        </w:rPr>
        <w:t>)</w:t>
      </w:r>
      <w:r>
        <w:rPr>
          <w:rFonts w:ascii="Times New Roman" w:hAnsi="Times New Roman"/>
          <w:iCs/>
          <w:sz w:val="24"/>
          <w:szCs w:val="24"/>
          <w:lang w:val="fr-FR"/>
        </w:rPr>
        <w:t>,</w:t>
      </w:r>
      <w:r w:rsidRPr="00FC287D">
        <w:rPr>
          <w:rFonts w:ascii="Times New Roman" w:hAnsi="Times New Roman"/>
          <w:iCs/>
          <w:sz w:val="24"/>
          <w:szCs w:val="24"/>
          <w:lang w:val="fr-FR"/>
        </w:rPr>
        <w:t xml:space="preserve"> </w:t>
      </w:r>
      <w:r w:rsidRPr="006F74B4">
        <w:rPr>
          <w:rFonts w:ascii="Times New Roman" w:hAnsi="Times New Roman"/>
          <w:iCs/>
          <w:sz w:val="24"/>
          <w:szCs w:val="24"/>
          <w:lang w:val="fr-FR"/>
        </w:rPr>
        <w:t>le 28 octobre, constitue un pas positif. Ce nouvel établissement pénitentiaire, d’une capacité de 768 personnes, répond aux normes internationales et est censé servir de prison modèle en Haïti.</w:t>
      </w:r>
      <w:r w:rsidRPr="00FC287D">
        <w:rPr>
          <w:rFonts w:ascii="Times New Roman" w:hAnsi="Times New Roman"/>
          <w:iCs/>
          <w:sz w:val="24"/>
          <w:szCs w:val="24"/>
          <w:lang w:val="fr-FR"/>
        </w:rPr>
        <w:t xml:space="preserve"> </w:t>
      </w:r>
      <w:r>
        <w:rPr>
          <w:rFonts w:ascii="Times New Roman" w:hAnsi="Times New Roman"/>
          <w:iCs/>
          <w:sz w:val="24"/>
          <w:szCs w:val="24"/>
          <w:lang w:val="fr-FR"/>
        </w:rPr>
        <w:t>L</w:t>
      </w:r>
      <w:r w:rsidRPr="006F74B4">
        <w:rPr>
          <w:rFonts w:ascii="Times New Roman" w:hAnsi="Times New Roman"/>
          <w:iCs/>
          <w:sz w:val="24"/>
          <w:szCs w:val="24"/>
          <w:lang w:val="fr-FR"/>
        </w:rPr>
        <w:t xml:space="preserve">e 20 novembre, </w:t>
      </w:r>
      <w:r>
        <w:rPr>
          <w:rFonts w:ascii="Times New Roman" w:hAnsi="Times New Roman"/>
          <w:iCs/>
          <w:sz w:val="24"/>
          <w:szCs w:val="24"/>
          <w:lang w:val="fr-FR"/>
        </w:rPr>
        <w:t>i</w:t>
      </w:r>
      <w:r w:rsidRPr="006F74B4">
        <w:rPr>
          <w:rFonts w:ascii="Times New Roman" w:hAnsi="Times New Roman"/>
          <w:iCs/>
          <w:sz w:val="24"/>
          <w:szCs w:val="24"/>
          <w:lang w:val="fr-FR"/>
        </w:rPr>
        <w:t>l a par ailleurs été décidé d’utiliser l’un des bâtiments de la prison pour les personnes en détention préventive. Toutefois, à l’issue de sa visite</w:t>
      </w:r>
      <w:r>
        <w:rPr>
          <w:rFonts w:ascii="Times New Roman" w:hAnsi="Times New Roman"/>
          <w:iCs/>
          <w:sz w:val="24"/>
          <w:szCs w:val="24"/>
          <w:lang w:val="fr-FR"/>
        </w:rPr>
        <w:t xml:space="preserve"> en novembre 2012</w:t>
      </w:r>
      <w:r w:rsidRPr="006F74B4">
        <w:rPr>
          <w:rFonts w:ascii="Times New Roman" w:hAnsi="Times New Roman"/>
          <w:iCs/>
          <w:sz w:val="24"/>
          <w:szCs w:val="24"/>
          <w:lang w:val="fr-FR"/>
        </w:rPr>
        <w:t xml:space="preserve">, l’Expert indépendant </w:t>
      </w:r>
      <w:r>
        <w:rPr>
          <w:rFonts w:ascii="Times New Roman" w:hAnsi="Times New Roman"/>
          <w:iCs/>
          <w:sz w:val="24"/>
          <w:szCs w:val="24"/>
          <w:lang w:val="fr-FR"/>
        </w:rPr>
        <w:t>sur la situation des droits de l’homme en Haïti a souligné</w:t>
      </w:r>
      <w:r w:rsidRPr="006F74B4">
        <w:rPr>
          <w:rFonts w:ascii="Times New Roman" w:hAnsi="Times New Roman"/>
          <w:iCs/>
          <w:sz w:val="24"/>
          <w:szCs w:val="24"/>
          <w:lang w:val="fr-FR"/>
        </w:rPr>
        <w:t xml:space="preserve"> le risque réel d’une détérioration rapide des infrastructures de la prison en l’absence d’un budget de fonctionnement adéquat. </w:t>
      </w:r>
    </w:p>
    <w:p w:rsidR="0057236E" w:rsidRDefault="0057236E" w:rsidP="008673B7">
      <w:pPr>
        <w:autoSpaceDE w:val="0"/>
        <w:autoSpaceDN w:val="0"/>
        <w:adjustRightInd w:val="0"/>
        <w:spacing w:after="0" w:line="240" w:lineRule="auto"/>
        <w:jc w:val="both"/>
        <w:rPr>
          <w:rFonts w:ascii="Times New Roman" w:hAnsi="Times New Roman"/>
          <w:iCs/>
          <w:sz w:val="24"/>
          <w:szCs w:val="24"/>
          <w:lang w:val="fr-FR"/>
        </w:rPr>
      </w:pPr>
    </w:p>
    <w:p w:rsidR="0057236E" w:rsidRPr="006F74B4" w:rsidRDefault="0057236E" w:rsidP="008673B7">
      <w:pPr>
        <w:autoSpaceDE w:val="0"/>
        <w:autoSpaceDN w:val="0"/>
        <w:adjustRightInd w:val="0"/>
        <w:spacing w:after="0" w:line="240" w:lineRule="auto"/>
        <w:jc w:val="both"/>
        <w:rPr>
          <w:rFonts w:ascii="Times New Roman" w:hAnsi="Times New Roman"/>
          <w:iCs/>
          <w:sz w:val="24"/>
          <w:szCs w:val="24"/>
          <w:lang w:val="fr-FR"/>
        </w:rPr>
      </w:pPr>
      <w:r>
        <w:rPr>
          <w:rFonts w:ascii="Times New Roman" w:hAnsi="Times New Roman"/>
          <w:iCs/>
          <w:sz w:val="24"/>
          <w:szCs w:val="24"/>
          <w:lang w:val="fr-FR"/>
        </w:rPr>
        <w:t>En matière de réinsertion sociale des détenus, des initiatives prises par la ministre déléguée</w:t>
      </w:r>
      <w:r w:rsidR="00411CE6">
        <w:rPr>
          <w:rFonts w:ascii="Times New Roman" w:hAnsi="Times New Roman"/>
          <w:iCs/>
          <w:sz w:val="24"/>
          <w:szCs w:val="24"/>
          <w:lang w:val="fr-FR"/>
        </w:rPr>
        <w:t xml:space="preserve"> chargée des d</w:t>
      </w:r>
      <w:r>
        <w:rPr>
          <w:rFonts w:ascii="Times New Roman" w:hAnsi="Times New Roman"/>
          <w:iCs/>
          <w:sz w:val="24"/>
          <w:szCs w:val="24"/>
          <w:lang w:val="fr-FR"/>
        </w:rPr>
        <w:t xml:space="preserve">roits de l’homme et </w:t>
      </w:r>
      <w:r w:rsidR="00411CE6">
        <w:rPr>
          <w:rFonts w:ascii="Times New Roman" w:hAnsi="Times New Roman"/>
          <w:iCs/>
          <w:sz w:val="24"/>
          <w:szCs w:val="24"/>
          <w:lang w:val="fr-FR"/>
        </w:rPr>
        <w:t>de</w:t>
      </w:r>
      <w:r>
        <w:rPr>
          <w:rFonts w:ascii="Times New Roman" w:hAnsi="Times New Roman"/>
          <w:iCs/>
          <w:sz w:val="24"/>
          <w:szCs w:val="24"/>
          <w:lang w:val="fr-FR"/>
        </w:rPr>
        <w:t xml:space="preserve"> la lutte contre la pauvreté extrême sont à saluer, parmi lesquelles la création d’ateliers d’écriture, de peinture et de théâtre dans certains établissements pénitentiaires.</w:t>
      </w:r>
    </w:p>
    <w:p w:rsidR="008673B7" w:rsidRPr="006F74B4" w:rsidRDefault="00A8570F" w:rsidP="00DC37B4">
      <w:pPr>
        <w:pStyle w:val="Heading3"/>
        <w:rPr>
          <w:rFonts w:ascii="Times New Roman" w:hAnsi="Times New Roman"/>
          <w:lang w:val="fr-FR"/>
        </w:rPr>
      </w:pPr>
      <w:bookmarkStart w:id="46" w:name="_Toc350156721"/>
      <w:r>
        <w:rPr>
          <w:rFonts w:ascii="Times New Roman" w:hAnsi="Times New Roman"/>
          <w:lang w:val="fr-FR"/>
        </w:rPr>
        <w:t>I</w:t>
      </w:r>
      <w:r w:rsidR="008673B7" w:rsidRPr="006F74B4">
        <w:rPr>
          <w:rFonts w:ascii="Times New Roman" w:hAnsi="Times New Roman"/>
          <w:lang w:val="fr-FR"/>
        </w:rPr>
        <w:t>II.7.6. La détention des mineurs</w:t>
      </w:r>
      <w:bookmarkEnd w:id="46"/>
    </w:p>
    <w:p w:rsidR="008673B7" w:rsidRPr="006F74B4" w:rsidRDefault="008673B7" w:rsidP="008673B7">
      <w:pPr>
        <w:autoSpaceDE w:val="0"/>
        <w:autoSpaceDN w:val="0"/>
        <w:adjustRightInd w:val="0"/>
        <w:spacing w:after="0" w:line="240" w:lineRule="auto"/>
        <w:jc w:val="both"/>
        <w:rPr>
          <w:rFonts w:ascii="Times New Roman" w:hAnsi="Times New Roman"/>
          <w:b/>
          <w:bCs/>
          <w:iCs/>
          <w:sz w:val="24"/>
          <w:szCs w:val="24"/>
          <w:lang w:val="fr-FR"/>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La SDH a continué de documenter de très nombreux cas de mineurs détenus dans les commissariats ou les prisons </w:t>
      </w:r>
      <w:r>
        <w:rPr>
          <w:rFonts w:ascii="Times New Roman" w:hAnsi="Times New Roman"/>
          <w:iCs/>
          <w:sz w:val="24"/>
          <w:szCs w:val="24"/>
          <w:lang w:val="fr-FR"/>
        </w:rPr>
        <w:t xml:space="preserve">dans </w:t>
      </w:r>
      <w:r w:rsidRPr="006F74B4">
        <w:rPr>
          <w:rFonts w:ascii="Times New Roman" w:hAnsi="Times New Roman"/>
          <w:iCs/>
          <w:sz w:val="24"/>
          <w:szCs w:val="24"/>
          <w:lang w:val="fr-FR"/>
        </w:rPr>
        <w:t xml:space="preserve">l’ensemble du pays. Selon la section justice, </w:t>
      </w:r>
      <w:r w:rsidRPr="006F74B4">
        <w:rPr>
          <w:rFonts w:ascii="Times New Roman" w:hAnsi="Times New Roman"/>
          <w:iCs/>
          <w:sz w:val="24"/>
          <w:szCs w:val="24"/>
          <w:lang w:val="fr-BE"/>
        </w:rPr>
        <w:t>271 mineurs, dont 48 condamnés, étaient détenus fin novembre 2012</w:t>
      </w:r>
      <w:r>
        <w:rPr>
          <w:rFonts w:ascii="Times New Roman" w:hAnsi="Times New Roman"/>
          <w:iCs/>
          <w:sz w:val="24"/>
          <w:szCs w:val="24"/>
          <w:lang w:val="fr-BE"/>
        </w:rPr>
        <w:t>, dont</w:t>
      </w:r>
      <w:r w:rsidRPr="006F74B4">
        <w:rPr>
          <w:rFonts w:ascii="Times New Roman" w:hAnsi="Times New Roman"/>
          <w:iCs/>
          <w:sz w:val="24"/>
          <w:szCs w:val="24"/>
          <w:lang w:val="fr-FR"/>
        </w:rPr>
        <w:t xml:space="preserve"> très grand nombre se trouv</w:t>
      </w:r>
      <w:r>
        <w:rPr>
          <w:rFonts w:ascii="Times New Roman" w:hAnsi="Times New Roman"/>
          <w:iCs/>
          <w:sz w:val="24"/>
          <w:szCs w:val="24"/>
          <w:lang w:val="fr-FR"/>
        </w:rPr>
        <w:t>ai</w:t>
      </w:r>
      <w:r w:rsidRPr="006F74B4">
        <w:rPr>
          <w:rFonts w:ascii="Times New Roman" w:hAnsi="Times New Roman"/>
          <w:iCs/>
          <w:sz w:val="24"/>
          <w:szCs w:val="24"/>
          <w:lang w:val="fr-FR"/>
        </w:rPr>
        <w:t>ent en détention préventive prolongée. Par exemple, le 15 octobre, la SDH a constaté que sur huit mineurs détenus à la prison de Fort-Liberté, six étaient en détention préventive depuis plus de trois mois. Deux d’entre eux étaient âgés de 15 ans, alors que la responsabilité pénale est fixée à 16 ans par la législation haïtienne. De même, le 27 novembre, la SDH a constaté qu’un enfant de 15 ans, accusé de vol, était poursuivi devant le tribunal correctionnel de Mirebalais (</w:t>
      </w:r>
      <w:r>
        <w:rPr>
          <w:rFonts w:ascii="Times New Roman" w:hAnsi="Times New Roman"/>
          <w:iCs/>
          <w:sz w:val="24"/>
          <w:szCs w:val="24"/>
          <w:lang w:val="fr-FR"/>
        </w:rPr>
        <w:t>département du Centre</w:t>
      </w:r>
      <w:r w:rsidRPr="006F74B4">
        <w:rPr>
          <w:rFonts w:ascii="Times New Roman" w:hAnsi="Times New Roman"/>
          <w:iCs/>
          <w:sz w:val="24"/>
          <w:szCs w:val="24"/>
          <w:lang w:val="fr-FR"/>
        </w:rPr>
        <w:t xml:space="preserve">) alors qu’il aurait dû comparaitre devant un juge pour enfants. </w:t>
      </w: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7B6844" w:rsidRDefault="008673B7" w:rsidP="008673B7">
      <w:pPr>
        <w:spacing w:after="0" w:line="240" w:lineRule="auto"/>
        <w:jc w:val="both"/>
        <w:rPr>
          <w:rFonts w:ascii="Times New Roman" w:hAnsi="Times New Roman"/>
          <w:iCs/>
          <w:sz w:val="24"/>
          <w:szCs w:val="24"/>
          <w:lang w:val="fr-FR"/>
        </w:rPr>
      </w:pPr>
      <w:r>
        <w:rPr>
          <w:rFonts w:ascii="Times New Roman" w:hAnsi="Times New Roman"/>
          <w:iCs/>
          <w:sz w:val="24"/>
          <w:szCs w:val="24"/>
          <w:lang w:val="fr-FR"/>
        </w:rPr>
        <w:t>L</w:t>
      </w:r>
      <w:r w:rsidRPr="006F74B4">
        <w:rPr>
          <w:rFonts w:ascii="Times New Roman" w:hAnsi="Times New Roman"/>
          <w:iCs/>
          <w:sz w:val="24"/>
          <w:szCs w:val="24"/>
          <w:lang w:val="fr-FR"/>
        </w:rPr>
        <w:t>’absence de juges pour enfants en Haïti explique pour beaucoup le manque de  protection des mineurs en conflit avec la loi. Le 29 août, la SDH et l’UNICEF ont demandé au président du tribunal de première instance de Fort-Liberté de designer un des juges du tribunal comme juge pour enfant</w:t>
      </w:r>
      <w:r>
        <w:rPr>
          <w:rFonts w:ascii="Times New Roman" w:hAnsi="Times New Roman"/>
          <w:iCs/>
          <w:sz w:val="24"/>
          <w:szCs w:val="24"/>
          <w:lang w:val="fr-FR"/>
        </w:rPr>
        <w:t>s</w:t>
      </w:r>
      <w:r w:rsidRPr="006F74B4">
        <w:rPr>
          <w:rFonts w:ascii="Times New Roman" w:hAnsi="Times New Roman"/>
          <w:iCs/>
          <w:sz w:val="24"/>
          <w:szCs w:val="24"/>
          <w:lang w:val="fr-FR"/>
        </w:rPr>
        <w:t xml:space="preserve">. Le président s’est engagé à adresser un avis consultatif à la direction judiciaire du ministère de la </w:t>
      </w:r>
      <w:r>
        <w:rPr>
          <w:rFonts w:ascii="Times New Roman" w:hAnsi="Times New Roman"/>
          <w:iCs/>
          <w:sz w:val="24"/>
          <w:szCs w:val="24"/>
          <w:lang w:val="fr-FR"/>
        </w:rPr>
        <w:t>J</w:t>
      </w:r>
      <w:r w:rsidRPr="006F74B4">
        <w:rPr>
          <w:rFonts w:ascii="Times New Roman" w:hAnsi="Times New Roman"/>
          <w:iCs/>
          <w:sz w:val="24"/>
          <w:szCs w:val="24"/>
          <w:lang w:val="fr-FR"/>
        </w:rPr>
        <w:t>ustice hab</w:t>
      </w:r>
      <w:r>
        <w:rPr>
          <w:rFonts w:ascii="Times New Roman" w:hAnsi="Times New Roman"/>
          <w:iCs/>
          <w:sz w:val="24"/>
          <w:szCs w:val="24"/>
          <w:lang w:val="fr-FR"/>
        </w:rPr>
        <w:t xml:space="preserve">ilité à désigner un juge. </w:t>
      </w:r>
      <w:r w:rsidRPr="006F74B4">
        <w:rPr>
          <w:rFonts w:ascii="Times New Roman" w:hAnsi="Times New Roman"/>
          <w:iCs/>
          <w:sz w:val="24"/>
          <w:szCs w:val="24"/>
          <w:lang w:val="fr-FR"/>
        </w:rPr>
        <w:t xml:space="preserve">Par ailleurs, l’emprisonnement est encore l’unique solution envisagée pour répondre à la problématique des enfants en conflit avec la loi, alors qu’elle ne devrait être qu’un dernier recours. Un seul centre de rééducation, le </w:t>
      </w:r>
      <w:r w:rsidRPr="006F74B4">
        <w:rPr>
          <w:rFonts w:ascii="Times New Roman" w:hAnsi="Times New Roman"/>
          <w:sz w:val="24"/>
          <w:szCs w:val="24"/>
          <w:lang w:val="fr-FR"/>
        </w:rPr>
        <w:t>Centre de réhabilitation des mineurs en conflit avec la loi</w:t>
      </w:r>
      <w:r w:rsidRPr="006F74B4">
        <w:rPr>
          <w:rFonts w:ascii="Times New Roman" w:hAnsi="Times New Roman"/>
          <w:iCs/>
          <w:sz w:val="24"/>
          <w:szCs w:val="24"/>
          <w:lang w:val="fr-FR"/>
        </w:rPr>
        <w:t xml:space="preserve"> (</w:t>
      </w:r>
      <w:r>
        <w:rPr>
          <w:rFonts w:ascii="Times New Roman" w:hAnsi="Times New Roman"/>
          <w:iCs/>
          <w:sz w:val="24"/>
          <w:szCs w:val="24"/>
          <w:lang w:val="fr-FR"/>
        </w:rPr>
        <w:t>CERMICOL</w:t>
      </w:r>
      <w:r w:rsidRPr="006F74B4">
        <w:rPr>
          <w:rFonts w:ascii="Times New Roman" w:hAnsi="Times New Roman"/>
          <w:iCs/>
          <w:sz w:val="24"/>
          <w:szCs w:val="24"/>
          <w:lang w:val="fr-FR"/>
        </w:rPr>
        <w:t>), situé à Port-au-Prince</w:t>
      </w:r>
      <w:r>
        <w:rPr>
          <w:rFonts w:ascii="Times New Roman" w:hAnsi="Times New Roman"/>
          <w:iCs/>
          <w:sz w:val="24"/>
          <w:szCs w:val="24"/>
          <w:lang w:val="fr-FR"/>
        </w:rPr>
        <w:t>,</w:t>
      </w:r>
      <w:r w:rsidRPr="006F74B4">
        <w:rPr>
          <w:rFonts w:ascii="Times New Roman" w:hAnsi="Times New Roman"/>
          <w:iCs/>
          <w:sz w:val="24"/>
          <w:szCs w:val="24"/>
          <w:lang w:val="fr-FR"/>
        </w:rPr>
        <w:t xml:space="preserve"> est en mesure d’accueillir ces mineurs, ce qui est très largement insuffisant. </w:t>
      </w:r>
      <w:r>
        <w:rPr>
          <w:rFonts w:ascii="Times New Roman" w:hAnsi="Times New Roman"/>
          <w:sz w:val="24"/>
          <w:szCs w:val="24"/>
          <w:lang w:val="fr-CA"/>
        </w:rPr>
        <w:t>E</w:t>
      </w:r>
      <w:r w:rsidRPr="006F74B4">
        <w:rPr>
          <w:rFonts w:ascii="Times New Roman" w:hAnsi="Times New Roman"/>
          <w:sz w:val="24"/>
          <w:szCs w:val="24"/>
          <w:lang w:val="fr-CA"/>
        </w:rPr>
        <w:t xml:space="preserve">n novembre 2012, </w:t>
      </w:r>
      <w:r>
        <w:rPr>
          <w:rFonts w:ascii="Times New Roman" w:hAnsi="Times New Roman"/>
          <w:iCs/>
          <w:sz w:val="24"/>
          <w:szCs w:val="24"/>
          <w:lang w:val="fr-FR"/>
        </w:rPr>
        <w:t>s</w:t>
      </w:r>
      <w:r w:rsidRPr="006F74B4">
        <w:rPr>
          <w:rFonts w:ascii="Times New Roman" w:hAnsi="Times New Roman"/>
          <w:sz w:val="24"/>
          <w:szCs w:val="24"/>
          <w:lang w:val="fr-CA"/>
        </w:rPr>
        <w:t xml:space="preserve">elon la </w:t>
      </w:r>
      <w:r>
        <w:rPr>
          <w:rFonts w:ascii="Times New Roman" w:hAnsi="Times New Roman"/>
          <w:sz w:val="24"/>
          <w:szCs w:val="24"/>
          <w:lang w:val="fr-CA"/>
        </w:rPr>
        <w:t>S</w:t>
      </w:r>
      <w:r w:rsidRPr="006F74B4">
        <w:rPr>
          <w:rFonts w:ascii="Times New Roman" w:hAnsi="Times New Roman"/>
          <w:sz w:val="24"/>
          <w:szCs w:val="24"/>
          <w:lang w:val="fr-CA"/>
        </w:rPr>
        <w:t>ection Justice</w:t>
      </w:r>
      <w:r>
        <w:rPr>
          <w:rFonts w:ascii="Times New Roman" w:hAnsi="Times New Roman"/>
          <w:sz w:val="24"/>
          <w:szCs w:val="24"/>
          <w:lang w:val="fr-CA"/>
        </w:rPr>
        <w:t xml:space="preserve"> de la MINUSTAH</w:t>
      </w:r>
      <w:r w:rsidRPr="006F74B4">
        <w:rPr>
          <w:rFonts w:ascii="Times New Roman" w:hAnsi="Times New Roman"/>
          <w:sz w:val="24"/>
          <w:szCs w:val="24"/>
          <w:lang w:val="fr-CA"/>
        </w:rPr>
        <w:t xml:space="preserve">, 105 mineurs étaient pris en charge par le </w:t>
      </w:r>
      <w:r>
        <w:rPr>
          <w:rFonts w:ascii="Times New Roman" w:hAnsi="Times New Roman"/>
          <w:sz w:val="24"/>
          <w:szCs w:val="24"/>
          <w:lang w:val="fr-CA"/>
        </w:rPr>
        <w:t>CERMICOL</w:t>
      </w:r>
      <w:r w:rsidRPr="006F74B4">
        <w:rPr>
          <w:rFonts w:ascii="Times New Roman" w:hAnsi="Times New Roman"/>
          <w:sz w:val="24"/>
          <w:szCs w:val="24"/>
          <w:lang w:val="fr-CA"/>
        </w:rPr>
        <w:t xml:space="preserve">, dont 95 en attente de leur procès. Le </w:t>
      </w:r>
      <w:r>
        <w:rPr>
          <w:rFonts w:ascii="Times New Roman" w:hAnsi="Times New Roman"/>
          <w:sz w:val="24"/>
          <w:szCs w:val="24"/>
          <w:lang w:val="fr-CA"/>
        </w:rPr>
        <w:t xml:space="preserve">CERMICOL </w:t>
      </w:r>
      <w:r w:rsidRPr="006F74B4">
        <w:rPr>
          <w:rFonts w:ascii="Times New Roman" w:hAnsi="Times New Roman"/>
          <w:sz w:val="24"/>
          <w:szCs w:val="24"/>
          <w:lang w:val="fr-CA"/>
        </w:rPr>
        <w:t>est un centre pour garçons et aucun équivalent n’existe pour les filles en conflit avec la loi</w:t>
      </w:r>
      <w:r w:rsidRPr="009F0C35">
        <w:rPr>
          <w:rFonts w:ascii="Times New Roman" w:hAnsi="Times New Roman"/>
          <w:sz w:val="24"/>
          <w:szCs w:val="24"/>
          <w:lang w:val="fr-CA"/>
        </w:rPr>
        <w:t>.</w:t>
      </w:r>
      <w:r w:rsidRPr="009F0C35">
        <w:rPr>
          <w:rFonts w:ascii="Times New Roman" w:hAnsi="Times New Roman"/>
          <w:sz w:val="24"/>
          <w:szCs w:val="24"/>
          <w:lang w:val="fr-FR"/>
        </w:rPr>
        <w:t xml:space="preserve"> </w:t>
      </w:r>
      <w:r>
        <w:rPr>
          <w:rFonts w:ascii="Times New Roman" w:hAnsi="Times New Roman"/>
          <w:sz w:val="24"/>
          <w:szCs w:val="24"/>
          <w:lang w:val="fr-FR"/>
        </w:rPr>
        <w:t xml:space="preserve">Il convient de mentionner les initiatives prises concernant l’ouverture d’un nouveau </w:t>
      </w:r>
      <w:r w:rsidRPr="00BC1C91">
        <w:rPr>
          <w:rFonts w:ascii="Times New Roman" w:hAnsi="Times New Roman"/>
          <w:sz w:val="24"/>
          <w:szCs w:val="24"/>
          <w:lang w:val="fr-FR"/>
        </w:rPr>
        <w:t xml:space="preserve">centre de détention juvénile, le </w:t>
      </w:r>
      <w:r w:rsidRPr="00E8380E">
        <w:rPr>
          <w:rStyle w:val="st"/>
          <w:rFonts w:ascii="Times New Roman" w:hAnsi="Times New Roman"/>
          <w:sz w:val="24"/>
          <w:szCs w:val="24"/>
          <w:lang w:val="fr-BE"/>
        </w:rPr>
        <w:t xml:space="preserve">Centre </w:t>
      </w:r>
      <w:r w:rsidR="006D168D">
        <w:rPr>
          <w:rStyle w:val="st"/>
          <w:rFonts w:ascii="Times New Roman" w:hAnsi="Times New Roman"/>
          <w:sz w:val="24"/>
          <w:szCs w:val="24"/>
          <w:lang w:val="fr-BE"/>
        </w:rPr>
        <w:t>h</w:t>
      </w:r>
      <w:r w:rsidRPr="007B6844">
        <w:rPr>
          <w:rStyle w:val="Emphasis"/>
          <w:rFonts w:ascii="Times New Roman" w:hAnsi="Times New Roman"/>
          <w:i w:val="0"/>
          <w:sz w:val="24"/>
          <w:szCs w:val="24"/>
          <w:lang w:val="fr-BE"/>
        </w:rPr>
        <w:t>aïtien</w:t>
      </w:r>
      <w:r w:rsidRPr="00E8380E">
        <w:rPr>
          <w:rStyle w:val="st"/>
          <w:rFonts w:ascii="Times New Roman" w:hAnsi="Times New Roman"/>
          <w:sz w:val="24"/>
          <w:szCs w:val="24"/>
          <w:lang w:val="fr-BE"/>
        </w:rPr>
        <w:t xml:space="preserve"> de </w:t>
      </w:r>
      <w:r w:rsidR="006D168D">
        <w:rPr>
          <w:rStyle w:val="st"/>
          <w:rFonts w:ascii="Times New Roman" w:hAnsi="Times New Roman"/>
          <w:sz w:val="24"/>
          <w:szCs w:val="24"/>
          <w:lang w:val="fr-BE"/>
        </w:rPr>
        <w:t>r</w:t>
      </w:r>
      <w:r w:rsidRPr="00E8380E">
        <w:rPr>
          <w:rStyle w:val="st"/>
          <w:rFonts w:ascii="Times New Roman" w:hAnsi="Times New Roman"/>
          <w:sz w:val="24"/>
          <w:szCs w:val="24"/>
          <w:lang w:val="fr-BE"/>
        </w:rPr>
        <w:t xml:space="preserve">éinsertion des </w:t>
      </w:r>
      <w:r w:rsidR="006D168D">
        <w:rPr>
          <w:rStyle w:val="st"/>
          <w:rFonts w:ascii="Times New Roman" w:hAnsi="Times New Roman"/>
          <w:sz w:val="24"/>
          <w:szCs w:val="24"/>
          <w:lang w:val="fr-BE"/>
        </w:rPr>
        <w:t>m</w:t>
      </w:r>
      <w:r w:rsidRPr="00E8380E">
        <w:rPr>
          <w:rStyle w:val="st"/>
          <w:rFonts w:ascii="Times New Roman" w:hAnsi="Times New Roman"/>
          <w:sz w:val="24"/>
          <w:szCs w:val="24"/>
          <w:lang w:val="fr-BE"/>
        </w:rPr>
        <w:t xml:space="preserve">ineurs(e)s en </w:t>
      </w:r>
      <w:r w:rsidR="006D168D">
        <w:rPr>
          <w:rStyle w:val="st"/>
          <w:rFonts w:ascii="Times New Roman" w:hAnsi="Times New Roman"/>
          <w:sz w:val="24"/>
          <w:szCs w:val="24"/>
          <w:lang w:val="fr-BE"/>
        </w:rPr>
        <w:t>c</w:t>
      </w:r>
      <w:r w:rsidRPr="00E8380E">
        <w:rPr>
          <w:rStyle w:val="st"/>
          <w:rFonts w:ascii="Times New Roman" w:hAnsi="Times New Roman"/>
          <w:sz w:val="24"/>
          <w:szCs w:val="24"/>
          <w:lang w:val="fr-BE"/>
        </w:rPr>
        <w:t>onflit avec la</w:t>
      </w:r>
      <w:r w:rsidR="006D168D">
        <w:rPr>
          <w:rStyle w:val="st"/>
          <w:rFonts w:ascii="Times New Roman" w:hAnsi="Times New Roman"/>
          <w:sz w:val="24"/>
          <w:szCs w:val="24"/>
          <w:lang w:val="fr-BE"/>
        </w:rPr>
        <w:t xml:space="preserve"> l</w:t>
      </w:r>
      <w:r w:rsidRPr="00E8380E">
        <w:rPr>
          <w:rStyle w:val="st"/>
          <w:rFonts w:ascii="Times New Roman" w:hAnsi="Times New Roman"/>
          <w:sz w:val="24"/>
          <w:szCs w:val="24"/>
          <w:lang w:val="fr-BE"/>
        </w:rPr>
        <w:t>oi</w:t>
      </w:r>
      <w:r w:rsidRPr="00BC1C91">
        <w:rPr>
          <w:rStyle w:val="st"/>
          <w:rFonts w:ascii="Times New Roman" w:hAnsi="Times New Roman"/>
          <w:lang w:val="fr-BE"/>
        </w:rPr>
        <w:t xml:space="preserve"> (</w:t>
      </w:r>
      <w:r w:rsidRPr="00BC1C91">
        <w:rPr>
          <w:rFonts w:ascii="Times New Roman" w:hAnsi="Times New Roman"/>
          <w:sz w:val="24"/>
          <w:szCs w:val="24"/>
          <w:lang w:val="fr-FR"/>
        </w:rPr>
        <w:t xml:space="preserve">CHARMICAL). Fin 2012, l’installation de ce centre était encore </w:t>
      </w:r>
      <w:r>
        <w:rPr>
          <w:rFonts w:ascii="Times New Roman" w:hAnsi="Times New Roman"/>
          <w:sz w:val="24"/>
          <w:szCs w:val="24"/>
          <w:lang w:val="fr-FR"/>
        </w:rPr>
        <w:t xml:space="preserve">en </w:t>
      </w:r>
      <w:r w:rsidRPr="00BC1C91">
        <w:rPr>
          <w:rFonts w:ascii="Times New Roman" w:hAnsi="Times New Roman"/>
          <w:sz w:val="24"/>
          <w:szCs w:val="24"/>
          <w:lang w:val="fr-FR"/>
        </w:rPr>
        <w:t>phase préparatoire.</w:t>
      </w:r>
    </w:p>
    <w:p w:rsidR="008673B7" w:rsidRPr="00F52DCD" w:rsidRDefault="008673B7" w:rsidP="008673B7">
      <w:pPr>
        <w:autoSpaceDE w:val="0"/>
        <w:autoSpaceDN w:val="0"/>
        <w:adjustRightInd w:val="0"/>
        <w:spacing w:after="0" w:line="240" w:lineRule="auto"/>
        <w:jc w:val="both"/>
        <w:rPr>
          <w:rFonts w:ascii="Times New Roman" w:hAnsi="Times New Roman"/>
          <w:iCs/>
          <w:sz w:val="24"/>
          <w:szCs w:val="24"/>
          <w:lang w:val="fr-BE"/>
        </w:rPr>
      </w:pPr>
    </w:p>
    <w:p w:rsidR="008673B7" w:rsidRPr="006F74B4" w:rsidRDefault="008673B7" w:rsidP="008673B7">
      <w:pPr>
        <w:autoSpaceDE w:val="0"/>
        <w:autoSpaceDN w:val="0"/>
        <w:adjustRightInd w:val="0"/>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 xml:space="preserve">Enfin, au cours de la période en revue, la SDH a constaté que dans les prisons de Hinche et de Fort-Liberté, les mineurs sont gardés avec les adultes dans les mêmes cellules, en violation des normes internationales en la matière. </w:t>
      </w:r>
    </w:p>
    <w:p w:rsidR="008673B7" w:rsidRPr="00BC1C91" w:rsidRDefault="008673B7" w:rsidP="008673B7">
      <w:pPr>
        <w:autoSpaceDE w:val="0"/>
        <w:autoSpaceDN w:val="0"/>
        <w:adjustRightInd w:val="0"/>
        <w:spacing w:after="0" w:line="240" w:lineRule="auto"/>
        <w:jc w:val="both"/>
        <w:rPr>
          <w:rFonts w:ascii="Times New Roman" w:hAnsi="Times New Roman"/>
          <w:iCs/>
          <w:sz w:val="24"/>
          <w:szCs w:val="24"/>
          <w:lang w:val="fr-FR"/>
        </w:rPr>
      </w:pPr>
    </w:p>
    <w:p w:rsidR="008673B7" w:rsidRPr="006F74B4" w:rsidRDefault="008673B7" w:rsidP="00DC37B4">
      <w:pPr>
        <w:pStyle w:val="Heading3"/>
        <w:rPr>
          <w:rFonts w:ascii="Times New Roman" w:hAnsi="Times New Roman"/>
          <w:lang w:val="fr-FR"/>
        </w:rPr>
      </w:pPr>
      <w:bookmarkStart w:id="47" w:name="_Toc350156722"/>
      <w:r w:rsidRPr="006F74B4">
        <w:rPr>
          <w:rFonts w:ascii="Times New Roman" w:hAnsi="Times New Roman"/>
          <w:lang w:val="fr-FR"/>
        </w:rPr>
        <w:t>II</w:t>
      </w:r>
      <w:r w:rsidR="00A8570F">
        <w:rPr>
          <w:rFonts w:ascii="Times New Roman" w:hAnsi="Times New Roman"/>
          <w:lang w:val="fr-FR"/>
        </w:rPr>
        <w:t>I</w:t>
      </w:r>
      <w:r w:rsidRPr="006F74B4">
        <w:rPr>
          <w:rFonts w:ascii="Times New Roman" w:hAnsi="Times New Roman"/>
          <w:lang w:val="fr-FR"/>
        </w:rPr>
        <w:t>.7.7. La détention des femmes</w:t>
      </w:r>
      <w:bookmarkEnd w:id="47"/>
    </w:p>
    <w:p w:rsidR="008673B7" w:rsidRPr="006F74B4" w:rsidRDefault="008673B7" w:rsidP="008673B7">
      <w:pPr>
        <w:autoSpaceDE w:val="0"/>
        <w:autoSpaceDN w:val="0"/>
        <w:adjustRightInd w:val="0"/>
        <w:spacing w:after="0" w:line="240" w:lineRule="auto"/>
        <w:jc w:val="both"/>
        <w:rPr>
          <w:rFonts w:ascii="Times New Roman" w:hAnsi="Times New Roman"/>
          <w:b/>
          <w:bCs/>
          <w:iCs/>
          <w:sz w:val="24"/>
          <w:szCs w:val="24"/>
          <w:lang w:val="fr-FR"/>
        </w:rPr>
      </w:pPr>
    </w:p>
    <w:p w:rsidR="008673B7" w:rsidRDefault="008673B7" w:rsidP="008673B7">
      <w:pPr>
        <w:spacing w:after="0" w:line="240" w:lineRule="auto"/>
        <w:jc w:val="both"/>
        <w:rPr>
          <w:rFonts w:ascii="Times New Roman" w:hAnsi="Times New Roman"/>
          <w:iCs/>
          <w:sz w:val="24"/>
          <w:szCs w:val="24"/>
          <w:lang w:val="fr-FR"/>
        </w:rPr>
      </w:pPr>
      <w:r w:rsidRPr="006F74B4">
        <w:rPr>
          <w:rFonts w:ascii="Times New Roman" w:hAnsi="Times New Roman"/>
          <w:iCs/>
          <w:sz w:val="24"/>
          <w:szCs w:val="24"/>
          <w:lang w:val="fr-FR"/>
        </w:rPr>
        <w:t>Les femmes détenues font face aux mêmes conditions de détention que les hommes en termes d’accès aux soins et de conditions sanitaires. La situation des femmes enceintes est extrêmement critique à cet égard, d’autant qu’elles ne bénéficient pas toujours d’une protection adéquate de la part des institutions. Le 11 septembre, à Cap Haïtien (</w:t>
      </w:r>
      <w:r>
        <w:rPr>
          <w:rFonts w:ascii="Times New Roman" w:hAnsi="Times New Roman"/>
          <w:iCs/>
          <w:sz w:val="24"/>
          <w:szCs w:val="24"/>
          <w:lang w:val="fr-FR"/>
        </w:rPr>
        <w:t>département du Nord</w:t>
      </w:r>
      <w:r w:rsidRPr="006F74B4">
        <w:rPr>
          <w:rFonts w:ascii="Times New Roman" w:hAnsi="Times New Roman"/>
          <w:iCs/>
          <w:sz w:val="24"/>
          <w:szCs w:val="24"/>
          <w:lang w:val="fr-FR"/>
        </w:rPr>
        <w:t xml:space="preserve">), une femme a accouché dans sa cellule sans avoir eu accès à une assistance médicale ni avant ni après son accouchement, malgré la requête du chef du </w:t>
      </w:r>
      <w:r>
        <w:rPr>
          <w:rFonts w:ascii="Times New Roman" w:hAnsi="Times New Roman"/>
          <w:iCs/>
          <w:sz w:val="24"/>
          <w:szCs w:val="24"/>
          <w:lang w:val="fr-FR"/>
        </w:rPr>
        <w:t>P</w:t>
      </w:r>
      <w:r w:rsidRPr="006F74B4">
        <w:rPr>
          <w:rFonts w:ascii="Times New Roman" w:hAnsi="Times New Roman"/>
          <w:iCs/>
          <w:sz w:val="24"/>
          <w:szCs w:val="24"/>
          <w:lang w:val="fr-FR"/>
        </w:rPr>
        <w:t xml:space="preserve">arquet en ce sens. </w:t>
      </w:r>
      <w:r>
        <w:rPr>
          <w:rFonts w:ascii="Times New Roman" w:hAnsi="Times New Roman"/>
          <w:iCs/>
          <w:sz w:val="24"/>
          <w:szCs w:val="24"/>
          <w:lang w:val="fr-FR"/>
        </w:rPr>
        <w:t>A</w:t>
      </w:r>
      <w:r w:rsidRPr="006F74B4">
        <w:rPr>
          <w:rFonts w:ascii="Times New Roman" w:hAnsi="Times New Roman"/>
          <w:iCs/>
          <w:sz w:val="24"/>
          <w:szCs w:val="24"/>
          <w:lang w:val="fr-FR"/>
        </w:rPr>
        <w:t xml:space="preserve"> Cap Haïtien et à Grande Rivière du Nord, la SDH et l’OPC ont contribué à faire libérer deux femmes enceintes de sept mois dans l’attente de leur procès. </w:t>
      </w:r>
    </w:p>
    <w:p w:rsidR="008673B7" w:rsidRDefault="008673B7" w:rsidP="008673B7">
      <w:pPr>
        <w:spacing w:after="0" w:line="240" w:lineRule="auto"/>
        <w:jc w:val="both"/>
        <w:rPr>
          <w:rFonts w:ascii="Times New Roman" w:hAnsi="Times New Roman"/>
          <w:iCs/>
          <w:sz w:val="24"/>
          <w:szCs w:val="24"/>
          <w:lang w:val="fr-FR"/>
        </w:rPr>
      </w:pPr>
    </w:p>
    <w:p w:rsidR="00DC37B4" w:rsidRDefault="00DC37B4" w:rsidP="008673B7">
      <w:pPr>
        <w:spacing w:after="0" w:line="240" w:lineRule="auto"/>
        <w:jc w:val="both"/>
        <w:rPr>
          <w:rFonts w:ascii="Times New Roman" w:hAnsi="Times New Roman"/>
          <w:iCs/>
          <w:sz w:val="24"/>
          <w:szCs w:val="24"/>
          <w:lang w:val="fr-FR"/>
        </w:rPr>
      </w:pPr>
    </w:p>
    <w:p w:rsidR="00DC37B4" w:rsidRDefault="00DC37B4" w:rsidP="008673B7">
      <w:pPr>
        <w:spacing w:after="0" w:line="240" w:lineRule="auto"/>
        <w:jc w:val="both"/>
        <w:rPr>
          <w:rFonts w:ascii="Times New Roman" w:hAnsi="Times New Roman"/>
          <w:iCs/>
          <w:sz w:val="24"/>
          <w:szCs w:val="24"/>
          <w:lang w:val="fr-FR"/>
        </w:rPr>
      </w:pPr>
    </w:p>
    <w:p w:rsidR="008673B7" w:rsidRPr="001D6C9C" w:rsidRDefault="00A8570F" w:rsidP="001D6C9C">
      <w:pPr>
        <w:keepNext/>
        <w:keepLines/>
        <w:spacing w:before="480" w:after="0"/>
        <w:outlineLvl w:val="0"/>
        <w:rPr>
          <w:rFonts w:ascii="Times New Roman" w:eastAsia="MS Mincho" w:hAnsi="Times New Roman"/>
          <w:b/>
          <w:bCs/>
          <w:color w:val="365F91" w:themeColor="accent1" w:themeShade="BF"/>
          <w:sz w:val="28"/>
          <w:szCs w:val="28"/>
          <w:lang w:val="fr-FR"/>
        </w:rPr>
      </w:pPr>
      <w:r>
        <w:rPr>
          <w:rFonts w:ascii="Times New Roman" w:eastAsia="MS Mincho" w:hAnsi="Times New Roman"/>
          <w:b/>
          <w:bCs/>
          <w:color w:val="365F91" w:themeColor="accent1" w:themeShade="BF"/>
          <w:sz w:val="28"/>
          <w:szCs w:val="28"/>
          <w:lang w:val="fr-FR"/>
        </w:rPr>
        <w:t>IV</w:t>
      </w:r>
      <w:r w:rsidR="008673B7" w:rsidRPr="001D6C9C">
        <w:rPr>
          <w:rFonts w:ascii="Times New Roman" w:eastAsia="MS Mincho" w:hAnsi="Times New Roman"/>
          <w:b/>
          <w:bCs/>
          <w:color w:val="365F91" w:themeColor="accent1" w:themeShade="BF"/>
          <w:sz w:val="28"/>
          <w:szCs w:val="28"/>
          <w:lang w:val="fr-FR"/>
        </w:rPr>
        <w:t xml:space="preserve">. PROTECTION DES DROITS DE L’HOMME DANS LES INTERVENTIONS HUMANITAIRES </w:t>
      </w:r>
    </w:p>
    <w:p w:rsidR="008673B7" w:rsidRPr="006900A2" w:rsidRDefault="008673B7" w:rsidP="008673B7">
      <w:pPr>
        <w:spacing w:after="0" w:line="240" w:lineRule="auto"/>
        <w:jc w:val="both"/>
        <w:rPr>
          <w:rFonts w:ascii="Times New Roman" w:eastAsia="Times New Roman" w:hAnsi="Times New Roman"/>
          <w:sz w:val="24"/>
          <w:szCs w:val="24"/>
          <w:lang w:val="fr-FR"/>
        </w:rPr>
      </w:pPr>
    </w:p>
    <w:p w:rsidR="008673B7" w:rsidRDefault="008673B7" w:rsidP="008673B7">
      <w:pPr>
        <w:spacing w:after="0" w:line="240" w:lineRule="auto"/>
        <w:jc w:val="both"/>
        <w:rPr>
          <w:rFonts w:ascii="Times New Roman" w:eastAsia="Times New Roman" w:hAnsi="Times New Roman"/>
          <w:sz w:val="24"/>
          <w:szCs w:val="24"/>
          <w:lang w:val="fr-FR"/>
        </w:rPr>
      </w:pPr>
      <w:r w:rsidRPr="006900A2">
        <w:rPr>
          <w:rFonts w:ascii="Times New Roman" w:eastAsia="Times New Roman" w:hAnsi="Times New Roman"/>
          <w:sz w:val="24"/>
          <w:szCs w:val="24"/>
          <w:lang w:val="fr-FR"/>
        </w:rPr>
        <w:t>La protection des droits de l'homme dans le contexte d</w:t>
      </w:r>
      <w:r>
        <w:rPr>
          <w:rFonts w:ascii="Times New Roman" w:eastAsia="Times New Roman" w:hAnsi="Times New Roman"/>
          <w:sz w:val="24"/>
          <w:szCs w:val="24"/>
          <w:lang w:val="fr-FR"/>
        </w:rPr>
        <w:t>’</w:t>
      </w:r>
      <w:r w:rsidRPr="006900A2">
        <w:rPr>
          <w:rFonts w:ascii="Times New Roman" w:eastAsia="Times New Roman" w:hAnsi="Times New Roman"/>
          <w:sz w:val="24"/>
          <w:szCs w:val="24"/>
          <w:lang w:val="fr-FR"/>
        </w:rPr>
        <w:t xml:space="preserve">opérations humanitaires demeure un défi majeur en Haïti. Ce chapitre aborde quelques développements récents dans ce domaine et examine les interventions d'urgence et de coordination, la situation dans les camps à la suite du séisme du 12 janvier 2010, ainsi que le renforcement des capacités et le transfert des responsabilités de protection aux institutions publiques. </w:t>
      </w:r>
    </w:p>
    <w:p w:rsidR="008673B7" w:rsidRPr="006900A2" w:rsidRDefault="008673B7" w:rsidP="008673B7">
      <w:pPr>
        <w:spacing w:after="0" w:line="240" w:lineRule="auto"/>
        <w:jc w:val="both"/>
        <w:rPr>
          <w:rFonts w:ascii="Times New Roman" w:hAnsi="Times New Roman"/>
          <w:sz w:val="24"/>
          <w:szCs w:val="24"/>
          <w:lang w:val="fr-FR"/>
        </w:rPr>
      </w:pPr>
    </w:p>
    <w:p w:rsidR="008673B7" w:rsidRPr="00DC37B4" w:rsidRDefault="00A8570F" w:rsidP="008673B7">
      <w:pPr>
        <w:spacing w:after="0" w:line="240" w:lineRule="auto"/>
        <w:outlineLvl w:val="1"/>
        <w:rPr>
          <w:rFonts w:ascii="Verdana" w:eastAsia="Times New Roman" w:hAnsi="Verdana"/>
          <w:b/>
          <w:bCs/>
          <w:color w:val="000066"/>
          <w:sz w:val="20"/>
          <w:szCs w:val="20"/>
          <w:lang w:val="fr-CA"/>
        </w:rPr>
      </w:pPr>
      <w:bookmarkStart w:id="48" w:name="_Toc350156723"/>
      <w:r>
        <w:rPr>
          <w:rFonts w:ascii="Verdana" w:eastAsia="Times New Roman" w:hAnsi="Verdana"/>
          <w:b/>
          <w:bCs/>
          <w:color w:val="000066"/>
          <w:sz w:val="20"/>
          <w:szCs w:val="20"/>
          <w:lang w:val="fr-CA"/>
        </w:rPr>
        <w:t>IV</w:t>
      </w:r>
      <w:r w:rsidR="008673B7" w:rsidRPr="00DC37B4">
        <w:rPr>
          <w:rFonts w:ascii="Verdana" w:eastAsia="Times New Roman" w:hAnsi="Verdana"/>
          <w:b/>
          <w:bCs/>
          <w:color w:val="000066"/>
          <w:sz w:val="20"/>
          <w:szCs w:val="20"/>
          <w:lang w:val="fr-CA"/>
        </w:rPr>
        <w:t>.1. Le trafic humain</w:t>
      </w:r>
      <w:bookmarkEnd w:id="48"/>
    </w:p>
    <w:p w:rsidR="008673B7" w:rsidRPr="006900A2" w:rsidRDefault="008673B7" w:rsidP="008673B7">
      <w:pPr>
        <w:spacing w:after="0" w:line="240" w:lineRule="auto"/>
        <w:jc w:val="both"/>
        <w:rPr>
          <w:rFonts w:ascii="Times New Roman" w:hAnsi="Times New Roman"/>
          <w:b/>
          <w:i/>
          <w:sz w:val="24"/>
          <w:szCs w:val="24"/>
          <w:u w:val="single"/>
          <w:lang w:val="fr-CA"/>
        </w:rPr>
      </w:pPr>
    </w:p>
    <w:p w:rsidR="008673B7" w:rsidRDefault="008673B7" w:rsidP="008673B7">
      <w:pPr>
        <w:spacing w:after="0" w:line="240" w:lineRule="auto"/>
        <w:jc w:val="both"/>
        <w:rPr>
          <w:rFonts w:ascii="Times New Roman" w:eastAsia="Times New Roman" w:hAnsi="Times New Roman"/>
          <w:sz w:val="24"/>
          <w:szCs w:val="24"/>
          <w:lang w:val="fr-FR"/>
        </w:rPr>
      </w:pPr>
      <w:r w:rsidRPr="006900A2">
        <w:rPr>
          <w:rFonts w:ascii="Times New Roman" w:eastAsia="Times New Roman" w:hAnsi="Times New Roman"/>
          <w:sz w:val="24"/>
          <w:szCs w:val="24"/>
          <w:lang w:val="fr-FR"/>
        </w:rPr>
        <w:t xml:space="preserve">En 2011, Haïti a ratifié le </w:t>
      </w:r>
      <w:r w:rsidRPr="006900A2">
        <w:rPr>
          <w:rFonts w:ascii="Times New Roman" w:hAnsi="Times New Roman"/>
          <w:sz w:val="24"/>
          <w:szCs w:val="24"/>
          <w:lang w:val="fr-FR"/>
        </w:rPr>
        <w:t>Protocole additionnel à la Convention des Nations Unies contre la criminalité transnationale organisée visant à prévenir, réprimer et punir la traite des personnes, en particulier des femmes et des enfants</w:t>
      </w:r>
      <w:r w:rsidRPr="006900A2">
        <w:rPr>
          <w:rFonts w:ascii="Times New Roman" w:eastAsia="Times New Roman" w:hAnsi="Times New Roman"/>
          <w:sz w:val="24"/>
          <w:szCs w:val="24"/>
          <w:lang w:val="fr-FR"/>
        </w:rPr>
        <w:t>. Toutefois, l'absence de législation criminalisant toutes les formes de traite des êtres humains</w:t>
      </w:r>
      <w:r>
        <w:rPr>
          <w:rFonts w:ascii="Times New Roman" w:eastAsia="Times New Roman" w:hAnsi="Times New Roman"/>
          <w:sz w:val="24"/>
          <w:szCs w:val="24"/>
          <w:lang w:val="fr-FR"/>
        </w:rPr>
        <w:t>,</w:t>
      </w:r>
      <w:r w:rsidRPr="006900A2">
        <w:rPr>
          <w:rFonts w:ascii="Times New Roman" w:eastAsia="Times New Roman" w:hAnsi="Times New Roman"/>
          <w:sz w:val="24"/>
          <w:szCs w:val="24"/>
          <w:lang w:val="fr-FR"/>
        </w:rPr>
        <w:t xml:space="preserve"> et </w:t>
      </w:r>
      <w:r>
        <w:rPr>
          <w:rFonts w:ascii="Times New Roman" w:eastAsia="Times New Roman" w:hAnsi="Times New Roman"/>
          <w:sz w:val="24"/>
          <w:szCs w:val="24"/>
          <w:lang w:val="fr-FR"/>
        </w:rPr>
        <w:t>de lois et</w:t>
      </w:r>
      <w:r w:rsidRPr="006900A2">
        <w:rPr>
          <w:rFonts w:ascii="Times New Roman" w:eastAsia="Times New Roman" w:hAnsi="Times New Roman"/>
          <w:sz w:val="24"/>
          <w:szCs w:val="24"/>
          <w:lang w:val="fr-FR"/>
        </w:rPr>
        <w:t xml:space="preserve"> politiques nécessaires sur la protection des victimes</w:t>
      </w:r>
      <w:r>
        <w:rPr>
          <w:rFonts w:ascii="Times New Roman" w:eastAsia="Times New Roman" w:hAnsi="Times New Roman"/>
          <w:sz w:val="24"/>
          <w:szCs w:val="24"/>
          <w:lang w:val="fr-FR"/>
        </w:rPr>
        <w:t>,</w:t>
      </w:r>
      <w:r w:rsidRPr="006900A2">
        <w:rPr>
          <w:rFonts w:ascii="Times New Roman" w:eastAsia="Times New Roman" w:hAnsi="Times New Roman"/>
          <w:sz w:val="24"/>
          <w:szCs w:val="24"/>
          <w:lang w:val="fr-FR"/>
        </w:rPr>
        <w:t xml:space="preserve"> limitent sérieusement la capacité du gouvernement à poursuivre les délinquants et à protéger les victimes. </w:t>
      </w:r>
    </w:p>
    <w:p w:rsidR="008673B7" w:rsidRDefault="008673B7" w:rsidP="008673B7">
      <w:pPr>
        <w:spacing w:after="0" w:line="240" w:lineRule="auto"/>
        <w:jc w:val="both"/>
        <w:rPr>
          <w:rFonts w:ascii="Times New Roman" w:eastAsia="Times New Roman" w:hAnsi="Times New Roman"/>
          <w:sz w:val="24"/>
          <w:szCs w:val="24"/>
          <w:lang w:val="fr-FR"/>
        </w:rPr>
      </w:pPr>
    </w:p>
    <w:p w:rsidR="008673B7" w:rsidRPr="006900A2" w:rsidRDefault="008673B7" w:rsidP="008673B7">
      <w:pPr>
        <w:spacing w:after="0" w:line="240" w:lineRule="auto"/>
        <w:jc w:val="both"/>
        <w:rPr>
          <w:rFonts w:ascii="Times New Roman" w:hAnsi="Times New Roman"/>
          <w:sz w:val="24"/>
          <w:szCs w:val="24"/>
          <w:lang w:val="fr-CA"/>
        </w:rPr>
      </w:pPr>
      <w:r w:rsidRPr="006900A2">
        <w:rPr>
          <w:rFonts w:ascii="Times New Roman" w:eastAsia="Times New Roman" w:hAnsi="Times New Roman"/>
          <w:sz w:val="24"/>
          <w:szCs w:val="24"/>
          <w:lang w:val="fr-FR"/>
        </w:rPr>
        <w:t>Haïti reste un pays d'origine, de transit et de destination pour les femmes et les enfants soumis au travail forcé et</w:t>
      </w:r>
      <w:r>
        <w:rPr>
          <w:rFonts w:ascii="Times New Roman" w:eastAsia="Times New Roman" w:hAnsi="Times New Roman"/>
          <w:sz w:val="24"/>
          <w:szCs w:val="24"/>
          <w:lang w:val="fr-FR"/>
        </w:rPr>
        <w:t xml:space="preserve"> </w:t>
      </w:r>
      <w:r>
        <w:rPr>
          <w:rFonts w:ascii="Sylfaen" w:eastAsia="Times New Roman" w:hAnsi="Sylfaen"/>
          <w:sz w:val="24"/>
          <w:szCs w:val="24"/>
          <w:lang w:val="fr-FR"/>
        </w:rPr>
        <w:t>à</w:t>
      </w:r>
      <w:r w:rsidRPr="006900A2">
        <w:rPr>
          <w:rFonts w:ascii="Times New Roman" w:eastAsia="Times New Roman" w:hAnsi="Times New Roman"/>
          <w:sz w:val="24"/>
          <w:szCs w:val="24"/>
          <w:lang w:val="fr-FR"/>
        </w:rPr>
        <w:t xml:space="preserve"> l’exploitation sexuelle. Les groupes les plus à risque sont ceux issus de milieux </w:t>
      </w:r>
      <w:r>
        <w:rPr>
          <w:rFonts w:ascii="Times New Roman" w:eastAsia="Times New Roman" w:hAnsi="Times New Roman"/>
          <w:sz w:val="24"/>
          <w:szCs w:val="24"/>
          <w:lang w:val="fr-FR"/>
        </w:rPr>
        <w:t>aux</w:t>
      </w:r>
      <w:r w:rsidRPr="006900A2">
        <w:rPr>
          <w:rFonts w:ascii="Times New Roman" w:eastAsia="Times New Roman" w:hAnsi="Times New Roman"/>
          <w:sz w:val="24"/>
          <w:szCs w:val="24"/>
          <w:lang w:val="fr-FR"/>
        </w:rPr>
        <w:t xml:space="preserve"> revenu</w:t>
      </w:r>
      <w:r>
        <w:rPr>
          <w:rFonts w:ascii="Times New Roman" w:eastAsia="Times New Roman" w:hAnsi="Times New Roman"/>
          <w:sz w:val="24"/>
          <w:szCs w:val="24"/>
          <w:lang w:val="fr-FR"/>
        </w:rPr>
        <w:t>s</w:t>
      </w:r>
      <w:r w:rsidRPr="006900A2">
        <w:rPr>
          <w:rFonts w:ascii="Times New Roman" w:eastAsia="Times New Roman" w:hAnsi="Times New Roman"/>
          <w:sz w:val="24"/>
          <w:szCs w:val="24"/>
          <w:lang w:val="fr-FR"/>
        </w:rPr>
        <w:t xml:space="preserve"> le</w:t>
      </w:r>
      <w:r>
        <w:rPr>
          <w:rFonts w:ascii="Times New Roman" w:eastAsia="Times New Roman" w:hAnsi="Times New Roman"/>
          <w:sz w:val="24"/>
          <w:szCs w:val="24"/>
          <w:lang w:val="fr-FR"/>
        </w:rPr>
        <w:t>s</w:t>
      </w:r>
      <w:r w:rsidRPr="006900A2">
        <w:rPr>
          <w:rFonts w:ascii="Times New Roman" w:eastAsia="Times New Roman" w:hAnsi="Times New Roman"/>
          <w:sz w:val="24"/>
          <w:szCs w:val="24"/>
          <w:lang w:val="fr-FR"/>
        </w:rPr>
        <w:t xml:space="preserve"> plus bas, surtout des personnes sans papiers, sans passeports ou sans cartes d'identité. Avant le tremblement de terre, on estimait que 2 000 enfants par an </w:t>
      </w:r>
      <w:r>
        <w:rPr>
          <w:rFonts w:ascii="Times New Roman" w:eastAsia="Times New Roman" w:hAnsi="Times New Roman"/>
          <w:sz w:val="24"/>
          <w:szCs w:val="24"/>
          <w:lang w:val="fr-FR"/>
        </w:rPr>
        <w:t>étaient</w:t>
      </w:r>
      <w:r w:rsidRPr="006900A2">
        <w:rPr>
          <w:rFonts w:ascii="Times New Roman" w:eastAsia="Times New Roman" w:hAnsi="Times New Roman"/>
          <w:sz w:val="24"/>
          <w:szCs w:val="24"/>
          <w:lang w:val="fr-FR"/>
        </w:rPr>
        <w:t xml:space="preserve"> l’objet de trafic, à l'étranger ou en Haïti. Ce nombre a très probablement augmenté depuis le tremblement de terre. Pour la période 2010-2012, 20 500 enfants ont </w:t>
      </w:r>
      <w:r w:rsidR="006D168D">
        <w:rPr>
          <w:rFonts w:ascii="Times New Roman" w:eastAsia="Times New Roman" w:hAnsi="Times New Roman"/>
          <w:sz w:val="24"/>
          <w:szCs w:val="24"/>
          <w:lang w:val="fr-FR"/>
        </w:rPr>
        <w:t>été examinés par la Brigade de p</w:t>
      </w:r>
      <w:r w:rsidRPr="006900A2">
        <w:rPr>
          <w:rFonts w:ascii="Times New Roman" w:eastAsia="Times New Roman" w:hAnsi="Times New Roman"/>
          <w:sz w:val="24"/>
          <w:szCs w:val="24"/>
          <w:lang w:val="fr-FR"/>
        </w:rPr>
        <w:t>rotection des mineurs (BPM), et en 2012, environ 500 ont été identifiés comme victimes de trafic</w:t>
      </w:r>
      <w:bookmarkStart w:id="49" w:name="_ftnref1"/>
      <w:r w:rsidRPr="006900A2">
        <w:rPr>
          <w:rFonts w:ascii="Times New Roman" w:eastAsia="Times New Roman" w:hAnsi="Times New Roman"/>
          <w:sz w:val="24"/>
          <w:szCs w:val="24"/>
          <w:lang w:val="fr-FR"/>
        </w:rPr>
        <w:t xml:space="preserve"> humain</w:t>
      </w:r>
      <w:bookmarkEnd w:id="49"/>
      <w:r w:rsidRPr="006900A2">
        <w:rPr>
          <w:rFonts w:ascii="Times New Roman" w:eastAsia="Times New Roman" w:hAnsi="Times New Roman"/>
          <w:sz w:val="24"/>
          <w:szCs w:val="24"/>
          <w:vertAlign w:val="superscript"/>
          <w:lang w:val="fr-FR"/>
        </w:rPr>
        <w:footnoteReference w:id="34"/>
      </w:r>
      <w:r w:rsidRPr="006900A2">
        <w:rPr>
          <w:rFonts w:ascii="Times New Roman" w:eastAsia="Times New Roman" w:hAnsi="Times New Roman"/>
          <w:sz w:val="24"/>
          <w:szCs w:val="24"/>
          <w:lang w:val="fr-FR"/>
        </w:rPr>
        <w:t>. En 2012, l</w:t>
      </w:r>
      <w:r>
        <w:rPr>
          <w:rFonts w:ascii="Times New Roman" w:eastAsia="Times New Roman" w:hAnsi="Times New Roman"/>
          <w:sz w:val="24"/>
          <w:szCs w:val="24"/>
          <w:lang w:val="fr-FR"/>
        </w:rPr>
        <w:t>a</w:t>
      </w:r>
      <w:r w:rsidRPr="006900A2">
        <w:rPr>
          <w:rFonts w:ascii="Times New Roman" w:eastAsia="Times New Roman" w:hAnsi="Times New Roman"/>
          <w:sz w:val="24"/>
          <w:szCs w:val="24"/>
          <w:lang w:val="fr-FR"/>
        </w:rPr>
        <w:t xml:space="preserve"> BPM a rapporté 42 cas </w:t>
      </w:r>
      <w:r>
        <w:rPr>
          <w:rFonts w:ascii="Times New Roman" w:eastAsia="Times New Roman" w:hAnsi="Times New Roman"/>
          <w:sz w:val="24"/>
          <w:szCs w:val="24"/>
          <w:lang w:val="fr-FR"/>
        </w:rPr>
        <w:t xml:space="preserve">de victimes </w:t>
      </w:r>
      <w:r w:rsidRPr="006900A2">
        <w:rPr>
          <w:rFonts w:ascii="Times New Roman" w:eastAsia="Times New Roman" w:hAnsi="Times New Roman"/>
          <w:sz w:val="24"/>
          <w:szCs w:val="24"/>
          <w:lang w:val="fr-FR"/>
        </w:rPr>
        <w:t>de trafic humain, en réponse auxquels 25 personnes ont été arrêtées</w:t>
      </w:r>
      <w:r w:rsidRPr="006900A2">
        <w:rPr>
          <w:rFonts w:ascii="Times New Roman" w:eastAsia="Times New Roman" w:hAnsi="Times New Roman"/>
          <w:sz w:val="24"/>
          <w:szCs w:val="24"/>
          <w:vertAlign w:val="superscript"/>
          <w:lang w:val="fr-FR"/>
        </w:rPr>
        <w:footnoteReference w:id="35"/>
      </w:r>
      <w:r w:rsidRPr="006900A2">
        <w:rPr>
          <w:rFonts w:ascii="Times New Roman" w:eastAsia="Times New Roman" w:hAnsi="Times New Roman"/>
          <w:sz w:val="24"/>
          <w:szCs w:val="24"/>
          <w:lang w:val="fr-FR"/>
        </w:rPr>
        <w:t>.</w:t>
      </w:r>
    </w:p>
    <w:p w:rsidR="008673B7" w:rsidRPr="006900A2" w:rsidRDefault="008673B7" w:rsidP="008673B7">
      <w:pPr>
        <w:spacing w:after="0" w:line="240" w:lineRule="auto"/>
        <w:jc w:val="both"/>
        <w:rPr>
          <w:rFonts w:ascii="Times New Roman" w:hAnsi="Times New Roman"/>
          <w:sz w:val="24"/>
          <w:szCs w:val="24"/>
          <w:lang w:val="fr-CA"/>
        </w:rPr>
      </w:pPr>
    </w:p>
    <w:p w:rsidR="008673B7" w:rsidRPr="00DC37B4" w:rsidRDefault="00A8570F" w:rsidP="008673B7">
      <w:pPr>
        <w:spacing w:after="0" w:line="240" w:lineRule="auto"/>
        <w:outlineLvl w:val="1"/>
        <w:rPr>
          <w:rFonts w:ascii="Verdana" w:eastAsia="Times New Roman" w:hAnsi="Verdana"/>
          <w:b/>
          <w:bCs/>
          <w:color w:val="000066"/>
          <w:sz w:val="20"/>
          <w:szCs w:val="20"/>
          <w:lang w:val="fr-CA"/>
        </w:rPr>
      </w:pPr>
      <w:bookmarkStart w:id="50" w:name="_Toc350156724"/>
      <w:r>
        <w:rPr>
          <w:rFonts w:ascii="Verdana" w:eastAsia="Times New Roman" w:hAnsi="Verdana"/>
          <w:b/>
          <w:bCs/>
          <w:color w:val="000066"/>
          <w:sz w:val="20"/>
          <w:szCs w:val="20"/>
          <w:lang w:val="fr-CA"/>
        </w:rPr>
        <w:t>IV</w:t>
      </w:r>
      <w:r w:rsidR="008673B7" w:rsidRPr="00DC37B4">
        <w:rPr>
          <w:rFonts w:ascii="Verdana" w:eastAsia="Times New Roman" w:hAnsi="Verdana"/>
          <w:b/>
          <w:bCs/>
          <w:color w:val="000066"/>
          <w:sz w:val="20"/>
          <w:szCs w:val="20"/>
          <w:lang w:val="fr-CA"/>
        </w:rPr>
        <w:t xml:space="preserve">.2. </w:t>
      </w:r>
      <w:r w:rsidR="008673B7" w:rsidRPr="00DC37B4">
        <w:rPr>
          <w:rFonts w:ascii="Verdana" w:eastAsia="Times New Roman" w:hAnsi="Verdana"/>
          <w:b/>
          <w:bCs/>
          <w:color w:val="000066"/>
          <w:sz w:val="20"/>
          <w:szCs w:val="20"/>
          <w:lang w:val="fr-FR"/>
        </w:rPr>
        <w:t>Les personnes handicapées</w:t>
      </w:r>
      <w:bookmarkEnd w:id="50"/>
    </w:p>
    <w:p w:rsidR="008673B7" w:rsidRPr="006900A2" w:rsidRDefault="008673B7" w:rsidP="008673B7">
      <w:pPr>
        <w:spacing w:after="0" w:line="240" w:lineRule="auto"/>
        <w:jc w:val="both"/>
        <w:rPr>
          <w:rFonts w:ascii="Times New Roman" w:hAnsi="Times New Roman"/>
          <w:b/>
          <w:i/>
          <w:sz w:val="24"/>
          <w:szCs w:val="24"/>
          <w:u w:val="single"/>
          <w:lang w:val="fr-CA"/>
        </w:rPr>
      </w:pPr>
    </w:p>
    <w:p w:rsidR="008673B7" w:rsidRPr="001D0E26" w:rsidRDefault="008673B7" w:rsidP="008673B7">
      <w:pPr>
        <w:spacing w:after="0" w:line="240" w:lineRule="auto"/>
        <w:jc w:val="both"/>
        <w:rPr>
          <w:rFonts w:ascii="Times New Roman" w:eastAsia="Times New Roman" w:hAnsi="Times New Roman"/>
          <w:sz w:val="24"/>
          <w:szCs w:val="24"/>
          <w:lang w:val="fr-BE"/>
        </w:rPr>
      </w:pPr>
      <w:r w:rsidRPr="006900A2">
        <w:rPr>
          <w:rFonts w:ascii="Times New Roman" w:eastAsia="Times New Roman" w:hAnsi="Times New Roman"/>
          <w:sz w:val="24"/>
          <w:szCs w:val="24"/>
          <w:lang w:val="fr-FR"/>
        </w:rPr>
        <w:t>Haïti a ratifié la Convention des Nations Unies sur les personnes handicapées en 2009. Le cadre juridique haïtien n'interdit pas expressément la discrimination à l'égard des personnes handicapées physiques et mentales. Le Secrétariat d'État pour l'intégration de personnes handicapées (SEIPH) est l'organisme gouvernemental responsable de l'assistance aux personnes handicapées.</w:t>
      </w:r>
      <w:r>
        <w:rPr>
          <w:rFonts w:ascii="Times New Roman" w:eastAsia="Times New Roman" w:hAnsi="Times New Roman"/>
          <w:sz w:val="24"/>
          <w:szCs w:val="24"/>
          <w:lang w:val="fr-FR"/>
        </w:rPr>
        <w:t xml:space="preserve"> Depuis son établissement, de nombreuses personnes handicapées ont bénéficié d’aides financières, y compris de subventions scolaires.</w:t>
      </w:r>
      <w:r w:rsidRPr="00F26A66">
        <w:rPr>
          <w:rFonts w:ascii="Arial" w:hAnsi="Arial" w:cs="Arial"/>
          <w:color w:val="000000"/>
          <w:sz w:val="24"/>
          <w:szCs w:val="24"/>
          <w:lang w:val="fr-CA"/>
        </w:rPr>
        <w:t xml:space="preserve"> </w:t>
      </w:r>
      <w:r w:rsidRPr="00F26A66">
        <w:rPr>
          <w:rFonts w:ascii="Times New Roman" w:hAnsi="Times New Roman"/>
          <w:color w:val="000000"/>
          <w:sz w:val="24"/>
          <w:szCs w:val="24"/>
          <w:lang w:val="fr-CA"/>
        </w:rPr>
        <w:t xml:space="preserve">En outre, </w:t>
      </w:r>
      <w:r>
        <w:rPr>
          <w:rFonts w:ascii="Times New Roman" w:hAnsi="Times New Roman"/>
          <w:color w:val="000000"/>
          <w:sz w:val="24"/>
          <w:szCs w:val="24"/>
          <w:lang w:val="fr-CA"/>
        </w:rPr>
        <w:t xml:space="preserve">plus </w:t>
      </w:r>
      <w:r w:rsidR="002A28C1">
        <w:rPr>
          <w:rFonts w:ascii="Times New Roman" w:hAnsi="Times New Roman"/>
          <w:color w:val="000000"/>
          <w:sz w:val="24"/>
          <w:szCs w:val="24"/>
          <w:lang w:val="fr-CA"/>
        </w:rPr>
        <w:t>de</w:t>
      </w:r>
      <w:r>
        <w:rPr>
          <w:rFonts w:ascii="Times New Roman" w:hAnsi="Times New Roman"/>
          <w:color w:val="000000"/>
          <w:sz w:val="24"/>
          <w:szCs w:val="24"/>
          <w:lang w:val="fr-CA"/>
        </w:rPr>
        <w:t xml:space="preserve"> </w:t>
      </w:r>
      <w:r w:rsidRPr="0092504D">
        <w:rPr>
          <w:rFonts w:ascii="Times New Roman" w:hAnsi="Times New Roman"/>
          <w:color w:val="000000"/>
          <w:sz w:val="24"/>
          <w:szCs w:val="24"/>
          <w:lang w:val="fr-CA"/>
        </w:rPr>
        <w:t xml:space="preserve">60 associations de personnes handicapées ont bénéficié d’un appui financier </w:t>
      </w:r>
      <w:r>
        <w:rPr>
          <w:rFonts w:ascii="Times New Roman" w:hAnsi="Times New Roman"/>
          <w:color w:val="000000"/>
          <w:sz w:val="24"/>
          <w:szCs w:val="24"/>
          <w:lang w:val="fr-CA"/>
        </w:rPr>
        <w:t>pour</w:t>
      </w:r>
      <w:r w:rsidRPr="0092504D">
        <w:rPr>
          <w:rFonts w:ascii="Times New Roman" w:hAnsi="Times New Roman"/>
          <w:color w:val="000000"/>
          <w:sz w:val="24"/>
          <w:szCs w:val="24"/>
          <w:lang w:val="fr-CA"/>
        </w:rPr>
        <w:t xml:space="preserve"> leur renforcement institutionnel et</w:t>
      </w:r>
      <w:r>
        <w:rPr>
          <w:rFonts w:ascii="Arial" w:hAnsi="Arial" w:cs="Arial"/>
          <w:color w:val="000000"/>
          <w:sz w:val="24"/>
          <w:szCs w:val="24"/>
          <w:lang w:val="fr-CA"/>
        </w:rPr>
        <w:t xml:space="preserve"> </w:t>
      </w:r>
      <w:r w:rsidRPr="00F26A66">
        <w:rPr>
          <w:rFonts w:ascii="Times New Roman" w:hAnsi="Times New Roman"/>
          <w:color w:val="000000"/>
          <w:sz w:val="24"/>
          <w:szCs w:val="24"/>
          <w:lang w:val="fr-CA"/>
        </w:rPr>
        <w:t>un protocole d’accord a été signé avec la Chambre de Commerce et d’Industrie d’Haïti en vue de faciliter l’intégration des personnes handicapées sur le marché du travail</w:t>
      </w:r>
      <w:r>
        <w:rPr>
          <w:rFonts w:ascii="Times New Roman" w:hAnsi="Times New Roman"/>
          <w:color w:val="000000"/>
          <w:sz w:val="24"/>
          <w:szCs w:val="24"/>
          <w:lang w:val="fr-CA"/>
        </w:rPr>
        <w:t>.</w:t>
      </w:r>
      <w:r w:rsidRPr="00F26A66">
        <w:rPr>
          <w:rFonts w:ascii="Arial" w:hAnsi="Arial" w:cs="Arial"/>
          <w:color w:val="000000"/>
          <w:sz w:val="24"/>
          <w:szCs w:val="24"/>
          <w:lang w:val="fr-CA"/>
        </w:rPr>
        <w:t xml:space="preserve"> </w:t>
      </w:r>
      <w:r w:rsidR="0095681D" w:rsidRPr="0095681D">
        <w:rPr>
          <w:rFonts w:ascii="Times New Roman" w:hAnsi="Times New Roman"/>
          <w:color w:val="000000"/>
          <w:sz w:val="24"/>
          <w:szCs w:val="24"/>
          <w:lang w:val="fr-CA"/>
        </w:rPr>
        <w:t>Par ailleurs, l</w:t>
      </w:r>
      <w:r w:rsidR="001D0E26" w:rsidRPr="0095681D">
        <w:rPr>
          <w:rFonts w:ascii="Times New Roman" w:eastAsia="Times New Roman" w:hAnsi="Times New Roman"/>
          <w:sz w:val="24"/>
          <w:szCs w:val="24"/>
          <w:lang w:val="fr-FR"/>
        </w:rPr>
        <w:t>ors</w:t>
      </w:r>
      <w:r w:rsidR="001D0E26">
        <w:rPr>
          <w:rFonts w:ascii="Times New Roman" w:eastAsia="Times New Roman" w:hAnsi="Times New Roman"/>
          <w:sz w:val="24"/>
          <w:szCs w:val="24"/>
          <w:lang w:val="fr-FR"/>
        </w:rPr>
        <w:t xml:space="preserve"> d’</w:t>
      </w:r>
      <w:r w:rsidR="001D0E26" w:rsidRPr="001D0E26">
        <w:rPr>
          <w:rFonts w:ascii="Times New Roman" w:hAnsi="Times New Roman"/>
          <w:sz w:val="24"/>
          <w:szCs w:val="24"/>
          <w:lang w:val="fr-BE"/>
        </w:rPr>
        <w:t>une journée de réflexion sur l’inclusion et la participation à la vie publique</w:t>
      </w:r>
      <w:r w:rsidR="001D0E26">
        <w:rPr>
          <w:rFonts w:ascii="Times New Roman" w:hAnsi="Times New Roman"/>
          <w:sz w:val="24"/>
          <w:szCs w:val="24"/>
          <w:lang w:val="fr-BE"/>
        </w:rPr>
        <w:t>,</w:t>
      </w:r>
      <w:r w:rsidR="001D0E26" w:rsidRPr="001D0E26">
        <w:rPr>
          <w:rFonts w:ascii="Times New Roman" w:eastAsia="Times New Roman" w:hAnsi="Times New Roman"/>
          <w:sz w:val="24"/>
          <w:szCs w:val="24"/>
          <w:lang w:val="fr-FR"/>
        </w:rPr>
        <w:t xml:space="preserve"> </w:t>
      </w:r>
      <w:r w:rsidR="001D0E26">
        <w:rPr>
          <w:rFonts w:ascii="Times New Roman" w:eastAsia="Times New Roman" w:hAnsi="Times New Roman"/>
          <w:sz w:val="24"/>
          <w:szCs w:val="24"/>
          <w:lang w:val="fr-FR"/>
        </w:rPr>
        <w:t xml:space="preserve">organisée </w:t>
      </w:r>
      <w:r w:rsidR="001D0E26" w:rsidRPr="001D0E26">
        <w:rPr>
          <w:rFonts w:ascii="Times New Roman" w:eastAsia="Times New Roman" w:hAnsi="Times New Roman"/>
          <w:sz w:val="24"/>
          <w:szCs w:val="24"/>
          <w:lang w:val="fr-FR"/>
        </w:rPr>
        <w:t xml:space="preserve">le 10 décembre 2012 </w:t>
      </w:r>
      <w:r w:rsidR="001D0E26">
        <w:rPr>
          <w:rFonts w:ascii="Times New Roman" w:eastAsia="Times New Roman" w:hAnsi="Times New Roman"/>
          <w:sz w:val="24"/>
          <w:szCs w:val="24"/>
          <w:lang w:val="fr-FR"/>
        </w:rPr>
        <w:t xml:space="preserve">par </w:t>
      </w:r>
      <w:r w:rsidR="001D0E26" w:rsidRPr="001D0E26">
        <w:rPr>
          <w:rFonts w:ascii="Times New Roman" w:hAnsi="Times New Roman"/>
          <w:sz w:val="24"/>
          <w:szCs w:val="24"/>
          <w:lang w:val="fr-BE"/>
        </w:rPr>
        <w:t>l</w:t>
      </w:r>
      <w:r w:rsidR="001D0E26">
        <w:rPr>
          <w:rFonts w:ascii="Times New Roman" w:hAnsi="Times New Roman"/>
          <w:sz w:val="24"/>
          <w:szCs w:val="24"/>
          <w:lang w:val="fr-BE"/>
        </w:rPr>
        <w:t>a</w:t>
      </w:r>
      <w:r w:rsidR="001D0E26" w:rsidRPr="001D0E26">
        <w:rPr>
          <w:rFonts w:ascii="Times New Roman" w:hAnsi="Times New Roman"/>
          <w:sz w:val="24"/>
          <w:szCs w:val="24"/>
          <w:lang w:val="fr-BE"/>
        </w:rPr>
        <w:t xml:space="preserve"> m</w:t>
      </w:r>
      <w:r w:rsidR="0095681D">
        <w:rPr>
          <w:rFonts w:ascii="Times New Roman" w:hAnsi="Times New Roman"/>
          <w:sz w:val="24"/>
          <w:szCs w:val="24"/>
          <w:lang w:val="fr-BE"/>
        </w:rPr>
        <w:t>inist</w:t>
      </w:r>
      <w:r w:rsidR="001D0E26" w:rsidRPr="001D0E26">
        <w:rPr>
          <w:rFonts w:ascii="Times New Roman" w:hAnsi="Times New Roman"/>
          <w:sz w:val="24"/>
          <w:szCs w:val="24"/>
          <w:lang w:val="fr-BE"/>
        </w:rPr>
        <w:t xml:space="preserve">re </w:t>
      </w:r>
      <w:r w:rsidR="0095681D">
        <w:rPr>
          <w:rFonts w:ascii="Times New Roman" w:hAnsi="Times New Roman"/>
          <w:sz w:val="24"/>
          <w:szCs w:val="24"/>
          <w:lang w:val="fr-BE"/>
        </w:rPr>
        <w:t xml:space="preserve">déléguée chargée </w:t>
      </w:r>
      <w:r w:rsidR="001D0E26" w:rsidRPr="001D0E26">
        <w:rPr>
          <w:rFonts w:ascii="Times New Roman" w:hAnsi="Times New Roman"/>
          <w:sz w:val="24"/>
          <w:szCs w:val="24"/>
          <w:lang w:val="fr-BE"/>
        </w:rPr>
        <w:t xml:space="preserve">des </w:t>
      </w:r>
      <w:r w:rsidR="0095681D">
        <w:rPr>
          <w:rFonts w:ascii="Times New Roman" w:hAnsi="Times New Roman"/>
          <w:sz w:val="24"/>
          <w:szCs w:val="24"/>
          <w:lang w:val="fr-BE"/>
        </w:rPr>
        <w:t>d</w:t>
      </w:r>
      <w:r w:rsidR="001D0E26" w:rsidRPr="001D0E26">
        <w:rPr>
          <w:rFonts w:ascii="Times New Roman" w:hAnsi="Times New Roman"/>
          <w:sz w:val="24"/>
          <w:szCs w:val="24"/>
          <w:lang w:val="fr-BE"/>
        </w:rPr>
        <w:t xml:space="preserve">roits de l’homme, conjointement avec le SEIPH, </w:t>
      </w:r>
      <w:r w:rsidR="0095681D">
        <w:rPr>
          <w:rFonts w:ascii="Times New Roman" w:hAnsi="Times New Roman"/>
          <w:sz w:val="24"/>
          <w:szCs w:val="24"/>
          <w:lang w:val="fr-BE"/>
        </w:rPr>
        <w:t xml:space="preserve">un atelier a été consacré à </w:t>
      </w:r>
      <w:r w:rsidR="0095681D" w:rsidRPr="001D0E26">
        <w:rPr>
          <w:rFonts w:ascii="Times New Roman" w:hAnsi="Times New Roman"/>
          <w:sz w:val="24"/>
          <w:szCs w:val="24"/>
          <w:lang w:val="fr-BE"/>
        </w:rPr>
        <w:t>la participation des personnes handicapées à la vie publique</w:t>
      </w:r>
      <w:r w:rsidR="0095681D">
        <w:rPr>
          <w:rFonts w:ascii="Times New Roman" w:hAnsi="Times New Roman"/>
          <w:sz w:val="24"/>
          <w:szCs w:val="24"/>
          <w:lang w:val="fr-BE"/>
        </w:rPr>
        <w:t>. Lors de cet atelier,</w:t>
      </w:r>
      <w:r w:rsidR="0095681D" w:rsidRPr="001D0E26">
        <w:rPr>
          <w:rFonts w:ascii="Times New Roman" w:hAnsi="Times New Roman"/>
          <w:sz w:val="24"/>
          <w:szCs w:val="24"/>
          <w:lang w:val="fr-BE"/>
        </w:rPr>
        <w:t xml:space="preserve"> </w:t>
      </w:r>
      <w:r w:rsidR="001D0E26" w:rsidRPr="001D0E26">
        <w:rPr>
          <w:rFonts w:ascii="Times New Roman" w:hAnsi="Times New Roman"/>
          <w:sz w:val="24"/>
          <w:szCs w:val="24"/>
          <w:lang w:val="fr-BE"/>
        </w:rPr>
        <w:t xml:space="preserve">les représentants du SEIPH </w:t>
      </w:r>
      <w:r w:rsidR="001D0E26">
        <w:rPr>
          <w:rFonts w:ascii="Times New Roman" w:hAnsi="Times New Roman"/>
          <w:sz w:val="24"/>
          <w:szCs w:val="24"/>
          <w:lang w:val="fr-BE"/>
        </w:rPr>
        <w:t xml:space="preserve">et de l’IBESR </w:t>
      </w:r>
      <w:r w:rsidR="001D0E26" w:rsidRPr="001D0E26">
        <w:rPr>
          <w:rFonts w:ascii="Times New Roman" w:hAnsi="Times New Roman"/>
          <w:sz w:val="24"/>
          <w:szCs w:val="24"/>
          <w:lang w:val="fr-BE"/>
        </w:rPr>
        <w:t>ont présenté le</w:t>
      </w:r>
      <w:r w:rsidR="0095681D">
        <w:rPr>
          <w:rFonts w:ascii="Times New Roman" w:hAnsi="Times New Roman"/>
          <w:sz w:val="24"/>
          <w:szCs w:val="24"/>
          <w:lang w:val="fr-BE"/>
        </w:rPr>
        <w:t>ur</w:t>
      </w:r>
      <w:r w:rsidR="001D0E26" w:rsidRPr="001D0E26">
        <w:rPr>
          <w:rFonts w:ascii="Times New Roman" w:hAnsi="Times New Roman"/>
          <w:sz w:val="24"/>
          <w:szCs w:val="24"/>
          <w:lang w:val="fr-BE"/>
        </w:rPr>
        <w:t xml:space="preserve">s efforts </w:t>
      </w:r>
      <w:r w:rsidR="0095681D">
        <w:rPr>
          <w:rFonts w:ascii="Times New Roman" w:hAnsi="Times New Roman"/>
          <w:sz w:val="24"/>
          <w:szCs w:val="24"/>
          <w:lang w:val="fr-BE"/>
        </w:rPr>
        <w:t>en la matière</w:t>
      </w:r>
      <w:r w:rsidR="001D0E26" w:rsidRPr="001D0E26">
        <w:rPr>
          <w:rFonts w:ascii="Times New Roman" w:hAnsi="Times New Roman"/>
          <w:sz w:val="24"/>
          <w:szCs w:val="24"/>
          <w:lang w:val="fr-BE"/>
        </w:rPr>
        <w:t>.</w:t>
      </w:r>
    </w:p>
    <w:p w:rsidR="008673B7" w:rsidRDefault="008673B7" w:rsidP="008673B7">
      <w:pPr>
        <w:spacing w:after="0" w:line="240" w:lineRule="auto"/>
        <w:jc w:val="both"/>
        <w:rPr>
          <w:rFonts w:ascii="Times New Roman" w:eastAsia="Times New Roman" w:hAnsi="Times New Roman"/>
          <w:sz w:val="24"/>
          <w:szCs w:val="24"/>
          <w:lang w:val="fr-FR"/>
        </w:rPr>
      </w:pPr>
    </w:p>
    <w:p w:rsidR="008673B7" w:rsidRPr="006900A2" w:rsidRDefault="008673B7" w:rsidP="008673B7">
      <w:pPr>
        <w:spacing w:after="0" w:line="240" w:lineRule="auto"/>
        <w:jc w:val="both"/>
        <w:rPr>
          <w:rFonts w:eastAsia="Times New Roman" w:cs="Calibri"/>
          <w:lang w:val="fr-CA"/>
        </w:rPr>
      </w:pPr>
      <w:r w:rsidRPr="006900A2">
        <w:rPr>
          <w:rFonts w:ascii="Times New Roman" w:eastAsia="Times New Roman" w:hAnsi="Times New Roman"/>
          <w:sz w:val="24"/>
          <w:szCs w:val="24"/>
          <w:lang w:val="fr-FR"/>
        </w:rPr>
        <w:t>Cependant, en raison de la pauvreté généralisée et chronique, le manque de services publics et les possibilités d'éducation limitées, les personnes handicapées demeurent gravement défavorisé</w:t>
      </w:r>
      <w:r w:rsidR="001D0E26">
        <w:rPr>
          <w:rFonts w:ascii="Times New Roman" w:eastAsia="Times New Roman" w:hAnsi="Times New Roman"/>
          <w:sz w:val="24"/>
          <w:szCs w:val="24"/>
          <w:lang w:val="fr-FR"/>
        </w:rPr>
        <w:t>e</w:t>
      </w:r>
      <w:r w:rsidRPr="006900A2">
        <w:rPr>
          <w:rFonts w:ascii="Times New Roman" w:eastAsia="Times New Roman" w:hAnsi="Times New Roman"/>
          <w:sz w:val="24"/>
          <w:szCs w:val="24"/>
          <w:lang w:val="fr-FR"/>
        </w:rPr>
        <w:t>s. Le gouvernement estime qu'il y a environ 1 000 000 de personnes handicapées en Haïti. Les femmes, les enfants et les jeunes handicapés sont particulièrement vulnérables à l'exploitation et aux abus.</w:t>
      </w:r>
      <w:r w:rsidR="001D0E26" w:rsidRPr="001D0E26">
        <w:rPr>
          <w:rFonts w:ascii="Times New Roman" w:eastAsia="Times New Roman" w:hAnsi="Times New Roman"/>
          <w:sz w:val="24"/>
          <w:szCs w:val="24"/>
          <w:lang w:val="fr-FR"/>
        </w:rPr>
        <w:t xml:space="preserve"> </w:t>
      </w:r>
      <w:r w:rsidR="001D0E26">
        <w:rPr>
          <w:rFonts w:ascii="Times New Roman" w:eastAsia="Times New Roman" w:hAnsi="Times New Roman"/>
          <w:sz w:val="24"/>
          <w:szCs w:val="24"/>
          <w:lang w:val="fr-FR"/>
        </w:rPr>
        <w:t>Afin</w:t>
      </w:r>
      <w:r w:rsidR="0095681D">
        <w:rPr>
          <w:rFonts w:ascii="Times New Roman" w:eastAsia="Times New Roman" w:hAnsi="Times New Roman"/>
          <w:sz w:val="24"/>
          <w:szCs w:val="24"/>
          <w:lang w:val="fr-FR"/>
        </w:rPr>
        <w:t xml:space="preserve"> d’améliorer cette situation</w:t>
      </w:r>
      <w:r w:rsidR="001D0E26">
        <w:rPr>
          <w:rFonts w:ascii="Times New Roman" w:eastAsia="Times New Roman" w:hAnsi="Times New Roman"/>
          <w:sz w:val="24"/>
          <w:szCs w:val="24"/>
          <w:lang w:val="fr-FR"/>
        </w:rPr>
        <w:t xml:space="preserve">, une étude approfondie devrait être menée </w:t>
      </w:r>
      <w:r w:rsidR="001D0E26" w:rsidRPr="006900A2">
        <w:rPr>
          <w:rFonts w:ascii="Times New Roman" w:eastAsia="Times New Roman" w:hAnsi="Times New Roman"/>
          <w:sz w:val="24"/>
          <w:szCs w:val="24"/>
          <w:lang w:val="fr-FR"/>
        </w:rPr>
        <w:t>sur la discrimination à l'égard des personnes handicapées dans le</w:t>
      </w:r>
      <w:r w:rsidR="0095681D">
        <w:rPr>
          <w:rFonts w:ascii="Times New Roman" w:eastAsia="Times New Roman" w:hAnsi="Times New Roman"/>
          <w:sz w:val="24"/>
          <w:szCs w:val="24"/>
          <w:lang w:val="fr-FR"/>
        </w:rPr>
        <w:t>s</w:t>
      </w:r>
      <w:r w:rsidR="001D0E26" w:rsidRPr="006900A2">
        <w:rPr>
          <w:rFonts w:ascii="Times New Roman" w:eastAsia="Times New Roman" w:hAnsi="Times New Roman"/>
          <w:sz w:val="24"/>
          <w:szCs w:val="24"/>
          <w:lang w:val="fr-FR"/>
        </w:rPr>
        <w:t xml:space="preserve"> domaine</w:t>
      </w:r>
      <w:r w:rsidR="0095681D">
        <w:rPr>
          <w:rFonts w:ascii="Times New Roman" w:eastAsia="Times New Roman" w:hAnsi="Times New Roman"/>
          <w:sz w:val="24"/>
          <w:szCs w:val="24"/>
          <w:lang w:val="fr-FR"/>
        </w:rPr>
        <w:t>s</w:t>
      </w:r>
      <w:r w:rsidR="001D0E26" w:rsidRPr="006900A2">
        <w:rPr>
          <w:rFonts w:ascii="Times New Roman" w:eastAsia="Times New Roman" w:hAnsi="Times New Roman"/>
          <w:sz w:val="24"/>
          <w:szCs w:val="24"/>
          <w:lang w:val="fr-FR"/>
        </w:rPr>
        <w:t xml:space="preserve"> de l'emploi, </w:t>
      </w:r>
      <w:r w:rsidR="0095681D">
        <w:rPr>
          <w:rFonts w:ascii="Times New Roman" w:eastAsia="Times New Roman" w:hAnsi="Times New Roman"/>
          <w:sz w:val="24"/>
          <w:szCs w:val="24"/>
          <w:lang w:val="fr-FR"/>
        </w:rPr>
        <w:t xml:space="preserve">de </w:t>
      </w:r>
      <w:r w:rsidR="001D0E26" w:rsidRPr="006900A2">
        <w:rPr>
          <w:rFonts w:ascii="Times New Roman" w:eastAsia="Times New Roman" w:hAnsi="Times New Roman"/>
          <w:sz w:val="24"/>
          <w:szCs w:val="24"/>
          <w:lang w:val="fr-FR"/>
        </w:rPr>
        <w:t xml:space="preserve">l'éducation et </w:t>
      </w:r>
      <w:r w:rsidR="0095681D">
        <w:rPr>
          <w:rFonts w:ascii="Times New Roman" w:eastAsia="Times New Roman" w:hAnsi="Times New Roman"/>
          <w:sz w:val="24"/>
          <w:szCs w:val="24"/>
          <w:lang w:val="fr-FR"/>
        </w:rPr>
        <w:t>de l’</w:t>
      </w:r>
      <w:r w:rsidR="001D0E26" w:rsidRPr="006900A2">
        <w:rPr>
          <w:rFonts w:ascii="Times New Roman" w:eastAsia="Times New Roman" w:hAnsi="Times New Roman"/>
          <w:sz w:val="24"/>
          <w:szCs w:val="24"/>
          <w:lang w:val="fr-FR"/>
        </w:rPr>
        <w:t xml:space="preserve">accès aux soins de santé ou d'autres services </w:t>
      </w:r>
      <w:r w:rsidR="0095681D">
        <w:rPr>
          <w:rFonts w:ascii="Times New Roman" w:eastAsia="Times New Roman" w:hAnsi="Times New Roman"/>
          <w:sz w:val="24"/>
          <w:szCs w:val="24"/>
          <w:lang w:val="fr-FR"/>
        </w:rPr>
        <w:t xml:space="preserve">publics. </w:t>
      </w:r>
    </w:p>
    <w:p w:rsidR="008673B7" w:rsidRDefault="008673B7" w:rsidP="008673B7">
      <w:pPr>
        <w:spacing w:after="0" w:line="240" w:lineRule="auto"/>
        <w:jc w:val="both"/>
        <w:rPr>
          <w:rFonts w:ascii="Times New Roman" w:hAnsi="Times New Roman"/>
          <w:b/>
          <w:sz w:val="24"/>
          <w:szCs w:val="24"/>
          <w:lang w:val="fr-CA"/>
        </w:rPr>
      </w:pPr>
    </w:p>
    <w:p w:rsidR="008673B7" w:rsidRPr="00DC37B4" w:rsidRDefault="00A8570F" w:rsidP="008673B7">
      <w:pPr>
        <w:spacing w:after="0" w:line="240" w:lineRule="auto"/>
        <w:outlineLvl w:val="1"/>
        <w:rPr>
          <w:rFonts w:ascii="Verdana" w:eastAsia="Times New Roman" w:hAnsi="Verdana"/>
          <w:b/>
          <w:bCs/>
          <w:color w:val="000066"/>
          <w:sz w:val="20"/>
          <w:szCs w:val="20"/>
          <w:lang w:val="fr-CA"/>
        </w:rPr>
      </w:pPr>
      <w:bookmarkStart w:id="51" w:name="_Toc350156725"/>
      <w:r>
        <w:rPr>
          <w:rFonts w:ascii="Verdana" w:eastAsia="Times New Roman" w:hAnsi="Verdana"/>
          <w:b/>
          <w:bCs/>
          <w:color w:val="000066"/>
          <w:sz w:val="20"/>
          <w:szCs w:val="20"/>
          <w:lang w:val="fr-CA"/>
        </w:rPr>
        <w:t>IV</w:t>
      </w:r>
      <w:r w:rsidR="008673B7" w:rsidRPr="00DC37B4">
        <w:rPr>
          <w:rFonts w:ascii="Verdana" w:eastAsia="Times New Roman" w:hAnsi="Verdana"/>
          <w:b/>
          <w:bCs/>
          <w:color w:val="000066"/>
          <w:sz w:val="20"/>
          <w:szCs w:val="20"/>
          <w:lang w:val="fr-CA"/>
        </w:rPr>
        <w:t xml:space="preserve">.3. </w:t>
      </w:r>
      <w:r w:rsidR="008673B7" w:rsidRPr="00DC37B4">
        <w:rPr>
          <w:rFonts w:ascii="Verdana" w:eastAsia="Times New Roman" w:hAnsi="Verdana"/>
          <w:b/>
          <w:bCs/>
          <w:color w:val="000066"/>
          <w:sz w:val="20"/>
          <w:szCs w:val="20"/>
          <w:lang w:val="fr-FR"/>
        </w:rPr>
        <w:t>Les camps de personnes déplacées, expulsions forcées et intervention d'urgence</w:t>
      </w:r>
      <w:bookmarkEnd w:id="51"/>
    </w:p>
    <w:p w:rsidR="008673B7" w:rsidRPr="006900A2" w:rsidRDefault="008673B7" w:rsidP="008673B7">
      <w:pPr>
        <w:spacing w:after="0" w:line="240" w:lineRule="auto"/>
        <w:jc w:val="both"/>
        <w:rPr>
          <w:rFonts w:ascii="Times New Roman" w:hAnsi="Times New Roman"/>
          <w:b/>
          <w:sz w:val="24"/>
          <w:szCs w:val="24"/>
          <w:lang w:val="fr-CA"/>
        </w:rPr>
      </w:pPr>
    </w:p>
    <w:p w:rsidR="008673B7" w:rsidRPr="006900A2" w:rsidRDefault="008673B7" w:rsidP="008673B7">
      <w:pPr>
        <w:spacing w:line="240" w:lineRule="auto"/>
        <w:jc w:val="both"/>
        <w:rPr>
          <w:rFonts w:eastAsia="Times New Roman" w:cs="Calibri"/>
          <w:lang w:val="fr-CA"/>
        </w:rPr>
      </w:pPr>
      <w:r w:rsidRPr="006900A2">
        <w:rPr>
          <w:rFonts w:ascii="Times New Roman" w:eastAsia="Times New Roman" w:hAnsi="Times New Roman"/>
          <w:sz w:val="24"/>
          <w:szCs w:val="24"/>
          <w:lang w:val="fr-FR"/>
        </w:rPr>
        <w:t xml:space="preserve">Le nombre d'Haïtiens déplacés vivant dans des camps créés après le tremblement de terre a progressivement diminué au cours de la période considérée. Selon la matrice de suivi des déplacements de l'Organisation internationale pour les migrations (OIM), à la fin de 2012, environ 347 284 personnes (soit environ 87 750 ménages) continuaient d’habiter dans 450 sites de populations déplacées. Par rapport à 2010, cela représente une diminution d'environ 77 % pour l'ensemble de la population déplacée. </w:t>
      </w:r>
    </w:p>
    <w:p w:rsidR="008673B7" w:rsidRPr="006900A2" w:rsidRDefault="008673B7" w:rsidP="008673B7">
      <w:pPr>
        <w:spacing w:after="0" w:line="240" w:lineRule="auto"/>
        <w:jc w:val="both"/>
        <w:rPr>
          <w:rFonts w:eastAsia="Times New Roman" w:cs="Calibri"/>
          <w:lang w:val="fr-CA"/>
        </w:rPr>
      </w:pPr>
      <w:r w:rsidRPr="006900A2">
        <w:rPr>
          <w:rFonts w:ascii="Times New Roman" w:eastAsia="Times New Roman" w:hAnsi="Times New Roman"/>
          <w:sz w:val="24"/>
          <w:szCs w:val="24"/>
          <w:lang w:val="fr-FR"/>
        </w:rPr>
        <w:t xml:space="preserve">Les municipalités et les propriétaires terriens continuent de menacer d’expulsions forcées les personnes vivant dans les camps. Ces menaces sont souvent mises à exécution et accompagnées de l'usage de la force, d’actes d'intimidation avec peu ou pas de notification préalable. Dans certains cas une somme forfaitaire est </w:t>
      </w:r>
      <w:r>
        <w:rPr>
          <w:rFonts w:ascii="Times New Roman" w:eastAsia="Times New Roman" w:hAnsi="Times New Roman"/>
          <w:sz w:val="24"/>
          <w:szCs w:val="24"/>
          <w:lang w:val="fr-FR"/>
        </w:rPr>
        <w:t>allouée</w:t>
      </w:r>
      <w:r w:rsidRPr="006900A2">
        <w:rPr>
          <w:rFonts w:ascii="Times New Roman" w:eastAsia="Times New Roman" w:hAnsi="Times New Roman"/>
          <w:sz w:val="24"/>
          <w:szCs w:val="24"/>
          <w:lang w:val="fr-FR"/>
        </w:rPr>
        <w:t>,</w:t>
      </w:r>
      <w:r>
        <w:rPr>
          <w:rFonts w:ascii="Times New Roman" w:eastAsia="Times New Roman" w:hAnsi="Times New Roman"/>
          <w:sz w:val="24"/>
          <w:szCs w:val="24"/>
          <w:lang w:val="fr-FR"/>
        </w:rPr>
        <w:t xml:space="preserve"> </w:t>
      </w:r>
      <w:r w:rsidRPr="006900A2">
        <w:rPr>
          <w:rFonts w:ascii="Times New Roman" w:eastAsia="Times New Roman" w:hAnsi="Times New Roman"/>
          <w:sz w:val="24"/>
          <w:szCs w:val="24"/>
          <w:lang w:val="fr-FR"/>
        </w:rPr>
        <w:t>sans</w:t>
      </w:r>
      <w:r>
        <w:rPr>
          <w:rFonts w:ascii="Times New Roman" w:eastAsia="Times New Roman" w:hAnsi="Times New Roman"/>
          <w:sz w:val="24"/>
          <w:szCs w:val="24"/>
          <w:lang w:val="fr-FR"/>
        </w:rPr>
        <w:t xml:space="preserve"> </w:t>
      </w:r>
      <w:r w:rsidRPr="006900A2">
        <w:rPr>
          <w:rFonts w:ascii="Times New Roman" w:eastAsia="Times New Roman" w:hAnsi="Times New Roman"/>
          <w:sz w:val="24"/>
          <w:szCs w:val="24"/>
          <w:lang w:val="fr-FR"/>
        </w:rPr>
        <w:t xml:space="preserve">alternative </w:t>
      </w:r>
      <w:r>
        <w:rPr>
          <w:rFonts w:ascii="Times New Roman" w:eastAsia="Times New Roman" w:hAnsi="Times New Roman"/>
          <w:sz w:val="24"/>
          <w:szCs w:val="24"/>
          <w:lang w:val="fr-FR"/>
        </w:rPr>
        <w:t>de</w:t>
      </w:r>
      <w:r w:rsidRPr="006900A2">
        <w:rPr>
          <w:rFonts w:ascii="Times New Roman" w:eastAsia="Times New Roman" w:hAnsi="Times New Roman"/>
          <w:sz w:val="24"/>
          <w:szCs w:val="24"/>
          <w:lang w:val="fr-FR"/>
        </w:rPr>
        <w:t xml:space="preserve"> logement. De même, des opérations d'expulsion ont été menées par la police, parfois avec le soutien de civils armés (cf. ci-dessus). Actuellement, plus de 70 % des camps sont situés sur des propriétés privées et sont donc extrêmement vul</w:t>
      </w:r>
      <w:r w:rsidR="00C91695">
        <w:rPr>
          <w:rFonts w:ascii="Times New Roman" w:eastAsia="Times New Roman" w:hAnsi="Times New Roman"/>
          <w:sz w:val="24"/>
          <w:szCs w:val="24"/>
          <w:lang w:val="fr-FR"/>
        </w:rPr>
        <w:t xml:space="preserve">nérables aux expulsions forcées </w:t>
      </w:r>
      <w:r w:rsidRPr="006900A2">
        <w:rPr>
          <w:rFonts w:ascii="Times New Roman" w:eastAsia="Times New Roman" w:hAnsi="Times New Roman"/>
          <w:sz w:val="24"/>
          <w:szCs w:val="24"/>
          <w:lang w:val="fr-FR"/>
        </w:rPr>
        <w:t xml:space="preserve">à l’instigation des propriétaires. Le gouvernement n'a pris aucune position officielle sur les expulsions forcées et n’a pas non plus fourni de soutien, </w:t>
      </w:r>
      <w:r w:rsidR="00C91695">
        <w:rPr>
          <w:rFonts w:ascii="Times New Roman" w:eastAsia="Times New Roman" w:hAnsi="Times New Roman"/>
          <w:sz w:val="24"/>
          <w:szCs w:val="24"/>
          <w:lang w:val="fr-FR"/>
        </w:rPr>
        <w:t>notamment sous la forme d’une</w:t>
      </w:r>
      <w:r w:rsidRPr="006900A2">
        <w:rPr>
          <w:rFonts w:ascii="Times New Roman" w:eastAsia="Times New Roman" w:hAnsi="Times New Roman"/>
          <w:sz w:val="24"/>
          <w:szCs w:val="24"/>
          <w:lang w:val="fr-FR"/>
        </w:rPr>
        <w:t xml:space="preserve"> compensation financière, aux propriétaires dont les terres ont été occupées par les personnes déplacées.</w:t>
      </w:r>
    </w:p>
    <w:p w:rsidR="008673B7" w:rsidRPr="006900A2" w:rsidRDefault="008673B7" w:rsidP="008673B7">
      <w:pPr>
        <w:spacing w:after="0" w:line="240" w:lineRule="auto"/>
        <w:jc w:val="both"/>
        <w:rPr>
          <w:rFonts w:ascii="Times New Roman" w:hAnsi="Times New Roman"/>
          <w:sz w:val="24"/>
          <w:szCs w:val="24"/>
          <w:lang w:val="fr-CA"/>
        </w:rPr>
      </w:pPr>
    </w:p>
    <w:p w:rsidR="008673B7" w:rsidRPr="006900A2" w:rsidRDefault="008673B7" w:rsidP="008673B7">
      <w:pPr>
        <w:spacing w:after="0" w:line="240" w:lineRule="auto"/>
        <w:jc w:val="both"/>
        <w:rPr>
          <w:rFonts w:ascii="Times New Roman" w:eastAsia="Times New Roman" w:hAnsi="Times New Roman"/>
          <w:color w:val="000000"/>
          <w:sz w:val="24"/>
          <w:szCs w:val="24"/>
          <w:lang w:val="fr-FR"/>
        </w:rPr>
      </w:pPr>
      <w:r w:rsidRPr="006900A2">
        <w:rPr>
          <w:rFonts w:ascii="Times New Roman" w:eastAsia="Times New Roman" w:hAnsi="Times New Roman"/>
          <w:color w:val="000000"/>
          <w:sz w:val="24"/>
          <w:szCs w:val="24"/>
          <w:lang w:val="fr-FR"/>
        </w:rPr>
        <w:t xml:space="preserve">Ainsi, le 3 octobre, la SDH a reçu des allégations concernant une menace d'expulsion contre la population qui vit dans le camp </w:t>
      </w:r>
      <w:r w:rsidR="009928D4" w:rsidRPr="006900A2">
        <w:rPr>
          <w:rFonts w:ascii="Times New Roman" w:eastAsia="Times New Roman" w:hAnsi="Times New Roman"/>
          <w:i/>
          <w:iCs/>
          <w:color w:val="000000"/>
          <w:sz w:val="24"/>
          <w:szCs w:val="24"/>
          <w:lang w:val="fr-FR"/>
        </w:rPr>
        <w:t>Vénus</w:t>
      </w:r>
      <w:r w:rsidR="009928D4" w:rsidRPr="006900A2">
        <w:rPr>
          <w:rFonts w:ascii="Times New Roman" w:eastAsia="Times New Roman" w:hAnsi="Times New Roman"/>
          <w:color w:val="000000"/>
          <w:sz w:val="24"/>
          <w:szCs w:val="24"/>
          <w:lang w:val="fr-FR"/>
        </w:rPr>
        <w:t xml:space="preserve"> </w:t>
      </w:r>
      <w:r w:rsidRPr="006900A2">
        <w:rPr>
          <w:rFonts w:ascii="Times New Roman" w:eastAsia="Times New Roman" w:hAnsi="Times New Roman"/>
          <w:i/>
          <w:iCs/>
          <w:color w:val="000000"/>
          <w:sz w:val="24"/>
          <w:szCs w:val="24"/>
          <w:lang w:val="fr-FR"/>
        </w:rPr>
        <w:t xml:space="preserve">2 </w:t>
      </w:r>
      <w:r w:rsidRPr="006900A2">
        <w:rPr>
          <w:rFonts w:ascii="Times New Roman" w:eastAsia="Times New Roman" w:hAnsi="Times New Roman"/>
          <w:color w:val="000000"/>
          <w:sz w:val="24"/>
          <w:szCs w:val="24"/>
          <w:lang w:val="fr-FR"/>
        </w:rPr>
        <w:t xml:space="preserve">(Carrefour feuille), département de l’Ouest, situé sur un terrain privé. Le camp </w:t>
      </w:r>
      <w:r>
        <w:rPr>
          <w:rFonts w:ascii="Times New Roman" w:eastAsia="Times New Roman" w:hAnsi="Times New Roman"/>
          <w:color w:val="000000"/>
          <w:sz w:val="24"/>
          <w:szCs w:val="24"/>
          <w:lang w:val="fr-FR"/>
        </w:rPr>
        <w:t>était alors</w:t>
      </w:r>
      <w:r w:rsidRPr="006900A2">
        <w:rPr>
          <w:rFonts w:ascii="Times New Roman" w:eastAsia="Times New Roman" w:hAnsi="Times New Roman"/>
          <w:color w:val="000000"/>
          <w:sz w:val="24"/>
          <w:szCs w:val="24"/>
          <w:lang w:val="fr-FR"/>
        </w:rPr>
        <w:t xml:space="preserve"> occupé par 47 familles (environ 200 personnes) vivant dans des conditions très précaires (pas de latrines, pas d'eau potable et insécurité). </w:t>
      </w:r>
      <w:r>
        <w:rPr>
          <w:rFonts w:ascii="Times New Roman" w:eastAsia="Times New Roman" w:hAnsi="Times New Roman"/>
          <w:color w:val="000000"/>
          <w:sz w:val="24"/>
          <w:szCs w:val="24"/>
          <w:lang w:val="fr-FR"/>
        </w:rPr>
        <w:t>D</w:t>
      </w:r>
      <w:r w:rsidRPr="006900A2">
        <w:rPr>
          <w:rFonts w:ascii="Times New Roman" w:eastAsia="Times New Roman" w:hAnsi="Times New Roman"/>
          <w:color w:val="000000"/>
          <w:sz w:val="24"/>
          <w:szCs w:val="24"/>
          <w:lang w:val="fr-FR"/>
        </w:rPr>
        <w:t xml:space="preserve">ébut 2012, le propriétaire du terrain a tenté d'expulser les familles et leur a donné un délai de six mois après les négociations. En septembre, le délai de six mois a été renouvelé, mais le propriétaire a indiqué qu’il refuserait désormais toute nouvelle négociation. </w:t>
      </w:r>
    </w:p>
    <w:p w:rsidR="008673B7" w:rsidRPr="006900A2" w:rsidRDefault="008673B7" w:rsidP="008673B7">
      <w:pPr>
        <w:spacing w:after="0" w:line="240" w:lineRule="auto"/>
        <w:jc w:val="both"/>
        <w:rPr>
          <w:rFonts w:eastAsia="Times New Roman" w:cs="Calibri"/>
          <w:lang w:val="fr-CA"/>
        </w:rPr>
      </w:pPr>
    </w:p>
    <w:p w:rsidR="008673B7" w:rsidRPr="006900A2" w:rsidRDefault="008673B7" w:rsidP="008673B7">
      <w:pPr>
        <w:spacing w:after="0" w:line="240" w:lineRule="auto"/>
        <w:jc w:val="both"/>
        <w:rPr>
          <w:rFonts w:eastAsia="Times New Roman" w:cs="Calibri"/>
          <w:lang w:val="fr-CA"/>
        </w:rPr>
      </w:pPr>
      <w:r w:rsidRPr="006900A2">
        <w:rPr>
          <w:rFonts w:ascii="Times New Roman" w:eastAsia="Times New Roman" w:hAnsi="Times New Roman"/>
          <w:sz w:val="24"/>
          <w:szCs w:val="24"/>
          <w:lang w:val="fr-FR"/>
        </w:rPr>
        <w:t>La SDH demeure préoccupée par les tensions croissantes entre les propriétaires fonciers privés et les habitants des camps vivant sur leurs terres, d’autant que le gouvernement</w:t>
      </w:r>
      <w:r>
        <w:rPr>
          <w:rFonts w:ascii="Times New Roman" w:eastAsia="Times New Roman" w:hAnsi="Times New Roman"/>
          <w:sz w:val="24"/>
          <w:szCs w:val="24"/>
          <w:lang w:val="fr-FR"/>
        </w:rPr>
        <w:t>, ayant donné la priorité à la fermeture des camps se trouvant sur des espaces publiques, des terrains à risque et des bâtiments d’utilité publique comme des écoles et des hôpitaux,</w:t>
      </w:r>
      <w:r w:rsidRPr="006900A2">
        <w:rPr>
          <w:rFonts w:ascii="Times New Roman" w:eastAsia="Times New Roman" w:hAnsi="Times New Roman"/>
          <w:sz w:val="24"/>
          <w:szCs w:val="24"/>
          <w:lang w:val="fr-FR"/>
        </w:rPr>
        <w:t xml:space="preserve"> n'a pas adopté de mesures adéquates pour remédier à cette situation. Beaucoup de camps</w:t>
      </w:r>
      <w:r>
        <w:rPr>
          <w:rFonts w:ascii="Times New Roman" w:eastAsia="Times New Roman" w:hAnsi="Times New Roman"/>
          <w:sz w:val="24"/>
          <w:szCs w:val="24"/>
          <w:lang w:val="fr-FR"/>
        </w:rPr>
        <w:t>, qui se trouvent sur</w:t>
      </w:r>
      <w:r w:rsidR="009928D4">
        <w:rPr>
          <w:rFonts w:ascii="Times New Roman" w:eastAsia="Times New Roman" w:hAnsi="Times New Roman"/>
          <w:sz w:val="24"/>
          <w:szCs w:val="24"/>
          <w:lang w:val="fr-FR"/>
        </w:rPr>
        <w:t xml:space="preserve"> des</w:t>
      </w:r>
      <w:r>
        <w:rPr>
          <w:rFonts w:ascii="Times New Roman" w:eastAsia="Times New Roman" w:hAnsi="Times New Roman"/>
          <w:sz w:val="24"/>
          <w:szCs w:val="24"/>
          <w:lang w:val="fr-FR"/>
        </w:rPr>
        <w:t xml:space="preserve"> terrains privés,</w:t>
      </w:r>
      <w:r w:rsidRPr="006900A2">
        <w:rPr>
          <w:rFonts w:ascii="Times New Roman" w:eastAsia="Times New Roman" w:hAnsi="Times New Roman"/>
          <w:sz w:val="24"/>
          <w:szCs w:val="24"/>
          <w:lang w:val="fr-FR"/>
        </w:rPr>
        <w:t xml:space="preserve"> ne sont pas</w:t>
      </w:r>
      <w:r>
        <w:rPr>
          <w:rFonts w:ascii="Times New Roman" w:eastAsia="Times New Roman" w:hAnsi="Times New Roman"/>
          <w:sz w:val="24"/>
          <w:szCs w:val="24"/>
          <w:lang w:val="fr-FR"/>
        </w:rPr>
        <w:t xml:space="preserve"> encore</w:t>
      </w:r>
      <w:r w:rsidRPr="006900A2">
        <w:rPr>
          <w:rFonts w:ascii="Times New Roman" w:eastAsia="Times New Roman" w:hAnsi="Times New Roman"/>
          <w:sz w:val="24"/>
          <w:szCs w:val="24"/>
          <w:lang w:val="fr-FR"/>
        </w:rPr>
        <w:t xml:space="preserve"> pris en compte par les différents programmes de réinstallation. </w:t>
      </w:r>
      <w:r>
        <w:rPr>
          <w:rFonts w:ascii="Times New Roman" w:eastAsia="Times New Roman" w:hAnsi="Times New Roman"/>
          <w:sz w:val="24"/>
          <w:szCs w:val="24"/>
          <w:lang w:val="fr-FR"/>
        </w:rPr>
        <w:t xml:space="preserve">Les conditions de vie </w:t>
      </w:r>
      <w:r w:rsidRPr="006900A2">
        <w:rPr>
          <w:rFonts w:ascii="Times New Roman" w:eastAsia="Times New Roman" w:hAnsi="Times New Roman"/>
          <w:sz w:val="24"/>
          <w:szCs w:val="24"/>
          <w:lang w:val="fr-FR"/>
        </w:rPr>
        <w:t xml:space="preserve">dans </w:t>
      </w:r>
      <w:r w:rsidR="009928D4">
        <w:rPr>
          <w:rFonts w:ascii="Times New Roman" w:eastAsia="Times New Roman" w:hAnsi="Times New Roman"/>
          <w:sz w:val="24"/>
          <w:szCs w:val="24"/>
          <w:lang w:val="fr-FR"/>
        </w:rPr>
        <w:t>ces</w:t>
      </w:r>
      <w:r w:rsidRPr="006900A2">
        <w:rPr>
          <w:rFonts w:ascii="Times New Roman" w:eastAsia="Times New Roman" w:hAnsi="Times New Roman"/>
          <w:sz w:val="24"/>
          <w:szCs w:val="24"/>
          <w:lang w:val="fr-FR"/>
        </w:rPr>
        <w:t xml:space="preserve"> camps </w:t>
      </w:r>
      <w:r>
        <w:rPr>
          <w:rFonts w:ascii="Times New Roman" w:eastAsia="Times New Roman" w:hAnsi="Times New Roman"/>
          <w:sz w:val="24"/>
          <w:szCs w:val="24"/>
          <w:lang w:val="fr-FR"/>
        </w:rPr>
        <w:t>sont</w:t>
      </w:r>
      <w:r w:rsidRPr="006900A2">
        <w:rPr>
          <w:rFonts w:ascii="Times New Roman" w:eastAsia="Times New Roman" w:hAnsi="Times New Roman"/>
          <w:sz w:val="24"/>
          <w:szCs w:val="24"/>
          <w:lang w:val="fr-FR"/>
        </w:rPr>
        <w:t xml:space="preserve"> précaires. Ceci est principalement dû au fait que plusieurs partenaires ont quitté le pays sans planifier la transition. La tempête tropicale Isaac et l’ouragan Sandy ont révélé la vulnérabilité de ces populations. </w:t>
      </w:r>
      <w:r>
        <w:rPr>
          <w:rFonts w:ascii="Times New Roman" w:eastAsia="Times New Roman" w:hAnsi="Times New Roman"/>
          <w:sz w:val="24"/>
          <w:szCs w:val="24"/>
          <w:lang w:val="fr-FR"/>
        </w:rPr>
        <w:t>Il est essentiel</w:t>
      </w:r>
      <w:r w:rsidRPr="006900A2">
        <w:rPr>
          <w:rFonts w:ascii="Times New Roman" w:eastAsia="Times New Roman" w:hAnsi="Times New Roman"/>
          <w:sz w:val="24"/>
          <w:szCs w:val="24"/>
          <w:lang w:val="fr-FR"/>
        </w:rPr>
        <w:t xml:space="preserve"> que les autorités haïtiennes prennent leurs responsabilités et surtout </w:t>
      </w:r>
      <w:r>
        <w:rPr>
          <w:rFonts w:ascii="Times New Roman" w:eastAsia="Times New Roman" w:hAnsi="Times New Roman"/>
          <w:sz w:val="24"/>
          <w:szCs w:val="24"/>
          <w:lang w:val="fr-FR"/>
        </w:rPr>
        <w:t xml:space="preserve">impliquent </w:t>
      </w:r>
      <w:r w:rsidRPr="006900A2">
        <w:rPr>
          <w:rFonts w:ascii="Times New Roman" w:eastAsia="Times New Roman" w:hAnsi="Times New Roman"/>
          <w:sz w:val="24"/>
          <w:szCs w:val="24"/>
          <w:lang w:val="fr-FR"/>
        </w:rPr>
        <w:t>la Direction de la protection civile et les maires dans les processus de négociation et de médiation entre les habitants des camps et les propriétaires fonciers.</w:t>
      </w:r>
    </w:p>
    <w:p w:rsidR="008673B7" w:rsidRPr="006900A2" w:rsidRDefault="008673B7" w:rsidP="008673B7">
      <w:pPr>
        <w:spacing w:after="0" w:line="240" w:lineRule="auto"/>
        <w:jc w:val="both"/>
        <w:rPr>
          <w:rFonts w:ascii="Times New Roman" w:eastAsia="Times New Roman" w:hAnsi="Times New Roman"/>
          <w:sz w:val="24"/>
          <w:szCs w:val="24"/>
          <w:lang w:val="fr-CA"/>
        </w:rPr>
      </w:pPr>
    </w:p>
    <w:p w:rsidR="008673B7" w:rsidRPr="006900A2" w:rsidRDefault="008673B7" w:rsidP="008673B7">
      <w:pPr>
        <w:spacing w:after="0" w:line="240" w:lineRule="auto"/>
        <w:jc w:val="both"/>
        <w:rPr>
          <w:rFonts w:eastAsia="Times New Roman" w:cs="Calibri"/>
          <w:lang w:val="fr-CA"/>
        </w:rPr>
      </w:pPr>
      <w:r w:rsidRPr="006900A2">
        <w:rPr>
          <w:rFonts w:ascii="Times New Roman" w:eastAsia="Times New Roman" w:hAnsi="Times New Roman"/>
          <w:sz w:val="24"/>
          <w:szCs w:val="24"/>
          <w:lang w:val="fr-FR"/>
        </w:rPr>
        <w:t xml:space="preserve">Le </w:t>
      </w:r>
      <w:r>
        <w:rPr>
          <w:rFonts w:ascii="Times New Roman" w:eastAsia="Times New Roman" w:hAnsi="Times New Roman"/>
          <w:sz w:val="24"/>
          <w:szCs w:val="24"/>
          <w:lang w:val="fr-FR"/>
        </w:rPr>
        <w:t>m</w:t>
      </w:r>
      <w:r w:rsidRPr="006900A2">
        <w:rPr>
          <w:rFonts w:ascii="Times New Roman" w:eastAsia="Times New Roman" w:hAnsi="Times New Roman"/>
          <w:sz w:val="24"/>
          <w:szCs w:val="24"/>
          <w:lang w:val="fr-FR"/>
        </w:rPr>
        <w:t xml:space="preserve">inistère de la </w:t>
      </w:r>
      <w:r>
        <w:rPr>
          <w:rFonts w:ascii="Times New Roman" w:eastAsia="Times New Roman" w:hAnsi="Times New Roman"/>
          <w:sz w:val="24"/>
          <w:szCs w:val="24"/>
          <w:lang w:val="fr-FR"/>
        </w:rPr>
        <w:t>P</w:t>
      </w:r>
      <w:r w:rsidRPr="006900A2">
        <w:rPr>
          <w:rFonts w:ascii="Times New Roman" w:eastAsia="Times New Roman" w:hAnsi="Times New Roman"/>
          <w:sz w:val="24"/>
          <w:szCs w:val="24"/>
          <w:lang w:val="fr-FR"/>
        </w:rPr>
        <w:t xml:space="preserve">lanification et des </w:t>
      </w:r>
      <w:r>
        <w:rPr>
          <w:rFonts w:ascii="Times New Roman" w:eastAsia="Times New Roman" w:hAnsi="Times New Roman"/>
          <w:sz w:val="24"/>
          <w:szCs w:val="24"/>
          <w:lang w:val="fr-FR"/>
        </w:rPr>
        <w:t>F</w:t>
      </w:r>
      <w:r w:rsidRPr="006900A2">
        <w:rPr>
          <w:rFonts w:ascii="Times New Roman" w:eastAsia="Times New Roman" w:hAnsi="Times New Roman"/>
          <w:sz w:val="24"/>
          <w:szCs w:val="24"/>
          <w:lang w:val="fr-FR"/>
        </w:rPr>
        <w:t xml:space="preserve">inances, le </w:t>
      </w:r>
      <w:r>
        <w:rPr>
          <w:rFonts w:ascii="Times New Roman" w:eastAsia="Times New Roman" w:hAnsi="Times New Roman"/>
          <w:sz w:val="24"/>
          <w:szCs w:val="24"/>
          <w:lang w:val="fr-FR"/>
        </w:rPr>
        <w:t>m</w:t>
      </w:r>
      <w:r w:rsidRPr="006900A2">
        <w:rPr>
          <w:rFonts w:ascii="Times New Roman" w:eastAsia="Times New Roman" w:hAnsi="Times New Roman"/>
          <w:sz w:val="24"/>
          <w:szCs w:val="24"/>
          <w:lang w:val="fr-FR"/>
        </w:rPr>
        <w:t xml:space="preserve">inistère des </w:t>
      </w:r>
      <w:r>
        <w:rPr>
          <w:rFonts w:ascii="Times New Roman" w:eastAsia="Times New Roman" w:hAnsi="Times New Roman"/>
          <w:sz w:val="24"/>
          <w:szCs w:val="24"/>
          <w:lang w:val="fr-FR"/>
        </w:rPr>
        <w:t>A</w:t>
      </w:r>
      <w:r w:rsidRPr="006900A2">
        <w:rPr>
          <w:rFonts w:ascii="Times New Roman" w:eastAsia="Times New Roman" w:hAnsi="Times New Roman"/>
          <w:sz w:val="24"/>
          <w:szCs w:val="24"/>
          <w:lang w:val="fr-FR"/>
        </w:rPr>
        <w:t xml:space="preserve">ffaires sociales et du </w:t>
      </w:r>
      <w:r>
        <w:rPr>
          <w:rFonts w:ascii="Times New Roman" w:eastAsia="Times New Roman" w:hAnsi="Times New Roman"/>
          <w:sz w:val="24"/>
          <w:szCs w:val="24"/>
          <w:lang w:val="fr-FR"/>
        </w:rPr>
        <w:t>T</w:t>
      </w:r>
      <w:r w:rsidRPr="006900A2">
        <w:rPr>
          <w:rFonts w:ascii="Times New Roman" w:eastAsia="Times New Roman" w:hAnsi="Times New Roman"/>
          <w:sz w:val="24"/>
          <w:szCs w:val="24"/>
          <w:lang w:val="fr-FR"/>
        </w:rPr>
        <w:t xml:space="preserve">ravail (MAST) et la Direction de la protection civile du </w:t>
      </w:r>
      <w:r>
        <w:rPr>
          <w:rFonts w:ascii="Times New Roman" w:eastAsia="Times New Roman" w:hAnsi="Times New Roman"/>
          <w:sz w:val="24"/>
          <w:szCs w:val="24"/>
          <w:lang w:val="fr-FR"/>
        </w:rPr>
        <w:t>m</w:t>
      </w:r>
      <w:r w:rsidRPr="006900A2">
        <w:rPr>
          <w:rFonts w:ascii="Times New Roman" w:eastAsia="Times New Roman" w:hAnsi="Times New Roman"/>
          <w:sz w:val="24"/>
          <w:szCs w:val="24"/>
          <w:lang w:val="fr-FR"/>
        </w:rPr>
        <w:t>inistère de l'</w:t>
      </w:r>
      <w:r>
        <w:rPr>
          <w:rFonts w:ascii="Times New Roman" w:eastAsia="Times New Roman" w:hAnsi="Times New Roman"/>
          <w:sz w:val="24"/>
          <w:szCs w:val="24"/>
          <w:lang w:val="fr-FR"/>
        </w:rPr>
        <w:t>I</w:t>
      </w:r>
      <w:r w:rsidRPr="006900A2">
        <w:rPr>
          <w:rFonts w:ascii="Times New Roman" w:eastAsia="Times New Roman" w:hAnsi="Times New Roman"/>
          <w:sz w:val="24"/>
          <w:szCs w:val="24"/>
          <w:lang w:val="fr-FR"/>
        </w:rPr>
        <w:t>ntérieur, tant au niveau central que local, se sont familiarisés avec les outils et méthodologie dérivée de l'approche basé</w:t>
      </w:r>
      <w:r>
        <w:rPr>
          <w:rFonts w:ascii="Times New Roman" w:eastAsia="Times New Roman" w:hAnsi="Times New Roman"/>
          <w:sz w:val="24"/>
          <w:szCs w:val="24"/>
          <w:lang w:val="fr-FR"/>
        </w:rPr>
        <w:t>e</w:t>
      </w:r>
      <w:r w:rsidRPr="006900A2">
        <w:rPr>
          <w:rFonts w:ascii="Times New Roman" w:eastAsia="Times New Roman" w:hAnsi="Times New Roman"/>
          <w:sz w:val="24"/>
          <w:szCs w:val="24"/>
          <w:lang w:val="fr-FR"/>
        </w:rPr>
        <w:t xml:space="preserve"> sur les droits de l’homme et les principes de protection pour la programmation et la planification des politiques publiques. Elles intègrent de plus en plus les normes et les principes de protection dans leur travail.</w:t>
      </w:r>
    </w:p>
    <w:p w:rsidR="008673B7" w:rsidRPr="006900A2" w:rsidRDefault="008673B7" w:rsidP="008673B7">
      <w:pPr>
        <w:spacing w:after="0" w:line="240" w:lineRule="auto"/>
        <w:jc w:val="both"/>
        <w:rPr>
          <w:rFonts w:ascii="Times New Roman" w:eastAsia="Times New Roman" w:hAnsi="Times New Roman"/>
          <w:sz w:val="24"/>
          <w:szCs w:val="24"/>
          <w:lang w:val="fr-CA"/>
        </w:rPr>
      </w:pPr>
    </w:p>
    <w:p w:rsidR="008673B7" w:rsidRPr="006900A2" w:rsidRDefault="008673B7" w:rsidP="008673B7">
      <w:pPr>
        <w:spacing w:after="0" w:line="240" w:lineRule="auto"/>
        <w:jc w:val="both"/>
        <w:rPr>
          <w:rFonts w:eastAsia="Times New Roman" w:cs="Calibri"/>
          <w:lang w:val="fr-CA"/>
        </w:rPr>
      </w:pPr>
      <w:r w:rsidRPr="006900A2">
        <w:rPr>
          <w:rFonts w:ascii="Times New Roman" w:eastAsia="Times New Roman" w:hAnsi="Times New Roman"/>
          <w:sz w:val="24"/>
          <w:szCs w:val="24"/>
          <w:lang w:val="fr-FR"/>
        </w:rPr>
        <w:t xml:space="preserve">Ces entités étatiques </w:t>
      </w:r>
      <w:r>
        <w:rPr>
          <w:rFonts w:ascii="Times New Roman" w:eastAsia="Times New Roman" w:hAnsi="Times New Roman"/>
          <w:sz w:val="24"/>
          <w:szCs w:val="24"/>
          <w:lang w:val="fr-FR"/>
        </w:rPr>
        <w:t>ont ainsi établi</w:t>
      </w:r>
      <w:r w:rsidRPr="006900A2">
        <w:rPr>
          <w:rFonts w:ascii="Times New Roman" w:eastAsia="Times New Roman" w:hAnsi="Times New Roman"/>
          <w:sz w:val="24"/>
          <w:szCs w:val="24"/>
          <w:lang w:val="fr-FR"/>
        </w:rPr>
        <w:t xml:space="preserve"> des critères de vulnérabilité pour la sélection des camps pour les programmes de retour et de réinstallation, en consultation avec le</w:t>
      </w:r>
      <w:r>
        <w:rPr>
          <w:rFonts w:ascii="Times New Roman" w:eastAsia="Times New Roman" w:hAnsi="Times New Roman"/>
          <w:sz w:val="24"/>
          <w:szCs w:val="24"/>
          <w:lang w:val="fr-FR"/>
        </w:rPr>
        <w:t xml:space="preserve"> </w:t>
      </w:r>
      <w:r w:rsidRPr="00DC1DA3">
        <w:rPr>
          <w:rFonts w:ascii="Times New Roman" w:eastAsia="Times New Roman" w:hAnsi="Times New Roman"/>
          <w:i/>
          <w:sz w:val="24"/>
          <w:szCs w:val="24"/>
          <w:lang w:val="fr-FR"/>
        </w:rPr>
        <w:t xml:space="preserve">Cluster </w:t>
      </w:r>
      <w:r>
        <w:rPr>
          <w:rFonts w:ascii="Times New Roman" w:eastAsia="Times New Roman" w:hAnsi="Times New Roman"/>
          <w:sz w:val="24"/>
          <w:szCs w:val="24"/>
          <w:lang w:val="fr-FR"/>
        </w:rPr>
        <w:t xml:space="preserve">Coordination et Gestion des camps / Abris d’urgence, le </w:t>
      </w:r>
      <w:r w:rsidRPr="00576A82">
        <w:rPr>
          <w:rFonts w:ascii="Times New Roman" w:eastAsia="Times New Roman" w:hAnsi="Times New Roman"/>
          <w:i/>
          <w:sz w:val="24"/>
          <w:szCs w:val="24"/>
          <w:lang w:val="fr-FR"/>
        </w:rPr>
        <w:t xml:space="preserve">Cluster </w:t>
      </w:r>
      <w:r>
        <w:rPr>
          <w:rFonts w:ascii="Times New Roman" w:eastAsia="Times New Roman" w:hAnsi="Times New Roman"/>
          <w:sz w:val="24"/>
          <w:szCs w:val="24"/>
          <w:lang w:val="fr-FR"/>
        </w:rPr>
        <w:t xml:space="preserve">Education et le </w:t>
      </w:r>
      <w:r w:rsidRPr="00576A82">
        <w:rPr>
          <w:rFonts w:ascii="Times New Roman" w:eastAsia="Times New Roman" w:hAnsi="Times New Roman"/>
          <w:i/>
          <w:sz w:val="24"/>
          <w:szCs w:val="24"/>
          <w:lang w:val="fr-FR"/>
        </w:rPr>
        <w:t>sous-Cluster</w:t>
      </w:r>
      <w:r>
        <w:rPr>
          <w:rFonts w:ascii="Times New Roman" w:eastAsia="Times New Roman" w:hAnsi="Times New Roman"/>
          <w:sz w:val="24"/>
          <w:szCs w:val="24"/>
          <w:lang w:val="fr-FR"/>
        </w:rPr>
        <w:t xml:space="preserve"> </w:t>
      </w:r>
      <w:r w:rsidRPr="006900A2">
        <w:rPr>
          <w:rFonts w:ascii="Times New Roman" w:eastAsia="Times New Roman" w:hAnsi="Times New Roman"/>
          <w:sz w:val="24"/>
          <w:szCs w:val="24"/>
          <w:lang w:val="fr-FR"/>
        </w:rPr>
        <w:t>Protection de l'enfance. Le HCDH/SDH continue de diriger le</w:t>
      </w:r>
      <w:r w:rsidRPr="00576A82">
        <w:rPr>
          <w:rFonts w:ascii="Times New Roman" w:eastAsia="Times New Roman" w:hAnsi="Times New Roman"/>
          <w:i/>
          <w:sz w:val="24"/>
          <w:szCs w:val="24"/>
          <w:lang w:val="fr-FR"/>
        </w:rPr>
        <w:t xml:space="preserve"> Cluster</w:t>
      </w:r>
      <w:r>
        <w:rPr>
          <w:rFonts w:ascii="Times New Roman" w:eastAsia="Times New Roman" w:hAnsi="Times New Roman"/>
          <w:sz w:val="24"/>
          <w:szCs w:val="24"/>
          <w:lang w:val="fr-FR"/>
        </w:rPr>
        <w:t xml:space="preserve"> </w:t>
      </w:r>
      <w:r w:rsidRPr="006900A2">
        <w:rPr>
          <w:rFonts w:ascii="Times New Roman" w:eastAsia="Times New Roman" w:hAnsi="Times New Roman"/>
          <w:sz w:val="24"/>
          <w:szCs w:val="24"/>
          <w:lang w:val="fr-FR"/>
        </w:rPr>
        <w:t>Protection</w:t>
      </w:r>
      <w:r>
        <w:rPr>
          <w:rStyle w:val="FootnoteReference"/>
          <w:rFonts w:ascii="Times New Roman" w:eastAsia="Times New Roman" w:hAnsi="Times New Roman"/>
          <w:sz w:val="24"/>
          <w:szCs w:val="24"/>
          <w:lang w:val="fr-FR"/>
        </w:rPr>
        <w:footnoteReference w:id="36"/>
      </w:r>
      <w:r w:rsidRPr="006900A2">
        <w:rPr>
          <w:rFonts w:ascii="Times New Roman" w:eastAsia="Times New Roman" w:hAnsi="Times New Roman"/>
          <w:sz w:val="24"/>
          <w:szCs w:val="24"/>
          <w:lang w:val="fr-FR"/>
        </w:rPr>
        <w:t>. Les principes de protection ont été intégrés dans le programme du gouvernement 16/6, mis en œuvre conjointement avec l'OIM, qui a pour but de fournir des solutions durables de retour aux personnes vivant dans les camps.</w:t>
      </w:r>
    </w:p>
    <w:p w:rsidR="008673B7" w:rsidRPr="006900A2" w:rsidRDefault="008673B7" w:rsidP="008673B7">
      <w:pPr>
        <w:keepNext/>
        <w:keepLines/>
        <w:spacing w:before="480" w:after="0"/>
        <w:outlineLvl w:val="0"/>
        <w:rPr>
          <w:rFonts w:ascii="Times New Roman" w:eastAsia="MS Mincho" w:hAnsi="Times New Roman"/>
          <w:b/>
          <w:bCs/>
          <w:color w:val="365F91" w:themeColor="accent1" w:themeShade="BF"/>
          <w:sz w:val="28"/>
          <w:szCs w:val="28"/>
          <w:lang w:val="fr-FR"/>
        </w:rPr>
      </w:pPr>
      <w:bookmarkStart w:id="52" w:name="_Toc350156726"/>
      <w:r w:rsidRPr="006900A2">
        <w:rPr>
          <w:rFonts w:ascii="Times New Roman" w:eastAsia="MS Mincho" w:hAnsi="Times New Roman"/>
          <w:b/>
          <w:bCs/>
          <w:color w:val="365F91" w:themeColor="accent1" w:themeShade="BF"/>
          <w:sz w:val="28"/>
          <w:szCs w:val="28"/>
          <w:lang w:val="fr-FR"/>
        </w:rPr>
        <w:t>V. DROITS DE L'HOMME ET POLITIQUES PUBLIQUES</w:t>
      </w:r>
      <w:bookmarkEnd w:id="52"/>
    </w:p>
    <w:p w:rsidR="008673B7" w:rsidRPr="006900A2" w:rsidRDefault="008673B7" w:rsidP="008673B7">
      <w:pPr>
        <w:spacing w:after="0" w:line="240" w:lineRule="auto"/>
        <w:jc w:val="both"/>
        <w:rPr>
          <w:rFonts w:ascii="Times New Roman" w:eastAsia="MS Mincho" w:hAnsi="Times New Roman"/>
          <w:b/>
          <w:sz w:val="24"/>
          <w:szCs w:val="24"/>
          <w:lang w:val="fr-FR"/>
        </w:rPr>
      </w:pPr>
    </w:p>
    <w:p w:rsidR="008673B7" w:rsidRPr="00DC37B4" w:rsidRDefault="008673B7" w:rsidP="008673B7">
      <w:pPr>
        <w:spacing w:after="0" w:line="240" w:lineRule="auto"/>
        <w:outlineLvl w:val="1"/>
        <w:rPr>
          <w:rFonts w:ascii="Verdana" w:eastAsia="MS Mincho" w:hAnsi="Verdana"/>
          <w:b/>
          <w:bCs/>
          <w:color w:val="000066"/>
          <w:sz w:val="20"/>
          <w:szCs w:val="20"/>
          <w:lang w:val="fr-FR"/>
        </w:rPr>
      </w:pPr>
      <w:bookmarkStart w:id="53" w:name="_Toc350156727"/>
      <w:r w:rsidRPr="00DC37B4">
        <w:rPr>
          <w:rFonts w:ascii="Verdana" w:eastAsia="MS Mincho" w:hAnsi="Verdana"/>
          <w:b/>
          <w:bCs/>
          <w:color w:val="000066"/>
          <w:sz w:val="20"/>
          <w:szCs w:val="20"/>
          <w:lang w:val="fr-FR"/>
        </w:rPr>
        <w:t>V.1. Participation de la population et de la société civile aux politiques publiques</w:t>
      </w:r>
      <w:bookmarkEnd w:id="53"/>
    </w:p>
    <w:p w:rsidR="008673B7" w:rsidRPr="006900A2" w:rsidRDefault="008673B7" w:rsidP="008673B7">
      <w:pPr>
        <w:autoSpaceDE w:val="0"/>
        <w:autoSpaceDN w:val="0"/>
        <w:adjustRightInd w:val="0"/>
        <w:spacing w:after="0" w:line="240" w:lineRule="auto"/>
        <w:jc w:val="both"/>
        <w:rPr>
          <w:rFonts w:ascii="Times New Roman" w:eastAsia="MS Mincho" w:hAnsi="Times New Roman"/>
          <w:sz w:val="24"/>
          <w:szCs w:val="24"/>
          <w:lang w:val="fr-FR"/>
        </w:rPr>
      </w:pP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r w:rsidRPr="006900A2">
        <w:rPr>
          <w:rFonts w:ascii="Times New Roman" w:eastAsia="MS Mincho" w:hAnsi="Times New Roman"/>
          <w:iCs/>
          <w:sz w:val="24"/>
          <w:szCs w:val="24"/>
          <w:lang w:val="fr-FR"/>
        </w:rPr>
        <w:t xml:space="preserve">Les politiques publiques, décidées et mises en œuvre par l’Etat, doivent assurer le respect des droits civils et politiques et permettre la réalisation progressive des droits économiques, sociaux et culturels. </w:t>
      </w:r>
      <w:r w:rsidR="00F830CC">
        <w:rPr>
          <w:rFonts w:ascii="Times New Roman" w:eastAsia="MS Mincho" w:hAnsi="Times New Roman"/>
          <w:iCs/>
          <w:sz w:val="24"/>
          <w:szCs w:val="24"/>
          <w:lang w:val="fr-FR"/>
        </w:rPr>
        <w:t>A cet égard, des initiatives prises par le gouvernement pour lutter contre la pauvreté extrême, tels que le programme national d’assistan</w:t>
      </w:r>
      <w:r w:rsidR="0014623A">
        <w:rPr>
          <w:rFonts w:ascii="Times New Roman" w:eastAsia="MS Mincho" w:hAnsi="Times New Roman"/>
          <w:iCs/>
          <w:sz w:val="24"/>
          <w:szCs w:val="24"/>
          <w:lang w:val="fr-FR"/>
        </w:rPr>
        <w:t>ce sociale EDE PEP</w:t>
      </w:r>
      <w:r w:rsidR="0014623A">
        <w:rPr>
          <w:rStyle w:val="FootnoteReference"/>
          <w:rFonts w:ascii="Times New Roman" w:eastAsia="MS Mincho" w:hAnsi="Times New Roman"/>
          <w:iCs/>
          <w:sz w:val="24"/>
          <w:szCs w:val="24"/>
          <w:lang w:val="fr-FR"/>
        </w:rPr>
        <w:footnoteReference w:id="37"/>
      </w:r>
      <w:r w:rsidR="0014623A">
        <w:rPr>
          <w:rFonts w:ascii="Times New Roman" w:eastAsia="MS Mincho" w:hAnsi="Times New Roman"/>
          <w:iCs/>
          <w:sz w:val="24"/>
          <w:szCs w:val="24"/>
          <w:lang w:val="fr-FR"/>
        </w:rPr>
        <w:t xml:space="preserve">, sont à saluer. </w:t>
      </w:r>
      <w:r w:rsidRPr="006900A2">
        <w:rPr>
          <w:rFonts w:ascii="Times New Roman" w:eastAsia="MS Mincho" w:hAnsi="Times New Roman"/>
          <w:iCs/>
          <w:sz w:val="24"/>
          <w:szCs w:val="24"/>
          <w:lang w:val="fr-FR"/>
        </w:rPr>
        <w:t xml:space="preserve">Par leur mandat et leur financement, d’autres acteurs notamment internationaux jouent un rôle important pour soutenir l’Etat dans l’élaboration et la mise en œuvre de politiques publiques. </w:t>
      </w: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6900A2" w:rsidRDefault="0014623A" w:rsidP="008673B7">
      <w:pPr>
        <w:autoSpaceDE w:val="0"/>
        <w:autoSpaceDN w:val="0"/>
        <w:adjustRightInd w:val="0"/>
        <w:spacing w:after="0" w:line="240" w:lineRule="auto"/>
        <w:jc w:val="both"/>
        <w:rPr>
          <w:rFonts w:ascii="Times New Roman" w:eastAsia="MS Mincho" w:hAnsi="Times New Roman"/>
          <w:iCs/>
          <w:sz w:val="24"/>
          <w:szCs w:val="24"/>
          <w:lang w:val="fr-FR"/>
        </w:rPr>
      </w:pPr>
      <w:r>
        <w:rPr>
          <w:rFonts w:ascii="Times New Roman" w:eastAsia="MS Mincho" w:hAnsi="Times New Roman"/>
          <w:iCs/>
          <w:sz w:val="24"/>
          <w:szCs w:val="24"/>
          <w:lang w:val="fr-FR"/>
        </w:rPr>
        <w:t>Dans ce contexte, l</w:t>
      </w:r>
      <w:r w:rsidR="008673B7" w:rsidRPr="006900A2">
        <w:rPr>
          <w:rFonts w:ascii="Times New Roman" w:eastAsia="MS Mincho" w:hAnsi="Times New Roman"/>
          <w:iCs/>
          <w:sz w:val="24"/>
          <w:szCs w:val="24"/>
          <w:lang w:val="fr-FR"/>
        </w:rPr>
        <w:t>a population doit être perçue</w:t>
      </w:r>
      <w:r w:rsidR="008673B7">
        <w:rPr>
          <w:rFonts w:ascii="Times New Roman" w:eastAsia="MS Mincho" w:hAnsi="Times New Roman"/>
          <w:iCs/>
          <w:sz w:val="24"/>
          <w:szCs w:val="24"/>
          <w:lang w:val="fr-FR"/>
        </w:rPr>
        <w:t xml:space="preserve"> non</w:t>
      </w:r>
      <w:r w:rsidR="008673B7" w:rsidRPr="006900A2">
        <w:rPr>
          <w:rFonts w:ascii="Times New Roman" w:eastAsia="MS Mincho" w:hAnsi="Times New Roman"/>
          <w:iCs/>
          <w:sz w:val="24"/>
          <w:szCs w:val="24"/>
          <w:lang w:val="fr-FR"/>
        </w:rPr>
        <w:t xml:space="preserve"> seulement comme bénéficiaire des politiques publiques mais </w:t>
      </w:r>
      <w:r w:rsidR="006760C4">
        <w:rPr>
          <w:rFonts w:ascii="Times New Roman" w:eastAsia="MS Mincho" w:hAnsi="Times New Roman"/>
          <w:iCs/>
          <w:sz w:val="24"/>
          <w:szCs w:val="24"/>
          <w:lang w:val="fr-FR"/>
        </w:rPr>
        <w:t xml:space="preserve">aussi </w:t>
      </w:r>
      <w:r w:rsidR="008673B7" w:rsidRPr="006900A2">
        <w:rPr>
          <w:rFonts w:ascii="Times New Roman" w:eastAsia="MS Mincho" w:hAnsi="Times New Roman"/>
          <w:iCs/>
          <w:sz w:val="24"/>
          <w:szCs w:val="24"/>
          <w:lang w:val="fr-FR"/>
        </w:rPr>
        <w:t>comme un acteur à part entière dans le développement de</w:t>
      </w:r>
      <w:r w:rsidR="006760C4">
        <w:rPr>
          <w:rFonts w:ascii="Times New Roman" w:eastAsia="MS Mincho" w:hAnsi="Times New Roman"/>
          <w:iCs/>
          <w:sz w:val="24"/>
          <w:szCs w:val="24"/>
          <w:lang w:val="fr-FR"/>
        </w:rPr>
        <w:t xml:space="preserve"> ce</w:t>
      </w:r>
      <w:r w:rsidR="008673B7" w:rsidRPr="006900A2">
        <w:rPr>
          <w:rFonts w:ascii="Times New Roman" w:eastAsia="MS Mincho" w:hAnsi="Times New Roman"/>
          <w:iCs/>
          <w:sz w:val="24"/>
          <w:szCs w:val="24"/>
          <w:lang w:val="fr-FR"/>
        </w:rPr>
        <w:t>s politique</w:t>
      </w:r>
      <w:r w:rsidR="006760C4">
        <w:rPr>
          <w:rFonts w:ascii="Times New Roman" w:eastAsia="MS Mincho" w:hAnsi="Times New Roman"/>
          <w:iCs/>
          <w:sz w:val="24"/>
          <w:szCs w:val="24"/>
          <w:lang w:val="fr-FR"/>
        </w:rPr>
        <w:t>s</w:t>
      </w:r>
      <w:r w:rsidR="008673B7" w:rsidRPr="006900A2">
        <w:rPr>
          <w:rFonts w:ascii="Times New Roman" w:eastAsia="MS Mincho" w:hAnsi="Times New Roman"/>
          <w:iCs/>
          <w:sz w:val="24"/>
          <w:szCs w:val="24"/>
          <w:lang w:val="fr-FR"/>
        </w:rPr>
        <w:t xml:space="preserve">, </w:t>
      </w:r>
      <w:r w:rsidR="006760C4">
        <w:rPr>
          <w:rFonts w:ascii="Times New Roman" w:eastAsia="MS Mincho" w:hAnsi="Times New Roman"/>
          <w:iCs/>
          <w:sz w:val="24"/>
          <w:szCs w:val="24"/>
          <w:lang w:val="fr-FR"/>
        </w:rPr>
        <w:t xml:space="preserve">qui doit être </w:t>
      </w:r>
      <w:r w:rsidR="008673B7" w:rsidRPr="006900A2">
        <w:rPr>
          <w:rFonts w:ascii="Times New Roman" w:eastAsia="MS Mincho" w:hAnsi="Times New Roman"/>
          <w:iCs/>
          <w:sz w:val="24"/>
          <w:szCs w:val="24"/>
          <w:lang w:val="fr-FR"/>
        </w:rPr>
        <w:t xml:space="preserve">consulté, écouté et </w:t>
      </w:r>
      <w:r w:rsidR="006760C4">
        <w:rPr>
          <w:rFonts w:ascii="Times New Roman" w:eastAsia="MS Mincho" w:hAnsi="Times New Roman"/>
          <w:iCs/>
          <w:sz w:val="24"/>
          <w:szCs w:val="24"/>
          <w:lang w:val="fr-FR"/>
        </w:rPr>
        <w:t>considéré comme</w:t>
      </w:r>
      <w:r w:rsidR="008673B7" w:rsidRPr="006900A2">
        <w:rPr>
          <w:rFonts w:ascii="Times New Roman" w:eastAsia="MS Mincho" w:hAnsi="Times New Roman"/>
          <w:iCs/>
          <w:sz w:val="24"/>
          <w:szCs w:val="24"/>
          <w:lang w:val="fr-FR"/>
        </w:rPr>
        <w:t xml:space="preserve"> une force de proposition. Il est primordial que les attentes et besoins de la population soient pris en compte lors de l’élaboration de politiques publiques. En effet, la population est</w:t>
      </w:r>
      <w:r w:rsidR="006760C4">
        <w:rPr>
          <w:rFonts w:ascii="Times New Roman" w:eastAsia="MS Mincho" w:hAnsi="Times New Roman"/>
          <w:iCs/>
          <w:sz w:val="24"/>
          <w:szCs w:val="24"/>
          <w:lang w:val="fr-FR"/>
        </w:rPr>
        <w:t xml:space="preserve"> </w:t>
      </w:r>
      <w:r w:rsidR="008673B7" w:rsidRPr="006900A2">
        <w:rPr>
          <w:rFonts w:ascii="Times New Roman" w:eastAsia="MS Mincho" w:hAnsi="Times New Roman"/>
          <w:iCs/>
          <w:sz w:val="24"/>
          <w:szCs w:val="24"/>
          <w:lang w:val="fr-FR"/>
        </w:rPr>
        <w:t xml:space="preserve">capable </w:t>
      </w:r>
      <w:r w:rsidR="00E54380">
        <w:rPr>
          <w:rFonts w:ascii="Times New Roman" w:eastAsia="MS Mincho" w:hAnsi="Times New Roman"/>
          <w:iCs/>
          <w:sz w:val="24"/>
          <w:szCs w:val="24"/>
          <w:lang w:val="fr-FR"/>
        </w:rPr>
        <w:t xml:space="preserve">en premier lieu </w:t>
      </w:r>
      <w:r w:rsidR="008673B7" w:rsidRPr="006900A2">
        <w:rPr>
          <w:rFonts w:ascii="Times New Roman" w:eastAsia="MS Mincho" w:hAnsi="Times New Roman"/>
          <w:iCs/>
          <w:sz w:val="24"/>
          <w:szCs w:val="24"/>
          <w:lang w:val="fr-FR"/>
        </w:rPr>
        <w:t>d’identifier les priorités d’actions en matière de développement. Il revient aux élus et autorités étatiques de coordonner la réponse donnée à ces priorités et d’allouer les moyens nécessaires pour que cette réponse soit appropriée et efficace.</w:t>
      </w:r>
    </w:p>
    <w:p w:rsidR="008673B7"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DC37B4" w:rsidRDefault="008673B7" w:rsidP="008673B7">
      <w:pPr>
        <w:spacing w:after="0" w:line="240" w:lineRule="auto"/>
        <w:outlineLvl w:val="1"/>
        <w:rPr>
          <w:rFonts w:ascii="Verdana" w:eastAsia="MS Mincho" w:hAnsi="Verdana"/>
          <w:b/>
          <w:bCs/>
          <w:color w:val="000066"/>
          <w:sz w:val="20"/>
          <w:szCs w:val="20"/>
          <w:lang w:val="fr-FR"/>
        </w:rPr>
      </w:pPr>
      <w:bookmarkStart w:id="54" w:name="_Toc350156728"/>
      <w:r w:rsidRPr="00DC37B4">
        <w:rPr>
          <w:rFonts w:ascii="Verdana" w:eastAsia="MS Mincho" w:hAnsi="Verdana"/>
          <w:b/>
          <w:bCs/>
          <w:color w:val="000066"/>
          <w:sz w:val="20"/>
          <w:szCs w:val="20"/>
          <w:lang w:val="fr-FR"/>
        </w:rPr>
        <w:t>V.2. Modes d’expression et de participation de la population et de la société civile</w:t>
      </w:r>
      <w:bookmarkEnd w:id="54"/>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r w:rsidRPr="006900A2">
        <w:rPr>
          <w:rFonts w:ascii="Times New Roman" w:eastAsia="MS Mincho" w:hAnsi="Times New Roman"/>
          <w:iCs/>
          <w:sz w:val="24"/>
          <w:szCs w:val="24"/>
          <w:lang w:val="fr-FR"/>
        </w:rPr>
        <w:t>La population haïtienne a régulièrement eu recours à l’organisation de manifestations pour protester contre ses conditions de vie, exprimer son refus face à des décisions et actions entreprises par les autorités ou</w:t>
      </w:r>
      <w:r w:rsidR="006760C4">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à l’inverse</w:t>
      </w:r>
      <w:r w:rsidR="006760C4">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pour demander des décisions et actions. Au cours du second semestre 2012, des manifestations ont ainsi eu lieu pour protester contre la vie chère, l’absence </w:t>
      </w:r>
      <w:r w:rsidR="00E54380">
        <w:rPr>
          <w:rFonts w:ascii="Times New Roman" w:eastAsia="MS Mincho" w:hAnsi="Times New Roman"/>
          <w:iCs/>
          <w:sz w:val="24"/>
          <w:szCs w:val="24"/>
          <w:lang w:val="fr-FR"/>
        </w:rPr>
        <w:t xml:space="preserve">ou la distribution inéquitable </w:t>
      </w:r>
      <w:r w:rsidRPr="006900A2">
        <w:rPr>
          <w:rFonts w:ascii="Times New Roman" w:eastAsia="MS Mincho" w:hAnsi="Times New Roman"/>
          <w:iCs/>
          <w:sz w:val="24"/>
          <w:szCs w:val="24"/>
          <w:lang w:val="fr-FR"/>
        </w:rPr>
        <w:t>d</w:t>
      </w:r>
      <w:r w:rsidR="00E54380">
        <w:rPr>
          <w:rFonts w:ascii="Times New Roman" w:eastAsia="MS Mincho" w:hAnsi="Times New Roman"/>
          <w:iCs/>
          <w:sz w:val="24"/>
          <w:szCs w:val="24"/>
          <w:lang w:val="fr-FR"/>
        </w:rPr>
        <w:t>e l’électricité dans certaines</w:t>
      </w:r>
      <w:r w:rsidRPr="006900A2">
        <w:rPr>
          <w:rFonts w:ascii="Times New Roman" w:eastAsia="MS Mincho" w:hAnsi="Times New Roman"/>
          <w:iCs/>
          <w:sz w:val="24"/>
          <w:szCs w:val="24"/>
          <w:lang w:val="fr-FR"/>
        </w:rPr>
        <w:t xml:space="preserve"> communes, </w:t>
      </w:r>
      <w:r w:rsidR="00E54380">
        <w:rPr>
          <w:rFonts w:ascii="Times New Roman" w:eastAsia="MS Mincho" w:hAnsi="Times New Roman"/>
          <w:iCs/>
          <w:sz w:val="24"/>
          <w:szCs w:val="24"/>
          <w:lang w:val="fr-FR"/>
        </w:rPr>
        <w:t xml:space="preserve">ou encore </w:t>
      </w:r>
      <w:r w:rsidRPr="006900A2">
        <w:rPr>
          <w:rFonts w:ascii="Times New Roman" w:eastAsia="MS Mincho" w:hAnsi="Times New Roman"/>
          <w:iCs/>
          <w:sz w:val="24"/>
          <w:szCs w:val="24"/>
          <w:lang w:val="fr-FR"/>
        </w:rPr>
        <w:t xml:space="preserve">le retrait d’une entreprise contractée par l’Etat pour la reconstruction d’une route. Dans de nombreux cas, ces manifestations ont abouti à des violences. Des personnes ont été </w:t>
      </w:r>
      <w:r w:rsidR="00E54380" w:rsidRPr="006900A2">
        <w:rPr>
          <w:rFonts w:ascii="Times New Roman" w:eastAsia="MS Mincho" w:hAnsi="Times New Roman"/>
          <w:iCs/>
          <w:sz w:val="24"/>
          <w:szCs w:val="24"/>
          <w:lang w:val="fr-FR"/>
        </w:rPr>
        <w:t xml:space="preserve">parfois gravement </w:t>
      </w:r>
      <w:r w:rsidR="00E54380">
        <w:rPr>
          <w:rFonts w:ascii="Times New Roman" w:eastAsia="MS Mincho" w:hAnsi="Times New Roman"/>
          <w:iCs/>
          <w:sz w:val="24"/>
          <w:szCs w:val="24"/>
          <w:lang w:val="fr-FR"/>
        </w:rPr>
        <w:t>blessées</w:t>
      </w:r>
      <w:r w:rsidRPr="006900A2">
        <w:rPr>
          <w:rFonts w:ascii="Times New Roman" w:eastAsia="MS Mincho" w:hAnsi="Times New Roman"/>
          <w:iCs/>
          <w:sz w:val="24"/>
          <w:szCs w:val="24"/>
          <w:lang w:val="fr-FR"/>
        </w:rPr>
        <w:t xml:space="preserve">, </w:t>
      </w:r>
      <w:r w:rsidR="00E54380">
        <w:rPr>
          <w:rFonts w:ascii="Times New Roman" w:eastAsia="MS Mincho" w:hAnsi="Times New Roman"/>
          <w:iCs/>
          <w:sz w:val="24"/>
          <w:szCs w:val="24"/>
          <w:lang w:val="fr-FR"/>
        </w:rPr>
        <w:t>plusieurs</w:t>
      </w:r>
      <w:r w:rsidRPr="006900A2">
        <w:rPr>
          <w:rFonts w:ascii="Times New Roman" w:eastAsia="MS Mincho" w:hAnsi="Times New Roman"/>
          <w:iCs/>
          <w:sz w:val="24"/>
          <w:szCs w:val="24"/>
          <w:lang w:val="fr-FR"/>
        </w:rPr>
        <w:t xml:space="preserve"> sont décédées. Au total, </w:t>
      </w:r>
      <w:r w:rsidR="00E54380">
        <w:rPr>
          <w:rFonts w:ascii="Times New Roman" w:eastAsia="MS Mincho" w:hAnsi="Times New Roman"/>
          <w:iCs/>
          <w:sz w:val="24"/>
          <w:szCs w:val="24"/>
          <w:lang w:val="fr-FR"/>
        </w:rPr>
        <w:t xml:space="preserve">plus de </w:t>
      </w:r>
      <w:r w:rsidRPr="006900A2">
        <w:rPr>
          <w:rFonts w:ascii="Times New Roman" w:eastAsia="MS Mincho" w:hAnsi="Times New Roman"/>
          <w:iCs/>
          <w:sz w:val="24"/>
          <w:szCs w:val="24"/>
          <w:lang w:val="fr-FR"/>
        </w:rPr>
        <w:t>360 manifestations viol</w:t>
      </w:r>
      <w:r w:rsidR="00E54380">
        <w:rPr>
          <w:rFonts w:ascii="Times New Roman" w:eastAsia="MS Mincho" w:hAnsi="Times New Roman"/>
          <w:iCs/>
          <w:sz w:val="24"/>
          <w:szCs w:val="24"/>
          <w:lang w:val="fr-FR"/>
        </w:rPr>
        <w:t>entes ont été recensées en 2012, selon</w:t>
      </w:r>
      <w:r w:rsidRPr="006900A2">
        <w:rPr>
          <w:rFonts w:ascii="Times New Roman" w:eastAsia="MS Mincho" w:hAnsi="Times New Roman"/>
          <w:iCs/>
          <w:sz w:val="24"/>
          <w:szCs w:val="24"/>
          <w:lang w:val="fr-FR"/>
        </w:rPr>
        <w:t xml:space="preserve"> le </w:t>
      </w:r>
      <w:r w:rsidRPr="006900A2">
        <w:rPr>
          <w:rFonts w:ascii="Times New Roman" w:eastAsia="MS Mincho" w:hAnsi="Times New Roman"/>
          <w:sz w:val="24"/>
          <w:szCs w:val="24"/>
          <w:lang w:val="fr-FR"/>
        </w:rPr>
        <w:t>secrétaire d’état à la sécurité publique</w:t>
      </w:r>
      <w:r w:rsidRPr="006900A2">
        <w:rPr>
          <w:rFonts w:ascii="Times New Roman" w:eastAsia="MS Mincho" w:hAnsi="Times New Roman"/>
          <w:sz w:val="24"/>
          <w:szCs w:val="24"/>
          <w:vertAlign w:val="superscript"/>
          <w:lang w:val="fr-FR"/>
        </w:rPr>
        <w:footnoteReference w:id="38"/>
      </w:r>
      <w:r w:rsidRPr="006900A2">
        <w:rPr>
          <w:rFonts w:ascii="Times New Roman" w:eastAsia="MS Mincho" w:hAnsi="Times New Roman"/>
          <w:sz w:val="24"/>
          <w:szCs w:val="24"/>
          <w:lang w:val="fr-FR"/>
        </w:rPr>
        <w:t>.</w:t>
      </w: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r w:rsidRPr="006900A2">
        <w:rPr>
          <w:rFonts w:ascii="Times New Roman" w:eastAsia="MS Mincho" w:hAnsi="Times New Roman"/>
          <w:iCs/>
          <w:sz w:val="24"/>
          <w:szCs w:val="24"/>
          <w:lang w:val="fr-FR"/>
        </w:rPr>
        <w:t>Le droit de manifester est un droit fondamental mais il doit s’exercer dans le respect des standards internationaux et de la loi haïtienne. Le recours à la violence par les manifestants est proscrit. De même</w:t>
      </w:r>
      <w:r w:rsidR="00E54380">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l’encadrement de ces manifestations par les forces de l’ordre doit se faire dans le strict respect des normes régissant l’utilisation de la force. Plusieurs cas rapportés (cf. partie II) font état d’une utilisation disproportionnée et non nécessaire de la force par la police pour encadrer une manifestation ou pour répondre aux impératifs de maintien de l’ordre inhérents à ce type d’événements (bousculades, énervement d’une partie de la foule, …). </w:t>
      </w: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r w:rsidRPr="006900A2">
        <w:rPr>
          <w:rFonts w:ascii="Times New Roman" w:eastAsia="MS Mincho" w:hAnsi="Times New Roman"/>
          <w:iCs/>
          <w:sz w:val="24"/>
          <w:szCs w:val="24"/>
          <w:lang w:val="fr-FR"/>
        </w:rPr>
        <w:t>En plus de l’organisation</w:t>
      </w:r>
      <w:r w:rsidR="00E54380">
        <w:rPr>
          <w:rFonts w:ascii="Times New Roman" w:eastAsia="MS Mincho" w:hAnsi="Times New Roman"/>
          <w:iCs/>
          <w:sz w:val="24"/>
          <w:szCs w:val="24"/>
          <w:lang w:val="fr-FR"/>
        </w:rPr>
        <w:t xml:space="preserve"> de manifestations, la population haïtienne do</w:t>
      </w:r>
      <w:r w:rsidRPr="006900A2">
        <w:rPr>
          <w:rFonts w:ascii="Times New Roman" w:eastAsia="MS Mincho" w:hAnsi="Times New Roman"/>
          <w:iCs/>
          <w:sz w:val="24"/>
          <w:szCs w:val="24"/>
          <w:lang w:val="fr-FR"/>
        </w:rPr>
        <w:t>it pouvoir s’exprimer et participer à la vie publique, et donc à l’élaboration et la mise en œuvre des politiques publiques, par d’autres moyens. Organisée en société civile pour représenter des intérêts collectifs, il lui est plus facile/possible de dialoguer et</w:t>
      </w:r>
      <w:r w:rsidR="00A603BC">
        <w:rPr>
          <w:rFonts w:ascii="Times New Roman" w:eastAsia="MS Mincho" w:hAnsi="Times New Roman"/>
          <w:iCs/>
          <w:sz w:val="24"/>
          <w:szCs w:val="24"/>
          <w:lang w:val="fr-FR"/>
        </w:rPr>
        <w:t xml:space="preserve"> de</w:t>
      </w:r>
      <w:r w:rsidRPr="006900A2">
        <w:rPr>
          <w:rFonts w:ascii="Times New Roman" w:eastAsia="MS Mincho" w:hAnsi="Times New Roman"/>
          <w:iCs/>
          <w:sz w:val="24"/>
          <w:szCs w:val="24"/>
          <w:lang w:val="fr-FR"/>
        </w:rPr>
        <w:t xml:space="preserve"> négocier avec les autorités. </w:t>
      </w:r>
    </w:p>
    <w:p w:rsidR="008673B7" w:rsidRPr="006900A2" w:rsidRDefault="008673B7" w:rsidP="008673B7">
      <w:pPr>
        <w:autoSpaceDE w:val="0"/>
        <w:autoSpaceDN w:val="0"/>
        <w:adjustRightInd w:val="0"/>
        <w:spacing w:after="0" w:line="240" w:lineRule="auto"/>
        <w:jc w:val="both"/>
        <w:rPr>
          <w:rFonts w:ascii="Times New Roman" w:eastAsia="MS Mincho" w:hAnsi="Times New Roman"/>
          <w:b/>
          <w:iCs/>
          <w:sz w:val="24"/>
          <w:szCs w:val="24"/>
          <w:lang w:val="fr-FR"/>
        </w:rPr>
      </w:pPr>
    </w:p>
    <w:p w:rsidR="008673B7" w:rsidRPr="00DC37B4" w:rsidRDefault="008673B7" w:rsidP="008673B7">
      <w:pPr>
        <w:spacing w:after="0" w:line="240" w:lineRule="auto"/>
        <w:outlineLvl w:val="1"/>
        <w:rPr>
          <w:rFonts w:ascii="Verdana" w:eastAsia="MS Mincho" w:hAnsi="Verdana"/>
          <w:b/>
          <w:bCs/>
          <w:color w:val="000066"/>
          <w:sz w:val="20"/>
          <w:szCs w:val="20"/>
          <w:lang w:val="fr-FR"/>
        </w:rPr>
      </w:pPr>
      <w:bookmarkStart w:id="55" w:name="_Toc350156729"/>
      <w:r w:rsidRPr="00DC37B4">
        <w:rPr>
          <w:rFonts w:ascii="Verdana" w:eastAsia="MS Mincho" w:hAnsi="Verdana"/>
          <w:b/>
          <w:bCs/>
          <w:color w:val="000066"/>
          <w:sz w:val="20"/>
          <w:szCs w:val="20"/>
          <w:lang w:val="fr-FR"/>
        </w:rPr>
        <w:t xml:space="preserve">V.3. Accroissement des capacités de </w:t>
      </w:r>
      <w:r w:rsidRPr="00DC37B4">
        <w:rPr>
          <w:rFonts w:ascii="Verdana" w:eastAsia="MS Mincho" w:hAnsi="Verdana"/>
          <w:b/>
          <w:bCs/>
          <w:i/>
          <w:color w:val="000066"/>
          <w:sz w:val="20"/>
          <w:szCs w:val="20"/>
          <w:lang w:val="fr-FR"/>
        </w:rPr>
        <w:t>monitoring</w:t>
      </w:r>
      <w:r w:rsidRPr="00DC37B4">
        <w:rPr>
          <w:rFonts w:ascii="Verdana" w:eastAsia="MS Mincho" w:hAnsi="Verdana"/>
          <w:b/>
          <w:bCs/>
          <w:color w:val="000066"/>
          <w:sz w:val="20"/>
          <w:szCs w:val="20"/>
          <w:lang w:val="fr-FR"/>
        </w:rPr>
        <w:t xml:space="preserve"> des politiques publiques par la société civile</w:t>
      </w:r>
      <w:bookmarkEnd w:id="55"/>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r w:rsidRPr="006900A2">
        <w:rPr>
          <w:rFonts w:ascii="Times New Roman" w:eastAsia="MS Mincho" w:hAnsi="Times New Roman"/>
          <w:iCs/>
          <w:sz w:val="24"/>
          <w:szCs w:val="24"/>
          <w:lang w:val="fr-FR"/>
        </w:rPr>
        <w:t>La société civile s’organise progressivement pour identifier ses besoins selon une approche basée sur les droits de l’homme dans des cahiers des charges qui sont ensuite soumis aux autorités locales pour que celles-ci les approuvent et les prennent en compte. La SDH</w:t>
      </w:r>
      <w:r w:rsidR="00E54380">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en collaboration avec la Section des affaires civiles de la MINUSTAH</w:t>
      </w:r>
      <w:r w:rsidR="00E54380">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dans la lignée d’un projet initié par </w:t>
      </w:r>
      <w:r>
        <w:rPr>
          <w:rFonts w:ascii="Times New Roman" w:eastAsia="MS Mincho" w:hAnsi="Times New Roman"/>
          <w:iCs/>
          <w:sz w:val="24"/>
          <w:szCs w:val="24"/>
          <w:lang w:val="fr-FR"/>
        </w:rPr>
        <w:t xml:space="preserve">le </w:t>
      </w:r>
      <w:r w:rsidRPr="006900A2">
        <w:rPr>
          <w:rFonts w:ascii="Times New Roman" w:eastAsia="MS Mincho" w:hAnsi="Times New Roman"/>
          <w:i/>
          <w:iCs/>
          <w:sz w:val="24"/>
          <w:szCs w:val="24"/>
          <w:lang w:val="fr-FR"/>
        </w:rPr>
        <w:t>National Democratic Institute</w:t>
      </w:r>
      <w:r w:rsidRPr="006900A2">
        <w:rPr>
          <w:rFonts w:ascii="Times New Roman" w:eastAsia="MS Mincho" w:hAnsi="Times New Roman"/>
          <w:i/>
          <w:iCs/>
          <w:sz w:val="24"/>
          <w:szCs w:val="24"/>
          <w:vertAlign w:val="superscript"/>
          <w:lang w:val="fr-FR"/>
        </w:rPr>
        <w:footnoteReference w:id="39"/>
      </w:r>
      <w:r w:rsidR="00E54380" w:rsidRPr="00E54380">
        <w:rPr>
          <w:rFonts w:ascii="Times New Roman" w:eastAsia="MS Mincho" w:hAnsi="Times New Roman"/>
          <w:iCs/>
          <w:sz w:val="24"/>
          <w:szCs w:val="24"/>
          <w:lang w:val="fr-FR"/>
        </w:rPr>
        <w:t xml:space="preserve">, </w:t>
      </w:r>
      <w:r w:rsidR="00E54380">
        <w:rPr>
          <w:rFonts w:ascii="Times New Roman" w:eastAsia="MS Mincho" w:hAnsi="Times New Roman"/>
          <w:iCs/>
          <w:sz w:val="24"/>
          <w:szCs w:val="24"/>
          <w:lang w:val="fr-FR"/>
        </w:rPr>
        <w:t>soutient les organisations locales</w:t>
      </w:r>
      <w:r w:rsidRPr="006900A2">
        <w:rPr>
          <w:rFonts w:ascii="Times New Roman" w:eastAsia="MS Mincho" w:hAnsi="Times New Roman"/>
          <w:iCs/>
          <w:sz w:val="24"/>
          <w:szCs w:val="24"/>
          <w:lang w:val="fr-FR"/>
        </w:rPr>
        <w:t xml:space="preserve"> sur la base d’une méthode expérimentée avec succès dans le département du Nord-est. </w:t>
      </w: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r w:rsidRPr="006900A2">
        <w:rPr>
          <w:rFonts w:ascii="Times New Roman" w:eastAsia="MS Mincho" w:hAnsi="Times New Roman"/>
          <w:iCs/>
          <w:sz w:val="24"/>
          <w:szCs w:val="24"/>
          <w:lang w:val="fr-FR"/>
        </w:rPr>
        <w:t xml:space="preserve">Un forum départemental s’était </w:t>
      </w:r>
      <w:r w:rsidR="00E54380">
        <w:rPr>
          <w:rFonts w:ascii="Times New Roman" w:eastAsia="MS Mincho" w:hAnsi="Times New Roman"/>
          <w:iCs/>
          <w:sz w:val="24"/>
          <w:szCs w:val="24"/>
          <w:lang w:val="fr-FR"/>
        </w:rPr>
        <w:t xml:space="preserve">en effet </w:t>
      </w:r>
      <w:r w:rsidRPr="006900A2">
        <w:rPr>
          <w:rFonts w:ascii="Times New Roman" w:eastAsia="MS Mincho" w:hAnsi="Times New Roman"/>
          <w:iCs/>
          <w:sz w:val="24"/>
          <w:szCs w:val="24"/>
          <w:lang w:val="fr-FR"/>
        </w:rPr>
        <w:t>déroulé le 23 septembre 2011</w:t>
      </w:r>
      <w:r w:rsidR="00A603BC">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à Fort-Liberté</w:t>
      </w:r>
      <w:r w:rsidR="00A603BC">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au cours duquel les organisations de la société civile ont présenté </w:t>
      </w:r>
      <w:r>
        <w:rPr>
          <w:rFonts w:ascii="Times New Roman" w:eastAsia="MS Mincho" w:hAnsi="Times New Roman"/>
          <w:iCs/>
          <w:sz w:val="24"/>
          <w:szCs w:val="24"/>
          <w:lang w:val="fr-FR"/>
        </w:rPr>
        <w:t>un</w:t>
      </w:r>
      <w:r w:rsidRPr="006900A2">
        <w:rPr>
          <w:rFonts w:ascii="Times New Roman" w:eastAsia="MS Mincho" w:hAnsi="Times New Roman"/>
          <w:iCs/>
          <w:sz w:val="24"/>
          <w:szCs w:val="24"/>
          <w:lang w:val="fr-FR"/>
        </w:rPr>
        <w:t xml:space="preserve"> cahier des charges préparé avec le soutien technique de la SDH. Le cahier des charges se concentre </w:t>
      </w:r>
      <w:r w:rsidR="00E54380">
        <w:rPr>
          <w:rFonts w:ascii="Times New Roman" w:eastAsia="MS Mincho" w:hAnsi="Times New Roman"/>
          <w:iCs/>
          <w:sz w:val="24"/>
          <w:szCs w:val="24"/>
          <w:lang w:val="fr-FR"/>
        </w:rPr>
        <w:t xml:space="preserve">autour de </w:t>
      </w:r>
      <w:r w:rsidRPr="006900A2">
        <w:rPr>
          <w:rFonts w:ascii="Times New Roman" w:eastAsia="MS Mincho" w:hAnsi="Times New Roman"/>
          <w:iCs/>
          <w:sz w:val="24"/>
          <w:szCs w:val="24"/>
          <w:lang w:val="fr-FR"/>
        </w:rPr>
        <w:t xml:space="preserve">cinq droits principaux : éducation, santé, alimentation, environnement sain, et justice et sécurité. Les autorités présentes ont adopté le cahier des charges et </w:t>
      </w:r>
      <w:r w:rsidR="00E54380">
        <w:rPr>
          <w:rFonts w:ascii="Times New Roman" w:eastAsia="MS Mincho" w:hAnsi="Times New Roman"/>
          <w:iCs/>
          <w:sz w:val="24"/>
          <w:szCs w:val="24"/>
          <w:lang w:val="fr-FR"/>
        </w:rPr>
        <w:t xml:space="preserve">plusieurs </w:t>
      </w:r>
      <w:r w:rsidRPr="006900A2">
        <w:rPr>
          <w:rFonts w:ascii="Times New Roman" w:eastAsia="MS Mincho" w:hAnsi="Times New Roman"/>
          <w:iCs/>
          <w:sz w:val="24"/>
          <w:szCs w:val="24"/>
          <w:lang w:val="fr-FR"/>
        </w:rPr>
        <w:t>sénate</w:t>
      </w:r>
      <w:r w:rsidR="00E54380">
        <w:rPr>
          <w:rFonts w:ascii="Times New Roman" w:eastAsia="MS Mincho" w:hAnsi="Times New Roman"/>
          <w:iCs/>
          <w:sz w:val="24"/>
          <w:szCs w:val="24"/>
          <w:lang w:val="fr-FR"/>
        </w:rPr>
        <w:t>urs, dont le président du Sénat</w:t>
      </w:r>
      <w:r w:rsidRPr="006900A2">
        <w:rPr>
          <w:rFonts w:ascii="Times New Roman" w:eastAsia="MS Mincho" w:hAnsi="Times New Roman"/>
          <w:iCs/>
          <w:sz w:val="24"/>
          <w:szCs w:val="24"/>
          <w:lang w:val="fr-FR"/>
        </w:rPr>
        <w:t xml:space="preserve"> et </w:t>
      </w:r>
      <w:r w:rsidR="00E54380">
        <w:rPr>
          <w:rFonts w:ascii="Times New Roman" w:eastAsia="MS Mincho" w:hAnsi="Times New Roman"/>
          <w:iCs/>
          <w:sz w:val="24"/>
          <w:szCs w:val="24"/>
          <w:lang w:val="fr-FR"/>
        </w:rPr>
        <w:t xml:space="preserve">des </w:t>
      </w:r>
      <w:r w:rsidRPr="006900A2">
        <w:rPr>
          <w:rFonts w:ascii="Times New Roman" w:eastAsia="MS Mincho" w:hAnsi="Times New Roman"/>
          <w:iCs/>
          <w:sz w:val="24"/>
          <w:szCs w:val="24"/>
          <w:lang w:val="fr-FR"/>
        </w:rPr>
        <w:t>députés</w:t>
      </w:r>
      <w:r w:rsidR="00E54380">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se sont formellement engagés à utiliser le cahier des charges comme document de référence lors de la planification et</w:t>
      </w:r>
      <w:r>
        <w:rPr>
          <w:rFonts w:ascii="Times New Roman" w:eastAsia="MS Mincho" w:hAnsi="Times New Roman"/>
          <w:iCs/>
          <w:sz w:val="24"/>
          <w:szCs w:val="24"/>
          <w:lang w:val="fr-FR"/>
        </w:rPr>
        <w:t xml:space="preserve"> de la</w:t>
      </w:r>
      <w:r w:rsidRPr="006900A2">
        <w:rPr>
          <w:rFonts w:ascii="Times New Roman" w:eastAsia="MS Mincho" w:hAnsi="Times New Roman"/>
          <w:iCs/>
          <w:sz w:val="24"/>
          <w:szCs w:val="24"/>
          <w:lang w:val="fr-FR"/>
        </w:rPr>
        <w:t xml:space="preserve"> préparation du prochain exercice budgétaire.</w:t>
      </w: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r w:rsidRPr="006900A2">
        <w:rPr>
          <w:rFonts w:ascii="Times New Roman" w:eastAsia="MS Mincho" w:hAnsi="Times New Roman"/>
          <w:iCs/>
          <w:sz w:val="24"/>
          <w:szCs w:val="24"/>
          <w:lang w:val="fr-FR"/>
        </w:rPr>
        <w:t xml:space="preserve">La société civile a ensuite mené son plaidoyer au niveau national. </w:t>
      </w:r>
      <w:r w:rsidR="00E54380">
        <w:rPr>
          <w:rFonts w:ascii="Times New Roman" w:eastAsia="MS Mincho" w:hAnsi="Times New Roman"/>
          <w:iCs/>
          <w:sz w:val="24"/>
          <w:szCs w:val="24"/>
          <w:lang w:val="fr-FR"/>
        </w:rPr>
        <w:t>Ainsi</w:t>
      </w:r>
      <w:r w:rsidRPr="006900A2">
        <w:rPr>
          <w:rFonts w:ascii="Times New Roman" w:eastAsia="MS Mincho" w:hAnsi="Times New Roman"/>
          <w:iCs/>
          <w:sz w:val="24"/>
          <w:szCs w:val="24"/>
          <w:lang w:val="fr-FR"/>
        </w:rPr>
        <w:t>, le 28 août 2012, des représentants de quatre organisations de la société civile du département du Nord-est ont rencontré le président de la commission sénatoriale pour l’économie, les finances et le tourisme, le commerce et l’industrie à Port-au-Prince. Les représentants ont sollicité le président de la commission pour attribuer les fonds nécessaires à la réalisation des priorités inclues dans le cahier des charges adopté précédemment au niveau départemental. Suite à cette rencontre</w:t>
      </w:r>
      <w:r w:rsidR="00A603BC">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 xml:space="preserve"> un certain nombre de priorités ont été prises en compte dans le budget national 2013, comme par exemple la construction d’un hôpital à Ouanaminthe et d’un hôpital départemental du Nord-est, la réhabilitation de l’hôpital de </w:t>
      </w:r>
      <w:r w:rsidR="006B0D9C">
        <w:rPr>
          <w:rFonts w:ascii="Times New Roman" w:eastAsia="MS Mincho" w:hAnsi="Times New Roman"/>
          <w:iCs/>
          <w:sz w:val="24"/>
          <w:szCs w:val="24"/>
          <w:lang w:val="fr-FR"/>
        </w:rPr>
        <w:t>Fort-</w:t>
      </w:r>
      <w:r w:rsidRPr="006900A2">
        <w:rPr>
          <w:rFonts w:ascii="Times New Roman" w:eastAsia="MS Mincho" w:hAnsi="Times New Roman"/>
          <w:iCs/>
          <w:sz w:val="24"/>
          <w:szCs w:val="24"/>
          <w:lang w:val="fr-FR"/>
        </w:rPr>
        <w:t>Liberté, la construction de routes intercommunales le long de la frontière avec la République Dominicaine</w:t>
      </w:r>
      <w:r w:rsidR="00E54380">
        <w:rPr>
          <w:rFonts w:ascii="Times New Roman" w:eastAsia="MS Mincho" w:hAnsi="Times New Roman"/>
          <w:iCs/>
          <w:sz w:val="24"/>
          <w:szCs w:val="24"/>
          <w:lang w:val="fr-FR"/>
        </w:rPr>
        <w:t xml:space="preserve"> et la réhabilitation de</w:t>
      </w:r>
      <w:r w:rsidRPr="006900A2">
        <w:rPr>
          <w:rFonts w:ascii="Times New Roman" w:eastAsia="MS Mincho" w:hAnsi="Times New Roman"/>
          <w:iCs/>
          <w:sz w:val="24"/>
          <w:szCs w:val="24"/>
          <w:lang w:val="fr-FR"/>
        </w:rPr>
        <w:t xml:space="preserve"> routes </w:t>
      </w:r>
      <w:r w:rsidR="00E54380">
        <w:rPr>
          <w:rFonts w:ascii="Times New Roman" w:eastAsia="MS Mincho" w:hAnsi="Times New Roman"/>
          <w:iCs/>
          <w:sz w:val="24"/>
          <w:szCs w:val="24"/>
          <w:lang w:val="fr-FR"/>
        </w:rPr>
        <w:t>à</w:t>
      </w:r>
      <w:r w:rsidRPr="006900A2">
        <w:rPr>
          <w:rFonts w:ascii="Times New Roman" w:eastAsia="MS Mincho" w:hAnsi="Times New Roman"/>
          <w:iCs/>
          <w:sz w:val="24"/>
          <w:szCs w:val="24"/>
          <w:lang w:val="fr-FR"/>
        </w:rPr>
        <w:t xml:space="preserve"> Fort</w:t>
      </w:r>
      <w:r w:rsidR="00E54380">
        <w:rPr>
          <w:rFonts w:ascii="Times New Roman" w:eastAsia="MS Mincho" w:hAnsi="Times New Roman"/>
          <w:iCs/>
          <w:sz w:val="24"/>
          <w:szCs w:val="24"/>
          <w:lang w:val="fr-FR"/>
        </w:rPr>
        <w:t>-</w:t>
      </w:r>
      <w:r w:rsidRPr="006900A2">
        <w:rPr>
          <w:rFonts w:ascii="Times New Roman" w:eastAsia="MS Mincho" w:hAnsi="Times New Roman"/>
          <w:iCs/>
          <w:sz w:val="24"/>
          <w:szCs w:val="24"/>
          <w:lang w:val="fr-FR"/>
        </w:rPr>
        <w:t>Liberté.</w:t>
      </w: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r w:rsidRPr="006900A2">
        <w:rPr>
          <w:rFonts w:ascii="Times New Roman" w:eastAsia="MS Mincho" w:hAnsi="Times New Roman"/>
          <w:iCs/>
          <w:sz w:val="24"/>
          <w:szCs w:val="24"/>
          <w:lang w:val="fr-FR"/>
        </w:rPr>
        <w:t>Le programme visant à l’élaboration de cahiers des charges aux niveaux municipal et départemental se poursui</w:t>
      </w:r>
      <w:r>
        <w:rPr>
          <w:rFonts w:ascii="Times New Roman" w:eastAsia="MS Mincho" w:hAnsi="Times New Roman"/>
          <w:iCs/>
          <w:sz w:val="24"/>
          <w:szCs w:val="24"/>
          <w:lang w:val="fr-FR"/>
        </w:rPr>
        <w:t>vra</w:t>
      </w:r>
      <w:r w:rsidRPr="006900A2">
        <w:rPr>
          <w:rFonts w:ascii="Times New Roman" w:eastAsia="MS Mincho" w:hAnsi="Times New Roman"/>
          <w:iCs/>
          <w:sz w:val="24"/>
          <w:szCs w:val="24"/>
          <w:lang w:val="fr-FR"/>
        </w:rPr>
        <w:t xml:space="preserve"> en 2013. </w:t>
      </w:r>
    </w:p>
    <w:p w:rsidR="008673B7" w:rsidRPr="006900A2" w:rsidRDefault="008673B7" w:rsidP="008673B7">
      <w:pPr>
        <w:autoSpaceDE w:val="0"/>
        <w:autoSpaceDN w:val="0"/>
        <w:adjustRightInd w:val="0"/>
        <w:spacing w:after="0" w:line="240" w:lineRule="auto"/>
        <w:jc w:val="both"/>
        <w:rPr>
          <w:rFonts w:ascii="Times New Roman" w:eastAsia="MS Mincho" w:hAnsi="Times New Roman"/>
          <w:b/>
          <w:iCs/>
          <w:sz w:val="24"/>
          <w:szCs w:val="24"/>
          <w:lang w:val="fr-FR"/>
        </w:rPr>
      </w:pPr>
    </w:p>
    <w:p w:rsidR="008673B7" w:rsidRPr="00DC37B4" w:rsidRDefault="008673B7" w:rsidP="008673B7">
      <w:pPr>
        <w:spacing w:after="0" w:line="240" w:lineRule="auto"/>
        <w:outlineLvl w:val="1"/>
        <w:rPr>
          <w:rFonts w:ascii="Verdana" w:eastAsia="MS Mincho" w:hAnsi="Verdana"/>
          <w:b/>
          <w:bCs/>
          <w:color w:val="000066"/>
          <w:sz w:val="20"/>
          <w:szCs w:val="20"/>
          <w:lang w:val="fr-FR"/>
        </w:rPr>
      </w:pPr>
      <w:bookmarkStart w:id="56" w:name="_Toc350156730"/>
      <w:r w:rsidRPr="00DC37B4">
        <w:rPr>
          <w:rFonts w:ascii="Verdana" w:eastAsia="MS Mincho" w:hAnsi="Verdana"/>
          <w:b/>
          <w:bCs/>
          <w:color w:val="000066"/>
          <w:sz w:val="20"/>
          <w:szCs w:val="20"/>
          <w:lang w:val="fr-FR"/>
        </w:rPr>
        <w:t xml:space="preserve">V.4. Transparence dans les politiques publiques : </w:t>
      </w:r>
      <w:r w:rsidR="00A603BC">
        <w:rPr>
          <w:rFonts w:ascii="Verdana" w:eastAsia="MS Mincho" w:hAnsi="Verdana"/>
          <w:b/>
          <w:bCs/>
          <w:color w:val="000066"/>
          <w:sz w:val="20"/>
          <w:szCs w:val="20"/>
          <w:lang w:val="fr-FR"/>
        </w:rPr>
        <w:t>l</w:t>
      </w:r>
      <w:r w:rsidRPr="00DC37B4">
        <w:rPr>
          <w:rFonts w:ascii="Verdana" w:eastAsia="MS Mincho" w:hAnsi="Verdana"/>
          <w:b/>
          <w:bCs/>
          <w:color w:val="000066"/>
          <w:sz w:val="20"/>
          <w:szCs w:val="20"/>
          <w:lang w:val="fr-FR"/>
        </w:rPr>
        <w:t>a réponse au passage de l’ouragan Sandy</w:t>
      </w:r>
      <w:bookmarkEnd w:id="56"/>
      <w:r w:rsidRPr="00DC37B4">
        <w:rPr>
          <w:rFonts w:ascii="Verdana" w:eastAsia="MS Mincho" w:hAnsi="Verdana"/>
          <w:b/>
          <w:bCs/>
          <w:color w:val="000066"/>
          <w:sz w:val="20"/>
          <w:szCs w:val="20"/>
          <w:lang w:val="fr-FR"/>
        </w:rPr>
        <w:t xml:space="preserve"> </w:t>
      </w:r>
    </w:p>
    <w:p w:rsidR="008673B7" w:rsidRPr="006900A2" w:rsidRDefault="008673B7" w:rsidP="008673B7">
      <w:pPr>
        <w:autoSpaceDE w:val="0"/>
        <w:autoSpaceDN w:val="0"/>
        <w:adjustRightInd w:val="0"/>
        <w:spacing w:after="0" w:line="240" w:lineRule="auto"/>
        <w:jc w:val="both"/>
        <w:rPr>
          <w:rFonts w:ascii="Times New Roman" w:eastAsia="MS Mincho" w:hAnsi="Times New Roman"/>
          <w:b/>
          <w:iCs/>
          <w:sz w:val="24"/>
          <w:szCs w:val="24"/>
          <w:lang w:val="fr-FR"/>
        </w:rPr>
      </w:pPr>
    </w:p>
    <w:p w:rsidR="008673B7" w:rsidRPr="006900A2" w:rsidRDefault="008673B7" w:rsidP="008673B7">
      <w:pPr>
        <w:spacing w:after="0" w:line="240" w:lineRule="auto"/>
        <w:jc w:val="both"/>
        <w:rPr>
          <w:rFonts w:ascii="Times New Roman" w:eastAsia="Times New Roman" w:hAnsi="Times New Roman"/>
          <w:sz w:val="24"/>
          <w:szCs w:val="24"/>
          <w:lang w:val="fr-FR"/>
        </w:rPr>
      </w:pPr>
      <w:r w:rsidRPr="006900A2">
        <w:rPr>
          <w:rFonts w:ascii="Times New Roman" w:eastAsia="Times New Roman" w:hAnsi="Times New Roman"/>
          <w:sz w:val="24"/>
          <w:szCs w:val="24"/>
          <w:lang w:val="fr-FR"/>
        </w:rPr>
        <w:t>Le 31 octobre, suite au passage de l’ouragan Sandy en Haïti, le gouvernement a proclamé l’état d’urgence pour une période d’un mois. L’état d’urgence peut être considéré comme une mesure exceptionnelle pour répondre à la situation générée par le passage de l’ouragan Sandy. Elle implique la prise d’un ensemble de mesures dérogatoires</w:t>
      </w:r>
      <w:r>
        <w:rPr>
          <w:rFonts w:ascii="Times New Roman" w:eastAsia="Times New Roman" w:hAnsi="Times New Roman"/>
          <w:sz w:val="24"/>
          <w:szCs w:val="24"/>
          <w:lang w:val="fr-FR"/>
        </w:rPr>
        <w:t>,</w:t>
      </w:r>
      <w:r w:rsidRPr="006900A2">
        <w:rPr>
          <w:rFonts w:ascii="Times New Roman" w:eastAsia="Times New Roman" w:hAnsi="Times New Roman"/>
          <w:sz w:val="24"/>
          <w:szCs w:val="24"/>
          <w:lang w:val="fr-FR"/>
        </w:rPr>
        <w:t xml:space="preserve"> notamment pour la mobilisation des ressources financières  et d’utilisation de fonds publics</w:t>
      </w:r>
      <w:r w:rsidRPr="006900A2">
        <w:rPr>
          <w:rFonts w:ascii="Times New Roman" w:eastAsia="Times New Roman" w:hAnsi="Times New Roman"/>
          <w:sz w:val="24"/>
          <w:szCs w:val="24"/>
          <w:vertAlign w:val="superscript"/>
          <w:lang w:val="fr-FR"/>
        </w:rPr>
        <w:footnoteReference w:id="40"/>
      </w:r>
      <w:r w:rsidRPr="006900A2">
        <w:rPr>
          <w:rFonts w:ascii="Times New Roman" w:eastAsia="Times New Roman" w:hAnsi="Times New Roman"/>
          <w:sz w:val="24"/>
          <w:szCs w:val="24"/>
          <w:lang w:val="fr-FR"/>
        </w:rPr>
        <w:t>.</w:t>
      </w:r>
    </w:p>
    <w:p w:rsidR="008673B7" w:rsidRPr="006900A2" w:rsidRDefault="008673B7" w:rsidP="008673B7">
      <w:pPr>
        <w:spacing w:after="0" w:line="240" w:lineRule="auto"/>
        <w:rPr>
          <w:rFonts w:ascii="Times New Roman" w:eastAsia="Times New Roman" w:hAnsi="Times New Roman"/>
          <w:sz w:val="24"/>
          <w:szCs w:val="24"/>
          <w:lang w:val="fr-FR"/>
        </w:rPr>
      </w:pPr>
    </w:p>
    <w:p w:rsidR="008673B7" w:rsidRPr="006900A2" w:rsidRDefault="008673B7" w:rsidP="008673B7">
      <w:pPr>
        <w:spacing w:after="0" w:line="240" w:lineRule="auto"/>
        <w:jc w:val="both"/>
        <w:rPr>
          <w:rFonts w:ascii="Times New Roman" w:eastAsia="Times New Roman" w:hAnsi="Times New Roman"/>
          <w:sz w:val="24"/>
          <w:szCs w:val="24"/>
          <w:lang w:val="fr-FR"/>
        </w:rPr>
      </w:pPr>
      <w:r w:rsidRPr="006900A2">
        <w:rPr>
          <w:rFonts w:ascii="Times New Roman" w:eastAsia="Times New Roman" w:hAnsi="Times New Roman"/>
          <w:sz w:val="24"/>
          <w:szCs w:val="24"/>
          <w:lang w:val="fr-FR"/>
        </w:rPr>
        <w:t xml:space="preserve">Le gouvernement avait annoncé </w:t>
      </w:r>
      <w:r>
        <w:rPr>
          <w:rFonts w:ascii="Times New Roman" w:eastAsia="Times New Roman" w:hAnsi="Times New Roman"/>
          <w:sz w:val="24"/>
          <w:szCs w:val="24"/>
          <w:lang w:val="fr-FR"/>
        </w:rPr>
        <w:t>son intention de</w:t>
      </w:r>
      <w:r w:rsidRPr="006900A2">
        <w:rPr>
          <w:rFonts w:ascii="Times New Roman" w:eastAsia="Times New Roman" w:hAnsi="Times New Roman"/>
          <w:sz w:val="24"/>
          <w:szCs w:val="24"/>
          <w:lang w:val="fr-FR"/>
        </w:rPr>
        <w:t xml:space="preserve"> mobiliser cinq milliards de gourdes haïtiennes et </w:t>
      </w:r>
      <w:r>
        <w:rPr>
          <w:rFonts w:ascii="Times New Roman" w:eastAsia="Times New Roman" w:hAnsi="Times New Roman"/>
          <w:sz w:val="24"/>
          <w:szCs w:val="24"/>
          <w:lang w:val="fr-FR"/>
        </w:rPr>
        <w:t xml:space="preserve">d’élaborer </w:t>
      </w:r>
      <w:r w:rsidRPr="006900A2">
        <w:rPr>
          <w:rFonts w:ascii="Times New Roman" w:eastAsia="Times New Roman" w:hAnsi="Times New Roman"/>
          <w:sz w:val="24"/>
          <w:szCs w:val="24"/>
          <w:lang w:val="fr-FR"/>
        </w:rPr>
        <w:t xml:space="preserve">un budget rectificatif. En désaffectant des crédits alloués pour les utiliser à d’autres fins, en l’espèce, pour répondre aux besoins identifiés après le passage de l’ouragan Sandy, le gouvernement peut être amené à effectuer des choix difficiles compromettant des programmes et projets à plus long termes nécessaire au relèvement et développement du pays. Ces choix doivent être assumés et présentés publiquement.  </w:t>
      </w:r>
    </w:p>
    <w:p w:rsidR="008673B7" w:rsidRPr="006900A2" w:rsidRDefault="008673B7" w:rsidP="008673B7">
      <w:pPr>
        <w:spacing w:after="0" w:line="240" w:lineRule="auto"/>
        <w:rPr>
          <w:rFonts w:ascii="Times New Roman" w:eastAsia="Times New Roman" w:hAnsi="Times New Roman"/>
          <w:sz w:val="24"/>
          <w:szCs w:val="24"/>
          <w:lang w:val="fr-FR"/>
        </w:rPr>
      </w:pPr>
    </w:p>
    <w:p w:rsidR="008673B7" w:rsidRPr="006900A2" w:rsidRDefault="008673B7" w:rsidP="008673B7">
      <w:pPr>
        <w:spacing w:after="0" w:line="240" w:lineRule="auto"/>
        <w:jc w:val="both"/>
        <w:rPr>
          <w:rFonts w:ascii="Times New Roman" w:eastAsia="Times New Roman" w:hAnsi="Times New Roman"/>
          <w:sz w:val="24"/>
          <w:szCs w:val="24"/>
          <w:lang w:val="fr-FR"/>
        </w:rPr>
      </w:pPr>
      <w:r w:rsidRPr="006900A2">
        <w:rPr>
          <w:rFonts w:ascii="Times New Roman" w:eastAsia="Times New Roman" w:hAnsi="Times New Roman"/>
          <w:sz w:val="24"/>
          <w:szCs w:val="24"/>
          <w:lang w:val="fr-FR"/>
        </w:rPr>
        <w:t>Au moment de la rédaction de ce rapport</w:t>
      </w:r>
      <w:r>
        <w:rPr>
          <w:rFonts w:ascii="Times New Roman" w:eastAsia="Times New Roman" w:hAnsi="Times New Roman"/>
          <w:sz w:val="24"/>
          <w:szCs w:val="24"/>
          <w:lang w:val="fr-FR"/>
        </w:rPr>
        <w:t>,</w:t>
      </w:r>
      <w:r w:rsidRPr="006900A2">
        <w:rPr>
          <w:rFonts w:ascii="Times New Roman" w:eastAsia="Times New Roman" w:hAnsi="Times New Roman"/>
          <w:sz w:val="24"/>
          <w:szCs w:val="24"/>
          <w:lang w:val="fr-FR"/>
        </w:rPr>
        <w:t xml:space="preserve"> les informations relatives à l’utilisation de fonds dans le cadre de l’état d’urgence </w:t>
      </w:r>
      <w:r>
        <w:rPr>
          <w:rFonts w:ascii="Times New Roman" w:eastAsia="Times New Roman" w:hAnsi="Times New Roman"/>
          <w:sz w:val="24"/>
          <w:szCs w:val="24"/>
          <w:lang w:val="fr-FR"/>
        </w:rPr>
        <w:t>étaient</w:t>
      </w:r>
      <w:r w:rsidRPr="006900A2">
        <w:rPr>
          <w:rFonts w:ascii="Times New Roman" w:eastAsia="Times New Roman" w:hAnsi="Times New Roman"/>
          <w:sz w:val="24"/>
          <w:szCs w:val="24"/>
          <w:lang w:val="fr-FR"/>
        </w:rPr>
        <w:t xml:space="preserve"> insuffisamment communiquées au public. Une demande d’audition de cinq ministres concernant l’allocation des fonds d</w:t>
      </w:r>
      <w:r>
        <w:rPr>
          <w:rFonts w:ascii="Times New Roman" w:eastAsia="Times New Roman" w:hAnsi="Times New Roman"/>
          <w:sz w:val="24"/>
          <w:szCs w:val="24"/>
          <w:lang w:val="fr-FR"/>
        </w:rPr>
        <w:t>éboursés</w:t>
      </w:r>
      <w:r w:rsidRPr="006900A2">
        <w:rPr>
          <w:rFonts w:ascii="Times New Roman" w:eastAsia="Times New Roman" w:hAnsi="Times New Roman"/>
          <w:sz w:val="24"/>
          <w:szCs w:val="24"/>
          <w:lang w:val="fr-FR"/>
        </w:rPr>
        <w:t xml:space="preserve"> dans le cadre de l’état d’urgence avait été faite par le Sénat. L’audition devait avoir lieu le 13 décembre mais a été repoussée </w:t>
      </w:r>
      <w:r w:rsidRPr="006900A2">
        <w:rPr>
          <w:rFonts w:ascii="Times New Roman" w:eastAsia="Times New Roman" w:hAnsi="Times New Roman"/>
          <w:i/>
          <w:sz w:val="24"/>
          <w:szCs w:val="24"/>
          <w:lang w:val="fr-FR"/>
        </w:rPr>
        <w:t xml:space="preserve">sine die </w:t>
      </w:r>
      <w:r w:rsidRPr="006900A2">
        <w:rPr>
          <w:rFonts w:ascii="Times New Roman" w:eastAsia="Times New Roman" w:hAnsi="Times New Roman"/>
          <w:sz w:val="24"/>
          <w:szCs w:val="24"/>
          <w:lang w:val="fr-FR"/>
        </w:rPr>
        <w:t xml:space="preserve">par le Premier </w:t>
      </w:r>
      <w:r>
        <w:rPr>
          <w:rFonts w:ascii="Times New Roman" w:eastAsia="Times New Roman" w:hAnsi="Times New Roman"/>
          <w:sz w:val="24"/>
          <w:szCs w:val="24"/>
          <w:lang w:val="fr-FR"/>
        </w:rPr>
        <w:t>M</w:t>
      </w:r>
      <w:r w:rsidRPr="006900A2">
        <w:rPr>
          <w:rFonts w:ascii="Times New Roman" w:eastAsia="Times New Roman" w:hAnsi="Times New Roman"/>
          <w:sz w:val="24"/>
          <w:szCs w:val="24"/>
          <w:lang w:val="fr-FR"/>
        </w:rPr>
        <w:t xml:space="preserve">inistre qui a expliqué que le gouvernement n’était pas en mesure de fournir de telles informations pour le moment. L’absence de publication effective de l’acte proclamant l’état d’urgence pose un problème de transparence et </w:t>
      </w:r>
      <w:r>
        <w:rPr>
          <w:rFonts w:ascii="Times New Roman" w:eastAsia="Times New Roman" w:hAnsi="Times New Roman"/>
          <w:sz w:val="24"/>
          <w:szCs w:val="24"/>
          <w:lang w:val="fr-FR"/>
        </w:rPr>
        <w:t>a</w:t>
      </w:r>
      <w:r w:rsidRPr="006900A2">
        <w:rPr>
          <w:rFonts w:ascii="Times New Roman" w:eastAsia="Times New Roman" w:hAnsi="Times New Roman"/>
          <w:sz w:val="24"/>
          <w:szCs w:val="24"/>
          <w:lang w:val="fr-FR"/>
        </w:rPr>
        <w:t xml:space="preserve"> génér</w:t>
      </w:r>
      <w:r>
        <w:rPr>
          <w:rFonts w:ascii="Times New Roman" w:eastAsia="Times New Roman" w:hAnsi="Times New Roman"/>
          <w:sz w:val="24"/>
          <w:szCs w:val="24"/>
          <w:lang w:val="fr-FR"/>
        </w:rPr>
        <w:t>é</w:t>
      </w:r>
      <w:r w:rsidRPr="006900A2">
        <w:rPr>
          <w:rFonts w:ascii="Times New Roman" w:eastAsia="Times New Roman" w:hAnsi="Times New Roman"/>
          <w:sz w:val="24"/>
          <w:szCs w:val="24"/>
          <w:lang w:val="fr-FR"/>
        </w:rPr>
        <w:t xml:space="preserve"> des inquiétudes parmi les représentants du peuple concernant le respect des dispositions législatives dans le cadre de l’état d’urgence. </w:t>
      </w:r>
    </w:p>
    <w:p w:rsidR="008673B7" w:rsidRDefault="008673B7" w:rsidP="008673B7">
      <w:pPr>
        <w:spacing w:after="0" w:line="240" w:lineRule="auto"/>
        <w:jc w:val="both"/>
        <w:rPr>
          <w:rFonts w:ascii="Times New Roman" w:eastAsia="Times New Roman" w:hAnsi="Times New Roman"/>
          <w:sz w:val="24"/>
          <w:szCs w:val="24"/>
          <w:lang w:val="fr-FR"/>
        </w:rPr>
      </w:pPr>
    </w:p>
    <w:p w:rsidR="008673B7" w:rsidRPr="00795E20" w:rsidRDefault="00A8570F" w:rsidP="008673B7">
      <w:pPr>
        <w:keepNext/>
        <w:keepLines/>
        <w:spacing w:before="480" w:after="0"/>
        <w:outlineLvl w:val="0"/>
        <w:rPr>
          <w:rFonts w:ascii="Times New Roman" w:eastAsia="MS Mincho" w:hAnsi="Times New Roman"/>
          <w:b/>
          <w:bCs/>
          <w:color w:val="365F91" w:themeColor="accent1" w:themeShade="BF"/>
          <w:sz w:val="24"/>
          <w:szCs w:val="24"/>
          <w:lang w:val="fr-FR"/>
        </w:rPr>
      </w:pPr>
      <w:bookmarkStart w:id="57" w:name="_Toc350156731"/>
      <w:r>
        <w:rPr>
          <w:rFonts w:ascii="Times New Roman" w:eastAsiaTheme="majorEastAsia" w:hAnsi="Times New Roman"/>
          <w:b/>
          <w:bCs/>
          <w:color w:val="365F91" w:themeColor="accent1" w:themeShade="BF"/>
          <w:sz w:val="28"/>
          <w:szCs w:val="28"/>
          <w:lang w:val="fr-FR"/>
        </w:rPr>
        <w:t xml:space="preserve">VI. </w:t>
      </w:r>
      <w:r w:rsidR="008673B7" w:rsidRPr="00795E20">
        <w:rPr>
          <w:rFonts w:ascii="Times New Roman" w:eastAsiaTheme="majorEastAsia" w:hAnsi="Times New Roman"/>
          <w:b/>
          <w:bCs/>
          <w:color w:val="365F91" w:themeColor="accent1" w:themeShade="BF"/>
          <w:sz w:val="28"/>
          <w:szCs w:val="28"/>
          <w:lang w:val="fr-FR"/>
        </w:rPr>
        <w:t>RECOMMANDATIONS</w:t>
      </w:r>
      <w:bookmarkEnd w:id="57"/>
    </w:p>
    <w:p w:rsidR="008673B7" w:rsidRPr="006900A2" w:rsidRDefault="008673B7" w:rsidP="008673B7">
      <w:pPr>
        <w:autoSpaceDE w:val="0"/>
        <w:autoSpaceDN w:val="0"/>
        <w:adjustRightInd w:val="0"/>
        <w:spacing w:after="0" w:line="240" w:lineRule="auto"/>
        <w:jc w:val="both"/>
        <w:rPr>
          <w:rFonts w:ascii="Times New Roman" w:eastAsia="MS Mincho" w:hAnsi="Times New Roman"/>
          <w:iCs/>
          <w:sz w:val="24"/>
          <w:szCs w:val="24"/>
          <w:lang w:val="fr-FR"/>
        </w:rPr>
      </w:pPr>
    </w:p>
    <w:p w:rsidR="008673B7" w:rsidRPr="00DC37B4" w:rsidRDefault="00A8570F" w:rsidP="008673B7">
      <w:pPr>
        <w:spacing w:after="0" w:line="240" w:lineRule="auto"/>
        <w:outlineLvl w:val="1"/>
        <w:rPr>
          <w:rFonts w:ascii="Verdana" w:eastAsia="Times New Roman" w:hAnsi="Verdana"/>
          <w:b/>
          <w:bCs/>
          <w:color w:val="000066"/>
          <w:sz w:val="20"/>
          <w:szCs w:val="20"/>
          <w:lang w:val="fr-FR"/>
        </w:rPr>
      </w:pPr>
      <w:bookmarkStart w:id="58" w:name="_Toc350156732"/>
      <w:r>
        <w:rPr>
          <w:rFonts w:ascii="Verdana" w:eastAsia="Times New Roman" w:hAnsi="Verdana"/>
          <w:b/>
          <w:bCs/>
          <w:color w:val="000066"/>
          <w:sz w:val="20"/>
          <w:szCs w:val="20"/>
          <w:lang w:val="fr-FR"/>
        </w:rPr>
        <w:t xml:space="preserve">VI.1. </w:t>
      </w:r>
      <w:r w:rsidR="008673B7" w:rsidRPr="00DC37B4">
        <w:rPr>
          <w:rFonts w:ascii="Verdana" w:eastAsia="Times New Roman" w:hAnsi="Verdana"/>
          <w:b/>
          <w:bCs/>
          <w:color w:val="000066"/>
          <w:sz w:val="20"/>
          <w:szCs w:val="20"/>
          <w:lang w:val="fr-FR"/>
        </w:rPr>
        <w:t>A l’Etat haïtien :</w:t>
      </w:r>
      <w:bookmarkEnd w:id="58"/>
    </w:p>
    <w:p w:rsidR="008673B7" w:rsidRPr="006900A2" w:rsidRDefault="008673B7" w:rsidP="008673B7">
      <w:pPr>
        <w:spacing w:after="0" w:line="240" w:lineRule="auto"/>
        <w:jc w:val="both"/>
        <w:rPr>
          <w:rFonts w:ascii="Times New Roman" w:hAnsi="Times New Roman"/>
          <w:b/>
          <w:iCs/>
          <w:sz w:val="24"/>
          <w:szCs w:val="24"/>
          <w:lang w:val="fr-FR"/>
        </w:rPr>
      </w:pPr>
    </w:p>
    <w:p w:rsidR="008673B7" w:rsidRDefault="008673B7" w:rsidP="008673B7">
      <w:pPr>
        <w:pStyle w:val="ListParagraph"/>
        <w:numPr>
          <w:ilvl w:val="0"/>
          <w:numId w:val="31"/>
        </w:numPr>
        <w:spacing w:after="0" w:line="240" w:lineRule="auto"/>
        <w:jc w:val="both"/>
        <w:rPr>
          <w:rFonts w:ascii="Times New Roman" w:eastAsia="Calibri" w:hAnsi="Times New Roman"/>
          <w:sz w:val="24"/>
          <w:szCs w:val="24"/>
          <w:lang w:val="fr-FR"/>
        </w:rPr>
      </w:pPr>
      <w:r w:rsidRPr="006D2339">
        <w:rPr>
          <w:rFonts w:ascii="Times New Roman" w:eastAsia="Calibri" w:hAnsi="Times New Roman"/>
          <w:sz w:val="24"/>
          <w:szCs w:val="24"/>
          <w:lang w:val="fr-FR"/>
        </w:rPr>
        <w:t xml:space="preserve">Prendre des mesures légales, administratives et financières </w:t>
      </w:r>
      <w:r>
        <w:rPr>
          <w:rFonts w:ascii="Times New Roman" w:eastAsia="Calibri" w:hAnsi="Times New Roman"/>
          <w:sz w:val="24"/>
          <w:szCs w:val="24"/>
          <w:lang w:val="fr-FR"/>
        </w:rPr>
        <w:t>afin d’institutionnaliser u</w:t>
      </w:r>
      <w:r w:rsidRPr="006D2339">
        <w:rPr>
          <w:rFonts w:ascii="Times New Roman" w:eastAsia="Calibri" w:hAnsi="Times New Roman"/>
          <w:sz w:val="24"/>
          <w:szCs w:val="24"/>
          <w:lang w:val="fr-FR"/>
        </w:rPr>
        <w:t>n organe d’Etat permanent chargé d</w:t>
      </w:r>
      <w:r>
        <w:rPr>
          <w:rFonts w:ascii="Times New Roman" w:eastAsia="Calibri" w:hAnsi="Times New Roman"/>
          <w:sz w:val="24"/>
          <w:szCs w:val="24"/>
          <w:lang w:val="fr-FR"/>
        </w:rPr>
        <w:t>’</w:t>
      </w:r>
      <w:r w:rsidRPr="006D2339">
        <w:rPr>
          <w:rFonts w:ascii="Times New Roman" w:eastAsia="Calibri" w:hAnsi="Times New Roman"/>
          <w:sz w:val="24"/>
          <w:szCs w:val="24"/>
          <w:lang w:val="fr-FR"/>
        </w:rPr>
        <w:t>élaborer les rapports nationaux aux organes internationaux des traités et de faire le suivi de la mise en œuvre des recommandations suivan</w:t>
      </w:r>
      <w:r>
        <w:rPr>
          <w:rFonts w:ascii="Times New Roman" w:eastAsia="Calibri" w:hAnsi="Times New Roman"/>
          <w:sz w:val="24"/>
          <w:szCs w:val="24"/>
          <w:lang w:val="fr-FR"/>
        </w:rPr>
        <w:t>t l’Examen périodique universel.</w:t>
      </w:r>
    </w:p>
    <w:p w:rsidR="00586C59" w:rsidRDefault="00586C59" w:rsidP="00586C59">
      <w:pPr>
        <w:pStyle w:val="ListParagraph"/>
        <w:spacing w:after="0" w:line="240" w:lineRule="auto"/>
        <w:jc w:val="both"/>
        <w:rPr>
          <w:rFonts w:ascii="Times New Roman" w:eastAsia="Calibri" w:hAnsi="Times New Roman"/>
          <w:sz w:val="24"/>
          <w:szCs w:val="24"/>
          <w:lang w:val="fr-FR"/>
        </w:rPr>
      </w:pPr>
    </w:p>
    <w:p w:rsidR="008673B7" w:rsidRDefault="008673B7" w:rsidP="008673B7">
      <w:pPr>
        <w:pStyle w:val="ListParagraph"/>
        <w:numPr>
          <w:ilvl w:val="0"/>
          <w:numId w:val="31"/>
        </w:numPr>
        <w:spacing w:after="0" w:line="240" w:lineRule="auto"/>
        <w:jc w:val="both"/>
        <w:rPr>
          <w:rFonts w:ascii="Times New Roman" w:eastAsia="Calibri" w:hAnsi="Times New Roman"/>
          <w:sz w:val="24"/>
          <w:szCs w:val="24"/>
          <w:lang w:val="fr-FR"/>
        </w:rPr>
      </w:pPr>
      <w:r w:rsidRPr="006D2339">
        <w:rPr>
          <w:rFonts w:ascii="Times New Roman" w:eastAsia="Calibri" w:hAnsi="Times New Roman"/>
          <w:sz w:val="24"/>
          <w:szCs w:val="24"/>
          <w:lang w:val="fr-FR"/>
        </w:rPr>
        <w:t>Soumettre les rapports gouvernementaux dus aux organes de traités</w:t>
      </w:r>
      <w:r>
        <w:rPr>
          <w:rFonts w:ascii="Times New Roman" w:eastAsia="Calibri" w:hAnsi="Times New Roman"/>
          <w:sz w:val="24"/>
          <w:szCs w:val="24"/>
          <w:lang w:val="fr-FR"/>
        </w:rPr>
        <w:t xml:space="preserve">, </w:t>
      </w:r>
      <w:r w:rsidRPr="006D2339">
        <w:rPr>
          <w:rFonts w:ascii="Times New Roman" w:eastAsia="Calibri" w:hAnsi="Times New Roman"/>
          <w:sz w:val="24"/>
          <w:szCs w:val="24"/>
          <w:lang w:val="fr-FR"/>
        </w:rPr>
        <w:t>notamment :</w:t>
      </w:r>
    </w:p>
    <w:p w:rsidR="008673B7" w:rsidRPr="006D2339" w:rsidRDefault="008673B7" w:rsidP="008673B7">
      <w:pPr>
        <w:pStyle w:val="ListParagraph"/>
        <w:spacing w:after="0" w:line="240" w:lineRule="auto"/>
        <w:jc w:val="both"/>
        <w:rPr>
          <w:rFonts w:ascii="Times New Roman" w:eastAsia="Calibri" w:hAnsi="Times New Roman"/>
          <w:sz w:val="24"/>
          <w:szCs w:val="24"/>
          <w:lang w:val="fr-FR"/>
        </w:rPr>
      </w:pPr>
    </w:p>
    <w:p w:rsidR="008673B7" w:rsidRPr="006900A2" w:rsidRDefault="008673B7" w:rsidP="008673B7">
      <w:pPr>
        <w:spacing w:after="0" w:line="240" w:lineRule="auto"/>
        <w:ind w:left="1440"/>
        <w:contextual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r w:rsidRPr="006900A2">
        <w:rPr>
          <w:rFonts w:ascii="Times New Roman" w:eastAsia="Calibri" w:hAnsi="Times New Roman"/>
          <w:sz w:val="24"/>
          <w:szCs w:val="24"/>
          <w:lang w:val="fr-FR"/>
        </w:rPr>
        <w:t xml:space="preserve">Les rapports périodiques au Comité </w:t>
      </w:r>
      <w:r>
        <w:rPr>
          <w:rFonts w:ascii="Times New Roman" w:eastAsia="Calibri" w:hAnsi="Times New Roman"/>
          <w:sz w:val="24"/>
          <w:szCs w:val="24"/>
          <w:lang w:val="fr-FR"/>
        </w:rPr>
        <w:t>pour l’élimination de la discrimination raciale</w:t>
      </w:r>
      <w:r w:rsidRPr="006900A2">
        <w:rPr>
          <w:rFonts w:ascii="Times New Roman" w:eastAsia="Calibri" w:hAnsi="Times New Roman"/>
          <w:sz w:val="24"/>
          <w:szCs w:val="24"/>
          <w:lang w:val="fr-FR"/>
        </w:rPr>
        <w:t xml:space="preserve">, dû depuis 2000 ; </w:t>
      </w:r>
    </w:p>
    <w:p w:rsidR="008673B7" w:rsidRPr="006900A2" w:rsidRDefault="008673B7" w:rsidP="008673B7">
      <w:pPr>
        <w:spacing w:after="0" w:line="240" w:lineRule="auto"/>
        <w:ind w:left="1440"/>
        <w:contextual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r w:rsidRPr="006900A2">
        <w:rPr>
          <w:rFonts w:ascii="Times New Roman" w:eastAsia="Calibri" w:hAnsi="Times New Roman"/>
          <w:sz w:val="24"/>
          <w:szCs w:val="24"/>
          <w:lang w:val="fr-FR"/>
        </w:rPr>
        <w:t xml:space="preserve">Les rapports périodiques au Comité des droits de l’enfant, dus depuis 2007; </w:t>
      </w:r>
    </w:p>
    <w:p w:rsidR="008673B7" w:rsidRDefault="008673B7" w:rsidP="008673B7">
      <w:pPr>
        <w:spacing w:after="0" w:line="240" w:lineRule="auto"/>
        <w:ind w:left="1440"/>
        <w:contextual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r w:rsidRPr="006900A2">
        <w:rPr>
          <w:rFonts w:ascii="Times New Roman" w:eastAsia="Calibri" w:hAnsi="Times New Roman"/>
          <w:sz w:val="24"/>
          <w:szCs w:val="24"/>
          <w:lang w:val="fr-FR"/>
        </w:rPr>
        <w:t>Le rapport initial au Comité des droits des personnes handicapées, d</w:t>
      </w:r>
      <w:r>
        <w:rPr>
          <w:rFonts w:ascii="Times New Roman" w:eastAsia="Calibri" w:hAnsi="Times New Roman"/>
          <w:sz w:val="24"/>
          <w:szCs w:val="24"/>
          <w:lang w:val="fr-FR"/>
        </w:rPr>
        <w:t>û</w:t>
      </w:r>
      <w:r w:rsidRPr="006900A2">
        <w:rPr>
          <w:rFonts w:ascii="Times New Roman" w:eastAsia="Calibri" w:hAnsi="Times New Roman"/>
          <w:sz w:val="24"/>
          <w:szCs w:val="24"/>
          <w:lang w:val="fr-FR"/>
        </w:rPr>
        <w:t xml:space="preserve"> depuis 2011. </w:t>
      </w:r>
    </w:p>
    <w:p w:rsidR="008673B7" w:rsidRPr="006900A2" w:rsidRDefault="008673B7" w:rsidP="008673B7">
      <w:pPr>
        <w:spacing w:after="0" w:line="240" w:lineRule="auto"/>
        <w:ind w:left="720"/>
        <w:contextualSpacing/>
        <w:jc w:val="both"/>
        <w:rPr>
          <w:rFonts w:ascii="Times New Roman" w:eastAsia="Calibri" w:hAnsi="Times New Roman"/>
          <w:sz w:val="24"/>
          <w:szCs w:val="24"/>
          <w:lang w:val="fr-FR"/>
        </w:rPr>
      </w:pPr>
    </w:p>
    <w:p w:rsidR="008673B7" w:rsidRDefault="008673B7" w:rsidP="008673B7">
      <w:pPr>
        <w:pStyle w:val="ListParagraph"/>
        <w:numPr>
          <w:ilvl w:val="0"/>
          <w:numId w:val="31"/>
        </w:numPr>
        <w:spacing w:after="0" w:line="240" w:lineRule="auto"/>
        <w:jc w:val="both"/>
        <w:rPr>
          <w:rFonts w:ascii="Times New Roman" w:eastAsia="Calibri" w:hAnsi="Times New Roman"/>
          <w:sz w:val="24"/>
          <w:szCs w:val="24"/>
          <w:lang w:val="fr-FR"/>
        </w:rPr>
      </w:pPr>
      <w:r w:rsidRPr="006D2339">
        <w:rPr>
          <w:rFonts w:ascii="Times New Roman" w:eastAsia="Calibri" w:hAnsi="Times New Roman"/>
          <w:sz w:val="24"/>
          <w:szCs w:val="24"/>
          <w:lang w:val="fr-FR"/>
        </w:rPr>
        <w:t>Ratifier, comme annoncé par le Premier Ministre lors de la réunion de haut niveau sur l’état de droit à New York, en septembre 2012, les conventions suivantes :</w:t>
      </w:r>
    </w:p>
    <w:p w:rsidR="008673B7" w:rsidRPr="006D2339" w:rsidRDefault="008673B7" w:rsidP="008673B7">
      <w:pPr>
        <w:pStyle w:val="ListParagraph"/>
        <w:spacing w:after="0" w:line="240" w:lineRule="auto"/>
        <w:jc w:val="both"/>
        <w:rPr>
          <w:rFonts w:ascii="Times New Roman" w:eastAsia="Calibri" w:hAnsi="Times New Roman"/>
          <w:sz w:val="24"/>
          <w:szCs w:val="24"/>
          <w:lang w:val="fr-FR"/>
        </w:rPr>
      </w:pPr>
    </w:p>
    <w:p w:rsidR="008673B7" w:rsidRPr="006900A2" w:rsidRDefault="008673B7" w:rsidP="008673B7">
      <w:pPr>
        <w:spacing w:after="0" w:line="240" w:lineRule="auto"/>
        <w:ind w:left="1440"/>
        <w:contextual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r w:rsidRPr="006900A2">
        <w:rPr>
          <w:rFonts w:ascii="Times New Roman" w:eastAsia="Calibri" w:hAnsi="Times New Roman"/>
          <w:sz w:val="24"/>
          <w:szCs w:val="24"/>
          <w:lang w:val="fr-FR"/>
        </w:rPr>
        <w:t xml:space="preserve">La Convention contre la torture et autres peines ou traitements cruels, inhumains ou dégradants ; </w:t>
      </w:r>
    </w:p>
    <w:p w:rsidR="008673B7" w:rsidRPr="006900A2" w:rsidRDefault="008673B7" w:rsidP="008673B7">
      <w:pPr>
        <w:spacing w:after="0" w:line="240" w:lineRule="auto"/>
        <w:ind w:left="1440"/>
        <w:contextual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r w:rsidRPr="006900A2">
        <w:rPr>
          <w:rFonts w:ascii="Times New Roman" w:eastAsia="Calibri" w:hAnsi="Times New Roman"/>
          <w:sz w:val="24"/>
          <w:szCs w:val="24"/>
          <w:lang w:val="fr-FR"/>
        </w:rPr>
        <w:t xml:space="preserve">La Convention internationale pour la protection de toutes les personnes </w:t>
      </w:r>
      <w:r w:rsidR="007B134C">
        <w:rPr>
          <w:rFonts w:ascii="Times New Roman" w:eastAsia="Calibri" w:hAnsi="Times New Roman"/>
          <w:sz w:val="24"/>
          <w:szCs w:val="24"/>
          <w:lang w:val="fr-FR"/>
        </w:rPr>
        <w:t>contre les disparitions forcées ;</w:t>
      </w:r>
      <w:r w:rsidRPr="006900A2">
        <w:rPr>
          <w:rFonts w:ascii="Times New Roman" w:eastAsia="Calibri" w:hAnsi="Times New Roman"/>
          <w:sz w:val="24"/>
          <w:szCs w:val="24"/>
          <w:lang w:val="fr-FR"/>
        </w:rPr>
        <w:t xml:space="preserve"> </w:t>
      </w:r>
    </w:p>
    <w:p w:rsidR="008673B7" w:rsidRPr="006900A2" w:rsidRDefault="008673B7" w:rsidP="008673B7">
      <w:pPr>
        <w:spacing w:after="0" w:line="240" w:lineRule="auto"/>
        <w:ind w:left="1440"/>
        <w:contextual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r w:rsidRPr="006900A2">
        <w:rPr>
          <w:rFonts w:ascii="Times New Roman" w:eastAsia="Calibri" w:hAnsi="Times New Roman"/>
          <w:sz w:val="24"/>
          <w:szCs w:val="24"/>
          <w:lang w:val="fr-FR"/>
        </w:rPr>
        <w:t xml:space="preserve">La Convention internationale sur la protection des droits de tous les travailleurs migrants et </w:t>
      </w:r>
      <w:r>
        <w:rPr>
          <w:rFonts w:ascii="Times New Roman" w:eastAsia="Calibri" w:hAnsi="Times New Roman"/>
          <w:sz w:val="24"/>
          <w:szCs w:val="24"/>
          <w:lang w:val="fr-FR"/>
        </w:rPr>
        <w:t>l</w:t>
      </w:r>
      <w:r w:rsidRPr="006900A2">
        <w:rPr>
          <w:rFonts w:ascii="Times New Roman" w:eastAsia="Calibri" w:hAnsi="Times New Roman"/>
          <w:sz w:val="24"/>
          <w:szCs w:val="24"/>
          <w:lang w:val="fr-FR"/>
        </w:rPr>
        <w:t xml:space="preserve">es membres de leur famille ; </w:t>
      </w:r>
    </w:p>
    <w:p w:rsidR="008673B7" w:rsidRPr="006900A2" w:rsidRDefault="008673B7" w:rsidP="008673B7">
      <w:pPr>
        <w:spacing w:after="0" w:line="240" w:lineRule="auto"/>
        <w:ind w:left="1440"/>
        <w:contextual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r w:rsidRPr="006900A2">
        <w:rPr>
          <w:rFonts w:ascii="Times New Roman" w:eastAsia="Calibri" w:hAnsi="Times New Roman"/>
          <w:sz w:val="24"/>
          <w:szCs w:val="24"/>
          <w:lang w:val="fr-FR"/>
        </w:rPr>
        <w:t>Le Statut de Rome établissant la Cour pénale internationale ; </w:t>
      </w:r>
    </w:p>
    <w:p w:rsidR="008673B7" w:rsidRPr="006900A2" w:rsidRDefault="008673B7" w:rsidP="008673B7">
      <w:pPr>
        <w:spacing w:after="0" w:line="240" w:lineRule="auto"/>
        <w:ind w:left="1440"/>
        <w:contextual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r w:rsidRPr="006900A2">
        <w:rPr>
          <w:rFonts w:ascii="Times New Roman" w:eastAsia="Calibri" w:hAnsi="Times New Roman"/>
          <w:sz w:val="24"/>
          <w:szCs w:val="24"/>
          <w:lang w:val="fr-FR"/>
        </w:rPr>
        <w:t>La Convention de 1954 relative au statut des apatrides et la Convention de 1961 sur la réduction des cas d’apatridie</w:t>
      </w:r>
      <w:r w:rsidRPr="006900A2">
        <w:rPr>
          <w:lang w:val="fr-FR"/>
        </w:rPr>
        <w:t>.</w:t>
      </w:r>
    </w:p>
    <w:p w:rsidR="008673B7" w:rsidRPr="006900A2" w:rsidRDefault="008673B7" w:rsidP="008673B7">
      <w:pPr>
        <w:spacing w:after="0" w:line="240" w:lineRule="auto"/>
        <w:jc w:val="both"/>
        <w:rPr>
          <w:rFonts w:ascii="Times New Roman" w:eastAsia="Calibri" w:hAnsi="Times New Roman"/>
          <w:sz w:val="24"/>
          <w:szCs w:val="24"/>
          <w:lang w:val="fr-FR"/>
        </w:rPr>
      </w:pPr>
    </w:p>
    <w:p w:rsidR="008673B7" w:rsidRPr="00C94DBF" w:rsidRDefault="008673B7" w:rsidP="008673B7">
      <w:pPr>
        <w:pStyle w:val="ListParagraph"/>
        <w:numPr>
          <w:ilvl w:val="0"/>
          <w:numId w:val="31"/>
        </w:numPr>
        <w:spacing w:after="0" w:line="240" w:lineRule="auto"/>
        <w:jc w:val="both"/>
        <w:rPr>
          <w:rFonts w:ascii="Times New Roman" w:eastAsia="Calibri" w:hAnsi="Times New Roman"/>
          <w:sz w:val="24"/>
          <w:szCs w:val="24"/>
          <w:lang w:val="fr-FR"/>
        </w:rPr>
      </w:pPr>
      <w:r w:rsidRPr="00C94DBF">
        <w:rPr>
          <w:rFonts w:ascii="Times New Roman" w:eastAsia="Calibri" w:hAnsi="Times New Roman"/>
          <w:sz w:val="24"/>
          <w:szCs w:val="24"/>
          <w:lang w:val="fr-FR"/>
        </w:rPr>
        <w:t xml:space="preserve">Promulguer la loi adoptée par le Parlement ratifiant le Pacte international </w:t>
      </w:r>
      <w:r w:rsidR="00586C59">
        <w:rPr>
          <w:rFonts w:ascii="Times New Roman" w:eastAsia="Calibri" w:hAnsi="Times New Roman"/>
          <w:sz w:val="24"/>
          <w:szCs w:val="24"/>
          <w:lang w:val="fr-FR"/>
        </w:rPr>
        <w:t>relatifs aux</w:t>
      </w:r>
      <w:r w:rsidRPr="00C94DBF">
        <w:rPr>
          <w:rFonts w:ascii="Times New Roman" w:eastAsia="Calibri" w:hAnsi="Times New Roman"/>
          <w:sz w:val="24"/>
          <w:szCs w:val="24"/>
          <w:lang w:val="fr-FR"/>
        </w:rPr>
        <w:t xml:space="preserve"> droits économiques</w:t>
      </w:r>
      <w:r w:rsidR="00586C59">
        <w:rPr>
          <w:rFonts w:ascii="Times New Roman" w:eastAsia="Calibri" w:hAnsi="Times New Roman"/>
          <w:sz w:val="24"/>
          <w:szCs w:val="24"/>
          <w:lang w:val="fr-FR"/>
        </w:rPr>
        <w:t>,</w:t>
      </w:r>
      <w:r w:rsidRPr="00C94DBF">
        <w:rPr>
          <w:rFonts w:ascii="Times New Roman" w:eastAsia="Calibri" w:hAnsi="Times New Roman"/>
          <w:sz w:val="24"/>
          <w:szCs w:val="24"/>
          <w:lang w:val="fr-FR"/>
        </w:rPr>
        <w:t xml:space="preserve"> sociaux</w:t>
      </w:r>
      <w:r w:rsidR="00586C59">
        <w:rPr>
          <w:rFonts w:ascii="Times New Roman" w:eastAsia="Calibri" w:hAnsi="Times New Roman"/>
          <w:sz w:val="24"/>
          <w:szCs w:val="24"/>
          <w:lang w:val="fr-FR"/>
        </w:rPr>
        <w:t xml:space="preserve"> et culturels</w:t>
      </w:r>
      <w:r w:rsidRPr="00C94DBF">
        <w:rPr>
          <w:rFonts w:ascii="Times New Roman" w:eastAsia="Calibri" w:hAnsi="Times New Roman"/>
          <w:sz w:val="24"/>
          <w:szCs w:val="24"/>
          <w:lang w:val="fr-FR"/>
        </w:rPr>
        <w:t>, et déposer un instrument d’accession</w:t>
      </w:r>
      <w:r w:rsidR="00586C59">
        <w:rPr>
          <w:rFonts w:ascii="Times New Roman" w:eastAsia="Calibri" w:hAnsi="Times New Roman"/>
          <w:sz w:val="24"/>
          <w:szCs w:val="24"/>
          <w:lang w:val="fr-FR"/>
        </w:rPr>
        <w:t>,</w:t>
      </w:r>
      <w:r w:rsidRPr="00C94DBF">
        <w:rPr>
          <w:rFonts w:ascii="Times New Roman" w:eastAsia="Calibri" w:hAnsi="Times New Roman"/>
          <w:sz w:val="24"/>
          <w:szCs w:val="24"/>
          <w:lang w:val="fr-FR"/>
        </w:rPr>
        <w:t xml:space="preserve"> afin que le Pacte entre en vigueur.  </w:t>
      </w:r>
    </w:p>
    <w:p w:rsidR="008673B7" w:rsidRPr="006900A2" w:rsidRDefault="008673B7" w:rsidP="008673B7">
      <w:pPr>
        <w:spacing w:after="0" w:line="240" w:lineRule="auto"/>
        <w:jc w:val="both"/>
        <w:rPr>
          <w:rFonts w:ascii="Times New Roman" w:eastAsia="Calibri" w:hAnsi="Times New Roman"/>
          <w:sz w:val="24"/>
          <w:szCs w:val="24"/>
          <w:lang w:val="fr-FR"/>
        </w:rPr>
      </w:pPr>
    </w:p>
    <w:p w:rsidR="008673B7" w:rsidRPr="00C94DBF" w:rsidRDefault="008673B7" w:rsidP="008673B7">
      <w:pPr>
        <w:pStyle w:val="ListParagraph"/>
        <w:numPr>
          <w:ilvl w:val="0"/>
          <w:numId w:val="31"/>
        </w:numPr>
        <w:spacing w:after="0" w:line="240" w:lineRule="auto"/>
        <w:jc w:val="both"/>
        <w:rPr>
          <w:rFonts w:ascii="Times New Roman" w:eastAsia="Calibri" w:hAnsi="Times New Roman"/>
          <w:sz w:val="24"/>
          <w:szCs w:val="24"/>
          <w:lang w:val="fr-FR"/>
        </w:rPr>
      </w:pPr>
      <w:r w:rsidRPr="00C94DBF">
        <w:rPr>
          <w:rFonts w:ascii="Times New Roman" w:eastAsia="Calibri" w:hAnsi="Times New Roman"/>
          <w:sz w:val="24"/>
          <w:szCs w:val="24"/>
          <w:lang w:val="fr-FR"/>
        </w:rPr>
        <w:t xml:space="preserve">Finaliser au plus vite le travail de réforme du Code pénal et du Code d’instruction criminelle, dont le projet final est présentement au </w:t>
      </w:r>
      <w:r>
        <w:rPr>
          <w:rFonts w:ascii="Times New Roman" w:eastAsia="Calibri" w:hAnsi="Times New Roman"/>
          <w:sz w:val="24"/>
          <w:szCs w:val="24"/>
          <w:lang w:val="fr-FR"/>
        </w:rPr>
        <w:t>m</w:t>
      </w:r>
      <w:r w:rsidRPr="00C94DBF">
        <w:rPr>
          <w:rFonts w:ascii="Times New Roman" w:eastAsia="Calibri" w:hAnsi="Times New Roman"/>
          <w:sz w:val="24"/>
          <w:szCs w:val="24"/>
          <w:lang w:val="fr-FR"/>
        </w:rPr>
        <w:t xml:space="preserve">inistère de la </w:t>
      </w:r>
      <w:r>
        <w:rPr>
          <w:rFonts w:ascii="Times New Roman" w:eastAsia="Calibri" w:hAnsi="Times New Roman"/>
          <w:sz w:val="24"/>
          <w:szCs w:val="24"/>
          <w:lang w:val="fr-FR"/>
        </w:rPr>
        <w:t>J</w:t>
      </w:r>
      <w:r w:rsidRPr="00C94DBF">
        <w:rPr>
          <w:rFonts w:ascii="Times New Roman" w:eastAsia="Calibri" w:hAnsi="Times New Roman"/>
          <w:sz w:val="24"/>
          <w:szCs w:val="24"/>
          <w:lang w:val="fr-FR"/>
        </w:rPr>
        <w:t xml:space="preserve">ustice. </w:t>
      </w:r>
    </w:p>
    <w:p w:rsidR="008673B7" w:rsidRPr="006900A2" w:rsidRDefault="008673B7" w:rsidP="008673B7">
      <w:pPr>
        <w:spacing w:after="0" w:line="240" w:lineRule="auto"/>
        <w:jc w:val="both"/>
        <w:rPr>
          <w:rFonts w:ascii="Times New Roman" w:eastAsia="Calibri" w:hAnsi="Times New Roman"/>
          <w:sz w:val="24"/>
          <w:szCs w:val="24"/>
          <w:lang w:val="fr-FR"/>
        </w:rPr>
      </w:pPr>
    </w:p>
    <w:p w:rsidR="008673B7" w:rsidRPr="00C94DBF" w:rsidRDefault="008673B7" w:rsidP="008673B7">
      <w:pPr>
        <w:pStyle w:val="ListParagraph"/>
        <w:numPr>
          <w:ilvl w:val="0"/>
          <w:numId w:val="31"/>
        </w:numPr>
        <w:spacing w:after="0" w:line="240" w:lineRule="auto"/>
        <w:jc w:val="both"/>
        <w:rPr>
          <w:rFonts w:ascii="Times New Roman" w:eastAsia="Calibri" w:hAnsi="Times New Roman"/>
          <w:sz w:val="24"/>
          <w:szCs w:val="24"/>
          <w:lang w:val="fr-FR"/>
        </w:rPr>
      </w:pPr>
      <w:r w:rsidRPr="00C94DBF">
        <w:rPr>
          <w:rFonts w:ascii="Times New Roman" w:eastAsia="Calibri" w:hAnsi="Times New Roman"/>
          <w:sz w:val="24"/>
          <w:szCs w:val="24"/>
          <w:lang w:val="fr-FR"/>
        </w:rPr>
        <w:t xml:space="preserve">Se consacrer à publier les lois adoptées par le Parlement et promulguées par le Président dans le journal officiel, </w:t>
      </w:r>
      <w:r w:rsidRPr="00C94DBF">
        <w:rPr>
          <w:rFonts w:ascii="Times New Roman" w:eastAsia="Calibri" w:hAnsi="Times New Roman"/>
          <w:i/>
          <w:sz w:val="24"/>
          <w:szCs w:val="24"/>
          <w:lang w:val="fr-FR"/>
        </w:rPr>
        <w:t>le Moniteur</w:t>
      </w:r>
      <w:r w:rsidRPr="00C94DBF">
        <w:rPr>
          <w:rFonts w:ascii="Times New Roman" w:eastAsia="Calibri" w:hAnsi="Times New Roman"/>
          <w:sz w:val="24"/>
          <w:szCs w:val="24"/>
          <w:lang w:val="fr-FR"/>
        </w:rPr>
        <w:t>, afin que la population soit informée de ses droits et devoirs</w:t>
      </w:r>
      <w:r w:rsidR="007B134C">
        <w:rPr>
          <w:rFonts w:ascii="Times New Roman" w:eastAsia="Calibri" w:hAnsi="Times New Roman"/>
          <w:sz w:val="24"/>
          <w:szCs w:val="24"/>
          <w:lang w:val="fr-FR"/>
        </w:rPr>
        <w:t>.</w:t>
      </w:r>
      <w:r w:rsidRPr="00C94DBF">
        <w:rPr>
          <w:rFonts w:ascii="Times New Roman" w:eastAsia="Calibri" w:hAnsi="Times New Roman"/>
          <w:sz w:val="24"/>
          <w:szCs w:val="24"/>
          <w:lang w:val="fr-FR"/>
        </w:rPr>
        <w:t xml:space="preserve"> </w:t>
      </w:r>
      <w:r w:rsidR="007B134C">
        <w:rPr>
          <w:rFonts w:ascii="Times New Roman" w:eastAsia="Calibri" w:hAnsi="Times New Roman"/>
          <w:sz w:val="24"/>
          <w:szCs w:val="24"/>
          <w:lang w:val="fr-FR"/>
        </w:rPr>
        <w:t>P</w:t>
      </w:r>
      <w:r>
        <w:rPr>
          <w:rFonts w:ascii="Times New Roman" w:eastAsia="Calibri" w:hAnsi="Times New Roman"/>
          <w:sz w:val="24"/>
          <w:szCs w:val="24"/>
          <w:lang w:val="fr-FR"/>
        </w:rPr>
        <w:t>l</w:t>
      </w:r>
      <w:r w:rsidRPr="00C94DBF">
        <w:rPr>
          <w:rFonts w:ascii="Times New Roman" w:eastAsia="Calibri" w:hAnsi="Times New Roman"/>
          <w:sz w:val="24"/>
          <w:szCs w:val="24"/>
          <w:lang w:val="fr-FR"/>
        </w:rPr>
        <w:t xml:space="preserve">us précisément, la loi ratifiant le Pacte international relatif aux droits économiques, sociaux et culturels (adoptée par le Parlement le 31 janvier 2012), la </w:t>
      </w:r>
      <w:r w:rsidRPr="00C94DBF">
        <w:rPr>
          <w:rFonts w:ascii="Times New Roman" w:hAnsi="Times New Roman"/>
          <w:sz w:val="24"/>
          <w:szCs w:val="24"/>
          <w:lang w:val="fr-FR"/>
        </w:rPr>
        <w:t>loi sur la paternité et la filiation (votée par le S</w:t>
      </w:r>
      <w:r w:rsidR="007B134C">
        <w:rPr>
          <w:rFonts w:ascii="Times New Roman" w:hAnsi="Times New Roman"/>
          <w:sz w:val="24"/>
          <w:szCs w:val="24"/>
          <w:lang w:val="fr-FR"/>
        </w:rPr>
        <w:t>é</w:t>
      </w:r>
      <w:r w:rsidRPr="00C94DBF">
        <w:rPr>
          <w:rFonts w:ascii="Times New Roman" w:hAnsi="Times New Roman"/>
          <w:sz w:val="24"/>
          <w:szCs w:val="24"/>
          <w:lang w:val="fr-FR"/>
        </w:rPr>
        <w:t>nat le 12 avril 2012) et le décret sur l’état d’urgence (adoptée le 30 octobre 2012)</w:t>
      </w:r>
      <w:r w:rsidR="007B134C">
        <w:rPr>
          <w:rFonts w:ascii="Times New Roman" w:hAnsi="Times New Roman"/>
          <w:sz w:val="24"/>
          <w:szCs w:val="24"/>
          <w:lang w:val="fr-FR"/>
        </w:rPr>
        <w:t xml:space="preserve"> devraient être publiées au Journal Officiel</w:t>
      </w:r>
      <w:r>
        <w:rPr>
          <w:rFonts w:ascii="Times New Roman" w:hAnsi="Times New Roman"/>
          <w:sz w:val="24"/>
          <w:szCs w:val="24"/>
          <w:lang w:val="fr-FR"/>
        </w:rPr>
        <w:t>.</w:t>
      </w:r>
    </w:p>
    <w:p w:rsidR="008673B7" w:rsidRPr="006900A2" w:rsidRDefault="008673B7" w:rsidP="008673B7">
      <w:pPr>
        <w:spacing w:after="0" w:line="240" w:lineRule="auto"/>
        <w:jc w:val="both"/>
        <w:rPr>
          <w:rFonts w:ascii="Times New Roman" w:eastAsia="Calibri" w:hAnsi="Times New Roman"/>
          <w:sz w:val="24"/>
          <w:szCs w:val="24"/>
          <w:lang w:val="fr-FR"/>
        </w:rPr>
      </w:pPr>
    </w:p>
    <w:p w:rsidR="008673B7" w:rsidRPr="00C94DBF" w:rsidRDefault="008673B7" w:rsidP="008673B7">
      <w:pPr>
        <w:pStyle w:val="ListParagraph"/>
        <w:numPr>
          <w:ilvl w:val="0"/>
          <w:numId w:val="31"/>
        </w:numPr>
        <w:spacing w:after="0" w:line="240" w:lineRule="auto"/>
        <w:jc w:val="both"/>
        <w:rPr>
          <w:rFonts w:ascii="Times New Roman" w:eastAsia="Calibri" w:hAnsi="Times New Roman"/>
          <w:sz w:val="24"/>
          <w:szCs w:val="24"/>
          <w:lang w:val="fr-FR"/>
        </w:rPr>
      </w:pPr>
      <w:r w:rsidRPr="00C94DBF">
        <w:rPr>
          <w:rFonts w:ascii="Times New Roman" w:eastAsia="Calibri" w:hAnsi="Times New Roman"/>
          <w:sz w:val="24"/>
          <w:szCs w:val="24"/>
          <w:lang w:val="fr-FR"/>
        </w:rPr>
        <w:t xml:space="preserve">Assisté de la communauté internationale, poursuivre </w:t>
      </w:r>
      <w:r w:rsidR="007B134C">
        <w:rPr>
          <w:rFonts w:ascii="Times New Roman" w:eastAsia="Calibri" w:hAnsi="Times New Roman"/>
          <w:sz w:val="24"/>
          <w:szCs w:val="24"/>
          <w:lang w:val="fr-FR"/>
        </w:rPr>
        <w:t>ses activités de</w:t>
      </w:r>
      <w:r w:rsidRPr="00C94DBF">
        <w:rPr>
          <w:rFonts w:ascii="Times New Roman" w:eastAsia="Calibri" w:hAnsi="Times New Roman"/>
          <w:sz w:val="24"/>
          <w:szCs w:val="24"/>
          <w:lang w:val="fr-FR"/>
        </w:rPr>
        <w:t xml:space="preserve"> consolidation de l’OPC, notamment quant à l’établissement de bureaux régionaux et </w:t>
      </w:r>
      <w:r w:rsidR="007B134C" w:rsidRPr="007B134C">
        <w:rPr>
          <w:rFonts w:ascii="Times New Roman" w:eastAsia="Calibri" w:hAnsi="Times New Roman"/>
          <w:sz w:val="24"/>
          <w:szCs w:val="24"/>
          <w:lang w:val="fr-FR"/>
        </w:rPr>
        <w:t>à</w:t>
      </w:r>
      <w:r w:rsidR="007B134C">
        <w:rPr>
          <w:rFonts w:ascii="Sylfaen" w:eastAsia="Calibri" w:hAnsi="Sylfaen"/>
          <w:sz w:val="24"/>
          <w:szCs w:val="24"/>
          <w:lang w:val="fr-FR"/>
        </w:rPr>
        <w:t xml:space="preserve"> </w:t>
      </w:r>
      <w:r w:rsidRPr="00C94DBF">
        <w:rPr>
          <w:rFonts w:ascii="Times New Roman" w:eastAsia="Calibri" w:hAnsi="Times New Roman"/>
          <w:sz w:val="24"/>
          <w:szCs w:val="24"/>
          <w:lang w:val="fr-FR"/>
        </w:rPr>
        <w:t xml:space="preserve">la facilitation de la coopération avec la société civile. </w:t>
      </w:r>
    </w:p>
    <w:p w:rsidR="008673B7" w:rsidRPr="006900A2" w:rsidRDefault="008673B7" w:rsidP="008673B7">
      <w:pPr>
        <w:spacing w:after="0" w:line="240" w:lineRule="auto"/>
        <w:jc w:val="both"/>
        <w:rPr>
          <w:rFonts w:ascii="Times New Roman" w:eastAsia="Calibri" w:hAnsi="Times New Roman"/>
          <w:sz w:val="24"/>
          <w:szCs w:val="24"/>
          <w:lang w:val="fr-FR"/>
        </w:rPr>
      </w:pPr>
    </w:p>
    <w:p w:rsidR="008673B7" w:rsidRPr="00C94DBF" w:rsidRDefault="008673B7" w:rsidP="008673B7">
      <w:pPr>
        <w:pStyle w:val="ListParagraph"/>
        <w:numPr>
          <w:ilvl w:val="0"/>
          <w:numId w:val="31"/>
        </w:numPr>
        <w:spacing w:after="0" w:line="240" w:lineRule="auto"/>
        <w:jc w:val="both"/>
        <w:rPr>
          <w:rFonts w:ascii="Times New Roman" w:eastAsia="Calibri" w:hAnsi="Times New Roman"/>
          <w:sz w:val="24"/>
          <w:szCs w:val="24"/>
          <w:lang w:val="fr-FR"/>
        </w:rPr>
      </w:pPr>
      <w:r w:rsidRPr="00C94DBF">
        <w:rPr>
          <w:rFonts w:ascii="Times New Roman" w:eastAsia="Calibri" w:hAnsi="Times New Roman"/>
          <w:sz w:val="24"/>
          <w:szCs w:val="24"/>
          <w:lang w:val="fr-FR"/>
        </w:rPr>
        <w:t>Attribue</w:t>
      </w:r>
      <w:r w:rsidR="00FA32E2">
        <w:rPr>
          <w:rFonts w:ascii="Times New Roman" w:eastAsia="Calibri" w:hAnsi="Times New Roman"/>
          <w:sz w:val="24"/>
          <w:szCs w:val="24"/>
          <w:lang w:val="fr-FR"/>
        </w:rPr>
        <w:t>r un budget de fonctionnement à la</w:t>
      </w:r>
      <w:r w:rsidRPr="00C94DBF">
        <w:rPr>
          <w:rFonts w:ascii="Times New Roman" w:eastAsia="Calibri" w:hAnsi="Times New Roman"/>
          <w:sz w:val="24"/>
          <w:szCs w:val="24"/>
          <w:lang w:val="fr-FR"/>
        </w:rPr>
        <w:t xml:space="preserve"> Ministre déléguée chargée des droits de l'homme et de la lutte contre la pauvreté extrême. </w:t>
      </w:r>
    </w:p>
    <w:p w:rsidR="008673B7" w:rsidRDefault="008673B7" w:rsidP="008673B7">
      <w:pPr>
        <w:spacing w:after="0" w:line="240" w:lineRule="auto"/>
        <w:jc w:val="both"/>
        <w:rPr>
          <w:rFonts w:ascii="Times New Roman" w:eastAsia="Calibri" w:hAnsi="Times New Roman"/>
          <w:sz w:val="24"/>
          <w:szCs w:val="24"/>
          <w:lang w:val="fr-FR"/>
        </w:rPr>
      </w:pPr>
    </w:p>
    <w:p w:rsidR="008673B7" w:rsidRDefault="008673B7" w:rsidP="008673B7">
      <w:pPr>
        <w:pStyle w:val="ListParagraph"/>
        <w:numPr>
          <w:ilvl w:val="0"/>
          <w:numId w:val="31"/>
        </w:numPr>
        <w:spacing w:after="0" w:line="240" w:lineRule="auto"/>
        <w:jc w:val="both"/>
        <w:rPr>
          <w:rFonts w:ascii="Times New Roman" w:eastAsia="Calibri" w:hAnsi="Times New Roman"/>
          <w:sz w:val="24"/>
          <w:szCs w:val="24"/>
          <w:lang w:val="fr-CA"/>
        </w:rPr>
      </w:pPr>
      <w:r w:rsidRPr="00C94DBF">
        <w:rPr>
          <w:rFonts w:ascii="Times New Roman" w:eastAsia="Calibri" w:hAnsi="Times New Roman"/>
          <w:sz w:val="24"/>
          <w:szCs w:val="24"/>
          <w:lang w:val="fr-CA"/>
        </w:rPr>
        <w:t>Avec le soutien de la communauté internationale, l’UCLBP devrait adopter et mettre en œuvre une stratégie globale, notamment une politique de logement, afin de répondre aux besoins des personnes déplacées vivant dans des camps, éviter les évictions forc</w:t>
      </w:r>
      <w:r>
        <w:rPr>
          <w:rFonts w:ascii="Times New Roman" w:eastAsia="Calibri" w:hAnsi="Times New Roman"/>
          <w:sz w:val="24"/>
          <w:szCs w:val="24"/>
          <w:lang w:val="fr-CA"/>
        </w:rPr>
        <w:t>é</w:t>
      </w:r>
      <w:r w:rsidRPr="00C94DBF">
        <w:rPr>
          <w:rFonts w:ascii="Times New Roman" w:eastAsia="Calibri" w:hAnsi="Times New Roman"/>
          <w:sz w:val="24"/>
          <w:szCs w:val="24"/>
          <w:lang w:val="fr-CA"/>
        </w:rPr>
        <w:t>es et développer une vision pour un développement urbain dans le respect des droits de l’homme</w:t>
      </w:r>
      <w:r>
        <w:rPr>
          <w:rFonts w:ascii="Times New Roman" w:eastAsia="Calibri" w:hAnsi="Times New Roman"/>
          <w:sz w:val="24"/>
          <w:szCs w:val="24"/>
          <w:lang w:val="fr-CA"/>
        </w:rPr>
        <w:t>.</w:t>
      </w:r>
    </w:p>
    <w:p w:rsidR="008673B7" w:rsidRDefault="008673B7" w:rsidP="008673B7">
      <w:pPr>
        <w:pStyle w:val="ListParagraph"/>
        <w:spacing w:after="0" w:line="240" w:lineRule="auto"/>
        <w:jc w:val="both"/>
        <w:rPr>
          <w:rFonts w:ascii="Times New Roman" w:eastAsia="Calibri" w:hAnsi="Times New Roman"/>
          <w:sz w:val="24"/>
          <w:szCs w:val="24"/>
          <w:lang w:val="fr-CA"/>
        </w:rPr>
      </w:pPr>
    </w:p>
    <w:p w:rsidR="008673B7" w:rsidRPr="00C94DBF" w:rsidRDefault="008673B7" w:rsidP="008673B7">
      <w:pPr>
        <w:pStyle w:val="ListParagraph"/>
        <w:numPr>
          <w:ilvl w:val="0"/>
          <w:numId w:val="31"/>
        </w:numPr>
        <w:spacing w:after="0" w:line="240" w:lineRule="auto"/>
        <w:jc w:val="both"/>
        <w:rPr>
          <w:rFonts w:ascii="Times New Roman" w:eastAsia="Calibri" w:hAnsi="Times New Roman"/>
          <w:sz w:val="24"/>
          <w:szCs w:val="24"/>
          <w:lang w:val="fr-CA"/>
        </w:rPr>
      </w:pPr>
      <w:r w:rsidRPr="00C94DBF">
        <w:rPr>
          <w:rFonts w:ascii="Times New Roman" w:eastAsia="Calibri" w:hAnsi="Times New Roman"/>
          <w:sz w:val="24"/>
          <w:szCs w:val="24"/>
          <w:lang w:val="fr-FR"/>
        </w:rPr>
        <w:t xml:space="preserve">Le Parlement devrait adopter un cadre législatif en conformité avec le Protocole additionnel à la Convention des Nations Unies contre la criminalité transnationale organisée visant à prévenir, réprimer et punir la traite des personnes, en particulier </w:t>
      </w:r>
      <w:r>
        <w:rPr>
          <w:rFonts w:ascii="Times New Roman" w:eastAsia="Calibri" w:hAnsi="Times New Roman"/>
          <w:sz w:val="24"/>
          <w:szCs w:val="24"/>
          <w:lang w:val="fr-FR"/>
        </w:rPr>
        <w:t>l</w:t>
      </w:r>
      <w:r w:rsidRPr="00C94DBF">
        <w:rPr>
          <w:rFonts w:ascii="Times New Roman" w:eastAsia="Calibri" w:hAnsi="Times New Roman"/>
          <w:sz w:val="24"/>
          <w:szCs w:val="24"/>
          <w:lang w:val="fr-FR"/>
        </w:rPr>
        <w:t>es femmes et des enfants, ratifié par Haïti en 2011.</w:t>
      </w:r>
    </w:p>
    <w:p w:rsidR="008673B7" w:rsidRPr="006900A2" w:rsidRDefault="008673B7" w:rsidP="008673B7">
      <w:pPr>
        <w:spacing w:after="0" w:line="240" w:lineRule="auto"/>
        <w:jc w:val="both"/>
        <w:rPr>
          <w:rFonts w:ascii="Times New Roman" w:hAnsi="Times New Roman"/>
          <w:iCs/>
          <w:sz w:val="24"/>
          <w:szCs w:val="24"/>
          <w:lang w:val="fr-FR"/>
        </w:rPr>
      </w:pPr>
    </w:p>
    <w:p w:rsidR="008673B7" w:rsidRPr="00C94DBF" w:rsidRDefault="008673B7" w:rsidP="008673B7">
      <w:pPr>
        <w:pStyle w:val="ListParagraph"/>
        <w:numPr>
          <w:ilvl w:val="0"/>
          <w:numId w:val="31"/>
        </w:numPr>
        <w:spacing w:after="0" w:line="240" w:lineRule="auto"/>
        <w:jc w:val="both"/>
        <w:rPr>
          <w:rFonts w:ascii="Times New Roman" w:eastAsia="Times New Roman" w:hAnsi="Times New Roman"/>
          <w:sz w:val="24"/>
          <w:szCs w:val="24"/>
          <w:lang w:val="fr-FR"/>
        </w:rPr>
      </w:pPr>
      <w:r w:rsidRPr="00C94DBF">
        <w:rPr>
          <w:rFonts w:ascii="Times New Roman" w:eastAsia="Times New Roman" w:hAnsi="Times New Roman"/>
          <w:sz w:val="24"/>
          <w:szCs w:val="24"/>
          <w:lang w:val="fr-FR"/>
        </w:rPr>
        <w:t xml:space="preserve">Rendre compte au Parlement, dans un intérêt de transparence, de l’utilisation de fonds dans le cadre de l’état d’urgence. </w:t>
      </w:r>
    </w:p>
    <w:p w:rsidR="008673B7" w:rsidRPr="006900A2" w:rsidRDefault="008673B7" w:rsidP="008673B7">
      <w:pPr>
        <w:spacing w:after="0" w:line="240" w:lineRule="auto"/>
        <w:jc w:val="both"/>
        <w:rPr>
          <w:rFonts w:ascii="Times New Roman" w:eastAsia="Times New Roman" w:hAnsi="Times New Roman"/>
          <w:sz w:val="24"/>
          <w:szCs w:val="24"/>
          <w:lang w:val="fr-FR"/>
        </w:rPr>
      </w:pPr>
    </w:p>
    <w:p w:rsidR="008673B7" w:rsidRPr="00C94DBF" w:rsidRDefault="008673B7" w:rsidP="008673B7">
      <w:pPr>
        <w:pStyle w:val="ListParagraph"/>
        <w:numPr>
          <w:ilvl w:val="0"/>
          <w:numId w:val="31"/>
        </w:numPr>
        <w:spacing w:after="0" w:line="240" w:lineRule="auto"/>
        <w:jc w:val="both"/>
        <w:rPr>
          <w:rFonts w:ascii="Times New Roman" w:hAnsi="Times New Roman"/>
          <w:iCs/>
          <w:sz w:val="24"/>
          <w:szCs w:val="24"/>
          <w:lang w:val="fr-FR"/>
        </w:rPr>
      </w:pPr>
      <w:r w:rsidRPr="00C94DBF">
        <w:rPr>
          <w:rFonts w:ascii="Times New Roman" w:hAnsi="Times New Roman"/>
          <w:iCs/>
          <w:sz w:val="24"/>
          <w:szCs w:val="24"/>
          <w:lang w:val="fr-FR"/>
        </w:rPr>
        <w:t xml:space="preserve">Interdire formellement le recours par des élus et des fonctionnaires d’état à des forces de </w:t>
      </w:r>
      <w:r>
        <w:rPr>
          <w:rFonts w:ascii="Times New Roman" w:hAnsi="Times New Roman"/>
          <w:iCs/>
          <w:sz w:val="24"/>
          <w:szCs w:val="24"/>
          <w:lang w:val="fr-FR"/>
        </w:rPr>
        <w:t xml:space="preserve">  </w:t>
      </w:r>
      <w:r w:rsidRPr="00C94DBF">
        <w:rPr>
          <w:rFonts w:ascii="Times New Roman" w:hAnsi="Times New Roman"/>
          <w:iCs/>
          <w:sz w:val="24"/>
          <w:szCs w:val="24"/>
          <w:lang w:val="fr-FR"/>
        </w:rPr>
        <w:t xml:space="preserve">sécurité parallèles, notamment  des civils armés.  </w:t>
      </w:r>
    </w:p>
    <w:p w:rsidR="008673B7" w:rsidRPr="006900A2" w:rsidRDefault="008673B7" w:rsidP="008673B7">
      <w:pPr>
        <w:spacing w:after="0" w:line="240" w:lineRule="auto"/>
        <w:jc w:val="both"/>
        <w:rPr>
          <w:rFonts w:ascii="Times New Roman" w:eastAsia="Calibri" w:hAnsi="Times New Roman"/>
          <w:sz w:val="24"/>
          <w:szCs w:val="24"/>
          <w:lang w:val="fr-FR"/>
        </w:rPr>
      </w:pPr>
    </w:p>
    <w:p w:rsidR="008673B7" w:rsidRPr="006900A2" w:rsidRDefault="008673B7" w:rsidP="008673B7">
      <w:pPr>
        <w:spacing w:after="0" w:line="240" w:lineRule="auto"/>
        <w:outlineLvl w:val="1"/>
        <w:rPr>
          <w:rFonts w:ascii="Times New Roman" w:eastAsia="Calibri" w:hAnsi="Times New Roman"/>
          <w:sz w:val="24"/>
          <w:szCs w:val="24"/>
          <w:lang w:val="fr-FR"/>
        </w:rPr>
      </w:pPr>
    </w:p>
    <w:p w:rsidR="008673B7" w:rsidRPr="00DC37B4" w:rsidRDefault="00A8570F" w:rsidP="008673B7">
      <w:pPr>
        <w:spacing w:after="0" w:line="240" w:lineRule="auto"/>
        <w:outlineLvl w:val="1"/>
        <w:rPr>
          <w:rFonts w:ascii="Verdana" w:eastAsia="Calibri" w:hAnsi="Verdana"/>
          <w:b/>
          <w:bCs/>
          <w:color w:val="000066"/>
          <w:sz w:val="20"/>
          <w:szCs w:val="20"/>
          <w:lang w:val="fr-FR"/>
        </w:rPr>
      </w:pPr>
      <w:bookmarkStart w:id="59" w:name="_Toc350156733"/>
      <w:r>
        <w:rPr>
          <w:rFonts w:ascii="Verdana" w:eastAsia="Calibri" w:hAnsi="Verdana"/>
          <w:b/>
          <w:bCs/>
          <w:color w:val="000066"/>
          <w:sz w:val="20"/>
          <w:szCs w:val="20"/>
          <w:lang w:val="fr-FR"/>
        </w:rPr>
        <w:t xml:space="preserve">VI.2 </w:t>
      </w:r>
      <w:r w:rsidR="008673B7" w:rsidRPr="00DC37B4">
        <w:rPr>
          <w:rFonts w:ascii="Verdana" w:eastAsia="Calibri" w:hAnsi="Verdana"/>
          <w:b/>
          <w:bCs/>
          <w:color w:val="000066"/>
          <w:sz w:val="20"/>
          <w:szCs w:val="20"/>
          <w:lang w:val="fr-FR"/>
        </w:rPr>
        <w:t>Aux organes chargés du suivi du bon fonctionnement des institutions judiciaires et policières</w:t>
      </w:r>
      <w:bookmarkEnd w:id="59"/>
    </w:p>
    <w:p w:rsidR="008673B7" w:rsidRPr="006900A2" w:rsidRDefault="008673B7" w:rsidP="008673B7">
      <w:pPr>
        <w:spacing w:after="0" w:line="240" w:lineRule="auto"/>
        <w:outlineLvl w:val="1"/>
        <w:rPr>
          <w:rFonts w:ascii="Times New Roman" w:eastAsia="Calibri" w:hAnsi="Times New Roman"/>
          <w:b/>
          <w:bCs/>
          <w:color w:val="000066"/>
          <w:sz w:val="24"/>
          <w:szCs w:val="24"/>
          <w:lang w:val="fr-FR"/>
        </w:rPr>
      </w:pPr>
    </w:p>
    <w:p w:rsidR="008673B7" w:rsidRPr="006900A2" w:rsidRDefault="008673B7" w:rsidP="008673B7">
      <w:pPr>
        <w:numPr>
          <w:ilvl w:val="0"/>
          <w:numId w:val="24"/>
        </w:numPr>
        <w:spacing w:after="0" w:line="240" w:lineRule="auto"/>
        <w:contextualSpacing/>
        <w:jc w:val="both"/>
        <w:rPr>
          <w:rFonts w:ascii="Times New Roman" w:hAnsi="Times New Roman"/>
          <w:bCs/>
          <w:iCs/>
          <w:sz w:val="24"/>
          <w:szCs w:val="24"/>
          <w:lang w:val="fr-FR"/>
        </w:rPr>
      </w:pPr>
      <w:r w:rsidRPr="006900A2">
        <w:rPr>
          <w:rFonts w:ascii="Times New Roman" w:hAnsi="Times New Roman"/>
          <w:bCs/>
          <w:iCs/>
          <w:sz w:val="24"/>
          <w:szCs w:val="24"/>
          <w:lang w:val="fr-FR"/>
        </w:rPr>
        <w:t>L’IGPNH doit ouvrir systématiquement des enquêtes lorsque l’usage de la force par des agents de la PNH provoque la mort ou des blessures graves. Elle doit a</w:t>
      </w:r>
      <w:r>
        <w:rPr>
          <w:rFonts w:ascii="Times New Roman" w:hAnsi="Times New Roman"/>
          <w:bCs/>
          <w:iCs/>
          <w:sz w:val="24"/>
          <w:szCs w:val="24"/>
          <w:lang w:val="fr-FR"/>
        </w:rPr>
        <w:t xml:space="preserve">ussi fournir des réponses aux </w:t>
      </w:r>
      <w:r w:rsidRPr="006900A2">
        <w:rPr>
          <w:rFonts w:ascii="Times New Roman" w:hAnsi="Times New Roman"/>
          <w:bCs/>
          <w:iCs/>
          <w:sz w:val="24"/>
          <w:szCs w:val="24"/>
          <w:lang w:val="fr-FR"/>
        </w:rPr>
        <w:t>cas soumis par la SDH en mai 2012.</w:t>
      </w:r>
    </w:p>
    <w:p w:rsidR="008673B7" w:rsidRPr="006900A2" w:rsidRDefault="008673B7" w:rsidP="008673B7">
      <w:pPr>
        <w:spacing w:after="0" w:line="240" w:lineRule="auto"/>
        <w:jc w:val="both"/>
        <w:rPr>
          <w:rFonts w:ascii="Times New Roman" w:hAnsi="Times New Roman"/>
          <w:bCs/>
          <w:iCs/>
          <w:sz w:val="24"/>
          <w:szCs w:val="24"/>
          <w:lang w:val="fr-FR"/>
        </w:rPr>
      </w:pPr>
    </w:p>
    <w:p w:rsidR="008673B7" w:rsidRPr="006900A2" w:rsidRDefault="008673B7" w:rsidP="008673B7">
      <w:pPr>
        <w:numPr>
          <w:ilvl w:val="0"/>
          <w:numId w:val="24"/>
        </w:numPr>
        <w:spacing w:after="0" w:line="240" w:lineRule="auto"/>
        <w:contextualSpacing/>
        <w:jc w:val="both"/>
        <w:rPr>
          <w:rFonts w:ascii="Times New Roman" w:hAnsi="Times New Roman"/>
          <w:bCs/>
          <w:iCs/>
          <w:sz w:val="24"/>
          <w:szCs w:val="24"/>
          <w:lang w:val="fr-FR"/>
        </w:rPr>
      </w:pPr>
      <w:r w:rsidRPr="006900A2">
        <w:rPr>
          <w:rFonts w:ascii="Times New Roman" w:hAnsi="Times New Roman"/>
          <w:bCs/>
          <w:iCs/>
          <w:sz w:val="24"/>
          <w:szCs w:val="24"/>
          <w:lang w:val="fr-FR"/>
        </w:rPr>
        <w:t xml:space="preserve">Le CSPJ doit jouer pleinement son rôle d’organe de discipline et de contrôle du pouvoir judiciaire, notamment en s’assurant que les juges s’acquittent de leurs responsabilités en toute indépendance et de la manière la plus efficace possible. </w:t>
      </w:r>
    </w:p>
    <w:p w:rsidR="008673B7" w:rsidRPr="006900A2" w:rsidRDefault="008673B7" w:rsidP="008673B7">
      <w:pPr>
        <w:spacing w:after="0" w:line="240" w:lineRule="auto"/>
        <w:jc w:val="both"/>
        <w:rPr>
          <w:rFonts w:ascii="Times New Roman" w:hAnsi="Times New Roman"/>
          <w:bCs/>
          <w:iCs/>
          <w:sz w:val="24"/>
          <w:szCs w:val="24"/>
          <w:lang w:val="fr-FR"/>
        </w:rPr>
      </w:pPr>
    </w:p>
    <w:p w:rsidR="008673B7" w:rsidRPr="006900A2" w:rsidRDefault="008673B7" w:rsidP="008673B7">
      <w:pPr>
        <w:numPr>
          <w:ilvl w:val="0"/>
          <w:numId w:val="24"/>
        </w:numPr>
        <w:spacing w:after="0" w:line="240" w:lineRule="auto"/>
        <w:contextualSpacing/>
        <w:jc w:val="both"/>
        <w:rPr>
          <w:rFonts w:ascii="Times New Roman" w:hAnsi="Times New Roman"/>
          <w:bCs/>
          <w:iCs/>
          <w:sz w:val="24"/>
          <w:szCs w:val="24"/>
          <w:lang w:val="fr-FR"/>
        </w:rPr>
      </w:pPr>
      <w:r>
        <w:rPr>
          <w:rFonts w:ascii="Times New Roman" w:hAnsi="Times New Roman"/>
          <w:bCs/>
          <w:iCs/>
          <w:sz w:val="24"/>
          <w:szCs w:val="24"/>
          <w:lang w:val="fr-FR"/>
        </w:rPr>
        <w:t>L’Académie de police et l’Ecole de la magistrature, appuyés par la communauté internationale, devraient a</w:t>
      </w:r>
      <w:r w:rsidRPr="006900A2">
        <w:rPr>
          <w:rFonts w:ascii="Times New Roman" w:hAnsi="Times New Roman"/>
          <w:bCs/>
          <w:iCs/>
          <w:sz w:val="24"/>
          <w:szCs w:val="24"/>
          <w:lang w:val="fr-FR"/>
        </w:rPr>
        <w:t>méliorer la formation des agents de la PNH et des magistrats concernant le traitement des cas de violences sexuelles, incluant notamment l’interdiction des règlements à l’amiable et la sensibilisation aux droits des femmes.</w:t>
      </w:r>
    </w:p>
    <w:p w:rsidR="008673B7" w:rsidRPr="006900A2" w:rsidRDefault="008673B7" w:rsidP="008673B7">
      <w:pPr>
        <w:spacing w:after="0" w:line="240" w:lineRule="auto"/>
        <w:jc w:val="both"/>
        <w:rPr>
          <w:rFonts w:ascii="Times New Roman" w:hAnsi="Times New Roman"/>
          <w:bCs/>
          <w:iCs/>
          <w:sz w:val="24"/>
          <w:szCs w:val="24"/>
          <w:lang w:val="fr-FR"/>
        </w:rPr>
      </w:pPr>
    </w:p>
    <w:p w:rsidR="008673B7" w:rsidRDefault="008673B7" w:rsidP="008673B7">
      <w:pPr>
        <w:numPr>
          <w:ilvl w:val="0"/>
          <w:numId w:val="24"/>
        </w:numPr>
        <w:spacing w:after="0" w:line="240" w:lineRule="auto"/>
        <w:contextualSpacing/>
        <w:jc w:val="both"/>
        <w:rPr>
          <w:rFonts w:ascii="Times New Roman" w:hAnsi="Times New Roman"/>
          <w:bCs/>
          <w:iCs/>
          <w:sz w:val="24"/>
          <w:szCs w:val="24"/>
          <w:lang w:val="fr-FR"/>
        </w:rPr>
      </w:pPr>
      <w:r w:rsidRPr="006900A2">
        <w:rPr>
          <w:rFonts w:ascii="Times New Roman" w:hAnsi="Times New Roman"/>
          <w:bCs/>
          <w:iCs/>
          <w:sz w:val="24"/>
          <w:szCs w:val="24"/>
          <w:lang w:val="fr-FR"/>
        </w:rPr>
        <w:t>Le</w:t>
      </w:r>
      <w:r w:rsidR="00FA32E2">
        <w:rPr>
          <w:rFonts w:ascii="Times New Roman" w:hAnsi="Times New Roman"/>
          <w:bCs/>
          <w:iCs/>
          <w:sz w:val="24"/>
          <w:szCs w:val="24"/>
          <w:lang w:val="fr-FR"/>
        </w:rPr>
        <w:t xml:space="preserve"> ministre de l’Intérieur, ainsi que le</w:t>
      </w:r>
      <w:r w:rsidRPr="006900A2">
        <w:rPr>
          <w:rFonts w:ascii="Times New Roman" w:hAnsi="Times New Roman"/>
          <w:bCs/>
          <w:iCs/>
          <w:sz w:val="24"/>
          <w:szCs w:val="24"/>
          <w:lang w:val="fr-FR"/>
        </w:rPr>
        <w:t xml:space="preserve"> </w:t>
      </w:r>
      <w:r>
        <w:rPr>
          <w:rFonts w:ascii="Times New Roman" w:hAnsi="Times New Roman"/>
          <w:bCs/>
          <w:iCs/>
          <w:sz w:val="24"/>
          <w:szCs w:val="24"/>
          <w:lang w:val="fr-FR"/>
        </w:rPr>
        <w:t>m</w:t>
      </w:r>
      <w:r w:rsidR="00FA32E2">
        <w:rPr>
          <w:rFonts w:ascii="Times New Roman" w:hAnsi="Times New Roman"/>
          <w:bCs/>
          <w:iCs/>
          <w:sz w:val="24"/>
          <w:szCs w:val="24"/>
          <w:lang w:val="fr-FR"/>
        </w:rPr>
        <w:t>inist</w:t>
      </w:r>
      <w:r w:rsidRPr="006900A2">
        <w:rPr>
          <w:rFonts w:ascii="Times New Roman" w:hAnsi="Times New Roman"/>
          <w:bCs/>
          <w:iCs/>
          <w:sz w:val="24"/>
          <w:szCs w:val="24"/>
          <w:lang w:val="fr-FR"/>
        </w:rPr>
        <w:t xml:space="preserve">re de la </w:t>
      </w:r>
      <w:r>
        <w:rPr>
          <w:rFonts w:ascii="Times New Roman" w:hAnsi="Times New Roman"/>
          <w:bCs/>
          <w:iCs/>
          <w:sz w:val="24"/>
          <w:szCs w:val="24"/>
          <w:lang w:val="fr-FR"/>
        </w:rPr>
        <w:t>J</w:t>
      </w:r>
      <w:r w:rsidRPr="006900A2">
        <w:rPr>
          <w:rFonts w:ascii="Times New Roman" w:hAnsi="Times New Roman"/>
          <w:bCs/>
          <w:iCs/>
          <w:sz w:val="24"/>
          <w:szCs w:val="24"/>
          <w:lang w:val="fr-FR"/>
        </w:rPr>
        <w:t xml:space="preserve">ustice </w:t>
      </w:r>
      <w:r>
        <w:rPr>
          <w:rFonts w:ascii="Times New Roman" w:hAnsi="Times New Roman"/>
          <w:bCs/>
          <w:iCs/>
          <w:sz w:val="24"/>
          <w:szCs w:val="24"/>
          <w:lang w:val="fr-FR"/>
        </w:rPr>
        <w:t xml:space="preserve">et le CSPJ </w:t>
      </w:r>
      <w:r w:rsidRPr="006900A2">
        <w:rPr>
          <w:rFonts w:ascii="Times New Roman" w:hAnsi="Times New Roman"/>
          <w:bCs/>
          <w:iCs/>
          <w:sz w:val="24"/>
          <w:szCs w:val="24"/>
          <w:lang w:val="fr-FR"/>
        </w:rPr>
        <w:t>devrait adopter une directive destinée</w:t>
      </w:r>
      <w:r>
        <w:rPr>
          <w:rFonts w:ascii="Times New Roman" w:hAnsi="Times New Roman"/>
          <w:bCs/>
          <w:iCs/>
          <w:sz w:val="24"/>
          <w:szCs w:val="24"/>
          <w:lang w:val="fr-FR"/>
        </w:rPr>
        <w:t>, respectivement</w:t>
      </w:r>
      <w:r w:rsidRPr="006900A2">
        <w:rPr>
          <w:rFonts w:ascii="Times New Roman" w:hAnsi="Times New Roman"/>
          <w:bCs/>
          <w:iCs/>
          <w:sz w:val="24"/>
          <w:szCs w:val="24"/>
          <w:lang w:val="fr-FR"/>
        </w:rPr>
        <w:t xml:space="preserve"> aux agents de la PNH et aux magistrats, précisant que l’absence d’un certificat médical dans les cas d’agression sexuelle ne doit pas empêcher la poursuite de ces crimes. </w:t>
      </w:r>
    </w:p>
    <w:p w:rsidR="008673B7" w:rsidRPr="00741D39" w:rsidRDefault="008673B7" w:rsidP="008673B7">
      <w:pPr>
        <w:spacing w:after="0" w:line="240" w:lineRule="auto"/>
        <w:contextualSpacing/>
        <w:jc w:val="both"/>
        <w:rPr>
          <w:rFonts w:ascii="Times New Roman" w:hAnsi="Times New Roman"/>
          <w:bCs/>
          <w:iCs/>
          <w:sz w:val="24"/>
          <w:szCs w:val="24"/>
          <w:lang w:val="fr-FR"/>
        </w:rPr>
      </w:pPr>
    </w:p>
    <w:p w:rsidR="008673B7" w:rsidRPr="006900A2" w:rsidRDefault="008673B7" w:rsidP="008673B7">
      <w:pPr>
        <w:numPr>
          <w:ilvl w:val="0"/>
          <w:numId w:val="24"/>
        </w:numPr>
        <w:spacing w:after="0" w:line="240" w:lineRule="auto"/>
        <w:contextualSpacing/>
        <w:jc w:val="both"/>
        <w:rPr>
          <w:rFonts w:ascii="Times New Roman" w:hAnsi="Times New Roman"/>
          <w:bCs/>
          <w:iCs/>
          <w:sz w:val="24"/>
          <w:szCs w:val="24"/>
          <w:lang w:val="fr-FR"/>
        </w:rPr>
      </w:pPr>
      <w:r>
        <w:rPr>
          <w:rFonts w:ascii="Times New Roman" w:hAnsi="Times New Roman"/>
          <w:bCs/>
          <w:iCs/>
          <w:sz w:val="24"/>
          <w:szCs w:val="24"/>
          <w:lang w:val="fr-FR"/>
        </w:rPr>
        <w:t xml:space="preserve">Le ministre de la Justice devrait élaborer une stratégie nationale compréhensive pour lutter contre la détention préventive prolongée, permettant le respect des principes internationaux sur la détention. </w:t>
      </w:r>
    </w:p>
    <w:p w:rsidR="008673B7" w:rsidRPr="006900A2" w:rsidRDefault="008673B7" w:rsidP="008673B7">
      <w:pPr>
        <w:spacing w:after="0" w:line="240" w:lineRule="auto"/>
        <w:jc w:val="both"/>
        <w:rPr>
          <w:rFonts w:ascii="Times New Roman" w:hAnsi="Times New Roman"/>
          <w:iCs/>
          <w:sz w:val="24"/>
          <w:szCs w:val="24"/>
          <w:lang w:val="fr-FR"/>
        </w:rPr>
      </w:pPr>
    </w:p>
    <w:p w:rsidR="008673B7" w:rsidRDefault="008673B7" w:rsidP="008673B7">
      <w:pPr>
        <w:numPr>
          <w:ilvl w:val="0"/>
          <w:numId w:val="24"/>
        </w:numPr>
        <w:spacing w:after="0" w:line="240" w:lineRule="auto"/>
        <w:contextualSpacing/>
        <w:jc w:val="both"/>
        <w:rPr>
          <w:rFonts w:ascii="Times New Roman" w:hAnsi="Times New Roman"/>
          <w:iCs/>
          <w:sz w:val="24"/>
          <w:szCs w:val="24"/>
          <w:lang w:val="fr-FR"/>
        </w:rPr>
      </w:pPr>
      <w:r w:rsidRPr="006900A2">
        <w:rPr>
          <w:rFonts w:ascii="Times New Roman" w:hAnsi="Times New Roman"/>
          <w:iCs/>
          <w:sz w:val="24"/>
          <w:szCs w:val="24"/>
          <w:lang w:val="fr-FR"/>
        </w:rPr>
        <w:t>En l’absence de tribunaux pour enfants dans plusieurs juridictions, le</w:t>
      </w:r>
      <w:r>
        <w:rPr>
          <w:rFonts w:ascii="Times New Roman" w:hAnsi="Times New Roman"/>
          <w:iCs/>
          <w:sz w:val="24"/>
          <w:szCs w:val="24"/>
          <w:lang w:val="fr-FR"/>
        </w:rPr>
        <w:t>s doyens des tribunaux</w:t>
      </w:r>
      <w:r w:rsidRPr="006900A2">
        <w:rPr>
          <w:rFonts w:ascii="Times New Roman" w:hAnsi="Times New Roman"/>
          <w:iCs/>
          <w:sz w:val="24"/>
          <w:szCs w:val="24"/>
          <w:lang w:val="fr-FR"/>
        </w:rPr>
        <w:t xml:space="preserve"> devrai</w:t>
      </w:r>
      <w:r>
        <w:rPr>
          <w:rFonts w:ascii="Times New Roman" w:hAnsi="Times New Roman"/>
          <w:iCs/>
          <w:sz w:val="24"/>
          <w:szCs w:val="24"/>
          <w:lang w:val="fr-FR"/>
        </w:rPr>
        <w:t>en</w:t>
      </w:r>
      <w:r w:rsidRPr="006900A2">
        <w:rPr>
          <w:rFonts w:ascii="Times New Roman" w:hAnsi="Times New Roman"/>
          <w:iCs/>
          <w:sz w:val="24"/>
          <w:szCs w:val="24"/>
          <w:lang w:val="fr-FR"/>
        </w:rPr>
        <w:t>t désigner des juges pour enfants dans les meilleurs délais.</w:t>
      </w:r>
    </w:p>
    <w:p w:rsidR="008673B7" w:rsidRDefault="008673B7" w:rsidP="008673B7">
      <w:pPr>
        <w:pStyle w:val="ListParagraph"/>
        <w:spacing w:after="0" w:line="240" w:lineRule="auto"/>
        <w:rPr>
          <w:rFonts w:ascii="Times New Roman" w:hAnsi="Times New Roman"/>
          <w:iCs/>
          <w:sz w:val="24"/>
          <w:szCs w:val="24"/>
          <w:lang w:val="fr-FR"/>
        </w:rPr>
      </w:pPr>
    </w:p>
    <w:p w:rsidR="008673B7" w:rsidRPr="006900A2" w:rsidRDefault="008673B7" w:rsidP="008673B7">
      <w:pPr>
        <w:numPr>
          <w:ilvl w:val="0"/>
          <w:numId w:val="24"/>
        </w:numPr>
        <w:spacing w:after="0" w:line="240" w:lineRule="auto"/>
        <w:contextualSpacing/>
        <w:jc w:val="both"/>
        <w:rPr>
          <w:rFonts w:ascii="Times New Roman" w:hAnsi="Times New Roman"/>
          <w:iCs/>
          <w:sz w:val="24"/>
          <w:szCs w:val="24"/>
          <w:lang w:val="fr-FR"/>
        </w:rPr>
      </w:pPr>
      <w:r>
        <w:rPr>
          <w:rFonts w:ascii="Times New Roman" w:hAnsi="Times New Roman"/>
          <w:iCs/>
          <w:sz w:val="24"/>
          <w:szCs w:val="24"/>
          <w:lang w:val="fr-FR"/>
        </w:rPr>
        <w:t>Les autorités de police et la Direction de l’administration pénitentiaire devraient assurer que les mineurs soient toujours détenus séparément des adultes.</w:t>
      </w:r>
    </w:p>
    <w:p w:rsidR="008673B7" w:rsidRPr="006900A2" w:rsidRDefault="008673B7" w:rsidP="008673B7">
      <w:pPr>
        <w:spacing w:after="0" w:line="240" w:lineRule="auto"/>
        <w:ind w:left="720"/>
        <w:contextualSpacing/>
        <w:rPr>
          <w:rFonts w:ascii="Times New Roman" w:hAnsi="Times New Roman"/>
          <w:iCs/>
          <w:sz w:val="24"/>
          <w:szCs w:val="24"/>
          <w:lang w:val="fr-FR"/>
        </w:rPr>
      </w:pPr>
    </w:p>
    <w:p w:rsidR="008673B7" w:rsidRPr="006900A2" w:rsidRDefault="008673B7" w:rsidP="008673B7">
      <w:pPr>
        <w:numPr>
          <w:ilvl w:val="0"/>
          <w:numId w:val="24"/>
        </w:numPr>
        <w:spacing w:after="0" w:line="240" w:lineRule="auto"/>
        <w:contextualSpacing/>
        <w:jc w:val="both"/>
        <w:rPr>
          <w:rFonts w:ascii="Times New Roman" w:hAnsi="Times New Roman"/>
          <w:iCs/>
          <w:sz w:val="24"/>
          <w:szCs w:val="24"/>
          <w:lang w:val="fr-CA"/>
        </w:rPr>
      </w:pPr>
      <w:r w:rsidRPr="006900A2">
        <w:rPr>
          <w:rFonts w:ascii="Times New Roman" w:hAnsi="Times New Roman"/>
          <w:iCs/>
          <w:sz w:val="24"/>
          <w:szCs w:val="24"/>
          <w:lang w:val="fr-FR"/>
        </w:rPr>
        <w:t xml:space="preserve">Le </w:t>
      </w:r>
      <w:r>
        <w:rPr>
          <w:rFonts w:ascii="Times New Roman" w:hAnsi="Times New Roman"/>
          <w:iCs/>
          <w:sz w:val="24"/>
          <w:szCs w:val="24"/>
          <w:lang w:val="fr-FR"/>
        </w:rPr>
        <w:t>m</w:t>
      </w:r>
      <w:r w:rsidRPr="006900A2">
        <w:rPr>
          <w:rFonts w:ascii="Times New Roman" w:hAnsi="Times New Roman"/>
          <w:iCs/>
          <w:sz w:val="24"/>
          <w:szCs w:val="24"/>
          <w:lang w:val="fr-FR"/>
        </w:rPr>
        <w:t xml:space="preserve">inistre </w:t>
      </w:r>
      <w:r w:rsidR="00FA32E2">
        <w:rPr>
          <w:rFonts w:ascii="Times New Roman" w:hAnsi="Times New Roman"/>
          <w:iCs/>
          <w:sz w:val="24"/>
          <w:szCs w:val="24"/>
          <w:lang w:val="fr-FR"/>
        </w:rPr>
        <w:t xml:space="preserve">de l’Intérieur, ainsi que le ministre </w:t>
      </w:r>
      <w:r w:rsidRPr="006900A2">
        <w:rPr>
          <w:rFonts w:ascii="Times New Roman" w:hAnsi="Times New Roman"/>
          <w:iCs/>
          <w:sz w:val="24"/>
          <w:szCs w:val="24"/>
          <w:lang w:val="fr-FR"/>
        </w:rPr>
        <w:t xml:space="preserve">de la </w:t>
      </w:r>
      <w:r>
        <w:rPr>
          <w:rFonts w:ascii="Times New Roman" w:hAnsi="Times New Roman"/>
          <w:iCs/>
          <w:sz w:val="24"/>
          <w:szCs w:val="24"/>
          <w:lang w:val="fr-FR"/>
        </w:rPr>
        <w:t>J</w:t>
      </w:r>
      <w:r w:rsidRPr="006900A2">
        <w:rPr>
          <w:rFonts w:ascii="Times New Roman" w:hAnsi="Times New Roman"/>
          <w:iCs/>
          <w:sz w:val="24"/>
          <w:szCs w:val="24"/>
          <w:lang w:val="fr-FR"/>
        </w:rPr>
        <w:t xml:space="preserve">ustice </w:t>
      </w:r>
      <w:r>
        <w:rPr>
          <w:rFonts w:ascii="Times New Roman" w:hAnsi="Times New Roman"/>
          <w:iCs/>
          <w:sz w:val="24"/>
          <w:szCs w:val="24"/>
          <w:lang w:val="fr-FR"/>
        </w:rPr>
        <w:t xml:space="preserve">et le CSPJ </w:t>
      </w:r>
      <w:r w:rsidRPr="006900A2">
        <w:rPr>
          <w:rFonts w:ascii="Times New Roman" w:hAnsi="Times New Roman"/>
          <w:iCs/>
          <w:sz w:val="24"/>
          <w:szCs w:val="24"/>
          <w:lang w:val="fr-FR"/>
        </w:rPr>
        <w:t>devrait envoyer des instructions claires et précises</w:t>
      </w:r>
      <w:r>
        <w:rPr>
          <w:rFonts w:ascii="Times New Roman" w:hAnsi="Times New Roman"/>
          <w:iCs/>
          <w:sz w:val="24"/>
          <w:szCs w:val="24"/>
          <w:lang w:val="fr-FR"/>
        </w:rPr>
        <w:t>, respectivement</w:t>
      </w:r>
      <w:r w:rsidRPr="006900A2">
        <w:rPr>
          <w:rFonts w:ascii="Times New Roman" w:hAnsi="Times New Roman"/>
          <w:iCs/>
          <w:sz w:val="24"/>
          <w:szCs w:val="24"/>
          <w:lang w:val="fr-FR"/>
        </w:rPr>
        <w:t xml:space="preserve"> aux agents de la PNH ainsi qu’aux magistrats, afin que les mesures nécessaires soient prises pour prévenir et réprimer l</w:t>
      </w:r>
      <w:r>
        <w:rPr>
          <w:rFonts w:ascii="Times New Roman" w:hAnsi="Times New Roman"/>
          <w:iCs/>
          <w:sz w:val="24"/>
          <w:szCs w:val="24"/>
          <w:lang w:val="fr-FR"/>
        </w:rPr>
        <w:t>es</w:t>
      </w:r>
      <w:r w:rsidRPr="006900A2">
        <w:rPr>
          <w:rFonts w:ascii="Times New Roman" w:hAnsi="Times New Roman"/>
          <w:iCs/>
          <w:sz w:val="24"/>
          <w:szCs w:val="24"/>
          <w:lang w:val="fr-FR"/>
        </w:rPr>
        <w:t xml:space="preserve"> lynchages.</w:t>
      </w:r>
      <w:r w:rsidRPr="006900A2">
        <w:rPr>
          <w:rFonts w:ascii="Times New Roman" w:eastAsia="Calibri" w:hAnsi="Times New Roman"/>
          <w:sz w:val="24"/>
          <w:szCs w:val="24"/>
          <w:lang w:val="fr-FR"/>
        </w:rPr>
        <w:t xml:space="preserve"> </w:t>
      </w:r>
    </w:p>
    <w:p w:rsidR="008673B7" w:rsidRPr="006900A2" w:rsidRDefault="008673B7" w:rsidP="008673B7">
      <w:pPr>
        <w:spacing w:after="0" w:line="240" w:lineRule="auto"/>
        <w:outlineLvl w:val="1"/>
        <w:rPr>
          <w:rFonts w:ascii="Times New Roman" w:eastAsia="Calibri" w:hAnsi="Times New Roman"/>
          <w:b/>
          <w:bCs/>
          <w:color w:val="000066"/>
          <w:sz w:val="20"/>
          <w:szCs w:val="20"/>
          <w:lang w:val="fr-FR"/>
        </w:rPr>
      </w:pPr>
    </w:p>
    <w:p w:rsidR="008673B7" w:rsidRPr="00DC37B4" w:rsidRDefault="00A8570F" w:rsidP="008673B7">
      <w:pPr>
        <w:spacing w:after="0" w:line="240" w:lineRule="auto"/>
        <w:outlineLvl w:val="1"/>
        <w:rPr>
          <w:rFonts w:ascii="Verdana" w:eastAsia="Calibri" w:hAnsi="Verdana"/>
          <w:b/>
          <w:bCs/>
          <w:color w:val="000066"/>
          <w:sz w:val="20"/>
          <w:szCs w:val="20"/>
          <w:lang w:val="fr-FR"/>
        </w:rPr>
      </w:pPr>
      <w:bookmarkStart w:id="60" w:name="_Toc350156734"/>
      <w:r>
        <w:rPr>
          <w:rFonts w:ascii="Verdana" w:eastAsia="Calibri" w:hAnsi="Verdana"/>
          <w:b/>
          <w:bCs/>
          <w:color w:val="000066"/>
          <w:sz w:val="20"/>
          <w:szCs w:val="20"/>
          <w:lang w:val="fr-FR"/>
        </w:rPr>
        <w:t xml:space="preserve">VI.3. </w:t>
      </w:r>
      <w:r w:rsidR="008673B7" w:rsidRPr="00DC37B4">
        <w:rPr>
          <w:rFonts w:ascii="Verdana" w:eastAsia="Calibri" w:hAnsi="Verdana"/>
          <w:b/>
          <w:bCs/>
          <w:color w:val="000066"/>
          <w:sz w:val="20"/>
          <w:szCs w:val="20"/>
          <w:lang w:val="fr-FR"/>
        </w:rPr>
        <w:t>Aux organisations de la société civile :</w:t>
      </w:r>
      <w:bookmarkEnd w:id="60"/>
    </w:p>
    <w:p w:rsidR="008673B7" w:rsidRPr="006900A2" w:rsidRDefault="008673B7" w:rsidP="008673B7">
      <w:pPr>
        <w:spacing w:after="0" w:line="240" w:lineRule="auto"/>
        <w:jc w:val="both"/>
        <w:rPr>
          <w:rFonts w:ascii="Times New Roman" w:eastAsia="Calibri" w:hAnsi="Times New Roman"/>
          <w:sz w:val="24"/>
          <w:szCs w:val="24"/>
          <w:lang w:val="fr-FR"/>
        </w:rPr>
      </w:pPr>
    </w:p>
    <w:p w:rsidR="008673B7" w:rsidRPr="006900A2" w:rsidRDefault="008673B7" w:rsidP="008673B7">
      <w:pPr>
        <w:numPr>
          <w:ilvl w:val="0"/>
          <w:numId w:val="26"/>
        </w:numPr>
        <w:spacing w:after="0" w:line="240" w:lineRule="auto"/>
        <w:contextualSpacing/>
        <w:jc w:val="both"/>
        <w:rPr>
          <w:rFonts w:ascii="Times New Roman" w:eastAsia="Calibri" w:hAnsi="Times New Roman"/>
          <w:sz w:val="24"/>
          <w:szCs w:val="24"/>
          <w:lang w:val="fr-FR"/>
        </w:rPr>
      </w:pPr>
      <w:r w:rsidRPr="006900A2">
        <w:rPr>
          <w:rFonts w:ascii="Times New Roman" w:eastAsia="Calibri" w:hAnsi="Times New Roman"/>
          <w:sz w:val="24"/>
          <w:szCs w:val="24"/>
          <w:lang w:val="fr-FR"/>
        </w:rPr>
        <w:t xml:space="preserve">S’impliquer </w:t>
      </w:r>
      <w:r>
        <w:rPr>
          <w:rFonts w:ascii="Times New Roman" w:eastAsia="Calibri" w:hAnsi="Times New Roman"/>
          <w:sz w:val="24"/>
          <w:szCs w:val="24"/>
          <w:lang w:val="fr-FR"/>
        </w:rPr>
        <w:t xml:space="preserve">de manière </w:t>
      </w:r>
      <w:r w:rsidRPr="006900A2">
        <w:rPr>
          <w:rFonts w:ascii="Times New Roman" w:eastAsia="Calibri" w:hAnsi="Times New Roman"/>
          <w:sz w:val="24"/>
          <w:szCs w:val="24"/>
          <w:lang w:val="fr-FR"/>
        </w:rPr>
        <w:t xml:space="preserve">significative dans le </w:t>
      </w:r>
      <w:r>
        <w:rPr>
          <w:rFonts w:ascii="Times New Roman" w:eastAsia="Calibri" w:hAnsi="Times New Roman"/>
          <w:sz w:val="24"/>
          <w:szCs w:val="24"/>
          <w:lang w:val="fr-FR"/>
        </w:rPr>
        <w:t>suivi</w:t>
      </w:r>
      <w:r w:rsidRPr="006900A2">
        <w:rPr>
          <w:rFonts w:ascii="Times New Roman" w:eastAsia="Calibri" w:hAnsi="Times New Roman"/>
          <w:sz w:val="24"/>
          <w:szCs w:val="24"/>
          <w:lang w:val="fr-FR"/>
        </w:rPr>
        <w:t xml:space="preserve"> de la mise en œuvre des traités relatifs aux droits de l’homme ratifiés par Haïti, notamment en élaborant des rapports alternatifs aux organes des traités et en organisant des activités de plaidoyer à l’occasion de l’examen des rapports nationaux devant les organes des traités. </w:t>
      </w:r>
    </w:p>
    <w:p w:rsidR="008673B7" w:rsidRPr="006900A2" w:rsidRDefault="008673B7" w:rsidP="008673B7">
      <w:pPr>
        <w:spacing w:after="0" w:line="240" w:lineRule="auto"/>
        <w:ind w:left="720"/>
        <w:contextualSpacing/>
        <w:jc w:val="both"/>
        <w:rPr>
          <w:rFonts w:ascii="Times New Roman" w:eastAsia="Calibri" w:hAnsi="Times New Roman"/>
          <w:sz w:val="24"/>
          <w:szCs w:val="24"/>
          <w:lang w:val="fr-FR"/>
        </w:rPr>
      </w:pPr>
    </w:p>
    <w:p w:rsidR="008673B7" w:rsidRPr="00612994" w:rsidRDefault="008673B7" w:rsidP="008673B7">
      <w:pPr>
        <w:numPr>
          <w:ilvl w:val="0"/>
          <w:numId w:val="26"/>
        </w:numPr>
        <w:spacing w:after="0" w:line="240" w:lineRule="auto"/>
        <w:contextualSpacing/>
        <w:jc w:val="both"/>
        <w:rPr>
          <w:rFonts w:ascii="Times New Roman" w:hAnsi="Times New Roman"/>
          <w:b/>
          <w:bCs/>
          <w:iCs/>
          <w:sz w:val="24"/>
          <w:szCs w:val="24"/>
          <w:lang w:val="fr-FR"/>
        </w:rPr>
      </w:pPr>
      <w:r w:rsidRPr="00612994">
        <w:rPr>
          <w:rFonts w:ascii="Times New Roman" w:eastAsia="Calibri" w:hAnsi="Times New Roman"/>
          <w:sz w:val="24"/>
          <w:szCs w:val="24"/>
          <w:lang w:val="fr-FR"/>
        </w:rPr>
        <w:t>Prendre une part plus active dans l’élaboration de politiques publiques, en</w:t>
      </w:r>
      <w:r w:rsidR="004D7337">
        <w:rPr>
          <w:rFonts w:ascii="Times New Roman" w:eastAsia="Calibri" w:hAnsi="Times New Roman"/>
          <w:sz w:val="24"/>
          <w:szCs w:val="24"/>
          <w:lang w:val="fr-FR"/>
        </w:rPr>
        <w:t xml:space="preserve"> appuyant la préparation et la présentation </w:t>
      </w:r>
      <w:r w:rsidRPr="00612994">
        <w:rPr>
          <w:rFonts w:ascii="Times New Roman" w:eastAsia="Calibri" w:hAnsi="Times New Roman"/>
          <w:sz w:val="24"/>
          <w:szCs w:val="24"/>
          <w:lang w:val="fr-FR"/>
        </w:rPr>
        <w:t>de cahiers de charges sur les besoins prioritaires</w:t>
      </w:r>
      <w:r w:rsidR="004D7337">
        <w:rPr>
          <w:rFonts w:ascii="Times New Roman" w:eastAsia="Calibri" w:hAnsi="Times New Roman"/>
          <w:sz w:val="24"/>
          <w:szCs w:val="24"/>
          <w:lang w:val="fr-FR"/>
        </w:rPr>
        <w:t xml:space="preserve"> par les communautés</w:t>
      </w:r>
      <w:r>
        <w:rPr>
          <w:rFonts w:ascii="Times New Roman" w:eastAsia="Calibri" w:hAnsi="Times New Roman"/>
          <w:sz w:val="24"/>
          <w:szCs w:val="24"/>
          <w:lang w:val="fr-FR"/>
        </w:rPr>
        <w:t>,</w:t>
      </w:r>
      <w:r w:rsidRPr="00612994">
        <w:rPr>
          <w:rFonts w:ascii="Times New Roman" w:eastAsia="Calibri" w:hAnsi="Times New Roman"/>
          <w:sz w:val="24"/>
          <w:szCs w:val="24"/>
          <w:lang w:val="fr-FR"/>
        </w:rPr>
        <w:t xml:space="preserve"> et en organisant des activités de plaidoyer auprès des organes de l’Etat compétents. </w:t>
      </w:r>
    </w:p>
    <w:p w:rsidR="008673B7" w:rsidRPr="008673B7" w:rsidRDefault="008673B7">
      <w:pPr>
        <w:rPr>
          <w:lang w:val="fr-FR"/>
        </w:rPr>
      </w:pPr>
    </w:p>
    <w:sectPr w:rsidR="008673B7" w:rsidRPr="008673B7" w:rsidSect="004B6353">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FA" w:rsidRDefault="001B63FA" w:rsidP="008673B7">
      <w:pPr>
        <w:spacing w:after="0" w:line="240" w:lineRule="auto"/>
      </w:pPr>
      <w:r>
        <w:separator/>
      </w:r>
    </w:p>
  </w:endnote>
  <w:endnote w:type="continuationSeparator" w:id="0">
    <w:p w:rsidR="001B63FA" w:rsidRDefault="001B63FA" w:rsidP="0086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32824"/>
      <w:docPartObj>
        <w:docPartGallery w:val="Page Numbers (Bottom of Page)"/>
        <w:docPartUnique/>
      </w:docPartObj>
    </w:sdtPr>
    <w:sdtEndPr>
      <w:rPr>
        <w:noProof/>
      </w:rPr>
    </w:sdtEndPr>
    <w:sdtContent>
      <w:p w:rsidR="001B63FA" w:rsidRDefault="001B63FA">
        <w:pPr>
          <w:pStyle w:val="Footer"/>
          <w:jc w:val="right"/>
        </w:pPr>
        <w:r>
          <w:fldChar w:fldCharType="begin"/>
        </w:r>
        <w:r>
          <w:instrText xml:space="preserve"> PAGE   \* MERGEFORMAT </w:instrText>
        </w:r>
        <w:r>
          <w:fldChar w:fldCharType="separate"/>
        </w:r>
        <w:r w:rsidR="006C7303">
          <w:rPr>
            <w:noProof/>
          </w:rPr>
          <w:t>23</w:t>
        </w:r>
        <w:r>
          <w:rPr>
            <w:noProof/>
          </w:rPr>
          <w:fldChar w:fldCharType="end"/>
        </w:r>
      </w:p>
    </w:sdtContent>
  </w:sdt>
  <w:p w:rsidR="001B63FA" w:rsidRDefault="001B6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FA" w:rsidRDefault="001B63FA" w:rsidP="008673B7">
      <w:pPr>
        <w:spacing w:after="0" w:line="240" w:lineRule="auto"/>
      </w:pPr>
      <w:r>
        <w:separator/>
      </w:r>
    </w:p>
  </w:footnote>
  <w:footnote w:type="continuationSeparator" w:id="0">
    <w:p w:rsidR="001B63FA" w:rsidRDefault="001B63FA" w:rsidP="008673B7">
      <w:pPr>
        <w:spacing w:after="0" w:line="240" w:lineRule="auto"/>
      </w:pPr>
      <w:r>
        <w:continuationSeparator/>
      </w:r>
    </w:p>
  </w:footnote>
  <w:footnote w:id="1">
    <w:p w:rsidR="001B63FA" w:rsidRPr="00085E53" w:rsidRDefault="001B63FA" w:rsidP="008673B7">
      <w:pPr>
        <w:autoSpaceDE w:val="0"/>
        <w:autoSpaceDN w:val="0"/>
        <w:adjustRightInd w:val="0"/>
        <w:spacing w:after="0" w:line="240" w:lineRule="auto"/>
        <w:jc w:val="both"/>
        <w:rPr>
          <w:rFonts w:ascii="Times New Roman" w:hAnsi="Times New Roman"/>
          <w:sz w:val="18"/>
          <w:szCs w:val="18"/>
          <w:lang w:val="fr-FR"/>
        </w:rPr>
      </w:pPr>
      <w:r w:rsidRPr="00085E53">
        <w:rPr>
          <w:rStyle w:val="FootnoteReference"/>
          <w:rFonts w:ascii="Times New Roman" w:hAnsi="Times New Roman"/>
          <w:sz w:val="18"/>
          <w:szCs w:val="18"/>
        </w:rPr>
        <w:footnoteRef/>
      </w:r>
      <w:r w:rsidRPr="00085E53">
        <w:rPr>
          <w:rFonts w:ascii="Times New Roman" w:hAnsi="Times New Roman"/>
          <w:sz w:val="18"/>
          <w:szCs w:val="18"/>
          <w:lang w:val="fr-FR"/>
        </w:rPr>
        <w:t xml:space="preserve"> Résolution 2070 du Conseil de </w:t>
      </w:r>
      <w:r>
        <w:rPr>
          <w:rFonts w:ascii="Times New Roman" w:hAnsi="Times New Roman"/>
          <w:sz w:val="18"/>
          <w:szCs w:val="18"/>
          <w:lang w:val="fr-FR"/>
        </w:rPr>
        <w:t>S</w:t>
      </w:r>
      <w:r w:rsidRPr="00085E53">
        <w:rPr>
          <w:rFonts w:ascii="Times New Roman" w:hAnsi="Times New Roman"/>
          <w:sz w:val="18"/>
          <w:szCs w:val="18"/>
          <w:lang w:val="fr-FR"/>
        </w:rPr>
        <w:t>écurité, 12 octobre 2012, S/RES/2012 (2011), paragraphe 20 : « </w:t>
      </w:r>
      <w:r w:rsidRPr="00085E53">
        <w:rPr>
          <w:rFonts w:ascii="Times New Roman" w:hAnsi="Times New Roman"/>
          <w:i/>
          <w:iCs/>
          <w:sz w:val="18"/>
          <w:szCs w:val="18"/>
          <w:lang w:val="fr-FR"/>
        </w:rPr>
        <w:t xml:space="preserve">Réaffirme </w:t>
      </w:r>
      <w:r w:rsidRPr="00085E53">
        <w:rPr>
          <w:rFonts w:ascii="Times New Roman" w:hAnsi="Times New Roman"/>
          <w:sz w:val="18"/>
          <w:szCs w:val="18"/>
          <w:lang w:val="fr-FR"/>
        </w:rPr>
        <w:t>que les droits de l’homme sont une composante essentielle du mandat de la MINUSTAH et déclare que le respect des droits de l’homme, qui consiste notamment à veiller à ce que les auteurs d’atteintes graves sous de précédents gouvernements répondent individuellement de leurs actes, est crucial pour la stabilité d’Haïti, invite instamment le Gouvernement à s’assurer, avec le concours de la communauté internationale, le cas échéant, que la Police nationale haïtienne et la magistrature respectent et défendent les droits de l’homme, et demande à la MINUSTAH de fournir un suivi et un appui en ce sens</w:t>
      </w:r>
      <w:r w:rsidRPr="00085E53">
        <w:rPr>
          <w:rFonts w:ascii="Times New Roman" w:hAnsi="Times New Roman"/>
          <w:sz w:val="18"/>
          <w:szCs w:val="18"/>
          <w:lang w:val="fr-FR" w:eastAsia="fr-FR"/>
        </w:rPr>
        <w:t> ».</w:t>
      </w:r>
    </w:p>
  </w:footnote>
  <w:footnote w:id="2">
    <w:p w:rsidR="001B63FA" w:rsidRPr="00085E53" w:rsidRDefault="001B63FA" w:rsidP="008673B7">
      <w:pPr>
        <w:pStyle w:val="FootnoteText"/>
        <w:jc w:val="both"/>
        <w:rPr>
          <w:rFonts w:ascii="Times New Roman" w:hAnsi="Times New Roman"/>
          <w:sz w:val="18"/>
          <w:szCs w:val="18"/>
          <w:lang w:val="fr-BE"/>
        </w:rPr>
      </w:pPr>
      <w:r w:rsidRPr="00085E53">
        <w:rPr>
          <w:rStyle w:val="FootnoteReference"/>
          <w:rFonts w:ascii="Times New Roman" w:hAnsi="Times New Roman"/>
          <w:sz w:val="18"/>
          <w:szCs w:val="18"/>
        </w:rPr>
        <w:footnoteRef/>
      </w:r>
      <w:r w:rsidRPr="00085E53">
        <w:rPr>
          <w:rFonts w:ascii="Times New Roman" w:hAnsi="Times New Roman"/>
          <w:sz w:val="18"/>
          <w:szCs w:val="18"/>
          <w:lang w:val="fr-BE"/>
        </w:rPr>
        <w:t xml:space="preserve"> HCDH/SDH MINUSTAH. </w:t>
      </w:r>
    </w:p>
  </w:footnote>
  <w:footnote w:id="3">
    <w:p w:rsidR="001B63FA" w:rsidRPr="00085E53" w:rsidRDefault="001B63FA" w:rsidP="008673B7">
      <w:pPr>
        <w:pStyle w:val="FootnoteText"/>
        <w:jc w:val="both"/>
        <w:rPr>
          <w:rFonts w:ascii="Times New Roman" w:hAnsi="Times New Roman"/>
          <w:sz w:val="18"/>
          <w:szCs w:val="18"/>
          <w:lang w:val="fr-FR"/>
        </w:rPr>
      </w:pPr>
      <w:r w:rsidRPr="00085E53">
        <w:rPr>
          <w:rStyle w:val="FootnoteReference"/>
          <w:rFonts w:ascii="Times New Roman" w:hAnsi="Times New Roman"/>
          <w:sz w:val="18"/>
          <w:szCs w:val="18"/>
        </w:rPr>
        <w:footnoteRef/>
      </w:r>
      <w:r w:rsidRPr="00085E53">
        <w:rPr>
          <w:rFonts w:ascii="Times New Roman" w:hAnsi="Times New Roman"/>
          <w:sz w:val="18"/>
          <w:szCs w:val="18"/>
          <w:lang w:val="fr-FR"/>
        </w:rPr>
        <w:t xml:space="preserve"> Une des controverses relatives à l’installation du CEP est la désignation des trois représentants du CSPJ au sein de cette institution. Le 9 octobre, le CSPJ a élu trois nouveaux représentants au CEP, mais les anciens </w:t>
      </w:r>
      <w:r>
        <w:rPr>
          <w:rFonts w:ascii="Times New Roman" w:hAnsi="Times New Roman"/>
          <w:sz w:val="18"/>
          <w:szCs w:val="18"/>
          <w:lang w:val="fr-FR"/>
        </w:rPr>
        <w:t>ont refusé</w:t>
      </w:r>
      <w:r w:rsidRPr="00085E53">
        <w:rPr>
          <w:rFonts w:ascii="Times New Roman" w:hAnsi="Times New Roman"/>
          <w:sz w:val="18"/>
          <w:szCs w:val="18"/>
          <w:lang w:val="fr-FR"/>
        </w:rPr>
        <w:t xml:space="preserve"> de céder leur place. De plus, une session extraordinaire de l’Assemblée nationale, convoquée afin de se pencher sur la nomination des trois membres du pouvoir législatif au CEP, a été reportée pour la troisième fois.  </w:t>
      </w:r>
    </w:p>
  </w:footnote>
  <w:footnote w:id="4">
    <w:p w:rsidR="001B63FA" w:rsidRPr="00E8255B" w:rsidRDefault="001B63FA" w:rsidP="008673B7">
      <w:pPr>
        <w:pStyle w:val="FootnoteText"/>
        <w:jc w:val="both"/>
        <w:rPr>
          <w:rFonts w:ascii="Times New Roman" w:hAnsi="Times New Roman"/>
          <w:lang w:val="fr-FR"/>
        </w:rPr>
      </w:pPr>
      <w:r w:rsidRPr="00085E53">
        <w:rPr>
          <w:rStyle w:val="FootnoteReference"/>
          <w:rFonts w:ascii="Times New Roman" w:hAnsi="Times New Roman"/>
          <w:sz w:val="18"/>
          <w:szCs w:val="18"/>
        </w:rPr>
        <w:footnoteRef/>
      </w:r>
      <w:r w:rsidRPr="00085E53">
        <w:rPr>
          <w:rFonts w:ascii="Times New Roman" w:hAnsi="Times New Roman"/>
          <w:sz w:val="18"/>
          <w:szCs w:val="18"/>
          <w:lang w:val="fr-FR"/>
        </w:rPr>
        <w:t xml:space="preserve"> Au début du mois de novembre 2012, les membres de 123 des 140 conseils municipaux et 40 des 42 vice-délégués étaient nommés de la sorte par décret présidentiel. Plusieurs critiques accusent le Président d’utiliser l’impasse électorale actuelle comme prétexte afin de nommer ses proches à des postes clés. A titre d’exemple, le 5 novembre, un</w:t>
      </w:r>
      <w:r>
        <w:rPr>
          <w:rFonts w:ascii="Times New Roman" w:hAnsi="Times New Roman"/>
          <w:sz w:val="18"/>
          <w:szCs w:val="18"/>
          <w:lang w:val="fr-FR"/>
        </w:rPr>
        <w:t>e</w:t>
      </w:r>
      <w:r w:rsidRPr="00085E53">
        <w:rPr>
          <w:rFonts w:ascii="Times New Roman" w:hAnsi="Times New Roman"/>
          <w:sz w:val="18"/>
          <w:szCs w:val="18"/>
          <w:lang w:val="fr-FR"/>
        </w:rPr>
        <w:t xml:space="preserve"> sympathisant</w:t>
      </w:r>
      <w:r>
        <w:rPr>
          <w:rFonts w:ascii="Times New Roman" w:hAnsi="Times New Roman"/>
          <w:sz w:val="18"/>
          <w:szCs w:val="18"/>
          <w:lang w:val="fr-FR"/>
        </w:rPr>
        <w:t>e</w:t>
      </w:r>
      <w:r w:rsidRPr="00085E53">
        <w:rPr>
          <w:rFonts w:ascii="Times New Roman" w:hAnsi="Times New Roman"/>
          <w:sz w:val="18"/>
          <w:szCs w:val="18"/>
          <w:lang w:val="fr-FR"/>
        </w:rPr>
        <w:t xml:space="preserve"> notoire du Président Martelly a été nommé</w:t>
      </w:r>
      <w:r>
        <w:rPr>
          <w:rFonts w:ascii="Times New Roman" w:hAnsi="Times New Roman"/>
          <w:sz w:val="18"/>
          <w:szCs w:val="18"/>
          <w:lang w:val="fr-FR"/>
        </w:rPr>
        <w:t>e</w:t>
      </w:r>
      <w:r w:rsidRPr="00085E53">
        <w:rPr>
          <w:rFonts w:ascii="Times New Roman" w:hAnsi="Times New Roman"/>
          <w:sz w:val="18"/>
          <w:szCs w:val="18"/>
          <w:lang w:val="fr-FR"/>
        </w:rPr>
        <w:t xml:space="preserve"> maire de Pétion</w:t>
      </w:r>
      <w:r>
        <w:rPr>
          <w:rFonts w:ascii="Times New Roman" w:hAnsi="Times New Roman"/>
          <w:sz w:val="18"/>
          <w:szCs w:val="18"/>
          <w:lang w:val="fr-FR"/>
        </w:rPr>
        <w:t>-V</w:t>
      </w:r>
      <w:r w:rsidRPr="00085E53">
        <w:rPr>
          <w:rFonts w:ascii="Times New Roman" w:hAnsi="Times New Roman"/>
          <w:sz w:val="18"/>
          <w:szCs w:val="18"/>
          <w:lang w:val="fr-FR"/>
        </w:rPr>
        <w:t xml:space="preserve">ille.  </w:t>
      </w:r>
    </w:p>
  </w:footnote>
  <w:footnote w:id="5">
    <w:p w:rsidR="001B63FA" w:rsidRPr="00E8255B" w:rsidRDefault="001B63FA" w:rsidP="008673B7">
      <w:pPr>
        <w:pStyle w:val="FootnoteText"/>
        <w:jc w:val="both"/>
        <w:rPr>
          <w:rFonts w:ascii="Times New Roman" w:hAnsi="Times New Roman"/>
          <w:lang w:val="fr-FR"/>
        </w:rPr>
      </w:pPr>
      <w:r w:rsidRPr="00E8255B">
        <w:rPr>
          <w:rStyle w:val="FootnoteReference"/>
          <w:rFonts w:ascii="Times New Roman" w:hAnsi="Times New Roman"/>
        </w:rPr>
        <w:footnoteRef/>
      </w:r>
      <w:r w:rsidRPr="00E8255B">
        <w:rPr>
          <w:rFonts w:ascii="Times New Roman" w:hAnsi="Times New Roman"/>
          <w:lang w:val="fr-FR"/>
        </w:rPr>
        <w:t xml:space="preserve"> La DPC a confirmé</w:t>
      </w:r>
      <w:r>
        <w:rPr>
          <w:rFonts w:ascii="Times New Roman" w:hAnsi="Times New Roman"/>
          <w:lang w:val="fr-FR"/>
        </w:rPr>
        <w:t xml:space="preserve"> la mort de</w:t>
      </w:r>
      <w:r w:rsidRPr="00E8255B">
        <w:rPr>
          <w:rFonts w:ascii="Times New Roman" w:hAnsi="Times New Roman"/>
          <w:lang w:val="fr-FR"/>
        </w:rPr>
        <w:t xml:space="preserve"> 24 </w:t>
      </w:r>
      <w:r>
        <w:rPr>
          <w:rFonts w:ascii="Times New Roman" w:hAnsi="Times New Roman"/>
          <w:lang w:val="fr-FR"/>
        </w:rPr>
        <w:t>personnes</w:t>
      </w:r>
      <w:r w:rsidRPr="00E8255B">
        <w:rPr>
          <w:rFonts w:ascii="Times New Roman" w:hAnsi="Times New Roman"/>
          <w:lang w:val="fr-FR"/>
        </w:rPr>
        <w:t xml:space="preserve"> suite </w:t>
      </w:r>
      <w:r>
        <w:rPr>
          <w:rFonts w:ascii="Times New Roman" w:hAnsi="Times New Roman"/>
          <w:lang w:val="fr-FR"/>
        </w:rPr>
        <w:t>à</w:t>
      </w:r>
      <w:r w:rsidRPr="00E8255B">
        <w:rPr>
          <w:rFonts w:ascii="Times New Roman" w:hAnsi="Times New Roman"/>
          <w:lang w:val="fr-FR"/>
        </w:rPr>
        <w:t xml:space="preserve"> la tempête tropicale Isaac, 54</w:t>
      </w:r>
      <w:r>
        <w:rPr>
          <w:rFonts w:ascii="Times New Roman" w:hAnsi="Times New Roman"/>
          <w:lang w:val="fr-FR"/>
        </w:rPr>
        <w:t xml:space="preserve"> personnes</w:t>
      </w:r>
      <w:r w:rsidRPr="00E8255B">
        <w:rPr>
          <w:rFonts w:ascii="Times New Roman" w:hAnsi="Times New Roman"/>
          <w:lang w:val="fr-FR"/>
        </w:rPr>
        <w:t xml:space="preserve"> </w:t>
      </w:r>
      <w:r>
        <w:rPr>
          <w:rFonts w:ascii="Times New Roman" w:hAnsi="Times New Roman"/>
          <w:lang w:val="fr-FR"/>
        </w:rPr>
        <w:t>suite</w:t>
      </w:r>
      <w:r w:rsidRPr="00E8255B">
        <w:rPr>
          <w:rFonts w:ascii="Times New Roman" w:hAnsi="Times New Roman"/>
          <w:lang w:val="fr-FR"/>
        </w:rPr>
        <w:t xml:space="preserve"> à l’ouragan Sandy et 14</w:t>
      </w:r>
      <w:r>
        <w:rPr>
          <w:rFonts w:ascii="Times New Roman" w:hAnsi="Times New Roman"/>
          <w:lang w:val="fr-FR"/>
        </w:rPr>
        <w:t xml:space="preserve"> personnes</w:t>
      </w:r>
      <w:r w:rsidRPr="00E8255B">
        <w:rPr>
          <w:rFonts w:ascii="Times New Roman" w:hAnsi="Times New Roman"/>
          <w:lang w:val="fr-FR"/>
        </w:rPr>
        <w:t xml:space="preserve"> </w:t>
      </w:r>
      <w:r>
        <w:rPr>
          <w:rFonts w:ascii="Times New Roman" w:hAnsi="Times New Roman"/>
          <w:lang w:val="fr-FR"/>
        </w:rPr>
        <w:t>suite aux</w:t>
      </w:r>
      <w:r w:rsidRPr="00E8255B">
        <w:rPr>
          <w:rFonts w:ascii="Times New Roman" w:hAnsi="Times New Roman"/>
          <w:lang w:val="fr-FR"/>
        </w:rPr>
        <w:t xml:space="preserve"> inondations dans le </w:t>
      </w:r>
      <w:r>
        <w:rPr>
          <w:rFonts w:ascii="Times New Roman" w:hAnsi="Times New Roman"/>
          <w:lang w:val="fr-FR"/>
        </w:rPr>
        <w:t>département du Nord</w:t>
      </w:r>
      <w:r w:rsidRPr="00E8255B">
        <w:rPr>
          <w:rFonts w:ascii="Times New Roman" w:hAnsi="Times New Roman"/>
          <w:lang w:val="fr-FR"/>
        </w:rPr>
        <w:t xml:space="preserve">. </w:t>
      </w:r>
    </w:p>
  </w:footnote>
  <w:footnote w:id="6">
    <w:p w:rsidR="001B63FA" w:rsidRPr="00E8255B" w:rsidRDefault="001B63FA" w:rsidP="00434533">
      <w:pPr>
        <w:pStyle w:val="FootnoteText"/>
        <w:jc w:val="both"/>
        <w:rPr>
          <w:lang w:val="fr-FR"/>
        </w:rPr>
      </w:pPr>
      <w:r>
        <w:rPr>
          <w:rStyle w:val="FootnoteReference"/>
        </w:rPr>
        <w:footnoteRef/>
      </w:r>
      <w:r w:rsidRPr="00E8255B">
        <w:rPr>
          <w:lang w:val="fr-FR"/>
        </w:rPr>
        <w:t xml:space="preserve"> </w:t>
      </w:r>
      <w:r w:rsidRPr="00174C4E">
        <w:rPr>
          <w:rFonts w:ascii="Times New Roman" w:hAnsi="Times New Roman"/>
          <w:lang w:val="fr-FR"/>
        </w:rPr>
        <w:t xml:space="preserve">CNSA/MARNDR, </w:t>
      </w:r>
      <w:r w:rsidRPr="0052032A">
        <w:rPr>
          <w:rFonts w:ascii="Times New Roman" w:hAnsi="Times New Roman"/>
          <w:i/>
          <w:lang w:val="fr-FR"/>
        </w:rPr>
        <w:t>Haïti : Alerte à l’insécurité alimentaire</w:t>
      </w:r>
      <w:r w:rsidRPr="00174C4E">
        <w:rPr>
          <w:rFonts w:ascii="Times New Roman" w:hAnsi="Times New Roman"/>
          <w:lang w:val="fr-FR"/>
        </w:rPr>
        <w:t xml:space="preserve">, janvier 2013.  </w:t>
      </w:r>
    </w:p>
  </w:footnote>
  <w:footnote w:id="7">
    <w:p w:rsidR="001B63FA" w:rsidRPr="00E8255B" w:rsidRDefault="001B63FA" w:rsidP="008673B7">
      <w:pPr>
        <w:pStyle w:val="FootnoteText"/>
        <w:jc w:val="both"/>
        <w:rPr>
          <w:rFonts w:ascii="Times New Roman" w:hAnsi="Times New Roman"/>
          <w:lang w:val="fr-FR"/>
        </w:rPr>
      </w:pPr>
      <w:r w:rsidRPr="00E8255B">
        <w:rPr>
          <w:rStyle w:val="FootnoteReference"/>
          <w:rFonts w:ascii="Times New Roman" w:hAnsi="Times New Roman"/>
        </w:rPr>
        <w:footnoteRef/>
      </w:r>
      <w:r w:rsidRPr="00E8255B">
        <w:rPr>
          <w:rFonts w:ascii="Times New Roman" w:hAnsi="Times New Roman"/>
          <w:lang w:val="fr-FR"/>
        </w:rPr>
        <w:t xml:space="preserve"> De</w:t>
      </w:r>
      <w:r>
        <w:rPr>
          <w:rFonts w:ascii="Times New Roman" w:hAnsi="Times New Roman"/>
          <w:lang w:val="fr-FR"/>
        </w:rPr>
        <w:t>s</w:t>
      </w:r>
      <w:r w:rsidRPr="00E8255B">
        <w:rPr>
          <w:rFonts w:ascii="Times New Roman" w:hAnsi="Times New Roman"/>
          <w:lang w:val="fr-FR"/>
        </w:rPr>
        <w:t xml:space="preserve"> manifestations </w:t>
      </w:r>
      <w:r>
        <w:rPr>
          <w:rFonts w:ascii="Times New Roman" w:hAnsi="Times New Roman"/>
          <w:lang w:val="fr-FR"/>
        </w:rPr>
        <w:t xml:space="preserve">similaires </w:t>
      </w:r>
      <w:r w:rsidRPr="00E8255B">
        <w:rPr>
          <w:rFonts w:ascii="Times New Roman" w:hAnsi="Times New Roman"/>
          <w:lang w:val="fr-FR"/>
        </w:rPr>
        <w:t xml:space="preserve">ont également été </w:t>
      </w:r>
      <w:r>
        <w:rPr>
          <w:rFonts w:ascii="Times New Roman" w:hAnsi="Times New Roman"/>
          <w:lang w:val="fr-FR"/>
        </w:rPr>
        <w:t>organisées</w:t>
      </w:r>
      <w:r w:rsidRPr="00E8255B">
        <w:rPr>
          <w:rFonts w:ascii="Times New Roman" w:hAnsi="Times New Roman"/>
          <w:lang w:val="fr-FR"/>
        </w:rPr>
        <w:t xml:space="preserve"> dans la p</w:t>
      </w:r>
      <w:r>
        <w:rPr>
          <w:rFonts w:ascii="Times New Roman" w:hAnsi="Times New Roman"/>
          <w:lang w:val="fr-FR"/>
        </w:rPr>
        <w:t>remière partie de l’année 2012 -</w:t>
      </w:r>
      <w:r w:rsidRPr="00E8255B">
        <w:rPr>
          <w:rFonts w:ascii="Times New Roman" w:hAnsi="Times New Roman"/>
          <w:lang w:val="fr-FR"/>
        </w:rPr>
        <w:t xml:space="preserve"> pour la plupart en janvier et février, dans les </w:t>
      </w:r>
      <w:r>
        <w:rPr>
          <w:rFonts w:ascii="Times New Roman" w:hAnsi="Times New Roman"/>
          <w:lang w:val="fr-FR"/>
        </w:rPr>
        <w:t>d</w:t>
      </w:r>
      <w:r w:rsidRPr="00E8255B">
        <w:rPr>
          <w:rFonts w:ascii="Times New Roman" w:hAnsi="Times New Roman"/>
          <w:lang w:val="fr-FR"/>
        </w:rPr>
        <w:t>épartements du</w:t>
      </w:r>
      <w:r>
        <w:rPr>
          <w:rFonts w:ascii="Times New Roman" w:hAnsi="Times New Roman"/>
          <w:lang w:val="fr-FR"/>
        </w:rPr>
        <w:t xml:space="preserve"> Sud, du Centre et du Nord-est -</w:t>
      </w:r>
      <w:r w:rsidRPr="00E8255B">
        <w:rPr>
          <w:rFonts w:ascii="Times New Roman" w:hAnsi="Times New Roman"/>
          <w:lang w:val="fr-FR"/>
        </w:rPr>
        <w:t xml:space="preserve"> demandant l’accès à l’électricité et la reprise de projets à cet ég</w:t>
      </w:r>
      <w:r>
        <w:rPr>
          <w:rFonts w:ascii="Times New Roman" w:hAnsi="Times New Roman"/>
          <w:lang w:val="fr-FR"/>
        </w:rPr>
        <w:t>ard. Ce type de manifestations s</w:t>
      </w:r>
      <w:r w:rsidRPr="00E8255B">
        <w:rPr>
          <w:rFonts w:ascii="Times New Roman" w:hAnsi="Times New Roman"/>
          <w:lang w:val="fr-FR"/>
        </w:rPr>
        <w:t>’est multiplié à travers la deuxième partie de l’année. Les manifestations menées au premier semestre ont généralement commencé dans le calme ; toutefois, certaines d’entre elles ont abouti à des violences, comme à Dosmond (</w:t>
      </w:r>
      <w:r>
        <w:rPr>
          <w:rFonts w:ascii="Times New Roman" w:hAnsi="Times New Roman"/>
          <w:lang w:val="fr-FR"/>
        </w:rPr>
        <w:t>Département du Nord</w:t>
      </w:r>
      <w:r w:rsidRPr="00E8255B">
        <w:rPr>
          <w:rFonts w:ascii="Times New Roman" w:hAnsi="Times New Roman"/>
          <w:lang w:val="fr-FR"/>
        </w:rPr>
        <w:t xml:space="preserve">-est).      </w:t>
      </w:r>
    </w:p>
  </w:footnote>
  <w:footnote w:id="8">
    <w:p w:rsidR="001B63FA" w:rsidRPr="0097281C" w:rsidRDefault="001B63FA" w:rsidP="008673B7">
      <w:pPr>
        <w:pStyle w:val="FootnoteText"/>
        <w:jc w:val="both"/>
        <w:rPr>
          <w:rFonts w:ascii="Times New Roman" w:hAnsi="Times New Roman"/>
          <w:lang w:val="fr-FR"/>
        </w:rPr>
      </w:pPr>
      <w:r w:rsidRPr="0097281C">
        <w:rPr>
          <w:rStyle w:val="FootnoteReference"/>
          <w:rFonts w:ascii="Times New Roman" w:hAnsi="Times New Roman"/>
        </w:rPr>
        <w:footnoteRef/>
      </w:r>
      <w:r w:rsidRPr="0097281C">
        <w:rPr>
          <w:rFonts w:ascii="Times New Roman" w:hAnsi="Times New Roman"/>
          <w:lang w:val="fr-FR"/>
        </w:rPr>
        <w:t xml:space="preserve"> Le Comité interinstitutionnel a été érigé en mai 2009 en tant qu’institution </w:t>
      </w:r>
      <w:r w:rsidRPr="0097281C">
        <w:rPr>
          <w:rFonts w:ascii="Times New Roman" w:hAnsi="Times New Roman"/>
          <w:i/>
          <w:lang w:val="fr-FR"/>
        </w:rPr>
        <w:t>ad hoc</w:t>
      </w:r>
      <w:r w:rsidRPr="0097281C">
        <w:rPr>
          <w:rFonts w:ascii="Times New Roman" w:hAnsi="Times New Roman"/>
          <w:lang w:val="fr-FR"/>
        </w:rPr>
        <w:t xml:space="preserve"> dans le contexte de l’EPU d’Haïti. Le Comité n’a pas de mandat officiel mais s’occupe principalement de la préparation des rapports gouvernementaux aux organes de trait</w:t>
      </w:r>
      <w:r>
        <w:rPr>
          <w:rFonts w:ascii="Times New Roman" w:hAnsi="Times New Roman"/>
          <w:lang w:val="fr-FR"/>
        </w:rPr>
        <w:t>é</w:t>
      </w:r>
      <w:r w:rsidRPr="0097281C">
        <w:rPr>
          <w:rFonts w:ascii="Times New Roman" w:hAnsi="Times New Roman"/>
          <w:lang w:val="fr-FR"/>
        </w:rPr>
        <w:t>s sur les droits de l’homme</w:t>
      </w:r>
      <w:r>
        <w:rPr>
          <w:rFonts w:ascii="Times New Roman" w:hAnsi="Times New Roman"/>
          <w:lang w:val="fr-FR"/>
        </w:rPr>
        <w:t>,</w:t>
      </w:r>
      <w:r w:rsidRPr="0097281C">
        <w:rPr>
          <w:rFonts w:ascii="Times New Roman" w:hAnsi="Times New Roman"/>
          <w:lang w:val="fr-FR"/>
        </w:rPr>
        <w:t xml:space="preserve"> ainsi que de la facilitation de </w:t>
      </w:r>
      <w:r>
        <w:rPr>
          <w:rFonts w:ascii="Times New Roman" w:hAnsi="Times New Roman"/>
          <w:lang w:val="fr-FR"/>
        </w:rPr>
        <w:t>la mise en œuvre</w:t>
      </w:r>
      <w:r w:rsidRPr="0097281C">
        <w:rPr>
          <w:rFonts w:ascii="Times New Roman" w:hAnsi="Times New Roman"/>
          <w:lang w:val="fr-FR"/>
        </w:rPr>
        <w:t xml:space="preserve"> des recommandations suite à l’EPU. Le comité interinstitutionnel est présidé par </w:t>
      </w:r>
      <w:r>
        <w:rPr>
          <w:rFonts w:ascii="Times New Roman" w:hAnsi="Times New Roman"/>
          <w:lang w:val="fr-FR"/>
        </w:rPr>
        <w:t>le directeur des Affaires juridiques du ministère des Affaires étrangères</w:t>
      </w:r>
      <w:r w:rsidRPr="0097281C">
        <w:rPr>
          <w:rFonts w:ascii="Times New Roman" w:hAnsi="Times New Roman"/>
          <w:lang w:val="fr-FR"/>
        </w:rPr>
        <w:t xml:space="preserve"> et regroupe principalement de</w:t>
      </w:r>
      <w:r>
        <w:rPr>
          <w:rFonts w:ascii="Times New Roman" w:hAnsi="Times New Roman"/>
          <w:lang w:val="fr-FR"/>
        </w:rPr>
        <w:t>s représentants de la Primature</w:t>
      </w:r>
      <w:r w:rsidRPr="0097281C">
        <w:rPr>
          <w:rFonts w:ascii="Times New Roman" w:hAnsi="Times New Roman"/>
          <w:lang w:val="fr-FR"/>
        </w:rPr>
        <w:t xml:space="preserve"> et des </w:t>
      </w:r>
      <w:r>
        <w:rPr>
          <w:rFonts w:ascii="Times New Roman" w:hAnsi="Times New Roman"/>
          <w:lang w:val="fr-FR"/>
        </w:rPr>
        <w:t>m</w:t>
      </w:r>
      <w:r w:rsidRPr="0097281C">
        <w:rPr>
          <w:rFonts w:ascii="Times New Roman" w:hAnsi="Times New Roman"/>
          <w:lang w:val="fr-FR"/>
        </w:rPr>
        <w:t>inistères de la Justice et de la Sécurité publique, des Affaires étrangère</w:t>
      </w:r>
      <w:r>
        <w:rPr>
          <w:rFonts w:ascii="Times New Roman" w:hAnsi="Times New Roman"/>
          <w:lang w:val="fr-FR"/>
        </w:rPr>
        <w:t>s et du Culte,</w:t>
      </w:r>
      <w:r w:rsidRPr="0097281C">
        <w:rPr>
          <w:rFonts w:ascii="Times New Roman" w:hAnsi="Times New Roman"/>
          <w:lang w:val="fr-FR"/>
        </w:rPr>
        <w:t xml:space="preserve"> des Affaires sociales et du Travail, à la Condition féminine et aux Droits des Femmes, ainsi que des représentants de la Présidence de la République et de </w:t>
      </w:r>
      <w:r>
        <w:rPr>
          <w:rFonts w:ascii="Times New Roman" w:hAnsi="Times New Roman"/>
          <w:lang w:val="fr-FR"/>
        </w:rPr>
        <w:t>l’Administration pénitentiaire.</w:t>
      </w:r>
    </w:p>
  </w:footnote>
  <w:footnote w:id="9">
    <w:p w:rsidR="001B63FA" w:rsidRPr="009B69BE" w:rsidRDefault="001B63FA" w:rsidP="008673B7">
      <w:pPr>
        <w:pStyle w:val="FootnoteText"/>
        <w:jc w:val="both"/>
        <w:rPr>
          <w:rFonts w:ascii="Times New Roman" w:hAnsi="Times New Roman"/>
          <w:lang w:val="fr-FR"/>
        </w:rPr>
      </w:pPr>
      <w:r w:rsidRPr="009B69BE">
        <w:rPr>
          <w:rStyle w:val="FootnoteReference"/>
          <w:rFonts w:ascii="Times New Roman" w:hAnsi="Times New Roman"/>
        </w:rPr>
        <w:footnoteRef/>
      </w:r>
      <w:r w:rsidRPr="009B69BE">
        <w:rPr>
          <w:rFonts w:ascii="Times New Roman" w:hAnsi="Times New Roman"/>
          <w:lang w:val="fr-FR"/>
        </w:rPr>
        <w:t xml:space="preserve"> </w:t>
      </w:r>
      <w:r w:rsidRPr="009B69BE">
        <w:rPr>
          <w:rFonts w:ascii="Times New Roman" w:hAnsi="Times New Roman"/>
          <w:i/>
          <w:lang w:val="fr-FR"/>
        </w:rPr>
        <w:t>Allocution de Son Excellence Monsieur Laurent Salvador Lamothe, Premier Ministre de la République d’Haïti</w:t>
      </w:r>
      <w:r w:rsidRPr="009B69BE">
        <w:rPr>
          <w:rFonts w:ascii="Times New Roman" w:hAnsi="Times New Roman"/>
          <w:lang w:val="fr-FR"/>
        </w:rPr>
        <w:t>, Réunion de Haut niveau sur l’Etat de droit aux niveaux national et international, New York, 24 septembre 2012.</w:t>
      </w:r>
    </w:p>
  </w:footnote>
  <w:footnote w:id="10">
    <w:p w:rsidR="001B63FA" w:rsidRPr="006F4C31" w:rsidRDefault="001B63FA" w:rsidP="008673B7">
      <w:pPr>
        <w:pStyle w:val="FootnoteText"/>
        <w:jc w:val="both"/>
        <w:rPr>
          <w:sz w:val="18"/>
          <w:szCs w:val="18"/>
          <w:lang w:val="fr-FR"/>
        </w:rPr>
      </w:pPr>
      <w:r w:rsidRPr="006F4C31">
        <w:rPr>
          <w:rStyle w:val="FootnoteReference"/>
          <w:rFonts w:ascii="Times New Roman" w:hAnsi="Times New Roman"/>
          <w:sz w:val="18"/>
          <w:szCs w:val="18"/>
        </w:rPr>
        <w:footnoteRef/>
      </w:r>
      <w:r w:rsidRPr="006F4C31">
        <w:rPr>
          <w:rFonts w:ascii="Times New Roman" w:hAnsi="Times New Roman"/>
          <w:sz w:val="18"/>
          <w:szCs w:val="18"/>
          <w:lang w:val="fr-FR"/>
        </w:rPr>
        <w:t xml:space="preserve"> Haïti a ratifié la Convention relative aux droits de l’enfant le 8 juin 1995 et soumis son rapport initial en 2000.</w:t>
      </w:r>
      <w:r w:rsidRPr="006F4C31">
        <w:rPr>
          <w:sz w:val="18"/>
          <w:szCs w:val="18"/>
          <w:lang w:val="fr-FR"/>
        </w:rPr>
        <w:t xml:space="preserve"> </w:t>
      </w:r>
    </w:p>
  </w:footnote>
  <w:footnote w:id="11">
    <w:p w:rsidR="001B63FA" w:rsidRPr="00A04ABF" w:rsidRDefault="001B63FA" w:rsidP="008673B7">
      <w:pPr>
        <w:pStyle w:val="FootnoteText"/>
        <w:jc w:val="both"/>
        <w:rPr>
          <w:rFonts w:ascii="Times New Roman" w:hAnsi="Times New Roman"/>
          <w:sz w:val="18"/>
          <w:szCs w:val="18"/>
          <w:lang w:val="fr-FR"/>
        </w:rPr>
      </w:pPr>
      <w:r w:rsidRPr="000A10A4">
        <w:rPr>
          <w:rStyle w:val="FootnoteReference"/>
          <w:rFonts w:ascii="Times New Roman" w:hAnsi="Times New Roman"/>
          <w:sz w:val="18"/>
          <w:szCs w:val="18"/>
        </w:rPr>
        <w:footnoteRef/>
      </w:r>
      <w:r w:rsidRPr="00A04ABF">
        <w:rPr>
          <w:rFonts w:ascii="Times New Roman" w:hAnsi="Times New Roman"/>
          <w:sz w:val="18"/>
          <w:szCs w:val="18"/>
          <w:lang w:val="fr-FR"/>
        </w:rPr>
        <w:t xml:space="preserve"> A/HRC/20/35.</w:t>
      </w:r>
    </w:p>
  </w:footnote>
  <w:footnote w:id="12">
    <w:p w:rsidR="001B63FA" w:rsidRPr="00933600" w:rsidRDefault="001B63FA" w:rsidP="008673B7">
      <w:pPr>
        <w:pStyle w:val="FootnoteText"/>
        <w:rPr>
          <w:rFonts w:ascii="Times New Roman" w:hAnsi="Times New Roman"/>
          <w:sz w:val="18"/>
          <w:szCs w:val="18"/>
          <w:lang w:val="fr-BE"/>
        </w:rPr>
      </w:pPr>
      <w:r w:rsidRPr="00933600">
        <w:rPr>
          <w:rStyle w:val="FootnoteReference"/>
          <w:rFonts w:ascii="Times New Roman" w:hAnsi="Times New Roman"/>
          <w:sz w:val="18"/>
          <w:szCs w:val="18"/>
        </w:rPr>
        <w:footnoteRef/>
      </w:r>
      <w:r w:rsidRPr="00933600">
        <w:rPr>
          <w:rFonts w:ascii="Times New Roman" w:hAnsi="Times New Roman"/>
          <w:sz w:val="18"/>
          <w:szCs w:val="18"/>
          <w:lang w:val="fr-BE"/>
        </w:rPr>
        <w:t xml:space="preserve"> Le projet </w:t>
      </w:r>
      <w:r w:rsidRPr="00933600">
        <w:rPr>
          <w:rFonts w:ascii="Times New Roman" w:eastAsia="Times New Roman" w:hAnsi="Times New Roman"/>
          <w:sz w:val="18"/>
          <w:szCs w:val="18"/>
          <w:lang w:val="fr-FR"/>
        </w:rPr>
        <w:t>16/6 est un programme gouvernemental mis en œuvre conjointement avec l'OIM, qui a pour but de fournir des solutions durables de retour aux personnes vivant dans les camps.</w:t>
      </w:r>
    </w:p>
  </w:footnote>
  <w:footnote w:id="13">
    <w:p w:rsidR="001B63FA" w:rsidRPr="00934229" w:rsidRDefault="001B63FA" w:rsidP="008673B7">
      <w:pPr>
        <w:pStyle w:val="FootnoteText"/>
        <w:jc w:val="both"/>
        <w:rPr>
          <w:rFonts w:ascii="Times New Roman" w:hAnsi="Times New Roman"/>
          <w:sz w:val="18"/>
          <w:szCs w:val="18"/>
          <w:lang w:val="fr-FR"/>
        </w:rPr>
      </w:pPr>
      <w:r w:rsidRPr="00934229">
        <w:rPr>
          <w:rStyle w:val="FootnoteReference"/>
          <w:rFonts w:ascii="Times New Roman" w:hAnsi="Times New Roman"/>
          <w:sz w:val="18"/>
          <w:szCs w:val="18"/>
        </w:rPr>
        <w:footnoteRef/>
      </w:r>
      <w:r w:rsidRPr="00934229">
        <w:rPr>
          <w:rFonts w:ascii="Times New Roman" w:hAnsi="Times New Roman"/>
          <w:sz w:val="18"/>
          <w:szCs w:val="18"/>
          <w:lang w:val="fr-FR"/>
        </w:rPr>
        <w:t xml:space="preserve"> Ce chiffre n’est pas exhaustif et ne prend compte que les cas documentés par la SDH</w:t>
      </w:r>
      <w:r>
        <w:rPr>
          <w:rFonts w:ascii="Times New Roman" w:hAnsi="Times New Roman"/>
          <w:sz w:val="18"/>
          <w:szCs w:val="18"/>
          <w:lang w:val="fr-FR"/>
        </w:rPr>
        <w:t xml:space="preserve"> et</w:t>
      </w:r>
      <w:r w:rsidRPr="00934229">
        <w:rPr>
          <w:rFonts w:ascii="Times New Roman" w:hAnsi="Times New Roman"/>
          <w:sz w:val="18"/>
          <w:szCs w:val="18"/>
          <w:lang w:val="fr-FR"/>
        </w:rPr>
        <w:t xml:space="preserve"> commis par des agents de la PNH dans l’exercice de leurs fonctions. </w:t>
      </w:r>
    </w:p>
  </w:footnote>
  <w:footnote w:id="14">
    <w:p w:rsidR="001B63FA" w:rsidRPr="00DF46E7" w:rsidRDefault="001B63FA" w:rsidP="008673B7">
      <w:pPr>
        <w:pStyle w:val="CommentText"/>
        <w:spacing w:after="0"/>
        <w:jc w:val="both"/>
        <w:rPr>
          <w:rFonts w:ascii="Times New Roman" w:hAnsi="Times New Roman"/>
          <w:sz w:val="18"/>
          <w:szCs w:val="18"/>
          <w:lang w:val="fr-BE"/>
        </w:rPr>
      </w:pPr>
      <w:r w:rsidRPr="00CE5B79">
        <w:rPr>
          <w:rStyle w:val="FootnoteReference"/>
          <w:rFonts w:ascii="Times New Roman" w:hAnsi="Times New Roman"/>
          <w:sz w:val="18"/>
          <w:szCs w:val="18"/>
        </w:rPr>
        <w:footnoteRef/>
      </w:r>
      <w:r w:rsidRPr="00DF46E7">
        <w:rPr>
          <w:rFonts w:ascii="Times New Roman" w:hAnsi="Times New Roman"/>
          <w:sz w:val="18"/>
          <w:szCs w:val="18"/>
          <w:lang w:val="fr-BE"/>
        </w:rPr>
        <w:t xml:space="preserve"> Principes de base sur le recours à la force et l’utilisation des armes à feu par les responsables de l’application des lois,</w:t>
      </w:r>
      <w:r w:rsidRPr="00DF46E7">
        <w:rPr>
          <w:rFonts w:ascii="Verdana" w:hAnsi="Verdana"/>
          <w:sz w:val="22"/>
          <w:szCs w:val="22"/>
          <w:lang w:val="fr-BE"/>
        </w:rPr>
        <w:t xml:space="preserve"> </w:t>
      </w:r>
      <w:r w:rsidRPr="00DF46E7">
        <w:rPr>
          <w:rFonts w:ascii="Times New Roman" w:hAnsi="Times New Roman"/>
          <w:sz w:val="18"/>
          <w:szCs w:val="18"/>
          <w:lang w:val="fr-BE"/>
        </w:rPr>
        <w:t>adoptés par le huitième Congrès des Nations Unies pour la prévention du crime et le traitement des délinquants, à La Havane (Cuba), 27 août au 7 septembre 1990, Principe 9</w:t>
      </w:r>
      <w:r>
        <w:rPr>
          <w:rFonts w:ascii="Times New Roman" w:hAnsi="Times New Roman"/>
          <w:sz w:val="18"/>
          <w:szCs w:val="18"/>
          <w:lang w:val="fr-BE"/>
        </w:rPr>
        <w:t xml:space="preserve"> </w:t>
      </w:r>
      <w:r w:rsidRPr="00DF46E7">
        <w:rPr>
          <w:rFonts w:ascii="Times New Roman" w:hAnsi="Times New Roman"/>
          <w:sz w:val="18"/>
          <w:szCs w:val="18"/>
          <w:lang w:val="fr-BE"/>
        </w:rPr>
        <w:t>:  « Les responsables de l'application des lois ne doivent pas faire usage d'armes à feu contre des personnes, sauf en cas de légitime défense ou pour défendre des tiers contre une menace imminente de mort ou de blessure grave, ou pour prévenir une infraction particulièrement grave mettant sérieusement en danger des vies humaines, ou pour procéder à l'arrestation d'une personne présentant un tel risque et résistant à leur autorité, ou l'empêcher de s'échapper, et seulement lorsque des mesures moins extrêmes sont insuffisantes pour atteindre ces objectifs. Quoi qu'il en soit, ils ne recourront intentionnellement à l'usage meurtrier d'armes à feu que si cela est absolument inévitable pour protéger des vies humaines »</w:t>
      </w:r>
      <w:r>
        <w:rPr>
          <w:rFonts w:ascii="Times New Roman" w:hAnsi="Times New Roman"/>
          <w:sz w:val="18"/>
          <w:szCs w:val="18"/>
          <w:lang w:val="fr-BE"/>
        </w:rPr>
        <w:t>.</w:t>
      </w:r>
    </w:p>
  </w:footnote>
  <w:footnote w:id="15">
    <w:p w:rsidR="001B63FA" w:rsidRPr="00E5083B" w:rsidRDefault="001B63FA" w:rsidP="008673B7">
      <w:pPr>
        <w:autoSpaceDE w:val="0"/>
        <w:autoSpaceDN w:val="0"/>
        <w:adjustRightInd w:val="0"/>
        <w:spacing w:after="0" w:line="240" w:lineRule="auto"/>
        <w:jc w:val="both"/>
        <w:rPr>
          <w:lang w:val="fr-BE"/>
        </w:rPr>
      </w:pPr>
      <w:r>
        <w:rPr>
          <w:rStyle w:val="FootnoteReference"/>
        </w:rPr>
        <w:footnoteRef/>
      </w:r>
      <w:r w:rsidRPr="00E5083B">
        <w:rPr>
          <w:lang w:val="fr-BE"/>
        </w:rPr>
        <w:t xml:space="preserve"> </w:t>
      </w:r>
      <w:r w:rsidRPr="00E5083B">
        <w:rPr>
          <w:rFonts w:ascii="Times New Roman" w:hAnsi="Times New Roman"/>
          <w:color w:val="000000"/>
          <w:sz w:val="18"/>
          <w:szCs w:val="18"/>
          <w:lang w:val="fr-BE"/>
        </w:rPr>
        <w:t>Les habitants a</w:t>
      </w:r>
      <w:r>
        <w:rPr>
          <w:rFonts w:ascii="Times New Roman" w:hAnsi="Times New Roman"/>
          <w:color w:val="000000"/>
          <w:sz w:val="18"/>
          <w:szCs w:val="18"/>
          <w:lang w:val="fr-BE"/>
        </w:rPr>
        <w:t>ffirment</w:t>
      </w:r>
      <w:r w:rsidRPr="00E5083B">
        <w:rPr>
          <w:rFonts w:ascii="Times New Roman" w:hAnsi="Times New Roman"/>
          <w:color w:val="000000"/>
          <w:sz w:val="18"/>
          <w:szCs w:val="18"/>
          <w:lang w:val="fr-BE"/>
        </w:rPr>
        <w:t xml:space="preserve"> que la terre a été déclarée d’utilité publique dans un décret présidentiel du 22 mars 2010. La HRS note que sur la seule base du décret</w:t>
      </w:r>
      <w:r>
        <w:rPr>
          <w:rFonts w:ascii="Times New Roman" w:hAnsi="Times New Roman"/>
          <w:color w:val="000000"/>
          <w:sz w:val="18"/>
          <w:szCs w:val="18"/>
          <w:lang w:val="fr-BE"/>
        </w:rPr>
        <w:t>,</w:t>
      </w:r>
      <w:r w:rsidRPr="00E5083B">
        <w:rPr>
          <w:rFonts w:ascii="Times New Roman" w:hAnsi="Times New Roman"/>
          <w:color w:val="000000"/>
          <w:sz w:val="18"/>
          <w:szCs w:val="18"/>
          <w:lang w:val="fr-BE"/>
        </w:rPr>
        <w:t xml:space="preserve"> il n’est pas possible de déterminer si la déclaration d’utilité publique s’applique à ce terrain particulier. Toutefois, </w:t>
      </w:r>
      <w:r w:rsidRPr="00E5083B">
        <w:rPr>
          <w:rFonts w:ascii="Times New Roman" w:hAnsi="Times New Roman"/>
          <w:iCs/>
          <w:color w:val="000000"/>
          <w:sz w:val="18"/>
          <w:szCs w:val="18"/>
          <w:lang w:val="fr-BE"/>
        </w:rPr>
        <w:t>l’opération menée par les forces de sécurité</w:t>
      </w:r>
      <w:r>
        <w:rPr>
          <w:rFonts w:ascii="Times New Roman" w:hAnsi="Times New Roman"/>
          <w:iCs/>
          <w:color w:val="000000"/>
          <w:sz w:val="18"/>
          <w:szCs w:val="18"/>
          <w:lang w:val="fr-BE"/>
        </w:rPr>
        <w:t>,</w:t>
      </w:r>
      <w:r w:rsidRPr="00E5083B">
        <w:rPr>
          <w:rFonts w:ascii="Times New Roman" w:hAnsi="Times New Roman"/>
          <w:iCs/>
          <w:color w:val="000000"/>
          <w:sz w:val="18"/>
          <w:szCs w:val="18"/>
          <w:lang w:val="fr-BE"/>
        </w:rPr>
        <w:t xml:space="preserve"> le 3 octobre</w:t>
      </w:r>
      <w:r>
        <w:rPr>
          <w:rFonts w:ascii="Times New Roman" w:hAnsi="Times New Roman"/>
          <w:iCs/>
          <w:color w:val="000000"/>
          <w:sz w:val="18"/>
          <w:szCs w:val="18"/>
          <w:lang w:val="fr-BE"/>
        </w:rPr>
        <w:t>,</w:t>
      </w:r>
      <w:r w:rsidRPr="00E5083B">
        <w:rPr>
          <w:rFonts w:ascii="Times New Roman" w:hAnsi="Times New Roman"/>
          <w:iCs/>
          <w:color w:val="000000"/>
          <w:sz w:val="18"/>
          <w:szCs w:val="18"/>
          <w:lang w:val="fr-BE"/>
        </w:rPr>
        <w:t xml:space="preserve"> n’en est pas moins illégale.</w:t>
      </w:r>
    </w:p>
  </w:footnote>
  <w:footnote w:id="16">
    <w:p w:rsidR="001B63FA" w:rsidRPr="00C041F7" w:rsidRDefault="001B63FA" w:rsidP="008673B7">
      <w:pPr>
        <w:pStyle w:val="CommentText"/>
        <w:spacing w:after="0"/>
        <w:jc w:val="both"/>
        <w:rPr>
          <w:rFonts w:ascii="Times New Roman" w:hAnsi="Times New Roman"/>
          <w:sz w:val="18"/>
          <w:szCs w:val="18"/>
          <w:lang w:val="fr-BE"/>
        </w:rPr>
      </w:pPr>
      <w:r w:rsidRPr="008A418F">
        <w:rPr>
          <w:rStyle w:val="FootnoteReference"/>
          <w:rFonts w:ascii="Times New Roman" w:hAnsi="Times New Roman"/>
          <w:sz w:val="18"/>
          <w:szCs w:val="18"/>
        </w:rPr>
        <w:footnoteRef/>
      </w:r>
      <w:r w:rsidRPr="00C041F7">
        <w:rPr>
          <w:rFonts w:ascii="Times New Roman" w:hAnsi="Times New Roman"/>
          <w:sz w:val="18"/>
          <w:szCs w:val="18"/>
          <w:lang w:val="fr-BE"/>
        </w:rPr>
        <w:t xml:space="preserve"> La mesure conservatoire </w:t>
      </w:r>
      <w:r w:rsidRPr="008A418F">
        <w:rPr>
          <w:rFonts w:ascii="Times New Roman" w:hAnsi="Times New Roman"/>
          <w:sz w:val="18"/>
          <w:szCs w:val="18"/>
          <w:lang w:val="fr-CA"/>
        </w:rPr>
        <w:t>est destinée à protéger l’enquête. Elle</w:t>
      </w:r>
      <w:r w:rsidRPr="00C041F7">
        <w:rPr>
          <w:rFonts w:ascii="Times New Roman" w:hAnsi="Times New Roman"/>
          <w:sz w:val="18"/>
          <w:szCs w:val="18"/>
          <w:lang w:val="fr-BE"/>
        </w:rPr>
        <w:t xml:space="preserve"> implique </w:t>
      </w:r>
      <w:r w:rsidRPr="008A418F">
        <w:rPr>
          <w:rFonts w:ascii="Times New Roman" w:hAnsi="Times New Roman"/>
          <w:sz w:val="18"/>
          <w:szCs w:val="18"/>
          <w:lang w:val="fr-CA"/>
        </w:rPr>
        <w:t>que les policiers visés doivent se présenter tous les matins et tous les soirs à l’IGPNH. Ils sont payés mais ne travaillent plus dans leur unité.</w:t>
      </w:r>
      <w:r w:rsidRPr="00C041F7">
        <w:rPr>
          <w:rFonts w:ascii="Times New Roman" w:hAnsi="Times New Roman"/>
          <w:sz w:val="18"/>
          <w:szCs w:val="18"/>
          <w:lang w:val="fr-BE"/>
        </w:rPr>
        <w:tab/>
      </w:r>
    </w:p>
  </w:footnote>
  <w:footnote w:id="17">
    <w:p w:rsidR="001B63FA" w:rsidRPr="00FA760A" w:rsidRDefault="001B63FA" w:rsidP="008673B7">
      <w:pPr>
        <w:pStyle w:val="FootnoteText"/>
        <w:jc w:val="both"/>
        <w:rPr>
          <w:rFonts w:ascii="Times New Roman" w:hAnsi="Times New Roman"/>
          <w:sz w:val="18"/>
          <w:szCs w:val="18"/>
          <w:lang w:val="fr-FR"/>
        </w:rPr>
      </w:pPr>
      <w:r w:rsidRPr="00FA760A">
        <w:rPr>
          <w:rStyle w:val="FootnoteReference"/>
          <w:rFonts w:ascii="Times New Roman" w:hAnsi="Times New Roman"/>
          <w:sz w:val="18"/>
          <w:szCs w:val="18"/>
        </w:rPr>
        <w:footnoteRef/>
      </w:r>
      <w:r w:rsidRPr="00FA760A">
        <w:rPr>
          <w:rFonts w:ascii="Times New Roman" w:hAnsi="Times New Roman"/>
          <w:sz w:val="18"/>
          <w:szCs w:val="18"/>
          <w:lang w:val="fr-FR"/>
        </w:rPr>
        <w:t xml:space="preserve"> Cf. </w:t>
      </w:r>
      <w:r w:rsidRPr="00E8380E">
        <w:rPr>
          <w:rFonts w:ascii="Times New Roman" w:hAnsi="Times New Roman"/>
          <w:bCs/>
          <w:i/>
          <w:sz w:val="18"/>
          <w:szCs w:val="18"/>
          <w:lang w:val="fr-FR"/>
        </w:rPr>
        <w:t xml:space="preserve">Rapport sur la torture et meurtre de </w:t>
      </w:r>
      <w:r>
        <w:rPr>
          <w:rFonts w:ascii="Times New Roman" w:hAnsi="Times New Roman"/>
          <w:bCs/>
          <w:i/>
          <w:sz w:val="18"/>
          <w:szCs w:val="18"/>
          <w:lang w:val="fr-FR"/>
        </w:rPr>
        <w:t>S</w:t>
      </w:r>
      <w:r w:rsidRPr="00E8380E">
        <w:rPr>
          <w:rFonts w:ascii="Times New Roman" w:hAnsi="Times New Roman"/>
          <w:bCs/>
          <w:i/>
          <w:sz w:val="18"/>
          <w:szCs w:val="18"/>
          <w:lang w:val="fr-FR"/>
        </w:rPr>
        <w:t>erge Démosthène</w:t>
      </w:r>
      <w:r w:rsidRPr="00FA760A">
        <w:rPr>
          <w:rFonts w:ascii="Times New Roman" w:hAnsi="Times New Roman"/>
          <w:bCs/>
          <w:sz w:val="18"/>
          <w:szCs w:val="18"/>
          <w:lang w:val="fr-FR"/>
        </w:rPr>
        <w:t>, Bureau du Haut-Commissariat aux droits de l’Homme - Haïti / Section des droits de l’Homme de la MINUSTAH</w:t>
      </w:r>
      <w:r>
        <w:rPr>
          <w:rFonts w:ascii="Times New Roman" w:hAnsi="Times New Roman"/>
          <w:bCs/>
          <w:sz w:val="18"/>
          <w:szCs w:val="18"/>
          <w:lang w:val="fr-FR"/>
        </w:rPr>
        <w:t>, décembre 2011</w:t>
      </w:r>
      <w:r w:rsidRPr="00FA760A">
        <w:rPr>
          <w:rFonts w:ascii="Times New Roman" w:hAnsi="Times New Roman"/>
          <w:bCs/>
          <w:sz w:val="18"/>
          <w:szCs w:val="18"/>
          <w:lang w:val="fr-FR"/>
        </w:rPr>
        <w:t>.</w:t>
      </w:r>
    </w:p>
  </w:footnote>
  <w:footnote w:id="18">
    <w:p w:rsidR="001B63FA" w:rsidRPr="00FA760A" w:rsidRDefault="001B63FA" w:rsidP="008673B7">
      <w:pPr>
        <w:pStyle w:val="FootnoteText"/>
        <w:jc w:val="both"/>
        <w:rPr>
          <w:rFonts w:ascii="Times New Roman" w:hAnsi="Times New Roman"/>
          <w:sz w:val="18"/>
          <w:szCs w:val="18"/>
          <w:lang w:val="fr-FR"/>
        </w:rPr>
      </w:pPr>
      <w:r w:rsidRPr="00225BAF">
        <w:rPr>
          <w:rStyle w:val="FootnoteReference"/>
          <w:rFonts w:ascii="Times New Roman" w:hAnsi="Times New Roman"/>
          <w:sz w:val="18"/>
          <w:szCs w:val="18"/>
        </w:rPr>
        <w:footnoteRef/>
      </w:r>
      <w:r>
        <w:rPr>
          <w:rFonts w:ascii="Times New Roman" w:hAnsi="Times New Roman"/>
          <w:sz w:val="18"/>
          <w:szCs w:val="18"/>
          <w:lang w:val="fr-FR"/>
        </w:rPr>
        <w:t xml:space="preserve"> Cf. </w:t>
      </w:r>
      <w:r w:rsidRPr="00410338">
        <w:rPr>
          <w:rFonts w:ascii="Times New Roman" w:hAnsi="Times New Roman"/>
          <w:i/>
          <w:sz w:val="18"/>
          <w:szCs w:val="18"/>
          <w:lang w:val="fr-FR"/>
        </w:rPr>
        <w:t>Rapport sur les allégations d’homicides commis par la Police nationale d’Haïti et sur la réponse des autorités étatiques</w:t>
      </w:r>
      <w:r>
        <w:rPr>
          <w:rFonts w:ascii="Times New Roman" w:hAnsi="Times New Roman"/>
          <w:sz w:val="18"/>
          <w:szCs w:val="18"/>
          <w:lang w:val="fr-FR"/>
        </w:rPr>
        <w:t>, décembre 2011</w:t>
      </w:r>
      <w:r w:rsidRPr="00FA760A">
        <w:rPr>
          <w:rFonts w:ascii="Times New Roman" w:hAnsi="Times New Roman"/>
          <w:sz w:val="18"/>
          <w:szCs w:val="18"/>
          <w:lang w:val="fr-FR"/>
        </w:rPr>
        <w:t>.</w:t>
      </w:r>
    </w:p>
  </w:footnote>
  <w:footnote w:id="19">
    <w:p w:rsidR="001B63FA" w:rsidRPr="00FA760A" w:rsidRDefault="001B63FA" w:rsidP="008673B7">
      <w:pPr>
        <w:pStyle w:val="FootnoteText"/>
        <w:jc w:val="both"/>
        <w:rPr>
          <w:rFonts w:ascii="Times New Roman" w:hAnsi="Times New Roman"/>
          <w:sz w:val="18"/>
          <w:szCs w:val="18"/>
          <w:lang w:val="fr-BE"/>
        </w:rPr>
      </w:pPr>
      <w:r w:rsidRPr="00FA760A">
        <w:rPr>
          <w:rStyle w:val="FootnoteReference"/>
          <w:rFonts w:ascii="Times New Roman" w:hAnsi="Times New Roman"/>
          <w:sz w:val="18"/>
          <w:szCs w:val="18"/>
        </w:rPr>
        <w:footnoteRef/>
      </w:r>
      <w:r w:rsidRPr="00FA760A">
        <w:rPr>
          <w:rFonts w:ascii="Times New Roman" w:hAnsi="Times New Roman"/>
          <w:sz w:val="18"/>
          <w:szCs w:val="18"/>
          <w:lang w:val="fr-BE"/>
        </w:rPr>
        <w:t xml:space="preserve"> </w:t>
      </w:r>
      <w:r>
        <w:rPr>
          <w:rFonts w:ascii="Times New Roman" w:hAnsi="Times New Roman"/>
          <w:sz w:val="18"/>
          <w:szCs w:val="18"/>
          <w:lang w:val="fr-BE"/>
        </w:rPr>
        <w:t>S</w:t>
      </w:r>
      <w:r w:rsidRPr="00FA760A">
        <w:rPr>
          <w:rFonts w:ascii="Times New Roman" w:hAnsi="Times New Roman"/>
          <w:sz w:val="18"/>
          <w:szCs w:val="18"/>
          <w:lang w:val="fr-BE"/>
        </w:rPr>
        <w:t>tatistiques UNPOL.</w:t>
      </w:r>
    </w:p>
  </w:footnote>
  <w:footnote w:id="20">
    <w:p w:rsidR="001B63FA" w:rsidRPr="00443F42" w:rsidRDefault="001B63FA" w:rsidP="009653F7">
      <w:pPr>
        <w:pStyle w:val="FootnoteText"/>
        <w:jc w:val="both"/>
        <w:rPr>
          <w:rFonts w:ascii="Times New Roman" w:hAnsi="Times New Roman"/>
          <w:sz w:val="18"/>
          <w:szCs w:val="18"/>
          <w:lang w:val="fr-BE"/>
        </w:rPr>
      </w:pPr>
      <w:r w:rsidRPr="00443F42">
        <w:rPr>
          <w:rStyle w:val="FootnoteReference"/>
          <w:rFonts w:ascii="Times New Roman" w:hAnsi="Times New Roman"/>
          <w:sz w:val="18"/>
          <w:szCs w:val="18"/>
        </w:rPr>
        <w:footnoteRef/>
      </w:r>
      <w:r w:rsidRPr="00FA760A">
        <w:rPr>
          <w:rFonts w:ascii="Times New Roman" w:hAnsi="Times New Roman"/>
          <w:sz w:val="18"/>
          <w:szCs w:val="18"/>
          <w:lang w:val="fr-BE"/>
        </w:rPr>
        <w:t xml:space="preserve"> </w:t>
      </w:r>
      <w:r>
        <w:rPr>
          <w:rFonts w:ascii="Times New Roman" w:hAnsi="Times New Roman"/>
          <w:sz w:val="18"/>
          <w:szCs w:val="18"/>
          <w:lang w:val="fr-BE"/>
        </w:rPr>
        <w:t>S</w:t>
      </w:r>
      <w:r w:rsidRPr="00FA760A">
        <w:rPr>
          <w:rFonts w:ascii="Times New Roman" w:hAnsi="Times New Roman"/>
          <w:sz w:val="18"/>
          <w:szCs w:val="18"/>
          <w:lang w:val="fr-BE"/>
        </w:rPr>
        <w:t>tatistiques UNPOL.</w:t>
      </w:r>
    </w:p>
  </w:footnote>
  <w:footnote w:id="21">
    <w:p w:rsidR="001B63FA" w:rsidRPr="002A018F" w:rsidRDefault="001B63FA" w:rsidP="009653F7">
      <w:pPr>
        <w:pStyle w:val="CommentText"/>
        <w:spacing w:after="0"/>
        <w:jc w:val="both"/>
        <w:rPr>
          <w:lang w:val="fr-FR"/>
        </w:rPr>
      </w:pPr>
      <w:r w:rsidRPr="00443F42">
        <w:rPr>
          <w:rStyle w:val="FootnoteReference"/>
          <w:rFonts w:ascii="Times New Roman" w:hAnsi="Times New Roman"/>
          <w:sz w:val="18"/>
          <w:szCs w:val="18"/>
        </w:rPr>
        <w:footnoteRef/>
      </w:r>
      <w:r w:rsidRPr="00582784">
        <w:rPr>
          <w:sz w:val="18"/>
          <w:szCs w:val="18"/>
          <w:lang w:val="fr-CA"/>
        </w:rPr>
        <w:t xml:space="preserve"> </w:t>
      </w:r>
      <w:r w:rsidRPr="00FA760A">
        <w:rPr>
          <w:rFonts w:ascii="Times New Roman" w:hAnsi="Times New Roman"/>
          <w:sz w:val="18"/>
          <w:szCs w:val="18"/>
          <w:lang w:val="fr-FR"/>
        </w:rPr>
        <w:t>La SDH fait le suivi d’un échantillon de cas de lynchages et de tentatives de lynchages afin d’évaluer la réponse policière et judiciaire</w:t>
      </w:r>
      <w:r>
        <w:rPr>
          <w:rFonts w:ascii="Times New Roman" w:hAnsi="Times New Roman"/>
          <w:sz w:val="18"/>
          <w:szCs w:val="18"/>
          <w:lang w:val="fr-FR"/>
        </w:rPr>
        <w:t>.</w:t>
      </w:r>
    </w:p>
  </w:footnote>
  <w:footnote w:id="22">
    <w:p w:rsidR="001B63FA" w:rsidRPr="005F0657" w:rsidRDefault="001B63FA" w:rsidP="009653F7">
      <w:pPr>
        <w:pStyle w:val="FootnoteText"/>
        <w:jc w:val="both"/>
        <w:rPr>
          <w:rFonts w:ascii="Times New Roman" w:hAnsi="Times New Roman"/>
          <w:sz w:val="18"/>
          <w:szCs w:val="18"/>
          <w:lang w:val="fr-FR"/>
        </w:rPr>
      </w:pPr>
      <w:r w:rsidRPr="00557ACC">
        <w:rPr>
          <w:rStyle w:val="FootnoteReference"/>
          <w:rFonts w:ascii="Times New Roman" w:hAnsi="Times New Roman"/>
          <w:sz w:val="18"/>
          <w:szCs w:val="18"/>
        </w:rPr>
        <w:footnoteRef/>
      </w:r>
      <w:r w:rsidRPr="00557ACC">
        <w:rPr>
          <w:rFonts w:ascii="Times New Roman" w:hAnsi="Times New Roman"/>
          <w:sz w:val="18"/>
          <w:szCs w:val="18"/>
          <w:lang w:val="fr-FR"/>
        </w:rPr>
        <w:t xml:space="preserve"> Cf. </w:t>
      </w:r>
      <w:r w:rsidRPr="00BE5826">
        <w:rPr>
          <w:rFonts w:ascii="Times New Roman" w:hAnsi="Times New Roman"/>
          <w:i/>
          <w:sz w:val="18"/>
          <w:szCs w:val="18"/>
          <w:lang w:val="fr-FR"/>
        </w:rPr>
        <w:t>Rapport sur la réponse de la police et du syst</w:t>
      </w:r>
      <w:r w:rsidRPr="00BE5826">
        <w:rPr>
          <w:rFonts w:ascii="Times New Roman" w:hAnsi="Times New Roman"/>
          <w:i/>
          <w:sz w:val="18"/>
          <w:szCs w:val="18"/>
          <w:lang w:val="fr-FR" w:eastAsia="ko-KR"/>
        </w:rPr>
        <w:t>ème judiciaire aux plaintes pour viol dans la région métropolitaine de Port-au-Prince</w:t>
      </w:r>
      <w:r w:rsidRPr="00557ACC">
        <w:rPr>
          <w:rFonts w:ascii="Times New Roman" w:hAnsi="Times New Roman"/>
          <w:sz w:val="18"/>
          <w:szCs w:val="18"/>
          <w:lang w:val="fr-FR"/>
        </w:rPr>
        <w:t>, SDH / Haut-commissariat des Nations unies aux droits de l’Homme -</w:t>
      </w:r>
      <w:r>
        <w:rPr>
          <w:rFonts w:ascii="Times New Roman" w:hAnsi="Times New Roman"/>
          <w:sz w:val="18"/>
          <w:szCs w:val="18"/>
          <w:lang w:val="fr-FR"/>
        </w:rPr>
        <w:t xml:space="preserve">, juin 2012. </w:t>
      </w:r>
      <w:r w:rsidRPr="00FA760A">
        <w:rPr>
          <w:rFonts w:ascii="Times New Roman" w:hAnsi="Times New Roman"/>
          <w:sz w:val="18"/>
          <w:szCs w:val="18"/>
          <w:lang w:val="fr-FR"/>
        </w:rPr>
        <w:t>http://www.ohchr.org/EN/Countries/LACRegion/Pages/HTReports.aspx</w:t>
      </w:r>
    </w:p>
  </w:footnote>
  <w:footnote w:id="23">
    <w:p w:rsidR="001B63FA" w:rsidRPr="00E8380E" w:rsidRDefault="001B63FA" w:rsidP="008673B7">
      <w:pPr>
        <w:pStyle w:val="FootnoteText"/>
        <w:jc w:val="both"/>
        <w:rPr>
          <w:rFonts w:ascii="Times New Roman" w:hAnsi="Times New Roman"/>
          <w:sz w:val="18"/>
          <w:szCs w:val="18"/>
          <w:lang w:val="fr-BE" w:eastAsia="ko-KR"/>
        </w:rPr>
      </w:pPr>
      <w:r w:rsidRPr="00E8380E">
        <w:rPr>
          <w:rStyle w:val="FootnoteReference"/>
          <w:rFonts w:ascii="Times New Roman" w:hAnsi="Times New Roman"/>
          <w:sz w:val="18"/>
          <w:szCs w:val="18"/>
        </w:rPr>
        <w:footnoteRef/>
      </w:r>
      <w:r>
        <w:rPr>
          <w:rFonts w:ascii="Times New Roman" w:hAnsi="Times New Roman"/>
          <w:sz w:val="18"/>
          <w:szCs w:val="18"/>
          <w:lang w:val="fr-BE"/>
        </w:rPr>
        <w:t xml:space="preserve"> Il s’agit des b</w:t>
      </w:r>
      <w:r w:rsidRPr="00E8380E">
        <w:rPr>
          <w:rFonts w:ascii="Times New Roman" w:hAnsi="Times New Roman"/>
          <w:sz w:val="18"/>
          <w:szCs w:val="18"/>
          <w:lang w:val="fr-BE"/>
        </w:rPr>
        <w:t>ureaux des départements de l’Ouest, du Sud, du Nord et du Nord-Est.</w:t>
      </w:r>
    </w:p>
  </w:footnote>
  <w:footnote w:id="24">
    <w:p w:rsidR="001B63FA" w:rsidRPr="007D799C" w:rsidRDefault="001B63FA" w:rsidP="008673B7">
      <w:pPr>
        <w:spacing w:after="0" w:line="240" w:lineRule="auto"/>
        <w:jc w:val="both"/>
        <w:textAlignment w:val="top"/>
        <w:rPr>
          <w:rFonts w:ascii="Times New Roman" w:hAnsi="Times New Roman"/>
          <w:sz w:val="18"/>
          <w:szCs w:val="18"/>
          <w:lang w:val="fr-FR" w:eastAsia="ko-KR"/>
        </w:rPr>
      </w:pPr>
      <w:r w:rsidRPr="007D799C">
        <w:rPr>
          <w:rStyle w:val="FootnoteReference"/>
          <w:rFonts w:ascii="Times New Roman" w:hAnsi="Times New Roman"/>
          <w:sz w:val="18"/>
          <w:szCs w:val="18"/>
        </w:rPr>
        <w:footnoteRef/>
      </w:r>
      <w:r w:rsidRPr="007D799C">
        <w:rPr>
          <w:rFonts w:ascii="Times New Roman" w:hAnsi="Times New Roman"/>
          <w:sz w:val="18"/>
          <w:szCs w:val="18"/>
          <w:lang w:val="fr-FR"/>
        </w:rPr>
        <w:t xml:space="preserve"> </w:t>
      </w:r>
      <w:r>
        <w:rPr>
          <w:rFonts w:ascii="Times New Roman" w:hAnsi="Times New Roman"/>
          <w:sz w:val="18"/>
          <w:szCs w:val="18"/>
          <w:lang w:val="fr-FR"/>
        </w:rPr>
        <w:t xml:space="preserve">Cf. </w:t>
      </w:r>
      <w:r w:rsidRPr="000A1BC7">
        <w:rPr>
          <w:rFonts w:ascii="Times New Roman" w:hAnsi="Times New Roman"/>
          <w:sz w:val="18"/>
          <w:szCs w:val="18"/>
          <w:lang w:val="fr-FR"/>
        </w:rPr>
        <w:t xml:space="preserve">Rapport </w:t>
      </w:r>
      <w:r>
        <w:rPr>
          <w:rFonts w:ascii="Times New Roman" w:hAnsi="Times New Roman"/>
          <w:sz w:val="18"/>
          <w:szCs w:val="18"/>
          <w:lang w:val="fr-FR"/>
        </w:rPr>
        <w:t>semestriel</w:t>
      </w:r>
      <w:r w:rsidRPr="000A1BC7">
        <w:rPr>
          <w:rFonts w:ascii="Times New Roman" w:hAnsi="Times New Roman"/>
          <w:sz w:val="18"/>
          <w:szCs w:val="18"/>
          <w:lang w:val="fr-FR"/>
        </w:rPr>
        <w:t xml:space="preserve"> sur les droits de l’homme en Haïti, janvier - juin 2012.</w:t>
      </w:r>
      <w:r>
        <w:rPr>
          <w:rFonts w:ascii="Times New Roman" w:hAnsi="Times New Roman"/>
          <w:sz w:val="18"/>
          <w:szCs w:val="18"/>
          <w:lang w:val="fr-FR"/>
        </w:rPr>
        <w:t xml:space="preserve"> </w:t>
      </w:r>
    </w:p>
  </w:footnote>
  <w:footnote w:id="25">
    <w:p w:rsidR="001B63FA" w:rsidRPr="00682516" w:rsidRDefault="001B63FA" w:rsidP="008673B7">
      <w:pPr>
        <w:pStyle w:val="FootnoteText"/>
        <w:jc w:val="both"/>
        <w:rPr>
          <w:rFonts w:ascii="Times New Roman" w:hAnsi="Times New Roman"/>
          <w:sz w:val="18"/>
          <w:szCs w:val="18"/>
          <w:lang w:val="fr-BE"/>
        </w:rPr>
      </w:pPr>
      <w:r w:rsidRPr="00C11CCD">
        <w:rPr>
          <w:rStyle w:val="FootnoteReference"/>
          <w:rFonts w:ascii="Times New Roman" w:hAnsi="Times New Roman"/>
          <w:sz w:val="18"/>
          <w:szCs w:val="18"/>
        </w:rPr>
        <w:footnoteRef/>
      </w:r>
      <w:r w:rsidRPr="00200F59">
        <w:rPr>
          <w:rFonts w:ascii="Times New Roman" w:hAnsi="Times New Roman"/>
          <w:sz w:val="18"/>
          <w:szCs w:val="18"/>
          <w:lang w:val="fr-BE"/>
        </w:rPr>
        <w:t xml:space="preserve"> La loi </w:t>
      </w:r>
      <w:r>
        <w:rPr>
          <w:rFonts w:ascii="Times New Roman" w:hAnsi="Times New Roman"/>
          <w:sz w:val="18"/>
          <w:szCs w:val="18"/>
          <w:lang w:val="fr-BE"/>
        </w:rPr>
        <w:t>po</w:t>
      </w:r>
      <w:r w:rsidRPr="00200F59">
        <w:rPr>
          <w:rFonts w:ascii="Times New Roman" w:hAnsi="Times New Roman"/>
          <w:sz w:val="18"/>
          <w:szCs w:val="18"/>
          <w:lang w:val="fr-BE"/>
        </w:rPr>
        <w:t>rtant création du CSPJ a été adopt</w:t>
      </w:r>
      <w:r>
        <w:rPr>
          <w:rFonts w:ascii="Times New Roman" w:hAnsi="Times New Roman"/>
          <w:sz w:val="18"/>
          <w:szCs w:val="18"/>
          <w:lang w:val="fr-BE"/>
        </w:rPr>
        <w:t>é</w:t>
      </w:r>
      <w:r w:rsidRPr="00200F59">
        <w:rPr>
          <w:rFonts w:ascii="Times New Roman" w:hAnsi="Times New Roman"/>
          <w:sz w:val="18"/>
          <w:szCs w:val="18"/>
          <w:lang w:val="fr-BE"/>
        </w:rPr>
        <w:t>e en 2007. Ses neuf membres ont prêté serment le 3 juillet 2012</w:t>
      </w:r>
      <w:r>
        <w:rPr>
          <w:rFonts w:ascii="Times New Roman" w:hAnsi="Times New Roman"/>
          <w:sz w:val="18"/>
          <w:szCs w:val="18"/>
          <w:lang w:val="fr-BE"/>
        </w:rPr>
        <w:t xml:space="preserve"> et le décret d’application de la loi a été publié au </w:t>
      </w:r>
      <w:r w:rsidRPr="00AD015F">
        <w:rPr>
          <w:rFonts w:ascii="Times New Roman" w:hAnsi="Times New Roman"/>
          <w:i/>
          <w:sz w:val="18"/>
          <w:szCs w:val="18"/>
          <w:lang w:val="fr-BE"/>
        </w:rPr>
        <w:t xml:space="preserve">Moniteur </w:t>
      </w:r>
      <w:r>
        <w:rPr>
          <w:rFonts w:ascii="Times New Roman" w:hAnsi="Times New Roman"/>
          <w:sz w:val="18"/>
          <w:szCs w:val="18"/>
          <w:lang w:val="fr-BE"/>
        </w:rPr>
        <w:t xml:space="preserve">à la même date </w:t>
      </w:r>
      <w:r w:rsidRPr="00200F59">
        <w:rPr>
          <w:rFonts w:ascii="Times New Roman" w:hAnsi="Times New Roman"/>
          <w:color w:val="000000"/>
          <w:sz w:val="18"/>
          <w:szCs w:val="18"/>
          <w:lang w:val="fr-BE"/>
        </w:rPr>
        <w:t>(</w:t>
      </w:r>
      <w:r w:rsidRPr="00200F59">
        <w:rPr>
          <w:rFonts w:ascii="Times New Roman" w:hAnsi="Times New Roman"/>
          <w:i/>
          <w:iCs/>
          <w:color w:val="000000"/>
          <w:sz w:val="18"/>
          <w:szCs w:val="18"/>
          <w:lang w:val="fr-BE"/>
        </w:rPr>
        <w:t>Numéro extraordinaire</w:t>
      </w:r>
      <w:r w:rsidRPr="00200F59">
        <w:rPr>
          <w:rFonts w:ascii="Times New Roman" w:hAnsi="Times New Roman"/>
          <w:color w:val="000000"/>
          <w:sz w:val="18"/>
          <w:szCs w:val="18"/>
          <w:lang w:val="fr-BE"/>
        </w:rPr>
        <w:t xml:space="preserve"> </w:t>
      </w:r>
      <w:r w:rsidRPr="00682516">
        <w:rPr>
          <w:rFonts w:ascii="Times New Roman" w:hAnsi="Times New Roman"/>
          <w:i/>
          <w:color w:val="000000"/>
          <w:sz w:val="18"/>
          <w:szCs w:val="18"/>
          <w:lang w:val="fr-BE"/>
        </w:rPr>
        <w:t>106).</w:t>
      </w:r>
      <w:r w:rsidRPr="00200F59">
        <w:rPr>
          <w:rFonts w:ascii="Times New Roman" w:hAnsi="Times New Roman"/>
          <w:color w:val="000000"/>
          <w:sz w:val="18"/>
          <w:szCs w:val="18"/>
          <w:lang w:val="fr-BE"/>
        </w:rPr>
        <w:t xml:space="preserve">  </w:t>
      </w:r>
    </w:p>
  </w:footnote>
  <w:footnote w:id="26">
    <w:p w:rsidR="001B63FA" w:rsidRPr="00682516" w:rsidRDefault="001B63FA" w:rsidP="008673B7">
      <w:pPr>
        <w:pStyle w:val="CommentText"/>
        <w:spacing w:after="0"/>
        <w:jc w:val="both"/>
        <w:rPr>
          <w:rFonts w:ascii="Times New Roman" w:hAnsi="Times New Roman"/>
          <w:sz w:val="18"/>
          <w:szCs w:val="18"/>
          <w:lang w:val="fr-BE"/>
        </w:rPr>
      </w:pPr>
      <w:r w:rsidRPr="00236B2F">
        <w:rPr>
          <w:rStyle w:val="FootnoteReference"/>
          <w:rFonts w:ascii="Times New Roman" w:hAnsi="Times New Roman"/>
          <w:sz w:val="18"/>
          <w:szCs w:val="18"/>
        </w:rPr>
        <w:footnoteRef/>
      </w:r>
      <w:r w:rsidRPr="00236B2F">
        <w:rPr>
          <w:rFonts w:ascii="Times New Roman" w:hAnsi="Times New Roman"/>
          <w:sz w:val="18"/>
          <w:szCs w:val="18"/>
          <w:lang w:val="fr-BE"/>
        </w:rPr>
        <w:t xml:space="preserve"> </w:t>
      </w:r>
      <w:r w:rsidRPr="00236B2F">
        <w:rPr>
          <w:rFonts w:ascii="Times New Roman" w:hAnsi="Times New Roman"/>
          <w:sz w:val="18"/>
          <w:szCs w:val="18"/>
          <w:lang w:val="fr-CA"/>
        </w:rPr>
        <w:t>Les dispositions pertinentes de la loi sont</w:t>
      </w:r>
      <w:r>
        <w:rPr>
          <w:rFonts w:ascii="Times New Roman" w:hAnsi="Times New Roman"/>
          <w:sz w:val="18"/>
          <w:szCs w:val="18"/>
          <w:lang w:val="fr-CA"/>
        </w:rPr>
        <w:t xml:space="preserve"> </w:t>
      </w:r>
      <w:r w:rsidRPr="00236B2F">
        <w:rPr>
          <w:rFonts w:ascii="Times New Roman" w:hAnsi="Times New Roman"/>
          <w:sz w:val="18"/>
          <w:szCs w:val="18"/>
          <w:lang w:val="fr-CA"/>
        </w:rPr>
        <w:t>: Article 28 : Les sanctions encourues par les magistrats du siège, en matière disciplinaire, sont</w:t>
      </w:r>
      <w:r>
        <w:rPr>
          <w:rFonts w:ascii="Times New Roman" w:hAnsi="Times New Roman"/>
          <w:sz w:val="18"/>
          <w:szCs w:val="18"/>
          <w:lang w:val="fr-CA"/>
        </w:rPr>
        <w:t xml:space="preserve"> </w:t>
      </w:r>
      <w:r w:rsidRPr="00236B2F">
        <w:rPr>
          <w:rFonts w:ascii="Times New Roman" w:hAnsi="Times New Roman"/>
          <w:sz w:val="18"/>
          <w:szCs w:val="18"/>
          <w:lang w:val="fr-CA"/>
        </w:rPr>
        <w:t>: a. La réprimande - avec inscription au dossier; b. Le retrait de certaines fonctions au sein de la magistrature ; c. La mise  en disponibilité sans traitement. Article 29 : Le Conseil doit constater la destitution d'un juge après qu'un jugement de forfaiture ait été rendu.</w:t>
      </w:r>
      <w:r>
        <w:rPr>
          <w:rFonts w:ascii="Times New Roman" w:hAnsi="Times New Roman"/>
          <w:sz w:val="18"/>
          <w:szCs w:val="18"/>
          <w:lang w:val="fr-CA"/>
        </w:rPr>
        <w:t xml:space="preserve"> </w:t>
      </w:r>
      <w:r w:rsidRPr="00236B2F">
        <w:rPr>
          <w:rFonts w:ascii="Times New Roman" w:hAnsi="Times New Roman"/>
          <w:sz w:val="18"/>
          <w:szCs w:val="18"/>
          <w:lang w:val="fr-CA"/>
        </w:rPr>
        <w:t>[La forfaiture est prévue au Code pénal, art. 95 et 127 et suiv.]. Article 30 : Le Conseil peut recommander de mettre fin au mandat d'un juge, en cas d'incapacité physique et mentale permanente dûment constatée.</w:t>
      </w:r>
    </w:p>
  </w:footnote>
  <w:footnote w:id="27">
    <w:p w:rsidR="001B63FA" w:rsidRPr="009236E8" w:rsidRDefault="001B63FA" w:rsidP="008673B7">
      <w:pPr>
        <w:pStyle w:val="FootnoteText"/>
        <w:jc w:val="both"/>
        <w:rPr>
          <w:rFonts w:ascii="Times New Roman" w:hAnsi="Times New Roman"/>
          <w:sz w:val="18"/>
          <w:szCs w:val="18"/>
          <w:lang w:val="fr-BE"/>
        </w:rPr>
      </w:pPr>
      <w:r w:rsidRPr="00682F9E">
        <w:rPr>
          <w:rStyle w:val="FootnoteReference"/>
          <w:rFonts w:ascii="Times New Roman" w:hAnsi="Times New Roman"/>
          <w:sz w:val="18"/>
          <w:szCs w:val="18"/>
        </w:rPr>
        <w:footnoteRef/>
      </w:r>
      <w:r w:rsidRPr="009236E8">
        <w:rPr>
          <w:rFonts w:ascii="Times New Roman" w:hAnsi="Times New Roman"/>
          <w:sz w:val="18"/>
          <w:szCs w:val="18"/>
          <w:lang w:val="fr-BE"/>
        </w:rPr>
        <w:t xml:space="preserve"> M. Viliena, </w:t>
      </w:r>
      <w:r w:rsidRPr="00682F9E" w:rsidDel="00682F9E">
        <w:rPr>
          <w:rFonts w:ascii="Times New Roman" w:hAnsi="Times New Roman"/>
          <w:iCs/>
          <w:sz w:val="18"/>
          <w:szCs w:val="18"/>
          <w:lang w:val="fr-FR"/>
        </w:rPr>
        <w:t>élu maire des Irois en 2006 sous la bannière du MODEREH, a fui le pays fin 2009</w:t>
      </w:r>
      <w:r w:rsidRPr="00A95D51">
        <w:rPr>
          <w:rFonts w:ascii="Times New Roman" w:hAnsi="Times New Roman"/>
          <w:iCs/>
          <w:sz w:val="18"/>
          <w:szCs w:val="18"/>
          <w:lang w:val="fr-FR"/>
        </w:rPr>
        <w:t>. Il</w:t>
      </w:r>
      <w:r w:rsidRPr="009236E8">
        <w:rPr>
          <w:rFonts w:ascii="Times New Roman" w:hAnsi="Times New Roman"/>
          <w:sz w:val="18"/>
          <w:szCs w:val="18"/>
          <w:lang w:val="fr-BE"/>
        </w:rPr>
        <w:t xml:space="preserve"> est accusé d’avoir été impliqué dans </w:t>
      </w:r>
      <w:r w:rsidRPr="00682F9E" w:rsidDel="00682F9E">
        <w:rPr>
          <w:rFonts w:ascii="Times New Roman" w:hAnsi="Times New Roman"/>
          <w:iCs/>
          <w:sz w:val="18"/>
          <w:szCs w:val="18"/>
          <w:lang w:val="fr-FR"/>
        </w:rPr>
        <w:t xml:space="preserve">un meurtre en 2007, </w:t>
      </w:r>
      <w:r w:rsidRPr="00682F9E">
        <w:rPr>
          <w:rFonts w:ascii="Times New Roman" w:hAnsi="Times New Roman"/>
          <w:iCs/>
          <w:sz w:val="18"/>
          <w:szCs w:val="18"/>
          <w:lang w:val="fr-FR"/>
        </w:rPr>
        <w:t xml:space="preserve">dans </w:t>
      </w:r>
      <w:r w:rsidRPr="00682F9E" w:rsidDel="00682F9E">
        <w:rPr>
          <w:rFonts w:ascii="Times New Roman" w:hAnsi="Times New Roman"/>
          <w:iCs/>
          <w:sz w:val="18"/>
          <w:szCs w:val="18"/>
          <w:lang w:val="fr-FR"/>
        </w:rPr>
        <w:t>l’attaque d</w:t>
      </w:r>
      <w:r>
        <w:rPr>
          <w:rFonts w:ascii="Times New Roman" w:hAnsi="Times New Roman"/>
          <w:iCs/>
          <w:sz w:val="18"/>
          <w:szCs w:val="18"/>
          <w:lang w:val="fr-FR"/>
        </w:rPr>
        <w:t>e la</w:t>
      </w:r>
      <w:r w:rsidRPr="00682F9E" w:rsidDel="00682F9E">
        <w:rPr>
          <w:rFonts w:ascii="Times New Roman" w:hAnsi="Times New Roman"/>
          <w:iCs/>
          <w:sz w:val="18"/>
          <w:szCs w:val="18"/>
          <w:lang w:val="fr-FR"/>
        </w:rPr>
        <w:t xml:space="preserve"> station de radio </w:t>
      </w:r>
      <w:r>
        <w:rPr>
          <w:rFonts w:ascii="Times New Roman" w:hAnsi="Times New Roman"/>
          <w:iCs/>
          <w:sz w:val="18"/>
          <w:szCs w:val="18"/>
          <w:lang w:val="fr-FR"/>
        </w:rPr>
        <w:t xml:space="preserve">« Vision nouvelle » </w:t>
      </w:r>
      <w:r w:rsidRPr="00682F9E" w:rsidDel="00682F9E">
        <w:rPr>
          <w:rFonts w:ascii="Times New Roman" w:hAnsi="Times New Roman"/>
          <w:iCs/>
          <w:sz w:val="18"/>
          <w:szCs w:val="18"/>
          <w:lang w:val="fr-FR"/>
        </w:rPr>
        <w:t xml:space="preserve">en 2008 et </w:t>
      </w:r>
      <w:r w:rsidRPr="00682F9E">
        <w:rPr>
          <w:rFonts w:ascii="Times New Roman" w:hAnsi="Times New Roman"/>
          <w:iCs/>
          <w:sz w:val="18"/>
          <w:szCs w:val="18"/>
          <w:lang w:val="fr-FR"/>
        </w:rPr>
        <w:t xml:space="preserve">dans </w:t>
      </w:r>
      <w:r w:rsidRPr="00682F9E" w:rsidDel="00682F9E">
        <w:rPr>
          <w:rFonts w:ascii="Times New Roman" w:hAnsi="Times New Roman"/>
          <w:iCs/>
          <w:sz w:val="18"/>
          <w:szCs w:val="18"/>
          <w:lang w:val="fr-FR"/>
        </w:rPr>
        <w:t>un incendie contre 36 maisons en 2009</w:t>
      </w:r>
      <w:r w:rsidRPr="00682F9E">
        <w:rPr>
          <w:rFonts w:ascii="Times New Roman" w:hAnsi="Times New Roman"/>
          <w:iCs/>
          <w:sz w:val="18"/>
          <w:szCs w:val="18"/>
          <w:lang w:val="fr-FR"/>
        </w:rPr>
        <w:t>.</w:t>
      </w:r>
      <w:r>
        <w:rPr>
          <w:rFonts w:ascii="Times New Roman" w:hAnsi="Times New Roman"/>
          <w:iCs/>
          <w:sz w:val="18"/>
          <w:szCs w:val="18"/>
          <w:lang w:val="fr-FR"/>
        </w:rPr>
        <w:t xml:space="preserve"> </w:t>
      </w:r>
      <w:r w:rsidRPr="006C4AB7">
        <w:rPr>
          <w:rFonts w:ascii="Times New Roman" w:hAnsi="Times New Roman"/>
          <w:sz w:val="18"/>
          <w:szCs w:val="18"/>
          <w:lang w:val="fr-FR"/>
        </w:rPr>
        <w:t xml:space="preserve">Depuis plusieurs années, la commune des Irois est le théâtre d’affrontements entre partis politiques, notamment le </w:t>
      </w:r>
      <w:r w:rsidRPr="006C4AB7">
        <w:rPr>
          <w:rFonts w:ascii="Times New Roman" w:hAnsi="Times New Roman"/>
          <w:iCs/>
          <w:sz w:val="18"/>
          <w:szCs w:val="18"/>
          <w:lang w:val="fr-FR"/>
        </w:rPr>
        <w:t>Mouvement démocratique et rénovateur d’Haïti</w:t>
      </w:r>
      <w:r w:rsidRPr="006C4AB7">
        <w:rPr>
          <w:rFonts w:ascii="Times New Roman" w:hAnsi="Times New Roman"/>
          <w:i/>
          <w:iCs/>
          <w:sz w:val="18"/>
          <w:szCs w:val="18"/>
          <w:lang w:val="fr-FR"/>
        </w:rPr>
        <w:t xml:space="preserve"> </w:t>
      </w:r>
      <w:r w:rsidRPr="006C4AB7">
        <w:rPr>
          <w:rFonts w:ascii="Times New Roman" w:hAnsi="Times New Roman"/>
          <w:sz w:val="18"/>
          <w:szCs w:val="18"/>
          <w:lang w:val="fr-FR"/>
        </w:rPr>
        <w:t xml:space="preserve">(MODEREH) et le </w:t>
      </w:r>
      <w:r w:rsidRPr="006C4AB7">
        <w:rPr>
          <w:rFonts w:ascii="Times New Roman" w:hAnsi="Times New Roman"/>
          <w:iCs/>
          <w:sz w:val="18"/>
          <w:szCs w:val="18"/>
          <w:lang w:val="fr-FR"/>
        </w:rPr>
        <w:t xml:space="preserve">Comité Résistance </w:t>
      </w:r>
      <w:r>
        <w:rPr>
          <w:rFonts w:ascii="Times New Roman" w:hAnsi="Times New Roman"/>
          <w:iCs/>
          <w:sz w:val="18"/>
          <w:szCs w:val="18"/>
          <w:lang w:val="fr-FR"/>
        </w:rPr>
        <w:t>Grande Anse</w:t>
      </w:r>
      <w:r w:rsidRPr="006C4AB7">
        <w:rPr>
          <w:rFonts w:ascii="Times New Roman" w:hAnsi="Times New Roman"/>
          <w:iCs/>
          <w:sz w:val="18"/>
          <w:szCs w:val="18"/>
          <w:lang w:val="fr-FR"/>
        </w:rPr>
        <w:t xml:space="preserve"> </w:t>
      </w:r>
      <w:r w:rsidRPr="006C4AB7">
        <w:rPr>
          <w:rFonts w:ascii="Times New Roman" w:hAnsi="Times New Roman"/>
          <w:sz w:val="18"/>
          <w:szCs w:val="18"/>
          <w:lang w:val="fr-FR"/>
        </w:rPr>
        <w:t>(COREGA) d’un côté, et l’</w:t>
      </w:r>
      <w:r w:rsidRPr="006C4AB7">
        <w:rPr>
          <w:rFonts w:ascii="Times New Roman" w:hAnsi="Times New Roman"/>
          <w:iCs/>
          <w:sz w:val="18"/>
          <w:szCs w:val="18"/>
          <w:lang w:val="fr-FR"/>
        </w:rPr>
        <w:t>Organisation du peuple en lutte</w:t>
      </w:r>
      <w:r w:rsidRPr="006C4AB7">
        <w:rPr>
          <w:rFonts w:ascii="Times New Roman" w:hAnsi="Times New Roman"/>
          <w:i/>
          <w:iCs/>
          <w:sz w:val="18"/>
          <w:szCs w:val="18"/>
          <w:lang w:val="fr-FR"/>
        </w:rPr>
        <w:t xml:space="preserve"> </w:t>
      </w:r>
      <w:r w:rsidRPr="006C4AB7">
        <w:rPr>
          <w:rFonts w:ascii="Times New Roman" w:hAnsi="Times New Roman"/>
          <w:sz w:val="18"/>
          <w:szCs w:val="18"/>
          <w:lang w:val="fr-FR"/>
        </w:rPr>
        <w:t>(OPL) de l’autre</w:t>
      </w:r>
      <w:r>
        <w:rPr>
          <w:rFonts w:ascii="Times New Roman" w:hAnsi="Times New Roman"/>
          <w:sz w:val="18"/>
          <w:szCs w:val="18"/>
          <w:lang w:val="fr-FR"/>
        </w:rPr>
        <w:t>.</w:t>
      </w:r>
    </w:p>
  </w:footnote>
  <w:footnote w:id="28">
    <w:p w:rsidR="001B63FA" w:rsidRPr="00C96BC4" w:rsidRDefault="001B63FA" w:rsidP="008673B7">
      <w:pPr>
        <w:pStyle w:val="FootnoteText"/>
        <w:jc w:val="both"/>
        <w:rPr>
          <w:sz w:val="18"/>
          <w:szCs w:val="18"/>
          <w:lang w:val="fr-BE"/>
        </w:rPr>
      </w:pPr>
      <w:r w:rsidRPr="00C96BC4">
        <w:rPr>
          <w:rStyle w:val="FootnoteReference"/>
          <w:sz w:val="18"/>
          <w:szCs w:val="18"/>
        </w:rPr>
        <w:footnoteRef/>
      </w:r>
      <w:r w:rsidRPr="00C96BC4">
        <w:rPr>
          <w:sz w:val="18"/>
          <w:szCs w:val="18"/>
          <w:lang w:val="fr-BE"/>
        </w:rPr>
        <w:t xml:space="preserve"> </w:t>
      </w:r>
      <w:r w:rsidRPr="00C96BC4">
        <w:rPr>
          <w:rFonts w:ascii="Times New Roman" w:hAnsi="Times New Roman"/>
          <w:iCs/>
          <w:sz w:val="18"/>
          <w:szCs w:val="18"/>
          <w:lang w:val="fr-FR"/>
        </w:rPr>
        <w:t>Cf. article 80 du Code d’instruction criminelle</w:t>
      </w:r>
      <w:r>
        <w:rPr>
          <w:rFonts w:ascii="Times New Roman" w:hAnsi="Times New Roman"/>
          <w:iCs/>
          <w:sz w:val="18"/>
          <w:szCs w:val="18"/>
          <w:lang w:val="fr-FR"/>
        </w:rPr>
        <w:t>.</w:t>
      </w:r>
    </w:p>
  </w:footnote>
  <w:footnote w:id="29">
    <w:p w:rsidR="001B63FA" w:rsidRPr="00190A8F" w:rsidRDefault="001B63FA" w:rsidP="008673B7">
      <w:pPr>
        <w:pStyle w:val="FootnoteText"/>
        <w:jc w:val="both"/>
        <w:rPr>
          <w:sz w:val="18"/>
          <w:szCs w:val="18"/>
          <w:lang w:val="fr-FR"/>
        </w:rPr>
      </w:pPr>
      <w:r w:rsidRPr="00557ACC">
        <w:rPr>
          <w:rStyle w:val="FootnoteReference"/>
          <w:sz w:val="18"/>
          <w:szCs w:val="18"/>
        </w:rPr>
        <w:footnoteRef/>
      </w:r>
      <w:r w:rsidRPr="00557ACC">
        <w:rPr>
          <w:sz w:val="18"/>
          <w:szCs w:val="18"/>
          <w:lang w:val="fr-FR"/>
        </w:rPr>
        <w:t xml:space="preserve"> </w:t>
      </w:r>
      <w:r w:rsidRPr="00557ACC">
        <w:rPr>
          <w:rFonts w:ascii="Times New Roman" w:hAnsi="Times New Roman"/>
          <w:iCs/>
          <w:sz w:val="18"/>
          <w:szCs w:val="18"/>
          <w:lang w:val="fr-FR"/>
        </w:rPr>
        <w:t>Selon l’</w:t>
      </w:r>
      <w:r w:rsidRPr="00557ACC">
        <w:rPr>
          <w:rFonts w:ascii="Times New Roman" w:hAnsi="Times New Roman"/>
          <w:bCs/>
          <w:color w:val="000066"/>
          <w:sz w:val="18"/>
          <w:szCs w:val="18"/>
          <w:lang w:val="fr-FR"/>
        </w:rPr>
        <w:t xml:space="preserve">article 26.1 </w:t>
      </w:r>
      <w:r w:rsidRPr="00903A65">
        <w:rPr>
          <w:rFonts w:ascii="Times New Roman" w:hAnsi="Times New Roman"/>
          <w:bCs/>
          <w:sz w:val="18"/>
          <w:szCs w:val="18"/>
          <w:lang w:val="fr-FR"/>
        </w:rPr>
        <w:t>de la constitution haïtienne, « </w:t>
      </w:r>
      <w:r w:rsidRPr="00903A65">
        <w:rPr>
          <w:rFonts w:ascii="Times New Roman" w:hAnsi="Times New Roman"/>
          <w:sz w:val="18"/>
          <w:szCs w:val="18"/>
          <w:lang w:val="fr-FR"/>
        </w:rPr>
        <w:t>en cas de contravention, l'inculpé est déféré par devant le juge de paix qui statue définitivement ».</w:t>
      </w:r>
    </w:p>
  </w:footnote>
  <w:footnote w:id="30">
    <w:p w:rsidR="001B63FA" w:rsidRPr="005925E0" w:rsidRDefault="001B63FA" w:rsidP="008673B7">
      <w:pPr>
        <w:autoSpaceDE w:val="0"/>
        <w:autoSpaceDN w:val="0"/>
        <w:adjustRightInd w:val="0"/>
        <w:spacing w:after="0" w:line="240" w:lineRule="auto"/>
        <w:jc w:val="both"/>
        <w:rPr>
          <w:rFonts w:ascii="Times New Roman" w:hAnsi="Times New Roman"/>
          <w:sz w:val="18"/>
          <w:szCs w:val="18"/>
          <w:lang w:val="fr-FR"/>
        </w:rPr>
      </w:pPr>
      <w:r w:rsidRPr="00CF699E">
        <w:rPr>
          <w:rStyle w:val="FootnoteReference"/>
          <w:rFonts w:ascii="Times New Roman" w:hAnsi="Times New Roman"/>
          <w:sz w:val="18"/>
          <w:szCs w:val="18"/>
        </w:rPr>
        <w:footnoteRef/>
      </w:r>
      <w:r w:rsidRPr="00CF699E">
        <w:rPr>
          <w:rFonts w:ascii="Times New Roman" w:hAnsi="Times New Roman"/>
          <w:sz w:val="18"/>
          <w:szCs w:val="18"/>
          <w:lang w:val="fr-FR"/>
        </w:rPr>
        <w:t xml:space="preserve"> Article 12 du Code</w:t>
      </w:r>
      <w:r w:rsidRPr="005925E0">
        <w:rPr>
          <w:rFonts w:ascii="Times New Roman" w:hAnsi="Times New Roman"/>
          <w:sz w:val="18"/>
          <w:szCs w:val="18"/>
          <w:lang w:val="fr-FR"/>
        </w:rPr>
        <w:t xml:space="preserve"> d’instruction criminelle : « Lorsqu'il s'agira d'un fait qui devra être porté devant un tribunal, soit correctionnel, soit criminel, les juges de paix ou leurs suppléants expédieront à l'officier par qui seront remplies les fonctions du Ministère public près ledit tribunal, toutes les pièces et tous les renseignements, dans les trois jours, au plus tard, y compris celui où ils ont reconnu le fait sur lequel ils ont procédé ».</w:t>
      </w:r>
    </w:p>
  </w:footnote>
  <w:footnote w:id="31">
    <w:p w:rsidR="001B63FA" w:rsidRPr="003D0D37" w:rsidRDefault="001B63FA" w:rsidP="008673B7">
      <w:pPr>
        <w:pStyle w:val="FootnoteText"/>
        <w:jc w:val="both"/>
        <w:rPr>
          <w:lang w:val="fr-BE"/>
        </w:rPr>
      </w:pPr>
      <w:r w:rsidRPr="006961D2">
        <w:rPr>
          <w:rStyle w:val="FootnoteReference"/>
        </w:rPr>
        <w:footnoteRef/>
      </w:r>
      <w:r w:rsidRPr="006961D2">
        <w:rPr>
          <w:lang w:val="fr-BE"/>
        </w:rPr>
        <w:t xml:space="preserve"> </w:t>
      </w:r>
      <w:r w:rsidRPr="006961D2">
        <w:rPr>
          <w:rFonts w:ascii="Times New Roman" w:hAnsi="Times New Roman"/>
          <w:iCs/>
          <w:sz w:val="18"/>
          <w:szCs w:val="18"/>
          <w:lang w:val="fr-FR"/>
        </w:rPr>
        <w:t>Le vice-délégué a été remplacé dans ses fonctions le 4 décembre.</w:t>
      </w:r>
    </w:p>
  </w:footnote>
  <w:footnote w:id="32">
    <w:p w:rsidR="001B63FA" w:rsidRPr="007B6844" w:rsidRDefault="001B63FA" w:rsidP="008673B7">
      <w:pPr>
        <w:autoSpaceDE w:val="0"/>
        <w:autoSpaceDN w:val="0"/>
        <w:adjustRightInd w:val="0"/>
        <w:spacing w:after="0" w:line="240" w:lineRule="auto"/>
        <w:jc w:val="both"/>
        <w:rPr>
          <w:rFonts w:ascii="Times New Roman" w:hAnsi="Times New Roman"/>
          <w:iCs/>
          <w:sz w:val="18"/>
          <w:szCs w:val="18"/>
          <w:lang w:val="fr-BE"/>
        </w:rPr>
      </w:pPr>
      <w:r>
        <w:rPr>
          <w:rStyle w:val="FootnoteReference"/>
        </w:rPr>
        <w:footnoteRef/>
      </w:r>
      <w:r w:rsidRPr="007B6844">
        <w:rPr>
          <w:lang w:val="fr-BE"/>
        </w:rPr>
        <w:t xml:space="preserve"> </w:t>
      </w:r>
      <w:r w:rsidRPr="007B6844">
        <w:rPr>
          <w:rFonts w:ascii="Times New Roman" w:hAnsi="Times New Roman"/>
          <w:sz w:val="18"/>
          <w:szCs w:val="18"/>
          <w:lang w:val="fr-BE"/>
        </w:rPr>
        <w:t xml:space="preserve">Ceci est </w:t>
      </w:r>
      <w:r w:rsidRPr="004756E7">
        <w:rPr>
          <w:rFonts w:ascii="Times New Roman" w:hAnsi="Times New Roman"/>
          <w:iCs/>
          <w:sz w:val="18"/>
          <w:szCs w:val="18"/>
          <w:lang w:val="fr-FR"/>
        </w:rPr>
        <w:t>à l’encontre de l’article 10, §2, a</w:t>
      </w:r>
      <w:r>
        <w:rPr>
          <w:rFonts w:ascii="Times New Roman" w:hAnsi="Times New Roman"/>
          <w:iCs/>
          <w:sz w:val="18"/>
          <w:szCs w:val="18"/>
          <w:lang w:val="fr-FR"/>
        </w:rPr>
        <w:t>)</w:t>
      </w:r>
      <w:r w:rsidRPr="004756E7">
        <w:rPr>
          <w:rFonts w:ascii="Times New Roman" w:hAnsi="Times New Roman"/>
          <w:iCs/>
          <w:sz w:val="18"/>
          <w:szCs w:val="18"/>
          <w:lang w:val="fr-FR"/>
        </w:rPr>
        <w:t xml:space="preserve"> PIDCP qui dispose que </w:t>
      </w:r>
      <w:r>
        <w:rPr>
          <w:rFonts w:ascii="Times New Roman" w:hAnsi="Times New Roman"/>
          <w:iCs/>
          <w:sz w:val="18"/>
          <w:szCs w:val="18"/>
          <w:lang w:val="fr-FR"/>
        </w:rPr>
        <w:t>«</w:t>
      </w:r>
      <w:r w:rsidRPr="007B6844">
        <w:rPr>
          <w:rFonts w:ascii="Times New Roman" w:hAnsi="Times New Roman"/>
          <w:iCs/>
          <w:sz w:val="18"/>
          <w:szCs w:val="18"/>
          <w:lang w:val="fr-BE"/>
        </w:rPr>
        <w:t>Les prévenus sont, sauf dans des circonstances exceptionnelles, séparés des condamnés et sont soumis à un régime distinct, approprié à leur condition de personnes non condamnées ».</w:t>
      </w:r>
    </w:p>
    <w:p w:rsidR="001B63FA" w:rsidRPr="007B6844" w:rsidRDefault="001B63FA" w:rsidP="008673B7">
      <w:pPr>
        <w:pStyle w:val="FootnoteText"/>
        <w:rPr>
          <w:lang w:val="fr-BE"/>
        </w:rPr>
      </w:pPr>
    </w:p>
  </w:footnote>
  <w:footnote w:id="33">
    <w:p w:rsidR="001B63FA" w:rsidRPr="007B0326" w:rsidRDefault="001B63FA" w:rsidP="008673B7">
      <w:pPr>
        <w:pStyle w:val="CommentText"/>
        <w:jc w:val="both"/>
        <w:rPr>
          <w:rFonts w:ascii="Times New Roman" w:hAnsi="Times New Roman"/>
          <w:sz w:val="18"/>
          <w:szCs w:val="18"/>
          <w:lang w:val="fr-CA"/>
        </w:rPr>
      </w:pPr>
      <w:r w:rsidRPr="00663053">
        <w:rPr>
          <w:rStyle w:val="FootnoteReference"/>
          <w:rFonts w:ascii="Times New Roman" w:hAnsi="Times New Roman"/>
          <w:sz w:val="18"/>
          <w:szCs w:val="18"/>
        </w:rPr>
        <w:footnoteRef/>
      </w:r>
      <w:r w:rsidRPr="00663053">
        <w:rPr>
          <w:rFonts w:ascii="Times New Roman" w:hAnsi="Times New Roman"/>
          <w:sz w:val="18"/>
          <w:szCs w:val="18"/>
          <w:lang w:val="fr-BE"/>
        </w:rPr>
        <w:t xml:space="preserve"> </w:t>
      </w:r>
      <w:r w:rsidRPr="00383B70">
        <w:rPr>
          <w:rFonts w:ascii="Times New Roman" w:hAnsi="Times New Roman"/>
          <w:sz w:val="18"/>
          <w:szCs w:val="18"/>
          <w:lang w:val="fr-BE"/>
        </w:rPr>
        <w:t>Selon la section Justice, à</w:t>
      </w:r>
      <w:r w:rsidRPr="00383B70">
        <w:rPr>
          <w:rFonts w:ascii="Times New Roman" w:hAnsi="Times New Roman"/>
          <w:sz w:val="18"/>
          <w:szCs w:val="18"/>
          <w:lang w:val="fr-CA"/>
        </w:rPr>
        <w:t xml:space="preserve"> raison de 2,5 m2 par détenus, les prisons haïtiennes n’ont de place que pour 2 383 détenus alors qu’elles en contiennent 8 660. En moyenne, les détenus haïtiens ne disposent que de 0,69 m2, ce qui ne constitue même pas l’espace suffisant pour qu’une personne puisse se coucher.</w:t>
      </w:r>
      <w:r>
        <w:rPr>
          <w:rFonts w:ascii="Times New Roman" w:hAnsi="Times New Roman"/>
          <w:sz w:val="18"/>
          <w:szCs w:val="18"/>
          <w:lang w:val="fr-CA"/>
        </w:rPr>
        <w:t xml:space="preserve"> </w:t>
      </w:r>
    </w:p>
    <w:p w:rsidR="001B63FA" w:rsidRPr="007B0326" w:rsidRDefault="001B63FA" w:rsidP="008673B7">
      <w:pPr>
        <w:pStyle w:val="FootnoteText"/>
        <w:jc w:val="both"/>
        <w:rPr>
          <w:lang w:val="fr-CA"/>
        </w:rPr>
      </w:pPr>
    </w:p>
  </w:footnote>
  <w:footnote w:id="34">
    <w:p w:rsidR="001B63FA" w:rsidRPr="00BA6948" w:rsidRDefault="001B63FA" w:rsidP="008673B7">
      <w:pPr>
        <w:pStyle w:val="FootnoteText"/>
        <w:jc w:val="both"/>
        <w:rPr>
          <w:rFonts w:ascii="Times New Roman" w:hAnsi="Times New Roman"/>
          <w:sz w:val="18"/>
          <w:szCs w:val="18"/>
        </w:rPr>
      </w:pPr>
      <w:r w:rsidRPr="00BA6948">
        <w:rPr>
          <w:rStyle w:val="FootnoteReference"/>
          <w:rFonts w:ascii="Times New Roman" w:hAnsi="Times New Roman"/>
          <w:sz w:val="18"/>
          <w:szCs w:val="18"/>
        </w:rPr>
        <w:footnoteRef/>
      </w:r>
      <w:r w:rsidRPr="00BA6948">
        <w:rPr>
          <w:rFonts w:ascii="Times New Roman" w:hAnsi="Times New Roman"/>
          <w:sz w:val="18"/>
          <w:szCs w:val="18"/>
        </w:rPr>
        <w:t xml:space="preserve"> </w:t>
      </w:r>
      <w:r w:rsidRPr="00BA6948">
        <w:rPr>
          <w:rFonts w:ascii="Times New Roman" w:hAnsi="Times New Roman"/>
          <w:i/>
          <w:sz w:val="18"/>
          <w:szCs w:val="18"/>
        </w:rPr>
        <w:t>Child Protection from Exploitation, Violence and Abuse, Haiti 2012-13</w:t>
      </w:r>
      <w:r w:rsidRPr="00BA6948">
        <w:rPr>
          <w:rFonts w:ascii="Times New Roman" w:hAnsi="Times New Roman"/>
          <w:sz w:val="18"/>
          <w:szCs w:val="18"/>
        </w:rPr>
        <w:t>, NatCom Donor Toolkit.</w:t>
      </w:r>
    </w:p>
  </w:footnote>
  <w:footnote w:id="35">
    <w:p w:rsidR="001B63FA" w:rsidRPr="00F51C90" w:rsidRDefault="001B63FA" w:rsidP="008673B7">
      <w:pPr>
        <w:pStyle w:val="FootnoteText"/>
        <w:jc w:val="both"/>
      </w:pPr>
      <w:r w:rsidRPr="00BA6948">
        <w:rPr>
          <w:rStyle w:val="FootnoteReference"/>
          <w:rFonts w:ascii="Times New Roman" w:hAnsi="Times New Roman"/>
          <w:sz w:val="18"/>
          <w:szCs w:val="18"/>
        </w:rPr>
        <w:footnoteRef/>
      </w:r>
      <w:r w:rsidRPr="00BA6948">
        <w:rPr>
          <w:rFonts w:ascii="Times New Roman" w:hAnsi="Times New Roman"/>
          <w:sz w:val="18"/>
          <w:szCs w:val="18"/>
        </w:rPr>
        <w:t xml:space="preserve"> </w:t>
      </w:r>
      <w:r w:rsidRPr="00BA6948">
        <w:rPr>
          <w:rFonts w:ascii="Times New Roman" w:hAnsi="Times New Roman"/>
          <w:i/>
          <w:sz w:val="18"/>
          <w:szCs w:val="18"/>
        </w:rPr>
        <w:t>Trafficking in Persons Report</w:t>
      </w:r>
      <w:r w:rsidRPr="00BA6948">
        <w:rPr>
          <w:rFonts w:ascii="Times New Roman" w:hAnsi="Times New Roman"/>
          <w:sz w:val="18"/>
          <w:szCs w:val="18"/>
        </w:rPr>
        <w:t>, U.S. State Department.</w:t>
      </w:r>
    </w:p>
  </w:footnote>
  <w:footnote w:id="36">
    <w:p w:rsidR="001B63FA" w:rsidRPr="00576A82" w:rsidRDefault="001B63FA" w:rsidP="006F4C31">
      <w:pPr>
        <w:spacing w:after="0"/>
        <w:rPr>
          <w:rFonts w:ascii="Times New Roman" w:hAnsi="Times New Roman"/>
          <w:lang w:val="fr-BE"/>
        </w:rPr>
      </w:pPr>
      <w:r w:rsidRPr="00576A82">
        <w:rPr>
          <w:rStyle w:val="FootnoteReference"/>
          <w:rFonts w:ascii="Times New Roman" w:hAnsi="Times New Roman"/>
          <w:sz w:val="18"/>
          <w:szCs w:val="18"/>
        </w:rPr>
        <w:footnoteRef/>
      </w:r>
      <w:r w:rsidRPr="00576A82">
        <w:rPr>
          <w:rFonts w:ascii="Times New Roman" w:hAnsi="Times New Roman"/>
          <w:sz w:val="18"/>
          <w:szCs w:val="18"/>
          <w:lang w:val="fr-BE"/>
        </w:rPr>
        <w:t xml:space="preserve"> L</w:t>
      </w:r>
      <w:r w:rsidRPr="00576A82">
        <w:rPr>
          <w:rFonts w:ascii="Times New Roman" w:eastAsia="Times New Roman" w:hAnsi="Times New Roman"/>
          <w:sz w:val="18"/>
          <w:szCs w:val="18"/>
          <w:lang w:val="fr-BE"/>
        </w:rPr>
        <w:t>es</w:t>
      </w:r>
      <w:r w:rsidRPr="00576A82">
        <w:rPr>
          <w:rFonts w:ascii="Times New Roman" w:eastAsia="Times New Roman" w:hAnsi="Times New Roman"/>
          <w:i/>
          <w:sz w:val="18"/>
          <w:szCs w:val="18"/>
          <w:lang w:val="fr-BE"/>
        </w:rPr>
        <w:t xml:space="preserve"> Clusters</w:t>
      </w:r>
      <w:r w:rsidRPr="00576A82">
        <w:rPr>
          <w:rFonts w:ascii="Times New Roman" w:eastAsia="Times New Roman" w:hAnsi="Times New Roman"/>
          <w:sz w:val="18"/>
          <w:szCs w:val="18"/>
          <w:lang w:val="fr-BE"/>
        </w:rPr>
        <w:t xml:space="preserve"> regroupent les acteurs du gouvernement, agences onusiennes, ONG internationales et</w:t>
      </w:r>
      <w:r>
        <w:rPr>
          <w:rFonts w:ascii="Times New Roman" w:eastAsia="Times New Roman" w:hAnsi="Times New Roman"/>
          <w:sz w:val="18"/>
          <w:szCs w:val="18"/>
          <w:lang w:val="fr-BE"/>
        </w:rPr>
        <w:t>/ou</w:t>
      </w:r>
      <w:r w:rsidRPr="00576A82">
        <w:rPr>
          <w:rFonts w:ascii="Times New Roman" w:eastAsia="Times New Roman" w:hAnsi="Times New Roman"/>
          <w:sz w:val="18"/>
          <w:szCs w:val="18"/>
          <w:lang w:val="fr-BE"/>
        </w:rPr>
        <w:t xml:space="preserve"> nationales impliqués sur un th</w:t>
      </w:r>
      <w:r>
        <w:rPr>
          <w:rFonts w:ascii="Times New Roman" w:eastAsia="Times New Roman" w:hAnsi="Times New Roman"/>
          <w:sz w:val="18"/>
          <w:szCs w:val="18"/>
          <w:lang w:val="fr-BE"/>
        </w:rPr>
        <w:t>è</w:t>
      </w:r>
      <w:r w:rsidRPr="00576A82">
        <w:rPr>
          <w:rFonts w:ascii="Times New Roman" w:eastAsia="Times New Roman" w:hAnsi="Times New Roman"/>
          <w:sz w:val="18"/>
          <w:szCs w:val="18"/>
          <w:lang w:val="fr-BE"/>
        </w:rPr>
        <w:t>m</w:t>
      </w:r>
      <w:r>
        <w:rPr>
          <w:rFonts w:ascii="Times New Roman" w:eastAsia="Times New Roman" w:hAnsi="Times New Roman"/>
          <w:sz w:val="18"/>
          <w:szCs w:val="18"/>
          <w:lang w:val="fr-BE"/>
        </w:rPr>
        <w:t>e</w:t>
      </w:r>
      <w:r w:rsidRPr="00576A82">
        <w:rPr>
          <w:rFonts w:ascii="Times New Roman" w:eastAsia="Times New Roman" w:hAnsi="Times New Roman"/>
          <w:sz w:val="18"/>
          <w:szCs w:val="18"/>
          <w:lang w:val="fr-BE"/>
        </w:rPr>
        <w:t xml:space="preserve"> particuli</w:t>
      </w:r>
      <w:r>
        <w:rPr>
          <w:rFonts w:ascii="Times New Roman" w:eastAsia="Times New Roman" w:hAnsi="Times New Roman"/>
          <w:sz w:val="18"/>
          <w:szCs w:val="18"/>
          <w:lang w:val="fr-BE"/>
        </w:rPr>
        <w:t>er</w:t>
      </w:r>
      <w:r w:rsidRPr="00576A82">
        <w:rPr>
          <w:rFonts w:ascii="Times New Roman" w:eastAsia="Times New Roman" w:hAnsi="Times New Roman"/>
          <w:sz w:val="18"/>
          <w:szCs w:val="18"/>
          <w:lang w:val="fr-BE"/>
        </w:rPr>
        <w:t xml:space="preserve"> ou </w:t>
      </w:r>
      <w:r>
        <w:rPr>
          <w:rFonts w:ascii="Times New Roman" w:eastAsia="Times New Roman" w:hAnsi="Times New Roman"/>
          <w:sz w:val="18"/>
          <w:szCs w:val="18"/>
          <w:lang w:val="fr-BE"/>
        </w:rPr>
        <w:t xml:space="preserve">sur </w:t>
      </w:r>
      <w:r w:rsidRPr="00576A82">
        <w:rPr>
          <w:rFonts w:ascii="Times New Roman" w:eastAsia="Times New Roman" w:hAnsi="Times New Roman"/>
          <w:sz w:val="18"/>
          <w:szCs w:val="18"/>
          <w:lang w:val="fr-BE"/>
        </w:rPr>
        <w:t>la protection en général</w:t>
      </w:r>
      <w:r>
        <w:rPr>
          <w:rFonts w:ascii="Times New Roman" w:eastAsia="Times New Roman" w:hAnsi="Times New Roman"/>
          <w:sz w:val="18"/>
          <w:szCs w:val="18"/>
          <w:lang w:val="fr-BE"/>
        </w:rPr>
        <w:t>,</w:t>
      </w:r>
      <w:r w:rsidRPr="00576A82">
        <w:rPr>
          <w:rFonts w:ascii="Times New Roman" w:eastAsia="Times New Roman" w:hAnsi="Times New Roman"/>
          <w:sz w:val="18"/>
          <w:szCs w:val="18"/>
          <w:lang w:val="fr-BE"/>
        </w:rPr>
        <w:t xml:space="preserve"> dans le cadre de la réponse humanitaire. </w:t>
      </w:r>
    </w:p>
  </w:footnote>
  <w:footnote w:id="37">
    <w:p w:rsidR="001B63FA" w:rsidRPr="0014623A" w:rsidRDefault="001B63FA" w:rsidP="0014623A">
      <w:pPr>
        <w:pStyle w:val="FootnoteText"/>
        <w:jc w:val="both"/>
        <w:rPr>
          <w:rFonts w:ascii="Times New Roman" w:hAnsi="Times New Roman"/>
          <w:sz w:val="18"/>
          <w:szCs w:val="18"/>
          <w:lang w:val="fr-BE"/>
        </w:rPr>
      </w:pPr>
      <w:r w:rsidRPr="0014623A">
        <w:rPr>
          <w:rStyle w:val="FootnoteReference"/>
          <w:rFonts w:ascii="Times New Roman" w:hAnsi="Times New Roman"/>
          <w:sz w:val="18"/>
          <w:szCs w:val="18"/>
        </w:rPr>
        <w:footnoteRef/>
      </w:r>
      <w:r w:rsidRPr="0014623A">
        <w:rPr>
          <w:rFonts w:ascii="Times New Roman" w:hAnsi="Times New Roman"/>
          <w:sz w:val="18"/>
          <w:szCs w:val="18"/>
          <w:lang w:val="fr-BE"/>
        </w:rPr>
        <w:t xml:space="preserve"> Le programme EDE PEP</w:t>
      </w:r>
      <w:r>
        <w:rPr>
          <w:rFonts w:ascii="Times New Roman" w:hAnsi="Times New Roman"/>
          <w:sz w:val="18"/>
          <w:szCs w:val="18"/>
          <w:lang w:val="fr-BE"/>
        </w:rPr>
        <w:t xml:space="preserve"> comporte quatre volets : le transfert d’argent conditionné et non conditionné, à travers le projet Ti Manman Cheri, à des personnes défavorisées (mères de famille, étudiants, vieillards et handicapés) ; une assistance alimentaire aux personnes vivant dans une situation d’extrême pauvreté et aux écoliers ; une éducation gratuite pour les enfants et des programmes d’alphabétisation pour les adultes ; des mesures d’appui à la relance de l’économie familiale en zones rurale et urbaine.</w:t>
      </w:r>
    </w:p>
  </w:footnote>
  <w:footnote w:id="38">
    <w:p w:rsidR="001B63FA" w:rsidRPr="00932EBB" w:rsidRDefault="001B63FA" w:rsidP="008673B7">
      <w:pPr>
        <w:pStyle w:val="FootnoteText"/>
        <w:jc w:val="both"/>
        <w:rPr>
          <w:rFonts w:ascii="Times New Roman" w:hAnsi="Times New Roman"/>
          <w:color w:val="000000" w:themeColor="text1"/>
          <w:sz w:val="18"/>
          <w:szCs w:val="18"/>
          <w:lang w:val="fr-FR"/>
        </w:rPr>
      </w:pPr>
      <w:r w:rsidRPr="00576A82">
        <w:rPr>
          <w:rStyle w:val="FootnoteReference"/>
          <w:rFonts w:ascii="Times New Roman" w:hAnsi="Times New Roman"/>
          <w:sz w:val="18"/>
          <w:szCs w:val="18"/>
        </w:rPr>
        <w:footnoteRef/>
      </w:r>
      <w:r w:rsidRPr="00576A82">
        <w:rPr>
          <w:rFonts w:ascii="Times New Roman" w:hAnsi="Times New Roman"/>
          <w:sz w:val="18"/>
          <w:szCs w:val="18"/>
          <w:lang w:val="fr-FR"/>
        </w:rPr>
        <w:t xml:space="preserve"> </w:t>
      </w:r>
      <w:r w:rsidRPr="00576A82">
        <w:rPr>
          <w:rFonts w:ascii="Times New Roman" w:hAnsi="Times New Roman"/>
          <w:bCs/>
          <w:sz w:val="18"/>
          <w:szCs w:val="18"/>
          <w:lang w:val="fr-FR"/>
        </w:rPr>
        <w:t xml:space="preserve">Haïti-Sécurité : 363 manifestions violentes en Haïti pour 2012, </w:t>
      </w:r>
      <w:r w:rsidRPr="00576A82">
        <w:rPr>
          <w:rFonts w:ascii="Times New Roman" w:hAnsi="Times New Roman"/>
          <w:bCs/>
          <w:i/>
          <w:sz w:val="18"/>
          <w:szCs w:val="18"/>
          <w:lang w:val="fr-FR"/>
        </w:rPr>
        <w:t>Haiti Press Network, le</w:t>
      </w:r>
      <w:r w:rsidRPr="00576A82">
        <w:rPr>
          <w:rFonts w:ascii="Times New Roman" w:hAnsi="Times New Roman"/>
          <w:bCs/>
          <w:sz w:val="18"/>
          <w:szCs w:val="18"/>
          <w:lang w:val="fr-FR"/>
        </w:rPr>
        <w:t> </w:t>
      </w:r>
      <w:r w:rsidRPr="00576A82">
        <w:rPr>
          <w:rFonts w:ascii="Times New Roman" w:hAnsi="Times New Roman"/>
          <w:sz w:val="18"/>
          <w:szCs w:val="18"/>
          <w:lang w:val="fr-FR"/>
        </w:rPr>
        <w:t xml:space="preserve"> 7 janvier 2013.</w:t>
      </w:r>
      <w:r w:rsidRPr="00932EBB">
        <w:rPr>
          <w:rFonts w:ascii="Times New Roman" w:hAnsi="Times New Roman"/>
          <w:sz w:val="18"/>
          <w:szCs w:val="18"/>
          <w:lang w:val="fr-FR"/>
        </w:rPr>
        <w:t xml:space="preserve"> </w:t>
      </w:r>
    </w:p>
  </w:footnote>
  <w:footnote w:id="39">
    <w:p w:rsidR="001B63FA" w:rsidRPr="00CA1083" w:rsidRDefault="001B63FA" w:rsidP="008673B7">
      <w:pPr>
        <w:pStyle w:val="FootnoteText"/>
        <w:jc w:val="both"/>
        <w:rPr>
          <w:rFonts w:ascii="Times New Roman" w:hAnsi="Times New Roman"/>
          <w:sz w:val="18"/>
          <w:szCs w:val="18"/>
          <w:lang w:val="fr-FR"/>
        </w:rPr>
      </w:pPr>
      <w:r w:rsidRPr="00CA1083">
        <w:rPr>
          <w:rStyle w:val="FootnoteReference"/>
          <w:rFonts w:ascii="Times New Roman" w:hAnsi="Times New Roman"/>
          <w:sz w:val="18"/>
          <w:szCs w:val="18"/>
        </w:rPr>
        <w:footnoteRef/>
      </w:r>
      <w:r w:rsidRPr="00CA1083">
        <w:rPr>
          <w:rFonts w:ascii="Times New Roman" w:hAnsi="Times New Roman"/>
          <w:sz w:val="18"/>
          <w:szCs w:val="18"/>
          <w:lang w:val="fr-FR"/>
        </w:rPr>
        <w:t xml:space="preserve"> http://www.ndi.org/haiti#FacilitatingCitizenEngagement</w:t>
      </w:r>
      <w:r>
        <w:rPr>
          <w:rFonts w:ascii="Times New Roman" w:hAnsi="Times New Roman"/>
          <w:sz w:val="18"/>
          <w:szCs w:val="18"/>
          <w:lang w:val="fr-FR"/>
        </w:rPr>
        <w:t>.</w:t>
      </w:r>
    </w:p>
  </w:footnote>
  <w:footnote w:id="40">
    <w:p w:rsidR="001B63FA" w:rsidRPr="001D1475" w:rsidRDefault="001B63FA" w:rsidP="008673B7">
      <w:pPr>
        <w:pStyle w:val="FootnoteText"/>
        <w:jc w:val="both"/>
        <w:rPr>
          <w:lang w:val="fr-FR"/>
        </w:rPr>
      </w:pPr>
      <w:r w:rsidRPr="00536946">
        <w:rPr>
          <w:rStyle w:val="FootnoteReference"/>
          <w:sz w:val="18"/>
          <w:szCs w:val="18"/>
        </w:rPr>
        <w:footnoteRef/>
      </w:r>
      <w:r w:rsidRPr="00536946">
        <w:rPr>
          <w:sz w:val="18"/>
          <w:szCs w:val="18"/>
          <w:lang w:val="fr-FR"/>
        </w:rPr>
        <w:t xml:space="preserve"> </w:t>
      </w:r>
      <w:r w:rsidRPr="00536946">
        <w:rPr>
          <w:rFonts w:ascii="Times New Roman" w:hAnsi="Times New Roman"/>
          <w:bCs/>
          <w:iCs/>
          <w:sz w:val="18"/>
          <w:szCs w:val="18"/>
          <w:lang w:val="fr-FR"/>
        </w:rPr>
        <w:t>La loi du 19 avril 2010 portant amendement de la loi sur l’Etat d’urgence du 9 septembre 2008 considère qu’en cas de catastrophe naturelle, « les pouvoirs publics se doivent de prendre les mesures qui s’imposent</w:t>
      </w:r>
      <w:r>
        <w:rPr>
          <w:rFonts w:ascii="Times New Roman" w:hAnsi="Times New Roman"/>
          <w:bCs/>
          <w:iCs/>
          <w:sz w:val="18"/>
          <w:szCs w:val="18"/>
          <w:lang w:val="fr-FR"/>
        </w:rPr>
        <w:t>,</w:t>
      </w:r>
      <w:r w:rsidRPr="00536946">
        <w:rPr>
          <w:rFonts w:ascii="Times New Roman" w:hAnsi="Times New Roman"/>
          <w:bCs/>
          <w:iCs/>
          <w:sz w:val="18"/>
          <w:szCs w:val="18"/>
          <w:lang w:val="fr-FR"/>
        </w:rPr>
        <w:t xml:space="preserve"> afin de faciliter les actions de secours et de garantir le rétablissement du cours normal de la vie ». Elle permet notamment au gouvernement d’appliquer des procédures célères de déblocage de fonds, de faire les dépenses jugées nécessaires, désaffecter des crédits budgétaires en vue de faire face à la situation (à l’exception des salaires, indemnités et pensions de retraite), et de passer les contrats qu’il juge nécessaire selon les procédures célères prévues par la réglementation sur les marchés publics. </w:t>
      </w:r>
      <w:r w:rsidRPr="00536946">
        <w:rPr>
          <w:rFonts w:ascii="Times New Roman" w:hAnsi="Times New Roman"/>
          <w:sz w:val="18"/>
          <w:szCs w:val="18"/>
          <w:lang w:val="fr-FR"/>
        </w:rPr>
        <w:t>Article 7, points 2 à 5, loi</w:t>
      </w:r>
      <w:r w:rsidRPr="00536946">
        <w:rPr>
          <w:rFonts w:ascii="Times New Roman" w:hAnsi="Times New Roman"/>
          <w:bCs/>
          <w:iCs/>
          <w:sz w:val="18"/>
          <w:szCs w:val="18"/>
          <w:lang w:val="fr-FR"/>
        </w:rPr>
        <w:t xml:space="preserve"> du 19 avril 2010 portant amendement de la loi sur l’Etat d’urgence du 9 septembre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DFD"/>
    <w:multiLevelType w:val="hybridMultilevel"/>
    <w:tmpl w:val="CE9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172ED"/>
    <w:multiLevelType w:val="hybridMultilevel"/>
    <w:tmpl w:val="E9061B4C"/>
    <w:lvl w:ilvl="0" w:tplc="5E02FDD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21235"/>
    <w:multiLevelType w:val="hybridMultilevel"/>
    <w:tmpl w:val="7142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0CFD"/>
    <w:multiLevelType w:val="hybridMultilevel"/>
    <w:tmpl w:val="D3F4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15C6D"/>
    <w:multiLevelType w:val="hybridMultilevel"/>
    <w:tmpl w:val="078C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D2A07"/>
    <w:multiLevelType w:val="hybridMultilevel"/>
    <w:tmpl w:val="2FD2D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272A9"/>
    <w:multiLevelType w:val="hybridMultilevel"/>
    <w:tmpl w:val="AB148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F7570"/>
    <w:multiLevelType w:val="hybridMultilevel"/>
    <w:tmpl w:val="89E6C644"/>
    <w:lvl w:ilvl="0" w:tplc="A90830A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150C2"/>
    <w:multiLevelType w:val="hybridMultilevel"/>
    <w:tmpl w:val="736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93406"/>
    <w:multiLevelType w:val="hybridMultilevel"/>
    <w:tmpl w:val="01C8C34C"/>
    <w:lvl w:ilvl="0" w:tplc="D4FA2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27475"/>
    <w:multiLevelType w:val="hybridMultilevel"/>
    <w:tmpl w:val="AB3CA8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95112"/>
    <w:multiLevelType w:val="hybridMultilevel"/>
    <w:tmpl w:val="6414E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D66B6"/>
    <w:multiLevelType w:val="hybridMultilevel"/>
    <w:tmpl w:val="E9BA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75711"/>
    <w:multiLevelType w:val="hybridMultilevel"/>
    <w:tmpl w:val="E6F018B8"/>
    <w:lvl w:ilvl="0" w:tplc="0296A5C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631BA"/>
    <w:multiLevelType w:val="hybridMultilevel"/>
    <w:tmpl w:val="6E984522"/>
    <w:lvl w:ilvl="0" w:tplc="060C4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C704D"/>
    <w:multiLevelType w:val="hybridMultilevel"/>
    <w:tmpl w:val="4FE6A58E"/>
    <w:lvl w:ilvl="0" w:tplc="0296A5C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97151"/>
    <w:multiLevelType w:val="hybridMultilevel"/>
    <w:tmpl w:val="FAA2D4C4"/>
    <w:lvl w:ilvl="0" w:tplc="2340A6F6">
      <w:start w:val="2"/>
      <w:numFmt w:val="bullet"/>
      <w:lvlText w:val="-"/>
      <w:lvlJc w:val="left"/>
      <w:pPr>
        <w:ind w:left="1125" w:hanging="360"/>
      </w:pPr>
      <w:rPr>
        <w:rFonts w:ascii="Times New Roman" w:eastAsia="Batang"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nsid w:val="4D60125B"/>
    <w:multiLevelType w:val="hybridMultilevel"/>
    <w:tmpl w:val="D1F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575DD"/>
    <w:multiLevelType w:val="hybridMultilevel"/>
    <w:tmpl w:val="C13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F7B67"/>
    <w:multiLevelType w:val="hybridMultilevel"/>
    <w:tmpl w:val="BA48E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31790"/>
    <w:multiLevelType w:val="hybridMultilevel"/>
    <w:tmpl w:val="0422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D71F0"/>
    <w:multiLevelType w:val="hybridMultilevel"/>
    <w:tmpl w:val="28DC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11470"/>
    <w:multiLevelType w:val="hybridMultilevel"/>
    <w:tmpl w:val="36CE0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340F0F"/>
    <w:multiLevelType w:val="hybridMultilevel"/>
    <w:tmpl w:val="DCA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F5BDC"/>
    <w:multiLevelType w:val="hybridMultilevel"/>
    <w:tmpl w:val="838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019E4"/>
    <w:multiLevelType w:val="hybridMultilevel"/>
    <w:tmpl w:val="CBC0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761BF"/>
    <w:multiLevelType w:val="hybridMultilevel"/>
    <w:tmpl w:val="C48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10583C"/>
    <w:multiLevelType w:val="hybridMultilevel"/>
    <w:tmpl w:val="6414EC8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62029AB"/>
    <w:multiLevelType w:val="hybridMultilevel"/>
    <w:tmpl w:val="0DE21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6B74330"/>
    <w:multiLevelType w:val="hybridMultilevel"/>
    <w:tmpl w:val="7B8A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9054D"/>
    <w:multiLevelType w:val="hybridMultilevel"/>
    <w:tmpl w:val="03703BF2"/>
    <w:lvl w:ilvl="0" w:tplc="0409000F">
      <w:start w:val="1"/>
      <w:numFmt w:val="decimal"/>
      <w:lvlText w:val="%1."/>
      <w:lvlJc w:val="left"/>
      <w:pPr>
        <w:ind w:left="720" w:hanging="360"/>
      </w:pPr>
    </w:lvl>
    <w:lvl w:ilvl="1" w:tplc="BC22F34C">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23C9A"/>
    <w:multiLevelType w:val="hybridMultilevel"/>
    <w:tmpl w:val="5226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323F2"/>
    <w:multiLevelType w:val="hybridMultilevel"/>
    <w:tmpl w:val="A86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4"/>
  </w:num>
  <w:num w:numId="5">
    <w:abstractNumId w:val="24"/>
  </w:num>
  <w:num w:numId="6">
    <w:abstractNumId w:val="18"/>
  </w:num>
  <w:num w:numId="7">
    <w:abstractNumId w:val="16"/>
  </w:num>
  <w:num w:numId="8">
    <w:abstractNumId w:val="32"/>
  </w:num>
  <w:num w:numId="9">
    <w:abstractNumId w:val="7"/>
  </w:num>
  <w:num w:numId="10">
    <w:abstractNumId w:val="23"/>
  </w:num>
  <w:num w:numId="11">
    <w:abstractNumId w:val="8"/>
  </w:num>
  <w:num w:numId="12">
    <w:abstractNumId w:val="3"/>
  </w:num>
  <w:num w:numId="13">
    <w:abstractNumId w:val="21"/>
  </w:num>
  <w:num w:numId="14">
    <w:abstractNumId w:val="17"/>
  </w:num>
  <w:num w:numId="15">
    <w:abstractNumId w:val="0"/>
  </w:num>
  <w:num w:numId="16">
    <w:abstractNumId w:val="31"/>
  </w:num>
  <w:num w:numId="17">
    <w:abstractNumId w:val="26"/>
  </w:num>
  <w:num w:numId="18">
    <w:abstractNumId w:val="29"/>
  </w:num>
  <w:num w:numId="19">
    <w:abstractNumId w:val="15"/>
  </w:num>
  <w:num w:numId="20">
    <w:abstractNumId w:val="10"/>
  </w:num>
  <w:num w:numId="21">
    <w:abstractNumId w:val="13"/>
  </w:num>
  <w:num w:numId="22">
    <w:abstractNumId w:val="5"/>
  </w:num>
  <w:num w:numId="23">
    <w:abstractNumId w:val="25"/>
  </w:num>
  <w:num w:numId="24">
    <w:abstractNumId w:val="27"/>
  </w:num>
  <w:num w:numId="25">
    <w:abstractNumId w:val="30"/>
  </w:num>
  <w:num w:numId="26">
    <w:abstractNumId w:val="11"/>
  </w:num>
  <w:num w:numId="27">
    <w:abstractNumId w:val="1"/>
  </w:num>
  <w:num w:numId="28">
    <w:abstractNumId w:val="28"/>
  </w:num>
  <w:num w:numId="29">
    <w:abstractNumId w:val="9"/>
  </w:num>
  <w:num w:numId="30">
    <w:abstractNumId w:val="22"/>
  </w:num>
  <w:num w:numId="31">
    <w:abstractNumId w:val="20"/>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B7"/>
    <w:rsid w:val="000144C4"/>
    <w:rsid w:val="0009792F"/>
    <w:rsid w:val="000B3F81"/>
    <w:rsid w:val="000B4E33"/>
    <w:rsid w:val="0014623A"/>
    <w:rsid w:val="001B63FA"/>
    <w:rsid w:val="001C7DFC"/>
    <w:rsid w:val="001D0E26"/>
    <w:rsid w:val="001D6C9C"/>
    <w:rsid w:val="002A0CE1"/>
    <w:rsid w:val="002A28C1"/>
    <w:rsid w:val="002C6BF2"/>
    <w:rsid w:val="002D7E80"/>
    <w:rsid w:val="00375854"/>
    <w:rsid w:val="003A78CD"/>
    <w:rsid w:val="00411CE6"/>
    <w:rsid w:val="0042759D"/>
    <w:rsid w:val="00434533"/>
    <w:rsid w:val="00492667"/>
    <w:rsid w:val="004B6353"/>
    <w:rsid w:val="004D7337"/>
    <w:rsid w:val="0052350C"/>
    <w:rsid w:val="0057236E"/>
    <w:rsid w:val="00586C59"/>
    <w:rsid w:val="005E7665"/>
    <w:rsid w:val="005F1BCF"/>
    <w:rsid w:val="0067306A"/>
    <w:rsid w:val="006760C4"/>
    <w:rsid w:val="006A0A28"/>
    <w:rsid w:val="006B0D9C"/>
    <w:rsid w:val="006C7303"/>
    <w:rsid w:val="006D168D"/>
    <w:rsid w:val="006D2C80"/>
    <w:rsid w:val="006F4C31"/>
    <w:rsid w:val="00795E20"/>
    <w:rsid w:val="007967B5"/>
    <w:rsid w:val="007B134C"/>
    <w:rsid w:val="007E13FA"/>
    <w:rsid w:val="0083717B"/>
    <w:rsid w:val="008673B7"/>
    <w:rsid w:val="008D600C"/>
    <w:rsid w:val="008F290C"/>
    <w:rsid w:val="009435E0"/>
    <w:rsid w:val="0095681D"/>
    <w:rsid w:val="00962443"/>
    <w:rsid w:val="009653F7"/>
    <w:rsid w:val="009928D4"/>
    <w:rsid w:val="009A0A6B"/>
    <w:rsid w:val="009A496A"/>
    <w:rsid w:val="009B1753"/>
    <w:rsid w:val="009D6CBF"/>
    <w:rsid w:val="00A603BC"/>
    <w:rsid w:val="00A8570F"/>
    <w:rsid w:val="00A9123A"/>
    <w:rsid w:val="00A95D51"/>
    <w:rsid w:val="00AD19AF"/>
    <w:rsid w:val="00AE18AF"/>
    <w:rsid w:val="00B60C94"/>
    <w:rsid w:val="00B71B61"/>
    <w:rsid w:val="00B84B55"/>
    <w:rsid w:val="00B92D9D"/>
    <w:rsid w:val="00B92E3F"/>
    <w:rsid w:val="00BB292D"/>
    <w:rsid w:val="00C91695"/>
    <w:rsid w:val="00CC5586"/>
    <w:rsid w:val="00CD10A7"/>
    <w:rsid w:val="00DB4B78"/>
    <w:rsid w:val="00DC37B4"/>
    <w:rsid w:val="00E54380"/>
    <w:rsid w:val="00F813C5"/>
    <w:rsid w:val="00F830CC"/>
    <w:rsid w:val="00F94BE4"/>
    <w:rsid w:val="00FA32E2"/>
    <w:rsid w:val="00FC732A"/>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B7"/>
    <w:rPr>
      <w:rFonts w:ascii="Calibri" w:eastAsia="Batang" w:hAnsi="Calibri" w:cs="Times New Roman"/>
    </w:rPr>
  </w:style>
  <w:style w:type="paragraph" w:styleId="Heading1">
    <w:name w:val="heading 1"/>
    <w:basedOn w:val="Normal"/>
    <w:next w:val="Normal"/>
    <w:link w:val="Heading1Char"/>
    <w:uiPriority w:val="9"/>
    <w:qFormat/>
    <w:rsid w:val="00867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73B7"/>
    <w:pPr>
      <w:spacing w:after="0" w:line="240" w:lineRule="auto"/>
      <w:outlineLvl w:val="1"/>
    </w:pPr>
    <w:rPr>
      <w:rFonts w:ascii="Verdana" w:eastAsia="Times New Roman" w:hAnsi="Verdana"/>
      <w:b/>
      <w:bCs/>
      <w:color w:val="000066"/>
      <w:sz w:val="20"/>
      <w:szCs w:val="20"/>
    </w:rPr>
  </w:style>
  <w:style w:type="paragraph" w:styleId="Heading3">
    <w:name w:val="heading 3"/>
    <w:basedOn w:val="Normal"/>
    <w:next w:val="Normal"/>
    <w:link w:val="Heading3Char"/>
    <w:uiPriority w:val="9"/>
    <w:unhideWhenUsed/>
    <w:qFormat/>
    <w:rsid w:val="008673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7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3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73B7"/>
    <w:rPr>
      <w:rFonts w:ascii="Verdana" w:eastAsia="Times New Roman" w:hAnsi="Verdana" w:cs="Times New Roman"/>
      <w:b/>
      <w:bCs/>
      <w:color w:val="000066"/>
      <w:sz w:val="20"/>
      <w:szCs w:val="20"/>
    </w:rPr>
  </w:style>
  <w:style w:type="character" w:customStyle="1" w:styleId="Heading3Char">
    <w:name w:val="Heading 3 Char"/>
    <w:basedOn w:val="DefaultParagraphFont"/>
    <w:link w:val="Heading3"/>
    <w:uiPriority w:val="9"/>
    <w:rsid w:val="008673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7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6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B7"/>
    <w:rPr>
      <w:rFonts w:ascii="Tahoma" w:eastAsia="Batang" w:hAnsi="Tahoma" w:cs="Tahoma"/>
      <w:sz w:val="16"/>
      <w:szCs w:val="16"/>
    </w:rPr>
  </w:style>
  <w:style w:type="paragraph" w:styleId="ListParagraph">
    <w:name w:val="List Paragraph"/>
    <w:basedOn w:val="Normal"/>
    <w:uiPriority w:val="34"/>
    <w:qFormat/>
    <w:rsid w:val="008673B7"/>
    <w:pPr>
      <w:ind w:left="720"/>
      <w:contextualSpacing/>
    </w:pPr>
  </w:style>
  <w:style w:type="character" w:styleId="FootnoteReference">
    <w:name w:val="footnote reference"/>
    <w:basedOn w:val="DefaultParagraphFont"/>
    <w:unhideWhenUsed/>
    <w:rsid w:val="008673B7"/>
    <w:rPr>
      <w:vertAlign w:val="superscript"/>
    </w:rPr>
  </w:style>
  <w:style w:type="paragraph" w:styleId="NoSpacing">
    <w:name w:val="No Spacing"/>
    <w:uiPriority w:val="1"/>
    <w:qFormat/>
    <w:rsid w:val="008673B7"/>
    <w:pPr>
      <w:spacing w:after="0" w:line="240" w:lineRule="auto"/>
    </w:pPr>
    <w:rPr>
      <w:rFonts w:ascii="Calibri" w:eastAsia="Batang" w:hAnsi="Calibri" w:cs="Times New Roman"/>
      <w:lang w:val="fr-FR"/>
    </w:rPr>
  </w:style>
  <w:style w:type="paragraph" w:styleId="FootnoteText">
    <w:name w:val="footnote text"/>
    <w:basedOn w:val="Normal"/>
    <w:link w:val="FootnoteTextChar"/>
    <w:unhideWhenUsed/>
    <w:rsid w:val="008673B7"/>
    <w:pPr>
      <w:spacing w:after="0" w:line="240" w:lineRule="auto"/>
    </w:pPr>
    <w:rPr>
      <w:sz w:val="20"/>
      <w:szCs w:val="20"/>
    </w:rPr>
  </w:style>
  <w:style w:type="character" w:customStyle="1" w:styleId="FootnoteTextChar">
    <w:name w:val="Footnote Text Char"/>
    <w:basedOn w:val="DefaultParagraphFont"/>
    <w:link w:val="FootnoteText"/>
    <w:rsid w:val="008673B7"/>
    <w:rPr>
      <w:rFonts w:ascii="Calibri" w:eastAsia="Batang" w:hAnsi="Calibri" w:cs="Times New Roman"/>
      <w:sz w:val="20"/>
      <w:szCs w:val="20"/>
    </w:rPr>
  </w:style>
  <w:style w:type="character" w:styleId="CommentReference">
    <w:name w:val="annotation reference"/>
    <w:basedOn w:val="DefaultParagraphFont"/>
    <w:uiPriority w:val="99"/>
    <w:semiHidden/>
    <w:unhideWhenUsed/>
    <w:rsid w:val="008673B7"/>
    <w:rPr>
      <w:sz w:val="16"/>
      <w:szCs w:val="16"/>
    </w:rPr>
  </w:style>
  <w:style w:type="paragraph" w:styleId="CommentText">
    <w:name w:val="annotation text"/>
    <w:basedOn w:val="Normal"/>
    <w:link w:val="CommentTextChar"/>
    <w:uiPriority w:val="99"/>
    <w:unhideWhenUsed/>
    <w:rsid w:val="008673B7"/>
    <w:pPr>
      <w:spacing w:line="240" w:lineRule="auto"/>
    </w:pPr>
    <w:rPr>
      <w:sz w:val="20"/>
      <w:szCs w:val="20"/>
    </w:rPr>
  </w:style>
  <w:style w:type="character" w:customStyle="1" w:styleId="CommentTextChar">
    <w:name w:val="Comment Text Char"/>
    <w:basedOn w:val="DefaultParagraphFont"/>
    <w:link w:val="CommentText"/>
    <w:uiPriority w:val="99"/>
    <w:rsid w:val="008673B7"/>
    <w:rPr>
      <w:rFonts w:ascii="Calibri" w:eastAsia="Batang" w:hAnsi="Calibri" w:cs="Times New Roman"/>
      <w:sz w:val="20"/>
      <w:szCs w:val="20"/>
    </w:rPr>
  </w:style>
  <w:style w:type="character" w:styleId="Hyperlink">
    <w:name w:val="Hyperlink"/>
    <w:basedOn w:val="DefaultParagraphFont"/>
    <w:uiPriority w:val="99"/>
    <w:unhideWhenUsed/>
    <w:rsid w:val="008673B7"/>
    <w:rPr>
      <w:color w:val="0000FF" w:themeColor="hyperlink"/>
      <w:u w:val="single"/>
    </w:rPr>
  </w:style>
  <w:style w:type="paragraph" w:styleId="Header">
    <w:name w:val="header"/>
    <w:basedOn w:val="Normal"/>
    <w:link w:val="HeaderChar"/>
    <w:uiPriority w:val="99"/>
    <w:unhideWhenUsed/>
    <w:rsid w:val="0086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B7"/>
    <w:rPr>
      <w:rFonts w:ascii="Calibri" w:eastAsia="Batang" w:hAnsi="Calibri" w:cs="Times New Roman"/>
    </w:rPr>
  </w:style>
  <w:style w:type="paragraph" w:styleId="Footer">
    <w:name w:val="footer"/>
    <w:basedOn w:val="Normal"/>
    <w:link w:val="FooterChar"/>
    <w:uiPriority w:val="99"/>
    <w:unhideWhenUsed/>
    <w:rsid w:val="0086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B7"/>
    <w:rPr>
      <w:rFonts w:ascii="Calibri" w:eastAsia="Batang" w:hAnsi="Calibri" w:cs="Times New Roman"/>
    </w:rPr>
  </w:style>
  <w:style w:type="paragraph" w:styleId="NormalWeb">
    <w:name w:val="Normal (Web)"/>
    <w:basedOn w:val="Normal"/>
    <w:uiPriority w:val="99"/>
    <w:semiHidden/>
    <w:unhideWhenUsed/>
    <w:rsid w:val="008673B7"/>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673B7"/>
    <w:rPr>
      <w:rFonts w:eastAsia="Calibri"/>
      <w:b/>
      <w:bCs/>
    </w:rPr>
  </w:style>
  <w:style w:type="character" w:customStyle="1" w:styleId="CommentSubjectChar">
    <w:name w:val="Comment Subject Char"/>
    <w:basedOn w:val="CommentTextChar"/>
    <w:link w:val="CommentSubject"/>
    <w:uiPriority w:val="99"/>
    <w:semiHidden/>
    <w:rsid w:val="008673B7"/>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8673B7"/>
    <w:pPr>
      <w:outlineLvl w:val="9"/>
    </w:pPr>
  </w:style>
  <w:style w:type="paragraph" w:styleId="TOC1">
    <w:name w:val="toc 1"/>
    <w:basedOn w:val="Normal"/>
    <w:next w:val="Normal"/>
    <w:autoRedefine/>
    <w:uiPriority w:val="39"/>
    <w:unhideWhenUsed/>
    <w:rsid w:val="008673B7"/>
    <w:pPr>
      <w:spacing w:after="100"/>
    </w:pPr>
  </w:style>
  <w:style w:type="paragraph" w:styleId="TOC2">
    <w:name w:val="toc 2"/>
    <w:basedOn w:val="Normal"/>
    <w:next w:val="Normal"/>
    <w:autoRedefine/>
    <w:uiPriority w:val="39"/>
    <w:unhideWhenUsed/>
    <w:rsid w:val="008673B7"/>
    <w:pPr>
      <w:spacing w:after="100"/>
      <w:ind w:left="220"/>
    </w:pPr>
  </w:style>
  <w:style w:type="paragraph" w:styleId="TOC3">
    <w:name w:val="toc 3"/>
    <w:basedOn w:val="Normal"/>
    <w:next w:val="Normal"/>
    <w:autoRedefine/>
    <w:uiPriority w:val="39"/>
    <w:unhideWhenUsed/>
    <w:rsid w:val="00AE18AF"/>
    <w:pPr>
      <w:tabs>
        <w:tab w:val="right" w:leader="dot" w:pos="9350"/>
      </w:tabs>
      <w:spacing w:after="100"/>
      <w:ind w:left="440"/>
    </w:pPr>
    <w:rPr>
      <w:rFonts w:ascii="Times New Roman" w:hAnsi="Times New Roman"/>
      <w:lang w:val="fr-FR"/>
    </w:rPr>
  </w:style>
  <w:style w:type="paragraph" w:styleId="Revision">
    <w:name w:val="Revision"/>
    <w:hidden/>
    <w:uiPriority w:val="99"/>
    <w:semiHidden/>
    <w:rsid w:val="008673B7"/>
    <w:pPr>
      <w:spacing w:after="0" w:line="240" w:lineRule="auto"/>
    </w:pPr>
    <w:rPr>
      <w:rFonts w:ascii="Calibri" w:eastAsia="Batang" w:hAnsi="Calibri" w:cs="Times New Roman"/>
    </w:rPr>
  </w:style>
  <w:style w:type="character" w:customStyle="1" w:styleId="st">
    <w:name w:val="st"/>
    <w:basedOn w:val="DefaultParagraphFont"/>
    <w:rsid w:val="008673B7"/>
  </w:style>
  <w:style w:type="character" w:styleId="Emphasis">
    <w:name w:val="Emphasis"/>
    <w:basedOn w:val="DefaultParagraphFont"/>
    <w:uiPriority w:val="20"/>
    <w:qFormat/>
    <w:rsid w:val="008673B7"/>
    <w:rPr>
      <w:i/>
      <w:iCs/>
    </w:rPr>
  </w:style>
  <w:style w:type="numbering" w:customStyle="1" w:styleId="NoList1">
    <w:name w:val="No List1"/>
    <w:next w:val="NoList"/>
    <w:uiPriority w:val="99"/>
    <w:semiHidden/>
    <w:unhideWhenUsed/>
    <w:rsid w:val="00867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B7"/>
    <w:rPr>
      <w:rFonts w:ascii="Calibri" w:eastAsia="Batang" w:hAnsi="Calibri" w:cs="Times New Roman"/>
    </w:rPr>
  </w:style>
  <w:style w:type="paragraph" w:styleId="Heading1">
    <w:name w:val="heading 1"/>
    <w:basedOn w:val="Normal"/>
    <w:next w:val="Normal"/>
    <w:link w:val="Heading1Char"/>
    <w:uiPriority w:val="9"/>
    <w:qFormat/>
    <w:rsid w:val="00867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73B7"/>
    <w:pPr>
      <w:spacing w:after="0" w:line="240" w:lineRule="auto"/>
      <w:outlineLvl w:val="1"/>
    </w:pPr>
    <w:rPr>
      <w:rFonts w:ascii="Verdana" w:eastAsia="Times New Roman" w:hAnsi="Verdana"/>
      <w:b/>
      <w:bCs/>
      <w:color w:val="000066"/>
      <w:sz w:val="20"/>
      <w:szCs w:val="20"/>
    </w:rPr>
  </w:style>
  <w:style w:type="paragraph" w:styleId="Heading3">
    <w:name w:val="heading 3"/>
    <w:basedOn w:val="Normal"/>
    <w:next w:val="Normal"/>
    <w:link w:val="Heading3Char"/>
    <w:uiPriority w:val="9"/>
    <w:unhideWhenUsed/>
    <w:qFormat/>
    <w:rsid w:val="008673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7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3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73B7"/>
    <w:rPr>
      <w:rFonts w:ascii="Verdana" w:eastAsia="Times New Roman" w:hAnsi="Verdana" w:cs="Times New Roman"/>
      <w:b/>
      <w:bCs/>
      <w:color w:val="000066"/>
      <w:sz w:val="20"/>
      <w:szCs w:val="20"/>
    </w:rPr>
  </w:style>
  <w:style w:type="character" w:customStyle="1" w:styleId="Heading3Char">
    <w:name w:val="Heading 3 Char"/>
    <w:basedOn w:val="DefaultParagraphFont"/>
    <w:link w:val="Heading3"/>
    <w:uiPriority w:val="9"/>
    <w:rsid w:val="008673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7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6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B7"/>
    <w:rPr>
      <w:rFonts w:ascii="Tahoma" w:eastAsia="Batang" w:hAnsi="Tahoma" w:cs="Tahoma"/>
      <w:sz w:val="16"/>
      <w:szCs w:val="16"/>
    </w:rPr>
  </w:style>
  <w:style w:type="paragraph" w:styleId="ListParagraph">
    <w:name w:val="List Paragraph"/>
    <w:basedOn w:val="Normal"/>
    <w:uiPriority w:val="34"/>
    <w:qFormat/>
    <w:rsid w:val="008673B7"/>
    <w:pPr>
      <w:ind w:left="720"/>
      <w:contextualSpacing/>
    </w:pPr>
  </w:style>
  <w:style w:type="character" w:styleId="FootnoteReference">
    <w:name w:val="footnote reference"/>
    <w:basedOn w:val="DefaultParagraphFont"/>
    <w:unhideWhenUsed/>
    <w:rsid w:val="008673B7"/>
    <w:rPr>
      <w:vertAlign w:val="superscript"/>
    </w:rPr>
  </w:style>
  <w:style w:type="paragraph" w:styleId="NoSpacing">
    <w:name w:val="No Spacing"/>
    <w:uiPriority w:val="1"/>
    <w:qFormat/>
    <w:rsid w:val="008673B7"/>
    <w:pPr>
      <w:spacing w:after="0" w:line="240" w:lineRule="auto"/>
    </w:pPr>
    <w:rPr>
      <w:rFonts w:ascii="Calibri" w:eastAsia="Batang" w:hAnsi="Calibri" w:cs="Times New Roman"/>
      <w:lang w:val="fr-FR"/>
    </w:rPr>
  </w:style>
  <w:style w:type="paragraph" w:styleId="FootnoteText">
    <w:name w:val="footnote text"/>
    <w:basedOn w:val="Normal"/>
    <w:link w:val="FootnoteTextChar"/>
    <w:unhideWhenUsed/>
    <w:rsid w:val="008673B7"/>
    <w:pPr>
      <w:spacing w:after="0" w:line="240" w:lineRule="auto"/>
    </w:pPr>
    <w:rPr>
      <w:sz w:val="20"/>
      <w:szCs w:val="20"/>
    </w:rPr>
  </w:style>
  <w:style w:type="character" w:customStyle="1" w:styleId="FootnoteTextChar">
    <w:name w:val="Footnote Text Char"/>
    <w:basedOn w:val="DefaultParagraphFont"/>
    <w:link w:val="FootnoteText"/>
    <w:rsid w:val="008673B7"/>
    <w:rPr>
      <w:rFonts w:ascii="Calibri" w:eastAsia="Batang" w:hAnsi="Calibri" w:cs="Times New Roman"/>
      <w:sz w:val="20"/>
      <w:szCs w:val="20"/>
    </w:rPr>
  </w:style>
  <w:style w:type="character" w:styleId="CommentReference">
    <w:name w:val="annotation reference"/>
    <w:basedOn w:val="DefaultParagraphFont"/>
    <w:uiPriority w:val="99"/>
    <w:semiHidden/>
    <w:unhideWhenUsed/>
    <w:rsid w:val="008673B7"/>
    <w:rPr>
      <w:sz w:val="16"/>
      <w:szCs w:val="16"/>
    </w:rPr>
  </w:style>
  <w:style w:type="paragraph" w:styleId="CommentText">
    <w:name w:val="annotation text"/>
    <w:basedOn w:val="Normal"/>
    <w:link w:val="CommentTextChar"/>
    <w:uiPriority w:val="99"/>
    <w:unhideWhenUsed/>
    <w:rsid w:val="008673B7"/>
    <w:pPr>
      <w:spacing w:line="240" w:lineRule="auto"/>
    </w:pPr>
    <w:rPr>
      <w:sz w:val="20"/>
      <w:szCs w:val="20"/>
    </w:rPr>
  </w:style>
  <w:style w:type="character" w:customStyle="1" w:styleId="CommentTextChar">
    <w:name w:val="Comment Text Char"/>
    <w:basedOn w:val="DefaultParagraphFont"/>
    <w:link w:val="CommentText"/>
    <w:uiPriority w:val="99"/>
    <w:rsid w:val="008673B7"/>
    <w:rPr>
      <w:rFonts w:ascii="Calibri" w:eastAsia="Batang" w:hAnsi="Calibri" w:cs="Times New Roman"/>
      <w:sz w:val="20"/>
      <w:szCs w:val="20"/>
    </w:rPr>
  </w:style>
  <w:style w:type="character" w:styleId="Hyperlink">
    <w:name w:val="Hyperlink"/>
    <w:basedOn w:val="DefaultParagraphFont"/>
    <w:uiPriority w:val="99"/>
    <w:unhideWhenUsed/>
    <w:rsid w:val="008673B7"/>
    <w:rPr>
      <w:color w:val="0000FF" w:themeColor="hyperlink"/>
      <w:u w:val="single"/>
    </w:rPr>
  </w:style>
  <w:style w:type="paragraph" w:styleId="Header">
    <w:name w:val="header"/>
    <w:basedOn w:val="Normal"/>
    <w:link w:val="HeaderChar"/>
    <w:uiPriority w:val="99"/>
    <w:unhideWhenUsed/>
    <w:rsid w:val="0086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B7"/>
    <w:rPr>
      <w:rFonts w:ascii="Calibri" w:eastAsia="Batang" w:hAnsi="Calibri" w:cs="Times New Roman"/>
    </w:rPr>
  </w:style>
  <w:style w:type="paragraph" w:styleId="Footer">
    <w:name w:val="footer"/>
    <w:basedOn w:val="Normal"/>
    <w:link w:val="FooterChar"/>
    <w:uiPriority w:val="99"/>
    <w:unhideWhenUsed/>
    <w:rsid w:val="0086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B7"/>
    <w:rPr>
      <w:rFonts w:ascii="Calibri" w:eastAsia="Batang" w:hAnsi="Calibri" w:cs="Times New Roman"/>
    </w:rPr>
  </w:style>
  <w:style w:type="paragraph" w:styleId="NormalWeb">
    <w:name w:val="Normal (Web)"/>
    <w:basedOn w:val="Normal"/>
    <w:uiPriority w:val="99"/>
    <w:semiHidden/>
    <w:unhideWhenUsed/>
    <w:rsid w:val="008673B7"/>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673B7"/>
    <w:rPr>
      <w:rFonts w:eastAsia="Calibri"/>
      <w:b/>
      <w:bCs/>
    </w:rPr>
  </w:style>
  <w:style w:type="character" w:customStyle="1" w:styleId="CommentSubjectChar">
    <w:name w:val="Comment Subject Char"/>
    <w:basedOn w:val="CommentTextChar"/>
    <w:link w:val="CommentSubject"/>
    <w:uiPriority w:val="99"/>
    <w:semiHidden/>
    <w:rsid w:val="008673B7"/>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8673B7"/>
    <w:pPr>
      <w:outlineLvl w:val="9"/>
    </w:pPr>
  </w:style>
  <w:style w:type="paragraph" w:styleId="TOC1">
    <w:name w:val="toc 1"/>
    <w:basedOn w:val="Normal"/>
    <w:next w:val="Normal"/>
    <w:autoRedefine/>
    <w:uiPriority w:val="39"/>
    <w:unhideWhenUsed/>
    <w:rsid w:val="008673B7"/>
    <w:pPr>
      <w:spacing w:after="100"/>
    </w:pPr>
  </w:style>
  <w:style w:type="paragraph" w:styleId="TOC2">
    <w:name w:val="toc 2"/>
    <w:basedOn w:val="Normal"/>
    <w:next w:val="Normal"/>
    <w:autoRedefine/>
    <w:uiPriority w:val="39"/>
    <w:unhideWhenUsed/>
    <w:rsid w:val="008673B7"/>
    <w:pPr>
      <w:spacing w:after="100"/>
      <w:ind w:left="220"/>
    </w:pPr>
  </w:style>
  <w:style w:type="paragraph" w:styleId="TOC3">
    <w:name w:val="toc 3"/>
    <w:basedOn w:val="Normal"/>
    <w:next w:val="Normal"/>
    <w:autoRedefine/>
    <w:uiPriority w:val="39"/>
    <w:unhideWhenUsed/>
    <w:rsid w:val="00AE18AF"/>
    <w:pPr>
      <w:tabs>
        <w:tab w:val="right" w:leader="dot" w:pos="9350"/>
      </w:tabs>
      <w:spacing w:after="100"/>
      <w:ind w:left="440"/>
    </w:pPr>
    <w:rPr>
      <w:rFonts w:ascii="Times New Roman" w:hAnsi="Times New Roman"/>
      <w:lang w:val="fr-FR"/>
    </w:rPr>
  </w:style>
  <w:style w:type="paragraph" w:styleId="Revision">
    <w:name w:val="Revision"/>
    <w:hidden/>
    <w:uiPriority w:val="99"/>
    <w:semiHidden/>
    <w:rsid w:val="008673B7"/>
    <w:pPr>
      <w:spacing w:after="0" w:line="240" w:lineRule="auto"/>
    </w:pPr>
    <w:rPr>
      <w:rFonts w:ascii="Calibri" w:eastAsia="Batang" w:hAnsi="Calibri" w:cs="Times New Roman"/>
    </w:rPr>
  </w:style>
  <w:style w:type="character" w:customStyle="1" w:styleId="st">
    <w:name w:val="st"/>
    <w:basedOn w:val="DefaultParagraphFont"/>
    <w:rsid w:val="008673B7"/>
  </w:style>
  <w:style w:type="character" w:styleId="Emphasis">
    <w:name w:val="Emphasis"/>
    <w:basedOn w:val="DefaultParagraphFont"/>
    <w:uiPriority w:val="20"/>
    <w:qFormat/>
    <w:rsid w:val="008673B7"/>
    <w:rPr>
      <w:i/>
      <w:iCs/>
    </w:rPr>
  </w:style>
  <w:style w:type="numbering" w:customStyle="1" w:styleId="NoList1">
    <w:name w:val="No List1"/>
    <w:next w:val="NoList"/>
    <w:uiPriority w:val="99"/>
    <w:semiHidden/>
    <w:unhideWhenUsed/>
    <w:rsid w:val="0086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2CD4E2-DCAA-4438-B6BA-C3906BC3B3ED}"/>
</file>

<file path=customXml/itemProps2.xml><?xml version="1.0" encoding="utf-8"?>
<ds:datastoreItem xmlns:ds="http://schemas.openxmlformats.org/officeDocument/2006/customXml" ds:itemID="{EE972680-71ED-49D1-B383-F8D609D437FC}"/>
</file>

<file path=customXml/itemProps3.xml><?xml version="1.0" encoding="utf-8"?>
<ds:datastoreItem xmlns:ds="http://schemas.openxmlformats.org/officeDocument/2006/customXml" ds:itemID="{A7478B0A-FD9D-40FB-91B5-9504DC32900C}"/>
</file>

<file path=customXml/itemProps4.xml><?xml version="1.0" encoding="utf-8"?>
<ds:datastoreItem xmlns:ds="http://schemas.openxmlformats.org/officeDocument/2006/customXml" ds:itemID="{A56CC2BE-0761-4F83-A0AD-899D83946E79}"/>
</file>

<file path=docProps/app.xml><?xml version="1.0" encoding="utf-8"?>
<Properties xmlns="http://schemas.openxmlformats.org/officeDocument/2006/extended-properties" xmlns:vt="http://schemas.openxmlformats.org/officeDocument/2006/docPropsVTypes">
  <Template>Normal</Template>
  <TotalTime>1</TotalTime>
  <Pages>25</Pages>
  <Words>15477</Words>
  <Characters>88223</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Francois</dc:creator>
  <cp:lastModifiedBy>Patricia Varela</cp:lastModifiedBy>
  <cp:revision>2</cp:revision>
  <cp:lastPrinted>2013-04-16T13:43:00Z</cp:lastPrinted>
  <dcterms:created xsi:type="dcterms:W3CDTF">2013-04-17T14:35:00Z</dcterms:created>
  <dcterms:modified xsi:type="dcterms:W3CDTF">2013-04-17T14:35:00Z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1404800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