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F35C5E8" w14:textId="29319DA8" w:rsidR="00E00E9B" w:rsidRDefault="00E00E9B" w:rsidP="00E00E9B">
      <w:pPr>
        <w:tabs>
          <w:tab w:val="left" w:pos="720"/>
          <w:tab w:val="left" w:pos="1440"/>
          <w:tab w:val="left" w:pos="1800"/>
          <w:tab w:val="left" w:pos="2160"/>
          <w:tab w:val="left" w:pos="2520"/>
          <w:tab w:val="left" w:pos="2880"/>
          <w:tab w:val="right" w:pos="9781"/>
        </w:tabs>
        <w:rPr>
          <w:b/>
          <w:bCs/>
        </w:rPr>
      </w:pPr>
      <w:r w:rsidRPr="00973DF0">
        <w:rPr>
          <w:b/>
          <w:bCs/>
          <w:noProof/>
          <w:lang w:eastAsia="en-GB"/>
        </w:rPr>
        <mc:AlternateContent>
          <mc:Choice Requires="wps">
            <w:drawing>
              <wp:anchor distT="0" distB="0" distL="114300" distR="114300" simplePos="0" relativeHeight="251659264" behindDoc="0" locked="0" layoutInCell="1" allowOverlap="1" wp14:anchorId="2A6F6B52" wp14:editId="0F74F452">
                <wp:simplePos x="0" y="0"/>
                <wp:positionH relativeFrom="column">
                  <wp:posOffset>4711700</wp:posOffset>
                </wp:positionH>
                <wp:positionV relativeFrom="paragraph">
                  <wp:posOffset>-303793</wp:posOffset>
                </wp:positionV>
                <wp:extent cx="1362973" cy="1086928"/>
                <wp:effectExtent l="0" t="0" r="889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973" cy="1086928"/>
                        </a:xfrm>
                        <a:prstGeom prst="rect">
                          <a:avLst/>
                        </a:prstGeom>
                        <a:solidFill>
                          <a:srgbClr val="FFFFFF"/>
                        </a:solidFill>
                        <a:ln w="9525">
                          <a:noFill/>
                          <a:miter lim="800000"/>
                          <a:headEnd/>
                          <a:tailEnd/>
                        </a:ln>
                      </wps:spPr>
                      <wps:txbx>
                        <w:txbxContent>
                          <w:p w14:paraId="4C0C8A90" w14:textId="77777777" w:rsidR="00E00E9B" w:rsidRDefault="00E00E9B" w:rsidP="00E00E9B">
                            <w:r>
                              <w:rPr>
                                <w:noProof/>
                                <w:lang w:eastAsia="en-GB"/>
                              </w:rPr>
                              <w:drawing>
                                <wp:inline distT="0" distB="0" distL="0" distR="0" wp14:anchorId="0035BEC2" wp14:editId="28E3CEA7">
                                  <wp:extent cx="1200150" cy="971550"/>
                                  <wp:effectExtent l="0" t="0" r="0" b="0"/>
                                  <wp:docPr id="1" name="Picture 1" descr="COE-Logo-Fi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E-Logo-Fil-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9715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1pt;margin-top:-23.9pt;width:107.3pt;height:8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" stroked="f">
                <v:textbox>
                  <w:txbxContent>
                    <w:p w14:paraId="4C0C8A90" w14:textId="77777777" w:rsidR="00E00E9B" w:rsidRDefault="00E00E9B" w:rsidP="00E00E9B">
                      <w:r>
                        <w:rPr>
                          <w:noProof/>
                        </w:rPr>
                        <w:drawing>
                          <wp:inline distT="0" distB="0" distL="0" distR="0" wp14:anchorId="0035BEC2" wp14:editId="28E3CEA7">
                            <wp:extent cx="1200150" cy="971550"/>
                            <wp:effectExtent l="0" t="0" r="0" b="0"/>
                            <wp:docPr id="1" name="Picture 1" descr="COE-Logo-Fi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E-Logo-Fil-B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150" cy="971550"/>
                                    </a:xfrm>
                                    <a:prstGeom prst="rect">
                                      <a:avLst/>
                                    </a:prstGeom>
                                    <a:noFill/>
                                    <a:ln>
                                      <a:noFill/>
                                    </a:ln>
                                  </pic:spPr>
                                </pic:pic>
                              </a:graphicData>
                            </a:graphic>
                          </wp:inline>
                        </w:drawing>
                      </w:r>
                    </w:p>
                  </w:txbxContent>
                </v:textbox>
              </v:shape>
            </w:pict>
          </mc:Fallback>
        </mc:AlternateContent>
      </w:r>
      <w:r>
        <w:rPr>
          <w:b/>
          <w:bCs/>
        </w:rPr>
        <w:tab/>
      </w:r>
      <w:r>
        <w:rPr>
          <w:b/>
          <w:bCs/>
        </w:rPr>
        <w:tab/>
      </w:r>
      <w:r>
        <w:rPr>
          <w:b/>
          <w:bCs/>
        </w:rPr>
        <w:tab/>
      </w:r>
      <w:r>
        <w:rPr>
          <w:b/>
          <w:bCs/>
        </w:rPr>
        <w:tab/>
      </w:r>
    </w:p>
    <w:p w14:paraId="16FE8715" w14:textId="77777777" w:rsidR="00E00E9B" w:rsidRDefault="00E00E9B" w:rsidP="00845E0E">
      <w:pPr>
        <w:jc w:val="center"/>
        <w:rPr>
          <w:rStyle w:val="A0"/>
          <w:rFonts w:ascii="Calibri" w:hAnsi="Calibri" w:cs="Calibri"/>
          <w:sz w:val="28"/>
          <w:szCs w:val="28"/>
        </w:rPr>
      </w:pPr>
    </w:p>
    <w:p w14:paraId="6F79F318" w14:textId="77777777" w:rsidR="00EA0EDC" w:rsidRDefault="00EA0EDC" w:rsidP="00845E0E">
      <w:pPr>
        <w:jc w:val="center"/>
        <w:rPr>
          <w:rStyle w:val="A0"/>
          <w:rFonts w:ascii="Calibri" w:hAnsi="Calibri" w:cs="Calibri"/>
          <w:sz w:val="28"/>
          <w:szCs w:val="28"/>
        </w:rPr>
      </w:pPr>
    </w:p>
    <w:p w14:paraId="67FCFF0E" w14:textId="5B95FB89" w:rsidR="006D5E2E" w:rsidRDefault="006D5E2E" w:rsidP="00845E0E">
      <w:pPr>
        <w:jc w:val="center"/>
        <w:rPr>
          <w:rStyle w:val="A0"/>
          <w:rFonts w:ascii="Calibri" w:hAnsi="Calibri" w:cs="Calibri"/>
          <w:sz w:val="28"/>
          <w:szCs w:val="28"/>
        </w:rPr>
      </w:pPr>
      <w:r>
        <w:rPr>
          <w:rStyle w:val="A0"/>
          <w:rFonts w:ascii="Calibri" w:hAnsi="Calibri" w:cs="Calibri"/>
          <w:sz w:val="28"/>
          <w:szCs w:val="28"/>
        </w:rPr>
        <w:t xml:space="preserve">Workshop of Regional and Sub-regional Courts </w:t>
      </w:r>
    </w:p>
    <w:p w14:paraId="6FD1B83D" w14:textId="5744CE18" w:rsidR="006D5E2E" w:rsidRDefault="006D5E2E" w:rsidP="00845E0E">
      <w:pPr>
        <w:jc w:val="center"/>
        <w:rPr>
          <w:rStyle w:val="A0"/>
          <w:rFonts w:ascii="Calibri" w:hAnsi="Calibri" w:cs="Calibri"/>
          <w:sz w:val="28"/>
          <w:szCs w:val="28"/>
        </w:rPr>
      </w:pPr>
      <w:r>
        <w:rPr>
          <w:rStyle w:val="A0"/>
          <w:rFonts w:ascii="Calibri" w:hAnsi="Calibri" w:cs="Calibri"/>
          <w:sz w:val="28"/>
          <w:szCs w:val="28"/>
        </w:rPr>
        <w:t xml:space="preserve">Tuesday, 20 October 2015 </w:t>
      </w:r>
    </w:p>
    <w:p w14:paraId="23DFAEE2" w14:textId="05A35F31" w:rsidR="006D5E2E" w:rsidRDefault="006D5E2E" w:rsidP="00B60742">
      <w:pPr>
        <w:rPr>
          <w:rStyle w:val="A0"/>
          <w:rFonts w:ascii="Calibri" w:hAnsi="Calibri" w:cs="Calibri"/>
          <w:sz w:val="28"/>
          <w:szCs w:val="28"/>
        </w:rPr>
      </w:pPr>
      <w:r>
        <w:rPr>
          <w:rStyle w:val="A0"/>
          <w:rFonts w:ascii="Calibri" w:hAnsi="Calibri" w:cs="Calibri"/>
          <w:sz w:val="28"/>
          <w:szCs w:val="28"/>
        </w:rPr>
        <w:t xml:space="preserve">Session 4b) Judicial stereotyping in cases of sexual and gender based violence </w:t>
      </w:r>
    </w:p>
    <w:p w14:paraId="1CCA6BF7" w14:textId="7EA47C30" w:rsidR="00FC37BD" w:rsidRPr="009900C3" w:rsidRDefault="00B60742" w:rsidP="00845E0E">
      <w:pPr>
        <w:jc w:val="center"/>
        <w:rPr>
          <w:rFonts w:ascii="Calibri" w:hAnsi="Calibri" w:cs="Calibri"/>
          <w:b/>
          <w:bCs/>
          <w:color w:val="000000"/>
          <w:sz w:val="28"/>
          <w:szCs w:val="28"/>
        </w:rPr>
      </w:pPr>
      <w:proofErr w:type="spellStart"/>
      <w:r>
        <w:rPr>
          <w:rStyle w:val="A0"/>
          <w:rFonts w:ascii="Calibri" w:hAnsi="Calibri" w:cs="Calibri"/>
          <w:sz w:val="28"/>
          <w:szCs w:val="28"/>
        </w:rPr>
        <w:t>Raluca</w:t>
      </w:r>
      <w:proofErr w:type="spellEnd"/>
      <w:r>
        <w:rPr>
          <w:rStyle w:val="A0"/>
          <w:rFonts w:ascii="Calibri" w:hAnsi="Calibri" w:cs="Calibri"/>
          <w:sz w:val="28"/>
          <w:szCs w:val="28"/>
        </w:rPr>
        <w:t xml:space="preserve"> </w:t>
      </w:r>
      <w:proofErr w:type="spellStart"/>
      <w:r>
        <w:rPr>
          <w:rStyle w:val="A0"/>
          <w:rFonts w:ascii="Calibri" w:hAnsi="Calibri" w:cs="Calibri"/>
          <w:sz w:val="28"/>
          <w:szCs w:val="28"/>
        </w:rPr>
        <w:t>Popa</w:t>
      </w:r>
      <w:proofErr w:type="spellEnd"/>
      <w:r>
        <w:rPr>
          <w:rStyle w:val="A0"/>
          <w:rFonts w:ascii="Calibri" w:hAnsi="Calibri" w:cs="Calibri"/>
          <w:sz w:val="28"/>
          <w:szCs w:val="28"/>
        </w:rPr>
        <w:t xml:space="preserve">, Gender Equality Unit, Council of Europe </w:t>
      </w:r>
    </w:p>
    <w:p w14:paraId="26AC9C6C" w14:textId="77777777" w:rsidR="00B62F9F" w:rsidRDefault="00B62F9F" w:rsidP="000C7820">
      <w:pPr>
        <w:spacing w:line="240" w:lineRule="auto"/>
        <w:contextualSpacing/>
        <w:rPr>
          <w:rFonts w:ascii="Calibri" w:hAnsi="Calibri" w:cs="Calibri"/>
          <w:b/>
          <w:sz w:val="28"/>
          <w:szCs w:val="28"/>
        </w:rPr>
      </w:pPr>
    </w:p>
    <w:p w14:paraId="340A609E" w14:textId="6F7F5859" w:rsidR="00B62F9F" w:rsidRDefault="00B62F9F" w:rsidP="000C7820">
      <w:pPr>
        <w:spacing w:line="240" w:lineRule="auto"/>
        <w:contextualSpacing/>
        <w:rPr>
          <w:rFonts w:ascii="Calibri" w:hAnsi="Calibri" w:cs="Calibri"/>
          <w:b/>
          <w:sz w:val="28"/>
          <w:szCs w:val="28"/>
        </w:rPr>
      </w:pPr>
      <w:r w:rsidRPr="00B62F9F">
        <w:rPr>
          <w:rFonts w:ascii="Calibri" w:hAnsi="Calibri" w:cs="Calibri"/>
          <w:b/>
          <w:sz w:val="28"/>
          <w:szCs w:val="28"/>
        </w:rPr>
        <w:t>Hono</w:t>
      </w:r>
      <w:r>
        <w:rPr>
          <w:rFonts w:ascii="Calibri" w:hAnsi="Calibri" w:cs="Calibri"/>
          <w:b/>
          <w:sz w:val="28"/>
          <w:szCs w:val="28"/>
        </w:rPr>
        <w:t>urable Judges</w:t>
      </w:r>
    </w:p>
    <w:p w14:paraId="5BF798CF" w14:textId="3E9257DC" w:rsidR="00C5151D" w:rsidRDefault="00C5151D" w:rsidP="000C7820">
      <w:pPr>
        <w:spacing w:line="240" w:lineRule="auto"/>
        <w:contextualSpacing/>
        <w:rPr>
          <w:rFonts w:ascii="Calibri" w:hAnsi="Calibri" w:cs="Calibri"/>
          <w:b/>
          <w:sz w:val="28"/>
          <w:szCs w:val="28"/>
        </w:rPr>
      </w:pPr>
      <w:r>
        <w:rPr>
          <w:rFonts w:ascii="Calibri" w:hAnsi="Calibri" w:cs="Calibri"/>
          <w:b/>
          <w:sz w:val="28"/>
          <w:szCs w:val="28"/>
        </w:rPr>
        <w:t>Dear Colleagues,</w:t>
      </w:r>
    </w:p>
    <w:p w14:paraId="44AE219A" w14:textId="77777777" w:rsidR="00C5151D" w:rsidRDefault="00C5151D" w:rsidP="000C7820">
      <w:pPr>
        <w:spacing w:line="240" w:lineRule="auto"/>
        <w:contextualSpacing/>
        <w:rPr>
          <w:rFonts w:ascii="Calibri" w:hAnsi="Calibri" w:cs="Calibri"/>
          <w:b/>
          <w:sz w:val="28"/>
          <w:szCs w:val="28"/>
        </w:rPr>
      </w:pPr>
      <w:r>
        <w:rPr>
          <w:rFonts w:ascii="Calibri" w:hAnsi="Calibri" w:cs="Calibri"/>
          <w:b/>
          <w:sz w:val="28"/>
          <w:szCs w:val="28"/>
        </w:rPr>
        <w:t>Ladies and Gentlemen,</w:t>
      </w:r>
    </w:p>
    <w:p w14:paraId="0D295D20" w14:textId="77777777" w:rsidR="00B62F9F" w:rsidRDefault="00B62F9F" w:rsidP="000C7820">
      <w:pPr>
        <w:spacing w:line="240" w:lineRule="auto"/>
        <w:contextualSpacing/>
        <w:rPr>
          <w:rFonts w:ascii="Calibri" w:hAnsi="Calibri" w:cs="Calibri"/>
          <w:b/>
          <w:sz w:val="28"/>
          <w:szCs w:val="28"/>
        </w:rPr>
      </w:pPr>
    </w:p>
    <w:p w14:paraId="1C5599A3" w14:textId="79242417" w:rsidR="001E6475" w:rsidRDefault="007A7F7B" w:rsidP="00C670E4">
      <w:pPr>
        <w:spacing w:line="240" w:lineRule="auto"/>
        <w:contextualSpacing/>
        <w:jc w:val="both"/>
        <w:rPr>
          <w:rFonts w:ascii="Calibri" w:hAnsi="Calibri" w:cs="Calibri"/>
          <w:sz w:val="24"/>
          <w:szCs w:val="24"/>
        </w:rPr>
      </w:pPr>
      <w:r w:rsidRPr="007A7F7B">
        <w:rPr>
          <w:rFonts w:ascii="Calibri" w:hAnsi="Calibri" w:cs="Calibri"/>
          <w:sz w:val="24"/>
          <w:szCs w:val="24"/>
        </w:rPr>
        <w:t xml:space="preserve">It is a pleasure to be here and speak at this event, which is placed </w:t>
      </w:r>
      <w:r w:rsidR="00AD31A0">
        <w:rPr>
          <w:rFonts w:ascii="Calibri" w:hAnsi="Calibri" w:cs="Calibri"/>
          <w:sz w:val="24"/>
          <w:szCs w:val="24"/>
        </w:rPr>
        <w:t xml:space="preserve">in </w:t>
      </w:r>
      <w:r w:rsidRPr="007A7F7B">
        <w:rPr>
          <w:rFonts w:ascii="Calibri" w:hAnsi="Calibri" w:cs="Calibri"/>
          <w:sz w:val="24"/>
          <w:szCs w:val="24"/>
        </w:rPr>
        <w:t xml:space="preserve">a series of meetings designed to enhance cooperation between the United Nations and regional mechanisms </w:t>
      </w:r>
      <w:r w:rsidRPr="007A7F7B">
        <w:rPr>
          <w:rFonts w:ascii="Calibri" w:hAnsi="Calibri" w:cs="Calibri"/>
          <w:bCs/>
          <w:iCs/>
          <w:sz w:val="24"/>
          <w:szCs w:val="24"/>
        </w:rPr>
        <w:t>for the promotion and protection of human rights</w:t>
      </w:r>
      <w:r>
        <w:rPr>
          <w:rFonts w:ascii="Calibri" w:hAnsi="Calibri" w:cs="Calibri"/>
          <w:bCs/>
          <w:iCs/>
          <w:sz w:val="24"/>
          <w:szCs w:val="24"/>
        </w:rPr>
        <w:t xml:space="preserve">. </w:t>
      </w:r>
      <w:r w:rsidR="001E6475" w:rsidRPr="00B328B1">
        <w:rPr>
          <w:rFonts w:ascii="Calibri" w:hAnsi="Calibri" w:cs="Calibri"/>
          <w:sz w:val="24"/>
          <w:szCs w:val="24"/>
        </w:rPr>
        <w:t xml:space="preserve">The topic of this </w:t>
      </w:r>
      <w:r w:rsidR="00AD0FE7" w:rsidRPr="00B328B1">
        <w:rPr>
          <w:rFonts w:ascii="Calibri" w:hAnsi="Calibri" w:cs="Calibri"/>
          <w:sz w:val="24"/>
          <w:szCs w:val="24"/>
        </w:rPr>
        <w:t xml:space="preserve">panel is very timely, notably </w:t>
      </w:r>
      <w:r w:rsidR="003875B6">
        <w:rPr>
          <w:rFonts w:ascii="Calibri" w:hAnsi="Calibri" w:cs="Calibri"/>
          <w:sz w:val="24"/>
          <w:szCs w:val="24"/>
        </w:rPr>
        <w:t xml:space="preserve">in light of </w:t>
      </w:r>
      <w:r w:rsidR="00AD0FE7" w:rsidRPr="00B328B1">
        <w:rPr>
          <w:rFonts w:ascii="Calibri" w:hAnsi="Calibri" w:cs="Calibri"/>
          <w:sz w:val="24"/>
          <w:szCs w:val="24"/>
        </w:rPr>
        <w:t xml:space="preserve">the entry into force of the Council of Europe </w:t>
      </w:r>
      <w:r w:rsidR="006449F2" w:rsidRPr="00B328B1">
        <w:rPr>
          <w:rFonts w:ascii="Calibri" w:hAnsi="Calibri" w:cs="Calibri"/>
          <w:sz w:val="24"/>
          <w:szCs w:val="24"/>
        </w:rPr>
        <w:t xml:space="preserve">Convention on preventing and combating violence against women and domestic </w:t>
      </w:r>
      <w:r w:rsidR="0098798A">
        <w:rPr>
          <w:rFonts w:ascii="Calibri" w:hAnsi="Calibri" w:cs="Calibri"/>
          <w:sz w:val="24"/>
          <w:szCs w:val="24"/>
        </w:rPr>
        <w:t>violence (Istanbul Convention) on 1 August 2014</w:t>
      </w:r>
      <w:r w:rsidR="003875B6">
        <w:rPr>
          <w:rFonts w:ascii="Calibri" w:hAnsi="Calibri" w:cs="Calibri"/>
          <w:sz w:val="24"/>
          <w:szCs w:val="24"/>
        </w:rPr>
        <w:t xml:space="preserve"> and the beginning of its monitoring work in September this year</w:t>
      </w:r>
      <w:r w:rsidR="0098798A">
        <w:rPr>
          <w:rFonts w:ascii="Calibri" w:hAnsi="Calibri" w:cs="Calibri"/>
          <w:sz w:val="24"/>
          <w:szCs w:val="24"/>
        </w:rPr>
        <w:t xml:space="preserve">. </w:t>
      </w:r>
    </w:p>
    <w:p w14:paraId="2C915EEB" w14:textId="77777777" w:rsidR="00B328B1" w:rsidRDefault="00B328B1" w:rsidP="00C670E4">
      <w:pPr>
        <w:spacing w:line="240" w:lineRule="auto"/>
        <w:contextualSpacing/>
        <w:jc w:val="both"/>
        <w:rPr>
          <w:rFonts w:ascii="Calibri" w:hAnsi="Calibri" w:cs="Calibri"/>
          <w:sz w:val="24"/>
          <w:szCs w:val="24"/>
        </w:rPr>
      </w:pPr>
    </w:p>
    <w:p w14:paraId="0A10CAB8" w14:textId="5734B1DA" w:rsidR="008B38DD" w:rsidRPr="00DB7170" w:rsidRDefault="008B38DD" w:rsidP="00C670E4">
      <w:pPr>
        <w:spacing w:line="240" w:lineRule="auto"/>
        <w:contextualSpacing/>
        <w:jc w:val="both"/>
        <w:rPr>
          <w:rFonts w:ascii="Calibri" w:hAnsi="Calibri" w:cs="Calibri"/>
          <w:b/>
          <w:sz w:val="24"/>
          <w:szCs w:val="24"/>
        </w:rPr>
      </w:pPr>
      <w:r w:rsidRPr="002E4C03">
        <w:rPr>
          <w:rFonts w:ascii="Calibri" w:hAnsi="Calibri" w:cs="Calibri"/>
          <w:sz w:val="24"/>
          <w:szCs w:val="24"/>
        </w:rPr>
        <w:t>Legal definitions of rape have long focused on the perpetrator’s rather than the victim’s perspective. Instead of asking whether or not the victim had wanted the encounter, the law has been preoccupied with the forceful actions of the perpetrator.</w:t>
      </w:r>
      <w:r>
        <w:rPr>
          <w:rFonts w:ascii="Calibri" w:hAnsi="Calibri" w:cs="Calibri"/>
          <w:sz w:val="24"/>
          <w:szCs w:val="24"/>
        </w:rPr>
        <w:t xml:space="preserve"> The Istanbul Convention, following the jurisprudence of the European Court of Human Right</w:t>
      </w:r>
      <w:r w:rsidR="00FC6179">
        <w:rPr>
          <w:rFonts w:ascii="Calibri" w:hAnsi="Calibri" w:cs="Calibri"/>
          <w:sz w:val="24"/>
          <w:szCs w:val="24"/>
        </w:rPr>
        <w:t>s,</w:t>
      </w:r>
      <w:r>
        <w:rPr>
          <w:rFonts w:ascii="Calibri" w:hAnsi="Calibri" w:cs="Calibri"/>
          <w:sz w:val="24"/>
          <w:szCs w:val="24"/>
        </w:rPr>
        <w:t xml:space="preserve"> is asking Europe and beyond to introduce a fundamental change in how we think about rape. </w:t>
      </w:r>
      <w:r w:rsidR="00DB7170" w:rsidRPr="00DB7170">
        <w:rPr>
          <w:rFonts w:ascii="Calibri" w:hAnsi="Calibri" w:cs="Calibri"/>
          <w:b/>
          <w:sz w:val="24"/>
          <w:szCs w:val="24"/>
        </w:rPr>
        <w:t>What do victims experience and</w:t>
      </w:r>
      <w:r w:rsidR="00DB7170">
        <w:rPr>
          <w:rFonts w:ascii="Calibri" w:hAnsi="Calibri" w:cs="Calibri"/>
          <w:b/>
          <w:sz w:val="24"/>
          <w:szCs w:val="24"/>
        </w:rPr>
        <w:t xml:space="preserve"> what would </w:t>
      </w:r>
      <w:r w:rsidR="00B80207">
        <w:rPr>
          <w:rFonts w:ascii="Calibri" w:hAnsi="Calibri" w:cs="Calibri"/>
          <w:b/>
          <w:sz w:val="24"/>
          <w:szCs w:val="24"/>
        </w:rPr>
        <w:t xml:space="preserve">it </w:t>
      </w:r>
      <w:r w:rsidR="00DB7170">
        <w:rPr>
          <w:rFonts w:ascii="Calibri" w:hAnsi="Calibri" w:cs="Calibri"/>
          <w:b/>
          <w:sz w:val="24"/>
          <w:szCs w:val="24"/>
        </w:rPr>
        <w:t>take to deliver justice from their perspective</w:t>
      </w:r>
      <w:r w:rsidR="00DB7170" w:rsidRPr="00DB7170">
        <w:rPr>
          <w:rFonts w:ascii="Calibri" w:hAnsi="Calibri" w:cs="Calibri"/>
          <w:b/>
          <w:sz w:val="24"/>
          <w:szCs w:val="24"/>
        </w:rPr>
        <w:t xml:space="preserve">? </w:t>
      </w:r>
    </w:p>
    <w:p w14:paraId="773B0EC4" w14:textId="77777777" w:rsidR="008B38DD" w:rsidRDefault="008B38DD" w:rsidP="00C670E4">
      <w:pPr>
        <w:spacing w:line="240" w:lineRule="auto"/>
        <w:contextualSpacing/>
        <w:jc w:val="both"/>
        <w:rPr>
          <w:rFonts w:ascii="Calibri" w:hAnsi="Calibri" w:cs="Calibri"/>
          <w:sz w:val="24"/>
          <w:szCs w:val="24"/>
        </w:rPr>
      </w:pPr>
    </w:p>
    <w:p w14:paraId="70622E7F" w14:textId="77012748" w:rsidR="003D53A2" w:rsidRPr="005A44C2" w:rsidRDefault="00B328B1" w:rsidP="005A44C2">
      <w:pPr>
        <w:spacing w:after="0" w:line="240" w:lineRule="auto"/>
        <w:contextualSpacing/>
        <w:jc w:val="both"/>
        <w:rPr>
          <w:rFonts w:ascii="Calibri" w:hAnsi="Calibri" w:cs="Calibri"/>
          <w:sz w:val="24"/>
          <w:szCs w:val="24"/>
        </w:rPr>
      </w:pPr>
      <w:r>
        <w:rPr>
          <w:rFonts w:ascii="Calibri" w:hAnsi="Calibri" w:cs="Calibri"/>
          <w:sz w:val="24"/>
          <w:szCs w:val="24"/>
        </w:rPr>
        <w:t>In my presentation, I would like to touch upon the following to</w:t>
      </w:r>
      <w:r w:rsidR="005A44C2">
        <w:rPr>
          <w:rFonts w:ascii="Calibri" w:hAnsi="Calibri" w:cs="Calibri"/>
          <w:sz w:val="24"/>
          <w:szCs w:val="24"/>
        </w:rPr>
        <w:t>pics (</w:t>
      </w:r>
      <w:r w:rsidR="005A44C2">
        <w:rPr>
          <w:rFonts w:ascii="Calibri" w:hAnsi="Calibri" w:cs="Calibri"/>
          <w:b/>
          <w:sz w:val="28"/>
          <w:szCs w:val="28"/>
        </w:rPr>
        <w:t>Slide 1: Outline</w:t>
      </w:r>
      <w:r w:rsidR="005A44C2" w:rsidRPr="005A44C2">
        <w:rPr>
          <w:rFonts w:ascii="Calibri" w:hAnsi="Calibri" w:cs="Calibri"/>
          <w:sz w:val="28"/>
          <w:szCs w:val="28"/>
        </w:rPr>
        <w:t>)</w:t>
      </w:r>
    </w:p>
    <w:p w14:paraId="5530BF21" w14:textId="77777777" w:rsidR="00A27983" w:rsidRDefault="00A27983" w:rsidP="005A44C2">
      <w:pPr>
        <w:pStyle w:val="ListParagraph"/>
        <w:numPr>
          <w:ilvl w:val="0"/>
          <w:numId w:val="18"/>
        </w:numPr>
        <w:spacing w:after="0" w:line="240" w:lineRule="auto"/>
        <w:jc w:val="both"/>
        <w:rPr>
          <w:rFonts w:ascii="Calibri" w:hAnsi="Calibri" w:cs="Calibri"/>
          <w:sz w:val="24"/>
          <w:szCs w:val="24"/>
        </w:rPr>
      </w:pPr>
      <w:r>
        <w:rPr>
          <w:rFonts w:ascii="Calibri" w:hAnsi="Calibri" w:cs="Calibri"/>
          <w:sz w:val="24"/>
          <w:szCs w:val="24"/>
        </w:rPr>
        <w:t>Gender stereotyping</w:t>
      </w:r>
    </w:p>
    <w:p w14:paraId="2A6DECDD" w14:textId="77777777" w:rsidR="00A27983" w:rsidRDefault="00864494" w:rsidP="005A44C2">
      <w:pPr>
        <w:pStyle w:val="ListParagraph"/>
        <w:numPr>
          <w:ilvl w:val="0"/>
          <w:numId w:val="18"/>
        </w:numPr>
        <w:spacing w:after="0" w:line="240" w:lineRule="auto"/>
        <w:jc w:val="both"/>
        <w:rPr>
          <w:rFonts w:ascii="Calibri" w:hAnsi="Calibri" w:cs="Calibri"/>
          <w:sz w:val="24"/>
          <w:szCs w:val="24"/>
        </w:rPr>
      </w:pPr>
      <w:r w:rsidRPr="00A27983">
        <w:rPr>
          <w:rFonts w:ascii="Calibri" w:hAnsi="Calibri" w:cs="Calibri"/>
          <w:sz w:val="24"/>
          <w:szCs w:val="24"/>
        </w:rPr>
        <w:t>Judicial ethics requires impartiality, not neutrality</w:t>
      </w:r>
    </w:p>
    <w:p w14:paraId="06176931" w14:textId="77777777" w:rsidR="00A27983" w:rsidRDefault="00864494" w:rsidP="005A44C2">
      <w:pPr>
        <w:pStyle w:val="ListParagraph"/>
        <w:numPr>
          <w:ilvl w:val="0"/>
          <w:numId w:val="18"/>
        </w:numPr>
        <w:spacing w:after="0" w:line="240" w:lineRule="auto"/>
        <w:jc w:val="both"/>
        <w:rPr>
          <w:rFonts w:ascii="Calibri" w:hAnsi="Calibri" w:cs="Calibri"/>
          <w:sz w:val="24"/>
          <w:szCs w:val="24"/>
        </w:rPr>
      </w:pPr>
      <w:r w:rsidRPr="00A27983">
        <w:rPr>
          <w:rFonts w:ascii="Calibri" w:hAnsi="Calibri" w:cs="Calibri"/>
          <w:sz w:val="24"/>
          <w:szCs w:val="24"/>
        </w:rPr>
        <w:t>Sexual violence, including rape</w:t>
      </w:r>
      <w:r w:rsidR="00C870F6" w:rsidRPr="00A27983">
        <w:rPr>
          <w:rFonts w:ascii="Calibri" w:hAnsi="Calibri" w:cs="Calibri"/>
          <w:sz w:val="24"/>
          <w:szCs w:val="24"/>
        </w:rPr>
        <w:t>: changing the definition</w:t>
      </w:r>
    </w:p>
    <w:p w14:paraId="09ED842F" w14:textId="77777777" w:rsidR="00A27983" w:rsidRDefault="00C870F6" w:rsidP="005A44C2">
      <w:pPr>
        <w:pStyle w:val="ListParagraph"/>
        <w:numPr>
          <w:ilvl w:val="0"/>
          <w:numId w:val="18"/>
        </w:numPr>
        <w:spacing w:after="0" w:line="240" w:lineRule="auto"/>
        <w:jc w:val="both"/>
        <w:rPr>
          <w:rFonts w:ascii="Calibri" w:hAnsi="Calibri" w:cs="Calibri"/>
          <w:sz w:val="24"/>
          <w:szCs w:val="24"/>
        </w:rPr>
      </w:pPr>
      <w:r w:rsidRPr="00A27983">
        <w:rPr>
          <w:rFonts w:ascii="Calibri" w:hAnsi="Calibri" w:cs="Calibri"/>
          <w:sz w:val="24"/>
          <w:szCs w:val="24"/>
        </w:rPr>
        <w:t>Gender stereotypes and the prosecution of sexual violence</w:t>
      </w:r>
    </w:p>
    <w:p w14:paraId="07B48943" w14:textId="54A584CB" w:rsidR="00A27983" w:rsidRPr="00A27983" w:rsidRDefault="00C870F6" w:rsidP="005A44C2">
      <w:pPr>
        <w:pStyle w:val="ListParagraph"/>
        <w:numPr>
          <w:ilvl w:val="0"/>
          <w:numId w:val="18"/>
        </w:numPr>
        <w:spacing w:after="0" w:line="240" w:lineRule="auto"/>
        <w:jc w:val="both"/>
        <w:rPr>
          <w:rFonts w:ascii="Calibri" w:hAnsi="Calibri" w:cs="Calibri"/>
          <w:sz w:val="24"/>
          <w:szCs w:val="24"/>
        </w:rPr>
      </w:pPr>
      <w:r w:rsidRPr="00A27983">
        <w:rPr>
          <w:rFonts w:ascii="Calibri" w:hAnsi="Calibri" w:cs="Helvetica"/>
          <w:sz w:val="24"/>
          <w:szCs w:val="24"/>
          <w:lang w:val="en-US"/>
        </w:rPr>
        <w:t>The role of Courts in naming and contesting gender stereotypes in sexual and gender-</w:t>
      </w:r>
      <w:r w:rsidR="00123909">
        <w:rPr>
          <w:rFonts w:ascii="Calibri" w:hAnsi="Calibri" w:cs="Helvetica"/>
          <w:sz w:val="24"/>
          <w:szCs w:val="24"/>
          <w:lang w:val="en-US"/>
        </w:rPr>
        <w:t xml:space="preserve">based </w:t>
      </w:r>
      <w:r w:rsidRPr="00A27983">
        <w:rPr>
          <w:rFonts w:ascii="Calibri" w:hAnsi="Calibri" w:cs="Helvetica"/>
          <w:sz w:val="24"/>
          <w:szCs w:val="24"/>
          <w:lang w:val="en-US"/>
        </w:rPr>
        <w:t>violence cases</w:t>
      </w:r>
    </w:p>
    <w:p w14:paraId="4DD275F5" w14:textId="48559FBD" w:rsidR="00B04AD0" w:rsidRPr="00B04AD0" w:rsidRDefault="00B04AD0" w:rsidP="00B04AD0">
      <w:pPr>
        <w:pStyle w:val="ListParagraph"/>
        <w:numPr>
          <w:ilvl w:val="0"/>
          <w:numId w:val="18"/>
        </w:numPr>
        <w:rPr>
          <w:rFonts w:ascii="Calibri" w:hAnsi="Calibri" w:cs="Calibri"/>
          <w:sz w:val="24"/>
          <w:szCs w:val="24"/>
        </w:rPr>
      </w:pPr>
      <w:r w:rsidRPr="00B04AD0">
        <w:rPr>
          <w:rFonts w:ascii="Calibri" w:hAnsi="Calibri" w:cs="Calibri"/>
          <w:sz w:val="24"/>
          <w:szCs w:val="24"/>
        </w:rPr>
        <w:t xml:space="preserve">Dynamics and synergies within the Council of Europe </w:t>
      </w:r>
    </w:p>
    <w:p w14:paraId="70880588" w14:textId="6530C4DB" w:rsidR="00824CC5" w:rsidRDefault="00824CC5" w:rsidP="005A44C2">
      <w:pPr>
        <w:pStyle w:val="ListParagraph"/>
        <w:numPr>
          <w:ilvl w:val="0"/>
          <w:numId w:val="18"/>
        </w:numPr>
        <w:spacing w:after="0" w:line="240" w:lineRule="auto"/>
        <w:jc w:val="both"/>
        <w:rPr>
          <w:rFonts w:ascii="Calibri" w:hAnsi="Calibri" w:cs="Calibri"/>
          <w:sz w:val="24"/>
          <w:szCs w:val="24"/>
        </w:rPr>
      </w:pPr>
      <w:r w:rsidRPr="00A27983">
        <w:rPr>
          <w:rFonts w:ascii="Calibri" w:hAnsi="Calibri" w:cs="Calibri"/>
          <w:sz w:val="24"/>
          <w:szCs w:val="24"/>
        </w:rPr>
        <w:t xml:space="preserve">Listening to victims of sexual violence </w:t>
      </w:r>
    </w:p>
    <w:p w14:paraId="72E9EFC1" w14:textId="77777777" w:rsidR="00B04AD0" w:rsidRPr="00A27983" w:rsidRDefault="00B04AD0" w:rsidP="00B04AD0">
      <w:pPr>
        <w:pStyle w:val="ListParagraph"/>
        <w:spacing w:after="0" w:line="240" w:lineRule="auto"/>
        <w:ind w:left="1440"/>
        <w:jc w:val="both"/>
        <w:rPr>
          <w:rFonts w:ascii="Calibri" w:hAnsi="Calibri" w:cs="Calibri"/>
          <w:sz w:val="24"/>
          <w:szCs w:val="24"/>
        </w:rPr>
      </w:pPr>
    </w:p>
    <w:p w14:paraId="588034A5" w14:textId="31E6C4AD" w:rsidR="001F4D83" w:rsidRDefault="00A91CE0" w:rsidP="001F4D83">
      <w:pPr>
        <w:spacing w:line="240" w:lineRule="auto"/>
        <w:contextualSpacing/>
        <w:rPr>
          <w:rFonts w:ascii="Calibri" w:hAnsi="Calibri" w:cs="Calibri"/>
          <w:b/>
          <w:sz w:val="28"/>
          <w:szCs w:val="28"/>
        </w:rPr>
      </w:pPr>
      <w:r>
        <w:rPr>
          <w:rFonts w:ascii="Calibri" w:hAnsi="Calibri" w:cs="Calibri"/>
          <w:b/>
          <w:sz w:val="28"/>
          <w:szCs w:val="28"/>
        </w:rPr>
        <w:lastRenderedPageBreak/>
        <w:t>Slide 2</w:t>
      </w:r>
      <w:r w:rsidR="001F4D83">
        <w:rPr>
          <w:rFonts w:ascii="Calibri" w:hAnsi="Calibri" w:cs="Calibri"/>
          <w:b/>
          <w:sz w:val="28"/>
          <w:szCs w:val="28"/>
        </w:rPr>
        <w:t xml:space="preserve">: (Gender) stereotyping </w:t>
      </w:r>
    </w:p>
    <w:p w14:paraId="7B1D4069" w14:textId="3395B0E1" w:rsidR="001F4D83" w:rsidRPr="009E6A04" w:rsidRDefault="001F4D83" w:rsidP="009E6A04">
      <w:pPr>
        <w:spacing w:line="240" w:lineRule="auto"/>
        <w:contextualSpacing/>
        <w:jc w:val="both"/>
        <w:rPr>
          <w:sz w:val="24"/>
          <w:szCs w:val="24"/>
        </w:rPr>
      </w:pPr>
      <w:r w:rsidRPr="009E6A04">
        <w:rPr>
          <w:sz w:val="24"/>
          <w:szCs w:val="24"/>
        </w:rPr>
        <w:t>Stereotyping is part of human nature. It is a way we categorise individuals, often unconsciously, into particular types or groups, in part to simplify the world around us. Stereotypes are both descriptive (perceiving all members of a certain group to have the same attributes regardless of individual differences) and prescriptive (setting the paramete</w:t>
      </w:r>
      <w:r w:rsidR="00541FCE" w:rsidRPr="009E6A04">
        <w:rPr>
          <w:sz w:val="24"/>
          <w:szCs w:val="24"/>
        </w:rPr>
        <w:t>rs for “acceptable” behaviour).</w:t>
      </w:r>
      <w:r w:rsidR="00541FCE" w:rsidRPr="009E6A04">
        <w:rPr>
          <w:rStyle w:val="FootnoteReference"/>
          <w:sz w:val="24"/>
          <w:szCs w:val="24"/>
        </w:rPr>
        <w:footnoteReference w:id="1"/>
      </w:r>
      <w:r w:rsidR="00541FCE" w:rsidRPr="009E6A04">
        <w:rPr>
          <w:color w:val="262323"/>
          <w:sz w:val="24"/>
          <w:szCs w:val="24"/>
        </w:rPr>
        <w:t xml:space="preserve"> </w:t>
      </w:r>
    </w:p>
    <w:p w14:paraId="2C3CF8C0" w14:textId="77777777" w:rsidR="001F4D83" w:rsidRPr="009E6A04" w:rsidRDefault="001F4D83" w:rsidP="009E6A04">
      <w:pPr>
        <w:spacing w:line="240" w:lineRule="auto"/>
        <w:contextualSpacing/>
        <w:jc w:val="both"/>
        <w:rPr>
          <w:rFonts w:ascii="Calibri" w:hAnsi="Calibri" w:cs="Calibri"/>
          <w:b/>
          <w:sz w:val="24"/>
          <w:szCs w:val="24"/>
        </w:rPr>
      </w:pPr>
    </w:p>
    <w:p w14:paraId="11DB8E41" w14:textId="7AB7EE7E" w:rsidR="001F4D83" w:rsidRPr="00F14475" w:rsidRDefault="00E711D6" w:rsidP="009E6A04">
      <w:pPr>
        <w:spacing w:line="240" w:lineRule="auto"/>
        <w:contextualSpacing/>
        <w:jc w:val="both"/>
        <w:rPr>
          <w:rFonts w:ascii="Calibri" w:hAnsi="Calibri" w:cs="Calibri"/>
          <w:sz w:val="24"/>
          <w:szCs w:val="24"/>
        </w:rPr>
      </w:pPr>
      <w:r w:rsidRPr="009E6A04">
        <w:rPr>
          <w:rFonts w:ascii="Calibri" w:hAnsi="Calibri" w:cs="Calibri"/>
          <w:sz w:val="24"/>
          <w:szCs w:val="24"/>
        </w:rPr>
        <w:t xml:space="preserve">Stereotyping is part of the </w:t>
      </w:r>
      <w:r w:rsidR="001F4D83" w:rsidRPr="009E6A04">
        <w:rPr>
          <w:rFonts w:ascii="Calibri" w:hAnsi="Calibri" w:cs="Calibri"/>
          <w:sz w:val="24"/>
          <w:szCs w:val="24"/>
        </w:rPr>
        <w:t>mechanisms that underlie inequality and discrimination</w:t>
      </w:r>
      <w:r w:rsidRPr="009E6A04">
        <w:rPr>
          <w:rFonts w:ascii="Calibri" w:hAnsi="Calibri" w:cs="Calibri"/>
          <w:sz w:val="24"/>
          <w:szCs w:val="24"/>
        </w:rPr>
        <w:t xml:space="preserve">. Increasingly, with the removal of overt discriminatory provisions in laws and other written regulations, these mechanisms have become more hidden from view. </w:t>
      </w:r>
      <w:r w:rsidR="0008688F" w:rsidRPr="009E6A04">
        <w:rPr>
          <w:rFonts w:ascii="Calibri" w:hAnsi="Calibri" w:cs="Calibri"/>
          <w:sz w:val="24"/>
          <w:szCs w:val="24"/>
        </w:rPr>
        <w:t xml:space="preserve">Indirect discrimination is the most widespread form of discrimination against women in Europe today and it is perpetuated by persistent gender stereotypes. </w:t>
      </w:r>
      <w:r w:rsidR="001F4D83" w:rsidRPr="009E6A04">
        <w:rPr>
          <w:rFonts w:ascii="Calibri" w:hAnsi="Calibri" w:cs="Calibri"/>
          <w:sz w:val="24"/>
          <w:szCs w:val="24"/>
        </w:rPr>
        <w:t xml:space="preserve">If we want to realise women’s rights, we must challenge </w:t>
      </w:r>
      <w:r w:rsidR="0008688F" w:rsidRPr="009E6A04">
        <w:rPr>
          <w:rFonts w:ascii="Calibri" w:hAnsi="Calibri" w:cs="Calibri"/>
          <w:sz w:val="24"/>
          <w:szCs w:val="24"/>
        </w:rPr>
        <w:t xml:space="preserve">such </w:t>
      </w:r>
      <w:r w:rsidR="001F4D83" w:rsidRPr="009E6A04">
        <w:rPr>
          <w:rFonts w:ascii="Calibri" w:hAnsi="Calibri" w:cs="Calibri"/>
          <w:sz w:val="24"/>
          <w:szCs w:val="24"/>
        </w:rPr>
        <w:t xml:space="preserve">gender stereotypes. </w:t>
      </w:r>
    </w:p>
    <w:p w14:paraId="46C43FDF" w14:textId="77777777" w:rsidR="002E2215" w:rsidRPr="009E6A04" w:rsidRDefault="002E2215" w:rsidP="009E6A04">
      <w:pPr>
        <w:spacing w:line="240" w:lineRule="auto"/>
        <w:contextualSpacing/>
        <w:jc w:val="both"/>
        <w:rPr>
          <w:rFonts w:ascii="Calibri" w:hAnsi="Calibri" w:cs="Calibri"/>
          <w:b/>
          <w:sz w:val="24"/>
          <w:szCs w:val="24"/>
        </w:rPr>
      </w:pPr>
    </w:p>
    <w:p w14:paraId="783D6EA6" w14:textId="755130A6" w:rsidR="006A0640" w:rsidRPr="002E2215" w:rsidRDefault="00A91CE0" w:rsidP="009E6A04">
      <w:pPr>
        <w:spacing w:line="240" w:lineRule="auto"/>
        <w:contextualSpacing/>
        <w:jc w:val="both"/>
        <w:rPr>
          <w:rFonts w:ascii="Calibri" w:hAnsi="Calibri" w:cs="Calibri"/>
          <w:b/>
          <w:sz w:val="28"/>
          <w:szCs w:val="28"/>
        </w:rPr>
      </w:pPr>
      <w:r w:rsidRPr="006202DA">
        <w:rPr>
          <w:rFonts w:ascii="Calibri" w:hAnsi="Calibri" w:cs="Calibri"/>
          <w:b/>
          <w:sz w:val="28"/>
          <w:szCs w:val="28"/>
        </w:rPr>
        <w:t>Slide 3</w:t>
      </w:r>
      <w:r w:rsidR="003D53A2" w:rsidRPr="006202DA">
        <w:rPr>
          <w:rFonts w:ascii="Calibri" w:hAnsi="Calibri" w:cs="Calibri"/>
          <w:b/>
          <w:sz w:val="28"/>
          <w:szCs w:val="28"/>
        </w:rPr>
        <w:t xml:space="preserve">: </w:t>
      </w:r>
      <w:r w:rsidR="00057CFF" w:rsidRPr="006202DA">
        <w:rPr>
          <w:rFonts w:ascii="Calibri" w:hAnsi="Calibri" w:cs="Calibri"/>
          <w:b/>
          <w:sz w:val="28"/>
          <w:szCs w:val="28"/>
        </w:rPr>
        <w:t>Judicial ethics requires impartiality, not neutrality</w:t>
      </w:r>
    </w:p>
    <w:p w14:paraId="33D005A5" w14:textId="45B09A1D" w:rsidR="004261E3" w:rsidRPr="001D6B34" w:rsidRDefault="002D01C6" w:rsidP="006D4ED6">
      <w:pPr>
        <w:spacing w:after="0" w:line="240" w:lineRule="auto"/>
        <w:contextualSpacing/>
        <w:jc w:val="both"/>
        <w:rPr>
          <w:rFonts w:ascii="Calibri" w:hAnsi="Calibri" w:cs="Calibri"/>
          <w:sz w:val="24"/>
          <w:szCs w:val="24"/>
          <w:lang w:val="en-US"/>
        </w:rPr>
      </w:pPr>
      <w:r w:rsidRPr="002E2215">
        <w:rPr>
          <w:rFonts w:ascii="Calibri" w:hAnsi="Calibri" w:cs="Calibri"/>
          <w:sz w:val="24"/>
          <w:szCs w:val="24"/>
          <w:lang w:val="en-US"/>
        </w:rPr>
        <w:t xml:space="preserve">The likelihood for judges to get involved in challenging (gender) stereotypes, including in judicial practice, is often limited by expectations or perceptions of judicial neutrality. </w:t>
      </w:r>
      <w:r w:rsidRPr="009E1C18">
        <w:rPr>
          <w:rFonts w:ascii="Calibri" w:hAnsi="Calibri" w:cs="Calibri"/>
          <w:sz w:val="24"/>
          <w:szCs w:val="24"/>
          <w:lang w:val="en-US"/>
        </w:rPr>
        <w:t xml:space="preserve">In reality, as one of the former Vice-Presidents of the European Court of Human Rights, Judge </w:t>
      </w:r>
      <w:r w:rsidR="009E1C18" w:rsidRPr="009E1C18">
        <w:rPr>
          <w:rFonts w:ascii="Calibri" w:eastAsia="Times New Roman" w:hAnsi="Calibri" w:cs="Calibri"/>
          <w:sz w:val="24"/>
          <w:szCs w:val="24"/>
          <w:lang w:val="en-US"/>
        </w:rPr>
        <w:t xml:space="preserve">Françoise </w:t>
      </w:r>
      <w:proofErr w:type="spellStart"/>
      <w:r w:rsidR="009E1C18" w:rsidRPr="009E1C18">
        <w:rPr>
          <w:rFonts w:ascii="Calibri" w:eastAsia="Times New Roman" w:hAnsi="Calibri" w:cs="Calibri"/>
          <w:sz w:val="24"/>
          <w:szCs w:val="24"/>
          <w:lang w:val="en-US"/>
        </w:rPr>
        <w:t>Tulkens</w:t>
      </w:r>
      <w:proofErr w:type="spellEnd"/>
      <w:r w:rsidR="009E1C18">
        <w:rPr>
          <w:rFonts w:ascii="Calibri" w:eastAsia="Times New Roman" w:hAnsi="Calibri" w:cs="Calibri"/>
          <w:sz w:val="24"/>
          <w:szCs w:val="24"/>
          <w:lang w:val="en-US"/>
        </w:rPr>
        <w:t xml:space="preserve">, </w:t>
      </w:r>
      <w:r w:rsidRPr="009E1C18">
        <w:rPr>
          <w:rFonts w:ascii="Calibri" w:hAnsi="Calibri" w:cs="Calibri"/>
          <w:sz w:val="24"/>
          <w:szCs w:val="24"/>
          <w:lang w:val="en-US"/>
        </w:rPr>
        <w:t xml:space="preserve">put it: “the neutral judge does not exist”. </w:t>
      </w:r>
      <w:r w:rsidR="00C6277F" w:rsidRPr="009E1C18">
        <w:rPr>
          <w:rFonts w:ascii="Calibri" w:hAnsi="Calibri" w:cs="Calibri"/>
          <w:color w:val="000000"/>
          <w:sz w:val="24"/>
          <w:szCs w:val="24"/>
          <w:lang w:val="en-US"/>
        </w:rPr>
        <w:t>N</w:t>
      </w:r>
      <w:r w:rsidR="004261E3" w:rsidRPr="009E1C18">
        <w:rPr>
          <w:rFonts w:ascii="Calibri" w:hAnsi="Calibri" w:cs="Calibri"/>
          <w:color w:val="000000"/>
          <w:sz w:val="24"/>
          <w:szCs w:val="24"/>
          <w:lang w:val="en-US"/>
        </w:rPr>
        <w:t>o judge can be entirel</w:t>
      </w:r>
      <w:r w:rsidRPr="009E1C18">
        <w:rPr>
          <w:rFonts w:ascii="Calibri" w:hAnsi="Calibri" w:cs="Calibri"/>
          <w:color w:val="000000"/>
          <w:sz w:val="24"/>
          <w:szCs w:val="24"/>
          <w:lang w:val="en-US"/>
        </w:rPr>
        <w:t>y neutral, because</w:t>
      </w:r>
      <w:r w:rsidR="004261E3" w:rsidRPr="009E1C18">
        <w:rPr>
          <w:rFonts w:ascii="Calibri" w:hAnsi="Calibri" w:cs="Calibri"/>
          <w:color w:val="000000"/>
          <w:sz w:val="24"/>
          <w:szCs w:val="24"/>
          <w:lang w:val="en-US"/>
        </w:rPr>
        <w:t xml:space="preserve"> he/she is always the product of his/her</w:t>
      </w:r>
      <w:r w:rsidR="00C6277F" w:rsidRPr="009E1C18">
        <w:rPr>
          <w:rFonts w:ascii="Calibri" w:hAnsi="Calibri" w:cs="Calibri"/>
          <w:color w:val="000000"/>
          <w:sz w:val="24"/>
          <w:szCs w:val="24"/>
          <w:lang w:val="en-US"/>
        </w:rPr>
        <w:t xml:space="preserve"> </w:t>
      </w:r>
      <w:r w:rsidR="004261E3" w:rsidRPr="009E1C18">
        <w:rPr>
          <w:rFonts w:ascii="Calibri" w:hAnsi="Calibri" w:cs="Calibri"/>
          <w:color w:val="000000"/>
          <w:sz w:val="24"/>
          <w:szCs w:val="24"/>
          <w:lang w:val="en-US"/>
        </w:rPr>
        <w:t xml:space="preserve">history, environment, opinions, assumptions and convictions. </w:t>
      </w:r>
      <w:r w:rsidR="00B80C30" w:rsidRPr="002E2215">
        <w:rPr>
          <w:rFonts w:ascii="Calibri" w:hAnsi="Calibri" w:cs="Calibri"/>
          <w:color w:val="000000"/>
          <w:sz w:val="24"/>
          <w:szCs w:val="24"/>
          <w:lang w:val="en-US"/>
        </w:rPr>
        <w:t xml:space="preserve">Neutrality is distinct from judicial impartiality, which is a fundamental element of securing </w:t>
      </w:r>
      <w:r w:rsidR="003875B6">
        <w:rPr>
          <w:rFonts w:ascii="Calibri" w:hAnsi="Calibri" w:cs="Calibri"/>
          <w:color w:val="000000"/>
          <w:sz w:val="24"/>
          <w:szCs w:val="24"/>
          <w:lang w:val="en-US"/>
        </w:rPr>
        <w:t xml:space="preserve">a fair trial and </w:t>
      </w:r>
      <w:r w:rsidR="00B80C30" w:rsidRPr="002E2215">
        <w:rPr>
          <w:rFonts w:ascii="Calibri" w:hAnsi="Calibri" w:cs="Calibri"/>
          <w:color w:val="000000"/>
          <w:sz w:val="24"/>
          <w:szCs w:val="24"/>
          <w:lang w:val="en-US"/>
        </w:rPr>
        <w:t xml:space="preserve">access to justice for all. Impartiality means that </w:t>
      </w:r>
      <w:r w:rsidR="004261E3" w:rsidRPr="002E2215">
        <w:rPr>
          <w:rFonts w:ascii="Calibri" w:hAnsi="Calibri" w:cs="Calibri"/>
          <w:color w:val="000000"/>
          <w:sz w:val="24"/>
          <w:szCs w:val="24"/>
          <w:lang w:val="en-US"/>
        </w:rPr>
        <w:t>every judge,</w:t>
      </w:r>
      <w:r w:rsidR="00C6277F" w:rsidRPr="002E2215">
        <w:rPr>
          <w:rFonts w:ascii="Calibri" w:hAnsi="Calibri" w:cs="Calibri"/>
          <w:color w:val="000000"/>
          <w:sz w:val="24"/>
          <w:szCs w:val="24"/>
          <w:lang w:val="en-US"/>
        </w:rPr>
        <w:t xml:space="preserve"> </w:t>
      </w:r>
      <w:r w:rsidR="004261E3" w:rsidRPr="002E2215">
        <w:rPr>
          <w:rFonts w:ascii="Calibri" w:hAnsi="Calibri" w:cs="Calibri"/>
          <w:color w:val="000000"/>
          <w:sz w:val="24"/>
          <w:szCs w:val="24"/>
          <w:lang w:val="en-US"/>
        </w:rPr>
        <w:t>male or female, must strive to take up a right distance</w:t>
      </w:r>
      <w:r w:rsidR="00CC4136" w:rsidRPr="002E2215">
        <w:rPr>
          <w:rFonts w:ascii="Calibri" w:hAnsi="Calibri" w:cs="Calibri"/>
          <w:color w:val="000000"/>
          <w:sz w:val="24"/>
          <w:szCs w:val="24"/>
          <w:lang w:val="en-US"/>
        </w:rPr>
        <w:t xml:space="preserve">, </w:t>
      </w:r>
      <w:r w:rsidR="00B80C30" w:rsidRPr="002E2215">
        <w:rPr>
          <w:rFonts w:ascii="Calibri" w:hAnsi="Calibri" w:cs="Calibri"/>
          <w:color w:val="000000"/>
          <w:sz w:val="24"/>
          <w:szCs w:val="24"/>
          <w:lang w:val="en-US"/>
        </w:rPr>
        <w:t xml:space="preserve">including </w:t>
      </w:r>
      <w:r w:rsidR="006D4ED6">
        <w:rPr>
          <w:rFonts w:ascii="Calibri" w:hAnsi="Calibri" w:cs="Calibri"/>
          <w:color w:val="000000"/>
          <w:sz w:val="24"/>
          <w:szCs w:val="24"/>
          <w:lang w:val="en-US"/>
        </w:rPr>
        <w:t>a distance from him- or herself</w:t>
      </w:r>
      <w:r w:rsidR="004261E3" w:rsidRPr="002E2215">
        <w:rPr>
          <w:rFonts w:ascii="Calibri" w:hAnsi="Calibri" w:cs="Calibri"/>
          <w:color w:val="000000"/>
          <w:sz w:val="24"/>
          <w:szCs w:val="24"/>
          <w:lang w:val="en-US"/>
        </w:rPr>
        <w:t>, under the influence of the</w:t>
      </w:r>
      <w:r w:rsidR="00C6277F" w:rsidRPr="002E2215">
        <w:rPr>
          <w:rFonts w:ascii="Calibri" w:hAnsi="Calibri" w:cs="Calibri"/>
          <w:color w:val="000000"/>
          <w:sz w:val="24"/>
          <w:szCs w:val="24"/>
          <w:lang w:val="en-US"/>
        </w:rPr>
        <w:t xml:space="preserve"> </w:t>
      </w:r>
      <w:r w:rsidR="004261E3" w:rsidRPr="002E2215">
        <w:rPr>
          <w:rFonts w:ascii="Calibri" w:hAnsi="Calibri" w:cs="Calibri"/>
          <w:color w:val="000000"/>
          <w:sz w:val="24"/>
          <w:szCs w:val="24"/>
          <w:lang w:val="en-US"/>
        </w:rPr>
        <w:t xml:space="preserve">facts and the case file. </w:t>
      </w:r>
    </w:p>
    <w:p w14:paraId="79AAC70F" w14:textId="77777777" w:rsidR="00B72D35" w:rsidRPr="002E2215" w:rsidRDefault="00B72D35" w:rsidP="009E6A04">
      <w:pPr>
        <w:spacing w:line="240" w:lineRule="auto"/>
        <w:contextualSpacing/>
        <w:jc w:val="both"/>
        <w:rPr>
          <w:rFonts w:ascii="Calibri" w:hAnsi="Calibri" w:cs="Calibri"/>
          <w:color w:val="000000"/>
          <w:sz w:val="24"/>
          <w:szCs w:val="24"/>
          <w:lang w:val="en-US"/>
        </w:rPr>
      </w:pPr>
    </w:p>
    <w:p w14:paraId="35EA5969" w14:textId="20233DBA" w:rsidR="003D53A2" w:rsidRPr="002E2215" w:rsidRDefault="00B57C22" w:rsidP="009E6A04">
      <w:pPr>
        <w:spacing w:line="240" w:lineRule="auto"/>
        <w:contextualSpacing/>
        <w:jc w:val="both"/>
        <w:rPr>
          <w:rFonts w:ascii="Calibri" w:hAnsi="Calibri" w:cs="Calibri"/>
          <w:color w:val="000000"/>
          <w:sz w:val="24"/>
          <w:szCs w:val="24"/>
          <w:lang w:val="en-US"/>
        </w:rPr>
      </w:pPr>
      <w:r>
        <w:rPr>
          <w:rFonts w:ascii="Calibri" w:hAnsi="Calibri" w:cs="Calibri"/>
          <w:color w:val="000000"/>
          <w:sz w:val="24"/>
          <w:szCs w:val="24"/>
          <w:lang w:val="en-US"/>
        </w:rPr>
        <w:t xml:space="preserve">As long as it hides behind the claim of neutrality, </w:t>
      </w:r>
      <w:r w:rsidR="00BE7014" w:rsidRPr="002E2215">
        <w:rPr>
          <w:rFonts w:ascii="Calibri" w:hAnsi="Calibri" w:cs="Calibri"/>
          <w:color w:val="000000"/>
          <w:sz w:val="24"/>
          <w:szCs w:val="24"/>
          <w:lang w:val="en-US"/>
        </w:rPr>
        <w:t>s</w:t>
      </w:r>
      <w:r w:rsidR="00B72D35" w:rsidRPr="002E2215">
        <w:rPr>
          <w:rFonts w:ascii="Calibri" w:hAnsi="Calibri" w:cs="Calibri"/>
          <w:color w:val="000000"/>
          <w:sz w:val="24"/>
          <w:szCs w:val="24"/>
          <w:lang w:val="en-US"/>
        </w:rPr>
        <w:t xml:space="preserve">tereotyping can comprise the impartiality of judges’ decisions. </w:t>
      </w:r>
      <w:r w:rsidR="00613042" w:rsidRPr="002E2215">
        <w:rPr>
          <w:rFonts w:ascii="Calibri" w:hAnsi="Calibri" w:cs="Calibri"/>
          <w:color w:val="000000"/>
          <w:sz w:val="24"/>
          <w:szCs w:val="24"/>
          <w:lang w:val="en-US"/>
        </w:rPr>
        <w:t>And it is all the more</w:t>
      </w:r>
      <w:r w:rsidR="00AD0793" w:rsidRPr="002E2215">
        <w:rPr>
          <w:rFonts w:ascii="Calibri" w:hAnsi="Calibri" w:cs="Calibri"/>
          <w:color w:val="000000"/>
          <w:sz w:val="24"/>
          <w:szCs w:val="24"/>
          <w:lang w:val="en-US"/>
        </w:rPr>
        <w:t xml:space="preserve"> important to </w:t>
      </w:r>
      <w:r w:rsidR="00613042" w:rsidRPr="002E2215">
        <w:rPr>
          <w:rFonts w:ascii="Calibri" w:hAnsi="Calibri" w:cs="Calibri"/>
          <w:color w:val="000000"/>
          <w:sz w:val="24"/>
          <w:szCs w:val="24"/>
          <w:lang w:val="en-US"/>
        </w:rPr>
        <w:t xml:space="preserve">specifically </w:t>
      </w:r>
      <w:r w:rsidR="00AD0793" w:rsidRPr="002E2215">
        <w:rPr>
          <w:rFonts w:ascii="Calibri" w:hAnsi="Calibri" w:cs="Calibri"/>
          <w:color w:val="000000"/>
          <w:sz w:val="24"/>
          <w:szCs w:val="24"/>
          <w:lang w:val="en-US"/>
        </w:rPr>
        <w:t xml:space="preserve">acknowledge and address </w:t>
      </w:r>
      <w:r w:rsidR="00613042" w:rsidRPr="002E2215">
        <w:rPr>
          <w:rFonts w:ascii="Calibri" w:hAnsi="Calibri" w:cs="Calibri"/>
          <w:color w:val="000000"/>
          <w:sz w:val="24"/>
          <w:szCs w:val="24"/>
          <w:lang w:val="en-US"/>
        </w:rPr>
        <w:t xml:space="preserve">judicial stereotyping, as </w:t>
      </w:r>
      <w:r w:rsidR="00613042" w:rsidRPr="002E2215">
        <w:rPr>
          <w:rFonts w:ascii="Calibri" w:hAnsi="Calibri" w:cs="Calibri"/>
          <w:sz w:val="24"/>
          <w:szCs w:val="24"/>
        </w:rPr>
        <w:t>j</w:t>
      </w:r>
      <w:r w:rsidR="00D876BC" w:rsidRPr="002E2215">
        <w:rPr>
          <w:rFonts w:ascii="Calibri" w:hAnsi="Calibri" w:cs="Calibri"/>
          <w:sz w:val="24"/>
          <w:szCs w:val="24"/>
        </w:rPr>
        <w:t xml:space="preserve">udges’ </w:t>
      </w:r>
      <w:r w:rsidR="00613042" w:rsidRPr="002E2215">
        <w:rPr>
          <w:rFonts w:ascii="Calibri" w:hAnsi="Calibri" w:cs="Calibri"/>
          <w:sz w:val="24"/>
          <w:szCs w:val="24"/>
        </w:rPr>
        <w:t xml:space="preserve">opinion is very influential and it can be used to rebalance power inequalities and injustices in society. </w:t>
      </w:r>
    </w:p>
    <w:p w14:paraId="53BEEDDA" w14:textId="77777777" w:rsidR="00D876BC" w:rsidRPr="009E6A04" w:rsidRDefault="00D876BC" w:rsidP="009E6A04">
      <w:pPr>
        <w:spacing w:line="240" w:lineRule="auto"/>
        <w:contextualSpacing/>
        <w:jc w:val="both"/>
        <w:rPr>
          <w:rFonts w:ascii="Calibri" w:hAnsi="Calibri" w:cs="Calibri"/>
          <w:b/>
          <w:sz w:val="24"/>
          <w:szCs w:val="24"/>
        </w:rPr>
      </w:pPr>
    </w:p>
    <w:p w14:paraId="51D962B9" w14:textId="3EA37313" w:rsidR="009E6A04" w:rsidRPr="000555E1" w:rsidRDefault="000555E1" w:rsidP="009E6A04">
      <w:pPr>
        <w:spacing w:line="240" w:lineRule="auto"/>
        <w:contextualSpacing/>
        <w:rPr>
          <w:rFonts w:ascii="Calibri" w:hAnsi="Calibri" w:cs="Calibri"/>
          <w:b/>
          <w:sz w:val="28"/>
          <w:szCs w:val="28"/>
        </w:rPr>
      </w:pPr>
      <w:r w:rsidRPr="000555E1">
        <w:rPr>
          <w:rFonts w:ascii="Calibri" w:hAnsi="Calibri" w:cs="Calibri"/>
          <w:b/>
          <w:sz w:val="28"/>
          <w:szCs w:val="28"/>
        </w:rPr>
        <w:t>Slide 4</w:t>
      </w:r>
      <w:r w:rsidR="006A0640" w:rsidRPr="000555E1">
        <w:rPr>
          <w:rFonts w:ascii="Calibri" w:hAnsi="Calibri" w:cs="Calibri"/>
          <w:b/>
          <w:sz w:val="28"/>
          <w:szCs w:val="28"/>
        </w:rPr>
        <w:t>: Sexual violence, including ra</w:t>
      </w:r>
      <w:r w:rsidR="00837C8D" w:rsidRPr="000555E1">
        <w:rPr>
          <w:rFonts w:ascii="Calibri" w:hAnsi="Calibri" w:cs="Calibri"/>
          <w:b/>
          <w:sz w:val="28"/>
          <w:szCs w:val="28"/>
        </w:rPr>
        <w:t xml:space="preserve">pe: </w:t>
      </w:r>
      <w:r w:rsidR="00864494">
        <w:rPr>
          <w:rFonts w:ascii="Calibri" w:hAnsi="Calibri" w:cs="Calibri"/>
          <w:b/>
          <w:sz w:val="28"/>
          <w:szCs w:val="28"/>
        </w:rPr>
        <w:t xml:space="preserve">changing the definition </w:t>
      </w:r>
    </w:p>
    <w:p w14:paraId="728F6D28" w14:textId="77777777" w:rsidR="001D6B34" w:rsidRDefault="009E6A04" w:rsidP="0048547D">
      <w:pPr>
        <w:spacing w:line="240" w:lineRule="auto"/>
        <w:contextualSpacing/>
        <w:jc w:val="both"/>
        <w:rPr>
          <w:rFonts w:ascii="Calibri" w:hAnsi="Calibri" w:cs="Calibri"/>
          <w:sz w:val="24"/>
          <w:szCs w:val="24"/>
        </w:rPr>
      </w:pPr>
      <w:r w:rsidRPr="009E6A04">
        <w:rPr>
          <w:rFonts w:ascii="Calibri" w:hAnsi="Calibri" w:cs="Calibri"/>
          <w:sz w:val="24"/>
          <w:szCs w:val="24"/>
        </w:rPr>
        <w:t xml:space="preserve">Addressing gender stereotypes is crucial in cases of sexual and gender-based violence, where </w:t>
      </w:r>
      <w:r w:rsidRPr="009E6A04">
        <w:rPr>
          <w:color w:val="000000"/>
          <w:sz w:val="24"/>
          <w:szCs w:val="24"/>
        </w:rPr>
        <w:t>s</w:t>
      </w:r>
      <w:r w:rsidRPr="009E6A04">
        <w:rPr>
          <w:rFonts w:ascii="Calibri" w:hAnsi="Calibri" w:cs="Calibri"/>
          <w:sz w:val="24"/>
          <w:szCs w:val="24"/>
        </w:rPr>
        <w:t>purious ‘myths</w:t>
      </w:r>
      <w:r w:rsidR="00A45430">
        <w:rPr>
          <w:rFonts w:ascii="Calibri" w:hAnsi="Calibri" w:cs="Calibri"/>
          <w:sz w:val="24"/>
          <w:szCs w:val="24"/>
        </w:rPr>
        <w:t xml:space="preserve"> and misconceptions</w:t>
      </w:r>
      <w:r w:rsidRPr="009E6A04">
        <w:rPr>
          <w:rFonts w:ascii="Calibri" w:hAnsi="Calibri" w:cs="Calibri"/>
          <w:sz w:val="24"/>
          <w:szCs w:val="24"/>
        </w:rPr>
        <w:t>’ continue to inform both the popular and penal imagination.</w:t>
      </w:r>
    </w:p>
    <w:p w14:paraId="3B159796" w14:textId="035B9424" w:rsidR="001517AB" w:rsidRDefault="00FC37BD" w:rsidP="0048547D">
      <w:pPr>
        <w:spacing w:line="240" w:lineRule="auto"/>
        <w:contextualSpacing/>
        <w:jc w:val="both"/>
        <w:rPr>
          <w:rFonts w:ascii="Calibri" w:hAnsi="Calibri" w:cs="Calibri"/>
          <w:sz w:val="24"/>
          <w:szCs w:val="24"/>
        </w:rPr>
      </w:pPr>
      <w:r w:rsidRPr="009E6A04">
        <w:rPr>
          <w:rFonts w:ascii="Calibri" w:hAnsi="Calibri" w:cs="Calibri"/>
          <w:b/>
          <w:sz w:val="24"/>
          <w:szCs w:val="24"/>
        </w:rPr>
        <w:br/>
      </w:r>
      <w:r w:rsidR="004E4680" w:rsidRPr="009E6A04">
        <w:rPr>
          <w:rFonts w:ascii="Calibri" w:hAnsi="Calibri" w:cs="Calibri"/>
          <w:sz w:val="24"/>
          <w:szCs w:val="24"/>
        </w:rPr>
        <w:t xml:space="preserve">Rape is a pervasive, </w:t>
      </w:r>
      <w:r w:rsidR="00F67732">
        <w:rPr>
          <w:rFonts w:ascii="Calibri" w:hAnsi="Calibri" w:cs="Calibri"/>
          <w:sz w:val="24"/>
          <w:szCs w:val="24"/>
        </w:rPr>
        <w:t xml:space="preserve">highly gendered, type of abuse, which </w:t>
      </w:r>
      <w:r w:rsidR="00FE4CBE">
        <w:rPr>
          <w:rFonts w:ascii="Calibri" w:hAnsi="Calibri" w:cs="Calibri"/>
          <w:sz w:val="24"/>
          <w:szCs w:val="24"/>
        </w:rPr>
        <w:t xml:space="preserve">is </w:t>
      </w:r>
      <w:r w:rsidR="004E4680" w:rsidRPr="009E6A04">
        <w:rPr>
          <w:rFonts w:ascii="Calibri" w:hAnsi="Calibri" w:cs="Calibri"/>
          <w:sz w:val="24"/>
          <w:szCs w:val="24"/>
        </w:rPr>
        <w:t>reproduced through</w:t>
      </w:r>
      <w:r w:rsidR="001517AB" w:rsidRPr="009E6A04">
        <w:rPr>
          <w:rFonts w:ascii="Calibri" w:hAnsi="Calibri" w:cs="Calibri"/>
          <w:sz w:val="24"/>
          <w:szCs w:val="24"/>
        </w:rPr>
        <w:t xml:space="preserve"> stereotypes that devalue women;</w:t>
      </w:r>
      <w:r w:rsidR="004E4680" w:rsidRPr="009E6A04">
        <w:rPr>
          <w:rFonts w:ascii="Calibri" w:hAnsi="Calibri" w:cs="Calibri"/>
          <w:sz w:val="24"/>
          <w:szCs w:val="24"/>
        </w:rPr>
        <w:t xml:space="preserve"> </w:t>
      </w:r>
      <w:r w:rsidR="00FE4CBE" w:rsidRPr="009E6A04">
        <w:rPr>
          <w:rFonts w:ascii="Calibri" w:hAnsi="Calibri" w:cs="Calibri"/>
          <w:sz w:val="24"/>
          <w:szCs w:val="24"/>
        </w:rPr>
        <w:t xml:space="preserve">through </w:t>
      </w:r>
      <w:r w:rsidR="00FE4CBE">
        <w:rPr>
          <w:rFonts w:ascii="Calibri" w:hAnsi="Calibri" w:cs="Calibri"/>
          <w:sz w:val="24"/>
          <w:szCs w:val="24"/>
        </w:rPr>
        <w:t xml:space="preserve">the practices of socialisation, </w:t>
      </w:r>
      <w:r w:rsidR="00FE4CBE" w:rsidRPr="009E6A04">
        <w:rPr>
          <w:rFonts w:ascii="Calibri" w:hAnsi="Calibri" w:cs="Calibri"/>
          <w:sz w:val="24"/>
          <w:szCs w:val="24"/>
        </w:rPr>
        <w:t>that orient boys towards power, contr</w:t>
      </w:r>
      <w:r w:rsidR="00FE4CBE">
        <w:rPr>
          <w:rFonts w:ascii="Calibri" w:hAnsi="Calibri" w:cs="Calibri"/>
          <w:sz w:val="24"/>
          <w:szCs w:val="24"/>
        </w:rPr>
        <w:t xml:space="preserve">ol and endorsement of violence; </w:t>
      </w:r>
      <w:r w:rsidR="004E4680" w:rsidRPr="009E6A04">
        <w:rPr>
          <w:rFonts w:ascii="Calibri" w:hAnsi="Calibri" w:cs="Calibri"/>
          <w:sz w:val="24"/>
          <w:szCs w:val="24"/>
        </w:rPr>
        <w:t>through the media’s glorification of violence and the se</w:t>
      </w:r>
      <w:r w:rsidR="001517AB" w:rsidRPr="009E6A04">
        <w:rPr>
          <w:rFonts w:ascii="Calibri" w:hAnsi="Calibri" w:cs="Calibri"/>
          <w:sz w:val="24"/>
          <w:szCs w:val="24"/>
        </w:rPr>
        <w:t xml:space="preserve">xualisation of women and girls; </w:t>
      </w:r>
      <w:r w:rsidR="0048547D">
        <w:rPr>
          <w:rFonts w:ascii="Calibri" w:hAnsi="Calibri" w:cs="Calibri"/>
          <w:sz w:val="24"/>
          <w:szCs w:val="24"/>
        </w:rPr>
        <w:t xml:space="preserve">but also </w:t>
      </w:r>
      <w:r w:rsidR="004E4680" w:rsidRPr="009E6A04">
        <w:rPr>
          <w:rFonts w:ascii="Calibri" w:hAnsi="Calibri" w:cs="Calibri"/>
          <w:sz w:val="24"/>
          <w:szCs w:val="24"/>
        </w:rPr>
        <w:t xml:space="preserve">through the weak or limited implementation of the law, which signals to rapists </w:t>
      </w:r>
      <w:r w:rsidR="001517AB" w:rsidRPr="009E6A04">
        <w:rPr>
          <w:rFonts w:ascii="Calibri" w:hAnsi="Calibri" w:cs="Calibri"/>
          <w:sz w:val="24"/>
          <w:szCs w:val="24"/>
        </w:rPr>
        <w:t>that they can act with impunity;</w:t>
      </w:r>
      <w:r w:rsidR="004E4680" w:rsidRPr="009E6A04">
        <w:rPr>
          <w:rFonts w:ascii="Calibri" w:hAnsi="Calibri" w:cs="Calibri"/>
          <w:sz w:val="24"/>
          <w:szCs w:val="24"/>
        </w:rPr>
        <w:t xml:space="preserve"> </w:t>
      </w:r>
      <w:r w:rsidR="005038EA">
        <w:rPr>
          <w:rFonts w:ascii="Calibri" w:hAnsi="Calibri" w:cs="Calibri"/>
          <w:sz w:val="24"/>
          <w:szCs w:val="24"/>
        </w:rPr>
        <w:t xml:space="preserve">and, not least, </w:t>
      </w:r>
      <w:r w:rsidR="004E4680" w:rsidRPr="009E6A04">
        <w:rPr>
          <w:rFonts w:ascii="Calibri" w:hAnsi="Calibri" w:cs="Calibri"/>
          <w:sz w:val="24"/>
          <w:szCs w:val="24"/>
        </w:rPr>
        <w:t>through the failure of the cri</w:t>
      </w:r>
      <w:r w:rsidR="001517AB" w:rsidRPr="009E6A04">
        <w:rPr>
          <w:rFonts w:ascii="Calibri" w:hAnsi="Calibri" w:cs="Calibri"/>
          <w:sz w:val="24"/>
          <w:szCs w:val="24"/>
        </w:rPr>
        <w:t xml:space="preserve">minal justice system to </w:t>
      </w:r>
      <w:r w:rsidR="005038EA">
        <w:rPr>
          <w:rFonts w:ascii="Calibri" w:hAnsi="Calibri" w:cs="Calibri"/>
          <w:sz w:val="24"/>
          <w:szCs w:val="24"/>
        </w:rPr>
        <w:t xml:space="preserve">respond. </w:t>
      </w:r>
    </w:p>
    <w:p w14:paraId="593C96E0" w14:textId="77777777" w:rsidR="00805219" w:rsidRPr="009E6A04" w:rsidRDefault="00805219" w:rsidP="009E6A04">
      <w:pPr>
        <w:spacing w:line="240" w:lineRule="auto"/>
        <w:contextualSpacing/>
        <w:rPr>
          <w:rFonts w:ascii="Calibri" w:hAnsi="Calibri" w:cs="Calibri"/>
          <w:b/>
          <w:sz w:val="24"/>
          <w:szCs w:val="24"/>
        </w:rPr>
      </w:pPr>
    </w:p>
    <w:p w14:paraId="73FBB7D5" w14:textId="6DA9117D" w:rsidR="007063EF" w:rsidRDefault="00501615" w:rsidP="00584275">
      <w:pPr>
        <w:spacing w:after="0" w:line="240" w:lineRule="auto"/>
        <w:contextualSpacing/>
        <w:jc w:val="both"/>
        <w:rPr>
          <w:rFonts w:ascii="Calibri" w:hAnsi="Calibri" w:cs="Calibri"/>
          <w:sz w:val="24"/>
          <w:szCs w:val="24"/>
        </w:rPr>
      </w:pPr>
      <w:r w:rsidRPr="002E4C03">
        <w:rPr>
          <w:rFonts w:ascii="Calibri" w:hAnsi="Calibri" w:cs="Calibri"/>
          <w:sz w:val="24"/>
          <w:szCs w:val="24"/>
        </w:rPr>
        <w:lastRenderedPageBreak/>
        <w:t xml:space="preserve">Consequently, the offence of rape was defined in many national jurisdictions to require the use of physical force to overpower the victim’s resistance. </w:t>
      </w:r>
      <w:r w:rsidR="007C3D4B" w:rsidRPr="002E4C03">
        <w:rPr>
          <w:rFonts w:ascii="Calibri" w:hAnsi="Calibri" w:cs="Calibri"/>
          <w:sz w:val="24"/>
          <w:szCs w:val="24"/>
        </w:rPr>
        <w:t>Many countries continue to place too much emphasis on the use of force and require robust evidence that women resist</w:t>
      </w:r>
      <w:r w:rsidR="008A1C04" w:rsidRPr="002E4C03">
        <w:rPr>
          <w:rFonts w:ascii="Calibri" w:hAnsi="Calibri" w:cs="Calibri"/>
          <w:sz w:val="24"/>
          <w:szCs w:val="24"/>
        </w:rPr>
        <w:t>ed</w:t>
      </w:r>
      <w:r w:rsidR="007C3D4B" w:rsidRPr="002E4C03">
        <w:rPr>
          <w:rFonts w:ascii="Calibri" w:hAnsi="Calibri" w:cs="Calibri"/>
          <w:sz w:val="24"/>
          <w:szCs w:val="24"/>
        </w:rPr>
        <w:t xml:space="preserve"> their</w:t>
      </w:r>
      <w:r w:rsidR="00356D55" w:rsidRPr="002E4C03">
        <w:rPr>
          <w:rFonts w:ascii="Calibri" w:hAnsi="Calibri" w:cs="Calibri"/>
          <w:sz w:val="24"/>
          <w:szCs w:val="24"/>
        </w:rPr>
        <w:t xml:space="preserve"> attacker</w:t>
      </w:r>
      <w:r w:rsidR="007C3D4B" w:rsidRPr="002E4C03">
        <w:rPr>
          <w:rFonts w:ascii="Calibri" w:hAnsi="Calibri" w:cs="Calibri"/>
          <w:sz w:val="24"/>
          <w:szCs w:val="24"/>
        </w:rPr>
        <w:t xml:space="preserve">’s advances to the utmost, both verbally and physically. </w:t>
      </w:r>
    </w:p>
    <w:p w14:paraId="42E1EC7A" w14:textId="77777777" w:rsidR="00ED5D04" w:rsidRPr="002E4C03" w:rsidRDefault="00ED5D04" w:rsidP="000C7820">
      <w:pPr>
        <w:spacing w:after="0" w:line="240" w:lineRule="auto"/>
        <w:contextualSpacing/>
        <w:rPr>
          <w:rFonts w:ascii="Calibri" w:hAnsi="Calibri" w:cs="Calibri"/>
          <w:sz w:val="24"/>
          <w:szCs w:val="24"/>
        </w:rPr>
      </w:pPr>
    </w:p>
    <w:p w14:paraId="61FF1F39" w14:textId="285EFDFB" w:rsidR="00627377" w:rsidRDefault="00274450" w:rsidP="00584275">
      <w:pPr>
        <w:spacing w:after="0" w:line="240" w:lineRule="auto"/>
        <w:contextualSpacing/>
        <w:jc w:val="both"/>
        <w:rPr>
          <w:rFonts w:ascii="Calibri" w:hAnsi="Calibri" w:cs="Calibri"/>
          <w:sz w:val="24"/>
          <w:szCs w:val="24"/>
        </w:rPr>
      </w:pPr>
      <w:r w:rsidRPr="002E4C03">
        <w:rPr>
          <w:rFonts w:ascii="Calibri" w:hAnsi="Calibri" w:cs="Calibri"/>
          <w:sz w:val="24"/>
          <w:szCs w:val="24"/>
        </w:rPr>
        <w:t xml:space="preserve">The past two decades witnessed a </w:t>
      </w:r>
      <w:r w:rsidR="007F607A" w:rsidRPr="002E4C03">
        <w:rPr>
          <w:rFonts w:ascii="Calibri" w:hAnsi="Calibri" w:cs="Calibri"/>
          <w:sz w:val="24"/>
          <w:szCs w:val="24"/>
        </w:rPr>
        <w:t xml:space="preserve">steady evolution of rape laws </w:t>
      </w:r>
      <w:r w:rsidR="00F30AF8">
        <w:rPr>
          <w:rFonts w:ascii="Calibri" w:hAnsi="Calibri" w:cs="Calibri"/>
          <w:sz w:val="24"/>
          <w:szCs w:val="24"/>
        </w:rPr>
        <w:t xml:space="preserve">from a narrow focus upon force </w:t>
      </w:r>
      <w:r w:rsidR="007F607A" w:rsidRPr="002E4C03">
        <w:rPr>
          <w:rFonts w:ascii="Calibri" w:hAnsi="Calibri" w:cs="Calibri"/>
          <w:sz w:val="24"/>
          <w:szCs w:val="24"/>
        </w:rPr>
        <w:t xml:space="preserve">towards </w:t>
      </w:r>
      <w:r w:rsidRPr="002E4C03">
        <w:rPr>
          <w:rFonts w:ascii="Calibri" w:hAnsi="Calibri" w:cs="Calibri"/>
          <w:sz w:val="24"/>
          <w:szCs w:val="24"/>
        </w:rPr>
        <w:t xml:space="preserve">an </w:t>
      </w:r>
      <w:r w:rsidR="007F607A" w:rsidRPr="002E4C03">
        <w:rPr>
          <w:rFonts w:ascii="Calibri" w:hAnsi="Calibri" w:cs="Calibri"/>
          <w:sz w:val="24"/>
          <w:szCs w:val="24"/>
        </w:rPr>
        <w:t>emphasis on consent</w:t>
      </w:r>
      <w:r w:rsidRPr="002E4C03">
        <w:rPr>
          <w:rFonts w:ascii="Calibri" w:hAnsi="Calibri" w:cs="Calibri"/>
          <w:sz w:val="24"/>
          <w:szCs w:val="24"/>
        </w:rPr>
        <w:t>. At the European level, this shift was brought about by the landmark judgement of the European Court of Human Rights (</w:t>
      </w:r>
      <w:proofErr w:type="spellStart"/>
      <w:r w:rsidRPr="002E4C03">
        <w:rPr>
          <w:rFonts w:ascii="Calibri" w:hAnsi="Calibri" w:cs="Calibri"/>
          <w:sz w:val="24"/>
          <w:szCs w:val="24"/>
        </w:rPr>
        <w:t>ECtHR</w:t>
      </w:r>
      <w:proofErr w:type="spellEnd"/>
      <w:r w:rsidRPr="002E4C03">
        <w:rPr>
          <w:rFonts w:ascii="Calibri" w:hAnsi="Calibri" w:cs="Calibri"/>
          <w:sz w:val="24"/>
          <w:szCs w:val="24"/>
        </w:rPr>
        <w:t xml:space="preserve">) in the case of </w:t>
      </w:r>
      <w:r w:rsidRPr="00F30AF8">
        <w:rPr>
          <w:rFonts w:ascii="Calibri" w:hAnsi="Calibri" w:cs="Calibri"/>
          <w:i/>
          <w:sz w:val="24"/>
          <w:szCs w:val="24"/>
        </w:rPr>
        <w:t>M.C. v Bulgaria</w:t>
      </w:r>
      <w:r w:rsidRPr="002E4C03">
        <w:rPr>
          <w:rFonts w:ascii="Calibri" w:hAnsi="Calibri" w:cs="Calibri"/>
          <w:sz w:val="24"/>
          <w:szCs w:val="24"/>
        </w:rPr>
        <w:t xml:space="preserve">, in 2003. While the </w:t>
      </w:r>
      <w:proofErr w:type="spellStart"/>
      <w:r w:rsidRPr="002E4C03">
        <w:rPr>
          <w:rFonts w:ascii="Calibri" w:hAnsi="Calibri" w:cs="Calibri"/>
          <w:sz w:val="24"/>
          <w:szCs w:val="24"/>
        </w:rPr>
        <w:t>ECtHR</w:t>
      </w:r>
      <w:proofErr w:type="spellEnd"/>
      <w:r w:rsidRPr="002E4C03">
        <w:rPr>
          <w:rFonts w:ascii="Calibri" w:hAnsi="Calibri" w:cs="Calibri"/>
          <w:sz w:val="24"/>
          <w:szCs w:val="24"/>
        </w:rPr>
        <w:t xml:space="preserve"> had taken up the issue of rape in previous judgements also,</w:t>
      </w:r>
      <w:r w:rsidR="005E1EA2">
        <w:rPr>
          <w:rFonts w:ascii="Calibri" w:hAnsi="Calibri" w:cs="Calibri"/>
          <w:sz w:val="24"/>
          <w:szCs w:val="24"/>
        </w:rPr>
        <w:t xml:space="preserve"> this was </w:t>
      </w:r>
      <w:r w:rsidR="00563B35" w:rsidRPr="002E4C03">
        <w:rPr>
          <w:rFonts w:ascii="Calibri" w:hAnsi="Calibri" w:cs="Calibri"/>
          <w:sz w:val="24"/>
          <w:szCs w:val="24"/>
        </w:rPr>
        <w:t xml:space="preserve">the first case to consider a </w:t>
      </w:r>
      <w:r w:rsidR="00563B35" w:rsidRPr="002E4C03">
        <w:rPr>
          <w:rFonts w:ascii="Calibri" w:hAnsi="Calibri" w:cs="Calibri"/>
          <w:sz w:val="24"/>
          <w:szCs w:val="24"/>
          <w:u w:val="single"/>
        </w:rPr>
        <w:t>definition of rape</w:t>
      </w:r>
      <w:r w:rsidR="00563B35" w:rsidRPr="002E4C03">
        <w:rPr>
          <w:rFonts w:ascii="Calibri" w:hAnsi="Calibri" w:cs="Calibri"/>
          <w:sz w:val="24"/>
          <w:szCs w:val="24"/>
        </w:rPr>
        <w:t xml:space="preserve">. </w:t>
      </w:r>
      <w:r w:rsidR="00F174ED" w:rsidRPr="002E4C03">
        <w:rPr>
          <w:rFonts w:ascii="Calibri" w:hAnsi="Calibri" w:cs="Calibri"/>
          <w:sz w:val="24"/>
          <w:szCs w:val="24"/>
        </w:rPr>
        <w:t>In accordance with contemporary standards and trends, the Court stated that “</w:t>
      </w:r>
      <w:r w:rsidR="00F174ED" w:rsidRPr="002E4C03">
        <w:rPr>
          <w:rFonts w:ascii="Calibri" w:hAnsi="Calibri" w:cs="Calibri"/>
          <w:i/>
          <w:sz w:val="24"/>
          <w:szCs w:val="24"/>
        </w:rPr>
        <w:t xml:space="preserve">the </w:t>
      </w:r>
      <w:r w:rsidR="00170985">
        <w:rPr>
          <w:rFonts w:ascii="Calibri" w:hAnsi="Calibri" w:cs="Calibri"/>
          <w:i/>
          <w:sz w:val="24"/>
          <w:szCs w:val="24"/>
        </w:rPr>
        <w:t xml:space="preserve">[European </w:t>
      </w:r>
      <w:r w:rsidR="00F174ED" w:rsidRPr="002E4C03">
        <w:rPr>
          <w:rFonts w:ascii="Calibri" w:hAnsi="Calibri" w:cs="Calibri"/>
          <w:i/>
          <w:sz w:val="24"/>
          <w:szCs w:val="24"/>
        </w:rPr>
        <w:t xml:space="preserve">Convention </w:t>
      </w:r>
      <w:r w:rsidR="00170985">
        <w:rPr>
          <w:rFonts w:ascii="Calibri" w:hAnsi="Calibri" w:cs="Calibri"/>
          <w:i/>
          <w:sz w:val="24"/>
          <w:szCs w:val="24"/>
        </w:rPr>
        <w:t xml:space="preserve">on Human Rights] </w:t>
      </w:r>
      <w:r w:rsidR="00F174ED" w:rsidRPr="002E4C03">
        <w:rPr>
          <w:rFonts w:ascii="Calibri" w:hAnsi="Calibri" w:cs="Calibri"/>
          <w:i/>
          <w:sz w:val="24"/>
          <w:szCs w:val="24"/>
        </w:rPr>
        <w:t xml:space="preserve">must be seen as requiring the penalisation and effective prosecution of any non-consensual sexual act, </w:t>
      </w:r>
      <w:r w:rsidR="00010614" w:rsidRPr="002E4C03">
        <w:rPr>
          <w:rFonts w:ascii="Calibri" w:hAnsi="Calibri" w:cs="Calibri"/>
          <w:i/>
          <w:sz w:val="24"/>
          <w:szCs w:val="24"/>
        </w:rPr>
        <w:t>including in the absence of physical resistance by the victim</w:t>
      </w:r>
      <w:r w:rsidR="00F174ED" w:rsidRPr="002E4C03">
        <w:rPr>
          <w:rFonts w:ascii="Calibri" w:hAnsi="Calibri" w:cs="Calibri"/>
          <w:sz w:val="24"/>
          <w:szCs w:val="24"/>
        </w:rPr>
        <w:t xml:space="preserve">”. The Court </w:t>
      </w:r>
      <w:r w:rsidR="0099220E" w:rsidRPr="002E4C03">
        <w:rPr>
          <w:rFonts w:ascii="Calibri" w:hAnsi="Calibri" w:cs="Calibri"/>
          <w:sz w:val="24"/>
          <w:szCs w:val="24"/>
        </w:rPr>
        <w:t xml:space="preserve">went on to consider </w:t>
      </w:r>
      <w:r w:rsidR="007312C0" w:rsidRPr="002E4C03">
        <w:rPr>
          <w:rFonts w:ascii="Calibri" w:hAnsi="Calibri" w:cs="Calibri"/>
          <w:sz w:val="24"/>
          <w:szCs w:val="24"/>
        </w:rPr>
        <w:t>rape legislation that focus</w:t>
      </w:r>
      <w:r w:rsidR="00FB45AD" w:rsidRPr="002E4C03">
        <w:rPr>
          <w:rFonts w:ascii="Calibri" w:hAnsi="Calibri" w:cs="Calibri"/>
          <w:sz w:val="24"/>
          <w:szCs w:val="24"/>
        </w:rPr>
        <w:t>es exclusively or unduly on proving the use of force rather than the lack of consent of the victim to be in violation of the European Convention of Human Rights. The Istanbul Convention incorporat</w:t>
      </w:r>
      <w:r w:rsidR="002F0CB8" w:rsidRPr="002E4C03">
        <w:rPr>
          <w:rFonts w:ascii="Calibri" w:hAnsi="Calibri" w:cs="Calibri"/>
          <w:sz w:val="24"/>
          <w:szCs w:val="24"/>
        </w:rPr>
        <w:t>ed this judgement by requiring states p</w:t>
      </w:r>
      <w:r w:rsidR="00FB45AD" w:rsidRPr="002E4C03">
        <w:rPr>
          <w:rFonts w:ascii="Calibri" w:hAnsi="Calibri" w:cs="Calibri"/>
          <w:sz w:val="24"/>
          <w:szCs w:val="24"/>
        </w:rPr>
        <w:t>arties to adapt their criminal legislation on sexual violence and rape to f</w:t>
      </w:r>
      <w:r w:rsidR="000E448D" w:rsidRPr="002E4C03">
        <w:rPr>
          <w:rFonts w:ascii="Calibri" w:hAnsi="Calibri" w:cs="Calibri"/>
          <w:sz w:val="24"/>
          <w:szCs w:val="24"/>
        </w:rPr>
        <w:t>ocus on the lack of consent as the</w:t>
      </w:r>
      <w:r w:rsidR="00FB45AD" w:rsidRPr="002E4C03">
        <w:rPr>
          <w:rFonts w:ascii="Calibri" w:hAnsi="Calibri" w:cs="Calibri"/>
          <w:sz w:val="24"/>
          <w:szCs w:val="24"/>
        </w:rPr>
        <w:t xml:space="preserve"> co</w:t>
      </w:r>
      <w:r w:rsidR="002F0CB8" w:rsidRPr="002E4C03">
        <w:rPr>
          <w:rFonts w:ascii="Calibri" w:hAnsi="Calibri" w:cs="Calibri"/>
          <w:sz w:val="24"/>
          <w:szCs w:val="24"/>
        </w:rPr>
        <w:t xml:space="preserve">nstituent element of the crime (Article 36). </w:t>
      </w:r>
    </w:p>
    <w:p w14:paraId="51F02B25" w14:textId="77777777" w:rsidR="00CB1584" w:rsidRDefault="00CB1584" w:rsidP="00F81B2D">
      <w:pPr>
        <w:spacing w:after="0" w:line="240" w:lineRule="auto"/>
        <w:contextualSpacing/>
        <w:rPr>
          <w:rFonts w:ascii="Calibri" w:hAnsi="Calibri" w:cs="Calibri"/>
          <w:sz w:val="24"/>
          <w:szCs w:val="24"/>
        </w:rPr>
      </w:pPr>
    </w:p>
    <w:p w14:paraId="54872CD0" w14:textId="05B41AB0" w:rsidR="00702A48" w:rsidRDefault="002E4C03" w:rsidP="00CB1584">
      <w:pPr>
        <w:spacing w:after="0" w:line="240" w:lineRule="auto"/>
        <w:contextualSpacing/>
        <w:jc w:val="both"/>
        <w:rPr>
          <w:rFonts w:ascii="Calibri" w:hAnsi="Calibri" w:cs="Calibri"/>
          <w:sz w:val="24"/>
          <w:szCs w:val="24"/>
          <w:lang w:val="en-US"/>
        </w:rPr>
      </w:pPr>
      <w:r w:rsidRPr="00E40745">
        <w:rPr>
          <w:rFonts w:ascii="Calibri" w:hAnsi="Calibri" w:cs="Calibri"/>
          <w:sz w:val="24"/>
          <w:szCs w:val="24"/>
        </w:rPr>
        <w:t>Reliance on consent in rape laws gives centrality to the victim’s perspective and agency.</w:t>
      </w:r>
      <w:r w:rsidR="00DA2455">
        <w:rPr>
          <w:rFonts w:ascii="Calibri" w:hAnsi="Calibri" w:cs="Calibri"/>
          <w:sz w:val="24"/>
          <w:szCs w:val="24"/>
          <w:lang w:val="en-US"/>
        </w:rPr>
        <w:t xml:space="preserve"> </w:t>
      </w:r>
      <w:r w:rsidR="003477FF">
        <w:rPr>
          <w:rFonts w:ascii="Calibri" w:hAnsi="Calibri" w:cs="Calibri"/>
          <w:sz w:val="24"/>
          <w:szCs w:val="24"/>
        </w:rPr>
        <w:t xml:space="preserve">Women may feel unable to resist the sexual demands of a more powerful man, or they may exhibit non-conforming behaviour, </w:t>
      </w:r>
      <w:r w:rsidR="00EA0E9F" w:rsidRPr="00E40745">
        <w:rPr>
          <w:rFonts w:ascii="Calibri" w:hAnsi="Calibri" w:cs="Calibri"/>
          <w:sz w:val="24"/>
          <w:szCs w:val="24"/>
        </w:rPr>
        <w:t xml:space="preserve">for example, by drinking alcohol, </w:t>
      </w:r>
      <w:r w:rsidR="003477FF">
        <w:rPr>
          <w:rFonts w:ascii="Calibri" w:hAnsi="Calibri" w:cs="Calibri"/>
          <w:sz w:val="24"/>
          <w:szCs w:val="24"/>
        </w:rPr>
        <w:t xml:space="preserve">or dressing in a way that transgresses cultural codes of ‘female </w:t>
      </w:r>
      <w:r w:rsidR="00DA2455">
        <w:rPr>
          <w:rFonts w:ascii="Calibri" w:hAnsi="Calibri" w:cs="Calibri"/>
          <w:sz w:val="24"/>
          <w:szCs w:val="24"/>
        </w:rPr>
        <w:t>modesty’</w:t>
      </w:r>
      <w:r w:rsidR="00EA0E9F" w:rsidRPr="00E40745">
        <w:rPr>
          <w:rFonts w:ascii="Calibri" w:hAnsi="Calibri" w:cs="Calibri"/>
          <w:sz w:val="24"/>
          <w:szCs w:val="24"/>
        </w:rPr>
        <w:t xml:space="preserve">. </w:t>
      </w:r>
      <w:r w:rsidR="00EA0E9F" w:rsidRPr="00E40745">
        <w:rPr>
          <w:rFonts w:ascii="Calibri" w:hAnsi="Calibri" w:cs="Calibri"/>
          <w:sz w:val="24"/>
          <w:szCs w:val="24"/>
          <w:lang w:val="en-US"/>
        </w:rPr>
        <w:t>It is important to ensure that the interpretations of rape legislation and the prosecution of rape cases are not influenced by gender stereotypes and myths about male and female sexuality.</w:t>
      </w:r>
    </w:p>
    <w:p w14:paraId="46E29B3A" w14:textId="77777777" w:rsidR="00F81B2D" w:rsidRPr="00F81B2D" w:rsidRDefault="00F81B2D" w:rsidP="00F81B2D">
      <w:pPr>
        <w:spacing w:after="0" w:line="240" w:lineRule="auto"/>
        <w:contextualSpacing/>
        <w:rPr>
          <w:rFonts w:ascii="Calibri" w:hAnsi="Calibri" w:cs="Calibri"/>
          <w:sz w:val="24"/>
          <w:szCs w:val="24"/>
          <w:lang w:val="en-US"/>
        </w:rPr>
      </w:pPr>
    </w:p>
    <w:p w14:paraId="60CF1901" w14:textId="6ED38293" w:rsidR="001D2481" w:rsidRDefault="00A91CE0" w:rsidP="00734B66">
      <w:pPr>
        <w:rPr>
          <w:rFonts w:ascii="Calibri" w:hAnsi="Calibri" w:cs="Calibri"/>
          <w:b/>
          <w:sz w:val="28"/>
          <w:szCs w:val="28"/>
        </w:rPr>
      </w:pPr>
      <w:r>
        <w:rPr>
          <w:rFonts w:ascii="Calibri" w:hAnsi="Calibri" w:cs="Calibri"/>
          <w:b/>
          <w:sz w:val="28"/>
          <w:szCs w:val="28"/>
        </w:rPr>
        <w:t xml:space="preserve">Slide </w:t>
      </w:r>
      <w:r w:rsidR="00D000F9">
        <w:rPr>
          <w:rFonts w:ascii="Calibri" w:hAnsi="Calibri" w:cs="Calibri"/>
          <w:b/>
          <w:sz w:val="28"/>
          <w:szCs w:val="28"/>
        </w:rPr>
        <w:t>5: Gender stereotypes and the prosecution of sexual violence</w:t>
      </w:r>
    </w:p>
    <w:p w14:paraId="7AA18D93" w14:textId="77777777" w:rsidR="00D000F9" w:rsidRDefault="00D000F9" w:rsidP="00107070">
      <w:pPr>
        <w:spacing w:line="240" w:lineRule="auto"/>
        <w:contextualSpacing/>
        <w:jc w:val="both"/>
        <w:rPr>
          <w:rFonts w:ascii="Calibri" w:hAnsi="Calibri" w:cs="Calibri"/>
          <w:sz w:val="24"/>
          <w:szCs w:val="24"/>
        </w:rPr>
      </w:pPr>
      <w:r w:rsidRPr="009E6A04">
        <w:rPr>
          <w:rFonts w:ascii="Calibri" w:hAnsi="Calibri" w:cs="Calibri"/>
          <w:sz w:val="24"/>
          <w:szCs w:val="24"/>
        </w:rPr>
        <w:t xml:space="preserve">Rape remains among the </w:t>
      </w:r>
      <w:r>
        <w:rPr>
          <w:rFonts w:ascii="Calibri" w:hAnsi="Calibri" w:cs="Calibri"/>
          <w:sz w:val="24"/>
          <w:szCs w:val="24"/>
        </w:rPr>
        <w:t xml:space="preserve">crimes </w:t>
      </w:r>
      <w:r w:rsidRPr="009E6A04">
        <w:rPr>
          <w:rFonts w:ascii="Calibri" w:hAnsi="Calibri" w:cs="Calibri"/>
          <w:sz w:val="24"/>
          <w:szCs w:val="24"/>
        </w:rPr>
        <w:t xml:space="preserve">least reported, the least frequently prosecuted and the least likely to result in conviction of the offender. </w:t>
      </w:r>
    </w:p>
    <w:p w14:paraId="7F765B82" w14:textId="77777777" w:rsidR="00D000F9" w:rsidRDefault="00D000F9" w:rsidP="00107070">
      <w:pPr>
        <w:spacing w:after="0" w:line="240" w:lineRule="auto"/>
        <w:jc w:val="both"/>
        <w:rPr>
          <w:rFonts w:ascii="Calibri" w:hAnsi="Calibri" w:cs="Calibri"/>
          <w:sz w:val="24"/>
          <w:szCs w:val="24"/>
        </w:rPr>
      </w:pPr>
    </w:p>
    <w:p w14:paraId="3961EF9E" w14:textId="120A4FD0" w:rsidR="007A7B44" w:rsidRDefault="002F00BA" w:rsidP="008D085D">
      <w:pPr>
        <w:spacing w:after="0" w:line="240" w:lineRule="auto"/>
        <w:jc w:val="both"/>
        <w:rPr>
          <w:rFonts w:ascii="Calibri" w:hAnsi="Calibri" w:cs="Calibri"/>
          <w:sz w:val="24"/>
          <w:szCs w:val="24"/>
        </w:rPr>
      </w:pPr>
      <w:r>
        <w:rPr>
          <w:rFonts w:ascii="Calibri" w:hAnsi="Calibri" w:cs="Calibri"/>
          <w:sz w:val="24"/>
          <w:szCs w:val="24"/>
        </w:rPr>
        <w:t xml:space="preserve">Due to the prevalence of gender myths and stereotypes, </w:t>
      </w:r>
      <w:r w:rsidR="005D6911" w:rsidRPr="00D73EE0">
        <w:rPr>
          <w:rFonts w:ascii="Calibri" w:hAnsi="Calibri" w:cs="Calibri"/>
          <w:sz w:val="24"/>
          <w:szCs w:val="24"/>
        </w:rPr>
        <w:t xml:space="preserve">women often face additional risks when reporting rape to the authorities, and there is often no guarantee that they will be </w:t>
      </w:r>
      <w:r>
        <w:rPr>
          <w:rFonts w:ascii="Calibri" w:hAnsi="Calibri" w:cs="Calibri"/>
          <w:sz w:val="24"/>
          <w:szCs w:val="24"/>
        </w:rPr>
        <w:t xml:space="preserve">believed and </w:t>
      </w:r>
      <w:r w:rsidR="005D6911" w:rsidRPr="00D73EE0">
        <w:rPr>
          <w:rFonts w:ascii="Calibri" w:hAnsi="Calibri" w:cs="Calibri"/>
          <w:sz w:val="24"/>
          <w:szCs w:val="24"/>
        </w:rPr>
        <w:t xml:space="preserve">treated respectfully by the judicial system. </w:t>
      </w:r>
      <w:r w:rsidR="003A130D" w:rsidRPr="003A130D">
        <w:rPr>
          <w:rFonts w:ascii="Calibri" w:hAnsi="Calibri" w:cs="Calibri"/>
          <w:sz w:val="24"/>
          <w:szCs w:val="24"/>
        </w:rPr>
        <w:t xml:space="preserve">The tenacity of misconceptions in relation to the prevalence of false rape reporting </w:t>
      </w:r>
      <w:r w:rsidR="003A130D">
        <w:rPr>
          <w:rFonts w:ascii="Calibri" w:hAnsi="Calibri" w:cs="Calibri"/>
          <w:sz w:val="24"/>
          <w:szCs w:val="24"/>
        </w:rPr>
        <w:t>also contributes to the low number of prosecution</w:t>
      </w:r>
      <w:r w:rsidR="00B757D5">
        <w:rPr>
          <w:rFonts w:ascii="Calibri" w:hAnsi="Calibri" w:cs="Calibri"/>
          <w:sz w:val="24"/>
          <w:szCs w:val="24"/>
        </w:rPr>
        <w:t>s</w:t>
      </w:r>
      <w:r w:rsidR="003A130D">
        <w:rPr>
          <w:rFonts w:ascii="Calibri" w:hAnsi="Calibri" w:cs="Calibri"/>
          <w:sz w:val="24"/>
          <w:szCs w:val="24"/>
        </w:rPr>
        <w:t xml:space="preserve"> and convictions.</w:t>
      </w:r>
      <w:r>
        <w:rPr>
          <w:rFonts w:ascii="Calibri" w:hAnsi="Calibri" w:cs="Calibri"/>
          <w:sz w:val="24"/>
          <w:szCs w:val="24"/>
        </w:rPr>
        <w:t xml:space="preserve"> </w:t>
      </w:r>
    </w:p>
    <w:p w14:paraId="30A49303" w14:textId="77777777" w:rsidR="008D085D" w:rsidRDefault="008D085D" w:rsidP="008D085D">
      <w:pPr>
        <w:spacing w:after="0" w:line="240" w:lineRule="auto"/>
        <w:jc w:val="both"/>
        <w:rPr>
          <w:rFonts w:ascii="Calibri" w:hAnsi="Calibri" w:cs="Calibri"/>
          <w:sz w:val="24"/>
          <w:szCs w:val="24"/>
        </w:rPr>
      </w:pPr>
    </w:p>
    <w:p w14:paraId="7FE312C2" w14:textId="519009ED" w:rsidR="00D000F9" w:rsidRPr="00D000F9" w:rsidRDefault="005D6911" w:rsidP="008251F6">
      <w:pPr>
        <w:spacing w:after="120" w:line="240" w:lineRule="auto"/>
        <w:jc w:val="both"/>
        <w:rPr>
          <w:rFonts w:ascii="Calibri" w:hAnsi="Calibri" w:cs="Calibri"/>
          <w:sz w:val="24"/>
          <w:szCs w:val="24"/>
        </w:rPr>
      </w:pPr>
      <w:r w:rsidRPr="00D000F9">
        <w:rPr>
          <w:rFonts w:cstheme="minorHAnsi"/>
          <w:sz w:val="24"/>
          <w:szCs w:val="24"/>
        </w:rPr>
        <w:t xml:space="preserve">Existing comparative research shows that in Europe, </w:t>
      </w:r>
      <w:r w:rsidR="00D000F9" w:rsidRPr="00D000F9">
        <w:rPr>
          <w:rFonts w:cstheme="minorHAnsi"/>
          <w:sz w:val="24"/>
          <w:szCs w:val="24"/>
        </w:rPr>
        <w:t xml:space="preserve">the vast majority of </w:t>
      </w:r>
      <w:r w:rsidRPr="00D000F9">
        <w:rPr>
          <w:rFonts w:cstheme="minorHAnsi"/>
          <w:sz w:val="24"/>
          <w:szCs w:val="24"/>
        </w:rPr>
        <w:t xml:space="preserve">reported rapes </w:t>
      </w:r>
      <w:r w:rsidR="00D000F9" w:rsidRPr="00D000F9">
        <w:rPr>
          <w:rFonts w:cstheme="minorHAnsi"/>
          <w:sz w:val="24"/>
          <w:szCs w:val="24"/>
        </w:rPr>
        <w:t>do not end in a conviction</w:t>
      </w:r>
      <w:r w:rsidRPr="00D000F9">
        <w:rPr>
          <w:rFonts w:cstheme="minorHAnsi"/>
          <w:sz w:val="24"/>
          <w:szCs w:val="24"/>
        </w:rPr>
        <w:t>.</w:t>
      </w:r>
      <w:r w:rsidRPr="00D000F9">
        <w:rPr>
          <w:rStyle w:val="FootnoteReference"/>
          <w:rFonts w:cstheme="minorHAnsi"/>
          <w:sz w:val="24"/>
          <w:szCs w:val="24"/>
        </w:rPr>
        <w:footnoteReference w:id="2"/>
      </w:r>
      <w:r w:rsidR="00D000F9" w:rsidRPr="00D000F9">
        <w:rPr>
          <w:rFonts w:cstheme="minorHAnsi"/>
          <w:sz w:val="24"/>
          <w:szCs w:val="24"/>
        </w:rPr>
        <w:t xml:space="preserve"> </w:t>
      </w:r>
      <w:r w:rsidRPr="00D000F9">
        <w:rPr>
          <w:rFonts w:cstheme="minorHAnsi"/>
          <w:sz w:val="24"/>
          <w:szCs w:val="24"/>
        </w:rPr>
        <w:t xml:space="preserve"> </w:t>
      </w:r>
      <w:r w:rsidR="00D000F9" w:rsidRPr="00D000F9">
        <w:rPr>
          <w:rFonts w:cstheme="minorHAnsi"/>
          <w:sz w:val="24"/>
          <w:szCs w:val="24"/>
        </w:rPr>
        <w:t xml:space="preserve">At the same time, </w:t>
      </w:r>
      <w:r w:rsidR="00D000F9" w:rsidRPr="00D000F9">
        <w:rPr>
          <w:rFonts w:ascii="Calibri" w:hAnsi="Calibri" w:cs="Calibri"/>
          <w:sz w:val="24"/>
          <w:szCs w:val="24"/>
          <w:lang w:val="en-US"/>
        </w:rPr>
        <w:t>the proportion of cases desi</w:t>
      </w:r>
      <w:r w:rsidR="008251F6">
        <w:rPr>
          <w:rFonts w:ascii="Calibri" w:hAnsi="Calibri" w:cs="Calibri"/>
          <w:sz w:val="24"/>
          <w:szCs w:val="24"/>
          <w:lang w:val="en-US"/>
        </w:rPr>
        <w:t>gnated as false allegations is</w:t>
      </w:r>
      <w:r w:rsidR="00D000F9" w:rsidRPr="00D000F9">
        <w:rPr>
          <w:rFonts w:ascii="Calibri" w:hAnsi="Calibri" w:cs="Calibri"/>
          <w:sz w:val="24"/>
          <w:szCs w:val="24"/>
          <w:lang w:val="en-US"/>
        </w:rPr>
        <w:t xml:space="preserve"> extremely low, ranging from 2% to a maximum of 9%. This is extremely strong evidence that </w:t>
      </w:r>
      <w:r w:rsidR="00D000F9" w:rsidRPr="00D000F9">
        <w:rPr>
          <w:rFonts w:ascii="Calibri" w:hAnsi="Calibri" w:cs="Calibri"/>
          <w:sz w:val="24"/>
          <w:szCs w:val="24"/>
          <w:lang w:val="en-US"/>
        </w:rPr>
        <w:lastRenderedPageBreak/>
        <w:t xml:space="preserve">the extent of false allegations is exaggerated by professionals, but this over-estimation creates a culture of </w:t>
      </w:r>
      <w:r w:rsidR="008251F6" w:rsidRPr="00D000F9">
        <w:rPr>
          <w:rFonts w:ascii="Calibri" w:hAnsi="Calibri" w:cs="Calibri"/>
          <w:sz w:val="24"/>
          <w:szCs w:val="24"/>
          <w:lang w:val="en-US"/>
        </w:rPr>
        <w:t>skepticism</w:t>
      </w:r>
      <w:r w:rsidR="00D000F9" w:rsidRPr="00D000F9">
        <w:rPr>
          <w:rFonts w:ascii="Calibri" w:hAnsi="Calibri" w:cs="Calibri"/>
          <w:sz w:val="24"/>
          <w:szCs w:val="24"/>
          <w:lang w:val="en-US"/>
        </w:rPr>
        <w:t xml:space="preserve"> (Kelly et al, 2005).</w:t>
      </w:r>
    </w:p>
    <w:p w14:paraId="7F14DA9E" w14:textId="5FA00E37" w:rsidR="005E2678" w:rsidRDefault="005E2678" w:rsidP="003C4411">
      <w:pPr>
        <w:widowControl w:val="0"/>
        <w:autoSpaceDE w:val="0"/>
        <w:autoSpaceDN w:val="0"/>
        <w:adjustRightInd w:val="0"/>
        <w:spacing w:after="0" w:line="240" w:lineRule="auto"/>
        <w:jc w:val="both"/>
        <w:rPr>
          <w:rFonts w:ascii="Calibri" w:hAnsi="Calibri" w:cs="Helvetica"/>
          <w:sz w:val="24"/>
          <w:szCs w:val="24"/>
          <w:lang w:val="en-US"/>
        </w:rPr>
      </w:pPr>
      <w:r w:rsidRPr="005E2678">
        <w:rPr>
          <w:rFonts w:ascii="Calibri" w:hAnsi="Calibri" w:cs="Helvetica"/>
          <w:sz w:val="24"/>
          <w:szCs w:val="24"/>
          <w:lang w:val="en-US"/>
        </w:rPr>
        <w:t xml:space="preserve">During trials, delay in reporting an assault is often presented as suspicious. In reality, many victims of sexual assault never report offenses, and many more will delay reporting often for significant periods. A victim's lack of physical resistance or injury during an attack or a calm demeanor while recounting events at trial may fail to convince judges of their victimization. In reality, </w:t>
      </w:r>
      <w:r>
        <w:rPr>
          <w:rFonts w:ascii="Calibri" w:hAnsi="Calibri" w:cs="Helvetica"/>
          <w:sz w:val="24"/>
          <w:szCs w:val="24"/>
          <w:lang w:val="en-US"/>
        </w:rPr>
        <w:t>m</w:t>
      </w:r>
      <w:r w:rsidRPr="005E2678">
        <w:rPr>
          <w:rFonts w:ascii="Calibri" w:hAnsi="Calibri" w:cs="Helvetica"/>
          <w:sz w:val="24"/>
          <w:szCs w:val="24"/>
          <w:lang w:val="en-US"/>
        </w:rPr>
        <w:t>any victims - for a number of reasons - offer no physical resistance and suffer no serious physical injury; and many will react to sexual assault by exhibiting extreme calm, often as a conscious - or unconscious - coping strategy</w:t>
      </w:r>
      <w:r w:rsidR="003C4411">
        <w:rPr>
          <w:rFonts w:ascii="Calibri" w:hAnsi="Calibri" w:cs="Helvetica"/>
          <w:sz w:val="24"/>
          <w:szCs w:val="24"/>
          <w:lang w:val="en-US"/>
        </w:rPr>
        <w:t>.</w:t>
      </w:r>
      <w:r w:rsidR="003C4411">
        <w:rPr>
          <w:rStyle w:val="FootnoteReference"/>
          <w:rFonts w:ascii="Calibri" w:hAnsi="Calibri" w:cs="Helvetica"/>
          <w:sz w:val="24"/>
          <w:szCs w:val="24"/>
          <w:lang w:val="en-US"/>
        </w:rPr>
        <w:footnoteReference w:id="3"/>
      </w:r>
      <w:r w:rsidRPr="005E2678">
        <w:rPr>
          <w:rFonts w:ascii="Calibri" w:hAnsi="Calibri" w:cs="Helvetica"/>
          <w:sz w:val="24"/>
          <w:szCs w:val="24"/>
          <w:lang w:val="en-US"/>
        </w:rPr>
        <w:t xml:space="preserve"> </w:t>
      </w:r>
    </w:p>
    <w:p w14:paraId="6E4F22C9" w14:textId="77777777" w:rsidR="007B141A" w:rsidRPr="005E2678" w:rsidRDefault="007B141A" w:rsidP="003C4411">
      <w:pPr>
        <w:widowControl w:val="0"/>
        <w:autoSpaceDE w:val="0"/>
        <w:autoSpaceDN w:val="0"/>
        <w:adjustRightInd w:val="0"/>
        <w:spacing w:after="0" w:line="240" w:lineRule="auto"/>
        <w:jc w:val="both"/>
        <w:rPr>
          <w:rFonts w:ascii="Calibri" w:hAnsi="Calibri" w:cs="Helvetica"/>
          <w:sz w:val="24"/>
          <w:szCs w:val="24"/>
          <w:lang w:val="en-US"/>
        </w:rPr>
      </w:pPr>
    </w:p>
    <w:p w14:paraId="7918B5EE" w14:textId="14EDE07A" w:rsidR="009840FF" w:rsidRPr="007B141A" w:rsidRDefault="00625535" w:rsidP="000B11CE">
      <w:pPr>
        <w:spacing w:line="240" w:lineRule="auto"/>
        <w:rPr>
          <w:rFonts w:ascii="Calibri" w:hAnsi="Calibri" w:cs="Calibri"/>
          <w:b/>
          <w:sz w:val="28"/>
          <w:szCs w:val="28"/>
          <w:lang w:val="en-US"/>
        </w:rPr>
      </w:pPr>
      <w:r w:rsidRPr="007B141A">
        <w:rPr>
          <w:rFonts w:ascii="Calibri" w:hAnsi="Calibri" w:cs="Calibri"/>
          <w:b/>
          <w:sz w:val="28"/>
          <w:szCs w:val="28"/>
          <w:lang w:val="en-US"/>
        </w:rPr>
        <w:t>Slide</w:t>
      </w:r>
      <w:r w:rsidR="007B141A">
        <w:rPr>
          <w:rFonts w:ascii="Calibri" w:hAnsi="Calibri" w:cs="Calibri"/>
          <w:b/>
          <w:sz w:val="28"/>
          <w:szCs w:val="28"/>
          <w:lang w:val="en-US"/>
        </w:rPr>
        <w:t xml:space="preserve"> 6: The role of c</w:t>
      </w:r>
      <w:r w:rsidR="009840FF" w:rsidRPr="007B141A">
        <w:rPr>
          <w:rFonts w:ascii="Calibri" w:hAnsi="Calibri" w:cs="Calibri"/>
          <w:b/>
          <w:sz w:val="28"/>
          <w:szCs w:val="28"/>
          <w:lang w:val="en-US"/>
        </w:rPr>
        <w:t xml:space="preserve">ourts in </w:t>
      </w:r>
      <w:r w:rsidRPr="007B141A">
        <w:rPr>
          <w:rFonts w:ascii="Calibri" w:hAnsi="Calibri" w:cs="Calibri"/>
          <w:b/>
          <w:sz w:val="28"/>
          <w:szCs w:val="28"/>
          <w:lang w:val="en-US"/>
        </w:rPr>
        <w:t>naming and contesting gender s</w:t>
      </w:r>
      <w:r w:rsidR="002A5390" w:rsidRPr="007B141A">
        <w:rPr>
          <w:rFonts w:ascii="Calibri" w:hAnsi="Calibri" w:cs="Calibri"/>
          <w:b/>
          <w:sz w:val="28"/>
          <w:szCs w:val="28"/>
          <w:lang w:val="en-US"/>
        </w:rPr>
        <w:t>tereotypes in sexual and gender-</w:t>
      </w:r>
      <w:r w:rsidR="007B141A" w:rsidRPr="007B141A">
        <w:rPr>
          <w:rFonts w:ascii="Calibri" w:hAnsi="Calibri" w:cs="Calibri"/>
          <w:b/>
          <w:sz w:val="28"/>
          <w:szCs w:val="28"/>
          <w:lang w:val="en-US"/>
        </w:rPr>
        <w:t xml:space="preserve">based </w:t>
      </w:r>
      <w:r w:rsidRPr="007B141A">
        <w:rPr>
          <w:rFonts w:ascii="Calibri" w:hAnsi="Calibri" w:cs="Calibri"/>
          <w:b/>
          <w:sz w:val="28"/>
          <w:szCs w:val="28"/>
          <w:lang w:val="en-US"/>
        </w:rPr>
        <w:t>violenc</w:t>
      </w:r>
      <w:r w:rsidR="00384492" w:rsidRPr="007B141A">
        <w:rPr>
          <w:rFonts w:ascii="Calibri" w:hAnsi="Calibri" w:cs="Calibri"/>
          <w:b/>
          <w:sz w:val="28"/>
          <w:szCs w:val="28"/>
          <w:lang w:val="en-US"/>
        </w:rPr>
        <w:t>e cases</w:t>
      </w:r>
    </w:p>
    <w:p w14:paraId="1DE554A7" w14:textId="323BDFDC" w:rsidR="00253DB3" w:rsidRPr="00290567" w:rsidRDefault="009840FF" w:rsidP="008D085D">
      <w:pPr>
        <w:spacing w:before="100" w:beforeAutospacing="1" w:after="0" w:line="240" w:lineRule="auto"/>
        <w:jc w:val="both"/>
        <w:rPr>
          <w:rFonts w:ascii="Calibri" w:hAnsi="Calibri" w:cs="Times New Roman"/>
          <w:sz w:val="24"/>
          <w:szCs w:val="24"/>
          <w:lang w:val="en-US"/>
        </w:rPr>
      </w:pPr>
      <w:r w:rsidRPr="00290567">
        <w:rPr>
          <w:rFonts w:ascii="Calibri" w:hAnsi="Calibri" w:cs="Helvetica"/>
          <w:sz w:val="24"/>
          <w:szCs w:val="24"/>
          <w:lang w:val="en-US"/>
        </w:rPr>
        <w:t xml:space="preserve">In </w:t>
      </w:r>
      <w:r w:rsidRPr="007B141A">
        <w:rPr>
          <w:rFonts w:ascii="Calibri" w:hAnsi="Calibri" w:cs="Helvetica"/>
          <w:i/>
          <w:sz w:val="24"/>
          <w:szCs w:val="24"/>
          <w:lang w:val="en-US"/>
        </w:rPr>
        <w:t xml:space="preserve">Karen </w:t>
      </w:r>
      <w:proofErr w:type="spellStart"/>
      <w:r w:rsidR="001F4D83" w:rsidRPr="007B141A">
        <w:rPr>
          <w:rFonts w:ascii="Calibri" w:hAnsi="Calibri" w:cs="Helvetica"/>
          <w:i/>
          <w:sz w:val="24"/>
          <w:szCs w:val="24"/>
          <w:lang w:val="en-US"/>
        </w:rPr>
        <w:t>Tayag</w:t>
      </w:r>
      <w:proofErr w:type="spellEnd"/>
      <w:r w:rsidR="001F4D83" w:rsidRPr="007B141A">
        <w:rPr>
          <w:rFonts w:ascii="Calibri" w:hAnsi="Calibri" w:cs="Helvetica"/>
          <w:i/>
          <w:sz w:val="24"/>
          <w:szCs w:val="24"/>
          <w:lang w:val="en-US"/>
        </w:rPr>
        <w:t xml:space="preserve"> </w:t>
      </w:r>
      <w:proofErr w:type="spellStart"/>
      <w:r w:rsidR="00384492" w:rsidRPr="007B141A">
        <w:rPr>
          <w:rFonts w:ascii="Calibri" w:hAnsi="Calibri" w:cs="Helvetica"/>
          <w:i/>
          <w:sz w:val="24"/>
          <w:szCs w:val="24"/>
          <w:lang w:val="en-US"/>
        </w:rPr>
        <w:t>Vertido</w:t>
      </w:r>
      <w:proofErr w:type="spellEnd"/>
      <w:r w:rsidR="00384492" w:rsidRPr="007B141A">
        <w:rPr>
          <w:rFonts w:ascii="Calibri" w:hAnsi="Calibri" w:cs="Helvetica"/>
          <w:i/>
          <w:sz w:val="24"/>
          <w:szCs w:val="24"/>
          <w:lang w:val="en-US"/>
        </w:rPr>
        <w:t xml:space="preserve"> v. the P</w:t>
      </w:r>
      <w:r w:rsidRPr="007B141A">
        <w:rPr>
          <w:rFonts w:ascii="Calibri" w:hAnsi="Calibri" w:cs="Helvetica"/>
          <w:i/>
          <w:sz w:val="24"/>
          <w:szCs w:val="24"/>
          <w:lang w:val="en-US"/>
        </w:rPr>
        <w:t>hilippines</w:t>
      </w:r>
      <w:r w:rsidRPr="00290567">
        <w:rPr>
          <w:rFonts w:ascii="Calibri" w:hAnsi="Calibri" w:cs="Helvetica"/>
          <w:sz w:val="24"/>
          <w:szCs w:val="24"/>
          <w:lang w:val="en-US"/>
        </w:rPr>
        <w:t xml:space="preserve"> (CEDAW, 2010), </w:t>
      </w:r>
      <w:r w:rsidR="000B3960" w:rsidRPr="00290567">
        <w:rPr>
          <w:rFonts w:ascii="Calibri" w:hAnsi="Calibri" w:cs="Helvetica"/>
          <w:sz w:val="24"/>
          <w:szCs w:val="24"/>
          <w:lang w:val="en-US"/>
        </w:rPr>
        <w:t xml:space="preserve">a rape case, </w:t>
      </w:r>
      <w:r w:rsidRPr="00290567">
        <w:rPr>
          <w:rFonts w:ascii="Calibri" w:hAnsi="Calibri" w:cs="Helvetica"/>
          <w:sz w:val="24"/>
          <w:szCs w:val="24"/>
          <w:lang w:val="en-US"/>
        </w:rPr>
        <w:t xml:space="preserve">the CEDAW Committee </w:t>
      </w:r>
      <w:r w:rsidR="000B3960" w:rsidRPr="00290567">
        <w:rPr>
          <w:rFonts w:ascii="Calibri" w:hAnsi="Calibri" w:cs="Helvetica"/>
          <w:sz w:val="24"/>
          <w:szCs w:val="24"/>
          <w:lang w:val="en-US"/>
        </w:rPr>
        <w:t xml:space="preserve">expressed its views under the Optional Protocol and accepted the applicant’s allegation that, </w:t>
      </w:r>
      <w:r w:rsidR="000B3960" w:rsidRPr="00290567">
        <w:rPr>
          <w:rFonts w:ascii="Calibri" w:hAnsi="Calibri" w:cs="Times New Roman"/>
          <w:sz w:val="24"/>
          <w:szCs w:val="24"/>
          <w:lang w:val="en-US"/>
        </w:rPr>
        <w:t xml:space="preserve">in her case, </w:t>
      </w:r>
      <w:r w:rsidR="007B141A">
        <w:rPr>
          <w:rFonts w:ascii="Calibri" w:hAnsi="Calibri" w:cs="Times New Roman"/>
          <w:sz w:val="24"/>
          <w:szCs w:val="24"/>
          <w:lang w:val="en-US"/>
        </w:rPr>
        <w:t>the Court relied on gender-</w:t>
      </w:r>
      <w:r w:rsidR="000B3960" w:rsidRPr="00290567">
        <w:rPr>
          <w:rFonts w:ascii="Calibri" w:hAnsi="Calibri" w:cs="Times New Roman"/>
          <w:sz w:val="24"/>
          <w:szCs w:val="24"/>
          <w:lang w:val="en-US"/>
        </w:rPr>
        <w:t xml:space="preserve">based myths and stereotypes, without which the accused would have been convicted. </w:t>
      </w:r>
      <w:r w:rsidR="001866D4">
        <w:rPr>
          <w:rFonts w:ascii="Calibri" w:hAnsi="Calibri" w:cs="Times New Roman"/>
          <w:sz w:val="24"/>
          <w:szCs w:val="24"/>
          <w:lang w:val="en-US"/>
        </w:rPr>
        <w:t xml:space="preserve">Seven myths were described, as below: </w:t>
      </w:r>
    </w:p>
    <w:p w14:paraId="519C4311" w14:textId="44CA71A4" w:rsidR="00DD257F" w:rsidRPr="00944D0A" w:rsidRDefault="00DD257F" w:rsidP="008D085D">
      <w:pPr>
        <w:spacing w:after="0" w:line="240" w:lineRule="auto"/>
        <w:rPr>
          <w:rFonts w:ascii="Calibri" w:hAnsi="Calibri" w:cs="Calibri"/>
          <w:b/>
          <w:color w:val="000000" w:themeColor="text1"/>
          <w:sz w:val="24"/>
          <w:szCs w:val="24"/>
        </w:rPr>
      </w:pPr>
      <w:commentRangeStart w:id="1"/>
      <w:r w:rsidRPr="00944D0A">
        <w:rPr>
          <w:rFonts w:ascii="Calibri" w:hAnsi="Calibri" w:cs="Calibri"/>
          <w:b/>
          <w:color w:val="000000" w:themeColor="text1"/>
          <w:sz w:val="24"/>
          <w:szCs w:val="24"/>
        </w:rPr>
        <w:t>Rape myths</w:t>
      </w:r>
      <w:r w:rsidR="00944D0A" w:rsidRPr="00944D0A">
        <w:rPr>
          <w:rFonts w:ascii="Calibri" w:hAnsi="Calibri" w:cs="Calibri"/>
          <w:b/>
          <w:color w:val="000000" w:themeColor="text1"/>
          <w:sz w:val="24"/>
          <w:szCs w:val="24"/>
        </w:rPr>
        <w:t xml:space="preserve"> in </w:t>
      </w:r>
      <w:proofErr w:type="spellStart"/>
      <w:r w:rsidR="00944D0A" w:rsidRPr="00944D0A">
        <w:rPr>
          <w:rFonts w:ascii="Calibri" w:hAnsi="Calibri" w:cs="Calibri"/>
          <w:b/>
          <w:color w:val="000000" w:themeColor="text1"/>
          <w:sz w:val="24"/>
          <w:szCs w:val="24"/>
        </w:rPr>
        <w:t>Vertido</w:t>
      </w:r>
      <w:proofErr w:type="spellEnd"/>
      <w:r w:rsidR="00944D0A" w:rsidRPr="00944D0A">
        <w:rPr>
          <w:rFonts w:ascii="Calibri" w:hAnsi="Calibri" w:cs="Calibri"/>
          <w:b/>
          <w:color w:val="000000" w:themeColor="text1"/>
          <w:sz w:val="24"/>
          <w:szCs w:val="24"/>
        </w:rPr>
        <w:t xml:space="preserve"> v. </w:t>
      </w:r>
      <w:r w:rsidR="00944D0A" w:rsidRPr="00944D0A">
        <w:rPr>
          <w:rFonts w:ascii="Calibri" w:hAnsi="Calibri" w:cs="Helvetica"/>
          <w:b/>
          <w:sz w:val="24"/>
          <w:szCs w:val="24"/>
          <w:lang w:val="en-US"/>
        </w:rPr>
        <w:t>the Philippines</w:t>
      </w:r>
      <w:commentRangeEnd w:id="1"/>
      <w:r w:rsidR="00CE4ED5">
        <w:rPr>
          <w:rStyle w:val="CommentReference"/>
        </w:rPr>
        <w:commentReference w:id="1"/>
      </w:r>
    </w:p>
    <w:p w14:paraId="3C4835BF" w14:textId="77777777" w:rsidR="00DD257F" w:rsidRPr="00944D0A" w:rsidRDefault="00DD257F" w:rsidP="008D085D">
      <w:pPr>
        <w:pStyle w:val="ListParagraph"/>
        <w:numPr>
          <w:ilvl w:val="0"/>
          <w:numId w:val="15"/>
        </w:numPr>
        <w:spacing w:after="0" w:line="240" w:lineRule="auto"/>
        <w:jc w:val="both"/>
        <w:rPr>
          <w:rFonts w:ascii="Calibri" w:hAnsi="Calibri" w:cs="Calibri"/>
          <w:sz w:val="24"/>
          <w:szCs w:val="24"/>
        </w:rPr>
      </w:pPr>
      <w:r w:rsidRPr="00944D0A">
        <w:rPr>
          <w:rFonts w:ascii="Calibri" w:hAnsi="Calibri" w:cs="Calibri"/>
          <w:sz w:val="24"/>
          <w:szCs w:val="24"/>
        </w:rPr>
        <w:t xml:space="preserve">To be raped by means of intimidation, the victim must be timid or easily cowed. </w:t>
      </w:r>
      <w:r w:rsidRPr="00944D0A">
        <w:rPr>
          <w:rFonts w:ascii="Calibri" w:hAnsi="Calibri" w:cs="Calibri"/>
          <w:sz w:val="24"/>
          <w:szCs w:val="24"/>
          <w:u w:val="single"/>
        </w:rPr>
        <w:t>In reality</w:t>
      </w:r>
      <w:r w:rsidRPr="00944D0A">
        <w:rPr>
          <w:rFonts w:ascii="Calibri" w:hAnsi="Calibri" w:cs="Calibri"/>
          <w:sz w:val="24"/>
          <w:szCs w:val="24"/>
        </w:rPr>
        <w:t xml:space="preserve">, the victim’s character is not an element of the crime of rape. Rape victims have no ‘typical’ personality traits. </w:t>
      </w:r>
    </w:p>
    <w:p w14:paraId="3942A6AC" w14:textId="77777777" w:rsidR="00DD257F" w:rsidRPr="00944D0A" w:rsidRDefault="00DD257F" w:rsidP="008D085D">
      <w:pPr>
        <w:pStyle w:val="ListParagraph"/>
        <w:numPr>
          <w:ilvl w:val="0"/>
          <w:numId w:val="15"/>
        </w:numPr>
        <w:spacing w:after="0" w:line="240" w:lineRule="auto"/>
        <w:jc w:val="both"/>
        <w:rPr>
          <w:rFonts w:ascii="Calibri" w:hAnsi="Calibri" w:cs="Calibri"/>
          <w:sz w:val="24"/>
          <w:szCs w:val="24"/>
        </w:rPr>
      </w:pPr>
      <w:r w:rsidRPr="00944D0A">
        <w:rPr>
          <w:rFonts w:ascii="Calibri" w:hAnsi="Calibri" w:cs="Calibri"/>
          <w:sz w:val="24"/>
          <w:szCs w:val="24"/>
        </w:rPr>
        <w:t xml:space="preserve">To conclude that a rape occurred by means of threat, there must be clear evidence of a direct threat. </w:t>
      </w:r>
      <w:r w:rsidRPr="00944D0A">
        <w:rPr>
          <w:rFonts w:ascii="Calibri" w:hAnsi="Calibri" w:cs="Calibri"/>
          <w:sz w:val="24"/>
          <w:szCs w:val="24"/>
          <w:u w:val="single"/>
        </w:rPr>
        <w:t>In reality</w:t>
      </w:r>
      <w:r w:rsidRPr="00944D0A">
        <w:rPr>
          <w:rFonts w:ascii="Calibri" w:hAnsi="Calibri" w:cs="Calibri"/>
          <w:sz w:val="24"/>
          <w:szCs w:val="24"/>
        </w:rPr>
        <w:t xml:space="preserve">, requiring proof of physical force of the threat of physical force in all circumstances risks leaving certain types of rape unpunished. </w:t>
      </w:r>
    </w:p>
    <w:p w14:paraId="4D00D67F" w14:textId="77777777" w:rsidR="00DD257F" w:rsidRPr="00944D0A" w:rsidRDefault="00DD257F" w:rsidP="008D085D">
      <w:pPr>
        <w:pStyle w:val="ListParagraph"/>
        <w:numPr>
          <w:ilvl w:val="0"/>
          <w:numId w:val="15"/>
        </w:numPr>
        <w:spacing w:after="0" w:line="240" w:lineRule="auto"/>
        <w:jc w:val="both"/>
        <w:rPr>
          <w:rFonts w:ascii="Calibri" w:hAnsi="Calibri" w:cs="Calibri"/>
          <w:sz w:val="24"/>
          <w:szCs w:val="24"/>
        </w:rPr>
      </w:pPr>
      <w:r w:rsidRPr="00944D0A">
        <w:rPr>
          <w:rFonts w:ascii="Calibri" w:hAnsi="Calibri" w:cs="Calibri"/>
          <w:sz w:val="24"/>
          <w:szCs w:val="24"/>
        </w:rPr>
        <w:t xml:space="preserve">Rapes are committed by pathological individuals who are strangers to the victim. When the victim and the perpetrator know each other that indicates the sex was consensual. </w:t>
      </w:r>
      <w:r w:rsidRPr="00944D0A">
        <w:rPr>
          <w:rFonts w:ascii="Calibri" w:hAnsi="Calibri" w:cs="Calibri"/>
          <w:sz w:val="24"/>
          <w:szCs w:val="24"/>
          <w:u w:val="single"/>
        </w:rPr>
        <w:t>In reality</w:t>
      </w:r>
      <w:r w:rsidRPr="00944D0A">
        <w:rPr>
          <w:rFonts w:ascii="Calibri" w:hAnsi="Calibri" w:cs="Calibri"/>
          <w:sz w:val="24"/>
          <w:szCs w:val="24"/>
        </w:rPr>
        <w:t>, in the vast majority of cases, the victim knows the aggressor, who may be a friend, a colleague or a family member, often a spouse or partner.</w:t>
      </w:r>
    </w:p>
    <w:p w14:paraId="3431A0F3" w14:textId="77777777" w:rsidR="00DD257F" w:rsidRPr="00CE4ED5" w:rsidRDefault="00DD257F" w:rsidP="00944D0A">
      <w:pPr>
        <w:pStyle w:val="ListParagraph"/>
        <w:numPr>
          <w:ilvl w:val="0"/>
          <w:numId w:val="15"/>
        </w:numPr>
        <w:spacing w:after="120" w:line="240" w:lineRule="auto"/>
        <w:jc w:val="both"/>
        <w:rPr>
          <w:rFonts w:ascii="Calibri" w:hAnsi="Calibri" w:cs="Calibri"/>
          <w:sz w:val="24"/>
          <w:szCs w:val="24"/>
          <w:highlight w:val="yellow"/>
        </w:rPr>
      </w:pPr>
      <w:r w:rsidRPr="00CE4ED5">
        <w:rPr>
          <w:rFonts w:ascii="Calibri" w:hAnsi="Calibri" w:cs="Calibri"/>
          <w:sz w:val="24"/>
          <w:szCs w:val="24"/>
          <w:highlight w:val="yellow"/>
        </w:rPr>
        <w:t xml:space="preserve">Rape victims resist the attack with all their physical might and struggle to escape at every opportunity. </w:t>
      </w:r>
      <w:r w:rsidRPr="00CE4ED5">
        <w:rPr>
          <w:sz w:val="24"/>
          <w:szCs w:val="24"/>
          <w:highlight w:val="yellow"/>
          <w:u w:val="single"/>
        </w:rPr>
        <w:t>In reality</w:t>
      </w:r>
      <w:r w:rsidRPr="00CE4ED5">
        <w:rPr>
          <w:sz w:val="24"/>
          <w:szCs w:val="24"/>
          <w:highlight w:val="yellow"/>
        </w:rPr>
        <w:t xml:space="preserve">, many acts of rape and sexual violence are carried out without the use of physical force. </w:t>
      </w:r>
    </w:p>
    <w:p w14:paraId="6EF869CF" w14:textId="77777777" w:rsidR="00DD257F" w:rsidRPr="00944D0A" w:rsidRDefault="00DD257F" w:rsidP="00944D0A">
      <w:pPr>
        <w:pStyle w:val="ListParagraph"/>
        <w:numPr>
          <w:ilvl w:val="0"/>
          <w:numId w:val="15"/>
        </w:numPr>
        <w:spacing w:after="120" w:line="240" w:lineRule="auto"/>
        <w:jc w:val="both"/>
        <w:rPr>
          <w:rFonts w:ascii="Calibri" w:hAnsi="Calibri" w:cs="Calibri"/>
          <w:sz w:val="24"/>
          <w:szCs w:val="24"/>
        </w:rPr>
      </w:pPr>
      <w:r w:rsidRPr="00944D0A">
        <w:rPr>
          <w:rFonts w:ascii="Calibri" w:hAnsi="Calibri" w:cs="Calibri"/>
          <w:sz w:val="24"/>
          <w:szCs w:val="24"/>
        </w:rPr>
        <w:t xml:space="preserve">The rape victim could not have resisted the sexual attack, if the man were able to proceed to ejaculation. </w:t>
      </w:r>
      <w:r w:rsidRPr="00944D0A">
        <w:rPr>
          <w:rFonts w:ascii="Calibri" w:hAnsi="Calibri" w:cs="Calibri"/>
          <w:sz w:val="24"/>
          <w:szCs w:val="24"/>
          <w:u w:val="single"/>
        </w:rPr>
        <w:t>In reality</w:t>
      </w:r>
      <w:r w:rsidRPr="00944D0A">
        <w:rPr>
          <w:rFonts w:ascii="Calibri" w:hAnsi="Calibri" w:cs="Calibri"/>
          <w:sz w:val="24"/>
          <w:szCs w:val="24"/>
        </w:rPr>
        <w:t>, rape is not a crime of lust or passion associated with love and desire. Whether or not the man ejaculated is completely immaterial to a prosecution for rape, does not prove that the intercourse was consensual, and does not negate the resistance of the victim.</w:t>
      </w:r>
    </w:p>
    <w:p w14:paraId="4B001ABE" w14:textId="77777777" w:rsidR="00DD257F" w:rsidRPr="00944D0A" w:rsidRDefault="00DD257F" w:rsidP="00944D0A">
      <w:pPr>
        <w:pStyle w:val="ListParagraph"/>
        <w:numPr>
          <w:ilvl w:val="0"/>
          <w:numId w:val="15"/>
        </w:numPr>
        <w:spacing w:after="120" w:line="240" w:lineRule="auto"/>
        <w:jc w:val="both"/>
        <w:rPr>
          <w:rFonts w:ascii="Calibri" w:hAnsi="Calibri" w:cs="Calibri"/>
          <w:sz w:val="24"/>
          <w:szCs w:val="24"/>
        </w:rPr>
      </w:pPr>
      <w:r w:rsidRPr="00944D0A">
        <w:rPr>
          <w:rFonts w:ascii="Calibri" w:hAnsi="Calibri" w:cs="Calibri"/>
          <w:sz w:val="24"/>
          <w:szCs w:val="24"/>
        </w:rPr>
        <w:t xml:space="preserve">Older men are not capable of rape. </w:t>
      </w:r>
      <w:r w:rsidRPr="00944D0A">
        <w:rPr>
          <w:rFonts w:ascii="Calibri" w:hAnsi="Calibri" w:cs="Calibri"/>
          <w:sz w:val="24"/>
          <w:szCs w:val="24"/>
          <w:u w:val="single"/>
        </w:rPr>
        <w:t>In reality</w:t>
      </w:r>
      <w:r w:rsidRPr="00944D0A">
        <w:rPr>
          <w:rFonts w:ascii="Calibri" w:hAnsi="Calibri" w:cs="Calibri"/>
          <w:sz w:val="24"/>
          <w:szCs w:val="24"/>
        </w:rPr>
        <w:t>, sexual prowess is not an element of the crime of rape.</w:t>
      </w:r>
    </w:p>
    <w:p w14:paraId="5E0EBE44" w14:textId="77777777" w:rsidR="00DD257F" w:rsidRPr="00CE4ED5" w:rsidRDefault="00DD257F" w:rsidP="00944D0A">
      <w:pPr>
        <w:pStyle w:val="ListParagraph"/>
        <w:numPr>
          <w:ilvl w:val="0"/>
          <w:numId w:val="15"/>
        </w:numPr>
        <w:spacing w:after="120" w:line="240" w:lineRule="auto"/>
        <w:jc w:val="both"/>
        <w:rPr>
          <w:rFonts w:ascii="Calibri" w:hAnsi="Calibri" w:cs="Calibri"/>
          <w:sz w:val="24"/>
          <w:szCs w:val="24"/>
          <w:highlight w:val="yellow"/>
        </w:rPr>
      </w:pPr>
      <w:r w:rsidRPr="00CE4ED5">
        <w:rPr>
          <w:rFonts w:ascii="Calibri" w:hAnsi="Calibri" w:cs="Calibri"/>
          <w:sz w:val="24"/>
          <w:szCs w:val="24"/>
          <w:highlight w:val="yellow"/>
        </w:rPr>
        <w:t xml:space="preserve">Rape accusations are ‘easy’ to make and more difficult for the accused to disprove. </w:t>
      </w:r>
      <w:r w:rsidRPr="00CE4ED5">
        <w:rPr>
          <w:rFonts w:ascii="Calibri" w:hAnsi="Calibri" w:cs="Calibri"/>
          <w:sz w:val="24"/>
          <w:szCs w:val="24"/>
          <w:highlight w:val="yellow"/>
          <w:u w:val="single"/>
        </w:rPr>
        <w:t>In reality</w:t>
      </w:r>
      <w:r w:rsidRPr="00CE4ED5">
        <w:rPr>
          <w:rFonts w:ascii="Calibri" w:hAnsi="Calibri" w:cs="Calibri"/>
          <w:sz w:val="24"/>
          <w:szCs w:val="24"/>
          <w:highlight w:val="yellow"/>
        </w:rPr>
        <w:t xml:space="preserve">, the vast majority or rapes are never reported to the police, because victims fear they will not be believed. </w:t>
      </w:r>
    </w:p>
    <w:p w14:paraId="1EA2AAF1" w14:textId="27A48037" w:rsidR="00944D0A" w:rsidRDefault="00944D0A" w:rsidP="005E2678">
      <w:pPr>
        <w:autoSpaceDE w:val="0"/>
        <w:autoSpaceDN w:val="0"/>
        <w:adjustRightInd w:val="0"/>
        <w:spacing w:after="0" w:line="240" w:lineRule="auto"/>
        <w:jc w:val="both"/>
        <w:rPr>
          <w:rFonts w:ascii="Calibri" w:hAnsi="Calibri" w:cs="Palatino-Roman"/>
          <w:sz w:val="24"/>
          <w:szCs w:val="24"/>
          <w:lang w:val="en-US"/>
        </w:rPr>
      </w:pPr>
      <w:r w:rsidRPr="00944D0A">
        <w:rPr>
          <w:rFonts w:ascii="Calibri" w:hAnsi="Calibri" w:cs="Palatino-Roman"/>
          <w:sz w:val="24"/>
          <w:szCs w:val="24"/>
          <w:lang w:val="en-US"/>
        </w:rPr>
        <w:lastRenderedPageBreak/>
        <w:t>The European Court of Human Rights has not yet</w:t>
      </w:r>
      <w:r>
        <w:rPr>
          <w:rFonts w:ascii="Calibri" w:hAnsi="Calibri" w:cs="Palatino-Roman"/>
          <w:sz w:val="24"/>
          <w:szCs w:val="24"/>
          <w:lang w:val="en-US"/>
        </w:rPr>
        <w:t xml:space="preserve"> directly addressed the issue of gender stereotype</w:t>
      </w:r>
      <w:r w:rsidR="001866D4">
        <w:rPr>
          <w:rFonts w:ascii="Calibri" w:hAnsi="Calibri" w:cs="Palatino-Roman"/>
          <w:sz w:val="24"/>
          <w:szCs w:val="24"/>
          <w:lang w:val="en-US"/>
        </w:rPr>
        <w:t>s in cases of sexual and gender-</w:t>
      </w:r>
      <w:r>
        <w:rPr>
          <w:rFonts w:ascii="Calibri" w:hAnsi="Calibri" w:cs="Palatino-Roman"/>
          <w:sz w:val="24"/>
          <w:szCs w:val="24"/>
          <w:lang w:val="en-US"/>
        </w:rPr>
        <w:t xml:space="preserve">based </w:t>
      </w:r>
      <w:r w:rsidR="001866D4">
        <w:rPr>
          <w:rFonts w:ascii="Calibri" w:hAnsi="Calibri" w:cs="Palatino-Roman"/>
          <w:sz w:val="24"/>
          <w:szCs w:val="24"/>
          <w:lang w:val="en-US"/>
        </w:rPr>
        <w:t>violence, although it has dealt</w:t>
      </w:r>
      <w:r>
        <w:rPr>
          <w:rFonts w:ascii="Calibri" w:hAnsi="Calibri" w:cs="Palatino-Roman"/>
          <w:sz w:val="24"/>
          <w:szCs w:val="24"/>
          <w:lang w:val="en-US"/>
        </w:rPr>
        <w:t xml:space="preserve"> with stereotyping and especially gender stereotyping in other cases (ex. </w:t>
      </w:r>
      <w:r w:rsidRPr="001866D4">
        <w:rPr>
          <w:rFonts w:ascii="Calibri" w:hAnsi="Calibri" w:cs="Palatino-Roman"/>
          <w:i/>
          <w:sz w:val="24"/>
          <w:szCs w:val="24"/>
          <w:lang w:val="en-US"/>
        </w:rPr>
        <w:t xml:space="preserve">Konstantin </w:t>
      </w:r>
      <w:proofErr w:type="spellStart"/>
      <w:r w:rsidRPr="001866D4">
        <w:rPr>
          <w:rFonts w:ascii="Calibri" w:hAnsi="Calibri" w:cs="Palatino-Roman"/>
          <w:i/>
          <w:sz w:val="24"/>
          <w:szCs w:val="24"/>
          <w:lang w:val="en-US"/>
        </w:rPr>
        <w:t>Markin</w:t>
      </w:r>
      <w:proofErr w:type="spellEnd"/>
      <w:r w:rsidRPr="001866D4">
        <w:rPr>
          <w:rFonts w:ascii="Calibri" w:hAnsi="Calibri" w:cs="Palatino-Roman"/>
          <w:i/>
          <w:sz w:val="24"/>
          <w:szCs w:val="24"/>
          <w:lang w:val="en-US"/>
        </w:rPr>
        <w:t xml:space="preserve"> v. Russia</w:t>
      </w:r>
      <w:r w:rsidR="00510049">
        <w:rPr>
          <w:rFonts w:ascii="Calibri" w:hAnsi="Calibri" w:cs="Palatino-Roman"/>
          <w:i/>
          <w:sz w:val="24"/>
          <w:szCs w:val="24"/>
          <w:lang w:val="en-US"/>
        </w:rPr>
        <w:t xml:space="preserve"> </w:t>
      </w:r>
      <w:r w:rsidR="00510049">
        <w:rPr>
          <w:rFonts w:ascii="Calibri" w:hAnsi="Calibri" w:cs="Palatino-Roman"/>
          <w:sz w:val="24"/>
          <w:szCs w:val="24"/>
          <w:lang w:val="en-US"/>
        </w:rPr>
        <w:t>2012</w:t>
      </w:r>
      <w:r>
        <w:rPr>
          <w:rFonts w:ascii="Calibri" w:hAnsi="Calibri" w:cs="Palatino-Roman"/>
          <w:sz w:val="24"/>
          <w:szCs w:val="24"/>
          <w:lang w:val="en-US"/>
        </w:rPr>
        <w:t xml:space="preserve">). </w:t>
      </w:r>
    </w:p>
    <w:p w14:paraId="39C39A48" w14:textId="77777777" w:rsidR="00944D0A" w:rsidRDefault="00944D0A" w:rsidP="005E2678">
      <w:pPr>
        <w:autoSpaceDE w:val="0"/>
        <w:autoSpaceDN w:val="0"/>
        <w:adjustRightInd w:val="0"/>
        <w:spacing w:after="0" w:line="240" w:lineRule="auto"/>
        <w:jc w:val="both"/>
        <w:rPr>
          <w:rFonts w:ascii="Calibri" w:hAnsi="Calibri" w:cs="Palatino-Roman"/>
          <w:sz w:val="24"/>
          <w:szCs w:val="24"/>
          <w:lang w:val="en-US"/>
        </w:rPr>
      </w:pPr>
    </w:p>
    <w:p w14:paraId="20027C13" w14:textId="406B1068" w:rsidR="00944D0A" w:rsidRPr="00510049" w:rsidRDefault="00944D0A" w:rsidP="005E2678">
      <w:pPr>
        <w:autoSpaceDE w:val="0"/>
        <w:autoSpaceDN w:val="0"/>
        <w:adjustRightInd w:val="0"/>
        <w:spacing w:after="0" w:line="240" w:lineRule="auto"/>
        <w:jc w:val="both"/>
        <w:rPr>
          <w:rFonts w:ascii="Calibri" w:hAnsi="Calibri" w:cs="Arial"/>
          <w:sz w:val="24"/>
          <w:szCs w:val="24"/>
          <w:lang w:val="en-US"/>
        </w:rPr>
      </w:pPr>
      <w:r w:rsidRPr="00510049">
        <w:rPr>
          <w:rFonts w:ascii="Calibri" w:hAnsi="Calibri" w:cs="Palatino-Roman"/>
          <w:sz w:val="24"/>
          <w:szCs w:val="24"/>
          <w:lang w:val="en-US"/>
        </w:rPr>
        <w:t xml:space="preserve">In general, the </w:t>
      </w:r>
      <w:proofErr w:type="spellStart"/>
      <w:r w:rsidRPr="00510049">
        <w:rPr>
          <w:rFonts w:ascii="Calibri" w:hAnsi="Calibri" w:cs="Palatino-Roman"/>
          <w:sz w:val="24"/>
          <w:szCs w:val="24"/>
          <w:lang w:val="en-US"/>
        </w:rPr>
        <w:t>ECtHR</w:t>
      </w:r>
      <w:proofErr w:type="spellEnd"/>
      <w:r w:rsidRPr="00510049">
        <w:rPr>
          <w:rFonts w:ascii="Calibri" w:hAnsi="Calibri" w:cs="Palatino-Roman"/>
          <w:sz w:val="24"/>
          <w:szCs w:val="24"/>
          <w:lang w:val="en-US"/>
        </w:rPr>
        <w:t xml:space="preserve"> has examined possible violations of Article 14 in very few cases involving sexual and gender-based violence (see the publication </w:t>
      </w:r>
      <w:r w:rsidRPr="00510049">
        <w:rPr>
          <w:rFonts w:ascii="Calibri" w:hAnsi="Calibri" w:cs="Arial"/>
          <w:sz w:val="24"/>
          <w:szCs w:val="24"/>
          <w:lang w:val="en-US"/>
        </w:rPr>
        <w:t>“</w:t>
      </w:r>
      <w:hyperlink r:id="rId12" w:history="1">
        <w:r w:rsidRPr="00510049">
          <w:rPr>
            <w:rFonts w:ascii="Calibri" w:hAnsi="Calibri" w:cs="Arial"/>
            <w:i/>
            <w:sz w:val="24"/>
            <w:szCs w:val="24"/>
            <w:lang w:val="en-US"/>
          </w:rPr>
          <w:t>Equal access to justice in the case-law on violence against women before the European Court of Human Rights</w:t>
        </w:r>
      </w:hyperlink>
      <w:r w:rsidR="00055F66" w:rsidRPr="00510049">
        <w:rPr>
          <w:rFonts w:ascii="Calibri" w:hAnsi="Calibri" w:cs="Arial"/>
          <w:sz w:val="24"/>
          <w:szCs w:val="24"/>
          <w:lang w:val="en-US"/>
        </w:rPr>
        <w:t>”</w:t>
      </w:r>
      <w:r w:rsidR="00510049">
        <w:rPr>
          <w:rFonts w:ascii="Calibri" w:hAnsi="Calibri" w:cs="Arial"/>
          <w:sz w:val="24"/>
          <w:szCs w:val="24"/>
          <w:lang w:val="en-US"/>
        </w:rPr>
        <w:t>, available at: www.coe.int/equality</w:t>
      </w:r>
      <w:r w:rsidR="00055F66" w:rsidRPr="00510049">
        <w:rPr>
          <w:rFonts w:ascii="Calibri" w:hAnsi="Calibri" w:cs="Arial"/>
          <w:sz w:val="24"/>
          <w:szCs w:val="24"/>
          <w:lang w:val="en-US"/>
        </w:rPr>
        <w:t>). T</w:t>
      </w:r>
      <w:r w:rsidRPr="00510049">
        <w:rPr>
          <w:rFonts w:ascii="Calibri" w:hAnsi="Calibri" w:cs="Arial"/>
          <w:sz w:val="24"/>
          <w:szCs w:val="24"/>
          <w:lang w:val="en-US"/>
        </w:rPr>
        <w:t xml:space="preserve">he decision in </w:t>
      </w:r>
      <w:proofErr w:type="spellStart"/>
      <w:r w:rsidRPr="00510049">
        <w:rPr>
          <w:rFonts w:ascii="Calibri" w:hAnsi="Calibri" w:cs="Arial"/>
          <w:i/>
          <w:sz w:val="24"/>
          <w:szCs w:val="24"/>
          <w:lang w:val="en-US"/>
        </w:rPr>
        <w:t>Opuz</w:t>
      </w:r>
      <w:proofErr w:type="spellEnd"/>
      <w:r w:rsidRPr="00510049">
        <w:rPr>
          <w:rFonts w:ascii="Calibri" w:hAnsi="Calibri" w:cs="Arial"/>
          <w:i/>
          <w:sz w:val="24"/>
          <w:szCs w:val="24"/>
          <w:lang w:val="en-US"/>
        </w:rPr>
        <w:t xml:space="preserve"> v. Turkey</w:t>
      </w:r>
      <w:r w:rsidRPr="00510049">
        <w:rPr>
          <w:rFonts w:ascii="Calibri" w:hAnsi="Calibri" w:cs="Arial"/>
          <w:sz w:val="24"/>
          <w:szCs w:val="24"/>
          <w:lang w:val="en-US"/>
        </w:rPr>
        <w:t xml:space="preserve"> is a landmark one, in which the</w:t>
      </w:r>
      <w:r w:rsidR="00055F66" w:rsidRPr="00510049">
        <w:rPr>
          <w:rFonts w:ascii="Calibri" w:hAnsi="Calibri" w:cs="Arial"/>
          <w:sz w:val="24"/>
          <w:szCs w:val="24"/>
          <w:lang w:val="en-US"/>
        </w:rPr>
        <w:t xml:space="preserve"> Court has found that: </w:t>
      </w:r>
    </w:p>
    <w:p w14:paraId="65AD50B6" w14:textId="319AB4AA" w:rsidR="00055F66" w:rsidRPr="00510049" w:rsidRDefault="00055F66" w:rsidP="00252561">
      <w:pPr>
        <w:spacing w:after="100" w:afterAutospacing="1" w:line="240" w:lineRule="auto"/>
        <w:ind w:left="720"/>
        <w:jc w:val="both"/>
        <w:rPr>
          <w:rFonts w:ascii="Calibri" w:hAnsi="Calibri" w:cs="Times New Roman"/>
        </w:rPr>
      </w:pPr>
      <w:r w:rsidRPr="00510049">
        <w:rPr>
          <w:rFonts w:ascii="Calibri" w:hAnsi="Calibri" w:cs="Times New Roman"/>
          <w:color w:val="262323"/>
        </w:rPr>
        <w:t xml:space="preserve">“200. Bearing in mind </w:t>
      </w:r>
      <w:r w:rsidR="00510049" w:rsidRPr="00510049">
        <w:rPr>
          <w:rFonts w:ascii="Calibri" w:hAnsi="Calibri" w:cs="Times New Roman"/>
          <w:color w:val="262323"/>
        </w:rPr>
        <w:t xml:space="preserve">[…] </w:t>
      </w:r>
      <w:r w:rsidRPr="00510049">
        <w:rPr>
          <w:rFonts w:ascii="Calibri" w:hAnsi="Calibri" w:cs="Times New Roman"/>
          <w:color w:val="262323"/>
        </w:rPr>
        <w:t xml:space="preserve">that the general and discriminatory judicial passivity in Turkey, albeit unintentional, mainly </w:t>
      </w:r>
      <w:r w:rsidR="00510049" w:rsidRPr="00510049">
        <w:rPr>
          <w:rFonts w:ascii="Calibri" w:hAnsi="Calibri" w:cs="Times New Roman"/>
          <w:color w:val="262323"/>
        </w:rPr>
        <w:t>affected</w:t>
      </w:r>
      <w:r w:rsidRPr="00510049">
        <w:rPr>
          <w:rFonts w:ascii="Calibri" w:hAnsi="Calibri" w:cs="Times New Roman"/>
          <w:color w:val="262323"/>
        </w:rPr>
        <w:t xml:space="preserve"> women, the Court considers that the violence </w:t>
      </w:r>
      <w:r w:rsidR="00510049" w:rsidRPr="00510049">
        <w:rPr>
          <w:rFonts w:ascii="Calibri" w:hAnsi="Calibri" w:cs="Times New Roman"/>
          <w:color w:val="262323"/>
        </w:rPr>
        <w:t>suffered</w:t>
      </w:r>
      <w:r w:rsidRPr="00510049">
        <w:rPr>
          <w:rFonts w:ascii="Calibri" w:hAnsi="Calibri" w:cs="Times New Roman"/>
          <w:color w:val="262323"/>
        </w:rPr>
        <w:t xml:space="preserve"> by the applicant and her mother may be regarded as gender-based violence which is a form of discrimination against women. Despite the reforms carried out by the Government in recent years, the overall unresponsiveness of the judicial system and impunity enjoyed by the aggressors, as found in the instant case, indicated that there was </w:t>
      </w:r>
      <w:r w:rsidR="00510049" w:rsidRPr="00510049">
        <w:rPr>
          <w:rFonts w:ascii="Calibri" w:hAnsi="Calibri" w:cs="Times New Roman"/>
          <w:color w:val="262323"/>
        </w:rPr>
        <w:t>insufficient</w:t>
      </w:r>
      <w:r w:rsidRPr="00510049">
        <w:rPr>
          <w:rFonts w:ascii="Calibri" w:hAnsi="Calibri" w:cs="Times New Roman"/>
          <w:color w:val="262323"/>
        </w:rPr>
        <w:t xml:space="preserve"> commitment to take appropriate action to address domestic violence [...].” </w:t>
      </w:r>
    </w:p>
    <w:p w14:paraId="74AE5D43" w14:textId="545F79B6" w:rsidR="001F1445" w:rsidRPr="001F1445" w:rsidRDefault="00055F66" w:rsidP="001F1445">
      <w:pPr>
        <w:autoSpaceDE w:val="0"/>
        <w:autoSpaceDN w:val="0"/>
        <w:adjustRightInd w:val="0"/>
        <w:spacing w:after="0" w:line="240" w:lineRule="auto"/>
        <w:jc w:val="both"/>
        <w:rPr>
          <w:rFonts w:ascii="Calibri" w:hAnsi="Calibri" w:cs="Palatino-Roman"/>
          <w:sz w:val="24"/>
          <w:szCs w:val="24"/>
          <w:lang w:val="en-US"/>
        </w:rPr>
      </w:pPr>
      <w:r w:rsidRPr="001F1445">
        <w:rPr>
          <w:rFonts w:ascii="Calibri" w:hAnsi="Calibri" w:cs="Palatino-Roman"/>
          <w:sz w:val="24"/>
          <w:szCs w:val="24"/>
          <w:lang w:val="en-US"/>
        </w:rPr>
        <w:t xml:space="preserve">However, the Court’s reasoning in </w:t>
      </w:r>
      <w:proofErr w:type="spellStart"/>
      <w:r w:rsidRPr="001F1445">
        <w:rPr>
          <w:rFonts w:ascii="Calibri" w:hAnsi="Calibri" w:cs="Palatino-Roman"/>
          <w:i/>
          <w:sz w:val="24"/>
          <w:szCs w:val="24"/>
          <w:lang w:val="en-US"/>
        </w:rPr>
        <w:t>Opuz</w:t>
      </w:r>
      <w:proofErr w:type="spellEnd"/>
      <w:r w:rsidRPr="001F1445">
        <w:rPr>
          <w:rFonts w:ascii="Calibri" w:hAnsi="Calibri" w:cs="Palatino-Roman"/>
          <w:i/>
          <w:sz w:val="24"/>
          <w:szCs w:val="24"/>
          <w:lang w:val="en-US"/>
        </w:rPr>
        <w:t xml:space="preserve"> </w:t>
      </w:r>
      <w:r w:rsidR="00510049" w:rsidRPr="001F1445">
        <w:rPr>
          <w:rFonts w:ascii="Calibri" w:hAnsi="Calibri" w:cs="Palatino-Roman"/>
          <w:i/>
          <w:sz w:val="24"/>
          <w:szCs w:val="24"/>
          <w:lang w:val="en-US"/>
        </w:rPr>
        <w:t>v. Turkey</w:t>
      </w:r>
      <w:r w:rsidR="00510049" w:rsidRPr="001F1445">
        <w:rPr>
          <w:rFonts w:ascii="Calibri" w:hAnsi="Calibri" w:cs="Palatino-Roman"/>
          <w:sz w:val="24"/>
          <w:szCs w:val="24"/>
          <w:lang w:val="en-US"/>
        </w:rPr>
        <w:t xml:space="preserve"> </w:t>
      </w:r>
      <w:r w:rsidRPr="001F1445">
        <w:rPr>
          <w:rFonts w:ascii="Calibri" w:hAnsi="Calibri" w:cs="Palatino-Roman"/>
          <w:sz w:val="24"/>
          <w:szCs w:val="24"/>
          <w:lang w:val="en-US"/>
        </w:rPr>
        <w:t xml:space="preserve">has not been followed in cases of sexual violence, in as much as the nature of sexual violence as discrimination against women is concerned. </w:t>
      </w:r>
      <w:r w:rsidR="001F1445" w:rsidRPr="001F1445">
        <w:rPr>
          <w:sz w:val="24"/>
          <w:szCs w:val="24"/>
        </w:rPr>
        <w:t xml:space="preserve">The Court does states, as a general obligation, the State’s positive obligation to effectively investigate and punish all forms of rape and sexual abuse (see, for example, </w:t>
      </w:r>
      <w:r w:rsidR="001F1445" w:rsidRPr="001F1445">
        <w:rPr>
          <w:i/>
          <w:sz w:val="24"/>
          <w:szCs w:val="24"/>
        </w:rPr>
        <w:t>I.G. v. Moldova</w:t>
      </w:r>
      <w:r w:rsidR="001F1445" w:rsidRPr="001F1445">
        <w:rPr>
          <w:sz w:val="24"/>
          <w:szCs w:val="24"/>
        </w:rPr>
        <w:t xml:space="preserve">, 2012). (And for a more detailed discussion of the case law of the </w:t>
      </w:r>
      <w:proofErr w:type="spellStart"/>
      <w:r w:rsidR="001F1445" w:rsidRPr="001F1445">
        <w:rPr>
          <w:sz w:val="24"/>
          <w:szCs w:val="24"/>
        </w:rPr>
        <w:t>ECtHR</w:t>
      </w:r>
      <w:proofErr w:type="spellEnd"/>
      <w:r w:rsidR="001F1445" w:rsidRPr="001F1445">
        <w:rPr>
          <w:sz w:val="24"/>
          <w:szCs w:val="24"/>
        </w:rPr>
        <w:t xml:space="preserve">, please consult the abovementioned recent publication.) </w:t>
      </w:r>
    </w:p>
    <w:p w14:paraId="0BC432FE" w14:textId="77777777" w:rsidR="00824CC5" w:rsidRPr="001F1445" w:rsidRDefault="00824CC5" w:rsidP="00824CC5">
      <w:pPr>
        <w:autoSpaceDE w:val="0"/>
        <w:autoSpaceDN w:val="0"/>
        <w:adjustRightInd w:val="0"/>
        <w:spacing w:after="0" w:line="240" w:lineRule="auto"/>
        <w:rPr>
          <w:rFonts w:ascii="Calibri" w:hAnsi="Calibri" w:cs="Palatino-Roman"/>
          <w:sz w:val="24"/>
          <w:szCs w:val="24"/>
        </w:rPr>
      </w:pPr>
    </w:p>
    <w:p w14:paraId="4118EFA5" w14:textId="77777777" w:rsidR="001F1445" w:rsidRPr="00824CC5" w:rsidRDefault="001F1445" w:rsidP="00824CC5">
      <w:pPr>
        <w:autoSpaceDE w:val="0"/>
        <w:autoSpaceDN w:val="0"/>
        <w:adjustRightInd w:val="0"/>
        <w:spacing w:after="0" w:line="240" w:lineRule="auto"/>
        <w:rPr>
          <w:rFonts w:ascii="Calibri" w:hAnsi="Calibri" w:cs="Palatino-Roman"/>
          <w:sz w:val="24"/>
          <w:szCs w:val="24"/>
          <w:lang w:val="en-US"/>
        </w:rPr>
      </w:pPr>
    </w:p>
    <w:p w14:paraId="131CFB75" w14:textId="1257EE87" w:rsidR="002710AF" w:rsidRPr="005E2678" w:rsidRDefault="005E2678" w:rsidP="002A5390">
      <w:pPr>
        <w:rPr>
          <w:rFonts w:ascii="Calibri" w:hAnsi="Calibri" w:cs="Calibri"/>
          <w:b/>
          <w:sz w:val="28"/>
          <w:szCs w:val="28"/>
        </w:rPr>
      </w:pPr>
      <w:r w:rsidRPr="005E2678">
        <w:rPr>
          <w:rFonts w:ascii="Calibri" w:hAnsi="Calibri" w:cs="Calibri"/>
          <w:b/>
          <w:sz w:val="28"/>
          <w:szCs w:val="28"/>
        </w:rPr>
        <w:t>Slide 7</w:t>
      </w:r>
      <w:r w:rsidR="00145555">
        <w:rPr>
          <w:rFonts w:ascii="Calibri" w:hAnsi="Calibri" w:cs="Calibri"/>
          <w:b/>
          <w:sz w:val="28"/>
          <w:szCs w:val="28"/>
        </w:rPr>
        <w:t xml:space="preserve"> and Slide 8</w:t>
      </w:r>
      <w:r w:rsidRPr="005E2678">
        <w:rPr>
          <w:rFonts w:ascii="Calibri" w:hAnsi="Calibri" w:cs="Calibri"/>
          <w:b/>
          <w:sz w:val="28"/>
          <w:szCs w:val="28"/>
        </w:rPr>
        <w:t xml:space="preserve">: </w:t>
      </w:r>
      <w:r w:rsidR="00145555">
        <w:rPr>
          <w:rFonts w:ascii="Calibri" w:hAnsi="Calibri" w:cs="Calibri"/>
          <w:b/>
          <w:sz w:val="28"/>
          <w:szCs w:val="28"/>
        </w:rPr>
        <w:t xml:space="preserve">Dynamics and synergies </w:t>
      </w:r>
      <w:r w:rsidR="00C5151D">
        <w:rPr>
          <w:rFonts w:ascii="Calibri" w:hAnsi="Calibri" w:cs="Calibri"/>
          <w:b/>
          <w:sz w:val="28"/>
          <w:szCs w:val="28"/>
        </w:rPr>
        <w:t xml:space="preserve">within the Council of Europe </w:t>
      </w:r>
    </w:p>
    <w:p w14:paraId="5796D6EE" w14:textId="6D656C14" w:rsidR="00750E9D" w:rsidRDefault="00DB5BA4" w:rsidP="00BE46D4">
      <w:pPr>
        <w:spacing w:after="0" w:line="240" w:lineRule="auto"/>
        <w:contextualSpacing/>
        <w:jc w:val="both"/>
        <w:rPr>
          <w:rFonts w:ascii="Calibri" w:hAnsi="Calibri" w:cs="Calibri"/>
          <w:sz w:val="24"/>
          <w:szCs w:val="24"/>
        </w:rPr>
      </w:pPr>
      <w:r>
        <w:rPr>
          <w:rFonts w:ascii="Calibri" w:hAnsi="Calibri" w:cs="Calibri"/>
          <w:sz w:val="24"/>
          <w:szCs w:val="24"/>
        </w:rPr>
        <w:t xml:space="preserve">The case-law of the </w:t>
      </w:r>
      <w:proofErr w:type="spellStart"/>
      <w:r>
        <w:rPr>
          <w:rFonts w:ascii="Calibri" w:hAnsi="Calibri" w:cs="Calibri"/>
          <w:sz w:val="24"/>
          <w:szCs w:val="24"/>
        </w:rPr>
        <w:t>ECtHR</w:t>
      </w:r>
      <w:proofErr w:type="spellEnd"/>
      <w:r>
        <w:rPr>
          <w:rFonts w:ascii="Calibri" w:hAnsi="Calibri" w:cs="Calibri"/>
          <w:sz w:val="24"/>
          <w:szCs w:val="24"/>
        </w:rPr>
        <w:t xml:space="preserve"> on violence against women played an important role in the negotiations of the Istanbul Convention (especially the landmark cases </w:t>
      </w:r>
      <w:proofErr w:type="spellStart"/>
      <w:r w:rsidRPr="00DB5BA4">
        <w:rPr>
          <w:rFonts w:ascii="Calibri" w:hAnsi="Calibri" w:cs="Calibri"/>
          <w:i/>
          <w:sz w:val="24"/>
          <w:szCs w:val="24"/>
        </w:rPr>
        <w:t>Opuz</w:t>
      </w:r>
      <w:proofErr w:type="spellEnd"/>
      <w:r w:rsidRPr="00DB5BA4">
        <w:rPr>
          <w:rFonts w:ascii="Calibri" w:hAnsi="Calibri" w:cs="Calibri"/>
          <w:i/>
          <w:sz w:val="24"/>
          <w:szCs w:val="24"/>
        </w:rPr>
        <w:t xml:space="preserve"> v. Turkey</w:t>
      </w:r>
      <w:r>
        <w:rPr>
          <w:rFonts w:ascii="Calibri" w:hAnsi="Calibri" w:cs="Calibri"/>
          <w:sz w:val="24"/>
          <w:szCs w:val="24"/>
        </w:rPr>
        <w:t xml:space="preserve"> and </w:t>
      </w:r>
      <w:r w:rsidRPr="00DB5BA4">
        <w:rPr>
          <w:rFonts w:ascii="Calibri" w:hAnsi="Calibri" w:cs="Calibri"/>
          <w:i/>
          <w:sz w:val="24"/>
          <w:szCs w:val="24"/>
        </w:rPr>
        <w:t>M.C. v. Bulgaria</w:t>
      </w:r>
      <w:r>
        <w:rPr>
          <w:rFonts w:ascii="Calibri" w:hAnsi="Calibri" w:cs="Calibri"/>
          <w:sz w:val="24"/>
          <w:szCs w:val="24"/>
        </w:rPr>
        <w:t xml:space="preserve">, already mentioned). </w:t>
      </w:r>
      <w:r w:rsidR="00F358E9">
        <w:rPr>
          <w:rFonts w:ascii="Calibri" w:hAnsi="Calibri" w:cs="Calibri"/>
          <w:sz w:val="24"/>
          <w:szCs w:val="24"/>
        </w:rPr>
        <w:t xml:space="preserve">Many of the issues raised by the court are now codified as obligations on the Parties of the Istanbul Convention. </w:t>
      </w:r>
    </w:p>
    <w:p w14:paraId="66F023CA" w14:textId="77777777" w:rsidR="000657AF" w:rsidRDefault="000657AF" w:rsidP="00BE46D4">
      <w:pPr>
        <w:spacing w:after="0" w:line="240" w:lineRule="auto"/>
        <w:contextualSpacing/>
        <w:jc w:val="both"/>
        <w:rPr>
          <w:rFonts w:ascii="Calibri" w:hAnsi="Calibri" w:cs="Calibri"/>
          <w:sz w:val="24"/>
          <w:szCs w:val="24"/>
        </w:rPr>
      </w:pPr>
    </w:p>
    <w:p w14:paraId="04F3BA16" w14:textId="514D7CCD" w:rsidR="000657AF" w:rsidRPr="0013689C" w:rsidRDefault="000657AF" w:rsidP="0013689C">
      <w:pPr>
        <w:spacing w:after="0" w:line="240" w:lineRule="auto"/>
        <w:contextualSpacing/>
        <w:jc w:val="both"/>
        <w:rPr>
          <w:rFonts w:ascii="Calibri" w:hAnsi="Calibri" w:cs="Calibri"/>
          <w:sz w:val="24"/>
          <w:szCs w:val="24"/>
        </w:rPr>
      </w:pPr>
      <w:r w:rsidRPr="0013689C">
        <w:rPr>
          <w:rFonts w:ascii="Calibri" w:hAnsi="Calibri" w:cs="Calibri"/>
          <w:sz w:val="24"/>
          <w:szCs w:val="24"/>
        </w:rPr>
        <w:t xml:space="preserve">We are now eagerly </w:t>
      </w:r>
      <w:r w:rsidR="001F1445" w:rsidRPr="0013689C">
        <w:rPr>
          <w:rFonts w:ascii="Calibri" w:hAnsi="Calibri" w:cs="Calibri"/>
          <w:sz w:val="24"/>
          <w:szCs w:val="24"/>
        </w:rPr>
        <w:t>waiting</w:t>
      </w:r>
      <w:r w:rsidRPr="0013689C">
        <w:rPr>
          <w:rFonts w:ascii="Calibri" w:hAnsi="Calibri" w:cs="Calibri"/>
          <w:sz w:val="24"/>
          <w:szCs w:val="24"/>
        </w:rPr>
        <w:t xml:space="preserve"> </w:t>
      </w:r>
      <w:r w:rsidR="001F1445" w:rsidRPr="0013689C">
        <w:rPr>
          <w:rFonts w:ascii="Calibri" w:hAnsi="Calibri" w:cs="Calibri"/>
          <w:sz w:val="24"/>
          <w:szCs w:val="24"/>
        </w:rPr>
        <w:t>to see how the European Court of Human Rights will use the Istanbul Convention in its reasoning, for the application of the European Convention on Human Rights.</w:t>
      </w:r>
      <w:r w:rsidR="0013689C" w:rsidRPr="0013689C">
        <w:rPr>
          <w:rFonts w:ascii="Calibri" w:hAnsi="Calibri" w:cs="Calibri"/>
          <w:sz w:val="24"/>
          <w:szCs w:val="24"/>
        </w:rPr>
        <w:t xml:space="preserve"> </w:t>
      </w:r>
      <w:r w:rsidRPr="0013689C">
        <w:rPr>
          <w:rFonts w:ascii="Calibri" w:hAnsi="Calibri" w:cs="Calibri"/>
          <w:sz w:val="24"/>
          <w:szCs w:val="24"/>
        </w:rPr>
        <w:t xml:space="preserve">The Court has </w:t>
      </w:r>
      <w:r w:rsidR="0013689C" w:rsidRPr="0013689C">
        <w:rPr>
          <w:rFonts w:ascii="Calibri" w:hAnsi="Calibri" w:cs="Calibri"/>
          <w:sz w:val="24"/>
          <w:szCs w:val="24"/>
        </w:rPr>
        <w:t xml:space="preserve">indeed begun to refer to the Istanbul Convention in recent </w:t>
      </w:r>
      <w:r w:rsidRPr="0013689C">
        <w:rPr>
          <w:rFonts w:ascii="Calibri" w:hAnsi="Calibri" w:cs="Calibri"/>
          <w:sz w:val="24"/>
          <w:szCs w:val="24"/>
        </w:rPr>
        <w:t>case-</w:t>
      </w:r>
      <w:r w:rsidR="0013689C" w:rsidRPr="0013689C">
        <w:rPr>
          <w:rFonts w:ascii="Calibri" w:hAnsi="Calibri" w:cs="Calibri"/>
          <w:sz w:val="24"/>
          <w:szCs w:val="24"/>
        </w:rPr>
        <w:t xml:space="preserve">law, </w:t>
      </w:r>
      <w:r w:rsidRPr="0013689C">
        <w:rPr>
          <w:rFonts w:ascii="Calibri" w:hAnsi="Calibri" w:cs="Calibri"/>
          <w:sz w:val="24"/>
          <w:szCs w:val="24"/>
        </w:rPr>
        <w:t>in</w:t>
      </w:r>
      <w:r w:rsidR="0013689C" w:rsidRPr="0013689C">
        <w:rPr>
          <w:rFonts w:ascii="Calibri" w:hAnsi="Calibri" w:cs="Calibri"/>
          <w:sz w:val="24"/>
          <w:szCs w:val="24"/>
        </w:rPr>
        <w:t>cluding</w:t>
      </w:r>
      <w:r w:rsidRPr="0013689C">
        <w:rPr>
          <w:rFonts w:ascii="Calibri" w:hAnsi="Calibri" w:cs="Calibri"/>
          <w:sz w:val="24"/>
          <w:szCs w:val="24"/>
        </w:rPr>
        <w:t xml:space="preserve"> the following:</w:t>
      </w:r>
      <w:r w:rsidR="0013689C" w:rsidRPr="0013689C">
        <w:rPr>
          <w:rFonts w:ascii="Calibri" w:hAnsi="Calibri" w:cs="Calibri"/>
          <w:sz w:val="24"/>
          <w:szCs w:val="24"/>
        </w:rPr>
        <w:t xml:space="preserve"> </w:t>
      </w:r>
      <w:r w:rsidRPr="0013689C">
        <w:rPr>
          <w:rFonts w:ascii="Calibri" w:hAnsi="Calibri" w:cs="Calibri"/>
          <w:sz w:val="24"/>
          <w:szCs w:val="24"/>
        </w:rPr>
        <w:t>Y. v. Slovenia (no. 41107/10, final on 28/8/2015)</w:t>
      </w:r>
      <w:r w:rsidR="0013689C" w:rsidRPr="0013689C">
        <w:rPr>
          <w:rFonts w:ascii="Calibri" w:hAnsi="Calibri" w:cs="Calibri"/>
          <w:sz w:val="24"/>
          <w:szCs w:val="24"/>
        </w:rPr>
        <w:t xml:space="preserve"> and </w:t>
      </w:r>
      <w:proofErr w:type="spellStart"/>
      <w:r w:rsidRPr="0013689C">
        <w:rPr>
          <w:rFonts w:ascii="Calibri" w:hAnsi="Calibri" w:cs="Calibri"/>
          <w:sz w:val="24"/>
          <w:szCs w:val="24"/>
        </w:rPr>
        <w:t>Rohlena</w:t>
      </w:r>
      <w:proofErr w:type="spellEnd"/>
      <w:r w:rsidRPr="0013689C">
        <w:rPr>
          <w:rFonts w:ascii="Calibri" w:hAnsi="Calibri" w:cs="Calibri"/>
          <w:sz w:val="24"/>
          <w:szCs w:val="24"/>
        </w:rPr>
        <w:t xml:space="preserve"> v. </w:t>
      </w:r>
      <w:proofErr w:type="gramStart"/>
      <w:r w:rsidRPr="0013689C">
        <w:rPr>
          <w:rFonts w:ascii="Calibri" w:hAnsi="Calibri" w:cs="Calibri"/>
          <w:sz w:val="24"/>
          <w:szCs w:val="24"/>
        </w:rPr>
        <w:t>The Czech Republic (no. 59552/08, Grand Chamber judgment, 27/1/2015)</w:t>
      </w:r>
      <w:r w:rsidR="0013689C" w:rsidRPr="0013689C">
        <w:rPr>
          <w:rFonts w:ascii="Calibri" w:hAnsi="Calibri" w:cs="Calibri"/>
          <w:sz w:val="24"/>
          <w:szCs w:val="24"/>
        </w:rPr>
        <w:t>.</w:t>
      </w:r>
      <w:proofErr w:type="gramEnd"/>
      <w:r w:rsidR="0013689C" w:rsidRPr="0013689C">
        <w:rPr>
          <w:rFonts w:ascii="Calibri" w:hAnsi="Calibri" w:cs="Calibri"/>
          <w:sz w:val="24"/>
          <w:szCs w:val="24"/>
        </w:rPr>
        <w:t xml:space="preserve"> </w:t>
      </w:r>
      <w:r w:rsidR="0013689C">
        <w:rPr>
          <w:rFonts w:ascii="Calibri" w:hAnsi="Calibri" w:cs="Calibri"/>
          <w:sz w:val="24"/>
          <w:szCs w:val="24"/>
        </w:rPr>
        <w:t xml:space="preserve">Other regional and sub-regional courts could also make reference to the standards of the Istanbul Convention. </w:t>
      </w:r>
    </w:p>
    <w:p w14:paraId="3410F186" w14:textId="7B12D1A3" w:rsidR="000657AF" w:rsidRDefault="000657AF" w:rsidP="00BE46D4">
      <w:pPr>
        <w:spacing w:after="0" w:line="240" w:lineRule="auto"/>
        <w:contextualSpacing/>
        <w:jc w:val="both"/>
        <w:rPr>
          <w:rFonts w:ascii="Calibri" w:hAnsi="Calibri" w:cs="Calibri"/>
          <w:sz w:val="24"/>
          <w:szCs w:val="24"/>
        </w:rPr>
      </w:pPr>
    </w:p>
    <w:p w14:paraId="39014781" w14:textId="77777777" w:rsidR="00252561" w:rsidRDefault="00F64075" w:rsidP="00BE46D4">
      <w:pPr>
        <w:spacing w:after="0" w:line="240" w:lineRule="auto"/>
        <w:contextualSpacing/>
        <w:jc w:val="both"/>
        <w:rPr>
          <w:rFonts w:ascii="Calibri" w:hAnsi="Calibri" w:cs="Calibri"/>
          <w:sz w:val="24"/>
          <w:szCs w:val="24"/>
        </w:rPr>
      </w:pPr>
      <w:r w:rsidRPr="009E6A04">
        <w:rPr>
          <w:rFonts w:ascii="Calibri" w:hAnsi="Calibri" w:cs="Calibri"/>
          <w:sz w:val="24"/>
          <w:szCs w:val="24"/>
        </w:rPr>
        <w:t>The Istanbul Convention puts in</w:t>
      </w:r>
      <w:r w:rsidR="00CD4716">
        <w:rPr>
          <w:rFonts w:ascii="Calibri" w:hAnsi="Calibri" w:cs="Calibri"/>
          <w:sz w:val="24"/>
          <w:szCs w:val="24"/>
        </w:rPr>
        <w:t>to</w:t>
      </w:r>
      <w:r w:rsidRPr="009E6A04">
        <w:rPr>
          <w:rFonts w:ascii="Calibri" w:hAnsi="Calibri" w:cs="Calibri"/>
          <w:sz w:val="24"/>
          <w:szCs w:val="24"/>
        </w:rPr>
        <w:t xml:space="preserve"> place measures that, if implemented, will increase the number of prosecutions of rape, provide better protection for the victims, and alter the social, cultural and legal contexts that make sexual violence possible. </w:t>
      </w:r>
    </w:p>
    <w:p w14:paraId="3E96994E" w14:textId="79398D3D" w:rsidR="002710AF" w:rsidRPr="00540B17" w:rsidRDefault="002710AF" w:rsidP="00540B17">
      <w:pPr>
        <w:spacing w:after="0" w:line="240" w:lineRule="auto"/>
        <w:jc w:val="both"/>
        <w:rPr>
          <w:rFonts w:ascii="Calibri" w:hAnsi="Calibri" w:cs="Calibri"/>
          <w:sz w:val="24"/>
          <w:szCs w:val="24"/>
        </w:rPr>
      </w:pPr>
      <w:r w:rsidRPr="00540B17">
        <w:rPr>
          <w:rFonts w:ascii="Calibri" w:hAnsi="Calibri" w:cs="Calibri"/>
          <w:b/>
          <w:sz w:val="24"/>
          <w:szCs w:val="24"/>
        </w:rPr>
        <w:t>Remove barriers to access to justice for victims of rape, in particular:</w:t>
      </w:r>
    </w:p>
    <w:p w14:paraId="5B2998AE" w14:textId="77777777" w:rsidR="00540B17" w:rsidRPr="00540B17" w:rsidRDefault="00BA4811" w:rsidP="00540B17">
      <w:pPr>
        <w:pStyle w:val="ListParagraph"/>
        <w:numPr>
          <w:ilvl w:val="0"/>
          <w:numId w:val="19"/>
        </w:numPr>
        <w:spacing w:after="0" w:line="240" w:lineRule="auto"/>
        <w:jc w:val="both"/>
        <w:rPr>
          <w:rFonts w:ascii="Calibri" w:hAnsi="Calibri" w:cs="Calibri"/>
          <w:sz w:val="24"/>
          <w:szCs w:val="24"/>
        </w:rPr>
      </w:pPr>
      <w:r w:rsidRPr="00540B17">
        <w:rPr>
          <w:rFonts w:cs="Calibri"/>
          <w:sz w:val="24"/>
          <w:szCs w:val="24"/>
        </w:rPr>
        <w:lastRenderedPageBreak/>
        <w:t>The Istanbul Convention asks Parties to ensure that i</w:t>
      </w:r>
      <w:r w:rsidR="007D6FC9" w:rsidRPr="00540B17">
        <w:rPr>
          <w:rFonts w:cs="Calibri"/>
          <w:sz w:val="24"/>
          <w:szCs w:val="24"/>
        </w:rPr>
        <w:t>nvestigations into or prosecution of rape offences shall not be wholly dependent upon a report or complaint filed by a victim (Article 55)</w:t>
      </w:r>
      <w:r w:rsidR="007D6FC9" w:rsidRPr="00540B17">
        <w:rPr>
          <w:rFonts w:cs="Calibri"/>
          <w:b/>
          <w:sz w:val="24"/>
          <w:szCs w:val="24"/>
        </w:rPr>
        <w:t>.</w:t>
      </w:r>
      <w:r w:rsidR="007D6FC9" w:rsidRPr="00540B17">
        <w:rPr>
          <w:rFonts w:cs="Calibri"/>
          <w:sz w:val="24"/>
          <w:szCs w:val="24"/>
        </w:rPr>
        <w:t xml:space="preserve"> Law enforcement authorities should investigate in a proactive way to gather evidence in order to make sure that the proceedings may be carried out even if the victim withdraws her complaint.</w:t>
      </w:r>
    </w:p>
    <w:p w14:paraId="5BC625C9" w14:textId="77777777" w:rsidR="00540B17" w:rsidRDefault="00540B17" w:rsidP="00540B17">
      <w:pPr>
        <w:pStyle w:val="ListParagraph"/>
        <w:numPr>
          <w:ilvl w:val="0"/>
          <w:numId w:val="19"/>
        </w:numPr>
        <w:spacing w:after="0" w:line="240" w:lineRule="auto"/>
        <w:jc w:val="both"/>
        <w:rPr>
          <w:rFonts w:ascii="Calibri" w:hAnsi="Calibri" w:cs="Calibri"/>
          <w:sz w:val="24"/>
          <w:szCs w:val="24"/>
        </w:rPr>
      </w:pPr>
      <w:r>
        <w:rPr>
          <w:rFonts w:ascii="Calibri" w:hAnsi="Calibri" w:cs="Calibri"/>
          <w:sz w:val="24"/>
          <w:szCs w:val="24"/>
        </w:rPr>
        <w:t>E</w:t>
      </w:r>
      <w:r w:rsidR="002710AF" w:rsidRPr="00540B17">
        <w:rPr>
          <w:rFonts w:ascii="Calibri" w:hAnsi="Calibri" w:cs="Calibri"/>
          <w:sz w:val="24"/>
          <w:szCs w:val="24"/>
        </w:rPr>
        <w:t>vidence relating to the sexual history and conduct of the victim is permitted only when relevant and necessary (Article 54), since such evidence is sometimes used to challenge the respectability, the credibility and th</w:t>
      </w:r>
      <w:r>
        <w:rPr>
          <w:rFonts w:ascii="Calibri" w:hAnsi="Calibri" w:cs="Calibri"/>
          <w:sz w:val="24"/>
          <w:szCs w:val="24"/>
        </w:rPr>
        <w:t xml:space="preserve">e lack of consent of the victim. </w:t>
      </w:r>
    </w:p>
    <w:p w14:paraId="17BBA473" w14:textId="77777777" w:rsidR="00540B17" w:rsidRPr="00540B17" w:rsidRDefault="00540B17" w:rsidP="00540B17">
      <w:pPr>
        <w:pStyle w:val="ListParagraph"/>
        <w:numPr>
          <w:ilvl w:val="0"/>
          <w:numId w:val="19"/>
        </w:numPr>
        <w:spacing w:after="0" w:line="240" w:lineRule="auto"/>
        <w:jc w:val="both"/>
        <w:rPr>
          <w:rFonts w:ascii="Calibri" w:hAnsi="Calibri" w:cs="Calibri"/>
          <w:sz w:val="24"/>
          <w:szCs w:val="24"/>
        </w:rPr>
      </w:pPr>
      <w:r w:rsidRPr="00540B17">
        <w:rPr>
          <w:rFonts w:ascii="Calibri" w:hAnsi="Calibri" w:cs="Calibri"/>
          <w:color w:val="000000" w:themeColor="text1"/>
          <w:sz w:val="24"/>
          <w:szCs w:val="24"/>
        </w:rPr>
        <w:t xml:space="preserve">It is in the nature of a crime of sexual violence that victims are invariably left with a feeling of helplessness and vulnerability, while the perpetrator exudes a sense of power and dominance. Consequently, the Istanbul Convention requires parties to prohibit mandatory participation in alternative dispute resolution processes, including mediation or reconciliation, in relation to sexual violence (Article 48). </w:t>
      </w:r>
    </w:p>
    <w:p w14:paraId="77827486" w14:textId="77777777" w:rsidR="00540B17" w:rsidRDefault="00540B17" w:rsidP="00540B17">
      <w:pPr>
        <w:pStyle w:val="ListParagraph"/>
        <w:numPr>
          <w:ilvl w:val="0"/>
          <w:numId w:val="19"/>
        </w:numPr>
        <w:spacing w:after="0" w:line="240" w:lineRule="auto"/>
        <w:jc w:val="both"/>
        <w:rPr>
          <w:rFonts w:ascii="Calibri" w:hAnsi="Calibri" w:cs="Calibri"/>
          <w:sz w:val="24"/>
          <w:szCs w:val="24"/>
        </w:rPr>
      </w:pPr>
      <w:r>
        <w:rPr>
          <w:rFonts w:ascii="Calibri" w:hAnsi="Calibri" w:cs="Calibri"/>
          <w:sz w:val="24"/>
          <w:szCs w:val="24"/>
        </w:rPr>
        <w:t>V</w:t>
      </w:r>
      <w:r w:rsidR="002710AF" w:rsidRPr="00540B17">
        <w:rPr>
          <w:rFonts w:ascii="Calibri" w:hAnsi="Calibri" w:cs="Calibri"/>
          <w:sz w:val="24"/>
          <w:szCs w:val="24"/>
        </w:rPr>
        <w:t>ictims are protected at all stages of investigations and ju</w:t>
      </w:r>
      <w:r w:rsidR="00BA4811" w:rsidRPr="00540B17">
        <w:rPr>
          <w:rFonts w:ascii="Calibri" w:hAnsi="Calibri" w:cs="Calibri"/>
          <w:sz w:val="24"/>
          <w:szCs w:val="24"/>
        </w:rPr>
        <w:t>dicial proceedings (Article 56)</w:t>
      </w:r>
    </w:p>
    <w:p w14:paraId="43954331" w14:textId="77777777" w:rsidR="00540B17" w:rsidRPr="00540B17" w:rsidRDefault="00BA4811" w:rsidP="00540B17">
      <w:pPr>
        <w:pStyle w:val="ListParagraph"/>
        <w:numPr>
          <w:ilvl w:val="0"/>
          <w:numId w:val="19"/>
        </w:numPr>
        <w:spacing w:after="0" w:line="240" w:lineRule="auto"/>
        <w:jc w:val="both"/>
        <w:rPr>
          <w:rFonts w:ascii="Calibri" w:hAnsi="Calibri" w:cs="Calibri"/>
          <w:sz w:val="24"/>
          <w:szCs w:val="24"/>
        </w:rPr>
      </w:pPr>
      <w:r w:rsidRPr="00540B17">
        <w:rPr>
          <w:rFonts w:ascii="Calibri" w:hAnsi="Calibri" w:cs="Calibri"/>
          <w:color w:val="000000" w:themeColor="text1"/>
          <w:sz w:val="24"/>
          <w:szCs w:val="24"/>
        </w:rPr>
        <w:t xml:space="preserve">Victims of sexual violence are particularly vulnerable during investigations and criminal proceedings, when they may have to face their aggressors, in a confined space. The Istanbul Convention asks that measures be taken to avoid contact between victims and perpetrators within court and law enforcement agencies premises, when possible (Article 56). </w:t>
      </w:r>
    </w:p>
    <w:p w14:paraId="0B29E2E3" w14:textId="389CB5E3" w:rsidR="00540B17" w:rsidRDefault="00540B17" w:rsidP="00540B17">
      <w:pPr>
        <w:pStyle w:val="ListParagraph"/>
        <w:numPr>
          <w:ilvl w:val="0"/>
          <w:numId w:val="19"/>
        </w:numPr>
        <w:spacing w:after="0" w:line="240" w:lineRule="auto"/>
        <w:jc w:val="both"/>
        <w:rPr>
          <w:rFonts w:ascii="Calibri" w:hAnsi="Calibri" w:cs="Calibri"/>
          <w:sz w:val="24"/>
          <w:szCs w:val="24"/>
        </w:rPr>
      </w:pPr>
      <w:r>
        <w:rPr>
          <w:rFonts w:ascii="Calibri" w:hAnsi="Calibri" w:cs="Calibri"/>
          <w:sz w:val="24"/>
          <w:szCs w:val="24"/>
        </w:rPr>
        <w:t>Victims should have</w:t>
      </w:r>
      <w:r w:rsidR="002710AF" w:rsidRPr="00540B17">
        <w:rPr>
          <w:rFonts w:ascii="Calibri" w:hAnsi="Calibri" w:cs="Calibri"/>
          <w:sz w:val="24"/>
          <w:szCs w:val="24"/>
        </w:rPr>
        <w:t xml:space="preserve"> access to legal assistance an</w:t>
      </w:r>
      <w:r w:rsidR="004850B3" w:rsidRPr="00540B17">
        <w:rPr>
          <w:rFonts w:ascii="Calibri" w:hAnsi="Calibri" w:cs="Calibri"/>
          <w:sz w:val="24"/>
          <w:szCs w:val="24"/>
        </w:rPr>
        <w:t>d to free legal aid (Article 57)</w:t>
      </w:r>
      <w:r>
        <w:rPr>
          <w:rFonts w:ascii="Calibri" w:hAnsi="Calibri" w:cs="Calibri"/>
          <w:sz w:val="24"/>
          <w:szCs w:val="24"/>
        </w:rPr>
        <w:t xml:space="preserve">. </w:t>
      </w:r>
    </w:p>
    <w:p w14:paraId="5E2F6D1D" w14:textId="3C889E82" w:rsidR="008622B8" w:rsidRPr="00AE2214" w:rsidRDefault="00FF6328" w:rsidP="008B6E39">
      <w:pPr>
        <w:pStyle w:val="ListParagraph"/>
        <w:numPr>
          <w:ilvl w:val="0"/>
          <w:numId w:val="19"/>
        </w:numPr>
        <w:spacing w:after="0" w:line="240" w:lineRule="auto"/>
        <w:jc w:val="both"/>
        <w:rPr>
          <w:rFonts w:ascii="Calibri" w:hAnsi="Calibri" w:cs="Calibri"/>
          <w:sz w:val="24"/>
          <w:szCs w:val="24"/>
        </w:rPr>
      </w:pPr>
      <w:r w:rsidRPr="00540B17">
        <w:rPr>
          <w:rFonts w:ascii="Calibri" w:hAnsi="Calibri" w:cs="Calibri"/>
          <w:sz w:val="24"/>
          <w:szCs w:val="24"/>
        </w:rPr>
        <w:t>The Istanbul Convention also recognises that children victims of sexual abus</w:t>
      </w:r>
      <w:r w:rsidRPr="00540B17">
        <w:rPr>
          <w:sz w:val="24"/>
          <w:szCs w:val="24"/>
        </w:rPr>
        <w:t xml:space="preserve">e may not be in a position to even comprehend their experience until they are adults, let alone make it known to the authorities. In order to allow for initiation of proceedings in these cases, Article 58 provides that the limitation period for initiating legal proceedings continues to run for a sufficient period of time, after the victim has reached the age of majority. </w:t>
      </w:r>
      <w:r w:rsidR="00AE2214" w:rsidRPr="00AE2214">
        <w:rPr>
          <w:rFonts w:ascii="Calibri" w:hAnsi="Calibri" w:cs="Calibri"/>
          <w:sz w:val="24"/>
          <w:szCs w:val="24"/>
        </w:rPr>
        <w:t xml:space="preserve">(This reflects also Article 33 of the Lanzarote Convention, the </w:t>
      </w:r>
      <w:r w:rsidR="00AE2214" w:rsidRPr="00AE2214">
        <w:rPr>
          <w:rStyle w:val="auto-style32"/>
          <w:rFonts w:ascii="Calibri" w:hAnsi="Calibri" w:cs="Calibri"/>
          <w:sz w:val="24"/>
          <w:szCs w:val="24"/>
        </w:rPr>
        <w:t>Council of Europe Convention on Protection of Children against Sexual Exploitation and Sexual Abuse, which entered into force on 1 July 2010.)</w:t>
      </w:r>
      <w:r w:rsidR="00AE2214" w:rsidRPr="00AE2214">
        <w:rPr>
          <w:rStyle w:val="auto-style32"/>
          <w:rFonts w:ascii="Verdana" w:hAnsi="Verdana" w:cs="Arial"/>
          <w:sz w:val="20"/>
          <w:szCs w:val="20"/>
        </w:rPr>
        <w:t xml:space="preserve"> </w:t>
      </w:r>
    </w:p>
    <w:p w14:paraId="291B784D" w14:textId="73FB745D" w:rsidR="00DA12A9" w:rsidRPr="008B6E39" w:rsidRDefault="00145555" w:rsidP="008B6E39">
      <w:pPr>
        <w:spacing w:after="0" w:line="240" w:lineRule="auto"/>
        <w:jc w:val="both"/>
        <w:rPr>
          <w:rFonts w:ascii="Calibri" w:hAnsi="Calibri" w:cs="Calibri"/>
          <w:sz w:val="24"/>
          <w:szCs w:val="24"/>
        </w:rPr>
      </w:pPr>
      <w:r w:rsidRPr="008B6E39">
        <w:rPr>
          <w:rFonts w:ascii="Calibri" w:hAnsi="Calibri" w:cs="Palatino-Roman"/>
          <w:b/>
          <w:sz w:val="28"/>
          <w:szCs w:val="28"/>
          <w:lang w:val="en-US"/>
        </w:rPr>
        <w:t>Slide 9</w:t>
      </w:r>
      <w:r w:rsidR="007B63F8" w:rsidRPr="008B6E39">
        <w:rPr>
          <w:rFonts w:ascii="Calibri" w:hAnsi="Calibri" w:cs="Palatino-Roman"/>
          <w:b/>
          <w:sz w:val="28"/>
          <w:szCs w:val="28"/>
          <w:lang w:val="en-US"/>
        </w:rPr>
        <w:t xml:space="preserve">: </w:t>
      </w:r>
      <w:r w:rsidR="00DA12A9" w:rsidRPr="008B6E39">
        <w:rPr>
          <w:rFonts w:ascii="Calibri" w:hAnsi="Calibri" w:cs="Palatino-Roman"/>
          <w:b/>
          <w:sz w:val="28"/>
          <w:szCs w:val="28"/>
          <w:lang w:val="en-US"/>
        </w:rPr>
        <w:t xml:space="preserve">Listening to victims of sexual violence  </w:t>
      </w:r>
    </w:p>
    <w:p w14:paraId="1DE2F5AC" w14:textId="4AE3133E" w:rsidR="00DA12A9" w:rsidRPr="0078302F" w:rsidRDefault="00162589" w:rsidP="00CD4716">
      <w:pPr>
        <w:spacing w:line="240" w:lineRule="auto"/>
        <w:jc w:val="both"/>
        <w:rPr>
          <w:rFonts w:ascii="Calibri" w:hAnsi="Calibri" w:cs="Palatino-Roman"/>
          <w:b/>
          <w:sz w:val="24"/>
          <w:szCs w:val="24"/>
          <w:lang w:val="en-US"/>
        </w:rPr>
      </w:pPr>
      <w:r>
        <w:rPr>
          <w:rFonts w:ascii="Calibri" w:hAnsi="Calibri" w:cs="Calibri"/>
          <w:sz w:val="24"/>
          <w:szCs w:val="24"/>
          <w:lang w:val="en-US"/>
        </w:rPr>
        <w:t xml:space="preserve">I started by asking </w:t>
      </w:r>
      <w:r w:rsidR="00BE1FDE">
        <w:rPr>
          <w:rFonts w:ascii="Calibri" w:hAnsi="Calibri" w:cs="Calibri"/>
          <w:sz w:val="24"/>
          <w:szCs w:val="24"/>
          <w:lang w:val="en-US"/>
        </w:rPr>
        <w:t xml:space="preserve">what would take to deliver justice from the victims’ perspective. Perhaps the first step required is to carefully listen to what they say and believe it. </w:t>
      </w:r>
      <w:r w:rsidR="00DA12A9">
        <w:rPr>
          <w:rFonts w:ascii="Calibri" w:hAnsi="Calibri" w:cs="Calibri"/>
          <w:sz w:val="24"/>
          <w:szCs w:val="24"/>
          <w:lang w:val="en-US"/>
        </w:rPr>
        <w:t xml:space="preserve">No other victims of crime are so profoundly mistrusted and viewed with so much suspicion as victims of rape. </w:t>
      </w:r>
      <w:r w:rsidR="00DA12A9" w:rsidRPr="00D30EAB">
        <w:rPr>
          <w:rFonts w:ascii="Calibri" w:hAnsi="Calibri" w:cs="Calibri"/>
          <w:sz w:val="24"/>
          <w:szCs w:val="24"/>
          <w:lang w:val="en-US"/>
        </w:rPr>
        <w:t>Due to persistent stereotyped attitudes, victims are as likely to be shamed and humiliated in their own families, schools, or churches</w:t>
      </w:r>
      <w:r w:rsidR="00CD4716">
        <w:rPr>
          <w:rFonts w:ascii="Calibri" w:hAnsi="Calibri" w:cs="Calibri"/>
          <w:sz w:val="24"/>
          <w:szCs w:val="24"/>
          <w:lang w:val="en-US"/>
        </w:rPr>
        <w:t>,</w:t>
      </w:r>
      <w:r w:rsidR="00DA12A9" w:rsidRPr="00D30EAB">
        <w:rPr>
          <w:rFonts w:ascii="Calibri" w:hAnsi="Calibri" w:cs="Calibri"/>
          <w:sz w:val="24"/>
          <w:szCs w:val="24"/>
          <w:lang w:val="en-US"/>
        </w:rPr>
        <w:t xml:space="preserve"> as in the police station or the courtroom.</w:t>
      </w:r>
      <w:r w:rsidR="00DA12A9">
        <w:rPr>
          <w:rFonts w:ascii="Calibri" w:hAnsi="Calibri" w:cs="Palatino-Roman"/>
          <w:b/>
          <w:sz w:val="24"/>
          <w:szCs w:val="24"/>
          <w:lang w:val="en-US"/>
        </w:rPr>
        <w:t xml:space="preserve"> </w:t>
      </w:r>
      <w:r w:rsidR="00DA12A9">
        <w:rPr>
          <w:rFonts w:ascii="Calibri" w:hAnsi="Calibri" w:cs="Palatino-Roman"/>
          <w:sz w:val="24"/>
          <w:szCs w:val="24"/>
          <w:lang w:val="en-US"/>
        </w:rPr>
        <w:t xml:space="preserve">It is time that the </w:t>
      </w:r>
      <w:r w:rsidR="00DA12A9" w:rsidRPr="00D30EAB">
        <w:rPr>
          <w:rFonts w:ascii="Calibri" w:hAnsi="Calibri" w:cs="Palatino-Roman"/>
          <w:sz w:val="24"/>
          <w:szCs w:val="24"/>
          <w:lang w:val="en-US"/>
        </w:rPr>
        <w:t xml:space="preserve">voices </w:t>
      </w:r>
      <w:r w:rsidR="00DA12A9">
        <w:rPr>
          <w:rFonts w:ascii="Calibri" w:hAnsi="Calibri" w:cs="Palatino-Roman"/>
          <w:sz w:val="24"/>
          <w:szCs w:val="24"/>
          <w:lang w:val="en-US"/>
        </w:rPr>
        <w:t xml:space="preserve">of victims of rape are brought </w:t>
      </w:r>
      <w:r w:rsidR="00DA12A9" w:rsidRPr="00D30EAB">
        <w:rPr>
          <w:rFonts w:ascii="Calibri" w:hAnsi="Calibri" w:cs="Palatino-Roman"/>
          <w:sz w:val="24"/>
          <w:szCs w:val="24"/>
          <w:lang w:val="en-US"/>
        </w:rPr>
        <w:t>from the margin</w:t>
      </w:r>
      <w:r w:rsidR="00DA12A9">
        <w:rPr>
          <w:rFonts w:ascii="Calibri" w:hAnsi="Calibri" w:cs="Palatino-Roman"/>
          <w:sz w:val="24"/>
          <w:szCs w:val="24"/>
          <w:lang w:val="en-US"/>
        </w:rPr>
        <w:t xml:space="preserve">s of the justice system to the </w:t>
      </w:r>
      <w:r w:rsidR="00DA12A9" w:rsidRPr="00D30EAB">
        <w:rPr>
          <w:rFonts w:ascii="Calibri" w:hAnsi="Calibri" w:cs="Palatino-Roman"/>
          <w:sz w:val="24"/>
          <w:szCs w:val="24"/>
          <w:lang w:val="en-US"/>
        </w:rPr>
        <w:t>center. It is time that the</w:t>
      </w:r>
      <w:r w:rsidR="00DA12A9">
        <w:rPr>
          <w:rFonts w:ascii="Calibri" w:hAnsi="Calibri" w:cs="Palatino-Roman"/>
          <w:sz w:val="24"/>
          <w:szCs w:val="24"/>
          <w:lang w:val="en-US"/>
        </w:rPr>
        <w:t>ir</w:t>
      </w:r>
      <w:r w:rsidR="00DA12A9" w:rsidRPr="00D30EAB">
        <w:rPr>
          <w:rFonts w:ascii="Calibri" w:hAnsi="Calibri" w:cs="Palatino-Roman"/>
          <w:sz w:val="24"/>
          <w:szCs w:val="24"/>
          <w:lang w:val="en-US"/>
        </w:rPr>
        <w:t xml:space="preserve"> voices are heard. </w:t>
      </w:r>
    </w:p>
    <w:p w14:paraId="1C6F9768" w14:textId="77777777" w:rsidR="00DA12A9" w:rsidRPr="000B11CE" w:rsidRDefault="00DA12A9" w:rsidP="00CD4716">
      <w:pPr>
        <w:spacing w:line="240" w:lineRule="auto"/>
        <w:jc w:val="both"/>
        <w:rPr>
          <w:rFonts w:ascii="Calibri" w:hAnsi="Calibri" w:cs="Calibri"/>
          <w:sz w:val="24"/>
          <w:szCs w:val="24"/>
        </w:rPr>
      </w:pPr>
      <w:r w:rsidRPr="000B11CE">
        <w:rPr>
          <w:rFonts w:ascii="Calibri" w:hAnsi="Calibri" w:cs="Calibri"/>
          <w:sz w:val="24"/>
          <w:szCs w:val="24"/>
        </w:rPr>
        <w:t xml:space="preserve">In the words of victims of violence, the crime of rape cannot be dissociated from the larger social and community context in which it happens. </w:t>
      </w:r>
    </w:p>
    <w:p w14:paraId="4FEBEE22" w14:textId="2256C00C" w:rsidR="00DA12A9" w:rsidRPr="00931288" w:rsidRDefault="00DA12A9" w:rsidP="00931288">
      <w:pPr>
        <w:autoSpaceDE w:val="0"/>
        <w:autoSpaceDN w:val="0"/>
        <w:adjustRightInd w:val="0"/>
        <w:spacing w:after="0" w:line="240" w:lineRule="auto"/>
        <w:ind w:left="720"/>
        <w:jc w:val="both"/>
        <w:rPr>
          <w:rFonts w:ascii="Calibri" w:hAnsi="Calibri" w:cs="Palatino-Roman"/>
          <w:i/>
          <w:sz w:val="24"/>
          <w:szCs w:val="24"/>
          <w:lang w:val="en-US"/>
        </w:rPr>
      </w:pPr>
      <w:r w:rsidRPr="000B11CE">
        <w:rPr>
          <w:rFonts w:ascii="Calibri" w:hAnsi="Calibri" w:cs="Palatino-Roman"/>
          <w:i/>
          <w:sz w:val="24"/>
          <w:szCs w:val="24"/>
          <w:lang w:val="en-US"/>
        </w:rPr>
        <w:t xml:space="preserve">It’s too easy to say it’s just the perpetrator. . . . It really has so little to do with </w:t>
      </w:r>
      <w:r w:rsidRPr="000B11CE">
        <w:rPr>
          <w:rFonts w:ascii="Calibri" w:hAnsi="Calibri" w:cs="Palatino-Italic"/>
          <w:i/>
          <w:iCs/>
          <w:sz w:val="24"/>
          <w:szCs w:val="24"/>
          <w:lang w:val="en-US"/>
        </w:rPr>
        <w:t>him</w:t>
      </w:r>
      <w:r w:rsidRPr="000B11CE">
        <w:rPr>
          <w:rFonts w:ascii="Calibri" w:hAnsi="Calibri" w:cs="Palatino-Roman"/>
          <w:i/>
          <w:sz w:val="24"/>
          <w:szCs w:val="24"/>
          <w:lang w:val="en-US"/>
        </w:rPr>
        <w:t>, because . . . had the community, had my family, had the people around the school system who watched my disintegration— and nobody paid attention even to see that I was out of it. Nobody said a word—</w:t>
      </w:r>
      <w:r w:rsidRPr="000B11CE">
        <w:rPr>
          <w:rFonts w:ascii="Calibri" w:hAnsi="Calibri" w:cs="Palatino-Italic"/>
          <w:i/>
          <w:iCs/>
          <w:sz w:val="24"/>
          <w:szCs w:val="24"/>
          <w:lang w:val="en-US"/>
        </w:rPr>
        <w:t xml:space="preserve">they’re </w:t>
      </w:r>
      <w:r w:rsidRPr="000B11CE">
        <w:rPr>
          <w:rFonts w:ascii="Calibri" w:hAnsi="Calibri" w:cs="Palatino-Roman"/>
          <w:i/>
          <w:sz w:val="24"/>
          <w:szCs w:val="24"/>
          <w:lang w:val="en-US"/>
        </w:rPr>
        <w:t>the ones that should be ashamed.</w:t>
      </w:r>
    </w:p>
    <w:sectPr w:rsidR="00DA12A9" w:rsidRPr="00931288" w:rsidSect="0036716A">
      <w:footerReference w:type="default" r:id="rId13"/>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OPA Raluca" w:date="2015-10-19T16:54:00Z" w:initials="PR">
    <w:p w14:paraId="193D3A4E" w14:textId="5F226144" w:rsidR="00CE4ED5" w:rsidRDefault="00CE4ED5">
      <w:pPr>
        <w:pStyle w:val="CommentText"/>
      </w:pPr>
      <w:r>
        <w:rPr>
          <w:rStyle w:val="CommentReference"/>
        </w:rPr>
        <w:annotationRef/>
      </w:r>
      <w:r>
        <w:t xml:space="preserve">Only the two points in yellow highlight will be mentioned, because of time limitations.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B122B" w14:textId="77777777" w:rsidR="0045449D" w:rsidRDefault="0045449D" w:rsidP="002E3CC9">
      <w:pPr>
        <w:spacing w:after="0" w:line="240" w:lineRule="auto"/>
      </w:pPr>
      <w:r>
        <w:separator/>
      </w:r>
    </w:p>
  </w:endnote>
  <w:endnote w:type="continuationSeparator" w:id="0">
    <w:p w14:paraId="5FA20CEF" w14:textId="77777777" w:rsidR="0045449D" w:rsidRDefault="0045449D" w:rsidP="002E3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erlin Sans FB">
    <w:panose1 w:val="020E0602020502020306"/>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NeueLT Std Cn">
    <w:altName w:val="Cambria"/>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Palatino-Roman">
    <w:altName w:val="Book Antiqu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Italic">
    <w:altName w:val="Palatino"/>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756184"/>
      <w:docPartObj>
        <w:docPartGallery w:val="Page Numbers (Bottom of Page)"/>
        <w:docPartUnique/>
      </w:docPartObj>
    </w:sdtPr>
    <w:sdtEndPr>
      <w:rPr>
        <w:noProof/>
      </w:rPr>
    </w:sdtEndPr>
    <w:sdtContent>
      <w:p w14:paraId="1D06BCFD" w14:textId="77777777" w:rsidR="00944D0A" w:rsidRDefault="00944D0A">
        <w:pPr>
          <w:pStyle w:val="Footer"/>
          <w:jc w:val="right"/>
        </w:pPr>
        <w:r>
          <w:fldChar w:fldCharType="begin"/>
        </w:r>
        <w:r>
          <w:instrText xml:space="preserve"> PAGE   \* MERGEFORMAT </w:instrText>
        </w:r>
        <w:r>
          <w:fldChar w:fldCharType="separate"/>
        </w:r>
        <w:r w:rsidR="008C187C">
          <w:rPr>
            <w:noProof/>
          </w:rPr>
          <w:t>6</w:t>
        </w:r>
        <w:r>
          <w:rPr>
            <w:noProof/>
          </w:rPr>
          <w:fldChar w:fldCharType="end"/>
        </w:r>
      </w:p>
    </w:sdtContent>
  </w:sdt>
  <w:p w14:paraId="268CFD9E" w14:textId="77777777" w:rsidR="00944D0A" w:rsidRDefault="00944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EEBFC" w14:textId="77777777" w:rsidR="0045449D" w:rsidRDefault="0045449D" w:rsidP="002E3CC9">
      <w:pPr>
        <w:spacing w:after="0" w:line="240" w:lineRule="auto"/>
      </w:pPr>
      <w:r>
        <w:separator/>
      </w:r>
    </w:p>
  </w:footnote>
  <w:footnote w:type="continuationSeparator" w:id="0">
    <w:p w14:paraId="18C3A2C6" w14:textId="77777777" w:rsidR="0045449D" w:rsidRDefault="0045449D" w:rsidP="002E3CC9">
      <w:pPr>
        <w:spacing w:after="0" w:line="240" w:lineRule="auto"/>
      </w:pPr>
      <w:r>
        <w:continuationSeparator/>
      </w:r>
    </w:p>
  </w:footnote>
  <w:footnote w:id="1">
    <w:p w14:paraId="10AF7F42" w14:textId="1D94AD35" w:rsidR="00944D0A" w:rsidRPr="00541FCE" w:rsidRDefault="00944D0A">
      <w:pPr>
        <w:pStyle w:val="FootnoteText"/>
        <w:rPr>
          <w:rFonts w:ascii="Calibri" w:hAnsi="Calibri"/>
          <w:sz w:val="20"/>
          <w:lang w:val="en-US"/>
        </w:rPr>
      </w:pPr>
      <w:r w:rsidRPr="00541FCE">
        <w:rPr>
          <w:rStyle w:val="FootnoteReference"/>
          <w:rFonts w:ascii="Calibri" w:hAnsi="Calibri"/>
          <w:sz w:val="20"/>
        </w:rPr>
        <w:footnoteRef/>
      </w:r>
      <w:r w:rsidRPr="007A7F7B">
        <w:rPr>
          <w:rFonts w:ascii="Calibri" w:hAnsi="Calibri"/>
          <w:sz w:val="20"/>
          <w:lang w:val="en-US"/>
        </w:rPr>
        <w:t xml:space="preserve"> </w:t>
      </w:r>
      <w:r w:rsidRPr="007A7F7B">
        <w:rPr>
          <w:rFonts w:ascii="Calibri" w:hAnsi="Calibri"/>
          <w:color w:val="262323"/>
          <w:sz w:val="20"/>
          <w:lang w:val="en-US"/>
        </w:rPr>
        <w:t xml:space="preserve">Cook R. and Cusack S. (2010), </w:t>
      </w:r>
      <w:r w:rsidRPr="007A7F7B">
        <w:rPr>
          <w:rFonts w:ascii="Calibri" w:hAnsi="Calibri"/>
          <w:i/>
          <w:iCs/>
          <w:color w:val="262323"/>
          <w:sz w:val="20"/>
          <w:lang w:val="en-US"/>
        </w:rPr>
        <w:t>Gender stereotyping: transnational legal perspectives</w:t>
      </w:r>
      <w:r w:rsidRPr="007A7F7B">
        <w:rPr>
          <w:rFonts w:ascii="Calibri" w:hAnsi="Calibri"/>
          <w:color w:val="262323"/>
          <w:sz w:val="20"/>
          <w:lang w:val="en-US"/>
        </w:rPr>
        <w:t>, University of Pennsylvania Press, p. 1.</w:t>
      </w:r>
    </w:p>
  </w:footnote>
  <w:footnote w:id="2">
    <w:p w14:paraId="555FBD2B" w14:textId="77777777" w:rsidR="00944D0A" w:rsidRPr="003C4411" w:rsidRDefault="00944D0A" w:rsidP="005D6911">
      <w:pPr>
        <w:pStyle w:val="FootnoteText"/>
        <w:rPr>
          <w:rFonts w:ascii="Calibri" w:hAnsi="Calibri" w:cs="Calibri"/>
          <w:sz w:val="20"/>
          <w:lang w:val="en-GB"/>
        </w:rPr>
      </w:pPr>
      <w:r w:rsidRPr="003C4411">
        <w:rPr>
          <w:rStyle w:val="FootnoteReference"/>
          <w:rFonts w:ascii="Calibri" w:hAnsi="Calibri" w:cs="Calibri"/>
          <w:sz w:val="20"/>
        </w:rPr>
        <w:footnoteRef/>
      </w:r>
      <w:r w:rsidRPr="003C4411">
        <w:rPr>
          <w:rFonts w:ascii="Calibri" w:hAnsi="Calibri" w:cs="Calibri"/>
          <w:sz w:val="20"/>
          <w:lang w:val="en-US"/>
        </w:rPr>
        <w:t xml:space="preserve">  </w:t>
      </w:r>
      <w:proofErr w:type="gramStart"/>
      <w:r w:rsidRPr="003C4411">
        <w:rPr>
          <w:rFonts w:ascii="Calibri" w:hAnsi="Calibri" w:cs="Calibri"/>
          <w:sz w:val="20"/>
          <w:lang w:val="en-GB"/>
        </w:rPr>
        <w:t xml:space="preserve">Jo Lovett and Liz Kelly (2009) </w:t>
      </w:r>
      <w:r w:rsidRPr="003C4411">
        <w:rPr>
          <w:rFonts w:ascii="Calibri" w:hAnsi="Calibri" w:cs="Calibri"/>
          <w:i/>
          <w:sz w:val="20"/>
          <w:lang w:val="en-GB"/>
        </w:rPr>
        <w:t>Different systems, similar outcomes.</w:t>
      </w:r>
      <w:proofErr w:type="gramEnd"/>
      <w:r w:rsidRPr="003C4411">
        <w:rPr>
          <w:rFonts w:ascii="Calibri" w:hAnsi="Calibri" w:cs="Calibri"/>
          <w:i/>
          <w:sz w:val="20"/>
          <w:lang w:val="en-GB"/>
        </w:rPr>
        <w:t xml:space="preserve"> Tracking attrition in reported rape cases across Europe</w:t>
      </w:r>
      <w:r w:rsidRPr="003C4411">
        <w:rPr>
          <w:rFonts w:ascii="Calibri" w:hAnsi="Calibri" w:cs="Calibri"/>
          <w:sz w:val="20"/>
          <w:lang w:val="en-GB"/>
        </w:rPr>
        <w:t xml:space="preserve">. London: CWASU, London Metropolitan University. </w:t>
      </w:r>
      <w:proofErr w:type="gramStart"/>
      <w:r w:rsidRPr="003C4411">
        <w:rPr>
          <w:rFonts w:ascii="Calibri" w:hAnsi="Calibri" w:cs="Calibri"/>
          <w:sz w:val="20"/>
          <w:lang w:val="en-GB"/>
        </w:rPr>
        <w:t>(Funded by Daphne II).</w:t>
      </w:r>
      <w:proofErr w:type="gramEnd"/>
      <w:r w:rsidRPr="003C4411">
        <w:rPr>
          <w:rFonts w:ascii="Calibri" w:hAnsi="Calibri" w:cs="Calibri"/>
          <w:sz w:val="20"/>
          <w:lang w:val="en-GB"/>
        </w:rPr>
        <w:t xml:space="preserve"> </w:t>
      </w:r>
    </w:p>
  </w:footnote>
  <w:footnote w:id="3">
    <w:p w14:paraId="315C54F4" w14:textId="19832997" w:rsidR="003C4411" w:rsidRPr="003C4411" w:rsidRDefault="003C4411">
      <w:pPr>
        <w:pStyle w:val="FootnoteText"/>
        <w:rPr>
          <w:rFonts w:ascii="Calibri" w:hAnsi="Calibri" w:cs="Calibri"/>
          <w:sz w:val="20"/>
          <w:lang w:val="en-GB"/>
        </w:rPr>
      </w:pPr>
      <w:r w:rsidRPr="003C4411">
        <w:rPr>
          <w:rStyle w:val="FootnoteReference"/>
          <w:rFonts w:ascii="Calibri" w:hAnsi="Calibri" w:cs="Calibri"/>
          <w:sz w:val="20"/>
        </w:rPr>
        <w:footnoteRef/>
      </w:r>
      <w:r w:rsidRPr="003C4411">
        <w:rPr>
          <w:rFonts w:ascii="Calibri" w:hAnsi="Calibri" w:cs="Calibri"/>
          <w:sz w:val="20"/>
          <w:lang w:val="en-US"/>
        </w:rPr>
        <w:t xml:space="preserve"> L. Ellison and V. Munro in Rethinking Rape Law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2EB4"/>
    <w:multiLevelType w:val="hybridMultilevel"/>
    <w:tmpl w:val="FB489392"/>
    <w:lvl w:ilvl="0" w:tplc="6458E616">
      <w:start w:val="1"/>
      <w:numFmt w:val="bullet"/>
      <w:lvlText w:val="-"/>
      <w:lvlJc w:val="left"/>
      <w:pPr>
        <w:ind w:left="644" w:hanging="360"/>
      </w:pPr>
      <w:rPr>
        <w:rFonts w:ascii="Berlin Sans FB" w:hAnsi="Berlin Sans FB"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
    <w:nsid w:val="05DB5AD0"/>
    <w:multiLevelType w:val="hybridMultilevel"/>
    <w:tmpl w:val="A36AB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C41B5"/>
    <w:multiLevelType w:val="hybridMultilevel"/>
    <w:tmpl w:val="F212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1E451D"/>
    <w:multiLevelType w:val="hybridMultilevel"/>
    <w:tmpl w:val="DEEA46A8"/>
    <w:lvl w:ilvl="0" w:tplc="9EACBF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44F93"/>
    <w:multiLevelType w:val="hybridMultilevel"/>
    <w:tmpl w:val="E6C21C78"/>
    <w:lvl w:ilvl="0" w:tplc="E34EB92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135451"/>
    <w:multiLevelType w:val="hybridMultilevel"/>
    <w:tmpl w:val="B9905526"/>
    <w:lvl w:ilvl="0" w:tplc="E34EB92C">
      <w:numFmt w:val="bullet"/>
      <w:lvlText w:val="-"/>
      <w:lvlJc w:val="left"/>
      <w:pPr>
        <w:ind w:left="786" w:hanging="360"/>
      </w:pPr>
      <w:rPr>
        <w:rFonts w:ascii="Calibri" w:eastAsia="Calibri" w:hAnsi="Calibri" w:cs="Times New Roman" w:hint="default"/>
      </w:rPr>
    </w:lvl>
    <w:lvl w:ilvl="1" w:tplc="080C0003">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6">
    <w:nsid w:val="18C61B9C"/>
    <w:multiLevelType w:val="hybridMultilevel"/>
    <w:tmpl w:val="80804ACE"/>
    <w:lvl w:ilvl="0" w:tplc="1ACECB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F07452"/>
    <w:multiLevelType w:val="hybridMultilevel"/>
    <w:tmpl w:val="68CE2330"/>
    <w:lvl w:ilvl="0" w:tplc="738415B6">
      <w:start w:val="1"/>
      <w:numFmt w:val="bullet"/>
      <w:lvlText w:val="•"/>
      <w:lvlJc w:val="left"/>
      <w:pPr>
        <w:tabs>
          <w:tab w:val="num" w:pos="928"/>
        </w:tabs>
        <w:ind w:left="928" w:hanging="360"/>
      </w:pPr>
      <w:rPr>
        <w:rFonts w:ascii="Arial" w:hAnsi="Arial" w:hint="default"/>
      </w:rPr>
    </w:lvl>
    <w:lvl w:ilvl="1" w:tplc="321EEFA6" w:tentative="1">
      <w:start w:val="1"/>
      <w:numFmt w:val="bullet"/>
      <w:lvlText w:val="•"/>
      <w:lvlJc w:val="left"/>
      <w:pPr>
        <w:tabs>
          <w:tab w:val="num" w:pos="1648"/>
        </w:tabs>
        <w:ind w:left="1648" w:hanging="360"/>
      </w:pPr>
      <w:rPr>
        <w:rFonts w:ascii="Arial" w:hAnsi="Arial" w:hint="default"/>
      </w:rPr>
    </w:lvl>
    <w:lvl w:ilvl="2" w:tplc="3BF0CEEE" w:tentative="1">
      <w:start w:val="1"/>
      <w:numFmt w:val="bullet"/>
      <w:lvlText w:val="•"/>
      <w:lvlJc w:val="left"/>
      <w:pPr>
        <w:tabs>
          <w:tab w:val="num" w:pos="2368"/>
        </w:tabs>
        <w:ind w:left="2368" w:hanging="360"/>
      </w:pPr>
      <w:rPr>
        <w:rFonts w:ascii="Arial" w:hAnsi="Arial" w:hint="default"/>
      </w:rPr>
    </w:lvl>
    <w:lvl w:ilvl="3" w:tplc="37C26E24" w:tentative="1">
      <w:start w:val="1"/>
      <w:numFmt w:val="bullet"/>
      <w:lvlText w:val="•"/>
      <w:lvlJc w:val="left"/>
      <w:pPr>
        <w:tabs>
          <w:tab w:val="num" w:pos="3088"/>
        </w:tabs>
        <w:ind w:left="3088" w:hanging="360"/>
      </w:pPr>
      <w:rPr>
        <w:rFonts w:ascii="Arial" w:hAnsi="Arial" w:hint="default"/>
      </w:rPr>
    </w:lvl>
    <w:lvl w:ilvl="4" w:tplc="F0BE64A6" w:tentative="1">
      <w:start w:val="1"/>
      <w:numFmt w:val="bullet"/>
      <w:lvlText w:val="•"/>
      <w:lvlJc w:val="left"/>
      <w:pPr>
        <w:tabs>
          <w:tab w:val="num" w:pos="3808"/>
        </w:tabs>
        <w:ind w:left="3808" w:hanging="360"/>
      </w:pPr>
      <w:rPr>
        <w:rFonts w:ascii="Arial" w:hAnsi="Arial" w:hint="default"/>
      </w:rPr>
    </w:lvl>
    <w:lvl w:ilvl="5" w:tplc="D2B05582" w:tentative="1">
      <w:start w:val="1"/>
      <w:numFmt w:val="bullet"/>
      <w:lvlText w:val="•"/>
      <w:lvlJc w:val="left"/>
      <w:pPr>
        <w:tabs>
          <w:tab w:val="num" w:pos="4528"/>
        </w:tabs>
        <w:ind w:left="4528" w:hanging="360"/>
      </w:pPr>
      <w:rPr>
        <w:rFonts w:ascii="Arial" w:hAnsi="Arial" w:hint="default"/>
      </w:rPr>
    </w:lvl>
    <w:lvl w:ilvl="6" w:tplc="E962D4A4" w:tentative="1">
      <w:start w:val="1"/>
      <w:numFmt w:val="bullet"/>
      <w:lvlText w:val="•"/>
      <w:lvlJc w:val="left"/>
      <w:pPr>
        <w:tabs>
          <w:tab w:val="num" w:pos="5248"/>
        </w:tabs>
        <w:ind w:left="5248" w:hanging="360"/>
      </w:pPr>
      <w:rPr>
        <w:rFonts w:ascii="Arial" w:hAnsi="Arial" w:hint="default"/>
      </w:rPr>
    </w:lvl>
    <w:lvl w:ilvl="7" w:tplc="4ED83840" w:tentative="1">
      <w:start w:val="1"/>
      <w:numFmt w:val="bullet"/>
      <w:lvlText w:val="•"/>
      <w:lvlJc w:val="left"/>
      <w:pPr>
        <w:tabs>
          <w:tab w:val="num" w:pos="5968"/>
        </w:tabs>
        <w:ind w:left="5968" w:hanging="360"/>
      </w:pPr>
      <w:rPr>
        <w:rFonts w:ascii="Arial" w:hAnsi="Arial" w:hint="default"/>
      </w:rPr>
    </w:lvl>
    <w:lvl w:ilvl="8" w:tplc="375E6E76" w:tentative="1">
      <w:start w:val="1"/>
      <w:numFmt w:val="bullet"/>
      <w:lvlText w:val="•"/>
      <w:lvlJc w:val="left"/>
      <w:pPr>
        <w:tabs>
          <w:tab w:val="num" w:pos="6688"/>
        </w:tabs>
        <w:ind w:left="6688" w:hanging="360"/>
      </w:pPr>
      <w:rPr>
        <w:rFonts w:ascii="Arial" w:hAnsi="Arial" w:hint="default"/>
      </w:rPr>
    </w:lvl>
  </w:abstractNum>
  <w:abstractNum w:abstractNumId="8">
    <w:nsid w:val="1F0A0901"/>
    <w:multiLevelType w:val="hybridMultilevel"/>
    <w:tmpl w:val="4AE46D66"/>
    <w:lvl w:ilvl="0" w:tplc="E34EB92C">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C25034"/>
    <w:multiLevelType w:val="hybridMultilevel"/>
    <w:tmpl w:val="2E5AB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6D32A4"/>
    <w:multiLevelType w:val="hybridMultilevel"/>
    <w:tmpl w:val="E9B0B06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35054391"/>
    <w:multiLevelType w:val="hybridMultilevel"/>
    <w:tmpl w:val="272E51BC"/>
    <w:lvl w:ilvl="0" w:tplc="17E28776">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F222F23"/>
    <w:multiLevelType w:val="hybridMultilevel"/>
    <w:tmpl w:val="2E76E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AD0659"/>
    <w:multiLevelType w:val="hybridMultilevel"/>
    <w:tmpl w:val="8CE2326E"/>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nsid w:val="4E2523F3"/>
    <w:multiLevelType w:val="hybridMultilevel"/>
    <w:tmpl w:val="C868E312"/>
    <w:lvl w:ilvl="0" w:tplc="080C0019">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5">
    <w:nsid w:val="63DB0706"/>
    <w:multiLevelType w:val="hybridMultilevel"/>
    <w:tmpl w:val="D2860E82"/>
    <w:lvl w:ilvl="0" w:tplc="49129356">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757A19AA"/>
    <w:multiLevelType w:val="hybridMultilevel"/>
    <w:tmpl w:val="89109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91D16CD"/>
    <w:multiLevelType w:val="hybridMultilevel"/>
    <w:tmpl w:val="0F382D72"/>
    <w:lvl w:ilvl="0" w:tplc="D4EAB276">
      <w:start w:val="1"/>
      <w:numFmt w:val="decimal"/>
      <w:lvlText w:val="%1."/>
      <w:lvlJc w:val="left"/>
      <w:pPr>
        <w:ind w:left="1080" w:hanging="360"/>
      </w:pPr>
      <w:rPr>
        <w:rFonts w:ascii="Calibri" w:eastAsiaTheme="minorHAnsi" w:hAnsi="Calibri" w:cs="Calibr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EB0088F"/>
    <w:multiLevelType w:val="hybridMultilevel"/>
    <w:tmpl w:val="A36AB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11"/>
  </w:num>
  <w:num w:numId="4">
    <w:abstractNumId w:val="5"/>
  </w:num>
  <w:num w:numId="5">
    <w:abstractNumId w:val="10"/>
  </w:num>
  <w:num w:numId="6">
    <w:abstractNumId w:val="0"/>
  </w:num>
  <w:num w:numId="7">
    <w:abstractNumId w:val="13"/>
  </w:num>
  <w:num w:numId="8">
    <w:abstractNumId w:val="14"/>
  </w:num>
  <w:num w:numId="9">
    <w:abstractNumId w:val="12"/>
  </w:num>
  <w:num w:numId="10">
    <w:abstractNumId w:val="7"/>
  </w:num>
  <w:num w:numId="11">
    <w:abstractNumId w:val="6"/>
  </w:num>
  <w:num w:numId="12">
    <w:abstractNumId w:val="17"/>
  </w:num>
  <w:num w:numId="13">
    <w:abstractNumId w:val="9"/>
  </w:num>
  <w:num w:numId="14">
    <w:abstractNumId w:val="2"/>
  </w:num>
  <w:num w:numId="15">
    <w:abstractNumId w:val="1"/>
  </w:num>
  <w:num w:numId="16">
    <w:abstractNumId w:val="18"/>
  </w:num>
  <w:num w:numId="17">
    <w:abstractNumId w:val="16"/>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472"/>
    <w:rsid w:val="0000208C"/>
    <w:rsid w:val="00002FCE"/>
    <w:rsid w:val="00005B19"/>
    <w:rsid w:val="00010614"/>
    <w:rsid w:val="00013264"/>
    <w:rsid w:val="000217BB"/>
    <w:rsid w:val="00023937"/>
    <w:rsid w:val="00030770"/>
    <w:rsid w:val="00033736"/>
    <w:rsid w:val="00034115"/>
    <w:rsid w:val="00037273"/>
    <w:rsid w:val="00037B43"/>
    <w:rsid w:val="000414B8"/>
    <w:rsid w:val="00045CCE"/>
    <w:rsid w:val="00050AC4"/>
    <w:rsid w:val="000548DD"/>
    <w:rsid w:val="000555E1"/>
    <w:rsid w:val="00055F66"/>
    <w:rsid w:val="00056671"/>
    <w:rsid w:val="00057CFF"/>
    <w:rsid w:val="00062694"/>
    <w:rsid w:val="000629C2"/>
    <w:rsid w:val="000657AF"/>
    <w:rsid w:val="0006744D"/>
    <w:rsid w:val="000744B6"/>
    <w:rsid w:val="00075068"/>
    <w:rsid w:val="00080D36"/>
    <w:rsid w:val="00082A75"/>
    <w:rsid w:val="0008688F"/>
    <w:rsid w:val="00090DC9"/>
    <w:rsid w:val="00092898"/>
    <w:rsid w:val="00092AAD"/>
    <w:rsid w:val="000974EA"/>
    <w:rsid w:val="000A125D"/>
    <w:rsid w:val="000A2A85"/>
    <w:rsid w:val="000A37A7"/>
    <w:rsid w:val="000B11CE"/>
    <w:rsid w:val="000B2B63"/>
    <w:rsid w:val="000B3960"/>
    <w:rsid w:val="000B53C8"/>
    <w:rsid w:val="000B7CFD"/>
    <w:rsid w:val="000C48D1"/>
    <w:rsid w:val="000C5AB5"/>
    <w:rsid w:val="000C7003"/>
    <w:rsid w:val="000C7820"/>
    <w:rsid w:val="000D1688"/>
    <w:rsid w:val="000D1FD3"/>
    <w:rsid w:val="000D3963"/>
    <w:rsid w:val="000D7EE7"/>
    <w:rsid w:val="000E15E4"/>
    <w:rsid w:val="000E448D"/>
    <w:rsid w:val="000E67EA"/>
    <w:rsid w:val="000F0D70"/>
    <w:rsid w:val="000F65EC"/>
    <w:rsid w:val="000F68C9"/>
    <w:rsid w:val="00103969"/>
    <w:rsid w:val="00107070"/>
    <w:rsid w:val="0010772A"/>
    <w:rsid w:val="00110DD2"/>
    <w:rsid w:val="00111621"/>
    <w:rsid w:val="00112F34"/>
    <w:rsid w:val="00116C35"/>
    <w:rsid w:val="00116F76"/>
    <w:rsid w:val="001222DF"/>
    <w:rsid w:val="00123909"/>
    <w:rsid w:val="0013067E"/>
    <w:rsid w:val="0013689C"/>
    <w:rsid w:val="00136DE2"/>
    <w:rsid w:val="001423EF"/>
    <w:rsid w:val="00145555"/>
    <w:rsid w:val="001517AB"/>
    <w:rsid w:val="0015641E"/>
    <w:rsid w:val="00161485"/>
    <w:rsid w:val="00161DC1"/>
    <w:rsid w:val="00162589"/>
    <w:rsid w:val="00170985"/>
    <w:rsid w:val="001714B8"/>
    <w:rsid w:val="0017279C"/>
    <w:rsid w:val="00183D17"/>
    <w:rsid w:val="001866D4"/>
    <w:rsid w:val="00193A7E"/>
    <w:rsid w:val="00194155"/>
    <w:rsid w:val="001A3FA4"/>
    <w:rsid w:val="001B3BEC"/>
    <w:rsid w:val="001B6E74"/>
    <w:rsid w:val="001B6E9F"/>
    <w:rsid w:val="001B79A9"/>
    <w:rsid w:val="001C0F52"/>
    <w:rsid w:val="001C114A"/>
    <w:rsid w:val="001C297A"/>
    <w:rsid w:val="001C5EA4"/>
    <w:rsid w:val="001D1D38"/>
    <w:rsid w:val="001D2481"/>
    <w:rsid w:val="001D6B34"/>
    <w:rsid w:val="001D7472"/>
    <w:rsid w:val="001D7A45"/>
    <w:rsid w:val="001E042A"/>
    <w:rsid w:val="001E3ECE"/>
    <w:rsid w:val="001E44D6"/>
    <w:rsid w:val="001E6475"/>
    <w:rsid w:val="001F1445"/>
    <w:rsid w:val="001F2B87"/>
    <w:rsid w:val="001F3467"/>
    <w:rsid w:val="001F4D83"/>
    <w:rsid w:val="001F7379"/>
    <w:rsid w:val="00205576"/>
    <w:rsid w:val="0021608F"/>
    <w:rsid w:val="00223050"/>
    <w:rsid w:val="00231923"/>
    <w:rsid w:val="0024004B"/>
    <w:rsid w:val="0024040B"/>
    <w:rsid w:val="00245343"/>
    <w:rsid w:val="00245EFF"/>
    <w:rsid w:val="00252561"/>
    <w:rsid w:val="002531E8"/>
    <w:rsid w:val="00253DB3"/>
    <w:rsid w:val="00257B7B"/>
    <w:rsid w:val="00257CEF"/>
    <w:rsid w:val="002660AB"/>
    <w:rsid w:val="002710AF"/>
    <w:rsid w:val="002726CD"/>
    <w:rsid w:val="00274450"/>
    <w:rsid w:val="002818A8"/>
    <w:rsid w:val="002828B6"/>
    <w:rsid w:val="00283018"/>
    <w:rsid w:val="0028778A"/>
    <w:rsid w:val="00290567"/>
    <w:rsid w:val="00292E1D"/>
    <w:rsid w:val="002A3F9F"/>
    <w:rsid w:val="002A45D0"/>
    <w:rsid w:val="002A5390"/>
    <w:rsid w:val="002A5E64"/>
    <w:rsid w:val="002A6305"/>
    <w:rsid w:val="002B3CA0"/>
    <w:rsid w:val="002B6547"/>
    <w:rsid w:val="002C0208"/>
    <w:rsid w:val="002C07CB"/>
    <w:rsid w:val="002C11E2"/>
    <w:rsid w:val="002D0165"/>
    <w:rsid w:val="002D01C6"/>
    <w:rsid w:val="002D4991"/>
    <w:rsid w:val="002D6D6F"/>
    <w:rsid w:val="002E16BA"/>
    <w:rsid w:val="002E190C"/>
    <w:rsid w:val="002E2215"/>
    <w:rsid w:val="002E25FC"/>
    <w:rsid w:val="002E3B99"/>
    <w:rsid w:val="002E3CC9"/>
    <w:rsid w:val="002E4C03"/>
    <w:rsid w:val="002E5CC9"/>
    <w:rsid w:val="002F00BA"/>
    <w:rsid w:val="002F0CB8"/>
    <w:rsid w:val="00300576"/>
    <w:rsid w:val="00304CC7"/>
    <w:rsid w:val="00304D09"/>
    <w:rsid w:val="00307370"/>
    <w:rsid w:val="003142D9"/>
    <w:rsid w:val="00316CD1"/>
    <w:rsid w:val="00325D1B"/>
    <w:rsid w:val="00326B07"/>
    <w:rsid w:val="0033138E"/>
    <w:rsid w:val="00331A11"/>
    <w:rsid w:val="00335F95"/>
    <w:rsid w:val="003477FF"/>
    <w:rsid w:val="00356D55"/>
    <w:rsid w:val="00360884"/>
    <w:rsid w:val="00362199"/>
    <w:rsid w:val="0036449A"/>
    <w:rsid w:val="00365E76"/>
    <w:rsid w:val="0036716A"/>
    <w:rsid w:val="00375DAF"/>
    <w:rsid w:val="00380571"/>
    <w:rsid w:val="00384492"/>
    <w:rsid w:val="0038602A"/>
    <w:rsid w:val="003875AF"/>
    <w:rsid w:val="003875B6"/>
    <w:rsid w:val="00387D30"/>
    <w:rsid w:val="00390943"/>
    <w:rsid w:val="00391FE9"/>
    <w:rsid w:val="0039600F"/>
    <w:rsid w:val="003A09F1"/>
    <w:rsid w:val="003A130D"/>
    <w:rsid w:val="003A2135"/>
    <w:rsid w:val="003A45FC"/>
    <w:rsid w:val="003B0757"/>
    <w:rsid w:val="003B1621"/>
    <w:rsid w:val="003B1E01"/>
    <w:rsid w:val="003B303E"/>
    <w:rsid w:val="003B3828"/>
    <w:rsid w:val="003B3CAB"/>
    <w:rsid w:val="003B747F"/>
    <w:rsid w:val="003C4411"/>
    <w:rsid w:val="003C637D"/>
    <w:rsid w:val="003D0FB5"/>
    <w:rsid w:val="003D3E69"/>
    <w:rsid w:val="003D3FF8"/>
    <w:rsid w:val="003D53A2"/>
    <w:rsid w:val="003E45F0"/>
    <w:rsid w:val="003E7A57"/>
    <w:rsid w:val="003F20B1"/>
    <w:rsid w:val="003F6081"/>
    <w:rsid w:val="003F74B1"/>
    <w:rsid w:val="00402A07"/>
    <w:rsid w:val="00406945"/>
    <w:rsid w:val="004071A7"/>
    <w:rsid w:val="00413D84"/>
    <w:rsid w:val="004142B1"/>
    <w:rsid w:val="00424FEA"/>
    <w:rsid w:val="004260CB"/>
    <w:rsid w:val="004261E3"/>
    <w:rsid w:val="00430AE8"/>
    <w:rsid w:val="00436423"/>
    <w:rsid w:val="00437344"/>
    <w:rsid w:val="004428AA"/>
    <w:rsid w:val="00444ADB"/>
    <w:rsid w:val="00445E3C"/>
    <w:rsid w:val="004527C6"/>
    <w:rsid w:val="00453D76"/>
    <w:rsid w:val="0045449D"/>
    <w:rsid w:val="00462265"/>
    <w:rsid w:val="00466C21"/>
    <w:rsid w:val="0046753D"/>
    <w:rsid w:val="00467FA6"/>
    <w:rsid w:val="00470C7D"/>
    <w:rsid w:val="004746A9"/>
    <w:rsid w:val="00481F95"/>
    <w:rsid w:val="004838C3"/>
    <w:rsid w:val="004850B3"/>
    <w:rsid w:val="0048547D"/>
    <w:rsid w:val="004912C7"/>
    <w:rsid w:val="004938E1"/>
    <w:rsid w:val="0049662E"/>
    <w:rsid w:val="00497D6A"/>
    <w:rsid w:val="004A0618"/>
    <w:rsid w:val="004A2C6F"/>
    <w:rsid w:val="004A2F38"/>
    <w:rsid w:val="004A2FC5"/>
    <w:rsid w:val="004A3560"/>
    <w:rsid w:val="004A5A4B"/>
    <w:rsid w:val="004B03EB"/>
    <w:rsid w:val="004B3690"/>
    <w:rsid w:val="004B4896"/>
    <w:rsid w:val="004B7B83"/>
    <w:rsid w:val="004C0236"/>
    <w:rsid w:val="004C31B9"/>
    <w:rsid w:val="004C4035"/>
    <w:rsid w:val="004C67AD"/>
    <w:rsid w:val="004C78A1"/>
    <w:rsid w:val="004D2827"/>
    <w:rsid w:val="004D50BF"/>
    <w:rsid w:val="004D5B84"/>
    <w:rsid w:val="004D71A7"/>
    <w:rsid w:val="004E4680"/>
    <w:rsid w:val="004E4CA8"/>
    <w:rsid w:val="004E4D84"/>
    <w:rsid w:val="004F108B"/>
    <w:rsid w:val="004F4995"/>
    <w:rsid w:val="004F6356"/>
    <w:rsid w:val="00501615"/>
    <w:rsid w:val="005038EA"/>
    <w:rsid w:val="00505EAA"/>
    <w:rsid w:val="00507ABE"/>
    <w:rsid w:val="00507C3F"/>
    <w:rsid w:val="00510049"/>
    <w:rsid w:val="00510A5B"/>
    <w:rsid w:val="00514D5B"/>
    <w:rsid w:val="00523832"/>
    <w:rsid w:val="00527D57"/>
    <w:rsid w:val="00530F80"/>
    <w:rsid w:val="00532CCF"/>
    <w:rsid w:val="005344FF"/>
    <w:rsid w:val="00534DD6"/>
    <w:rsid w:val="00536612"/>
    <w:rsid w:val="00537F72"/>
    <w:rsid w:val="00540B17"/>
    <w:rsid w:val="00541FCE"/>
    <w:rsid w:val="00550351"/>
    <w:rsid w:val="00551166"/>
    <w:rsid w:val="0055344D"/>
    <w:rsid w:val="00553AF3"/>
    <w:rsid w:val="00553E14"/>
    <w:rsid w:val="00561BD2"/>
    <w:rsid w:val="00561E0C"/>
    <w:rsid w:val="00563B35"/>
    <w:rsid w:val="005701BC"/>
    <w:rsid w:val="00573D78"/>
    <w:rsid w:val="00574A73"/>
    <w:rsid w:val="00577C50"/>
    <w:rsid w:val="00584275"/>
    <w:rsid w:val="00590CB9"/>
    <w:rsid w:val="00594BCE"/>
    <w:rsid w:val="005A44C2"/>
    <w:rsid w:val="005B0A74"/>
    <w:rsid w:val="005B4DCA"/>
    <w:rsid w:val="005B5689"/>
    <w:rsid w:val="005B58F9"/>
    <w:rsid w:val="005C2CD0"/>
    <w:rsid w:val="005C3615"/>
    <w:rsid w:val="005C5276"/>
    <w:rsid w:val="005D3398"/>
    <w:rsid w:val="005D387E"/>
    <w:rsid w:val="005D4280"/>
    <w:rsid w:val="005D6911"/>
    <w:rsid w:val="005E1EA2"/>
    <w:rsid w:val="005E2678"/>
    <w:rsid w:val="005E37C2"/>
    <w:rsid w:val="005F5786"/>
    <w:rsid w:val="005F7920"/>
    <w:rsid w:val="006014B6"/>
    <w:rsid w:val="0060185E"/>
    <w:rsid w:val="00604909"/>
    <w:rsid w:val="00605069"/>
    <w:rsid w:val="00610A25"/>
    <w:rsid w:val="00613042"/>
    <w:rsid w:val="006202DA"/>
    <w:rsid w:val="006228C3"/>
    <w:rsid w:val="00625535"/>
    <w:rsid w:val="00627377"/>
    <w:rsid w:val="006318F8"/>
    <w:rsid w:val="006338D5"/>
    <w:rsid w:val="00634BF8"/>
    <w:rsid w:val="0064048C"/>
    <w:rsid w:val="006449F2"/>
    <w:rsid w:val="00646CB5"/>
    <w:rsid w:val="00653136"/>
    <w:rsid w:val="0066194D"/>
    <w:rsid w:val="00661F42"/>
    <w:rsid w:val="00663AB3"/>
    <w:rsid w:val="00664133"/>
    <w:rsid w:val="00664849"/>
    <w:rsid w:val="00666F3D"/>
    <w:rsid w:val="0067028C"/>
    <w:rsid w:val="006744C4"/>
    <w:rsid w:val="00676FFB"/>
    <w:rsid w:val="00677ECF"/>
    <w:rsid w:val="006800C1"/>
    <w:rsid w:val="00683A2D"/>
    <w:rsid w:val="00685F7A"/>
    <w:rsid w:val="00694DBB"/>
    <w:rsid w:val="006A0640"/>
    <w:rsid w:val="006A185B"/>
    <w:rsid w:val="006A7B0F"/>
    <w:rsid w:val="006B04EF"/>
    <w:rsid w:val="006C28E8"/>
    <w:rsid w:val="006C2B7A"/>
    <w:rsid w:val="006C363B"/>
    <w:rsid w:val="006C6259"/>
    <w:rsid w:val="006D312F"/>
    <w:rsid w:val="006D4ED6"/>
    <w:rsid w:val="006D57FA"/>
    <w:rsid w:val="006D5D00"/>
    <w:rsid w:val="006D5E2E"/>
    <w:rsid w:val="006D73C6"/>
    <w:rsid w:val="006E10DB"/>
    <w:rsid w:val="006E1220"/>
    <w:rsid w:val="006E30DE"/>
    <w:rsid w:val="006E485E"/>
    <w:rsid w:val="006E4A21"/>
    <w:rsid w:val="006E5184"/>
    <w:rsid w:val="006F068E"/>
    <w:rsid w:val="00700254"/>
    <w:rsid w:val="00700923"/>
    <w:rsid w:val="00702A48"/>
    <w:rsid w:val="00705AAE"/>
    <w:rsid w:val="007063EF"/>
    <w:rsid w:val="00711E83"/>
    <w:rsid w:val="007138AE"/>
    <w:rsid w:val="007141F4"/>
    <w:rsid w:val="00714ED8"/>
    <w:rsid w:val="007312C0"/>
    <w:rsid w:val="00734B66"/>
    <w:rsid w:val="00735A9D"/>
    <w:rsid w:val="0073761B"/>
    <w:rsid w:val="007461EE"/>
    <w:rsid w:val="00747870"/>
    <w:rsid w:val="00750E9D"/>
    <w:rsid w:val="00751192"/>
    <w:rsid w:val="00754512"/>
    <w:rsid w:val="00760E9F"/>
    <w:rsid w:val="00762225"/>
    <w:rsid w:val="00762625"/>
    <w:rsid w:val="00767D47"/>
    <w:rsid w:val="007713F4"/>
    <w:rsid w:val="0078302F"/>
    <w:rsid w:val="007834BC"/>
    <w:rsid w:val="007867D0"/>
    <w:rsid w:val="00792B9F"/>
    <w:rsid w:val="00793537"/>
    <w:rsid w:val="00793C25"/>
    <w:rsid w:val="007965BD"/>
    <w:rsid w:val="007A51CD"/>
    <w:rsid w:val="007A7A11"/>
    <w:rsid w:val="007A7B44"/>
    <w:rsid w:val="007A7F7B"/>
    <w:rsid w:val="007B141A"/>
    <w:rsid w:val="007B16BA"/>
    <w:rsid w:val="007B63F8"/>
    <w:rsid w:val="007C3D4B"/>
    <w:rsid w:val="007C4DD1"/>
    <w:rsid w:val="007D1764"/>
    <w:rsid w:val="007D5D25"/>
    <w:rsid w:val="007D6FC9"/>
    <w:rsid w:val="007E3918"/>
    <w:rsid w:val="007F1ABC"/>
    <w:rsid w:val="007F5D9E"/>
    <w:rsid w:val="007F607A"/>
    <w:rsid w:val="007F7938"/>
    <w:rsid w:val="0080080D"/>
    <w:rsid w:val="00805219"/>
    <w:rsid w:val="0080693A"/>
    <w:rsid w:val="00810A8F"/>
    <w:rsid w:val="00814A2D"/>
    <w:rsid w:val="00820F3F"/>
    <w:rsid w:val="00820F80"/>
    <w:rsid w:val="008226A9"/>
    <w:rsid w:val="00824CC5"/>
    <w:rsid w:val="008251F6"/>
    <w:rsid w:val="00837C8D"/>
    <w:rsid w:val="008404CB"/>
    <w:rsid w:val="00843C42"/>
    <w:rsid w:val="0084534E"/>
    <w:rsid w:val="00845954"/>
    <w:rsid w:val="00845E0E"/>
    <w:rsid w:val="00856C9A"/>
    <w:rsid w:val="008622B8"/>
    <w:rsid w:val="008641BD"/>
    <w:rsid w:val="00864494"/>
    <w:rsid w:val="008675D3"/>
    <w:rsid w:val="008826EE"/>
    <w:rsid w:val="0088371A"/>
    <w:rsid w:val="008922EA"/>
    <w:rsid w:val="00892E34"/>
    <w:rsid w:val="00897284"/>
    <w:rsid w:val="008A1C04"/>
    <w:rsid w:val="008A2798"/>
    <w:rsid w:val="008A4832"/>
    <w:rsid w:val="008A4D09"/>
    <w:rsid w:val="008A5E75"/>
    <w:rsid w:val="008A685B"/>
    <w:rsid w:val="008B0F50"/>
    <w:rsid w:val="008B2714"/>
    <w:rsid w:val="008B2901"/>
    <w:rsid w:val="008B38DD"/>
    <w:rsid w:val="008B3B45"/>
    <w:rsid w:val="008B5FF8"/>
    <w:rsid w:val="008B6E39"/>
    <w:rsid w:val="008C0F3B"/>
    <w:rsid w:val="008C187C"/>
    <w:rsid w:val="008D085D"/>
    <w:rsid w:val="008D22A2"/>
    <w:rsid w:val="008D62A3"/>
    <w:rsid w:val="008E50AD"/>
    <w:rsid w:val="008F3FC7"/>
    <w:rsid w:val="00900BBB"/>
    <w:rsid w:val="00903E11"/>
    <w:rsid w:val="009110FB"/>
    <w:rsid w:val="009143DB"/>
    <w:rsid w:val="0092485D"/>
    <w:rsid w:val="00931288"/>
    <w:rsid w:val="00932D98"/>
    <w:rsid w:val="009361FE"/>
    <w:rsid w:val="009378DC"/>
    <w:rsid w:val="00940BA3"/>
    <w:rsid w:val="00941FCC"/>
    <w:rsid w:val="00944D0A"/>
    <w:rsid w:val="00946273"/>
    <w:rsid w:val="00953058"/>
    <w:rsid w:val="00953B4B"/>
    <w:rsid w:val="009655D6"/>
    <w:rsid w:val="0096610D"/>
    <w:rsid w:val="009704F7"/>
    <w:rsid w:val="0097758B"/>
    <w:rsid w:val="00980087"/>
    <w:rsid w:val="009831F1"/>
    <w:rsid w:val="009840FF"/>
    <w:rsid w:val="0098461A"/>
    <w:rsid w:val="00985AC5"/>
    <w:rsid w:val="0098798A"/>
    <w:rsid w:val="009900C3"/>
    <w:rsid w:val="0099220E"/>
    <w:rsid w:val="00995DC9"/>
    <w:rsid w:val="009A0B3B"/>
    <w:rsid w:val="009A57EC"/>
    <w:rsid w:val="009B0721"/>
    <w:rsid w:val="009C1F18"/>
    <w:rsid w:val="009C7786"/>
    <w:rsid w:val="009D1B15"/>
    <w:rsid w:val="009D338E"/>
    <w:rsid w:val="009D4CA3"/>
    <w:rsid w:val="009E189F"/>
    <w:rsid w:val="009E1C18"/>
    <w:rsid w:val="009E5305"/>
    <w:rsid w:val="009E6A04"/>
    <w:rsid w:val="009F1D1F"/>
    <w:rsid w:val="009F2A0D"/>
    <w:rsid w:val="009F6AE2"/>
    <w:rsid w:val="009F74C8"/>
    <w:rsid w:val="00A035FE"/>
    <w:rsid w:val="00A04BFA"/>
    <w:rsid w:val="00A10ACD"/>
    <w:rsid w:val="00A12D86"/>
    <w:rsid w:val="00A2024B"/>
    <w:rsid w:val="00A20A4E"/>
    <w:rsid w:val="00A22BE0"/>
    <w:rsid w:val="00A2533D"/>
    <w:rsid w:val="00A26B3D"/>
    <w:rsid w:val="00A27983"/>
    <w:rsid w:val="00A3082B"/>
    <w:rsid w:val="00A31086"/>
    <w:rsid w:val="00A338FE"/>
    <w:rsid w:val="00A35D0E"/>
    <w:rsid w:val="00A35E7E"/>
    <w:rsid w:val="00A363F8"/>
    <w:rsid w:val="00A37F49"/>
    <w:rsid w:val="00A41CEE"/>
    <w:rsid w:val="00A43A4D"/>
    <w:rsid w:val="00A45430"/>
    <w:rsid w:val="00A455E5"/>
    <w:rsid w:val="00A47D57"/>
    <w:rsid w:val="00A52328"/>
    <w:rsid w:val="00A55D54"/>
    <w:rsid w:val="00A560DD"/>
    <w:rsid w:val="00A600CE"/>
    <w:rsid w:val="00A60BBE"/>
    <w:rsid w:val="00A62086"/>
    <w:rsid w:val="00A76B4E"/>
    <w:rsid w:val="00A81600"/>
    <w:rsid w:val="00A91CE0"/>
    <w:rsid w:val="00A97C38"/>
    <w:rsid w:val="00AB5037"/>
    <w:rsid w:val="00AB5105"/>
    <w:rsid w:val="00AC367F"/>
    <w:rsid w:val="00AD0793"/>
    <w:rsid w:val="00AD0FE7"/>
    <w:rsid w:val="00AD31A0"/>
    <w:rsid w:val="00AD654F"/>
    <w:rsid w:val="00AD73F6"/>
    <w:rsid w:val="00AE2214"/>
    <w:rsid w:val="00AE29BE"/>
    <w:rsid w:val="00AE2B30"/>
    <w:rsid w:val="00AE4F3C"/>
    <w:rsid w:val="00AE6670"/>
    <w:rsid w:val="00AF2D18"/>
    <w:rsid w:val="00AF3199"/>
    <w:rsid w:val="00B02312"/>
    <w:rsid w:val="00B03540"/>
    <w:rsid w:val="00B04AD0"/>
    <w:rsid w:val="00B10F48"/>
    <w:rsid w:val="00B17ED4"/>
    <w:rsid w:val="00B21F61"/>
    <w:rsid w:val="00B24886"/>
    <w:rsid w:val="00B27500"/>
    <w:rsid w:val="00B328B1"/>
    <w:rsid w:val="00B35ED9"/>
    <w:rsid w:val="00B548BE"/>
    <w:rsid w:val="00B561ED"/>
    <w:rsid w:val="00B57C22"/>
    <w:rsid w:val="00B60742"/>
    <w:rsid w:val="00B62F9F"/>
    <w:rsid w:val="00B66593"/>
    <w:rsid w:val="00B71DAA"/>
    <w:rsid w:val="00B72D35"/>
    <w:rsid w:val="00B73930"/>
    <w:rsid w:val="00B73B3F"/>
    <w:rsid w:val="00B73C0E"/>
    <w:rsid w:val="00B73C2D"/>
    <w:rsid w:val="00B757D5"/>
    <w:rsid w:val="00B80095"/>
    <w:rsid w:val="00B80207"/>
    <w:rsid w:val="00B80C30"/>
    <w:rsid w:val="00B8224F"/>
    <w:rsid w:val="00B9179F"/>
    <w:rsid w:val="00B96AD4"/>
    <w:rsid w:val="00BA17D0"/>
    <w:rsid w:val="00BA4811"/>
    <w:rsid w:val="00BA7F9B"/>
    <w:rsid w:val="00BB6DEA"/>
    <w:rsid w:val="00BB791B"/>
    <w:rsid w:val="00BD6AFF"/>
    <w:rsid w:val="00BE16B8"/>
    <w:rsid w:val="00BE1FDE"/>
    <w:rsid w:val="00BE3876"/>
    <w:rsid w:val="00BE46D4"/>
    <w:rsid w:val="00BE7014"/>
    <w:rsid w:val="00BF3578"/>
    <w:rsid w:val="00BF6EB6"/>
    <w:rsid w:val="00BF7754"/>
    <w:rsid w:val="00BF7EDC"/>
    <w:rsid w:val="00C025DE"/>
    <w:rsid w:val="00C03A9E"/>
    <w:rsid w:val="00C04633"/>
    <w:rsid w:val="00C16759"/>
    <w:rsid w:val="00C20BF5"/>
    <w:rsid w:val="00C20E99"/>
    <w:rsid w:val="00C361EB"/>
    <w:rsid w:val="00C41A16"/>
    <w:rsid w:val="00C5151D"/>
    <w:rsid w:val="00C515DA"/>
    <w:rsid w:val="00C6161A"/>
    <w:rsid w:val="00C6277F"/>
    <w:rsid w:val="00C6461D"/>
    <w:rsid w:val="00C670E4"/>
    <w:rsid w:val="00C71DE8"/>
    <w:rsid w:val="00C753BA"/>
    <w:rsid w:val="00C81146"/>
    <w:rsid w:val="00C82DF2"/>
    <w:rsid w:val="00C85DEE"/>
    <w:rsid w:val="00C870F6"/>
    <w:rsid w:val="00C9743A"/>
    <w:rsid w:val="00CA1298"/>
    <w:rsid w:val="00CA19C0"/>
    <w:rsid w:val="00CA2063"/>
    <w:rsid w:val="00CA547C"/>
    <w:rsid w:val="00CB07D7"/>
    <w:rsid w:val="00CB1584"/>
    <w:rsid w:val="00CB3F45"/>
    <w:rsid w:val="00CB508E"/>
    <w:rsid w:val="00CB6526"/>
    <w:rsid w:val="00CC0D0C"/>
    <w:rsid w:val="00CC31E2"/>
    <w:rsid w:val="00CC4136"/>
    <w:rsid w:val="00CC71AF"/>
    <w:rsid w:val="00CD160A"/>
    <w:rsid w:val="00CD248C"/>
    <w:rsid w:val="00CD2514"/>
    <w:rsid w:val="00CD37BC"/>
    <w:rsid w:val="00CD4716"/>
    <w:rsid w:val="00CD50E8"/>
    <w:rsid w:val="00CD7975"/>
    <w:rsid w:val="00CE21CC"/>
    <w:rsid w:val="00CE227E"/>
    <w:rsid w:val="00CE49E7"/>
    <w:rsid w:val="00CE4ED5"/>
    <w:rsid w:val="00CE75B9"/>
    <w:rsid w:val="00D000F9"/>
    <w:rsid w:val="00D004C6"/>
    <w:rsid w:val="00D137FD"/>
    <w:rsid w:val="00D14904"/>
    <w:rsid w:val="00D2014D"/>
    <w:rsid w:val="00D26A6B"/>
    <w:rsid w:val="00D30EAB"/>
    <w:rsid w:val="00D32B4B"/>
    <w:rsid w:val="00D34299"/>
    <w:rsid w:val="00D3561B"/>
    <w:rsid w:val="00D37B36"/>
    <w:rsid w:val="00D432FB"/>
    <w:rsid w:val="00D45A95"/>
    <w:rsid w:val="00D47EAD"/>
    <w:rsid w:val="00D540F7"/>
    <w:rsid w:val="00D563F1"/>
    <w:rsid w:val="00D56AA5"/>
    <w:rsid w:val="00D64E0D"/>
    <w:rsid w:val="00D65558"/>
    <w:rsid w:val="00D73EE0"/>
    <w:rsid w:val="00D84227"/>
    <w:rsid w:val="00D8739D"/>
    <w:rsid w:val="00D876BC"/>
    <w:rsid w:val="00D90E34"/>
    <w:rsid w:val="00D94783"/>
    <w:rsid w:val="00D97172"/>
    <w:rsid w:val="00DA12A9"/>
    <w:rsid w:val="00DA1353"/>
    <w:rsid w:val="00DA2455"/>
    <w:rsid w:val="00DB4486"/>
    <w:rsid w:val="00DB5BA4"/>
    <w:rsid w:val="00DB7170"/>
    <w:rsid w:val="00DB77F1"/>
    <w:rsid w:val="00DC2F96"/>
    <w:rsid w:val="00DC40B7"/>
    <w:rsid w:val="00DC47B4"/>
    <w:rsid w:val="00DD257F"/>
    <w:rsid w:val="00DD431E"/>
    <w:rsid w:val="00DD7E2A"/>
    <w:rsid w:val="00DE1AA6"/>
    <w:rsid w:val="00DE45F1"/>
    <w:rsid w:val="00DE4CCC"/>
    <w:rsid w:val="00DF0EBB"/>
    <w:rsid w:val="00DF4DEE"/>
    <w:rsid w:val="00E00E9B"/>
    <w:rsid w:val="00E05650"/>
    <w:rsid w:val="00E06992"/>
    <w:rsid w:val="00E116F3"/>
    <w:rsid w:val="00E14EFB"/>
    <w:rsid w:val="00E217AD"/>
    <w:rsid w:val="00E363CE"/>
    <w:rsid w:val="00E40745"/>
    <w:rsid w:val="00E40B52"/>
    <w:rsid w:val="00E6388B"/>
    <w:rsid w:val="00E65C7F"/>
    <w:rsid w:val="00E70701"/>
    <w:rsid w:val="00E711D6"/>
    <w:rsid w:val="00E71943"/>
    <w:rsid w:val="00E7490B"/>
    <w:rsid w:val="00E851CC"/>
    <w:rsid w:val="00E91631"/>
    <w:rsid w:val="00EA003A"/>
    <w:rsid w:val="00EA0A02"/>
    <w:rsid w:val="00EA0E9F"/>
    <w:rsid w:val="00EA0EDC"/>
    <w:rsid w:val="00EA3C22"/>
    <w:rsid w:val="00EA4DF8"/>
    <w:rsid w:val="00EA6339"/>
    <w:rsid w:val="00EA7FC8"/>
    <w:rsid w:val="00EB011B"/>
    <w:rsid w:val="00EC0E9A"/>
    <w:rsid w:val="00ED17FE"/>
    <w:rsid w:val="00ED3A00"/>
    <w:rsid w:val="00ED4312"/>
    <w:rsid w:val="00ED5D04"/>
    <w:rsid w:val="00EE3EDC"/>
    <w:rsid w:val="00EE5880"/>
    <w:rsid w:val="00EE69E6"/>
    <w:rsid w:val="00EF31FD"/>
    <w:rsid w:val="00F057C2"/>
    <w:rsid w:val="00F14475"/>
    <w:rsid w:val="00F174ED"/>
    <w:rsid w:val="00F251E8"/>
    <w:rsid w:val="00F25305"/>
    <w:rsid w:val="00F30AF8"/>
    <w:rsid w:val="00F31F5F"/>
    <w:rsid w:val="00F3284F"/>
    <w:rsid w:val="00F32CA4"/>
    <w:rsid w:val="00F358E9"/>
    <w:rsid w:val="00F370FA"/>
    <w:rsid w:val="00F42C31"/>
    <w:rsid w:val="00F4792B"/>
    <w:rsid w:val="00F51904"/>
    <w:rsid w:val="00F56CC8"/>
    <w:rsid w:val="00F6340E"/>
    <w:rsid w:val="00F63F45"/>
    <w:rsid w:val="00F64075"/>
    <w:rsid w:val="00F66AD6"/>
    <w:rsid w:val="00F67732"/>
    <w:rsid w:val="00F72482"/>
    <w:rsid w:val="00F75639"/>
    <w:rsid w:val="00F775B1"/>
    <w:rsid w:val="00F809F2"/>
    <w:rsid w:val="00F81B2D"/>
    <w:rsid w:val="00F827D3"/>
    <w:rsid w:val="00F8355C"/>
    <w:rsid w:val="00F84686"/>
    <w:rsid w:val="00F90FBE"/>
    <w:rsid w:val="00FA0EC8"/>
    <w:rsid w:val="00FA5F7D"/>
    <w:rsid w:val="00FB2C65"/>
    <w:rsid w:val="00FB45AD"/>
    <w:rsid w:val="00FC1157"/>
    <w:rsid w:val="00FC2CEC"/>
    <w:rsid w:val="00FC37BD"/>
    <w:rsid w:val="00FC6179"/>
    <w:rsid w:val="00FD29D3"/>
    <w:rsid w:val="00FD2B9F"/>
    <w:rsid w:val="00FD5536"/>
    <w:rsid w:val="00FE4CBE"/>
    <w:rsid w:val="00FE4D71"/>
    <w:rsid w:val="00FE6FA4"/>
    <w:rsid w:val="00FF390F"/>
    <w:rsid w:val="00FF5AE8"/>
    <w:rsid w:val="00FF5B7E"/>
    <w:rsid w:val="00FF6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3E5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4B66"/>
    <w:pPr>
      <w:autoSpaceDE w:val="0"/>
      <w:autoSpaceDN w:val="0"/>
      <w:adjustRightInd w:val="0"/>
      <w:spacing w:after="0" w:line="240" w:lineRule="auto"/>
    </w:pPr>
    <w:rPr>
      <w:rFonts w:ascii="HelveticaNeueLT Std Cn" w:hAnsi="HelveticaNeueLT Std Cn" w:cs="HelveticaNeueLT Std Cn"/>
      <w:color w:val="000000"/>
      <w:sz w:val="24"/>
      <w:szCs w:val="24"/>
    </w:rPr>
  </w:style>
  <w:style w:type="character" w:customStyle="1" w:styleId="A0">
    <w:name w:val="A0"/>
    <w:uiPriority w:val="99"/>
    <w:rsid w:val="00734B66"/>
    <w:rPr>
      <w:rFonts w:cs="HelveticaNeueLT Std Cn"/>
      <w:b/>
      <w:bCs/>
      <w:color w:val="000000"/>
      <w:sz w:val="44"/>
      <w:szCs w:val="44"/>
    </w:rPr>
  </w:style>
  <w:style w:type="paragraph" w:styleId="ListParagraph">
    <w:name w:val="List Paragraph"/>
    <w:basedOn w:val="Normal"/>
    <w:uiPriority w:val="99"/>
    <w:qFormat/>
    <w:rsid w:val="008B0F50"/>
    <w:pPr>
      <w:ind w:left="720"/>
      <w:contextualSpacing/>
    </w:pPr>
  </w:style>
  <w:style w:type="paragraph" w:styleId="FootnoteText">
    <w:name w:val="footnote text"/>
    <w:aliases w:val="Fußnotentext RAXEN,EUMC_Lábjegyzetszöveg,FA Fu,single space,footnote text,fn,Char, Char,Tekst przypisu,Schriftart: 9 pt,Schriftart: 10 pt,Schriftart: 8 pt,WB-Fußnotentext,Footnote,Fußnote,Podrozdział,Tekst przypisu Znak Znak Znak Zna"/>
    <w:basedOn w:val="Normal"/>
    <w:link w:val="FootnoteTextChar"/>
    <w:semiHidden/>
    <w:rsid w:val="002E3CC9"/>
    <w:pPr>
      <w:spacing w:after="0" w:line="240" w:lineRule="auto"/>
    </w:pPr>
    <w:rPr>
      <w:rFonts w:ascii="Courier New" w:eastAsia="Times New Roman" w:hAnsi="Courier New" w:cs="Times New Roman"/>
      <w:sz w:val="24"/>
      <w:szCs w:val="20"/>
      <w:lang w:val="fr-FR"/>
    </w:rPr>
  </w:style>
  <w:style w:type="character" w:customStyle="1" w:styleId="FootnoteTextChar">
    <w:name w:val="Footnote Text Char"/>
    <w:aliases w:val="Fußnotentext RAXEN Char,EUMC_Lábjegyzetszöveg Char,FA Fu Char,single space Char,footnote text Char,fn Char,Char Char, Char Char,Tekst przypisu Char,Schriftart: 9 pt Char,Schriftart: 10 pt Char,Schriftart: 8 pt Char,Footnote Char"/>
    <w:basedOn w:val="DefaultParagraphFont"/>
    <w:link w:val="FootnoteText"/>
    <w:semiHidden/>
    <w:rsid w:val="002E3CC9"/>
    <w:rPr>
      <w:rFonts w:ascii="Courier New" w:eastAsia="Times New Roman" w:hAnsi="Courier New" w:cs="Times New Roman"/>
      <w:sz w:val="24"/>
      <w:szCs w:val="20"/>
      <w:lang w:val="fr-FR"/>
    </w:rPr>
  </w:style>
  <w:style w:type="character" w:styleId="FootnoteReference">
    <w:name w:val="footnote reference"/>
    <w:aliases w:val="Plain Text Char, Char Char2 Char Char Char Char Char Char Char Char Char, Char Char2 Char Char Char Char Char Char Char"/>
    <w:link w:val="PlainText"/>
    <w:uiPriority w:val="99"/>
    <w:unhideWhenUsed/>
    <w:rsid w:val="002E3CC9"/>
    <w:rPr>
      <w:vertAlign w:val="superscript"/>
    </w:rPr>
  </w:style>
  <w:style w:type="paragraph" w:styleId="Header">
    <w:name w:val="header"/>
    <w:basedOn w:val="Normal"/>
    <w:link w:val="HeaderChar"/>
    <w:uiPriority w:val="99"/>
    <w:unhideWhenUsed/>
    <w:rsid w:val="008A2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798"/>
    <w:rPr>
      <w:lang w:val="en-GB"/>
    </w:rPr>
  </w:style>
  <w:style w:type="paragraph" w:styleId="Footer">
    <w:name w:val="footer"/>
    <w:basedOn w:val="Normal"/>
    <w:link w:val="FooterChar"/>
    <w:uiPriority w:val="99"/>
    <w:unhideWhenUsed/>
    <w:rsid w:val="008A2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798"/>
    <w:rPr>
      <w:lang w:val="en-GB"/>
    </w:rPr>
  </w:style>
  <w:style w:type="paragraph" w:styleId="PlainText">
    <w:name w:val="Plain Text"/>
    <w:aliases w:val=" Char Char2 Char Char Char Char Char Char Char Char, Char Char2 Char Char Char Char Char Char"/>
    <w:basedOn w:val="Normal"/>
    <w:link w:val="FootnoteReference"/>
    <w:uiPriority w:val="99"/>
    <w:unhideWhenUsed/>
    <w:rsid w:val="00EA0E9F"/>
    <w:pPr>
      <w:spacing w:after="0" w:line="240" w:lineRule="auto"/>
    </w:pPr>
    <w:rPr>
      <w:vertAlign w:val="superscript"/>
      <w:lang w:val="en-US"/>
    </w:rPr>
  </w:style>
  <w:style w:type="character" w:customStyle="1" w:styleId="PlainTextChar1">
    <w:name w:val="Plain Text Char1"/>
    <w:basedOn w:val="DefaultParagraphFont"/>
    <w:uiPriority w:val="99"/>
    <w:semiHidden/>
    <w:rsid w:val="00EA0E9F"/>
    <w:rPr>
      <w:rFonts w:ascii="Consolas" w:hAnsi="Consolas" w:cs="Consolas"/>
      <w:sz w:val="21"/>
      <w:szCs w:val="21"/>
      <w:lang w:val="en-GB"/>
    </w:rPr>
  </w:style>
  <w:style w:type="character" w:styleId="Hyperlink">
    <w:name w:val="Hyperlink"/>
    <w:basedOn w:val="DefaultParagraphFont"/>
    <w:uiPriority w:val="99"/>
    <w:unhideWhenUsed/>
    <w:rsid w:val="00EA0E9F"/>
    <w:rPr>
      <w:color w:val="0000FF"/>
      <w:u w:val="single"/>
    </w:rPr>
  </w:style>
  <w:style w:type="character" w:customStyle="1" w:styleId="hps">
    <w:name w:val="hps"/>
    <w:basedOn w:val="DefaultParagraphFont"/>
    <w:rsid w:val="00507C3F"/>
  </w:style>
  <w:style w:type="table" w:styleId="TableGrid">
    <w:name w:val="Table Grid"/>
    <w:basedOn w:val="TableNormal"/>
    <w:uiPriority w:val="59"/>
    <w:rsid w:val="000974EA"/>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6273"/>
    <w:rPr>
      <w:sz w:val="16"/>
      <w:szCs w:val="16"/>
    </w:rPr>
  </w:style>
  <w:style w:type="paragraph" w:styleId="CommentText">
    <w:name w:val="annotation text"/>
    <w:basedOn w:val="Normal"/>
    <w:link w:val="CommentTextChar"/>
    <w:uiPriority w:val="99"/>
    <w:semiHidden/>
    <w:unhideWhenUsed/>
    <w:rsid w:val="00946273"/>
    <w:pPr>
      <w:spacing w:line="240" w:lineRule="auto"/>
    </w:pPr>
    <w:rPr>
      <w:sz w:val="20"/>
      <w:szCs w:val="20"/>
    </w:rPr>
  </w:style>
  <w:style w:type="character" w:customStyle="1" w:styleId="CommentTextChar">
    <w:name w:val="Comment Text Char"/>
    <w:basedOn w:val="DefaultParagraphFont"/>
    <w:link w:val="CommentText"/>
    <w:uiPriority w:val="99"/>
    <w:semiHidden/>
    <w:rsid w:val="00946273"/>
    <w:rPr>
      <w:sz w:val="20"/>
      <w:szCs w:val="20"/>
      <w:lang w:val="en-GB"/>
    </w:rPr>
  </w:style>
  <w:style w:type="paragraph" w:styleId="CommentSubject">
    <w:name w:val="annotation subject"/>
    <w:basedOn w:val="CommentText"/>
    <w:next w:val="CommentText"/>
    <w:link w:val="CommentSubjectChar"/>
    <w:uiPriority w:val="99"/>
    <w:semiHidden/>
    <w:unhideWhenUsed/>
    <w:rsid w:val="00946273"/>
    <w:rPr>
      <w:b/>
      <w:bCs/>
    </w:rPr>
  </w:style>
  <w:style w:type="character" w:customStyle="1" w:styleId="CommentSubjectChar">
    <w:name w:val="Comment Subject Char"/>
    <w:basedOn w:val="CommentTextChar"/>
    <w:link w:val="CommentSubject"/>
    <w:uiPriority w:val="99"/>
    <w:semiHidden/>
    <w:rsid w:val="00946273"/>
    <w:rPr>
      <w:b/>
      <w:bCs/>
      <w:sz w:val="20"/>
      <w:szCs w:val="20"/>
      <w:lang w:val="en-GB"/>
    </w:rPr>
  </w:style>
  <w:style w:type="paragraph" w:styleId="BalloonText">
    <w:name w:val="Balloon Text"/>
    <w:basedOn w:val="Normal"/>
    <w:link w:val="BalloonTextChar"/>
    <w:uiPriority w:val="99"/>
    <w:semiHidden/>
    <w:unhideWhenUsed/>
    <w:rsid w:val="00946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273"/>
    <w:rPr>
      <w:rFonts w:ascii="Tahoma" w:hAnsi="Tahoma" w:cs="Tahoma"/>
      <w:sz w:val="16"/>
      <w:szCs w:val="16"/>
      <w:lang w:val="en-GB"/>
    </w:rPr>
  </w:style>
  <w:style w:type="paragraph" w:styleId="NormalWeb">
    <w:name w:val="Normal (Web)"/>
    <w:basedOn w:val="Normal"/>
    <w:uiPriority w:val="99"/>
    <w:unhideWhenUsed/>
    <w:rsid w:val="00523832"/>
    <w:pPr>
      <w:spacing w:before="100" w:beforeAutospacing="1" w:after="100" w:afterAutospacing="1" w:line="240" w:lineRule="auto"/>
    </w:pPr>
    <w:rPr>
      <w:rFonts w:ascii="Times" w:hAnsi="Times" w:cs="Times New Roman"/>
      <w:sz w:val="20"/>
      <w:szCs w:val="20"/>
      <w:lang w:val="en-US"/>
    </w:rPr>
  </w:style>
  <w:style w:type="character" w:customStyle="1" w:styleId="auto-style32">
    <w:name w:val="auto-style32"/>
    <w:basedOn w:val="DefaultParagraphFont"/>
    <w:rsid w:val="00AE22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4B66"/>
    <w:pPr>
      <w:autoSpaceDE w:val="0"/>
      <w:autoSpaceDN w:val="0"/>
      <w:adjustRightInd w:val="0"/>
      <w:spacing w:after="0" w:line="240" w:lineRule="auto"/>
    </w:pPr>
    <w:rPr>
      <w:rFonts w:ascii="HelveticaNeueLT Std Cn" w:hAnsi="HelveticaNeueLT Std Cn" w:cs="HelveticaNeueLT Std Cn"/>
      <w:color w:val="000000"/>
      <w:sz w:val="24"/>
      <w:szCs w:val="24"/>
    </w:rPr>
  </w:style>
  <w:style w:type="character" w:customStyle="1" w:styleId="A0">
    <w:name w:val="A0"/>
    <w:uiPriority w:val="99"/>
    <w:rsid w:val="00734B66"/>
    <w:rPr>
      <w:rFonts w:cs="HelveticaNeueLT Std Cn"/>
      <w:b/>
      <w:bCs/>
      <w:color w:val="000000"/>
      <w:sz w:val="44"/>
      <w:szCs w:val="44"/>
    </w:rPr>
  </w:style>
  <w:style w:type="paragraph" w:styleId="ListParagraph">
    <w:name w:val="List Paragraph"/>
    <w:basedOn w:val="Normal"/>
    <w:uiPriority w:val="99"/>
    <w:qFormat/>
    <w:rsid w:val="008B0F50"/>
    <w:pPr>
      <w:ind w:left="720"/>
      <w:contextualSpacing/>
    </w:pPr>
  </w:style>
  <w:style w:type="paragraph" w:styleId="FootnoteText">
    <w:name w:val="footnote text"/>
    <w:aliases w:val="Fußnotentext RAXEN,EUMC_Lábjegyzetszöveg,FA Fu,single space,footnote text,fn,Char, Char,Tekst przypisu,Schriftart: 9 pt,Schriftart: 10 pt,Schriftart: 8 pt,WB-Fußnotentext,Footnote,Fußnote,Podrozdział,Tekst przypisu Znak Znak Znak Zna"/>
    <w:basedOn w:val="Normal"/>
    <w:link w:val="FootnoteTextChar"/>
    <w:semiHidden/>
    <w:rsid w:val="002E3CC9"/>
    <w:pPr>
      <w:spacing w:after="0" w:line="240" w:lineRule="auto"/>
    </w:pPr>
    <w:rPr>
      <w:rFonts w:ascii="Courier New" w:eastAsia="Times New Roman" w:hAnsi="Courier New" w:cs="Times New Roman"/>
      <w:sz w:val="24"/>
      <w:szCs w:val="20"/>
      <w:lang w:val="fr-FR"/>
    </w:rPr>
  </w:style>
  <w:style w:type="character" w:customStyle="1" w:styleId="FootnoteTextChar">
    <w:name w:val="Footnote Text Char"/>
    <w:aliases w:val="Fußnotentext RAXEN Char,EUMC_Lábjegyzetszöveg Char,FA Fu Char,single space Char,footnote text Char,fn Char,Char Char, Char Char,Tekst przypisu Char,Schriftart: 9 pt Char,Schriftart: 10 pt Char,Schriftart: 8 pt Char,Footnote Char"/>
    <w:basedOn w:val="DefaultParagraphFont"/>
    <w:link w:val="FootnoteText"/>
    <w:semiHidden/>
    <w:rsid w:val="002E3CC9"/>
    <w:rPr>
      <w:rFonts w:ascii="Courier New" w:eastAsia="Times New Roman" w:hAnsi="Courier New" w:cs="Times New Roman"/>
      <w:sz w:val="24"/>
      <w:szCs w:val="20"/>
      <w:lang w:val="fr-FR"/>
    </w:rPr>
  </w:style>
  <w:style w:type="character" w:styleId="FootnoteReference">
    <w:name w:val="footnote reference"/>
    <w:aliases w:val="Plain Text Char, Char Char2 Char Char Char Char Char Char Char Char Char, Char Char2 Char Char Char Char Char Char Char"/>
    <w:link w:val="PlainText"/>
    <w:uiPriority w:val="99"/>
    <w:unhideWhenUsed/>
    <w:rsid w:val="002E3CC9"/>
    <w:rPr>
      <w:vertAlign w:val="superscript"/>
    </w:rPr>
  </w:style>
  <w:style w:type="paragraph" w:styleId="Header">
    <w:name w:val="header"/>
    <w:basedOn w:val="Normal"/>
    <w:link w:val="HeaderChar"/>
    <w:uiPriority w:val="99"/>
    <w:unhideWhenUsed/>
    <w:rsid w:val="008A2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798"/>
    <w:rPr>
      <w:lang w:val="en-GB"/>
    </w:rPr>
  </w:style>
  <w:style w:type="paragraph" w:styleId="Footer">
    <w:name w:val="footer"/>
    <w:basedOn w:val="Normal"/>
    <w:link w:val="FooterChar"/>
    <w:uiPriority w:val="99"/>
    <w:unhideWhenUsed/>
    <w:rsid w:val="008A2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798"/>
    <w:rPr>
      <w:lang w:val="en-GB"/>
    </w:rPr>
  </w:style>
  <w:style w:type="paragraph" w:styleId="PlainText">
    <w:name w:val="Plain Text"/>
    <w:aliases w:val=" Char Char2 Char Char Char Char Char Char Char Char, Char Char2 Char Char Char Char Char Char"/>
    <w:basedOn w:val="Normal"/>
    <w:link w:val="FootnoteReference"/>
    <w:uiPriority w:val="99"/>
    <w:unhideWhenUsed/>
    <w:rsid w:val="00EA0E9F"/>
    <w:pPr>
      <w:spacing w:after="0" w:line="240" w:lineRule="auto"/>
    </w:pPr>
    <w:rPr>
      <w:vertAlign w:val="superscript"/>
      <w:lang w:val="en-US"/>
    </w:rPr>
  </w:style>
  <w:style w:type="character" w:customStyle="1" w:styleId="PlainTextChar1">
    <w:name w:val="Plain Text Char1"/>
    <w:basedOn w:val="DefaultParagraphFont"/>
    <w:uiPriority w:val="99"/>
    <w:semiHidden/>
    <w:rsid w:val="00EA0E9F"/>
    <w:rPr>
      <w:rFonts w:ascii="Consolas" w:hAnsi="Consolas" w:cs="Consolas"/>
      <w:sz w:val="21"/>
      <w:szCs w:val="21"/>
      <w:lang w:val="en-GB"/>
    </w:rPr>
  </w:style>
  <w:style w:type="character" w:styleId="Hyperlink">
    <w:name w:val="Hyperlink"/>
    <w:basedOn w:val="DefaultParagraphFont"/>
    <w:uiPriority w:val="99"/>
    <w:unhideWhenUsed/>
    <w:rsid w:val="00EA0E9F"/>
    <w:rPr>
      <w:color w:val="0000FF"/>
      <w:u w:val="single"/>
    </w:rPr>
  </w:style>
  <w:style w:type="character" w:customStyle="1" w:styleId="hps">
    <w:name w:val="hps"/>
    <w:basedOn w:val="DefaultParagraphFont"/>
    <w:rsid w:val="00507C3F"/>
  </w:style>
  <w:style w:type="table" w:styleId="TableGrid">
    <w:name w:val="Table Grid"/>
    <w:basedOn w:val="TableNormal"/>
    <w:uiPriority w:val="59"/>
    <w:rsid w:val="000974EA"/>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6273"/>
    <w:rPr>
      <w:sz w:val="16"/>
      <w:szCs w:val="16"/>
    </w:rPr>
  </w:style>
  <w:style w:type="paragraph" w:styleId="CommentText">
    <w:name w:val="annotation text"/>
    <w:basedOn w:val="Normal"/>
    <w:link w:val="CommentTextChar"/>
    <w:uiPriority w:val="99"/>
    <w:semiHidden/>
    <w:unhideWhenUsed/>
    <w:rsid w:val="00946273"/>
    <w:pPr>
      <w:spacing w:line="240" w:lineRule="auto"/>
    </w:pPr>
    <w:rPr>
      <w:sz w:val="20"/>
      <w:szCs w:val="20"/>
    </w:rPr>
  </w:style>
  <w:style w:type="character" w:customStyle="1" w:styleId="CommentTextChar">
    <w:name w:val="Comment Text Char"/>
    <w:basedOn w:val="DefaultParagraphFont"/>
    <w:link w:val="CommentText"/>
    <w:uiPriority w:val="99"/>
    <w:semiHidden/>
    <w:rsid w:val="00946273"/>
    <w:rPr>
      <w:sz w:val="20"/>
      <w:szCs w:val="20"/>
      <w:lang w:val="en-GB"/>
    </w:rPr>
  </w:style>
  <w:style w:type="paragraph" w:styleId="CommentSubject">
    <w:name w:val="annotation subject"/>
    <w:basedOn w:val="CommentText"/>
    <w:next w:val="CommentText"/>
    <w:link w:val="CommentSubjectChar"/>
    <w:uiPriority w:val="99"/>
    <w:semiHidden/>
    <w:unhideWhenUsed/>
    <w:rsid w:val="00946273"/>
    <w:rPr>
      <w:b/>
      <w:bCs/>
    </w:rPr>
  </w:style>
  <w:style w:type="character" w:customStyle="1" w:styleId="CommentSubjectChar">
    <w:name w:val="Comment Subject Char"/>
    <w:basedOn w:val="CommentTextChar"/>
    <w:link w:val="CommentSubject"/>
    <w:uiPriority w:val="99"/>
    <w:semiHidden/>
    <w:rsid w:val="00946273"/>
    <w:rPr>
      <w:b/>
      <w:bCs/>
      <w:sz w:val="20"/>
      <w:szCs w:val="20"/>
      <w:lang w:val="en-GB"/>
    </w:rPr>
  </w:style>
  <w:style w:type="paragraph" w:styleId="BalloonText">
    <w:name w:val="Balloon Text"/>
    <w:basedOn w:val="Normal"/>
    <w:link w:val="BalloonTextChar"/>
    <w:uiPriority w:val="99"/>
    <w:semiHidden/>
    <w:unhideWhenUsed/>
    <w:rsid w:val="00946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273"/>
    <w:rPr>
      <w:rFonts w:ascii="Tahoma" w:hAnsi="Tahoma" w:cs="Tahoma"/>
      <w:sz w:val="16"/>
      <w:szCs w:val="16"/>
      <w:lang w:val="en-GB"/>
    </w:rPr>
  </w:style>
  <w:style w:type="paragraph" w:styleId="NormalWeb">
    <w:name w:val="Normal (Web)"/>
    <w:basedOn w:val="Normal"/>
    <w:uiPriority w:val="99"/>
    <w:unhideWhenUsed/>
    <w:rsid w:val="00523832"/>
    <w:pPr>
      <w:spacing w:before="100" w:beforeAutospacing="1" w:after="100" w:afterAutospacing="1" w:line="240" w:lineRule="auto"/>
    </w:pPr>
    <w:rPr>
      <w:rFonts w:ascii="Times" w:hAnsi="Times" w:cs="Times New Roman"/>
      <w:sz w:val="20"/>
      <w:szCs w:val="20"/>
      <w:lang w:val="en-US"/>
    </w:rPr>
  </w:style>
  <w:style w:type="character" w:customStyle="1" w:styleId="auto-style32">
    <w:name w:val="auto-style32"/>
    <w:basedOn w:val="DefaultParagraphFont"/>
    <w:rsid w:val="00AE2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13871">
      <w:bodyDiv w:val="1"/>
      <w:marLeft w:val="0"/>
      <w:marRight w:val="0"/>
      <w:marTop w:val="0"/>
      <w:marBottom w:val="0"/>
      <w:divBdr>
        <w:top w:val="none" w:sz="0" w:space="0" w:color="auto"/>
        <w:left w:val="none" w:sz="0" w:space="0" w:color="auto"/>
        <w:bottom w:val="none" w:sz="0" w:space="0" w:color="auto"/>
        <w:right w:val="none" w:sz="0" w:space="0" w:color="auto"/>
      </w:divBdr>
      <w:divsChild>
        <w:div w:id="1522161063">
          <w:marLeft w:val="0"/>
          <w:marRight w:val="0"/>
          <w:marTop w:val="0"/>
          <w:marBottom w:val="0"/>
          <w:divBdr>
            <w:top w:val="none" w:sz="0" w:space="0" w:color="auto"/>
            <w:left w:val="none" w:sz="0" w:space="0" w:color="auto"/>
            <w:bottom w:val="none" w:sz="0" w:space="0" w:color="auto"/>
            <w:right w:val="none" w:sz="0" w:space="0" w:color="auto"/>
          </w:divBdr>
          <w:divsChild>
            <w:div w:id="512451073">
              <w:marLeft w:val="0"/>
              <w:marRight w:val="0"/>
              <w:marTop w:val="0"/>
              <w:marBottom w:val="0"/>
              <w:divBdr>
                <w:top w:val="none" w:sz="0" w:space="0" w:color="auto"/>
                <w:left w:val="none" w:sz="0" w:space="0" w:color="auto"/>
                <w:bottom w:val="none" w:sz="0" w:space="0" w:color="auto"/>
                <w:right w:val="none" w:sz="0" w:space="0" w:color="auto"/>
              </w:divBdr>
              <w:divsChild>
                <w:div w:id="203708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47407">
      <w:bodyDiv w:val="1"/>
      <w:marLeft w:val="0"/>
      <w:marRight w:val="0"/>
      <w:marTop w:val="0"/>
      <w:marBottom w:val="0"/>
      <w:divBdr>
        <w:top w:val="none" w:sz="0" w:space="0" w:color="auto"/>
        <w:left w:val="none" w:sz="0" w:space="0" w:color="auto"/>
        <w:bottom w:val="none" w:sz="0" w:space="0" w:color="auto"/>
        <w:right w:val="none" w:sz="0" w:space="0" w:color="auto"/>
      </w:divBdr>
      <w:divsChild>
        <w:div w:id="240412613">
          <w:marLeft w:val="0"/>
          <w:marRight w:val="0"/>
          <w:marTop w:val="0"/>
          <w:marBottom w:val="0"/>
          <w:divBdr>
            <w:top w:val="none" w:sz="0" w:space="0" w:color="auto"/>
            <w:left w:val="none" w:sz="0" w:space="0" w:color="auto"/>
            <w:bottom w:val="none" w:sz="0" w:space="0" w:color="auto"/>
            <w:right w:val="none" w:sz="0" w:space="0" w:color="auto"/>
          </w:divBdr>
        </w:div>
        <w:div w:id="407268063">
          <w:marLeft w:val="0"/>
          <w:marRight w:val="0"/>
          <w:marTop w:val="0"/>
          <w:marBottom w:val="0"/>
          <w:divBdr>
            <w:top w:val="none" w:sz="0" w:space="0" w:color="auto"/>
            <w:left w:val="none" w:sz="0" w:space="0" w:color="auto"/>
            <w:bottom w:val="none" w:sz="0" w:space="0" w:color="auto"/>
            <w:right w:val="none" w:sz="0" w:space="0" w:color="auto"/>
          </w:divBdr>
        </w:div>
      </w:divsChild>
    </w:div>
    <w:div w:id="521240045">
      <w:bodyDiv w:val="1"/>
      <w:marLeft w:val="0"/>
      <w:marRight w:val="0"/>
      <w:marTop w:val="0"/>
      <w:marBottom w:val="0"/>
      <w:divBdr>
        <w:top w:val="none" w:sz="0" w:space="0" w:color="auto"/>
        <w:left w:val="none" w:sz="0" w:space="0" w:color="auto"/>
        <w:bottom w:val="none" w:sz="0" w:space="0" w:color="auto"/>
        <w:right w:val="none" w:sz="0" w:space="0" w:color="auto"/>
      </w:divBdr>
      <w:divsChild>
        <w:div w:id="1331175537">
          <w:marLeft w:val="0"/>
          <w:marRight w:val="0"/>
          <w:marTop w:val="0"/>
          <w:marBottom w:val="0"/>
          <w:divBdr>
            <w:top w:val="none" w:sz="0" w:space="0" w:color="auto"/>
            <w:left w:val="none" w:sz="0" w:space="0" w:color="auto"/>
            <w:bottom w:val="none" w:sz="0" w:space="0" w:color="auto"/>
            <w:right w:val="none" w:sz="0" w:space="0" w:color="auto"/>
          </w:divBdr>
          <w:divsChild>
            <w:div w:id="187959525">
              <w:marLeft w:val="0"/>
              <w:marRight w:val="0"/>
              <w:marTop w:val="0"/>
              <w:marBottom w:val="0"/>
              <w:divBdr>
                <w:top w:val="none" w:sz="0" w:space="0" w:color="auto"/>
                <w:left w:val="none" w:sz="0" w:space="0" w:color="auto"/>
                <w:bottom w:val="none" w:sz="0" w:space="0" w:color="auto"/>
                <w:right w:val="none" w:sz="0" w:space="0" w:color="auto"/>
              </w:divBdr>
              <w:divsChild>
                <w:div w:id="21247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82801">
      <w:bodyDiv w:val="1"/>
      <w:marLeft w:val="0"/>
      <w:marRight w:val="0"/>
      <w:marTop w:val="0"/>
      <w:marBottom w:val="0"/>
      <w:divBdr>
        <w:top w:val="none" w:sz="0" w:space="0" w:color="auto"/>
        <w:left w:val="none" w:sz="0" w:space="0" w:color="auto"/>
        <w:bottom w:val="none" w:sz="0" w:space="0" w:color="auto"/>
        <w:right w:val="none" w:sz="0" w:space="0" w:color="auto"/>
      </w:divBdr>
    </w:div>
    <w:div w:id="1116678632">
      <w:bodyDiv w:val="1"/>
      <w:marLeft w:val="0"/>
      <w:marRight w:val="0"/>
      <w:marTop w:val="0"/>
      <w:marBottom w:val="0"/>
      <w:divBdr>
        <w:top w:val="none" w:sz="0" w:space="0" w:color="auto"/>
        <w:left w:val="none" w:sz="0" w:space="0" w:color="auto"/>
        <w:bottom w:val="none" w:sz="0" w:space="0" w:color="auto"/>
        <w:right w:val="none" w:sz="0" w:space="0" w:color="auto"/>
      </w:divBdr>
      <w:divsChild>
        <w:div w:id="1988244539">
          <w:marLeft w:val="0"/>
          <w:marRight w:val="0"/>
          <w:marTop w:val="0"/>
          <w:marBottom w:val="0"/>
          <w:divBdr>
            <w:top w:val="none" w:sz="0" w:space="0" w:color="auto"/>
            <w:left w:val="none" w:sz="0" w:space="0" w:color="auto"/>
            <w:bottom w:val="none" w:sz="0" w:space="0" w:color="auto"/>
            <w:right w:val="none" w:sz="0" w:space="0" w:color="auto"/>
          </w:divBdr>
          <w:divsChild>
            <w:div w:id="864907111">
              <w:marLeft w:val="0"/>
              <w:marRight w:val="0"/>
              <w:marTop w:val="0"/>
              <w:marBottom w:val="0"/>
              <w:divBdr>
                <w:top w:val="none" w:sz="0" w:space="0" w:color="auto"/>
                <w:left w:val="none" w:sz="0" w:space="0" w:color="auto"/>
                <w:bottom w:val="none" w:sz="0" w:space="0" w:color="auto"/>
                <w:right w:val="none" w:sz="0" w:space="0" w:color="auto"/>
              </w:divBdr>
              <w:divsChild>
                <w:div w:id="5348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02232">
      <w:bodyDiv w:val="1"/>
      <w:marLeft w:val="0"/>
      <w:marRight w:val="0"/>
      <w:marTop w:val="0"/>
      <w:marBottom w:val="0"/>
      <w:divBdr>
        <w:top w:val="none" w:sz="0" w:space="0" w:color="auto"/>
        <w:left w:val="none" w:sz="0" w:space="0" w:color="auto"/>
        <w:bottom w:val="none" w:sz="0" w:space="0" w:color="auto"/>
        <w:right w:val="none" w:sz="0" w:space="0" w:color="auto"/>
      </w:divBdr>
    </w:div>
    <w:div w:id="1732583407">
      <w:bodyDiv w:val="1"/>
      <w:marLeft w:val="0"/>
      <w:marRight w:val="0"/>
      <w:marTop w:val="0"/>
      <w:marBottom w:val="0"/>
      <w:divBdr>
        <w:top w:val="none" w:sz="0" w:space="0" w:color="auto"/>
        <w:left w:val="none" w:sz="0" w:space="0" w:color="auto"/>
        <w:bottom w:val="none" w:sz="0" w:space="0" w:color="auto"/>
        <w:right w:val="none" w:sz="0" w:space="0" w:color="auto"/>
      </w:divBdr>
    </w:div>
    <w:div w:id="1762947130">
      <w:bodyDiv w:val="1"/>
      <w:marLeft w:val="0"/>
      <w:marRight w:val="0"/>
      <w:marTop w:val="0"/>
      <w:marBottom w:val="0"/>
      <w:divBdr>
        <w:top w:val="none" w:sz="0" w:space="0" w:color="auto"/>
        <w:left w:val="none" w:sz="0" w:space="0" w:color="auto"/>
        <w:bottom w:val="none" w:sz="0" w:space="0" w:color="auto"/>
        <w:right w:val="none" w:sz="0" w:space="0" w:color="auto"/>
      </w:divBdr>
      <w:divsChild>
        <w:div w:id="2024630185">
          <w:marLeft w:val="0"/>
          <w:marRight w:val="0"/>
          <w:marTop w:val="0"/>
          <w:marBottom w:val="0"/>
          <w:divBdr>
            <w:top w:val="none" w:sz="0" w:space="0" w:color="auto"/>
            <w:left w:val="none" w:sz="0" w:space="0" w:color="auto"/>
            <w:bottom w:val="none" w:sz="0" w:space="0" w:color="auto"/>
            <w:right w:val="none" w:sz="0" w:space="0" w:color="auto"/>
          </w:divBdr>
          <w:divsChild>
            <w:div w:id="2116553398">
              <w:marLeft w:val="0"/>
              <w:marRight w:val="0"/>
              <w:marTop w:val="0"/>
              <w:marBottom w:val="0"/>
              <w:divBdr>
                <w:top w:val="none" w:sz="0" w:space="0" w:color="auto"/>
                <w:left w:val="none" w:sz="0" w:space="0" w:color="auto"/>
                <w:bottom w:val="none" w:sz="0" w:space="0" w:color="auto"/>
                <w:right w:val="none" w:sz="0" w:space="0" w:color="auto"/>
              </w:divBdr>
              <w:divsChild>
                <w:div w:id="116119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e.int/t/DGHL/STANDARDSETTING/EQUALITY/03themes/access_to_justice/Court%20doc%20eng.pdf"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893E76-4B78-4934-8B59-AA439BDA3C04}"/>
</file>

<file path=customXml/itemProps2.xml><?xml version="1.0" encoding="utf-8"?>
<ds:datastoreItem xmlns:ds="http://schemas.openxmlformats.org/officeDocument/2006/customXml" ds:itemID="{297BBC75-C3E5-4B2A-8FE9-44A20CC5E412}"/>
</file>

<file path=customXml/itemProps3.xml><?xml version="1.0" encoding="utf-8"?>
<ds:datastoreItem xmlns:ds="http://schemas.openxmlformats.org/officeDocument/2006/customXml" ds:itemID="{EC7A8877-AA82-43A2-A0D7-819243EE433C}"/>
</file>

<file path=customXml/itemProps4.xml><?xml version="1.0" encoding="utf-8"?>
<ds:datastoreItem xmlns:ds="http://schemas.openxmlformats.org/officeDocument/2006/customXml" ds:itemID="{7EACAC7A-67B8-444F-B301-71202D5264A3}"/>
</file>

<file path=docProps/app.xml><?xml version="1.0" encoding="utf-8"?>
<Properties xmlns="http://schemas.openxmlformats.org/officeDocument/2006/extended-properties" xmlns:vt="http://schemas.openxmlformats.org/officeDocument/2006/docPropsVTypes">
  <Template>Normal.dotm</Template>
  <TotalTime>1</TotalTime>
  <Pages>6</Pages>
  <Words>2547</Words>
  <Characters>14523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17036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POPA Raluca</dc:creator>
  <cp:lastModifiedBy>Liza Sekaggya</cp:lastModifiedBy>
  <cp:revision>2</cp:revision>
  <cp:lastPrinted>2015-10-19T15:17:00Z</cp:lastPrinted>
  <dcterms:created xsi:type="dcterms:W3CDTF">2015-10-19T17:03:00Z</dcterms:created>
  <dcterms:modified xsi:type="dcterms:W3CDTF">2015-10-19T17:03:00Z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3217400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