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6EB066" w14:textId="77777777" w:rsidR="00256B96" w:rsidRPr="00B22C66" w:rsidRDefault="00256B96" w:rsidP="00597DC6">
      <w:pPr>
        <w:pStyle w:val="abc"/>
        <w:rPr>
          <w:lang w:val="fr-CH"/>
        </w:rPr>
      </w:pPr>
    </w:p>
    <w:p w14:paraId="3D72252D" w14:textId="77777777" w:rsidR="00256B96" w:rsidRPr="00513802" w:rsidRDefault="00256B96" w:rsidP="00256B96">
      <w:pPr>
        <w:suppressAutoHyphens w:val="0"/>
        <w:spacing w:line="240" w:lineRule="auto"/>
        <w:ind w:right="1126"/>
        <w:rPr>
          <w:lang w:val="en-NZ"/>
        </w:rPr>
      </w:pPr>
    </w:p>
    <w:p w14:paraId="5F090D62" w14:textId="77777777" w:rsidR="00256B96" w:rsidRPr="00513802" w:rsidRDefault="00256B96" w:rsidP="00256B96">
      <w:pPr>
        <w:pStyle w:val="HMG"/>
        <w:tabs>
          <w:tab w:val="clear" w:pos="851"/>
          <w:tab w:val="left" w:pos="8550"/>
        </w:tabs>
        <w:ind w:left="0" w:right="1126" w:firstLine="0"/>
        <w:jc w:val="center"/>
        <w:rPr>
          <w:sz w:val="20"/>
          <w:lang w:val="en-NZ"/>
        </w:rPr>
      </w:pPr>
    </w:p>
    <w:p w14:paraId="795340DD" w14:textId="77777777" w:rsidR="00256B96" w:rsidRPr="00513802" w:rsidRDefault="00256B96" w:rsidP="00256B96">
      <w:pPr>
        <w:pStyle w:val="HMG"/>
        <w:tabs>
          <w:tab w:val="clear" w:pos="851"/>
          <w:tab w:val="left" w:pos="8505"/>
        </w:tabs>
        <w:ind w:left="0" w:right="1126" w:firstLine="0"/>
        <w:jc w:val="center"/>
        <w:rPr>
          <w:sz w:val="20"/>
          <w:lang w:val="en-NZ"/>
        </w:rPr>
      </w:pPr>
    </w:p>
    <w:p w14:paraId="09EC5D71" w14:textId="77777777" w:rsidR="00256B96" w:rsidRPr="00513802" w:rsidRDefault="00256B96" w:rsidP="00256B96">
      <w:pPr>
        <w:pStyle w:val="HMG"/>
        <w:tabs>
          <w:tab w:val="clear" w:pos="851"/>
          <w:tab w:val="left" w:pos="8505"/>
        </w:tabs>
        <w:ind w:left="0" w:right="1126" w:firstLine="0"/>
        <w:jc w:val="center"/>
        <w:rPr>
          <w:sz w:val="20"/>
          <w:lang w:val="en-NZ"/>
        </w:rPr>
      </w:pPr>
    </w:p>
    <w:p w14:paraId="4BC974F8" w14:textId="77777777" w:rsidR="00256B96" w:rsidRPr="00F96A89" w:rsidRDefault="00256B96" w:rsidP="007D3010">
      <w:pPr>
        <w:pStyle w:val="HMG"/>
        <w:tabs>
          <w:tab w:val="clear" w:pos="851"/>
          <w:tab w:val="left" w:pos="8505"/>
        </w:tabs>
        <w:ind w:left="0" w:right="-7" w:firstLine="0"/>
        <w:jc w:val="center"/>
        <w:rPr>
          <w:sz w:val="36"/>
          <w:szCs w:val="36"/>
          <w:lang w:val="en-NZ"/>
        </w:rPr>
      </w:pPr>
      <w:r w:rsidRPr="00F96A89">
        <w:rPr>
          <w:sz w:val="36"/>
          <w:szCs w:val="36"/>
          <w:lang w:val="en-NZ"/>
        </w:rPr>
        <w:t>Office of the United Nations High Commissioner</w:t>
      </w:r>
    </w:p>
    <w:p w14:paraId="0A991B6C" w14:textId="77777777" w:rsidR="00256B96" w:rsidRPr="007D3010" w:rsidRDefault="00256B96" w:rsidP="007D3010">
      <w:pPr>
        <w:pStyle w:val="HMG"/>
        <w:tabs>
          <w:tab w:val="clear" w:pos="851"/>
          <w:tab w:val="left" w:pos="8505"/>
        </w:tabs>
        <w:ind w:left="0" w:right="-7" w:firstLine="0"/>
        <w:jc w:val="center"/>
        <w:rPr>
          <w:sz w:val="40"/>
          <w:szCs w:val="40"/>
          <w:lang w:val="en-NZ"/>
        </w:rPr>
      </w:pPr>
      <w:r w:rsidRPr="00F96A89">
        <w:rPr>
          <w:sz w:val="36"/>
          <w:szCs w:val="36"/>
          <w:lang w:val="en-NZ"/>
        </w:rPr>
        <w:t>for Human Rights</w:t>
      </w:r>
    </w:p>
    <w:p w14:paraId="2EBDC318" w14:textId="77777777" w:rsidR="00256B96" w:rsidRPr="007D3010" w:rsidRDefault="00256B96" w:rsidP="007D3010">
      <w:pPr>
        <w:tabs>
          <w:tab w:val="left" w:pos="8505"/>
        </w:tabs>
        <w:ind w:right="-7"/>
        <w:jc w:val="center"/>
        <w:rPr>
          <w:b/>
          <w:sz w:val="40"/>
          <w:szCs w:val="40"/>
          <w:lang w:val="en-NZ"/>
        </w:rPr>
      </w:pPr>
    </w:p>
    <w:p w14:paraId="40F246C9" w14:textId="77777777" w:rsidR="00256B96" w:rsidRPr="007D3010" w:rsidRDefault="00256B96" w:rsidP="007D3010">
      <w:pPr>
        <w:pStyle w:val="HMG"/>
        <w:tabs>
          <w:tab w:val="clear" w:pos="851"/>
          <w:tab w:val="left" w:pos="8505"/>
        </w:tabs>
        <w:ind w:left="0" w:right="-7" w:firstLine="0"/>
        <w:jc w:val="center"/>
        <w:rPr>
          <w:sz w:val="40"/>
          <w:szCs w:val="40"/>
          <w:lang w:val="en-NZ"/>
        </w:rPr>
      </w:pPr>
    </w:p>
    <w:p w14:paraId="29926968" w14:textId="77777777" w:rsidR="00256B96" w:rsidRPr="007D3010" w:rsidRDefault="00256B96" w:rsidP="007D3010">
      <w:pPr>
        <w:ind w:right="-7"/>
        <w:jc w:val="center"/>
        <w:rPr>
          <w:sz w:val="40"/>
          <w:szCs w:val="40"/>
          <w:lang w:val="en-NZ"/>
        </w:rPr>
      </w:pPr>
    </w:p>
    <w:p w14:paraId="70E29332" w14:textId="77777777" w:rsidR="00256B96" w:rsidRPr="007D3010" w:rsidRDefault="00256B96" w:rsidP="007D3010">
      <w:pPr>
        <w:ind w:right="-7"/>
        <w:jc w:val="center"/>
        <w:rPr>
          <w:sz w:val="40"/>
          <w:szCs w:val="40"/>
          <w:lang w:val="en-NZ"/>
        </w:rPr>
      </w:pPr>
    </w:p>
    <w:p w14:paraId="3F35CBE4" w14:textId="77777777" w:rsidR="00256B96" w:rsidRPr="007D3010" w:rsidRDefault="00256B96" w:rsidP="007D3010">
      <w:pPr>
        <w:pStyle w:val="HMG"/>
        <w:tabs>
          <w:tab w:val="clear" w:pos="851"/>
          <w:tab w:val="left" w:pos="8505"/>
        </w:tabs>
        <w:ind w:left="0" w:right="-7" w:firstLine="0"/>
        <w:jc w:val="center"/>
        <w:rPr>
          <w:sz w:val="40"/>
          <w:szCs w:val="40"/>
          <w:lang w:val="en-NZ"/>
        </w:rPr>
      </w:pPr>
      <w:r w:rsidRPr="007D3010">
        <w:rPr>
          <w:sz w:val="40"/>
          <w:szCs w:val="40"/>
          <w:lang w:val="en-NZ"/>
        </w:rPr>
        <w:t>Report on the human rights situation in Ukraine</w:t>
      </w:r>
    </w:p>
    <w:p w14:paraId="0DDBC4DF" w14:textId="06387F22" w:rsidR="00256B96" w:rsidRPr="007D3010" w:rsidRDefault="00256B96" w:rsidP="007D3010">
      <w:pPr>
        <w:pStyle w:val="HMG"/>
        <w:tabs>
          <w:tab w:val="clear" w:pos="851"/>
          <w:tab w:val="left" w:pos="8505"/>
        </w:tabs>
        <w:ind w:left="0" w:right="-7" w:firstLine="0"/>
        <w:jc w:val="center"/>
        <w:rPr>
          <w:b w:val="0"/>
          <w:sz w:val="40"/>
          <w:szCs w:val="40"/>
          <w:lang w:val="en-NZ"/>
        </w:rPr>
      </w:pPr>
      <w:r w:rsidRPr="007D3010">
        <w:rPr>
          <w:sz w:val="40"/>
          <w:szCs w:val="40"/>
          <w:lang w:val="en-NZ"/>
        </w:rPr>
        <w:t>16 February to 15 May 2019</w:t>
      </w:r>
    </w:p>
    <w:p w14:paraId="431C46B9" w14:textId="77777777" w:rsidR="00256B96" w:rsidRPr="00513802" w:rsidRDefault="00256B96" w:rsidP="00256B96">
      <w:pPr>
        <w:suppressAutoHyphens w:val="0"/>
        <w:spacing w:line="240" w:lineRule="auto"/>
        <w:ind w:right="1126"/>
        <w:rPr>
          <w:lang w:val="en-NZ"/>
        </w:rPr>
      </w:pPr>
    </w:p>
    <w:p w14:paraId="2ED20B63" w14:textId="77777777" w:rsidR="00256B96" w:rsidRPr="00513802" w:rsidRDefault="00256B96" w:rsidP="00256B96">
      <w:pPr>
        <w:suppressAutoHyphens w:val="0"/>
        <w:spacing w:line="240" w:lineRule="auto"/>
        <w:ind w:right="1126"/>
        <w:rPr>
          <w:lang w:val="en-NZ"/>
        </w:rPr>
      </w:pPr>
    </w:p>
    <w:p w14:paraId="4B0BA92F" w14:textId="77777777" w:rsidR="00256B96" w:rsidRPr="00513802" w:rsidRDefault="00256B96" w:rsidP="00256B96">
      <w:pPr>
        <w:suppressAutoHyphens w:val="0"/>
        <w:spacing w:line="240" w:lineRule="auto"/>
        <w:ind w:right="1126"/>
        <w:rPr>
          <w:lang w:val="en-NZ"/>
        </w:rPr>
      </w:pPr>
    </w:p>
    <w:p w14:paraId="19665036" w14:textId="77777777" w:rsidR="00256B96" w:rsidRPr="00513802" w:rsidRDefault="00256B96" w:rsidP="00256B96">
      <w:pPr>
        <w:suppressAutoHyphens w:val="0"/>
        <w:spacing w:line="240" w:lineRule="auto"/>
        <w:ind w:right="1126"/>
        <w:rPr>
          <w:lang w:val="en-NZ"/>
        </w:rPr>
      </w:pPr>
    </w:p>
    <w:p w14:paraId="051FDCD2" w14:textId="77777777" w:rsidR="00256B96" w:rsidRPr="00513802" w:rsidRDefault="00256B96" w:rsidP="00256B96">
      <w:pPr>
        <w:suppressAutoHyphens w:val="0"/>
        <w:spacing w:line="240" w:lineRule="auto"/>
        <w:ind w:right="1126"/>
        <w:rPr>
          <w:lang w:val="en-NZ"/>
        </w:rPr>
      </w:pPr>
    </w:p>
    <w:p w14:paraId="3267166B" w14:textId="77777777" w:rsidR="00256B96" w:rsidRPr="00513802" w:rsidRDefault="00256B96" w:rsidP="00256B96">
      <w:pPr>
        <w:suppressAutoHyphens w:val="0"/>
        <w:spacing w:line="240" w:lineRule="auto"/>
        <w:ind w:right="1126"/>
        <w:rPr>
          <w:lang w:val="en-NZ"/>
        </w:rPr>
      </w:pPr>
    </w:p>
    <w:p w14:paraId="37D3CE34" w14:textId="77777777" w:rsidR="00256B96" w:rsidRPr="00513802" w:rsidRDefault="00256B96" w:rsidP="00256B96">
      <w:pPr>
        <w:suppressAutoHyphens w:val="0"/>
        <w:spacing w:line="240" w:lineRule="auto"/>
        <w:ind w:right="1126"/>
        <w:rPr>
          <w:lang w:val="en-NZ"/>
        </w:rPr>
      </w:pPr>
    </w:p>
    <w:p w14:paraId="539A77BB" w14:textId="77777777" w:rsidR="00256B96" w:rsidRPr="00513802" w:rsidRDefault="00256B96" w:rsidP="00256B96">
      <w:pPr>
        <w:suppressAutoHyphens w:val="0"/>
        <w:spacing w:line="240" w:lineRule="auto"/>
        <w:ind w:right="1126"/>
        <w:rPr>
          <w:lang w:val="en-NZ"/>
        </w:rPr>
      </w:pPr>
    </w:p>
    <w:p w14:paraId="67F02EC7" w14:textId="77777777" w:rsidR="00256B96" w:rsidRPr="00513802" w:rsidRDefault="00256B96" w:rsidP="00256B96">
      <w:pPr>
        <w:suppressAutoHyphens w:val="0"/>
        <w:spacing w:line="240" w:lineRule="auto"/>
        <w:ind w:right="1126"/>
        <w:rPr>
          <w:lang w:val="en-NZ"/>
        </w:rPr>
      </w:pPr>
    </w:p>
    <w:p w14:paraId="043F6D13" w14:textId="77777777" w:rsidR="00256B96" w:rsidRPr="00513802" w:rsidRDefault="00256B96" w:rsidP="00256B96">
      <w:pPr>
        <w:suppressAutoHyphens w:val="0"/>
        <w:spacing w:line="240" w:lineRule="auto"/>
        <w:ind w:right="1126"/>
        <w:rPr>
          <w:lang w:val="en-NZ"/>
        </w:rPr>
      </w:pPr>
    </w:p>
    <w:p w14:paraId="10483125" w14:textId="77777777" w:rsidR="00256B96" w:rsidRPr="00513802" w:rsidRDefault="00256B96" w:rsidP="00256B96">
      <w:pPr>
        <w:suppressAutoHyphens w:val="0"/>
        <w:spacing w:line="240" w:lineRule="auto"/>
        <w:ind w:right="1126"/>
        <w:rPr>
          <w:lang w:val="en-NZ"/>
        </w:rPr>
      </w:pPr>
    </w:p>
    <w:p w14:paraId="3C92179B" w14:textId="116C321C" w:rsidR="00256B96" w:rsidRPr="00513802" w:rsidRDefault="00256B96" w:rsidP="00256B96">
      <w:pPr>
        <w:suppressAutoHyphens w:val="0"/>
        <w:spacing w:line="240" w:lineRule="auto"/>
        <w:ind w:right="1126"/>
        <w:rPr>
          <w:lang w:val="en-NZ"/>
        </w:rPr>
      </w:pPr>
    </w:p>
    <w:p w14:paraId="4BA073DE" w14:textId="17104658" w:rsidR="00256B96" w:rsidRPr="00513802" w:rsidRDefault="00256B96" w:rsidP="00256B96">
      <w:pPr>
        <w:suppressAutoHyphens w:val="0"/>
        <w:spacing w:line="240" w:lineRule="auto"/>
        <w:ind w:right="1126"/>
        <w:rPr>
          <w:lang w:val="en-NZ"/>
        </w:rPr>
      </w:pPr>
    </w:p>
    <w:p w14:paraId="6589EE54" w14:textId="54A6C6C2" w:rsidR="00256B96" w:rsidRPr="00513802" w:rsidRDefault="00256B96" w:rsidP="00256B96">
      <w:pPr>
        <w:suppressAutoHyphens w:val="0"/>
        <w:spacing w:line="240" w:lineRule="auto"/>
        <w:ind w:right="1126"/>
        <w:rPr>
          <w:lang w:val="en-NZ"/>
        </w:rPr>
      </w:pPr>
    </w:p>
    <w:p w14:paraId="7788EED2" w14:textId="36C27506" w:rsidR="00256B96" w:rsidRPr="00513802" w:rsidRDefault="00256B96" w:rsidP="00256B96">
      <w:pPr>
        <w:suppressAutoHyphens w:val="0"/>
        <w:spacing w:line="240" w:lineRule="auto"/>
        <w:ind w:right="1126"/>
        <w:rPr>
          <w:lang w:val="en-NZ"/>
        </w:rPr>
      </w:pPr>
    </w:p>
    <w:p w14:paraId="5B3ED41E" w14:textId="66676333" w:rsidR="00256B96" w:rsidRPr="00513802" w:rsidRDefault="005D0C3C" w:rsidP="00256B96">
      <w:pPr>
        <w:suppressAutoHyphens w:val="0"/>
        <w:spacing w:line="240" w:lineRule="auto"/>
        <w:ind w:right="1126"/>
        <w:rPr>
          <w:lang w:val="en-NZ"/>
        </w:rPr>
      </w:pPr>
      <w:r w:rsidRPr="00513802">
        <w:rPr>
          <w:noProof/>
          <w:lang w:val="uk-UA" w:eastAsia="uk-UA"/>
        </w:rPr>
        <w:drawing>
          <wp:anchor distT="0" distB="0" distL="114300" distR="114300" simplePos="0" relativeHeight="251649024" behindDoc="0" locked="0" layoutInCell="1" allowOverlap="1" wp14:anchorId="051DE68E" wp14:editId="7A873F82">
            <wp:simplePos x="0" y="0"/>
            <wp:positionH relativeFrom="column">
              <wp:posOffset>1579771</wp:posOffset>
            </wp:positionH>
            <wp:positionV relativeFrom="paragraph">
              <wp:posOffset>82550</wp:posOffset>
            </wp:positionV>
            <wp:extent cx="2808000" cy="12852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08000" cy="1285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F80B9B" w14:textId="7EBB8D2D" w:rsidR="005D0C3C" w:rsidRDefault="005D0C3C">
      <w:pPr>
        <w:suppressAutoHyphens w:val="0"/>
        <w:spacing w:after="160" w:line="259" w:lineRule="auto"/>
        <w:rPr>
          <w:lang w:val="en-NZ"/>
        </w:rPr>
      </w:pPr>
    </w:p>
    <w:p w14:paraId="3F7C5F80" w14:textId="455CA355" w:rsidR="005D0C3C" w:rsidRDefault="005D0C3C">
      <w:pPr>
        <w:suppressAutoHyphens w:val="0"/>
        <w:spacing w:after="160" w:line="259" w:lineRule="auto"/>
        <w:rPr>
          <w:lang w:val="en-NZ"/>
        </w:rPr>
      </w:pPr>
    </w:p>
    <w:p w14:paraId="63A3B254" w14:textId="3EFAB5E6" w:rsidR="005D0C3C" w:rsidRDefault="005D0C3C">
      <w:pPr>
        <w:suppressAutoHyphens w:val="0"/>
        <w:spacing w:after="160" w:line="259" w:lineRule="auto"/>
        <w:rPr>
          <w:lang w:val="en-NZ"/>
        </w:rPr>
      </w:pPr>
    </w:p>
    <w:p w14:paraId="332104D5" w14:textId="39AD8C4D" w:rsidR="005D0C3C" w:rsidRDefault="005D0C3C">
      <w:pPr>
        <w:suppressAutoHyphens w:val="0"/>
        <w:spacing w:after="160" w:line="259" w:lineRule="auto"/>
        <w:rPr>
          <w:lang w:val="en-NZ"/>
        </w:rPr>
      </w:pPr>
    </w:p>
    <w:p w14:paraId="0DC1778F" w14:textId="3399608F" w:rsidR="005D0C3C" w:rsidRDefault="005D0C3C">
      <w:pPr>
        <w:suppressAutoHyphens w:val="0"/>
        <w:spacing w:after="160" w:line="259" w:lineRule="auto"/>
        <w:rPr>
          <w:lang w:val="en-NZ"/>
        </w:rPr>
      </w:pPr>
    </w:p>
    <w:p w14:paraId="5F0D61AD" w14:textId="71190A19" w:rsidR="005D0C3C" w:rsidRDefault="005D0C3C">
      <w:pPr>
        <w:suppressAutoHyphens w:val="0"/>
        <w:spacing w:after="160" w:line="259" w:lineRule="auto"/>
        <w:rPr>
          <w:rFonts w:eastAsia="MS Mincho"/>
          <w:b/>
          <w:bCs/>
          <w:sz w:val="22"/>
          <w:szCs w:val="28"/>
          <w:lang w:val="en-NZ"/>
        </w:rPr>
      </w:pPr>
    </w:p>
    <w:p w14:paraId="7A4A468E" w14:textId="68A557D7" w:rsidR="005D0C3C" w:rsidRDefault="005D0C3C">
      <w:pPr>
        <w:suppressAutoHyphens w:val="0"/>
        <w:spacing w:after="160" w:line="259" w:lineRule="auto"/>
        <w:rPr>
          <w:rFonts w:eastAsia="MS Mincho"/>
          <w:b/>
          <w:bCs/>
          <w:sz w:val="22"/>
          <w:szCs w:val="28"/>
          <w:lang w:val="en-NZ"/>
        </w:rPr>
      </w:pPr>
      <w:r>
        <w:rPr>
          <w:noProof/>
          <w:lang w:val="uk-UA" w:eastAsia="uk-UA"/>
        </w:rPr>
        <w:drawing>
          <wp:anchor distT="0" distB="0" distL="114300" distR="114300" simplePos="0" relativeHeight="251653120" behindDoc="0" locked="0" layoutInCell="1" allowOverlap="1" wp14:anchorId="011470FF" wp14:editId="319C5D4E">
            <wp:simplePos x="0" y="0"/>
            <wp:positionH relativeFrom="column">
              <wp:posOffset>4995545</wp:posOffset>
            </wp:positionH>
            <wp:positionV relativeFrom="paragraph">
              <wp:posOffset>128270</wp:posOffset>
            </wp:positionV>
            <wp:extent cx="935355" cy="233680"/>
            <wp:effectExtent l="0" t="0" r="0" b="0"/>
            <wp:wrapNone/>
            <wp:docPr id="7" name="Picture 7" descr="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cycle_English"/>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935355" cy="233680"/>
                    </a:xfrm>
                    <a:prstGeom prst="rect">
                      <a:avLst/>
                    </a:prstGeom>
                    <a:noFill/>
                    <a:ln>
                      <a:noFill/>
                    </a:ln>
                  </pic:spPr>
                </pic:pic>
              </a:graphicData>
            </a:graphic>
          </wp:anchor>
        </w:drawing>
      </w:r>
      <w:r>
        <w:rPr>
          <w:lang w:val="en-NZ"/>
        </w:rPr>
        <w:br w:type="page"/>
      </w:r>
    </w:p>
    <w:p w14:paraId="59ABC249" w14:textId="77777777" w:rsidR="00C3239E" w:rsidRDefault="00C3239E">
      <w:pPr>
        <w:suppressAutoHyphens w:val="0"/>
        <w:spacing w:after="160" w:line="259" w:lineRule="auto"/>
        <w:rPr>
          <w:rFonts w:eastAsia="MS Mincho"/>
          <w:b/>
          <w:bCs/>
          <w:sz w:val="22"/>
          <w:szCs w:val="28"/>
          <w:lang w:val="en-NZ"/>
        </w:rPr>
      </w:pPr>
      <w:r>
        <w:rPr>
          <w:lang w:val="en-NZ"/>
        </w:rPr>
        <w:lastRenderedPageBreak/>
        <w:br w:type="page"/>
      </w:r>
    </w:p>
    <w:p w14:paraId="23FB61DF" w14:textId="183F9109" w:rsidR="004B45A5" w:rsidRPr="00513802" w:rsidRDefault="00256B96" w:rsidP="00B325B0">
      <w:pPr>
        <w:pStyle w:val="abc-NEW"/>
        <w:rPr>
          <w:lang w:val="en-NZ"/>
        </w:rPr>
      </w:pPr>
      <w:r w:rsidRPr="00513802">
        <w:rPr>
          <w:lang w:val="en-NZ"/>
        </w:rPr>
        <w:lastRenderedPageBreak/>
        <w:t>Table of Contents:</w:t>
      </w:r>
      <w:r w:rsidR="009142FB" w:rsidRPr="00513802">
        <w:rPr>
          <w:lang w:val="en-NZ"/>
        </w:rPr>
        <w:t xml:space="preserve"> </w:t>
      </w:r>
    </w:p>
    <w:p w14:paraId="0EFA0DD6" w14:textId="158CEB15" w:rsidR="00100587" w:rsidRDefault="00BC7E54">
      <w:pPr>
        <w:pStyle w:val="TOC1"/>
        <w:rPr>
          <w:rFonts w:asciiTheme="minorHAnsi" w:eastAsiaTheme="minorEastAsia" w:hAnsiTheme="minorHAnsi" w:cstheme="minorBidi"/>
          <w:sz w:val="22"/>
          <w:szCs w:val="22"/>
          <w:lang w:val="uk-UA" w:eastAsia="uk-UA"/>
        </w:rPr>
      </w:pPr>
      <w:r w:rsidRPr="00513802">
        <w:rPr>
          <w:szCs w:val="20"/>
          <w:lang w:val="en-NZ"/>
        </w:rPr>
        <w:fldChar w:fldCharType="begin"/>
      </w:r>
      <w:r w:rsidRPr="00513802">
        <w:rPr>
          <w:szCs w:val="20"/>
          <w:lang w:val="en-NZ"/>
        </w:rPr>
        <w:instrText xml:space="preserve"> TOC \o "1-3" \h \z \t "_ H_1_G,1,_ H_2/3_G,2,_ H_4_G,3" </w:instrText>
      </w:r>
      <w:r w:rsidRPr="00513802">
        <w:rPr>
          <w:szCs w:val="20"/>
          <w:lang w:val="en-NZ"/>
        </w:rPr>
        <w:fldChar w:fldCharType="separate"/>
      </w:r>
      <w:hyperlink w:anchor="_Toc11165962" w:history="1">
        <w:r w:rsidR="00100587" w:rsidRPr="0091125B">
          <w:rPr>
            <w:rStyle w:val="Hyperlink"/>
            <w:lang w:val="en-NZ"/>
          </w:rPr>
          <w:t>I.</w:t>
        </w:r>
        <w:r w:rsidR="00100587">
          <w:rPr>
            <w:rFonts w:asciiTheme="minorHAnsi" w:eastAsiaTheme="minorEastAsia" w:hAnsiTheme="minorHAnsi" w:cstheme="minorBidi"/>
            <w:sz w:val="22"/>
            <w:szCs w:val="22"/>
            <w:lang w:val="uk-UA" w:eastAsia="uk-UA"/>
          </w:rPr>
          <w:tab/>
        </w:r>
        <w:r w:rsidR="00100587" w:rsidRPr="0091125B">
          <w:rPr>
            <w:rStyle w:val="Hyperlink"/>
            <w:lang w:val="en-NZ"/>
          </w:rPr>
          <w:t>Executive summary</w:t>
        </w:r>
        <w:r w:rsidR="00100587">
          <w:rPr>
            <w:webHidden/>
          </w:rPr>
          <w:tab/>
        </w:r>
        <w:r w:rsidR="00100587">
          <w:rPr>
            <w:webHidden/>
          </w:rPr>
          <w:fldChar w:fldCharType="begin"/>
        </w:r>
        <w:r w:rsidR="00100587">
          <w:rPr>
            <w:webHidden/>
          </w:rPr>
          <w:instrText xml:space="preserve"> PAGEREF _Toc11165962 \h </w:instrText>
        </w:r>
        <w:r w:rsidR="00100587">
          <w:rPr>
            <w:webHidden/>
          </w:rPr>
        </w:r>
        <w:r w:rsidR="00100587">
          <w:rPr>
            <w:webHidden/>
          </w:rPr>
          <w:fldChar w:fldCharType="separate"/>
        </w:r>
        <w:r w:rsidR="00100587">
          <w:rPr>
            <w:webHidden/>
          </w:rPr>
          <w:t>1</w:t>
        </w:r>
        <w:r w:rsidR="00100587">
          <w:rPr>
            <w:webHidden/>
          </w:rPr>
          <w:fldChar w:fldCharType="end"/>
        </w:r>
      </w:hyperlink>
    </w:p>
    <w:p w14:paraId="29F18830" w14:textId="4342CD9D" w:rsidR="00100587" w:rsidRDefault="0079557A">
      <w:pPr>
        <w:pStyle w:val="TOC1"/>
        <w:rPr>
          <w:rFonts w:asciiTheme="minorHAnsi" w:eastAsiaTheme="minorEastAsia" w:hAnsiTheme="minorHAnsi" w:cstheme="minorBidi"/>
          <w:sz w:val="22"/>
          <w:szCs w:val="22"/>
          <w:lang w:val="uk-UA" w:eastAsia="uk-UA"/>
        </w:rPr>
      </w:pPr>
      <w:hyperlink w:anchor="_Toc11165963" w:history="1">
        <w:r w:rsidR="00100587" w:rsidRPr="0091125B">
          <w:rPr>
            <w:rStyle w:val="Hyperlink"/>
            <w:lang w:val="en-NZ"/>
          </w:rPr>
          <w:t>II.</w:t>
        </w:r>
        <w:r w:rsidR="00100587">
          <w:rPr>
            <w:rFonts w:asciiTheme="minorHAnsi" w:eastAsiaTheme="minorEastAsia" w:hAnsiTheme="minorHAnsi" w:cstheme="minorBidi"/>
            <w:sz w:val="22"/>
            <w:szCs w:val="22"/>
            <w:lang w:val="uk-UA" w:eastAsia="uk-UA"/>
          </w:rPr>
          <w:tab/>
        </w:r>
        <w:r w:rsidR="00100587" w:rsidRPr="0091125B">
          <w:rPr>
            <w:rStyle w:val="Hyperlink"/>
            <w:lang w:val="en-NZ"/>
          </w:rPr>
          <w:t xml:space="preserve">OHCHR </w:t>
        </w:r>
        <w:r w:rsidR="00100587" w:rsidRPr="0091125B">
          <w:rPr>
            <w:rStyle w:val="Hyperlink"/>
          </w:rPr>
          <w:t>methodology</w:t>
        </w:r>
        <w:r w:rsidR="00100587">
          <w:rPr>
            <w:webHidden/>
          </w:rPr>
          <w:tab/>
        </w:r>
        <w:r w:rsidR="00100587">
          <w:rPr>
            <w:webHidden/>
          </w:rPr>
          <w:fldChar w:fldCharType="begin"/>
        </w:r>
        <w:r w:rsidR="00100587">
          <w:rPr>
            <w:webHidden/>
          </w:rPr>
          <w:instrText xml:space="preserve"> PAGEREF _Toc11165963 \h </w:instrText>
        </w:r>
        <w:r w:rsidR="00100587">
          <w:rPr>
            <w:webHidden/>
          </w:rPr>
        </w:r>
        <w:r w:rsidR="00100587">
          <w:rPr>
            <w:webHidden/>
          </w:rPr>
          <w:fldChar w:fldCharType="separate"/>
        </w:r>
        <w:r w:rsidR="00100587">
          <w:rPr>
            <w:webHidden/>
          </w:rPr>
          <w:t>4</w:t>
        </w:r>
        <w:r w:rsidR="00100587">
          <w:rPr>
            <w:webHidden/>
          </w:rPr>
          <w:fldChar w:fldCharType="end"/>
        </w:r>
      </w:hyperlink>
    </w:p>
    <w:p w14:paraId="320261D2" w14:textId="07032E2B" w:rsidR="00100587" w:rsidRDefault="0079557A">
      <w:pPr>
        <w:pStyle w:val="TOC1"/>
        <w:rPr>
          <w:rFonts w:asciiTheme="minorHAnsi" w:eastAsiaTheme="minorEastAsia" w:hAnsiTheme="minorHAnsi" w:cstheme="minorBidi"/>
          <w:sz w:val="22"/>
          <w:szCs w:val="22"/>
          <w:lang w:val="uk-UA" w:eastAsia="uk-UA"/>
        </w:rPr>
      </w:pPr>
      <w:hyperlink w:anchor="_Toc11165964" w:history="1">
        <w:r w:rsidR="00100587" w:rsidRPr="0091125B">
          <w:rPr>
            <w:rStyle w:val="Hyperlink"/>
          </w:rPr>
          <w:t>III.</w:t>
        </w:r>
        <w:r w:rsidR="00100587">
          <w:rPr>
            <w:rFonts w:asciiTheme="minorHAnsi" w:eastAsiaTheme="minorEastAsia" w:hAnsiTheme="minorHAnsi" w:cstheme="minorBidi"/>
            <w:sz w:val="22"/>
            <w:szCs w:val="22"/>
            <w:lang w:val="uk-UA" w:eastAsia="uk-UA"/>
          </w:rPr>
          <w:tab/>
        </w:r>
        <w:r w:rsidR="00100587" w:rsidRPr="0091125B">
          <w:rPr>
            <w:rStyle w:val="Hyperlink"/>
          </w:rPr>
          <w:t>Impact of hostilities</w:t>
        </w:r>
        <w:r w:rsidR="00100587">
          <w:rPr>
            <w:webHidden/>
          </w:rPr>
          <w:tab/>
        </w:r>
        <w:r w:rsidR="00100587">
          <w:rPr>
            <w:webHidden/>
          </w:rPr>
          <w:fldChar w:fldCharType="begin"/>
        </w:r>
        <w:r w:rsidR="00100587">
          <w:rPr>
            <w:webHidden/>
          </w:rPr>
          <w:instrText xml:space="preserve"> PAGEREF _Toc11165964 \h </w:instrText>
        </w:r>
        <w:r w:rsidR="00100587">
          <w:rPr>
            <w:webHidden/>
          </w:rPr>
        </w:r>
        <w:r w:rsidR="00100587">
          <w:rPr>
            <w:webHidden/>
          </w:rPr>
          <w:fldChar w:fldCharType="separate"/>
        </w:r>
        <w:r w:rsidR="00100587">
          <w:rPr>
            <w:webHidden/>
          </w:rPr>
          <w:t>4</w:t>
        </w:r>
        <w:r w:rsidR="00100587">
          <w:rPr>
            <w:webHidden/>
          </w:rPr>
          <w:fldChar w:fldCharType="end"/>
        </w:r>
      </w:hyperlink>
    </w:p>
    <w:p w14:paraId="206F7A9A" w14:textId="4FA5EFDD" w:rsidR="00100587" w:rsidRDefault="0079557A">
      <w:pPr>
        <w:pStyle w:val="TOC2"/>
        <w:rPr>
          <w:rFonts w:asciiTheme="minorHAnsi" w:eastAsiaTheme="minorEastAsia" w:hAnsiTheme="minorHAnsi" w:cstheme="minorBidi"/>
          <w:sz w:val="22"/>
          <w:lang w:val="uk-UA" w:eastAsia="uk-UA"/>
        </w:rPr>
      </w:pPr>
      <w:hyperlink w:anchor="_Toc11165965" w:history="1">
        <w:r w:rsidR="00100587" w:rsidRPr="0091125B">
          <w:rPr>
            <w:rStyle w:val="Hyperlink"/>
            <w:lang w:val="en-NZ"/>
          </w:rPr>
          <w:t>A.</w:t>
        </w:r>
        <w:r w:rsidR="00100587">
          <w:rPr>
            <w:rFonts w:asciiTheme="minorHAnsi" w:eastAsiaTheme="minorEastAsia" w:hAnsiTheme="minorHAnsi" w:cstheme="minorBidi"/>
            <w:sz w:val="22"/>
            <w:lang w:val="uk-UA" w:eastAsia="uk-UA"/>
          </w:rPr>
          <w:tab/>
        </w:r>
        <w:r w:rsidR="00100587" w:rsidRPr="0091125B">
          <w:rPr>
            <w:rStyle w:val="Hyperlink"/>
          </w:rPr>
          <w:t>Conduct</w:t>
        </w:r>
        <w:r w:rsidR="00100587" w:rsidRPr="0091125B">
          <w:rPr>
            <w:rStyle w:val="Hyperlink"/>
            <w:lang w:val="en-NZ"/>
          </w:rPr>
          <w:t xml:space="preserve"> of hostilities and civilian casualties</w:t>
        </w:r>
        <w:r w:rsidR="00100587">
          <w:rPr>
            <w:webHidden/>
          </w:rPr>
          <w:tab/>
        </w:r>
        <w:r w:rsidR="00100587">
          <w:rPr>
            <w:webHidden/>
          </w:rPr>
          <w:fldChar w:fldCharType="begin"/>
        </w:r>
        <w:r w:rsidR="00100587">
          <w:rPr>
            <w:webHidden/>
          </w:rPr>
          <w:instrText xml:space="preserve"> PAGEREF _Toc11165965 \h </w:instrText>
        </w:r>
        <w:r w:rsidR="00100587">
          <w:rPr>
            <w:webHidden/>
          </w:rPr>
        </w:r>
        <w:r w:rsidR="00100587">
          <w:rPr>
            <w:webHidden/>
          </w:rPr>
          <w:fldChar w:fldCharType="separate"/>
        </w:r>
        <w:r w:rsidR="00100587">
          <w:rPr>
            <w:webHidden/>
          </w:rPr>
          <w:t>5</w:t>
        </w:r>
        <w:r w:rsidR="00100587">
          <w:rPr>
            <w:webHidden/>
          </w:rPr>
          <w:fldChar w:fldCharType="end"/>
        </w:r>
      </w:hyperlink>
    </w:p>
    <w:p w14:paraId="6FBF1A18" w14:textId="249CEC62" w:rsidR="00100587" w:rsidRDefault="0079557A">
      <w:pPr>
        <w:pStyle w:val="TOC2"/>
        <w:rPr>
          <w:rFonts w:asciiTheme="minorHAnsi" w:eastAsiaTheme="minorEastAsia" w:hAnsiTheme="minorHAnsi" w:cstheme="minorBidi"/>
          <w:sz w:val="22"/>
          <w:lang w:val="uk-UA" w:eastAsia="uk-UA"/>
        </w:rPr>
      </w:pPr>
      <w:hyperlink w:anchor="_Toc11165966" w:history="1">
        <w:r w:rsidR="00100587" w:rsidRPr="0091125B">
          <w:rPr>
            <w:rStyle w:val="Hyperlink"/>
            <w:lang w:val="en-NZ"/>
          </w:rPr>
          <w:t>B.</w:t>
        </w:r>
        <w:r w:rsidR="00100587">
          <w:rPr>
            <w:rFonts w:asciiTheme="minorHAnsi" w:eastAsiaTheme="minorEastAsia" w:hAnsiTheme="minorHAnsi" w:cstheme="minorBidi"/>
            <w:sz w:val="22"/>
            <w:lang w:val="uk-UA" w:eastAsia="uk-UA"/>
          </w:rPr>
          <w:tab/>
        </w:r>
        <w:r w:rsidR="00100587" w:rsidRPr="0091125B">
          <w:rPr>
            <w:rStyle w:val="Hyperlink"/>
          </w:rPr>
          <w:t>Economic</w:t>
        </w:r>
        <w:r w:rsidR="00100587" w:rsidRPr="0091125B">
          <w:rPr>
            <w:rStyle w:val="Hyperlink"/>
            <w:lang w:val="en-NZ"/>
          </w:rPr>
          <w:t xml:space="preserve"> and social rights</w:t>
        </w:r>
        <w:r w:rsidR="00100587">
          <w:rPr>
            <w:webHidden/>
          </w:rPr>
          <w:tab/>
        </w:r>
        <w:r w:rsidR="00100587">
          <w:rPr>
            <w:webHidden/>
          </w:rPr>
          <w:fldChar w:fldCharType="begin"/>
        </w:r>
        <w:r w:rsidR="00100587">
          <w:rPr>
            <w:webHidden/>
          </w:rPr>
          <w:instrText xml:space="preserve"> PAGEREF _Toc11165966 \h </w:instrText>
        </w:r>
        <w:r w:rsidR="00100587">
          <w:rPr>
            <w:webHidden/>
          </w:rPr>
        </w:r>
        <w:r w:rsidR="00100587">
          <w:rPr>
            <w:webHidden/>
          </w:rPr>
          <w:fldChar w:fldCharType="separate"/>
        </w:r>
        <w:r w:rsidR="00100587">
          <w:rPr>
            <w:webHidden/>
          </w:rPr>
          <w:t>7</w:t>
        </w:r>
        <w:r w:rsidR="00100587">
          <w:rPr>
            <w:webHidden/>
          </w:rPr>
          <w:fldChar w:fldCharType="end"/>
        </w:r>
      </w:hyperlink>
    </w:p>
    <w:p w14:paraId="1158F4BF" w14:textId="533F3567" w:rsidR="00100587" w:rsidRDefault="0079557A">
      <w:pPr>
        <w:pStyle w:val="TOC3"/>
        <w:rPr>
          <w:rFonts w:asciiTheme="minorHAnsi" w:eastAsiaTheme="minorEastAsia" w:hAnsiTheme="minorHAnsi" w:cstheme="minorBidi"/>
          <w:bCs w:val="0"/>
          <w:sz w:val="22"/>
          <w:szCs w:val="22"/>
          <w:lang w:val="uk-UA" w:eastAsia="uk-UA"/>
        </w:rPr>
      </w:pPr>
      <w:hyperlink w:anchor="_Toc11165967" w:history="1">
        <w:r w:rsidR="00100587" w:rsidRPr="0091125B">
          <w:rPr>
            <w:rStyle w:val="Hyperlink"/>
          </w:rPr>
          <w:t>1.</w:t>
        </w:r>
        <w:r w:rsidR="00100587">
          <w:rPr>
            <w:rFonts w:asciiTheme="minorHAnsi" w:eastAsiaTheme="minorEastAsia" w:hAnsiTheme="minorHAnsi" w:cstheme="minorBidi"/>
            <w:bCs w:val="0"/>
            <w:sz w:val="22"/>
            <w:szCs w:val="22"/>
            <w:lang w:val="uk-UA" w:eastAsia="uk-UA"/>
          </w:rPr>
          <w:tab/>
        </w:r>
        <w:r w:rsidR="00100587" w:rsidRPr="0091125B">
          <w:rPr>
            <w:rStyle w:val="Hyperlink"/>
          </w:rPr>
          <w:t>Remedy and reparation to civilian victims</w:t>
        </w:r>
        <w:r w:rsidR="00100587">
          <w:rPr>
            <w:webHidden/>
          </w:rPr>
          <w:tab/>
        </w:r>
        <w:r w:rsidR="00100587">
          <w:rPr>
            <w:webHidden/>
          </w:rPr>
          <w:fldChar w:fldCharType="begin"/>
        </w:r>
        <w:r w:rsidR="00100587">
          <w:rPr>
            <w:webHidden/>
          </w:rPr>
          <w:instrText xml:space="preserve"> PAGEREF _Toc11165967 \h </w:instrText>
        </w:r>
        <w:r w:rsidR="00100587">
          <w:rPr>
            <w:webHidden/>
          </w:rPr>
        </w:r>
        <w:r w:rsidR="00100587">
          <w:rPr>
            <w:webHidden/>
          </w:rPr>
          <w:fldChar w:fldCharType="separate"/>
        </w:r>
        <w:r w:rsidR="00100587">
          <w:rPr>
            <w:webHidden/>
          </w:rPr>
          <w:t>8</w:t>
        </w:r>
        <w:r w:rsidR="00100587">
          <w:rPr>
            <w:webHidden/>
          </w:rPr>
          <w:fldChar w:fldCharType="end"/>
        </w:r>
      </w:hyperlink>
    </w:p>
    <w:p w14:paraId="1CB1F7C4" w14:textId="44692E14" w:rsidR="00100587" w:rsidRDefault="0079557A">
      <w:pPr>
        <w:pStyle w:val="TOC3"/>
        <w:rPr>
          <w:rFonts w:asciiTheme="minorHAnsi" w:eastAsiaTheme="minorEastAsia" w:hAnsiTheme="minorHAnsi" w:cstheme="minorBidi"/>
          <w:bCs w:val="0"/>
          <w:sz w:val="22"/>
          <w:szCs w:val="22"/>
          <w:lang w:val="uk-UA" w:eastAsia="uk-UA"/>
        </w:rPr>
      </w:pPr>
      <w:hyperlink w:anchor="_Toc11165968" w:history="1">
        <w:r w:rsidR="00100587" w:rsidRPr="0091125B">
          <w:rPr>
            <w:rStyle w:val="Hyperlink"/>
          </w:rPr>
          <w:t>2.</w:t>
        </w:r>
        <w:r w:rsidR="00100587">
          <w:rPr>
            <w:rFonts w:asciiTheme="minorHAnsi" w:eastAsiaTheme="minorEastAsia" w:hAnsiTheme="minorHAnsi" w:cstheme="minorBidi"/>
            <w:bCs w:val="0"/>
            <w:sz w:val="22"/>
            <w:szCs w:val="22"/>
            <w:lang w:val="uk-UA" w:eastAsia="uk-UA"/>
          </w:rPr>
          <w:tab/>
        </w:r>
        <w:r w:rsidR="00100587" w:rsidRPr="0091125B">
          <w:rPr>
            <w:rStyle w:val="Hyperlink"/>
          </w:rPr>
          <w:t>Restitution and compensation for use or damage of private property</w:t>
        </w:r>
        <w:r w:rsidR="00100587">
          <w:rPr>
            <w:webHidden/>
          </w:rPr>
          <w:tab/>
        </w:r>
        <w:r w:rsidR="00100587">
          <w:rPr>
            <w:webHidden/>
          </w:rPr>
          <w:fldChar w:fldCharType="begin"/>
        </w:r>
        <w:r w:rsidR="00100587">
          <w:rPr>
            <w:webHidden/>
          </w:rPr>
          <w:instrText xml:space="preserve"> PAGEREF _Toc11165968 \h </w:instrText>
        </w:r>
        <w:r w:rsidR="00100587">
          <w:rPr>
            <w:webHidden/>
          </w:rPr>
        </w:r>
        <w:r w:rsidR="00100587">
          <w:rPr>
            <w:webHidden/>
          </w:rPr>
          <w:fldChar w:fldCharType="separate"/>
        </w:r>
        <w:r w:rsidR="00100587">
          <w:rPr>
            <w:webHidden/>
          </w:rPr>
          <w:t>8</w:t>
        </w:r>
        <w:r w:rsidR="00100587">
          <w:rPr>
            <w:webHidden/>
          </w:rPr>
          <w:fldChar w:fldCharType="end"/>
        </w:r>
      </w:hyperlink>
    </w:p>
    <w:p w14:paraId="727ACC67" w14:textId="25495A5D" w:rsidR="00100587" w:rsidRDefault="0079557A">
      <w:pPr>
        <w:pStyle w:val="TOC3"/>
        <w:rPr>
          <w:rFonts w:asciiTheme="minorHAnsi" w:eastAsiaTheme="minorEastAsia" w:hAnsiTheme="minorHAnsi" w:cstheme="minorBidi"/>
          <w:bCs w:val="0"/>
          <w:sz w:val="22"/>
          <w:szCs w:val="22"/>
          <w:lang w:val="uk-UA" w:eastAsia="uk-UA"/>
        </w:rPr>
      </w:pPr>
      <w:hyperlink w:anchor="_Toc11165969" w:history="1">
        <w:r w:rsidR="00100587" w:rsidRPr="0091125B">
          <w:rPr>
            <w:rStyle w:val="Hyperlink"/>
          </w:rPr>
          <w:t>3.</w:t>
        </w:r>
        <w:r w:rsidR="00100587">
          <w:rPr>
            <w:rFonts w:asciiTheme="minorHAnsi" w:eastAsiaTheme="minorEastAsia" w:hAnsiTheme="minorHAnsi" w:cstheme="minorBidi"/>
            <w:bCs w:val="0"/>
            <w:sz w:val="22"/>
            <w:szCs w:val="22"/>
            <w:lang w:val="uk-UA" w:eastAsia="uk-UA"/>
          </w:rPr>
          <w:tab/>
        </w:r>
        <w:r w:rsidR="00100587" w:rsidRPr="0091125B">
          <w:rPr>
            <w:rStyle w:val="Hyperlink"/>
          </w:rPr>
          <w:t>Right to social security and social protection</w:t>
        </w:r>
        <w:r w:rsidR="00100587">
          <w:rPr>
            <w:webHidden/>
          </w:rPr>
          <w:tab/>
        </w:r>
        <w:r w:rsidR="00100587">
          <w:rPr>
            <w:webHidden/>
          </w:rPr>
          <w:fldChar w:fldCharType="begin"/>
        </w:r>
        <w:r w:rsidR="00100587">
          <w:rPr>
            <w:webHidden/>
          </w:rPr>
          <w:instrText xml:space="preserve"> PAGEREF _Toc11165969 \h </w:instrText>
        </w:r>
        <w:r w:rsidR="00100587">
          <w:rPr>
            <w:webHidden/>
          </w:rPr>
        </w:r>
        <w:r w:rsidR="00100587">
          <w:rPr>
            <w:webHidden/>
          </w:rPr>
          <w:fldChar w:fldCharType="separate"/>
        </w:r>
        <w:r w:rsidR="00100587">
          <w:rPr>
            <w:webHidden/>
          </w:rPr>
          <w:t>9</w:t>
        </w:r>
        <w:r w:rsidR="00100587">
          <w:rPr>
            <w:webHidden/>
          </w:rPr>
          <w:fldChar w:fldCharType="end"/>
        </w:r>
      </w:hyperlink>
    </w:p>
    <w:p w14:paraId="6C008014" w14:textId="37753DDA" w:rsidR="00100587" w:rsidRDefault="0079557A">
      <w:pPr>
        <w:pStyle w:val="TOC3"/>
        <w:rPr>
          <w:rFonts w:asciiTheme="minorHAnsi" w:eastAsiaTheme="minorEastAsia" w:hAnsiTheme="minorHAnsi" w:cstheme="minorBidi"/>
          <w:bCs w:val="0"/>
          <w:sz w:val="22"/>
          <w:szCs w:val="22"/>
          <w:lang w:val="uk-UA" w:eastAsia="uk-UA"/>
        </w:rPr>
      </w:pPr>
      <w:hyperlink w:anchor="_Toc11165970" w:history="1">
        <w:r w:rsidR="00100587" w:rsidRPr="0091125B">
          <w:rPr>
            <w:rStyle w:val="Hyperlink"/>
            <w:lang w:val="en-NZ"/>
          </w:rPr>
          <w:t>4.</w:t>
        </w:r>
        <w:r w:rsidR="00100587">
          <w:rPr>
            <w:rFonts w:asciiTheme="minorHAnsi" w:eastAsiaTheme="minorEastAsia" w:hAnsiTheme="minorHAnsi" w:cstheme="minorBidi"/>
            <w:bCs w:val="0"/>
            <w:sz w:val="22"/>
            <w:szCs w:val="22"/>
            <w:lang w:val="uk-UA" w:eastAsia="uk-UA"/>
          </w:rPr>
          <w:tab/>
        </w:r>
        <w:r w:rsidR="00100587" w:rsidRPr="0091125B">
          <w:rPr>
            <w:rStyle w:val="Hyperlink"/>
            <w:lang w:val="en-NZ"/>
          </w:rPr>
          <w:t xml:space="preserve">Freedom of </w:t>
        </w:r>
        <w:r w:rsidR="00100587" w:rsidRPr="0091125B">
          <w:rPr>
            <w:rStyle w:val="Hyperlink"/>
          </w:rPr>
          <w:t>movement</w:t>
        </w:r>
        <w:r w:rsidR="00100587">
          <w:rPr>
            <w:webHidden/>
          </w:rPr>
          <w:tab/>
        </w:r>
        <w:r w:rsidR="00100587">
          <w:rPr>
            <w:webHidden/>
          </w:rPr>
          <w:fldChar w:fldCharType="begin"/>
        </w:r>
        <w:r w:rsidR="00100587">
          <w:rPr>
            <w:webHidden/>
          </w:rPr>
          <w:instrText xml:space="preserve"> PAGEREF _Toc11165970 \h </w:instrText>
        </w:r>
        <w:r w:rsidR="00100587">
          <w:rPr>
            <w:webHidden/>
          </w:rPr>
        </w:r>
        <w:r w:rsidR="00100587">
          <w:rPr>
            <w:webHidden/>
          </w:rPr>
          <w:fldChar w:fldCharType="separate"/>
        </w:r>
        <w:r w:rsidR="00100587">
          <w:rPr>
            <w:webHidden/>
          </w:rPr>
          <w:t>10</w:t>
        </w:r>
        <w:r w:rsidR="00100587">
          <w:rPr>
            <w:webHidden/>
          </w:rPr>
          <w:fldChar w:fldCharType="end"/>
        </w:r>
      </w:hyperlink>
    </w:p>
    <w:p w14:paraId="6A3E786C" w14:textId="3ABE5FDB" w:rsidR="00100587" w:rsidRDefault="0079557A">
      <w:pPr>
        <w:pStyle w:val="TOC1"/>
        <w:rPr>
          <w:rFonts w:asciiTheme="minorHAnsi" w:eastAsiaTheme="minorEastAsia" w:hAnsiTheme="minorHAnsi" w:cstheme="minorBidi"/>
          <w:sz w:val="22"/>
          <w:szCs w:val="22"/>
          <w:lang w:val="uk-UA" w:eastAsia="uk-UA"/>
        </w:rPr>
      </w:pPr>
      <w:hyperlink w:anchor="_Toc11165971" w:history="1">
        <w:r w:rsidR="00100587" w:rsidRPr="0091125B">
          <w:rPr>
            <w:rStyle w:val="Hyperlink"/>
            <w:lang w:val="en-NZ"/>
          </w:rPr>
          <w:t>IV.</w:t>
        </w:r>
        <w:r w:rsidR="00100587">
          <w:rPr>
            <w:rFonts w:asciiTheme="minorHAnsi" w:eastAsiaTheme="minorEastAsia" w:hAnsiTheme="minorHAnsi" w:cstheme="minorBidi"/>
            <w:sz w:val="22"/>
            <w:szCs w:val="22"/>
            <w:lang w:val="uk-UA" w:eastAsia="uk-UA"/>
          </w:rPr>
          <w:tab/>
        </w:r>
        <w:r w:rsidR="00100587" w:rsidRPr="0091125B">
          <w:rPr>
            <w:rStyle w:val="Hyperlink"/>
            <w:lang w:val="en-NZ"/>
          </w:rPr>
          <w:t xml:space="preserve">Right to physical </w:t>
        </w:r>
        <w:r w:rsidR="00100587" w:rsidRPr="0091125B">
          <w:rPr>
            <w:rStyle w:val="Hyperlink"/>
          </w:rPr>
          <w:t>integrity</w:t>
        </w:r>
        <w:r w:rsidR="00100587">
          <w:rPr>
            <w:webHidden/>
          </w:rPr>
          <w:tab/>
        </w:r>
        <w:r w:rsidR="00100587">
          <w:rPr>
            <w:webHidden/>
          </w:rPr>
          <w:fldChar w:fldCharType="begin"/>
        </w:r>
        <w:r w:rsidR="00100587">
          <w:rPr>
            <w:webHidden/>
          </w:rPr>
          <w:instrText xml:space="preserve"> PAGEREF _Toc11165971 \h </w:instrText>
        </w:r>
        <w:r w:rsidR="00100587">
          <w:rPr>
            <w:webHidden/>
          </w:rPr>
        </w:r>
        <w:r w:rsidR="00100587">
          <w:rPr>
            <w:webHidden/>
          </w:rPr>
          <w:fldChar w:fldCharType="separate"/>
        </w:r>
        <w:r w:rsidR="00100587">
          <w:rPr>
            <w:webHidden/>
          </w:rPr>
          <w:t>10</w:t>
        </w:r>
        <w:r w:rsidR="00100587">
          <w:rPr>
            <w:webHidden/>
          </w:rPr>
          <w:fldChar w:fldCharType="end"/>
        </w:r>
      </w:hyperlink>
    </w:p>
    <w:p w14:paraId="799EBC7E" w14:textId="18052607" w:rsidR="00100587" w:rsidRDefault="0079557A">
      <w:pPr>
        <w:pStyle w:val="TOC2"/>
        <w:rPr>
          <w:rFonts w:asciiTheme="minorHAnsi" w:eastAsiaTheme="minorEastAsia" w:hAnsiTheme="minorHAnsi" w:cstheme="minorBidi"/>
          <w:sz w:val="22"/>
          <w:lang w:val="uk-UA" w:eastAsia="uk-UA"/>
        </w:rPr>
      </w:pPr>
      <w:hyperlink w:anchor="_Toc11165972" w:history="1">
        <w:r w:rsidR="00100587" w:rsidRPr="0091125B">
          <w:rPr>
            <w:rStyle w:val="Hyperlink"/>
            <w:lang w:val="en-NZ"/>
          </w:rPr>
          <w:t>A.</w:t>
        </w:r>
        <w:r w:rsidR="00100587">
          <w:rPr>
            <w:rFonts w:asciiTheme="minorHAnsi" w:eastAsiaTheme="minorEastAsia" w:hAnsiTheme="minorHAnsi" w:cstheme="minorBidi"/>
            <w:sz w:val="22"/>
            <w:lang w:val="uk-UA" w:eastAsia="uk-UA"/>
          </w:rPr>
          <w:tab/>
        </w:r>
        <w:r w:rsidR="00100587" w:rsidRPr="0091125B">
          <w:rPr>
            <w:rStyle w:val="Hyperlink"/>
            <w:lang w:val="en-NZ"/>
          </w:rPr>
          <w:t>Access to places of detention</w:t>
        </w:r>
        <w:r w:rsidR="00100587">
          <w:rPr>
            <w:webHidden/>
          </w:rPr>
          <w:tab/>
        </w:r>
        <w:r w:rsidR="00100587">
          <w:rPr>
            <w:webHidden/>
          </w:rPr>
          <w:fldChar w:fldCharType="begin"/>
        </w:r>
        <w:r w:rsidR="00100587">
          <w:rPr>
            <w:webHidden/>
          </w:rPr>
          <w:instrText xml:space="preserve"> PAGEREF _Toc11165972 \h </w:instrText>
        </w:r>
        <w:r w:rsidR="00100587">
          <w:rPr>
            <w:webHidden/>
          </w:rPr>
        </w:r>
        <w:r w:rsidR="00100587">
          <w:rPr>
            <w:webHidden/>
          </w:rPr>
          <w:fldChar w:fldCharType="separate"/>
        </w:r>
        <w:r w:rsidR="00100587">
          <w:rPr>
            <w:webHidden/>
          </w:rPr>
          <w:t>11</w:t>
        </w:r>
        <w:r w:rsidR="00100587">
          <w:rPr>
            <w:webHidden/>
          </w:rPr>
          <w:fldChar w:fldCharType="end"/>
        </w:r>
      </w:hyperlink>
    </w:p>
    <w:p w14:paraId="59B2383D" w14:textId="33E47C08" w:rsidR="00100587" w:rsidRDefault="0079557A">
      <w:pPr>
        <w:pStyle w:val="TOC2"/>
        <w:rPr>
          <w:rFonts w:asciiTheme="minorHAnsi" w:eastAsiaTheme="minorEastAsia" w:hAnsiTheme="minorHAnsi" w:cstheme="minorBidi"/>
          <w:sz w:val="22"/>
          <w:lang w:val="uk-UA" w:eastAsia="uk-UA"/>
        </w:rPr>
      </w:pPr>
      <w:hyperlink w:anchor="_Toc11165973" w:history="1">
        <w:r w:rsidR="00100587" w:rsidRPr="0091125B">
          <w:rPr>
            <w:rStyle w:val="Hyperlink"/>
            <w:lang w:val="en-NZ"/>
          </w:rPr>
          <w:t>B.</w:t>
        </w:r>
        <w:r w:rsidR="00100587">
          <w:rPr>
            <w:rFonts w:asciiTheme="minorHAnsi" w:eastAsiaTheme="minorEastAsia" w:hAnsiTheme="minorHAnsi" w:cstheme="minorBidi"/>
            <w:sz w:val="22"/>
            <w:lang w:val="uk-UA" w:eastAsia="uk-UA"/>
          </w:rPr>
          <w:tab/>
        </w:r>
        <w:r w:rsidR="00100587" w:rsidRPr="0091125B">
          <w:rPr>
            <w:rStyle w:val="Hyperlink"/>
            <w:lang w:val="en-NZ"/>
          </w:rPr>
          <w:t xml:space="preserve">Arbitrary </w:t>
        </w:r>
        <w:r w:rsidR="00100587" w:rsidRPr="0091125B">
          <w:rPr>
            <w:rStyle w:val="Hyperlink"/>
          </w:rPr>
          <w:t>detention</w:t>
        </w:r>
        <w:r w:rsidR="00100587" w:rsidRPr="0091125B">
          <w:rPr>
            <w:rStyle w:val="Hyperlink"/>
            <w:lang w:val="en-NZ"/>
          </w:rPr>
          <w:t>, enforced disappearances, torture and ill-treatment</w:t>
        </w:r>
        <w:r w:rsidR="00100587">
          <w:rPr>
            <w:webHidden/>
          </w:rPr>
          <w:tab/>
        </w:r>
        <w:r w:rsidR="00100587">
          <w:rPr>
            <w:webHidden/>
          </w:rPr>
          <w:fldChar w:fldCharType="begin"/>
        </w:r>
        <w:r w:rsidR="00100587">
          <w:rPr>
            <w:webHidden/>
          </w:rPr>
          <w:instrText xml:space="preserve"> PAGEREF _Toc11165973 \h </w:instrText>
        </w:r>
        <w:r w:rsidR="00100587">
          <w:rPr>
            <w:webHidden/>
          </w:rPr>
        </w:r>
        <w:r w:rsidR="00100587">
          <w:rPr>
            <w:webHidden/>
          </w:rPr>
          <w:fldChar w:fldCharType="separate"/>
        </w:r>
        <w:r w:rsidR="00100587">
          <w:rPr>
            <w:webHidden/>
          </w:rPr>
          <w:t>11</w:t>
        </w:r>
        <w:r w:rsidR="00100587">
          <w:rPr>
            <w:webHidden/>
          </w:rPr>
          <w:fldChar w:fldCharType="end"/>
        </w:r>
      </w:hyperlink>
    </w:p>
    <w:p w14:paraId="25246FC7" w14:textId="044E602E" w:rsidR="00100587" w:rsidRDefault="0079557A">
      <w:pPr>
        <w:pStyle w:val="TOC2"/>
        <w:rPr>
          <w:rFonts w:asciiTheme="minorHAnsi" w:eastAsiaTheme="minorEastAsia" w:hAnsiTheme="minorHAnsi" w:cstheme="minorBidi"/>
          <w:sz w:val="22"/>
          <w:lang w:val="uk-UA" w:eastAsia="uk-UA"/>
        </w:rPr>
      </w:pPr>
      <w:hyperlink w:anchor="_Toc11165974" w:history="1">
        <w:r w:rsidR="00100587" w:rsidRPr="0091125B">
          <w:rPr>
            <w:rStyle w:val="Hyperlink"/>
          </w:rPr>
          <w:t>C.</w:t>
        </w:r>
        <w:r w:rsidR="00100587">
          <w:rPr>
            <w:rFonts w:asciiTheme="minorHAnsi" w:eastAsiaTheme="minorEastAsia" w:hAnsiTheme="minorHAnsi" w:cstheme="minorBidi"/>
            <w:sz w:val="22"/>
            <w:lang w:val="uk-UA" w:eastAsia="uk-UA"/>
          </w:rPr>
          <w:tab/>
        </w:r>
        <w:r w:rsidR="00100587" w:rsidRPr="0091125B">
          <w:rPr>
            <w:rStyle w:val="Hyperlink"/>
          </w:rPr>
          <w:t>Situation of pre-conflict prisoners</w:t>
        </w:r>
        <w:r w:rsidR="00100587">
          <w:rPr>
            <w:webHidden/>
          </w:rPr>
          <w:tab/>
        </w:r>
        <w:r w:rsidR="00100587">
          <w:rPr>
            <w:webHidden/>
          </w:rPr>
          <w:fldChar w:fldCharType="begin"/>
        </w:r>
        <w:r w:rsidR="00100587">
          <w:rPr>
            <w:webHidden/>
          </w:rPr>
          <w:instrText xml:space="preserve"> PAGEREF _Toc11165974 \h </w:instrText>
        </w:r>
        <w:r w:rsidR="00100587">
          <w:rPr>
            <w:webHidden/>
          </w:rPr>
        </w:r>
        <w:r w:rsidR="00100587">
          <w:rPr>
            <w:webHidden/>
          </w:rPr>
          <w:fldChar w:fldCharType="separate"/>
        </w:r>
        <w:r w:rsidR="00100587">
          <w:rPr>
            <w:webHidden/>
          </w:rPr>
          <w:t>13</w:t>
        </w:r>
        <w:r w:rsidR="00100587">
          <w:rPr>
            <w:webHidden/>
          </w:rPr>
          <w:fldChar w:fldCharType="end"/>
        </w:r>
      </w:hyperlink>
    </w:p>
    <w:p w14:paraId="01E0E330" w14:textId="2C9F9C7E" w:rsidR="00100587" w:rsidRDefault="0079557A">
      <w:pPr>
        <w:pStyle w:val="TOC2"/>
        <w:rPr>
          <w:rFonts w:asciiTheme="minorHAnsi" w:eastAsiaTheme="minorEastAsia" w:hAnsiTheme="minorHAnsi" w:cstheme="minorBidi"/>
          <w:sz w:val="22"/>
          <w:lang w:val="uk-UA" w:eastAsia="uk-UA"/>
        </w:rPr>
      </w:pPr>
      <w:hyperlink w:anchor="_Toc11165975" w:history="1">
        <w:r w:rsidR="00100587" w:rsidRPr="0091125B">
          <w:rPr>
            <w:rStyle w:val="Hyperlink"/>
            <w:lang w:val="en-NZ"/>
          </w:rPr>
          <w:t>D.</w:t>
        </w:r>
        <w:r w:rsidR="00100587">
          <w:rPr>
            <w:rFonts w:asciiTheme="minorHAnsi" w:eastAsiaTheme="minorEastAsia" w:hAnsiTheme="minorHAnsi" w:cstheme="minorBidi"/>
            <w:sz w:val="22"/>
            <w:lang w:val="uk-UA" w:eastAsia="uk-UA"/>
          </w:rPr>
          <w:tab/>
        </w:r>
        <w:r w:rsidR="00100587" w:rsidRPr="0091125B">
          <w:rPr>
            <w:rStyle w:val="Hyperlink"/>
            <w:lang w:val="en-NZ"/>
          </w:rPr>
          <w:t xml:space="preserve">Missing </w:t>
        </w:r>
        <w:r w:rsidR="00100587" w:rsidRPr="0091125B">
          <w:rPr>
            <w:rStyle w:val="Hyperlink"/>
          </w:rPr>
          <w:t>persons</w:t>
        </w:r>
        <w:r w:rsidR="00100587">
          <w:rPr>
            <w:webHidden/>
          </w:rPr>
          <w:tab/>
        </w:r>
        <w:r w:rsidR="00100587">
          <w:rPr>
            <w:webHidden/>
          </w:rPr>
          <w:fldChar w:fldCharType="begin"/>
        </w:r>
        <w:r w:rsidR="00100587">
          <w:rPr>
            <w:webHidden/>
          </w:rPr>
          <w:instrText xml:space="preserve"> PAGEREF _Toc11165975 \h </w:instrText>
        </w:r>
        <w:r w:rsidR="00100587">
          <w:rPr>
            <w:webHidden/>
          </w:rPr>
        </w:r>
        <w:r w:rsidR="00100587">
          <w:rPr>
            <w:webHidden/>
          </w:rPr>
          <w:fldChar w:fldCharType="separate"/>
        </w:r>
        <w:r w:rsidR="00100587">
          <w:rPr>
            <w:webHidden/>
          </w:rPr>
          <w:t>13</w:t>
        </w:r>
        <w:r w:rsidR="00100587">
          <w:rPr>
            <w:webHidden/>
          </w:rPr>
          <w:fldChar w:fldCharType="end"/>
        </w:r>
      </w:hyperlink>
    </w:p>
    <w:p w14:paraId="2B785D43" w14:textId="726A5055" w:rsidR="00100587" w:rsidRDefault="0079557A">
      <w:pPr>
        <w:pStyle w:val="TOC1"/>
        <w:rPr>
          <w:rFonts w:asciiTheme="minorHAnsi" w:eastAsiaTheme="minorEastAsia" w:hAnsiTheme="minorHAnsi" w:cstheme="minorBidi"/>
          <w:sz w:val="22"/>
          <w:szCs w:val="22"/>
          <w:lang w:val="uk-UA" w:eastAsia="uk-UA"/>
        </w:rPr>
      </w:pPr>
      <w:hyperlink w:anchor="_Toc11165976" w:history="1">
        <w:r w:rsidR="00100587" w:rsidRPr="0091125B">
          <w:rPr>
            <w:rStyle w:val="Hyperlink"/>
            <w:lang w:val="en-NZ"/>
          </w:rPr>
          <w:t>V.</w:t>
        </w:r>
        <w:r w:rsidR="00100587">
          <w:rPr>
            <w:rFonts w:asciiTheme="minorHAnsi" w:eastAsiaTheme="minorEastAsia" w:hAnsiTheme="minorHAnsi" w:cstheme="minorBidi"/>
            <w:sz w:val="22"/>
            <w:szCs w:val="22"/>
            <w:lang w:val="uk-UA" w:eastAsia="uk-UA"/>
          </w:rPr>
          <w:tab/>
        </w:r>
        <w:r w:rsidR="00100587" w:rsidRPr="0091125B">
          <w:rPr>
            <w:rStyle w:val="Hyperlink"/>
            <w:lang w:val="en-NZ"/>
          </w:rPr>
          <w:t>Accountability and administration of justice</w:t>
        </w:r>
        <w:r w:rsidR="00100587">
          <w:rPr>
            <w:webHidden/>
          </w:rPr>
          <w:tab/>
        </w:r>
        <w:r w:rsidR="00100587">
          <w:rPr>
            <w:webHidden/>
          </w:rPr>
          <w:fldChar w:fldCharType="begin"/>
        </w:r>
        <w:r w:rsidR="00100587">
          <w:rPr>
            <w:webHidden/>
          </w:rPr>
          <w:instrText xml:space="preserve"> PAGEREF _Toc11165976 \h </w:instrText>
        </w:r>
        <w:r w:rsidR="00100587">
          <w:rPr>
            <w:webHidden/>
          </w:rPr>
        </w:r>
        <w:r w:rsidR="00100587">
          <w:rPr>
            <w:webHidden/>
          </w:rPr>
          <w:fldChar w:fldCharType="separate"/>
        </w:r>
        <w:r w:rsidR="00100587">
          <w:rPr>
            <w:webHidden/>
          </w:rPr>
          <w:t>13</w:t>
        </w:r>
        <w:r w:rsidR="00100587">
          <w:rPr>
            <w:webHidden/>
          </w:rPr>
          <w:fldChar w:fldCharType="end"/>
        </w:r>
      </w:hyperlink>
    </w:p>
    <w:p w14:paraId="439EAF5B" w14:textId="6E867C80" w:rsidR="00100587" w:rsidRDefault="0079557A">
      <w:pPr>
        <w:pStyle w:val="TOC2"/>
        <w:rPr>
          <w:rFonts w:asciiTheme="minorHAnsi" w:eastAsiaTheme="minorEastAsia" w:hAnsiTheme="minorHAnsi" w:cstheme="minorBidi"/>
          <w:sz w:val="22"/>
          <w:lang w:val="uk-UA" w:eastAsia="uk-UA"/>
        </w:rPr>
      </w:pPr>
      <w:hyperlink w:anchor="_Toc11165977" w:history="1">
        <w:r w:rsidR="00100587" w:rsidRPr="0091125B">
          <w:rPr>
            <w:rStyle w:val="Hyperlink"/>
            <w:lang w:val="en-NZ"/>
          </w:rPr>
          <w:t>A.</w:t>
        </w:r>
        <w:r w:rsidR="00100587">
          <w:rPr>
            <w:rFonts w:asciiTheme="minorHAnsi" w:eastAsiaTheme="minorEastAsia" w:hAnsiTheme="minorHAnsi" w:cstheme="minorBidi"/>
            <w:sz w:val="22"/>
            <w:lang w:val="uk-UA" w:eastAsia="uk-UA"/>
          </w:rPr>
          <w:tab/>
        </w:r>
        <w:r w:rsidR="00100587" w:rsidRPr="0091125B">
          <w:rPr>
            <w:rStyle w:val="Hyperlink"/>
          </w:rPr>
          <w:t>Administration</w:t>
        </w:r>
        <w:r w:rsidR="00100587" w:rsidRPr="0091125B">
          <w:rPr>
            <w:rStyle w:val="Hyperlink"/>
            <w:lang w:val="en-NZ"/>
          </w:rPr>
          <w:t xml:space="preserve"> of justice</w:t>
        </w:r>
        <w:r w:rsidR="00100587">
          <w:rPr>
            <w:webHidden/>
          </w:rPr>
          <w:tab/>
        </w:r>
        <w:r w:rsidR="00100587">
          <w:rPr>
            <w:webHidden/>
          </w:rPr>
          <w:fldChar w:fldCharType="begin"/>
        </w:r>
        <w:r w:rsidR="00100587">
          <w:rPr>
            <w:webHidden/>
          </w:rPr>
          <w:instrText xml:space="preserve"> PAGEREF _Toc11165977 \h </w:instrText>
        </w:r>
        <w:r w:rsidR="00100587">
          <w:rPr>
            <w:webHidden/>
          </w:rPr>
        </w:r>
        <w:r w:rsidR="00100587">
          <w:rPr>
            <w:webHidden/>
          </w:rPr>
          <w:fldChar w:fldCharType="separate"/>
        </w:r>
        <w:r w:rsidR="00100587">
          <w:rPr>
            <w:webHidden/>
          </w:rPr>
          <w:t>13</w:t>
        </w:r>
        <w:r w:rsidR="00100587">
          <w:rPr>
            <w:webHidden/>
          </w:rPr>
          <w:fldChar w:fldCharType="end"/>
        </w:r>
      </w:hyperlink>
    </w:p>
    <w:p w14:paraId="39BA02A3" w14:textId="1F6404E2" w:rsidR="00100587" w:rsidRDefault="0079557A">
      <w:pPr>
        <w:pStyle w:val="TOC2"/>
        <w:rPr>
          <w:rFonts w:asciiTheme="minorHAnsi" w:eastAsiaTheme="minorEastAsia" w:hAnsiTheme="minorHAnsi" w:cstheme="minorBidi"/>
          <w:sz w:val="22"/>
          <w:lang w:val="uk-UA" w:eastAsia="uk-UA"/>
        </w:rPr>
      </w:pPr>
      <w:hyperlink w:anchor="_Toc11165978" w:history="1">
        <w:r w:rsidR="00100587" w:rsidRPr="0091125B">
          <w:rPr>
            <w:rStyle w:val="Hyperlink"/>
            <w:lang w:val="en-NZ"/>
          </w:rPr>
          <w:t>B.</w:t>
        </w:r>
        <w:r w:rsidR="00100587">
          <w:rPr>
            <w:rFonts w:asciiTheme="minorHAnsi" w:eastAsiaTheme="minorEastAsia" w:hAnsiTheme="minorHAnsi" w:cstheme="minorBidi"/>
            <w:sz w:val="22"/>
            <w:lang w:val="uk-UA" w:eastAsia="uk-UA"/>
          </w:rPr>
          <w:tab/>
        </w:r>
        <w:r w:rsidR="00100587" w:rsidRPr="0091125B">
          <w:rPr>
            <w:rStyle w:val="Hyperlink"/>
            <w:lang w:val="en-NZ"/>
          </w:rPr>
          <w:t>Accountability for human rights violations</w:t>
        </w:r>
        <w:r w:rsidR="00100587">
          <w:rPr>
            <w:webHidden/>
          </w:rPr>
          <w:tab/>
        </w:r>
        <w:r w:rsidR="00100587">
          <w:rPr>
            <w:webHidden/>
          </w:rPr>
          <w:fldChar w:fldCharType="begin"/>
        </w:r>
        <w:r w:rsidR="00100587">
          <w:rPr>
            <w:webHidden/>
          </w:rPr>
          <w:instrText xml:space="preserve"> PAGEREF _Toc11165978 \h </w:instrText>
        </w:r>
        <w:r w:rsidR="00100587">
          <w:rPr>
            <w:webHidden/>
          </w:rPr>
        </w:r>
        <w:r w:rsidR="00100587">
          <w:rPr>
            <w:webHidden/>
          </w:rPr>
          <w:fldChar w:fldCharType="separate"/>
        </w:r>
        <w:r w:rsidR="00100587">
          <w:rPr>
            <w:webHidden/>
          </w:rPr>
          <w:t>16</w:t>
        </w:r>
        <w:r w:rsidR="00100587">
          <w:rPr>
            <w:webHidden/>
          </w:rPr>
          <w:fldChar w:fldCharType="end"/>
        </w:r>
      </w:hyperlink>
    </w:p>
    <w:p w14:paraId="3003F31E" w14:textId="7E80BE84" w:rsidR="00100587" w:rsidRDefault="0079557A">
      <w:pPr>
        <w:pStyle w:val="TOC3"/>
        <w:rPr>
          <w:rFonts w:asciiTheme="minorHAnsi" w:eastAsiaTheme="minorEastAsia" w:hAnsiTheme="minorHAnsi" w:cstheme="minorBidi"/>
          <w:bCs w:val="0"/>
          <w:sz w:val="22"/>
          <w:szCs w:val="22"/>
          <w:lang w:val="uk-UA" w:eastAsia="uk-UA"/>
        </w:rPr>
      </w:pPr>
      <w:hyperlink w:anchor="_Toc11165979" w:history="1">
        <w:r w:rsidR="00100587" w:rsidRPr="0091125B">
          <w:rPr>
            <w:rStyle w:val="Hyperlink"/>
          </w:rPr>
          <w:t>1.</w:t>
        </w:r>
        <w:r w:rsidR="00100587">
          <w:rPr>
            <w:rFonts w:asciiTheme="minorHAnsi" w:eastAsiaTheme="minorEastAsia" w:hAnsiTheme="minorHAnsi" w:cstheme="minorBidi"/>
            <w:bCs w:val="0"/>
            <w:sz w:val="22"/>
            <w:szCs w:val="22"/>
            <w:lang w:val="uk-UA" w:eastAsia="uk-UA"/>
          </w:rPr>
          <w:tab/>
        </w:r>
        <w:r w:rsidR="00100587" w:rsidRPr="0091125B">
          <w:rPr>
            <w:rStyle w:val="Hyperlink"/>
          </w:rPr>
          <w:t>Accountability for killings during the Maidan events</w:t>
        </w:r>
        <w:r w:rsidR="00100587">
          <w:rPr>
            <w:webHidden/>
          </w:rPr>
          <w:tab/>
        </w:r>
        <w:r w:rsidR="00100587">
          <w:rPr>
            <w:webHidden/>
          </w:rPr>
          <w:fldChar w:fldCharType="begin"/>
        </w:r>
        <w:r w:rsidR="00100587">
          <w:rPr>
            <w:webHidden/>
          </w:rPr>
          <w:instrText xml:space="preserve"> PAGEREF _Toc11165979 \h </w:instrText>
        </w:r>
        <w:r w:rsidR="00100587">
          <w:rPr>
            <w:webHidden/>
          </w:rPr>
        </w:r>
        <w:r w:rsidR="00100587">
          <w:rPr>
            <w:webHidden/>
          </w:rPr>
          <w:fldChar w:fldCharType="separate"/>
        </w:r>
        <w:r w:rsidR="00100587">
          <w:rPr>
            <w:webHidden/>
          </w:rPr>
          <w:t>16</w:t>
        </w:r>
        <w:r w:rsidR="00100587">
          <w:rPr>
            <w:webHidden/>
          </w:rPr>
          <w:fldChar w:fldCharType="end"/>
        </w:r>
      </w:hyperlink>
    </w:p>
    <w:p w14:paraId="22929FD1" w14:textId="3D557DF5" w:rsidR="00100587" w:rsidRDefault="0079557A">
      <w:pPr>
        <w:pStyle w:val="TOC3"/>
        <w:rPr>
          <w:rFonts w:asciiTheme="minorHAnsi" w:eastAsiaTheme="minorEastAsia" w:hAnsiTheme="minorHAnsi" w:cstheme="minorBidi"/>
          <w:bCs w:val="0"/>
          <w:sz w:val="22"/>
          <w:szCs w:val="22"/>
          <w:lang w:val="uk-UA" w:eastAsia="uk-UA"/>
        </w:rPr>
      </w:pPr>
      <w:hyperlink w:anchor="_Toc11165980" w:history="1">
        <w:r w:rsidR="00100587" w:rsidRPr="0091125B">
          <w:rPr>
            <w:rStyle w:val="Hyperlink"/>
          </w:rPr>
          <w:t>2.</w:t>
        </w:r>
        <w:r w:rsidR="00100587">
          <w:rPr>
            <w:rFonts w:asciiTheme="minorHAnsi" w:eastAsiaTheme="minorEastAsia" w:hAnsiTheme="minorHAnsi" w:cstheme="minorBidi"/>
            <w:bCs w:val="0"/>
            <w:sz w:val="22"/>
            <w:szCs w:val="22"/>
            <w:lang w:val="uk-UA" w:eastAsia="uk-UA"/>
          </w:rPr>
          <w:tab/>
        </w:r>
        <w:r w:rsidR="00100587" w:rsidRPr="0091125B">
          <w:rPr>
            <w:rStyle w:val="Hyperlink"/>
          </w:rPr>
          <w:t>Accountability for the killings and violent deaths on 2 May 2014</w:t>
        </w:r>
        <w:r w:rsidR="00100587">
          <w:rPr>
            <w:webHidden/>
          </w:rPr>
          <w:tab/>
        </w:r>
        <w:r w:rsidR="00100587">
          <w:rPr>
            <w:webHidden/>
          </w:rPr>
          <w:fldChar w:fldCharType="begin"/>
        </w:r>
        <w:r w:rsidR="00100587">
          <w:rPr>
            <w:webHidden/>
          </w:rPr>
          <w:instrText xml:space="preserve"> PAGEREF _Toc11165980 \h </w:instrText>
        </w:r>
        <w:r w:rsidR="00100587">
          <w:rPr>
            <w:webHidden/>
          </w:rPr>
        </w:r>
        <w:r w:rsidR="00100587">
          <w:rPr>
            <w:webHidden/>
          </w:rPr>
          <w:fldChar w:fldCharType="separate"/>
        </w:r>
        <w:r w:rsidR="00100587">
          <w:rPr>
            <w:webHidden/>
          </w:rPr>
          <w:t>17</w:t>
        </w:r>
        <w:r w:rsidR="00100587">
          <w:rPr>
            <w:webHidden/>
          </w:rPr>
          <w:fldChar w:fldCharType="end"/>
        </w:r>
      </w:hyperlink>
    </w:p>
    <w:p w14:paraId="6E09C733" w14:textId="58DC6D1D" w:rsidR="00100587" w:rsidRDefault="0079557A">
      <w:pPr>
        <w:pStyle w:val="TOC1"/>
        <w:rPr>
          <w:rFonts w:asciiTheme="minorHAnsi" w:eastAsiaTheme="minorEastAsia" w:hAnsiTheme="minorHAnsi" w:cstheme="minorBidi"/>
          <w:sz w:val="22"/>
          <w:szCs w:val="22"/>
          <w:lang w:val="uk-UA" w:eastAsia="uk-UA"/>
        </w:rPr>
      </w:pPr>
      <w:hyperlink w:anchor="_Toc11165981" w:history="1">
        <w:r w:rsidR="00100587" w:rsidRPr="0091125B">
          <w:rPr>
            <w:rStyle w:val="Hyperlink"/>
            <w:lang w:val="en-NZ"/>
          </w:rPr>
          <w:t>VI.</w:t>
        </w:r>
        <w:r w:rsidR="00100587">
          <w:rPr>
            <w:rFonts w:asciiTheme="minorHAnsi" w:eastAsiaTheme="minorEastAsia" w:hAnsiTheme="minorHAnsi" w:cstheme="minorBidi"/>
            <w:sz w:val="22"/>
            <w:szCs w:val="22"/>
            <w:lang w:val="uk-UA" w:eastAsia="uk-UA"/>
          </w:rPr>
          <w:tab/>
        </w:r>
        <w:r w:rsidR="00100587" w:rsidRPr="0091125B">
          <w:rPr>
            <w:rStyle w:val="Hyperlink"/>
            <w:lang w:val="en-NZ"/>
          </w:rPr>
          <w:t xml:space="preserve">Civic space </w:t>
        </w:r>
        <w:r w:rsidR="00100587" w:rsidRPr="0091125B">
          <w:rPr>
            <w:rStyle w:val="Hyperlink"/>
          </w:rPr>
          <w:t>and</w:t>
        </w:r>
        <w:r w:rsidR="00100587" w:rsidRPr="0091125B">
          <w:rPr>
            <w:rStyle w:val="Hyperlink"/>
            <w:lang w:val="en-NZ"/>
          </w:rPr>
          <w:t xml:space="preserve"> fundamental freedoms</w:t>
        </w:r>
        <w:r w:rsidR="00100587">
          <w:rPr>
            <w:webHidden/>
          </w:rPr>
          <w:tab/>
        </w:r>
        <w:r w:rsidR="00100587">
          <w:rPr>
            <w:webHidden/>
          </w:rPr>
          <w:fldChar w:fldCharType="begin"/>
        </w:r>
        <w:r w:rsidR="00100587">
          <w:rPr>
            <w:webHidden/>
          </w:rPr>
          <w:instrText xml:space="preserve"> PAGEREF _Toc11165981 \h </w:instrText>
        </w:r>
        <w:r w:rsidR="00100587">
          <w:rPr>
            <w:webHidden/>
          </w:rPr>
        </w:r>
        <w:r w:rsidR="00100587">
          <w:rPr>
            <w:webHidden/>
          </w:rPr>
          <w:fldChar w:fldCharType="separate"/>
        </w:r>
        <w:r w:rsidR="00100587">
          <w:rPr>
            <w:webHidden/>
          </w:rPr>
          <w:t>17</w:t>
        </w:r>
        <w:r w:rsidR="00100587">
          <w:rPr>
            <w:webHidden/>
          </w:rPr>
          <w:fldChar w:fldCharType="end"/>
        </w:r>
      </w:hyperlink>
    </w:p>
    <w:p w14:paraId="082BEB2A" w14:textId="47DE8472" w:rsidR="00100587" w:rsidRDefault="0079557A">
      <w:pPr>
        <w:pStyle w:val="TOC2"/>
        <w:rPr>
          <w:rFonts w:asciiTheme="minorHAnsi" w:eastAsiaTheme="minorEastAsia" w:hAnsiTheme="minorHAnsi" w:cstheme="minorBidi"/>
          <w:sz w:val="22"/>
          <w:lang w:val="uk-UA" w:eastAsia="uk-UA"/>
        </w:rPr>
      </w:pPr>
      <w:hyperlink w:anchor="_Toc11165982" w:history="1">
        <w:r w:rsidR="00100587" w:rsidRPr="0091125B">
          <w:rPr>
            <w:rStyle w:val="Hyperlink"/>
            <w:lang w:val="en-NZ"/>
          </w:rPr>
          <w:t>A.</w:t>
        </w:r>
        <w:r w:rsidR="00100587">
          <w:rPr>
            <w:rFonts w:asciiTheme="minorHAnsi" w:eastAsiaTheme="minorEastAsia" w:hAnsiTheme="minorHAnsi" w:cstheme="minorBidi"/>
            <w:sz w:val="22"/>
            <w:lang w:val="uk-UA" w:eastAsia="uk-UA"/>
          </w:rPr>
          <w:tab/>
        </w:r>
        <w:r w:rsidR="00100587" w:rsidRPr="0091125B">
          <w:rPr>
            <w:rStyle w:val="Hyperlink"/>
          </w:rPr>
          <w:t>Freedom</w:t>
        </w:r>
        <w:r w:rsidR="00100587" w:rsidRPr="0091125B">
          <w:rPr>
            <w:rStyle w:val="Hyperlink"/>
            <w:lang w:val="en-NZ"/>
          </w:rPr>
          <w:t xml:space="preserve"> of opinion and expression and freedom of the media</w:t>
        </w:r>
        <w:r w:rsidR="00100587">
          <w:rPr>
            <w:webHidden/>
          </w:rPr>
          <w:tab/>
        </w:r>
        <w:r w:rsidR="00100587">
          <w:rPr>
            <w:webHidden/>
          </w:rPr>
          <w:fldChar w:fldCharType="begin"/>
        </w:r>
        <w:r w:rsidR="00100587">
          <w:rPr>
            <w:webHidden/>
          </w:rPr>
          <w:instrText xml:space="preserve"> PAGEREF _Toc11165982 \h </w:instrText>
        </w:r>
        <w:r w:rsidR="00100587">
          <w:rPr>
            <w:webHidden/>
          </w:rPr>
        </w:r>
        <w:r w:rsidR="00100587">
          <w:rPr>
            <w:webHidden/>
          </w:rPr>
          <w:fldChar w:fldCharType="separate"/>
        </w:r>
        <w:r w:rsidR="00100587">
          <w:rPr>
            <w:webHidden/>
          </w:rPr>
          <w:t>17</w:t>
        </w:r>
        <w:r w:rsidR="00100587">
          <w:rPr>
            <w:webHidden/>
          </w:rPr>
          <w:fldChar w:fldCharType="end"/>
        </w:r>
      </w:hyperlink>
    </w:p>
    <w:p w14:paraId="17E952A6" w14:textId="7DE6332D" w:rsidR="00100587" w:rsidRDefault="0079557A">
      <w:pPr>
        <w:pStyle w:val="TOC2"/>
        <w:rPr>
          <w:rFonts w:asciiTheme="minorHAnsi" w:eastAsiaTheme="minorEastAsia" w:hAnsiTheme="minorHAnsi" w:cstheme="minorBidi"/>
          <w:sz w:val="22"/>
          <w:lang w:val="uk-UA" w:eastAsia="uk-UA"/>
        </w:rPr>
      </w:pPr>
      <w:hyperlink w:anchor="_Toc11165983" w:history="1">
        <w:r w:rsidR="00100587" w:rsidRPr="0091125B">
          <w:rPr>
            <w:rStyle w:val="Hyperlink"/>
          </w:rPr>
          <w:t>B.</w:t>
        </w:r>
        <w:r w:rsidR="00100587">
          <w:rPr>
            <w:rFonts w:asciiTheme="minorHAnsi" w:eastAsiaTheme="minorEastAsia" w:hAnsiTheme="minorHAnsi" w:cstheme="minorBidi"/>
            <w:sz w:val="22"/>
            <w:lang w:val="uk-UA" w:eastAsia="uk-UA"/>
          </w:rPr>
          <w:tab/>
        </w:r>
        <w:r w:rsidR="00100587" w:rsidRPr="0091125B">
          <w:rPr>
            <w:rStyle w:val="Hyperlink"/>
          </w:rPr>
          <w:t>Language rights</w:t>
        </w:r>
        <w:r w:rsidR="00100587">
          <w:rPr>
            <w:webHidden/>
          </w:rPr>
          <w:tab/>
        </w:r>
        <w:r w:rsidR="00100587">
          <w:rPr>
            <w:webHidden/>
          </w:rPr>
          <w:fldChar w:fldCharType="begin"/>
        </w:r>
        <w:r w:rsidR="00100587">
          <w:rPr>
            <w:webHidden/>
          </w:rPr>
          <w:instrText xml:space="preserve"> PAGEREF _Toc11165983 \h </w:instrText>
        </w:r>
        <w:r w:rsidR="00100587">
          <w:rPr>
            <w:webHidden/>
          </w:rPr>
        </w:r>
        <w:r w:rsidR="00100587">
          <w:rPr>
            <w:webHidden/>
          </w:rPr>
          <w:fldChar w:fldCharType="separate"/>
        </w:r>
        <w:r w:rsidR="00100587">
          <w:rPr>
            <w:webHidden/>
          </w:rPr>
          <w:t>18</w:t>
        </w:r>
        <w:r w:rsidR="00100587">
          <w:rPr>
            <w:webHidden/>
          </w:rPr>
          <w:fldChar w:fldCharType="end"/>
        </w:r>
      </w:hyperlink>
    </w:p>
    <w:p w14:paraId="6D145A1B" w14:textId="20D0E14E" w:rsidR="00100587" w:rsidRDefault="0079557A">
      <w:pPr>
        <w:pStyle w:val="TOC2"/>
        <w:rPr>
          <w:rFonts w:asciiTheme="minorHAnsi" w:eastAsiaTheme="minorEastAsia" w:hAnsiTheme="minorHAnsi" w:cstheme="minorBidi"/>
          <w:sz w:val="22"/>
          <w:lang w:val="uk-UA" w:eastAsia="uk-UA"/>
        </w:rPr>
      </w:pPr>
      <w:hyperlink w:anchor="_Toc11165984" w:history="1">
        <w:r w:rsidR="00100587" w:rsidRPr="0091125B">
          <w:rPr>
            <w:rStyle w:val="Hyperlink"/>
          </w:rPr>
          <w:t>C.</w:t>
        </w:r>
        <w:r w:rsidR="00100587">
          <w:rPr>
            <w:rFonts w:asciiTheme="minorHAnsi" w:eastAsiaTheme="minorEastAsia" w:hAnsiTheme="minorHAnsi" w:cstheme="minorBidi"/>
            <w:sz w:val="22"/>
            <w:lang w:val="uk-UA" w:eastAsia="uk-UA"/>
          </w:rPr>
          <w:tab/>
        </w:r>
        <w:r w:rsidR="00100587" w:rsidRPr="0091125B">
          <w:rPr>
            <w:rStyle w:val="Hyperlink"/>
          </w:rPr>
          <w:t>Freedom of peaceful assembly and association</w:t>
        </w:r>
        <w:r w:rsidR="00100587">
          <w:rPr>
            <w:webHidden/>
          </w:rPr>
          <w:tab/>
        </w:r>
        <w:r w:rsidR="00100587">
          <w:rPr>
            <w:webHidden/>
          </w:rPr>
          <w:fldChar w:fldCharType="begin"/>
        </w:r>
        <w:r w:rsidR="00100587">
          <w:rPr>
            <w:webHidden/>
          </w:rPr>
          <w:instrText xml:space="preserve"> PAGEREF _Toc11165984 \h </w:instrText>
        </w:r>
        <w:r w:rsidR="00100587">
          <w:rPr>
            <w:webHidden/>
          </w:rPr>
        </w:r>
        <w:r w:rsidR="00100587">
          <w:rPr>
            <w:webHidden/>
          </w:rPr>
          <w:fldChar w:fldCharType="separate"/>
        </w:r>
        <w:r w:rsidR="00100587">
          <w:rPr>
            <w:webHidden/>
          </w:rPr>
          <w:t>19</w:t>
        </w:r>
        <w:r w:rsidR="00100587">
          <w:rPr>
            <w:webHidden/>
          </w:rPr>
          <w:fldChar w:fldCharType="end"/>
        </w:r>
      </w:hyperlink>
    </w:p>
    <w:p w14:paraId="40D1B9AA" w14:textId="0A50FDDA" w:rsidR="00100587" w:rsidRDefault="0079557A">
      <w:pPr>
        <w:pStyle w:val="TOC2"/>
        <w:rPr>
          <w:rFonts w:asciiTheme="minorHAnsi" w:eastAsiaTheme="minorEastAsia" w:hAnsiTheme="minorHAnsi" w:cstheme="minorBidi"/>
          <w:sz w:val="22"/>
          <w:lang w:val="uk-UA" w:eastAsia="uk-UA"/>
        </w:rPr>
      </w:pPr>
      <w:hyperlink w:anchor="_Toc11165985" w:history="1">
        <w:r w:rsidR="00100587" w:rsidRPr="0091125B">
          <w:rPr>
            <w:rStyle w:val="Hyperlink"/>
            <w:lang w:val="en-NZ"/>
          </w:rPr>
          <w:t>D.</w:t>
        </w:r>
        <w:r w:rsidR="00100587">
          <w:rPr>
            <w:rFonts w:asciiTheme="minorHAnsi" w:eastAsiaTheme="minorEastAsia" w:hAnsiTheme="minorHAnsi" w:cstheme="minorBidi"/>
            <w:sz w:val="22"/>
            <w:lang w:val="uk-UA" w:eastAsia="uk-UA"/>
          </w:rPr>
          <w:tab/>
        </w:r>
        <w:r w:rsidR="00100587" w:rsidRPr="0091125B">
          <w:rPr>
            <w:rStyle w:val="Hyperlink"/>
            <w:lang w:val="en-NZ"/>
          </w:rPr>
          <w:t>Freedom of religion or belief</w:t>
        </w:r>
        <w:r w:rsidR="00100587">
          <w:rPr>
            <w:webHidden/>
          </w:rPr>
          <w:tab/>
        </w:r>
        <w:r w:rsidR="00100587">
          <w:rPr>
            <w:webHidden/>
          </w:rPr>
          <w:fldChar w:fldCharType="begin"/>
        </w:r>
        <w:r w:rsidR="00100587">
          <w:rPr>
            <w:webHidden/>
          </w:rPr>
          <w:instrText xml:space="preserve"> PAGEREF _Toc11165985 \h </w:instrText>
        </w:r>
        <w:r w:rsidR="00100587">
          <w:rPr>
            <w:webHidden/>
          </w:rPr>
        </w:r>
        <w:r w:rsidR="00100587">
          <w:rPr>
            <w:webHidden/>
          </w:rPr>
          <w:fldChar w:fldCharType="separate"/>
        </w:r>
        <w:r w:rsidR="00100587">
          <w:rPr>
            <w:webHidden/>
          </w:rPr>
          <w:t>19</w:t>
        </w:r>
        <w:r w:rsidR="00100587">
          <w:rPr>
            <w:webHidden/>
          </w:rPr>
          <w:fldChar w:fldCharType="end"/>
        </w:r>
      </w:hyperlink>
    </w:p>
    <w:p w14:paraId="48CC9256" w14:textId="06F37C85" w:rsidR="00100587" w:rsidRDefault="0079557A">
      <w:pPr>
        <w:pStyle w:val="TOC2"/>
        <w:rPr>
          <w:rFonts w:asciiTheme="minorHAnsi" w:eastAsiaTheme="minorEastAsia" w:hAnsiTheme="minorHAnsi" w:cstheme="minorBidi"/>
          <w:sz w:val="22"/>
          <w:lang w:val="uk-UA" w:eastAsia="uk-UA"/>
        </w:rPr>
      </w:pPr>
      <w:hyperlink w:anchor="_Toc11165986" w:history="1">
        <w:r w:rsidR="00100587" w:rsidRPr="0091125B">
          <w:rPr>
            <w:rStyle w:val="Hyperlink"/>
          </w:rPr>
          <w:t>E.</w:t>
        </w:r>
        <w:r w:rsidR="00100587">
          <w:rPr>
            <w:rFonts w:asciiTheme="minorHAnsi" w:eastAsiaTheme="minorEastAsia" w:hAnsiTheme="minorHAnsi" w:cstheme="minorBidi"/>
            <w:sz w:val="22"/>
            <w:lang w:val="uk-UA" w:eastAsia="uk-UA"/>
          </w:rPr>
          <w:tab/>
        </w:r>
        <w:r w:rsidR="00100587" w:rsidRPr="0091125B">
          <w:rPr>
            <w:rStyle w:val="Hyperlink"/>
          </w:rPr>
          <w:t>Discrimination, racially-motivated violence and manifestations of intolerance</w:t>
        </w:r>
        <w:r w:rsidR="00100587">
          <w:rPr>
            <w:webHidden/>
          </w:rPr>
          <w:tab/>
        </w:r>
        <w:r w:rsidR="00100587">
          <w:rPr>
            <w:webHidden/>
          </w:rPr>
          <w:fldChar w:fldCharType="begin"/>
        </w:r>
        <w:r w:rsidR="00100587">
          <w:rPr>
            <w:webHidden/>
          </w:rPr>
          <w:instrText xml:space="preserve"> PAGEREF _Toc11165986 \h </w:instrText>
        </w:r>
        <w:r w:rsidR="00100587">
          <w:rPr>
            <w:webHidden/>
          </w:rPr>
        </w:r>
        <w:r w:rsidR="00100587">
          <w:rPr>
            <w:webHidden/>
          </w:rPr>
          <w:fldChar w:fldCharType="separate"/>
        </w:r>
        <w:r w:rsidR="00100587">
          <w:rPr>
            <w:webHidden/>
          </w:rPr>
          <w:t>20</w:t>
        </w:r>
        <w:r w:rsidR="00100587">
          <w:rPr>
            <w:webHidden/>
          </w:rPr>
          <w:fldChar w:fldCharType="end"/>
        </w:r>
      </w:hyperlink>
    </w:p>
    <w:p w14:paraId="6B16D670" w14:textId="26621277" w:rsidR="00100587" w:rsidRDefault="0079557A">
      <w:pPr>
        <w:pStyle w:val="TOC1"/>
        <w:rPr>
          <w:rFonts w:asciiTheme="minorHAnsi" w:eastAsiaTheme="minorEastAsia" w:hAnsiTheme="minorHAnsi" w:cstheme="minorBidi"/>
          <w:sz w:val="22"/>
          <w:szCs w:val="22"/>
          <w:lang w:val="uk-UA" w:eastAsia="uk-UA"/>
        </w:rPr>
      </w:pPr>
      <w:hyperlink w:anchor="_Toc11165987" w:history="1">
        <w:r w:rsidR="00100587" w:rsidRPr="0091125B">
          <w:rPr>
            <w:rStyle w:val="Hyperlink"/>
            <w:lang w:val="en-NZ"/>
          </w:rPr>
          <w:t>VII.</w:t>
        </w:r>
        <w:r w:rsidR="00100587">
          <w:rPr>
            <w:rFonts w:asciiTheme="minorHAnsi" w:eastAsiaTheme="minorEastAsia" w:hAnsiTheme="minorHAnsi" w:cstheme="minorBidi"/>
            <w:sz w:val="22"/>
            <w:szCs w:val="22"/>
            <w:lang w:val="uk-UA" w:eastAsia="uk-UA"/>
          </w:rPr>
          <w:tab/>
        </w:r>
        <w:r w:rsidR="00100587" w:rsidRPr="0091125B">
          <w:rPr>
            <w:rStyle w:val="Hyperlink"/>
            <w:lang w:val="en-NZ"/>
          </w:rPr>
          <w:t xml:space="preserve">Human rights in the Autonomous Republic of Crimea and the city of  Sevastopol, Ukraine, </w:t>
        </w:r>
        <w:r w:rsidR="00F96A89">
          <w:rPr>
            <w:rStyle w:val="Hyperlink"/>
            <w:lang w:val="en-NZ"/>
          </w:rPr>
          <w:tab/>
        </w:r>
        <w:r w:rsidR="00F96A89">
          <w:rPr>
            <w:rStyle w:val="Hyperlink"/>
            <w:lang w:val="en-NZ"/>
          </w:rPr>
          <w:tab/>
        </w:r>
        <w:r w:rsidR="00100587" w:rsidRPr="0091125B">
          <w:rPr>
            <w:rStyle w:val="Hyperlink"/>
            <w:lang w:val="en-NZ"/>
          </w:rPr>
          <w:t>temporarily occupied by the Russian Federation</w:t>
        </w:r>
        <w:r w:rsidR="00100587">
          <w:rPr>
            <w:webHidden/>
          </w:rPr>
          <w:tab/>
        </w:r>
        <w:r w:rsidR="00100587">
          <w:rPr>
            <w:webHidden/>
          </w:rPr>
          <w:fldChar w:fldCharType="begin"/>
        </w:r>
        <w:r w:rsidR="00100587">
          <w:rPr>
            <w:webHidden/>
          </w:rPr>
          <w:instrText xml:space="preserve"> PAGEREF _Toc11165987 \h </w:instrText>
        </w:r>
        <w:r w:rsidR="00100587">
          <w:rPr>
            <w:webHidden/>
          </w:rPr>
        </w:r>
        <w:r w:rsidR="00100587">
          <w:rPr>
            <w:webHidden/>
          </w:rPr>
          <w:fldChar w:fldCharType="separate"/>
        </w:r>
        <w:r w:rsidR="00100587">
          <w:rPr>
            <w:webHidden/>
          </w:rPr>
          <w:t>21</w:t>
        </w:r>
        <w:r w:rsidR="00100587">
          <w:rPr>
            <w:webHidden/>
          </w:rPr>
          <w:fldChar w:fldCharType="end"/>
        </w:r>
      </w:hyperlink>
    </w:p>
    <w:p w14:paraId="662D87C9" w14:textId="613AFEDA" w:rsidR="00100587" w:rsidRDefault="0079557A">
      <w:pPr>
        <w:pStyle w:val="TOC2"/>
        <w:rPr>
          <w:rFonts w:asciiTheme="minorHAnsi" w:eastAsiaTheme="minorEastAsia" w:hAnsiTheme="minorHAnsi" w:cstheme="minorBidi"/>
          <w:sz w:val="22"/>
          <w:lang w:val="uk-UA" w:eastAsia="uk-UA"/>
        </w:rPr>
      </w:pPr>
      <w:hyperlink w:anchor="_Toc11165988" w:history="1">
        <w:r w:rsidR="00100587" w:rsidRPr="0091125B">
          <w:rPr>
            <w:rStyle w:val="Hyperlink"/>
            <w:lang w:val="en-NZ"/>
          </w:rPr>
          <w:t>A.</w:t>
        </w:r>
        <w:r w:rsidR="00100587">
          <w:rPr>
            <w:rFonts w:asciiTheme="minorHAnsi" w:eastAsiaTheme="minorEastAsia" w:hAnsiTheme="minorHAnsi" w:cstheme="minorBidi"/>
            <w:sz w:val="22"/>
            <w:lang w:val="uk-UA" w:eastAsia="uk-UA"/>
          </w:rPr>
          <w:tab/>
        </w:r>
        <w:r w:rsidR="00100587" w:rsidRPr="0091125B">
          <w:rPr>
            <w:rStyle w:val="Hyperlink"/>
            <w:lang w:val="en-NZ"/>
          </w:rPr>
          <w:t xml:space="preserve">International </w:t>
        </w:r>
        <w:r w:rsidR="00100587" w:rsidRPr="0091125B">
          <w:rPr>
            <w:rStyle w:val="Hyperlink"/>
          </w:rPr>
          <w:t>humanitarian</w:t>
        </w:r>
        <w:r w:rsidR="00100587" w:rsidRPr="0091125B">
          <w:rPr>
            <w:rStyle w:val="Hyperlink"/>
            <w:lang w:val="en-NZ"/>
          </w:rPr>
          <w:t xml:space="preserve"> law</w:t>
        </w:r>
        <w:r w:rsidR="00100587">
          <w:rPr>
            <w:webHidden/>
          </w:rPr>
          <w:tab/>
        </w:r>
        <w:r w:rsidR="00100587">
          <w:rPr>
            <w:webHidden/>
          </w:rPr>
          <w:fldChar w:fldCharType="begin"/>
        </w:r>
        <w:r w:rsidR="00100587">
          <w:rPr>
            <w:webHidden/>
          </w:rPr>
          <w:instrText xml:space="preserve"> PAGEREF _Toc11165988 \h </w:instrText>
        </w:r>
        <w:r w:rsidR="00100587">
          <w:rPr>
            <w:webHidden/>
          </w:rPr>
        </w:r>
        <w:r w:rsidR="00100587">
          <w:rPr>
            <w:webHidden/>
          </w:rPr>
          <w:fldChar w:fldCharType="separate"/>
        </w:r>
        <w:r w:rsidR="00100587">
          <w:rPr>
            <w:webHidden/>
          </w:rPr>
          <w:t>21</w:t>
        </w:r>
        <w:r w:rsidR="00100587">
          <w:rPr>
            <w:webHidden/>
          </w:rPr>
          <w:fldChar w:fldCharType="end"/>
        </w:r>
      </w:hyperlink>
    </w:p>
    <w:p w14:paraId="7BBF2905" w14:textId="6013B884" w:rsidR="00100587" w:rsidRDefault="0079557A">
      <w:pPr>
        <w:pStyle w:val="TOC2"/>
        <w:rPr>
          <w:rFonts w:asciiTheme="minorHAnsi" w:eastAsiaTheme="minorEastAsia" w:hAnsiTheme="minorHAnsi" w:cstheme="minorBidi"/>
          <w:sz w:val="22"/>
          <w:lang w:val="uk-UA" w:eastAsia="uk-UA"/>
        </w:rPr>
      </w:pPr>
      <w:hyperlink w:anchor="_Toc11165989" w:history="1">
        <w:r w:rsidR="00100587" w:rsidRPr="0091125B">
          <w:rPr>
            <w:rStyle w:val="Hyperlink"/>
            <w:lang w:val="en-NZ"/>
          </w:rPr>
          <w:t>B.</w:t>
        </w:r>
        <w:r w:rsidR="00100587">
          <w:rPr>
            <w:rFonts w:asciiTheme="minorHAnsi" w:eastAsiaTheme="minorEastAsia" w:hAnsiTheme="minorHAnsi" w:cstheme="minorBidi"/>
            <w:sz w:val="22"/>
            <w:lang w:val="uk-UA" w:eastAsia="uk-UA"/>
          </w:rPr>
          <w:tab/>
        </w:r>
        <w:r w:rsidR="00100587" w:rsidRPr="0091125B">
          <w:rPr>
            <w:rStyle w:val="Hyperlink"/>
            <w:lang w:val="en-NZ"/>
          </w:rPr>
          <w:t>Rights of detainees in Crimea</w:t>
        </w:r>
        <w:r w:rsidR="00100587">
          <w:rPr>
            <w:webHidden/>
          </w:rPr>
          <w:tab/>
        </w:r>
        <w:r w:rsidR="00100587">
          <w:rPr>
            <w:webHidden/>
          </w:rPr>
          <w:fldChar w:fldCharType="begin"/>
        </w:r>
        <w:r w:rsidR="00100587">
          <w:rPr>
            <w:webHidden/>
          </w:rPr>
          <w:instrText xml:space="preserve"> PAGEREF _Toc11165989 \h </w:instrText>
        </w:r>
        <w:r w:rsidR="00100587">
          <w:rPr>
            <w:webHidden/>
          </w:rPr>
        </w:r>
        <w:r w:rsidR="00100587">
          <w:rPr>
            <w:webHidden/>
          </w:rPr>
          <w:fldChar w:fldCharType="separate"/>
        </w:r>
        <w:r w:rsidR="00100587">
          <w:rPr>
            <w:webHidden/>
          </w:rPr>
          <w:t>22</w:t>
        </w:r>
        <w:r w:rsidR="00100587">
          <w:rPr>
            <w:webHidden/>
          </w:rPr>
          <w:fldChar w:fldCharType="end"/>
        </w:r>
      </w:hyperlink>
    </w:p>
    <w:p w14:paraId="6F95A072" w14:textId="4A30CEAC" w:rsidR="00100587" w:rsidRDefault="0079557A">
      <w:pPr>
        <w:pStyle w:val="TOC2"/>
        <w:rPr>
          <w:rFonts w:asciiTheme="minorHAnsi" w:eastAsiaTheme="minorEastAsia" w:hAnsiTheme="minorHAnsi" w:cstheme="minorBidi"/>
          <w:sz w:val="22"/>
          <w:lang w:val="uk-UA" w:eastAsia="uk-UA"/>
        </w:rPr>
      </w:pPr>
      <w:hyperlink w:anchor="_Toc11165990" w:history="1">
        <w:r w:rsidR="00100587" w:rsidRPr="0091125B">
          <w:rPr>
            <w:rStyle w:val="Hyperlink"/>
            <w:lang w:val="en-NZ"/>
          </w:rPr>
          <w:t>C.</w:t>
        </w:r>
        <w:r w:rsidR="00100587">
          <w:rPr>
            <w:rFonts w:asciiTheme="minorHAnsi" w:eastAsiaTheme="minorEastAsia" w:hAnsiTheme="minorHAnsi" w:cstheme="minorBidi"/>
            <w:sz w:val="22"/>
            <w:lang w:val="uk-UA" w:eastAsia="uk-UA"/>
          </w:rPr>
          <w:tab/>
        </w:r>
        <w:r w:rsidR="00100587" w:rsidRPr="0091125B">
          <w:rPr>
            <w:rStyle w:val="Hyperlink"/>
            <w:lang w:val="en-NZ"/>
          </w:rPr>
          <w:t xml:space="preserve">Right to </w:t>
        </w:r>
        <w:r w:rsidR="00100587" w:rsidRPr="0091125B">
          <w:rPr>
            <w:rStyle w:val="Hyperlink"/>
          </w:rPr>
          <w:t>education</w:t>
        </w:r>
        <w:r w:rsidR="00100587" w:rsidRPr="0091125B">
          <w:rPr>
            <w:rStyle w:val="Hyperlink"/>
            <w:lang w:val="en-NZ"/>
          </w:rPr>
          <w:t xml:space="preserve"> in native language and right to maintain one’s identity, culture and </w:t>
        </w:r>
        <w:r w:rsidR="00814045">
          <w:rPr>
            <w:rStyle w:val="Hyperlink"/>
            <w:lang w:val="en-NZ"/>
          </w:rPr>
          <w:t xml:space="preserve">                  </w:t>
        </w:r>
        <w:r w:rsidR="00100587" w:rsidRPr="0091125B">
          <w:rPr>
            <w:rStyle w:val="Hyperlink"/>
            <w:lang w:val="en-NZ"/>
          </w:rPr>
          <w:t>tradition</w:t>
        </w:r>
        <w:r w:rsidR="00100587">
          <w:rPr>
            <w:webHidden/>
          </w:rPr>
          <w:tab/>
        </w:r>
        <w:r w:rsidR="00100587">
          <w:rPr>
            <w:webHidden/>
          </w:rPr>
          <w:fldChar w:fldCharType="begin"/>
        </w:r>
        <w:r w:rsidR="00100587">
          <w:rPr>
            <w:webHidden/>
          </w:rPr>
          <w:instrText xml:space="preserve"> PAGEREF _Toc11165990 \h </w:instrText>
        </w:r>
        <w:r w:rsidR="00100587">
          <w:rPr>
            <w:webHidden/>
          </w:rPr>
        </w:r>
        <w:r w:rsidR="00100587">
          <w:rPr>
            <w:webHidden/>
          </w:rPr>
          <w:fldChar w:fldCharType="separate"/>
        </w:r>
        <w:r w:rsidR="00100587">
          <w:rPr>
            <w:webHidden/>
          </w:rPr>
          <w:t>22</w:t>
        </w:r>
        <w:r w:rsidR="00100587">
          <w:rPr>
            <w:webHidden/>
          </w:rPr>
          <w:fldChar w:fldCharType="end"/>
        </w:r>
      </w:hyperlink>
    </w:p>
    <w:p w14:paraId="5A392A87" w14:textId="1E144E0C" w:rsidR="00100587" w:rsidRDefault="0079557A">
      <w:pPr>
        <w:pStyle w:val="TOC1"/>
        <w:rPr>
          <w:rFonts w:asciiTheme="minorHAnsi" w:eastAsiaTheme="minorEastAsia" w:hAnsiTheme="minorHAnsi" w:cstheme="minorBidi"/>
          <w:sz w:val="22"/>
          <w:szCs w:val="22"/>
          <w:lang w:val="uk-UA" w:eastAsia="uk-UA"/>
        </w:rPr>
      </w:pPr>
      <w:hyperlink w:anchor="_Toc11165991" w:history="1">
        <w:r w:rsidR="00100587" w:rsidRPr="0091125B">
          <w:rPr>
            <w:rStyle w:val="Hyperlink"/>
            <w:lang w:val="en-NZ"/>
          </w:rPr>
          <w:t>VIII.</w:t>
        </w:r>
        <w:r w:rsidR="00100587">
          <w:rPr>
            <w:rFonts w:asciiTheme="minorHAnsi" w:eastAsiaTheme="minorEastAsia" w:hAnsiTheme="minorHAnsi" w:cstheme="minorBidi"/>
            <w:sz w:val="22"/>
            <w:szCs w:val="22"/>
            <w:lang w:val="uk-UA" w:eastAsia="uk-UA"/>
          </w:rPr>
          <w:tab/>
        </w:r>
        <w:r w:rsidR="00100587" w:rsidRPr="0091125B">
          <w:rPr>
            <w:rStyle w:val="Hyperlink"/>
            <w:lang w:val="en-NZ"/>
          </w:rPr>
          <w:t xml:space="preserve">Technical </w:t>
        </w:r>
        <w:r w:rsidR="00100587" w:rsidRPr="0091125B">
          <w:rPr>
            <w:rStyle w:val="Hyperlink"/>
          </w:rPr>
          <w:t>cooperation</w:t>
        </w:r>
        <w:r w:rsidR="00100587" w:rsidRPr="0091125B">
          <w:rPr>
            <w:rStyle w:val="Hyperlink"/>
            <w:lang w:val="en-NZ"/>
          </w:rPr>
          <w:t xml:space="preserve"> and capacity-building</w:t>
        </w:r>
        <w:r w:rsidR="00100587">
          <w:rPr>
            <w:webHidden/>
          </w:rPr>
          <w:tab/>
        </w:r>
        <w:r w:rsidR="00100587">
          <w:rPr>
            <w:webHidden/>
          </w:rPr>
          <w:fldChar w:fldCharType="begin"/>
        </w:r>
        <w:r w:rsidR="00100587">
          <w:rPr>
            <w:webHidden/>
          </w:rPr>
          <w:instrText xml:space="preserve"> PAGEREF _Toc11165991 \h </w:instrText>
        </w:r>
        <w:r w:rsidR="00100587">
          <w:rPr>
            <w:webHidden/>
          </w:rPr>
        </w:r>
        <w:r w:rsidR="00100587">
          <w:rPr>
            <w:webHidden/>
          </w:rPr>
          <w:fldChar w:fldCharType="separate"/>
        </w:r>
        <w:r w:rsidR="00100587">
          <w:rPr>
            <w:webHidden/>
          </w:rPr>
          <w:t>23</w:t>
        </w:r>
        <w:r w:rsidR="00100587">
          <w:rPr>
            <w:webHidden/>
          </w:rPr>
          <w:fldChar w:fldCharType="end"/>
        </w:r>
      </w:hyperlink>
    </w:p>
    <w:p w14:paraId="5E215349" w14:textId="7F37E4F7" w:rsidR="00100587" w:rsidRDefault="0079557A">
      <w:pPr>
        <w:pStyle w:val="TOC1"/>
        <w:rPr>
          <w:rFonts w:asciiTheme="minorHAnsi" w:eastAsiaTheme="minorEastAsia" w:hAnsiTheme="minorHAnsi" w:cstheme="minorBidi"/>
          <w:sz w:val="22"/>
          <w:szCs w:val="22"/>
          <w:lang w:val="uk-UA" w:eastAsia="uk-UA"/>
        </w:rPr>
      </w:pPr>
      <w:hyperlink w:anchor="_Toc11165992" w:history="1">
        <w:r w:rsidR="00100587" w:rsidRPr="0091125B">
          <w:rPr>
            <w:rStyle w:val="Hyperlink"/>
          </w:rPr>
          <w:t>IX.</w:t>
        </w:r>
        <w:r w:rsidR="00100587">
          <w:rPr>
            <w:rFonts w:asciiTheme="minorHAnsi" w:eastAsiaTheme="minorEastAsia" w:hAnsiTheme="minorHAnsi" w:cstheme="minorBidi"/>
            <w:sz w:val="22"/>
            <w:szCs w:val="22"/>
            <w:lang w:val="uk-UA" w:eastAsia="uk-UA"/>
          </w:rPr>
          <w:tab/>
        </w:r>
        <w:r w:rsidR="00100587" w:rsidRPr="0091125B">
          <w:rPr>
            <w:rStyle w:val="Hyperlink"/>
          </w:rPr>
          <w:t>Conclusions and recommendations</w:t>
        </w:r>
        <w:r w:rsidR="00100587">
          <w:rPr>
            <w:webHidden/>
          </w:rPr>
          <w:tab/>
        </w:r>
        <w:r w:rsidR="00100587">
          <w:rPr>
            <w:webHidden/>
          </w:rPr>
          <w:fldChar w:fldCharType="begin"/>
        </w:r>
        <w:r w:rsidR="00100587">
          <w:rPr>
            <w:webHidden/>
          </w:rPr>
          <w:instrText xml:space="preserve"> PAGEREF _Toc11165992 \h </w:instrText>
        </w:r>
        <w:r w:rsidR="00100587">
          <w:rPr>
            <w:webHidden/>
          </w:rPr>
        </w:r>
        <w:r w:rsidR="00100587">
          <w:rPr>
            <w:webHidden/>
          </w:rPr>
          <w:fldChar w:fldCharType="separate"/>
        </w:r>
        <w:r w:rsidR="00100587">
          <w:rPr>
            <w:webHidden/>
          </w:rPr>
          <w:t>24</w:t>
        </w:r>
        <w:r w:rsidR="00100587">
          <w:rPr>
            <w:webHidden/>
          </w:rPr>
          <w:fldChar w:fldCharType="end"/>
        </w:r>
      </w:hyperlink>
    </w:p>
    <w:p w14:paraId="21B9A9E4" w14:textId="01C8CA00" w:rsidR="00256B96" w:rsidRPr="00513802" w:rsidRDefault="00BC7E54" w:rsidP="00BC7E54">
      <w:pPr>
        <w:rPr>
          <w:lang w:val="en-NZ"/>
        </w:rPr>
      </w:pPr>
      <w:r w:rsidRPr="00513802">
        <w:rPr>
          <w:rFonts w:eastAsia="MS Mincho"/>
          <w:noProof/>
          <w:lang w:val="en-NZ"/>
        </w:rPr>
        <w:fldChar w:fldCharType="end"/>
      </w:r>
    </w:p>
    <w:p w14:paraId="16FC3236" w14:textId="77777777" w:rsidR="00256B96" w:rsidRPr="009F24F9" w:rsidRDefault="00256B96" w:rsidP="00256B96">
      <w:pPr>
        <w:suppressAutoHyphens w:val="0"/>
        <w:spacing w:line="240" w:lineRule="auto"/>
        <w:rPr>
          <w:lang w:val="ru-RU"/>
        </w:rPr>
      </w:pPr>
      <w:r w:rsidRPr="00513802">
        <w:rPr>
          <w:lang w:val="en-NZ"/>
        </w:rPr>
        <w:br w:type="page"/>
      </w:r>
    </w:p>
    <w:p w14:paraId="1BC5A83F" w14:textId="77777777" w:rsidR="00BC7E54" w:rsidRPr="00513802" w:rsidRDefault="00BC7E54" w:rsidP="00BC7E54">
      <w:pPr>
        <w:suppressAutoHyphens w:val="0"/>
        <w:spacing w:line="240" w:lineRule="auto"/>
        <w:rPr>
          <w:lang w:val="en-NZ"/>
        </w:rPr>
      </w:pPr>
      <w:r w:rsidRPr="00513802">
        <w:rPr>
          <w:lang w:val="en-NZ"/>
        </w:rPr>
        <w:lastRenderedPageBreak/>
        <w:br w:type="page"/>
      </w:r>
    </w:p>
    <w:p w14:paraId="641F1250" w14:textId="77777777" w:rsidR="00256B96" w:rsidRPr="00513802" w:rsidRDefault="00256B96" w:rsidP="00256B96">
      <w:pPr>
        <w:suppressAutoHyphens w:val="0"/>
        <w:spacing w:line="240" w:lineRule="auto"/>
        <w:ind w:right="1126"/>
        <w:rPr>
          <w:lang w:val="en-NZ"/>
        </w:rPr>
      </w:pPr>
    </w:p>
    <w:p w14:paraId="234CF426" w14:textId="3B4992C6" w:rsidR="00B70B65" w:rsidRDefault="009653FA" w:rsidP="00256B96">
      <w:pPr>
        <w:tabs>
          <w:tab w:val="right" w:pos="850"/>
          <w:tab w:val="left" w:pos="1134"/>
          <w:tab w:val="left" w:pos="1559"/>
          <w:tab w:val="left" w:pos="1984"/>
          <w:tab w:val="left" w:leader="dot" w:pos="7654"/>
          <w:tab w:val="right" w:leader="dot" w:pos="9180"/>
          <w:tab w:val="right" w:pos="9638"/>
        </w:tabs>
        <w:spacing w:after="50" w:line="240" w:lineRule="auto"/>
        <w:ind w:right="1126"/>
        <w:rPr>
          <w:lang w:val="en-NZ"/>
        </w:rPr>
      </w:pPr>
      <w:r w:rsidRPr="009653FA">
        <w:rPr>
          <w:noProof/>
          <w:lang w:val="uk-UA" w:eastAsia="uk-UA"/>
        </w:rPr>
        <w:drawing>
          <wp:inline distT="0" distB="0" distL="0" distR="0" wp14:anchorId="6892A2B2" wp14:editId="18A98B16">
            <wp:extent cx="6115050" cy="8858250"/>
            <wp:effectExtent l="0" t="0" r="0" b="0"/>
            <wp:docPr id="10" name="Picture 10" descr="Z:\Shared Documents\00. Quarterly Reports\26th HRMMU Report\Infographics\English\civcas25-en-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Shared Documents\00. Quarterly Reports\26th HRMMU Report\Infographics\English\civcas25-en-0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15050" cy="8858250"/>
                    </a:xfrm>
                    <a:prstGeom prst="rect">
                      <a:avLst/>
                    </a:prstGeom>
                    <a:noFill/>
                    <a:ln>
                      <a:noFill/>
                    </a:ln>
                  </pic:spPr>
                </pic:pic>
              </a:graphicData>
            </a:graphic>
          </wp:inline>
        </w:drawing>
      </w:r>
    </w:p>
    <w:p w14:paraId="441C69BC" w14:textId="1AA5272A" w:rsidR="00256B96" w:rsidRPr="00513802" w:rsidRDefault="00B70B65" w:rsidP="009653FA">
      <w:pPr>
        <w:suppressAutoHyphens w:val="0"/>
        <w:spacing w:after="160" w:line="259" w:lineRule="auto"/>
        <w:rPr>
          <w:lang w:val="en-NZ"/>
        </w:rPr>
      </w:pPr>
      <w:r>
        <w:rPr>
          <w:lang w:val="en-NZ"/>
        </w:rPr>
        <w:br w:type="page"/>
      </w:r>
      <w:r w:rsidR="00256B96" w:rsidRPr="00513802">
        <w:rPr>
          <w:lang w:val="en-NZ"/>
        </w:rPr>
        <w:lastRenderedPageBreak/>
        <w:br w:type="page"/>
      </w:r>
    </w:p>
    <w:p w14:paraId="111133D5" w14:textId="77777777" w:rsidR="00256B96" w:rsidRPr="00513802" w:rsidRDefault="00256B96" w:rsidP="00256B96">
      <w:pPr>
        <w:suppressAutoHyphens w:val="0"/>
        <w:spacing w:line="240" w:lineRule="auto"/>
        <w:ind w:right="1126"/>
        <w:rPr>
          <w:lang w:val="en-NZ"/>
        </w:rPr>
        <w:sectPr w:rsidR="00256B96" w:rsidRPr="00513802" w:rsidSect="00B22C66">
          <w:endnotePr>
            <w:numFmt w:val="decimal"/>
          </w:endnotePr>
          <w:pgSz w:w="11907" w:h="16840" w:code="9"/>
          <w:pgMar w:top="1412" w:right="851" w:bottom="1140" w:left="1140" w:header="851" w:footer="448" w:gutter="0"/>
          <w:cols w:space="720"/>
          <w:titlePg/>
          <w:docGrid w:linePitch="272"/>
        </w:sectPr>
      </w:pPr>
    </w:p>
    <w:p w14:paraId="7D960949" w14:textId="354B35BE" w:rsidR="004B45A5" w:rsidRPr="00513802" w:rsidRDefault="00256B96" w:rsidP="00DC0D28">
      <w:pPr>
        <w:pStyle w:val="H1G"/>
        <w:rPr>
          <w:lang w:val="en-NZ"/>
        </w:rPr>
      </w:pPr>
      <w:r w:rsidRPr="00513802">
        <w:rPr>
          <w:lang w:val="en-NZ"/>
        </w:rPr>
        <w:lastRenderedPageBreak/>
        <w:tab/>
      </w:r>
      <w:bookmarkStart w:id="0" w:name="_Toc11165962"/>
      <w:r w:rsidR="00CF5015" w:rsidRPr="00513802">
        <w:rPr>
          <w:lang w:val="en-NZ"/>
        </w:rPr>
        <w:t>Executive s</w:t>
      </w:r>
      <w:r w:rsidR="004B45A5" w:rsidRPr="00513802">
        <w:rPr>
          <w:lang w:val="en-NZ"/>
        </w:rPr>
        <w:t>ummary</w:t>
      </w:r>
      <w:bookmarkEnd w:id="0"/>
    </w:p>
    <w:p w14:paraId="4E6D3A9D" w14:textId="382B74ED" w:rsidR="00481DB1" w:rsidRDefault="00BC6048" w:rsidP="001232C6">
      <w:pPr>
        <w:pStyle w:val="SingleTxtG-Withnumbering"/>
      </w:pPr>
      <w:bookmarkStart w:id="1" w:name="_Toc513567277"/>
      <w:bookmarkStart w:id="2" w:name="_Toc513567993"/>
      <w:bookmarkStart w:id="3" w:name="_Toc513568515"/>
      <w:bookmarkStart w:id="4" w:name="_Toc513569218"/>
      <w:bookmarkStart w:id="5" w:name="_Toc513569912"/>
      <w:bookmarkStart w:id="6" w:name="_Toc514402996"/>
      <w:bookmarkStart w:id="7" w:name="_Toc514404242"/>
      <w:bookmarkStart w:id="8" w:name="_Toc514404268"/>
      <w:bookmarkStart w:id="9" w:name="_Toc514410215"/>
      <w:bookmarkStart w:id="10" w:name="_Toc514417626"/>
      <w:bookmarkStart w:id="11" w:name="_Toc514769274"/>
      <w:bookmarkStart w:id="12" w:name="_Toc521518077"/>
      <w:bookmarkStart w:id="13" w:name="_Toc523729914"/>
      <w:bookmarkStart w:id="14" w:name="_Toc523733222"/>
      <w:bookmarkStart w:id="15" w:name="_Toc523733538"/>
      <w:bookmarkStart w:id="16" w:name="_Toc523734198"/>
      <w:bookmarkStart w:id="17" w:name="_Toc523737827"/>
      <w:bookmarkStart w:id="18" w:name="_Toc523737858"/>
      <w:bookmarkStart w:id="19" w:name="_Toc525031922"/>
      <w:bookmarkStart w:id="20" w:name="_Toc525034442"/>
      <w:bookmarkStart w:id="21" w:name="_Toc525035785"/>
      <w:r w:rsidRPr="00F766CA">
        <w:rPr>
          <w:rStyle w:val="SingleTxtG-WithnumberingChar"/>
        </w:rPr>
        <w:t xml:space="preserve">This </w:t>
      </w:r>
      <w:r w:rsidRPr="000C3673">
        <w:t>twenty</w:t>
      </w:r>
      <w:r w:rsidRPr="00513802">
        <w:t xml:space="preserve">-sixth </w:t>
      </w:r>
      <w:r w:rsidRPr="009E7BCC">
        <w:t>report</w:t>
      </w:r>
      <w:r w:rsidRPr="00513802">
        <w:t xml:space="preserve"> on the situation of human rights in Ukraine by the Office of the United </w:t>
      </w:r>
      <w:r w:rsidRPr="00502987">
        <w:t>Nations</w:t>
      </w:r>
      <w:r w:rsidRPr="00513802">
        <w:t xml:space="preserve"> High Commissioner for Human Rights (OHCHR) is based on the work of</w:t>
      </w:r>
      <w:r w:rsidR="009A06DD" w:rsidRPr="00513802">
        <w:t xml:space="preserve"> </w:t>
      </w:r>
      <w:r w:rsidRPr="00513802">
        <w:t>the</w:t>
      </w:r>
      <w:r w:rsidR="009A06DD" w:rsidRPr="00513802">
        <w:t xml:space="preserve"> </w:t>
      </w:r>
      <w:r w:rsidRPr="00513802">
        <w:t>United</w:t>
      </w:r>
      <w:r w:rsidR="009A06DD" w:rsidRPr="00513802">
        <w:t xml:space="preserve"> </w:t>
      </w:r>
      <w:r w:rsidRPr="000C3673">
        <w:t>Nations</w:t>
      </w:r>
      <w:r w:rsidR="009A06DD" w:rsidRPr="00513802">
        <w:t xml:space="preserve"> </w:t>
      </w:r>
      <w:r w:rsidRPr="00513802">
        <w:t>Human</w:t>
      </w:r>
      <w:r w:rsidR="009A06DD" w:rsidRPr="00513802">
        <w:t xml:space="preserve"> </w:t>
      </w:r>
      <w:r w:rsidRPr="00513802">
        <w:t>Rights</w:t>
      </w:r>
      <w:r w:rsidR="009A06DD" w:rsidRPr="00513802">
        <w:t xml:space="preserve"> </w:t>
      </w:r>
      <w:r w:rsidRPr="00513802">
        <w:t>Monitoring</w:t>
      </w:r>
      <w:r w:rsidR="009A06DD" w:rsidRPr="00513802">
        <w:t xml:space="preserve"> </w:t>
      </w:r>
      <w:r w:rsidRPr="00513802">
        <w:t>Mission</w:t>
      </w:r>
      <w:r w:rsidR="009A06DD" w:rsidRPr="00513802">
        <w:t xml:space="preserve"> </w:t>
      </w:r>
      <w:r w:rsidRPr="00513802">
        <w:t>in</w:t>
      </w:r>
      <w:r w:rsidR="009A06DD" w:rsidRPr="00513802">
        <w:t xml:space="preserve"> </w:t>
      </w:r>
      <w:r w:rsidRPr="00513802">
        <w:t>Ukraine</w:t>
      </w:r>
      <w:r w:rsidR="009A06DD" w:rsidRPr="00513802">
        <w:t xml:space="preserve"> </w:t>
      </w:r>
      <w:r w:rsidRPr="00513802">
        <w:t>(HRMMU),</w:t>
      </w:r>
      <w:r w:rsidRPr="00481DB1">
        <w:rPr>
          <w:vertAlign w:val="superscript"/>
        </w:rPr>
        <w:footnoteReference w:id="2"/>
      </w:r>
      <w:r w:rsidRPr="00513802">
        <w:t xml:space="preserve"> and covers the period from 16 February to</w:t>
      </w:r>
      <w:r w:rsidR="00721226" w:rsidRPr="00513802">
        <w:t xml:space="preserve"> </w:t>
      </w:r>
      <w:r w:rsidRPr="00513802">
        <w:t>15 May 2019.</w:t>
      </w:r>
    </w:p>
    <w:p w14:paraId="46F721F6" w14:textId="2094A28A" w:rsidR="00481DB1" w:rsidRDefault="00747F32" w:rsidP="001232C6">
      <w:pPr>
        <w:pStyle w:val="SingleTxtG"/>
      </w:pPr>
      <w:r>
        <w:t>On the basis of its monitoring work,</w:t>
      </w:r>
      <w:r w:rsidRPr="00513802">
        <w:t xml:space="preserve"> </w:t>
      </w:r>
      <w:r w:rsidR="00BC6048" w:rsidRPr="00513802">
        <w:t xml:space="preserve">OHCHR documented </w:t>
      </w:r>
      <w:r w:rsidR="007C08B3" w:rsidRPr="00F45F74">
        <w:t>2</w:t>
      </w:r>
      <w:r w:rsidR="0079557A">
        <w:t>30</w:t>
      </w:r>
      <w:r w:rsidR="007C08B3" w:rsidRPr="00F45F74">
        <w:t xml:space="preserve"> </w:t>
      </w:r>
      <w:r w:rsidR="00BC6048" w:rsidRPr="00513802">
        <w:t xml:space="preserve">human rights </w:t>
      </w:r>
      <w:r w:rsidR="00BC6048" w:rsidRPr="00747F32">
        <w:t xml:space="preserve">violations </w:t>
      </w:r>
      <w:r w:rsidR="002640B2" w:rsidRPr="006E4284">
        <w:t>and abus</w:t>
      </w:r>
      <w:r w:rsidR="002640B2" w:rsidRPr="00C00F4B">
        <w:t xml:space="preserve">es </w:t>
      </w:r>
      <w:r w:rsidR="00592F5C">
        <w:t xml:space="preserve">as having </w:t>
      </w:r>
      <w:r w:rsidR="00893E97">
        <w:t xml:space="preserve">occurred </w:t>
      </w:r>
      <w:r w:rsidR="00721226" w:rsidRPr="00C00F4B">
        <w:t xml:space="preserve">during the </w:t>
      </w:r>
      <w:r w:rsidR="00BC6048" w:rsidRPr="00C00F4B">
        <w:t xml:space="preserve">reporting period, </w:t>
      </w:r>
      <w:r w:rsidR="00893E97">
        <w:t>affecting</w:t>
      </w:r>
      <w:r w:rsidR="00550296">
        <w:t xml:space="preserve"> </w:t>
      </w:r>
      <w:r w:rsidR="0079557A">
        <w:t>220</w:t>
      </w:r>
      <w:r w:rsidR="007C08B3" w:rsidRPr="00F45F74">
        <w:t xml:space="preserve"> </w:t>
      </w:r>
      <w:r w:rsidR="00BC6048" w:rsidRPr="006E4284">
        <w:t>victims</w:t>
      </w:r>
      <w:r w:rsidRPr="00C00F4B">
        <w:t>, notab</w:t>
      </w:r>
      <w:r w:rsidRPr="002E7F0B">
        <w:t xml:space="preserve">ly </w:t>
      </w:r>
      <w:r w:rsidRPr="008B10A6">
        <w:t xml:space="preserve">violations and abuses of the rights </w:t>
      </w:r>
      <w:r w:rsidR="00301EA0">
        <w:t xml:space="preserve">to life, </w:t>
      </w:r>
      <w:r w:rsidR="00301EA0" w:rsidRPr="008B10A6">
        <w:t>physical integrity</w:t>
      </w:r>
      <w:r w:rsidR="00301EA0">
        <w:t>,</w:t>
      </w:r>
      <w:r w:rsidR="00301EA0" w:rsidRPr="00301EA0">
        <w:t xml:space="preserve"> </w:t>
      </w:r>
      <w:r w:rsidR="00301EA0" w:rsidRPr="008B10A6">
        <w:t>a fair trial</w:t>
      </w:r>
      <w:r w:rsidR="00301EA0">
        <w:t>,</w:t>
      </w:r>
      <w:r w:rsidR="00301EA0" w:rsidRPr="008B10A6">
        <w:t xml:space="preserve"> </w:t>
      </w:r>
      <w:r w:rsidRPr="008B10A6">
        <w:t>non-discrimination</w:t>
      </w:r>
      <w:r w:rsidR="00BD775A">
        <w:t xml:space="preserve">, </w:t>
      </w:r>
      <w:r w:rsidRPr="008B10A6">
        <w:t>fundamental freedoms</w:t>
      </w:r>
      <w:r w:rsidR="00301EA0">
        <w:t xml:space="preserve">, </w:t>
      </w:r>
      <w:r w:rsidR="003A008C">
        <w:t>as well as</w:t>
      </w:r>
      <w:r w:rsidR="00301EA0">
        <w:t xml:space="preserve"> social and economic </w:t>
      </w:r>
      <w:r w:rsidR="003A008C">
        <w:t>rights</w:t>
      </w:r>
      <w:r w:rsidR="004A7C3C">
        <w:t xml:space="preserve">. These figures are </w:t>
      </w:r>
      <w:r w:rsidR="00893E97">
        <w:t>comparable to the last reporting period</w:t>
      </w:r>
      <w:r w:rsidR="00BC6048" w:rsidRPr="00747F32">
        <w:t>.</w:t>
      </w:r>
      <w:r w:rsidR="00721226" w:rsidRPr="006E4284">
        <w:rPr>
          <w:rStyle w:val="FootnoteReference"/>
          <w:sz w:val="20"/>
        </w:rPr>
        <w:footnoteReference w:id="3"/>
      </w:r>
      <w:r w:rsidR="00721226" w:rsidRPr="00513802">
        <w:t xml:space="preserve"> </w:t>
      </w:r>
      <w:r w:rsidR="00893E97">
        <w:t>A</w:t>
      </w:r>
      <w:r w:rsidR="001F60F2">
        <w:t>n additional</w:t>
      </w:r>
      <w:r w:rsidR="00893E97">
        <w:t xml:space="preserve"> </w:t>
      </w:r>
      <w:r w:rsidR="0007663B">
        <w:t>198</w:t>
      </w:r>
      <w:r w:rsidR="001F60F2">
        <w:t xml:space="preserve"> </w:t>
      </w:r>
      <w:r w:rsidR="009A06DD" w:rsidRPr="00513802">
        <w:t xml:space="preserve">violations </w:t>
      </w:r>
      <w:r w:rsidR="002640B2">
        <w:t xml:space="preserve">and abuses </w:t>
      </w:r>
      <w:r w:rsidR="00005E93">
        <w:t xml:space="preserve">that occurred before the reporting period </w:t>
      </w:r>
      <w:r w:rsidR="00893E97">
        <w:t xml:space="preserve">were </w:t>
      </w:r>
      <w:r w:rsidR="009A06DD" w:rsidRPr="00513802">
        <w:t>documented</w:t>
      </w:r>
      <w:r w:rsidR="00893E97">
        <w:t xml:space="preserve"> during this reporting </w:t>
      </w:r>
      <w:r w:rsidR="001F60F2">
        <w:t>period</w:t>
      </w:r>
      <w:r w:rsidR="00BC6048" w:rsidRPr="00513802">
        <w:t>.</w:t>
      </w:r>
      <w:r w:rsidR="003A008C" w:rsidRPr="00513802" w:rsidDel="003A008C">
        <w:rPr>
          <w:rStyle w:val="FootnoteReference"/>
          <w:sz w:val="20"/>
        </w:rPr>
        <w:t xml:space="preserve"> </w:t>
      </w:r>
    </w:p>
    <w:p w14:paraId="11FC0468" w14:textId="0BFD129B" w:rsidR="00EB5160" w:rsidRDefault="00BC6048" w:rsidP="001232C6">
      <w:pPr>
        <w:pStyle w:val="SingleTxtG"/>
      </w:pPr>
      <w:r w:rsidRPr="00513802">
        <w:t>Of</w:t>
      </w:r>
      <w:r w:rsidR="00321221" w:rsidRPr="00513802">
        <w:t xml:space="preserve"> </w:t>
      </w:r>
      <w:r w:rsidRPr="00513802">
        <w:t>the</w:t>
      </w:r>
      <w:r w:rsidR="00321221" w:rsidRPr="00513802">
        <w:t xml:space="preserve"> </w:t>
      </w:r>
      <w:r w:rsidRPr="00513802">
        <w:t>violations</w:t>
      </w:r>
      <w:r w:rsidR="00321221" w:rsidRPr="00513802">
        <w:t xml:space="preserve"> </w:t>
      </w:r>
      <w:r w:rsidR="002640B2">
        <w:t xml:space="preserve">and abuses </w:t>
      </w:r>
      <w:r w:rsidRPr="00513802">
        <w:t>documented</w:t>
      </w:r>
      <w:r w:rsidR="00321221" w:rsidRPr="00513802">
        <w:t xml:space="preserve"> </w:t>
      </w:r>
      <w:r w:rsidRPr="00513802">
        <w:t>by</w:t>
      </w:r>
      <w:r w:rsidR="00321221" w:rsidRPr="00513802">
        <w:t xml:space="preserve"> </w:t>
      </w:r>
      <w:r w:rsidRPr="00513802">
        <w:t>OHCHR,</w:t>
      </w:r>
      <w:r w:rsidR="00321221" w:rsidRPr="00513802">
        <w:t xml:space="preserve"> </w:t>
      </w:r>
      <w:r w:rsidRPr="00513802">
        <w:t>the</w:t>
      </w:r>
      <w:r w:rsidR="00321221" w:rsidRPr="00513802">
        <w:t xml:space="preserve"> </w:t>
      </w:r>
      <w:r w:rsidRPr="00513802">
        <w:t>Government</w:t>
      </w:r>
      <w:r w:rsidR="00321221" w:rsidRPr="00513802">
        <w:t xml:space="preserve"> </w:t>
      </w:r>
      <w:r w:rsidRPr="00513802">
        <w:t>of</w:t>
      </w:r>
      <w:r w:rsidR="00321221" w:rsidRPr="00513802">
        <w:t xml:space="preserve"> </w:t>
      </w:r>
      <w:r w:rsidRPr="00513802">
        <w:t>Ukraine</w:t>
      </w:r>
      <w:r w:rsidR="00321221" w:rsidRPr="00513802">
        <w:t xml:space="preserve"> </w:t>
      </w:r>
      <w:r w:rsidRPr="00513802">
        <w:t>was responsible</w:t>
      </w:r>
      <w:r w:rsidR="009A06DD" w:rsidRPr="00513802">
        <w:t xml:space="preserve"> </w:t>
      </w:r>
      <w:r w:rsidRPr="00513802">
        <w:t xml:space="preserve">for </w:t>
      </w:r>
      <w:r w:rsidR="0007663B" w:rsidRPr="00F45F74">
        <w:t>1</w:t>
      </w:r>
      <w:r w:rsidR="0079557A">
        <w:t>68</w:t>
      </w:r>
      <w:bookmarkStart w:id="22" w:name="_GoBack"/>
      <w:bookmarkEnd w:id="22"/>
      <w:r w:rsidR="0007663B" w:rsidRPr="00F45F74">
        <w:t xml:space="preserve"> </w:t>
      </w:r>
      <w:r w:rsidRPr="00513802">
        <w:t>violations,</w:t>
      </w:r>
      <w:r w:rsidR="009A06DD" w:rsidRPr="00513802">
        <w:t xml:space="preserve"> </w:t>
      </w:r>
      <w:r w:rsidRPr="00513802">
        <w:t>the</w:t>
      </w:r>
      <w:r w:rsidR="009A06DD" w:rsidRPr="00513802">
        <w:t xml:space="preserve"> </w:t>
      </w:r>
      <w:r w:rsidRPr="00513802">
        <w:t xml:space="preserve">self-proclaimed ‘Donetsk people’s republic’ </w:t>
      </w:r>
      <w:r w:rsidR="00550296">
        <w:t>f</w:t>
      </w:r>
      <w:r w:rsidR="00550296" w:rsidRPr="00513802">
        <w:t xml:space="preserve">or </w:t>
      </w:r>
      <w:r w:rsidR="0007663B" w:rsidRPr="00F45F74">
        <w:t xml:space="preserve">14 </w:t>
      </w:r>
      <w:r w:rsidR="003A008C">
        <w:t xml:space="preserve">of these </w:t>
      </w:r>
      <w:r w:rsidRPr="00513802">
        <w:t>and</w:t>
      </w:r>
      <w:r w:rsidR="009A06DD" w:rsidRPr="00513802">
        <w:t xml:space="preserve"> </w:t>
      </w:r>
      <w:r w:rsidRPr="00513802">
        <w:t>self-proclaimed</w:t>
      </w:r>
      <w:r w:rsidR="009A06DD" w:rsidRPr="00513802">
        <w:t xml:space="preserve"> </w:t>
      </w:r>
      <w:r w:rsidRPr="00513802">
        <w:t>‘Luhansk</w:t>
      </w:r>
      <w:r w:rsidR="009A06DD" w:rsidRPr="00513802">
        <w:t xml:space="preserve"> </w:t>
      </w:r>
      <w:r w:rsidRPr="00513802">
        <w:t>people’s</w:t>
      </w:r>
      <w:r w:rsidR="009A06DD" w:rsidRPr="00513802">
        <w:t xml:space="preserve"> republic’</w:t>
      </w:r>
      <w:r w:rsidR="009A06DD" w:rsidRPr="00513802">
        <w:rPr>
          <w:rStyle w:val="FootnoteReference"/>
          <w:sz w:val="20"/>
        </w:rPr>
        <w:footnoteReference w:id="4"/>
      </w:r>
      <w:r w:rsidR="001B5E31" w:rsidRPr="00513802">
        <w:t xml:space="preserve"> </w:t>
      </w:r>
      <w:r w:rsidRPr="00513802">
        <w:t xml:space="preserve">for </w:t>
      </w:r>
      <w:r w:rsidR="0007663B" w:rsidRPr="00F45F74">
        <w:t>206</w:t>
      </w:r>
      <w:r w:rsidR="00550296">
        <w:t>.</w:t>
      </w:r>
      <w:r w:rsidR="00C368F3" w:rsidRPr="009A43F0">
        <w:rPr>
          <w:rStyle w:val="FootnoteReference"/>
          <w:sz w:val="20"/>
        </w:rPr>
        <w:footnoteReference w:id="5"/>
      </w:r>
      <w:r w:rsidR="001B5E31" w:rsidRPr="009A43F0">
        <w:rPr>
          <w:sz w:val="22"/>
          <w:szCs w:val="22"/>
        </w:rPr>
        <w:t xml:space="preserve"> </w:t>
      </w:r>
      <w:r w:rsidR="0050394E" w:rsidRPr="0050394E">
        <w:t xml:space="preserve">The Government of the Russian Federation was responsible for </w:t>
      </w:r>
      <w:r w:rsidR="0050394E" w:rsidRPr="00F45F74">
        <w:t>40</w:t>
      </w:r>
      <w:r w:rsidR="009A43F0">
        <w:t xml:space="preserve"> violations</w:t>
      </w:r>
      <w:r w:rsidR="0050394E" w:rsidRPr="0050394E">
        <w:t xml:space="preserve"> in the Autonomous Republic of Crimea and the city of Sevastopol, Ukraine, temporarily occupied by the Russi</w:t>
      </w:r>
      <w:r w:rsidR="0050394E">
        <w:t>an Federation</w:t>
      </w:r>
      <w:r w:rsidRPr="00513802">
        <w:t>.</w:t>
      </w:r>
      <w:r w:rsidR="00100587" w:rsidRPr="00100587">
        <w:rPr>
          <w:rStyle w:val="FootnoteReference"/>
          <w:sz w:val="20"/>
        </w:rPr>
        <w:footnoteReference w:id="6"/>
      </w:r>
      <w:r w:rsidRPr="00513802">
        <w:t xml:space="preserve"> </w:t>
      </w:r>
    </w:p>
    <w:p w14:paraId="5A3B638B" w14:textId="0FF65CD2" w:rsidR="00C91726" w:rsidRDefault="008670E6" w:rsidP="001232C6">
      <w:pPr>
        <w:pStyle w:val="SingleTxtG"/>
      </w:pPr>
      <w:r>
        <w:t xml:space="preserve">As described </w:t>
      </w:r>
      <w:r w:rsidR="008C07E0">
        <w:t xml:space="preserve">in </w:t>
      </w:r>
      <w:r>
        <w:t>the report,</w:t>
      </w:r>
      <w:r w:rsidR="006D4613">
        <w:t xml:space="preserve"> while</w:t>
      </w:r>
      <w:r>
        <w:t xml:space="preserve"> t</w:t>
      </w:r>
      <w:r w:rsidR="00537005" w:rsidRPr="00513802">
        <w:t xml:space="preserve">he armed </w:t>
      </w:r>
      <w:r w:rsidR="00537005" w:rsidRPr="00EB5160">
        <w:t>conflict</w:t>
      </w:r>
      <w:r w:rsidR="00537005" w:rsidRPr="00513802">
        <w:t xml:space="preserve"> in eastern Ukraine </w:t>
      </w:r>
      <w:r w:rsidR="006D4613">
        <w:t xml:space="preserve">continues to </w:t>
      </w:r>
      <w:r w:rsidR="005207D3">
        <w:t xml:space="preserve">affect the population throughout </w:t>
      </w:r>
      <w:r w:rsidR="006D4613">
        <w:t>the country, t</w:t>
      </w:r>
      <w:r w:rsidR="009A4BC9">
        <w:t>he</w:t>
      </w:r>
      <w:r w:rsidR="009A4BC9" w:rsidRPr="00513802">
        <w:t xml:space="preserve"> </w:t>
      </w:r>
      <w:r w:rsidR="00537005" w:rsidRPr="00513802">
        <w:t>ongoing hostilities in a number of hotspots along the contact line</w:t>
      </w:r>
      <w:r w:rsidR="009A4BC9">
        <w:t xml:space="preserve"> </w:t>
      </w:r>
      <w:r w:rsidR="00BD775A">
        <w:t>have a significant</w:t>
      </w:r>
      <w:r w:rsidR="00502987">
        <w:t xml:space="preserve"> </w:t>
      </w:r>
      <w:r w:rsidR="006D4613">
        <w:t xml:space="preserve">impact on </w:t>
      </w:r>
      <w:r w:rsidR="009A4BC9">
        <w:t>the lives of people who live there</w:t>
      </w:r>
      <w:r w:rsidR="00A135E2">
        <w:t>.</w:t>
      </w:r>
      <w:r w:rsidR="00A135E2" w:rsidRPr="00A135E2">
        <w:t xml:space="preserve"> </w:t>
      </w:r>
      <w:r w:rsidR="00A135E2" w:rsidRPr="00513802">
        <w:t xml:space="preserve">During the reporting period, OHCHR documented </w:t>
      </w:r>
      <w:r w:rsidR="00A135E2">
        <w:t>45</w:t>
      </w:r>
      <w:r w:rsidR="00A135E2" w:rsidRPr="00513802">
        <w:t xml:space="preserve"> conflict-related civilian casualties: </w:t>
      </w:r>
      <w:r w:rsidR="00A135E2">
        <w:t>10</w:t>
      </w:r>
      <w:r w:rsidR="00A135E2" w:rsidRPr="00513802">
        <w:t xml:space="preserve"> killed and </w:t>
      </w:r>
      <w:r w:rsidR="00A135E2">
        <w:t>35</w:t>
      </w:r>
      <w:r w:rsidR="00A135E2" w:rsidRPr="00513802">
        <w:t xml:space="preserve"> injured, which represents a </w:t>
      </w:r>
      <w:r w:rsidR="00A135E2">
        <w:t>181</w:t>
      </w:r>
      <w:r w:rsidR="00A135E2" w:rsidRPr="00513802">
        <w:t xml:space="preserve"> per cent </w:t>
      </w:r>
      <w:r w:rsidR="00A135E2">
        <w:t>increase</w:t>
      </w:r>
      <w:r w:rsidR="00A135E2" w:rsidRPr="00513802">
        <w:t xml:space="preserve"> compared</w:t>
      </w:r>
      <w:r w:rsidR="0099204B">
        <w:t xml:space="preserve"> with </w:t>
      </w:r>
      <w:r w:rsidR="00A135E2" w:rsidRPr="00513802">
        <w:t>the previous reporting period from 16 November 2018 to 15 February 2019</w:t>
      </w:r>
      <w:r w:rsidR="00A135E2">
        <w:t xml:space="preserve">, </w:t>
      </w:r>
      <w:r w:rsidR="00C91726">
        <w:t xml:space="preserve">but </w:t>
      </w:r>
      <w:r w:rsidR="00A135E2">
        <w:t xml:space="preserve">the </w:t>
      </w:r>
      <w:r w:rsidR="00A135E2" w:rsidRPr="0023200C">
        <w:t xml:space="preserve">lowest </w:t>
      </w:r>
      <w:r w:rsidR="00A135E2" w:rsidRPr="00552AA7">
        <w:t>figures</w:t>
      </w:r>
      <w:r w:rsidR="00A135E2" w:rsidRPr="00EB5160">
        <w:rPr>
          <w:i/>
        </w:rPr>
        <w:t xml:space="preserve"> </w:t>
      </w:r>
      <w:r w:rsidR="00A135E2" w:rsidRPr="0023200C">
        <w:t xml:space="preserve">compared with </w:t>
      </w:r>
      <w:r w:rsidR="00A135E2" w:rsidRPr="00EB5160">
        <w:rPr>
          <w:lang w:val="en-US"/>
        </w:rPr>
        <w:t>the same periods in</w:t>
      </w:r>
      <w:r w:rsidR="00A135E2" w:rsidRPr="00EB5160">
        <w:rPr>
          <w:i/>
          <w:lang w:val="en-US"/>
        </w:rPr>
        <w:t xml:space="preserve"> </w:t>
      </w:r>
      <w:r w:rsidR="00A135E2" w:rsidRPr="0023200C">
        <w:t>2015-2018</w:t>
      </w:r>
      <w:r w:rsidR="00A135E2" w:rsidRPr="00513802">
        <w:t>.</w:t>
      </w:r>
      <w:r w:rsidR="00C91726">
        <w:t xml:space="preserve"> Shelling and </w:t>
      </w:r>
      <w:r w:rsidR="00A135E2" w:rsidRPr="00513802">
        <w:t>small arms and light weapon</w:t>
      </w:r>
      <w:r w:rsidR="00C91726">
        <w:t xml:space="preserve">s </w:t>
      </w:r>
      <w:r w:rsidR="00A135E2" w:rsidRPr="00513802">
        <w:t xml:space="preserve">fire </w:t>
      </w:r>
      <w:r w:rsidR="00A135E2">
        <w:t xml:space="preserve">killed </w:t>
      </w:r>
      <w:r w:rsidR="00C91726">
        <w:t xml:space="preserve">two civilians </w:t>
      </w:r>
      <w:r w:rsidR="00A135E2">
        <w:t xml:space="preserve">and </w:t>
      </w:r>
      <w:r w:rsidR="00A135E2" w:rsidRPr="00513802">
        <w:t xml:space="preserve">injured </w:t>
      </w:r>
      <w:r w:rsidR="00C91726">
        <w:t>18</w:t>
      </w:r>
      <w:r w:rsidR="00A135E2" w:rsidRPr="00513802">
        <w:t xml:space="preserve"> – one of the lowest figures for the entire conflict period. Of these, </w:t>
      </w:r>
      <w:r w:rsidR="00A135E2">
        <w:t>16</w:t>
      </w:r>
      <w:r w:rsidR="00A135E2" w:rsidRPr="00513802">
        <w:t xml:space="preserve"> were recorded in territory controlled by</w:t>
      </w:r>
      <w:r w:rsidR="007976D4">
        <w:t xml:space="preserve"> </w:t>
      </w:r>
      <w:r w:rsidR="007976D4" w:rsidRPr="007976D4">
        <w:t>‘Donetsk people’s republic’ and ‘Luhansk people’s r</w:t>
      </w:r>
      <w:r w:rsidR="007976D4" w:rsidRPr="00C16B77">
        <w:t>epublic’</w:t>
      </w:r>
      <w:r w:rsidR="00A135E2" w:rsidRPr="00513802">
        <w:rPr>
          <w:rStyle w:val="FootnoteReference"/>
          <w:sz w:val="20"/>
        </w:rPr>
        <w:footnoteReference w:id="7"/>
      </w:r>
      <w:r w:rsidR="00A135E2" w:rsidRPr="00513802">
        <w:t xml:space="preserve"> and are</w:t>
      </w:r>
      <w:r w:rsidR="00C91726">
        <w:t xml:space="preserve"> attributable to the Government, and f</w:t>
      </w:r>
      <w:r w:rsidR="00A135E2">
        <w:t>our</w:t>
      </w:r>
      <w:r w:rsidR="00C91726">
        <w:t xml:space="preserve"> </w:t>
      </w:r>
      <w:r w:rsidR="00A135E2" w:rsidRPr="00513802">
        <w:t>w</w:t>
      </w:r>
      <w:r w:rsidR="00A135E2">
        <w:t>ere</w:t>
      </w:r>
      <w:r w:rsidR="00A135E2" w:rsidRPr="00513802">
        <w:t xml:space="preserve"> recorded in </w:t>
      </w:r>
      <w:r w:rsidR="00A135E2">
        <w:t>G</w:t>
      </w:r>
      <w:r w:rsidR="00A135E2" w:rsidRPr="00513802">
        <w:t xml:space="preserve">overnment-controlled territory and </w:t>
      </w:r>
      <w:r w:rsidR="00C91726">
        <w:t>are</w:t>
      </w:r>
      <w:r w:rsidR="00A135E2" w:rsidRPr="00513802">
        <w:t xml:space="preserve"> attributable to</w:t>
      </w:r>
      <w:r w:rsidR="007976D4">
        <w:t xml:space="preserve"> armed groups of</w:t>
      </w:r>
      <w:r w:rsidR="00A135E2" w:rsidRPr="00513802">
        <w:t xml:space="preserve"> </w:t>
      </w:r>
      <w:r w:rsidR="002A2B58">
        <w:t>‘Donetsk people</w:t>
      </w:r>
      <w:r w:rsidR="00E851B4">
        <w:t>’s</w:t>
      </w:r>
      <w:r w:rsidR="002A2B58">
        <w:t xml:space="preserve"> republic’ and ‘Luhans</w:t>
      </w:r>
      <w:r w:rsidR="00CB7E58">
        <w:t>k</w:t>
      </w:r>
      <w:r w:rsidR="002A2B58">
        <w:t xml:space="preserve"> people</w:t>
      </w:r>
      <w:r w:rsidR="00CB7E58">
        <w:t>’s</w:t>
      </w:r>
      <w:r w:rsidR="002A2B58">
        <w:t xml:space="preserve"> republic’</w:t>
      </w:r>
      <w:r w:rsidR="00A135E2" w:rsidRPr="00513802">
        <w:t>.</w:t>
      </w:r>
      <w:r w:rsidR="00100587" w:rsidRPr="00F523C7">
        <w:rPr>
          <w:rStyle w:val="FootnoteReference"/>
          <w:sz w:val="20"/>
        </w:rPr>
        <w:footnoteReference w:id="8"/>
      </w:r>
      <w:r w:rsidR="00A135E2" w:rsidRPr="00513802">
        <w:t xml:space="preserve"> </w:t>
      </w:r>
      <w:r w:rsidR="00C91726">
        <w:t xml:space="preserve">Mines and explosive remnants of war killed </w:t>
      </w:r>
      <w:r w:rsidR="00641BA8">
        <w:t xml:space="preserve">seven civilians </w:t>
      </w:r>
      <w:r w:rsidR="00C91726">
        <w:t>and injured</w:t>
      </w:r>
      <w:r w:rsidR="00641BA8">
        <w:t xml:space="preserve"> 17</w:t>
      </w:r>
      <w:r w:rsidR="00C91726">
        <w:t xml:space="preserve">. </w:t>
      </w:r>
      <w:r w:rsidR="00346E4F" w:rsidRPr="00513802">
        <w:t xml:space="preserve">The total civilian death toll of the conflict reached at least </w:t>
      </w:r>
      <w:r w:rsidR="00346E4F">
        <w:t>3,331</w:t>
      </w:r>
      <w:r w:rsidR="00346E4F" w:rsidRPr="00513802">
        <w:t xml:space="preserve"> as of 15 May 2019.</w:t>
      </w:r>
    </w:p>
    <w:p w14:paraId="6B2B578D" w14:textId="677928C7" w:rsidR="00A135E2" w:rsidRDefault="00A135E2" w:rsidP="001232C6">
      <w:pPr>
        <w:pStyle w:val="SingleTxtG"/>
      </w:pPr>
      <w:r w:rsidRPr="0042661B">
        <w:lastRenderedPageBreak/>
        <w:t xml:space="preserve">Overall, as of 15 May, average monthly civilian casualties in 2019 were </w:t>
      </w:r>
      <w:r w:rsidRPr="00C47664">
        <w:t>50</w:t>
      </w:r>
      <w:r w:rsidRPr="0042661B">
        <w:t xml:space="preserve"> percent lower than in 201</w:t>
      </w:r>
      <w:r>
        <w:t>8</w:t>
      </w:r>
      <w:r w:rsidRPr="001B744E">
        <w:t xml:space="preserve"> and were among the lowest for the entire conflict period.</w:t>
      </w:r>
      <w:r w:rsidRPr="00552AA7">
        <w:rPr>
          <w:rStyle w:val="FootnoteReference"/>
          <w:sz w:val="20"/>
        </w:rPr>
        <w:footnoteReference w:id="9"/>
      </w:r>
      <w:r>
        <w:t xml:space="preserve"> </w:t>
      </w:r>
      <w:r w:rsidR="00E041F5" w:rsidRPr="00C820CD">
        <w:rPr>
          <w:lang w:val="en-US"/>
        </w:rPr>
        <w:t>These numbers demonstrate that it is possible to progressively decrease civilian casualties to close to zero</w:t>
      </w:r>
      <w:r w:rsidR="000727B4">
        <w:rPr>
          <w:lang w:val="en-US"/>
        </w:rPr>
        <w:t>. U</w:t>
      </w:r>
      <w:r w:rsidR="009A4BC9" w:rsidRPr="009A4BC9">
        <w:rPr>
          <w:lang w:val="en-US"/>
        </w:rPr>
        <w:t xml:space="preserve">ntil the conflict </w:t>
      </w:r>
      <w:r w:rsidR="009A4BC9">
        <w:rPr>
          <w:lang w:val="en-US"/>
        </w:rPr>
        <w:t>is resolved</w:t>
      </w:r>
      <w:r w:rsidR="00D12DAD">
        <w:rPr>
          <w:lang w:val="en-US"/>
        </w:rPr>
        <w:t>,</w:t>
      </w:r>
      <w:r w:rsidR="009A4BC9" w:rsidRPr="009A4BC9">
        <w:rPr>
          <w:lang w:val="en-US"/>
        </w:rPr>
        <w:t xml:space="preserve"> </w:t>
      </w:r>
      <w:r w:rsidR="000727B4">
        <w:rPr>
          <w:lang w:val="en-US"/>
        </w:rPr>
        <w:t>a</w:t>
      </w:r>
      <w:r w:rsidR="00E041F5" w:rsidRPr="00C820CD">
        <w:rPr>
          <w:lang w:val="en-US"/>
        </w:rPr>
        <w:t>dherence to the</w:t>
      </w:r>
      <w:r w:rsidR="00361011">
        <w:rPr>
          <w:lang w:val="en-US"/>
        </w:rPr>
        <w:t xml:space="preserve"> </w:t>
      </w:r>
      <w:r w:rsidR="00E041F5" w:rsidRPr="00C820CD">
        <w:rPr>
          <w:lang w:val="en-US"/>
        </w:rPr>
        <w:t xml:space="preserve">Minsk Agreements and respect of international humanitarian law </w:t>
      </w:r>
      <w:r w:rsidR="000727B4">
        <w:rPr>
          <w:lang w:val="en-US"/>
        </w:rPr>
        <w:t>are</w:t>
      </w:r>
      <w:r w:rsidR="00E041F5" w:rsidRPr="00C820CD">
        <w:rPr>
          <w:lang w:val="en-US"/>
        </w:rPr>
        <w:t xml:space="preserve"> key factors in making this happen.</w:t>
      </w:r>
      <w:r>
        <w:rPr>
          <w:lang w:val="en-US"/>
        </w:rPr>
        <w:t xml:space="preserve"> </w:t>
      </w:r>
    </w:p>
    <w:p w14:paraId="70A4B092" w14:textId="3F25B276" w:rsidR="00E46D37" w:rsidRDefault="00E46D37" w:rsidP="001232C6">
      <w:pPr>
        <w:pStyle w:val="SingleTxtG"/>
      </w:pPr>
      <w:r>
        <w:t xml:space="preserve">More generally, OHCHR reiterates its concern about the need to ensure broader protection of the rights of conflict-affected civilians wherever they may be. </w:t>
      </w:r>
      <w:r w:rsidR="00A135E2">
        <w:t xml:space="preserve">Civilians </w:t>
      </w:r>
      <w:r w:rsidR="007F47B1">
        <w:t>residing</w:t>
      </w:r>
      <w:r w:rsidR="00A135E2">
        <w:t xml:space="preserve"> in proximity to the contact line</w:t>
      </w:r>
      <w:r w:rsidR="00F11587">
        <w:t xml:space="preserve"> </w:t>
      </w:r>
      <w:r w:rsidR="00A135E2">
        <w:t>continued</w:t>
      </w:r>
      <w:r w:rsidR="00F11587">
        <w:t xml:space="preserve"> </w:t>
      </w:r>
      <w:r w:rsidR="00A135E2">
        <w:t xml:space="preserve">to </w:t>
      </w:r>
      <w:r w:rsidR="00F11587">
        <w:t>lack access to basic services and social support. Remed</w:t>
      </w:r>
      <w:r w:rsidR="005861AA">
        <w:t>y</w:t>
      </w:r>
      <w:r w:rsidR="00F11587">
        <w:t xml:space="preserve"> and reparation for people injured and whose relatives have been killed, as well as those whose properties have been damaged or destroyed </w:t>
      </w:r>
      <w:r w:rsidR="00E26246">
        <w:t>are still lacking</w:t>
      </w:r>
      <w:r w:rsidR="00C56F52">
        <w:t xml:space="preserve">. </w:t>
      </w:r>
      <w:r>
        <w:t>Furthermore, f</w:t>
      </w:r>
      <w:r w:rsidR="008670E6">
        <w:t>reedom of movement continue</w:t>
      </w:r>
      <w:r>
        <w:t>d</w:t>
      </w:r>
      <w:r w:rsidR="008670E6">
        <w:t xml:space="preserve"> to be </w:t>
      </w:r>
      <w:r w:rsidR="00130A5A">
        <w:t xml:space="preserve">one of the main concerns </w:t>
      </w:r>
      <w:r>
        <w:t>with n</w:t>
      </w:r>
      <w:r w:rsidR="006F3A99">
        <w:t>ine</w:t>
      </w:r>
      <w:r w:rsidR="00371392">
        <w:t xml:space="preserve"> </w:t>
      </w:r>
      <w:r w:rsidR="00F11587">
        <w:t xml:space="preserve">persons </w:t>
      </w:r>
      <w:r>
        <w:t xml:space="preserve">dying </w:t>
      </w:r>
      <w:r w:rsidR="00F11587">
        <w:t>while crossing entry-exit checkpoints (EECPs).</w:t>
      </w:r>
      <w:r w:rsidR="00F11587" w:rsidRPr="00F523C7">
        <w:rPr>
          <w:rStyle w:val="FootnoteReference"/>
          <w:sz w:val="20"/>
        </w:rPr>
        <w:footnoteReference w:id="10"/>
      </w:r>
      <w:r w:rsidR="00F11587">
        <w:t xml:space="preserve"> </w:t>
      </w:r>
      <w:r w:rsidR="00AE42E2" w:rsidRPr="007F47B1">
        <w:t>Efforts by the Government to facilitate travel across the contact line are welcome, notably the removal of expiry dates of permits to cross EECPs issued online as of 28 March 2019</w:t>
      </w:r>
      <w:r w:rsidR="00625277">
        <w:t xml:space="preserve">. </w:t>
      </w:r>
      <w:r w:rsidR="00C76BB9">
        <w:t>I</w:t>
      </w:r>
      <w:r w:rsidR="00AE42E2" w:rsidRPr="007F47B1">
        <w:t>n practice</w:t>
      </w:r>
      <w:r w:rsidR="00AE42E2">
        <w:t xml:space="preserve"> however</w:t>
      </w:r>
      <w:r w:rsidR="00AE42E2" w:rsidRPr="007F47B1">
        <w:t>, there was little improvement in crossing conditions</w:t>
      </w:r>
      <w:r w:rsidR="00AE42E2">
        <w:t>. There remains</w:t>
      </w:r>
      <w:r w:rsidR="00AE42E2" w:rsidRPr="007F47B1">
        <w:t xml:space="preserve"> an acute need for more crossing points and long-awaited </w:t>
      </w:r>
      <w:r w:rsidR="00AE42E2">
        <w:t>reconstruction</w:t>
      </w:r>
      <w:r w:rsidR="00AE42E2" w:rsidRPr="007F47B1">
        <w:t xml:space="preserve"> </w:t>
      </w:r>
      <w:r w:rsidR="00AE42E2">
        <w:t>of</w:t>
      </w:r>
      <w:r w:rsidR="00AE42E2" w:rsidRPr="007F47B1">
        <w:t xml:space="preserve"> the bridge </w:t>
      </w:r>
      <w:r w:rsidR="00AE42E2">
        <w:t>at</w:t>
      </w:r>
      <w:r w:rsidR="00AE42E2" w:rsidRPr="007F47B1">
        <w:t xml:space="preserve"> </w:t>
      </w:r>
      <w:r w:rsidR="00AE42E2" w:rsidRPr="007F47B1">
        <w:rPr>
          <w:rStyle w:val="st"/>
        </w:rPr>
        <w:t>Stan</w:t>
      </w:r>
      <w:r w:rsidR="00AE42E2" w:rsidRPr="00597DC6">
        <w:rPr>
          <w:rStyle w:val="st"/>
        </w:rPr>
        <w:t>y</w:t>
      </w:r>
      <w:r w:rsidR="00AE42E2" w:rsidRPr="007F47B1">
        <w:rPr>
          <w:rStyle w:val="st"/>
        </w:rPr>
        <w:t>ts</w:t>
      </w:r>
      <w:r w:rsidR="00AE42E2" w:rsidRPr="00597DC6">
        <w:rPr>
          <w:rStyle w:val="st"/>
        </w:rPr>
        <w:t>i</w:t>
      </w:r>
      <w:r w:rsidR="00AE42E2" w:rsidRPr="007F47B1">
        <w:rPr>
          <w:rStyle w:val="st"/>
        </w:rPr>
        <w:t>a Luhanska</w:t>
      </w:r>
      <w:r w:rsidR="003B32EF">
        <w:rPr>
          <w:rStyle w:val="st"/>
        </w:rPr>
        <w:t xml:space="preserve"> EECP</w:t>
      </w:r>
      <w:r w:rsidR="00AE42E2" w:rsidRPr="007F47B1">
        <w:t>.</w:t>
      </w:r>
      <w:r w:rsidR="00AE42E2" w:rsidRPr="00597DC6">
        <w:t xml:space="preserve"> </w:t>
      </w:r>
    </w:p>
    <w:p w14:paraId="67B6B00F" w14:textId="70C9188E" w:rsidR="00E46D37" w:rsidRPr="00597DC6" w:rsidRDefault="00E46D37" w:rsidP="001232C6">
      <w:pPr>
        <w:pStyle w:val="SingleTxtG"/>
      </w:pPr>
      <w:r>
        <w:t>W</w:t>
      </w:r>
      <w:r w:rsidRPr="00513802">
        <w:t>hile OHCHR welcomed efforts to improve conditions for IDPs</w:t>
      </w:r>
      <w:r>
        <w:t xml:space="preserve"> through </w:t>
      </w:r>
      <w:r w:rsidRPr="00513802">
        <w:t xml:space="preserve">Ministry of Social Policy </w:t>
      </w:r>
      <w:r>
        <w:t xml:space="preserve">draft </w:t>
      </w:r>
      <w:r w:rsidRPr="00513802">
        <w:t xml:space="preserve">amendments </w:t>
      </w:r>
      <w:r>
        <w:t xml:space="preserve">to </w:t>
      </w:r>
      <w:r w:rsidRPr="00513802">
        <w:t>resolutions</w:t>
      </w:r>
      <w:r w:rsidRPr="00630FA6">
        <w:rPr>
          <w:vertAlign w:val="superscript"/>
        </w:rPr>
        <w:footnoteReference w:id="11"/>
      </w:r>
      <w:r w:rsidRPr="00513802">
        <w:t xml:space="preserve"> regulating the payment of pensions</w:t>
      </w:r>
      <w:r>
        <w:t xml:space="preserve"> and social benefits,</w:t>
      </w:r>
      <w:r w:rsidRPr="00513802">
        <w:t xml:space="preserve"> </w:t>
      </w:r>
      <w:r>
        <w:t xml:space="preserve">the </w:t>
      </w:r>
      <w:r w:rsidRPr="00597DC6">
        <w:rPr>
          <w:color w:val="000000"/>
        </w:rPr>
        <w:t>Government continues to link access to pensions to IDP registration.</w:t>
      </w:r>
      <w:r w:rsidR="00AE42E2">
        <w:rPr>
          <w:color w:val="000000"/>
        </w:rPr>
        <w:t xml:space="preserve"> As a result, some 716,200 people</w:t>
      </w:r>
      <w:r w:rsidR="00AE42E2">
        <w:rPr>
          <w:rStyle w:val="FootnoteReference"/>
          <w:color w:val="000000"/>
        </w:rPr>
        <w:footnoteReference w:id="12"/>
      </w:r>
      <w:r w:rsidR="00AE42E2">
        <w:t xml:space="preserve"> </w:t>
      </w:r>
      <w:r w:rsidR="00AE42E2">
        <w:rPr>
          <w:color w:val="000000"/>
        </w:rPr>
        <w:t xml:space="preserve">living in </w:t>
      </w:r>
      <w:r w:rsidR="00434E3F">
        <w:rPr>
          <w:color w:val="000000"/>
        </w:rPr>
        <w:t xml:space="preserve">territory controlled by </w:t>
      </w:r>
      <w:r w:rsidR="00911913">
        <w:rPr>
          <w:color w:val="000000"/>
        </w:rPr>
        <w:t xml:space="preserve">‘Donetsk people’s republic’ and ‘Luhansk people’s republic’ </w:t>
      </w:r>
      <w:r w:rsidR="00E86E7D">
        <w:rPr>
          <w:color w:val="000000"/>
        </w:rPr>
        <w:t>have lost effective access to</w:t>
      </w:r>
      <w:r w:rsidR="00AE42E2">
        <w:rPr>
          <w:color w:val="000000"/>
        </w:rPr>
        <w:t xml:space="preserve"> their pensions.</w:t>
      </w:r>
    </w:p>
    <w:p w14:paraId="37E9F668" w14:textId="70FE7C0D" w:rsidR="00481DB1" w:rsidRDefault="00BC4A4F" w:rsidP="001232C6">
      <w:pPr>
        <w:pStyle w:val="SingleTxtG"/>
      </w:pPr>
      <w:r w:rsidRPr="00513802">
        <w:t>OHCHR</w:t>
      </w:r>
      <w:r w:rsidR="005E1B75" w:rsidRPr="00513802">
        <w:t xml:space="preserve"> </w:t>
      </w:r>
      <w:r w:rsidRPr="00513802">
        <w:t>welcomes</w:t>
      </w:r>
      <w:r w:rsidR="005E1B75" w:rsidRPr="00513802">
        <w:t xml:space="preserve"> </w:t>
      </w:r>
      <w:r w:rsidRPr="00597DC6">
        <w:t>the</w:t>
      </w:r>
      <w:r w:rsidR="005E1B75" w:rsidRPr="00597DC6">
        <w:t xml:space="preserve"> </w:t>
      </w:r>
      <w:r w:rsidRPr="00597DC6">
        <w:t>transfer</w:t>
      </w:r>
      <w:r w:rsidR="005E1B75" w:rsidRPr="00597DC6">
        <w:t xml:space="preserve"> </w:t>
      </w:r>
      <w:r w:rsidRPr="00597DC6">
        <w:t>of</w:t>
      </w:r>
      <w:r w:rsidR="005E1B75" w:rsidRPr="00597DC6">
        <w:t xml:space="preserve"> </w:t>
      </w:r>
      <w:r w:rsidR="00B86C6C" w:rsidRPr="00597DC6">
        <w:t xml:space="preserve">120 </w:t>
      </w:r>
      <w:r w:rsidRPr="00597DC6">
        <w:t>pre-conflict</w:t>
      </w:r>
      <w:r w:rsidR="005E1B75" w:rsidRPr="00597DC6">
        <w:t xml:space="preserve"> </w:t>
      </w:r>
      <w:r w:rsidRPr="00597DC6">
        <w:t>prisoners</w:t>
      </w:r>
      <w:r w:rsidR="005E1B75" w:rsidRPr="00597DC6">
        <w:t xml:space="preserve"> </w:t>
      </w:r>
      <w:r w:rsidRPr="00597DC6">
        <w:t>from</w:t>
      </w:r>
      <w:r w:rsidR="005E1B75" w:rsidRPr="00597DC6">
        <w:t xml:space="preserve"> </w:t>
      </w:r>
      <w:r w:rsidRPr="00597DC6">
        <w:t xml:space="preserve">territory controlled by ‘Luhansk people’s republic’ to </w:t>
      </w:r>
      <w:r w:rsidR="00801192">
        <w:t>G</w:t>
      </w:r>
      <w:r w:rsidRPr="00597DC6">
        <w:t xml:space="preserve">overnment-controlled territory that took place in </w:t>
      </w:r>
      <w:r w:rsidR="002520EB" w:rsidRPr="00597DC6">
        <w:t xml:space="preserve">March </w:t>
      </w:r>
      <w:r w:rsidR="00D60274" w:rsidRPr="00597DC6">
        <w:rPr>
          <w:lang w:val="en-US"/>
        </w:rPr>
        <w:t xml:space="preserve">and April </w:t>
      </w:r>
      <w:r w:rsidR="002520EB" w:rsidRPr="00597DC6">
        <w:t>2019</w:t>
      </w:r>
      <w:r w:rsidR="00936F5A" w:rsidRPr="00597DC6">
        <w:t>,</w:t>
      </w:r>
      <w:r w:rsidR="00C368F3" w:rsidRPr="00597DC6">
        <w:rPr>
          <w:rStyle w:val="FootnoteReference"/>
          <w:sz w:val="20"/>
        </w:rPr>
        <w:footnoteReference w:id="13"/>
      </w:r>
      <w:r w:rsidR="00936F5A" w:rsidRPr="00550296">
        <w:t xml:space="preserve"> </w:t>
      </w:r>
      <w:r w:rsidR="00936F5A" w:rsidRPr="00513802">
        <w:t>and encourages the continuation of this practice.</w:t>
      </w:r>
    </w:p>
    <w:p w14:paraId="5B856922" w14:textId="107C58C1" w:rsidR="00481DB1" w:rsidRDefault="00BC4A4F" w:rsidP="001232C6">
      <w:pPr>
        <w:pStyle w:val="SingleTxtG"/>
      </w:pPr>
      <w:r w:rsidRPr="00513802">
        <w:t>OHCHR</w:t>
      </w:r>
      <w:r w:rsidR="005E1B75" w:rsidRPr="00513802">
        <w:t xml:space="preserve"> </w:t>
      </w:r>
      <w:r w:rsidRPr="00513802">
        <w:t>is</w:t>
      </w:r>
      <w:r w:rsidR="005E1B75" w:rsidRPr="00513802">
        <w:t xml:space="preserve"> </w:t>
      </w:r>
      <w:r w:rsidRPr="00513802">
        <w:t>concerned</w:t>
      </w:r>
      <w:r w:rsidR="005E1B75" w:rsidRPr="00513802">
        <w:t xml:space="preserve"> </w:t>
      </w:r>
      <w:r w:rsidRPr="00F766CA">
        <w:t>about</w:t>
      </w:r>
      <w:r w:rsidR="005E1B75" w:rsidRPr="00513802">
        <w:t xml:space="preserve"> </w:t>
      </w:r>
      <w:r w:rsidRPr="00513802">
        <w:t>the</w:t>
      </w:r>
      <w:r w:rsidR="005E1B75" w:rsidRPr="00513802">
        <w:t xml:space="preserve"> </w:t>
      </w:r>
      <w:r w:rsidRPr="00513802">
        <w:t>practice of</w:t>
      </w:r>
      <w:r w:rsidR="005E1B75" w:rsidRPr="00513802">
        <w:t xml:space="preserve"> </w:t>
      </w:r>
      <w:r w:rsidRPr="00513802">
        <w:t>arbitrary</w:t>
      </w:r>
      <w:r w:rsidR="005E1B75" w:rsidRPr="00513802">
        <w:t xml:space="preserve"> </w:t>
      </w:r>
      <w:r w:rsidRPr="00513802">
        <w:t>arrest, incommunicado</w:t>
      </w:r>
      <w:r w:rsidR="005E1B75" w:rsidRPr="00513802">
        <w:t xml:space="preserve"> </w:t>
      </w:r>
      <w:r w:rsidRPr="00513802">
        <w:t>detention,</w:t>
      </w:r>
      <w:r w:rsidR="00321221" w:rsidRPr="00513802">
        <w:t xml:space="preserve"> </w:t>
      </w:r>
      <w:r w:rsidRPr="00513802">
        <w:t>torture</w:t>
      </w:r>
      <w:r w:rsidR="00321221" w:rsidRPr="00513802">
        <w:t xml:space="preserve"> </w:t>
      </w:r>
      <w:r w:rsidRPr="00513802">
        <w:t>and</w:t>
      </w:r>
      <w:r w:rsidR="005E1B75" w:rsidRPr="00513802">
        <w:t xml:space="preserve"> </w:t>
      </w:r>
      <w:r w:rsidRPr="00513802">
        <w:t>ill-treatment</w:t>
      </w:r>
      <w:r w:rsidR="00321221" w:rsidRPr="00513802">
        <w:t xml:space="preserve"> </w:t>
      </w:r>
      <w:r w:rsidRPr="00513802">
        <w:t>of</w:t>
      </w:r>
      <w:r w:rsidR="00321221" w:rsidRPr="00513802">
        <w:t xml:space="preserve"> </w:t>
      </w:r>
      <w:r w:rsidRPr="00513802">
        <w:t>civilians</w:t>
      </w:r>
      <w:r w:rsidR="00321221" w:rsidRPr="00513802">
        <w:t xml:space="preserve"> </w:t>
      </w:r>
      <w:r w:rsidRPr="00513802">
        <w:t>in</w:t>
      </w:r>
      <w:r w:rsidR="00321221" w:rsidRPr="00513802">
        <w:t xml:space="preserve"> </w:t>
      </w:r>
      <w:r w:rsidR="00801192">
        <w:t>G</w:t>
      </w:r>
      <w:r w:rsidRPr="00513802">
        <w:t>overnment-controlled</w:t>
      </w:r>
      <w:r w:rsidR="00321221" w:rsidRPr="00513802">
        <w:t xml:space="preserve"> </w:t>
      </w:r>
      <w:r w:rsidRPr="00513802">
        <w:t>territory.</w:t>
      </w:r>
      <w:r w:rsidR="00321221" w:rsidRPr="00513802">
        <w:t xml:space="preserve"> </w:t>
      </w:r>
      <w:r w:rsidRPr="00513802">
        <w:t>During the</w:t>
      </w:r>
      <w:r w:rsidR="00321221" w:rsidRPr="00513802">
        <w:t xml:space="preserve"> </w:t>
      </w:r>
      <w:r w:rsidRPr="00513802">
        <w:t>reporting</w:t>
      </w:r>
      <w:r w:rsidR="00321221" w:rsidRPr="00513802">
        <w:t xml:space="preserve"> </w:t>
      </w:r>
      <w:r w:rsidRPr="00513802">
        <w:t>period,</w:t>
      </w:r>
      <w:r w:rsidR="00321221" w:rsidRPr="00513802">
        <w:t xml:space="preserve"> </w:t>
      </w:r>
      <w:r w:rsidRPr="00513802">
        <w:t>OHCHR</w:t>
      </w:r>
      <w:r w:rsidR="00321221" w:rsidRPr="00513802">
        <w:t xml:space="preserve"> </w:t>
      </w:r>
      <w:r w:rsidRPr="00513802">
        <w:t xml:space="preserve">documented </w:t>
      </w:r>
      <w:r w:rsidR="004007C7" w:rsidRPr="0073522A">
        <w:t>four</w:t>
      </w:r>
      <w:r w:rsidR="004007C7">
        <w:t xml:space="preserve"> </w:t>
      </w:r>
      <w:r w:rsidRPr="00513802">
        <w:t>cases</w:t>
      </w:r>
      <w:r w:rsidR="00321221" w:rsidRPr="00513802">
        <w:t xml:space="preserve"> </w:t>
      </w:r>
      <w:r w:rsidRPr="00513802">
        <w:t>of arbitrary</w:t>
      </w:r>
      <w:r w:rsidR="00321221" w:rsidRPr="00513802">
        <w:t xml:space="preserve"> </w:t>
      </w:r>
      <w:r w:rsidRPr="00513802">
        <w:t>detention</w:t>
      </w:r>
      <w:r w:rsidR="00321221" w:rsidRPr="00513802">
        <w:t xml:space="preserve"> </w:t>
      </w:r>
      <w:r w:rsidRPr="00513802">
        <w:t>of</w:t>
      </w:r>
      <w:r w:rsidR="00321221" w:rsidRPr="00513802">
        <w:t xml:space="preserve"> </w:t>
      </w:r>
      <w:r w:rsidRPr="00513802">
        <w:t xml:space="preserve">civilians allegedly by </w:t>
      </w:r>
      <w:r w:rsidRPr="001867FE">
        <w:t>officers</w:t>
      </w:r>
      <w:r w:rsidR="005E1B75" w:rsidRPr="001867FE">
        <w:t xml:space="preserve"> </w:t>
      </w:r>
      <w:r w:rsidRPr="001867FE">
        <w:t>of</w:t>
      </w:r>
      <w:r w:rsidR="00321221" w:rsidRPr="001867FE">
        <w:t xml:space="preserve"> </w:t>
      </w:r>
      <w:r w:rsidRPr="001867FE">
        <w:t>the</w:t>
      </w:r>
      <w:r w:rsidR="005E1B75" w:rsidRPr="001867FE">
        <w:t xml:space="preserve"> </w:t>
      </w:r>
      <w:r w:rsidRPr="001867FE">
        <w:t>Security</w:t>
      </w:r>
      <w:r w:rsidR="00321221" w:rsidRPr="001867FE">
        <w:t xml:space="preserve"> </w:t>
      </w:r>
      <w:r w:rsidRPr="001867FE">
        <w:t>Service</w:t>
      </w:r>
      <w:r w:rsidR="00321221" w:rsidRPr="001867FE">
        <w:t xml:space="preserve"> </w:t>
      </w:r>
      <w:r w:rsidRPr="001867FE">
        <w:t>of</w:t>
      </w:r>
      <w:r w:rsidR="00321221" w:rsidRPr="001867FE">
        <w:t xml:space="preserve"> </w:t>
      </w:r>
      <w:r w:rsidRPr="001867FE">
        <w:t>Ukraine</w:t>
      </w:r>
      <w:r w:rsidR="00321221" w:rsidRPr="001867FE">
        <w:t xml:space="preserve"> </w:t>
      </w:r>
      <w:r w:rsidRPr="001867FE">
        <w:t>(SBU). Individuals</w:t>
      </w:r>
      <w:r w:rsidR="00321221" w:rsidRPr="001867FE">
        <w:t xml:space="preserve"> </w:t>
      </w:r>
      <w:r w:rsidRPr="001867FE">
        <w:t>in</w:t>
      </w:r>
      <w:r w:rsidR="005E1B75" w:rsidRPr="001867FE">
        <w:t xml:space="preserve"> </w:t>
      </w:r>
      <w:r w:rsidRPr="001867FE">
        <w:t>territory controlled by</w:t>
      </w:r>
      <w:r w:rsidR="005E1B75" w:rsidRPr="001867FE">
        <w:t xml:space="preserve"> </w:t>
      </w:r>
      <w:r w:rsidRPr="001867FE">
        <w:t>‘Donetsk pe</w:t>
      </w:r>
      <w:r w:rsidRPr="00513802">
        <w:t>ople’s republic’ and ‘Luhansk people’s republic’ continued to be subjected</w:t>
      </w:r>
      <w:r w:rsidR="005E1B75" w:rsidRPr="00513802">
        <w:t xml:space="preserve"> </w:t>
      </w:r>
      <w:r w:rsidRPr="00513802">
        <w:t>to ‘administrative’</w:t>
      </w:r>
      <w:r w:rsidR="005E1B75" w:rsidRPr="00513802">
        <w:t xml:space="preserve"> </w:t>
      </w:r>
      <w:r w:rsidRPr="00513802">
        <w:t>arrest and</w:t>
      </w:r>
      <w:r w:rsidR="00321221" w:rsidRPr="00513802">
        <w:t xml:space="preserve"> </w:t>
      </w:r>
      <w:r w:rsidRPr="00513802">
        <w:t>‘preventive’ arrest,</w:t>
      </w:r>
      <w:r w:rsidR="005E1B75" w:rsidRPr="00513802">
        <w:t xml:space="preserve"> </w:t>
      </w:r>
      <w:r w:rsidRPr="00513802">
        <w:t>respectively,</w:t>
      </w:r>
      <w:r w:rsidR="005E1B75" w:rsidRPr="00513802">
        <w:t xml:space="preserve"> </w:t>
      </w:r>
      <w:r w:rsidRPr="00513802">
        <w:t>which</w:t>
      </w:r>
      <w:r w:rsidR="00321221" w:rsidRPr="00513802">
        <w:t xml:space="preserve"> </w:t>
      </w:r>
      <w:r w:rsidR="0064136F" w:rsidRPr="0073522A">
        <w:t>constitutes arbitrary and</w:t>
      </w:r>
      <w:r w:rsidR="0064136F">
        <w:t xml:space="preserve"> incommunicado detention, and </w:t>
      </w:r>
      <w:r w:rsidRPr="00513802">
        <w:t xml:space="preserve">may </w:t>
      </w:r>
      <w:r w:rsidR="00041452">
        <w:t>amount to</w:t>
      </w:r>
      <w:r w:rsidRPr="00513802">
        <w:t xml:space="preserve"> </w:t>
      </w:r>
      <w:r w:rsidR="00375E39">
        <w:t>enforced</w:t>
      </w:r>
      <w:r w:rsidRPr="00513802" w:rsidDel="004F40E8">
        <w:t xml:space="preserve"> </w:t>
      </w:r>
      <w:r w:rsidRPr="00513802">
        <w:t>disappearance.</w:t>
      </w:r>
      <w:r w:rsidR="001F3B27">
        <w:t xml:space="preserve"> </w:t>
      </w:r>
      <w:r w:rsidR="000D6E89">
        <w:t xml:space="preserve">OHCHR </w:t>
      </w:r>
      <w:r w:rsidR="00911913">
        <w:t xml:space="preserve">documented </w:t>
      </w:r>
      <w:r w:rsidR="000D6E89" w:rsidRPr="00513802">
        <w:t>reports of poor detention conditions</w:t>
      </w:r>
      <w:r w:rsidR="000D6E89">
        <w:t xml:space="preserve"> and forced labour in a number of penal colonies in territory controlled by </w:t>
      </w:r>
      <w:r w:rsidR="000D6E89" w:rsidRPr="00B86C6C">
        <w:t>‘Luhansk people’s republic’</w:t>
      </w:r>
      <w:r w:rsidR="000D6E89">
        <w:t xml:space="preserve">. </w:t>
      </w:r>
      <w:r w:rsidR="001F3B27" w:rsidRPr="00513802">
        <w:t xml:space="preserve">In </w:t>
      </w:r>
      <w:r w:rsidR="00801192">
        <w:t>G</w:t>
      </w:r>
      <w:r w:rsidR="001F3B27" w:rsidRPr="00513802">
        <w:t xml:space="preserve">overnment-controlled territory, OHCHR had access to official places of detention and conducted confidential interviews with detainees in accordance with international standards. In territory controlled by ‘Donetsk people’s republic’ and ‘Luhansk people’s republic’, </w:t>
      </w:r>
      <w:r w:rsidR="001F3B27">
        <w:t xml:space="preserve">OHCHR does not have such access, and </w:t>
      </w:r>
      <w:r w:rsidR="001F3B27" w:rsidRPr="00513802">
        <w:t>continues to call for confidential access to detainees to be granted to international observers</w:t>
      </w:r>
      <w:r w:rsidR="001F3B27">
        <w:t xml:space="preserve"> including OHCHR.</w:t>
      </w:r>
      <w:r w:rsidR="00375E39">
        <w:t xml:space="preserve"> </w:t>
      </w:r>
    </w:p>
    <w:p w14:paraId="256E0ED9" w14:textId="4D5FE4A2" w:rsidR="00481DB1" w:rsidRDefault="002B7022" w:rsidP="001232C6">
      <w:pPr>
        <w:pStyle w:val="SingleTxtG"/>
      </w:pPr>
      <w:r w:rsidRPr="00513802">
        <w:t>D</w:t>
      </w:r>
      <w:r w:rsidR="00BC4A4F" w:rsidRPr="00513802">
        <w:t>ue process</w:t>
      </w:r>
      <w:r w:rsidR="005E1B75" w:rsidRPr="00513802">
        <w:t xml:space="preserve"> </w:t>
      </w:r>
      <w:r w:rsidR="00BC4A4F" w:rsidRPr="00513802">
        <w:t>and fair trial violations</w:t>
      </w:r>
      <w:r w:rsidR="005E1B75" w:rsidRPr="00513802">
        <w:t xml:space="preserve"> </w:t>
      </w:r>
      <w:r w:rsidR="00BC4A4F" w:rsidRPr="00513802">
        <w:t>persist</w:t>
      </w:r>
      <w:r w:rsidR="005E1B75" w:rsidRPr="00513802">
        <w:t xml:space="preserve"> </w:t>
      </w:r>
      <w:r w:rsidR="00BC4A4F" w:rsidRPr="00513802">
        <w:t>as</w:t>
      </w:r>
      <w:r w:rsidR="005E1B75" w:rsidRPr="00513802">
        <w:t xml:space="preserve"> </w:t>
      </w:r>
      <w:r w:rsidR="00BC4A4F" w:rsidRPr="00513802">
        <w:t>a result of the pervasive</w:t>
      </w:r>
      <w:r w:rsidR="00321221" w:rsidRPr="00513802">
        <w:t xml:space="preserve"> </w:t>
      </w:r>
      <w:r w:rsidR="00BC4A4F" w:rsidRPr="00513802">
        <w:t>practice</w:t>
      </w:r>
      <w:r w:rsidR="00321221" w:rsidRPr="00513802">
        <w:t xml:space="preserve"> </w:t>
      </w:r>
      <w:r w:rsidR="00BC4A4F" w:rsidRPr="00513802">
        <w:t>of prolonged</w:t>
      </w:r>
      <w:r w:rsidR="00321221" w:rsidRPr="00513802">
        <w:t xml:space="preserve"> </w:t>
      </w:r>
      <w:r w:rsidR="00BC4A4F" w:rsidRPr="00513802">
        <w:t>pre-trial</w:t>
      </w:r>
      <w:r w:rsidR="00321221" w:rsidRPr="00513802">
        <w:t xml:space="preserve"> </w:t>
      </w:r>
      <w:r w:rsidR="00BC4A4F" w:rsidRPr="00513802">
        <w:t>detention, and the</w:t>
      </w:r>
      <w:r w:rsidR="00321221" w:rsidRPr="00513802">
        <w:t xml:space="preserve"> </w:t>
      </w:r>
      <w:r w:rsidR="00BC4A4F" w:rsidRPr="00513802">
        <w:t>use</w:t>
      </w:r>
      <w:r w:rsidR="00321221" w:rsidRPr="00513802">
        <w:t xml:space="preserve"> </w:t>
      </w:r>
      <w:r w:rsidR="00BC4A4F" w:rsidRPr="00513802">
        <w:t>of</w:t>
      </w:r>
      <w:r w:rsidR="00321221" w:rsidRPr="00513802">
        <w:t xml:space="preserve"> </w:t>
      </w:r>
      <w:r w:rsidR="00BC4A4F" w:rsidRPr="00513802">
        <w:t>force</w:t>
      </w:r>
      <w:r w:rsidR="005E1B75" w:rsidRPr="00513802">
        <w:t xml:space="preserve"> </w:t>
      </w:r>
      <w:r w:rsidR="00BC4A4F" w:rsidRPr="00513802">
        <w:t>and</w:t>
      </w:r>
      <w:r w:rsidR="00321221" w:rsidRPr="00513802">
        <w:t xml:space="preserve"> </w:t>
      </w:r>
      <w:r w:rsidR="00BC4A4F" w:rsidRPr="00513802">
        <w:t>coercion</w:t>
      </w:r>
      <w:r w:rsidR="005E1B75" w:rsidRPr="00513802">
        <w:t xml:space="preserve"> </w:t>
      </w:r>
      <w:r w:rsidR="00BC4A4F" w:rsidRPr="00513802">
        <w:t>to obtain</w:t>
      </w:r>
      <w:r w:rsidR="00321221" w:rsidRPr="00513802">
        <w:t xml:space="preserve"> </w:t>
      </w:r>
      <w:r w:rsidR="00BC4A4F" w:rsidRPr="00513802">
        <w:t>confessions</w:t>
      </w:r>
      <w:r w:rsidR="00321221" w:rsidRPr="00513802">
        <w:t xml:space="preserve"> </w:t>
      </w:r>
      <w:r w:rsidR="00BC4A4F" w:rsidRPr="00513802">
        <w:t>or</w:t>
      </w:r>
      <w:r w:rsidR="00321221" w:rsidRPr="00513802">
        <w:t xml:space="preserve"> </w:t>
      </w:r>
      <w:r w:rsidR="00BC4A4F" w:rsidRPr="00513802">
        <w:t>to</w:t>
      </w:r>
      <w:r w:rsidR="00321221" w:rsidRPr="00513802">
        <w:t xml:space="preserve"> </w:t>
      </w:r>
      <w:r w:rsidR="00BC4A4F" w:rsidRPr="00513802">
        <w:t>accept</w:t>
      </w:r>
      <w:r w:rsidR="005E1B75" w:rsidRPr="00513802">
        <w:t xml:space="preserve"> </w:t>
      </w:r>
      <w:r w:rsidR="00BC4A4F" w:rsidRPr="00513802">
        <w:t>plea</w:t>
      </w:r>
      <w:r w:rsidR="005E1B75" w:rsidRPr="00513802">
        <w:t xml:space="preserve"> </w:t>
      </w:r>
      <w:r w:rsidR="00BC4A4F" w:rsidRPr="00513802">
        <w:t>bargains</w:t>
      </w:r>
      <w:r w:rsidRPr="00513802">
        <w:t xml:space="preserve"> in conflict-related cases</w:t>
      </w:r>
      <w:r w:rsidR="00BC4A4F" w:rsidRPr="00513802">
        <w:t>. Interference</w:t>
      </w:r>
      <w:r w:rsidR="00321221" w:rsidRPr="00513802">
        <w:t xml:space="preserve"> </w:t>
      </w:r>
      <w:r w:rsidR="00BC4A4F" w:rsidRPr="00513802">
        <w:t>into</w:t>
      </w:r>
      <w:r w:rsidR="00321221" w:rsidRPr="00513802">
        <w:t xml:space="preserve"> </w:t>
      </w:r>
      <w:r w:rsidR="00BC4A4F" w:rsidRPr="00513802">
        <w:t>the</w:t>
      </w:r>
      <w:r w:rsidR="00321221" w:rsidRPr="00513802">
        <w:t xml:space="preserve"> </w:t>
      </w:r>
      <w:r w:rsidR="00BC4A4F" w:rsidRPr="00513802">
        <w:t>work</w:t>
      </w:r>
      <w:r w:rsidR="00321221" w:rsidRPr="00513802">
        <w:t xml:space="preserve"> </w:t>
      </w:r>
      <w:r w:rsidR="00BC4A4F" w:rsidRPr="00513802">
        <w:t>of</w:t>
      </w:r>
      <w:r w:rsidR="00321221" w:rsidRPr="00513802">
        <w:t xml:space="preserve"> </w:t>
      </w:r>
      <w:r w:rsidR="00BC4A4F" w:rsidRPr="00513802">
        <w:t>courts in conflict-related</w:t>
      </w:r>
      <w:r w:rsidR="00321221" w:rsidRPr="00513802">
        <w:t xml:space="preserve"> </w:t>
      </w:r>
      <w:r w:rsidR="00BC4A4F" w:rsidRPr="00513802">
        <w:t>and</w:t>
      </w:r>
      <w:r w:rsidR="00321221" w:rsidRPr="00513802">
        <w:t xml:space="preserve"> </w:t>
      </w:r>
      <w:r w:rsidR="00BC4A4F" w:rsidRPr="00513802">
        <w:t>other</w:t>
      </w:r>
      <w:r w:rsidR="00321221" w:rsidRPr="00513802">
        <w:t xml:space="preserve"> </w:t>
      </w:r>
      <w:r w:rsidR="00BC4A4F" w:rsidRPr="00513802">
        <w:t>high-profile</w:t>
      </w:r>
      <w:r w:rsidR="00321221" w:rsidRPr="00513802">
        <w:t xml:space="preserve"> </w:t>
      </w:r>
      <w:r w:rsidR="00BC4A4F" w:rsidRPr="00513802">
        <w:t>trials</w:t>
      </w:r>
      <w:r w:rsidR="00321221" w:rsidRPr="00513802">
        <w:t xml:space="preserve"> </w:t>
      </w:r>
      <w:r w:rsidR="00BC4A4F" w:rsidRPr="00513802">
        <w:t>continued</w:t>
      </w:r>
      <w:r w:rsidR="00321221" w:rsidRPr="00513802">
        <w:t xml:space="preserve"> </w:t>
      </w:r>
      <w:r w:rsidR="00BC4A4F" w:rsidRPr="00513802">
        <w:t>during</w:t>
      </w:r>
      <w:r w:rsidR="00321221" w:rsidRPr="00513802">
        <w:t xml:space="preserve"> </w:t>
      </w:r>
      <w:r w:rsidR="00BC4A4F" w:rsidRPr="00513802">
        <w:t>the</w:t>
      </w:r>
      <w:r w:rsidR="00321221" w:rsidRPr="00513802">
        <w:t xml:space="preserve"> </w:t>
      </w:r>
      <w:r w:rsidR="00BC4A4F" w:rsidRPr="00513802">
        <w:t>reporting</w:t>
      </w:r>
      <w:r w:rsidR="00321221" w:rsidRPr="00513802">
        <w:t xml:space="preserve"> </w:t>
      </w:r>
      <w:r w:rsidR="00BC4A4F" w:rsidRPr="00513802">
        <w:t>period.</w:t>
      </w:r>
      <w:r w:rsidR="00321221" w:rsidRPr="00513802">
        <w:t xml:space="preserve"> </w:t>
      </w:r>
      <w:r w:rsidR="00156F7B" w:rsidRPr="00513802">
        <w:t xml:space="preserve">Despite repeated calls by OHCHR for </w:t>
      </w:r>
      <w:r w:rsidR="00540376">
        <w:t>accountability for</w:t>
      </w:r>
      <w:r w:rsidR="00156F7B" w:rsidRPr="00513802">
        <w:t xml:space="preserve"> the killings of protestors and law-enforcement officers during the</w:t>
      </w:r>
      <w:r w:rsidR="00BE4968">
        <w:t xml:space="preserve"> violent incidents </w:t>
      </w:r>
      <w:r w:rsidR="00540376">
        <w:t xml:space="preserve">in the Maidan protests </w:t>
      </w:r>
      <w:r w:rsidR="003A008C">
        <w:t xml:space="preserve">in </w:t>
      </w:r>
      <w:r w:rsidR="00540376">
        <w:t xml:space="preserve">2014 </w:t>
      </w:r>
      <w:r w:rsidR="00156F7B" w:rsidRPr="00513802">
        <w:t xml:space="preserve">and </w:t>
      </w:r>
      <w:r w:rsidR="00540376">
        <w:t xml:space="preserve">the killings and violent deaths resulting from the </w:t>
      </w:r>
      <w:r w:rsidR="000F7E0A">
        <w:t xml:space="preserve">2 May </w:t>
      </w:r>
      <w:r w:rsidR="003A008C" w:rsidRPr="00513802">
        <w:t>2014</w:t>
      </w:r>
      <w:r w:rsidR="003A008C">
        <w:t xml:space="preserve"> </w:t>
      </w:r>
      <w:r w:rsidR="000F7E0A">
        <w:t xml:space="preserve">violence in </w:t>
      </w:r>
      <w:r w:rsidR="00156F7B" w:rsidRPr="00513802">
        <w:t>Odesa</w:t>
      </w:r>
      <w:r w:rsidR="00540376">
        <w:t xml:space="preserve">, </w:t>
      </w:r>
      <w:r w:rsidR="00082CC0">
        <w:t>this</w:t>
      </w:r>
      <w:r w:rsidR="00156F7B" w:rsidRPr="00513802">
        <w:t xml:space="preserve"> remain</w:t>
      </w:r>
      <w:r w:rsidR="00CB7E58">
        <w:t>s</w:t>
      </w:r>
      <w:r w:rsidR="00156F7B" w:rsidRPr="00513802">
        <w:t xml:space="preserve"> </w:t>
      </w:r>
      <w:r w:rsidR="00156F7B" w:rsidRPr="00513802">
        <w:lastRenderedPageBreak/>
        <w:t>largely unaddressed by the authorities</w:t>
      </w:r>
      <w:r w:rsidR="00082CC0">
        <w:t>:</w:t>
      </w:r>
      <w:r w:rsidR="00540376">
        <w:t xml:space="preserve"> </w:t>
      </w:r>
      <w:r w:rsidR="00082CC0">
        <w:t>f</w:t>
      </w:r>
      <w:r w:rsidR="00AB2925">
        <w:t xml:space="preserve">ew perpetrators </w:t>
      </w:r>
      <w:r w:rsidR="00082CC0">
        <w:t xml:space="preserve">have been </w:t>
      </w:r>
      <w:r w:rsidR="00AB2925">
        <w:t>identified and where trials have begun, they are protracted</w:t>
      </w:r>
      <w:r w:rsidR="00156F7B" w:rsidRPr="00513802">
        <w:t>.</w:t>
      </w:r>
      <w:r w:rsidR="00DF3D71">
        <w:rPr>
          <w:rStyle w:val="FootnoteReference"/>
        </w:rPr>
        <w:footnoteReference w:id="14"/>
      </w:r>
    </w:p>
    <w:p w14:paraId="7B59FAC5" w14:textId="5F77A25A" w:rsidR="00C677F4" w:rsidRDefault="00C42D92" w:rsidP="001232C6">
      <w:pPr>
        <w:pStyle w:val="SingleTxtG"/>
      </w:pPr>
      <w:r w:rsidRPr="00513802">
        <w:t>OHCHR is concerned about the occasional violent nature of acts in relation to the transition of churches and religious communities from the Ukrainian Orthodox Church</w:t>
      </w:r>
      <w:r w:rsidR="005D23B7">
        <w:rPr>
          <w:rStyle w:val="FootnoteReference"/>
        </w:rPr>
        <w:footnoteReference w:id="15"/>
      </w:r>
      <w:r w:rsidRPr="00513802">
        <w:t xml:space="preserve"> to the newly-established Orthodox Church of Ukraine</w:t>
      </w:r>
      <w:r w:rsidR="005D5465">
        <w:rPr>
          <w:rStyle w:val="FootnoteReference"/>
        </w:rPr>
        <w:footnoteReference w:id="16"/>
      </w:r>
      <w:r w:rsidR="00502987">
        <w:t xml:space="preserve"> </w:t>
      </w:r>
      <w:r w:rsidR="0082372D">
        <w:t>involving</w:t>
      </w:r>
      <w:r w:rsidR="00D607E8">
        <w:t xml:space="preserve"> supporters of </w:t>
      </w:r>
      <w:r w:rsidR="005D23B7">
        <w:t>both churches</w:t>
      </w:r>
      <w:r w:rsidR="0082372D">
        <w:t xml:space="preserve">, </w:t>
      </w:r>
      <w:r w:rsidR="0082372D" w:rsidRPr="00513802">
        <w:t>local authorities and extreme right-wing groups</w:t>
      </w:r>
      <w:r w:rsidRPr="00513802">
        <w:t xml:space="preserve">. </w:t>
      </w:r>
    </w:p>
    <w:p w14:paraId="32F73161" w14:textId="6CAD5E82" w:rsidR="00481DB1" w:rsidRDefault="00B30B58" w:rsidP="001232C6">
      <w:pPr>
        <w:pStyle w:val="SingleTxtG"/>
      </w:pPr>
      <w:r w:rsidRPr="00513802">
        <w:t xml:space="preserve">In the </w:t>
      </w:r>
      <w:r w:rsidR="00C42D92" w:rsidRPr="00513802">
        <w:t>territory controlled by ‘Donetsk people’s republic’</w:t>
      </w:r>
      <w:r w:rsidR="006E67DA">
        <w:t xml:space="preserve">, </w:t>
      </w:r>
      <w:r w:rsidR="00481C74">
        <w:t xml:space="preserve">premises </w:t>
      </w:r>
      <w:r w:rsidR="006E67DA">
        <w:t xml:space="preserve">belonging to </w:t>
      </w:r>
      <w:r w:rsidR="00481C74">
        <w:t xml:space="preserve">the Orthodox Church of Ukraine </w:t>
      </w:r>
      <w:r w:rsidR="002747CF">
        <w:t xml:space="preserve">were </w:t>
      </w:r>
      <w:r w:rsidR="00481C74">
        <w:t>seized</w:t>
      </w:r>
      <w:r w:rsidR="00DF0F21">
        <w:t>, reportedly</w:t>
      </w:r>
      <w:r w:rsidR="00481C74">
        <w:t xml:space="preserve"> by the ‘</w:t>
      </w:r>
      <w:r w:rsidR="00DF0F21" w:rsidRPr="00513802">
        <w:t>ministry of state security’</w:t>
      </w:r>
      <w:r w:rsidR="00DF0F21">
        <w:t xml:space="preserve"> of </w:t>
      </w:r>
      <w:r w:rsidR="00502987">
        <w:t>‘Donetsk people’s republic</w:t>
      </w:r>
      <w:r w:rsidR="00481C74">
        <w:t>’.</w:t>
      </w:r>
      <w:r w:rsidR="007C2098">
        <w:t xml:space="preserve"> </w:t>
      </w:r>
      <w:r w:rsidR="007B36F0">
        <w:t xml:space="preserve">During the reporting period, </w:t>
      </w:r>
      <w:r w:rsidR="00ED190F">
        <w:t xml:space="preserve">the </w:t>
      </w:r>
      <w:r w:rsidR="007B36F0">
        <w:t>‘</w:t>
      </w:r>
      <w:r w:rsidR="00DF0F21">
        <w:t>ministry of interior’</w:t>
      </w:r>
      <w:r w:rsidR="007B36F0">
        <w:t xml:space="preserve"> of </w:t>
      </w:r>
      <w:r w:rsidR="007C2098">
        <w:t xml:space="preserve">‘Luhansk people’s republic’ </w:t>
      </w:r>
      <w:r w:rsidR="00DF0F21">
        <w:t xml:space="preserve">reportedly </w:t>
      </w:r>
      <w:r w:rsidR="005D5465">
        <w:t xml:space="preserve">conducted </w:t>
      </w:r>
      <w:r w:rsidR="007C2098">
        <w:t xml:space="preserve">searches in church premises </w:t>
      </w:r>
      <w:r w:rsidR="007A58EB">
        <w:t xml:space="preserve">and in </w:t>
      </w:r>
      <w:r w:rsidR="007C2098">
        <w:t>priests’ residences</w:t>
      </w:r>
      <w:r w:rsidR="007A58EB">
        <w:t>,</w:t>
      </w:r>
      <w:r w:rsidR="007C2098">
        <w:t xml:space="preserve"> </w:t>
      </w:r>
      <w:r w:rsidR="007A58EB">
        <w:t xml:space="preserve">and seized </w:t>
      </w:r>
      <w:r w:rsidR="007C2098">
        <w:t>items including personal correspondence.</w:t>
      </w:r>
      <w:r w:rsidR="00E614E1" w:rsidRPr="00513802">
        <w:t xml:space="preserve"> </w:t>
      </w:r>
      <w:r w:rsidR="00327CEF">
        <w:t>A</w:t>
      </w:r>
      <w:r w:rsidRPr="00513802">
        <w:t xml:space="preserve">ctivities of several Christian denominations </w:t>
      </w:r>
      <w:r w:rsidR="00D235B4" w:rsidRPr="00513802">
        <w:t>continue</w:t>
      </w:r>
      <w:r w:rsidR="007B36F0">
        <w:t>d</w:t>
      </w:r>
      <w:r w:rsidR="00D235B4" w:rsidRPr="00513802">
        <w:t xml:space="preserve"> to be</w:t>
      </w:r>
      <w:r w:rsidRPr="00513802">
        <w:t xml:space="preserve"> targeted by </w:t>
      </w:r>
      <w:r w:rsidR="0071174C">
        <w:t>‘law enforcement agencies’</w:t>
      </w:r>
      <w:r w:rsidR="0071174C" w:rsidRPr="00513802">
        <w:t xml:space="preserve"> </w:t>
      </w:r>
      <w:r w:rsidR="0071174C">
        <w:t xml:space="preserve">of </w:t>
      </w:r>
      <w:r w:rsidR="006E4F36" w:rsidRPr="00513802">
        <w:t>‘Donetsk people’s republic’</w:t>
      </w:r>
      <w:r w:rsidR="004A20EE">
        <w:t xml:space="preserve">, </w:t>
      </w:r>
      <w:r w:rsidR="00327CEF">
        <w:t>which prevent</w:t>
      </w:r>
      <w:r w:rsidR="007B59C4">
        <w:t>ed the</w:t>
      </w:r>
      <w:r w:rsidR="00327CEF">
        <w:t xml:space="preserve"> </w:t>
      </w:r>
      <w:r w:rsidR="004A20EE">
        <w:t>congregation of worshippers due to lack of ‘registration’</w:t>
      </w:r>
      <w:r w:rsidRPr="00513802">
        <w:t xml:space="preserve">. </w:t>
      </w:r>
    </w:p>
    <w:p w14:paraId="1733ABCD" w14:textId="5DED24CA" w:rsidR="008937FD" w:rsidRPr="00502987" w:rsidRDefault="000D6035" w:rsidP="001232C6">
      <w:pPr>
        <w:pStyle w:val="SingleTxtG"/>
      </w:pPr>
      <w:r w:rsidRPr="00ED190F">
        <w:t>Peaceful</w:t>
      </w:r>
      <w:r w:rsidR="00326E36">
        <w:t>, competitive</w:t>
      </w:r>
      <w:r>
        <w:t xml:space="preserve"> and largely inclusive p</w:t>
      </w:r>
      <w:r w:rsidR="008E7A29" w:rsidRPr="00513802">
        <w:t>residential elections were held in Ukraine during the reporting period. The first round of elections was held on 31 March</w:t>
      </w:r>
      <w:r w:rsidR="00867FEA">
        <w:t xml:space="preserve"> 2019</w:t>
      </w:r>
      <w:r w:rsidR="008E7A29" w:rsidRPr="00513802">
        <w:t>, the second round on 21 April</w:t>
      </w:r>
      <w:r w:rsidR="00867FEA">
        <w:t xml:space="preserve"> 2019</w:t>
      </w:r>
      <w:r w:rsidR="00FC5D87" w:rsidRPr="00513802">
        <w:t>.</w:t>
      </w:r>
      <w:r w:rsidR="0013226C" w:rsidRPr="00513802">
        <w:t xml:space="preserve"> </w:t>
      </w:r>
      <w:r w:rsidR="0041609D" w:rsidRPr="00513802">
        <w:t>OHCHR observed an increase in peaceful assemblies</w:t>
      </w:r>
      <w:r w:rsidR="00BD69BA">
        <w:t xml:space="preserve"> in </w:t>
      </w:r>
      <w:r w:rsidR="00237445">
        <w:t>the context of elections</w:t>
      </w:r>
      <w:r w:rsidR="0041609D" w:rsidRPr="00513802">
        <w:t>, and commends the professional conduct of law-enforcement officers</w:t>
      </w:r>
      <w:r w:rsidR="0041609D">
        <w:t xml:space="preserve"> </w:t>
      </w:r>
      <w:r w:rsidR="008937FD">
        <w:t>policing them</w:t>
      </w:r>
      <w:r w:rsidR="0041609D" w:rsidRPr="00502987">
        <w:t xml:space="preserve">. However, the lack of accountability for prior attacks on </w:t>
      </w:r>
      <w:r w:rsidR="008937FD">
        <w:t>other peaceful</w:t>
      </w:r>
      <w:r w:rsidR="008937FD" w:rsidRPr="00502987">
        <w:t xml:space="preserve"> </w:t>
      </w:r>
      <w:r w:rsidR="0041609D" w:rsidRPr="00502987">
        <w:t xml:space="preserve">assemblies remains of concern. </w:t>
      </w:r>
      <w:r w:rsidR="008937FD">
        <w:t xml:space="preserve">Accountability </w:t>
      </w:r>
      <w:r w:rsidR="008937FD" w:rsidRPr="00502987">
        <w:t>for attacks against i</w:t>
      </w:r>
      <w:r w:rsidR="008937FD">
        <w:t>ndividuals belonging to minorities</w:t>
      </w:r>
      <w:r w:rsidR="008937FD" w:rsidRPr="00502987">
        <w:t>, including Roma</w:t>
      </w:r>
      <w:r w:rsidR="008937FD">
        <w:t>,</w:t>
      </w:r>
      <w:r w:rsidR="008937FD" w:rsidRPr="00502987">
        <w:t xml:space="preserve"> </w:t>
      </w:r>
      <w:r w:rsidR="008937FD">
        <w:t>rema</w:t>
      </w:r>
      <w:r w:rsidR="00DE1A7B">
        <w:t xml:space="preserve">ins outstanding more than a year since the events </w:t>
      </w:r>
      <w:r w:rsidR="001964F4">
        <w:t>occurred</w:t>
      </w:r>
      <w:r w:rsidR="008937FD">
        <w:t>.</w:t>
      </w:r>
    </w:p>
    <w:p w14:paraId="44EE76F9" w14:textId="59D65C09" w:rsidR="00481DB1" w:rsidRPr="0073522A" w:rsidRDefault="00AB2C63" w:rsidP="001232C6">
      <w:pPr>
        <w:pStyle w:val="SingleTxtG"/>
      </w:pPr>
      <w:r w:rsidRPr="0073522A">
        <w:t>The</w:t>
      </w:r>
      <w:r w:rsidR="007C52EC" w:rsidRPr="0073522A">
        <w:t xml:space="preserve"> final version of the </w:t>
      </w:r>
      <w:r w:rsidR="006F16FE" w:rsidRPr="0073522A">
        <w:t xml:space="preserve">law </w:t>
      </w:r>
      <w:r w:rsidR="007F47B1" w:rsidRPr="0073522A">
        <w:t xml:space="preserve">on the use of the Ukrainian language </w:t>
      </w:r>
      <w:r w:rsidR="007C52EC" w:rsidRPr="0073522A">
        <w:t>approved</w:t>
      </w:r>
      <w:r w:rsidRPr="0073522A">
        <w:t xml:space="preserve"> on 25 April </w:t>
      </w:r>
      <w:r w:rsidR="00867FEA" w:rsidRPr="0073522A">
        <w:t>2019</w:t>
      </w:r>
      <w:r w:rsidRPr="0073522A">
        <w:t xml:space="preserve"> </w:t>
      </w:r>
      <w:r w:rsidR="007C52EC" w:rsidRPr="0073522A">
        <w:t xml:space="preserve">reflects a more balanced approach </w:t>
      </w:r>
      <w:r w:rsidR="00FD13A8" w:rsidRPr="0073522A">
        <w:t xml:space="preserve">than that used in </w:t>
      </w:r>
      <w:r w:rsidR="007C52EC" w:rsidRPr="0073522A">
        <w:t xml:space="preserve">the first </w:t>
      </w:r>
      <w:r w:rsidR="007F47B1" w:rsidRPr="0073522A">
        <w:t xml:space="preserve">draft </w:t>
      </w:r>
      <w:r w:rsidR="007C52EC" w:rsidRPr="0073522A">
        <w:t>of the law. However, a</w:t>
      </w:r>
      <w:r w:rsidR="009251E2" w:rsidRPr="0073522A">
        <w:t xml:space="preserve"> law </w:t>
      </w:r>
      <w:r w:rsidR="00282C90" w:rsidRPr="0073522A">
        <w:t xml:space="preserve">protecting </w:t>
      </w:r>
      <w:r w:rsidR="009251E2" w:rsidRPr="0073522A">
        <w:t xml:space="preserve">the use of minority languages should be </w:t>
      </w:r>
      <w:r w:rsidR="00E00861" w:rsidRPr="0073522A">
        <w:t xml:space="preserve">developed </w:t>
      </w:r>
      <w:r w:rsidR="009F508E" w:rsidRPr="0073522A">
        <w:t>without undue delay</w:t>
      </w:r>
      <w:r w:rsidR="00066468" w:rsidRPr="0073522A">
        <w:t>, as the current framework does not provide sufficient guarantees for the protection and use of such languages</w:t>
      </w:r>
      <w:r w:rsidRPr="0073522A">
        <w:t>.</w:t>
      </w:r>
    </w:p>
    <w:p w14:paraId="2C97439D" w14:textId="0F95BA9C" w:rsidR="00481DB1" w:rsidRDefault="004672D1" w:rsidP="001232C6">
      <w:pPr>
        <w:pStyle w:val="SingleTxtG"/>
      </w:pPr>
      <w:r>
        <w:t xml:space="preserve">Physical attacks </w:t>
      </w:r>
      <w:r w:rsidR="00E85C68">
        <w:t xml:space="preserve">against media professionals </w:t>
      </w:r>
      <w:r w:rsidRPr="00513802">
        <w:t>and civil society activists</w:t>
      </w:r>
      <w:r>
        <w:t xml:space="preserve"> occurred during the reporting period, </w:t>
      </w:r>
      <w:r w:rsidR="00E85C68">
        <w:t xml:space="preserve">although </w:t>
      </w:r>
      <w:r>
        <w:t xml:space="preserve">OHCHR notes a lower number of </w:t>
      </w:r>
      <w:r w:rsidR="00E85C68">
        <w:t xml:space="preserve">such </w:t>
      </w:r>
      <w:r>
        <w:t>attacks in comparison with prev</w:t>
      </w:r>
      <w:r w:rsidR="00E85C68">
        <w:t xml:space="preserve">ious reporting periods. The lack of accountability for past attacks remains an issue. </w:t>
      </w:r>
      <w:r w:rsidR="00405FB8">
        <w:t>C</w:t>
      </w:r>
      <w:r w:rsidR="00E85C68">
        <w:t>ivic</w:t>
      </w:r>
      <w:r w:rsidR="00E85C68" w:rsidRPr="00513802">
        <w:t xml:space="preserve"> </w:t>
      </w:r>
      <w:r w:rsidR="0013226C" w:rsidRPr="00513802">
        <w:t xml:space="preserve">space </w:t>
      </w:r>
      <w:r w:rsidR="00405FB8">
        <w:t xml:space="preserve">remained </w:t>
      </w:r>
      <w:r w:rsidR="002A5651">
        <w:t xml:space="preserve">highly </w:t>
      </w:r>
      <w:r w:rsidR="00405FB8">
        <w:t>restricted</w:t>
      </w:r>
      <w:r w:rsidR="00890B70">
        <w:t xml:space="preserve"> </w:t>
      </w:r>
      <w:r w:rsidR="0013226C" w:rsidRPr="00513802">
        <w:t>in territor</w:t>
      </w:r>
      <w:r w:rsidR="00211C7C" w:rsidRPr="00513802">
        <w:t>y</w:t>
      </w:r>
      <w:r w:rsidR="0013226C" w:rsidRPr="00513802">
        <w:t xml:space="preserve"> controlled by</w:t>
      </w:r>
      <w:r w:rsidR="00C66893">
        <w:t xml:space="preserve"> </w:t>
      </w:r>
      <w:r w:rsidR="0013226C" w:rsidRPr="00513802">
        <w:t>‘Donetsk people’s republic’</w:t>
      </w:r>
      <w:r w:rsidR="00E547C2">
        <w:t xml:space="preserve"> and ‘Luhansk people’s republic</w:t>
      </w:r>
      <w:r w:rsidR="00890B70">
        <w:t>’</w:t>
      </w:r>
      <w:r w:rsidR="00405FB8">
        <w:t xml:space="preserve">, with </w:t>
      </w:r>
      <w:r w:rsidR="00883931">
        <w:t xml:space="preserve">all assemblies </w:t>
      </w:r>
      <w:r w:rsidR="00586CA6">
        <w:t xml:space="preserve">observed </w:t>
      </w:r>
      <w:r w:rsidR="00327CEF">
        <w:t xml:space="preserve">reportedly </w:t>
      </w:r>
      <w:r w:rsidR="00890B70">
        <w:t>organised by ‘Donetsk people’s republic’ and ‘Luhansk people’s republic’</w:t>
      </w:r>
      <w:r w:rsidR="0013226C" w:rsidRPr="00513802">
        <w:t>.</w:t>
      </w:r>
    </w:p>
    <w:p w14:paraId="49C437A6" w14:textId="7E24B761" w:rsidR="00481DB1" w:rsidRDefault="005D5BEF" w:rsidP="001232C6">
      <w:pPr>
        <w:pStyle w:val="SingleTxtG"/>
      </w:pPr>
      <w:r w:rsidRPr="00513802">
        <w:t>The</w:t>
      </w:r>
      <w:r w:rsidR="009142FB" w:rsidRPr="00513802">
        <w:t xml:space="preserve"> </w:t>
      </w:r>
      <w:r w:rsidRPr="00513802">
        <w:t>Russian</w:t>
      </w:r>
      <w:r w:rsidR="009142FB" w:rsidRPr="00513802">
        <w:t xml:space="preserve"> </w:t>
      </w:r>
      <w:r w:rsidRPr="00513802">
        <w:t>Federation,</w:t>
      </w:r>
      <w:r w:rsidR="009142FB" w:rsidRPr="00513802">
        <w:t xml:space="preserve"> </w:t>
      </w:r>
      <w:r w:rsidRPr="00513802">
        <w:t>the</w:t>
      </w:r>
      <w:r w:rsidR="009142FB" w:rsidRPr="00513802">
        <w:t xml:space="preserve"> </w:t>
      </w:r>
      <w:r w:rsidRPr="00513802">
        <w:t>occupying</w:t>
      </w:r>
      <w:r w:rsidR="009142FB" w:rsidRPr="00513802">
        <w:t xml:space="preserve"> </w:t>
      </w:r>
      <w:r w:rsidR="0024546F">
        <w:t>P</w:t>
      </w:r>
      <w:r w:rsidRPr="00513802">
        <w:t>ower</w:t>
      </w:r>
      <w:r w:rsidR="009142FB" w:rsidRPr="00513802">
        <w:t xml:space="preserve"> </w:t>
      </w:r>
      <w:r w:rsidRPr="00513802">
        <w:t>in</w:t>
      </w:r>
      <w:r w:rsidR="009142FB" w:rsidRPr="00513802">
        <w:t xml:space="preserve"> </w:t>
      </w:r>
      <w:r w:rsidRPr="00513802">
        <w:t>Crimea,</w:t>
      </w:r>
      <w:r w:rsidR="009142FB" w:rsidRPr="00513802">
        <w:t xml:space="preserve"> </w:t>
      </w:r>
      <w:r w:rsidRPr="00513802">
        <w:t>has</w:t>
      </w:r>
      <w:r w:rsidR="009142FB" w:rsidRPr="00513802">
        <w:t xml:space="preserve"> </w:t>
      </w:r>
      <w:r w:rsidRPr="00513802">
        <w:t>still</w:t>
      </w:r>
      <w:r w:rsidR="009142FB" w:rsidRPr="00513802">
        <w:t xml:space="preserve"> </w:t>
      </w:r>
      <w:r w:rsidRPr="00513802">
        <w:t>not</w:t>
      </w:r>
      <w:r w:rsidR="009142FB" w:rsidRPr="00513802">
        <w:t xml:space="preserve"> </w:t>
      </w:r>
      <w:r w:rsidRPr="00513802">
        <w:t>granted OHCHR</w:t>
      </w:r>
      <w:r w:rsidR="009142FB" w:rsidRPr="00513802">
        <w:t xml:space="preserve"> </w:t>
      </w:r>
      <w:r w:rsidRPr="00513802">
        <w:t>access</w:t>
      </w:r>
      <w:r w:rsidR="009142FB" w:rsidRPr="00513802">
        <w:t xml:space="preserve"> </w:t>
      </w:r>
      <w:r w:rsidRPr="00513802">
        <w:t>to</w:t>
      </w:r>
      <w:r w:rsidR="009142FB" w:rsidRPr="00513802">
        <w:t xml:space="preserve"> </w:t>
      </w:r>
      <w:r w:rsidRPr="00513802">
        <w:t>the</w:t>
      </w:r>
      <w:r w:rsidR="009142FB" w:rsidRPr="00513802">
        <w:t xml:space="preserve"> </w:t>
      </w:r>
      <w:r w:rsidRPr="00513802">
        <w:t>peninsula</w:t>
      </w:r>
      <w:r w:rsidR="009142FB" w:rsidRPr="00513802">
        <w:t xml:space="preserve"> </w:t>
      </w:r>
      <w:r w:rsidRPr="00513802">
        <w:t>in</w:t>
      </w:r>
      <w:r w:rsidR="009142FB" w:rsidRPr="00513802">
        <w:t xml:space="preserve"> </w:t>
      </w:r>
      <w:r w:rsidRPr="00513802">
        <w:t>line</w:t>
      </w:r>
      <w:r w:rsidR="009142FB" w:rsidRPr="00513802">
        <w:t xml:space="preserve"> </w:t>
      </w:r>
      <w:r w:rsidRPr="00513802">
        <w:t>with</w:t>
      </w:r>
      <w:r w:rsidR="009142FB" w:rsidRPr="00513802">
        <w:t xml:space="preserve"> </w:t>
      </w:r>
      <w:r w:rsidR="00502987">
        <w:t xml:space="preserve">the </w:t>
      </w:r>
      <w:r w:rsidRPr="00513802">
        <w:t>UN</w:t>
      </w:r>
      <w:r w:rsidR="009142FB" w:rsidRPr="00513802">
        <w:t xml:space="preserve"> </w:t>
      </w:r>
      <w:r w:rsidRPr="00513802">
        <w:t>General</w:t>
      </w:r>
      <w:r w:rsidR="009142FB" w:rsidRPr="00513802">
        <w:t xml:space="preserve"> </w:t>
      </w:r>
      <w:r w:rsidRPr="00513802">
        <w:t>Assembly</w:t>
      </w:r>
      <w:r w:rsidR="009142FB" w:rsidRPr="00513802">
        <w:t xml:space="preserve"> </w:t>
      </w:r>
      <w:r w:rsidR="00502987">
        <w:t xml:space="preserve">(GA) </w:t>
      </w:r>
      <w:r w:rsidRPr="00513802">
        <w:t>resolution</w:t>
      </w:r>
      <w:r w:rsidR="009142FB" w:rsidRPr="00513802">
        <w:t xml:space="preserve"> </w:t>
      </w:r>
      <w:r w:rsidRPr="00513802">
        <w:t>on</w:t>
      </w:r>
      <w:r w:rsidR="009142FB" w:rsidRPr="00513802">
        <w:t xml:space="preserve"> </w:t>
      </w:r>
      <w:r w:rsidRPr="00513802">
        <w:t xml:space="preserve">the territorial integrity of Ukraine 68/262 and </w:t>
      </w:r>
      <w:r w:rsidR="00502987">
        <w:t xml:space="preserve">UN GA </w:t>
      </w:r>
      <w:r w:rsidRPr="00513802">
        <w:t>resolutions 71/205, 72/190 and 73/263. OHCHR monitors</w:t>
      </w:r>
      <w:r w:rsidR="009142FB" w:rsidRPr="00513802">
        <w:t xml:space="preserve"> </w:t>
      </w:r>
      <w:r w:rsidRPr="00513802">
        <w:t>the human rights situation</w:t>
      </w:r>
      <w:r w:rsidR="009142FB" w:rsidRPr="00513802">
        <w:t xml:space="preserve"> </w:t>
      </w:r>
      <w:r w:rsidRPr="00513802">
        <w:t>on</w:t>
      </w:r>
      <w:r w:rsidR="009142FB" w:rsidRPr="00513802">
        <w:t xml:space="preserve"> </w:t>
      </w:r>
      <w:r w:rsidRPr="00513802">
        <w:t>the</w:t>
      </w:r>
      <w:r w:rsidR="009142FB" w:rsidRPr="00513802">
        <w:t xml:space="preserve"> </w:t>
      </w:r>
      <w:r w:rsidRPr="00513802">
        <w:t>peninsula</w:t>
      </w:r>
      <w:r w:rsidR="009142FB" w:rsidRPr="00513802">
        <w:t xml:space="preserve"> </w:t>
      </w:r>
      <w:r w:rsidRPr="00513802">
        <w:t>from mainland</w:t>
      </w:r>
      <w:r w:rsidR="009142FB" w:rsidRPr="00513802">
        <w:t xml:space="preserve"> </w:t>
      </w:r>
      <w:r w:rsidRPr="00513802">
        <w:t xml:space="preserve">Ukraine. </w:t>
      </w:r>
      <w:r w:rsidR="007F47B1">
        <w:t>During the reporting period, t</w:t>
      </w:r>
      <w:r w:rsidRPr="00513802">
        <w:t>he</w:t>
      </w:r>
      <w:r w:rsidR="009142FB" w:rsidRPr="00513802">
        <w:t xml:space="preserve"> </w:t>
      </w:r>
      <w:r w:rsidRPr="00513802">
        <w:t>Russian Federation</w:t>
      </w:r>
      <w:r w:rsidR="009142FB" w:rsidRPr="00513802">
        <w:t xml:space="preserve"> </w:t>
      </w:r>
      <w:r w:rsidRPr="00513802">
        <w:t>continue</w:t>
      </w:r>
      <w:r w:rsidR="00D36D5E">
        <w:t>d</w:t>
      </w:r>
      <w:r w:rsidR="009142FB" w:rsidRPr="00513802">
        <w:t xml:space="preserve"> </w:t>
      </w:r>
      <w:r w:rsidRPr="00513802">
        <w:t>to</w:t>
      </w:r>
      <w:r w:rsidR="009142FB" w:rsidRPr="00513802">
        <w:t xml:space="preserve"> </w:t>
      </w:r>
      <w:r w:rsidRPr="00513802">
        <w:t>apply</w:t>
      </w:r>
      <w:r w:rsidR="009142FB" w:rsidRPr="00513802">
        <w:t xml:space="preserve"> </w:t>
      </w:r>
      <w:r w:rsidRPr="00513802">
        <w:t>its</w:t>
      </w:r>
      <w:r w:rsidR="009142FB" w:rsidRPr="00513802">
        <w:t xml:space="preserve"> </w:t>
      </w:r>
      <w:r w:rsidRPr="00513802">
        <w:t>laws,</w:t>
      </w:r>
      <w:r w:rsidR="009142FB" w:rsidRPr="00513802">
        <w:t xml:space="preserve"> </w:t>
      </w:r>
      <w:r w:rsidRPr="00513802">
        <w:t>in violation</w:t>
      </w:r>
      <w:r w:rsidR="009142FB" w:rsidRPr="00513802">
        <w:t xml:space="preserve"> </w:t>
      </w:r>
      <w:r w:rsidRPr="00513802">
        <w:t>of</w:t>
      </w:r>
      <w:r w:rsidR="009142FB" w:rsidRPr="00513802">
        <w:t xml:space="preserve"> </w:t>
      </w:r>
      <w:r w:rsidRPr="00513802">
        <w:t>international</w:t>
      </w:r>
      <w:r w:rsidR="009142FB" w:rsidRPr="00513802">
        <w:t xml:space="preserve"> </w:t>
      </w:r>
      <w:r w:rsidRPr="00513802">
        <w:t>humanitarian</w:t>
      </w:r>
      <w:r w:rsidR="009142FB" w:rsidRPr="00513802">
        <w:t xml:space="preserve"> </w:t>
      </w:r>
      <w:r w:rsidRPr="00513802">
        <w:t>law applicable</w:t>
      </w:r>
      <w:r w:rsidR="009142FB" w:rsidRPr="00513802">
        <w:t xml:space="preserve"> </w:t>
      </w:r>
      <w:r w:rsidRPr="00513802">
        <w:t>to</w:t>
      </w:r>
      <w:r w:rsidR="009142FB" w:rsidRPr="00513802">
        <w:t xml:space="preserve"> </w:t>
      </w:r>
      <w:r w:rsidRPr="00513802">
        <w:t>an</w:t>
      </w:r>
      <w:r w:rsidR="009142FB" w:rsidRPr="00513802">
        <w:t xml:space="preserve"> </w:t>
      </w:r>
      <w:r w:rsidRPr="00513802">
        <w:t xml:space="preserve">occupying </w:t>
      </w:r>
      <w:r w:rsidR="00735E35">
        <w:t>P</w:t>
      </w:r>
      <w:r w:rsidRPr="00513802">
        <w:t xml:space="preserve">ower, </w:t>
      </w:r>
      <w:r w:rsidR="007E44F3">
        <w:t>and committing</w:t>
      </w:r>
      <w:r w:rsidR="007E44F3" w:rsidRPr="00513802">
        <w:t xml:space="preserve"> </w:t>
      </w:r>
      <w:r w:rsidRPr="00513802">
        <w:t>human</w:t>
      </w:r>
      <w:r w:rsidR="009142FB" w:rsidRPr="00513802">
        <w:t xml:space="preserve"> </w:t>
      </w:r>
      <w:r w:rsidRPr="00513802">
        <w:t>rights</w:t>
      </w:r>
      <w:r w:rsidR="009142FB" w:rsidRPr="00513802">
        <w:t xml:space="preserve"> </w:t>
      </w:r>
      <w:r w:rsidRPr="00513802">
        <w:t xml:space="preserve">violations, </w:t>
      </w:r>
      <w:r w:rsidR="0013226C" w:rsidRPr="00513802">
        <w:t>including</w:t>
      </w:r>
      <w:r w:rsidR="007E44F3">
        <w:t xml:space="preserve"> against</w:t>
      </w:r>
      <w:r w:rsidR="0013226C" w:rsidRPr="00513802">
        <w:t xml:space="preserve"> detainees, and those seeking access to education in Ukrainian. The rights of </w:t>
      </w:r>
      <w:r w:rsidR="00D02444" w:rsidRPr="00513802">
        <w:t>the Crimean Tatar</w:t>
      </w:r>
      <w:r w:rsidR="008B7D5E">
        <w:t>s</w:t>
      </w:r>
      <w:r w:rsidR="0013226C" w:rsidRPr="00513802">
        <w:t xml:space="preserve"> have also been particularly affected</w:t>
      </w:r>
      <w:r w:rsidRPr="00513802">
        <w:t>.</w:t>
      </w:r>
      <w:r w:rsidR="009142FB" w:rsidRPr="00513802">
        <w:t xml:space="preserve"> </w:t>
      </w:r>
    </w:p>
    <w:p w14:paraId="20E7E7F1" w14:textId="619BF3BB" w:rsidR="00F208D3" w:rsidRDefault="0030085F" w:rsidP="001232C6">
      <w:pPr>
        <w:pStyle w:val="SingleTxtG"/>
      </w:pPr>
      <w:r>
        <w:t xml:space="preserve">In this reporting period, </w:t>
      </w:r>
      <w:r w:rsidR="008B17C0">
        <w:t>OHCHR engaged in a number of technical cooperation and capacity-building activities, including the provision of training</w:t>
      </w:r>
      <w:r w:rsidR="00DC77FB">
        <w:t xml:space="preserve"> session</w:t>
      </w:r>
      <w:r w:rsidR="008B17C0">
        <w:t>s</w:t>
      </w:r>
      <w:r w:rsidR="0082372D">
        <w:t>, on</w:t>
      </w:r>
      <w:r w:rsidR="001912AE">
        <w:t>, e.g.</w:t>
      </w:r>
      <w:r w:rsidR="0082372D">
        <w:t xml:space="preserve"> the protection of civilians, international standards for the treatment of prisoners and torture documentation,</w:t>
      </w:r>
      <w:r w:rsidR="008B17C0">
        <w:t xml:space="preserve"> to a variety of actors and </w:t>
      </w:r>
      <w:r w:rsidR="008006E7">
        <w:t>the preparation of analytical thematic papers intended for diverse audiences.</w:t>
      </w:r>
      <w:r w:rsidR="00DE455E" w:rsidRPr="00DE455E">
        <w:t xml:space="preserve"> </w:t>
      </w:r>
    </w:p>
    <w:p w14:paraId="6979B7E5" w14:textId="3B41E048" w:rsidR="008B17C0" w:rsidRPr="00513802" w:rsidRDefault="00DE455E" w:rsidP="001232C6">
      <w:pPr>
        <w:pStyle w:val="SingleTxtG"/>
      </w:pPr>
      <w:r w:rsidRPr="00513802">
        <w:lastRenderedPageBreak/>
        <w:t>OHCHR operations in territory controlled by ‘Donetsk people’s republic’ and ‘Luhansk people’s republic’ continued to be restricted</w:t>
      </w:r>
      <w:r w:rsidR="00F208D3">
        <w:t xml:space="preserve"> </w:t>
      </w:r>
      <w:r w:rsidR="0030085F">
        <w:t>between 16 February and 15 May 2019</w:t>
      </w:r>
      <w:r w:rsidRPr="00513802">
        <w:t>. Ongoing discussions through regular meetings with representatives of both ‘Donetsk people’s republic’ and ‘Luhansk people’s republic’ have yet to secure the full resumption of OHCHR operations in the territory they control</w:t>
      </w:r>
      <w:r>
        <w:t>.</w:t>
      </w:r>
      <w:r w:rsidR="005600CA" w:rsidRPr="00E55DB8">
        <w:rPr>
          <w:rStyle w:val="FootnoteReference"/>
          <w:sz w:val="20"/>
        </w:rPr>
        <w:footnoteReference w:id="17"/>
      </w:r>
    </w:p>
    <w:p w14:paraId="58C9EE47" w14:textId="6F7D5FB3" w:rsidR="00256B96" w:rsidRPr="00513802" w:rsidRDefault="004B45A5" w:rsidP="002A384F">
      <w:pPr>
        <w:pStyle w:val="H1G"/>
        <w:tabs>
          <w:tab w:val="left" w:pos="1701"/>
        </w:tabs>
        <w:rPr>
          <w:lang w:val="en-NZ"/>
        </w:rPr>
      </w:pPr>
      <w:r w:rsidRPr="00513802">
        <w:rPr>
          <w:lang w:val="en-NZ"/>
        </w:rPr>
        <w:tab/>
      </w:r>
      <w:bookmarkStart w:id="23" w:name="_Toc11165963"/>
      <w:r w:rsidR="00256B96" w:rsidRPr="00513802">
        <w:rPr>
          <w:lang w:val="en-NZ"/>
        </w:rPr>
        <w:t xml:space="preserve">OHCHR </w:t>
      </w:r>
      <w:r w:rsidR="00256B96" w:rsidRPr="00DC0D28">
        <w:t>methodology</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3"/>
    </w:p>
    <w:p w14:paraId="7E9BEAE3" w14:textId="2001A8F0" w:rsidR="00F97279" w:rsidRDefault="002B2CAC" w:rsidP="001232C6">
      <w:pPr>
        <w:pStyle w:val="SingleTxtG"/>
      </w:pPr>
      <w:bookmarkStart w:id="24" w:name="_Toc251660170"/>
      <w:bookmarkStart w:id="25" w:name="_Toc251667782"/>
      <w:bookmarkStart w:id="26" w:name="_Toc512415786"/>
      <w:bookmarkStart w:id="27" w:name="_Toc513567278"/>
      <w:bookmarkStart w:id="28" w:name="_Toc513567994"/>
      <w:bookmarkStart w:id="29" w:name="_Toc513568516"/>
      <w:bookmarkStart w:id="30" w:name="_Toc513569219"/>
      <w:bookmarkStart w:id="31" w:name="_Toc513569913"/>
      <w:bookmarkStart w:id="32" w:name="_Toc514402997"/>
      <w:bookmarkStart w:id="33" w:name="_Toc514404243"/>
      <w:bookmarkStart w:id="34" w:name="_Toc514404269"/>
      <w:bookmarkStart w:id="35" w:name="_Toc514410216"/>
      <w:bookmarkStart w:id="36" w:name="_Toc514417627"/>
      <w:bookmarkStart w:id="37" w:name="_Toc514769275"/>
      <w:bookmarkStart w:id="38" w:name="_Toc521518078"/>
      <w:bookmarkStart w:id="39" w:name="_Toc523729915"/>
      <w:bookmarkStart w:id="40" w:name="_Toc523733223"/>
      <w:bookmarkStart w:id="41" w:name="_Toc523733539"/>
      <w:bookmarkStart w:id="42" w:name="_Toc523734199"/>
      <w:bookmarkStart w:id="43" w:name="_Toc523737828"/>
      <w:bookmarkStart w:id="44" w:name="_Toc523737859"/>
      <w:bookmarkEnd w:id="24"/>
      <w:bookmarkEnd w:id="25"/>
      <w:r w:rsidRPr="00513802">
        <w:t xml:space="preserve">This report is based </w:t>
      </w:r>
      <w:r w:rsidRPr="005F10CF">
        <w:t xml:space="preserve">on </w:t>
      </w:r>
      <w:r w:rsidR="00D92294" w:rsidRPr="005F10CF">
        <w:t>17</w:t>
      </w:r>
      <w:r w:rsidR="00FB5538" w:rsidRPr="005F10CF">
        <w:t>9</w:t>
      </w:r>
      <w:r w:rsidRPr="005F10CF">
        <w:t xml:space="preserve"> in-</w:t>
      </w:r>
      <w:r w:rsidRPr="00513802">
        <w:t>depth interviews with</w:t>
      </w:r>
      <w:r w:rsidR="001712E5">
        <w:t xml:space="preserve"> individuals, including</w:t>
      </w:r>
      <w:r w:rsidRPr="00513802">
        <w:t xml:space="preserve"> victims and witnesses</w:t>
      </w:r>
      <w:r w:rsidR="002A376A">
        <w:t xml:space="preserve"> of human rights violations</w:t>
      </w:r>
      <w:r w:rsidR="00830274">
        <w:t xml:space="preserve"> and abuses</w:t>
      </w:r>
      <w:r w:rsidRPr="00513802">
        <w:t xml:space="preserve">. </w:t>
      </w:r>
      <w:r w:rsidR="00655D41" w:rsidRPr="003B7016">
        <w:t xml:space="preserve">Information is generally obtained from </w:t>
      </w:r>
      <w:r w:rsidRPr="00513802">
        <w:t>victims, witnesses, relatives of victims and lawyers</w:t>
      </w:r>
      <w:r w:rsidR="00655D41" w:rsidRPr="003B7016">
        <w:t>,</w:t>
      </w:r>
      <w:r w:rsidRPr="00513802">
        <w:t xml:space="preserve"> site visits, Government representatives, civil society and other interlocutors, trial monitoring</w:t>
      </w:r>
      <w:r w:rsidR="00655D41" w:rsidRPr="003B7016">
        <w:t>, as well as</w:t>
      </w:r>
      <w:r w:rsidRPr="00513802">
        <w:t xml:space="preserve"> court documents, officials records, open-source </w:t>
      </w:r>
      <w:r w:rsidR="00655D41" w:rsidRPr="003B7016">
        <w:t>and</w:t>
      </w:r>
      <w:r w:rsidRPr="00513802">
        <w:t xml:space="preserve"> other relevant </w:t>
      </w:r>
      <w:r w:rsidR="00655D41" w:rsidRPr="003B7016">
        <w:t>material. Findings</w:t>
      </w:r>
      <w:r w:rsidR="00655D41">
        <w:t xml:space="preserve"> are based on verified information collected from primary and secondary sources that are assessed as credible and reliable. </w:t>
      </w:r>
      <w:r w:rsidR="00655D41" w:rsidRPr="00513802">
        <w:t xml:space="preserve">Findings </w:t>
      </w:r>
      <w:r w:rsidR="00655D41">
        <w:t xml:space="preserve">are included in the report where the “reasonable grounds” standard of proof is met, namely where, based on a body of verified information, </w:t>
      </w:r>
      <w:r w:rsidR="00655D41" w:rsidRPr="00797213">
        <w:t xml:space="preserve">an </w:t>
      </w:r>
      <w:r w:rsidR="00655D41" w:rsidRPr="00B77C09">
        <w:t>ordinarily</w:t>
      </w:r>
      <w:r w:rsidR="00655D41" w:rsidRPr="00797213">
        <w:t xml:space="preserve"> prudent observer would have </w:t>
      </w:r>
      <w:r w:rsidR="00655D41" w:rsidRPr="00B77C09">
        <w:t>reasonable grounds to believe</w:t>
      </w:r>
      <w:r w:rsidR="00655D41">
        <w:t xml:space="preserve"> that the facts took place as described and, where legal conclusions are drawn, that these facts meet all the elements of a violation.</w:t>
      </w:r>
      <w:r w:rsidRPr="00513802">
        <w:t xml:space="preserve"> </w:t>
      </w:r>
    </w:p>
    <w:p w14:paraId="7E4F0707" w14:textId="6B83E5F7" w:rsidR="00750BA8" w:rsidRDefault="002B2CAC" w:rsidP="001232C6">
      <w:pPr>
        <w:pStyle w:val="SingleTxtG"/>
      </w:pPr>
      <w:r w:rsidRPr="00513802">
        <w:t>OHCHR applies the same due diligence and standard of proof when documenting conflict-related civilian casualties.</w:t>
      </w:r>
      <w:r w:rsidRPr="008B10A6">
        <w:t xml:space="preserve"> </w:t>
      </w:r>
      <w:r w:rsidR="00750BA8" w:rsidRPr="00750BA8">
        <w:t xml:space="preserve">OHCHR documents </w:t>
      </w:r>
      <w:r w:rsidR="00F97279">
        <w:t xml:space="preserve">such </w:t>
      </w:r>
      <w:r w:rsidR="00750BA8" w:rsidRPr="00750BA8">
        <w:t>casualties by consulting a broad range of sources and types of information that are evaluated based on credibility and reliability: victims and their relatives; witnesses; official records; open-source documents, photo and video materials; forensic records and reports; criminal investigation materials; court documents; public reports of the OSCE Special Monitoring Mission to Ukraine; reports by international and national non-</w:t>
      </w:r>
      <w:r w:rsidR="00684F34">
        <w:t>G</w:t>
      </w:r>
      <w:r w:rsidR="00750BA8" w:rsidRPr="00750BA8">
        <w:t>overnmental organizations; public reports by law enforcement and military actors; data from medical facilities and local authorities; and other relevant and reliable materials. In some instances, documenti</w:t>
      </w:r>
      <w:r w:rsidR="001912AE">
        <w:t xml:space="preserve">ng </w:t>
      </w:r>
      <w:r w:rsidR="004007C7">
        <w:t>occurrences</w:t>
      </w:r>
      <w:r w:rsidR="00750BA8" w:rsidRPr="00750BA8">
        <w:t xml:space="preserve"> may take weeks or months before conclusions can be drawn, meaning that numbers on civilian casualties may be revised as more information becomes available. OHCHR attributes a civilian casualty to a particular party based on the geographic location where it occurred, the direction of fire, and the overall context surrounding the incident.</w:t>
      </w:r>
    </w:p>
    <w:p w14:paraId="2D0AA876" w14:textId="3E1A244D" w:rsidR="00F97279" w:rsidRDefault="00F97279" w:rsidP="001232C6">
      <w:pPr>
        <w:pStyle w:val="SingleTxtG"/>
      </w:pPr>
      <w:r w:rsidRPr="00513802">
        <w:t>Consent is sought from sources on the use of information, ensuring confidentiality as appropriate</w:t>
      </w:r>
      <w:r>
        <w:t>, including an assessment of</w:t>
      </w:r>
      <w:r w:rsidRPr="00513802">
        <w:t xml:space="preserve"> the risk of reprisals</w:t>
      </w:r>
      <w:r>
        <w:t>, in respect of OHCHR</w:t>
      </w:r>
      <w:r w:rsidR="001912AE">
        <w:t>’</w:t>
      </w:r>
      <w:r>
        <w:t>s ‘do no harm’ principle.</w:t>
      </w:r>
    </w:p>
    <w:p w14:paraId="701E9BCB" w14:textId="2849DE7B" w:rsidR="002B2CAC" w:rsidRPr="008B10A6" w:rsidRDefault="008006E7" w:rsidP="001232C6">
      <w:pPr>
        <w:pStyle w:val="SingleTxtG"/>
      </w:pPr>
      <w:bookmarkStart w:id="45" w:name="_Toc525031923"/>
      <w:bookmarkStart w:id="46" w:name="_Toc525034443"/>
      <w:bookmarkStart w:id="47" w:name="_Toc525035786"/>
      <w:r w:rsidRPr="008B10A6">
        <w:t xml:space="preserve">While OHCHR cannot provide an exhaustive account of all human rights violations committed throughout Ukraine, it is able to </w:t>
      </w:r>
      <w:r w:rsidR="00655D41" w:rsidRPr="008B10A6">
        <w:t xml:space="preserve">obtain and verify information through a range of means </w:t>
      </w:r>
      <w:r w:rsidR="0030085F">
        <w:t xml:space="preserve">according to </w:t>
      </w:r>
      <w:r w:rsidR="00655D41" w:rsidRPr="008B10A6">
        <w:t xml:space="preserve">its methodology, and bases its conclusions of </w:t>
      </w:r>
      <w:r w:rsidRPr="008B10A6">
        <w:t>patterns of human rights violations</w:t>
      </w:r>
      <w:r w:rsidR="00B22C66" w:rsidRPr="008B10A6">
        <w:t>,</w:t>
      </w:r>
      <w:r w:rsidRPr="008B10A6">
        <w:t xml:space="preserve"> abuses </w:t>
      </w:r>
      <w:r w:rsidR="00B22C66" w:rsidRPr="008B10A6">
        <w:t xml:space="preserve">and harm </w:t>
      </w:r>
      <w:r w:rsidRPr="008B10A6">
        <w:t xml:space="preserve">on </w:t>
      </w:r>
      <w:r w:rsidR="00655D41" w:rsidRPr="008B10A6">
        <w:t xml:space="preserve">verified </w:t>
      </w:r>
      <w:r w:rsidRPr="008B10A6">
        <w:t>individual cases.</w:t>
      </w:r>
    </w:p>
    <w:p w14:paraId="759FE197" w14:textId="79426CC6" w:rsidR="00256B96" w:rsidRDefault="002B2CAC" w:rsidP="00DC0D28">
      <w:pPr>
        <w:pStyle w:val="H1G"/>
      </w:pPr>
      <w:r w:rsidRPr="00513802">
        <w:rPr>
          <w:rStyle w:val="H1GChar"/>
          <w:sz w:val="20"/>
        </w:rPr>
        <w:tab/>
      </w:r>
      <w:r w:rsidRPr="00513802">
        <w:rPr>
          <w:rStyle w:val="H1GChar"/>
          <w:b/>
          <w:sz w:val="20"/>
        </w:rPr>
        <w:t xml:space="preserve"> </w:t>
      </w:r>
      <w:bookmarkStart w:id="48" w:name="_Toc11165964"/>
      <w:r w:rsidR="00256B96" w:rsidRPr="00513802">
        <w:t xml:space="preserve">Impact of </w:t>
      </w:r>
      <w:r w:rsidR="00256B96" w:rsidRPr="00DC0D28">
        <w:t>hostilities</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14:paraId="43635112" w14:textId="77777777" w:rsidR="00B7258D" w:rsidRPr="00337906" w:rsidRDefault="00B7258D" w:rsidP="001232C6">
      <w:pPr>
        <w:pStyle w:val="SingleTxtG-Withnumbering"/>
        <w:numPr>
          <w:ilvl w:val="0"/>
          <w:numId w:val="0"/>
        </w:numPr>
        <w:ind w:left="1134"/>
        <w:rPr>
          <w:i/>
        </w:rPr>
      </w:pPr>
      <w:r w:rsidRPr="00337906">
        <w:rPr>
          <w:i/>
        </w:rPr>
        <w:t xml:space="preserve">“When the shelling starts at night, I put him to bed and tell him it is just rain drops falling.” </w:t>
      </w:r>
    </w:p>
    <w:p w14:paraId="3C1E9BE7" w14:textId="18BC4B40" w:rsidR="0030085F" w:rsidRPr="00EA3E8E" w:rsidRDefault="00F523C7" w:rsidP="001232C6">
      <w:pPr>
        <w:pStyle w:val="SingleTxtG"/>
        <w:numPr>
          <w:ilvl w:val="0"/>
          <w:numId w:val="13"/>
        </w:numPr>
      </w:pPr>
      <w:r>
        <w:t xml:space="preserve">A </w:t>
      </w:r>
      <w:r w:rsidR="00B7258D">
        <w:t xml:space="preserve">woman on how she explains the hostilities to her four-year-old grandchild in </w:t>
      </w:r>
      <w:r w:rsidR="000D6E89">
        <w:t>Oleksandrivka</w:t>
      </w:r>
    </w:p>
    <w:p w14:paraId="284AE969" w14:textId="54EA4ED6" w:rsidR="007E1D1B" w:rsidRPr="00513802" w:rsidRDefault="007E1D1B" w:rsidP="001232C6">
      <w:pPr>
        <w:pStyle w:val="SingleTxtG"/>
      </w:pPr>
      <w:bookmarkStart w:id="49" w:name="_Toc525031924"/>
      <w:bookmarkStart w:id="50" w:name="_Toc525034444"/>
      <w:bookmarkStart w:id="51" w:name="_Toc525035787"/>
      <w:bookmarkStart w:id="52" w:name="_Toc512415787"/>
      <w:bookmarkStart w:id="53" w:name="_Toc513567279"/>
      <w:bookmarkStart w:id="54" w:name="_Toc513567995"/>
      <w:bookmarkStart w:id="55" w:name="_Toc513568517"/>
      <w:bookmarkStart w:id="56" w:name="_Toc513569220"/>
      <w:bookmarkStart w:id="57" w:name="_Toc513569914"/>
      <w:bookmarkStart w:id="58" w:name="_Toc514402998"/>
      <w:bookmarkStart w:id="59" w:name="_Toc514404244"/>
      <w:bookmarkStart w:id="60" w:name="_Toc514404270"/>
      <w:bookmarkStart w:id="61" w:name="_Toc514410217"/>
      <w:bookmarkStart w:id="62" w:name="_Toc514417628"/>
      <w:bookmarkStart w:id="63" w:name="_Toc514769276"/>
      <w:bookmarkStart w:id="64" w:name="_Toc521518079"/>
      <w:bookmarkStart w:id="65" w:name="_Toc523729916"/>
      <w:bookmarkStart w:id="66" w:name="_Toc523733224"/>
      <w:bookmarkStart w:id="67" w:name="_Toc523733540"/>
      <w:bookmarkStart w:id="68" w:name="_Toc523734200"/>
      <w:bookmarkStart w:id="69" w:name="_Toc523737829"/>
      <w:bookmarkStart w:id="70" w:name="_Toc523737860"/>
      <w:r w:rsidRPr="00513802">
        <w:t xml:space="preserve">During the reporting period, hostilities </w:t>
      </w:r>
      <w:r w:rsidRPr="008B10A6">
        <w:t>continued</w:t>
      </w:r>
      <w:r w:rsidRPr="00513802">
        <w:t xml:space="preserve"> to affect</w:t>
      </w:r>
      <w:r w:rsidR="00DF1618">
        <w:t>, directly or indirectly,</w:t>
      </w:r>
      <w:r w:rsidRPr="00513802">
        <w:t xml:space="preserve"> the </w:t>
      </w:r>
      <w:r w:rsidR="00DF1618">
        <w:t xml:space="preserve">lives of </w:t>
      </w:r>
      <w:r w:rsidR="00466A5D">
        <w:t>3</w:t>
      </w:r>
      <w:r w:rsidR="00DF1618">
        <w:t>.</w:t>
      </w:r>
      <w:r w:rsidR="00466A5D">
        <w:t>9</w:t>
      </w:r>
      <w:r w:rsidR="00DF1618">
        <w:t xml:space="preserve"> million </w:t>
      </w:r>
      <w:r w:rsidRPr="00513802">
        <w:t>civilian</w:t>
      </w:r>
      <w:r w:rsidR="00DF1618">
        <w:t>s</w:t>
      </w:r>
      <w:r w:rsidRPr="00513802">
        <w:t xml:space="preserve"> </w:t>
      </w:r>
      <w:r w:rsidR="00417310">
        <w:t>resid</w:t>
      </w:r>
      <w:r w:rsidR="0093617F">
        <w:t>ing</w:t>
      </w:r>
      <w:r w:rsidRPr="00513802">
        <w:t xml:space="preserve"> in the c</w:t>
      </w:r>
      <w:r w:rsidR="001A27E9" w:rsidRPr="00513802">
        <w:t>onflict zone of eastern Ukraine</w:t>
      </w:r>
      <w:r w:rsidRPr="00513802">
        <w:t>.</w:t>
      </w:r>
      <w:r w:rsidR="001B744E" w:rsidRPr="008B10A6">
        <w:rPr>
          <w:rStyle w:val="FootnoteReference"/>
        </w:rPr>
        <w:footnoteReference w:id="18"/>
      </w:r>
      <w:r w:rsidR="00417310">
        <w:t xml:space="preserve"> </w:t>
      </w:r>
      <w:r w:rsidR="00417310" w:rsidRPr="00810EAA">
        <w:t xml:space="preserve">Regular exchanges of fire across the contact line continue to expose those residing nearby to a </w:t>
      </w:r>
      <w:r w:rsidR="00417310" w:rsidRPr="00810EAA">
        <w:lastRenderedPageBreak/>
        <w:t xml:space="preserve">constant threat of death or injury, </w:t>
      </w:r>
      <w:r w:rsidR="00C162CF">
        <w:t>while their</w:t>
      </w:r>
      <w:r w:rsidR="00C162CF" w:rsidRPr="00810EAA">
        <w:t xml:space="preserve"> </w:t>
      </w:r>
      <w:r w:rsidR="00417310" w:rsidRPr="00810EAA">
        <w:t xml:space="preserve">civilian property and </w:t>
      </w:r>
      <w:r w:rsidR="00C162CF">
        <w:t xml:space="preserve">critical civilian </w:t>
      </w:r>
      <w:r w:rsidR="00417310" w:rsidRPr="00810EAA">
        <w:t>infrastructure continued to be damaged</w:t>
      </w:r>
      <w:r w:rsidR="00E26246">
        <w:t>, often</w:t>
      </w:r>
      <w:r w:rsidR="00417310" w:rsidRPr="00810EAA">
        <w:t xml:space="preserve"> in disregard for the principles of distinction, proportionality and precaution. In addition to the threat of shelling, civilians continued to be at risk from mines and explosive remnants of war</w:t>
      </w:r>
      <w:r w:rsidR="00417310">
        <w:t>.</w:t>
      </w:r>
      <w:r w:rsidR="008D75B5">
        <w:t xml:space="preserve"> </w:t>
      </w:r>
      <w:r w:rsidRPr="00513802">
        <w:t xml:space="preserve">OHCHR continued to observe </w:t>
      </w:r>
      <w:r w:rsidR="001A27E9" w:rsidRPr="00513802">
        <w:t xml:space="preserve">the </w:t>
      </w:r>
      <w:r w:rsidRPr="00513802">
        <w:t xml:space="preserve">presence </w:t>
      </w:r>
      <w:r w:rsidR="001A27E9" w:rsidRPr="00513802">
        <w:t xml:space="preserve">of military personnel or objects </w:t>
      </w:r>
      <w:r w:rsidRPr="00513802">
        <w:t>within</w:t>
      </w:r>
      <w:r w:rsidR="001A27E9" w:rsidRPr="00513802">
        <w:t>,</w:t>
      </w:r>
      <w:r w:rsidRPr="00513802">
        <w:t xml:space="preserve"> or near</w:t>
      </w:r>
      <w:r w:rsidR="001A27E9" w:rsidRPr="00513802">
        <w:t>,</w:t>
      </w:r>
      <w:r w:rsidRPr="00513802">
        <w:t xml:space="preserve"> populated areas on both sides of the contact line. Over the reporting period, OHCHR documented </w:t>
      </w:r>
      <w:r w:rsidR="00210CD6">
        <w:t>nine</w:t>
      </w:r>
      <w:r w:rsidRPr="00513802">
        <w:t xml:space="preserve"> cases in which Ukrainian forces </w:t>
      </w:r>
      <w:r w:rsidR="008B3D2D">
        <w:t>established a presence</w:t>
      </w:r>
      <w:r w:rsidRPr="00513802">
        <w:t xml:space="preserve"> in</w:t>
      </w:r>
      <w:r w:rsidR="00524BA8" w:rsidRPr="00513802">
        <w:t>,</w:t>
      </w:r>
      <w:r w:rsidRPr="00513802">
        <w:t xml:space="preserve"> or near</w:t>
      </w:r>
      <w:r w:rsidR="001A27E9" w:rsidRPr="00513802">
        <w:t>,</w:t>
      </w:r>
      <w:r w:rsidRPr="00513802">
        <w:t xml:space="preserve"> residential areas. </w:t>
      </w:r>
      <w:r w:rsidR="004C7B05" w:rsidRPr="00513802">
        <w:t xml:space="preserve">For instance, in </w:t>
      </w:r>
      <w:r w:rsidR="00A77F74">
        <w:t>Verkhnotoretske</w:t>
      </w:r>
      <w:r w:rsidR="0050052A">
        <w:t xml:space="preserve"> (Donetsk</w:t>
      </w:r>
      <w:r w:rsidR="004C7B05" w:rsidRPr="00513802">
        <w:t xml:space="preserve"> region), </w:t>
      </w:r>
      <w:r w:rsidR="009D0553" w:rsidRPr="009D0553">
        <w:t xml:space="preserve">OHCHR observed trenches belonging to Ukrainian forces approximately </w:t>
      </w:r>
      <w:r w:rsidR="000E7126">
        <w:t>15</w:t>
      </w:r>
      <w:r w:rsidR="009D0553" w:rsidRPr="009D0553">
        <w:t xml:space="preserve"> metres from </w:t>
      </w:r>
      <w:r w:rsidR="000E7126">
        <w:t>the nearest</w:t>
      </w:r>
      <w:r w:rsidR="009D0553" w:rsidRPr="009D0553">
        <w:t xml:space="preserve"> inhabited </w:t>
      </w:r>
      <w:r w:rsidRPr="00513802">
        <w:t>house.</w:t>
      </w:r>
      <w:r w:rsidRPr="008B10A6">
        <w:rPr>
          <w:rStyle w:val="FootnoteReference"/>
          <w:sz w:val="20"/>
          <w:lang w:val="en-US"/>
        </w:rPr>
        <w:footnoteReference w:id="19"/>
      </w:r>
      <w:r w:rsidRPr="00513802">
        <w:t xml:space="preserve"> </w:t>
      </w:r>
      <w:r w:rsidR="001F60F2">
        <w:t xml:space="preserve">Over the reporting period, the </w:t>
      </w:r>
      <w:r w:rsidRPr="00513802">
        <w:t xml:space="preserve">OSCE Special Monitoring Mission to Ukraine (OSCE SMM) </w:t>
      </w:r>
      <w:r w:rsidR="001F60F2">
        <w:t>identified</w:t>
      </w:r>
      <w:r w:rsidRPr="00513802">
        <w:t xml:space="preserve"> </w:t>
      </w:r>
      <w:r w:rsidR="001F60F2">
        <w:t xml:space="preserve">at least 10 cases of </w:t>
      </w:r>
      <w:r w:rsidRPr="00513802">
        <w:t xml:space="preserve">military positions </w:t>
      </w:r>
      <w:r w:rsidR="00C162CF">
        <w:t xml:space="preserve">or weapons </w:t>
      </w:r>
      <w:r w:rsidRPr="00513802">
        <w:t xml:space="preserve">in or near residential areas </w:t>
      </w:r>
      <w:r w:rsidR="001F60F2">
        <w:t xml:space="preserve">in territory controlled by </w:t>
      </w:r>
      <w:r w:rsidR="00CA3191">
        <w:t>‘Donetsk people’s republic and ‘Luhansk people’s republic’</w:t>
      </w:r>
      <w:r w:rsidRPr="00513802">
        <w:t xml:space="preserve">. For instance, in Verkhnoshyrokivske (formerly Oktiabr) in Donetsk region, </w:t>
      </w:r>
      <w:r w:rsidRPr="0086486C">
        <w:t>OSCE SMM observed three tanks close to a probable mortar position next to houses.</w:t>
      </w:r>
      <w:r w:rsidR="00524BA8" w:rsidRPr="008B10A6">
        <w:rPr>
          <w:rStyle w:val="FootnoteReference"/>
          <w:sz w:val="20"/>
          <w:lang w:val="en-US"/>
        </w:rPr>
        <w:footnoteReference w:id="20"/>
      </w:r>
      <w:r w:rsidR="0064519E">
        <w:t xml:space="preserve"> </w:t>
      </w:r>
    </w:p>
    <w:p w14:paraId="5CE939A2" w14:textId="452C82CC" w:rsidR="007E1D1B" w:rsidRDefault="007E1D1B" w:rsidP="001232C6">
      <w:pPr>
        <w:pStyle w:val="SingleTxtG"/>
      </w:pPr>
      <w:r w:rsidRPr="00513802">
        <w:t xml:space="preserve">OHCHR </w:t>
      </w:r>
      <w:r w:rsidR="00524BA8" w:rsidRPr="00513802">
        <w:t xml:space="preserve">recalls </w:t>
      </w:r>
      <w:r w:rsidRPr="00513802">
        <w:t xml:space="preserve">in this regards that placement of military positions in and near residential areas puts civilians and civilian objects at increased risk </w:t>
      </w:r>
      <w:r w:rsidR="00854FEC">
        <w:t>of being affected</w:t>
      </w:r>
      <w:r w:rsidRPr="00513802">
        <w:t xml:space="preserve"> and </w:t>
      </w:r>
      <w:r w:rsidR="003A5932">
        <w:t>may</w:t>
      </w:r>
      <w:r w:rsidR="003A5932" w:rsidRPr="00513802">
        <w:t xml:space="preserve"> </w:t>
      </w:r>
      <w:r w:rsidRPr="00513802">
        <w:t xml:space="preserve">amount to a violation of international humanitarian law. </w:t>
      </w:r>
    </w:p>
    <w:p w14:paraId="1F3F9D1B" w14:textId="634CF514" w:rsidR="00256B96" w:rsidRPr="00513802" w:rsidRDefault="00256B96" w:rsidP="00DC0D28">
      <w:pPr>
        <w:pStyle w:val="H23G"/>
        <w:rPr>
          <w:lang w:val="en-NZ"/>
        </w:rPr>
      </w:pPr>
      <w:bookmarkStart w:id="71" w:name="_Toc11165965"/>
      <w:r w:rsidRPr="00DC0D28">
        <w:rPr>
          <w:rStyle w:val="SubtleEmphasis"/>
          <w:i w:val="0"/>
          <w:iCs w:val="0"/>
          <w:color w:val="auto"/>
        </w:rPr>
        <w:t>Conduct</w:t>
      </w:r>
      <w:r w:rsidRPr="00513802">
        <w:rPr>
          <w:rStyle w:val="SubtleEmphasis"/>
          <w:i w:val="0"/>
          <w:iCs w:val="0"/>
          <w:color w:val="auto"/>
          <w:lang w:val="en-NZ"/>
        </w:rPr>
        <w:t xml:space="preserve"> of hostilities and civilian casualties</w:t>
      </w:r>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p w14:paraId="435C3BFA" w14:textId="77777777" w:rsidR="0039101B" w:rsidRDefault="007E1D1B" w:rsidP="0039101B">
      <w:pPr>
        <w:pStyle w:val="SingleTxtG"/>
      </w:pPr>
      <w:r w:rsidRPr="00513802">
        <w:t xml:space="preserve">Between 16 February and 15 May 2019, OHCHR recorded </w:t>
      </w:r>
      <w:r w:rsidR="007B0BBB">
        <w:t xml:space="preserve">45 </w:t>
      </w:r>
      <w:r w:rsidRPr="00513802">
        <w:t xml:space="preserve">conflict-related civilian casualties: </w:t>
      </w:r>
      <w:r w:rsidR="007B0BBB">
        <w:t xml:space="preserve">10 </w:t>
      </w:r>
      <w:r w:rsidRPr="00513802">
        <w:t>killed</w:t>
      </w:r>
      <w:r w:rsidRPr="008B10A6">
        <w:rPr>
          <w:rStyle w:val="FootnoteReference"/>
          <w:sz w:val="20"/>
        </w:rPr>
        <w:footnoteReference w:id="21"/>
      </w:r>
      <w:r w:rsidRPr="00513802">
        <w:t xml:space="preserve"> and </w:t>
      </w:r>
      <w:r w:rsidR="007B0BBB">
        <w:t xml:space="preserve">35 </w:t>
      </w:r>
      <w:r w:rsidRPr="00513802">
        <w:t>injured,</w:t>
      </w:r>
      <w:r w:rsidRPr="008B10A6">
        <w:rPr>
          <w:rStyle w:val="FootnoteReference"/>
          <w:sz w:val="20"/>
        </w:rPr>
        <w:footnoteReference w:id="22"/>
      </w:r>
      <w:r w:rsidRPr="00513802">
        <w:t xml:space="preserve"> a </w:t>
      </w:r>
      <w:r w:rsidR="007B0BBB">
        <w:t>181</w:t>
      </w:r>
      <w:r>
        <w:t xml:space="preserve"> </w:t>
      </w:r>
      <w:r w:rsidRPr="00513802">
        <w:t xml:space="preserve">per cent increase compared with the previous reporting period of 16 November 2018 to 15 February 2019 when </w:t>
      </w:r>
      <w:r w:rsidRPr="008B10A6">
        <w:rPr>
          <w:lang w:val="en-US"/>
        </w:rPr>
        <w:t>16</w:t>
      </w:r>
      <w:r w:rsidRPr="00513802">
        <w:t xml:space="preserve"> civilian casualties (</w:t>
      </w:r>
      <w:r w:rsidRPr="008B10A6">
        <w:rPr>
          <w:lang w:val="en-US"/>
        </w:rPr>
        <w:t>two</w:t>
      </w:r>
      <w:r w:rsidRPr="00513802">
        <w:t xml:space="preserve"> killed and 14 injured) were recorded. The number of locations where civilian casualties were recorded increased from 11 to </w:t>
      </w:r>
      <w:r w:rsidR="007B0BBB">
        <w:t>28</w:t>
      </w:r>
      <w:r w:rsidRPr="00513802">
        <w:t xml:space="preserve">. The reporting period </w:t>
      </w:r>
      <w:r w:rsidR="002B0B1C">
        <w:t>saw</w:t>
      </w:r>
      <w:r w:rsidRPr="00513802">
        <w:t xml:space="preserve"> the lowest number of civilian casualties compared with same calendar periods (mid-</w:t>
      </w:r>
      <w:r w:rsidR="007B0BBB">
        <w:t>February</w:t>
      </w:r>
      <w:r w:rsidRPr="00513802">
        <w:t xml:space="preserve"> to mid-</w:t>
      </w:r>
      <w:r w:rsidR="007B0BBB">
        <w:t>May</w:t>
      </w:r>
      <w:r w:rsidRPr="00513802">
        <w:t>) from 201</w:t>
      </w:r>
      <w:r w:rsidR="007B0BBB">
        <w:t>5</w:t>
      </w:r>
      <w:r w:rsidRPr="00513802">
        <w:t xml:space="preserve"> to 2018.</w:t>
      </w:r>
    </w:p>
    <w:p w14:paraId="4C3AE436" w14:textId="1D1DFEB9" w:rsidR="002B67EA" w:rsidRDefault="002B67EA" w:rsidP="002B67EA">
      <w:pPr>
        <w:pStyle w:val="SingleTxtG"/>
        <w:numPr>
          <w:ilvl w:val="0"/>
          <w:numId w:val="0"/>
        </w:numPr>
        <w:ind w:left="1134"/>
      </w:pPr>
      <w:r w:rsidRPr="002B67EA">
        <w:rPr>
          <w:noProof/>
          <w:lang w:val="uk-UA" w:eastAsia="uk-UA"/>
        </w:rPr>
        <w:drawing>
          <wp:inline distT="0" distB="0" distL="0" distR="0" wp14:anchorId="0B796712" wp14:editId="5E5081AC">
            <wp:extent cx="4723805" cy="3143250"/>
            <wp:effectExtent l="0" t="0" r="635" b="0"/>
            <wp:docPr id="1" name="Picture 1" descr="Z:\Shared Documents\00. Quarterly Reports\26th HRMMU Report\Infographics\English\Ukraine-infographics-en-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hared Documents\00. Quarterly Reports\26th HRMMU Report\Infographics\English\Ukraine-infographics-en-0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34761" cy="3150540"/>
                    </a:xfrm>
                    <a:prstGeom prst="rect">
                      <a:avLst/>
                    </a:prstGeom>
                    <a:noFill/>
                    <a:ln>
                      <a:noFill/>
                    </a:ln>
                  </pic:spPr>
                </pic:pic>
              </a:graphicData>
            </a:graphic>
          </wp:inline>
        </w:drawing>
      </w:r>
    </w:p>
    <w:p w14:paraId="15F2FAE6" w14:textId="00898D65" w:rsidR="00430B12" w:rsidRDefault="007E1D1B" w:rsidP="00430B12">
      <w:pPr>
        <w:pStyle w:val="SingleTxtG"/>
      </w:pPr>
      <w:r w:rsidRPr="00513802">
        <w:lastRenderedPageBreak/>
        <w:t>During the reporting period, shelling and SALW</w:t>
      </w:r>
      <w:r w:rsidRPr="008B10A6">
        <w:rPr>
          <w:rStyle w:val="FootnoteReference"/>
          <w:sz w:val="20"/>
        </w:rPr>
        <w:footnoteReference w:id="23"/>
      </w:r>
      <w:r w:rsidRPr="00513802">
        <w:t xml:space="preserve"> fire killed </w:t>
      </w:r>
      <w:r w:rsidR="0014034E">
        <w:t xml:space="preserve">two </w:t>
      </w:r>
      <w:r w:rsidRPr="00513802">
        <w:t>civilians (</w:t>
      </w:r>
      <w:r w:rsidR="0014034E">
        <w:t>one</w:t>
      </w:r>
      <w:r w:rsidR="0000670F">
        <w:t xml:space="preserve"> </w:t>
      </w:r>
      <w:r w:rsidRPr="00513802">
        <w:t>m</w:t>
      </w:r>
      <w:r w:rsidR="0014034E">
        <w:t>a</w:t>
      </w:r>
      <w:r w:rsidRPr="00513802">
        <w:t xml:space="preserve">n and </w:t>
      </w:r>
      <w:r w:rsidR="0014034E">
        <w:t xml:space="preserve">one </w:t>
      </w:r>
      <w:r w:rsidRPr="00513802">
        <w:t>wom</w:t>
      </w:r>
      <w:r w:rsidR="0014034E">
        <w:t>a</w:t>
      </w:r>
      <w:r w:rsidRPr="00513802">
        <w:t xml:space="preserve">n) and injured </w:t>
      </w:r>
      <w:r w:rsidR="0014034E">
        <w:t xml:space="preserve">18 </w:t>
      </w:r>
      <w:r w:rsidRPr="00513802">
        <w:t>(</w:t>
      </w:r>
      <w:r w:rsidR="0014034E">
        <w:t xml:space="preserve">eight </w:t>
      </w:r>
      <w:r w:rsidR="0014034E" w:rsidRPr="00513802">
        <w:t>men</w:t>
      </w:r>
      <w:r w:rsidR="0014034E">
        <w:t>,</w:t>
      </w:r>
      <w:r w:rsidR="0014034E" w:rsidRPr="00513802">
        <w:t xml:space="preserve"> </w:t>
      </w:r>
      <w:r w:rsidR="0014034E">
        <w:t xml:space="preserve">eight </w:t>
      </w:r>
      <w:r w:rsidR="0014034E" w:rsidRPr="00513802">
        <w:t>women</w:t>
      </w:r>
      <w:r w:rsidR="0014034E">
        <w:t>, one boy and one girl</w:t>
      </w:r>
      <w:r w:rsidRPr="00513802">
        <w:t xml:space="preserve">). This is a </w:t>
      </w:r>
      <w:r w:rsidR="0014034E">
        <w:t>100</w:t>
      </w:r>
      <w:r>
        <w:t xml:space="preserve"> </w:t>
      </w:r>
      <w:r w:rsidRPr="00513802">
        <w:t xml:space="preserve">per cent increase with the previous reporting period (ten injured), </w:t>
      </w:r>
      <w:r w:rsidR="0014034E">
        <w:t>but still</w:t>
      </w:r>
      <w:r w:rsidRPr="00513802">
        <w:t xml:space="preserve"> one of the lowest figures for the entire conflict period. Of the </w:t>
      </w:r>
      <w:r w:rsidR="0014034E">
        <w:t>20</w:t>
      </w:r>
      <w:r>
        <w:t xml:space="preserve"> </w:t>
      </w:r>
      <w:r w:rsidRPr="00513802">
        <w:t xml:space="preserve">civilian casualties caused by shelling and SALW fire, </w:t>
      </w:r>
      <w:r w:rsidR="0014034E">
        <w:t>four injured</w:t>
      </w:r>
      <w:r w:rsidR="0014034E" w:rsidRPr="00513802">
        <w:t xml:space="preserve"> were recorded in Government-controlled territory and are </w:t>
      </w:r>
      <w:r w:rsidR="001F7B51" w:rsidRPr="00E576D3">
        <w:rPr>
          <w:noProof/>
          <w:lang w:val="uk-UA" w:eastAsia="uk-UA"/>
        </w:rPr>
        <w:drawing>
          <wp:anchor distT="0" distB="0" distL="114300" distR="114300" simplePos="0" relativeHeight="251639296" behindDoc="0" locked="0" layoutInCell="1" allowOverlap="1" wp14:anchorId="4E3D7197" wp14:editId="2F2A89EB">
            <wp:simplePos x="0" y="0"/>
            <wp:positionH relativeFrom="column">
              <wp:posOffset>2794635</wp:posOffset>
            </wp:positionH>
            <wp:positionV relativeFrom="paragraph">
              <wp:posOffset>-86360</wp:posOffset>
            </wp:positionV>
            <wp:extent cx="2645410" cy="2276475"/>
            <wp:effectExtent l="0" t="0" r="2540" b="9525"/>
            <wp:wrapSquare wrapText="bothSides"/>
            <wp:docPr id="5" name="Picture 5" descr="Z:\Shared Documents\00. Quarterly Reports\26th HRMMU Report\Infographics\English\Ukraine-infographics-en-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Shared Documents\00. Quarterly Reports\26th HRMMU Report\Infographics\English\Ukraine-infographics-en-03.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45410" cy="2276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034E" w:rsidRPr="00513802">
        <w:t xml:space="preserve">attributable to armed groups </w:t>
      </w:r>
      <w:r w:rsidR="0014034E">
        <w:t xml:space="preserve">(three to armed groups of </w:t>
      </w:r>
      <w:r w:rsidR="0014034E" w:rsidRPr="00513802">
        <w:t>‘Donetsk people’s republic’</w:t>
      </w:r>
      <w:r w:rsidR="0014034E">
        <w:t xml:space="preserve"> and one to armed groups of ‘Luhansk people’s republic’)</w:t>
      </w:r>
      <w:r w:rsidR="0014034E" w:rsidRPr="00513802">
        <w:t xml:space="preserve">; </w:t>
      </w:r>
      <w:r w:rsidR="007D7540" w:rsidRPr="001912AE">
        <w:t xml:space="preserve">two civilians were killed and four injured in territory controlled by </w:t>
      </w:r>
      <w:r w:rsidR="001F740B">
        <w:t>‘Donetsk people’</w:t>
      </w:r>
      <w:r w:rsidR="007D7540" w:rsidRPr="001912AE">
        <w:t>s republic</w:t>
      </w:r>
      <w:r w:rsidR="0064519E">
        <w:t>’</w:t>
      </w:r>
      <w:r w:rsidR="007D7540" w:rsidRPr="001912AE">
        <w:t xml:space="preserve">, and one civilian killed and three injured in territory controlled by </w:t>
      </w:r>
      <w:r w:rsidR="001F740B">
        <w:t>‘</w:t>
      </w:r>
      <w:r w:rsidR="007D7540" w:rsidRPr="001912AE">
        <w:t>Luhansk people</w:t>
      </w:r>
      <w:r w:rsidR="0064519E">
        <w:t>’</w:t>
      </w:r>
      <w:r w:rsidR="007D7540" w:rsidRPr="001912AE">
        <w:t>s republic</w:t>
      </w:r>
      <w:r w:rsidR="0064519E">
        <w:t>’</w:t>
      </w:r>
      <w:r w:rsidR="0014034E" w:rsidRPr="001912AE">
        <w:t>, all attributable to the Government.</w:t>
      </w:r>
      <w:r w:rsidRPr="001912AE">
        <w:t xml:space="preserve"> </w:t>
      </w:r>
    </w:p>
    <w:p w14:paraId="1A8EF7C7" w14:textId="1B8AC838" w:rsidR="00E576D3" w:rsidRDefault="0014034E" w:rsidP="00430B12">
      <w:pPr>
        <w:pStyle w:val="SingleTxtG"/>
      </w:pPr>
      <w:r w:rsidRPr="001232C6">
        <w:t>During</w:t>
      </w:r>
      <w:r>
        <w:t xml:space="preserve"> the reporting period, seven civilians were killed (five men, one woman and one boy) and 17 were injured (14 men, two women and one boy) in mine-related incidents</w:t>
      </w:r>
      <w:r w:rsidRPr="0014034E">
        <w:rPr>
          <w:rStyle w:val="FootnoteReference"/>
          <w:sz w:val="20"/>
        </w:rPr>
        <w:footnoteReference w:id="24"/>
      </w:r>
      <w:r w:rsidRPr="0014034E">
        <w:t xml:space="preserve"> and as a result of ERW handling.</w:t>
      </w:r>
      <w:r w:rsidR="00031C8C" w:rsidRPr="00A11C3C">
        <w:rPr>
          <w:rStyle w:val="FootnoteReference"/>
          <w:sz w:val="20"/>
        </w:rPr>
        <w:footnoteReference w:id="25"/>
      </w:r>
      <w:r w:rsidRPr="0014034E">
        <w:t xml:space="preserve"> Of </w:t>
      </w:r>
      <w:r w:rsidR="00C4301A">
        <w:t>these,</w:t>
      </w:r>
      <w:r>
        <w:t xml:space="preserve"> 14 (four killed and 10 injured) were recorded in Government-controlled territory, and 10 (three killed and seven injured) – in territory controlled by </w:t>
      </w:r>
      <w:r w:rsidR="001F740B">
        <w:t>‘</w:t>
      </w:r>
      <w:r w:rsidR="00CA3191">
        <w:t>Donetsk people’s republic and ‘Luhansk people’s republic’</w:t>
      </w:r>
      <w:r>
        <w:t>.</w:t>
      </w:r>
      <w:r w:rsidR="0051301B" w:rsidRPr="00430B12">
        <w:rPr>
          <w:noProof/>
          <w:lang w:val="uk-UA" w:eastAsia="uk-UA"/>
        </w:rPr>
        <w:t xml:space="preserve"> </w:t>
      </w:r>
    </w:p>
    <w:p w14:paraId="0AECF611" w14:textId="4852B9DA" w:rsidR="001F7B51" w:rsidRDefault="0084616B" w:rsidP="001F7B51">
      <w:pPr>
        <w:pStyle w:val="SingleTxtG"/>
      </w:pPr>
      <w:r w:rsidRPr="00C820CD">
        <w:t xml:space="preserve">In 2019, civilian casualties remained </w:t>
      </w:r>
      <w:r>
        <w:t>among the lowest</w:t>
      </w:r>
      <w:r w:rsidRPr="00C820CD">
        <w:t xml:space="preserve"> for the entire conflict period: 11</w:t>
      </w:r>
      <w:r>
        <w:t xml:space="preserve"> on average per month (</w:t>
      </w:r>
      <w:r w:rsidRPr="00C820CD">
        <w:t>2</w:t>
      </w:r>
      <w:r>
        <w:t>-3 killed and 8-9 injured)</w:t>
      </w:r>
      <w:r w:rsidRPr="00C820CD">
        <w:t>. These levels have been observed since Ju</w:t>
      </w:r>
      <w:r>
        <w:t>ly 2018</w:t>
      </w:r>
      <w:r w:rsidRPr="00C820CD">
        <w:t xml:space="preserve">. If they sustain until the end of the year, 2019 would see over 50 percent decrease in civilian casualties compared with 2018 which, in turn, saw a </w:t>
      </w:r>
      <w:r w:rsidRPr="00C820CD">
        <w:rPr>
          <w:spacing w:val="-2"/>
        </w:rPr>
        <w:t xml:space="preserve">50 percent decrease compared with 2017 and had the lowest civilian casualty figures for the entire conflict period. </w:t>
      </w:r>
      <w:r w:rsidRPr="00C820CD">
        <w:t>These numbers demonstrate that it is possible to progressively decrease civilian casualties to bring them close to zero, until a sustainable solution to the conflict is found. Adherence to the Minsk Agreements and respect of international humanitarian law have been ke</w:t>
      </w:r>
      <w:r w:rsidR="001F7B51">
        <w:t>y factors in making this happen.</w:t>
      </w:r>
    </w:p>
    <w:p w14:paraId="7995D6FE" w14:textId="77777777" w:rsidR="008E7567" w:rsidRDefault="008E7567" w:rsidP="001F7B51">
      <w:pPr>
        <w:pStyle w:val="SingleTxtG"/>
        <w:numPr>
          <w:ilvl w:val="0"/>
          <w:numId w:val="0"/>
        </w:numPr>
        <w:ind w:left="1134"/>
      </w:pPr>
    </w:p>
    <w:p w14:paraId="517DE6C1" w14:textId="77777777" w:rsidR="008E7567" w:rsidRDefault="008E7567">
      <w:pPr>
        <w:suppressAutoHyphens w:val="0"/>
        <w:spacing w:after="160" w:line="259" w:lineRule="auto"/>
      </w:pPr>
      <w:r>
        <w:br w:type="page"/>
      </w:r>
    </w:p>
    <w:p w14:paraId="51E8F69F" w14:textId="43E5D6AB" w:rsidR="001F7B51" w:rsidRDefault="008E7567" w:rsidP="001F7B51">
      <w:pPr>
        <w:pStyle w:val="SingleTxtG"/>
        <w:numPr>
          <w:ilvl w:val="0"/>
          <w:numId w:val="0"/>
        </w:numPr>
        <w:ind w:left="1134"/>
      </w:pPr>
      <w:r w:rsidRPr="001232C6">
        <w:rPr>
          <w:noProof/>
          <w:lang w:val="uk-UA" w:eastAsia="uk-UA"/>
        </w:rPr>
        <w:lastRenderedPageBreak/>
        <w:drawing>
          <wp:anchor distT="0" distB="0" distL="114300" distR="114300" simplePos="0" relativeHeight="251661824" behindDoc="0" locked="0" layoutInCell="1" allowOverlap="1" wp14:anchorId="76B6D1CF" wp14:editId="4ECD3142">
            <wp:simplePos x="0" y="0"/>
            <wp:positionH relativeFrom="margin">
              <wp:posOffset>654050</wp:posOffset>
            </wp:positionH>
            <wp:positionV relativeFrom="margin">
              <wp:posOffset>-190500</wp:posOffset>
            </wp:positionV>
            <wp:extent cx="4842510" cy="2767330"/>
            <wp:effectExtent l="0" t="0" r="0" b="0"/>
            <wp:wrapSquare wrapText="bothSides"/>
            <wp:docPr id="6" name="Picture 6" descr="C:\Users\OHCHR-User\AppData\Local\Microsoft\Windows\INetCache\Content.Word\Ukraine-infographic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HCHR-User\AppData\Local\Microsoft\Windows\INetCache\Content.Word\Ukraine-infographics-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42510" cy="27673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0F1896" w14:textId="7CBC5F4E" w:rsidR="001F7B51" w:rsidRDefault="001F7B51" w:rsidP="001F7B51">
      <w:pPr>
        <w:pStyle w:val="SingleTxtG"/>
        <w:numPr>
          <w:ilvl w:val="0"/>
          <w:numId w:val="0"/>
        </w:numPr>
        <w:ind w:left="1134"/>
      </w:pPr>
    </w:p>
    <w:p w14:paraId="761726E7" w14:textId="1F220D7E" w:rsidR="001F7B51" w:rsidRDefault="001F7B51" w:rsidP="001F7B51">
      <w:pPr>
        <w:pStyle w:val="SingleTxtG"/>
        <w:numPr>
          <w:ilvl w:val="0"/>
          <w:numId w:val="0"/>
        </w:numPr>
        <w:ind w:left="1134"/>
      </w:pPr>
    </w:p>
    <w:p w14:paraId="0E67DD9E" w14:textId="11C1C776" w:rsidR="00AB7208" w:rsidRDefault="008E7567" w:rsidP="008E7567">
      <w:pPr>
        <w:pStyle w:val="SingleTxtG"/>
      </w:pPr>
      <w:r w:rsidRPr="008E7567">
        <w:rPr>
          <w:noProof/>
          <w:lang w:val="uk-UA" w:eastAsia="uk-UA"/>
        </w:rPr>
        <w:drawing>
          <wp:anchor distT="0" distB="0" distL="114300" distR="114300" simplePos="0" relativeHeight="251666944" behindDoc="0" locked="0" layoutInCell="1" allowOverlap="1" wp14:anchorId="37C1F5D9" wp14:editId="2EC22815">
            <wp:simplePos x="0" y="0"/>
            <wp:positionH relativeFrom="column">
              <wp:posOffset>1804035</wp:posOffset>
            </wp:positionH>
            <wp:positionV relativeFrom="paragraph">
              <wp:posOffset>1009015</wp:posOffset>
            </wp:positionV>
            <wp:extent cx="2524125" cy="2933700"/>
            <wp:effectExtent l="0" t="0" r="9525" b="0"/>
            <wp:wrapTopAndBottom/>
            <wp:docPr id="4" name="Picture 4" descr="Z:\Shared Documents\00. Quarterly Reports\26th HRMMU Report\Infographics\English\Ukraine-infographics-en-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hared Documents\00. Quarterly Reports\26th HRMMU Report\Infographics\English\Ukraine-infographics-en-04.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4125" cy="2933700"/>
                    </a:xfrm>
                    <a:prstGeom prst="rect">
                      <a:avLst/>
                    </a:prstGeom>
                    <a:noFill/>
                    <a:ln>
                      <a:noFill/>
                    </a:ln>
                  </pic:spPr>
                </pic:pic>
              </a:graphicData>
            </a:graphic>
          </wp:anchor>
        </w:drawing>
      </w:r>
      <w:r w:rsidR="00AB7208" w:rsidRPr="00513802">
        <w:t xml:space="preserve">During the entire conflict period, from 14 April 2014 to 15 May 2019, OHCHR recorded in total </w:t>
      </w:r>
      <w:r w:rsidR="00AB7208">
        <w:t xml:space="preserve">3,033 </w:t>
      </w:r>
      <w:r w:rsidR="00AB7208" w:rsidRPr="00513802">
        <w:t xml:space="preserve">civilian </w:t>
      </w:r>
      <w:r w:rsidR="00AB7208" w:rsidRPr="00AB7208">
        <w:rPr>
          <w:lang w:val="en-US"/>
        </w:rPr>
        <w:t>deaths</w:t>
      </w:r>
      <w:r w:rsidR="00AB7208" w:rsidRPr="00513802">
        <w:t xml:space="preserve"> (</w:t>
      </w:r>
      <w:r w:rsidR="00AB7208">
        <w:t>1,800</w:t>
      </w:r>
      <w:r w:rsidR="00AB7208" w:rsidRPr="00AB7208">
        <w:rPr>
          <w:lang w:val="en-US"/>
        </w:rPr>
        <w:t xml:space="preserve"> </w:t>
      </w:r>
      <w:r w:rsidR="00AB7208" w:rsidRPr="00513802">
        <w:t xml:space="preserve">men, </w:t>
      </w:r>
      <w:r w:rsidR="00AB7208">
        <w:t>1,049</w:t>
      </w:r>
      <w:r w:rsidR="00AB7208" w:rsidRPr="008B10A6">
        <w:t xml:space="preserve"> </w:t>
      </w:r>
      <w:r w:rsidR="00AB7208" w:rsidRPr="00513802">
        <w:t xml:space="preserve">women, </w:t>
      </w:r>
      <w:r w:rsidR="00AB7208">
        <w:t>98</w:t>
      </w:r>
      <w:r w:rsidR="00AB7208" w:rsidRPr="00513802">
        <w:t xml:space="preserve"> boys, </w:t>
      </w:r>
      <w:r w:rsidR="00AB7208">
        <w:t>49</w:t>
      </w:r>
      <w:r w:rsidR="00AB7208" w:rsidRPr="00513802">
        <w:t xml:space="preserve"> girls and </w:t>
      </w:r>
      <w:r w:rsidR="00AB7208">
        <w:t>37</w:t>
      </w:r>
      <w:r w:rsidR="00AB7208" w:rsidRPr="00513802">
        <w:t xml:space="preserve"> adults whose </w:t>
      </w:r>
      <w:r w:rsidR="00AB7208" w:rsidRPr="00F523C7">
        <w:t xml:space="preserve">gender is unknown). Taking into account the 298 deaths on board of Malaysian Airlines MH17 </w:t>
      </w:r>
      <w:r w:rsidR="00AB7208" w:rsidRPr="00AB7208">
        <w:rPr>
          <w:lang w:val="en-US"/>
        </w:rPr>
        <w:t>flight</w:t>
      </w:r>
      <w:r w:rsidR="00AB7208" w:rsidRPr="00F523C7">
        <w:t xml:space="preserve"> on 17 July </w:t>
      </w:r>
      <w:r w:rsidR="00AB7208" w:rsidRPr="00AB7208">
        <w:t>2014, the total death toll of the conflict on civilians has been at least 3,331. The number of injured civilians is estimated to exceed 7,000.</w:t>
      </w:r>
      <w:r w:rsidR="00EC6ACC" w:rsidRPr="00EC6ACC">
        <w:rPr>
          <w:noProof/>
          <w:lang w:val="uk-UA" w:eastAsia="uk-UA"/>
        </w:rPr>
        <w:t xml:space="preserve"> </w:t>
      </w:r>
    </w:p>
    <w:p w14:paraId="4E28A473" w14:textId="77777777" w:rsidR="008E7567" w:rsidRDefault="008E7567" w:rsidP="008E7567">
      <w:pPr>
        <w:pStyle w:val="SingleTxtG"/>
        <w:numPr>
          <w:ilvl w:val="0"/>
          <w:numId w:val="0"/>
        </w:numPr>
        <w:ind w:left="1134"/>
      </w:pPr>
    </w:p>
    <w:p w14:paraId="3BD5F2F4" w14:textId="3CCE3734" w:rsidR="00417310" w:rsidRPr="00AB7208" w:rsidRDefault="00FF662E" w:rsidP="001232C6">
      <w:pPr>
        <w:pStyle w:val="SingleTxtG"/>
      </w:pPr>
      <w:r w:rsidRPr="00AB7208">
        <w:t xml:space="preserve">OHCHR </w:t>
      </w:r>
      <w:r w:rsidRPr="00AB7208">
        <w:rPr>
          <w:lang w:val="en-US"/>
        </w:rPr>
        <w:t xml:space="preserve">welcomes </w:t>
      </w:r>
      <w:r w:rsidR="00C17E5A" w:rsidRPr="00AB7208">
        <w:rPr>
          <w:lang w:val="en-US"/>
        </w:rPr>
        <w:t xml:space="preserve">the </w:t>
      </w:r>
      <w:r w:rsidRPr="00AB7208">
        <w:rPr>
          <w:lang w:val="en-US"/>
        </w:rPr>
        <w:t xml:space="preserve">Government’s </w:t>
      </w:r>
      <w:r w:rsidRPr="00AB7208">
        <w:t>decision</w:t>
      </w:r>
      <w:r w:rsidRPr="00AB7208">
        <w:rPr>
          <w:lang w:val="en-US"/>
        </w:rPr>
        <w:t>, taken in March 2019, to develop a national policy framework</w:t>
      </w:r>
      <w:r w:rsidRPr="00AB7208">
        <w:t xml:space="preserve"> that </w:t>
      </w:r>
      <w:r w:rsidRPr="00AB7208">
        <w:rPr>
          <w:bCs/>
        </w:rPr>
        <w:t xml:space="preserve">would </w:t>
      </w:r>
      <w:r w:rsidRPr="00AB7208">
        <w:t xml:space="preserve">establish institutional authorities and responsibilities for the protection of civilians and civilian objects in hostilities </w:t>
      </w:r>
      <w:r w:rsidRPr="00AB7208">
        <w:rPr>
          <w:color w:val="000000" w:themeColor="text1"/>
        </w:rPr>
        <w:t xml:space="preserve">as recommended </w:t>
      </w:r>
      <w:r w:rsidRPr="00AB7208">
        <w:t>in the 2018 United Nations Secretary</w:t>
      </w:r>
      <w:r w:rsidRPr="007102EB">
        <w:t xml:space="preserve"> </w:t>
      </w:r>
      <w:r w:rsidRPr="00AB7208">
        <w:rPr>
          <w:lang w:val="en-US"/>
        </w:rPr>
        <w:t>General’s</w:t>
      </w:r>
      <w:r w:rsidRPr="007102EB">
        <w:t xml:space="preserve"> report on protection of civilians in armed conflict</w:t>
      </w:r>
      <w:r w:rsidRPr="00AB7208">
        <w:rPr>
          <w:bCs/>
        </w:rPr>
        <w:t xml:space="preserve">. </w:t>
      </w:r>
      <w:r w:rsidR="004239CB" w:rsidRPr="00AB7208">
        <w:rPr>
          <w:bCs/>
        </w:rPr>
        <w:t>T</w:t>
      </w:r>
      <w:r w:rsidRPr="00AB7208">
        <w:rPr>
          <w:bCs/>
        </w:rPr>
        <w:t xml:space="preserve">he policy </w:t>
      </w:r>
      <w:r w:rsidR="004239CB" w:rsidRPr="00AB7208">
        <w:rPr>
          <w:bCs/>
        </w:rPr>
        <w:t xml:space="preserve">should be </w:t>
      </w:r>
      <w:r w:rsidRPr="00AB7208">
        <w:rPr>
          <w:bCs/>
        </w:rPr>
        <w:t>adopted without delay and its implementation supported by the development of the relevant plan of action.</w:t>
      </w:r>
    </w:p>
    <w:p w14:paraId="724DDA5A" w14:textId="0C22E255" w:rsidR="00256B96" w:rsidRPr="00513802" w:rsidRDefault="00965AA2" w:rsidP="00DC0D28">
      <w:pPr>
        <w:pStyle w:val="H23G"/>
        <w:rPr>
          <w:lang w:val="en-NZ"/>
        </w:rPr>
      </w:pPr>
      <w:bookmarkStart w:id="72" w:name="_Toc11165966"/>
      <w:r w:rsidRPr="00DC0D28">
        <w:t>Economic</w:t>
      </w:r>
      <w:r w:rsidRPr="00513802">
        <w:rPr>
          <w:lang w:val="en-NZ"/>
        </w:rPr>
        <w:t xml:space="preserve"> and </w:t>
      </w:r>
      <w:r w:rsidR="00AF4EE2">
        <w:rPr>
          <w:lang w:val="en-NZ"/>
        </w:rPr>
        <w:t>s</w:t>
      </w:r>
      <w:r w:rsidR="009C7336" w:rsidRPr="00513802">
        <w:rPr>
          <w:lang w:val="en-NZ"/>
        </w:rPr>
        <w:t xml:space="preserve">ocial </w:t>
      </w:r>
      <w:r w:rsidR="00AF4EE2">
        <w:rPr>
          <w:lang w:val="en-NZ"/>
        </w:rPr>
        <w:t>r</w:t>
      </w:r>
      <w:r w:rsidR="00A0118A" w:rsidRPr="00513802">
        <w:rPr>
          <w:lang w:val="en-NZ"/>
        </w:rPr>
        <w:t>ights</w:t>
      </w:r>
      <w:bookmarkEnd w:id="72"/>
      <w:r w:rsidR="00A0118A" w:rsidRPr="00513802">
        <w:rPr>
          <w:lang w:val="en-NZ"/>
        </w:rPr>
        <w:t xml:space="preserve"> </w:t>
      </w:r>
    </w:p>
    <w:p w14:paraId="68E0B653" w14:textId="6096BCC7" w:rsidR="009C7336" w:rsidRDefault="006925D4" w:rsidP="001232C6">
      <w:pPr>
        <w:pStyle w:val="SingleTxtG"/>
      </w:pPr>
      <w:r w:rsidRPr="00320BAF">
        <w:t>The socio-economic situation</w:t>
      </w:r>
      <w:r w:rsidRPr="008B10A6">
        <w:rPr>
          <w:b/>
        </w:rPr>
        <w:t xml:space="preserve"> </w:t>
      </w:r>
      <w:r w:rsidRPr="00320BAF">
        <w:t xml:space="preserve">in </w:t>
      </w:r>
      <w:r w:rsidR="00327CEF">
        <w:t xml:space="preserve">Ukraine continues to be </w:t>
      </w:r>
      <w:r w:rsidR="006827B9">
        <w:t>jeopardised</w:t>
      </w:r>
      <w:r w:rsidR="00327CEF">
        <w:t xml:space="preserve"> by the continuing conflict in the east. People living in isolated villages and near the contact line are especially affected, due to the lack of access to quality services</w:t>
      </w:r>
      <w:r w:rsidR="00975148" w:rsidRPr="00320BAF">
        <w:t xml:space="preserve">. </w:t>
      </w:r>
      <w:r w:rsidRPr="00320BAF">
        <w:t>Divisive and discriminatory</w:t>
      </w:r>
      <w:r w:rsidR="006827B9">
        <w:t xml:space="preserve"> </w:t>
      </w:r>
      <w:r w:rsidR="00B2502B" w:rsidRPr="00320BAF">
        <w:t>policies</w:t>
      </w:r>
      <w:r w:rsidR="00B2502B">
        <w:t>,</w:t>
      </w:r>
      <w:r w:rsidR="00B2502B" w:rsidRPr="00320BAF">
        <w:t xml:space="preserve"> </w:t>
      </w:r>
      <w:r w:rsidRPr="00320BAF">
        <w:t>legislation and practices continued to affect, among other rights, freedom of movement and access to pension and social benefits</w:t>
      </w:r>
      <w:r w:rsidRPr="008B10A6">
        <w:t>.</w:t>
      </w:r>
      <w:r w:rsidR="00965AA2" w:rsidRPr="00320BAF">
        <w:t xml:space="preserve"> </w:t>
      </w:r>
    </w:p>
    <w:p w14:paraId="578315F4" w14:textId="77777777" w:rsidR="0041099F" w:rsidRDefault="009C7336" w:rsidP="00597DC6">
      <w:pPr>
        <w:pStyle w:val="H4G"/>
      </w:pPr>
      <w:r w:rsidRPr="00320BAF">
        <w:lastRenderedPageBreak/>
        <w:tab/>
      </w:r>
      <w:bookmarkStart w:id="73" w:name="_Toc530417999"/>
      <w:bookmarkStart w:id="74" w:name="_Toc530418031"/>
      <w:bookmarkStart w:id="75" w:name="_Toc532373454"/>
      <w:bookmarkStart w:id="76" w:name="_Toc532376995"/>
      <w:bookmarkStart w:id="77" w:name="_Toc532378599"/>
      <w:bookmarkStart w:id="78" w:name="_Toc532381117"/>
      <w:bookmarkStart w:id="79" w:name="_Toc532383231"/>
      <w:bookmarkStart w:id="80" w:name="_Toc532383828"/>
      <w:bookmarkStart w:id="81" w:name="_Toc532387990"/>
      <w:bookmarkStart w:id="82" w:name="_Toc532389229"/>
      <w:bookmarkStart w:id="83" w:name="_Toc532378083"/>
      <w:bookmarkStart w:id="84" w:name="_Toc532378118"/>
      <w:bookmarkStart w:id="85" w:name="_Toc532394369"/>
      <w:bookmarkStart w:id="86" w:name="_Toc532398534"/>
      <w:bookmarkStart w:id="87" w:name="_Toc532400342"/>
      <w:bookmarkStart w:id="88" w:name="_Toc532400377"/>
      <w:bookmarkStart w:id="89" w:name="_Toc532457931"/>
      <w:bookmarkStart w:id="90" w:name="_Toc532461068"/>
      <w:bookmarkStart w:id="91" w:name="_Toc532461120"/>
      <w:bookmarkStart w:id="92" w:name="_Toc532476516"/>
      <w:bookmarkStart w:id="93" w:name="_Toc532567216"/>
      <w:bookmarkStart w:id="94" w:name="_Toc11165967"/>
      <w:bookmarkStart w:id="95" w:name="_Toc521518082"/>
      <w:bookmarkStart w:id="96" w:name="_Toc523729918"/>
      <w:bookmarkStart w:id="97" w:name="_Toc523733226"/>
      <w:bookmarkStart w:id="98" w:name="_Toc523733542"/>
      <w:bookmarkStart w:id="99" w:name="_Toc523734202"/>
      <w:bookmarkStart w:id="100" w:name="_Toc523737831"/>
      <w:bookmarkStart w:id="101" w:name="_Toc523737862"/>
      <w:bookmarkStart w:id="102" w:name="_Toc525031927"/>
      <w:bookmarkStart w:id="103" w:name="_Toc525034447"/>
      <w:bookmarkStart w:id="104" w:name="_Toc528322087"/>
      <w:bookmarkStart w:id="105" w:name="_Toc528322160"/>
      <w:bookmarkStart w:id="106" w:name="_Toc528327163"/>
      <w:r w:rsidRPr="00320BAF">
        <w:t xml:space="preserve">Remedy and </w:t>
      </w:r>
      <w:r w:rsidRPr="00DC0D28">
        <w:t>reparation</w:t>
      </w:r>
      <w:r w:rsidR="00B434D6" w:rsidRPr="00320BAF">
        <w:t xml:space="preserve"> to </w:t>
      </w:r>
      <w:r w:rsidR="00975148" w:rsidRPr="00320BAF">
        <w:t>c</w:t>
      </w:r>
      <w:r w:rsidR="00B434D6" w:rsidRPr="00320BAF">
        <w:t>ivilian victims</w: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p w14:paraId="09D6E56C" w14:textId="4220EFE9" w:rsidR="0041099F" w:rsidRDefault="0041099F" w:rsidP="001232C6">
      <w:pPr>
        <w:pStyle w:val="SingleTxtG"/>
      </w:pPr>
      <w:r w:rsidRPr="008F6D38">
        <w:t>Five years after the outbreak of the conflict, remedy and reparation to civilian victims – especially those injured (including hundreds of individuals whose injury resulted</w:t>
      </w:r>
      <w:r w:rsidRPr="00320BAF">
        <w:t xml:space="preserve"> in disability), and families of those killed – </w:t>
      </w:r>
      <w:r w:rsidR="00A570A1">
        <w:t>remains</w:t>
      </w:r>
      <w:r w:rsidRPr="00320BAF">
        <w:t xml:space="preserve"> </w:t>
      </w:r>
      <w:r w:rsidR="00E26246">
        <w:t>lacking</w:t>
      </w:r>
      <w:r w:rsidRPr="00320BAF">
        <w:t>.</w:t>
      </w:r>
      <w:r>
        <w:t xml:space="preserve"> Despite the advances for the social protection of </w:t>
      </w:r>
      <w:r w:rsidR="00E26246">
        <w:t>victims</w:t>
      </w:r>
      <w:r>
        <w:t xml:space="preserve"> brought about by the implementation of amendments to the law </w:t>
      </w:r>
      <w:r w:rsidR="00E26246">
        <w:t xml:space="preserve">on war veterans </w:t>
      </w:r>
      <w:r>
        <w:t xml:space="preserve">relating to persons whose disabilities resulted from conflict-related injuries, the lack of a </w:t>
      </w:r>
      <w:r w:rsidRPr="00320BAF">
        <w:t xml:space="preserve">comprehensive </w:t>
      </w:r>
      <w:r w:rsidR="00684F34">
        <w:t>S</w:t>
      </w:r>
      <w:r w:rsidRPr="00320BAF">
        <w:t xml:space="preserve">tate policy and mechanism on remedy and reparation in line with international standards, </w:t>
      </w:r>
      <w:r>
        <w:t xml:space="preserve">advocated for by </w:t>
      </w:r>
      <w:r w:rsidRPr="00320BAF">
        <w:t>OHCHR,</w:t>
      </w:r>
      <w:r>
        <w:t xml:space="preserve"> remains a concern. During the reporting period, the inter-agency commission </w:t>
      </w:r>
      <w:r w:rsidR="00525146">
        <w:t xml:space="preserve">created </w:t>
      </w:r>
      <w:r>
        <w:t xml:space="preserve">to establish the nexus between disability and conflict-related injury considered </w:t>
      </w:r>
      <w:r w:rsidR="00872028" w:rsidRPr="00872028">
        <w:rPr>
          <w:lang w:val="en-US"/>
        </w:rPr>
        <w:t>32</w:t>
      </w:r>
      <w:r>
        <w:t xml:space="preserve"> cases, </w:t>
      </w:r>
      <w:r w:rsidR="00872028">
        <w:t>having approved 24 applications, rejected five and requested addition</w:t>
      </w:r>
      <w:r w:rsidR="000A5450">
        <w:t>al clarifications on three</w:t>
      </w:r>
      <w:r>
        <w:t>.</w:t>
      </w:r>
    </w:p>
    <w:p w14:paraId="6AD5CEED" w14:textId="77777777" w:rsidR="00E479E4" w:rsidRPr="00E479E4" w:rsidRDefault="003A008C" w:rsidP="00E479E4">
      <w:pPr>
        <w:pStyle w:val="SingleTxtG"/>
      </w:pPr>
      <w:r w:rsidRPr="00C31254">
        <w:t>OHCHR notes positive court cases regarding remedy and reparation to families who lost their family members due to hostilities. Two courts in Donetsk and Kharkiv regions issued decisions in favour of civilians, obliging the Government of Ukraine to provide monetary reparation to families who lost loved ones due to the hostilities. OHCHR commends these positive steps by the judiciary and encourages the Government of Ukraine to ensure implementation of these rulings.</w:t>
      </w:r>
      <w:r w:rsidRPr="008B10A6">
        <w:rPr>
          <w:rStyle w:val="FootnoteReference"/>
        </w:rPr>
        <w:footnoteReference w:id="26"/>
      </w:r>
      <w:r w:rsidRPr="00C31254">
        <w:t xml:space="preserve"> </w:t>
      </w:r>
      <w:r>
        <w:t>OHCHR also notes that the Grand Chamber of the Supreme Court is formulating its position on this category of cases.</w:t>
      </w:r>
      <w:r>
        <w:rPr>
          <w:rStyle w:val="FootnoteReference"/>
        </w:rPr>
        <w:footnoteReference w:id="27"/>
      </w:r>
      <w:r w:rsidR="00780E71" w:rsidRPr="00780E71">
        <w:rPr>
          <w:noProof/>
          <w:lang w:val="uk-UA" w:eastAsia="uk-UA"/>
        </w:rPr>
        <w:t xml:space="preserve"> </w:t>
      </w:r>
    </w:p>
    <w:p w14:paraId="7E49A002" w14:textId="5C9F6AEC" w:rsidR="003A008C" w:rsidRPr="00C31254" w:rsidRDefault="00780E71" w:rsidP="00E479E4">
      <w:pPr>
        <w:pStyle w:val="SingleTxtG"/>
        <w:numPr>
          <w:ilvl w:val="0"/>
          <w:numId w:val="0"/>
        </w:numPr>
        <w:ind w:left="993"/>
      </w:pPr>
      <w:r w:rsidRPr="00513802">
        <w:rPr>
          <w:noProof/>
          <w:lang w:val="uk-UA" w:eastAsia="uk-UA"/>
        </w:rPr>
        <mc:AlternateContent>
          <mc:Choice Requires="wps">
            <w:drawing>
              <wp:inline distT="0" distB="0" distL="0" distR="0" wp14:anchorId="70EAF7CA" wp14:editId="6248EF16">
                <wp:extent cx="4857750" cy="2628900"/>
                <wp:effectExtent l="0" t="0" r="0" b="0"/>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0" cy="262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8A0F3" w14:textId="77777777" w:rsidR="00815357" w:rsidRPr="004D3528" w:rsidRDefault="00815357" w:rsidP="00E479E4">
                            <w:pPr>
                              <w:pBdr>
                                <w:top w:val="single" w:sz="24" w:space="8" w:color="4F81BD"/>
                                <w:bottom w:val="single" w:sz="24" w:space="6" w:color="4F81BD"/>
                              </w:pBdr>
                              <w:ind w:right="11"/>
                              <w:jc w:val="center"/>
                              <w:rPr>
                                <w:i/>
                                <w:iCs/>
                                <w:color w:val="002060"/>
                                <w:sz w:val="16"/>
                                <w:szCs w:val="16"/>
                              </w:rPr>
                            </w:pPr>
                            <w:r>
                              <w:rPr>
                                <w:b/>
                                <w:i/>
                                <w:iCs/>
                                <w:color w:val="002060"/>
                                <w:sz w:val="16"/>
                                <w:szCs w:val="16"/>
                              </w:rPr>
                              <w:t>Court case on reparation for family member killed due to hostilities, Luhansk region</w:t>
                            </w:r>
                          </w:p>
                          <w:p w14:paraId="5C03301D" w14:textId="77777777" w:rsidR="00815357" w:rsidRPr="003C71C6" w:rsidRDefault="00815357" w:rsidP="00E479E4">
                            <w:pPr>
                              <w:ind w:left="142" w:right="272" w:firstLine="38"/>
                              <w:jc w:val="both"/>
                              <w:rPr>
                                <w:i/>
                                <w:color w:val="44546A" w:themeColor="text2"/>
                              </w:rPr>
                            </w:pPr>
                            <w:r w:rsidRPr="003C71C6">
                              <w:rPr>
                                <w:i/>
                                <w:color w:val="44546A" w:themeColor="text2"/>
                              </w:rPr>
                              <w:t xml:space="preserve">The Appeal Court of Luhansk region ruled in favour of a woman seeking reparation for the death of her daughter during the armed conflict in eastern Ukraine. According to that judgment, the Government of Ukraine was obliged to provide monetary reparation for the family. The decision entered into force on 19 November 2018. While the Supreme Court previously refused to suspend its execution, this decision was then suspended by the Supreme Court upon the second request of the Ministry of Justice </w:t>
                            </w:r>
                            <w:r>
                              <w:rPr>
                                <w:i/>
                                <w:color w:val="44546A" w:themeColor="text2"/>
                              </w:rPr>
                              <w:t xml:space="preserve">which </w:t>
                            </w:r>
                            <w:r w:rsidRPr="003C71C6">
                              <w:rPr>
                                <w:i/>
                                <w:color w:val="44546A" w:themeColor="text2"/>
                              </w:rPr>
                              <w:t>argu</w:t>
                            </w:r>
                            <w:r>
                              <w:rPr>
                                <w:i/>
                                <w:color w:val="44546A" w:themeColor="text2"/>
                              </w:rPr>
                              <w:t>ed</w:t>
                            </w:r>
                            <w:r w:rsidRPr="003C71C6">
                              <w:rPr>
                                <w:i/>
                                <w:color w:val="44546A" w:themeColor="text2"/>
                              </w:rPr>
                              <w:t xml:space="preserve"> that this amount of compensation, if provided to the plaintiff, would constitute an excessive intake from the State Budget.</w:t>
                            </w:r>
                          </w:p>
                          <w:p w14:paraId="0159BE54" w14:textId="77777777" w:rsidR="00815357" w:rsidRPr="003C71C6" w:rsidRDefault="00815357" w:rsidP="00E479E4">
                            <w:pPr>
                              <w:ind w:left="180" w:right="272"/>
                              <w:rPr>
                                <w:i/>
                                <w:color w:val="44546A" w:themeColor="text2"/>
                              </w:rPr>
                            </w:pPr>
                          </w:p>
                          <w:p w14:paraId="6AE73E4E" w14:textId="77777777" w:rsidR="00815357" w:rsidRPr="003C71C6" w:rsidRDefault="00815357" w:rsidP="00E479E4">
                            <w:pPr>
                              <w:ind w:left="180" w:right="272"/>
                              <w:jc w:val="both"/>
                              <w:rPr>
                                <w:i/>
                                <w:color w:val="44546A" w:themeColor="text2"/>
                              </w:rPr>
                            </w:pPr>
                            <w:r w:rsidRPr="003C71C6">
                              <w:rPr>
                                <w:i/>
                                <w:color w:val="44546A" w:themeColor="text2"/>
                              </w:rPr>
                              <w:t>OHCHR recalls that under international law, victims should be provided with adequate, effective and prompt reparation for harm suffered. Civilians who have received injuries and families who have lost their members due to the conflict must be provided with remedy and reparation.</w:t>
                            </w:r>
                          </w:p>
                          <w:p w14:paraId="444E3378" w14:textId="77777777" w:rsidR="00815357" w:rsidRPr="003C71C6" w:rsidRDefault="00815357" w:rsidP="00E479E4">
                            <w:pPr>
                              <w:ind w:left="180" w:right="272"/>
                              <w:rPr>
                                <w:i/>
                                <w:color w:val="44546A" w:themeColor="text2"/>
                              </w:rPr>
                            </w:pPr>
                          </w:p>
                        </w:txbxContent>
                      </wps:txbx>
                      <wps:bodyPr rot="0" vert="horz" wrap="square" lIns="91440" tIns="45720" rIns="91440" bIns="45720" anchor="t" anchorCtr="0" upright="1">
                        <a:noAutofit/>
                      </wps:bodyPr>
                    </wps:wsp>
                  </a:graphicData>
                </a:graphic>
              </wp:inline>
            </w:drawing>
          </mc:Choice>
          <mc:Fallback>
            <w:pict>
              <v:shapetype w14:anchorId="70EAF7CA" id="_x0000_t202" coordsize="21600,21600" o:spt="202" path="m,l,21600r21600,l21600,xe">
                <v:stroke joinstyle="miter"/>
                <v:path gradientshapeok="t" o:connecttype="rect"/>
              </v:shapetype>
              <v:shape id="Text Box 2" o:spid="_x0000_s1026" type="#_x0000_t202" style="width:382.5pt;height:2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" filled="f" stroked="f">
                <v:textbox>
                  <w:txbxContent>
                    <w:p w14:paraId="0EB8A0F3" w14:textId="77777777" w:rsidR="00815357" w:rsidRPr="004D3528" w:rsidRDefault="00815357" w:rsidP="00E479E4">
                      <w:pPr>
                        <w:pBdr>
                          <w:top w:val="single" w:sz="24" w:space="8" w:color="4F81BD"/>
                          <w:bottom w:val="single" w:sz="24" w:space="6" w:color="4F81BD"/>
                        </w:pBdr>
                        <w:ind w:right="11"/>
                        <w:jc w:val="center"/>
                        <w:rPr>
                          <w:i/>
                          <w:iCs/>
                          <w:color w:val="002060"/>
                          <w:sz w:val="16"/>
                          <w:szCs w:val="16"/>
                        </w:rPr>
                      </w:pPr>
                      <w:r>
                        <w:rPr>
                          <w:b/>
                          <w:i/>
                          <w:iCs/>
                          <w:color w:val="002060"/>
                          <w:sz w:val="16"/>
                          <w:szCs w:val="16"/>
                        </w:rPr>
                        <w:t>Court case on reparation for family member killed due to hostilities, Luhansk region</w:t>
                      </w:r>
                    </w:p>
                    <w:p w14:paraId="5C03301D" w14:textId="77777777" w:rsidR="00815357" w:rsidRPr="003C71C6" w:rsidRDefault="00815357" w:rsidP="00E479E4">
                      <w:pPr>
                        <w:ind w:left="142" w:right="272" w:firstLine="38"/>
                        <w:jc w:val="both"/>
                        <w:rPr>
                          <w:i/>
                          <w:color w:val="44546A" w:themeColor="text2"/>
                        </w:rPr>
                      </w:pPr>
                      <w:r w:rsidRPr="003C71C6">
                        <w:rPr>
                          <w:i/>
                          <w:color w:val="44546A" w:themeColor="text2"/>
                        </w:rPr>
                        <w:t xml:space="preserve">The Appeal Court of Luhansk region ruled in favour of a woman seeking reparation for the death of her daughter during the armed conflict in eastern Ukraine. According to that judgment, the Government of Ukraine was obliged to provide monetary reparation for the family. The decision entered into force on 19 November 2018. While the Supreme Court previously refused to suspend its execution, this decision was then suspended by the Supreme Court upon the second request of the Ministry of Justice </w:t>
                      </w:r>
                      <w:r>
                        <w:rPr>
                          <w:i/>
                          <w:color w:val="44546A" w:themeColor="text2"/>
                        </w:rPr>
                        <w:t xml:space="preserve">which </w:t>
                      </w:r>
                      <w:r w:rsidRPr="003C71C6">
                        <w:rPr>
                          <w:i/>
                          <w:color w:val="44546A" w:themeColor="text2"/>
                        </w:rPr>
                        <w:t>argu</w:t>
                      </w:r>
                      <w:r>
                        <w:rPr>
                          <w:i/>
                          <w:color w:val="44546A" w:themeColor="text2"/>
                        </w:rPr>
                        <w:t>ed</w:t>
                      </w:r>
                      <w:r w:rsidRPr="003C71C6">
                        <w:rPr>
                          <w:i/>
                          <w:color w:val="44546A" w:themeColor="text2"/>
                        </w:rPr>
                        <w:t xml:space="preserve"> that this amount of compensation, if provided to the plaintiff, would constitute an excessive intake from the State Budget.</w:t>
                      </w:r>
                    </w:p>
                    <w:p w14:paraId="0159BE54" w14:textId="77777777" w:rsidR="00815357" w:rsidRPr="003C71C6" w:rsidRDefault="00815357" w:rsidP="00E479E4">
                      <w:pPr>
                        <w:ind w:left="180" w:right="272"/>
                        <w:rPr>
                          <w:i/>
                          <w:color w:val="44546A" w:themeColor="text2"/>
                        </w:rPr>
                      </w:pPr>
                    </w:p>
                    <w:p w14:paraId="6AE73E4E" w14:textId="77777777" w:rsidR="00815357" w:rsidRPr="003C71C6" w:rsidRDefault="00815357" w:rsidP="00E479E4">
                      <w:pPr>
                        <w:ind w:left="180" w:right="272"/>
                        <w:jc w:val="both"/>
                        <w:rPr>
                          <w:i/>
                          <w:color w:val="44546A" w:themeColor="text2"/>
                        </w:rPr>
                      </w:pPr>
                      <w:r w:rsidRPr="003C71C6">
                        <w:rPr>
                          <w:i/>
                          <w:color w:val="44546A" w:themeColor="text2"/>
                        </w:rPr>
                        <w:t>OHCHR recalls that under international law, victims should be provided with adequate, effective and prompt reparation for harm suffered. Civilians who have received injuries and families who have lost their members due to the conflict must be provided with remedy and reparation.</w:t>
                      </w:r>
                    </w:p>
                    <w:p w14:paraId="444E3378" w14:textId="77777777" w:rsidR="00815357" w:rsidRPr="003C71C6" w:rsidRDefault="00815357" w:rsidP="00E479E4">
                      <w:pPr>
                        <w:ind w:left="180" w:right="272"/>
                        <w:rPr>
                          <w:i/>
                          <w:color w:val="44546A" w:themeColor="text2"/>
                        </w:rPr>
                      </w:pPr>
                    </w:p>
                  </w:txbxContent>
                </v:textbox>
                <w10:anchorlock/>
              </v:shape>
            </w:pict>
          </mc:Fallback>
        </mc:AlternateContent>
      </w:r>
    </w:p>
    <w:p w14:paraId="199E580B" w14:textId="2A7A6488" w:rsidR="009C7336" w:rsidRPr="00513802" w:rsidRDefault="00F7451C">
      <w:pPr>
        <w:pStyle w:val="H4G"/>
      </w:pPr>
      <w:bookmarkStart w:id="107" w:name="_Toc530418000"/>
      <w:bookmarkStart w:id="108" w:name="_Toc530418032"/>
      <w:bookmarkStart w:id="109" w:name="_Toc532373455"/>
      <w:bookmarkStart w:id="110" w:name="_Toc532376996"/>
      <w:bookmarkStart w:id="111" w:name="_Toc532378600"/>
      <w:bookmarkStart w:id="112" w:name="_Toc532381118"/>
      <w:bookmarkStart w:id="113" w:name="_Toc532383232"/>
      <w:bookmarkStart w:id="114" w:name="_Toc532383829"/>
      <w:bookmarkStart w:id="115" w:name="_Toc532387991"/>
      <w:bookmarkStart w:id="116" w:name="_Toc532389230"/>
      <w:bookmarkStart w:id="117" w:name="_Toc532378084"/>
      <w:bookmarkStart w:id="118" w:name="_Toc532378119"/>
      <w:bookmarkStart w:id="119" w:name="_Toc532394370"/>
      <w:bookmarkStart w:id="120" w:name="_Toc532398535"/>
      <w:bookmarkStart w:id="121" w:name="_Toc532400343"/>
      <w:bookmarkStart w:id="122" w:name="_Toc532400378"/>
      <w:bookmarkStart w:id="123" w:name="_Toc532457932"/>
      <w:bookmarkStart w:id="124" w:name="_Toc532461069"/>
      <w:bookmarkStart w:id="125" w:name="_Toc532461121"/>
      <w:bookmarkStart w:id="126" w:name="_Toc532476517"/>
      <w:bookmarkStart w:id="127" w:name="_Toc532567217"/>
      <w:bookmarkStart w:id="128" w:name="_Toc11165968"/>
      <w:r>
        <w:t>R</w:t>
      </w:r>
      <w:r w:rsidR="009C7336" w:rsidRPr="00DC0D28">
        <w:t>estitution</w:t>
      </w:r>
      <w:r w:rsidR="009C7336" w:rsidRPr="00513802">
        <w:t xml:space="preserve"> and compensation for use or damage of private property</w:t>
      </w:r>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p w14:paraId="346F7672" w14:textId="638EC00D" w:rsidR="008A34C5" w:rsidRDefault="008A34C5" w:rsidP="008A34C5"/>
    <w:p w14:paraId="51D40F45" w14:textId="05085ADC" w:rsidR="008A34C5" w:rsidRPr="00BC4217" w:rsidRDefault="008A34C5" w:rsidP="001232C6">
      <w:pPr>
        <w:pStyle w:val="ParNoG"/>
        <w:tabs>
          <w:tab w:val="clear" w:pos="1701"/>
        </w:tabs>
        <w:rPr>
          <w:i/>
        </w:rPr>
      </w:pPr>
      <w:r w:rsidRPr="00BC4217">
        <w:rPr>
          <w:i/>
        </w:rPr>
        <w:t xml:space="preserve">“How can I evaluate the amount of compensation due to me? What is the value of my son’s childhood in the village? What is of cost of my family’s separation for three years and the rented flats I paid for? What is the cost of my father’s early death because he couldn’t obtain proper medical assistance during the armed conflict? How can I evaluate all this? The compensation that I might eventually receive is not worth </w:t>
      </w:r>
      <w:r w:rsidR="001D63A4" w:rsidRPr="00BC4217">
        <w:rPr>
          <w:i/>
        </w:rPr>
        <w:t xml:space="preserve">the </w:t>
      </w:r>
      <w:r w:rsidRPr="00BC4217">
        <w:rPr>
          <w:i/>
        </w:rPr>
        <w:t xml:space="preserve">time and nerves I would need to spend going from one governmental office to another and hearing from them ‘could you come tomorrow?’ And how can I prove that I had this and that if it is all gone now?” </w:t>
      </w:r>
    </w:p>
    <w:p w14:paraId="4F5A9F8F" w14:textId="77777777" w:rsidR="008A34C5" w:rsidRDefault="008A34C5" w:rsidP="000C3673">
      <w:pPr>
        <w:pStyle w:val="H56G"/>
        <w:numPr>
          <w:ilvl w:val="0"/>
          <w:numId w:val="12"/>
        </w:numPr>
      </w:pPr>
      <w:r>
        <w:t>Civilian who has not been provided compensation for the military use of his house</w:t>
      </w:r>
    </w:p>
    <w:p w14:paraId="766AAC67" w14:textId="77777777" w:rsidR="008A34C5" w:rsidRPr="008A34C5" w:rsidRDefault="008A34C5" w:rsidP="008A34C5"/>
    <w:p w14:paraId="7A190C6F" w14:textId="7595C6DE" w:rsidR="0035049B" w:rsidRDefault="0035049B" w:rsidP="001232C6">
      <w:pPr>
        <w:pStyle w:val="SingleTxtG"/>
      </w:pPr>
      <w:r>
        <w:t xml:space="preserve">During the reporting period, </w:t>
      </w:r>
      <w:r w:rsidRPr="00513802">
        <w:t xml:space="preserve">OHCHR </w:t>
      </w:r>
      <w:r w:rsidR="0045796A">
        <w:t xml:space="preserve">continued to </w:t>
      </w:r>
      <w:r w:rsidRPr="00513802">
        <w:t>document</w:t>
      </w:r>
      <w:r w:rsidR="00AD75A6">
        <w:t>,</w:t>
      </w:r>
      <w:r w:rsidRPr="00513802">
        <w:t xml:space="preserve"> </w:t>
      </w:r>
      <w:r w:rsidR="00AD75A6">
        <w:t>including remotely,</w:t>
      </w:r>
      <w:r w:rsidR="00AD75A6" w:rsidRPr="00513802">
        <w:t xml:space="preserve"> </w:t>
      </w:r>
      <w:r w:rsidRPr="00513802">
        <w:t xml:space="preserve">cases of pillage of civilian homes </w:t>
      </w:r>
      <w:r w:rsidR="007E3A30">
        <w:t>on both sides of the contact line</w:t>
      </w:r>
      <w:r w:rsidR="005C288F">
        <w:t>.</w:t>
      </w:r>
      <w:r>
        <w:t xml:space="preserve"> For instance, </w:t>
      </w:r>
      <w:r w:rsidRPr="00513802">
        <w:t>OHCHR</w:t>
      </w:r>
      <w:r w:rsidR="005B4822">
        <w:t xml:space="preserve"> </w:t>
      </w:r>
      <w:r w:rsidR="005D1DB9">
        <w:t xml:space="preserve">received allegations that </w:t>
      </w:r>
      <w:r w:rsidRPr="00513802">
        <w:t xml:space="preserve">civilian homes and property </w:t>
      </w:r>
      <w:r w:rsidR="00D12DAD">
        <w:t xml:space="preserve">were pillaged </w:t>
      </w:r>
      <w:r w:rsidRPr="00513802">
        <w:t xml:space="preserve">in </w:t>
      </w:r>
      <w:r w:rsidR="007E3A30">
        <w:t>the</w:t>
      </w:r>
      <w:r w:rsidR="0045796A">
        <w:t xml:space="preserve"> village of </w:t>
      </w:r>
      <w:r w:rsidRPr="00513802">
        <w:t>Bezymenne (</w:t>
      </w:r>
      <w:r w:rsidR="007E3A30">
        <w:t>territory controlled by ‘Donetsk people’s republic’</w:t>
      </w:r>
      <w:r w:rsidR="0045796A">
        <w:t>),</w:t>
      </w:r>
      <w:r w:rsidRPr="00513802">
        <w:t xml:space="preserve"> and </w:t>
      </w:r>
      <w:r w:rsidR="0045796A">
        <w:t xml:space="preserve">in </w:t>
      </w:r>
      <w:r w:rsidR="007E3A30">
        <w:t xml:space="preserve">the </w:t>
      </w:r>
      <w:r w:rsidR="0045796A">
        <w:t>Government-</w:t>
      </w:r>
      <w:r w:rsidR="0045796A">
        <w:lastRenderedPageBreak/>
        <w:t xml:space="preserve">controlled villages of </w:t>
      </w:r>
      <w:r w:rsidRPr="00513802">
        <w:t>Novozvanivka, Staryi Aidar</w:t>
      </w:r>
      <w:r w:rsidR="0045796A">
        <w:t xml:space="preserve"> and </w:t>
      </w:r>
      <w:r w:rsidRPr="00513802">
        <w:t>Troitske, in violation of international humanitarian law</w:t>
      </w:r>
      <w:r w:rsidRPr="001B4F63">
        <w:t>.</w:t>
      </w:r>
      <w:r w:rsidR="005C288F" w:rsidRPr="001B4F63">
        <w:rPr>
          <w:rStyle w:val="FootnoteReference"/>
        </w:rPr>
        <w:footnoteReference w:id="28"/>
      </w:r>
    </w:p>
    <w:p w14:paraId="4131A02B" w14:textId="4CAA48D0" w:rsidR="00EF78FC" w:rsidRDefault="00EF78FC" w:rsidP="001232C6">
      <w:pPr>
        <w:pStyle w:val="SingleTxtG"/>
      </w:pPr>
      <w:r w:rsidRPr="008565BF">
        <w:t>In Government-controlled Novozvanivka, Staryi Aidar, Troitske and Zolote-4 of Luhansk region, OHCHR documented cases of military use of civilian property without the provision of compensation, nor alternative housing to the owners. Military units do not conclude lease agreements with civilian owners in a regular and systematic manner, despite a legislative requirement to do so.</w:t>
      </w:r>
      <w:r w:rsidRPr="008B10A6">
        <w:rPr>
          <w:rStyle w:val="FootnoteReference"/>
          <w:sz w:val="20"/>
        </w:rPr>
        <w:footnoteReference w:id="29"/>
      </w:r>
      <w:r w:rsidRPr="008565BF">
        <w:t xml:space="preserve"> </w:t>
      </w:r>
      <w:r>
        <w:t>Even when prompted or justified by imperative military necessity, lease agreements are necessary</w:t>
      </w:r>
      <w:r w:rsidRPr="008565BF">
        <w:t xml:space="preserve"> </w:t>
      </w:r>
      <w:r>
        <w:t>to</w:t>
      </w:r>
      <w:r w:rsidRPr="008565BF">
        <w:t xml:space="preserve"> guarantee owners access to compensation for the use of their property. </w:t>
      </w:r>
    </w:p>
    <w:p w14:paraId="4CBEBB97" w14:textId="4957FFC6" w:rsidR="002E7B26" w:rsidRDefault="003125C4" w:rsidP="001232C6">
      <w:pPr>
        <w:pStyle w:val="SingleTxtG"/>
      </w:pPr>
      <w:r>
        <w:t>I</w:t>
      </w:r>
      <w:r w:rsidR="002E7B26" w:rsidRPr="00513802">
        <w:t xml:space="preserve">n </w:t>
      </w:r>
      <w:r w:rsidR="00EF78FC">
        <w:t xml:space="preserve">the </w:t>
      </w:r>
      <w:r w:rsidR="0045796A">
        <w:t xml:space="preserve">village of </w:t>
      </w:r>
      <w:r w:rsidR="002E7B26" w:rsidRPr="00513802">
        <w:t>Bez</w:t>
      </w:r>
      <w:r w:rsidR="00EF5A54">
        <w:t>y</w:t>
      </w:r>
      <w:r w:rsidR="002E7B26" w:rsidRPr="00513802">
        <w:t>menne</w:t>
      </w:r>
      <w:r w:rsidR="0045796A">
        <w:t xml:space="preserve"> (</w:t>
      </w:r>
      <w:r w:rsidR="00EF78FC">
        <w:t>territory controlled by ‘Donetsk people’s republic’</w:t>
      </w:r>
      <w:r w:rsidR="0045796A">
        <w:t>)</w:t>
      </w:r>
      <w:r w:rsidR="002E7B26" w:rsidRPr="00513802">
        <w:t xml:space="preserve">, OHCHR </w:t>
      </w:r>
      <w:r w:rsidR="002D1A79">
        <w:t>received allegations of</w:t>
      </w:r>
      <w:r w:rsidR="002E7B26" w:rsidRPr="00513802">
        <w:t xml:space="preserve"> the </w:t>
      </w:r>
      <w:r w:rsidR="005C22EE" w:rsidRPr="00513802">
        <w:t xml:space="preserve">continued </w:t>
      </w:r>
      <w:r w:rsidR="002E7B26" w:rsidRPr="00513802">
        <w:t xml:space="preserve">military </w:t>
      </w:r>
      <w:r w:rsidR="00346EC7">
        <w:t>use</w:t>
      </w:r>
      <w:r w:rsidR="00346EC7" w:rsidRPr="00513802">
        <w:t xml:space="preserve"> </w:t>
      </w:r>
      <w:r w:rsidR="002E7B26" w:rsidRPr="00513802">
        <w:t xml:space="preserve">of </w:t>
      </w:r>
      <w:r w:rsidR="005C22EE" w:rsidRPr="00513802">
        <w:t xml:space="preserve">a </w:t>
      </w:r>
      <w:r w:rsidR="002E7B26" w:rsidRPr="00513802">
        <w:t>civilian property</w:t>
      </w:r>
      <w:r w:rsidR="00EE1926">
        <w:t xml:space="preserve">, </w:t>
      </w:r>
      <w:r w:rsidR="002843D2">
        <w:t>after</w:t>
      </w:r>
      <w:r w:rsidR="00EE1926">
        <w:t xml:space="preserve"> </w:t>
      </w:r>
      <w:r w:rsidR="002E7B26" w:rsidRPr="00513802">
        <w:t>armed groups forcibly evict</w:t>
      </w:r>
      <w:r w:rsidR="002843D2">
        <w:t>ed</w:t>
      </w:r>
      <w:r w:rsidR="002E7B26" w:rsidRPr="00513802">
        <w:t xml:space="preserve"> the owners of the house </w:t>
      </w:r>
      <w:r w:rsidR="005C22EE" w:rsidRPr="00513802">
        <w:t>in December 2014</w:t>
      </w:r>
      <w:r w:rsidR="00EE1926">
        <w:t>. The armed groups did not provide</w:t>
      </w:r>
      <w:r w:rsidR="005C22EE" w:rsidRPr="00513802">
        <w:t xml:space="preserve"> </w:t>
      </w:r>
      <w:r w:rsidR="00204C69">
        <w:t>any protection</w:t>
      </w:r>
      <w:r w:rsidR="00204C69" w:rsidRPr="00204C69">
        <w:t xml:space="preserve"> </w:t>
      </w:r>
      <w:r w:rsidR="00204C69">
        <w:t>to</w:t>
      </w:r>
      <w:r w:rsidR="00204C69" w:rsidRPr="00513802">
        <w:t xml:space="preserve"> the owners</w:t>
      </w:r>
      <w:r w:rsidR="00204C69">
        <w:t xml:space="preserve">, </w:t>
      </w:r>
      <w:r w:rsidR="00EE1926">
        <w:t>no</w:t>
      </w:r>
      <w:r w:rsidR="006827B9">
        <w:t>r</w:t>
      </w:r>
      <w:r w:rsidR="00EE1926">
        <w:t xml:space="preserve"> </w:t>
      </w:r>
      <w:r w:rsidR="005C22EE" w:rsidRPr="00513802">
        <w:t>adequate housing</w:t>
      </w:r>
      <w:r w:rsidR="002E7B26" w:rsidRPr="00513802">
        <w:t>.</w:t>
      </w:r>
    </w:p>
    <w:p w14:paraId="2E7497B8" w14:textId="33EC720A" w:rsidR="009C7336" w:rsidRPr="00DC0D28" w:rsidRDefault="009C7336" w:rsidP="00DC0D28">
      <w:pPr>
        <w:pStyle w:val="H4G"/>
      </w:pPr>
      <w:bookmarkStart w:id="129" w:name="_Toc532476518"/>
      <w:bookmarkStart w:id="130" w:name="_Toc513567283"/>
      <w:bookmarkStart w:id="131" w:name="_Toc513567999"/>
      <w:bookmarkStart w:id="132" w:name="_Toc513568521"/>
      <w:bookmarkStart w:id="133" w:name="_Toc513569224"/>
      <w:bookmarkStart w:id="134" w:name="_Toc513569918"/>
      <w:bookmarkStart w:id="135" w:name="_Toc514403002"/>
      <w:bookmarkStart w:id="136" w:name="_Toc514404248"/>
      <w:bookmarkStart w:id="137" w:name="_Toc514404274"/>
      <w:bookmarkStart w:id="138" w:name="_Toc514410221"/>
      <w:bookmarkStart w:id="139" w:name="_Toc514417632"/>
      <w:bookmarkStart w:id="140" w:name="_Toc514769280"/>
      <w:bookmarkStart w:id="141" w:name="_Toc521518083"/>
      <w:bookmarkStart w:id="142" w:name="_Toc523729919"/>
      <w:bookmarkStart w:id="143" w:name="_Toc523733227"/>
      <w:bookmarkStart w:id="144" w:name="_Toc523733543"/>
      <w:bookmarkStart w:id="145" w:name="_Toc523734203"/>
      <w:bookmarkStart w:id="146" w:name="_Toc523737832"/>
      <w:bookmarkStart w:id="147" w:name="_Toc523737863"/>
      <w:bookmarkEnd w:id="129"/>
      <w:r w:rsidRPr="00DC0D28">
        <w:tab/>
      </w:r>
      <w:bookmarkStart w:id="148" w:name="_Toc525031928"/>
      <w:bookmarkStart w:id="149" w:name="_Toc525034448"/>
      <w:bookmarkStart w:id="150" w:name="_Toc528322088"/>
      <w:bookmarkStart w:id="151" w:name="_Toc528322161"/>
      <w:bookmarkStart w:id="152" w:name="_Toc528327164"/>
      <w:bookmarkStart w:id="153" w:name="_Toc530418001"/>
      <w:bookmarkStart w:id="154" w:name="_Toc530418033"/>
      <w:bookmarkStart w:id="155" w:name="_Toc532373456"/>
      <w:bookmarkStart w:id="156" w:name="_Toc532376997"/>
      <w:bookmarkStart w:id="157" w:name="_Toc532378601"/>
      <w:bookmarkStart w:id="158" w:name="_Toc532381119"/>
      <w:bookmarkStart w:id="159" w:name="_Toc532383233"/>
      <w:bookmarkStart w:id="160" w:name="_Toc532383830"/>
      <w:bookmarkStart w:id="161" w:name="_Toc532387992"/>
      <w:bookmarkStart w:id="162" w:name="_Toc532389231"/>
      <w:bookmarkStart w:id="163" w:name="_Toc532378085"/>
      <w:bookmarkStart w:id="164" w:name="_Toc532378120"/>
      <w:bookmarkStart w:id="165" w:name="_Toc532394371"/>
      <w:bookmarkStart w:id="166" w:name="_Toc532398536"/>
      <w:bookmarkStart w:id="167" w:name="_Toc532400344"/>
      <w:bookmarkStart w:id="168" w:name="_Toc532400379"/>
      <w:bookmarkStart w:id="169" w:name="_Toc532457933"/>
      <w:bookmarkStart w:id="170" w:name="_Toc532461070"/>
      <w:bookmarkStart w:id="171" w:name="_Toc532461122"/>
      <w:bookmarkStart w:id="172" w:name="_Toc532476519"/>
      <w:bookmarkStart w:id="173" w:name="_Toc532567218"/>
      <w:bookmarkStart w:id="174" w:name="_Toc11165969"/>
      <w:r w:rsidRPr="00DC0D28">
        <w:t>Right to social security and social protection</w:t>
      </w:r>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p w14:paraId="49ED29A3" w14:textId="58A303EF" w:rsidR="009C7336" w:rsidRDefault="009C7336" w:rsidP="001232C6">
      <w:pPr>
        <w:pStyle w:val="SingleTxtG"/>
      </w:pPr>
      <w:r w:rsidRPr="00513802">
        <w:t xml:space="preserve">OHCHR regrets the continued lack of Government action </w:t>
      </w:r>
      <w:r w:rsidR="00B640C5" w:rsidRPr="00513802">
        <w:t xml:space="preserve">to guarantee the payment of </w:t>
      </w:r>
      <w:r w:rsidR="00524BA8" w:rsidRPr="00513802">
        <w:t xml:space="preserve">a </w:t>
      </w:r>
      <w:r w:rsidR="00B640C5" w:rsidRPr="00513802">
        <w:t xml:space="preserve">pension to all Ukrainian citizens irrespective of their place of residence and registration. Despite positive </w:t>
      </w:r>
      <w:r w:rsidR="00524BA8" w:rsidRPr="00513802">
        <w:t xml:space="preserve">developments </w:t>
      </w:r>
      <w:r w:rsidR="00B640C5" w:rsidRPr="00513802">
        <w:t>in the judicia</w:t>
      </w:r>
      <w:r w:rsidR="00B177F2">
        <w:t>l</w:t>
      </w:r>
      <w:r w:rsidR="00B640C5" w:rsidRPr="00513802">
        <w:t xml:space="preserve"> system when the national courts </w:t>
      </w:r>
      <w:r w:rsidR="00F97F7D">
        <w:t xml:space="preserve">continued to rule </w:t>
      </w:r>
      <w:r w:rsidR="00B640C5" w:rsidRPr="00513802">
        <w:t xml:space="preserve">in favour of </w:t>
      </w:r>
      <w:r w:rsidR="000466D7">
        <w:t>pensioners</w:t>
      </w:r>
      <w:r w:rsidR="00524BA8" w:rsidRPr="00513802">
        <w:t>,</w:t>
      </w:r>
      <w:r w:rsidR="00B640C5" w:rsidRPr="00513802">
        <w:t xml:space="preserve"> restoring their right to </w:t>
      </w:r>
      <w:r w:rsidR="00B177F2">
        <w:t xml:space="preserve">a </w:t>
      </w:r>
      <w:r w:rsidR="00B640C5" w:rsidRPr="00513802">
        <w:t>pension</w:t>
      </w:r>
      <w:r w:rsidR="00E1424F">
        <w:t xml:space="preserve"> in the line with international </w:t>
      </w:r>
      <w:r w:rsidR="009C2720">
        <w:t xml:space="preserve">human rights </w:t>
      </w:r>
      <w:r w:rsidR="00E1424F" w:rsidRPr="00D12DAD">
        <w:t>standards</w:t>
      </w:r>
      <w:r w:rsidR="00B640C5" w:rsidRPr="00D12DAD">
        <w:t>,</w:t>
      </w:r>
      <w:r w:rsidR="00D12DAD" w:rsidRPr="00D12DAD">
        <w:rPr>
          <w:rStyle w:val="FootnoteReference"/>
        </w:rPr>
        <w:footnoteReference w:id="30"/>
      </w:r>
      <w:r w:rsidR="00B640C5" w:rsidRPr="00D12DAD">
        <w:t xml:space="preserve"> the Government failed to implement the decisions in </w:t>
      </w:r>
      <w:r w:rsidR="00524BA8" w:rsidRPr="00D12DAD">
        <w:t xml:space="preserve">a </w:t>
      </w:r>
      <w:r w:rsidR="00B640C5" w:rsidRPr="00D12DAD">
        <w:t>comprehensive and non-discriminatory manner</w:t>
      </w:r>
      <w:r w:rsidR="002B2D6D" w:rsidRPr="00D12DAD">
        <w:t>.</w:t>
      </w:r>
      <w:r w:rsidRPr="00D12DAD">
        <w:rPr>
          <w:vertAlign w:val="superscript"/>
        </w:rPr>
        <w:footnoteReference w:id="31"/>
      </w:r>
      <w:r w:rsidRPr="00D12DAD">
        <w:rPr>
          <w:vertAlign w:val="superscript"/>
        </w:rPr>
        <w:t xml:space="preserve"> </w:t>
      </w:r>
      <w:r w:rsidR="000B61B0" w:rsidRPr="00D12DAD">
        <w:t xml:space="preserve">As of </w:t>
      </w:r>
      <w:r w:rsidR="005D2A82" w:rsidRPr="00D12DAD">
        <w:t>December 2018</w:t>
      </w:r>
      <w:r w:rsidR="000B61B0" w:rsidRPr="00D12DAD">
        <w:t xml:space="preserve">, </w:t>
      </w:r>
      <w:r w:rsidR="005D2A82" w:rsidRPr="00D12DAD">
        <w:t>562,000</w:t>
      </w:r>
      <w:r w:rsidR="006032B9" w:rsidRPr="00D12DAD">
        <w:t xml:space="preserve"> </w:t>
      </w:r>
      <w:r w:rsidR="000F336D" w:rsidRPr="00D12DAD">
        <w:t xml:space="preserve">pensioners with </w:t>
      </w:r>
      <w:r w:rsidR="00635470" w:rsidRPr="00D12DAD">
        <w:t>original</w:t>
      </w:r>
      <w:r w:rsidR="000F336D" w:rsidRPr="00D12DAD">
        <w:t xml:space="preserve"> residence registration in </w:t>
      </w:r>
      <w:r w:rsidR="0068292A">
        <w:t xml:space="preserve">territory </w:t>
      </w:r>
      <w:r w:rsidR="000F336D" w:rsidRPr="00D12DAD">
        <w:t xml:space="preserve">controlled </w:t>
      </w:r>
      <w:r w:rsidR="0068292A">
        <w:t>by ‘Donetsk people</w:t>
      </w:r>
      <w:r w:rsidR="00E851B4">
        <w:t>’s</w:t>
      </w:r>
      <w:r w:rsidR="0068292A">
        <w:t xml:space="preserve"> republic’ and ‘Luhansk people</w:t>
      </w:r>
      <w:r w:rsidR="00E851B4">
        <w:t>’s</w:t>
      </w:r>
      <w:r w:rsidR="0068292A">
        <w:t xml:space="preserve"> republic’</w:t>
      </w:r>
      <w:r w:rsidR="00361011">
        <w:t xml:space="preserve"> </w:t>
      </w:r>
      <w:r w:rsidR="000F336D" w:rsidRPr="00D12DAD">
        <w:t xml:space="preserve">continued to receive pensions – out of </w:t>
      </w:r>
      <w:r w:rsidR="00B177F2" w:rsidRPr="00D12DAD">
        <w:t xml:space="preserve">an </w:t>
      </w:r>
      <w:r w:rsidR="000F336D" w:rsidRPr="00D12DAD">
        <w:t xml:space="preserve">estimated </w:t>
      </w:r>
      <w:r w:rsidR="005D2A82" w:rsidRPr="00D12DAD">
        <w:t>1,278,200</w:t>
      </w:r>
      <w:r w:rsidR="006032B9" w:rsidRPr="00D12DAD">
        <w:t xml:space="preserve"> </w:t>
      </w:r>
      <w:r w:rsidR="000F336D" w:rsidRPr="00D12DAD">
        <w:t xml:space="preserve">pensioners </w:t>
      </w:r>
      <w:r w:rsidR="005A0AEB" w:rsidRPr="00D12DAD">
        <w:t xml:space="preserve">registered </w:t>
      </w:r>
      <w:r w:rsidR="000F336D" w:rsidRPr="00D12DAD">
        <w:t xml:space="preserve">there as of </w:t>
      </w:r>
      <w:r w:rsidR="005A0AEB" w:rsidRPr="00D12DAD">
        <w:t>August 2014</w:t>
      </w:r>
      <w:r w:rsidR="000F336D" w:rsidRPr="00D12DAD">
        <w:t>.</w:t>
      </w:r>
      <w:r w:rsidR="00D12DAD" w:rsidRPr="00D12DAD">
        <w:rPr>
          <w:rStyle w:val="FootnoteReference"/>
        </w:rPr>
        <w:footnoteReference w:id="32"/>
      </w:r>
      <w:r w:rsidR="00D328C4" w:rsidRPr="00D12DAD">
        <w:t xml:space="preserve"> This</w:t>
      </w:r>
      <w:r w:rsidR="00D328C4">
        <w:t xml:space="preserve"> continued non-inclusive access to social rights entrenches community divide</w:t>
      </w:r>
      <w:r w:rsidR="00B745B2">
        <w:t>s</w:t>
      </w:r>
      <w:r w:rsidR="00D328C4">
        <w:t xml:space="preserve"> and limits the space for peace and reconciliation efforts in eastern Ukraine.</w:t>
      </w:r>
      <w:r w:rsidR="00371392">
        <w:t xml:space="preserve"> </w:t>
      </w:r>
    </w:p>
    <w:p w14:paraId="2A632A1B" w14:textId="0782248A" w:rsidR="009C7336" w:rsidRDefault="009C7336" w:rsidP="001232C6">
      <w:pPr>
        <w:pStyle w:val="SingleTxtG"/>
      </w:pPr>
      <w:r w:rsidRPr="00513802">
        <w:t xml:space="preserve">OHCHR commends the </w:t>
      </w:r>
      <w:r w:rsidR="004D0AA4">
        <w:t>Pension Fund</w:t>
      </w:r>
      <w:r w:rsidRPr="00513802">
        <w:t xml:space="preserve"> </w:t>
      </w:r>
      <w:r w:rsidR="00F21595" w:rsidRPr="00513802">
        <w:t xml:space="preserve">of Ukraine </w:t>
      </w:r>
      <w:r w:rsidRPr="00513802">
        <w:t xml:space="preserve">initiative to develop </w:t>
      </w:r>
      <w:r w:rsidR="004D0AA4">
        <w:t xml:space="preserve">draft </w:t>
      </w:r>
      <w:r w:rsidRPr="00513802">
        <w:t>amendments to resolutions</w:t>
      </w:r>
      <w:r w:rsidRPr="00597DC6">
        <w:rPr>
          <w:vertAlign w:val="superscript"/>
        </w:rPr>
        <w:footnoteReference w:id="33"/>
      </w:r>
      <w:r w:rsidRPr="00513802">
        <w:t xml:space="preserve"> regulating </w:t>
      </w:r>
      <w:r w:rsidR="003C577F" w:rsidRPr="00513802">
        <w:t xml:space="preserve">the </w:t>
      </w:r>
      <w:r w:rsidRPr="00513802">
        <w:t>payment of pension</w:t>
      </w:r>
      <w:r w:rsidR="003C577F" w:rsidRPr="00513802">
        <w:t>s</w:t>
      </w:r>
      <w:r w:rsidRPr="00513802">
        <w:t xml:space="preserve"> to internally</w:t>
      </w:r>
      <w:r w:rsidR="006A6D85">
        <w:t xml:space="preserve"> </w:t>
      </w:r>
      <w:r w:rsidRPr="00513802">
        <w:t xml:space="preserve">displaced persons (IDPs) </w:t>
      </w:r>
      <w:r w:rsidR="00EC25D1">
        <w:t>which annul</w:t>
      </w:r>
      <w:r w:rsidRPr="00513802">
        <w:t xml:space="preserve"> the residency verification requirement for pensioners. Nevertheless, OHCHR reiterates key concerns </w:t>
      </w:r>
      <w:r w:rsidR="003C577F" w:rsidRPr="00513802">
        <w:t>submitted</w:t>
      </w:r>
      <w:r w:rsidRPr="00513802">
        <w:t xml:space="preserve"> jointly with UNCHR </w:t>
      </w:r>
      <w:r w:rsidR="003C577F" w:rsidRPr="00513802">
        <w:t>to</w:t>
      </w:r>
      <w:r w:rsidRPr="00513802">
        <w:t xml:space="preserve"> the Pension Fund</w:t>
      </w:r>
      <w:r w:rsidR="00524BA8" w:rsidRPr="00513802">
        <w:t>: c</w:t>
      </w:r>
      <w:r w:rsidRPr="00513802">
        <w:t xml:space="preserve">urrent draft amendments do not protect IDPs from arbitrary </w:t>
      </w:r>
      <w:r w:rsidR="002D1A79">
        <w:t>suspension</w:t>
      </w:r>
      <w:r w:rsidRPr="00513802">
        <w:t xml:space="preserve"> of their pensions</w:t>
      </w:r>
      <w:r w:rsidR="00F21595">
        <w:t>.</w:t>
      </w:r>
      <w:r w:rsidR="00F21595" w:rsidRPr="008B10A6">
        <w:rPr>
          <w:vertAlign w:val="superscript"/>
        </w:rPr>
        <w:footnoteReference w:id="34"/>
      </w:r>
      <w:r w:rsidR="00F21595" w:rsidRPr="00513802">
        <w:t xml:space="preserve"> </w:t>
      </w:r>
      <w:r w:rsidR="00F21595">
        <w:t>M</w:t>
      </w:r>
      <w:r w:rsidRPr="00513802">
        <w:t>oreover, the amendments do not resolve the main problem –</w:t>
      </w:r>
      <w:r w:rsidR="00E50BD1">
        <w:t xml:space="preserve"> that </w:t>
      </w:r>
      <w:r w:rsidRPr="00513802">
        <w:t>IDP registration</w:t>
      </w:r>
      <w:r w:rsidR="00524BA8" w:rsidRPr="00513802">
        <w:t xml:space="preserve"> </w:t>
      </w:r>
      <w:r w:rsidR="0061222F">
        <w:t xml:space="preserve">is </w:t>
      </w:r>
      <w:r w:rsidR="00524BA8" w:rsidRPr="00513802">
        <w:t>a requirement for pension payments</w:t>
      </w:r>
      <w:r w:rsidRPr="00513802">
        <w:t>. In addition, the draft amendments refer to a document regulat</w:t>
      </w:r>
      <w:r w:rsidR="00B177F2">
        <w:t>ing</w:t>
      </w:r>
      <w:r w:rsidRPr="00513802">
        <w:t xml:space="preserve"> the payment of accumulated arrears, </w:t>
      </w:r>
      <w:r w:rsidR="00B177F2">
        <w:t>but</w:t>
      </w:r>
      <w:r w:rsidR="008D3196">
        <w:t xml:space="preserve"> such a document </w:t>
      </w:r>
      <w:r w:rsidRPr="00513802">
        <w:t xml:space="preserve">does not </w:t>
      </w:r>
      <w:r w:rsidR="00CA2C87">
        <w:t xml:space="preserve">yet </w:t>
      </w:r>
      <w:r w:rsidRPr="00513802">
        <w:t>exist.</w:t>
      </w:r>
    </w:p>
    <w:p w14:paraId="0D84AE6F" w14:textId="0751FB8D" w:rsidR="00820CBF" w:rsidRDefault="0066093F" w:rsidP="001232C6">
      <w:pPr>
        <w:pStyle w:val="SingleTxtG"/>
      </w:pPr>
      <w:r w:rsidRPr="0066093F">
        <w:t xml:space="preserve">On 24 April 2019, the </w:t>
      </w:r>
      <w:r w:rsidR="004008BB">
        <w:t>P</w:t>
      </w:r>
      <w:r w:rsidRPr="0066093F">
        <w:t>resident of the Russian Federation signed a</w:t>
      </w:r>
      <w:r w:rsidR="006A3AB1">
        <w:t xml:space="preserve">n executive order </w:t>
      </w:r>
      <w:r w:rsidRPr="0066093F">
        <w:t>‘</w:t>
      </w:r>
      <w:r w:rsidR="000668CA" w:rsidRPr="000668CA">
        <w:t>On Identifying Groups of Persons Entitled to a Fast-Track Procedure when Applying for Russian Citizenship on Humanitarian Grounds</w:t>
      </w:r>
      <w:r w:rsidRPr="0066093F">
        <w:t xml:space="preserve">, which applies for individuals permanently </w:t>
      </w:r>
      <w:r w:rsidRPr="0066093F">
        <w:lastRenderedPageBreak/>
        <w:t>residing in ‘certain areas’ of the Donetsk and Luhansk regions in Ukraine</w:t>
      </w:r>
      <w:r>
        <w:t>.</w:t>
      </w:r>
      <w:r w:rsidR="00D15A89">
        <w:rPr>
          <w:rStyle w:val="FootnoteReference"/>
        </w:rPr>
        <w:footnoteReference w:id="35"/>
      </w:r>
      <w:r>
        <w:t xml:space="preserve"> </w:t>
      </w:r>
      <w:r w:rsidR="00C237E9">
        <w:t>T</w:t>
      </w:r>
      <w:r w:rsidR="00283CC3">
        <w:t xml:space="preserve">he preamble </w:t>
      </w:r>
      <w:r w:rsidR="006A3AB1">
        <w:t xml:space="preserve">states </w:t>
      </w:r>
      <w:r w:rsidR="00283CC3">
        <w:t>that its aim is to “to protect the rights and freedoms of a person and a citizen</w:t>
      </w:r>
      <w:r w:rsidR="0053453E">
        <w:t>”</w:t>
      </w:r>
      <w:r w:rsidR="00283CC3">
        <w:t>.</w:t>
      </w:r>
      <w:r w:rsidR="0053453E">
        <w:t xml:space="preserve"> </w:t>
      </w:r>
      <w:r w:rsidR="00820CBF" w:rsidRPr="00864817">
        <w:t>On 8 May</w:t>
      </w:r>
      <w:r w:rsidR="008B5C1B">
        <w:t xml:space="preserve"> 2019</w:t>
      </w:r>
      <w:r w:rsidR="00820CBF" w:rsidRPr="00864817">
        <w:t>, the Government of Ukraine approved its official position</w:t>
      </w:r>
      <w:r w:rsidR="00820CBF" w:rsidRPr="008B10A6">
        <w:rPr>
          <w:rStyle w:val="FootnoteReference"/>
          <w:lang w:val="en-US"/>
        </w:rPr>
        <w:footnoteReference w:id="36"/>
      </w:r>
      <w:r w:rsidR="00820CBF" w:rsidRPr="00864817">
        <w:t xml:space="preserve"> that obtaining a Russian </w:t>
      </w:r>
      <w:r w:rsidR="00647812">
        <w:t xml:space="preserve">Federation </w:t>
      </w:r>
      <w:r w:rsidR="00820CBF" w:rsidRPr="00864817">
        <w:t xml:space="preserve">passport under </w:t>
      </w:r>
      <w:r w:rsidR="00014010">
        <w:t>the</w:t>
      </w:r>
      <w:r w:rsidR="009356CE">
        <w:t xml:space="preserve"> aforementioned</w:t>
      </w:r>
      <w:r w:rsidR="00014010">
        <w:t xml:space="preserve"> </w:t>
      </w:r>
      <w:r w:rsidR="00820CBF" w:rsidRPr="00864817">
        <w:t>simplified procedure will not lead to a loss of Ukrainian citizenship.</w:t>
      </w:r>
      <w:r w:rsidR="00361011">
        <w:t xml:space="preserve"> </w:t>
      </w:r>
      <w:r w:rsidR="00820CBF" w:rsidRPr="00864817">
        <w:t>Recogni</w:t>
      </w:r>
      <w:r w:rsidR="00781CB8">
        <w:t>sing that it remains within the S</w:t>
      </w:r>
      <w:r w:rsidR="00820CBF" w:rsidRPr="00864817">
        <w:t xml:space="preserve">tate’s sovereign power to </w:t>
      </w:r>
      <w:r w:rsidR="002869AE">
        <w:t xml:space="preserve">determine </w:t>
      </w:r>
      <w:r w:rsidR="00D52E6B">
        <w:t>ret</w:t>
      </w:r>
      <w:r w:rsidR="00790106">
        <w:t>aliatory</w:t>
      </w:r>
      <w:r w:rsidR="00D52E6B" w:rsidRPr="00864817">
        <w:t xml:space="preserve"> </w:t>
      </w:r>
      <w:r w:rsidR="00820CBF" w:rsidRPr="00864817">
        <w:t>measures</w:t>
      </w:r>
      <w:r w:rsidR="00A542C4">
        <w:t xml:space="preserve"> </w:t>
      </w:r>
      <w:r w:rsidR="0064136F">
        <w:t>against other States</w:t>
      </w:r>
      <w:r w:rsidR="00014010">
        <w:t>,</w:t>
      </w:r>
      <w:r w:rsidR="00820CBF" w:rsidRPr="00864817">
        <w:t xml:space="preserve"> OHCHR notes that such measur</w:t>
      </w:r>
      <w:r w:rsidR="00781CB8">
        <w:t>es must not be contrary to the S</w:t>
      </w:r>
      <w:r w:rsidR="00820CBF" w:rsidRPr="00864817">
        <w:t>tate’s human rights obligations.</w:t>
      </w:r>
      <w:r w:rsidR="00820CBF">
        <w:t xml:space="preserve"> </w:t>
      </w:r>
      <w:r w:rsidR="00A914FB">
        <w:t>OHCHR</w:t>
      </w:r>
      <w:r w:rsidR="001779D3">
        <w:t xml:space="preserve"> will continue monitoring the impact of the implementation of the order on Ukrainians’ citizens.</w:t>
      </w:r>
    </w:p>
    <w:p w14:paraId="4683B8B5" w14:textId="730B26CF" w:rsidR="009C7336" w:rsidRPr="00513802" w:rsidRDefault="009C7336" w:rsidP="00DC0D28">
      <w:pPr>
        <w:pStyle w:val="H4G"/>
        <w:rPr>
          <w:bCs/>
          <w:lang w:val="en-NZ"/>
        </w:rPr>
      </w:pPr>
      <w:r w:rsidRPr="00513802">
        <w:rPr>
          <w:lang w:val="en-NZ"/>
        </w:rPr>
        <w:tab/>
      </w:r>
      <w:bookmarkStart w:id="175" w:name="_Toc532373457"/>
      <w:bookmarkStart w:id="176" w:name="_Toc532376998"/>
      <w:bookmarkStart w:id="177" w:name="_Toc532378602"/>
      <w:bookmarkStart w:id="178" w:name="_Toc532381120"/>
      <w:bookmarkStart w:id="179" w:name="_Toc532383234"/>
      <w:bookmarkStart w:id="180" w:name="_Toc532383831"/>
      <w:bookmarkStart w:id="181" w:name="_Toc532387993"/>
      <w:bookmarkStart w:id="182" w:name="_Toc532389232"/>
      <w:bookmarkStart w:id="183" w:name="_Toc532378086"/>
      <w:bookmarkStart w:id="184" w:name="_Toc532378121"/>
      <w:bookmarkStart w:id="185" w:name="_Toc532394372"/>
      <w:bookmarkStart w:id="186" w:name="_Toc532398537"/>
      <w:bookmarkStart w:id="187" w:name="_Toc532400345"/>
      <w:bookmarkStart w:id="188" w:name="_Toc532400380"/>
      <w:bookmarkStart w:id="189" w:name="_Toc532457934"/>
      <w:bookmarkStart w:id="190" w:name="_Toc532461071"/>
      <w:bookmarkStart w:id="191" w:name="_Toc532461123"/>
      <w:bookmarkStart w:id="192" w:name="_Toc532476520"/>
      <w:bookmarkStart w:id="193" w:name="_Toc532567219"/>
      <w:bookmarkStart w:id="194" w:name="_Toc11165970"/>
      <w:r w:rsidRPr="00513802">
        <w:rPr>
          <w:lang w:val="en-NZ"/>
        </w:rPr>
        <w:t xml:space="preserve">Freedom of </w:t>
      </w:r>
      <w:r w:rsidRPr="00DC0D28">
        <w:t>movement</w:t>
      </w:r>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r w:rsidRPr="00513802">
        <w:rPr>
          <w:lang w:val="en-NZ"/>
        </w:rPr>
        <w:t xml:space="preserve"> </w:t>
      </w:r>
    </w:p>
    <w:p w14:paraId="31587C7D" w14:textId="3E87A4A3" w:rsidR="000831DE" w:rsidRPr="00481DB1" w:rsidRDefault="001F3B27" w:rsidP="001232C6">
      <w:pPr>
        <w:pStyle w:val="SingleTxtG"/>
      </w:pPr>
      <w:r>
        <w:t xml:space="preserve">Crossing conditions </w:t>
      </w:r>
      <w:r w:rsidR="007E3A30">
        <w:t xml:space="preserve">between Government-controlled and </w:t>
      </w:r>
      <w:r w:rsidR="0068292A">
        <w:t>territory controlled by ‘Donetsk people</w:t>
      </w:r>
      <w:r w:rsidR="00E851B4">
        <w:t>’s</w:t>
      </w:r>
      <w:r w:rsidR="0068292A">
        <w:t xml:space="preserve"> republic’ and ‘Luhansk people</w:t>
      </w:r>
      <w:r w:rsidR="00E851B4">
        <w:t>’s</w:t>
      </w:r>
      <w:r w:rsidR="0068292A">
        <w:t xml:space="preserve"> republic’ </w:t>
      </w:r>
      <w:r>
        <w:t>remain</w:t>
      </w:r>
      <w:r w:rsidR="00730842">
        <w:t>ed</w:t>
      </w:r>
      <w:r>
        <w:t xml:space="preserve"> harrowing over the reporting period</w:t>
      </w:r>
      <w:r w:rsidR="007E3A30">
        <w:t xml:space="preserve">, due to the </w:t>
      </w:r>
      <w:r w:rsidR="00ED0CD0">
        <w:t xml:space="preserve">insufficient </w:t>
      </w:r>
      <w:r w:rsidR="007E3A30">
        <w:t xml:space="preserve">number of </w:t>
      </w:r>
      <w:r w:rsidR="00ED0CD0">
        <w:t xml:space="preserve">EECPs </w:t>
      </w:r>
      <w:r w:rsidR="007E3A30">
        <w:t>and the prec</w:t>
      </w:r>
      <w:r w:rsidR="00D36D5E">
        <w:t>arious crossing conditions</w:t>
      </w:r>
      <w:r>
        <w:t xml:space="preserve">. </w:t>
      </w:r>
      <w:r w:rsidR="000831DE" w:rsidRPr="00513802">
        <w:t xml:space="preserve">During the reporting period, at </w:t>
      </w:r>
      <w:r w:rsidR="000831DE" w:rsidRPr="001B4F63">
        <w:t xml:space="preserve">least </w:t>
      </w:r>
      <w:r w:rsidR="00B21142" w:rsidRPr="001B4F63">
        <w:t xml:space="preserve">nine </w:t>
      </w:r>
      <w:r w:rsidR="000831DE" w:rsidRPr="001B4F63">
        <w:t>ci</w:t>
      </w:r>
      <w:r w:rsidR="000831DE" w:rsidRPr="00513802">
        <w:t>vilians (</w:t>
      </w:r>
      <w:r w:rsidR="00B53C2F">
        <w:t>eight men and one woman</w:t>
      </w:r>
      <w:r w:rsidR="000831DE" w:rsidRPr="00513802">
        <w:t xml:space="preserve">) died </w:t>
      </w:r>
      <w:r w:rsidR="00AA5B7D">
        <w:t xml:space="preserve">from </w:t>
      </w:r>
      <w:r w:rsidR="0032340E">
        <w:t xml:space="preserve">health </w:t>
      </w:r>
      <w:r w:rsidR="00B53C2F">
        <w:t>complications</w:t>
      </w:r>
      <w:r w:rsidR="00AA5B7D">
        <w:t xml:space="preserve"> </w:t>
      </w:r>
      <w:r w:rsidR="000831DE" w:rsidRPr="00513802">
        <w:t>while crossing the EECPs in both directions.</w:t>
      </w:r>
      <w:r w:rsidR="000831DE" w:rsidRPr="008B10A6">
        <w:rPr>
          <w:vertAlign w:val="superscript"/>
        </w:rPr>
        <w:footnoteReference w:id="37"/>
      </w:r>
      <w:r w:rsidR="000831DE" w:rsidRPr="00513802">
        <w:t xml:space="preserve"> </w:t>
      </w:r>
    </w:p>
    <w:p w14:paraId="3FE661B1" w14:textId="5EACA6E1" w:rsidR="00481DB1" w:rsidRPr="008B10A6" w:rsidRDefault="009C7336" w:rsidP="001232C6">
      <w:pPr>
        <w:pStyle w:val="SingleTxtG"/>
        <w:rPr>
          <w:color w:val="000000"/>
        </w:rPr>
      </w:pPr>
      <w:r w:rsidRPr="00513802">
        <w:t>In March</w:t>
      </w:r>
      <w:r w:rsidR="003C577F" w:rsidRPr="00513802">
        <w:t xml:space="preserve"> 2019</w:t>
      </w:r>
      <w:r w:rsidRPr="00513802">
        <w:t xml:space="preserve">, SBU changed the validity of permits </w:t>
      </w:r>
      <w:r w:rsidR="00AA5B7D">
        <w:t xml:space="preserve">that </w:t>
      </w:r>
      <w:r w:rsidRPr="00513802">
        <w:t xml:space="preserve">civilians </w:t>
      </w:r>
      <w:r w:rsidR="00690547" w:rsidRPr="00513802">
        <w:t>can</w:t>
      </w:r>
      <w:r w:rsidRPr="00513802">
        <w:t xml:space="preserve"> apply to cross the</w:t>
      </w:r>
      <w:r w:rsidR="008E4C8B" w:rsidRPr="00513802">
        <w:t xml:space="preserve"> contact line through the five </w:t>
      </w:r>
      <w:r w:rsidRPr="00513802">
        <w:t>EECPs in Donetsk and Luhansk regions.</w:t>
      </w:r>
      <w:r w:rsidR="002B2D6D" w:rsidRPr="008B10A6">
        <w:rPr>
          <w:vertAlign w:val="superscript"/>
        </w:rPr>
        <w:footnoteReference w:id="38"/>
      </w:r>
      <w:r w:rsidRPr="008B10A6">
        <w:rPr>
          <w:vertAlign w:val="superscript"/>
        </w:rPr>
        <w:t xml:space="preserve"> </w:t>
      </w:r>
      <w:r w:rsidR="00AA5B7D">
        <w:t>P</w:t>
      </w:r>
      <w:r w:rsidRPr="00513802">
        <w:t xml:space="preserve">ermits requested </w:t>
      </w:r>
      <w:r w:rsidR="00AA5B7D">
        <w:t xml:space="preserve">or renewed </w:t>
      </w:r>
      <w:r w:rsidRPr="00513802">
        <w:t xml:space="preserve">as of </w:t>
      </w:r>
      <w:r w:rsidR="006C76B7" w:rsidRPr="00513802">
        <w:t xml:space="preserve">28 </w:t>
      </w:r>
      <w:r w:rsidRPr="00513802">
        <w:t xml:space="preserve">March 2019 no </w:t>
      </w:r>
      <w:r w:rsidR="008E4C8B" w:rsidRPr="00513802">
        <w:t xml:space="preserve">longer have an </w:t>
      </w:r>
      <w:r w:rsidRPr="00513802">
        <w:t>expiry date. Permits applied for</w:t>
      </w:r>
      <w:r w:rsidR="006C76B7" w:rsidRPr="00513802">
        <w:t>,</w:t>
      </w:r>
      <w:r w:rsidRPr="00513802">
        <w:t xml:space="preserve"> and approved</w:t>
      </w:r>
      <w:r w:rsidR="006C76B7" w:rsidRPr="00513802">
        <w:t xml:space="preserve"> before, or</w:t>
      </w:r>
      <w:r w:rsidRPr="00513802">
        <w:t xml:space="preserve"> on</w:t>
      </w:r>
      <w:r w:rsidR="006C76B7" w:rsidRPr="00513802">
        <w:t>,</w:t>
      </w:r>
      <w:r w:rsidRPr="00513802">
        <w:t xml:space="preserve"> </w:t>
      </w:r>
      <w:r w:rsidR="006C76B7" w:rsidRPr="00513802">
        <w:t xml:space="preserve">28 </w:t>
      </w:r>
      <w:r w:rsidRPr="00513802">
        <w:t>March 2019 will be valid for one year</w:t>
      </w:r>
      <w:r w:rsidR="00AA5B7D">
        <w:t xml:space="preserve"> but will be renewed thereafter </w:t>
      </w:r>
      <w:r w:rsidRPr="00513802">
        <w:t xml:space="preserve">without </w:t>
      </w:r>
      <w:r w:rsidR="006C76B7" w:rsidRPr="00513802">
        <w:t xml:space="preserve">an </w:t>
      </w:r>
      <w:r w:rsidRPr="00513802">
        <w:t>expiry date.</w:t>
      </w:r>
      <w:r w:rsidR="00594C2E">
        <w:rPr>
          <w:rStyle w:val="FootnoteReference"/>
        </w:rPr>
        <w:footnoteReference w:id="39"/>
      </w:r>
      <w:r w:rsidRPr="00513802">
        <w:t xml:space="preserve"> </w:t>
      </w:r>
      <w:r w:rsidRPr="00481DB1">
        <w:t>OHCHR welcomes this positive development, which should facilitate civilian crossing of the contact line.</w:t>
      </w:r>
      <w:r w:rsidR="002B2D6D" w:rsidRPr="008B10A6">
        <w:rPr>
          <w:vertAlign w:val="superscript"/>
        </w:rPr>
        <w:footnoteReference w:id="40"/>
      </w:r>
    </w:p>
    <w:p w14:paraId="0F9425B6" w14:textId="65ADDD3B" w:rsidR="00A85A19" w:rsidRDefault="00A85A19" w:rsidP="001232C6">
      <w:pPr>
        <w:pStyle w:val="SingleTxtG"/>
      </w:pPr>
      <w:r w:rsidRPr="00A85A19">
        <w:t>OHCHR</w:t>
      </w:r>
      <w:r>
        <w:t xml:space="preserve"> </w:t>
      </w:r>
      <w:r w:rsidR="00844055">
        <w:t>notes</w:t>
      </w:r>
      <w:r>
        <w:t xml:space="preserve"> a recent court decision</w:t>
      </w:r>
      <w:r w:rsidR="0009568A" w:rsidRPr="005E1347">
        <w:rPr>
          <w:rStyle w:val="FootnoteReference"/>
          <w:sz w:val="20"/>
        </w:rPr>
        <w:footnoteReference w:id="41"/>
      </w:r>
      <w:r>
        <w:t xml:space="preserve"> rendering void a list issued by the Ministry of Temporarily Occupied Territories o</w:t>
      </w:r>
      <w:r w:rsidR="0009568A">
        <w:t>f goods allowed for transfer</w:t>
      </w:r>
      <w:r>
        <w:t xml:space="preserve"> across the contact line</w:t>
      </w:r>
      <w:r w:rsidR="00B31EDD">
        <w:t>, which</w:t>
      </w:r>
      <w:r>
        <w:t xml:space="preserve"> is </w:t>
      </w:r>
      <w:r w:rsidR="00B31EDD">
        <w:t xml:space="preserve">currently </w:t>
      </w:r>
      <w:r w:rsidR="0009568A">
        <w:t xml:space="preserve">being </w:t>
      </w:r>
      <w:r>
        <w:t>appealed.</w:t>
      </w:r>
      <w:r w:rsidR="00844055">
        <w:t xml:space="preserve"> T</w:t>
      </w:r>
      <w:r>
        <w:t>he implementation of any decision without a clear pre-established procedure regulating the transfer of goods</w:t>
      </w:r>
      <w:r w:rsidR="00B31EDD">
        <w:t>,</w:t>
      </w:r>
      <w:r>
        <w:t xml:space="preserve"> including a list of prohibited goods</w:t>
      </w:r>
      <w:r w:rsidR="00B31EDD">
        <w:t>,</w:t>
      </w:r>
      <w:r>
        <w:t xml:space="preserve"> may create a gap at the legislative level and could lead to arbitrary decisions by authorities administrating the EECPs. OHCHR reaffirms its recommendation to the Government on the necessity </w:t>
      </w:r>
      <w:r w:rsidR="0027556D">
        <w:t xml:space="preserve">of </w:t>
      </w:r>
      <w:r>
        <w:t xml:space="preserve">substituting such list with </w:t>
      </w:r>
      <w:r w:rsidR="00A35CFD">
        <w:t>a</w:t>
      </w:r>
      <w:r w:rsidR="0000670F">
        <w:t xml:space="preserve"> </w:t>
      </w:r>
      <w:r>
        <w:t xml:space="preserve">list of goods prohibited </w:t>
      </w:r>
      <w:r w:rsidR="00141346">
        <w:t>from</w:t>
      </w:r>
      <w:r>
        <w:t xml:space="preserve"> transfer. </w:t>
      </w:r>
    </w:p>
    <w:p w14:paraId="5A0D165F" w14:textId="1BD370C4" w:rsidR="001A0896" w:rsidRDefault="001A0896" w:rsidP="001A0896">
      <w:pPr>
        <w:pStyle w:val="SingleTxtG"/>
        <w:numPr>
          <w:ilvl w:val="0"/>
          <w:numId w:val="0"/>
        </w:numPr>
        <w:ind w:left="1134"/>
      </w:pPr>
    </w:p>
    <w:p w14:paraId="1999CFA5" w14:textId="0089B9F2" w:rsidR="001A0896" w:rsidRDefault="001A0896" w:rsidP="001A0896">
      <w:pPr>
        <w:pStyle w:val="SingleTxtG"/>
        <w:numPr>
          <w:ilvl w:val="0"/>
          <w:numId w:val="0"/>
        </w:numPr>
        <w:ind w:left="1134"/>
      </w:pPr>
    </w:p>
    <w:p w14:paraId="3EAF1769" w14:textId="77777777" w:rsidR="001A0896" w:rsidRDefault="001A0896" w:rsidP="001A0896">
      <w:pPr>
        <w:pStyle w:val="SingleTxtG"/>
        <w:numPr>
          <w:ilvl w:val="0"/>
          <w:numId w:val="0"/>
        </w:numPr>
        <w:ind w:left="1134"/>
      </w:pPr>
    </w:p>
    <w:p w14:paraId="0E5D2824" w14:textId="6525ECA3" w:rsidR="00256B96" w:rsidRPr="00513802" w:rsidRDefault="00A0118A" w:rsidP="00DC0D28">
      <w:pPr>
        <w:pStyle w:val="H1G"/>
        <w:rPr>
          <w:lang w:val="en-NZ"/>
        </w:rPr>
      </w:pPr>
      <w:bookmarkStart w:id="195" w:name="_Toc11165971"/>
      <w:r w:rsidRPr="00513802">
        <w:rPr>
          <w:lang w:val="en-NZ"/>
        </w:rPr>
        <w:lastRenderedPageBreak/>
        <w:t xml:space="preserve">Right to physical </w:t>
      </w:r>
      <w:r w:rsidRPr="00DC0D28">
        <w:t>integrity</w:t>
      </w:r>
      <w:bookmarkEnd w:id="195"/>
    </w:p>
    <w:p w14:paraId="1A5DA2B2" w14:textId="08F342EA" w:rsidR="00DA577D" w:rsidRPr="00513802" w:rsidRDefault="00DA577D" w:rsidP="001232C6">
      <w:pPr>
        <w:pStyle w:val="SingleTxtG"/>
      </w:pPr>
      <w:bookmarkStart w:id="196" w:name="_Toc512415791"/>
      <w:r w:rsidRPr="00513802">
        <w:t xml:space="preserve">OHCHR documented </w:t>
      </w:r>
      <w:r w:rsidR="00197003">
        <w:t>2</w:t>
      </w:r>
      <w:r w:rsidR="00B175D6">
        <w:t>31</w:t>
      </w:r>
      <w:r w:rsidRPr="00DE7B65">
        <w:t xml:space="preserve"> human rights violations </w:t>
      </w:r>
      <w:r w:rsidR="00A437A6" w:rsidRPr="00DE7B65">
        <w:t xml:space="preserve">and abuses </w:t>
      </w:r>
      <w:r w:rsidRPr="00DE7B65">
        <w:t>involving arbitrary detention, torture, ill-treatment and/or threats to physical integrity, committed on both sides of the contact line.</w:t>
      </w:r>
      <w:r w:rsidR="00197003" w:rsidRPr="00DE7B65">
        <w:rPr>
          <w:rStyle w:val="FootnoteReference"/>
        </w:rPr>
        <w:footnoteReference w:id="42"/>
      </w:r>
      <w:r w:rsidRPr="00DE7B65">
        <w:t xml:space="preserve"> </w:t>
      </w:r>
      <w:r w:rsidR="00102602">
        <w:t>Sixty-</w:t>
      </w:r>
      <w:r w:rsidR="000F6183">
        <w:t>eight</w:t>
      </w:r>
      <w:r w:rsidR="00FF2C07" w:rsidRPr="00DE7B65">
        <w:t xml:space="preserve"> </w:t>
      </w:r>
      <w:r w:rsidRPr="00DE7B65">
        <w:t xml:space="preserve">violations occurred within the reporting period, which affected </w:t>
      </w:r>
      <w:r w:rsidR="006F5808" w:rsidRPr="00DE7B65">
        <w:t>39</w:t>
      </w:r>
      <w:r w:rsidR="00E5091D" w:rsidRPr="00DE7B65">
        <w:t xml:space="preserve"> </w:t>
      </w:r>
      <w:r w:rsidRPr="00DE7B65">
        <w:t>victims (</w:t>
      </w:r>
      <w:r w:rsidR="006F5808" w:rsidRPr="00DE7B65">
        <w:t>38</w:t>
      </w:r>
      <w:r w:rsidR="00E5091D" w:rsidRPr="00DE7B65">
        <w:t xml:space="preserve"> </w:t>
      </w:r>
      <w:r w:rsidRPr="00DE7B65">
        <w:t xml:space="preserve">men and </w:t>
      </w:r>
      <w:r w:rsidR="00217D97" w:rsidRPr="00DE7B65">
        <w:t xml:space="preserve">one </w:t>
      </w:r>
      <w:r w:rsidRPr="00DE7B65">
        <w:t>wom</w:t>
      </w:r>
      <w:r w:rsidR="00B0254F">
        <w:t>a</w:t>
      </w:r>
      <w:r w:rsidRPr="00DE7B65">
        <w:t>n). Of the</w:t>
      </w:r>
      <w:r w:rsidR="00EB092F" w:rsidRPr="00DE7B65">
        <w:t>se</w:t>
      </w:r>
      <w:r w:rsidRPr="00DE7B65">
        <w:t xml:space="preserve">, </w:t>
      </w:r>
      <w:r w:rsidR="00CC5D78" w:rsidRPr="00DE7B65">
        <w:rPr>
          <w:lang w:val="uk-UA"/>
        </w:rPr>
        <w:t>14</w:t>
      </w:r>
      <w:r w:rsidR="00CC5D78" w:rsidRPr="00DE7B65">
        <w:t xml:space="preserve"> </w:t>
      </w:r>
      <w:r w:rsidR="000F6183">
        <w:t>are</w:t>
      </w:r>
      <w:r w:rsidRPr="00DE7B65">
        <w:t xml:space="preserve"> attributed to the Government of Ukraine, </w:t>
      </w:r>
      <w:r w:rsidR="00CC5D78" w:rsidRPr="00DE7B65">
        <w:rPr>
          <w:lang w:val="en-US"/>
        </w:rPr>
        <w:t>four</w:t>
      </w:r>
      <w:r w:rsidR="00CC5D78" w:rsidRPr="00DE7B65">
        <w:t xml:space="preserve"> </w:t>
      </w:r>
      <w:r w:rsidR="000F6183">
        <w:t>are</w:t>
      </w:r>
      <w:r w:rsidRPr="00DE7B65">
        <w:t xml:space="preserve"> be attributed to ‘Donetsk people’s republic’ and </w:t>
      </w:r>
      <w:r w:rsidR="006F5808" w:rsidRPr="00DE7B65">
        <w:t>50</w:t>
      </w:r>
      <w:r w:rsidR="00E5091D" w:rsidRPr="00DE7B65">
        <w:t xml:space="preserve"> </w:t>
      </w:r>
      <w:r w:rsidR="00102602">
        <w:t>are</w:t>
      </w:r>
      <w:r w:rsidRPr="00513802">
        <w:t xml:space="preserve"> attributed to ‘Luhansk people’s republic</w:t>
      </w:r>
      <w:r w:rsidR="001C7415" w:rsidRPr="00D72FD5">
        <w:t>’</w:t>
      </w:r>
      <w:r w:rsidRPr="00D72FD5">
        <w:t>.</w:t>
      </w:r>
      <w:r w:rsidR="00D72FD5" w:rsidRPr="00D72FD5">
        <w:rPr>
          <w:rStyle w:val="FootnoteReference"/>
        </w:rPr>
        <w:footnoteReference w:id="43"/>
      </w:r>
    </w:p>
    <w:p w14:paraId="01DF4BE6" w14:textId="76A5D5E2" w:rsidR="00256B96" w:rsidRPr="00513802" w:rsidRDefault="00A0118A" w:rsidP="00DC0D28">
      <w:pPr>
        <w:pStyle w:val="H23G"/>
        <w:rPr>
          <w:lang w:val="en-NZ"/>
        </w:rPr>
      </w:pPr>
      <w:bookmarkStart w:id="197" w:name="_Toc11165972"/>
      <w:bookmarkEnd w:id="196"/>
      <w:r w:rsidRPr="00513802">
        <w:rPr>
          <w:lang w:val="en-NZ"/>
        </w:rPr>
        <w:t>Access to places of detention</w:t>
      </w:r>
      <w:bookmarkEnd w:id="197"/>
    </w:p>
    <w:p w14:paraId="60434683" w14:textId="5DFAEACB" w:rsidR="00DA577D" w:rsidRPr="00513802" w:rsidRDefault="00DA577D" w:rsidP="001232C6">
      <w:pPr>
        <w:pStyle w:val="SingleTxtG"/>
      </w:pPr>
      <w:r w:rsidRPr="00513802">
        <w:t>OHCHR enjoyed access to official places of detention and conducted confidential interviews with detainees</w:t>
      </w:r>
      <w:r w:rsidR="00795775">
        <w:t xml:space="preserve"> and prisoners</w:t>
      </w:r>
      <w:r w:rsidRPr="00513802">
        <w:t xml:space="preserve"> in accordance with international standards in </w:t>
      </w:r>
      <w:r w:rsidR="00801192">
        <w:t>G</w:t>
      </w:r>
      <w:r w:rsidRPr="00513802">
        <w:t xml:space="preserve">overnment-controlled territory. </w:t>
      </w:r>
      <w:r w:rsidR="00102602">
        <w:t xml:space="preserve">During the reporting period, </w:t>
      </w:r>
      <w:r w:rsidRPr="00513802">
        <w:t xml:space="preserve">OHCHR interviewed </w:t>
      </w:r>
      <w:r w:rsidR="007B163F" w:rsidRPr="00DE7B65">
        <w:t>125</w:t>
      </w:r>
      <w:r w:rsidR="005D443B" w:rsidRPr="00DE7B65">
        <w:t xml:space="preserve"> </w:t>
      </w:r>
      <w:r w:rsidRPr="00DE7B65">
        <w:t>conflict-related detainees (</w:t>
      </w:r>
      <w:r w:rsidR="007B163F" w:rsidRPr="00DE7B65">
        <w:t>1</w:t>
      </w:r>
      <w:r w:rsidR="00197003" w:rsidRPr="00DE7B65">
        <w:t>20</w:t>
      </w:r>
      <w:r w:rsidR="005D443B" w:rsidRPr="00DE7B65">
        <w:t xml:space="preserve"> </w:t>
      </w:r>
      <w:r w:rsidRPr="00DE7B65">
        <w:t xml:space="preserve">men and </w:t>
      </w:r>
      <w:r w:rsidR="007B163F" w:rsidRPr="00DE7B65">
        <w:t>five</w:t>
      </w:r>
      <w:r w:rsidR="008230F3">
        <w:t xml:space="preserve"> </w:t>
      </w:r>
      <w:r w:rsidRPr="00DE7B65">
        <w:t>women) in pre-trial detention facilities (SIZO) in</w:t>
      </w:r>
      <w:r w:rsidR="00371392">
        <w:t xml:space="preserve"> </w:t>
      </w:r>
      <w:r w:rsidR="007B163F" w:rsidRPr="00DE7B65">
        <w:t>Bakhmut</w:t>
      </w:r>
      <w:r w:rsidR="005D443B" w:rsidRPr="00597DC6">
        <w:t xml:space="preserve">, Kyiv, </w:t>
      </w:r>
      <w:r w:rsidR="00DE7B65" w:rsidRPr="00E7361E">
        <w:t>Mariupol</w:t>
      </w:r>
      <w:r w:rsidR="00DE7B65">
        <w:t xml:space="preserve">, </w:t>
      </w:r>
      <w:r w:rsidR="005D443B" w:rsidRPr="00597DC6">
        <w:t>Odesa, Starobilsk, Zaporizhzhia</w:t>
      </w:r>
      <w:r w:rsidR="00DE7B65">
        <w:t xml:space="preserve"> </w:t>
      </w:r>
      <w:r w:rsidR="007B163F" w:rsidRPr="00DE7B65">
        <w:t>and colonies in Hostomel and Kharkiv</w:t>
      </w:r>
      <w:r w:rsidR="005D443B" w:rsidRPr="00597DC6">
        <w:t>.</w:t>
      </w:r>
      <w:r w:rsidRPr="00513802">
        <w:t xml:space="preserve"> </w:t>
      </w:r>
    </w:p>
    <w:p w14:paraId="0FF501DC" w14:textId="31DC6F9A" w:rsidR="00DA577D" w:rsidRPr="00513802" w:rsidRDefault="00DA577D" w:rsidP="001232C6">
      <w:pPr>
        <w:pStyle w:val="SingleTxtG"/>
      </w:pPr>
      <w:r w:rsidRPr="00513802">
        <w:t xml:space="preserve">In territory controlled by ‘Donetsk people’s republic’ and ‘Luhansk people’s republic’, OHCHR had no access to places of deprivation of liberty. Confidential and unrestricted access to detention facilities </w:t>
      </w:r>
      <w:r w:rsidR="00903B55">
        <w:t xml:space="preserve">in territory controlled by ‘Donetsk people’s republic’ and ‘Luhansk people’s republic’ for international monitors, including OHCHR, </w:t>
      </w:r>
      <w:r w:rsidRPr="00513802">
        <w:t>must be provided in line with international standards in order to address serious concerns about the treatment of detainees and conditions of detention.</w:t>
      </w:r>
    </w:p>
    <w:p w14:paraId="29D55C28" w14:textId="74BEB23C" w:rsidR="00256B96" w:rsidRPr="00513802" w:rsidRDefault="00A0118A" w:rsidP="00DC0D28">
      <w:pPr>
        <w:pStyle w:val="H23G"/>
        <w:rPr>
          <w:lang w:val="en-NZ"/>
        </w:rPr>
      </w:pPr>
      <w:bookmarkStart w:id="198" w:name="_Toc11165973"/>
      <w:r w:rsidRPr="00513802">
        <w:rPr>
          <w:lang w:val="en-NZ"/>
        </w:rPr>
        <w:t xml:space="preserve">Arbitrary </w:t>
      </w:r>
      <w:r w:rsidRPr="00DC0D28">
        <w:t>detention</w:t>
      </w:r>
      <w:r w:rsidRPr="00513802">
        <w:rPr>
          <w:lang w:val="en-NZ"/>
        </w:rPr>
        <w:t xml:space="preserve">, </w:t>
      </w:r>
      <w:r w:rsidR="00903B55">
        <w:rPr>
          <w:lang w:val="en-NZ"/>
        </w:rPr>
        <w:t xml:space="preserve">enforced </w:t>
      </w:r>
      <w:r w:rsidRPr="00513802">
        <w:rPr>
          <w:lang w:val="en-NZ"/>
        </w:rPr>
        <w:t>disappearances</w:t>
      </w:r>
      <w:r w:rsidR="00B0254F">
        <w:rPr>
          <w:lang w:val="en-NZ"/>
        </w:rPr>
        <w:t>,</w:t>
      </w:r>
      <w:r w:rsidRPr="00513802">
        <w:rPr>
          <w:lang w:val="en-NZ"/>
        </w:rPr>
        <w:t xml:space="preserve"> torture and ill-treatment</w:t>
      </w:r>
      <w:bookmarkEnd w:id="198"/>
    </w:p>
    <w:p w14:paraId="40137CA6" w14:textId="3C2E12D2" w:rsidR="005A57EB" w:rsidRPr="00BE2102" w:rsidRDefault="005A57EB" w:rsidP="001232C6">
      <w:pPr>
        <w:pStyle w:val="SingleTxtG"/>
      </w:pPr>
      <w:bookmarkStart w:id="199" w:name="_Toc512415793"/>
      <w:bookmarkStart w:id="200" w:name="_Toc513567284"/>
      <w:bookmarkStart w:id="201" w:name="_Toc513568000"/>
      <w:bookmarkStart w:id="202" w:name="_Toc513568522"/>
      <w:bookmarkStart w:id="203" w:name="_Toc513569225"/>
      <w:bookmarkStart w:id="204" w:name="_Toc513569919"/>
      <w:bookmarkStart w:id="205" w:name="_Toc514403003"/>
      <w:bookmarkStart w:id="206" w:name="_Toc514404249"/>
      <w:bookmarkStart w:id="207" w:name="_Toc514404275"/>
      <w:bookmarkStart w:id="208" w:name="_Toc514410222"/>
      <w:bookmarkStart w:id="209" w:name="_Toc514417633"/>
      <w:bookmarkStart w:id="210" w:name="_Toc514769282"/>
      <w:bookmarkStart w:id="211" w:name="_Toc251660173"/>
      <w:bookmarkStart w:id="212" w:name="_Toc251667785"/>
      <w:r w:rsidRPr="00C21CF5">
        <w:t xml:space="preserve">During the reporting period, OHCHR continued to </w:t>
      </w:r>
      <w:r>
        <w:t>document</w:t>
      </w:r>
      <w:r w:rsidRPr="00C21CF5">
        <w:t xml:space="preserve"> </w:t>
      </w:r>
      <w:r>
        <w:t>cases of arbitrary</w:t>
      </w:r>
      <w:r w:rsidR="00404D73">
        <w:t xml:space="preserve"> </w:t>
      </w:r>
      <w:r w:rsidR="00404D73" w:rsidRPr="00A13759">
        <w:t xml:space="preserve">and </w:t>
      </w:r>
      <w:r w:rsidR="00A13759" w:rsidRPr="00A13759">
        <w:t>incommunicado</w:t>
      </w:r>
      <w:r>
        <w:t xml:space="preserve"> detention,</w:t>
      </w:r>
      <w:r w:rsidR="00AB4AD8">
        <w:t xml:space="preserve"> </w:t>
      </w:r>
      <w:r>
        <w:t xml:space="preserve">torture and ill-treatment both in territory controlled by </w:t>
      </w:r>
      <w:r w:rsidR="00EB092F">
        <w:t xml:space="preserve">the </w:t>
      </w:r>
      <w:r>
        <w:t xml:space="preserve">Government and by </w:t>
      </w:r>
      <w:r w:rsidR="0068292A">
        <w:t>’Donetsk people</w:t>
      </w:r>
      <w:r w:rsidR="00E851B4">
        <w:t>’s</w:t>
      </w:r>
      <w:r w:rsidR="0068292A">
        <w:t xml:space="preserve"> republic’ and ‘</w:t>
      </w:r>
      <w:r w:rsidR="00F57938">
        <w:t>Luhansk</w:t>
      </w:r>
      <w:r w:rsidR="0068292A">
        <w:t xml:space="preserve"> people republic’</w:t>
      </w:r>
      <w:r>
        <w:t xml:space="preserve">. </w:t>
      </w:r>
      <w:r w:rsidR="00EB092F">
        <w:t xml:space="preserve">Although the </w:t>
      </w:r>
      <w:r w:rsidR="00EB092F" w:rsidRPr="00597DC6">
        <w:t xml:space="preserve">prevalence of such </w:t>
      </w:r>
      <w:r w:rsidR="00EB092F">
        <w:t xml:space="preserve">cases continued to be considerably lower than in 2014, 2015 and 2016, </w:t>
      </w:r>
      <w:r>
        <w:t xml:space="preserve">reporting on such human rights violations and abuses is </w:t>
      </w:r>
      <w:r w:rsidR="00EB092F">
        <w:t xml:space="preserve">generally </w:t>
      </w:r>
      <w:r>
        <w:t xml:space="preserve">delayed, </w:t>
      </w:r>
      <w:r w:rsidR="00EB092F">
        <w:t xml:space="preserve">including because </w:t>
      </w:r>
      <w:r w:rsidRPr="00597DC6">
        <w:t xml:space="preserve">recent victims often do not feel safe </w:t>
      </w:r>
      <w:r w:rsidR="00A437A6" w:rsidRPr="00597DC6">
        <w:t>repor</w:t>
      </w:r>
      <w:r w:rsidRPr="00597DC6">
        <w:t>t</w:t>
      </w:r>
      <w:r w:rsidR="00A437A6" w:rsidRPr="00597DC6">
        <w:t>ing</w:t>
      </w:r>
      <w:r w:rsidRPr="00597DC6">
        <w:t xml:space="preserve"> such </w:t>
      </w:r>
      <w:r w:rsidR="00A437A6" w:rsidRPr="00597DC6">
        <w:t>violations</w:t>
      </w:r>
      <w:r w:rsidR="00EB092F" w:rsidRPr="00597DC6">
        <w:t>.</w:t>
      </w:r>
      <w:r w:rsidR="00B544DB" w:rsidRPr="00597DC6">
        <w:t xml:space="preserve"> </w:t>
      </w:r>
    </w:p>
    <w:p w14:paraId="30470F68" w14:textId="190D6DDB" w:rsidR="002F14C2" w:rsidRPr="002F14C2" w:rsidRDefault="002F14C2" w:rsidP="001232C6">
      <w:pPr>
        <w:pStyle w:val="SingleTxtG"/>
      </w:pPr>
      <w:r>
        <w:t xml:space="preserve">In </w:t>
      </w:r>
      <w:r w:rsidR="00801192">
        <w:t>G</w:t>
      </w:r>
      <w:r>
        <w:t xml:space="preserve">overnment-controlled territory, </w:t>
      </w:r>
      <w:r w:rsidR="005A57EB">
        <w:t xml:space="preserve">OHCHR continued </w:t>
      </w:r>
      <w:r w:rsidR="00C9435F">
        <w:t xml:space="preserve">to </w:t>
      </w:r>
      <w:r>
        <w:t xml:space="preserve">receive allegations that </w:t>
      </w:r>
      <w:r w:rsidR="00AC4CDE">
        <w:t xml:space="preserve">the </w:t>
      </w:r>
      <w:r>
        <w:t xml:space="preserve">SBU arbitrarily detain, </w:t>
      </w:r>
      <w:r w:rsidR="004F40E8">
        <w:t xml:space="preserve">torture, </w:t>
      </w:r>
      <w:r>
        <w:t xml:space="preserve">ill-treat </w:t>
      </w:r>
      <w:r w:rsidR="00137E52">
        <w:t xml:space="preserve">and </w:t>
      </w:r>
      <w:r w:rsidR="004F40E8">
        <w:t xml:space="preserve">intimidate </w:t>
      </w:r>
      <w:r>
        <w:t>individuals</w:t>
      </w:r>
      <w:r w:rsidR="009472CB">
        <w:t>, including</w:t>
      </w:r>
      <w:r w:rsidR="00DE7B65">
        <w:t xml:space="preserve"> </w:t>
      </w:r>
      <w:r>
        <w:t>in unofficial places of detention</w:t>
      </w:r>
      <w:r w:rsidR="00AC4CDE">
        <w:t>,</w:t>
      </w:r>
      <w:r>
        <w:t xml:space="preserve"> in order to obtain information, pressure them to confess or cooperate. For example, o</w:t>
      </w:r>
      <w:r w:rsidRPr="002F14C2">
        <w:t>n 17 April 2019, a man was apprehended at Marinka</w:t>
      </w:r>
      <w:r w:rsidR="00CE4364">
        <w:t xml:space="preserve"> </w:t>
      </w:r>
      <w:r w:rsidR="00CE4364" w:rsidRPr="002F14C2">
        <w:t>EECP</w:t>
      </w:r>
      <w:r w:rsidRPr="002F14C2">
        <w:t xml:space="preserve">, </w:t>
      </w:r>
      <w:r w:rsidR="001A5C02">
        <w:t>reportedly</w:t>
      </w:r>
      <w:r w:rsidRPr="002F14C2">
        <w:t xml:space="preserve">, by two SBU officers in civilian clothes. They took him to a booth, where they held him for approximately two hours. </w:t>
      </w:r>
      <w:r w:rsidR="00AC4CDE">
        <w:t xml:space="preserve">On </w:t>
      </w:r>
      <w:r w:rsidRPr="002F14C2">
        <w:t xml:space="preserve">the same day, </w:t>
      </w:r>
      <w:r w:rsidR="001A5C02">
        <w:t>two men</w:t>
      </w:r>
      <w:r w:rsidR="001A5C02" w:rsidRPr="002F14C2">
        <w:t xml:space="preserve"> </w:t>
      </w:r>
      <w:r w:rsidRPr="002F14C2">
        <w:t xml:space="preserve">drove him together with his wife to Kurakhove. </w:t>
      </w:r>
      <w:r w:rsidR="001A5C02">
        <w:t>They</w:t>
      </w:r>
      <w:r w:rsidRPr="002F14C2">
        <w:t xml:space="preserve"> left </w:t>
      </w:r>
      <w:r w:rsidR="007B64BD">
        <w:t>his wife</w:t>
      </w:r>
      <w:r w:rsidRPr="002F14C2">
        <w:t xml:space="preserve"> </w:t>
      </w:r>
      <w:r w:rsidR="007B64BD">
        <w:t xml:space="preserve">at </w:t>
      </w:r>
      <w:r w:rsidRPr="002F14C2">
        <w:t xml:space="preserve">the hotel, put a bag on his head and took him to </w:t>
      </w:r>
      <w:r w:rsidR="004A3B3E">
        <w:t xml:space="preserve">an </w:t>
      </w:r>
      <w:r w:rsidRPr="002F14C2">
        <w:t xml:space="preserve">unknown location, where he was </w:t>
      </w:r>
      <w:r w:rsidR="00647CF1">
        <w:t xml:space="preserve">reportedly </w:t>
      </w:r>
      <w:r w:rsidRPr="002F14C2">
        <w:t>beaten. They brought him back to the hotel in a few hours with visible bruis</w:t>
      </w:r>
      <w:r w:rsidR="00AC4CDE">
        <w:t>ing</w:t>
      </w:r>
      <w:r w:rsidRPr="002F14C2">
        <w:t xml:space="preserve"> on his face. After the incident, his health deteriorated and he was hospitali</w:t>
      </w:r>
      <w:r w:rsidR="00AC4CDE">
        <w:t>s</w:t>
      </w:r>
      <w:r w:rsidRPr="002F14C2">
        <w:t xml:space="preserve">ed. </w:t>
      </w:r>
      <w:r w:rsidR="007B64BD">
        <w:t>His</w:t>
      </w:r>
      <w:r w:rsidR="007B64BD" w:rsidRPr="002F14C2">
        <w:t xml:space="preserve"> </w:t>
      </w:r>
      <w:r w:rsidRPr="002F14C2">
        <w:t>wife appealed to the police about the incident at the EECP. On 23 April</w:t>
      </w:r>
      <w:r w:rsidR="008B5C1B">
        <w:t xml:space="preserve"> 2019</w:t>
      </w:r>
      <w:r w:rsidRPr="002F14C2">
        <w:t xml:space="preserve">, </w:t>
      </w:r>
      <w:r w:rsidR="001A5C02">
        <w:t xml:space="preserve">two </w:t>
      </w:r>
      <w:r w:rsidRPr="002F14C2">
        <w:t xml:space="preserve">SBU officers visited her </w:t>
      </w:r>
      <w:r w:rsidR="001A5C02">
        <w:t xml:space="preserve">at the hospital </w:t>
      </w:r>
      <w:r w:rsidRPr="002F14C2">
        <w:t xml:space="preserve">and pressured </w:t>
      </w:r>
      <w:r w:rsidR="00AC4CDE">
        <w:t xml:space="preserve">her </w:t>
      </w:r>
      <w:r w:rsidRPr="002F14C2">
        <w:t>to withdraw the complaint.</w:t>
      </w:r>
      <w:r w:rsidRPr="00597DC6">
        <w:rPr>
          <w:vertAlign w:val="superscript"/>
        </w:rPr>
        <w:footnoteReference w:id="44"/>
      </w:r>
      <w:r w:rsidRPr="004F40E8">
        <w:rPr>
          <w:vertAlign w:val="superscript"/>
        </w:rPr>
        <w:t xml:space="preserve"> </w:t>
      </w:r>
    </w:p>
    <w:p w14:paraId="328E0B2F" w14:textId="70352D23" w:rsidR="00DA577D" w:rsidRPr="00830BB8" w:rsidRDefault="005A57EB" w:rsidP="001232C6">
      <w:pPr>
        <w:pStyle w:val="SingleTxtG"/>
        <w:rPr>
          <w:vertAlign w:val="superscript"/>
        </w:rPr>
      </w:pPr>
      <w:r w:rsidRPr="00513802">
        <w:t xml:space="preserve">OHCHR </w:t>
      </w:r>
      <w:r w:rsidR="00C9435F">
        <w:t>follow</w:t>
      </w:r>
      <w:r w:rsidR="007B64BD">
        <w:t>ed</w:t>
      </w:r>
      <w:r w:rsidRPr="00513802">
        <w:t xml:space="preserve"> the case of a</w:t>
      </w:r>
      <w:r w:rsidR="00FA1FB3">
        <w:t xml:space="preserve"> foreign </w:t>
      </w:r>
      <w:r w:rsidRPr="00513802">
        <w:t xml:space="preserve">national, who was arbitrarily arrested and tortured in December 2018, </w:t>
      </w:r>
      <w:r w:rsidR="00CE4364">
        <w:t>reportedly</w:t>
      </w:r>
      <w:r w:rsidR="00CE4364" w:rsidRPr="00513802">
        <w:t xml:space="preserve"> </w:t>
      </w:r>
      <w:r w:rsidRPr="00513802">
        <w:t>by SBU officers.</w:t>
      </w:r>
      <w:r w:rsidRPr="00597DC6">
        <w:rPr>
          <w:vertAlign w:val="superscript"/>
        </w:rPr>
        <w:footnoteReference w:id="45"/>
      </w:r>
      <w:r w:rsidRPr="00597DC6">
        <w:rPr>
          <w:vertAlign w:val="superscript"/>
        </w:rPr>
        <w:t xml:space="preserve"> </w:t>
      </w:r>
      <w:r w:rsidR="00CD596E" w:rsidRPr="00D42C26">
        <w:t>In</w:t>
      </w:r>
      <w:r w:rsidR="00A0480A" w:rsidRPr="00D42C26">
        <w:t xml:space="preserve"> early</w:t>
      </w:r>
      <w:r w:rsidR="00CD596E" w:rsidRPr="00D42C26">
        <w:t xml:space="preserve"> February 2019, the man </w:t>
      </w:r>
      <w:r w:rsidR="00CD596E" w:rsidRPr="00D42C26">
        <w:lastRenderedPageBreak/>
        <w:t>and his family moved to the Odesa region</w:t>
      </w:r>
      <w:r w:rsidR="007B64BD">
        <w:t>,</w:t>
      </w:r>
      <w:r w:rsidR="00CD596E" w:rsidRPr="00D42C26">
        <w:t xml:space="preserve"> fearing further intimidation.</w:t>
      </w:r>
      <w:r w:rsidR="0000670F">
        <w:t xml:space="preserve"> </w:t>
      </w:r>
      <w:r w:rsidR="00732E63">
        <w:t>On 12 February</w:t>
      </w:r>
      <w:r w:rsidR="008B5C1B">
        <w:t xml:space="preserve"> 2019</w:t>
      </w:r>
      <w:r w:rsidR="00732E63">
        <w:t>, the</w:t>
      </w:r>
      <w:r w:rsidR="00732E63" w:rsidRPr="00597DC6">
        <w:t xml:space="preserve"> State Bureau of Investigation (SBI) launched a probe into the victim’s allegations of arbitrary arrest and torture by the SBU.</w:t>
      </w:r>
      <w:r w:rsidR="0007735B" w:rsidRPr="00597DC6">
        <w:rPr>
          <w:vertAlign w:val="superscript"/>
        </w:rPr>
        <w:footnoteReference w:id="46"/>
      </w:r>
      <w:r w:rsidR="00732E63" w:rsidRPr="001B4152">
        <w:t xml:space="preserve"> </w:t>
      </w:r>
      <w:r w:rsidR="00CD596E" w:rsidRPr="00D42C26">
        <w:t>On 15 March</w:t>
      </w:r>
      <w:r w:rsidR="008B5C1B">
        <w:t xml:space="preserve"> 2019</w:t>
      </w:r>
      <w:r w:rsidR="00CD596E" w:rsidRPr="00D42C26">
        <w:t>, two men, who introduced themselves as SBU o</w:t>
      </w:r>
      <w:r w:rsidR="00A0480A" w:rsidRPr="00D42C26">
        <w:t xml:space="preserve">fficers, came to his apartment and asked about his complaint to the SBI. </w:t>
      </w:r>
      <w:r w:rsidR="00CD596E" w:rsidRPr="00D42C26">
        <w:t xml:space="preserve">They asked him to come with them to Odesa, allegedly to sign some documents. In their car, the men put on masks, </w:t>
      </w:r>
      <w:r w:rsidR="00F24273">
        <w:t xml:space="preserve">and </w:t>
      </w:r>
      <w:r w:rsidR="00CD596E" w:rsidRPr="00D42C26">
        <w:t xml:space="preserve">seized his passport, wallet and phone. The individuals told him that he </w:t>
      </w:r>
      <w:r w:rsidR="00F24273">
        <w:t>had to</w:t>
      </w:r>
      <w:r w:rsidR="00CD596E" w:rsidRPr="00D42C26">
        <w:t xml:space="preserve"> leave Ukraine. One of them showed the victim a live video stream of two armed men near his apartment </w:t>
      </w:r>
      <w:r w:rsidR="00F24273">
        <w:t xml:space="preserve">were </w:t>
      </w:r>
      <w:r w:rsidR="00CD596E" w:rsidRPr="00D42C26">
        <w:t xml:space="preserve">his wife and two children </w:t>
      </w:r>
      <w:r w:rsidR="00F24273">
        <w:t xml:space="preserve">were, </w:t>
      </w:r>
      <w:r w:rsidR="00CD596E" w:rsidRPr="00D42C26">
        <w:t>and told him they would enter his home</w:t>
      </w:r>
      <w:r w:rsidR="007B64BD">
        <w:t xml:space="preserve"> if</w:t>
      </w:r>
      <w:r w:rsidR="00CD596E" w:rsidRPr="00D42C26">
        <w:t xml:space="preserve"> he did not agree to leave. They then forced him to make a statement on video saying he was leaving Ukraine voluntarily and that he had not been abused physically or psychologically. At the border crossing between Ukraine and Moldova, the individuals gave him a document to sign, which stated that he agreed to leave the country, and walked with him to the passport control at the border. One of the individuals threatened the victim: “</w:t>
      </w:r>
      <w:r w:rsidR="00CD596E" w:rsidRPr="00597DC6">
        <w:t>If you return to Ukraine, we will kill you. If you talk about what happened to you, remember that you have a family in Ukraine</w:t>
      </w:r>
      <w:r w:rsidR="00A70EA5">
        <w:t>.</w:t>
      </w:r>
      <w:r w:rsidR="00CD596E" w:rsidRPr="00D42C26">
        <w:t>”</w:t>
      </w:r>
      <w:r w:rsidR="001B4152" w:rsidRPr="00D52E6B">
        <w:rPr>
          <w:vertAlign w:val="superscript"/>
        </w:rPr>
        <w:footnoteReference w:id="47"/>
      </w:r>
    </w:p>
    <w:p w14:paraId="40CF4CB7" w14:textId="0A1C0D14" w:rsidR="00CC0D42" w:rsidRPr="0029627B" w:rsidRDefault="00CC0D42" w:rsidP="001232C6">
      <w:pPr>
        <w:pStyle w:val="SingleTxtG"/>
      </w:pPr>
      <w:r w:rsidRPr="0029627B">
        <w:t>OHCHR</w:t>
      </w:r>
      <w:r>
        <w:t xml:space="preserve"> remains</w:t>
      </w:r>
      <w:r w:rsidRPr="0029627B">
        <w:t xml:space="preserve"> concerned about the practice of 30-day </w:t>
      </w:r>
      <w:r w:rsidR="00004C74" w:rsidRPr="0029627B">
        <w:t>‘</w:t>
      </w:r>
      <w:r w:rsidR="00004C74" w:rsidRPr="0029627B">
        <w:rPr>
          <w:rStyle w:val="highlight"/>
        </w:rPr>
        <w:t>admini</w:t>
      </w:r>
      <w:r w:rsidR="00004C74" w:rsidRPr="0029627B">
        <w:t>strative arrest’</w:t>
      </w:r>
      <w:r w:rsidR="00004C74" w:rsidRPr="0029627B">
        <w:rPr>
          <w:rStyle w:val="FootnoteReference"/>
          <w:sz w:val="20"/>
        </w:rPr>
        <w:footnoteReference w:id="48"/>
      </w:r>
      <w:r w:rsidR="00004C74" w:rsidRPr="0029627B">
        <w:t xml:space="preserve"> </w:t>
      </w:r>
      <w:r w:rsidR="00004C74">
        <w:t xml:space="preserve">and </w:t>
      </w:r>
      <w:r w:rsidRPr="0029627B">
        <w:t>‘preventive arrest’</w:t>
      </w:r>
      <w:r w:rsidR="00B81508" w:rsidRPr="00F3733B">
        <w:rPr>
          <w:vertAlign w:val="superscript"/>
        </w:rPr>
        <w:footnoteReference w:id="49"/>
      </w:r>
      <w:r w:rsidRPr="0029627B">
        <w:t xml:space="preserve"> in territory controlled by </w:t>
      </w:r>
      <w:r w:rsidR="00004C74" w:rsidRPr="0029627B">
        <w:t>‘Donetsk people’s republic’</w:t>
      </w:r>
      <w:r w:rsidR="00004C74">
        <w:t xml:space="preserve"> and</w:t>
      </w:r>
      <w:r w:rsidR="00004C74" w:rsidRPr="0029627B">
        <w:t xml:space="preserve"> </w:t>
      </w:r>
      <w:r w:rsidRPr="0029627B">
        <w:t>‘Luhansk people’s republic’</w:t>
      </w:r>
      <w:r w:rsidR="00B81508">
        <w:t xml:space="preserve"> respectively</w:t>
      </w:r>
      <w:r w:rsidR="00004C74">
        <w:t>.</w:t>
      </w:r>
      <w:r w:rsidRPr="0029627B">
        <w:t xml:space="preserve"> Such practice</w:t>
      </w:r>
      <w:r w:rsidR="00B81508">
        <w:t>s</w:t>
      </w:r>
      <w:r w:rsidRPr="0029627B">
        <w:t xml:space="preserve"> constitute arbitrary and incommunicado detention and may amount to </w:t>
      </w:r>
      <w:r w:rsidR="00B81508">
        <w:t>enforced</w:t>
      </w:r>
      <w:r w:rsidRPr="0029627B">
        <w:t xml:space="preserve"> disappearance.</w:t>
      </w:r>
      <w:r w:rsidR="00830BB8">
        <w:t xml:space="preserve"> </w:t>
      </w:r>
    </w:p>
    <w:p w14:paraId="35345E61" w14:textId="5CA82B3E" w:rsidR="00496866" w:rsidRDefault="009274D2" w:rsidP="001232C6">
      <w:pPr>
        <w:pStyle w:val="SingleTxtG"/>
      </w:pPr>
      <w:r>
        <w:t xml:space="preserve">In territory controlled by </w:t>
      </w:r>
      <w:r w:rsidRPr="00513802">
        <w:t>‘Donetsk people’s republic’</w:t>
      </w:r>
      <w:r>
        <w:t xml:space="preserve">, </w:t>
      </w:r>
      <w:r w:rsidRPr="00513802">
        <w:t xml:space="preserve">OHCHR documented </w:t>
      </w:r>
      <w:r>
        <w:t>four</w:t>
      </w:r>
      <w:r w:rsidRPr="00513802">
        <w:t xml:space="preserve"> </w:t>
      </w:r>
      <w:r w:rsidR="00B81508">
        <w:t xml:space="preserve">cases of </w:t>
      </w:r>
      <w:r w:rsidRPr="00513802">
        <w:t>civilians detained at EECP</w:t>
      </w:r>
      <w:r>
        <w:t>s</w:t>
      </w:r>
      <w:r w:rsidRPr="00513802">
        <w:t xml:space="preserve"> by </w:t>
      </w:r>
      <w:r w:rsidR="00ED190F">
        <w:t xml:space="preserve">the </w:t>
      </w:r>
      <w:r w:rsidRPr="00513802">
        <w:t>‘ministry of state security’</w:t>
      </w:r>
      <w:r w:rsidR="0086486C">
        <w:t xml:space="preserve"> </w:t>
      </w:r>
      <w:r w:rsidR="00FF1791">
        <w:t xml:space="preserve">of </w:t>
      </w:r>
      <w:r w:rsidR="00FF1791" w:rsidRPr="00513802">
        <w:t>‘Donetsk people’s</w:t>
      </w:r>
      <w:r w:rsidR="00FF1791">
        <w:t xml:space="preserve"> republic’</w:t>
      </w:r>
      <w:r w:rsidRPr="00597DC6">
        <w:t xml:space="preserve">. </w:t>
      </w:r>
      <w:r w:rsidR="003A008C">
        <w:t>For example, o</w:t>
      </w:r>
      <w:r w:rsidR="00BA23E4">
        <w:t xml:space="preserve">n 26 February 2019, a </w:t>
      </w:r>
      <w:r w:rsidR="006D38DC">
        <w:t>mother</w:t>
      </w:r>
      <w:r w:rsidR="00BC6617">
        <w:t xml:space="preserve"> finally</w:t>
      </w:r>
      <w:r w:rsidR="00BA23E4">
        <w:t xml:space="preserve"> learned that </w:t>
      </w:r>
      <w:r w:rsidR="006D38DC">
        <w:t xml:space="preserve">her two sons </w:t>
      </w:r>
      <w:r w:rsidR="006D38DC" w:rsidRPr="0029627B">
        <w:t xml:space="preserve">had been transferred to the Donetsk SIZO and charged with </w:t>
      </w:r>
      <w:r w:rsidR="00FF1791">
        <w:t>“</w:t>
      </w:r>
      <w:r w:rsidR="006D38DC" w:rsidRPr="0029627B">
        <w:t>espionage</w:t>
      </w:r>
      <w:r w:rsidR="006D38DC">
        <w:t xml:space="preserve">” following their </w:t>
      </w:r>
      <w:r w:rsidR="006D38DC" w:rsidRPr="006D38DC">
        <w:t>disappearance</w:t>
      </w:r>
      <w:r w:rsidR="006D38DC">
        <w:t xml:space="preserve"> in 2018.</w:t>
      </w:r>
      <w:r w:rsidR="006D38DC" w:rsidRPr="0029627B">
        <w:rPr>
          <w:rStyle w:val="FootnoteReference"/>
          <w:sz w:val="20"/>
        </w:rPr>
        <w:footnoteReference w:id="50"/>
      </w:r>
      <w:r w:rsidR="006D38DC" w:rsidRPr="0029627B">
        <w:t> </w:t>
      </w:r>
      <w:r w:rsidR="00CC0D42" w:rsidRPr="0029627B">
        <w:t xml:space="preserve">On 8 November 2018, </w:t>
      </w:r>
      <w:r w:rsidR="006D38DC">
        <w:t>two brothers,</w:t>
      </w:r>
      <w:r w:rsidR="00CC0D42" w:rsidRPr="0029627B">
        <w:t xml:space="preserve"> </w:t>
      </w:r>
      <w:r w:rsidR="006D38DC">
        <w:t xml:space="preserve">one </w:t>
      </w:r>
      <w:r w:rsidR="00CC0D42" w:rsidRPr="0029627B">
        <w:t xml:space="preserve">with a physical disability travelled by car to </w:t>
      </w:r>
      <w:r w:rsidR="0086486C">
        <w:t>territory control</w:t>
      </w:r>
      <w:r w:rsidR="007C098F">
        <w:t>led</w:t>
      </w:r>
      <w:r w:rsidR="0086486C">
        <w:t xml:space="preserve"> by </w:t>
      </w:r>
      <w:r w:rsidR="00FF1791" w:rsidRPr="00513802">
        <w:t>‘Donetsk people’s</w:t>
      </w:r>
      <w:r w:rsidR="00FF1791">
        <w:t xml:space="preserve"> republic’</w:t>
      </w:r>
      <w:r w:rsidR="00AB4AD8">
        <w:t xml:space="preserve"> </w:t>
      </w:r>
      <w:r w:rsidR="00FF1791">
        <w:t>in</w:t>
      </w:r>
      <w:r w:rsidR="00AB4AD8">
        <w:t xml:space="preserve"> </w:t>
      </w:r>
      <w:r w:rsidR="00CC0D42" w:rsidRPr="0029627B">
        <w:t>Novoazovsk</w:t>
      </w:r>
      <w:r w:rsidR="0086486C">
        <w:t>,</w:t>
      </w:r>
      <w:r w:rsidR="00AB4AD8">
        <w:t xml:space="preserve"> </w:t>
      </w:r>
      <w:r w:rsidR="00CC0D42" w:rsidRPr="0029627B">
        <w:t xml:space="preserve">to visit relatives. Their mother tried to call them after they had crossed the </w:t>
      </w:r>
      <w:r w:rsidR="00B81508">
        <w:t>G</w:t>
      </w:r>
      <w:r w:rsidR="00CC0D42" w:rsidRPr="0029627B">
        <w:t xml:space="preserve">overnment-controlled EECP, but their phones were switched off. In November 2018 and January 2019, </w:t>
      </w:r>
      <w:r w:rsidR="007B64BD">
        <w:t>their mother</w:t>
      </w:r>
      <w:r w:rsidR="007B64BD" w:rsidRPr="0029627B">
        <w:t xml:space="preserve"> </w:t>
      </w:r>
      <w:r w:rsidR="00CC0D42" w:rsidRPr="0029627B">
        <w:t>received several written replies from the ‘</w:t>
      </w:r>
      <w:r w:rsidR="00443D87">
        <w:t>ministry of state security</w:t>
      </w:r>
      <w:r w:rsidR="00CC0D42" w:rsidRPr="0029627B">
        <w:t xml:space="preserve">’ of ‘Donetsk people’s republic’ and the ‘ombudsperson office’ stating that they did not have any information about her sons’ </w:t>
      </w:r>
      <w:r w:rsidR="00DC26C6">
        <w:t>location</w:t>
      </w:r>
      <w:r w:rsidR="00CC0D42" w:rsidRPr="0029627B">
        <w:t>.</w:t>
      </w:r>
      <w:r w:rsidR="007B64BD">
        <w:t xml:space="preserve"> </w:t>
      </w:r>
      <w:r w:rsidR="00BC6617">
        <w:t>It was t</w:t>
      </w:r>
      <w:r w:rsidR="001E099D">
        <w:t>he</w:t>
      </w:r>
      <w:r w:rsidR="00CC0D42" w:rsidRPr="0029627B">
        <w:t xml:space="preserve"> ‘general prosecutor</w:t>
      </w:r>
      <w:r w:rsidR="00443D87">
        <w:t>’s</w:t>
      </w:r>
      <w:r w:rsidR="00CC0D42" w:rsidRPr="0029627B">
        <w:t xml:space="preserve"> office’</w:t>
      </w:r>
      <w:r w:rsidR="001E099D">
        <w:t xml:space="preserve"> </w:t>
      </w:r>
      <w:r w:rsidR="00BC6617">
        <w:t>that confirmed</w:t>
      </w:r>
      <w:r w:rsidR="001E099D">
        <w:t xml:space="preserve"> </w:t>
      </w:r>
      <w:r w:rsidR="00BC6617">
        <w:t xml:space="preserve">her sons’ whereabouts </w:t>
      </w:r>
      <w:r w:rsidR="007B64BD" w:rsidRPr="0029627B">
        <w:t>on 26 February 2019</w:t>
      </w:r>
      <w:r w:rsidR="00496866">
        <w:t>.</w:t>
      </w:r>
      <w:r w:rsidR="00CC0D42" w:rsidRPr="0029627B">
        <w:t xml:space="preserve"> </w:t>
      </w:r>
    </w:p>
    <w:p w14:paraId="2470809C" w14:textId="16DD27B1" w:rsidR="00D52E6B" w:rsidRDefault="009274D2" w:rsidP="001232C6">
      <w:pPr>
        <w:pStyle w:val="SingleTxtG"/>
      </w:pPr>
      <w:r>
        <w:t>O</w:t>
      </w:r>
      <w:r w:rsidR="006962A1">
        <w:t xml:space="preserve">n 3 March </w:t>
      </w:r>
      <w:r w:rsidR="00CD7FB2">
        <w:t xml:space="preserve">2019, </w:t>
      </w:r>
      <w:r w:rsidR="00496866">
        <w:t xml:space="preserve">reportedly, </w:t>
      </w:r>
      <w:r w:rsidR="00CD7FB2">
        <w:t>a man</w:t>
      </w:r>
      <w:r w:rsidR="006962A1">
        <w:t xml:space="preserve"> </w:t>
      </w:r>
      <w:r w:rsidR="00496866">
        <w:t xml:space="preserve">got into an argument with representatives of the ‘ministry of state security’ of ‘Donetsk people’s republic when </w:t>
      </w:r>
      <w:r w:rsidR="006962A1">
        <w:t xml:space="preserve">crossing </w:t>
      </w:r>
      <w:r w:rsidR="00B81508">
        <w:t xml:space="preserve">the contact line through </w:t>
      </w:r>
      <w:r w:rsidR="006962A1">
        <w:t>Olenivka EECP by car</w:t>
      </w:r>
      <w:r w:rsidR="00496866">
        <w:t xml:space="preserve">. The incident </w:t>
      </w:r>
      <w:r w:rsidR="00D83A43">
        <w:t>began</w:t>
      </w:r>
      <w:r w:rsidR="00602343">
        <w:t xml:space="preserve"> </w:t>
      </w:r>
      <w:r w:rsidR="006962A1">
        <w:t xml:space="preserve">after some </w:t>
      </w:r>
      <w:r w:rsidR="00CE4364">
        <w:t xml:space="preserve">cars </w:t>
      </w:r>
      <w:r w:rsidR="002C4FDB">
        <w:t>were</w:t>
      </w:r>
      <w:r w:rsidR="00CE4364">
        <w:t xml:space="preserve"> allowed to c</w:t>
      </w:r>
      <w:r w:rsidR="006962A1">
        <w:t xml:space="preserve">ut the line. </w:t>
      </w:r>
      <w:r w:rsidR="002C4FDB">
        <w:t xml:space="preserve">The man was taken into a </w:t>
      </w:r>
      <w:r w:rsidR="00AB4AD8">
        <w:t>booth</w:t>
      </w:r>
      <w:r w:rsidR="00443D87">
        <w:t xml:space="preserve"> and was</w:t>
      </w:r>
      <w:r w:rsidR="006962A1">
        <w:t xml:space="preserve"> verbally abused</w:t>
      </w:r>
      <w:r w:rsidR="00251CD9">
        <w:t xml:space="preserve"> there</w:t>
      </w:r>
      <w:r w:rsidR="002C4FDB">
        <w:t>.</w:t>
      </w:r>
      <w:r w:rsidR="006962A1">
        <w:t xml:space="preserve"> </w:t>
      </w:r>
      <w:r w:rsidR="002C4FDB">
        <w:t>W</w:t>
      </w:r>
      <w:r w:rsidR="006962A1">
        <w:t xml:space="preserve">hen </w:t>
      </w:r>
      <w:r w:rsidR="00B81508">
        <w:t>he</w:t>
      </w:r>
      <w:r w:rsidR="006962A1">
        <w:t xml:space="preserve"> </w:t>
      </w:r>
      <w:r w:rsidR="002C4FDB">
        <w:t>resisted</w:t>
      </w:r>
      <w:r w:rsidR="006962A1">
        <w:t xml:space="preserve">, </w:t>
      </w:r>
      <w:r w:rsidR="00251CD9">
        <w:t>he was beaten</w:t>
      </w:r>
      <w:r w:rsidR="006962A1">
        <w:t>.</w:t>
      </w:r>
      <w:r w:rsidR="00CE4364">
        <w:t xml:space="preserve"> </w:t>
      </w:r>
      <w:r w:rsidR="006962A1">
        <w:t>He fainted, and when he regained consciousness, he re</w:t>
      </w:r>
      <w:r w:rsidR="00CE4364">
        <w:t>alise</w:t>
      </w:r>
      <w:r w:rsidR="006962A1">
        <w:t xml:space="preserve">d he had been </w:t>
      </w:r>
      <w:r w:rsidR="00CE4364">
        <w:t>handcuffed</w:t>
      </w:r>
      <w:r w:rsidR="006962A1">
        <w:t xml:space="preserve"> and thrown on the floor. </w:t>
      </w:r>
      <w:r w:rsidR="00D7285E">
        <w:t>H</w:t>
      </w:r>
      <w:r w:rsidR="00443D87">
        <w:t>e was</w:t>
      </w:r>
      <w:r w:rsidR="006962A1">
        <w:t xml:space="preserve"> </w:t>
      </w:r>
      <w:r w:rsidR="00D7285E">
        <w:t xml:space="preserve">then </w:t>
      </w:r>
      <w:r w:rsidR="006962A1">
        <w:t>t</w:t>
      </w:r>
      <w:r w:rsidR="00443D87">
        <w:t>aken</w:t>
      </w:r>
      <w:r w:rsidR="006962A1">
        <w:t xml:space="preserve"> outside and left handcuffed to a </w:t>
      </w:r>
      <w:r w:rsidR="00CD7FB2">
        <w:t xml:space="preserve">fence for an hour. </w:t>
      </w:r>
      <w:r w:rsidR="00680FB9">
        <w:t>They then threatened to kill him</w:t>
      </w:r>
      <w:r w:rsidR="00680FB9" w:rsidRPr="00680FB9">
        <w:t xml:space="preserve">. He was released after signing </w:t>
      </w:r>
      <w:r w:rsidR="00680FB9">
        <w:t xml:space="preserve">documents </w:t>
      </w:r>
      <w:r w:rsidR="00680FB9" w:rsidRPr="00680FB9">
        <w:t>which he was not allowed to read</w:t>
      </w:r>
      <w:r w:rsidR="00680FB9">
        <w:t>.</w:t>
      </w:r>
    </w:p>
    <w:p w14:paraId="0A0E8ACC" w14:textId="7BB124ED" w:rsidR="00C9141B" w:rsidRPr="00513802" w:rsidRDefault="00004C74" w:rsidP="001232C6">
      <w:pPr>
        <w:pStyle w:val="SingleTxtG"/>
      </w:pPr>
      <w:r>
        <w:t>In territory controlled by ‘Luhansk people’s republic</w:t>
      </w:r>
      <w:r w:rsidR="00602343">
        <w:t>’</w:t>
      </w:r>
      <w:r>
        <w:t xml:space="preserve">, </w:t>
      </w:r>
      <w:r w:rsidR="00C514D2" w:rsidRPr="00513802">
        <w:t xml:space="preserve">OHCHR documented </w:t>
      </w:r>
      <w:r>
        <w:t>a case when a</w:t>
      </w:r>
      <w:r w:rsidR="00D52E6B">
        <w:t xml:space="preserve"> civilian </w:t>
      </w:r>
      <w:r w:rsidR="00096569">
        <w:t xml:space="preserve">was detained </w:t>
      </w:r>
      <w:r w:rsidR="00D52E6B">
        <w:t>at an EECP.</w:t>
      </w:r>
      <w:r w:rsidR="00CD7FB2">
        <w:t xml:space="preserve"> </w:t>
      </w:r>
      <w:r w:rsidR="00D52E6B">
        <w:t>O</w:t>
      </w:r>
      <w:r w:rsidR="0068579C" w:rsidRPr="00513802">
        <w:t xml:space="preserve">n 23 February 2019, representatives of </w:t>
      </w:r>
      <w:r w:rsidR="00ED190F">
        <w:t xml:space="preserve">the </w:t>
      </w:r>
      <w:r w:rsidR="0068579C" w:rsidRPr="00513802">
        <w:t>‘</w:t>
      </w:r>
      <w:r>
        <w:t>ministry of state security</w:t>
      </w:r>
      <w:r w:rsidR="00602343">
        <w:t>’ of ‘Luhansk people’s republic’</w:t>
      </w:r>
      <w:r w:rsidR="0068579C" w:rsidRPr="00513802">
        <w:t xml:space="preserve"> detained a man travelling to visit </w:t>
      </w:r>
      <w:r w:rsidR="0068579C" w:rsidRPr="00513802">
        <w:lastRenderedPageBreak/>
        <w:t>his friends in territory controlled by ‘Luhansk people’s republic’ at Stanytsia Luhanska</w:t>
      </w:r>
      <w:r w:rsidR="00B81508">
        <w:t xml:space="preserve"> EECP</w:t>
      </w:r>
      <w:r w:rsidR="0068579C" w:rsidRPr="00513802">
        <w:t>. After a witness informed the victim’s mother about what had happened, she went to the EECP to inquire about her son’s whereabouts.</w:t>
      </w:r>
      <w:r w:rsidR="00DC0EAF">
        <w:t xml:space="preserve"> </w:t>
      </w:r>
      <w:r w:rsidR="00CE4364">
        <w:t>The</w:t>
      </w:r>
      <w:r w:rsidR="0068579C" w:rsidRPr="00513802">
        <w:t xml:space="preserve"> representatives </w:t>
      </w:r>
      <w:r>
        <w:t xml:space="preserve">of the ‘ministry of state security’ </w:t>
      </w:r>
      <w:r w:rsidR="0068579C" w:rsidRPr="00513802">
        <w:t xml:space="preserve">told her that they had no information about him. </w:t>
      </w:r>
      <w:r w:rsidR="00B938E2">
        <w:t>It was only on 19 March 2019 that h</w:t>
      </w:r>
      <w:r w:rsidR="00C346A2">
        <w:t xml:space="preserve">is mother was informed </w:t>
      </w:r>
      <w:r w:rsidR="00C346A2" w:rsidRPr="00513802">
        <w:t xml:space="preserve">that her son had been detained under the </w:t>
      </w:r>
      <w:r w:rsidR="00C346A2">
        <w:t>’</w:t>
      </w:r>
      <w:r w:rsidR="00C346A2" w:rsidRPr="00513802">
        <w:t>preventive arrest</w:t>
      </w:r>
      <w:r w:rsidR="00C346A2">
        <w:t>’</w:t>
      </w:r>
      <w:r w:rsidR="00C346A2" w:rsidRPr="00513802">
        <w:t xml:space="preserve"> procedure</w:t>
      </w:r>
      <w:r w:rsidR="00C346A2" w:rsidRPr="00C346A2">
        <w:t xml:space="preserve"> </w:t>
      </w:r>
      <w:r w:rsidR="00C346A2">
        <w:t>by</w:t>
      </w:r>
      <w:r w:rsidR="00C346A2" w:rsidRPr="00513802">
        <w:t xml:space="preserve"> the ‘</w:t>
      </w:r>
      <w:r w:rsidR="00C346A2">
        <w:t>ministry of state security</w:t>
      </w:r>
      <w:r w:rsidR="00C346A2" w:rsidRPr="00513802">
        <w:t xml:space="preserve">’ </w:t>
      </w:r>
      <w:r w:rsidR="00C346A2">
        <w:t>of ‘Luhansk people’s republic’</w:t>
      </w:r>
      <w:r w:rsidR="00581FCC">
        <w:t>.</w:t>
      </w:r>
      <w:r w:rsidR="00581FCC" w:rsidRPr="0029627B">
        <w:rPr>
          <w:rStyle w:val="FootnoteReference"/>
          <w:sz w:val="20"/>
        </w:rPr>
        <w:footnoteReference w:id="51"/>
      </w:r>
      <w:r w:rsidR="0068579C" w:rsidRPr="005049BB">
        <w:rPr>
          <w:vertAlign w:val="superscript"/>
        </w:rPr>
        <w:t xml:space="preserve"> </w:t>
      </w:r>
      <w:r w:rsidR="00AE5186">
        <w:t>On 26 April 2019, the victim was released from the premises of the ‘</w:t>
      </w:r>
      <w:r>
        <w:t>ministry of state security</w:t>
      </w:r>
      <w:r w:rsidR="00602343">
        <w:t>’ of ‘Luhansk people’s republic’.</w:t>
      </w:r>
    </w:p>
    <w:p w14:paraId="7F0D2FD0" w14:textId="09215531" w:rsidR="00D64B38" w:rsidRPr="002A4CBE" w:rsidRDefault="00622726" w:rsidP="001232C6">
      <w:pPr>
        <w:pStyle w:val="SingleTxtG"/>
      </w:pPr>
      <w:r w:rsidRPr="002A4CBE">
        <w:rPr>
          <w:lang w:val="en-NZ"/>
        </w:rPr>
        <w:t>I</w:t>
      </w:r>
      <w:r w:rsidR="00AB4AD8" w:rsidRPr="002A4CBE">
        <w:rPr>
          <w:lang w:val="en-NZ"/>
        </w:rPr>
        <w:t xml:space="preserve">n </w:t>
      </w:r>
      <w:r w:rsidR="00D0440B" w:rsidRPr="002A4CBE">
        <w:rPr>
          <w:lang w:val="en-NZ"/>
        </w:rPr>
        <w:t>April 2019, OHCHR followed up on a case</w:t>
      </w:r>
      <w:r w:rsidR="00D22B12">
        <w:rPr>
          <w:lang w:val="en-NZ"/>
        </w:rPr>
        <w:t>,</w:t>
      </w:r>
      <w:r w:rsidR="00D0440B" w:rsidRPr="002A4CBE">
        <w:rPr>
          <w:lang w:val="en-NZ"/>
        </w:rPr>
        <w:t xml:space="preserve"> previously documented</w:t>
      </w:r>
      <w:r w:rsidR="00D22B12">
        <w:rPr>
          <w:lang w:val="en-NZ"/>
        </w:rPr>
        <w:t>,</w:t>
      </w:r>
      <w:r w:rsidR="00D0440B" w:rsidRPr="002A4CBE">
        <w:rPr>
          <w:lang w:val="en-NZ"/>
        </w:rPr>
        <w:t xml:space="preserve"> regarding the apprehension of </w:t>
      </w:r>
      <w:r w:rsidR="00CB798F">
        <w:rPr>
          <w:lang w:val="en-NZ"/>
        </w:rPr>
        <w:t xml:space="preserve">two </w:t>
      </w:r>
      <w:r w:rsidR="00D22B12">
        <w:rPr>
          <w:lang w:val="en-NZ"/>
        </w:rPr>
        <w:t>brothers</w:t>
      </w:r>
      <w:r w:rsidR="00D0440B" w:rsidRPr="002A4CBE">
        <w:rPr>
          <w:lang w:val="en-NZ"/>
        </w:rPr>
        <w:t xml:space="preserve"> </w:t>
      </w:r>
      <w:r w:rsidR="00D22B12">
        <w:rPr>
          <w:lang w:val="en-NZ"/>
        </w:rPr>
        <w:t xml:space="preserve">by </w:t>
      </w:r>
      <w:r w:rsidR="00D22B12" w:rsidRPr="002A4CBE">
        <w:rPr>
          <w:lang w:val="en-NZ"/>
        </w:rPr>
        <w:t>unidentified persons in Luhansk region</w:t>
      </w:r>
      <w:r w:rsidR="00D22B12" w:rsidRPr="002A4CBE" w:rsidDel="00CB798F">
        <w:rPr>
          <w:lang w:val="en-NZ"/>
        </w:rPr>
        <w:t xml:space="preserve"> </w:t>
      </w:r>
      <w:r w:rsidR="00CB798F">
        <w:rPr>
          <w:lang w:val="en-NZ"/>
        </w:rPr>
        <w:t xml:space="preserve">on </w:t>
      </w:r>
      <w:r w:rsidR="00AB4AD8" w:rsidRPr="002A4CBE">
        <w:rPr>
          <w:lang w:val="en-NZ"/>
        </w:rPr>
        <w:t xml:space="preserve">17 February 2017. In the beginning of March 2017, </w:t>
      </w:r>
      <w:r w:rsidR="002A4CBE" w:rsidRPr="002A4CBE">
        <w:rPr>
          <w:lang w:val="en-NZ"/>
        </w:rPr>
        <w:t>their</w:t>
      </w:r>
      <w:r w:rsidR="00AB4AD8" w:rsidRPr="002A4CBE">
        <w:rPr>
          <w:lang w:val="en-NZ"/>
        </w:rPr>
        <w:t xml:space="preserve"> mother visited the ‘ministry of state security’ and the ‘ministry of interior’ of the ‘Luhansk people’s republic’ and filed an application to request information on the whereabouts of her sons. Only in April 2017</w:t>
      </w:r>
      <w:r w:rsidRPr="002A4CBE">
        <w:rPr>
          <w:lang w:val="en-NZ"/>
        </w:rPr>
        <w:t xml:space="preserve"> did </w:t>
      </w:r>
      <w:r w:rsidR="00AB4AD8" w:rsidRPr="002A4CBE">
        <w:rPr>
          <w:lang w:val="en-NZ"/>
        </w:rPr>
        <w:t>she receive a phone call from a lawyer, informing her that both of them had been detained by the ‘ministry of state security’ on 17 February 2017 and kept in the premises of the ‘ministry of state security’. In January 2018, both victims were transferred to Luhansk SIZO.</w:t>
      </w:r>
      <w:r w:rsidR="00AB4AD8" w:rsidRPr="002A4CBE">
        <w:rPr>
          <w:rStyle w:val="FootnoteReference"/>
          <w:lang w:val="en-NZ"/>
        </w:rPr>
        <w:footnoteReference w:id="52"/>
      </w:r>
      <w:r w:rsidR="00D71B8E" w:rsidRPr="002A4CBE">
        <w:rPr>
          <w:lang w:val="en-NZ"/>
        </w:rPr>
        <w:t xml:space="preserve"> </w:t>
      </w:r>
    </w:p>
    <w:p w14:paraId="73564E84" w14:textId="77777777" w:rsidR="00575661" w:rsidRPr="00AB4AD8" w:rsidRDefault="00575661" w:rsidP="002A4CBE">
      <w:pPr>
        <w:pStyle w:val="H23G"/>
      </w:pPr>
      <w:bookmarkStart w:id="213" w:name="_Toc11165974"/>
      <w:r w:rsidRPr="00AB4AD8">
        <w:t xml:space="preserve">Situation of </w:t>
      </w:r>
      <w:r w:rsidRPr="00DC0D28">
        <w:t>pre</w:t>
      </w:r>
      <w:r w:rsidRPr="00AB4AD8">
        <w:t>-conflict prisoners</w:t>
      </w:r>
      <w:bookmarkEnd w:id="213"/>
      <w:r w:rsidRPr="00AB4AD8">
        <w:t xml:space="preserve"> </w:t>
      </w:r>
    </w:p>
    <w:p w14:paraId="5CC0E954" w14:textId="0707A947" w:rsidR="00575661" w:rsidRPr="00513802" w:rsidRDefault="007425D0" w:rsidP="001232C6">
      <w:pPr>
        <w:pStyle w:val="SingleTxtG"/>
      </w:pPr>
      <w:r w:rsidRPr="00513802">
        <w:t>OHCHR welcome</w:t>
      </w:r>
      <w:r w:rsidR="00222FB1">
        <w:t>s</w:t>
      </w:r>
      <w:r w:rsidR="00575661" w:rsidRPr="00513802">
        <w:t xml:space="preserve"> the transfer of </w:t>
      </w:r>
      <w:r w:rsidR="0014337D" w:rsidRPr="00597DC6">
        <w:t>120</w:t>
      </w:r>
      <w:r w:rsidR="00575661" w:rsidRPr="00513802">
        <w:t xml:space="preserve"> pre-conflict prisoners (</w:t>
      </w:r>
      <w:r w:rsidR="005676A1" w:rsidRPr="00597DC6">
        <w:t>11</w:t>
      </w:r>
      <w:r w:rsidR="00D304B0" w:rsidRPr="00597DC6">
        <w:t>5</w:t>
      </w:r>
      <w:r w:rsidR="00575661" w:rsidRPr="00513802">
        <w:t xml:space="preserve"> men and </w:t>
      </w:r>
      <w:r w:rsidR="00D304B0">
        <w:t>five</w:t>
      </w:r>
      <w:r w:rsidR="00575661" w:rsidRPr="00513802">
        <w:t xml:space="preserve"> wom</w:t>
      </w:r>
      <w:r w:rsidR="00D304B0">
        <w:t>e</w:t>
      </w:r>
      <w:r w:rsidR="00575661" w:rsidRPr="00513802">
        <w:t xml:space="preserve">n) that took place on 20 March </w:t>
      </w:r>
      <w:r w:rsidR="0014337D">
        <w:t>and 22 April</w:t>
      </w:r>
      <w:r w:rsidR="00575661" w:rsidRPr="00513802">
        <w:t xml:space="preserve"> 2019 from places of detention in territory controlled by ‘Luhansk people’s republic’ to </w:t>
      </w:r>
      <w:r w:rsidR="00801192">
        <w:t>G</w:t>
      </w:r>
      <w:r w:rsidR="00575661" w:rsidRPr="00513802">
        <w:t xml:space="preserve">overnment-controlled territory. </w:t>
      </w:r>
      <w:r w:rsidR="0005372D" w:rsidRPr="00513802">
        <w:t>The p</w:t>
      </w:r>
      <w:r w:rsidR="00575661" w:rsidRPr="00513802">
        <w:t xml:space="preserve">re-conflict prisoners were transferred from </w:t>
      </w:r>
      <w:r w:rsidR="005676A1">
        <w:t>eight</w:t>
      </w:r>
      <w:r w:rsidR="005676A1" w:rsidRPr="00513802">
        <w:t xml:space="preserve"> </w:t>
      </w:r>
      <w:r w:rsidR="00342261" w:rsidRPr="00513802">
        <w:t>penal</w:t>
      </w:r>
      <w:r w:rsidR="0086043D" w:rsidRPr="00513802">
        <w:t xml:space="preserve"> colonies and </w:t>
      </w:r>
      <w:r w:rsidR="00124CE7" w:rsidRPr="00513802">
        <w:t xml:space="preserve">a </w:t>
      </w:r>
      <w:r w:rsidR="0086043D" w:rsidRPr="00513802">
        <w:t>pre-trial detention facility in Luhansk</w:t>
      </w:r>
      <w:r w:rsidR="00575661" w:rsidRPr="00513802">
        <w:t xml:space="preserve">. </w:t>
      </w:r>
      <w:r w:rsidR="00222FB1">
        <w:t xml:space="preserve">The </w:t>
      </w:r>
      <w:r w:rsidR="00FD4AF4">
        <w:t>t</w:t>
      </w:r>
      <w:r w:rsidR="00314FA7" w:rsidRPr="00513802">
        <w:t xml:space="preserve">ransferred prisoners </w:t>
      </w:r>
      <w:r w:rsidR="00FD4AF4">
        <w:t xml:space="preserve">said </w:t>
      </w:r>
      <w:r w:rsidR="00314FA7">
        <w:t>that</w:t>
      </w:r>
      <w:r w:rsidR="00314FA7" w:rsidRPr="00513802">
        <w:t xml:space="preserve"> necessary medicine was not available or very limited</w:t>
      </w:r>
      <w:r w:rsidR="00E05C01">
        <w:t xml:space="preserve"> in the penal colonies</w:t>
      </w:r>
      <w:r w:rsidR="00314FA7" w:rsidRPr="00513802">
        <w:t>.</w:t>
      </w:r>
      <w:r w:rsidR="00A41A5A" w:rsidRPr="00597DC6">
        <w:rPr>
          <w:vertAlign w:val="superscript"/>
        </w:rPr>
        <w:footnoteReference w:id="53"/>
      </w:r>
      <w:r w:rsidR="00314FA7" w:rsidRPr="00597DC6">
        <w:rPr>
          <w:vertAlign w:val="superscript"/>
        </w:rPr>
        <w:t xml:space="preserve"> </w:t>
      </w:r>
      <w:r w:rsidR="00314FA7" w:rsidRPr="00513802">
        <w:t>The majority of prisoners did not complain due to the absence of an adequate complaint mechanism</w:t>
      </w:r>
      <w:r w:rsidR="00314FA7" w:rsidRPr="00DC0EAF">
        <w:rPr>
          <w:vertAlign w:val="superscript"/>
        </w:rPr>
        <w:footnoteReference w:id="54"/>
      </w:r>
      <w:r w:rsidR="00314FA7" w:rsidRPr="00597DC6">
        <w:rPr>
          <w:vertAlign w:val="superscript"/>
        </w:rPr>
        <w:t xml:space="preserve"> </w:t>
      </w:r>
      <w:r w:rsidR="00314FA7" w:rsidRPr="00513802">
        <w:t xml:space="preserve">and fear of reprisals, such as </w:t>
      </w:r>
      <w:r w:rsidR="0055111F">
        <w:t>placement</w:t>
      </w:r>
      <w:r w:rsidR="00314FA7" w:rsidRPr="00513802">
        <w:t xml:space="preserve"> into the isolation cell.</w:t>
      </w:r>
      <w:r w:rsidR="00314FA7" w:rsidRPr="00DC0EAF">
        <w:rPr>
          <w:vertAlign w:val="superscript"/>
        </w:rPr>
        <w:footnoteReference w:id="55"/>
      </w:r>
      <w:r w:rsidR="00314FA7" w:rsidRPr="00597DC6">
        <w:rPr>
          <w:vertAlign w:val="superscript"/>
        </w:rPr>
        <w:t xml:space="preserve"> </w:t>
      </w:r>
      <w:r w:rsidR="00FD4AF4">
        <w:t xml:space="preserve">Transferred prisoners </w:t>
      </w:r>
      <w:r w:rsidR="004073CB">
        <w:t xml:space="preserve">interviewed by OHCHR </w:t>
      </w:r>
      <w:r w:rsidR="00FD4AF4">
        <w:t>said that administration forced them to work and in case of refusal,</w:t>
      </w:r>
      <w:r w:rsidR="00421117">
        <w:t xml:space="preserve"> prisoners</w:t>
      </w:r>
      <w:r w:rsidR="00FD4AF4">
        <w:t xml:space="preserve"> were put into the isolation cell</w:t>
      </w:r>
      <w:r w:rsidR="00D901B2">
        <w:t>, particularly in</w:t>
      </w:r>
      <w:r w:rsidR="0055111F">
        <w:t xml:space="preserve"> penal colonies in</w:t>
      </w:r>
      <w:r w:rsidR="00D901B2">
        <w:t xml:space="preserve"> Sukhodilsk</w:t>
      </w:r>
      <w:r w:rsidR="0055111F">
        <w:t>, Sverdlovsk and</w:t>
      </w:r>
      <w:r w:rsidR="00D901B2">
        <w:t xml:space="preserve"> </w:t>
      </w:r>
      <w:r w:rsidR="00303441">
        <w:t>Khrustal</w:t>
      </w:r>
      <w:r w:rsidR="0055111F">
        <w:t xml:space="preserve">nyi (formerly </w:t>
      </w:r>
      <w:r w:rsidR="00D901B2">
        <w:t>Krasnyi Luch</w:t>
      </w:r>
      <w:r w:rsidR="0055111F">
        <w:t>)</w:t>
      </w:r>
      <w:r w:rsidR="003734B1">
        <w:t xml:space="preserve">. They also complained about the </w:t>
      </w:r>
      <w:r w:rsidR="003734B1" w:rsidRPr="00FD6108">
        <w:t>absence of fair remuneration</w:t>
      </w:r>
      <w:r w:rsidR="003734B1">
        <w:t xml:space="preserve">, </w:t>
      </w:r>
      <w:r w:rsidR="003734B1" w:rsidRPr="00FD6108">
        <w:t xml:space="preserve">safe working environment, </w:t>
      </w:r>
      <w:r w:rsidR="003734B1">
        <w:t xml:space="preserve">and </w:t>
      </w:r>
      <w:r w:rsidR="003734B1" w:rsidRPr="00FD6108">
        <w:t>no days</w:t>
      </w:r>
      <w:r w:rsidR="003734B1">
        <w:t xml:space="preserve"> off</w:t>
      </w:r>
      <w:r w:rsidR="003734B1" w:rsidRPr="00FD6108">
        <w:t>.</w:t>
      </w:r>
      <w:r w:rsidR="00FD4AF4">
        <w:t xml:space="preserve"> </w:t>
      </w:r>
      <w:r w:rsidR="00280AB5">
        <w:t>A m</w:t>
      </w:r>
      <w:r w:rsidR="003734B1">
        <w:t xml:space="preserve">ajority of prisoners said that they worked for free or for tea and cigarettes. </w:t>
      </w:r>
      <w:r w:rsidR="00FD4AF4">
        <w:t xml:space="preserve">Two prisoners </w:t>
      </w:r>
      <w:r w:rsidR="00421117">
        <w:t>said that they were beaten</w:t>
      </w:r>
      <w:r w:rsidR="00281B8B">
        <w:t xml:space="preserve"> by </w:t>
      </w:r>
      <w:r w:rsidR="00C01D0A">
        <w:t>colony</w:t>
      </w:r>
      <w:r w:rsidR="00281B8B">
        <w:t xml:space="preserve"> staff</w:t>
      </w:r>
      <w:r w:rsidR="00421117">
        <w:t xml:space="preserve"> </w:t>
      </w:r>
      <w:r w:rsidR="00F24273">
        <w:t xml:space="preserve">for speaking in </w:t>
      </w:r>
      <w:r w:rsidR="00421117">
        <w:t>Ukrainian</w:t>
      </w:r>
      <w:r w:rsidR="00FD4AF4">
        <w:t>.</w:t>
      </w:r>
      <w:r w:rsidR="00421117" w:rsidRPr="00597DC6">
        <w:rPr>
          <w:vertAlign w:val="superscript"/>
        </w:rPr>
        <w:footnoteReference w:id="56"/>
      </w:r>
      <w:r w:rsidR="00FD4AF4" w:rsidRPr="00597DC6">
        <w:rPr>
          <w:vertAlign w:val="superscript"/>
        </w:rPr>
        <w:t xml:space="preserve"> </w:t>
      </w:r>
    </w:p>
    <w:p w14:paraId="6253AFFD" w14:textId="015354C0" w:rsidR="00540C7B" w:rsidRPr="00513802" w:rsidRDefault="00540C7B" w:rsidP="00DC0D28">
      <w:pPr>
        <w:pStyle w:val="H23G"/>
        <w:rPr>
          <w:lang w:val="en-NZ"/>
        </w:rPr>
      </w:pPr>
      <w:bookmarkStart w:id="214" w:name="_Toc11165975"/>
      <w:r w:rsidRPr="00513802">
        <w:rPr>
          <w:lang w:val="en-NZ"/>
        </w:rPr>
        <w:t xml:space="preserve">Missing </w:t>
      </w:r>
      <w:r w:rsidRPr="00DC0D28">
        <w:t>persons</w:t>
      </w:r>
      <w:bookmarkEnd w:id="214"/>
    </w:p>
    <w:p w14:paraId="4E8CD7F4" w14:textId="5280394B" w:rsidR="00616F86" w:rsidRPr="00513802" w:rsidRDefault="00616F86" w:rsidP="001232C6">
      <w:pPr>
        <w:pStyle w:val="SingleTxtG"/>
      </w:pPr>
      <w:r w:rsidRPr="00513802">
        <w:t xml:space="preserve">OHCHR welcomes the establishment of the </w:t>
      </w:r>
      <w:r w:rsidR="000A7079">
        <w:t>C</w:t>
      </w:r>
      <w:r w:rsidR="00183E34" w:rsidRPr="00616F86">
        <w:t>ommission on Persons Missing due to Special Circumstances</w:t>
      </w:r>
      <w:r w:rsidR="00183E34">
        <w:t xml:space="preserve"> </w:t>
      </w:r>
      <w:r w:rsidRPr="00513802">
        <w:t xml:space="preserve">that will coordinate the efforts of the Government </w:t>
      </w:r>
      <w:r w:rsidR="00423F52" w:rsidRPr="00513802">
        <w:t>to clarify</w:t>
      </w:r>
      <w:r w:rsidRPr="00513802">
        <w:t xml:space="preserve"> the fate and whereabouts of individuals that are unaccounted for as a result of </w:t>
      </w:r>
      <w:r w:rsidR="00423F52" w:rsidRPr="00513802">
        <w:t xml:space="preserve">the </w:t>
      </w:r>
      <w:r w:rsidRPr="00513802">
        <w:t>armed conflict.</w:t>
      </w:r>
      <w:r w:rsidRPr="00597DC6">
        <w:rPr>
          <w:vertAlign w:val="superscript"/>
        </w:rPr>
        <w:footnoteReference w:id="57"/>
      </w:r>
      <w:r w:rsidRPr="00597DC6">
        <w:rPr>
          <w:vertAlign w:val="superscript"/>
        </w:rPr>
        <w:t xml:space="preserve"> </w:t>
      </w:r>
      <w:r w:rsidRPr="00513802">
        <w:t>OHCHR stresses the importance of providing sufficien</w:t>
      </w:r>
      <w:r w:rsidR="003C506E" w:rsidRPr="00513802">
        <w:t xml:space="preserve">t resources for </w:t>
      </w:r>
      <w:r w:rsidR="00423F52" w:rsidRPr="00513802">
        <w:t xml:space="preserve">the </w:t>
      </w:r>
      <w:r w:rsidR="003C506E" w:rsidRPr="00513802">
        <w:t>effective realis</w:t>
      </w:r>
      <w:r w:rsidRPr="00513802">
        <w:t>ation of the Commission’s mandate.</w:t>
      </w:r>
    </w:p>
    <w:p w14:paraId="489503E1" w14:textId="6E8F5D58" w:rsidR="00256B96" w:rsidRPr="00513802" w:rsidRDefault="00256B96" w:rsidP="001A0896">
      <w:pPr>
        <w:pStyle w:val="H1G"/>
        <w:rPr>
          <w:lang w:val="en-NZ"/>
        </w:rPr>
      </w:pPr>
      <w:r w:rsidRPr="00513802">
        <w:rPr>
          <w:lang w:val="en-NZ"/>
        </w:rPr>
        <w:lastRenderedPageBreak/>
        <w:tab/>
      </w:r>
      <w:bookmarkStart w:id="215" w:name="_Toc11165976"/>
      <w:bookmarkEnd w:id="199"/>
      <w:bookmarkEnd w:id="200"/>
      <w:bookmarkEnd w:id="201"/>
      <w:bookmarkEnd w:id="202"/>
      <w:bookmarkEnd w:id="203"/>
      <w:bookmarkEnd w:id="204"/>
      <w:bookmarkEnd w:id="205"/>
      <w:bookmarkEnd w:id="206"/>
      <w:bookmarkEnd w:id="207"/>
      <w:bookmarkEnd w:id="208"/>
      <w:bookmarkEnd w:id="209"/>
      <w:bookmarkEnd w:id="210"/>
      <w:r w:rsidR="00A0118A" w:rsidRPr="001A0896">
        <w:t>Accountability</w:t>
      </w:r>
      <w:r w:rsidR="00A0118A" w:rsidRPr="00513802">
        <w:rPr>
          <w:lang w:val="en-NZ"/>
        </w:rPr>
        <w:t xml:space="preserve"> and administration of justice</w:t>
      </w:r>
      <w:bookmarkEnd w:id="215"/>
    </w:p>
    <w:p w14:paraId="24312BC4" w14:textId="029C4A75" w:rsidR="00256B96" w:rsidRPr="00513802" w:rsidRDefault="00256B96" w:rsidP="00DC0D28">
      <w:pPr>
        <w:pStyle w:val="H23G"/>
        <w:rPr>
          <w:lang w:val="en-NZ"/>
        </w:rPr>
      </w:pPr>
      <w:bookmarkStart w:id="216" w:name="_Toc251660175"/>
      <w:bookmarkStart w:id="217" w:name="_Toc251667787"/>
      <w:bookmarkEnd w:id="211"/>
      <w:bookmarkEnd w:id="212"/>
      <w:r w:rsidRPr="00513802">
        <w:rPr>
          <w:lang w:val="en-NZ"/>
        </w:rPr>
        <w:tab/>
      </w:r>
      <w:bookmarkStart w:id="218" w:name="_Toc11165977"/>
      <w:r w:rsidR="00A0118A" w:rsidRPr="00DC0D28">
        <w:t>Administration</w:t>
      </w:r>
      <w:r w:rsidR="00A0118A" w:rsidRPr="00513802">
        <w:rPr>
          <w:lang w:val="en-NZ"/>
        </w:rPr>
        <w:t xml:space="preserve"> of justice</w:t>
      </w:r>
      <w:bookmarkEnd w:id="218"/>
    </w:p>
    <w:p w14:paraId="7FCCED4D" w14:textId="62D03B05" w:rsidR="00951EA0" w:rsidRPr="00513802" w:rsidRDefault="002610B1" w:rsidP="001232C6">
      <w:pPr>
        <w:pStyle w:val="SingleTxtG"/>
      </w:pPr>
      <w:bookmarkStart w:id="219" w:name="_Toc521518088"/>
      <w:bookmarkStart w:id="220" w:name="_Toc523729924"/>
      <w:bookmarkStart w:id="221" w:name="_Toc523733548"/>
      <w:bookmarkStart w:id="222" w:name="_Toc523734208"/>
      <w:bookmarkStart w:id="223" w:name="_Toc523737837"/>
      <w:bookmarkStart w:id="224" w:name="_Toc523737868"/>
      <w:bookmarkStart w:id="225" w:name="_Toc525031934"/>
      <w:bookmarkStart w:id="226" w:name="_Toc525034454"/>
      <w:bookmarkStart w:id="227" w:name="_Toc525035797"/>
      <w:bookmarkEnd w:id="216"/>
      <w:bookmarkEnd w:id="217"/>
      <w:r w:rsidRPr="00513802">
        <w:t xml:space="preserve">OHCHR documented </w:t>
      </w:r>
      <w:r w:rsidR="008C5F28">
        <w:t>95</w:t>
      </w:r>
      <w:r w:rsidR="00266C9D" w:rsidRPr="00513802">
        <w:t xml:space="preserve"> </w:t>
      </w:r>
      <w:r w:rsidRPr="00513802">
        <w:t>violations of the right to a fair trial in conflict-related criminal case</w:t>
      </w:r>
      <w:r w:rsidRPr="00633980">
        <w:t>s.</w:t>
      </w:r>
      <w:r w:rsidR="00412E59" w:rsidRPr="00116EAB">
        <w:rPr>
          <w:vertAlign w:val="superscript"/>
        </w:rPr>
        <w:footnoteReference w:id="58"/>
      </w:r>
      <w:r w:rsidRPr="00513802">
        <w:t xml:space="preserve"> In particular, p</w:t>
      </w:r>
      <w:r w:rsidR="00951EA0" w:rsidRPr="00513802">
        <w:t xml:space="preserve">rolonged trials and the use of detention pending trial as a method </w:t>
      </w:r>
      <w:r w:rsidR="00F24273">
        <w:t xml:space="preserve">to </w:t>
      </w:r>
      <w:r w:rsidR="00951EA0" w:rsidRPr="00513802">
        <w:t>pressur</w:t>
      </w:r>
      <w:r w:rsidR="00F24273">
        <w:t xml:space="preserve">e </w:t>
      </w:r>
      <w:r w:rsidR="00951EA0" w:rsidRPr="00513802">
        <w:t>defendants</w:t>
      </w:r>
      <w:r w:rsidR="00CF3819" w:rsidRPr="00513802">
        <w:t xml:space="preserve"> continued</w:t>
      </w:r>
      <w:r w:rsidR="00951EA0" w:rsidRPr="00513802">
        <w:t xml:space="preserve">. </w:t>
      </w:r>
    </w:p>
    <w:p w14:paraId="73B89396" w14:textId="1C6B75A0" w:rsidR="00951EA0" w:rsidRDefault="00951EA0" w:rsidP="001232C6">
      <w:pPr>
        <w:pStyle w:val="SingleTxtG"/>
      </w:pPr>
      <w:r w:rsidRPr="00513802">
        <w:t>During the reporting period, Ukrainian courts</w:t>
      </w:r>
      <w:r w:rsidR="00A4105E">
        <w:t xml:space="preserve"> of first instance</w:t>
      </w:r>
      <w:r w:rsidRPr="00597DC6">
        <w:rPr>
          <w:vertAlign w:val="superscript"/>
        </w:rPr>
        <w:footnoteReference w:id="59"/>
      </w:r>
      <w:r w:rsidRPr="00513802">
        <w:t xml:space="preserve"> passed </w:t>
      </w:r>
      <w:r w:rsidR="00990F28">
        <w:t>70</w:t>
      </w:r>
      <w:r w:rsidR="00990F28" w:rsidRPr="00597DC6">
        <w:t xml:space="preserve"> </w:t>
      </w:r>
      <w:r w:rsidRPr="00597DC6">
        <w:t>verdicts</w:t>
      </w:r>
      <w:r w:rsidRPr="00597DC6">
        <w:rPr>
          <w:vertAlign w:val="superscript"/>
        </w:rPr>
        <w:footnoteReference w:id="60"/>
      </w:r>
      <w:r w:rsidRPr="00513802">
        <w:t xml:space="preserve"> in conflict-related criminal cases. </w:t>
      </w:r>
      <w:r w:rsidR="00AB13E8" w:rsidRPr="00513802">
        <w:t>T</w:t>
      </w:r>
      <w:r w:rsidRPr="00513802">
        <w:t>he court acquitted the defendant from criminal responsibility under articles 110</w:t>
      </w:r>
      <w:r w:rsidRPr="00597DC6">
        <w:t xml:space="preserve"> </w:t>
      </w:r>
      <w:r w:rsidRPr="00513802">
        <w:t>and 258-3 of the Criminal Code of Ukraine</w:t>
      </w:r>
      <w:r w:rsidR="00973414" w:rsidRPr="00597DC6">
        <w:rPr>
          <w:vertAlign w:val="superscript"/>
        </w:rPr>
        <w:footnoteReference w:id="61"/>
      </w:r>
      <w:r w:rsidR="00AB13E8" w:rsidRPr="00513802">
        <w:t xml:space="preserve"> in only </w:t>
      </w:r>
      <w:r w:rsidR="00AB13E8" w:rsidRPr="00597DC6">
        <w:t>one</w:t>
      </w:r>
      <w:r w:rsidR="00AB13E8" w:rsidRPr="00597DC6">
        <w:rPr>
          <w:vertAlign w:val="superscript"/>
        </w:rPr>
        <w:footnoteReference w:id="62"/>
      </w:r>
      <w:r w:rsidR="00AB13E8" w:rsidRPr="00513802">
        <w:t xml:space="preserve"> of these cases</w:t>
      </w:r>
      <w:r w:rsidRPr="00513802">
        <w:t xml:space="preserve">, after the defendant had </w:t>
      </w:r>
      <w:r w:rsidR="00FF5DC9" w:rsidRPr="00513802">
        <w:t xml:space="preserve">already </w:t>
      </w:r>
      <w:r w:rsidRPr="00513802">
        <w:t>spent one and a half years in detention.</w:t>
      </w:r>
      <w:r w:rsidR="00A4105E">
        <w:t xml:space="preserve"> In the remaining </w:t>
      </w:r>
      <w:r w:rsidR="009471DF">
        <w:t xml:space="preserve">69 </w:t>
      </w:r>
      <w:r w:rsidR="00A4105E" w:rsidRPr="00597DC6">
        <w:t>cases</w:t>
      </w:r>
      <w:r w:rsidR="00A4105E" w:rsidRPr="00597DC6" w:rsidDel="00575281">
        <w:t>,</w:t>
      </w:r>
      <w:r w:rsidR="00A4105E" w:rsidRPr="00597DC6">
        <w:t xml:space="preserve"> all the defendants were found </w:t>
      </w:r>
      <w:r w:rsidR="00A4105E" w:rsidRPr="00F57E48">
        <w:t>guilty</w:t>
      </w:r>
      <w:r w:rsidR="00A4105E" w:rsidRPr="00597DC6">
        <w:t xml:space="preserve">, </w:t>
      </w:r>
      <w:r w:rsidR="00302A50" w:rsidRPr="00597DC6">
        <w:t xml:space="preserve">including </w:t>
      </w:r>
      <w:r w:rsidR="009471DF">
        <w:t>10</w:t>
      </w:r>
      <w:r w:rsidR="009471DF" w:rsidRPr="00513802">
        <w:t xml:space="preserve"> </w:t>
      </w:r>
      <w:r w:rsidRPr="00597DC6">
        <w:t>in absentia</w:t>
      </w:r>
      <w:r w:rsidRPr="00513802">
        <w:t xml:space="preserve">. In </w:t>
      </w:r>
      <w:r w:rsidR="007637B4">
        <w:t>52</w:t>
      </w:r>
      <w:r w:rsidR="007637B4" w:rsidRPr="00513802">
        <w:t xml:space="preserve"> </w:t>
      </w:r>
      <w:r w:rsidRPr="00513802">
        <w:t xml:space="preserve">of the </w:t>
      </w:r>
      <w:r w:rsidR="000E2977">
        <w:t>5</w:t>
      </w:r>
      <w:r w:rsidR="007637B4">
        <w:t>9</w:t>
      </w:r>
      <w:r w:rsidR="00E514F9" w:rsidRPr="00597DC6">
        <w:t xml:space="preserve"> </w:t>
      </w:r>
      <w:r w:rsidR="00E514F9" w:rsidRPr="00513802">
        <w:t>guilty</w:t>
      </w:r>
      <w:r w:rsidRPr="00513802">
        <w:t xml:space="preserve"> verdicts </w:t>
      </w:r>
      <w:r w:rsidR="006202EF" w:rsidRPr="00513802">
        <w:t xml:space="preserve">judged under </w:t>
      </w:r>
      <w:r w:rsidRPr="00513802">
        <w:t>regular criminal proceedings, the defendant pleaded guilty or entered into plea bargain agreements</w:t>
      </w:r>
      <w:r w:rsidR="000E2977">
        <w:t>.</w:t>
      </w:r>
    </w:p>
    <w:p w14:paraId="432CF120" w14:textId="56B41B1C" w:rsidR="009D679A" w:rsidRDefault="009D679A" w:rsidP="00BE6417">
      <w:pPr>
        <w:pStyle w:val="SingleTxtG"/>
        <w:numPr>
          <w:ilvl w:val="0"/>
          <w:numId w:val="0"/>
        </w:numPr>
        <w:tabs>
          <w:tab w:val="left" w:pos="8505"/>
        </w:tabs>
        <w:ind w:left="1134"/>
      </w:pPr>
      <w:r w:rsidRPr="009D679A">
        <w:rPr>
          <w:noProof/>
          <w:lang w:val="uk-UA" w:eastAsia="uk-UA"/>
        </w:rPr>
        <w:drawing>
          <wp:anchor distT="0" distB="0" distL="114300" distR="114300" simplePos="0" relativeHeight="251676160" behindDoc="0" locked="0" layoutInCell="1" allowOverlap="1" wp14:anchorId="0BA97C22" wp14:editId="2BF59692">
            <wp:simplePos x="0" y="0"/>
            <wp:positionH relativeFrom="column">
              <wp:posOffset>661035</wp:posOffset>
            </wp:positionH>
            <wp:positionV relativeFrom="paragraph">
              <wp:posOffset>151765</wp:posOffset>
            </wp:positionV>
            <wp:extent cx="4784725" cy="2247900"/>
            <wp:effectExtent l="0" t="0" r="0" b="0"/>
            <wp:wrapSquare wrapText="bothSides"/>
            <wp:docPr id="9" name="Picture 9" descr="Z:\Shared Documents\00. Quarterly Reports\26th HRMMU Report\Infographics\Jusice\Final_uk_5 EN RU U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Shared Documents\00. Quarterly Reports\26th HRMMU Report\Infographics\Jusice\Final_uk_5 EN RU UA-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84725" cy="2247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A4BAE6" w14:textId="0715F926" w:rsidR="00951EA0" w:rsidRPr="00513802" w:rsidRDefault="00951EA0" w:rsidP="001232C6">
      <w:pPr>
        <w:pStyle w:val="SingleTxtG"/>
      </w:pPr>
      <w:r w:rsidRPr="00513802">
        <w:t>OHCHR notes with concern the lack of</w:t>
      </w:r>
      <w:r w:rsidR="002610B1" w:rsidRPr="00513802">
        <w:t xml:space="preserve"> a</w:t>
      </w:r>
      <w:r w:rsidRPr="00513802">
        <w:t xml:space="preserve"> uniform approach to </w:t>
      </w:r>
      <w:r w:rsidR="00302A50">
        <w:t>the</w:t>
      </w:r>
      <w:r w:rsidRPr="00513802">
        <w:t xml:space="preserve"> qualification of </w:t>
      </w:r>
      <w:r w:rsidR="00A3406B">
        <w:t xml:space="preserve">conflict-related </w:t>
      </w:r>
      <w:r w:rsidRPr="00513802">
        <w:t>crimes.</w:t>
      </w:r>
      <w:r w:rsidRPr="00597DC6">
        <w:rPr>
          <w:vertAlign w:val="superscript"/>
        </w:rPr>
        <w:footnoteReference w:id="63"/>
      </w:r>
      <w:r w:rsidRPr="00513802">
        <w:t xml:space="preserve"> </w:t>
      </w:r>
      <w:r w:rsidR="009F7509">
        <w:t xml:space="preserve">Prosecutors take advantage of </w:t>
      </w:r>
      <w:r w:rsidR="004F6712">
        <w:t>this practice</w:t>
      </w:r>
      <w:r w:rsidR="009F7509">
        <w:t xml:space="preserve"> </w:t>
      </w:r>
      <w:r w:rsidR="004F6712">
        <w:t>to draw</w:t>
      </w:r>
      <w:r w:rsidR="009F7509">
        <w:t xml:space="preserve"> defendants into pleading guilty by charging them under articles carrying lower sentences if they cooperate</w:t>
      </w:r>
      <w:r w:rsidR="006B2670">
        <w:t>.</w:t>
      </w:r>
      <w:r w:rsidR="00A3406B" w:rsidRPr="00597DC6">
        <w:rPr>
          <w:vertAlign w:val="superscript"/>
        </w:rPr>
        <w:footnoteReference w:id="64"/>
      </w:r>
      <w:r w:rsidRPr="00513802">
        <w:t xml:space="preserve"> </w:t>
      </w:r>
      <w:r w:rsidR="00A3406B">
        <w:t>Another related issue</w:t>
      </w:r>
      <w:r w:rsidRPr="00513802" w:rsidDel="00A3406B">
        <w:t xml:space="preserve"> </w:t>
      </w:r>
      <w:r w:rsidR="00A3406B">
        <w:t xml:space="preserve">is </w:t>
      </w:r>
      <w:r w:rsidRPr="00513802">
        <w:t>the loos</w:t>
      </w:r>
      <w:r w:rsidR="003754D3" w:rsidRPr="00513802">
        <w:t>e interpretation of article 258 (</w:t>
      </w:r>
      <w:r w:rsidRPr="00513802">
        <w:t>3</w:t>
      </w:r>
      <w:r w:rsidR="003754D3" w:rsidRPr="00513802">
        <w:t>) and 258 (</w:t>
      </w:r>
      <w:r w:rsidRPr="00513802">
        <w:t>5</w:t>
      </w:r>
      <w:r w:rsidR="003754D3" w:rsidRPr="00513802">
        <w:t>)</w:t>
      </w:r>
      <w:r w:rsidRPr="00513802">
        <w:t xml:space="preserve"> of the Criminal Code of Ukraine, which criminalizes, </w:t>
      </w:r>
      <w:r w:rsidRPr="00597DC6">
        <w:t>inter alia</w:t>
      </w:r>
      <w:r w:rsidRPr="00513802">
        <w:t xml:space="preserve">, “any support to the creation or activity of a terrorist group or terrorist </w:t>
      </w:r>
      <w:r w:rsidR="001703F8">
        <w:t>organisation</w:t>
      </w:r>
      <w:r w:rsidRPr="00513802">
        <w:t>” and “financing terrorism”. OHCHR</w:t>
      </w:r>
      <w:r w:rsidRPr="00513802" w:rsidDel="001A49AD">
        <w:t xml:space="preserve"> </w:t>
      </w:r>
      <w:r w:rsidR="001A49AD">
        <w:t>monitored</w:t>
      </w:r>
      <w:r w:rsidR="001A49AD" w:rsidRPr="00513802">
        <w:t xml:space="preserve"> </w:t>
      </w:r>
      <w:r w:rsidRPr="00513802">
        <w:t xml:space="preserve">four </w:t>
      </w:r>
      <w:r w:rsidR="006B2670">
        <w:t xml:space="preserve">such </w:t>
      </w:r>
      <w:r w:rsidRPr="00513802">
        <w:t>cases</w:t>
      </w:r>
      <w:r w:rsidR="00422843">
        <w:t xml:space="preserve"> </w:t>
      </w:r>
      <w:r w:rsidR="001A49AD">
        <w:t>and</w:t>
      </w:r>
      <w:r w:rsidR="00422843" w:rsidRPr="00422843">
        <w:t xml:space="preserve"> found reasonable grounds to believe that a broad interpretation of support to the activity of the armed group was adopted specifically to allow for the detention in custody of the defendant(s) under article</w:t>
      </w:r>
      <w:r w:rsidRPr="00513802">
        <w:t xml:space="preserve"> 176.5 of the Criminal Procedure Code of Ukraine. </w:t>
      </w:r>
    </w:p>
    <w:p w14:paraId="7075D5BF" w14:textId="53B3318A" w:rsidR="00AB7076" w:rsidRDefault="00951EA0" w:rsidP="001232C6">
      <w:pPr>
        <w:pStyle w:val="SingleTxtG"/>
      </w:pPr>
      <w:r w:rsidRPr="00513802">
        <w:t xml:space="preserve">During the reporting period, OHCHR continued </w:t>
      </w:r>
      <w:r w:rsidR="00E514F9" w:rsidRPr="00513802">
        <w:t xml:space="preserve">to </w:t>
      </w:r>
      <w:r w:rsidRPr="00513802">
        <w:t xml:space="preserve">document </w:t>
      </w:r>
      <w:r w:rsidR="00FF5DC9" w:rsidRPr="00513802">
        <w:t xml:space="preserve">the </w:t>
      </w:r>
      <w:r w:rsidRPr="00513802">
        <w:t xml:space="preserve">persistent practice of prolonged, automatically ordered and extended pre-trial detention of defendants in </w:t>
      </w:r>
      <w:r w:rsidRPr="00513802">
        <w:lastRenderedPageBreak/>
        <w:t xml:space="preserve">conflict-related criminal cases. OHCHR notes that </w:t>
      </w:r>
      <w:r w:rsidR="00E514F9" w:rsidRPr="00513802">
        <w:t>i</w:t>
      </w:r>
      <w:r w:rsidRPr="00513802">
        <w:t xml:space="preserve">n the majority of </w:t>
      </w:r>
      <w:r w:rsidR="00E514F9" w:rsidRPr="00513802">
        <w:t xml:space="preserve">cases </w:t>
      </w:r>
      <w:r w:rsidRPr="00513802">
        <w:t>observed</w:t>
      </w:r>
      <w:r w:rsidR="00CD2646">
        <w:t>,</w:t>
      </w:r>
      <w:r w:rsidRPr="005E1347">
        <w:rPr>
          <w:rStyle w:val="FootnoteReference"/>
          <w:sz w:val="20"/>
        </w:rPr>
        <w:footnoteReference w:id="65"/>
      </w:r>
      <w:r w:rsidRPr="00513802">
        <w:t xml:space="preserve"> the prosecution</w:t>
      </w:r>
      <w:r w:rsidR="00E514F9" w:rsidRPr="00513802">
        <w:t>,</w:t>
      </w:r>
      <w:r w:rsidRPr="00513802">
        <w:t xml:space="preserve"> which is obliged to prove before the court specific risks that </w:t>
      </w:r>
      <w:r w:rsidR="00E514F9" w:rsidRPr="00513802">
        <w:t xml:space="preserve">necessitate </w:t>
      </w:r>
      <w:r w:rsidRPr="00513802">
        <w:t xml:space="preserve">pre-trial detention </w:t>
      </w:r>
      <w:r w:rsidR="00E514F9" w:rsidRPr="00513802">
        <w:t xml:space="preserve">due to </w:t>
      </w:r>
      <w:r w:rsidRPr="00513802">
        <w:t xml:space="preserve">individual circumstances, failed to provide any evidence, but only quoted the law and </w:t>
      </w:r>
      <w:r w:rsidR="00E514F9" w:rsidRPr="00513802">
        <w:t xml:space="preserve">the </w:t>
      </w:r>
      <w:r w:rsidRPr="00513802">
        <w:t xml:space="preserve">alleged existence of such risks. </w:t>
      </w:r>
    </w:p>
    <w:p w14:paraId="7D4283E7" w14:textId="1D97AEA4" w:rsidR="0040436A" w:rsidRPr="00513802" w:rsidRDefault="0040436A" w:rsidP="001232C6">
      <w:pPr>
        <w:pStyle w:val="SingleTxtG"/>
      </w:pPr>
      <w:r w:rsidRPr="00513802">
        <w:t xml:space="preserve">OHCHR continued to monitor unduly delayed criminal cases, in which defendants have been held in custody for more than three years. In another </w:t>
      </w:r>
      <w:r w:rsidR="00F51FD4">
        <w:t>34</w:t>
      </w:r>
      <w:r w:rsidR="00F51FD4" w:rsidRPr="00513802">
        <w:t xml:space="preserve"> </w:t>
      </w:r>
      <w:r w:rsidR="006F3E2A">
        <w:t>do</w:t>
      </w:r>
      <w:r w:rsidRPr="00513802">
        <w:t xml:space="preserve">cumented cases, the defendants have already spent more than four years in custody. </w:t>
      </w:r>
      <w:r w:rsidR="003C714A">
        <w:t>As in previous reporting periods, OHCHR notes that prolonged pre-trial detention continues to be used as a means of pressure to force defendants to plead guilty.</w:t>
      </w:r>
      <w:r w:rsidR="005B4822" w:rsidDel="005B4822">
        <w:t xml:space="preserve"> </w:t>
      </w:r>
    </w:p>
    <w:p w14:paraId="7BCB2528" w14:textId="235C22FF" w:rsidR="0040436A" w:rsidRPr="00513802" w:rsidRDefault="0040436A" w:rsidP="001232C6">
      <w:pPr>
        <w:pStyle w:val="SingleTxtG"/>
      </w:pPr>
      <w:r w:rsidRPr="00513802">
        <w:t xml:space="preserve">OHCHR is concerned that one of the reasons for protracted trials is the </w:t>
      </w:r>
      <w:r w:rsidR="001D2B4D">
        <w:t>insufficient number</w:t>
      </w:r>
      <w:r w:rsidR="001D2B4D" w:rsidRPr="00513802">
        <w:t xml:space="preserve"> </w:t>
      </w:r>
      <w:r w:rsidRPr="00513802">
        <w:t>of judges in trial courts.</w:t>
      </w:r>
      <w:r w:rsidRPr="00597DC6">
        <w:rPr>
          <w:vertAlign w:val="superscript"/>
        </w:rPr>
        <w:footnoteReference w:id="66"/>
      </w:r>
      <w:r w:rsidRPr="00513802">
        <w:t xml:space="preserve"> </w:t>
      </w:r>
      <w:r w:rsidR="007006F5">
        <w:t xml:space="preserve">All </w:t>
      </w:r>
      <w:r w:rsidR="007006F5" w:rsidRPr="00597DC6">
        <w:t>29</w:t>
      </w:r>
      <w:r w:rsidRPr="00F45518">
        <w:t xml:space="preserve"> </w:t>
      </w:r>
      <w:r w:rsidRPr="00513802">
        <w:t xml:space="preserve">local courts in Donetsk and Luhansk regions are </w:t>
      </w:r>
      <w:r w:rsidR="007006F5">
        <w:t>47</w:t>
      </w:r>
      <w:r w:rsidRPr="00513802">
        <w:t xml:space="preserve"> percent </w:t>
      </w:r>
      <w:r w:rsidRPr="004007C7">
        <w:t>understaffed,</w:t>
      </w:r>
      <w:r w:rsidR="004007C7" w:rsidRPr="004007C7">
        <w:rPr>
          <w:vertAlign w:val="superscript"/>
        </w:rPr>
        <w:footnoteReference w:id="67"/>
      </w:r>
      <w:r w:rsidRPr="004007C7">
        <w:t xml:space="preserve"> leading to a strained workload for judges</w:t>
      </w:r>
      <w:r w:rsidR="004F6712" w:rsidRPr="004007C7">
        <w:t>,</w:t>
      </w:r>
      <w:r w:rsidR="004007C7" w:rsidRPr="004007C7">
        <w:rPr>
          <w:vertAlign w:val="superscript"/>
        </w:rPr>
        <w:footnoteReference w:id="68"/>
      </w:r>
      <w:r w:rsidR="004F6712" w:rsidRPr="004007C7">
        <w:t xml:space="preserve"> </w:t>
      </w:r>
      <w:r w:rsidR="00666E34" w:rsidRPr="004007C7">
        <w:t>and</w:t>
      </w:r>
      <w:r w:rsidR="00687EB4">
        <w:t xml:space="preserve"> </w:t>
      </w:r>
      <w:r w:rsidR="004F6712">
        <w:t>hearing</w:t>
      </w:r>
      <w:r w:rsidR="00134FA2">
        <w:t>s</w:t>
      </w:r>
      <w:r w:rsidR="00257E72">
        <w:t xml:space="preserve"> being</w:t>
      </w:r>
      <w:r w:rsidR="004F6712">
        <w:t xml:space="preserve"> scheduled only once every month or two.</w:t>
      </w:r>
      <w:r w:rsidRPr="00513802">
        <w:t xml:space="preserve"> </w:t>
      </w:r>
    </w:p>
    <w:p w14:paraId="26BC5EC8" w14:textId="6F192869" w:rsidR="00951EA0" w:rsidRPr="00513802" w:rsidRDefault="00E040DE" w:rsidP="001232C6">
      <w:pPr>
        <w:pStyle w:val="SingleTxtG"/>
      </w:pPr>
      <w:r>
        <w:t>Against this trend, as a positive development</w:t>
      </w:r>
      <w:r w:rsidR="00A2607F">
        <w:t>, in</w:t>
      </w:r>
      <w:r w:rsidR="00E514F9" w:rsidRPr="00513802">
        <w:t xml:space="preserve"> one documented case,</w:t>
      </w:r>
      <w:r w:rsidR="00E514F9" w:rsidRPr="00597DC6">
        <w:rPr>
          <w:vertAlign w:val="superscript"/>
        </w:rPr>
        <w:footnoteReference w:id="69"/>
      </w:r>
      <w:r w:rsidR="00E514F9" w:rsidRPr="00513802">
        <w:t xml:space="preserve"> a local court allowed a defendant to be released on bail, referencing international human rights standards and the case law of the European Court of Human Rights</w:t>
      </w:r>
      <w:r w:rsidR="00C673E1" w:rsidRPr="00513802">
        <w:t xml:space="preserve"> (ECtHR)</w:t>
      </w:r>
      <w:r w:rsidR="00CD2646">
        <w:t>,</w:t>
      </w:r>
      <w:r w:rsidR="00D977DA" w:rsidRPr="00597DC6">
        <w:rPr>
          <w:vertAlign w:val="superscript"/>
        </w:rPr>
        <w:footnoteReference w:id="70"/>
      </w:r>
      <w:r w:rsidR="00E514F9" w:rsidRPr="00513802">
        <w:t xml:space="preserve"> </w:t>
      </w:r>
      <w:r w:rsidR="00D977DA" w:rsidRPr="00513802">
        <w:t xml:space="preserve">in line with </w:t>
      </w:r>
      <w:r w:rsidR="002610B1" w:rsidRPr="00513802">
        <w:t xml:space="preserve">recommended </w:t>
      </w:r>
      <w:r w:rsidR="00D977DA" w:rsidRPr="00513802">
        <w:t>practice</w:t>
      </w:r>
      <w:r w:rsidR="004B60B8" w:rsidRPr="00513802">
        <w:t>.</w:t>
      </w:r>
      <w:r w:rsidR="00E514F9" w:rsidRPr="008B10A6">
        <w:rPr>
          <w:vertAlign w:val="superscript"/>
        </w:rPr>
        <w:footnoteReference w:id="71"/>
      </w:r>
      <w:r w:rsidR="00E514F9" w:rsidRPr="00513802">
        <w:t xml:space="preserve"> </w:t>
      </w:r>
    </w:p>
    <w:p w14:paraId="65148CC9" w14:textId="3FE730DD" w:rsidR="00ED08D5" w:rsidRDefault="001A49AD" w:rsidP="001232C6">
      <w:pPr>
        <w:pStyle w:val="SingleTxtG"/>
      </w:pPr>
      <w:r>
        <w:t>D</w:t>
      </w:r>
      <w:r w:rsidR="00951EA0" w:rsidRPr="00513802">
        <w:t xml:space="preserve">uring the reporting period, OHCHR </w:t>
      </w:r>
      <w:r>
        <w:t xml:space="preserve">also </w:t>
      </w:r>
      <w:r w:rsidR="00951EA0" w:rsidRPr="00513802">
        <w:t xml:space="preserve">documented attempts </w:t>
      </w:r>
      <w:r w:rsidR="005B556E" w:rsidRPr="00513802">
        <w:t xml:space="preserve">by </w:t>
      </w:r>
      <w:r w:rsidR="00951EA0" w:rsidRPr="00513802">
        <w:t xml:space="preserve">activists to obstruct justice in </w:t>
      </w:r>
      <w:r w:rsidR="00337E6B" w:rsidRPr="00513802">
        <w:t xml:space="preserve">one </w:t>
      </w:r>
      <w:r w:rsidR="00951EA0" w:rsidRPr="00513802">
        <w:t xml:space="preserve">conflict-related case through </w:t>
      </w:r>
      <w:r w:rsidR="005B556E" w:rsidRPr="00513802">
        <w:t xml:space="preserve">the </w:t>
      </w:r>
      <w:r w:rsidR="007B2D84" w:rsidRPr="00513802">
        <w:t xml:space="preserve">exertion </w:t>
      </w:r>
      <w:r w:rsidR="005B556E" w:rsidRPr="00513802">
        <w:t xml:space="preserve">of </w:t>
      </w:r>
      <w:r w:rsidR="00951EA0" w:rsidRPr="00513802">
        <w:t>pressure on judges</w:t>
      </w:r>
      <w:r w:rsidR="00951EA0" w:rsidRPr="00597DC6">
        <w:rPr>
          <w:vertAlign w:val="superscript"/>
        </w:rPr>
        <w:footnoteReference w:id="72"/>
      </w:r>
      <w:r w:rsidR="00951EA0" w:rsidRPr="00513802">
        <w:t xml:space="preserve"> and </w:t>
      </w:r>
      <w:r w:rsidR="005B556E" w:rsidRPr="00513802">
        <w:t xml:space="preserve">the </w:t>
      </w:r>
      <w:r w:rsidR="00951EA0" w:rsidRPr="00513802">
        <w:t>intimidat</w:t>
      </w:r>
      <w:r w:rsidR="005B556E" w:rsidRPr="00513802">
        <w:t>ion of</w:t>
      </w:r>
      <w:r w:rsidR="00951EA0" w:rsidRPr="00513802">
        <w:t xml:space="preserve"> </w:t>
      </w:r>
      <w:r w:rsidR="00337E6B" w:rsidRPr="00513802">
        <w:t xml:space="preserve">the defence </w:t>
      </w:r>
      <w:r w:rsidR="00951EA0" w:rsidRPr="00513802">
        <w:t>lawyer</w:t>
      </w:r>
      <w:r w:rsidR="00951EA0" w:rsidRPr="008B10A6">
        <w:rPr>
          <w:vertAlign w:val="superscript"/>
        </w:rPr>
        <w:footnoteReference w:id="73"/>
      </w:r>
      <w:r w:rsidR="00951EA0" w:rsidRPr="008B10A6">
        <w:rPr>
          <w:vertAlign w:val="superscript"/>
        </w:rPr>
        <w:t xml:space="preserve"> </w:t>
      </w:r>
      <w:r w:rsidR="00951EA0" w:rsidRPr="00513802">
        <w:t>and the defendant.</w:t>
      </w:r>
      <w:r w:rsidR="00CD2646" w:rsidRPr="008B10A6">
        <w:rPr>
          <w:rStyle w:val="FootnoteReference"/>
          <w:sz w:val="20"/>
        </w:rPr>
        <w:footnoteReference w:id="74"/>
      </w:r>
      <w:r w:rsidR="00951EA0" w:rsidRPr="00513802">
        <w:t xml:space="preserve"> </w:t>
      </w:r>
    </w:p>
    <w:p w14:paraId="71005BAA" w14:textId="20B83335" w:rsidR="00B14F8F" w:rsidRPr="00EC5F7A" w:rsidRDefault="00B14F8F" w:rsidP="001232C6">
      <w:pPr>
        <w:pStyle w:val="ParNoG"/>
        <w:tabs>
          <w:tab w:val="clear" w:pos="1701"/>
        </w:tabs>
        <w:rPr>
          <w:i/>
        </w:rPr>
      </w:pPr>
      <w:r w:rsidRPr="00EC5F7A">
        <w:rPr>
          <w:i/>
        </w:rPr>
        <w:t>“We came to</w:t>
      </w:r>
      <w:r w:rsidR="00D1299C" w:rsidRPr="00EC5F7A">
        <w:rPr>
          <w:i/>
        </w:rPr>
        <w:t xml:space="preserve"> oversee </w:t>
      </w:r>
      <w:r w:rsidRPr="00EC5F7A">
        <w:rPr>
          <w:i/>
        </w:rPr>
        <w:t xml:space="preserve">the court, </w:t>
      </w:r>
      <w:r w:rsidR="00D1299C" w:rsidRPr="00EC5F7A">
        <w:rPr>
          <w:i/>
        </w:rPr>
        <w:t xml:space="preserve">to ensure </w:t>
      </w:r>
      <w:r w:rsidRPr="00EC5F7A">
        <w:rPr>
          <w:i/>
        </w:rPr>
        <w:t xml:space="preserve">you </w:t>
      </w:r>
      <w:r w:rsidR="00D1299C" w:rsidRPr="00EC5F7A">
        <w:rPr>
          <w:i/>
        </w:rPr>
        <w:t>pass the</w:t>
      </w:r>
      <w:r w:rsidRPr="00EC5F7A">
        <w:rPr>
          <w:i/>
        </w:rPr>
        <w:t xml:space="preserve"> right </w:t>
      </w:r>
      <w:r w:rsidR="00D1299C" w:rsidRPr="00EC5F7A">
        <w:rPr>
          <w:i/>
        </w:rPr>
        <w:t>ruling</w:t>
      </w:r>
      <w:r w:rsidRPr="00EC5F7A">
        <w:rPr>
          <w:i/>
        </w:rPr>
        <w:t xml:space="preserve">” </w:t>
      </w:r>
    </w:p>
    <w:p w14:paraId="234A5C70" w14:textId="3330482B" w:rsidR="00B14F8F" w:rsidRDefault="00B14F8F" w:rsidP="001232C6">
      <w:pPr>
        <w:pStyle w:val="ParNoG"/>
        <w:tabs>
          <w:tab w:val="clear" w:pos="1701"/>
        </w:tabs>
      </w:pPr>
      <w:r>
        <w:t xml:space="preserve">– </w:t>
      </w:r>
      <w:r w:rsidR="00D1299C">
        <w:t xml:space="preserve">an </w:t>
      </w:r>
      <w:r w:rsidR="00F523C7">
        <w:t>observer to the trial,</w:t>
      </w:r>
      <w:r w:rsidR="00D1299C">
        <w:t xml:space="preserve"> </w:t>
      </w:r>
      <w:r>
        <w:t xml:space="preserve">to </w:t>
      </w:r>
      <w:r w:rsidR="00D1299C">
        <w:t>the</w:t>
      </w:r>
      <w:r>
        <w:t xml:space="preserve"> judge of a local court</w:t>
      </w:r>
    </w:p>
    <w:p w14:paraId="27261302" w14:textId="06EE5CD5" w:rsidR="00951EA0" w:rsidRPr="00513802" w:rsidRDefault="00951EA0" w:rsidP="001232C6">
      <w:pPr>
        <w:pStyle w:val="SingleTxtG"/>
      </w:pPr>
      <w:r w:rsidRPr="00513802">
        <w:t>OHCHR also notes</w:t>
      </w:r>
      <w:r w:rsidR="005B556E" w:rsidRPr="00513802">
        <w:t xml:space="preserve"> </w:t>
      </w:r>
      <w:r w:rsidR="00214843">
        <w:t xml:space="preserve">with concern </w:t>
      </w:r>
      <w:r w:rsidR="005B556E" w:rsidRPr="00513802">
        <w:t>the</w:t>
      </w:r>
      <w:r w:rsidRPr="00513802">
        <w:t xml:space="preserve"> absence of progress in</w:t>
      </w:r>
      <w:r w:rsidR="005B556E" w:rsidRPr="00513802">
        <w:t xml:space="preserve"> the</w:t>
      </w:r>
      <w:r w:rsidRPr="00513802">
        <w:t xml:space="preserve"> investigation and prosecution of previous attacks and intimidation of judges and </w:t>
      </w:r>
      <w:r w:rsidR="007B2D84" w:rsidRPr="00513802">
        <w:t>defence</w:t>
      </w:r>
      <w:r w:rsidRPr="00513802">
        <w:t xml:space="preserve"> lawyers in conflict-related criminal cases, despite numerous complaints to</w:t>
      </w:r>
      <w:r w:rsidR="004F2D78">
        <w:t xml:space="preserve"> the</w:t>
      </w:r>
      <w:r w:rsidRPr="00513802">
        <w:t xml:space="preserve"> police and the High Council of Justice. </w:t>
      </w:r>
    </w:p>
    <w:p w14:paraId="7AB3E939" w14:textId="372C1F9D" w:rsidR="00951EA0" w:rsidRPr="00513802" w:rsidRDefault="00951EA0" w:rsidP="001232C6">
      <w:pPr>
        <w:pStyle w:val="SingleTxtG"/>
      </w:pPr>
      <w:r w:rsidRPr="00513802">
        <w:lastRenderedPageBreak/>
        <w:t xml:space="preserve">OHCHR is </w:t>
      </w:r>
      <w:r w:rsidR="00E66ECB" w:rsidRPr="00513802">
        <w:t xml:space="preserve">also </w:t>
      </w:r>
      <w:r w:rsidRPr="00513802">
        <w:t xml:space="preserve">concerned about the situation of individuals, who are ‘tried’ by ‘courts’ in territory controlled by ‘Donetsk people’s republic’ for crimes </w:t>
      </w:r>
      <w:r w:rsidR="00347E1C" w:rsidRPr="00513802">
        <w:t xml:space="preserve">allegedly </w:t>
      </w:r>
      <w:r w:rsidRPr="00513802">
        <w:t xml:space="preserve">committed before the beginning of the armed conflict in eastern Ukraine. According to information received by OHCHR, such ‘trials’ are marked with many procedural violations jeopardising the rights of defendants to a fair trial. OHCHR is concerned that the conviction of individuals in such ‘courts’ </w:t>
      </w:r>
      <w:r w:rsidR="00C62E19">
        <w:t>may</w:t>
      </w:r>
      <w:r w:rsidRPr="00513802">
        <w:t xml:space="preserve"> result in double jeopardy in case of their transfer to the </w:t>
      </w:r>
      <w:r w:rsidR="00801192">
        <w:t>G</w:t>
      </w:r>
      <w:r w:rsidRPr="00513802">
        <w:t xml:space="preserve">overnment-controlled territory of Ukraine. </w:t>
      </w:r>
    </w:p>
    <w:p w14:paraId="42334816" w14:textId="7A93F618" w:rsidR="00256B96" w:rsidRPr="00513802" w:rsidRDefault="00256B96" w:rsidP="00DC0D28">
      <w:pPr>
        <w:pStyle w:val="H23G"/>
        <w:rPr>
          <w:lang w:val="en-NZ"/>
        </w:rPr>
      </w:pPr>
      <w:r w:rsidRPr="00513802">
        <w:rPr>
          <w:lang w:val="en-NZ"/>
        </w:rPr>
        <w:tab/>
      </w:r>
      <w:bookmarkStart w:id="228" w:name="_Toc11165978"/>
      <w:bookmarkEnd w:id="219"/>
      <w:bookmarkEnd w:id="220"/>
      <w:bookmarkEnd w:id="221"/>
      <w:bookmarkEnd w:id="222"/>
      <w:bookmarkEnd w:id="223"/>
      <w:bookmarkEnd w:id="224"/>
      <w:bookmarkEnd w:id="225"/>
      <w:bookmarkEnd w:id="226"/>
      <w:bookmarkEnd w:id="227"/>
      <w:r w:rsidR="00A0118A" w:rsidRPr="00513802">
        <w:rPr>
          <w:lang w:val="en-NZ"/>
        </w:rPr>
        <w:t>Accountability for human rights violations</w:t>
      </w:r>
      <w:bookmarkEnd w:id="228"/>
    </w:p>
    <w:p w14:paraId="2B57E7A6" w14:textId="44B6F706" w:rsidR="005C474E" w:rsidRPr="00513802" w:rsidRDefault="005C474E" w:rsidP="001232C6">
      <w:pPr>
        <w:pStyle w:val="SingleTxtG"/>
      </w:pPr>
      <w:r w:rsidRPr="00513802">
        <w:t xml:space="preserve">This reporting period marks the fifth anniversary of </w:t>
      </w:r>
      <w:r w:rsidR="00684496">
        <w:t xml:space="preserve">the culmination of the 2013-2014 Maidan protests </w:t>
      </w:r>
      <w:r w:rsidR="0096615A" w:rsidRPr="00513802">
        <w:t>and</w:t>
      </w:r>
      <w:r w:rsidRPr="00513802">
        <w:t xml:space="preserve"> </w:t>
      </w:r>
      <w:r w:rsidR="00D23FC1" w:rsidRPr="00513802">
        <w:t xml:space="preserve">the </w:t>
      </w:r>
      <w:r w:rsidR="00684496">
        <w:t xml:space="preserve">violent events of </w:t>
      </w:r>
      <w:r w:rsidRPr="00513802">
        <w:t>2 May</w:t>
      </w:r>
      <w:r w:rsidR="00E66ECB" w:rsidRPr="00513802">
        <w:t xml:space="preserve"> 2014</w:t>
      </w:r>
      <w:r w:rsidRPr="00513802">
        <w:t xml:space="preserve"> in Odesa. </w:t>
      </w:r>
      <w:r w:rsidR="00D23FC1" w:rsidRPr="00513802">
        <w:t xml:space="preserve">No </w:t>
      </w:r>
      <w:r w:rsidRPr="00513802">
        <w:t xml:space="preserve">individuals responsible for acts of killing or violent deaths </w:t>
      </w:r>
      <w:r w:rsidR="00D23FC1" w:rsidRPr="00513802">
        <w:t xml:space="preserve">have been </w:t>
      </w:r>
      <w:r w:rsidRPr="00513802">
        <w:t xml:space="preserve">brought to </w:t>
      </w:r>
      <w:r w:rsidR="007378FC" w:rsidRPr="00513802">
        <w:t>justi</w:t>
      </w:r>
      <w:r w:rsidR="00B347D5" w:rsidRPr="00513802">
        <w:t>ce</w:t>
      </w:r>
      <w:r w:rsidR="007378FC" w:rsidRPr="00513802">
        <w:t xml:space="preserve"> </w:t>
      </w:r>
      <w:r w:rsidR="00D23FC1" w:rsidRPr="00513802">
        <w:t>in these cases</w:t>
      </w:r>
      <w:r w:rsidRPr="00513802">
        <w:t xml:space="preserve">, raising concerns </w:t>
      </w:r>
      <w:r w:rsidR="00D23FC1" w:rsidRPr="00513802">
        <w:t xml:space="preserve">about the </w:t>
      </w:r>
      <w:r w:rsidR="00AB7076">
        <w:t>authoritie</w:t>
      </w:r>
      <w:r w:rsidR="00D23FC1" w:rsidRPr="00513802">
        <w:t>s</w:t>
      </w:r>
      <w:r w:rsidR="00AB7076">
        <w:t>’</w:t>
      </w:r>
      <w:r w:rsidR="00D23FC1" w:rsidRPr="00513802">
        <w:t xml:space="preserve"> </w:t>
      </w:r>
      <w:r w:rsidRPr="00513802">
        <w:t>genuine intention to ensure accountability and justice for victims.</w:t>
      </w:r>
    </w:p>
    <w:p w14:paraId="65BFA15B" w14:textId="4372D0D4" w:rsidR="00DB2872" w:rsidRPr="00513802" w:rsidRDefault="005C474E" w:rsidP="00DC0D28">
      <w:pPr>
        <w:pStyle w:val="H4G"/>
        <w:rPr>
          <w:rStyle w:val="SingleTxtGChar"/>
        </w:rPr>
      </w:pPr>
      <w:r w:rsidRPr="00513802">
        <w:rPr>
          <w:rStyle w:val="SingleTxtGChar"/>
        </w:rPr>
        <w:t xml:space="preserve"> </w:t>
      </w:r>
      <w:bookmarkStart w:id="229" w:name="_Toc11165979"/>
      <w:r w:rsidR="00A94950" w:rsidRPr="00DC0D28">
        <w:rPr>
          <w:rStyle w:val="SingleTxtGChar"/>
        </w:rPr>
        <w:t>Accountability</w:t>
      </w:r>
      <w:r w:rsidR="00A94950" w:rsidRPr="00513802">
        <w:rPr>
          <w:rStyle w:val="SingleTxtGChar"/>
        </w:rPr>
        <w:t xml:space="preserve"> for killings during the Maidan </w:t>
      </w:r>
      <w:r w:rsidR="00A308B5">
        <w:rPr>
          <w:rStyle w:val="SingleTxtGChar"/>
        </w:rPr>
        <w:t>events</w:t>
      </w:r>
      <w:bookmarkEnd w:id="229"/>
    </w:p>
    <w:p w14:paraId="4C452BF4" w14:textId="5793CA9C" w:rsidR="005C474E" w:rsidRPr="00513802" w:rsidRDefault="005C474E" w:rsidP="001232C6">
      <w:pPr>
        <w:pStyle w:val="SingleTxtG"/>
      </w:pPr>
      <w:r w:rsidRPr="00513802">
        <w:t>Five years after the tragic events</w:t>
      </w:r>
      <w:r w:rsidR="004A3595" w:rsidRPr="00513802">
        <w:t xml:space="preserve"> </w:t>
      </w:r>
      <w:r w:rsidR="005815F6">
        <w:t xml:space="preserve">at Maidan </w:t>
      </w:r>
      <w:r w:rsidR="00E57A95">
        <w:t xml:space="preserve">that </w:t>
      </w:r>
      <w:r w:rsidR="001B4088" w:rsidRPr="00513802">
        <w:t>shook</w:t>
      </w:r>
      <w:r w:rsidR="004A3595" w:rsidRPr="00513802">
        <w:t xml:space="preserve"> </w:t>
      </w:r>
      <w:r w:rsidR="00F6021C" w:rsidRPr="00513802">
        <w:t>Ukraine</w:t>
      </w:r>
      <w:r w:rsidR="004A3595" w:rsidRPr="00513802">
        <w:t xml:space="preserve"> in the winter of 2014</w:t>
      </w:r>
      <w:r w:rsidRPr="00513802">
        <w:t xml:space="preserve">, nobody </w:t>
      </w:r>
      <w:r w:rsidR="004A3595" w:rsidRPr="00513802">
        <w:t xml:space="preserve">has been </w:t>
      </w:r>
      <w:r w:rsidRPr="00513802">
        <w:t xml:space="preserve">brought to account for the acts of killing </w:t>
      </w:r>
      <w:r w:rsidR="009A3C06" w:rsidRPr="00513802">
        <w:t>and violent deaths of 84 protestors, a man who did not participate in the protests,</w:t>
      </w:r>
      <w:r w:rsidR="004007C7" w:rsidRPr="004007C7">
        <w:rPr>
          <w:rStyle w:val="FootnoteReference"/>
          <w:sz w:val="20"/>
        </w:rPr>
        <w:footnoteReference w:id="75"/>
      </w:r>
      <w:r w:rsidR="009A3C06" w:rsidRPr="00513802">
        <w:t xml:space="preserve"> and 13 law enforcement officers. </w:t>
      </w:r>
      <w:r w:rsidRPr="00513802">
        <w:t>The investigation</w:t>
      </w:r>
      <w:r w:rsidR="0048637E">
        <w:t>s</w:t>
      </w:r>
      <w:r w:rsidRPr="00513802">
        <w:t xml:space="preserve"> into the violent deaths of 17 protestors</w:t>
      </w:r>
      <w:r w:rsidR="009A3C06" w:rsidRPr="00513802">
        <w:t xml:space="preserve"> </w:t>
      </w:r>
      <w:r w:rsidRPr="00513802">
        <w:t>and 13 law enforcement officers ha</w:t>
      </w:r>
      <w:r w:rsidR="0048637E">
        <w:t>ve</w:t>
      </w:r>
      <w:r w:rsidRPr="00513802">
        <w:t xml:space="preserve"> </w:t>
      </w:r>
      <w:r w:rsidR="009F60D3" w:rsidRPr="00513802">
        <w:t>yet</w:t>
      </w:r>
      <w:r w:rsidRPr="00513802">
        <w:t xml:space="preserve"> to identify individual perpetrators.</w:t>
      </w:r>
    </w:p>
    <w:p w14:paraId="14B4165F" w14:textId="6A249AA1" w:rsidR="005C474E" w:rsidRPr="00513802" w:rsidRDefault="005C474E" w:rsidP="001232C6">
      <w:pPr>
        <w:pStyle w:val="SingleTxtG"/>
      </w:pPr>
      <w:r w:rsidRPr="00513802">
        <w:t xml:space="preserve">OHCHR is concerned that independent and impartial investigations and prosecution of the killings and violent deaths perpetrated during </w:t>
      </w:r>
      <w:r w:rsidR="00E57A95">
        <w:t xml:space="preserve">the </w:t>
      </w:r>
      <w:r w:rsidRPr="00513802">
        <w:t>Maidan protests have been hampered by the lack of cooperation extended by the Ministry of Internal Affairs and the SBU to the Prosecutor General’s Office Special Investigations Department (SID). Moreover, a number of senior police officers suspected or accused of committing crimes against the protestors retained their positions, having a chilling effect on their subordinates to testify about police involvement in the killings. The then senior police officials also disregarded their duty to ensure that their subordinates bore identification</w:t>
      </w:r>
      <w:r w:rsidR="004A3595" w:rsidRPr="00513802">
        <w:t>,</w:t>
      </w:r>
      <w:r w:rsidR="00642366" w:rsidRPr="00513802">
        <w:t xml:space="preserve"> </w:t>
      </w:r>
      <w:r w:rsidRPr="00513802">
        <w:t xml:space="preserve">posing a serious challenge to </w:t>
      </w:r>
      <w:r w:rsidR="004A3595" w:rsidRPr="00513802">
        <w:t xml:space="preserve">the </w:t>
      </w:r>
      <w:r w:rsidR="006A5979" w:rsidRPr="00513802">
        <w:t>identification</w:t>
      </w:r>
      <w:r w:rsidR="00195DD6" w:rsidRPr="00513802">
        <w:t xml:space="preserve"> </w:t>
      </w:r>
      <w:r w:rsidRPr="00513802">
        <w:t xml:space="preserve">of those who clashed with the protestors. In addition to the above, </w:t>
      </w:r>
      <w:r w:rsidR="0008095A" w:rsidRPr="00513802">
        <w:t xml:space="preserve">lack of organisational support and funding for the </w:t>
      </w:r>
      <w:r w:rsidRPr="00513802">
        <w:t>work of forensic bureaus complicates identification of individual perpetrators.</w:t>
      </w:r>
      <w:r w:rsidRPr="000037B1">
        <w:rPr>
          <w:rStyle w:val="FootnoteReference"/>
          <w:sz w:val="20"/>
        </w:rPr>
        <w:footnoteReference w:id="76"/>
      </w:r>
      <w:r w:rsidRPr="00513802">
        <w:t xml:space="preserve"> OHCHR also notes that the ‘immunity law’</w:t>
      </w:r>
      <w:r w:rsidRPr="000037B1">
        <w:rPr>
          <w:rStyle w:val="FootnoteReference"/>
          <w:sz w:val="20"/>
        </w:rPr>
        <w:footnoteReference w:id="77"/>
      </w:r>
      <w:r w:rsidRPr="00513802">
        <w:t xml:space="preserve"> prevents the SID from effectively proceeding with investigation into the killings of 13 law enforcement officers during </w:t>
      </w:r>
      <w:r w:rsidR="00195DD6" w:rsidRPr="00513802">
        <w:t xml:space="preserve">the </w:t>
      </w:r>
      <w:r w:rsidRPr="00513802">
        <w:t>Maidan events.</w:t>
      </w:r>
    </w:p>
    <w:p w14:paraId="5BCAEF1C" w14:textId="771A229A" w:rsidR="005C474E" w:rsidRDefault="005C474E" w:rsidP="001232C6">
      <w:pPr>
        <w:pStyle w:val="SingleTxtG"/>
      </w:pPr>
      <w:r w:rsidRPr="00513802">
        <w:t xml:space="preserve">In its </w:t>
      </w:r>
      <w:r w:rsidR="003B7230">
        <w:t>analytical paper</w:t>
      </w:r>
      <w:r w:rsidRPr="00513802">
        <w:t xml:space="preserve"> on systemic obstacles to investigation of crimes committed during </w:t>
      </w:r>
      <w:r w:rsidR="00B835AC" w:rsidRPr="00513802">
        <w:t xml:space="preserve">the </w:t>
      </w:r>
      <w:r w:rsidRPr="00513802">
        <w:t>Maidan protests</w:t>
      </w:r>
      <w:r w:rsidR="00CD2646">
        <w:t>,</w:t>
      </w:r>
      <w:r w:rsidRPr="000037B1">
        <w:rPr>
          <w:rStyle w:val="FootnoteReference"/>
          <w:sz w:val="20"/>
        </w:rPr>
        <w:footnoteReference w:id="78"/>
      </w:r>
      <w:r w:rsidRPr="00513802">
        <w:t xml:space="preserve"> the Head of the SID confirmed OHCHR’s findings and referred to </w:t>
      </w:r>
      <w:r w:rsidR="00E6521D" w:rsidRPr="00513802">
        <w:t>senior public officials’</w:t>
      </w:r>
      <w:r w:rsidRPr="00513802">
        <w:t xml:space="preserve"> lack of genuine i</w:t>
      </w:r>
      <w:r w:rsidR="00E6521D" w:rsidRPr="00513802">
        <w:t>ntent</w:t>
      </w:r>
      <w:r w:rsidRPr="00513802">
        <w:t xml:space="preserve">, including </w:t>
      </w:r>
      <w:r w:rsidR="00E6521D" w:rsidRPr="00513802">
        <w:t xml:space="preserve">by </w:t>
      </w:r>
      <w:r w:rsidRPr="00513802">
        <w:t>the Prosecutor General</w:t>
      </w:r>
      <w:r w:rsidR="00E6521D" w:rsidRPr="00513802">
        <w:t>,</w:t>
      </w:r>
      <w:r w:rsidRPr="00513802">
        <w:t xml:space="preserve"> in ensuring accountability for these crimes.</w:t>
      </w:r>
    </w:p>
    <w:p w14:paraId="372D35C7" w14:textId="327AC1E0" w:rsidR="00DE463E" w:rsidRDefault="00DE463E" w:rsidP="001232C6">
      <w:pPr>
        <w:pStyle w:val="SingleTxtG"/>
      </w:pPr>
      <w:r>
        <w:lastRenderedPageBreak/>
        <w:t>OHCHR is concerned that construction</w:t>
      </w:r>
      <w:r>
        <w:rPr>
          <w:rStyle w:val="FootnoteReference"/>
        </w:rPr>
        <w:footnoteReference w:id="79"/>
      </w:r>
      <w:r>
        <w:t xml:space="preserve"> of the Maidan Museum</w:t>
      </w:r>
      <w:r>
        <w:rPr>
          <w:rStyle w:val="FootnoteReference"/>
        </w:rPr>
        <w:footnoteReference w:id="80"/>
      </w:r>
      <w:r>
        <w:t xml:space="preserve"> on Instytutska street</w:t>
      </w:r>
      <w:r w:rsidR="00F24273">
        <w:t xml:space="preserve"> in Kyiv</w:t>
      </w:r>
      <w:r>
        <w:t xml:space="preserve">, which began in early May 2019, may disturb the onsite inquests that are regularly performed there. </w:t>
      </w:r>
      <w:r w:rsidR="00F24273">
        <w:t>These inquests</w:t>
      </w:r>
      <w:r>
        <w:t xml:space="preserve"> require preservation of the scene, which is being irreversibly damaged by the construction. This may create an additional obstacle for the investigations into the killings of 18 and 20 February 2014.</w:t>
      </w:r>
    </w:p>
    <w:p w14:paraId="1343F2A5" w14:textId="2A6C77F5" w:rsidR="005C474E" w:rsidRPr="00513802" w:rsidRDefault="005C474E" w:rsidP="001232C6">
      <w:pPr>
        <w:pStyle w:val="SingleTxtG"/>
      </w:pPr>
      <w:r w:rsidRPr="00513802">
        <w:t xml:space="preserve">During the reporting period, OHCHR continued </w:t>
      </w:r>
      <w:r w:rsidR="00F24273">
        <w:t>to monitor</w:t>
      </w:r>
      <w:r w:rsidR="00F24273" w:rsidRPr="00513802">
        <w:t xml:space="preserve"> </w:t>
      </w:r>
      <w:r w:rsidRPr="00513802">
        <w:t>trials in the cases of killings of protestors in January</w:t>
      </w:r>
      <w:r w:rsidR="004A3595" w:rsidRPr="00513802">
        <w:t xml:space="preserve"> and</w:t>
      </w:r>
      <w:r w:rsidRPr="00513802">
        <w:t xml:space="preserve"> February 2014, noting their protracted nature.</w:t>
      </w:r>
      <w:r w:rsidR="00865E9E" w:rsidRPr="000037B1">
        <w:rPr>
          <w:rStyle w:val="FootnoteReference"/>
          <w:sz w:val="20"/>
        </w:rPr>
        <w:footnoteReference w:id="81"/>
      </w:r>
    </w:p>
    <w:p w14:paraId="50832034" w14:textId="497B4CE7" w:rsidR="000E13AA" w:rsidRPr="00513802" w:rsidRDefault="000E13AA" w:rsidP="000E13AA">
      <w:pPr>
        <w:pStyle w:val="H4G"/>
      </w:pPr>
      <w:bookmarkStart w:id="230" w:name="_Toc11165980"/>
      <w:r w:rsidRPr="00513802">
        <w:t xml:space="preserve">Accountability for the </w:t>
      </w:r>
      <w:r w:rsidR="00684496">
        <w:t xml:space="preserve">killings and violent deaths on </w:t>
      </w:r>
      <w:r w:rsidRPr="00513802">
        <w:t>2 May 2014</w:t>
      </w:r>
      <w:bookmarkEnd w:id="230"/>
    </w:p>
    <w:p w14:paraId="2F94B91D" w14:textId="6EDC7919" w:rsidR="009F0562" w:rsidRPr="004007C7" w:rsidRDefault="00BD36D8" w:rsidP="001232C6">
      <w:pPr>
        <w:pStyle w:val="SingleTxtG"/>
        <w:rPr>
          <w:i/>
          <w:sz w:val="22"/>
          <w:szCs w:val="22"/>
        </w:rPr>
      </w:pPr>
      <w:r w:rsidRPr="002C053F">
        <w:t>Five years after the violence in Odesa on 2 May 2014, those responsible for the killing</w:t>
      </w:r>
      <w:r w:rsidR="00145FF0" w:rsidRPr="002C053F">
        <w:t>s</w:t>
      </w:r>
      <w:r w:rsidRPr="002C053F">
        <w:t xml:space="preserve"> and violent deaths of 48 people have yet to be brought to justice</w:t>
      </w:r>
      <w:r w:rsidR="009F0562">
        <w:t>, with some of the perpetrators yet to be identified and investigations ineffective</w:t>
      </w:r>
      <w:r w:rsidRPr="002C053F">
        <w:t>. During the reporting period, OHCHR noted no progress in the trials against regional police and State Emergency Service officials whose misconduct allegedly resulted in the deaths of up to 48 people, and limited progress in the trial against a participant of the mass disturbances accused of murder.</w:t>
      </w:r>
      <w:r w:rsidR="004713AC" w:rsidRPr="002C053F">
        <w:t xml:space="preserve"> </w:t>
      </w:r>
      <w:r w:rsidR="00094EFD" w:rsidRPr="002C053F">
        <w:t xml:space="preserve">As noted in its briefing note </w:t>
      </w:r>
      <w:r w:rsidR="00D35B9F" w:rsidRPr="002C053F">
        <w:t xml:space="preserve">analysing </w:t>
      </w:r>
      <w:r w:rsidR="00094EFD" w:rsidRPr="007D2616">
        <w:t xml:space="preserve">obstacles to accountability for crimes committed during the 2 May 2014 </w:t>
      </w:r>
      <w:r w:rsidR="00094EFD" w:rsidRPr="004007C7">
        <w:t>events,</w:t>
      </w:r>
      <w:r w:rsidR="004007C7" w:rsidRPr="004007C7">
        <w:rPr>
          <w:rStyle w:val="FootnoteReference"/>
          <w:sz w:val="20"/>
        </w:rPr>
        <w:footnoteReference w:id="82"/>
      </w:r>
      <w:r w:rsidR="00094EFD" w:rsidRPr="004007C7">
        <w:t xml:space="preserve"> wh</w:t>
      </w:r>
      <w:r w:rsidR="004713AC" w:rsidRPr="004007C7">
        <w:t>ile</w:t>
      </w:r>
      <w:r w:rsidR="004713AC" w:rsidRPr="002C053F">
        <w:t xml:space="preserve"> some positive developments have occurred, a number of trials continue to be</w:t>
      </w:r>
      <w:r w:rsidR="00B75519" w:rsidRPr="002C053F">
        <w:t xml:space="preserve"> unduly</w:t>
      </w:r>
      <w:r w:rsidR="004713AC" w:rsidRPr="002C053F">
        <w:t xml:space="preserve"> delayed</w:t>
      </w:r>
      <w:r w:rsidR="004713AC" w:rsidRPr="004007C7">
        <w:rPr>
          <w:sz w:val="22"/>
          <w:szCs w:val="22"/>
        </w:rPr>
        <w:t>.</w:t>
      </w:r>
      <w:r w:rsidR="00013452" w:rsidRPr="004007C7">
        <w:rPr>
          <w:rStyle w:val="FootnoteReference"/>
          <w:sz w:val="20"/>
        </w:rPr>
        <w:footnoteReference w:id="83"/>
      </w:r>
      <w:r w:rsidR="00094EFD" w:rsidRPr="004007C7">
        <w:t xml:space="preserve"> </w:t>
      </w:r>
    </w:p>
    <w:p w14:paraId="171C539B" w14:textId="68C1CDE9" w:rsidR="00ED08D5" w:rsidRPr="00A903D2" w:rsidRDefault="00ED08D5" w:rsidP="001232C6">
      <w:pPr>
        <w:pStyle w:val="ParNoG"/>
        <w:tabs>
          <w:tab w:val="clear" w:pos="1701"/>
        </w:tabs>
        <w:rPr>
          <w:i/>
        </w:rPr>
      </w:pPr>
      <w:r w:rsidRPr="00A903D2">
        <w:rPr>
          <w:i/>
        </w:rPr>
        <w:t>“Can you request my recusal? I’d be very grateful if you did.”</w:t>
      </w:r>
    </w:p>
    <w:p w14:paraId="48BFD60D" w14:textId="0D5AD6D7" w:rsidR="00ED08D5" w:rsidRPr="00A903D2" w:rsidRDefault="00ED08D5" w:rsidP="001232C6">
      <w:pPr>
        <w:pStyle w:val="ParNoG"/>
        <w:tabs>
          <w:tab w:val="clear" w:pos="1701"/>
        </w:tabs>
        <w:rPr>
          <w:i/>
        </w:rPr>
      </w:pPr>
      <w:r w:rsidRPr="00A903D2">
        <w:rPr>
          <w:i/>
        </w:rPr>
        <w:t xml:space="preserve">“But your </w:t>
      </w:r>
      <w:r w:rsidR="00BE2102" w:rsidRPr="00A903D2">
        <w:rPr>
          <w:i/>
        </w:rPr>
        <w:t>Honour</w:t>
      </w:r>
      <w:r w:rsidRPr="00A903D2">
        <w:rPr>
          <w:i/>
        </w:rPr>
        <w:t>, why would I do that?”</w:t>
      </w:r>
    </w:p>
    <w:p w14:paraId="56C5B67B" w14:textId="4911CC3C" w:rsidR="00ED08D5" w:rsidRPr="00A903D2" w:rsidRDefault="00ED08D5" w:rsidP="001232C6">
      <w:pPr>
        <w:pStyle w:val="ParNoG"/>
        <w:tabs>
          <w:tab w:val="clear" w:pos="1701"/>
        </w:tabs>
        <w:rPr>
          <w:i/>
        </w:rPr>
      </w:pPr>
      <w:r w:rsidRPr="00A903D2">
        <w:rPr>
          <w:i/>
        </w:rPr>
        <w:t>“Because I want to get rid of this case</w:t>
      </w:r>
      <w:r w:rsidR="002774D3" w:rsidRPr="00A903D2">
        <w:rPr>
          <w:i/>
        </w:rPr>
        <w:t>.”</w:t>
      </w:r>
    </w:p>
    <w:p w14:paraId="60382CDC" w14:textId="0E72A887" w:rsidR="00ED08D5" w:rsidRPr="00EA3E8E" w:rsidRDefault="00ED08D5" w:rsidP="001232C6">
      <w:pPr>
        <w:pStyle w:val="ParNoG"/>
        <w:numPr>
          <w:ilvl w:val="0"/>
          <w:numId w:val="12"/>
        </w:numPr>
      </w:pPr>
      <w:r w:rsidRPr="00BE2102">
        <w:t>Conversation</w:t>
      </w:r>
      <w:r>
        <w:t xml:space="preserve"> between a judge and a defence counsel during a hearing in a case related to the 2 May violence.</w:t>
      </w:r>
    </w:p>
    <w:p w14:paraId="3DEE653D" w14:textId="1CABF793" w:rsidR="00256B96" w:rsidRPr="00513802" w:rsidRDefault="00256B96" w:rsidP="00DC0D28">
      <w:pPr>
        <w:pStyle w:val="H1G"/>
        <w:rPr>
          <w:lang w:val="en-NZ"/>
        </w:rPr>
      </w:pPr>
      <w:r w:rsidRPr="00513802">
        <w:rPr>
          <w:lang w:val="en-NZ"/>
        </w:rPr>
        <w:tab/>
      </w:r>
      <w:bookmarkStart w:id="231" w:name="_Toc512415801"/>
      <w:bookmarkStart w:id="232" w:name="_Toc513567292"/>
      <w:bookmarkStart w:id="233" w:name="_Toc513568008"/>
      <w:bookmarkStart w:id="234" w:name="_Toc513568530"/>
      <w:bookmarkStart w:id="235" w:name="_Toc513569233"/>
      <w:bookmarkStart w:id="236" w:name="_Toc513569927"/>
      <w:bookmarkStart w:id="237" w:name="_Toc514403011"/>
      <w:bookmarkStart w:id="238" w:name="_Toc514404257"/>
      <w:bookmarkStart w:id="239" w:name="_Toc514404283"/>
      <w:bookmarkStart w:id="240" w:name="_Toc514410230"/>
      <w:bookmarkStart w:id="241" w:name="_Toc514417641"/>
      <w:bookmarkStart w:id="242" w:name="_Toc514769290"/>
      <w:bookmarkStart w:id="243" w:name="_Toc521518096"/>
      <w:bookmarkStart w:id="244" w:name="_Toc523729932"/>
      <w:bookmarkStart w:id="245" w:name="_Toc523733556"/>
      <w:bookmarkStart w:id="246" w:name="_Toc523734216"/>
      <w:bookmarkStart w:id="247" w:name="_Toc523737845"/>
      <w:bookmarkStart w:id="248" w:name="_Toc523737876"/>
      <w:bookmarkStart w:id="249" w:name="_Toc525031942"/>
      <w:bookmarkStart w:id="250" w:name="_Toc525034461"/>
      <w:bookmarkStart w:id="251" w:name="_Toc525035805"/>
      <w:bookmarkStart w:id="252" w:name="_Toc11165981"/>
      <w:r w:rsidR="005815F6">
        <w:rPr>
          <w:lang w:val="en-NZ"/>
        </w:rPr>
        <w:t xml:space="preserve">Civic </w:t>
      </w:r>
      <w:r w:rsidRPr="00513802">
        <w:rPr>
          <w:lang w:val="en-NZ"/>
        </w:rPr>
        <w:t xml:space="preserve">space </w:t>
      </w:r>
      <w:r w:rsidRPr="00DC0D28">
        <w:t>and</w:t>
      </w:r>
      <w:r w:rsidRPr="00513802">
        <w:rPr>
          <w:lang w:val="en-NZ"/>
        </w:rPr>
        <w:t xml:space="preserve"> fundamental freedoms</w:t>
      </w:r>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p>
    <w:p w14:paraId="1321A52C" w14:textId="5E5A3481" w:rsidR="00773367" w:rsidRPr="00513802" w:rsidRDefault="000D6035" w:rsidP="001232C6">
      <w:pPr>
        <w:pStyle w:val="SingleTxtG"/>
      </w:pPr>
      <w:r>
        <w:t>Peaceful</w:t>
      </w:r>
      <w:r w:rsidR="00320A84">
        <w:t>, competitive</w:t>
      </w:r>
      <w:r>
        <w:t xml:space="preserve"> and largely inclusive p</w:t>
      </w:r>
      <w:r w:rsidR="00773367" w:rsidRPr="00513802">
        <w:t>residential elections were held in Ukraine</w:t>
      </w:r>
      <w:r w:rsidR="00374382" w:rsidRPr="00513802">
        <w:t xml:space="preserve"> during the reporting period</w:t>
      </w:r>
      <w:r w:rsidR="00773367" w:rsidRPr="00513802">
        <w:t>. The first round of elections was held on 31 March</w:t>
      </w:r>
      <w:r w:rsidR="008B5C1B">
        <w:t xml:space="preserve"> 2019</w:t>
      </w:r>
      <w:r w:rsidR="00773367" w:rsidRPr="00513802">
        <w:t>, the second round on 21 April</w:t>
      </w:r>
      <w:r w:rsidR="008B5C1B">
        <w:t xml:space="preserve"> 2019</w:t>
      </w:r>
      <w:r w:rsidR="00773367" w:rsidRPr="00513802">
        <w:t xml:space="preserve">. Despite </w:t>
      </w:r>
      <w:r w:rsidR="008F0119">
        <w:t>tensions existing between supporters of competing</w:t>
      </w:r>
      <w:r w:rsidR="00632072">
        <w:t xml:space="preserve"> candidates</w:t>
      </w:r>
      <w:r w:rsidR="008F0119">
        <w:t xml:space="preserve">, expressed in </w:t>
      </w:r>
      <w:r w:rsidR="00773367" w:rsidRPr="00513802">
        <w:t xml:space="preserve">numerous mass assemblies that preceded the first round, the electoral process was </w:t>
      </w:r>
      <w:r w:rsidR="00374382" w:rsidRPr="00513802">
        <w:t xml:space="preserve">generally </w:t>
      </w:r>
      <w:r w:rsidR="00773367" w:rsidRPr="00513802">
        <w:t>peaceful</w:t>
      </w:r>
      <w:r w:rsidR="00C51D64" w:rsidRPr="00513802">
        <w:t xml:space="preserve"> and ensured a smooth democratic transition</w:t>
      </w:r>
      <w:r w:rsidR="00773367" w:rsidRPr="00513802">
        <w:t>. OHCHR did not document any incidents of election-related violence</w:t>
      </w:r>
      <w:r w:rsidR="007C7750" w:rsidRPr="00513802">
        <w:t xml:space="preserve"> throughout the election process, including the second round.</w:t>
      </w:r>
      <w:r>
        <w:t xml:space="preserve"> </w:t>
      </w:r>
      <w:r w:rsidR="000E7A05">
        <w:t>However, p</w:t>
      </w:r>
      <w:r w:rsidR="000E7A05" w:rsidRPr="000037B1">
        <w:t xml:space="preserve">rocedures for registering to </w:t>
      </w:r>
      <w:r w:rsidR="007A58EB">
        <w:t xml:space="preserve">temporarily change their voting location </w:t>
      </w:r>
      <w:r w:rsidR="00280AB5">
        <w:t>were especially burdensome</w:t>
      </w:r>
      <w:r w:rsidR="000E7A05" w:rsidRPr="000037B1">
        <w:t xml:space="preserve"> for IDPs, and persons </w:t>
      </w:r>
      <w:r w:rsidR="000E7A05" w:rsidRPr="000037B1">
        <w:lastRenderedPageBreak/>
        <w:t>with disabilities.</w:t>
      </w:r>
      <w:r w:rsidR="000E7A05" w:rsidRPr="000037B1">
        <w:rPr>
          <w:rStyle w:val="FootnoteReference"/>
        </w:rPr>
        <w:footnoteReference w:id="84"/>
      </w:r>
      <w:r w:rsidR="000E7A05" w:rsidRPr="000037B1">
        <w:t xml:space="preserve"> This also affected residents of territory controlled by </w:t>
      </w:r>
      <w:r w:rsidR="00BF24AB">
        <w:t>’Donetsk people’s republic’ and ‘Luhansk people’s republic’</w:t>
      </w:r>
      <w:r w:rsidR="000E7A05" w:rsidRPr="000037B1">
        <w:t xml:space="preserve">, and </w:t>
      </w:r>
      <w:r w:rsidR="005F1B39">
        <w:t>OHCHR</w:t>
      </w:r>
      <w:r w:rsidR="000E7A05" w:rsidRPr="000037B1">
        <w:t xml:space="preserve"> noted an unusually low number of persons crossing the contact line on that day, and in particular few for the purpose of voting.</w:t>
      </w:r>
    </w:p>
    <w:p w14:paraId="32C094C9" w14:textId="77777777" w:rsidR="004713AC" w:rsidRPr="00513802" w:rsidRDefault="00256B96" w:rsidP="00DC0D28">
      <w:pPr>
        <w:pStyle w:val="H23G"/>
        <w:rPr>
          <w:lang w:val="en-NZ"/>
        </w:rPr>
      </w:pPr>
      <w:bookmarkStart w:id="253" w:name="_Toc525031943"/>
      <w:bookmarkStart w:id="254" w:name="_Toc525034462"/>
      <w:bookmarkStart w:id="255" w:name="_Toc525035806"/>
      <w:r w:rsidRPr="00513802">
        <w:rPr>
          <w:lang w:val="en-NZ"/>
        </w:rPr>
        <w:tab/>
      </w:r>
      <w:bookmarkStart w:id="256" w:name="_Toc514403012"/>
      <w:bookmarkStart w:id="257" w:name="_Toc514404258"/>
      <w:bookmarkStart w:id="258" w:name="_Toc514404284"/>
      <w:bookmarkStart w:id="259" w:name="_Toc514410231"/>
      <w:bookmarkStart w:id="260" w:name="_Toc514417642"/>
      <w:bookmarkStart w:id="261" w:name="_Toc514769291"/>
      <w:bookmarkStart w:id="262" w:name="_Toc521518097"/>
      <w:bookmarkStart w:id="263" w:name="_Toc523729933"/>
      <w:bookmarkStart w:id="264" w:name="_Toc523733557"/>
      <w:bookmarkStart w:id="265" w:name="_Toc523734217"/>
      <w:bookmarkStart w:id="266" w:name="_Toc523737846"/>
      <w:bookmarkStart w:id="267" w:name="_Toc523737877"/>
      <w:bookmarkStart w:id="268" w:name="_Toc11165982"/>
      <w:r w:rsidRPr="00DC0D28">
        <w:t>Freedom</w:t>
      </w:r>
      <w:r w:rsidRPr="00513802">
        <w:rPr>
          <w:lang w:val="en-NZ"/>
        </w:rPr>
        <w:t xml:space="preserve"> of opinion and expression and freedom of the media</w:t>
      </w:r>
      <w:bookmarkStart w:id="269" w:name="_Toc521518099"/>
      <w:bookmarkStart w:id="270" w:name="_Toc523729935"/>
      <w:bookmarkStart w:id="271" w:name="_Toc523733559"/>
      <w:bookmarkStart w:id="272" w:name="_Toc523734219"/>
      <w:bookmarkStart w:id="273" w:name="_Toc523737848"/>
      <w:bookmarkStart w:id="274" w:name="_Toc523737879"/>
      <w:bookmarkStart w:id="275" w:name="_Toc525031945"/>
      <w:bookmarkStart w:id="276" w:name="_Toc525034464"/>
      <w:bookmarkStart w:id="277" w:name="_Toc525035808"/>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p>
    <w:p w14:paraId="4DE79349" w14:textId="5C5D473B" w:rsidR="00DD390D" w:rsidRPr="00313F3A" w:rsidRDefault="00D03CE5" w:rsidP="001232C6">
      <w:pPr>
        <w:pStyle w:val="SingleTxtG"/>
      </w:pPr>
      <w:r w:rsidRPr="00513802">
        <w:t xml:space="preserve">OHCHR documented violations to the freedoms of opinion and expression as well as that of the media. In particular, </w:t>
      </w:r>
      <w:r w:rsidR="00C239CF" w:rsidRPr="00513802">
        <w:t xml:space="preserve">investigations and </w:t>
      </w:r>
      <w:r w:rsidRPr="00513802">
        <w:t>court cases launched in the context of attacks by individuals against those exercising their civic freedoms were subject to delays</w:t>
      </w:r>
      <w:r w:rsidR="00C239CF" w:rsidRPr="00513802">
        <w:t xml:space="preserve"> and inappropriate qualification of the charges</w:t>
      </w:r>
      <w:r w:rsidRPr="00513802">
        <w:t xml:space="preserve">. </w:t>
      </w:r>
    </w:p>
    <w:p w14:paraId="7FA172A2" w14:textId="3FA73098" w:rsidR="005B0EAE" w:rsidRPr="00513802" w:rsidRDefault="005B0EAE" w:rsidP="001232C6">
      <w:pPr>
        <w:pStyle w:val="SingleTxtG"/>
      </w:pPr>
      <w:r w:rsidRPr="00513802">
        <w:t>OHCHR is concerned about potential violations to the freedom of the media</w:t>
      </w:r>
      <w:r w:rsidR="007A34C6">
        <w:t xml:space="preserve">, and specifically </w:t>
      </w:r>
      <w:r w:rsidR="005318CD" w:rsidRPr="00513802">
        <w:t xml:space="preserve">about the possible negative impact of </w:t>
      </w:r>
      <w:r w:rsidRPr="00513802">
        <w:t>court cases where the prosecution has requested access to information that should be protected, including to personal data of journalists’ sources.</w:t>
      </w:r>
      <w:r w:rsidR="00D03CE5" w:rsidRPr="000037B1">
        <w:rPr>
          <w:rStyle w:val="FootnoteReference"/>
          <w:bCs/>
          <w:sz w:val="20"/>
        </w:rPr>
        <w:footnoteReference w:id="85"/>
      </w:r>
      <w:r w:rsidR="00D03CE5" w:rsidRPr="00513802">
        <w:t xml:space="preserve"> </w:t>
      </w:r>
      <w:r w:rsidRPr="00513802">
        <w:t>It commends the decision of the Kyiv court of appeal to refuse such access in one case.</w:t>
      </w:r>
      <w:r w:rsidR="00D03CE5" w:rsidRPr="000037B1">
        <w:rPr>
          <w:rStyle w:val="FootnoteReference"/>
          <w:sz w:val="20"/>
        </w:rPr>
        <w:footnoteReference w:id="86"/>
      </w:r>
    </w:p>
    <w:p w14:paraId="7EAA87CC" w14:textId="46401E16" w:rsidR="005B0EAE" w:rsidRPr="00513802" w:rsidRDefault="005B0EAE" w:rsidP="001232C6">
      <w:pPr>
        <w:pStyle w:val="SingleTxtG"/>
      </w:pPr>
      <w:r w:rsidRPr="00513802">
        <w:t xml:space="preserve">OHCHR </w:t>
      </w:r>
      <w:r w:rsidR="00B47290">
        <w:t>is alarme</w:t>
      </w:r>
      <w:r w:rsidRPr="00513802">
        <w:t xml:space="preserve">d about other interference in the work of media professionals, in particular, physical attacks and acts of intimidation by </w:t>
      </w:r>
      <w:r w:rsidR="00DD390D" w:rsidRPr="00513802">
        <w:t>a variety of actors</w:t>
      </w:r>
      <w:r w:rsidR="00B83E05">
        <w:t xml:space="preserve">. </w:t>
      </w:r>
      <w:r w:rsidR="00F36DDA">
        <w:t xml:space="preserve">In one case, </w:t>
      </w:r>
      <w:r w:rsidR="00F36DDA">
        <w:rPr>
          <w:rStyle w:val="5yl5"/>
        </w:rPr>
        <w:t>a</w:t>
      </w:r>
      <w:r w:rsidR="00B83E05" w:rsidRPr="000037B1">
        <w:rPr>
          <w:rStyle w:val="5yl5"/>
          <w:lang w:val="en-US"/>
        </w:rPr>
        <w:t xml:space="preserve">n </w:t>
      </w:r>
      <w:r w:rsidR="00B83E05" w:rsidRPr="00B83E05">
        <w:t>unidentified</w:t>
      </w:r>
      <w:r w:rsidR="00B83E05" w:rsidRPr="000037B1">
        <w:t xml:space="preserve"> individual attacked a well-known investigative journalist on 4 May </w:t>
      </w:r>
      <w:r w:rsidR="008B5C1B">
        <w:t>2019</w:t>
      </w:r>
      <w:r w:rsidR="00B83E05" w:rsidRPr="000037B1">
        <w:t xml:space="preserve"> in Cherkasy, placing him in a coma.</w:t>
      </w:r>
      <w:r w:rsidR="00B83E05" w:rsidRPr="00597DC6">
        <w:rPr>
          <w:vertAlign w:val="superscript"/>
        </w:rPr>
        <w:footnoteReference w:id="87"/>
      </w:r>
      <w:r w:rsidRPr="00513802">
        <w:t xml:space="preserve"> </w:t>
      </w:r>
      <w:r w:rsidR="00F36DDA">
        <w:t>In another</w:t>
      </w:r>
      <w:r w:rsidRPr="00513802">
        <w:t xml:space="preserve"> case, on 6 March 2019, representatives of the local authorities attacked journalists and </w:t>
      </w:r>
      <w:r w:rsidR="00617D7C">
        <w:t xml:space="preserve">members of the </w:t>
      </w:r>
      <w:r w:rsidR="00AB3E3F">
        <w:t>film crew</w:t>
      </w:r>
      <w:r w:rsidRPr="00513802">
        <w:t xml:space="preserve"> of the investigative television programme “Schemy” in the premises of Chabany village council in Kyiv region. While police have opened an investigation into the attack, OHCHR is concerned that they have classified it exclusively as ‘interference into the activities of journalists’</w:t>
      </w:r>
      <w:r w:rsidR="004F6D20">
        <w:t>,</w:t>
      </w:r>
      <w:r w:rsidRPr="00513802">
        <w:t xml:space="preserve"> disregarding other possible charges, even though the victims were injured.</w:t>
      </w:r>
      <w:r w:rsidRPr="000037B1">
        <w:rPr>
          <w:rStyle w:val="FootnoteReference"/>
          <w:bCs/>
          <w:sz w:val="20"/>
        </w:rPr>
        <w:footnoteReference w:id="88"/>
      </w:r>
      <w:r w:rsidRPr="00513802">
        <w:t xml:space="preserve"> </w:t>
      </w:r>
    </w:p>
    <w:p w14:paraId="10570734" w14:textId="3F0E1B08" w:rsidR="00476B3A" w:rsidRPr="004007C7" w:rsidRDefault="00AB3E3F" w:rsidP="001232C6">
      <w:pPr>
        <w:pStyle w:val="SingleTxtG"/>
      </w:pPr>
      <w:r>
        <w:t xml:space="preserve">OHCHR commends progress </w:t>
      </w:r>
      <w:r w:rsidR="003F1BDC">
        <w:t>in</w:t>
      </w:r>
      <w:r w:rsidR="003F1BDC" w:rsidRPr="003F1BDC">
        <w:t xml:space="preserve"> </w:t>
      </w:r>
      <w:r w:rsidR="0081520F" w:rsidRPr="003F1BDC">
        <w:t xml:space="preserve">the </w:t>
      </w:r>
      <w:r>
        <w:t xml:space="preserve">case </w:t>
      </w:r>
      <w:r w:rsidR="001703F8" w:rsidRPr="003F1BDC">
        <w:t>of the lethal attack against Kateryna Handziuk</w:t>
      </w:r>
      <w:r w:rsidR="0081520F" w:rsidRPr="004007C7">
        <w:t>,</w:t>
      </w:r>
      <w:r w:rsidR="004007C7" w:rsidRPr="004007C7">
        <w:rPr>
          <w:rStyle w:val="FootnoteReference"/>
          <w:sz w:val="20"/>
        </w:rPr>
        <w:footnoteReference w:id="89"/>
      </w:r>
      <w:r w:rsidR="00F24273" w:rsidRPr="004007C7">
        <w:t xml:space="preserve"> </w:t>
      </w:r>
      <w:r w:rsidR="00B2502B" w:rsidRPr="004007C7">
        <w:t>but</w:t>
      </w:r>
      <w:r w:rsidR="00476B3A" w:rsidRPr="004007C7">
        <w:t xml:space="preserve"> the </w:t>
      </w:r>
      <w:r w:rsidR="008F0119" w:rsidRPr="004007C7">
        <w:t xml:space="preserve">trial </w:t>
      </w:r>
      <w:r w:rsidR="00374382" w:rsidRPr="004007C7">
        <w:t xml:space="preserve">appears </w:t>
      </w:r>
      <w:r w:rsidR="000D259D" w:rsidRPr="004007C7">
        <w:t>protracted</w:t>
      </w:r>
      <w:r w:rsidR="00476B3A" w:rsidRPr="004007C7">
        <w:t>.</w:t>
      </w:r>
      <w:r w:rsidR="00476B3A" w:rsidRPr="004007C7">
        <w:rPr>
          <w:rStyle w:val="FootnoteReference"/>
          <w:bCs/>
          <w:sz w:val="20"/>
        </w:rPr>
        <w:footnoteReference w:id="90"/>
      </w:r>
      <w:r w:rsidR="00D35B9F" w:rsidRPr="004007C7">
        <w:t xml:space="preserve"> On 23 April</w:t>
      </w:r>
      <w:r w:rsidR="008B5C1B" w:rsidRPr="004007C7">
        <w:t xml:space="preserve"> 2019</w:t>
      </w:r>
      <w:r w:rsidR="00D35B9F" w:rsidRPr="004007C7">
        <w:t xml:space="preserve">, the prosecution </w:t>
      </w:r>
      <w:r w:rsidR="001703F8" w:rsidRPr="004007C7">
        <w:t xml:space="preserve">changed the </w:t>
      </w:r>
      <w:r w:rsidR="00D35B9F" w:rsidRPr="004007C7">
        <w:t>classification of the crime</w:t>
      </w:r>
      <w:r w:rsidR="003F1BDC" w:rsidRPr="004007C7">
        <w:t>, with</w:t>
      </w:r>
      <w:r w:rsidR="001703F8" w:rsidRPr="004007C7">
        <w:t xml:space="preserve"> </w:t>
      </w:r>
      <w:r w:rsidR="003F1BDC" w:rsidRPr="004007C7">
        <w:t>t</w:t>
      </w:r>
      <w:r w:rsidR="00D35B9F" w:rsidRPr="004007C7">
        <w:t>he five alleged suspects, previously charged with murder,</w:t>
      </w:r>
      <w:r w:rsidR="004007C7" w:rsidRPr="004007C7">
        <w:rPr>
          <w:rStyle w:val="FootnoteReference"/>
          <w:sz w:val="20"/>
        </w:rPr>
        <w:footnoteReference w:id="91"/>
      </w:r>
      <w:r w:rsidR="00D35B9F" w:rsidRPr="004007C7">
        <w:t xml:space="preserve"> now charged with “aggravated intended grievous bodily injury”</w:t>
      </w:r>
      <w:r w:rsidR="00DA7A32" w:rsidRPr="004007C7">
        <w:t>,</w:t>
      </w:r>
      <w:r w:rsidR="004007C7" w:rsidRPr="004007C7">
        <w:rPr>
          <w:rStyle w:val="FootnoteReference"/>
          <w:sz w:val="20"/>
        </w:rPr>
        <w:t xml:space="preserve"> </w:t>
      </w:r>
      <w:r w:rsidR="004007C7" w:rsidRPr="004007C7">
        <w:rPr>
          <w:rStyle w:val="FootnoteReference"/>
          <w:sz w:val="20"/>
        </w:rPr>
        <w:footnoteReference w:id="92"/>
      </w:r>
      <w:r w:rsidR="00DA7A32" w:rsidRPr="004007C7">
        <w:t xml:space="preserve"> which carries a lighter sentence</w:t>
      </w:r>
      <w:r w:rsidR="00D35B9F" w:rsidRPr="004007C7">
        <w:t>.</w:t>
      </w:r>
      <w:r w:rsidR="001D2B4D" w:rsidRPr="004007C7">
        <w:rPr>
          <w:rStyle w:val="FootnoteReference"/>
          <w:sz w:val="20"/>
        </w:rPr>
        <w:footnoteReference w:id="93"/>
      </w:r>
      <w:r w:rsidR="00D35B9F" w:rsidRPr="004007C7">
        <w:t xml:space="preserve"> </w:t>
      </w:r>
    </w:p>
    <w:p w14:paraId="413D75FC" w14:textId="00D8D06F" w:rsidR="00A26A79" w:rsidRDefault="007E6B8A" w:rsidP="001232C6">
      <w:pPr>
        <w:pStyle w:val="SingleTxtG"/>
      </w:pPr>
      <w:r w:rsidRPr="000037B1">
        <w:t xml:space="preserve">OHCHR is concerned about lack of accountability for attacks on journalists and media professionals. For example, journalist Oles Buzyna was killed </w:t>
      </w:r>
      <w:r w:rsidR="003E1618">
        <w:t>four</w:t>
      </w:r>
      <w:r w:rsidR="003E1618" w:rsidRPr="000037B1">
        <w:t xml:space="preserve"> </w:t>
      </w:r>
      <w:r w:rsidRPr="000037B1">
        <w:t>years ago.</w:t>
      </w:r>
      <w:r w:rsidRPr="000037B1">
        <w:rPr>
          <w:rStyle w:val="FootnoteReference"/>
          <w:lang w:val="en-US"/>
        </w:rPr>
        <w:footnoteReference w:id="94"/>
      </w:r>
      <w:r w:rsidRPr="000037B1">
        <w:t xml:space="preserve"> In the subsequent trial, which lasted 1 year and 4 months, the judge presiding in the case recused himself from the case on 6 May 2019, stating that</w:t>
      </w:r>
      <w:r w:rsidR="00EE0B3C">
        <w:t xml:space="preserve"> the defence had attempted to discredit him and his colleagues, potentially affecting</w:t>
      </w:r>
      <w:r w:rsidRPr="000037B1">
        <w:t xml:space="preserve"> his impartiality.</w:t>
      </w:r>
      <w:r w:rsidR="00221F86">
        <w:t xml:space="preserve"> The case will </w:t>
      </w:r>
      <w:r w:rsidR="00F24273">
        <w:t>now</w:t>
      </w:r>
      <w:r w:rsidR="00221F86">
        <w:t xml:space="preserve"> be retried.</w:t>
      </w:r>
    </w:p>
    <w:p w14:paraId="5965132B" w14:textId="746C4931" w:rsidR="005F542D" w:rsidRPr="005F542D" w:rsidRDefault="005F542D" w:rsidP="001232C6">
      <w:pPr>
        <w:pStyle w:val="SingleTxtG"/>
      </w:pPr>
      <w:r w:rsidRPr="005F542D">
        <w:t xml:space="preserve">The ability to enjoy freedoms of opinion and expression remains highly limited in territory controlled by ‘Donetsk people’s republic’ and ‘Luhansk people’s republic’. Based </w:t>
      </w:r>
      <w:r w:rsidRPr="005F542D">
        <w:lastRenderedPageBreak/>
        <w:t>on OHCHR media monitoring, critical, independent media operating in territory controlled by ‘Donetsk people’s republic’ and ‘Luhansk people’s republic</w:t>
      </w:r>
      <w:r w:rsidR="00260A4A">
        <w:t xml:space="preserve"> has </w:t>
      </w:r>
      <w:r w:rsidR="002A5651">
        <w:t xml:space="preserve">yet to be </w:t>
      </w:r>
      <w:r w:rsidR="00260A4A">
        <w:t>identified</w:t>
      </w:r>
      <w:r w:rsidRPr="005F542D">
        <w:t xml:space="preserve">. </w:t>
      </w:r>
    </w:p>
    <w:p w14:paraId="64F0AFCB" w14:textId="1684E467" w:rsidR="0099521E" w:rsidRPr="00191BD7" w:rsidRDefault="00191BD7" w:rsidP="0099521E">
      <w:pPr>
        <w:pStyle w:val="H23G"/>
      </w:pPr>
      <w:bookmarkStart w:id="278" w:name="_Toc10750984"/>
      <w:bookmarkStart w:id="279" w:name="_Toc11165983"/>
      <w:bookmarkEnd w:id="278"/>
      <w:r w:rsidRPr="00191BD7">
        <w:t xml:space="preserve">Language </w:t>
      </w:r>
      <w:r w:rsidR="00505B57">
        <w:t>r</w:t>
      </w:r>
      <w:r w:rsidRPr="00191BD7">
        <w:t>ights</w:t>
      </w:r>
      <w:bookmarkEnd w:id="279"/>
    </w:p>
    <w:p w14:paraId="3CA17246" w14:textId="7EB34A69" w:rsidR="008E494A" w:rsidRPr="00513802" w:rsidRDefault="008E494A" w:rsidP="001232C6">
      <w:pPr>
        <w:pStyle w:val="SingleTxtG"/>
      </w:pPr>
      <w:bookmarkStart w:id="280" w:name="_Toc514403013"/>
      <w:bookmarkStart w:id="281" w:name="_Toc514404259"/>
      <w:bookmarkStart w:id="282" w:name="_Toc514404285"/>
      <w:bookmarkStart w:id="283" w:name="_Toc514410232"/>
      <w:bookmarkStart w:id="284" w:name="_Toc514417643"/>
      <w:bookmarkStart w:id="285" w:name="_Toc514769292"/>
      <w:bookmarkStart w:id="286" w:name="_Toc521518098"/>
      <w:bookmarkStart w:id="287" w:name="_Toc523729934"/>
      <w:bookmarkStart w:id="288" w:name="_Toc523733558"/>
      <w:bookmarkStart w:id="289" w:name="_Toc523734218"/>
      <w:bookmarkStart w:id="290" w:name="_Toc523737847"/>
      <w:bookmarkStart w:id="291" w:name="_Toc523737878"/>
      <w:bookmarkStart w:id="292" w:name="_Toc525031944"/>
      <w:bookmarkStart w:id="293" w:name="_Toc525034463"/>
      <w:bookmarkStart w:id="294" w:name="_Toc525035807"/>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r w:rsidRPr="00513802">
        <w:t xml:space="preserve">On </w:t>
      </w:r>
      <w:r w:rsidR="0063750B">
        <w:t>25</w:t>
      </w:r>
      <w:r w:rsidR="0063750B" w:rsidRPr="00513802">
        <w:t xml:space="preserve"> </w:t>
      </w:r>
      <w:r w:rsidRPr="00513802">
        <w:t xml:space="preserve">April 2019, the Parliament of Ukraine approved a law which lays the ground for a new language policy focused </w:t>
      </w:r>
      <w:r w:rsidR="00DA7A32">
        <w:t>on</w:t>
      </w:r>
      <w:r w:rsidR="00DA7A32" w:rsidRPr="00513802">
        <w:t xml:space="preserve"> </w:t>
      </w:r>
      <w:r w:rsidRPr="00513802">
        <w:t>strengthening the role of the official language.</w:t>
      </w:r>
      <w:r w:rsidR="00CD2646" w:rsidRPr="000037B1">
        <w:rPr>
          <w:rStyle w:val="FootnoteReference"/>
          <w:sz w:val="20"/>
        </w:rPr>
        <w:footnoteReference w:id="95"/>
      </w:r>
      <w:r w:rsidRPr="00513802">
        <w:t xml:space="preserve"> OHCHR </w:t>
      </w:r>
      <w:r w:rsidR="0063750B">
        <w:t>notes</w:t>
      </w:r>
      <w:r w:rsidR="0063750B" w:rsidRPr="00513802">
        <w:t xml:space="preserve"> </w:t>
      </w:r>
      <w:r w:rsidRPr="00513802">
        <w:t>that the final version of this law reflects a more balanced approach</w:t>
      </w:r>
      <w:r w:rsidR="00325080">
        <w:t xml:space="preserve">, </w:t>
      </w:r>
      <w:r w:rsidRPr="00513802">
        <w:t>compared to the text of the draft law adopted in the first reading,</w:t>
      </w:r>
      <w:r w:rsidRPr="000037B1">
        <w:rPr>
          <w:rStyle w:val="FootnoteReference"/>
          <w:sz w:val="20"/>
        </w:rPr>
        <w:footnoteReference w:id="96"/>
      </w:r>
      <w:r w:rsidR="0081520F" w:rsidRPr="00513802">
        <w:t xml:space="preserve"> </w:t>
      </w:r>
      <w:r w:rsidRPr="00513802">
        <w:t xml:space="preserve">particularly in respect to language proficiency requirements for accessing public office, as well as to the linguistic requirements in the electoral process, in </w:t>
      </w:r>
      <w:r w:rsidR="00140A61">
        <w:t>printed</w:t>
      </w:r>
      <w:r w:rsidR="00140A61" w:rsidRPr="00513802">
        <w:t xml:space="preserve"> </w:t>
      </w:r>
      <w:r w:rsidRPr="00513802">
        <w:t>media and in commercial spheres. It also</w:t>
      </w:r>
      <w:r w:rsidR="00FC70CD">
        <w:t xml:space="preserve"> aims to</w:t>
      </w:r>
      <w:r w:rsidRPr="00513802">
        <w:t xml:space="preserve"> ensure adequate educational opportunities, such as preparatory language training programmes.</w:t>
      </w:r>
      <w:r w:rsidR="0063750B">
        <w:t xml:space="preserve"> </w:t>
      </w:r>
    </w:p>
    <w:p w14:paraId="2ADC3CD2" w14:textId="033B091B" w:rsidR="006A7FD7" w:rsidRPr="00513802" w:rsidRDefault="008E494A" w:rsidP="001232C6">
      <w:pPr>
        <w:pStyle w:val="SingleTxtG"/>
      </w:pPr>
      <w:r w:rsidRPr="00513802">
        <w:t>However, the main concern remains that</w:t>
      </w:r>
      <w:r w:rsidR="00B8383C">
        <w:t>,</w:t>
      </w:r>
      <w:r w:rsidRPr="00513802">
        <w:t xml:space="preserve"> in the absence of special legislation regulating the use of minority languages in Ukraine, the </w:t>
      </w:r>
      <w:r w:rsidR="001D00D4">
        <w:t>legal</w:t>
      </w:r>
      <w:r w:rsidR="001D00D4" w:rsidRPr="00513802">
        <w:t xml:space="preserve"> </w:t>
      </w:r>
      <w:r w:rsidRPr="00513802">
        <w:t xml:space="preserve">framework does not provide sufficient guarantees for the protection and use of minority languages. </w:t>
      </w:r>
      <w:r w:rsidR="00D036D2">
        <w:t>The</w:t>
      </w:r>
      <w:r w:rsidR="00320B00">
        <w:t xml:space="preserve"> law</w:t>
      </w:r>
      <w:r w:rsidR="00D036D2">
        <w:t xml:space="preserve"> </w:t>
      </w:r>
      <w:r w:rsidR="009F3B22">
        <w:t xml:space="preserve">thus </w:t>
      </w:r>
      <w:r w:rsidR="00524658">
        <w:t>requires</w:t>
      </w:r>
      <w:r w:rsidR="0021309A" w:rsidRPr="0021309A">
        <w:t xml:space="preserve"> the Cabinet of Ministers </w:t>
      </w:r>
      <w:r w:rsidR="00524658">
        <w:t>to</w:t>
      </w:r>
      <w:r w:rsidR="0021309A" w:rsidRPr="0021309A">
        <w:t xml:space="preserve"> submit to the Parliament a</w:t>
      </w:r>
      <w:r w:rsidR="00645EAD" w:rsidRPr="0021309A">
        <w:t xml:space="preserve"> </w:t>
      </w:r>
      <w:r w:rsidR="00BB6656" w:rsidRPr="0021309A">
        <w:t xml:space="preserve">draft law </w:t>
      </w:r>
      <w:r w:rsidR="0021309A" w:rsidRPr="0021309A">
        <w:t>on the reali</w:t>
      </w:r>
      <w:r w:rsidR="007C52EC">
        <w:t>s</w:t>
      </w:r>
      <w:r w:rsidR="0021309A" w:rsidRPr="0021309A">
        <w:t>ation of the rights of indigenous peoples and national minorities of Ukraine</w:t>
      </w:r>
      <w:r w:rsidR="0021309A" w:rsidRPr="0021309A" w:rsidDel="00730EB4">
        <w:t xml:space="preserve"> </w:t>
      </w:r>
      <w:r w:rsidR="000D63B0">
        <w:t>by January 2020.</w:t>
      </w:r>
      <w:r w:rsidR="000D63B0">
        <w:rPr>
          <w:rStyle w:val="FootnoteReference"/>
        </w:rPr>
        <w:footnoteReference w:id="97"/>
      </w:r>
      <w:r w:rsidRPr="00513802">
        <w:t xml:space="preserve"> </w:t>
      </w:r>
      <w:r w:rsidR="0081520F" w:rsidRPr="00513802">
        <w:t xml:space="preserve">It is also concerning </w:t>
      </w:r>
      <w:r w:rsidRPr="00513802">
        <w:t xml:space="preserve">that the legislator continues </w:t>
      </w:r>
      <w:r w:rsidR="00DA7A32">
        <w:t>to distinguish</w:t>
      </w:r>
      <w:r w:rsidR="00DA7A32" w:rsidRPr="00513802">
        <w:t xml:space="preserve"> </w:t>
      </w:r>
      <w:r w:rsidRPr="00513802">
        <w:t>between minorities speaking an official language of the EU and other national minorities.</w:t>
      </w:r>
      <w:r w:rsidRPr="000037B1">
        <w:rPr>
          <w:rStyle w:val="FootnoteReference"/>
          <w:sz w:val="20"/>
        </w:rPr>
        <w:footnoteReference w:id="98"/>
      </w:r>
      <w:r w:rsidR="006A7FD7" w:rsidRPr="00513802">
        <w:t xml:space="preserve"> </w:t>
      </w:r>
    </w:p>
    <w:p w14:paraId="5A50A04C" w14:textId="0F0C281D" w:rsidR="004668EA" w:rsidRPr="00421AB2" w:rsidRDefault="004668EA" w:rsidP="00F3733B">
      <w:pPr>
        <w:pStyle w:val="H23G"/>
      </w:pPr>
      <w:bookmarkStart w:id="295" w:name="_Toc11165984"/>
      <w:bookmarkEnd w:id="269"/>
      <w:bookmarkEnd w:id="270"/>
      <w:bookmarkEnd w:id="271"/>
      <w:bookmarkEnd w:id="272"/>
      <w:bookmarkEnd w:id="273"/>
      <w:bookmarkEnd w:id="274"/>
      <w:bookmarkEnd w:id="275"/>
      <w:bookmarkEnd w:id="276"/>
      <w:bookmarkEnd w:id="277"/>
      <w:r>
        <w:t>Freedom of peaceful assembly and association</w:t>
      </w:r>
      <w:bookmarkEnd w:id="295"/>
    </w:p>
    <w:p w14:paraId="41A7EE7F" w14:textId="6E19A697" w:rsidR="00476B3A" w:rsidRPr="000037B1" w:rsidRDefault="00476B3A" w:rsidP="001232C6">
      <w:pPr>
        <w:pStyle w:val="SingleTxtG"/>
        <w:rPr>
          <w:b/>
        </w:rPr>
      </w:pPr>
      <w:bookmarkStart w:id="296" w:name="_Toc521518100"/>
      <w:bookmarkStart w:id="297" w:name="_Toc523729936"/>
      <w:bookmarkStart w:id="298" w:name="_Toc523733560"/>
      <w:bookmarkStart w:id="299" w:name="_Toc523734220"/>
      <w:bookmarkStart w:id="300" w:name="_Toc523737849"/>
      <w:bookmarkStart w:id="301" w:name="_Toc523737880"/>
      <w:bookmarkStart w:id="302" w:name="_Toc525031946"/>
      <w:bookmarkStart w:id="303" w:name="_Toc525034465"/>
      <w:bookmarkStart w:id="304" w:name="_Toc525035809"/>
      <w:r w:rsidRPr="00513802">
        <w:t xml:space="preserve">Before the first round of the </w:t>
      </w:r>
      <w:r w:rsidR="00C36DB6">
        <w:t>P</w:t>
      </w:r>
      <w:r w:rsidRPr="00513802">
        <w:t xml:space="preserve">residential elections, OHCHR observed an increase in </w:t>
      </w:r>
      <w:r w:rsidR="00C92A16" w:rsidRPr="00513802">
        <w:t xml:space="preserve">the </w:t>
      </w:r>
      <w:r w:rsidRPr="00513802">
        <w:t>number of peaceful assemblies organi</w:t>
      </w:r>
      <w:r w:rsidR="00FE690F">
        <w:t>s</w:t>
      </w:r>
      <w:r w:rsidRPr="00513802">
        <w:t xml:space="preserve">ed by </w:t>
      </w:r>
      <w:r w:rsidR="00C36DB6">
        <w:t>P</w:t>
      </w:r>
      <w:r w:rsidRPr="00513802">
        <w:t>residential candidates, civic activists and extreme right-wing groups. All assemblies</w:t>
      </w:r>
      <w:r w:rsidR="00C15891">
        <w:t xml:space="preserve">, including large assemblies </w:t>
      </w:r>
      <w:r w:rsidRPr="00513802">
        <w:t xml:space="preserve">monitored by OHCHR </w:t>
      </w:r>
      <w:r w:rsidR="00C15891">
        <w:t xml:space="preserve">on </w:t>
      </w:r>
      <w:r w:rsidR="007A58EB">
        <w:t xml:space="preserve">2 May </w:t>
      </w:r>
      <w:r w:rsidR="00DD4D5A">
        <w:t xml:space="preserve">2019 </w:t>
      </w:r>
      <w:r w:rsidR="007A58EB">
        <w:t xml:space="preserve">in Odesa, and on </w:t>
      </w:r>
      <w:r w:rsidR="00C15891">
        <w:t xml:space="preserve">9 May </w:t>
      </w:r>
      <w:r w:rsidR="00DD4D5A">
        <w:t xml:space="preserve">2019 </w:t>
      </w:r>
      <w:r w:rsidR="00C15891">
        <w:t xml:space="preserve">in Kharkiv, Kyiv and Odesa, </w:t>
      </w:r>
      <w:r w:rsidRPr="00513802">
        <w:t>were peaceful and sufficiently secured by law-enforcement</w:t>
      </w:r>
      <w:r w:rsidR="00374382" w:rsidRPr="00513802">
        <w:t xml:space="preserve"> agencies</w:t>
      </w:r>
      <w:r w:rsidRPr="00513802">
        <w:t>.</w:t>
      </w:r>
      <w:r w:rsidR="00262B1F" w:rsidRPr="00513802">
        <w:t xml:space="preserve"> </w:t>
      </w:r>
    </w:p>
    <w:p w14:paraId="6E1D50B8" w14:textId="6918F367" w:rsidR="00C92A16" w:rsidRPr="00513802" w:rsidRDefault="00476B3A" w:rsidP="001232C6">
      <w:pPr>
        <w:pStyle w:val="SingleTxtG"/>
      </w:pPr>
      <w:r w:rsidRPr="00513802">
        <w:t xml:space="preserve">OHCHR commends the professional conduct of the police during the peaceful events </w:t>
      </w:r>
      <w:r w:rsidR="00C92A16" w:rsidRPr="00513802">
        <w:t xml:space="preserve">organised in </w:t>
      </w:r>
      <w:r w:rsidRPr="00513802">
        <w:t>support of women’s rights throughout Ukraine</w:t>
      </w:r>
      <w:r w:rsidR="00C92A16" w:rsidRPr="00513802">
        <w:t xml:space="preserve"> on 8 March</w:t>
      </w:r>
      <w:r w:rsidR="008B5C1B">
        <w:t xml:space="preserve"> 2019</w:t>
      </w:r>
      <w:r w:rsidRPr="00513802">
        <w:t xml:space="preserve">. Participants of </w:t>
      </w:r>
      <w:r w:rsidR="00C92A16" w:rsidRPr="00513802">
        <w:t xml:space="preserve">these </w:t>
      </w:r>
      <w:r w:rsidRPr="00513802">
        <w:t xml:space="preserve">events in Kyiv, Uzhhorod, Kharkiv, Lviv, </w:t>
      </w:r>
      <w:r w:rsidR="00ED190F" w:rsidRPr="00513802">
        <w:t xml:space="preserve">and </w:t>
      </w:r>
      <w:r w:rsidRPr="00513802">
        <w:t>Mariupol were able to enjoy their right to freedom of peaceful assembly. In Kyiv</w:t>
      </w:r>
      <w:r w:rsidR="00C92A16" w:rsidRPr="00513802">
        <w:t>,</w:t>
      </w:r>
      <w:r w:rsidRPr="00513802">
        <w:t xml:space="preserve"> approximately 1500 people participated in the march to support women’s rights. While extreme right-wing groups protested against the march, police prevented them from disrupting it. </w:t>
      </w:r>
    </w:p>
    <w:p w14:paraId="6275543A" w14:textId="588FEEB8" w:rsidR="00476B3A" w:rsidRPr="000037B1" w:rsidRDefault="00C92A16" w:rsidP="001232C6">
      <w:pPr>
        <w:pStyle w:val="SingleTxtG"/>
        <w:rPr>
          <w:b/>
        </w:rPr>
      </w:pPr>
      <w:r w:rsidRPr="00513802">
        <w:t xml:space="preserve">Despite this positive development, </w:t>
      </w:r>
      <w:r w:rsidR="00476B3A" w:rsidRPr="00513802">
        <w:t xml:space="preserve">OHCHR is concerned about </w:t>
      </w:r>
      <w:r w:rsidRPr="00513802">
        <w:t xml:space="preserve">the </w:t>
      </w:r>
      <w:r w:rsidR="00476B3A" w:rsidRPr="00513802">
        <w:t xml:space="preserve">lack of accountability for </w:t>
      </w:r>
      <w:r w:rsidRPr="00513802">
        <w:t xml:space="preserve">prior </w:t>
      </w:r>
      <w:r w:rsidR="00476B3A" w:rsidRPr="00513802">
        <w:t>attacks on similar assemblies. For instance, attacks on women’s marches in Kyiv, Lviv and Uzhhorod on 8 March 2018 have not yet been investigated and perpetrators have not been brought to account.</w:t>
      </w:r>
      <w:r w:rsidR="00901E23" w:rsidRPr="00513802">
        <w:t xml:space="preserve"> </w:t>
      </w:r>
      <w:r w:rsidR="00A2526E" w:rsidRPr="00513802">
        <w:t>As long as such impunity remains unaddressed, space for the promotion and protection of fundamental freedoms is at risk.</w:t>
      </w:r>
    </w:p>
    <w:p w14:paraId="4A2D29F5" w14:textId="4AD9B4A5" w:rsidR="00476B3A" w:rsidRPr="009F3F46" w:rsidRDefault="00476B3A" w:rsidP="001232C6">
      <w:pPr>
        <w:pStyle w:val="SingleTxtG"/>
      </w:pPr>
      <w:r w:rsidRPr="009F3F46">
        <w:lastRenderedPageBreak/>
        <w:t>In territory controlled by ‘Donetsk people’s republic’ and ‘Luhansk people’s republic’</w:t>
      </w:r>
      <w:r w:rsidR="001D2B4D" w:rsidRPr="009F3F46">
        <w:t>,</w:t>
      </w:r>
      <w:r w:rsidRPr="009F3F46">
        <w:t xml:space="preserve"> OHCHR continues to observe an absence of free and peaceful assembl</w:t>
      </w:r>
      <w:r w:rsidR="00DA7A32" w:rsidRPr="009F3F46">
        <w:t>y</w:t>
      </w:r>
      <w:r w:rsidRPr="009F3F46">
        <w:t xml:space="preserve">. All assemblies observed during the reporting period were </w:t>
      </w:r>
      <w:r w:rsidR="00C36DB6">
        <w:t>reportedly</w:t>
      </w:r>
      <w:r w:rsidR="00C36DB6" w:rsidRPr="009F3F46">
        <w:t xml:space="preserve"> </w:t>
      </w:r>
      <w:r w:rsidRPr="009F3F46">
        <w:t>organi</w:t>
      </w:r>
      <w:r w:rsidR="001D2B4D" w:rsidRPr="009F3F46">
        <w:t>s</w:t>
      </w:r>
      <w:r w:rsidRPr="009F3F46">
        <w:t>ed by</w:t>
      </w:r>
      <w:r w:rsidR="00C92A16" w:rsidRPr="009F3F46">
        <w:t xml:space="preserve"> </w:t>
      </w:r>
      <w:r w:rsidR="001D2B4D" w:rsidRPr="009F3F46">
        <w:t>‘Donetsk people’s republic’ and ‘Luhansk people’s republic’</w:t>
      </w:r>
      <w:r w:rsidRPr="009F3F46">
        <w:t xml:space="preserve"> and participants</w:t>
      </w:r>
      <w:r w:rsidR="000D259D" w:rsidRPr="009F3F46">
        <w:t xml:space="preserve"> </w:t>
      </w:r>
      <w:r w:rsidR="00C36DB6">
        <w:t xml:space="preserve">reportedly </w:t>
      </w:r>
      <w:r w:rsidR="000D259D" w:rsidRPr="009F3F46">
        <w:t>did not express any critical views</w:t>
      </w:r>
      <w:r w:rsidR="00616D7F" w:rsidRPr="009F3F46">
        <w:t>.</w:t>
      </w:r>
    </w:p>
    <w:p w14:paraId="3AF95042" w14:textId="7C04A392" w:rsidR="00256B96" w:rsidRPr="00513802" w:rsidRDefault="00256B96" w:rsidP="00DC0D28">
      <w:pPr>
        <w:pStyle w:val="H23G"/>
        <w:rPr>
          <w:lang w:val="en-NZ"/>
        </w:rPr>
      </w:pPr>
      <w:bookmarkStart w:id="305" w:name="_Toc11165985"/>
      <w:r w:rsidRPr="00513802">
        <w:rPr>
          <w:lang w:val="en-NZ"/>
        </w:rPr>
        <w:t>Freedom of religion or belief</w:t>
      </w:r>
      <w:bookmarkEnd w:id="296"/>
      <w:bookmarkEnd w:id="297"/>
      <w:bookmarkEnd w:id="298"/>
      <w:bookmarkEnd w:id="299"/>
      <w:bookmarkEnd w:id="300"/>
      <w:bookmarkEnd w:id="301"/>
      <w:bookmarkEnd w:id="302"/>
      <w:bookmarkEnd w:id="303"/>
      <w:bookmarkEnd w:id="304"/>
      <w:bookmarkEnd w:id="305"/>
      <w:r w:rsidRPr="00513802">
        <w:rPr>
          <w:lang w:val="en-NZ"/>
        </w:rPr>
        <w:t xml:space="preserve"> </w:t>
      </w:r>
    </w:p>
    <w:p w14:paraId="4D243AD1" w14:textId="30B345CB" w:rsidR="00FE62DD" w:rsidRPr="00993173" w:rsidRDefault="00FE62DD" w:rsidP="001232C6">
      <w:pPr>
        <w:pStyle w:val="SingleTxtG"/>
      </w:pPr>
      <w:r w:rsidRPr="00993173">
        <w:t>OHCHR monitored the process of transition of churches and religious communities from the Ukrainian Orthodox Church to the newly-established Orthodox Church of Ukraine</w:t>
      </w:r>
      <w:r w:rsidR="00C92A16" w:rsidRPr="00993173">
        <w:t>,</w:t>
      </w:r>
      <w:r w:rsidRPr="00993173">
        <w:t xml:space="preserve"> noting that these processes are often </w:t>
      </w:r>
      <w:r w:rsidR="00C92A16" w:rsidRPr="00993173">
        <w:t>conflictual,</w:t>
      </w:r>
      <w:r w:rsidRPr="00993173">
        <w:t xml:space="preserve"> and in some cases</w:t>
      </w:r>
      <w:r w:rsidR="00A769B2">
        <w:t>, violence</w:t>
      </w:r>
      <w:r w:rsidRPr="00993173">
        <w:t xml:space="preserve"> </w:t>
      </w:r>
      <w:r w:rsidR="00A769B2">
        <w:t xml:space="preserve">occurred, involving </w:t>
      </w:r>
      <w:r w:rsidR="00D607E8" w:rsidRPr="00993173">
        <w:t xml:space="preserve">supporters of </w:t>
      </w:r>
      <w:r w:rsidR="00320A84">
        <w:t>both churches. OHCHR documented</w:t>
      </w:r>
      <w:r w:rsidR="004F6D20">
        <w:t xml:space="preserve"> </w:t>
      </w:r>
      <w:r w:rsidR="003E7682" w:rsidRPr="00993173">
        <w:t>nine cases in Kyiv and Rivne regions</w:t>
      </w:r>
      <w:r w:rsidR="00320A84">
        <w:t xml:space="preserve"> involving violence by supporters of the </w:t>
      </w:r>
      <w:r w:rsidR="00320A84" w:rsidRPr="00993173">
        <w:t>Orthodox Church of Ukraine</w:t>
      </w:r>
      <w:r w:rsidR="006B4D57" w:rsidRPr="00993173">
        <w:t>.</w:t>
      </w:r>
      <w:r w:rsidRPr="00993173">
        <w:t xml:space="preserve"> OHCHR is concerned </w:t>
      </w:r>
      <w:r w:rsidR="00C92A16" w:rsidRPr="00993173">
        <w:t xml:space="preserve">about the </w:t>
      </w:r>
      <w:r w:rsidRPr="00993173">
        <w:t>involvement of non-religious actors in such transitions</w:t>
      </w:r>
      <w:r w:rsidR="00C92A16" w:rsidRPr="00993173">
        <w:t>,</w:t>
      </w:r>
      <w:r w:rsidRPr="00993173">
        <w:t xml:space="preserve"> including local authorities and extreme right-wing groups</w:t>
      </w:r>
      <w:r w:rsidR="002E6FA9" w:rsidRPr="00993173">
        <w:t xml:space="preserve">, as well as </w:t>
      </w:r>
      <w:r w:rsidR="00122434" w:rsidRPr="00993173">
        <w:t xml:space="preserve">the </w:t>
      </w:r>
      <w:r w:rsidR="002E6FA9" w:rsidRPr="00993173">
        <w:t>police</w:t>
      </w:r>
      <w:r w:rsidR="00122434" w:rsidRPr="00993173">
        <w:t>’s</w:t>
      </w:r>
      <w:r w:rsidR="002E6FA9" w:rsidRPr="00993173">
        <w:t xml:space="preserve"> </w:t>
      </w:r>
      <w:r w:rsidR="00122434" w:rsidRPr="00993173">
        <w:t xml:space="preserve">inaction </w:t>
      </w:r>
      <w:r w:rsidR="002E6FA9" w:rsidRPr="00993173">
        <w:t xml:space="preserve">during </w:t>
      </w:r>
      <w:r w:rsidR="004F6D20">
        <w:t>these</w:t>
      </w:r>
      <w:r w:rsidR="004F6D20" w:rsidRPr="00993173">
        <w:t xml:space="preserve"> </w:t>
      </w:r>
      <w:r w:rsidR="002E6FA9" w:rsidRPr="00993173">
        <w:t>incidents.</w:t>
      </w:r>
    </w:p>
    <w:p w14:paraId="01F1432A" w14:textId="324E86D2" w:rsidR="00FE62DD" w:rsidRPr="00993173" w:rsidRDefault="00CC2149" w:rsidP="001232C6">
      <w:pPr>
        <w:pStyle w:val="SingleTxtG"/>
      </w:pPr>
      <w:r w:rsidRPr="00993173">
        <w:t>In</w:t>
      </w:r>
      <w:r w:rsidRPr="007606B5">
        <w:t xml:space="preserve"> </w:t>
      </w:r>
      <w:r w:rsidR="00993173" w:rsidRPr="007606B5">
        <w:rPr>
          <w:lang w:val="en-US"/>
        </w:rPr>
        <w:t>six</w:t>
      </w:r>
      <w:r w:rsidR="00993173" w:rsidRPr="007606B5">
        <w:t xml:space="preserve"> </w:t>
      </w:r>
      <w:r w:rsidRPr="007606B5">
        <w:t>case</w:t>
      </w:r>
      <w:r w:rsidR="00C01E63" w:rsidRPr="00993173">
        <w:t>s</w:t>
      </w:r>
      <w:r w:rsidRPr="00993173">
        <w:t>, OHCHR documented th</w:t>
      </w:r>
      <w:r w:rsidR="00DA7A32" w:rsidRPr="00993173">
        <w:t xml:space="preserve">e continued </w:t>
      </w:r>
      <w:r w:rsidRPr="00993173">
        <w:t xml:space="preserve">intimidation and threats against clergy and parishioners of the Ukrainian Orthodox Church </w:t>
      </w:r>
      <w:r w:rsidR="001D0D32" w:rsidRPr="00993173">
        <w:t xml:space="preserve">even </w:t>
      </w:r>
      <w:r w:rsidRPr="00993173">
        <w:t xml:space="preserve">after </w:t>
      </w:r>
      <w:r w:rsidR="00582174" w:rsidRPr="00993173">
        <w:t xml:space="preserve">the </w:t>
      </w:r>
      <w:r w:rsidRPr="00993173">
        <w:t>community lost control over the church</w:t>
      </w:r>
      <w:r w:rsidR="00122434" w:rsidRPr="00993173">
        <w:t>’s</w:t>
      </w:r>
      <w:r w:rsidRPr="00993173">
        <w:t xml:space="preserve"> premises. </w:t>
      </w:r>
      <w:r w:rsidR="001D0D32" w:rsidRPr="00993173">
        <w:t xml:space="preserve">Furthermore, </w:t>
      </w:r>
      <w:r w:rsidR="006211B6">
        <w:t xml:space="preserve">in </w:t>
      </w:r>
      <w:r w:rsidR="001D0D32" w:rsidRPr="00993173">
        <w:t xml:space="preserve">at least </w:t>
      </w:r>
      <w:r w:rsidR="00993173" w:rsidRPr="00993173">
        <w:t xml:space="preserve">ten </w:t>
      </w:r>
      <w:r w:rsidR="001D0D32" w:rsidRPr="00993173">
        <w:t>documented cases</w:t>
      </w:r>
      <w:r w:rsidR="00122434" w:rsidRPr="00993173">
        <w:t>,</w:t>
      </w:r>
      <w:r w:rsidR="001D0D32" w:rsidRPr="00993173">
        <w:t xml:space="preserve"> police </w:t>
      </w:r>
      <w:r w:rsidR="00AE0145" w:rsidRPr="00993173">
        <w:t>reportedly</w:t>
      </w:r>
      <w:r w:rsidR="00993173" w:rsidRPr="00993173">
        <w:t xml:space="preserve"> contributed, or</w:t>
      </w:r>
      <w:r w:rsidR="00AE0145" w:rsidRPr="00993173">
        <w:t xml:space="preserve"> </w:t>
      </w:r>
      <w:r w:rsidR="001D0D32" w:rsidRPr="00993173">
        <w:t xml:space="preserve">did not react </w:t>
      </w:r>
      <w:r w:rsidR="00582174" w:rsidRPr="00993173">
        <w:t>to</w:t>
      </w:r>
      <w:r w:rsidR="001D0D32" w:rsidRPr="00993173">
        <w:t xml:space="preserve"> </w:t>
      </w:r>
      <w:r w:rsidR="00C01E63" w:rsidRPr="00993173">
        <w:t>violence,</w:t>
      </w:r>
      <w:r w:rsidR="001D0D32" w:rsidRPr="00993173">
        <w:t xml:space="preserve"> threats and intimidation </w:t>
      </w:r>
      <w:r w:rsidR="00993173" w:rsidRPr="00993173">
        <w:t xml:space="preserve">while </w:t>
      </w:r>
      <w:r w:rsidR="001D0D32" w:rsidRPr="00993173">
        <w:t xml:space="preserve">present </w:t>
      </w:r>
      <w:r w:rsidR="00122434" w:rsidRPr="00993173">
        <w:t>during</w:t>
      </w:r>
      <w:r w:rsidR="001D0D32" w:rsidRPr="00993173">
        <w:t xml:space="preserve"> incidents.</w:t>
      </w:r>
      <w:r w:rsidR="001D0D32" w:rsidRPr="00993173">
        <w:rPr>
          <w:rStyle w:val="FootnoteReference"/>
          <w:sz w:val="20"/>
        </w:rPr>
        <w:footnoteReference w:id="99"/>
      </w:r>
      <w:r w:rsidR="00933842">
        <w:t xml:space="preserve"> </w:t>
      </w:r>
    </w:p>
    <w:p w14:paraId="2EF345D7" w14:textId="56891E97" w:rsidR="003C526B" w:rsidRPr="00993173" w:rsidRDefault="003C526B" w:rsidP="001232C6">
      <w:pPr>
        <w:pStyle w:val="SingleTxtG"/>
      </w:pPr>
      <w:r w:rsidRPr="00993173">
        <w:rPr>
          <w:rStyle w:val="5yl5"/>
        </w:rPr>
        <w:t>On 22 April</w:t>
      </w:r>
      <w:r w:rsidR="008B5C1B" w:rsidRPr="00993173">
        <w:rPr>
          <w:rStyle w:val="5yl5"/>
        </w:rPr>
        <w:t xml:space="preserve"> 2019</w:t>
      </w:r>
      <w:r w:rsidRPr="00993173">
        <w:rPr>
          <w:rStyle w:val="5yl5"/>
        </w:rPr>
        <w:t xml:space="preserve">, the District Administrative Court of </w:t>
      </w:r>
      <w:r w:rsidRPr="00993173">
        <w:t>Kyiv</w:t>
      </w:r>
      <w:r w:rsidRPr="00993173">
        <w:rPr>
          <w:rStyle w:val="5yl5"/>
        </w:rPr>
        <w:t xml:space="preserve"> ruled to halt the process of the mandatory renaming of the Ukrainian Orthodox Church until the court’s final decision.</w:t>
      </w:r>
      <w:r w:rsidR="00FD1475" w:rsidRPr="00993173">
        <w:rPr>
          <w:rStyle w:val="FootnoteReference"/>
        </w:rPr>
        <w:footnoteReference w:id="100"/>
      </w:r>
      <w:r w:rsidRPr="00993173">
        <w:rPr>
          <w:rStyle w:val="5yl5"/>
        </w:rPr>
        <w:t xml:space="preserve"> The Ukrainian Orthodox Church was required to end its renaming process before 26 April </w:t>
      </w:r>
      <w:r w:rsidR="008B5C1B" w:rsidRPr="00993173">
        <w:rPr>
          <w:rStyle w:val="5yl5"/>
        </w:rPr>
        <w:t>2019</w:t>
      </w:r>
      <w:r w:rsidRPr="00993173">
        <w:rPr>
          <w:rStyle w:val="5yl5"/>
        </w:rPr>
        <w:t xml:space="preserve"> by amendments to the law “On freedom of consciousness and religious </w:t>
      </w:r>
      <w:r w:rsidR="001703F8" w:rsidRPr="00993173">
        <w:rPr>
          <w:rStyle w:val="5yl5"/>
        </w:rPr>
        <w:t>organisation</w:t>
      </w:r>
      <w:r w:rsidRPr="00993173">
        <w:rPr>
          <w:rStyle w:val="5yl5"/>
        </w:rPr>
        <w:t xml:space="preserve">s” adopted by the Parliament on 20 December 2018. </w:t>
      </w:r>
    </w:p>
    <w:p w14:paraId="63E187E5" w14:textId="5E1E8F99" w:rsidR="00FE62DD" w:rsidRDefault="00FE62DD" w:rsidP="001232C6">
      <w:pPr>
        <w:pStyle w:val="SingleTxtG"/>
      </w:pPr>
      <w:r w:rsidRPr="00993173">
        <w:t xml:space="preserve">The situation </w:t>
      </w:r>
      <w:r w:rsidR="00DA7A32" w:rsidRPr="00993173">
        <w:t xml:space="preserve">in relation to </w:t>
      </w:r>
      <w:r w:rsidRPr="00993173">
        <w:t>freedom of religion or belief remains worrying in the territory controlled by ‘Donetsk people’s republic’ and ‘Luhansk people’s republic’.</w:t>
      </w:r>
      <w:r w:rsidR="00BD013C">
        <w:rPr>
          <w:rStyle w:val="FootnoteReference"/>
        </w:rPr>
        <w:footnoteReference w:id="101"/>
      </w:r>
      <w:r w:rsidRPr="00993173">
        <w:t xml:space="preserve"> </w:t>
      </w:r>
      <w:r w:rsidR="000B3F1E" w:rsidRPr="00993173">
        <w:t>In April</w:t>
      </w:r>
      <w:r w:rsidR="008B5C1B" w:rsidRPr="00993173">
        <w:t xml:space="preserve"> 2019</w:t>
      </w:r>
      <w:r w:rsidR="000B3F1E" w:rsidRPr="00993173">
        <w:t xml:space="preserve">, the premises of one of the Orthodox Churches of Ukraine </w:t>
      </w:r>
      <w:r w:rsidR="00DF03DA" w:rsidRPr="00993173">
        <w:t>w</w:t>
      </w:r>
      <w:r w:rsidR="00DF03DA">
        <w:t>ere</w:t>
      </w:r>
      <w:r w:rsidR="00DF03DA" w:rsidRPr="00993173">
        <w:t xml:space="preserve"> </w:t>
      </w:r>
      <w:r w:rsidR="000B3F1E" w:rsidRPr="00993173">
        <w:t>seized by ‘</w:t>
      </w:r>
      <w:r w:rsidR="00064605">
        <w:t>law enforcement agencies</w:t>
      </w:r>
      <w:r w:rsidR="000B3F1E" w:rsidRPr="00993173">
        <w:t>’ in ‘Donetsk people’s republic’.</w:t>
      </w:r>
      <w:r w:rsidR="0000670F" w:rsidRPr="00993173">
        <w:t xml:space="preserve"> </w:t>
      </w:r>
      <w:r w:rsidR="000B3F1E" w:rsidRPr="00993173">
        <w:t>The premises will reportedly be transmitted to the Ukrainian Orthodox Church.</w:t>
      </w:r>
      <w:r w:rsidR="000B3F1E" w:rsidRPr="00993173">
        <w:rPr>
          <w:rStyle w:val="FootnoteReference"/>
        </w:rPr>
        <w:footnoteReference w:id="102"/>
      </w:r>
      <w:r w:rsidR="00096569" w:rsidRPr="00993173">
        <w:t xml:space="preserve"> In ‘Luhansk people’s republic’, searches were conducted in church premises and priests’ residences, and items including personal correspondence seized.</w:t>
      </w:r>
    </w:p>
    <w:p w14:paraId="015FEBF4" w14:textId="01559E3B" w:rsidR="00256B96" w:rsidRPr="00513802" w:rsidRDefault="00256B96" w:rsidP="005833F9">
      <w:pPr>
        <w:pStyle w:val="H23G"/>
      </w:pPr>
      <w:bookmarkStart w:id="306" w:name="_Toc10750988"/>
      <w:bookmarkEnd w:id="306"/>
      <w:r w:rsidRPr="00513802">
        <w:tab/>
      </w:r>
      <w:bookmarkStart w:id="307" w:name="_Toc11165986"/>
      <w:r w:rsidRPr="00DC0D28">
        <w:t>Discrimination</w:t>
      </w:r>
      <w:r w:rsidRPr="00513802">
        <w:t>, racially-motivated violence and manifestations of intolerance</w:t>
      </w:r>
      <w:bookmarkEnd w:id="307"/>
    </w:p>
    <w:p w14:paraId="2286B1BA" w14:textId="5FFA53D0" w:rsidR="00476B3A" w:rsidRPr="00513802" w:rsidRDefault="008E7A29" w:rsidP="001232C6">
      <w:pPr>
        <w:pStyle w:val="SingleTxtG"/>
      </w:pPr>
      <w:r>
        <w:t>C</w:t>
      </w:r>
      <w:r w:rsidR="00DA7A32">
        <w:t xml:space="preserve">ompared to the previous </w:t>
      </w:r>
      <w:r w:rsidR="00476B3A" w:rsidRPr="00513802">
        <w:t xml:space="preserve">reporting period, OHCHR documented </w:t>
      </w:r>
      <w:r w:rsidR="00ED034D" w:rsidRPr="002E7F7C">
        <w:t>fewer</w:t>
      </w:r>
      <w:r w:rsidR="00476B3A" w:rsidRPr="00513802">
        <w:t xml:space="preserve"> incidents of discrimination, racially motivated violence and manifestation of intolerance targeting individuals belonging to minority groups or holding alternative or minority opinions.</w:t>
      </w:r>
      <w:r w:rsidR="0000670F">
        <w:t xml:space="preserve"> </w:t>
      </w:r>
    </w:p>
    <w:p w14:paraId="4570EA85" w14:textId="77777777" w:rsidR="00F43376" w:rsidRDefault="00476B3A" w:rsidP="001232C6">
      <w:pPr>
        <w:pStyle w:val="SingleTxtG"/>
      </w:pPr>
      <w:r w:rsidRPr="00513802">
        <w:t xml:space="preserve">OHCHR is concerned about the lack of accountability in cases </w:t>
      </w:r>
      <w:r w:rsidR="00DA7A32" w:rsidRPr="00513802">
        <w:t>documented in 2018</w:t>
      </w:r>
      <w:r w:rsidR="00DA7A32">
        <w:t xml:space="preserve"> </w:t>
      </w:r>
      <w:r w:rsidRPr="00513802">
        <w:t>of attacks against Roma settlements</w:t>
      </w:r>
      <w:r w:rsidR="00ED034D" w:rsidRPr="00513802">
        <w:t>, often with</w:t>
      </w:r>
      <w:r w:rsidR="00DD390D" w:rsidRPr="00513802">
        <w:t xml:space="preserve"> the</w:t>
      </w:r>
      <w:r w:rsidR="00ED034D" w:rsidRPr="00513802">
        <w:t xml:space="preserve"> involvement of extreme right-wing groups</w:t>
      </w:r>
      <w:r w:rsidRPr="00513802">
        <w:t>. In one case</w:t>
      </w:r>
      <w:r w:rsidR="002841BF" w:rsidRPr="00513802">
        <w:t>,</w:t>
      </w:r>
      <w:r w:rsidRPr="00513802">
        <w:t xml:space="preserve"> a Roma man was stabbed to death and four others injured</w:t>
      </w:r>
      <w:r w:rsidR="002841BF" w:rsidRPr="00513802">
        <w:t>.</w:t>
      </w:r>
      <w:r w:rsidRPr="00513802">
        <w:t xml:space="preserve"> </w:t>
      </w:r>
      <w:r w:rsidR="008E7E32" w:rsidRPr="00513802">
        <w:t>T</w:t>
      </w:r>
      <w:r w:rsidRPr="00513802">
        <w:t xml:space="preserve">he court hearings on the merits </w:t>
      </w:r>
      <w:r w:rsidR="00040B49" w:rsidRPr="00513802">
        <w:t xml:space="preserve">of the case </w:t>
      </w:r>
      <w:r w:rsidRPr="00513802">
        <w:t xml:space="preserve">are ongoing. While OHCHR welcomes this development, it is concerned that the initial qualification of additional charges under Article 161 of the Criminal Code of Ukraine (referring to racial discrimination) </w:t>
      </w:r>
      <w:r w:rsidR="005A154E" w:rsidRPr="00513802">
        <w:t xml:space="preserve">were removed </w:t>
      </w:r>
      <w:r w:rsidRPr="00513802">
        <w:t xml:space="preserve">from the </w:t>
      </w:r>
      <w:r w:rsidR="00E24459" w:rsidRPr="00513802">
        <w:t>list of charge</w:t>
      </w:r>
      <w:r w:rsidR="005A154E" w:rsidRPr="00513802">
        <w:t>s</w:t>
      </w:r>
      <w:r w:rsidRPr="00513802">
        <w:t>.</w:t>
      </w:r>
    </w:p>
    <w:p w14:paraId="6E6C7A96" w14:textId="363197E4" w:rsidR="00FF77CA" w:rsidRDefault="00476B3A" w:rsidP="001232C6">
      <w:pPr>
        <w:pStyle w:val="SingleTxtG"/>
      </w:pPr>
      <w:r w:rsidRPr="00513802">
        <w:lastRenderedPageBreak/>
        <w:t xml:space="preserve"> OHCHR is </w:t>
      </w:r>
      <w:r w:rsidR="004602CA">
        <w:t xml:space="preserve">also </w:t>
      </w:r>
      <w:r w:rsidRPr="00513802">
        <w:t>concerned that the Holosiivsky</w:t>
      </w:r>
      <w:r w:rsidR="00901E23" w:rsidRPr="00513802">
        <w:t xml:space="preserve"> </w:t>
      </w:r>
      <w:r w:rsidRPr="00513802">
        <w:t>district</w:t>
      </w:r>
      <w:r w:rsidR="00901E23" w:rsidRPr="00513802">
        <w:t xml:space="preserve"> </w:t>
      </w:r>
      <w:r w:rsidRPr="00513802">
        <w:t>court</w:t>
      </w:r>
      <w:r w:rsidR="00901E23" w:rsidRPr="00513802">
        <w:t xml:space="preserve"> </w:t>
      </w:r>
      <w:r w:rsidRPr="00513802">
        <w:t>of</w:t>
      </w:r>
      <w:r w:rsidR="00901E23" w:rsidRPr="00513802">
        <w:t xml:space="preserve"> </w:t>
      </w:r>
      <w:r w:rsidRPr="00513802">
        <w:t>Kyiv</w:t>
      </w:r>
      <w:r w:rsidR="00901E23" w:rsidRPr="00513802">
        <w:t xml:space="preserve"> </w:t>
      </w:r>
      <w:r w:rsidRPr="00513802">
        <w:t>cancelled</w:t>
      </w:r>
      <w:r w:rsidR="00321221" w:rsidRPr="00513802">
        <w:t xml:space="preserve"> </w:t>
      </w:r>
      <w:r w:rsidRPr="00513802">
        <w:t>the</w:t>
      </w:r>
      <w:r w:rsidR="00901E23" w:rsidRPr="00513802">
        <w:t xml:space="preserve"> </w:t>
      </w:r>
      <w:r w:rsidRPr="00513802">
        <w:t>note</w:t>
      </w:r>
      <w:r w:rsidR="00901E23" w:rsidRPr="00513802">
        <w:t xml:space="preserve"> </w:t>
      </w:r>
      <w:r w:rsidRPr="00513802">
        <w:t>of</w:t>
      </w:r>
      <w:r w:rsidR="00901E23" w:rsidRPr="00513802">
        <w:t xml:space="preserve"> </w:t>
      </w:r>
      <w:r w:rsidRPr="00513802">
        <w:t>suspicion</w:t>
      </w:r>
      <w:r w:rsidR="00901E23" w:rsidRPr="00513802">
        <w:t xml:space="preserve"> </w:t>
      </w:r>
      <w:r w:rsidRPr="00513802">
        <w:t>against</w:t>
      </w:r>
      <w:r w:rsidR="00901E23" w:rsidRPr="00513802">
        <w:t xml:space="preserve"> </w:t>
      </w:r>
      <w:r w:rsidRPr="00513802">
        <w:t>an</w:t>
      </w:r>
      <w:r w:rsidR="00901E23" w:rsidRPr="00513802">
        <w:t xml:space="preserve"> </w:t>
      </w:r>
      <w:r w:rsidRPr="00513802">
        <w:t>alleged</w:t>
      </w:r>
      <w:r w:rsidR="00901E23" w:rsidRPr="00513802">
        <w:t xml:space="preserve"> </w:t>
      </w:r>
      <w:r w:rsidRPr="00513802">
        <w:t>perpetrator in</w:t>
      </w:r>
      <w:r w:rsidR="00901E23" w:rsidRPr="00513802">
        <w:t xml:space="preserve"> </w:t>
      </w:r>
      <w:r w:rsidRPr="00513802">
        <w:t>another violent attack against a Roma settlement in Kyiv in April 2018</w:t>
      </w:r>
      <w:r w:rsidR="008E7E32" w:rsidRPr="00513802">
        <w:t xml:space="preserve"> on procedural</w:t>
      </w:r>
      <w:r w:rsidR="00901E23" w:rsidRPr="00513802">
        <w:t xml:space="preserve"> </w:t>
      </w:r>
      <w:r w:rsidR="008E7E32" w:rsidRPr="00513802">
        <w:t>grounds</w:t>
      </w:r>
      <w:r w:rsidR="004602CA">
        <w:t xml:space="preserve"> although the </w:t>
      </w:r>
      <w:r w:rsidR="00097D08" w:rsidRPr="00513802">
        <w:t xml:space="preserve">perpetrator </w:t>
      </w:r>
      <w:r w:rsidR="004602CA">
        <w:t xml:space="preserve">publicly took responsibility for </w:t>
      </w:r>
      <w:r w:rsidR="00097D08" w:rsidRPr="00513802">
        <w:t xml:space="preserve">the attack. </w:t>
      </w:r>
      <w:r w:rsidR="00F43376">
        <w:t>Additionally, d</w:t>
      </w:r>
      <w:r w:rsidR="004C0EC2">
        <w:t>uring the reporting period, OHCHR documented a new arson attack against a Roma settlement in Ivano-Frankivsk on 25 March</w:t>
      </w:r>
      <w:r w:rsidR="008B5C1B">
        <w:t xml:space="preserve"> 2019</w:t>
      </w:r>
      <w:r w:rsidR="004C0EC2">
        <w:t>. OHCHR is concerned that impunity for past attacks may contribute to fuelling new attacks.</w:t>
      </w:r>
      <w:r w:rsidR="0000670F">
        <w:t xml:space="preserve"> </w:t>
      </w:r>
    </w:p>
    <w:p w14:paraId="3DDBD44D" w14:textId="71DA67D2" w:rsidR="0090205C" w:rsidRPr="00BB3ED4" w:rsidRDefault="0090205C" w:rsidP="001232C6">
      <w:pPr>
        <w:pStyle w:val="SingleTxtG"/>
      </w:pPr>
      <w:r>
        <w:t>In a separate case of forced eviction of Roma residents in Loshchynivka village, Odesa region, in August 2016, OHCHR welcomes the decision of the Fifth appeal administrative court (Odesa) on 25 April</w:t>
      </w:r>
      <w:r w:rsidR="008B5C1B">
        <w:t xml:space="preserve"> 2019</w:t>
      </w:r>
      <w:r>
        <w:t>, in which the court found</w:t>
      </w:r>
      <w:r w:rsidR="007858A5">
        <w:t xml:space="preserve"> that</w:t>
      </w:r>
      <w:r w:rsidR="00D709AB">
        <w:t xml:space="preserve"> both</w:t>
      </w:r>
      <w:r>
        <w:t xml:space="preserve"> the inaction of police during the forced eviction in the village and the act of the Head of Loshchynivka village council, who signed the decision on the eviction of Roma families from the village, </w:t>
      </w:r>
      <w:r w:rsidR="00D709AB">
        <w:t>were</w:t>
      </w:r>
      <w:r>
        <w:t xml:space="preserve"> unlawful.</w:t>
      </w:r>
      <w:r w:rsidR="00BB3ED4">
        <w:t xml:space="preserve"> Nonetheless, </w:t>
      </w:r>
      <w:r w:rsidR="00BB3ED4" w:rsidRPr="00BB3ED4">
        <w:t>even though</w:t>
      </w:r>
      <w:r w:rsidR="00D709AB">
        <w:t xml:space="preserve"> nearly</w:t>
      </w:r>
      <w:r w:rsidR="00BB3ED4" w:rsidRPr="00BB3ED4">
        <w:t xml:space="preserve"> three years hav</w:t>
      </w:r>
      <w:r w:rsidR="00BB3ED4">
        <w:t>e passed since the forced eviction</w:t>
      </w:r>
      <w:r w:rsidR="00BB3ED4" w:rsidRPr="00BB3ED4">
        <w:t xml:space="preserve">, not a single person </w:t>
      </w:r>
      <w:r w:rsidR="00BA2E3A">
        <w:t>has been found criminally liable</w:t>
      </w:r>
      <w:r w:rsidR="00BB3ED4" w:rsidRPr="00BB3ED4">
        <w:t xml:space="preserve">. </w:t>
      </w:r>
    </w:p>
    <w:p w14:paraId="0E2AF785" w14:textId="3E5CEB78" w:rsidR="00476B3A" w:rsidRPr="00597DC6" w:rsidRDefault="00BA0A97" w:rsidP="001232C6">
      <w:pPr>
        <w:pStyle w:val="SingleTxtG"/>
      </w:pPr>
      <w:r w:rsidRPr="00597DC6">
        <w:t>In the territory controlled by</w:t>
      </w:r>
      <w:r w:rsidR="00361011">
        <w:t xml:space="preserve"> </w:t>
      </w:r>
      <w:r w:rsidRPr="00597DC6">
        <w:t>‘Donetsk people’s republic’ and</w:t>
      </w:r>
      <w:r w:rsidR="00361011">
        <w:t xml:space="preserve"> </w:t>
      </w:r>
      <w:r w:rsidRPr="00597DC6">
        <w:t xml:space="preserve">‘Luhansk people’s republic’ </w:t>
      </w:r>
      <w:r w:rsidR="00E40F68" w:rsidRPr="00597DC6">
        <w:t xml:space="preserve">reportedly </w:t>
      </w:r>
      <w:r w:rsidRPr="00597DC6">
        <w:t>due to the application of laws criminalizing so-called “propaganda of same-sex relationships”, social stigma and intolerance based on sexual orientation and gender identity have become more acute.</w:t>
      </w:r>
      <w:r w:rsidRPr="00597DC6">
        <w:rPr>
          <w:rStyle w:val="FootnoteReference"/>
        </w:rPr>
        <w:footnoteReference w:id="103"/>
      </w:r>
      <w:r w:rsidRPr="00597DC6">
        <w:t xml:space="preserve"> </w:t>
      </w:r>
    </w:p>
    <w:p w14:paraId="244FE1B9" w14:textId="0B62E17D" w:rsidR="00256B96" w:rsidRPr="00513802" w:rsidRDefault="00256B96" w:rsidP="00361011">
      <w:pPr>
        <w:pStyle w:val="H1G"/>
        <w:tabs>
          <w:tab w:val="left" w:pos="851"/>
        </w:tabs>
        <w:rPr>
          <w:lang w:val="en-NZ"/>
        </w:rPr>
      </w:pPr>
      <w:bookmarkStart w:id="308" w:name="_Toc513567299"/>
      <w:bookmarkStart w:id="309" w:name="_Toc513568015"/>
      <w:bookmarkStart w:id="310" w:name="_Toc513568537"/>
      <w:bookmarkStart w:id="311" w:name="_Toc513569240"/>
      <w:bookmarkStart w:id="312" w:name="_Toc513569934"/>
      <w:bookmarkStart w:id="313" w:name="_Toc514403014"/>
      <w:bookmarkStart w:id="314" w:name="_Toc514404260"/>
      <w:bookmarkStart w:id="315" w:name="_Toc514404286"/>
      <w:bookmarkStart w:id="316" w:name="_Toc514410233"/>
      <w:bookmarkStart w:id="317" w:name="_Toc514417644"/>
      <w:bookmarkStart w:id="318" w:name="_Toc514769293"/>
      <w:bookmarkStart w:id="319" w:name="_Toc521518101"/>
      <w:bookmarkStart w:id="320" w:name="_Toc523729937"/>
      <w:bookmarkStart w:id="321" w:name="_Toc523733562"/>
      <w:bookmarkStart w:id="322" w:name="_Toc523734221"/>
      <w:bookmarkStart w:id="323" w:name="_Toc523737850"/>
      <w:bookmarkStart w:id="324" w:name="_Toc523737881"/>
      <w:bookmarkStart w:id="325" w:name="_Toc525031947"/>
      <w:bookmarkStart w:id="326" w:name="_Toc525034466"/>
      <w:bookmarkStart w:id="327" w:name="_Toc525035810"/>
      <w:bookmarkStart w:id="328" w:name="_Toc11165987"/>
      <w:r w:rsidRPr="00513802">
        <w:rPr>
          <w:lang w:val="en-NZ"/>
        </w:rPr>
        <w:t xml:space="preserve">Human rights in the Autonomous Republic of Crimea and the city of </w:t>
      </w:r>
      <w:r w:rsidR="00F43376">
        <w:rPr>
          <w:lang w:val="en-NZ"/>
        </w:rPr>
        <w:tab/>
      </w:r>
      <w:r w:rsidRPr="00513802">
        <w:rPr>
          <w:lang w:val="en-NZ"/>
        </w:rPr>
        <w:t>Sevastopol</w:t>
      </w:r>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r w:rsidRPr="00513802">
        <w:rPr>
          <w:lang w:val="en-NZ"/>
        </w:rPr>
        <w:t xml:space="preserve">, Ukraine, </w:t>
      </w:r>
      <w:r w:rsidRPr="008707C7">
        <w:rPr>
          <w:lang w:val="en-NZ"/>
        </w:rPr>
        <w:t>temporarily</w:t>
      </w:r>
      <w:r w:rsidRPr="00513802">
        <w:rPr>
          <w:lang w:val="en-NZ"/>
        </w:rPr>
        <w:t xml:space="preserve"> occupied by the Russian Federation</w:t>
      </w:r>
      <w:bookmarkEnd w:id="328"/>
    </w:p>
    <w:p w14:paraId="311F88DF" w14:textId="56B6D5DD" w:rsidR="00F62546" w:rsidRPr="000037B1" w:rsidRDefault="00F9234D" w:rsidP="001232C6">
      <w:pPr>
        <w:pStyle w:val="SingleTxtG"/>
      </w:pPr>
      <w:r>
        <w:t xml:space="preserve">The situation in </w:t>
      </w:r>
      <w:r w:rsidR="002F7584" w:rsidRPr="00513802">
        <w:t xml:space="preserve">the Autonomous Republic of Crimea and the city of Sevastopol, Ukraine, </w:t>
      </w:r>
      <w:r w:rsidR="002F7584" w:rsidRPr="008707C7">
        <w:t>temporarily</w:t>
      </w:r>
      <w:r w:rsidR="002F7584" w:rsidRPr="00513802">
        <w:t xml:space="preserve"> occupied by the Russian Federation</w:t>
      </w:r>
      <w:r w:rsidR="002F7584">
        <w:rPr>
          <w:rStyle w:val="FootnoteReference"/>
        </w:rPr>
        <w:footnoteReference w:id="104"/>
      </w:r>
      <w:r w:rsidR="002F7584" w:rsidDel="002F7584">
        <w:t xml:space="preserve"> </w:t>
      </w:r>
      <w:r>
        <w:t>continued to be characteri</w:t>
      </w:r>
      <w:r w:rsidR="001D2B4D">
        <w:t>s</w:t>
      </w:r>
      <w:r>
        <w:t xml:space="preserve">ed by </w:t>
      </w:r>
      <w:r w:rsidR="0024546F">
        <w:t xml:space="preserve">human rights and </w:t>
      </w:r>
      <w:r>
        <w:t>international humanitarian</w:t>
      </w:r>
      <w:r w:rsidR="003B20EB">
        <w:t xml:space="preserve"> law violations </w:t>
      </w:r>
      <w:r w:rsidR="001705A7">
        <w:t>committed</w:t>
      </w:r>
      <w:r w:rsidR="003B20EB">
        <w:t xml:space="preserve"> by the Russian Federation as the occupying Power on the peninsula.</w:t>
      </w:r>
      <w:r>
        <w:t xml:space="preserve"> </w:t>
      </w:r>
      <w:r w:rsidR="003B20EB">
        <w:t xml:space="preserve">During the reporting period, </w:t>
      </w:r>
      <w:r w:rsidR="00F62546" w:rsidRPr="00F62546">
        <w:t>OHCHR</w:t>
      </w:r>
      <w:r w:rsidR="003B20EB" w:rsidRPr="00F62546">
        <w:t xml:space="preserve"> </w:t>
      </w:r>
      <w:r w:rsidR="00F62546" w:rsidRPr="00F62546">
        <w:t>record</w:t>
      </w:r>
      <w:r w:rsidR="003B20EB">
        <w:t>ed human rights violations</w:t>
      </w:r>
      <w:r w:rsidR="0024546F">
        <w:t xml:space="preserve">, including, </w:t>
      </w:r>
      <w:r w:rsidR="0024546F" w:rsidRPr="00597DC6">
        <w:rPr>
          <w:i/>
        </w:rPr>
        <w:t>inter alia</w:t>
      </w:r>
      <w:r w:rsidR="0024546F">
        <w:t xml:space="preserve">, </w:t>
      </w:r>
      <w:r w:rsidR="00F62546" w:rsidRPr="00F62546">
        <w:t xml:space="preserve">restrictions on </w:t>
      </w:r>
      <w:r w:rsidR="00F62546" w:rsidRPr="001D2B4D">
        <w:t>fundamental freedoms</w:t>
      </w:r>
      <w:r w:rsidR="00F62546" w:rsidRPr="00F62546">
        <w:t xml:space="preserve"> and </w:t>
      </w:r>
      <w:r w:rsidR="00F62546" w:rsidRPr="001D2B4D">
        <w:t>education rights,</w:t>
      </w:r>
      <w:r w:rsidR="003B20EB">
        <w:t xml:space="preserve"> as well as</w:t>
      </w:r>
      <w:r w:rsidR="00F62546" w:rsidRPr="001D2B4D">
        <w:t xml:space="preserve"> infringements of the right to physical and mental integrity</w:t>
      </w:r>
      <w:r w:rsidR="00F62546" w:rsidRPr="00F62546">
        <w:t xml:space="preserve">. In total, OHCHR documented </w:t>
      </w:r>
      <w:r w:rsidR="00CB134C" w:rsidRPr="002E7F7C">
        <w:t>15</w:t>
      </w:r>
      <w:r w:rsidR="00F62546" w:rsidRPr="002E7F7C">
        <w:t xml:space="preserve"> </w:t>
      </w:r>
      <w:r w:rsidR="00F62546" w:rsidRPr="00F62546">
        <w:t xml:space="preserve">violations </w:t>
      </w:r>
      <w:r w:rsidR="00F62546" w:rsidRPr="001D2B4D">
        <w:t>which</w:t>
      </w:r>
      <w:r w:rsidR="00F62546" w:rsidRPr="00F62546">
        <w:t xml:space="preserve"> occurred within the reporting period; with the Government of the Russian Federation responsible for </w:t>
      </w:r>
      <w:r w:rsidR="00CB134C" w:rsidRPr="002E7F7C">
        <w:t xml:space="preserve">14 </w:t>
      </w:r>
      <w:r w:rsidR="00F62546" w:rsidRPr="00F62546">
        <w:t xml:space="preserve">and the Government of Ukraine for </w:t>
      </w:r>
      <w:r w:rsidR="00AB49DD" w:rsidRPr="002E7F7C">
        <w:t>one</w:t>
      </w:r>
      <w:r w:rsidR="00F62546" w:rsidRPr="00F62546">
        <w:t>.</w:t>
      </w:r>
      <w:r w:rsidR="00F62546" w:rsidRPr="000037B1">
        <w:rPr>
          <w:rStyle w:val="FootnoteReference"/>
        </w:rPr>
        <w:footnoteReference w:id="105"/>
      </w:r>
      <w:r w:rsidR="00F62546" w:rsidRPr="00F62546">
        <w:t xml:space="preserve"> </w:t>
      </w:r>
      <w:r w:rsidR="00F62546" w:rsidRPr="000037B1">
        <w:rPr>
          <w:lang w:val="en-US"/>
        </w:rPr>
        <w:t>In addition, OHC</w:t>
      </w:r>
      <w:r w:rsidR="00F62546" w:rsidRPr="00EF5AD9">
        <w:rPr>
          <w:lang w:val="en-US"/>
        </w:rPr>
        <w:t xml:space="preserve">HR documented </w:t>
      </w:r>
      <w:r w:rsidR="00EF5AD9" w:rsidRPr="00EF5AD9">
        <w:rPr>
          <w:lang w:val="en-US"/>
        </w:rPr>
        <w:t xml:space="preserve">26 </w:t>
      </w:r>
      <w:r w:rsidR="00F62546" w:rsidRPr="00EF5AD9">
        <w:rPr>
          <w:lang w:val="en-US"/>
        </w:rPr>
        <w:t xml:space="preserve">violations </w:t>
      </w:r>
      <w:r w:rsidR="00EF5AD9" w:rsidRPr="00EF5AD9">
        <w:rPr>
          <w:lang w:val="en-US"/>
        </w:rPr>
        <w:t xml:space="preserve">which </w:t>
      </w:r>
      <w:r w:rsidR="00F62546" w:rsidRPr="00EF5AD9">
        <w:rPr>
          <w:lang w:val="en-US"/>
        </w:rPr>
        <w:t xml:space="preserve">occurred outside the reporting period, all of which are attributable to the Government of the Russian Federation. </w:t>
      </w:r>
    </w:p>
    <w:p w14:paraId="02F8B5B9" w14:textId="77777777" w:rsidR="00B031E1" w:rsidRPr="00513802" w:rsidRDefault="00B031E1" w:rsidP="00DC0D28">
      <w:pPr>
        <w:pStyle w:val="H23G"/>
        <w:rPr>
          <w:lang w:val="en-NZ"/>
        </w:rPr>
      </w:pPr>
      <w:bookmarkStart w:id="329" w:name="_Toc11165988"/>
      <w:bookmarkStart w:id="330" w:name="_Toc512415808"/>
      <w:bookmarkStart w:id="331" w:name="_Toc513567306"/>
      <w:bookmarkStart w:id="332" w:name="_Toc513568022"/>
      <w:bookmarkStart w:id="333" w:name="_Toc513568544"/>
      <w:bookmarkStart w:id="334" w:name="_Toc513569247"/>
      <w:bookmarkStart w:id="335" w:name="_Toc513569941"/>
      <w:bookmarkStart w:id="336" w:name="_Toc514403020"/>
      <w:bookmarkStart w:id="337" w:name="_Toc514404266"/>
      <w:bookmarkStart w:id="338" w:name="_Toc514404292"/>
      <w:bookmarkStart w:id="339" w:name="_Toc514410239"/>
      <w:bookmarkStart w:id="340" w:name="_Toc514417650"/>
      <w:bookmarkStart w:id="341" w:name="_Toc514769299"/>
      <w:bookmarkStart w:id="342" w:name="_Toc521518106"/>
      <w:bookmarkStart w:id="343" w:name="_Toc525031952"/>
      <w:bookmarkStart w:id="344" w:name="_Toc525034471"/>
      <w:bookmarkStart w:id="345" w:name="_Toc525035815"/>
      <w:bookmarkStart w:id="346" w:name="_Toc523729942"/>
      <w:bookmarkStart w:id="347" w:name="_Toc523733567"/>
      <w:bookmarkStart w:id="348" w:name="_Toc523734226"/>
      <w:bookmarkStart w:id="349" w:name="_Toc523737855"/>
      <w:bookmarkStart w:id="350" w:name="_Toc523737886"/>
      <w:r w:rsidRPr="00513802">
        <w:rPr>
          <w:lang w:val="en-NZ"/>
        </w:rPr>
        <w:t xml:space="preserve">International </w:t>
      </w:r>
      <w:r w:rsidRPr="00DC0D28">
        <w:t>humanitarian</w:t>
      </w:r>
      <w:r w:rsidRPr="00513802">
        <w:rPr>
          <w:lang w:val="en-NZ"/>
        </w:rPr>
        <w:t xml:space="preserve"> law</w:t>
      </w:r>
      <w:bookmarkEnd w:id="329"/>
      <w:r w:rsidRPr="00513802">
        <w:rPr>
          <w:lang w:val="en-NZ"/>
        </w:rPr>
        <w:t xml:space="preserve"> </w:t>
      </w:r>
    </w:p>
    <w:p w14:paraId="1A6037F3" w14:textId="1AB143F4" w:rsidR="00B031E1" w:rsidRPr="00A769D3" w:rsidRDefault="00B031E1" w:rsidP="001232C6">
      <w:pPr>
        <w:pStyle w:val="SingleTxtG"/>
      </w:pPr>
      <w:r w:rsidRPr="00A769D3">
        <w:t xml:space="preserve">In violation of its obligations as an </w:t>
      </w:r>
      <w:r w:rsidR="005F0366" w:rsidRPr="00A769D3">
        <w:t>o</w:t>
      </w:r>
      <w:r w:rsidRPr="00A769D3">
        <w:t xml:space="preserve">ccupying </w:t>
      </w:r>
      <w:r w:rsidR="00CB4BC8" w:rsidRPr="00A769D3">
        <w:t>P</w:t>
      </w:r>
      <w:r w:rsidRPr="00A769D3">
        <w:t xml:space="preserve">ower, the Russian Federation continued applying its </w:t>
      </w:r>
      <w:r w:rsidR="00211B6E" w:rsidRPr="00A769D3">
        <w:t xml:space="preserve">legal framework, including its </w:t>
      </w:r>
      <w:r w:rsidRPr="00A769D3">
        <w:t>criminal legislation</w:t>
      </w:r>
      <w:r w:rsidR="00211B6E" w:rsidRPr="00A769D3">
        <w:t>,</w:t>
      </w:r>
      <w:r w:rsidRPr="00A769D3">
        <w:t xml:space="preserve"> to the residents of the Crimean peninsula.</w:t>
      </w:r>
      <w:r w:rsidR="0096450E">
        <w:t xml:space="preserve"> In addition,</w:t>
      </w:r>
      <w:r w:rsidR="00EE4952">
        <w:t xml:space="preserve"> </w:t>
      </w:r>
      <w:r w:rsidR="0096450E">
        <w:t>t</w:t>
      </w:r>
      <w:r w:rsidR="00C66994" w:rsidRPr="00A769D3">
        <w:t xml:space="preserve">he application of this legislation </w:t>
      </w:r>
      <w:r w:rsidR="001703F8" w:rsidRPr="00A769D3">
        <w:t xml:space="preserve">continues to </w:t>
      </w:r>
      <w:r w:rsidR="00C03721" w:rsidRPr="00A769D3">
        <w:t>disproportionally</w:t>
      </w:r>
      <w:r w:rsidR="00C03721">
        <w:t xml:space="preserve"> </w:t>
      </w:r>
      <w:r w:rsidR="00C66994" w:rsidRPr="00A769D3">
        <w:t xml:space="preserve">affect </w:t>
      </w:r>
      <w:r w:rsidR="00F55266" w:rsidRPr="00A769D3">
        <w:t>devout Muslims and sympathi</w:t>
      </w:r>
      <w:r w:rsidR="001703F8" w:rsidRPr="00A769D3">
        <w:t>s</w:t>
      </w:r>
      <w:r w:rsidR="00F55266" w:rsidRPr="00A769D3">
        <w:t xml:space="preserve">ers of </w:t>
      </w:r>
      <w:r w:rsidR="00616D7F" w:rsidRPr="00A769D3">
        <w:t xml:space="preserve">religious organisations </w:t>
      </w:r>
      <w:r w:rsidR="00F55266" w:rsidRPr="00A769D3">
        <w:t>banned in the Russian Federation</w:t>
      </w:r>
      <w:r w:rsidRPr="00A769D3">
        <w:t xml:space="preserve">. </w:t>
      </w:r>
    </w:p>
    <w:p w14:paraId="784F3287" w14:textId="5BB687F0" w:rsidR="00B031E1" w:rsidRPr="00A769D3" w:rsidRDefault="00B031E1" w:rsidP="001232C6">
      <w:pPr>
        <w:pStyle w:val="SingleTxtG"/>
      </w:pPr>
      <w:r w:rsidRPr="00A769D3">
        <w:t xml:space="preserve">On 27 March 2019, </w:t>
      </w:r>
      <w:r w:rsidR="00701CEE" w:rsidRPr="00A769D3">
        <w:t>the Federal Security Service of the Russian Federation (“</w:t>
      </w:r>
      <w:r w:rsidRPr="00A769D3">
        <w:t>FSB</w:t>
      </w:r>
      <w:r w:rsidR="00701CEE" w:rsidRPr="00A769D3">
        <w:t>”)</w:t>
      </w:r>
      <w:r w:rsidRPr="00A769D3">
        <w:t xml:space="preserve"> together with Russian </w:t>
      </w:r>
      <w:r w:rsidR="0087676C">
        <w:t xml:space="preserve">Federation </w:t>
      </w:r>
      <w:r w:rsidRPr="00A769D3">
        <w:t xml:space="preserve">police and National Guard launched a large-scale operation against alleged members of </w:t>
      </w:r>
      <w:r w:rsidRPr="00A769D3">
        <w:rPr>
          <w:i/>
        </w:rPr>
        <w:t>Hizb ut-Tahrir</w:t>
      </w:r>
      <w:r w:rsidRPr="00A769D3">
        <w:t xml:space="preserve"> in Crimea, an </w:t>
      </w:r>
      <w:r w:rsidR="001703F8" w:rsidRPr="00A769D3">
        <w:t>organisation</w:t>
      </w:r>
      <w:r w:rsidRPr="00A769D3">
        <w:t xml:space="preserve"> considered terrorist in the Russian Federation, but lawful in Ukraine. </w:t>
      </w:r>
      <w:r w:rsidR="00701CEE" w:rsidRPr="00A769D3">
        <w:t>Twenty-six</w:t>
      </w:r>
      <w:r w:rsidRPr="00A769D3">
        <w:t xml:space="preserve"> house searches were carried out in one day in the city of Simferopol, as well as Simferopol, Bilohirsk and Krasnohvardiisk districts. Following simultaneous raids and house-to-house visits, FSB arrested 20 Muslim men on criminal charges of </w:t>
      </w:r>
      <w:r w:rsidRPr="007521E8">
        <w:t>setting up (participating)</w:t>
      </w:r>
      <w:r w:rsidRPr="00A769D3">
        <w:t xml:space="preserve"> in a terrorist </w:t>
      </w:r>
      <w:r w:rsidR="001703F8" w:rsidRPr="00A769D3">
        <w:lastRenderedPageBreak/>
        <w:t>organisation</w:t>
      </w:r>
      <w:r w:rsidRPr="00A769D3">
        <w:t xml:space="preserve"> and remanded them in prison. </w:t>
      </w:r>
      <w:r w:rsidR="005131E4">
        <w:t>Four</w:t>
      </w:r>
      <w:r w:rsidRPr="00A769D3">
        <w:t xml:space="preserve"> more individuals were arrested on the same charges</w:t>
      </w:r>
      <w:r w:rsidR="005131E4">
        <w:t xml:space="preserve"> on 28 March and 17 April</w:t>
      </w:r>
      <w:r w:rsidR="008B5C1B">
        <w:t xml:space="preserve"> 2019</w:t>
      </w:r>
      <w:r w:rsidRPr="00A769D3">
        <w:t>. Reportedly, most of the arrested individuals are Crimean Tatars affiliated with the civic movement “Crimean Solidarity”, a non-registered initiative launched by relatives of detained Crimean Tatars.</w:t>
      </w:r>
      <w:r w:rsidRPr="00A769D3">
        <w:rPr>
          <w:rStyle w:val="FootnoteReference"/>
          <w:sz w:val="20"/>
        </w:rPr>
        <w:footnoteReference w:id="106"/>
      </w:r>
      <w:r w:rsidRPr="00A769D3">
        <w:t xml:space="preserve"> </w:t>
      </w:r>
    </w:p>
    <w:p w14:paraId="466CD27E" w14:textId="4A32BD0E" w:rsidR="00F93825" w:rsidRPr="00A769D3" w:rsidRDefault="00FC3C52" w:rsidP="001232C6">
      <w:pPr>
        <w:pStyle w:val="SingleTxtG"/>
      </w:pPr>
      <w:r w:rsidRPr="00A769D3">
        <w:t>S</w:t>
      </w:r>
      <w:r w:rsidR="00B031E1" w:rsidRPr="00A769D3">
        <w:t xml:space="preserve">ince the beginning of the occupation, </w:t>
      </w:r>
      <w:r w:rsidR="00785B18" w:rsidRPr="007521E8">
        <w:t>5</w:t>
      </w:r>
      <w:r w:rsidR="00DD3EDC">
        <w:t>9</w:t>
      </w:r>
      <w:r w:rsidR="00C937E7" w:rsidRPr="00A769D3">
        <w:t xml:space="preserve"> </w:t>
      </w:r>
      <w:r w:rsidR="00B031E1" w:rsidRPr="00A769D3">
        <w:t xml:space="preserve">individuals </w:t>
      </w:r>
      <w:r w:rsidR="004602CA" w:rsidRPr="00A769D3">
        <w:t>have been</w:t>
      </w:r>
      <w:r w:rsidR="00C921EF" w:rsidRPr="00A769D3">
        <w:t xml:space="preserve"> </w:t>
      </w:r>
      <w:r w:rsidR="00B031E1" w:rsidRPr="00A769D3">
        <w:t>arrested or convicted on accusations of affiliation with banned Muslim groups in Crimea, the vast majority of whom are Crimean Tatars.</w:t>
      </w:r>
      <w:r w:rsidR="009A06DD" w:rsidRPr="00A769D3">
        <w:t xml:space="preserve"> </w:t>
      </w:r>
      <w:r w:rsidR="00B031E1" w:rsidRPr="00A769D3">
        <w:t xml:space="preserve">Twelve of them have been found guilty and received criminal sentences. </w:t>
      </w:r>
      <w:r w:rsidRPr="00A769D3">
        <w:t>OHCHR notes that all</w:t>
      </w:r>
      <w:r w:rsidR="00785B18" w:rsidRPr="00A769D3">
        <w:t xml:space="preserve"> the</w:t>
      </w:r>
      <w:r w:rsidRPr="00A769D3">
        <w:t xml:space="preserve"> </w:t>
      </w:r>
      <w:r w:rsidR="0096450E">
        <w:t>individuals</w:t>
      </w:r>
      <w:r w:rsidR="0096450E" w:rsidRPr="00A769D3">
        <w:t xml:space="preserve"> </w:t>
      </w:r>
      <w:r w:rsidR="00564756" w:rsidRPr="00A769D3">
        <w:t>were</w:t>
      </w:r>
      <w:r w:rsidRPr="00A769D3">
        <w:t xml:space="preserve"> </w:t>
      </w:r>
      <w:r w:rsidR="005F273B" w:rsidRPr="00A769D3">
        <w:t>prosecuted</w:t>
      </w:r>
      <w:r w:rsidRPr="00A769D3">
        <w:t xml:space="preserve"> under Russian</w:t>
      </w:r>
      <w:r w:rsidR="0087676C">
        <w:t xml:space="preserve"> Federation</w:t>
      </w:r>
      <w:r w:rsidRPr="00A769D3">
        <w:t xml:space="preserve"> law.</w:t>
      </w:r>
      <w:r w:rsidR="009A06DD" w:rsidRPr="00A769D3">
        <w:t xml:space="preserve"> </w:t>
      </w:r>
    </w:p>
    <w:p w14:paraId="784A2AED" w14:textId="58C28C10" w:rsidR="002B49DF" w:rsidRDefault="00FF4207" w:rsidP="001232C6">
      <w:pPr>
        <w:pStyle w:val="SingleTxtG"/>
      </w:pPr>
      <w:r w:rsidRPr="00A769D3">
        <w:t>On 17 April</w:t>
      </w:r>
      <w:r w:rsidR="008B5C1B">
        <w:t xml:space="preserve"> 2019</w:t>
      </w:r>
      <w:r w:rsidRPr="00A769D3">
        <w:t>, t</w:t>
      </w:r>
      <w:r w:rsidR="002B49DF" w:rsidRPr="00A769D3">
        <w:t xml:space="preserve">he 24 crew members </w:t>
      </w:r>
      <w:r w:rsidR="00875881" w:rsidRPr="00A769D3">
        <w:t>seized during the 25 November 2018 incident</w:t>
      </w:r>
      <w:r w:rsidRPr="00A769D3">
        <w:t xml:space="preserve"> near the Kerch Strait</w:t>
      </w:r>
      <w:r w:rsidR="00875881" w:rsidRPr="00A769D3">
        <w:rPr>
          <w:rStyle w:val="FootnoteReference"/>
        </w:rPr>
        <w:footnoteReference w:id="107"/>
      </w:r>
      <w:r w:rsidRPr="00A769D3">
        <w:t xml:space="preserve"> had their measure of restraint extended for another three months until 24 </w:t>
      </w:r>
      <w:r w:rsidR="001703F8" w:rsidRPr="00A769D3">
        <w:t>or</w:t>
      </w:r>
      <w:r w:rsidR="00C3133A" w:rsidRPr="00A769D3">
        <w:t xml:space="preserve"> 26 </w:t>
      </w:r>
      <w:r w:rsidRPr="00A769D3">
        <w:t>July 2019.</w:t>
      </w:r>
      <w:r w:rsidR="00512B65" w:rsidRPr="00A769D3">
        <w:rPr>
          <w:rStyle w:val="FootnoteReference"/>
        </w:rPr>
        <w:footnoteReference w:id="108"/>
      </w:r>
      <w:r w:rsidR="00C15891">
        <w:t xml:space="preserve"> </w:t>
      </w:r>
      <w:r w:rsidR="00CB22A9" w:rsidRPr="00CB22A9">
        <w:t>OHCHR recalls that international human rights law requires detention to be consistent with applicable international law in order to avoid being arbitrary.</w:t>
      </w:r>
    </w:p>
    <w:p w14:paraId="60231648" w14:textId="1E63A72E" w:rsidR="00930946" w:rsidRPr="00033773" w:rsidRDefault="00930946" w:rsidP="001232C6">
      <w:pPr>
        <w:pStyle w:val="SingleTxtG"/>
      </w:pPr>
      <w:r w:rsidRPr="00033773">
        <w:t xml:space="preserve">The International Tribunal on the Law of the Sea </w:t>
      </w:r>
      <w:r w:rsidR="00795BCB" w:rsidRPr="00033773">
        <w:t xml:space="preserve">hearing </w:t>
      </w:r>
      <w:r w:rsidRPr="00033773">
        <w:t xml:space="preserve">in the case </w:t>
      </w:r>
      <w:r w:rsidR="00116EAB" w:rsidRPr="001055DD">
        <w:t>between Ukraine and the Russian Federation</w:t>
      </w:r>
      <w:r w:rsidR="00116EAB" w:rsidRPr="001055DD">
        <w:rPr>
          <w:rStyle w:val="FootnoteReference"/>
        </w:rPr>
        <w:footnoteReference w:id="109"/>
      </w:r>
      <w:r w:rsidRPr="00033773">
        <w:t xml:space="preserve"> was held on 10 and 11 May</w:t>
      </w:r>
      <w:r w:rsidR="00FE4260" w:rsidRPr="00033773">
        <w:t xml:space="preserve"> 2019</w:t>
      </w:r>
      <w:r w:rsidRPr="00033773">
        <w:t xml:space="preserve">, with </w:t>
      </w:r>
      <w:r w:rsidR="00795BCB" w:rsidRPr="00033773">
        <w:t>an</w:t>
      </w:r>
      <w:r w:rsidRPr="00033773">
        <w:t xml:space="preserve"> order </w:t>
      </w:r>
      <w:r w:rsidR="00795BCB" w:rsidRPr="00033773">
        <w:t xml:space="preserve">on provisional measures </w:t>
      </w:r>
      <w:r w:rsidRPr="00033773">
        <w:t>issued on 25 May.</w:t>
      </w:r>
      <w:r w:rsidR="00FE4260" w:rsidRPr="00033773">
        <w:t xml:space="preserve"> </w:t>
      </w:r>
      <w:r w:rsidR="00116EAB" w:rsidRPr="001055DD">
        <w:t xml:space="preserve">The provisional measures called for the </w:t>
      </w:r>
      <w:r w:rsidR="00116EAB" w:rsidRPr="00033773">
        <w:t>Russian Federation to immediately release the Ukrainian naval vessels</w:t>
      </w:r>
      <w:r w:rsidR="00795BCB" w:rsidRPr="00033773">
        <w:t>,</w:t>
      </w:r>
      <w:r w:rsidR="00116EAB" w:rsidRPr="00033773">
        <w:t xml:space="preserve"> and immediately release the 24 detained Ukrainian </w:t>
      </w:r>
      <w:r w:rsidR="00033773">
        <w:t>crew members</w:t>
      </w:r>
      <w:r w:rsidR="00116EAB" w:rsidRPr="00033773">
        <w:t xml:space="preserve"> and allow them to return to Ukraine. It also called for both Ukraine and the Russian Federation to refrain from taking any action which might aggravate or extend the dispute.</w:t>
      </w:r>
      <w:r w:rsidR="00FE4260" w:rsidRPr="00033773">
        <w:rPr>
          <w:rStyle w:val="FootnoteReference"/>
        </w:rPr>
        <w:footnoteReference w:id="110"/>
      </w:r>
    </w:p>
    <w:p w14:paraId="1B22216E" w14:textId="77777777" w:rsidR="00B031E1" w:rsidRPr="00513802" w:rsidRDefault="00B031E1" w:rsidP="00DC0D28">
      <w:pPr>
        <w:pStyle w:val="H23G"/>
        <w:rPr>
          <w:lang w:val="en-NZ"/>
        </w:rPr>
      </w:pPr>
      <w:bookmarkStart w:id="351" w:name="_Toc11165989"/>
      <w:r w:rsidRPr="00513802">
        <w:rPr>
          <w:lang w:val="en-NZ"/>
        </w:rPr>
        <w:t>Rights of detainees in Crimea</w:t>
      </w:r>
      <w:bookmarkEnd w:id="351"/>
    </w:p>
    <w:p w14:paraId="07692A58" w14:textId="628885EC" w:rsidR="00B031E1" w:rsidRDefault="00B031E1" w:rsidP="001232C6">
      <w:pPr>
        <w:pStyle w:val="SingleTxtG"/>
      </w:pPr>
      <w:r w:rsidRPr="00513802">
        <w:t xml:space="preserve">Over the reporting period, OHCHR continued to receive credible </w:t>
      </w:r>
      <w:r w:rsidRPr="00A769D3">
        <w:t xml:space="preserve">reports about inhuman conditions in official places of detention in Crimea, which </w:t>
      </w:r>
      <w:r w:rsidR="00A73894" w:rsidRPr="00A769D3">
        <w:t xml:space="preserve">may </w:t>
      </w:r>
      <w:r w:rsidRPr="00A769D3">
        <w:t>amount to ill-treatment. As in previous years, “SIZO No. 1” in Simferopol, the only pre-trial detention facility in Crimea</w:t>
      </w:r>
      <w:r w:rsidR="00A73894" w:rsidRPr="00A769D3">
        <w:t>,</w:t>
      </w:r>
      <w:r w:rsidRPr="00A769D3">
        <w:t xml:space="preserve"> </w:t>
      </w:r>
      <w:r w:rsidR="00564756" w:rsidRPr="00A769D3">
        <w:t>remained</w:t>
      </w:r>
      <w:r w:rsidRPr="00A769D3">
        <w:t xml:space="preserve"> heavily overcrowded. Built with a maximum capacity of 747 individuals, </w:t>
      </w:r>
      <w:r w:rsidR="005F273B" w:rsidRPr="00A769D3">
        <w:t>during 2018, the average number of prisoners was 1,349.</w:t>
      </w:r>
      <w:r w:rsidRPr="007521E8">
        <w:rPr>
          <w:rStyle w:val="FootnoteReference"/>
          <w:sz w:val="20"/>
        </w:rPr>
        <w:footnoteReference w:id="111"/>
      </w:r>
      <w:r w:rsidRPr="00A769D3">
        <w:t xml:space="preserve"> </w:t>
      </w:r>
      <w:r w:rsidRPr="00A769D3" w:rsidDel="00B2502B">
        <w:t>Inside prison cells, overcrowding necessitated sleeping schedules</w:t>
      </w:r>
      <w:r w:rsidR="00A50123">
        <w:t>.</w:t>
      </w:r>
      <w:r w:rsidRPr="00A769D3" w:rsidDel="00B2502B">
        <w:t xml:space="preserve"> </w:t>
      </w:r>
      <w:r w:rsidRPr="00A769D3">
        <w:t xml:space="preserve">Because of </w:t>
      </w:r>
      <w:r w:rsidR="00C7522B" w:rsidRPr="00A769D3">
        <w:t xml:space="preserve">the </w:t>
      </w:r>
      <w:r w:rsidR="00A92B13" w:rsidRPr="00A769D3">
        <w:t xml:space="preserve">broken </w:t>
      </w:r>
      <w:r w:rsidR="00785B18" w:rsidRPr="00A769D3">
        <w:t xml:space="preserve">toilet </w:t>
      </w:r>
      <w:r w:rsidR="00A92B13" w:rsidRPr="00A769D3">
        <w:t>flushing system</w:t>
      </w:r>
      <w:r w:rsidRPr="00A769D3">
        <w:t xml:space="preserve">, inmates had to use empty bottles to push </w:t>
      </w:r>
      <w:r w:rsidR="003F0100" w:rsidRPr="00A769D3">
        <w:t>faeces</w:t>
      </w:r>
      <w:r w:rsidRPr="00A769D3">
        <w:t xml:space="preserve"> through the canali</w:t>
      </w:r>
      <w:r w:rsidR="0092034D">
        <w:t>s</w:t>
      </w:r>
      <w:r w:rsidRPr="00A769D3">
        <w:t>ation</w:t>
      </w:r>
      <w:r w:rsidR="00B2502B" w:rsidRPr="00A769D3">
        <w:t>, and faced extremely cold winter conditions</w:t>
      </w:r>
      <w:r w:rsidRPr="00A769D3">
        <w:t xml:space="preserve">. </w:t>
      </w:r>
      <w:r w:rsidR="00B2502B" w:rsidRPr="00A769D3">
        <w:t>P</w:t>
      </w:r>
      <w:r w:rsidRPr="00A769D3">
        <w:t xml:space="preserve">rior to detention visits </w:t>
      </w:r>
      <w:r w:rsidR="00B2502B" w:rsidRPr="00A769D3">
        <w:t xml:space="preserve">by </w:t>
      </w:r>
      <w:r w:rsidRPr="00A769D3">
        <w:t xml:space="preserve">the Russian </w:t>
      </w:r>
      <w:r w:rsidR="0087676C">
        <w:t xml:space="preserve">Federation </w:t>
      </w:r>
      <w:r w:rsidRPr="00A769D3">
        <w:t xml:space="preserve">Ombudsperson, the SIZO administration </w:t>
      </w:r>
      <w:r w:rsidR="00B2502B" w:rsidRPr="00A769D3">
        <w:t xml:space="preserve">reportedly </w:t>
      </w:r>
      <w:r w:rsidRPr="00A769D3">
        <w:t xml:space="preserve">instructed detainees not to complain </w:t>
      </w:r>
      <w:r w:rsidR="00A92B13" w:rsidRPr="00A769D3">
        <w:t>or risk</w:t>
      </w:r>
      <w:r w:rsidRPr="00A769D3">
        <w:t xml:space="preserve"> “making </w:t>
      </w:r>
      <w:r w:rsidR="00B2502B" w:rsidRPr="00A769D3">
        <w:t xml:space="preserve">[the conditions of detention] </w:t>
      </w:r>
      <w:r w:rsidRPr="00A769D3">
        <w:t>even worse”.</w:t>
      </w:r>
      <w:r w:rsidRPr="00A769D3">
        <w:rPr>
          <w:rStyle w:val="FootnoteReference"/>
          <w:sz w:val="20"/>
        </w:rPr>
        <w:footnoteReference w:id="112"/>
      </w:r>
    </w:p>
    <w:p w14:paraId="3C399F0F" w14:textId="77777777" w:rsidR="00EE20D3" w:rsidRPr="00A7569B" w:rsidRDefault="00EE20D3" w:rsidP="001232C6">
      <w:pPr>
        <w:pStyle w:val="ParNoG"/>
        <w:tabs>
          <w:tab w:val="clear" w:pos="1701"/>
        </w:tabs>
        <w:rPr>
          <w:i/>
        </w:rPr>
      </w:pPr>
      <w:r w:rsidRPr="00A7569B">
        <w:rPr>
          <w:i/>
        </w:rPr>
        <w:t>“The more you scream, the worse you make it for yourself and your relatives.”</w:t>
      </w:r>
    </w:p>
    <w:p w14:paraId="0997E1E9" w14:textId="04F9202B" w:rsidR="00EE20D3" w:rsidRPr="003D7187" w:rsidRDefault="008C47BB" w:rsidP="001232C6">
      <w:pPr>
        <w:pStyle w:val="ParNoG"/>
        <w:numPr>
          <w:ilvl w:val="0"/>
          <w:numId w:val="12"/>
        </w:numPr>
        <w:rPr>
          <w:i/>
        </w:rPr>
      </w:pPr>
      <w:r>
        <w:t xml:space="preserve">An FSB officer to a </w:t>
      </w:r>
      <w:r w:rsidR="00EE20D3">
        <w:t>torture victim.</w:t>
      </w:r>
    </w:p>
    <w:p w14:paraId="688A19FA" w14:textId="3A843A26" w:rsidR="00B031E1" w:rsidRPr="00A769D3" w:rsidRDefault="00B031E1" w:rsidP="001232C6">
      <w:pPr>
        <w:pStyle w:val="SingleTxtG"/>
      </w:pPr>
      <w:r w:rsidRPr="00513802">
        <w:t xml:space="preserve">Detainees belonging to vulnerable groups, including </w:t>
      </w:r>
      <w:r w:rsidR="00B727B2" w:rsidRPr="00513802">
        <w:t xml:space="preserve">the </w:t>
      </w:r>
      <w:r w:rsidRPr="00513802">
        <w:t xml:space="preserve">elderly and </w:t>
      </w:r>
      <w:r w:rsidRPr="00A769D3">
        <w:t>people with disabilities, are</w:t>
      </w:r>
      <w:r w:rsidR="00371392">
        <w:t xml:space="preserve"> </w:t>
      </w:r>
      <w:r w:rsidR="00B2502B" w:rsidRPr="00A769D3">
        <w:t>disproportionally affected</w:t>
      </w:r>
      <w:r w:rsidRPr="00A769D3">
        <w:t xml:space="preserve">. OHCHR documented </w:t>
      </w:r>
      <w:r w:rsidR="00A92B13" w:rsidRPr="00A769D3">
        <w:t xml:space="preserve">the </w:t>
      </w:r>
      <w:r w:rsidRPr="00A769D3">
        <w:t xml:space="preserve">case of a 58-year-old Ukrainian citizen with an amputated leg and a first-degree disability who was detained in inhuman conditions in Simferopol for more than three months before being transferred to the medical ward after his health had significantly deteriorated. </w:t>
      </w:r>
      <w:r w:rsidR="00B2502B" w:rsidRPr="00A769D3">
        <w:t>H</w:t>
      </w:r>
      <w:r w:rsidR="00A92B13" w:rsidRPr="00A769D3">
        <w:t>e was</w:t>
      </w:r>
      <w:r w:rsidR="004602CA" w:rsidRPr="00A769D3">
        <w:t xml:space="preserve"> </w:t>
      </w:r>
      <w:r w:rsidR="00B2502B" w:rsidRPr="00A769D3">
        <w:t>unable</w:t>
      </w:r>
      <w:r w:rsidR="00A92B13" w:rsidRPr="00A769D3">
        <w:t xml:space="preserve"> to access</w:t>
      </w:r>
      <w:r w:rsidRPr="00A769D3">
        <w:t xml:space="preserve"> an exercise yard, or a shower</w:t>
      </w:r>
      <w:r w:rsidR="00B2502B" w:rsidRPr="00A769D3">
        <w:t xml:space="preserve">, </w:t>
      </w:r>
      <w:r w:rsidRPr="00A769D3">
        <w:t>remain</w:t>
      </w:r>
      <w:r w:rsidR="00B2502B" w:rsidRPr="00A769D3">
        <w:t>ing</w:t>
      </w:r>
      <w:r w:rsidRPr="00A769D3">
        <w:t xml:space="preserve"> confined </w:t>
      </w:r>
      <w:r w:rsidR="00A92B13" w:rsidRPr="00A769D3">
        <w:t>in his</w:t>
      </w:r>
      <w:r w:rsidRPr="00A769D3">
        <w:t xml:space="preserve"> cell twenty-four hours a day</w:t>
      </w:r>
      <w:r w:rsidR="00B2502B" w:rsidRPr="00A769D3">
        <w:t>,</w:t>
      </w:r>
      <w:r w:rsidRPr="00A769D3">
        <w:t xml:space="preserve"> and had </w:t>
      </w:r>
      <w:r w:rsidRPr="00A769D3">
        <w:lastRenderedPageBreak/>
        <w:t>to ask a cellmate to help him to</w:t>
      </w:r>
      <w:r w:rsidR="009A06DD" w:rsidRPr="00A769D3">
        <w:t xml:space="preserve"> </w:t>
      </w:r>
      <w:r w:rsidRPr="00A769D3">
        <w:t xml:space="preserve">shower by pouring water on him while </w:t>
      </w:r>
      <w:r w:rsidR="004C2745">
        <w:t>he sat</w:t>
      </w:r>
      <w:r w:rsidR="004C2745" w:rsidRPr="00A769D3">
        <w:t xml:space="preserve"> </w:t>
      </w:r>
      <w:r w:rsidRPr="00A769D3">
        <w:t>on the toilet.</w:t>
      </w:r>
      <w:r w:rsidRPr="00A769D3">
        <w:rPr>
          <w:rStyle w:val="FootnoteReference"/>
          <w:sz w:val="20"/>
        </w:rPr>
        <w:footnoteReference w:id="113"/>
      </w:r>
    </w:p>
    <w:p w14:paraId="0A7B17CF" w14:textId="350AA7FC" w:rsidR="00B031E1" w:rsidRPr="00513802" w:rsidRDefault="00B031E1" w:rsidP="00DC0D28">
      <w:pPr>
        <w:pStyle w:val="H23G"/>
        <w:rPr>
          <w:lang w:val="en-NZ"/>
        </w:rPr>
      </w:pPr>
      <w:bookmarkStart w:id="352" w:name="_Toc11165990"/>
      <w:r w:rsidRPr="00513802">
        <w:rPr>
          <w:lang w:val="en-NZ"/>
        </w:rPr>
        <w:t xml:space="preserve">Right to </w:t>
      </w:r>
      <w:r w:rsidRPr="00DC0D28">
        <w:t>education</w:t>
      </w:r>
      <w:r w:rsidRPr="00513802">
        <w:rPr>
          <w:lang w:val="en-NZ"/>
        </w:rPr>
        <w:t xml:space="preserve"> in native language and right to maintain one’s identity, culture and tradition</w:t>
      </w:r>
      <w:bookmarkEnd w:id="352"/>
      <w:r w:rsidRPr="00513802">
        <w:rPr>
          <w:lang w:val="en-NZ"/>
        </w:rPr>
        <w:t xml:space="preserve"> </w:t>
      </w:r>
    </w:p>
    <w:p w14:paraId="2F4D0750" w14:textId="1FBD27E1" w:rsidR="00B031E1" w:rsidRPr="00A769D3" w:rsidRDefault="00B031E1" w:rsidP="001232C6">
      <w:pPr>
        <w:pStyle w:val="SingleTxtG"/>
        <w:rPr>
          <w:iCs/>
        </w:rPr>
      </w:pPr>
      <w:r w:rsidRPr="007521E8">
        <w:rPr>
          <w:rStyle w:val="EndnoteReference"/>
          <w:sz w:val="20"/>
          <w:vertAlign w:val="baseline"/>
        </w:rPr>
        <w:t>OHCHR</w:t>
      </w:r>
      <w:r w:rsidRPr="00A769D3">
        <w:t xml:space="preserve"> recalls the order delivered by the International Court of Justice (ICJ) on 19 April 2017 in proceedings brought by Ukraine against the Russian Federation.</w:t>
      </w:r>
      <w:r w:rsidR="000E49B3" w:rsidRPr="004007C7">
        <w:rPr>
          <w:rStyle w:val="FootnoteReference"/>
          <w:iCs/>
          <w:sz w:val="20"/>
        </w:rPr>
        <w:footnoteReference w:id="114"/>
      </w:r>
      <w:r w:rsidRPr="00A769D3">
        <w:t xml:space="preserve"> The court concluded that </w:t>
      </w:r>
      <w:r w:rsidR="0087676C">
        <w:t xml:space="preserve">the </w:t>
      </w:r>
      <w:r w:rsidRPr="00A769D3">
        <w:t xml:space="preserve">Russia </w:t>
      </w:r>
      <w:r w:rsidR="0087676C">
        <w:t xml:space="preserve">Federation </w:t>
      </w:r>
      <w:r w:rsidRPr="00A769D3">
        <w:t>must “</w:t>
      </w:r>
      <w:r w:rsidR="0024398C" w:rsidRPr="00A769D3">
        <w:t>[E]</w:t>
      </w:r>
      <w:r w:rsidRPr="00A769D3">
        <w:t>nsure the availability of education in the Ukrainian language” and “</w:t>
      </w:r>
      <w:r w:rsidR="0024398C" w:rsidRPr="00A769D3">
        <w:t>[R]</w:t>
      </w:r>
      <w:r w:rsidRPr="00A769D3">
        <w:rPr>
          <w:iCs/>
        </w:rPr>
        <w:t xml:space="preserve">efrain from maintaining or imposing limitations on the ability of the Crimean Tatar community to conserve its representative institutions, including the </w:t>
      </w:r>
      <w:r w:rsidRPr="004007C7">
        <w:rPr>
          <w:iCs/>
        </w:rPr>
        <w:t>Mejlis</w:t>
      </w:r>
      <w:r w:rsidR="000E49B3">
        <w:rPr>
          <w:iCs/>
        </w:rPr>
        <w:t>.”</w:t>
      </w:r>
      <w:r w:rsidR="000E49B3" w:rsidRPr="004007C7">
        <w:rPr>
          <w:rStyle w:val="FootnoteReference"/>
          <w:sz w:val="20"/>
        </w:rPr>
        <w:footnoteReference w:id="115"/>
      </w:r>
      <w:r w:rsidRPr="00A769D3">
        <w:rPr>
          <w:i/>
          <w:iCs/>
        </w:rPr>
        <w:t xml:space="preserve"> </w:t>
      </w:r>
      <w:r w:rsidRPr="00A769D3">
        <w:rPr>
          <w:iCs/>
        </w:rPr>
        <w:t>UNESCO Guidelines on Language and Education recommend that instruction in the mother tongue is “extended as late a stage in education as possible”.</w:t>
      </w:r>
      <w:r w:rsidRPr="00A769D3">
        <w:rPr>
          <w:rStyle w:val="FootnoteReference"/>
          <w:iCs/>
          <w:sz w:val="20"/>
        </w:rPr>
        <w:footnoteReference w:id="116"/>
      </w:r>
    </w:p>
    <w:p w14:paraId="5C9078BF" w14:textId="7DB792B3" w:rsidR="00B031E1" w:rsidRPr="00A769D3" w:rsidRDefault="00B031E1" w:rsidP="001232C6">
      <w:pPr>
        <w:pStyle w:val="SingleTxtG"/>
      </w:pPr>
      <w:r w:rsidRPr="00A769D3">
        <w:t xml:space="preserve">According to </w:t>
      </w:r>
      <w:r w:rsidR="001703F8" w:rsidRPr="00A769D3">
        <w:t xml:space="preserve">Russian Federation </w:t>
      </w:r>
      <w:r w:rsidR="00A92B13" w:rsidRPr="00A769D3">
        <w:t>statistics</w:t>
      </w:r>
      <w:r w:rsidRPr="00A769D3">
        <w:t>, in the 2018/2019 academic year, one Ukrainian school and eight Ukrainian classes in five Russian schools in Crimea continued to deliver instruction in Ukrainian, attended by 249 children (0.2 % of all Crimean students enrolled in schools).</w:t>
      </w:r>
      <w:r w:rsidRPr="00A769D3">
        <w:rPr>
          <w:rStyle w:val="FootnoteReference"/>
          <w:sz w:val="20"/>
        </w:rPr>
        <w:footnoteReference w:id="117"/>
      </w:r>
      <w:r w:rsidRPr="00A769D3">
        <w:t xml:space="preserve"> The </w:t>
      </w:r>
      <w:r w:rsidR="004602CA" w:rsidRPr="00A769D3">
        <w:t xml:space="preserve">number </w:t>
      </w:r>
      <w:r w:rsidRPr="00A769D3">
        <w:t xml:space="preserve">of children educated in Ukrainian has dropped steadily since the beginning of </w:t>
      </w:r>
      <w:r w:rsidR="00A92B13" w:rsidRPr="00A769D3">
        <w:t xml:space="preserve">the </w:t>
      </w:r>
      <w:r w:rsidRPr="00A769D3">
        <w:t>occupation.</w:t>
      </w:r>
      <w:r w:rsidRPr="00A769D3">
        <w:rPr>
          <w:rStyle w:val="FootnoteReference"/>
          <w:sz w:val="20"/>
        </w:rPr>
        <w:footnoteReference w:id="118"/>
      </w:r>
      <w:r w:rsidRPr="00A769D3">
        <w:t xml:space="preserve"> </w:t>
      </w:r>
    </w:p>
    <w:p w14:paraId="2D751486" w14:textId="075E1F52" w:rsidR="00B031E1" w:rsidRPr="00A769D3" w:rsidRDefault="00B031E1" w:rsidP="001232C6">
      <w:pPr>
        <w:pStyle w:val="SingleTxtG"/>
      </w:pPr>
      <w:r w:rsidRPr="00A769D3">
        <w:t xml:space="preserve">Russian Federation statistics indicate that in the current academic year, there are 6,100 students educated in Crimean Tatar who attend 15 Crimean Tatar schools and 126 Crimean Tatar classes in 27 Russian schools. </w:t>
      </w:r>
      <w:r w:rsidRPr="00207E4C">
        <w:t xml:space="preserve">This </w:t>
      </w:r>
      <w:r w:rsidR="009A2046">
        <w:t xml:space="preserve">reported </w:t>
      </w:r>
      <w:r w:rsidRPr="00207E4C">
        <w:t>number has</w:t>
      </w:r>
      <w:r w:rsidRPr="00A769D3">
        <w:t xml:space="preserve"> remained stable over the years since the beginning of </w:t>
      </w:r>
      <w:r w:rsidR="00A92B13" w:rsidRPr="00A769D3">
        <w:t xml:space="preserve">the </w:t>
      </w:r>
      <w:r w:rsidRPr="00A769D3">
        <w:t>occupation.</w:t>
      </w:r>
      <w:r w:rsidRPr="00A769D3">
        <w:rPr>
          <w:rStyle w:val="FootnoteReference"/>
          <w:sz w:val="20"/>
        </w:rPr>
        <w:footnoteReference w:id="119"/>
      </w:r>
      <w:r w:rsidRPr="00A769D3">
        <w:t xml:space="preserve"> However, OHCHR has documented cases of discrepancies between the formal language status of the school and the </w:t>
      </w:r>
      <w:r w:rsidRPr="00A769D3">
        <w:rPr>
          <w:i/>
        </w:rPr>
        <w:t>de facto</w:t>
      </w:r>
      <w:r w:rsidRPr="00A769D3">
        <w:t xml:space="preserve"> use of Crimean Tatar in the curriculum.</w:t>
      </w:r>
      <w:r w:rsidRPr="00A769D3">
        <w:rPr>
          <w:rStyle w:val="FootnoteReference"/>
          <w:sz w:val="20"/>
        </w:rPr>
        <w:footnoteReference w:id="120"/>
      </w:r>
      <w:r w:rsidRPr="00A769D3">
        <w:t xml:space="preserve"> In addition, in several documented cases, school administrations rejected </w:t>
      </w:r>
      <w:r w:rsidR="00A92B13" w:rsidRPr="00A769D3">
        <w:t xml:space="preserve">parents’ </w:t>
      </w:r>
      <w:r w:rsidRPr="00A769D3">
        <w:t>requests to organi</w:t>
      </w:r>
      <w:r w:rsidR="00A92B13" w:rsidRPr="00A769D3">
        <w:t>s</w:t>
      </w:r>
      <w:r w:rsidRPr="00A769D3">
        <w:t xml:space="preserve">e a Crimean Tatar class or increase the hours </w:t>
      </w:r>
      <w:r w:rsidR="00A92B13" w:rsidRPr="00A769D3">
        <w:t xml:space="preserve">the </w:t>
      </w:r>
      <w:r w:rsidRPr="00A769D3">
        <w:t>Crimean Tatar language</w:t>
      </w:r>
      <w:r w:rsidR="00A92B13" w:rsidRPr="00A769D3">
        <w:t xml:space="preserve"> </w:t>
      </w:r>
      <w:r w:rsidR="00A92B13" w:rsidRPr="00A769D3" w:rsidDel="004602CA">
        <w:t xml:space="preserve">was </w:t>
      </w:r>
      <w:r w:rsidR="00A92B13" w:rsidRPr="00A769D3">
        <w:t>taught</w:t>
      </w:r>
      <w:r w:rsidRPr="00A769D3">
        <w:t>.</w:t>
      </w:r>
      <w:r w:rsidR="00564756" w:rsidRPr="00A769D3">
        <w:rPr>
          <w:rStyle w:val="FootnoteReference"/>
        </w:rPr>
        <w:footnoteReference w:id="121"/>
      </w:r>
    </w:p>
    <w:p w14:paraId="7FA12A0C" w14:textId="66D3ADAF" w:rsidR="00175BB4" w:rsidRDefault="00B031E1" w:rsidP="001232C6">
      <w:pPr>
        <w:pStyle w:val="SingleTxtG"/>
      </w:pPr>
      <w:r w:rsidRPr="00513802">
        <w:t>OHCHR notes the lack of progress in removing the limitations on the operations of the Mejlis, a key self-governing institution of the Crimean Tatar people.</w:t>
      </w:r>
      <w:r w:rsidRPr="00513802">
        <w:rPr>
          <w:rStyle w:val="FootnoteReference"/>
          <w:sz w:val="20"/>
        </w:rPr>
        <w:footnoteReference w:id="122"/>
      </w:r>
      <w:r w:rsidRPr="00513802">
        <w:t xml:space="preserve"> Since the </w:t>
      </w:r>
      <w:r w:rsidR="003A36FE" w:rsidRPr="00513802">
        <w:t xml:space="preserve">26 April 2016 </w:t>
      </w:r>
      <w:r w:rsidRPr="00513802">
        <w:t>decision of the Supreme Court of Crimea that declared the Mejlis an extremist organi</w:t>
      </w:r>
      <w:r w:rsidR="001703F8">
        <w:t>s</w:t>
      </w:r>
      <w:r w:rsidRPr="00513802">
        <w:t xml:space="preserve">ation, the institution has remained effectively banned. </w:t>
      </w:r>
    </w:p>
    <w:p w14:paraId="61BB110D" w14:textId="77777777" w:rsidR="00175BB4" w:rsidRDefault="00175BB4">
      <w:pPr>
        <w:suppressAutoHyphens w:val="0"/>
        <w:spacing w:after="160" w:line="259" w:lineRule="auto"/>
      </w:pPr>
      <w:r>
        <w:br w:type="page"/>
      </w:r>
    </w:p>
    <w:p w14:paraId="14052019" w14:textId="1D03CFEF" w:rsidR="00256B96" w:rsidRPr="00513802" w:rsidRDefault="00256B96" w:rsidP="00DC0D28">
      <w:pPr>
        <w:pStyle w:val="H1G"/>
        <w:rPr>
          <w:lang w:val="en-NZ"/>
        </w:rPr>
      </w:pPr>
      <w:bookmarkStart w:id="353" w:name="_Toc11165991"/>
      <w:r w:rsidRPr="00513802">
        <w:rPr>
          <w:lang w:val="en-NZ"/>
        </w:rPr>
        <w:lastRenderedPageBreak/>
        <w:t xml:space="preserve">Technical </w:t>
      </w:r>
      <w:r w:rsidRPr="00DC0D28">
        <w:t>cooperation</w:t>
      </w:r>
      <w:r w:rsidRPr="00513802">
        <w:rPr>
          <w:lang w:val="en-NZ"/>
        </w:rPr>
        <w:t xml:space="preserve"> and capacity-building</w:t>
      </w:r>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53"/>
      <w:r w:rsidRPr="00513802">
        <w:rPr>
          <w:lang w:val="en-NZ"/>
        </w:rPr>
        <w:t xml:space="preserve"> </w:t>
      </w:r>
      <w:bookmarkEnd w:id="346"/>
      <w:bookmarkEnd w:id="347"/>
      <w:bookmarkEnd w:id="348"/>
      <w:bookmarkEnd w:id="349"/>
      <w:bookmarkEnd w:id="350"/>
    </w:p>
    <w:p w14:paraId="5DF5E77E" w14:textId="463605D4" w:rsidR="006671F1" w:rsidRPr="00513802" w:rsidRDefault="006671F1" w:rsidP="001232C6">
      <w:pPr>
        <w:pStyle w:val="SingleTxtG"/>
      </w:pPr>
      <w:r w:rsidRPr="00513802">
        <w:t>OHCHR regularly engages in technical cooperation and capacity-building activities to assist the Government of Ukraine, and other stakeholders that have a role to play in the promotion and protection of human rights in Ukraine.</w:t>
      </w:r>
    </w:p>
    <w:p w14:paraId="3DBEA736" w14:textId="22E30EFA" w:rsidR="006671F1" w:rsidRPr="00513802" w:rsidRDefault="006671F1" w:rsidP="001232C6">
      <w:pPr>
        <w:pStyle w:val="SingleTxtG"/>
      </w:pPr>
      <w:r w:rsidRPr="00513802">
        <w:t xml:space="preserve">During the reporting period, OHCHR provided training to a variety of actors, including </w:t>
      </w:r>
      <w:r w:rsidR="00801192">
        <w:t>G</w:t>
      </w:r>
      <w:r w:rsidRPr="00513802">
        <w:t xml:space="preserve">overnment officials, monitors from the national prevention mechanism (NPM), military officers, lawyers, representatives of international organisations and civil society. This included sessions on the protection of civilians in armed conflict, </w:t>
      </w:r>
      <w:r w:rsidR="00EE5A46" w:rsidRPr="00513802">
        <w:t xml:space="preserve">prevention </w:t>
      </w:r>
      <w:r w:rsidR="00EE5A46">
        <w:t>of</w:t>
      </w:r>
      <w:r w:rsidR="00EE5A46" w:rsidRPr="00513802">
        <w:t xml:space="preserve"> </w:t>
      </w:r>
      <w:r w:rsidRPr="00513802">
        <w:t>torture</w:t>
      </w:r>
      <w:r w:rsidR="00EE5A46">
        <w:t xml:space="preserve"> and </w:t>
      </w:r>
      <w:r w:rsidRPr="00513802">
        <w:t>ill-treatment in the places of deprivation of liberty and international standards for the treatment of prisoners</w:t>
      </w:r>
      <w:r w:rsidR="00EE5A46">
        <w:t>,</w:t>
      </w:r>
      <w:r w:rsidRPr="00513802">
        <w:t xml:space="preserve"> and documentation of torture. </w:t>
      </w:r>
    </w:p>
    <w:p w14:paraId="5621A5AC" w14:textId="4BD15A42" w:rsidR="006671F1" w:rsidRPr="00513802" w:rsidRDefault="006671F1" w:rsidP="001232C6">
      <w:pPr>
        <w:pStyle w:val="SingleTxtG"/>
      </w:pPr>
      <w:r w:rsidRPr="00513802">
        <w:t>During this reporting period, OHCHR also provided analytical papers to a variety of stakeholders on human rights issues such as the practice of automatic pre-trial detention of individuals charged with conflict-related infractions, and detention conditions. This aimed at ensuring that legislation and practice of actors was in conformity with international human rights standards.</w:t>
      </w:r>
    </w:p>
    <w:p w14:paraId="33914B9F" w14:textId="08E221D6" w:rsidR="00256B96" w:rsidRDefault="00256B96" w:rsidP="007D3010">
      <w:pPr>
        <w:pStyle w:val="H1G"/>
        <w:ind w:left="993" w:hanging="993"/>
      </w:pPr>
      <w:bookmarkStart w:id="354" w:name="_Toc521518107"/>
      <w:bookmarkStart w:id="355" w:name="_Toc523729943"/>
      <w:bookmarkStart w:id="356" w:name="_Toc523733568"/>
      <w:bookmarkStart w:id="357" w:name="_Toc523734227"/>
      <w:bookmarkStart w:id="358" w:name="_Toc523737856"/>
      <w:bookmarkStart w:id="359" w:name="_Toc523737887"/>
      <w:bookmarkStart w:id="360" w:name="_Toc525031953"/>
      <w:bookmarkStart w:id="361" w:name="_Toc525034472"/>
      <w:bookmarkStart w:id="362" w:name="_Toc525035816"/>
      <w:bookmarkStart w:id="363" w:name="_Toc11165992"/>
      <w:r w:rsidRPr="00DC0D28">
        <w:t xml:space="preserve">Conclusions </w:t>
      </w:r>
      <w:r w:rsidRPr="00597DC6">
        <w:t>and</w:t>
      </w:r>
      <w:r w:rsidRPr="00DC0D28">
        <w:t xml:space="preserve"> recommendations</w:t>
      </w:r>
      <w:bookmarkEnd w:id="354"/>
      <w:bookmarkEnd w:id="355"/>
      <w:bookmarkEnd w:id="356"/>
      <w:bookmarkEnd w:id="357"/>
      <w:bookmarkEnd w:id="358"/>
      <w:bookmarkEnd w:id="359"/>
      <w:bookmarkEnd w:id="360"/>
      <w:bookmarkEnd w:id="361"/>
      <w:bookmarkEnd w:id="362"/>
      <w:bookmarkEnd w:id="363"/>
    </w:p>
    <w:p w14:paraId="52AAB7A5" w14:textId="5CC927FD" w:rsidR="00683633" w:rsidRDefault="00683633" w:rsidP="001232C6">
      <w:pPr>
        <w:pStyle w:val="SingleTxtG"/>
      </w:pPr>
      <w:r>
        <w:t xml:space="preserve">While welcoming </w:t>
      </w:r>
      <w:r w:rsidR="006F3421" w:rsidRPr="006F3421">
        <w:t>the ongoing decline in conflict-related civilian casualties</w:t>
      </w:r>
      <w:r>
        <w:t>, OHCHR continues to observe the incremental impact of the conflict on people living along both sides of the contact line, as well as throughout the country. A</w:t>
      </w:r>
      <w:r w:rsidR="006F3421" w:rsidRPr="006F3421">
        <w:t xml:space="preserve">ll parties should amplify their efforts to </w:t>
      </w:r>
      <w:r w:rsidR="000E4649">
        <w:t xml:space="preserve">end the conflict, </w:t>
      </w:r>
      <w:r>
        <w:t xml:space="preserve">and in the meantime, ensure </w:t>
      </w:r>
      <w:r w:rsidR="000E4649">
        <w:t xml:space="preserve">the </w:t>
      </w:r>
      <w:r w:rsidR="006F3421" w:rsidRPr="006F3421">
        <w:t>protect</w:t>
      </w:r>
      <w:r w:rsidR="000E4649">
        <w:t>ion of</w:t>
      </w:r>
      <w:r w:rsidR="006F3421" w:rsidRPr="006F3421">
        <w:t xml:space="preserve"> </w:t>
      </w:r>
      <w:r>
        <w:t>civilians</w:t>
      </w:r>
      <w:r w:rsidR="006F3421" w:rsidRPr="006F3421">
        <w:t xml:space="preserve">. </w:t>
      </w:r>
    </w:p>
    <w:p w14:paraId="2CD7E7DA" w14:textId="67CA4287" w:rsidR="006F3421" w:rsidRPr="006F3421" w:rsidRDefault="00C47664" w:rsidP="001232C6">
      <w:pPr>
        <w:pStyle w:val="SingleTxtG"/>
      </w:pPr>
      <w:r w:rsidRPr="00782D15">
        <w:t>The realisation of economic and social rights for those affected by the conflict would significantly contribute to restoring peace and stability in eastern Ukraine.</w:t>
      </w:r>
      <w:r>
        <w:t xml:space="preserve"> Consequently, i</w:t>
      </w:r>
      <w:r w:rsidR="00683633">
        <w:t xml:space="preserve">nclusive and non-discriminatory policies, laws and practices should be at the core of all efforts to bring about greater </w:t>
      </w:r>
      <w:r w:rsidR="006F3421" w:rsidRPr="006F3421">
        <w:t>social cohesion in Ukraine.</w:t>
      </w:r>
      <w:r>
        <w:t xml:space="preserve"> </w:t>
      </w:r>
    </w:p>
    <w:p w14:paraId="2F0BEA76" w14:textId="70142A5B" w:rsidR="006F3421" w:rsidRPr="006F3421" w:rsidRDefault="00683633" w:rsidP="001232C6">
      <w:pPr>
        <w:pStyle w:val="SingleTxtG"/>
      </w:pPr>
      <w:r w:rsidRPr="006F3421">
        <w:t>A</w:t>
      </w:r>
      <w:r>
        <w:t>ccountability is essential to stem systematic practices that continue to lead to</w:t>
      </w:r>
      <w:r w:rsidR="006F3421" w:rsidRPr="006F3421">
        <w:t xml:space="preserve"> violations of human rights and humanitarian law. Full respect for the rule of law, including</w:t>
      </w:r>
      <w:r w:rsidR="00751BD2">
        <w:t xml:space="preserve"> prompt, independent and impartial investigations</w:t>
      </w:r>
      <w:r w:rsidR="00766C73">
        <w:t xml:space="preserve"> into such violations</w:t>
      </w:r>
      <w:r w:rsidR="00751BD2">
        <w:t xml:space="preserve"> and respect for </w:t>
      </w:r>
      <w:r w:rsidR="006F3421" w:rsidRPr="006F3421">
        <w:t xml:space="preserve">fair trial standards, would have widespread benefits </w:t>
      </w:r>
      <w:r>
        <w:t xml:space="preserve">the enjoyment of </w:t>
      </w:r>
      <w:r w:rsidR="006F3421" w:rsidRPr="006F3421">
        <w:t>all rights</w:t>
      </w:r>
      <w:r>
        <w:t xml:space="preserve"> by all</w:t>
      </w:r>
      <w:r w:rsidR="006F3421" w:rsidRPr="006F3421">
        <w:t xml:space="preserve">. </w:t>
      </w:r>
    </w:p>
    <w:p w14:paraId="772E8635" w14:textId="07FF82E2" w:rsidR="006F3421" w:rsidRPr="006F3421" w:rsidRDefault="006F3421" w:rsidP="001232C6">
      <w:pPr>
        <w:pStyle w:val="SingleTxtG"/>
      </w:pPr>
      <w:r w:rsidRPr="006F3421">
        <w:t xml:space="preserve">OHCHR commends Ukraine’s </w:t>
      </w:r>
      <w:r w:rsidR="0095037F">
        <w:t>vibrant</w:t>
      </w:r>
      <w:r w:rsidR="00751BD2" w:rsidRPr="006F3421">
        <w:t xml:space="preserve"> </w:t>
      </w:r>
      <w:r w:rsidRPr="006F3421">
        <w:t xml:space="preserve">media and civil society, but the lack of protection for individuals in these spheres is a persistent concern, and further exacerbated by impunity for attacks by a multitude of actors, including members of extreme right-wing groups. </w:t>
      </w:r>
    </w:p>
    <w:p w14:paraId="4EDF9B2F" w14:textId="671FB8F8" w:rsidR="006F3421" w:rsidRPr="006F3421" w:rsidRDefault="00DF1F1A" w:rsidP="001232C6">
      <w:pPr>
        <w:pStyle w:val="SingleTxtG"/>
      </w:pPr>
      <w:r>
        <w:t xml:space="preserve">Following the peaceful holding of presidential elections during this reporting period, in the run up to which mass assemblies were policed effectively, the Government should redouble its efforts to secure the space for </w:t>
      </w:r>
      <w:r w:rsidR="00751BD2">
        <w:t xml:space="preserve">civic </w:t>
      </w:r>
      <w:r>
        <w:t xml:space="preserve">expression, </w:t>
      </w:r>
      <w:r w:rsidR="00751BD2">
        <w:t xml:space="preserve">essential for ensuring peaceful and inclusive </w:t>
      </w:r>
      <w:r>
        <w:t xml:space="preserve">parliamentary </w:t>
      </w:r>
      <w:r w:rsidR="00751BD2">
        <w:t xml:space="preserve">elections. </w:t>
      </w:r>
      <w:r>
        <w:t>This should include</w:t>
      </w:r>
      <w:r w:rsidR="00751BD2">
        <w:t xml:space="preserve"> </w:t>
      </w:r>
      <w:r>
        <w:t>a</w:t>
      </w:r>
      <w:r w:rsidR="00751BD2">
        <w:t xml:space="preserve">ddressing impunity for attacks on media professionals, civil society activists, lawyers and political opponents, which </w:t>
      </w:r>
      <w:r w:rsidR="00750BA8">
        <w:t>reduces</w:t>
      </w:r>
      <w:r w:rsidR="00751BD2">
        <w:t xml:space="preserve"> the space for civic expression.</w:t>
      </w:r>
    </w:p>
    <w:p w14:paraId="735144B2" w14:textId="459C100A" w:rsidR="006F3421" w:rsidRPr="006F3421" w:rsidRDefault="006F3421" w:rsidP="001232C6">
      <w:pPr>
        <w:pStyle w:val="SingleTxtG"/>
      </w:pPr>
      <w:r w:rsidRPr="006F3421">
        <w:t>In Crimea, violations of international humanitarian and human rights law continued unabated</w:t>
      </w:r>
      <w:r w:rsidR="00750BA8">
        <w:t>,</w:t>
      </w:r>
      <w:r w:rsidRPr="006F3421">
        <w:t xml:space="preserve"> including in detention</w:t>
      </w:r>
      <w:r w:rsidR="00750BA8">
        <w:t>,</w:t>
      </w:r>
      <w:r w:rsidRPr="006F3421">
        <w:t xml:space="preserve"> as the Russian Federation continued to apply its legislation in violation of its obligation as an occupying Power, notably affecting those speaking Ukrainian, and Crimean Tatars.</w:t>
      </w:r>
    </w:p>
    <w:p w14:paraId="0FC54CB7" w14:textId="77777777" w:rsidR="006F3421" w:rsidRPr="006F3421" w:rsidRDefault="006F3421" w:rsidP="001232C6">
      <w:pPr>
        <w:pStyle w:val="SingleTxtG"/>
      </w:pPr>
      <w:r w:rsidRPr="006F3421">
        <w:t>OHCHR refers to its recommendations made in previous reports, a number of which remain outstanding. It further recommends the following, on the basis of its findings from the current reporting period of 16 February to 15 May 2019:</w:t>
      </w:r>
    </w:p>
    <w:p w14:paraId="70152683" w14:textId="2CC122EB" w:rsidR="00256B96" w:rsidRPr="00A7569B" w:rsidRDefault="00256B96" w:rsidP="001232C6">
      <w:pPr>
        <w:pStyle w:val="SingleTxtG"/>
        <w:rPr>
          <w:b/>
        </w:rPr>
      </w:pPr>
      <w:r w:rsidRPr="00A7569B">
        <w:rPr>
          <w:b/>
        </w:rPr>
        <w:t xml:space="preserve">To the Ukrainian authorities: </w:t>
      </w:r>
    </w:p>
    <w:p w14:paraId="51CCC9F5" w14:textId="3D7FE317" w:rsidR="0050345A" w:rsidRPr="00A7569B" w:rsidRDefault="0050345A" w:rsidP="001232C6">
      <w:pPr>
        <w:pStyle w:val="Rrecommendations"/>
      </w:pPr>
      <w:r w:rsidRPr="00A7569B">
        <w:t xml:space="preserve">condemn all acts of violence and promptly, impartially and efficiently investigate all violent attacks against media professionals, civic and political activists, human rights defenders, political parties, and defence lawyers. Motives of perpetrators and other aggravating </w:t>
      </w:r>
      <w:r w:rsidRPr="00A7569B">
        <w:lastRenderedPageBreak/>
        <w:t>circumstances should be considered during initial criminal classification and investigations into these attacks;</w:t>
      </w:r>
    </w:p>
    <w:p w14:paraId="7DCD5B61" w14:textId="2D8350F6" w:rsidR="0050345A" w:rsidRPr="00A7569B" w:rsidRDefault="0050345A" w:rsidP="001232C6">
      <w:pPr>
        <w:pStyle w:val="Rrecommendations"/>
      </w:pPr>
      <w:r w:rsidRPr="00A7569B">
        <w:t>ensure adequate and effective security for all peaceful public assemblies, prevent</w:t>
      </w:r>
      <w:r w:rsidR="009B6B37" w:rsidRPr="00A7569B">
        <w:t>,</w:t>
      </w:r>
      <w:r w:rsidRPr="00A7569B">
        <w:t xml:space="preserve"> stop </w:t>
      </w:r>
      <w:r w:rsidR="009B6B37" w:rsidRPr="00A7569B">
        <w:t xml:space="preserve">and investigate </w:t>
      </w:r>
      <w:r w:rsidRPr="00A7569B">
        <w:t xml:space="preserve">all acts of violence, while facilitating the exercise of freedom of peaceful assembly without discrimination; </w:t>
      </w:r>
    </w:p>
    <w:p w14:paraId="4BDB60C6" w14:textId="5DD6D6AE" w:rsidR="0050345A" w:rsidRPr="00A7569B" w:rsidRDefault="0050345A" w:rsidP="001232C6">
      <w:pPr>
        <w:pStyle w:val="Rrecommendations"/>
      </w:pPr>
      <w:r w:rsidRPr="00A7569B">
        <w:t xml:space="preserve">ensure the right to freedom of religion or belief for all without discrimination while avoiding interference of non-religious groups in religious matters. </w:t>
      </w:r>
    </w:p>
    <w:p w14:paraId="322EBDF5" w14:textId="2A9F64DB" w:rsidR="002F0126" w:rsidRPr="00A7569B" w:rsidRDefault="002F0126" w:rsidP="001232C6">
      <w:pPr>
        <w:pStyle w:val="SingleTxtG"/>
        <w:numPr>
          <w:ilvl w:val="0"/>
          <w:numId w:val="0"/>
        </w:numPr>
        <w:ind w:left="1701"/>
        <w:rPr>
          <w:b/>
        </w:rPr>
      </w:pPr>
      <w:r w:rsidRPr="00A7569B">
        <w:rPr>
          <w:b/>
        </w:rPr>
        <w:t>To the Ukrainian President, as the gua</w:t>
      </w:r>
      <w:r w:rsidR="000C3673" w:rsidRPr="00A7569B">
        <w:rPr>
          <w:b/>
        </w:rPr>
        <w:t>rantor of constitutional rights</w:t>
      </w:r>
      <w:r w:rsidRPr="00A7569B">
        <w:rPr>
          <w:b/>
        </w:rPr>
        <w:t>:</w:t>
      </w:r>
    </w:p>
    <w:p w14:paraId="3F2C4EC9" w14:textId="41D8C5A5" w:rsidR="002F0126" w:rsidRPr="00A7569B" w:rsidRDefault="002F0126" w:rsidP="001232C6">
      <w:pPr>
        <w:pStyle w:val="Rrecommendations"/>
        <w:rPr>
          <w:lang w:val="en-NZ"/>
        </w:rPr>
      </w:pPr>
      <w:r w:rsidRPr="00A7569B">
        <w:rPr>
          <w:lang w:val="en-NZ"/>
        </w:rPr>
        <w:t>until a sustainable peaceful solution to the conflict in the east is found, ensure that Joint Forces Operation of Ukraine fully abide by ceasefire and</w:t>
      </w:r>
      <w:r w:rsidR="00361011" w:rsidRPr="00A7569B">
        <w:rPr>
          <w:lang w:val="en-NZ"/>
        </w:rPr>
        <w:t xml:space="preserve"> </w:t>
      </w:r>
      <w:r w:rsidRPr="00A7569B">
        <w:rPr>
          <w:lang w:val="en-NZ"/>
        </w:rPr>
        <w:t xml:space="preserve">other </w:t>
      </w:r>
      <w:r w:rsidRPr="00A7569B">
        <w:t>security</w:t>
      </w:r>
      <w:r w:rsidRPr="00A7569B">
        <w:rPr>
          <w:lang w:val="en-NZ"/>
        </w:rPr>
        <w:t xml:space="preserve"> provisions of the Minsk Agreements, and comply with international humanitarian law;</w:t>
      </w:r>
    </w:p>
    <w:p w14:paraId="21D73EAD" w14:textId="77777777" w:rsidR="002F0126" w:rsidRPr="00A7569B" w:rsidRDefault="002F0126" w:rsidP="001232C6">
      <w:pPr>
        <w:pStyle w:val="Rrecommendations"/>
        <w:rPr>
          <w:lang w:val="en-NZ"/>
        </w:rPr>
      </w:pPr>
      <w:r w:rsidRPr="00A7569B">
        <w:rPr>
          <w:lang w:val="en-NZ"/>
        </w:rPr>
        <w:t xml:space="preserve">support a culture of accountability and respect for the rule of law, and fighting impunity through prompt, independent and impartial investigations, prosecutions and trials, of violent acts and human rights violations, by ensuring adequate resources are made available for the State Bureau of Investigation and combating pressure on judges in cooperation with the General Prosecutor; </w:t>
      </w:r>
    </w:p>
    <w:p w14:paraId="76736C44" w14:textId="33903424" w:rsidR="00256B96" w:rsidRPr="00A7569B" w:rsidRDefault="002A384F" w:rsidP="001232C6">
      <w:pPr>
        <w:pStyle w:val="SingleTxtG"/>
        <w:numPr>
          <w:ilvl w:val="0"/>
          <w:numId w:val="0"/>
        </w:numPr>
        <w:ind w:left="1134"/>
        <w:rPr>
          <w:b/>
        </w:rPr>
      </w:pPr>
      <w:r w:rsidRPr="00A7569B">
        <w:rPr>
          <w:b/>
        </w:rPr>
        <w:tab/>
      </w:r>
      <w:r w:rsidR="00256B96" w:rsidRPr="00A7569B">
        <w:rPr>
          <w:b/>
        </w:rPr>
        <w:t>Parliament of Ukraine:</w:t>
      </w:r>
    </w:p>
    <w:p w14:paraId="001CA114" w14:textId="0421B882" w:rsidR="00F523C7" w:rsidRPr="00A7569B" w:rsidRDefault="00F523C7" w:rsidP="001232C6">
      <w:pPr>
        <w:pStyle w:val="Rrecommendations"/>
      </w:pPr>
      <w:r w:rsidRPr="00A7569B">
        <w:t>adopt and harmonize legislation to serve as a base for developing a comprehensive mechanism and administrative procedure for restitution and compensation for property damaged and destroyed during the armed conflict in eastern Ukraine, as well as property, currently in military use</w:t>
      </w:r>
      <w:r w:rsidR="00C4196C" w:rsidRPr="00A7569B">
        <w:t>.</w:t>
      </w:r>
    </w:p>
    <w:p w14:paraId="631628E7" w14:textId="50A9C724" w:rsidR="00256B96" w:rsidRPr="00A7569B" w:rsidRDefault="002A384F" w:rsidP="001232C6">
      <w:pPr>
        <w:pStyle w:val="SingleTxtG"/>
        <w:numPr>
          <w:ilvl w:val="0"/>
          <w:numId w:val="0"/>
        </w:numPr>
        <w:ind w:left="1134"/>
        <w:rPr>
          <w:b/>
        </w:rPr>
      </w:pPr>
      <w:r w:rsidRPr="00A7569B">
        <w:rPr>
          <w:b/>
        </w:rPr>
        <w:tab/>
      </w:r>
      <w:r w:rsidR="00256B96" w:rsidRPr="00A7569B">
        <w:rPr>
          <w:b/>
        </w:rPr>
        <w:t>Cabinet of Ministers:</w:t>
      </w:r>
    </w:p>
    <w:p w14:paraId="627655BC" w14:textId="1CB006B4" w:rsidR="004D275B" w:rsidRPr="00A7569B" w:rsidRDefault="004D275B" w:rsidP="001232C6">
      <w:pPr>
        <w:pStyle w:val="Rrecommendations"/>
      </w:pPr>
      <w:r w:rsidRPr="00A7569B">
        <w:t xml:space="preserve">complete, without delay, the development of a national policy framework for the protection of civilians and civilian objects in hostilities, and to develop a relevant action plan with concrete measures and </w:t>
      </w:r>
      <w:r w:rsidR="00684F34" w:rsidRPr="00A7569B">
        <w:t>S</w:t>
      </w:r>
      <w:r w:rsidRPr="00A7569B">
        <w:t xml:space="preserve">tate institutions responsible for </w:t>
      </w:r>
      <w:r w:rsidR="008D0D25" w:rsidRPr="00A7569B">
        <w:t>execution</w:t>
      </w:r>
      <w:r w:rsidR="00AD0DB3" w:rsidRPr="00A7569B">
        <w:t xml:space="preserve"> of the action plan, supported by </w:t>
      </w:r>
      <w:r w:rsidR="008D0D25" w:rsidRPr="00A7569B">
        <w:t xml:space="preserve">the </w:t>
      </w:r>
      <w:r w:rsidR="00AD0DB3" w:rsidRPr="00A7569B">
        <w:t xml:space="preserve">funding required for effective </w:t>
      </w:r>
      <w:r w:rsidR="008D0D25" w:rsidRPr="00A7569B">
        <w:t xml:space="preserve">implementation </w:t>
      </w:r>
      <w:r w:rsidR="00AD0DB3" w:rsidRPr="00A7569B">
        <w:t>of the action plan</w:t>
      </w:r>
      <w:r w:rsidRPr="00A7569B">
        <w:t>;</w:t>
      </w:r>
      <w:r w:rsidR="0000670F" w:rsidRPr="00A7569B">
        <w:t xml:space="preserve"> </w:t>
      </w:r>
    </w:p>
    <w:p w14:paraId="41919738" w14:textId="3B49191A" w:rsidR="005E5904" w:rsidRPr="00A7569B" w:rsidRDefault="005E5904" w:rsidP="001232C6">
      <w:pPr>
        <w:pStyle w:val="Rrecommendations"/>
      </w:pPr>
      <w:r w:rsidRPr="00A7569B">
        <w:t>develop a comprehensive mechanism, including an administrative procedure, for restitution of property and compensation for any damages and destruction of civilian property in the armed conflict in eastern Ukraine;</w:t>
      </w:r>
    </w:p>
    <w:p w14:paraId="5DC0393F" w14:textId="43C2F1B9" w:rsidR="009B08D7" w:rsidRPr="00A7569B" w:rsidRDefault="009B08D7" w:rsidP="001232C6">
      <w:pPr>
        <w:pStyle w:val="Rrecommendations"/>
      </w:pPr>
      <w:r w:rsidRPr="00A7569B">
        <w:t>develop a non-discriminatory and accessible mechanism for compensation for property, which is in military use, including keeping records of such use;</w:t>
      </w:r>
    </w:p>
    <w:p w14:paraId="724985C3" w14:textId="2D723269" w:rsidR="00C62C87" w:rsidRPr="00A7569B" w:rsidRDefault="00C62C87" w:rsidP="001232C6">
      <w:pPr>
        <w:pStyle w:val="Rrecommendations"/>
      </w:pPr>
      <w:r w:rsidRPr="00A7569B">
        <w:t>allocate financial support to local authorities in order to provide safe and adequate housing to the conflict-affected population and IDPs;</w:t>
      </w:r>
    </w:p>
    <w:p w14:paraId="67861475" w14:textId="77777777" w:rsidR="00F211E8" w:rsidRPr="00A7569B" w:rsidRDefault="00F211E8" w:rsidP="001232C6">
      <w:pPr>
        <w:pStyle w:val="Rrecommendations"/>
      </w:pPr>
      <w:r w:rsidRPr="00A7569B">
        <w:t>adopt a non-discriminatory policy to provide equal access for all citizens of Ukraine to pensions and social benefits, regardless of their place of residence, IDP registration, and verification and identification requirements;</w:t>
      </w:r>
    </w:p>
    <w:p w14:paraId="1D8A9561" w14:textId="4AE99D4E" w:rsidR="00256B96" w:rsidRPr="00A7569B" w:rsidRDefault="008E4C8B" w:rsidP="001232C6">
      <w:pPr>
        <w:pStyle w:val="Rrecommendations"/>
      </w:pPr>
      <w:r w:rsidRPr="00A7569B">
        <w:t>adopt the Resolution regulating movement of civilians and transfer of goods</w:t>
      </w:r>
      <w:r w:rsidR="008E3883" w:rsidRPr="00A7569B">
        <w:t xml:space="preserve">, as well as a by-law </w:t>
      </w:r>
      <w:r w:rsidR="006A6D85" w:rsidRPr="00A7569B">
        <w:t xml:space="preserve">listing </w:t>
      </w:r>
      <w:r w:rsidR="008E3883" w:rsidRPr="00A7569B">
        <w:t>prohibited goods,</w:t>
      </w:r>
      <w:r w:rsidRPr="00A7569B">
        <w:t xml:space="preserve"> across the contact line in accordance with human rights standards and recommendations put forth by civil society and international </w:t>
      </w:r>
      <w:r w:rsidR="001703F8" w:rsidRPr="00A7569B">
        <w:t>organisation</w:t>
      </w:r>
      <w:r w:rsidRPr="00A7569B">
        <w:t>s</w:t>
      </w:r>
      <w:r w:rsidR="00C4196C" w:rsidRPr="00A7569B">
        <w:t>;</w:t>
      </w:r>
    </w:p>
    <w:p w14:paraId="2EF83037" w14:textId="5548B433" w:rsidR="00513802" w:rsidRPr="00A7569B" w:rsidRDefault="00513802" w:rsidP="001232C6">
      <w:pPr>
        <w:pStyle w:val="Rrecommendations"/>
      </w:pPr>
      <w:r w:rsidRPr="00A7569B">
        <w:t xml:space="preserve">ensure swift and full implementation of the law ‘On the legal status of missing persons’, in particular by providing sufficient resources for </w:t>
      </w:r>
      <w:r w:rsidRPr="00A7569B">
        <w:lastRenderedPageBreak/>
        <w:t xml:space="preserve">effective realisation of </w:t>
      </w:r>
      <w:r w:rsidR="00C5404E" w:rsidRPr="00A7569B">
        <w:t xml:space="preserve">the </w:t>
      </w:r>
      <w:r w:rsidRPr="00A7569B">
        <w:t>mandate of the Commission on Missing Persons</w:t>
      </w:r>
      <w:r w:rsidR="00C5404E" w:rsidRPr="00A7569B">
        <w:t xml:space="preserve"> due to Special Circumstances</w:t>
      </w:r>
      <w:r w:rsidR="00C4196C" w:rsidRPr="00A7569B">
        <w:t>;</w:t>
      </w:r>
    </w:p>
    <w:p w14:paraId="00F53DB5" w14:textId="392790AC" w:rsidR="005C502F" w:rsidRPr="00A7569B" w:rsidRDefault="005C502F" w:rsidP="001232C6">
      <w:pPr>
        <w:pStyle w:val="Rrecommendations"/>
      </w:pPr>
      <w:r w:rsidRPr="00A7569B">
        <w:t>elaborate</w:t>
      </w:r>
      <w:r w:rsidR="00113C3A" w:rsidRPr="00A7569B">
        <w:t>,</w:t>
      </w:r>
      <w:r w:rsidRPr="00A7569B">
        <w:t xml:space="preserve"> </w:t>
      </w:r>
      <w:r w:rsidR="003D1B29" w:rsidRPr="00A7569B">
        <w:t xml:space="preserve">in </w:t>
      </w:r>
      <w:r w:rsidR="008F1E9A" w:rsidRPr="00A7569B">
        <w:t>an inclusive consultative process</w:t>
      </w:r>
      <w:r w:rsidR="003D1B29" w:rsidRPr="00A7569B">
        <w:t xml:space="preserve"> and </w:t>
      </w:r>
      <w:r w:rsidRPr="00A7569B">
        <w:t>without undue delay</w:t>
      </w:r>
      <w:r w:rsidR="00113C3A" w:rsidRPr="00A7569B">
        <w:t>,</w:t>
      </w:r>
      <w:r w:rsidRPr="00A7569B">
        <w:t xml:space="preserve"> a law on the realisation of the rights of indigenous peoples and national minorities of Ukraine, ensuring a fair correlation between the protection of the rights of minorities, and the preservation of the </w:t>
      </w:r>
      <w:r w:rsidR="00684F34" w:rsidRPr="00A7569B">
        <w:t>S</w:t>
      </w:r>
      <w:r w:rsidRPr="00A7569B">
        <w:t>tate language as a tool for integration within society.</w:t>
      </w:r>
    </w:p>
    <w:p w14:paraId="6891649B" w14:textId="7D7311EA" w:rsidR="00256B96" w:rsidRPr="00A7569B" w:rsidRDefault="002A384F" w:rsidP="001232C6">
      <w:pPr>
        <w:pStyle w:val="SingleTxtG"/>
        <w:numPr>
          <w:ilvl w:val="0"/>
          <w:numId w:val="0"/>
        </w:numPr>
        <w:ind w:left="1134"/>
        <w:rPr>
          <w:b/>
        </w:rPr>
      </w:pPr>
      <w:r w:rsidRPr="00A7569B">
        <w:rPr>
          <w:b/>
        </w:rPr>
        <w:tab/>
      </w:r>
      <w:r w:rsidR="00256B96" w:rsidRPr="00A7569B">
        <w:rPr>
          <w:b/>
        </w:rPr>
        <w:t>Ministry of Social Policy:</w:t>
      </w:r>
    </w:p>
    <w:p w14:paraId="05BECC04" w14:textId="704F0B69" w:rsidR="00C1398A" w:rsidRPr="00A7569B" w:rsidRDefault="00C1398A" w:rsidP="001232C6">
      <w:pPr>
        <w:pStyle w:val="Rrecommendations"/>
      </w:pPr>
      <w:r w:rsidRPr="00A7569B">
        <w:t>ensure payment of pensions accumulated in arrears to all Ukrainian citizens</w:t>
      </w:r>
      <w:r w:rsidR="00C4196C" w:rsidRPr="00A7569B">
        <w:t>;</w:t>
      </w:r>
    </w:p>
    <w:p w14:paraId="49C8DC9F" w14:textId="7B982F29" w:rsidR="00FB53E9" w:rsidRPr="00A7569B" w:rsidRDefault="00E27E2A" w:rsidP="001232C6">
      <w:pPr>
        <w:pStyle w:val="Rrecommendations"/>
      </w:pPr>
      <w:r w:rsidRPr="00A7569B">
        <w:t>ensure payment of pensions to all Ukrainian citizens regardless of their place of residence, IDP registration</w:t>
      </w:r>
      <w:r w:rsidR="00D75174" w:rsidRPr="00A7569B">
        <w:t xml:space="preserve"> status</w:t>
      </w:r>
      <w:r w:rsidRPr="00A7569B">
        <w:t>, and verification and identification requirements</w:t>
      </w:r>
      <w:r w:rsidR="001D3986" w:rsidRPr="00A7569B">
        <w:t>;</w:t>
      </w:r>
    </w:p>
    <w:p w14:paraId="32413C79" w14:textId="2270E39C" w:rsidR="00FA298C" w:rsidRPr="00A7569B" w:rsidRDefault="00FA298C" w:rsidP="001232C6">
      <w:pPr>
        <w:pStyle w:val="Rrecommendations"/>
      </w:pPr>
      <w:r w:rsidRPr="00A7569B">
        <w:t>implement the positive court decisions reinstating payment of pension to Ukrainian citizens</w:t>
      </w:r>
      <w:r w:rsidR="00C4196C" w:rsidRPr="00A7569B">
        <w:t>.</w:t>
      </w:r>
    </w:p>
    <w:p w14:paraId="1E18F5A4" w14:textId="09057811" w:rsidR="00867195" w:rsidRPr="00A7569B" w:rsidRDefault="002A384F" w:rsidP="001232C6">
      <w:pPr>
        <w:pStyle w:val="SingleTxtG"/>
        <w:numPr>
          <w:ilvl w:val="0"/>
          <w:numId w:val="0"/>
        </w:numPr>
        <w:ind w:left="1134"/>
        <w:rPr>
          <w:b/>
        </w:rPr>
      </w:pPr>
      <w:r w:rsidRPr="00A7569B">
        <w:rPr>
          <w:b/>
        </w:rPr>
        <w:tab/>
      </w:r>
      <w:r w:rsidR="00256B96" w:rsidRPr="00A7569B">
        <w:rPr>
          <w:b/>
        </w:rPr>
        <w:t>Ministry of Defence</w:t>
      </w:r>
      <w:r w:rsidR="00867195" w:rsidRPr="00A7569B">
        <w:rPr>
          <w:b/>
        </w:rPr>
        <w:t xml:space="preserve"> and</w:t>
      </w:r>
      <w:r w:rsidR="00130A39" w:rsidRPr="00A7569B">
        <w:rPr>
          <w:b/>
        </w:rPr>
        <w:t xml:space="preserve"> </w:t>
      </w:r>
      <w:r w:rsidR="00C7397E" w:rsidRPr="00A7569B">
        <w:rPr>
          <w:b/>
        </w:rPr>
        <w:t>J</w:t>
      </w:r>
      <w:r w:rsidR="00B669E8" w:rsidRPr="00A7569B">
        <w:rPr>
          <w:b/>
        </w:rPr>
        <w:t xml:space="preserve">oint </w:t>
      </w:r>
      <w:r w:rsidR="00C7397E" w:rsidRPr="00A7569B">
        <w:rPr>
          <w:b/>
        </w:rPr>
        <w:t>F</w:t>
      </w:r>
      <w:r w:rsidR="00B669E8" w:rsidRPr="00A7569B">
        <w:rPr>
          <w:b/>
        </w:rPr>
        <w:t>orces Operation</w:t>
      </w:r>
      <w:r w:rsidR="00C7397E" w:rsidRPr="00A7569B">
        <w:rPr>
          <w:b/>
        </w:rPr>
        <w:t xml:space="preserve"> Command:</w:t>
      </w:r>
      <w:r w:rsidR="00256B96" w:rsidRPr="00A7569B">
        <w:rPr>
          <w:b/>
        </w:rPr>
        <w:tab/>
      </w:r>
    </w:p>
    <w:p w14:paraId="3FA22CE3" w14:textId="1AD872FF" w:rsidR="00E93FAD" w:rsidRPr="00A7569B" w:rsidRDefault="003F1245" w:rsidP="001232C6">
      <w:pPr>
        <w:pStyle w:val="Rrecommendations"/>
      </w:pPr>
      <w:r w:rsidRPr="00A7569B">
        <w:t>f</w:t>
      </w:r>
      <w:r w:rsidR="00E93FAD" w:rsidRPr="00A7569B">
        <w:t>urther build up the capacity of the Working Group for Collection and Consolidation of Information on Injuries and Deaths of Civilian Population;</w:t>
      </w:r>
      <w:r w:rsidR="0000670F" w:rsidRPr="00A7569B">
        <w:t xml:space="preserve"> </w:t>
      </w:r>
    </w:p>
    <w:p w14:paraId="5C30E53B" w14:textId="6F0E25E6" w:rsidR="00256B96" w:rsidRPr="00A7569B" w:rsidRDefault="00867195" w:rsidP="001232C6">
      <w:pPr>
        <w:pStyle w:val="Rrecommendations"/>
      </w:pPr>
      <w:r w:rsidRPr="00A7569B">
        <w:t>f</w:t>
      </w:r>
      <w:r w:rsidR="00B669E8" w:rsidRPr="00A7569B">
        <w:t>acilitate documentation (namely</w:t>
      </w:r>
      <w:r w:rsidR="00A927C9" w:rsidRPr="00A7569B">
        <w:t>,</w:t>
      </w:r>
      <w:r w:rsidR="00B669E8" w:rsidRPr="00A7569B">
        <w:t xml:space="preserve"> the </w:t>
      </w:r>
      <w:r w:rsidR="006867B1" w:rsidRPr="00A7569B">
        <w:t xml:space="preserve">signing of lease agreements) </w:t>
      </w:r>
      <w:r w:rsidR="00E07CE4" w:rsidRPr="00A7569B">
        <w:t>of</w:t>
      </w:r>
      <w:r w:rsidR="006867B1" w:rsidRPr="00A7569B">
        <w:t xml:space="preserve"> the military use of civilian homes and other property, including when such use caused damage to property</w:t>
      </w:r>
      <w:r w:rsidR="009D32B4" w:rsidRPr="00A7569B">
        <w:t>;</w:t>
      </w:r>
    </w:p>
    <w:p w14:paraId="5D8AEC9B" w14:textId="56C0695D" w:rsidR="007E02D9" w:rsidRPr="00A7569B" w:rsidRDefault="007E02D9" w:rsidP="001232C6">
      <w:pPr>
        <w:pStyle w:val="Rrecommendations"/>
      </w:pPr>
      <w:r w:rsidRPr="00A7569B">
        <w:t>facilitate access of the commissions documenting the damages and destruction to civilian property</w:t>
      </w:r>
      <w:r w:rsidR="00C4196C" w:rsidRPr="00A7569B">
        <w:t>.</w:t>
      </w:r>
      <w:r w:rsidRPr="00A7569B">
        <w:t xml:space="preserve"> </w:t>
      </w:r>
    </w:p>
    <w:p w14:paraId="5AD7021E" w14:textId="102CD82B" w:rsidR="00256B96" w:rsidRPr="00A7569B" w:rsidRDefault="002A384F" w:rsidP="001232C6">
      <w:pPr>
        <w:pStyle w:val="SingleTxtG"/>
        <w:numPr>
          <w:ilvl w:val="0"/>
          <w:numId w:val="0"/>
        </w:numPr>
        <w:ind w:left="1134"/>
        <w:rPr>
          <w:b/>
        </w:rPr>
      </w:pPr>
      <w:r w:rsidRPr="00A7569B">
        <w:rPr>
          <w:b/>
        </w:rPr>
        <w:tab/>
      </w:r>
      <w:r w:rsidR="00256B96" w:rsidRPr="00A7569B">
        <w:rPr>
          <w:b/>
        </w:rPr>
        <w:t xml:space="preserve">Military-Civil Administrations of Donetsk and Luhansk regions and local </w:t>
      </w:r>
      <w:r w:rsidR="00B75FDD" w:rsidRPr="00A7569B">
        <w:rPr>
          <w:b/>
        </w:rPr>
        <w:tab/>
      </w:r>
      <w:r w:rsidR="00256B96" w:rsidRPr="00A7569B">
        <w:rPr>
          <w:b/>
        </w:rPr>
        <w:t>authorities:</w:t>
      </w:r>
    </w:p>
    <w:p w14:paraId="05791224" w14:textId="1DED90B5" w:rsidR="00256B96" w:rsidRPr="00A7569B" w:rsidRDefault="00362EC9" w:rsidP="001232C6">
      <w:pPr>
        <w:pStyle w:val="Rrecommendations"/>
      </w:pPr>
      <w:r w:rsidRPr="00A7569B">
        <w:t xml:space="preserve"> </w:t>
      </w:r>
      <w:r w:rsidR="007E02D9" w:rsidRPr="00A7569B">
        <w:t>provide housing solution</w:t>
      </w:r>
      <w:r w:rsidR="00723AB5" w:rsidRPr="00A7569B">
        <w:t>s</w:t>
      </w:r>
      <w:r w:rsidR="007E02D9" w:rsidRPr="00A7569B">
        <w:t xml:space="preserve"> to conflict-</w:t>
      </w:r>
      <w:r w:rsidR="001A17C2" w:rsidRPr="00A7569B">
        <w:t>affected</w:t>
      </w:r>
      <w:r w:rsidR="007E02D9" w:rsidRPr="00A7569B">
        <w:t xml:space="preserve"> population and IDPs, including by requesting funding from the State Budget and allocating funds from the regional reserve funds</w:t>
      </w:r>
      <w:r w:rsidR="00C4196C" w:rsidRPr="00A7569B">
        <w:t>.</w:t>
      </w:r>
    </w:p>
    <w:p w14:paraId="3B92BFAC" w14:textId="1856205A" w:rsidR="00256B96" w:rsidRPr="00A7569B" w:rsidRDefault="002A384F" w:rsidP="001232C6">
      <w:pPr>
        <w:pStyle w:val="SingleTxtG"/>
        <w:numPr>
          <w:ilvl w:val="0"/>
          <w:numId w:val="0"/>
        </w:numPr>
        <w:ind w:left="1134"/>
        <w:rPr>
          <w:b/>
        </w:rPr>
      </w:pPr>
      <w:r w:rsidRPr="00A7569B">
        <w:rPr>
          <w:b/>
        </w:rPr>
        <w:tab/>
      </w:r>
      <w:r w:rsidR="00AE5FF6" w:rsidRPr="00A7569B">
        <w:rPr>
          <w:b/>
        </w:rPr>
        <w:t>Court administration and j</w:t>
      </w:r>
      <w:r w:rsidR="00256B96" w:rsidRPr="00A7569B">
        <w:rPr>
          <w:b/>
        </w:rPr>
        <w:t>udges:</w:t>
      </w:r>
    </w:p>
    <w:p w14:paraId="08071F81" w14:textId="66DC4654" w:rsidR="00DB6473" w:rsidRPr="00A7569B" w:rsidRDefault="00DB6473" w:rsidP="001232C6">
      <w:pPr>
        <w:pStyle w:val="Rrecommendations"/>
      </w:pPr>
      <w:r w:rsidRPr="00A7569B">
        <w:t xml:space="preserve">expedite the process of the qualification evaluation of active judges and candidates for </w:t>
      </w:r>
      <w:r w:rsidR="001074AB" w:rsidRPr="00A7569B">
        <w:t xml:space="preserve">the </w:t>
      </w:r>
      <w:r w:rsidRPr="00A7569B">
        <w:t>position of judge</w:t>
      </w:r>
      <w:r w:rsidR="001074AB" w:rsidRPr="00A7569B">
        <w:t>s</w:t>
      </w:r>
      <w:r w:rsidRPr="00A7569B">
        <w:t xml:space="preserve"> to rectify </w:t>
      </w:r>
      <w:r w:rsidR="00614BAD" w:rsidRPr="00A7569B">
        <w:t xml:space="preserve">the </w:t>
      </w:r>
      <w:r w:rsidRPr="00A7569B">
        <w:t xml:space="preserve">insufficient number of judges </w:t>
      </w:r>
      <w:r w:rsidR="00614BAD" w:rsidRPr="00A7569B">
        <w:t xml:space="preserve">which causes </w:t>
      </w:r>
      <w:r w:rsidRPr="00A7569B">
        <w:t xml:space="preserve">protracted trials; </w:t>
      </w:r>
    </w:p>
    <w:p w14:paraId="5B8F7370" w14:textId="305A9F08" w:rsidR="00DB6473" w:rsidRPr="00A7569B" w:rsidRDefault="00DB6473" w:rsidP="001232C6">
      <w:pPr>
        <w:pStyle w:val="Rrecommendations"/>
      </w:pPr>
      <w:r w:rsidRPr="00A7569B">
        <w:t>consider alternatives to pre-trial detention when trials in conflict-related cases</w:t>
      </w:r>
      <w:r w:rsidR="00116EAB" w:rsidRPr="00A7569B">
        <w:t xml:space="preserve"> become protracted</w:t>
      </w:r>
      <w:r w:rsidRPr="00A7569B">
        <w:t xml:space="preserve">; </w:t>
      </w:r>
    </w:p>
    <w:p w14:paraId="54AB1941" w14:textId="04E084F5" w:rsidR="00867195" w:rsidRPr="00A7569B" w:rsidRDefault="00DB6473" w:rsidP="001232C6">
      <w:pPr>
        <w:pStyle w:val="Rrecommendations"/>
      </w:pPr>
      <w:r w:rsidRPr="00A7569B">
        <w:t>conduct rigorous assessment</w:t>
      </w:r>
      <w:r w:rsidR="00723AB5" w:rsidRPr="00A7569B">
        <w:t>s</w:t>
      </w:r>
      <w:r w:rsidRPr="00A7569B">
        <w:t xml:space="preserve"> of suspicion, available evidence and risks necessitating pre-trial detention conflict-related crimes. </w:t>
      </w:r>
    </w:p>
    <w:p w14:paraId="136A6B78" w14:textId="7191E30D" w:rsidR="00256B96" w:rsidRPr="00A7569B" w:rsidRDefault="002A384F" w:rsidP="001232C6">
      <w:pPr>
        <w:pStyle w:val="SingleTxtG"/>
        <w:numPr>
          <w:ilvl w:val="0"/>
          <w:numId w:val="0"/>
        </w:numPr>
        <w:ind w:left="1134"/>
        <w:rPr>
          <w:b/>
        </w:rPr>
      </w:pPr>
      <w:r w:rsidRPr="00A7569B">
        <w:rPr>
          <w:b/>
        </w:rPr>
        <w:tab/>
      </w:r>
      <w:r w:rsidR="00256B96" w:rsidRPr="00A7569B">
        <w:rPr>
          <w:b/>
        </w:rPr>
        <w:t>Office of the Prosecutor General and law enforcement agencies:</w:t>
      </w:r>
    </w:p>
    <w:p w14:paraId="7FB3E9B7" w14:textId="6EFAEBAF" w:rsidR="0051227D" w:rsidRPr="00A7569B" w:rsidRDefault="0051227D" w:rsidP="001232C6">
      <w:pPr>
        <w:pStyle w:val="Rrecommendations"/>
        <w:rPr>
          <w:lang w:val="en-NZ"/>
        </w:rPr>
      </w:pPr>
      <w:r w:rsidRPr="00A7569B">
        <w:rPr>
          <w:lang w:val="en-NZ"/>
        </w:rPr>
        <w:t xml:space="preserve">the SBI </w:t>
      </w:r>
      <w:r w:rsidR="00AE5FF6" w:rsidRPr="00A7569B">
        <w:rPr>
          <w:lang w:val="en-NZ"/>
        </w:rPr>
        <w:t xml:space="preserve">to </w:t>
      </w:r>
      <w:r w:rsidRPr="00A7569B">
        <w:rPr>
          <w:lang w:val="en-NZ"/>
        </w:rPr>
        <w:t>undertake a prompt, effective and transparent investigation into accusations made against the SBU by individuals who have been arbitrarily arrested, and other violations falling under its mandate</w:t>
      </w:r>
      <w:r w:rsidR="00C4196C" w:rsidRPr="00A7569B">
        <w:rPr>
          <w:lang w:val="en-NZ"/>
        </w:rPr>
        <w:t>;</w:t>
      </w:r>
    </w:p>
    <w:p w14:paraId="06E1C264" w14:textId="2B3092B5" w:rsidR="00AE5FF6" w:rsidRPr="00A7569B" w:rsidRDefault="00F856F3" w:rsidP="000C3673">
      <w:pPr>
        <w:pStyle w:val="BULLET"/>
        <w:numPr>
          <w:ilvl w:val="0"/>
          <w:numId w:val="10"/>
        </w:numPr>
        <w:ind w:right="1134"/>
        <w:rPr>
          <w:b/>
          <w:lang w:val="en-NZ"/>
        </w:rPr>
      </w:pPr>
      <w:r w:rsidRPr="00A7569B">
        <w:rPr>
          <w:b/>
          <w:lang w:val="en-NZ"/>
        </w:rPr>
        <w:t>ensure effective and transparent i</w:t>
      </w:r>
      <w:r w:rsidR="00672836" w:rsidRPr="00A7569B">
        <w:rPr>
          <w:b/>
          <w:lang w:val="en-NZ"/>
        </w:rPr>
        <w:t>nvestigat</w:t>
      </w:r>
      <w:r w:rsidRPr="00A7569B">
        <w:rPr>
          <w:b/>
          <w:lang w:val="en-NZ"/>
        </w:rPr>
        <w:t xml:space="preserve">ion </w:t>
      </w:r>
      <w:r w:rsidR="00FE4D21" w:rsidRPr="00A7569B">
        <w:rPr>
          <w:b/>
          <w:lang w:val="en-NZ"/>
        </w:rPr>
        <w:t>into allegations of looting committed by the military or law enforcement personnel</w:t>
      </w:r>
      <w:r w:rsidR="00AE5FF6" w:rsidRPr="00A7569B">
        <w:rPr>
          <w:b/>
          <w:lang w:val="en-NZ"/>
        </w:rPr>
        <w:t>;</w:t>
      </w:r>
    </w:p>
    <w:p w14:paraId="04DE7B9B" w14:textId="0BD1ED48" w:rsidR="00AE5FF6" w:rsidRPr="00A7569B" w:rsidRDefault="00AE5FF6" w:rsidP="001232C6">
      <w:pPr>
        <w:pStyle w:val="Rrecommendations"/>
      </w:pPr>
      <w:r w:rsidRPr="00A7569B">
        <w:t>avoid broad and diverse qualification of</w:t>
      </w:r>
      <w:r w:rsidR="00BC1C53" w:rsidRPr="00A7569B">
        <w:t xml:space="preserve"> crimes under articles 110, 258-</w:t>
      </w:r>
      <w:r w:rsidRPr="00A7569B">
        <w:t>3,</w:t>
      </w:r>
      <w:r w:rsidR="00BC1C53" w:rsidRPr="00A7569B">
        <w:t xml:space="preserve"> and</w:t>
      </w:r>
      <w:r w:rsidRPr="00A7569B">
        <w:t xml:space="preserve"> 260 of the Criminal Code of Ukraine</w:t>
      </w:r>
      <w:r w:rsidR="00C4196C" w:rsidRPr="00A7569B">
        <w:t>.</w:t>
      </w:r>
    </w:p>
    <w:p w14:paraId="3D3F5D55" w14:textId="082F7033" w:rsidR="00256B96" w:rsidRPr="00A7569B" w:rsidRDefault="00256B96" w:rsidP="001232C6">
      <w:pPr>
        <w:pStyle w:val="SingleTxtG"/>
        <w:rPr>
          <w:b/>
        </w:rPr>
      </w:pPr>
      <w:r w:rsidRPr="00A7569B">
        <w:rPr>
          <w:b/>
        </w:rPr>
        <w:t>To all parties involved in the hostilities in Donetsk and Luhansk regions, including the Ukrainian Armed Forces, and armed groups of ‘Donetsk people’s republic’ and ‘Luhansk people’s republic’:</w:t>
      </w:r>
    </w:p>
    <w:p w14:paraId="0243BEC4" w14:textId="541EBFFE" w:rsidR="009D32B4" w:rsidRPr="00A7569B" w:rsidRDefault="008E3883" w:rsidP="001232C6">
      <w:pPr>
        <w:pStyle w:val="Rrecommendations"/>
        <w:numPr>
          <w:ilvl w:val="0"/>
          <w:numId w:val="22"/>
        </w:numPr>
        <w:rPr>
          <w:lang w:val="en-US"/>
        </w:rPr>
      </w:pPr>
      <w:r w:rsidRPr="00A7569B">
        <w:rPr>
          <w:lang w:val="en-NZ"/>
        </w:rPr>
        <w:lastRenderedPageBreak/>
        <w:t>p</w:t>
      </w:r>
      <w:r w:rsidR="009D32B4" w:rsidRPr="00A7569B">
        <w:rPr>
          <w:lang w:val="en-NZ"/>
        </w:rPr>
        <w:t xml:space="preserve">ut </w:t>
      </w:r>
      <w:r w:rsidR="009D32B4" w:rsidRPr="00A7569B">
        <w:rPr>
          <w:lang w:val="en-US"/>
        </w:rPr>
        <w:t>an end to fighting and violence in the conflict zone and fully observe the regime of “complete silence” along the contact line;</w:t>
      </w:r>
    </w:p>
    <w:p w14:paraId="7BFA1B4C" w14:textId="2C70CA90" w:rsidR="009D32B4" w:rsidRPr="00A7569B" w:rsidRDefault="00AE5FF6" w:rsidP="000C3673">
      <w:pPr>
        <w:pStyle w:val="BULLET"/>
        <w:numPr>
          <w:ilvl w:val="0"/>
          <w:numId w:val="10"/>
        </w:numPr>
        <w:ind w:right="1134"/>
        <w:rPr>
          <w:b/>
          <w:bCs/>
          <w:lang w:val="en-US"/>
        </w:rPr>
      </w:pPr>
      <w:r w:rsidRPr="00A7569B">
        <w:rPr>
          <w:b/>
          <w:bCs/>
          <w:lang w:val="en-US"/>
        </w:rPr>
        <w:t>f</w:t>
      </w:r>
      <w:r w:rsidR="009D32B4" w:rsidRPr="00A7569B">
        <w:rPr>
          <w:b/>
          <w:bCs/>
          <w:lang w:val="en-US"/>
        </w:rPr>
        <w:t xml:space="preserve">ully comply with provisions of the Minsk agreements concerning the withdrawal of heavy weapons and weapons below 100mm for 30-140km from the contact line; </w:t>
      </w:r>
    </w:p>
    <w:p w14:paraId="03FE1E41" w14:textId="7E17BED7" w:rsidR="00256B96" w:rsidRPr="00A7569B" w:rsidRDefault="008E3883" w:rsidP="000C3673">
      <w:pPr>
        <w:pStyle w:val="BULLET"/>
        <w:numPr>
          <w:ilvl w:val="0"/>
          <w:numId w:val="10"/>
        </w:numPr>
        <w:ind w:right="1134"/>
        <w:rPr>
          <w:b/>
          <w:lang w:val="en-NZ"/>
        </w:rPr>
      </w:pPr>
      <w:r w:rsidRPr="00A7569B">
        <w:rPr>
          <w:b/>
          <w:bCs/>
          <w:lang w:val="en-US"/>
        </w:rPr>
        <w:t>a</w:t>
      </w:r>
      <w:r w:rsidR="00524BA8" w:rsidRPr="00A7569B">
        <w:rPr>
          <w:b/>
          <w:bCs/>
          <w:lang w:val="en-US"/>
        </w:rPr>
        <w:t>void</w:t>
      </w:r>
      <w:r w:rsidR="009D32B4" w:rsidRPr="00A7569B">
        <w:rPr>
          <w:b/>
          <w:lang w:val="en-US"/>
        </w:rPr>
        <w:t>, to the extent feasible,</w:t>
      </w:r>
      <w:r w:rsidR="00524BA8" w:rsidRPr="00A7569B">
        <w:rPr>
          <w:b/>
          <w:lang w:val="en-US"/>
        </w:rPr>
        <w:t xml:space="preserve"> locating military objectives within or near populated areas</w:t>
      </w:r>
      <w:r w:rsidR="009D32B4" w:rsidRPr="00A7569B">
        <w:rPr>
          <w:b/>
          <w:lang w:val="en-US"/>
        </w:rPr>
        <w:t>,</w:t>
      </w:r>
      <w:r w:rsidR="00524BA8" w:rsidRPr="00A7569B">
        <w:rPr>
          <w:rStyle w:val="FootnoteReference"/>
          <w:b/>
          <w:sz w:val="20"/>
          <w:lang w:val="en-US"/>
        </w:rPr>
        <w:footnoteReference w:id="123"/>
      </w:r>
      <w:r w:rsidR="00524BA8" w:rsidRPr="00A7569B">
        <w:rPr>
          <w:b/>
          <w:lang w:val="en-US"/>
        </w:rPr>
        <w:t xml:space="preserve"> </w:t>
      </w:r>
      <w:r w:rsidRPr="00A7569B">
        <w:rPr>
          <w:b/>
          <w:lang w:val="en-US"/>
        </w:rPr>
        <w:t>a</w:t>
      </w:r>
      <w:r w:rsidR="009D32B4" w:rsidRPr="00A7569B">
        <w:rPr>
          <w:b/>
          <w:lang w:val="en-US"/>
        </w:rPr>
        <w:t>nd i</w:t>
      </w:r>
      <w:r w:rsidR="00524BA8" w:rsidRPr="00A7569B">
        <w:rPr>
          <w:b/>
          <w:lang w:val="en-US"/>
        </w:rPr>
        <w:t>n any event, take all feasible precautions to protect the civilian population and civilian objects under their control against the effects of attacks</w:t>
      </w:r>
      <w:r w:rsidR="00C4196C" w:rsidRPr="00A7569B">
        <w:rPr>
          <w:b/>
          <w:lang w:val="en-US"/>
        </w:rPr>
        <w:t>;</w:t>
      </w:r>
      <w:r w:rsidR="00524BA8" w:rsidRPr="00A7569B">
        <w:rPr>
          <w:rStyle w:val="FootnoteReference"/>
          <w:b/>
          <w:sz w:val="20"/>
          <w:lang w:val="en-US"/>
        </w:rPr>
        <w:footnoteReference w:id="124"/>
      </w:r>
    </w:p>
    <w:p w14:paraId="454B9141" w14:textId="2B82F223" w:rsidR="00945583" w:rsidRPr="00A7569B" w:rsidRDefault="00C4196C" w:rsidP="000C3673">
      <w:pPr>
        <w:pStyle w:val="BULLET"/>
        <w:numPr>
          <w:ilvl w:val="0"/>
          <w:numId w:val="10"/>
        </w:numPr>
        <w:ind w:right="1134"/>
        <w:rPr>
          <w:b/>
          <w:lang w:val="en-NZ"/>
        </w:rPr>
      </w:pPr>
      <w:r w:rsidRPr="00A7569B">
        <w:rPr>
          <w:b/>
          <w:lang w:val="en-NZ"/>
        </w:rPr>
        <w:t>t</w:t>
      </w:r>
      <w:r w:rsidR="009F42FB" w:rsidRPr="00A7569B">
        <w:rPr>
          <w:b/>
          <w:lang w:val="en-NZ"/>
        </w:rPr>
        <w:t>ake all feasible measures to protect civilian property from damage</w:t>
      </w:r>
      <w:r w:rsidR="00AC2C83" w:rsidRPr="00A7569B">
        <w:rPr>
          <w:b/>
          <w:lang w:val="en-NZ"/>
        </w:rPr>
        <w:t xml:space="preserve"> and</w:t>
      </w:r>
      <w:r w:rsidR="009F42FB" w:rsidRPr="00A7569B">
        <w:rPr>
          <w:b/>
          <w:lang w:val="en-NZ"/>
        </w:rPr>
        <w:t xml:space="preserve"> destruction</w:t>
      </w:r>
      <w:r w:rsidR="00AC2C83" w:rsidRPr="00A7569B">
        <w:rPr>
          <w:b/>
          <w:lang w:val="en-NZ"/>
        </w:rPr>
        <w:t>,</w:t>
      </w:r>
      <w:r w:rsidR="009F42FB" w:rsidRPr="00A7569B">
        <w:rPr>
          <w:b/>
          <w:lang w:val="en-NZ"/>
        </w:rPr>
        <w:t xml:space="preserve"> and </w:t>
      </w:r>
      <w:r w:rsidR="00CB3003" w:rsidRPr="00A7569B">
        <w:rPr>
          <w:b/>
          <w:lang w:val="en-NZ"/>
        </w:rPr>
        <w:t xml:space="preserve">to refrain from </w:t>
      </w:r>
      <w:r w:rsidR="009F42FB" w:rsidRPr="00A7569B">
        <w:rPr>
          <w:b/>
          <w:lang w:val="en-NZ"/>
        </w:rPr>
        <w:t>looting; provide adequate response to housing needs of the conflict affected population,</w:t>
      </w:r>
      <w:r w:rsidR="00AC2C83" w:rsidRPr="00A7569B">
        <w:rPr>
          <w:b/>
          <w:lang w:val="en-NZ"/>
        </w:rPr>
        <w:t xml:space="preserve"> and</w:t>
      </w:r>
      <w:r w:rsidR="009F42FB" w:rsidRPr="00A7569B">
        <w:rPr>
          <w:b/>
          <w:lang w:val="en-NZ"/>
        </w:rPr>
        <w:t xml:space="preserve"> ensure compensation for </w:t>
      </w:r>
      <w:r w:rsidR="00FC2E02" w:rsidRPr="00A7569B">
        <w:rPr>
          <w:b/>
          <w:lang w:val="en-NZ"/>
        </w:rPr>
        <w:t>military use of such property</w:t>
      </w:r>
      <w:r w:rsidRPr="00A7569B">
        <w:rPr>
          <w:b/>
          <w:lang w:val="en-NZ"/>
        </w:rPr>
        <w:t>;</w:t>
      </w:r>
    </w:p>
    <w:p w14:paraId="75E17ADA" w14:textId="518E4578" w:rsidR="00FB0350" w:rsidRPr="00A7569B" w:rsidRDefault="00AE5FF6" w:rsidP="000C3673">
      <w:pPr>
        <w:pStyle w:val="ListParagraph"/>
        <w:numPr>
          <w:ilvl w:val="0"/>
          <w:numId w:val="10"/>
        </w:numPr>
        <w:ind w:right="1134"/>
        <w:jc w:val="both"/>
        <w:rPr>
          <w:rFonts w:eastAsia="MS Mincho"/>
          <w:b/>
          <w:lang w:val="en-NZ"/>
        </w:rPr>
      </w:pPr>
      <w:r w:rsidRPr="00A7569B">
        <w:rPr>
          <w:rFonts w:eastAsia="MS Mincho"/>
          <w:b/>
          <w:lang w:val="en-NZ"/>
        </w:rPr>
        <w:t>e</w:t>
      </w:r>
      <w:r w:rsidR="00FB0350" w:rsidRPr="00A7569B">
        <w:rPr>
          <w:rFonts w:eastAsia="MS Mincho"/>
          <w:b/>
          <w:lang w:val="en-NZ"/>
        </w:rPr>
        <w:t>nsure free and non-discriminatory access for all civilians through official EECPs.</w:t>
      </w:r>
    </w:p>
    <w:p w14:paraId="3AB941CB" w14:textId="77777777" w:rsidR="006D1033" w:rsidRPr="00A7569B" w:rsidRDefault="006D1033" w:rsidP="006B2BE6">
      <w:pPr>
        <w:pStyle w:val="ListParagraph"/>
        <w:ind w:left="2421"/>
        <w:jc w:val="both"/>
        <w:rPr>
          <w:rFonts w:eastAsia="MS Mincho"/>
          <w:b/>
          <w:lang w:val="en-NZ"/>
        </w:rPr>
      </w:pPr>
    </w:p>
    <w:p w14:paraId="46DB5690" w14:textId="77777777" w:rsidR="00256B96" w:rsidRPr="00A7569B" w:rsidRDefault="00256B96" w:rsidP="001232C6">
      <w:pPr>
        <w:pStyle w:val="SingleTxtG"/>
        <w:rPr>
          <w:b/>
        </w:rPr>
      </w:pPr>
      <w:r w:rsidRPr="00A7569B">
        <w:rPr>
          <w:b/>
        </w:rPr>
        <w:t>To the self-proclaimed ‘Donetsk people’s republic’ and self-proclaimed ‘Luhansk people’s republic’:</w:t>
      </w:r>
    </w:p>
    <w:p w14:paraId="5511CD71" w14:textId="5A0BE322" w:rsidR="004F7F5B" w:rsidRPr="00A7569B" w:rsidRDefault="00AE5FF6" w:rsidP="001232C6">
      <w:pPr>
        <w:pStyle w:val="Rrecommendations"/>
        <w:numPr>
          <w:ilvl w:val="0"/>
          <w:numId w:val="23"/>
        </w:numPr>
        <w:rPr>
          <w:lang w:val="en-NZ"/>
        </w:rPr>
      </w:pPr>
      <w:r w:rsidRPr="00A7569B">
        <w:rPr>
          <w:lang w:val="en-NZ"/>
        </w:rPr>
        <w:t>e</w:t>
      </w:r>
      <w:r w:rsidR="004F7F5B" w:rsidRPr="00A7569B">
        <w:rPr>
          <w:lang w:val="en-NZ"/>
        </w:rPr>
        <w:t>nsure unimpeded and confidential access by OHCHR and other international organisations to all places of deprivation of liberty and allow private, confidential interviews with detainees in accordance with international standards;</w:t>
      </w:r>
    </w:p>
    <w:p w14:paraId="09A4DDFA" w14:textId="598FF896" w:rsidR="000C3345" w:rsidRPr="00A7569B" w:rsidRDefault="00AE5FF6" w:rsidP="000C3673">
      <w:pPr>
        <w:pStyle w:val="BULLET"/>
        <w:numPr>
          <w:ilvl w:val="0"/>
          <w:numId w:val="10"/>
        </w:numPr>
        <w:ind w:right="1134"/>
        <w:rPr>
          <w:b/>
          <w:lang w:val="en-NZ"/>
        </w:rPr>
      </w:pPr>
      <w:r w:rsidRPr="00A7569B">
        <w:rPr>
          <w:b/>
          <w:lang w:val="en-NZ"/>
        </w:rPr>
        <w:t>r</w:t>
      </w:r>
      <w:r w:rsidR="004F7F5B" w:rsidRPr="00A7569B">
        <w:rPr>
          <w:b/>
          <w:lang w:val="en-NZ"/>
        </w:rPr>
        <w:t>efrain from practice of ‘preventive arrest’ and ‘administrative arrest’</w:t>
      </w:r>
      <w:r w:rsidR="000C3345" w:rsidRPr="00A7569B">
        <w:rPr>
          <w:b/>
          <w:lang w:val="en-NZ"/>
        </w:rPr>
        <w:t>;</w:t>
      </w:r>
    </w:p>
    <w:p w14:paraId="4206A4E1" w14:textId="03408476" w:rsidR="004F7F5B" w:rsidRPr="00A7569B" w:rsidRDefault="00AC2C83" w:rsidP="000C3673">
      <w:pPr>
        <w:pStyle w:val="BULLET"/>
        <w:numPr>
          <w:ilvl w:val="0"/>
          <w:numId w:val="10"/>
        </w:numPr>
        <w:ind w:right="1134"/>
        <w:rPr>
          <w:b/>
          <w:lang w:val="en-NZ"/>
        </w:rPr>
      </w:pPr>
      <w:r w:rsidRPr="00A7569B">
        <w:rPr>
          <w:b/>
          <w:lang w:val="en-NZ"/>
        </w:rPr>
        <w:t xml:space="preserve">promptly </w:t>
      </w:r>
      <w:r w:rsidR="00AE5FF6" w:rsidRPr="00A7569B">
        <w:rPr>
          <w:b/>
          <w:lang w:val="en-NZ"/>
        </w:rPr>
        <w:t>p</w:t>
      </w:r>
      <w:r w:rsidR="004F7F5B" w:rsidRPr="00A7569B">
        <w:rPr>
          <w:b/>
          <w:lang w:val="en-NZ"/>
        </w:rPr>
        <w:t>rovide information on the whereabouts of detainees to their families;</w:t>
      </w:r>
    </w:p>
    <w:p w14:paraId="13F03684" w14:textId="54443E1A" w:rsidR="004F7F5B" w:rsidRPr="00A7569B" w:rsidRDefault="00C4196C" w:rsidP="000C3673">
      <w:pPr>
        <w:pStyle w:val="BULLET"/>
        <w:numPr>
          <w:ilvl w:val="0"/>
          <w:numId w:val="10"/>
        </w:numPr>
        <w:ind w:right="1134"/>
        <w:rPr>
          <w:b/>
          <w:lang w:val="en-NZ"/>
        </w:rPr>
      </w:pPr>
      <w:r w:rsidRPr="00A7569B">
        <w:rPr>
          <w:b/>
          <w:lang w:val="en-NZ"/>
        </w:rPr>
        <w:t>t</w:t>
      </w:r>
      <w:r w:rsidR="004F7F5B" w:rsidRPr="00A7569B">
        <w:rPr>
          <w:b/>
          <w:lang w:val="en-NZ"/>
        </w:rPr>
        <w:t>reat all persons detained humanely in all circumstances and ensure conditions of detention in accordanc</w:t>
      </w:r>
      <w:r w:rsidR="006A79AA" w:rsidRPr="00A7569B">
        <w:rPr>
          <w:b/>
          <w:lang w:val="en-NZ"/>
        </w:rPr>
        <w:t>e with international standards;</w:t>
      </w:r>
    </w:p>
    <w:p w14:paraId="590F5697" w14:textId="24608D69" w:rsidR="00D74D0A" w:rsidRPr="00A7569B" w:rsidRDefault="00CB3C54" w:rsidP="000C3673">
      <w:pPr>
        <w:pStyle w:val="BULLET"/>
        <w:numPr>
          <w:ilvl w:val="0"/>
          <w:numId w:val="10"/>
        </w:numPr>
        <w:ind w:right="1134"/>
        <w:rPr>
          <w:b/>
          <w:lang w:val="en-NZ"/>
        </w:rPr>
      </w:pPr>
      <w:r w:rsidRPr="00A7569B">
        <w:rPr>
          <w:b/>
        </w:rPr>
        <w:t>e</w:t>
      </w:r>
      <w:r w:rsidR="00D74D0A" w:rsidRPr="00A7569B">
        <w:rPr>
          <w:b/>
        </w:rPr>
        <w:t xml:space="preserve">nsure that prisoners are not forced to </w:t>
      </w:r>
      <w:r w:rsidR="00D74D0A" w:rsidRPr="00A7569B">
        <w:rPr>
          <w:rStyle w:val="highlight"/>
          <w:b/>
        </w:rPr>
        <w:t>work</w:t>
      </w:r>
      <w:r w:rsidR="00AC2C83" w:rsidRPr="00A7569B">
        <w:rPr>
          <w:rStyle w:val="highlight"/>
          <w:b/>
        </w:rPr>
        <w:t>,</w:t>
      </w:r>
      <w:r w:rsidR="00D74D0A" w:rsidRPr="00A7569B">
        <w:rPr>
          <w:b/>
        </w:rPr>
        <w:t xml:space="preserve"> a system of equitable remuneration of the </w:t>
      </w:r>
      <w:r w:rsidR="00D74D0A" w:rsidRPr="00A7569B">
        <w:rPr>
          <w:rStyle w:val="highlight"/>
          <w:b/>
        </w:rPr>
        <w:t>work</w:t>
      </w:r>
      <w:r w:rsidR="00D74D0A" w:rsidRPr="00A7569B">
        <w:rPr>
          <w:b/>
        </w:rPr>
        <w:t xml:space="preserve"> of prisoners is in place</w:t>
      </w:r>
      <w:r w:rsidR="00AC2C83" w:rsidRPr="00A7569B">
        <w:rPr>
          <w:b/>
        </w:rPr>
        <w:t>,</w:t>
      </w:r>
      <w:r w:rsidR="00D74D0A" w:rsidRPr="00A7569B">
        <w:rPr>
          <w:b/>
        </w:rPr>
        <w:t xml:space="preserve"> and prisoners</w:t>
      </w:r>
      <w:r w:rsidR="00AC2C83" w:rsidRPr="00A7569B">
        <w:rPr>
          <w:b/>
        </w:rPr>
        <w:t xml:space="preserve"> are</w:t>
      </w:r>
      <w:r w:rsidR="00D74D0A" w:rsidRPr="00A7569B">
        <w:rPr>
          <w:b/>
        </w:rPr>
        <w:t xml:space="preserve"> allowed to spend at least a part of their earnings on approved articles for their own use;</w:t>
      </w:r>
    </w:p>
    <w:p w14:paraId="6794BFEE" w14:textId="271DB98E" w:rsidR="006D48C4" w:rsidRPr="00A7569B" w:rsidRDefault="00C4196C" w:rsidP="000C3673">
      <w:pPr>
        <w:pStyle w:val="BULLET"/>
        <w:numPr>
          <w:ilvl w:val="0"/>
          <w:numId w:val="10"/>
        </w:numPr>
        <w:ind w:right="1134"/>
        <w:rPr>
          <w:b/>
          <w:lang w:val="en-NZ"/>
        </w:rPr>
      </w:pPr>
      <w:r w:rsidRPr="00A7569B">
        <w:rPr>
          <w:b/>
          <w:lang w:val="en-NZ"/>
        </w:rPr>
        <w:t>e</w:t>
      </w:r>
      <w:r w:rsidR="004F7F5B" w:rsidRPr="00A7569B">
        <w:rPr>
          <w:b/>
          <w:lang w:val="en-NZ"/>
        </w:rPr>
        <w:t xml:space="preserve">nable and facilitate the voluntary transfer of all pre-conflict </w:t>
      </w:r>
      <w:r w:rsidR="00D74D0A" w:rsidRPr="00A7569B">
        <w:rPr>
          <w:b/>
          <w:lang w:val="en-NZ"/>
        </w:rPr>
        <w:t>prisoners</w:t>
      </w:r>
      <w:r w:rsidR="004F7F5B" w:rsidRPr="00A7569B">
        <w:rPr>
          <w:b/>
          <w:lang w:val="en-NZ"/>
        </w:rPr>
        <w:t xml:space="preserve"> </w:t>
      </w:r>
      <w:r w:rsidR="000A3D26" w:rsidRPr="00A7569B">
        <w:rPr>
          <w:b/>
          <w:lang w:val="en-NZ"/>
        </w:rPr>
        <w:t xml:space="preserve">who want to be transferred </w:t>
      </w:r>
      <w:r w:rsidR="004F7F5B" w:rsidRPr="00A7569B">
        <w:rPr>
          <w:b/>
          <w:lang w:val="en-NZ"/>
        </w:rPr>
        <w:t xml:space="preserve">to </w:t>
      </w:r>
      <w:r w:rsidR="00801192" w:rsidRPr="00A7569B">
        <w:rPr>
          <w:b/>
          <w:lang w:val="en-NZ"/>
        </w:rPr>
        <w:t>G</w:t>
      </w:r>
      <w:r w:rsidR="004F7F5B" w:rsidRPr="00A7569B">
        <w:rPr>
          <w:b/>
          <w:lang w:val="en-NZ"/>
        </w:rPr>
        <w:t>overnment-controlled territory, regardless of their registered place of residence, to enable contact with their families.</w:t>
      </w:r>
    </w:p>
    <w:p w14:paraId="54F65325" w14:textId="23CFD115" w:rsidR="00256B96" w:rsidRPr="00A7569B" w:rsidRDefault="00256B96" w:rsidP="001232C6">
      <w:pPr>
        <w:pStyle w:val="SingleTxtG"/>
        <w:rPr>
          <w:b/>
        </w:rPr>
      </w:pPr>
      <w:r w:rsidRPr="00A7569B">
        <w:rPr>
          <w:b/>
        </w:rPr>
        <w:t xml:space="preserve">In the context of the Autonomous Republic of Crimea and the city of Sevastopol, Ukraine, temporarily occupied by the Russian Federation, to the Government of </w:t>
      </w:r>
      <w:r w:rsidR="006748C9" w:rsidRPr="00A7569B">
        <w:rPr>
          <w:b/>
        </w:rPr>
        <w:t>the Russian Federation</w:t>
      </w:r>
      <w:r w:rsidRPr="00A7569B">
        <w:rPr>
          <w:b/>
        </w:rPr>
        <w:t>:</w:t>
      </w:r>
    </w:p>
    <w:p w14:paraId="5BA6C5AA" w14:textId="7F0CB854" w:rsidR="00BF3113" w:rsidRPr="00A7569B" w:rsidRDefault="00BF3113" w:rsidP="001232C6">
      <w:pPr>
        <w:pStyle w:val="Rrecommendations"/>
        <w:numPr>
          <w:ilvl w:val="0"/>
          <w:numId w:val="24"/>
        </w:numPr>
        <w:rPr>
          <w:lang w:val="en-NZ"/>
        </w:rPr>
      </w:pPr>
      <w:r w:rsidRPr="00A7569B">
        <w:rPr>
          <w:lang w:val="en-US"/>
        </w:rPr>
        <w:t xml:space="preserve">uphold its obligations as duty bearer under international human rights law in </w:t>
      </w:r>
      <w:r w:rsidRPr="00A7569B">
        <w:rPr>
          <w:lang w:val="en-NZ"/>
        </w:rPr>
        <w:t>Crimea and respect obligations that apply to an occupying Power pursuant to international humanitarian law;</w:t>
      </w:r>
      <w:r w:rsidR="00761AB0" w:rsidRPr="00A7569B">
        <w:rPr>
          <w:lang w:val="en-NZ"/>
        </w:rPr>
        <w:t xml:space="preserve"> refrain from enforcing Russian Federation legislation in Crimea; </w:t>
      </w:r>
    </w:p>
    <w:p w14:paraId="27F9EAF8" w14:textId="395D3F4E" w:rsidR="00BF3113" w:rsidRPr="00A7569B" w:rsidRDefault="00BF3113" w:rsidP="000C3673">
      <w:pPr>
        <w:pStyle w:val="BULLET"/>
        <w:numPr>
          <w:ilvl w:val="0"/>
          <w:numId w:val="10"/>
        </w:numPr>
        <w:ind w:right="1134"/>
        <w:rPr>
          <w:b/>
          <w:lang w:val="en-NZ"/>
        </w:rPr>
      </w:pPr>
      <w:r w:rsidRPr="00A7569B">
        <w:rPr>
          <w:b/>
          <w:lang w:val="en-NZ"/>
        </w:rPr>
        <w:t>ensure proper and unimpeded access of international human rights monitoring missions and human rights non-</w:t>
      </w:r>
      <w:r w:rsidR="00684F34" w:rsidRPr="00A7569B">
        <w:rPr>
          <w:b/>
          <w:lang w:val="en-NZ"/>
        </w:rPr>
        <w:t>G</w:t>
      </w:r>
      <w:r w:rsidRPr="00A7569B">
        <w:rPr>
          <w:b/>
          <w:lang w:val="en-NZ"/>
        </w:rPr>
        <w:t xml:space="preserve">overnmental </w:t>
      </w:r>
      <w:r w:rsidR="001703F8" w:rsidRPr="00A7569B">
        <w:rPr>
          <w:b/>
          <w:lang w:val="en-NZ"/>
        </w:rPr>
        <w:t>organisation</w:t>
      </w:r>
      <w:r w:rsidRPr="00A7569B">
        <w:rPr>
          <w:b/>
          <w:lang w:val="en-NZ"/>
        </w:rPr>
        <w:t>s to Crimea, pursuant to General Assembly resolutions 71/205, 72/190, and 73/263</w:t>
      </w:r>
      <w:r w:rsidR="003974A3" w:rsidRPr="00A7569B">
        <w:rPr>
          <w:b/>
          <w:lang w:val="en-NZ"/>
        </w:rPr>
        <w:t>, as well as full implementation of their provisions</w:t>
      </w:r>
      <w:r w:rsidRPr="00A7569B">
        <w:rPr>
          <w:b/>
          <w:lang w:val="en-NZ"/>
        </w:rPr>
        <w:t>;</w:t>
      </w:r>
    </w:p>
    <w:p w14:paraId="424B3EB6" w14:textId="6A526062" w:rsidR="00BF3113" w:rsidRPr="00A7569B" w:rsidRDefault="00761AB0" w:rsidP="000C3673">
      <w:pPr>
        <w:pStyle w:val="BULLET"/>
        <w:numPr>
          <w:ilvl w:val="0"/>
          <w:numId w:val="10"/>
        </w:numPr>
        <w:ind w:right="1134"/>
        <w:rPr>
          <w:b/>
          <w:lang w:val="en-NZ"/>
        </w:rPr>
      </w:pPr>
      <w:r w:rsidRPr="00A7569B">
        <w:rPr>
          <w:b/>
          <w:lang w:val="en-NZ"/>
        </w:rPr>
        <w:lastRenderedPageBreak/>
        <w:t>conduct</w:t>
      </w:r>
      <w:r w:rsidR="00BF3113" w:rsidRPr="00A7569B">
        <w:rPr>
          <w:b/>
          <w:lang w:val="en-NZ"/>
        </w:rPr>
        <w:t xml:space="preserve"> effective investigation of all allegations of ill-treatment, torture and </w:t>
      </w:r>
      <w:r w:rsidRPr="00A7569B">
        <w:rPr>
          <w:b/>
          <w:lang w:val="en-NZ"/>
        </w:rPr>
        <w:t>arbitrary deprivation of liberty</w:t>
      </w:r>
      <w:r w:rsidR="00BF3113" w:rsidRPr="00A7569B">
        <w:rPr>
          <w:b/>
          <w:lang w:val="en-NZ"/>
        </w:rPr>
        <w:t xml:space="preserve"> in Crimea;</w:t>
      </w:r>
      <w:r w:rsidRPr="00A7569B">
        <w:rPr>
          <w:b/>
          <w:lang w:val="en-NZ"/>
        </w:rPr>
        <w:t xml:space="preserve"> bring perpetrators to justice and provide redress for victims;</w:t>
      </w:r>
    </w:p>
    <w:p w14:paraId="3140C2FF" w14:textId="673D604D" w:rsidR="00761AB0" w:rsidRPr="00A7569B" w:rsidRDefault="00761AB0" w:rsidP="000C3673">
      <w:pPr>
        <w:pStyle w:val="BULLET"/>
        <w:numPr>
          <w:ilvl w:val="0"/>
          <w:numId w:val="10"/>
        </w:numPr>
        <w:ind w:right="1134"/>
        <w:rPr>
          <w:b/>
          <w:lang w:val="en-NZ"/>
        </w:rPr>
      </w:pPr>
      <w:r w:rsidRPr="00A7569B">
        <w:rPr>
          <w:b/>
          <w:lang w:val="en-NZ"/>
        </w:rPr>
        <w:t>ensure human</w:t>
      </w:r>
      <w:r w:rsidR="00F31EAB" w:rsidRPr="00A7569B">
        <w:rPr>
          <w:b/>
          <w:lang w:val="en-NZ"/>
        </w:rPr>
        <w:t>e</w:t>
      </w:r>
      <w:r w:rsidRPr="00A7569B">
        <w:rPr>
          <w:b/>
          <w:lang w:val="en-NZ"/>
        </w:rPr>
        <w:t xml:space="preserve"> treatment of all detainees in Crimea, including the provision of necessary medical care, communication with the outside world, and adequate standards of accommodation;</w:t>
      </w:r>
    </w:p>
    <w:p w14:paraId="0B44E675" w14:textId="276ADEFF" w:rsidR="00944B59" w:rsidRPr="00A7569B" w:rsidRDefault="00377D9F" w:rsidP="000C3673">
      <w:pPr>
        <w:pStyle w:val="BULLET"/>
        <w:numPr>
          <w:ilvl w:val="0"/>
          <w:numId w:val="10"/>
        </w:numPr>
        <w:ind w:right="1134"/>
        <w:rPr>
          <w:b/>
          <w:lang w:val="en-NZ"/>
        </w:rPr>
      </w:pPr>
      <w:r w:rsidRPr="00A7569B">
        <w:rPr>
          <w:b/>
          <w:lang w:val="en-NZ"/>
        </w:rPr>
        <w:t>allow unimpeded exercise</w:t>
      </w:r>
      <w:r w:rsidR="00944B59" w:rsidRPr="00A7569B">
        <w:rPr>
          <w:b/>
          <w:lang w:val="en-NZ"/>
        </w:rPr>
        <w:t xml:space="preserve"> of freedom of religion or belief for all groups in Crimea without any unjustified interference;</w:t>
      </w:r>
    </w:p>
    <w:p w14:paraId="7E138766" w14:textId="74FAEBD8" w:rsidR="006748C9" w:rsidRDefault="00E6689D" w:rsidP="000C3673">
      <w:pPr>
        <w:pStyle w:val="BULLET"/>
        <w:numPr>
          <w:ilvl w:val="0"/>
          <w:numId w:val="10"/>
        </w:numPr>
        <w:ind w:right="1134"/>
        <w:rPr>
          <w:b/>
          <w:lang w:val="en-NZ"/>
        </w:rPr>
      </w:pPr>
      <w:r w:rsidRPr="00A7569B">
        <w:rPr>
          <w:b/>
          <w:lang w:val="en-NZ"/>
        </w:rPr>
        <w:t>comply with ICJ order of 19 April 2017</w:t>
      </w:r>
      <w:r w:rsidR="006748C9" w:rsidRPr="00A7569B">
        <w:rPr>
          <w:b/>
          <w:lang w:val="en-NZ"/>
        </w:rPr>
        <w:t xml:space="preserve">: </w:t>
      </w:r>
      <w:r w:rsidR="00761AB0" w:rsidRPr="00A7569B">
        <w:rPr>
          <w:b/>
          <w:lang w:val="en-NZ"/>
        </w:rPr>
        <w:t xml:space="preserve">lift any limitations on the ability of the Crimean Tatar community to conserve its representative institutions, including the Mejlis </w:t>
      </w:r>
      <w:r w:rsidR="006748C9" w:rsidRPr="00A7569B">
        <w:rPr>
          <w:b/>
          <w:lang w:val="en-NZ"/>
        </w:rPr>
        <w:t>and ensure the availability of education in native languages in Crimea</w:t>
      </w:r>
      <w:r w:rsidR="005207D3" w:rsidRPr="00A7569B">
        <w:rPr>
          <w:b/>
          <w:lang w:val="en-NZ"/>
        </w:rPr>
        <w:t>.</w:t>
      </w:r>
    </w:p>
    <w:p w14:paraId="2ADCA789" w14:textId="2EBC744E" w:rsidR="00256B96" w:rsidRPr="00A7569B" w:rsidRDefault="00256B96" w:rsidP="001232C6">
      <w:pPr>
        <w:pStyle w:val="SingleTxtG"/>
        <w:rPr>
          <w:b/>
        </w:rPr>
      </w:pPr>
      <w:r w:rsidRPr="00A7569B">
        <w:rPr>
          <w:b/>
        </w:rPr>
        <w:t xml:space="preserve">To the international community: </w:t>
      </w:r>
    </w:p>
    <w:p w14:paraId="476ADC95" w14:textId="2B217EDD" w:rsidR="00061A7E" w:rsidRPr="00A7569B" w:rsidRDefault="008E122F" w:rsidP="001232C6">
      <w:pPr>
        <w:pStyle w:val="Rrecommendations"/>
        <w:numPr>
          <w:ilvl w:val="0"/>
          <w:numId w:val="25"/>
        </w:numPr>
        <w:rPr>
          <w:lang w:val="en-NZ"/>
        </w:rPr>
      </w:pPr>
      <w:r w:rsidRPr="00A7569B">
        <w:rPr>
          <w:lang w:val="en-NZ"/>
        </w:rPr>
        <w:t xml:space="preserve">urge the Russian Federation to comply with its obligations </w:t>
      </w:r>
      <w:r w:rsidRPr="00A7569B">
        <w:rPr>
          <w:lang w:val="en-US"/>
        </w:rPr>
        <w:t xml:space="preserve">as a duty bearer under international human rights law and </w:t>
      </w:r>
      <w:r w:rsidRPr="00A7569B">
        <w:t xml:space="preserve">as an occupying </w:t>
      </w:r>
      <w:r w:rsidRPr="00A7569B">
        <w:rPr>
          <w:lang w:val="en-US"/>
        </w:rPr>
        <w:t>P</w:t>
      </w:r>
      <w:r w:rsidRPr="00A7569B">
        <w:t xml:space="preserve">ower under international humanitarian law; </w:t>
      </w:r>
    </w:p>
    <w:p w14:paraId="200D0F42" w14:textId="5252A403" w:rsidR="00616F86" w:rsidRPr="00A7569B" w:rsidRDefault="008E122F" w:rsidP="000C3673">
      <w:pPr>
        <w:pStyle w:val="BULLET"/>
        <w:numPr>
          <w:ilvl w:val="0"/>
          <w:numId w:val="10"/>
        </w:numPr>
        <w:tabs>
          <w:tab w:val="left" w:pos="8505"/>
        </w:tabs>
        <w:ind w:right="1134"/>
        <w:rPr>
          <w:b/>
          <w:lang w:val="en-NZ"/>
        </w:rPr>
      </w:pPr>
      <w:r w:rsidRPr="00A7569B">
        <w:rPr>
          <w:b/>
          <w:lang w:val="en-NZ"/>
        </w:rPr>
        <w:t>encourage the Russian Federation to grant international and regional human rights monitoring mechanisms unimpeded access to Crimea</w:t>
      </w:r>
      <w:r w:rsidR="00027F30" w:rsidRPr="00A7569B">
        <w:rPr>
          <w:b/>
          <w:lang w:val="en-NZ"/>
        </w:rPr>
        <w:t>.</w:t>
      </w:r>
    </w:p>
    <w:sectPr w:rsidR="00616F86" w:rsidRPr="00A7569B" w:rsidSect="00B70B65">
      <w:footerReference w:type="even" r:id="rId20"/>
      <w:footerReference w:type="default" r:id="rId21"/>
      <w:footerReference w:type="first" r:id="rId22"/>
      <w:endnotePr>
        <w:numFmt w:val="decimal"/>
      </w:endnotePr>
      <w:pgSz w:w="11907" w:h="16840" w:code="9"/>
      <w:pgMar w:top="1411" w:right="1134" w:bottom="1138" w:left="1134" w:header="850" w:footer="567" w:gutter="0"/>
      <w:pgNumType w:start="1"/>
      <w:cols w:space="720"/>
      <w:docGrid w:linePitch="27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A7EF0CC" w16cid:durableId="209831E0"/>
  <w16cid:commentId w16cid:paraId="28F6F2EF" w16cid:durableId="209831E1"/>
  <w16cid:commentId w16cid:paraId="019C0F32" w16cid:durableId="209831E3"/>
  <w16cid:commentId w16cid:paraId="1FC09E94" w16cid:durableId="209831E4"/>
  <w16cid:commentId w16cid:paraId="638889D1" w16cid:durableId="206B6C4E"/>
  <w16cid:commentId w16cid:paraId="59DCE6D7" w16cid:durableId="209831E6"/>
  <w16cid:commentId w16cid:paraId="57DBC0ED" w16cid:durableId="209831E7"/>
  <w16cid:commentId w16cid:paraId="25AEFA4E" w16cid:durableId="209831E8"/>
  <w16cid:commentId w16cid:paraId="53D5469E" w16cid:durableId="209831EA"/>
  <w16cid:commentId w16cid:paraId="00C72E5A" w16cid:durableId="209831EB"/>
  <w16cid:commentId w16cid:paraId="29D7975F" w16cid:durableId="208B95F8"/>
  <w16cid:commentId w16cid:paraId="72E430D3" w16cid:durableId="209831E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BED914" w14:textId="77777777" w:rsidR="00815357" w:rsidRDefault="00815357" w:rsidP="00256B96">
      <w:pPr>
        <w:spacing w:line="240" w:lineRule="auto"/>
      </w:pPr>
      <w:r>
        <w:separator/>
      </w:r>
    </w:p>
  </w:endnote>
  <w:endnote w:type="continuationSeparator" w:id="0">
    <w:p w14:paraId="3746C5C6" w14:textId="77777777" w:rsidR="00815357" w:rsidRDefault="00815357" w:rsidP="00256B96">
      <w:pPr>
        <w:spacing w:line="240" w:lineRule="auto"/>
      </w:pPr>
      <w:r>
        <w:continuationSeparator/>
      </w:r>
    </w:p>
  </w:endnote>
  <w:endnote w:type="continuationNotice" w:id="1">
    <w:p w14:paraId="6811EF9E" w14:textId="77777777" w:rsidR="00815357" w:rsidRDefault="0081535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00000000"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MrsEavesRoman">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altName w:val="Arial"/>
    <w:charset w:val="00"/>
    <w:family w:val="swiss"/>
    <w:pitch w:val="variable"/>
    <w:sig w:usb0="E1000AEF" w:usb1="5000A1FF" w:usb2="00000000" w:usb3="00000000" w:csb0="000001BF" w:csb1="00000000"/>
  </w:font>
  <w:font w:name="Gulim">
    <w:altName w:val="굴림"/>
    <w:panose1 w:val="020B0600000101010101"/>
    <w:charset w:val="81"/>
    <w:family w:val="swiss"/>
    <w:pitch w:val="variable"/>
    <w:sig w:usb0="B00002AF" w:usb1="69D77CFB" w:usb2="00000030" w:usb3="00000000" w:csb0="0008009F" w:csb1="00000000"/>
  </w:font>
  <w:font w:name="Calibri Light">
    <w:panose1 w:val="020F0302020204030204"/>
    <w:charset w:val="CC"/>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6C49B2" w14:textId="3F0CA0E7" w:rsidR="00815357" w:rsidRPr="00AF66AB" w:rsidRDefault="00815357" w:rsidP="004B45A5">
    <w:pPr>
      <w:pStyle w:val="Footer"/>
      <w:rPr>
        <w:sz w:val="18"/>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B6AA91" w14:textId="2D55ADCF" w:rsidR="00815357" w:rsidRPr="00AF66AB" w:rsidRDefault="00815357" w:rsidP="00597DC6">
    <w:pPr>
      <w:pStyle w:val="Footer"/>
      <w:ind w:right="889"/>
      <w:jc w:val="right"/>
      <w:rPr>
        <w:b/>
        <w:sz w:val="18"/>
      </w:rPr>
    </w:pPr>
    <w:r>
      <w:fldChar w:fldCharType="begin"/>
    </w:r>
    <w:r>
      <w:instrText xml:space="preserve"> PAGE   \* MERGEFORMAT </w:instrText>
    </w:r>
    <w:r>
      <w:fldChar w:fldCharType="separate"/>
    </w:r>
    <w:r w:rsidR="0079557A">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CBC748" w14:textId="628595BB" w:rsidR="00815357" w:rsidRDefault="008153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3CBDF9" w14:textId="77777777" w:rsidR="00815357" w:rsidRDefault="00815357" w:rsidP="00256B96">
      <w:pPr>
        <w:spacing w:line="240" w:lineRule="auto"/>
      </w:pPr>
      <w:r>
        <w:separator/>
      </w:r>
    </w:p>
  </w:footnote>
  <w:footnote w:type="continuationSeparator" w:id="0">
    <w:p w14:paraId="590002C0" w14:textId="77777777" w:rsidR="00815357" w:rsidRDefault="00815357" w:rsidP="00256B96">
      <w:pPr>
        <w:spacing w:line="240" w:lineRule="auto"/>
      </w:pPr>
      <w:r>
        <w:continuationSeparator/>
      </w:r>
    </w:p>
  </w:footnote>
  <w:footnote w:type="continuationNotice" w:id="1">
    <w:p w14:paraId="06C52E20" w14:textId="77777777" w:rsidR="00815357" w:rsidRDefault="00815357">
      <w:pPr>
        <w:spacing w:line="240" w:lineRule="auto"/>
      </w:pPr>
    </w:p>
  </w:footnote>
  <w:footnote w:id="2">
    <w:p w14:paraId="4DC128D0" w14:textId="3565D001" w:rsidR="00815357" w:rsidRPr="00026B96" w:rsidRDefault="00815357" w:rsidP="00C559B6">
      <w:pPr>
        <w:pStyle w:val="FootnoteText"/>
      </w:pPr>
      <w:r w:rsidRPr="00C16B77">
        <w:rPr>
          <w:rStyle w:val="FootnoteReference"/>
        </w:rPr>
        <w:footnoteRef/>
      </w:r>
      <w:r w:rsidRPr="00C16B77">
        <w:t xml:space="preserve"> </w:t>
      </w:r>
      <w:r w:rsidRPr="00C16B77">
        <w:tab/>
      </w:r>
      <w:r>
        <w:t xml:space="preserve">Deployed on 14 March 2014 at the invitation of the Government of Ukraine, HRMMU is mandated to “monitor the human rights situation in the country, with particular attention to the Autonomous Republic of Crimea, Eastern and Southern regions of Ukraine, and provide regular, accurate and public reports by the High Commissioner on the human rights situation and emerging concerns and risks”. HRMMU is also mandated to “recommend concrete follow-up actions to relevant authorities of Ukraine, the UN and the international community on action to address the human rights concerns, prevent human rights violations and mitigate emerging risks”. </w:t>
      </w:r>
      <w:r w:rsidRPr="00C16B77">
        <w:t>For more details, see paras. 7-8 of the report of the United Nations High Commissioner for Human Rights on the situation of human rights in Ukraine of 19 September 2014 (A/HRC/27/75).</w:t>
      </w:r>
    </w:p>
  </w:footnote>
  <w:footnote w:id="3">
    <w:p w14:paraId="56E6F561" w14:textId="5256B3A3" w:rsidR="00815357" w:rsidRPr="00C16B77" w:rsidRDefault="00815357" w:rsidP="00502987">
      <w:pPr>
        <w:pStyle w:val="FootnoteText"/>
      </w:pPr>
      <w:r w:rsidRPr="00C16B77">
        <w:rPr>
          <w:rStyle w:val="FootnoteReference"/>
        </w:rPr>
        <w:footnoteRef/>
      </w:r>
      <w:r w:rsidRPr="00C16B77">
        <w:t xml:space="preserve"> </w:t>
      </w:r>
      <w:r w:rsidRPr="00C16B77">
        <w:tab/>
        <w:t xml:space="preserve">Between 16 November 2018 and 15 February 2019, OHCHR documented </w:t>
      </w:r>
      <w:r>
        <w:t>221</w:t>
      </w:r>
      <w:r w:rsidRPr="00C16B77">
        <w:t xml:space="preserve"> human rights violations</w:t>
      </w:r>
      <w:r>
        <w:t xml:space="preserve"> which</w:t>
      </w:r>
      <w:r w:rsidRPr="00C16B77">
        <w:t xml:space="preserve"> occurred </w:t>
      </w:r>
      <w:r>
        <w:t xml:space="preserve">during </w:t>
      </w:r>
      <w:r w:rsidRPr="00C16B77">
        <w:t xml:space="preserve">that reporting period. </w:t>
      </w:r>
    </w:p>
  </w:footnote>
  <w:footnote w:id="4">
    <w:p w14:paraId="678BB99B" w14:textId="7D607DF3" w:rsidR="00815357" w:rsidRPr="00C16B77" w:rsidRDefault="00815357" w:rsidP="00502987">
      <w:pPr>
        <w:pStyle w:val="FootnoteText"/>
      </w:pPr>
      <w:r w:rsidRPr="00C16B77">
        <w:rPr>
          <w:rStyle w:val="FootnoteReference"/>
        </w:rPr>
        <w:footnoteRef/>
      </w:r>
      <w:r w:rsidRPr="00C16B77">
        <w:t xml:space="preserve"> </w:t>
      </w:r>
      <w:r w:rsidRPr="00C16B77">
        <w:tab/>
        <w:t>Hereinafter ‘Donetsk people’s republic’ and ‘Luhansk people’s republic</w:t>
      </w:r>
      <w:r>
        <w:t>’</w:t>
      </w:r>
      <w:r w:rsidRPr="00C16B77">
        <w:t>.</w:t>
      </w:r>
    </w:p>
  </w:footnote>
  <w:footnote w:id="5">
    <w:p w14:paraId="3AA8A97F" w14:textId="7041D6BA" w:rsidR="00815357" w:rsidRPr="00550296" w:rsidRDefault="00815357" w:rsidP="00502987">
      <w:pPr>
        <w:pStyle w:val="FootnoteText"/>
      </w:pPr>
      <w:r>
        <w:rPr>
          <w:rStyle w:val="FootnoteReference"/>
        </w:rPr>
        <w:footnoteRef/>
      </w:r>
      <w:r>
        <w:t xml:space="preserve"> </w:t>
      </w:r>
      <w:r w:rsidRPr="00550296">
        <w:tab/>
      </w:r>
      <w:r>
        <w:t>This high number is explained by the documentation during the reporting period of abuses of the rights of pre-conflict prisoners which occurred before the reporting period.</w:t>
      </w:r>
    </w:p>
  </w:footnote>
  <w:footnote w:id="6">
    <w:p w14:paraId="6C0EE438" w14:textId="77777777" w:rsidR="00815357" w:rsidRPr="00AA6D9E" w:rsidRDefault="00815357" w:rsidP="00100587">
      <w:pPr>
        <w:pStyle w:val="FootnoteText"/>
        <w:rPr>
          <w:lang w:val="en-US"/>
        </w:rPr>
      </w:pPr>
      <w:r>
        <w:rPr>
          <w:rStyle w:val="FootnoteReference"/>
        </w:rPr>
        <w:footnoteRef/>
      </w:r>
      <w:r>
        <w:t xml:space="preserve"> </w:t>
      </w:r>
      <w:r>
        <w:tab/>
      </w:r>
      <w:r w:rsidRPr="00913746">
        <w:rPr>
          <w:i/>
        </w:rPr>
        <w:t>Official Records of the General Assembly</w:t>
      </w:r>
      <w:r>
        <w:t>, Seventy-third Session, Resolution (A/RES/73/236), para 11. Hereafter Crimea.</w:t>
      </w:r>
    </w:p>
  </w:footnote>
  <w:footnote w:id="7">
    <w:p w14:paraId="4F9D99D1" w14:textId="13E65909" w:rsidR="00815357" w:rsidRPr="00C16B77" w:rsidRDefault="00815357" w:rsidP="00502987">
      <w:pPr>
        <w:pStyle w:val="FootnoteText"/>
      </w:pPr>
      <w:r w:rsidRPr="00C16B77">
        <w:rPr>
          <w:rStyle w:val="FootnoteReference"/>
        </w:rPr>
        <w:footnoteRef/>
      </w:r>
      <w:r w:rsidRPr="00C16B77">
        <w:t xml:space="preserve"> </w:t>
      </w:r>
      <w:r w:rsidRPr="00C16B77">
        <w:tab/>
      </w:r>
      <w:r w:rsidRPr="0073522A">
        <w:t>Twelve in territory controlled by ‘Donetsk people’s republic’ and four in territory controlled by ‘Luhansk people’s republic’.</w:t>
      </w:r>
    </w:p>
  </w:footnote>
  <w:footnote w:id="8">
    <w:p w14:paraId="6F11ACF2" w14:textId="77777777" w:rsidR="00815357" w:rsidRPr="00597DC6" w:rsidRDefault="00815357" w:rsidP="00100587">
      <w:pPr>
        <w:pStyle w:val="FootnoteText"/>
        <w:rPr>
          <w:lang w:val="en-US"/>
        </w:rPr>
      </w:pPr>
      <w:r>
        <w:rPr>
          <w:rStyle w:val="FootnoteReference"/>
        </w:rPr>
        <w:footnoteRef/>
      </w:r>
      <w:r>
        <w:t xml:space="preserve"> </w:t>
      </w:r>
      <w:r>
        <w:tab/>
        <w:t>Three to armed groups of ‘Donetsk people’s republic’ and one to armed groups of ‘Luhansk people’s republic’.</w:t>
      </w:r>
    </w:p>
  </w:footnote>
  <w:footnote w:id="9">
    <w:p w14:paraId="6C22BE37" w14:textId="5C956E0E" w:rsidR="00815357" w:rsidRPr="0023200C" w:rsidRDefault="00815357" w:rsidP="00502987">
      <w:pPr>
        <w:pStyle w:val="FootnoteText"/>
      </w:pPr>
      <w:r>
        <w:rPr>
          <w:rStyle w:val="FootnoteReference"/>
        </w:rPr>
        <w:footnoteRef/>
      </w:r>
      <w:r>
        <w:t xml:space="preserve"> </w:t>
      </w:r>
      <w:r>
        <w:tab/>
        <w:t xml:space="preserve">Eleven (2-3 killed and 8-9 injured) on average a month in 2019 versus twenty-three (4-5 killed and 18-19 injured) on average a month in 2018. </w:t>
      </w:r>
    </w:p>
  </w:footnote>
  <w:footnote w:id="10">
    <w:p w14:paraId="2985D395" w14:textId="21394A1B" w:rsidR="00815357" w:rsidRPr="005557D8" w:rsidRDefault="00815357" w:rsidP="00502987">
      <w:pPr>
        <w:pStyle w:val="FootnoteText"/>
        <w:rPr>
          <w:lang w:val="en-US"/>
        </w:rPr>
      </w:pPr>
      <w:r w:rsidRPr="0073522A">
        <w:rPr>
          <w:rStyle w:val="FootnoteReference"/>
        </w:rPr>
        <w:footnoteRef/>
      </w:r>
      <w:r w:rsidRPr="0073522A">
        <w:t xml:space="preserve"> </w:t>
      </w:r>
      <w:r w:rsidRPr="0073522A">
        <w:rPr>
          <w:lang w:val="en-US"/>
        </w:rPr>
        <w:tab/>
        <w:t>Eight men and one woman. Reportedly</w:t>
      </w:r>
      <w:r>
        <w:rPr>
          <w:lang w:val="en-US"/>
        </w:rPr>
        <w:t xml:space="preserve">, the deaths occurred due to </w:t>
      </w:r>
      <w:r>
        <w:t>health complications.</w:t>
      </w:r>
    </w:p>
  </w:footnote>
  <w:footnote w:id="11">
    <w:p w14:paraId="3BF7A9E6" w14:textId="5AF07F98" w:rsidR="00815357" w:rsidRPr="00C16B77" w:rsidRDefault="00815357" w:rsidP="00502987">
      <w:pPr>
        <w:pStyle w:val="FootnoteText"/>
      </w:pPr>
      <w:r w:rsidRPr="00C16B77">
        <w:rPr>
          <w:rStyle w:val="FootnoteReference"/>
        </w:rPr>
        <w:footnoteRef/>
      </w:r>
      <w:r w:rsidRPr="00C16B77">
        <w:t xml:space="preserve"> </w:t>
      </w:r>
      <w:r w:rsidRPr="00C16B77">
        <w:tab/>
        <w:t>Resolutions No</w:t>
      </w:r>
      <w:r>
        <w:t>s.</w:t>
      </w:r>
      <w:r w:rsidRPr="00C16B77">
        <w:t xml:space="preserve"> 365, 637</w:t>
      </w:r>
      <w:r>
        <w:t xml:space="preserve"> and</w:t>
      </w:r>
      <w:r w:rsidRPr="00C16B77">
        <w:t xml:space="preserve"> 649</w:t>
      </w:r>
      <w:r>
        <w:t>.</w:t>
      </w:r>
    </w:p>
  </w:footnote>
  <w:footnote w:id="12">
    <w:p w14:paraId="45CFF980" w14:textId="77777777" w:rsidR="00815357" w:rsidRPr="00761C3C" w:rsidRDefault="00815357" w:rsidP="00502987">
      <w:pPr>
        <w:pStyle w:val="FootnoteText"/>
      </w:pPr>
      <w:r>
        <w:rPr>
          <w:rStyle w:val="FootnoteReference"/>
        </w:rPr>
        <w:footnoteRef/>
      </w:r>
      <w:r>
        <w:t xml:space="preserve"> </w:t>
      </w:r>
      <w:r w:rsidRPr="00597DC6">
        <w:tab/>
      </w:r>
      <w:r w:rsidRPr="008F6D38">
        <w:rPr>
          <w:rStyle w:val="Hyperlink"/>
        </w:rPr>
        <w:t>United</w:t>
      </w:r>
      <w:r w:rsidRPr="008F6D38">
        <w:rPr>
          <w:lang w:val="en-US"/>
        </w:rPr>
        <w:t xml:space="preserve"> Nations Briefing Note on </w:t>
      </w:r>
      <w:r w:rsidRPr="008F6D38">
        <w:rPr>
          <w:rFonts w:eastAsiaTheme="minorHAnsi"/>
        </w:rPr>
        <w:t>Pensions for IDPs and persons living in the areas not controlled by the Government in the east of Ukraine</w:t>
      </w:r>
      <w:r>
        <w:rPr>
          <w:rFonts w:eastAsiaTheme="minorHAnsi"/>
        </w:rPr>
        <w:t>,</w:t>
      </w:r>
      <w:r w:rsidRPr="008F6D38">
        <w:rPr>
          <w:lang w:val="en-US"/>
        </w:rPr>
        <w:t xml:space="preserve"> available </w:t>
      </w:r>
      <w:r w:rsidRPr="00781CB8">
        <w:rPr>
          <w:lang w:val="en-US"/>
        </w:rPr>
        <w:t xml:space="preserve">at </w:t>
      </w:r>
      <w:r w:rsidRPr="00066498">
        <w:t>https://www.humanitarianresponse.info/en/operations/ukraine/document/briefing-note-pensions-united-nations-ukraine-february-2019</w:t>
      </w:r>
      <w:r>
        <w:t>.</w:t>
      </w:r>
    </w:p>
  </w:footnote>
  <w:footnote w:id="13">
    <w:p w14:paraId="2D00A5C2" w14:textId="0F4C1D4F" w:rsidR="00815357" w:rsidRPr="00C16B77" w:rsidRDefault="00815357" w:rsidP="00502987">
      <w:pPr>
        <w:pStyle w:val="FootnoteText"/>
      </w:pPr>
      <w:r w:rsidRPr="00C16B77">
        <w:rPr>
          <w:rStyle w:val="FootnoteReference"/>
        </w:rPr>
        <w:footnoteRef/>
      </w:r>
      <w:r w:rsidRPr="00C16B77">
        <w:t xml:space="preserve"> </w:t>
      </w:r>
      <w:r w:rsidRPr="00C16B77">
        <w:tab/>
      </w:r>
      <w:r w:rsidR="00236BA5">
        <w:t xml:space="preserve">One hundred and fifteen </w:t>
      </w:r>
      <w:r w:rsidRPr="00C16B77">
        <w:t xml:space="preserve">men and </w:t>
      </w:r>
      <w:r>
        <w:t>five</w:t>
      </w:r>
      <w:r w:rsidRPr="00C16B77">
        <w:t xml:space="preserve"> wom</w:t>
      </w:r>
      <w:r>
        <w:t>e</w:t>
      </w:r>
      <w:r w:rsidRPr="00C16B77">
        <w:t>n.</w:t>
      </w:r>
    </w:p>
  </w:footnote>
  <w:footnote w:id="14">
    <w:p w14:paraId="7CAA2E3F" w14:textId="27DE6F0E" w:rsidR="00815357" w:rsidRPr="00DF3D71" w:rsidRDefault="00815357" w:rsidP="00502987">
      <w:pPr>
        <w:pStyle w:val="FootnoteText"/>
      </w:pPr>
      <w:r>
        <w:rPr>
          <w:rStyle w:val="FootnoteReference"/>
        </w:rPr>
        <w:footnoteRef/>
      </w:r>
      <w:r>
        <w:t xml:space="preserve"> </w:t>
      </w:r>
      <w:r>
        <w:tab/>
        <w:t xml:space="preserve">HRMMU issued two briefing notes on these events, both available at </w:t>
      </w:r>
      <w:hyperlink r:id="rId1" w:history="1">
        <w:r w:rsidRPr="00A64637">
          <w:rPr>
            <w:rStyle w:val="Hyperlink"/>
          </w:rPr>
          <w:t>http://www.un.org.ua/en/publications-and-reports</w:t>
        </w:r>
      </w:hyperlink>
      <w:r w:rsidRPr="00597DC6">
        <w:t>.</w:t>
      </w:r>
    </w:p>
  </w:footnote>
  <w:footnote w:id="15">
    <w:p w14:paraId="75FD36E8" w14:textId="40928765" w:rsidR="00815357" w:rsidRPr="005D23B7" w:rsidRDefault="00815357" w:rsidP="00502987">
      <w:pPr>
        <w:pStyle w:val="FootnoteText"/>
      </w:pPr>
      <w:r>
        <w:rPr>
          <w:rStyle w:val="FootnoteReference"/>
        </w:rPr>
        <w:footnoteRef/>
      </w:r>
      <w:r>
        <w:t xml:space="preserve"> </w:t>
      </w:r>
      <w:r>
        <w:tab/>
      </w:r>
      <w:r w:rsidRPr="005D23B7">
        <w:t>Often referred to as the Ukrainian Orthodox Church of Moscow Patriarchate to differentiate it from the Ukrainian Orthodox Church of Kyiv Patriarchate</w:t>
      </w:r>
      <w:r>
        <w:t>. A</w:t>
      </w:r>
      <w:r w:rsidRPr="005D23B7">
        <w:t>ccording to the official registration</w:t>
      </w:r>
      <w:r>
        <w:t>,</w:t>
      </w:r>
      <w:r w:rsidRPr="005D23B7">
        <w:t xml:space="preserve"> it is the Ukrainian Orthodox Church and will be referred to as such</w:t>
      </w:r>
      <w:r>
        <w:t xml:space="preserve"> throughout this report.</w:t>
      </w:r>
    </w:p>
  </w:footnote>
  <w:footnote w:id="16">
    <w:p w14:paraId="706A0F8D" w14:textId="110E9B3E" w:rsidR="00815357" w:rsidRPr="005D5465" w:rsidRDefault="00815357" w:rsidP="00502987">
      <w:pPr>
        <w:pStyle w:val="FootnoteText"/>
      </w:pPr>
      <w:r>
        <w:rPr>
          <w:rStyle w:val="FootnoteReference"/>
        </w:rPr>
        <w:footnoteRef/>
      </w:r>
      <w:r>
        <w:t xml:space="preserve"> </w:t>
      </w:r>
      <w:r>
        <w:tab/>
        <w:t>Made up of Ukrainian Orthodox Church of Kyiv Patriarchate, Ukrainian Autocephalous Orthodox Church and some elements of the Ukrainian Orthodox Church.</w:t>
      </w:r>
    </w:p>
  </w:footnote>
  <w:footnote w:id="17">
    <w:p w14:paraId="694606B1" w14:textId="070750E1" w:rsidR="00815357" w:rsidRPr="00DF2200" w:rsidRDefault="00815357" w:rsidP="00502987">
      <w:pPr>
        <w:pStyle w:val="FootnoteText"/>
      </w:pPr>
      <w:r>
        <w:rPr>
          <w:rStyle w:val="FootnoteReference"/>
        </w:rPr>
        <w:footnoteRef/>
      </w:r>
      <w:r>
        <w:t xml:space="preserve"> </w:t>
      </w:r>
      <w:r>
        <w:tab/>
        <w:t>With the exception of field visits to document civilian casualties and conflict-related damage to civilian property in territory controlled by ‘Donetsk people’s republic’ which resumed during the reporting period.</w:t>
      </w:r>
    </w:p>
  </w:footnote>
  <w:footnote w:id="18">
    <w:p w14:paraId="3377EFEE" w14:textId="7E5E185B" w:rsidR="00815357" w:rsidRPr="001527D7" w:rsidRDefault="00815357" w:rsidP="00502987">
      <w:pPr>
        <w:pStyle w:val="FootnoteText"/>
        <w:rPr>
          <w:lang w:val="en-US"/>
        </w:rPr>
      </w:pPr>
      <w:r>
        <w:rPr>
          <w:rStyle w:val="FootnoteReference"/>
        </w:rPr>
        <w:footnoteRef/>
      </w:r>
      <w:r>
        <w:t xml:space="preserve"> </w:t>
      </w:r>
      <w:r>
        <w:tab/>
      </w:r>
      <w:r>
        <w:rPr>
          <w:lang w:val="en-US"/>
        </w:rPr>
        <w:t xml:space="preserve">Estimated population of Donetsk and Luhansk regions on both sides of the contact line, </w:t>
      </w:r>
      <w:r w:rsidRPr="00D16888">
        <w:t>See Multi-Year Humanitarian Response Plan (HRP) 2019-2020.</w:t>
      </w:r>
    </w:p>
  </w:footnote>
  <w:footnote w:id="19">
    <w:p w14:paraId="7A54E98B" w14:textId="5723CF4C" w:rsidR="00815357" w:rsidRPr="00C16B77" w:rsidRDefault="00815357" w:rsidP="00502987">
      <w:pPr>
        <w:pStyle w:val="FootnoteText"/>
      </w:pPr>
      <w:r w:rsidRPr="00C16B77">
        <w:rPr>
          <w:rStyle w:val="FootnoteReference"/>
        </w:rPr>
        <w:footnoteRef/>
      </w:r>
      <w:r w:rsidRPr="00C16B77">
        <w:t xml:space="preserve"> </w:t>
      </w:r>
      <w:r w:rsidRPr="00C16B77">
        <w:tab/>
        <w:t xml:space="preserve">OHCHR, </w:t>
      </w:r>
      <w:r>
        <w:t>field visits</w:t>
      </w:r>
      <w:r w:rsidRPr="00C16B77">
        <w:t xml:space="preserve">, </w:t>
      </w:r>
      <w:r>
        <w:t>12 February and 4 April</w:t>
      </w:r>
      <w:r w:rsidRPr="00C16B77">
        <w:t xml:space="preserve"> 2019.</w:t>
      </w:r>
    </w:p>
  </w:footnote>
  <w:footnote w:id="20">
    <w:p w14:paraId="31944855" w14:textId="0EE89279" w:rsidR="00815357" w:rsidRPr="00C16B77" w:rsidRDefault="00815357" w:rsidP="00502987">
      <w:pPr>
        <w:pStyle w:val="FootnoteText"/>
      </w:pPr>
      <w:r w:rsidRPr="00C16B77">
        <w:rPr>
          <w:rStyle w:val="FootnoteReference"/>
        </w:rPr>
        <w:footnoteRef/>
      </w:r>
      <w:r w:rsidRPr="00C16B77">
        <w:t xml:space="preserve"> </w:t>
      </w:r>
      <w:r w:rsidRPr="00C16B77">
        <w:tab/>
        <w:t>OSCE SMM daily report, 20 March 2019.</w:t>
      </w:r>
    </w:p>
  </w:footnote>
  <w:footnote w:id="21">
    <w:p w14:paraId="2293FD0F" w14:textId="7C4AFBFA" w:rsidR="00815357" w:rsidRPr="00597DC6" w:rsidRDefault="00815357" w:rsidP="00502987">
      <w:pPr>
        <w:pStyle w:val="FootnoteText"/>
      </w:pPr>
      <w:r w:rsidRPr="001459BE">
        <w:rPr>
          <w:rStyle w:val="FootnoteReference"/>
        </w:rPr>
        <w:footnoteRef/>
      </w:r>
      <w:r w:rsidRPr="001459BE">
        <w:t xml:space="preserve"> </w:t>
      </w:r>
      <w:r w:rsidRPr="001459BE">
        <w:tab/>
        <w:t>Six men, three woman and a boy.</w:t>
      </w:r>
    </w:p>
  </w:footnote>
  <w:footnote w:id="22">
    <w:p w14:paraId="225FEF42" w14:textId="6BAC009A" w:rsidR="00815357" w:rsidRPr="00C16B77" w:rsidRDefault="00815357" w:rsidP="00502987">
      <w:pPr>
        <w:pStyle w:val="FootnoteText"/>
      </w:pPr>
      <w:r w:rsidRPr="00597DC6">
        <w:rPr>
          <w:rStyle w:val="FootnoteReference"/>
        </w:rPr>
        <w:footnoteRef/>
      </w:r>
      <w:r w:rsidRPr="00597DC6">
        <w:t xml:space="preserve"> </w:t>
      </w:r>
      <w:r w:rsidRPr="00597DC6">
        <w:tab/>
      </w:r>
      <w:r w:rsidRPr="001459BE">
        <w:t xml:space="preserve">Twenty-two men, </w:t>
      </w:r>
      <w:r>
        <w:t>10</w:t>
      </w:r>
      <w:r w:rsidRPr="001459BE">
        <w:t xml:space="preserve"> women, two boys and one girl.</w:t>
      </w:r>
    </w:p>
  </w:footnote>
  <w:footnote w:id="23">
    <w:p w14:paraId="556A8367" w14:textId="486ADE5B" w:rsidR="00815357" w:rsidRPr="00C16B77" w:rsidRDefault="00815357" w:rsidP="00502987">
      <w:pPr>
        <w:pStyle w:val="FootnoteText"/>
      </w:pPr>
      <w:r w:rsidRPr="00C16B77">
        <w:rPr>
          <w:rStyle w:val="FootnoteReference"/>
        </w:rPr>
        <w:footnoteRef/>
      </w:r>
      <w:r w:rsidRPr="00C16B77">
        <w:t xml:space="preserve"> </w:t>
      </w:r>
      <w:r w:rsidRPr="00C16B77">
        <w:tab/>
      </w:r>
      <w:r w:rsidRPr="00C16B77">
        <w:rPr>
          <w:rStyle w:val="EndnoteTextChar"/>
          <w:szCs w:val="18"/>
        </w:rPr>
        <w:t>Small arms and light weapons.</w:t>
      </w:r>
    </w:p>
  </w:footnote>
  <w:footnote w:id="24">
    <w:p w14:paraId="0ADA7B22" w14:textId="75914662" w:rsidR="00815357" w:rsidRPr="00C820CD" w:rsidRDefault="00815357" w:rsidP="00502987">
      <w:pPr>
        <w:pStyle w:val="FootnoteText"/>
      </w:pPr>
      <w:r>
        <w:rPr>
          <w:rStyle w:val="FootnoteReference"/>
        </w:rPr>
        <w:footnoteRef/>
      </w:r>
      <w:r>
        <w:t xml:space="preserve"> </w:t>
      </w:r>
      <w:r>
        <w:tab/>
      </w:r>
      <w:r w:rsidRPr="00E32EDA">
        <w:t>Incidents in which civilians were killed or injured by mines (antipersonnel or anti-vehicle) or explosive devices triggered in the same way, such as booby traps, or by ERW (explosive remnants of war) that are inadvertently detonated by unsuspecting civilians.</w:t>
      </w:r>
    </w:p>
  </w:footnote>
  <w:footnote w:id="25">
    <w:p w14:paraId="275943EB" w14:textId="77777777" w:rsidR="00815357" w:rsidRPr="00C820CD" w:rsidRDefault="00815357" w:rsidP="00031C8C">
      <w:pPr>
        <w:pStyle w:val="FootnoteText"/>
      </w:pPr>
      <w:r>
        <w:rPr>
          <w:rStyle w:val="FootnoteReference"/>
        </w:rPr>
        <w:footnoteRef/>
      </w:r>
      <w:r>
        <w:t xml:space="preserve"> </w:t>
      </w:r>
      <w:r>
        <w:tab/>
      </w:r>
      <w:r w:rsidRPr="0084616B">
        <w:t>Victims of ERW handling manipulate with an ERW for a certain period of time and take additional efforts to make it detonate (for instance, by trying to dismantle it), or were near those, who manipulated an ERW.</w:t>
      </w:r>
    </w:p>
  </w:footnote>
  <w:footnote w:id="26">
    <w:p w14:paraId="4C32ED16" w14:textId="77777777" w:rsidR="00815357" w:rsidRPr="00F7494C" w:rsidRDefault="00815357" w:rsidP="003A008C">
      <w:pPr>
        <w:pStyle w:val="FootnoteText"/>
      </w:pPr>
      <w:r>
        <w:rPr>
          <w:rStyle w:val="FootnoteReference"/>
        </w:rPr>
        <w:footnoteRef/>
      </w:r>
      <w:r>
        <w:t xml:space="preserve"> </w:t>
      </w:r>
      <w:r>
        <w:tab/>
        <w:t xml:space="preserve">All cases are represented in courts by national NGO Right to Protection. </w:t>
      </w:r>
    </w:p>
  </w:footnote>
  <w:footnote w:id="27">
    <w:p w14:paraId="58BE3C35" w14:textId="276A186F" w:rsidR="00815357" w:rsidRPr="009A7EBF" w:rsidRDefault="00815357" w:rsidP="003A008C">
      <w:pPr>
        <w:pStyle w:val="FootnoteText"/>
        <w:rPr>
          <w:lang w:val="en-US"/>
        </w:rPr>
      </w:pPr>
      <w:r>
        <w:rPr>
          <w:rStyle w:val="FootnoteReference"/>
        </w:rPr>
        <w:footnoteRef/>
      </w:r>
      <w:r>
        <w:tab/>
      </w:r>
      <w:r>
        <w:rPr>
          <w:lang w:val="en-US"/>
        </w:rPr>
        <w:t>Judicial proceeding No. 265/6582/16.</w:t>
      </w:r>
    </w:p>
  </w:footnote>
  <w:footnote w:id="28">
    <w:p w14:paraId="4F582F3E" w14:textId="77777777" w:rsidR="00815357" w:rsidRPr="005836D6" w:rsidRDefault="00815357" w:rsidP="005C288F">
      <w:pPr>
        <w:pStyle w:val="FootnoteText"/>
      </w:pPr>
      <w:r>
        <w:rPr>
          <w:rStyle w:val="FootnoteReference"/>
        </w:rPr>
        <w:footnoteRef/>
      </w:r>
      <w:r>
        <w:t xml:space="preserve"> </w:t>
      </w:r>
      <w:r>
        <w:tab/>
      </w:r>
      <w:r w:rsidRPr="00C16B77">
        <w:t>ICRC</w:t>
      </w:r>
      <w:r>
        <w:t>,</w:t>
      </w:r>
      <w:r w:rsidRPr="00C16B77">
        <w:t xml:space="preserve"> Customary International Humanitarian Law </w:t>
      </w:r>
      <w:r>
        <w:t>Database, Rule 52</w:t>
      </w:r>
      <w:r w:rsidRPr="00C16B77">
        <w:t>. This rule is applicable to both international armed conflicts and non-international armed conflicts</w:t>
      </w:r>
      <w:r>
        <w:t>.</w:t>
      </w:r>
    </w:p>
  </w:footnote>
  <w:footnote w:id="29">
    <w:p w14:paraId="02D4CE79" w14:textId="330F193D" w:rsidR="00815357" w:rsidRPr="0035049B" w:rsidRDefault="00815357" w:rsidP="00502987">
      <w:pPr>
        <w:pStyle w:val="FootnoteText"/>
      </w:pPr>
      <w:r>
        <w:rPr>
          <w:rStyle w:val="FootnoteReference"/>
        </w:rPr>
        <w:footnoteRef/>
      </w:r>
      <w:r>
        <w:t xml:space="preserve"> </w:t>
      </w:r>
      <w:r>
        <w:tab/>
      </w:r>
      <w:r w:rsidRPr="00513802">
        <w:t xml:space="preserve">Ministry of Defence Order No. 380 </w:t>
      </w:r>
      <w:r>
        <w:t xml:space="preserve">adopted in July 2018, </w:t>
      </w:r>
      <w:r w:rsidRPr="00513802">
        <w:t>requires military units to sign an official lease agreement with the owner for the use of civilian homes</w:t>
      </w:r>
      <w:r>
        <w:t>,</w:t>
      </w:r>
      <w:r w:rsidRPr="0035049B">
        <w:rPr>
          <w:rStyle w:val="EndnoteTextChar"/>
          <w:szCs w:val="18"/>
        </w:rPr>
        <w:t xml:space="preserve"> </w:t>
      </w:r>
      <w:r w:rsidRPr="00C16B77">
        <w:rPr>
          <w:rStyle w:val="EndnoteTextChar"/>
          <w:szCs w:val="18"/>
        </w:rPr>
        <w:t xml:space="preserve">available at </w:t>
      </w:r>
      <w:hyperlink r:id="rId2" w:history="1">
        <w:r w:rsidRPr="00C16B77">
          <w:rPr>
            <w:rStyle w:val="EndnoteTextChar"/>
            <w:szCs w:val="18"/>
          </w:rPr>
          <w:t>https://zakon.rada.gov.ua/laws/show/z1020-18</w:t>
        </w:r>
      </w:hyperlink>
      <w:r>
        <w:t>.</w:t>
      </w:r>
    </w:p>
  </w:footnote>
  <w:footnote w:id="30">
    <w:p w14:paraId="03927100" w14:textId="1672D6AE" w:rsidR="00815357" w:rsidRDefault="00815357" w:rsidP="00502987">
      <w:pPr>
        <w:pStyle w:val="FootnoteText"/>
      </w:pPr>
      <w:r>
        <w:rPr>
          <w:rStyle w:val="FootnoteReference"/>
        </w:rPr>
        <w:footnoteRef/>
      </w:r>
      <w:r>
        <w:t xml:space="preserve"> </w:t>
      </w:r>
      <w:r>
        <w:tab/>
        <w:t>Supreme Court decision of 22 October 2018 with a reference to the Namibian exception,</w:t>
      </w:r>
      <w:r w:rsidRPr="00635470">
        <w:rPr>
          <w:sz w:val="20"/>
        </w:rPr>
        <w:t xml:space="preserve"> </w:t>
      </w:r>
      <w:r>
        <w:t>recognised</w:t>
      </w:r>
      <w:r w:rsidRPr="00597DC6">
        <w:t xml:space="preserve"> </w:t>
      </w:r>
      <w:r>
        <w:t xml:space="preserve">the </w:t>
      </w:r>
      <w:r w:rsidRPr="00597DC6">
        <w:t xml:space="preserve">document issued in </w:t>
      </w:r>
      <w:r>
        <w:t xml:space="preserve">armed group-controlled </w:t>
      </w:r>
      <w:r w:rsidRPr="00597DC6">
        <w:t>territory to count</w:t>
      </w:r>
      <w:r>
        <w:t xml:space="preserve"> towards </w:t>
      </w:r>
      <w:r w:rsidRPr="00597DC6">
        <w:t>the time a person had contributed to the pension fund and, hence, afford the gained pension</w:t>
      </w:r>
      <w:r>
        <w:rPr>
          <w:sz w:val="20"/>
        </w:rPr>
        <w:t>,</w:t>
      </w:r>
      <w:r>
        <w:t xml:space="preserve"> available at </w:t>
      </w:r>
      <w:hyperlink r:id="rId3" w:history="1">
        <w:r>
          <w:rPr>
            <w:rStyle w:val="Hyperlink"/>
          </w:rPr>
          <w:t>http://reyestr.court.gov.ua/Review/77310529</w:t>
        </w:r>
      </w:hyperlink>
      <w:r>
        <w:rPr>
          <w:rStyle w:val="Hyperlink"/>
        </w:rPr>
        <w:t>.</w:t>
      </w:r>
    </w:p>
  </w:footnote>
  <w:footnote w:id="31">
    <w:p w14:paraId="1379ECBA" w14:textId="542D94C1" w:rsidR="00815357" w:rsidRPr="006F3E2A" w:rsidRDefault="00815357" w:rsidP="00502987">
      <w:pPr>
        <w:pStyle w:val="FootnoteText"/>
      </w:pPr>
      <w:r w:rsidRPr="00C16B77">
        <w:rPr>
          <w:rStyle w:val="FootnoteReference"/>
        </w:rPr>
        <w:footnoteRef/>
      </w:r>
      <w:r>
        <w:tab/>
      </w:r>
      <w:r w:rsidRPr="00C16B77">
        <w:t xml:space="preserve">See OHCHR Report on the human </w:t>
      </w:r>
      <w:r w:rsidRPr="006F3E2A">
        <w:t>rights situation in Ukraine, 16 August to 15 November 2018, para. 37</w:t>
      </w:r>
      <w:r>
        <w:t>.</w:t>
      </w:r>
    </w:p>
  </w:footnote>
  <w:footnote w:id="32">
    <w:p w14:paraId="6966FBE8" w14:textId="77777777" w:rsidR="00815357" w:rsidRPr="00781CB8" w:rsidRDefault="00815357" w:rsidP="00502987">
      <w:pPr>
        <w:pStyle w:val="FootnoteText"/>
        <w:rPr>
          <w:rFonts w:eastAsiaTheme="minorHAnsi"/>
          <w:bCs/>
          <w:color w:val="00FFFF"/>
        </w:rPr>
      </w:pPr>
      <w:r w:rsidRPr="006F3E2A">
        <w:rPr>
          <w:rStyle w:val="FootnoteReference"/>
        </w:rPr>
        <w:footnoteRef/>
      </w:r>
      <w:r w:rsidRPr="006F3E2A">
        <w:t xml:space="preserve"> </w:t>
      </w:r>
      <w:r>
        <w:tab/>
      </w:r>
      <w:r w:rsidRPr="006F3E2A">
        <w:rPr>
          <w:rStyle w:val="Hyperlink"/>
        </w:rPr>
        <w:t>United</w:t>
      </w:r>
      <w:r w:rsidRPr="006F3E2A">
        <w:rPr>
          <w:lang w:val="en-US"/>
        </w:rPr>
        <w:t xml:space="preserve"> Nations Briefing Note on </w:t>
      </w:r>
      <w:r w:rsidRPr="00597DC6">
        <w:rPr>
          <w:rFonts w:eastAsiaTheme="minorHAnsi"/>
        </w:rPr>
        <w:t>Pensions for IDPs and persons living in the areas not controlled by the Government in the east of Ukraine</w:t>
      </w:r>
      <w:r>
        <w:rPr>
          <w:rFonts w:eastAsiaTheme="minorHAnsi"/>
        </w:rPr>
        <w:t>,</w:t>
      </w:r>
      <w:r w:rsidRPr="006F3E2A">
        <w:rPr>
          <w:lang w:val="en-US"/>
        </w:rPr>
        <w:t xml:space="preserve"> available </w:t>
      </w:r>
      <w:r w:rsidRPr="00781CB8">
        <w:rPr>
          <w:lang w:val="en-US"/>
        </w:rPr>
        <w:t xml:space="preserve">at </w:t>
      </w:r>
      <w:r w:rsidRPr="00066498">
        <w:t>https://www.humanitarianresponse.info/en/operations/ukraine/document/briefing-note-pensions-united-nations-ukraine-february-2019</w:t>
      </w:r>
      <w:r>
        <w:t>.</w:t>
      </w:r>
    </w:p>
  </w:footnote>
  <w:footnote w:id="33">
    <w:p w14:paraId="477B5FD4" w14:textId="67EA61E5" w:rsidR="00815357" w:rsidRPr="00C16B77" w:rsidRDefault="00815357" w:rsidP="00502987">
      <w:pPr>
        <w:pStyle w:val="FootnoteText"/>
      </w:pPr>
      <w:r w:rsidRPr="00C16B77">
        <w:rPr>
          <w:rStyle w:val="FootnoteReference"/>
        </w:rPr>
        <w:footnoteRef/>
      </w:r>
      <w:r w:rsidRPr="00C16B77">
        <w:t xml:space="preserve"> </w:t>
      </w:r>
      <w:r w:rsidRPr="00C16B77">
        <w:tab/>
        <w:t>Resolutions No</w:t>
      </w:r>
      <w:r>
        <w:t>s.</w:t>
      </w:r>
      <w:r w:rsidRPr="00C16B77">
        <w:t xml:space="preserve"> 365, 637</w:t>
      </w:r>
      <w:r>
        <w:t xml:space="preserve"> and</w:t>
      </w:r>
      <w:r w:rsidRPr="00C16B77">
        <w:t xml:space="preserve"> 649</w:t>
      </w:r>
      <w:r>
        <w:t>.</w:t>
      </w:r>
      <w:r w:rsidRPr="00C16B77">
        <w:t xml:space="preserve"> </w:t>
      </w:r>
    </w:p>
  </w:footnote>
  <w:footnote w:id="34">
    <w:p w14:paraId="5182A42C" w14:textId="77777777" w:rsidR="00815357" w:rsidRPr="00C16B77" w:rsidRDefault="00815357" w:rsidP="00502987">
      <w:pPr>
        <w:pStyle w:val="FootnoteText"/>
      </w:pPr>
      <w:r w:rsidRPr="00C16B77">
        <w:rPr>
          <w:rStyle w:val="FootnoteReference"/>
        </w:rPr>
        <w:footnoteRef/>
      </w:r>
      <w:r w:rsidRPr="00C16B77">
        <w:t xml:space="preserve"> </w:t>
      </w:r>
      <w:r w:rsidRPr="00C16B77">
        <w:tab/>
        <w:t>For instance, the procedure of informing an IDP about the suspension of his or her pension and the grounds for this decision.</w:t>
      </w:r>
    </w:p>
  </w:footnote>
  <w:footnote w:id="35">
    <w:p w14:paraId="2AD2AA68" w14:textId="4B6173FC" w:rsidR="00815357" w:rsidRPr="00283CC3" w:rsidRDefault="00815357" w:rsidP="00502987">
      <w:pPr>
        <w:pStyle w:val="FootnoteText"/>
      </w:pPr>
      <w:r>
        <w:rPr>
          <w:rStyle w:val="FootnoteReference"/>
        </w:rPr>
        <w:footnoteRef/>
      </w:r>
      <w:r>
        <w:t xml:space="preserve"> </w:t>
      </w:r>
      <w:r>
        <w:tab/>
        <w:t>Executive Order of the President of the Russian Federation No. 183, dated 24 April 2019.</w:t>
      </w:r>
    </w:p>
  </w:footnote>
  <w:footnote w:id="36">
    <w:p w14:paraId="3264B109" w14:textId="0C52E6C3" w:rsidR="00815357" w:rsidRPr="00597DC6" w:rsidRDefault="00815357" w:rsidP="00502987">
      <w:pPr>
        <w:pStyle w:val="FootnoteText"/>
      </w:pPr>
      <w:r w:rsidRPr="00597DC6">
        <w:rPr>
          <w:rStyle w:val="FootnoteReference"/>
        </w:rPr>
        <w:footnoteRef/>
      </w:r>
      <w:r w:rsidRPr="00597DC6">
        <w:t xml:space="preserve"> </w:t>
      </w:r>
      <w:r>
        <w:rPr>
          <w:sz w:val="16"/>
          <w:szCs w:val="16"/>
        </w:rPr>
        <w:tab/>
      </w:r>
      <w:r w:rsidRPr="00597DC6">
        <w:t>According to the Resolution of the Cabinet of Ministers</w:t>
      </w:r>
      <w:r>
        <w:t xml:space="preserve"> No. 362-p of 8 May 2019,</w:t>
      </w:r>
      <w:r w:rsidRPr="00597DC6">
        <w:t xml:space="preserve"> </w:t>
      </w:r>
      <w:r>
        <w:t xml:space="preserve">as of 31 May 2019 </w:t>
      </w:r>
      <w:r w:rsidRPr="00597DC6">
        <w:t>passports issued in Novoshahtynsk and Po</w:t>
      </w:r>
      <w:r>
        <w:t>kr</w:t>
      </w:r>
      <w:r w:rsidRPr="00597DC6">
        <w:t>ovske</w:t>
      </w:r>
      <w:r>
        <w:t xml:space="preserve"> (Rostov region of the Russian Federation)</w:t>
      </w:r>
      <w:r w:rsidRPr="00597DC6">
        <w:t xml:space="preserve"> after 2</w:t>
      </w:r>
      <w:r>
        <w:t>9 and 30</w:t>
      </w:r>
      <w:r w:rsidRPr="00597DC6">
        <w:t xml:space="preserve"> April 2019</w:t>
      </w:r>
      <w:r>
        <w:t xml:space="preserve"> respectively</w:t>
      </w:r>
      <w:r w:rsidRPr="00597DC6">
        <w:t xml:space="preserve"> will not be </w:t>
      </w:r>
      <w:r>
        <w:t>recognised</w:t>
      </w:r>
      <w:r w:rsidRPr="00597DC6">
        <w:t xml:space="preserve"> as valid documents and cannot be used in the territory of Ukraine.</w:t>
      </w:r>
    </w:p>
  </w:footnote>
  <w:footnote w:id="37">
    <w:p w14:paraId="2AAC8A8C" w14:textId="737EBF69" w:rsidR="00815357" w:rsidRPr="00C16B77" w:rsidRDefault="00815357" w:rsidP="00502987">
      <w:pPr>
        <w:pStyle w:val="FootnoteText"/>
      </w:pPr>
      <w:r w:rsidRPr="001B4F63">
        <w:rPr>
          <w:rStyle w:val="FootnoteReference"/>
        </w:rPr>
        <w:footnoteRef/>
      </w:r>
      <w:r w:rsidRPr="001B4F63">
        <w:t xml:space="preserve"> </w:t>
      </w:r>
      <w:r w:rsidRPr="001B4F63">
        <w:tab/>
        <w:t>At least three civilian deaths (60-year-old and 66-year-old men and an 86-year-old woman) were recorded at EECP Stanytsia Luhanska (two on Government-controlled territory and one in armed group-controlled territory); at least two men died (81 year-old, the age of the second man is unknown) at EECP Maiorske (reportedly, while crossing from the armed group-controlled territory to Government-</w:t>
      </w:r>
      <w:r w:rsidRPr="001E099D">
        <w:t>controlled territory</w:t>
      </w:r>
      <w:r w:rsidRPr="007C098F">
        <w:t xml:space="preserve">). </w:t>
      </w:r>
      <w:r w:rsidRPr="001B4F63">
        <w:t>Two deaths occurred on the Government-controlled territory of EECP Novotroitske (64-year-old and 83-year-old m</w:t>
      </w:r>
      <w:r w:rsidRPr="001E099D">
        <w:t>e</w:t>
      </w:r>
      <w:r w:rsidRPr="007C098F">
        <w:t xml:space="preserve">n). </w:t>
      </w:r>
      <w:r w:rsidRPr="001B4F63">
        <w:t>Another 65-year-old man died at EECP Marinka (Government-controlled territory), and another in unknown circumstances.</w:t>
      </w:r>
    </w:p>
  </w:footnote>
  <w:footnote w:id="38">
    <w:p w14:paraId="7C3B90C8" w14:textId="00127496" w:rsidR="00815357" w:rsidRPr="00C16B77" w:rsidRDefault="00815357" w:rsidP="00502987">
      <w:pPr>
        <w:pStyle w:val="FootnoteText"/>
      </w:pPr>
      <w:r w:rsidRPr="00C16B77">
        <w:rPr>
          <w:rStyle w:val="FootnoteReference"/>
        </w:rPr>
        <w:footnoteRef/>
      </w:r>
      <w:r w:rsidRPr="00C16B77">
        <w:t xml:space="preserve"> </w:t>
      </w:r>
      <w:r w:rsidRPr="00C16B77">
        <w:tab/>
        <w:t xml:space="preserve">The information is available at </w:t>
      </w:r>
      <w:hyperlink r:id="rId4" w:history="1">
        <w:r w:rsidRPr="00C16B77">
          <w:rPr>
            <w:rStyle w:val="Hyperlink"/>
          </w:rPr>
          <w:t>https://urp.ssu.gov.ua/</w:t>
        </w:r>
      </w:hyperlink>
      <w:r>
        <w:rPr>
          <w:rStyle w:val="Hyperlink"/>
        </w:rPr>
        <w:t>.</w:t>
      </w:r>
    </w:p>
  </w:footnote>
  <w:footnote w:id="39">
    <w:p w14:paraId="208AED11" w14:textId="2A49CF5C" w:rsidR="00815357" w:rsidRPr="00594C2E" w:rsidRDefault="00815357" w:rsidP="00502987">
      <w:pPr>
        <w:pStyle w:val="FootnoteText"/>
      </w:pPr>
      <w:r>
        <w:rPr>
          <w:rStyle w:val="FootnoteReference"/>
        </w:rPr>
        <w:footnoteRef/>
      </w:r>
      <w:r>
        <w:t xml:space="preserve"> </w:t>
      </w:r>
      <w:r>
        <w:tab/>
        <w:t>Crossing permits valid for one crossing will be valid for 20 days.</w:t>
      </w:r>
    </w:p>
  </w:footnote>
  <w:footnote w:id="40">
    <w:p w14:paraId="1ED8A2AE" w14:textId="6B73127F" w:rsidR="00815357" w:rsidRPr="00C16B77" w:rsidRDefault="00815357" w:rsidP="00502987">
      <w:pPr>
        <w:pStyle w:val="FootnoteText"/>
      </w:pPr>
      <w:r w:rsidRPr="00C16B77">
        <w:rPr>
          <w:rStyle w:val="FootnoteReference"/>
        </w:rPr>
        <w:footnoteRef/>
      </w:r>
      <w:r w:rsidRPr="00C16B77">
        <w:t xml:space="preserve"> </w:t>
      </w:r>
      <w:r w:rsidRPr="00C16B77">
        <w:tab/>
        <w:t>The provision for termless electronic passes was introduced in April 2017, following advocacy on the implementation of such amendments by OHCHR with other organisations. See OHCHR Report on the human rights situation in Ukraine, 16 May – 15 August 2017, para 94. Also see OHCHR Report on the human rights situation in Ukraine, 16 February – 15 May 2017, para</w:t>
      </w:r>
      <w:r>
        <w:t>.</w:t>
      </w:r>
      <w:r w:rsidRPr="00C16B77">
        <w:t xml:space="preserve"> 100.</w:t>
      </w:r>
      <w:r>
        <w:t xml:space="preserve"> </w:t>
      </w:r>
    </w:p>
  </w:footnote>
  <w:footnote w:id="41">
    <w:p w14:paraId="2542C3FE" w14:textId="77777777" w:rsidR="00815357" w:rsidRDefault="00815357" w:rsidP="00502987">
      <w:pPr>
        <w:pStyle w:val="FootnoteText"/>
      </w:pPr>
      <w:r w:rsidRPr="00C16B77">
        <w:rPr>
          <w:rStyle w:val="FootnoteReference"/>
        </w:rPr>
        <w:footnoteRef/>
      </w:r>
      <w:r w:rsidRPr="00C16B77">
        <w:t xml:space="preserve"> </w:t>
      </w:r>
      <w:r w:rsidRPr="00C16B77">
        <w:tab/>
        <w:t>The decision is available at</w:t>
      </w:r>
    </w:p>
    <w:p w14:paraId="11F67AFF" w14:textId="12B36C91" w:rsidR="00815357" w:rsidRPr="00C16B77" w:rsidRDefault="00815357" w:rsidP="00502987">
      <w:pPr>
        <w:pStyle w:val="FootnoteText"/>
      </w:pPr>
      <w:r>
        <w:tab/>
      </w:r>
      <w:hyperlink r:id="rId5" w:history="1">
        <w:r w:rsidRPr="00C16B77">
          <w:rPr>
            <w:rStyle w:val="Hyperlink"/>
          </w:rPr>
          <w:t>http://reyestr.court.gov.ua/Review/80383536?fbclid=IwAR3zQnLsEnGBXfEZ6hKDlnY4WM4dDy_feU8ZSTsKqhxSic48au8WPbLngVY</w:t>
        </w:r>
      </w:hyperlink>
      <w:r>
        <w:rPr>
          <w:rStyle w:val="Hyperlink"/>
        </w:rPr>
        <w:t>.</w:t>
      </w:r>
    </w:p>
  </w:footnote>
  <w:footnote w:id="42">
    <w:p w14:paraId="7E263011" w14:textId="0FC6C3F9" w:rsidR="00815357" w:rsidRPr="00197003" w:rsidRDefault="00815357" w:rsidP="00502987">
      <w:pPr>
        <w:pStyle w:val="FootnoteText"/>
      </w:pPr>
      <w:r>
        <w:rPr>
          <w:rStyle w:val="FootnoteReference"/>
        </w:rPr>
        <w:footnoteRef/>
      </w:r>
      <w:r>
        <w:t xml:space="preserve"> </w:t>
      </w:r>
      <w:r>
        <w:tab/>
        <w:t xml:space="preserve">This number includes violations of the right to decent detention conditions and humane treatment documented by OHCHR while interviewing pre-conflict prisoners transferred on 7 February and 20 March 2019 from detention facilities in the territory controlled by ‘Luhansk people’s republic’ to Government-controlled territory. </w:t>
      </w:r>
    </w:p>
  </w:footnote>
  <w:footnote w:id="43">
    <w:p w14:paraId="3DFC8764" w14:textId="0858A090" w:rsidR="00815357" w:rsidRPr="00597DC6" w:rsidRDefault="00815357" w:rsidP="00502987">
      <w:pPr>
        <w:pStyle w:val="FootnoteText"/>
        <w:rPr>
          <w:lang w:val="en-US"/>
        </w:rPr>
      </w:pPr>
      <w:r>
        <w:rPr>
          <w:rStyle w:val="FootnoteReference"/>
        </w:rPr>
        <w:footnoteRef/>
      </w:r>
      <w:r>
        <w:t xml:space="preserve"> </w:t>
      </w:r>
      <w:r>
        <w:tab/>
        <w:t xml:space="preserve">The majority of these abuses were documented by OHCHR via interviews with pre-conflict prisoners transferred to Government-controlled territory and related to detention conditions in detention facilities in territory controlled by ‘Luhansk people’s republic’. </w:t>
      </w:r>
      <w:r w:rsidRPr="00FD6108">
        <w:t xml:space="preserve">Having no current access to detention facilities, OHCHR was able to verify information provided by transferred prisoners only through corroborating this information </w:t>
      </w:r>
      <w:r>
        <w:t>through interviews with</w:t>
      </w:r>
      <w:r w:rsidRPr="00FD6108">
        <w:t xml:space="preserve"> other prisoners held in the same facilities.</w:t>
      </w:r>
    </w:p>
  </w:footnote>
  <w:footnote w:id="44">
    <w:p w14:paraId="647CF851" w14:textId="51BA218D" w:rsidR="00815357" w:rsidRPr="008E43FA" w:rsidRDefault="00815357" w:rsidP="00502987">
      <w:pPr>
        <w:pStyle w:val="FootnoteText"/>
      </w:pPr>
      <w:r>
        <w:rPr>
          <w:rStyle w:val="FootnoteReference"/>
        </w:rPr>
        <w:footnoteRef/>
      </w:r>
      <w:r>
        <w:t xml:space="preserve"> </w:t>
      </w:r>
      <w:r>
        <w:tab/>
        <w:t>OHCHR interview, 23 April 2019.</w:t>
      </w:r>
    </w:p>
  </w:footnote>
  <w:footnote w:id="45">
    <w:p w14:paraId="5D666FD9" w14:textId="387E644F" w:rsidR="00815357" w:rsidRPr="00C16B77" w:rsidRDefault="00815357" w:rsidP="00502987">
      <w:pPr>
        <w:pStyle w:val="FootnoteText"/>
      </w:pPr>
      <w:r w:rsidRPr="00C16B77">
        <w:rPr>
          <w:rStyle w:val="FootnoteReference"/>
        </w:rPr>
        <w:footnoteRef/>
      </w:r>
      <w:r w:rsidRPr="00C16B77">
        <w:t xml:space="preserve"> </w:t>
      </w:r>
      <w:r w:rsidRPr="00C16B77">
        <w:tab/>
      </w:r>
      <w:r>
        <w:t xml:space="preserve">See also </w:t>
      </w:r>
      <w:r w:rsidRPr="00C16B77">
        <w:t xml:space="preserve">OHCHR report, 16 November 2018 to 15 February 2019, para. 49. </w:t>
      </w:r>
    </w:p>
  </w:footnote>
  <w:footnote w:id="46">
    <w:p w14:paraId="60BB5CF1" w14:textId="2DB84B69" w:rsidR="00815357" w:rsidRPr="00597DC6" w:rsidRDefault="00815357" w:rsidP="00502987">
      <w:pPr>
        <w:pStyle w:val="FootnoteText"/>
        <w:rPr>
          <w:lang w:val="en-US"/>
        </w:rPr>
      </w:pPr>
      <w:r>
        <w:rPr>
          <w:rStyle w:val="FootnoteReference"/>
        </w:rPr>
        <w:footnoteRef/>
      </w:r>
      <w:r>
        <w:t xml:space="preserve"> </w:t>
      </w:r>
      <w:r>
        <w:tab/>
        <w:t xml:space="preserve">According to SBU letter No. 01-3664 dated 28 March 2019, the investigation is still ongoing. </w:t>
      </w:r>
    </w:p>
  </w:footnote>
  <w:footnote w:id="47">
    <w:p w14:paraId="6AFDFEFC" w14:textId="300A6822" w:rsidR="00815357" w:rsidRPr="00C16B77" w:rsidRDefault="00815357" w:rsidP="00502987">
      <w:pPr>
        <w:pStyle w:val="FootnoteText"/>
      </w:pPr>
      <w:r w:rsidRPr="00C16B77">
        <w:rPr>
          <w:rStyle w:val="FootnoteReference"/>
        </w:rPr>
        <w:footnoteRef/>
      </w:r>
      <w:r w:rsidRPr="00C16B77">
        <w:t xml:space="preserve"> </w:t>
      </w:r>
      <w:r w:rsidRPr="00C16B77">
        <w:tab/>
        <w:t xml:space="preserve">According to SBU letter No. 34/MK-61 dated 29 April 2019, </w:t>
      </w:r>
      <w:r>
        <w:rPr>
          <w:rStyle w:val="tlid-translation"/>
        </w:rPr>
        <w:t>on 15 March 2019, the victim</w:t>
      </w:r>
      <w:r w:rsidRPr="00C16B77">
        <w:rPr>
          <w:rStyle w:val="tlid-translation"/>
        </w:rPr>
        <w:t xml:space="preserve"> </w:t>
      </w:r>
      <w:r>
        <w:rPr>
          <w:rStyle w:val="tlid-translation"/>
        </w:rPr>
        <w:t>voluntarily left</w:t>
      </w:r>
      <w:r w:rsidRPr="00C16B77">
        <w:rPr>
          <w:rStyle w:val="tlid-translation"/>
        </w:rPr>
        <w:t xml:space="preserve"> the territory of Ukraine. </w:t>
      </w:r>
      <w:r>
        <w:rPr>
          <w:rStyle w:val="tlid-translation"/>
        </w:rPr>
        <w:t>T</w:t>
      </w:r>
      <w:r w:rsidRPr="00C16B77">
        <w:rPr>
          <w:rStyle w:val="tlid-translation"/>
        </w:rPr>
        <w:t xml:space="preserve">he SBU </w:t>
      </w:r>
      <w:r>
        <w:rPr>
          <w:rStyle w:val="tlid-translation"/>
        </w:rPr>
        <w:t xml:space="preserve">also </w:t>
      </w:r>
      <w:r w:rsidRPr="00C16B77">
        <w:rPr>
          <w:rStyle w:val="tlid-translation"/>
        </w:rPr>
        <w:t xml:space="preserve">issued a decree </w:t>
      </w:r>
      <w:r>
        <w:rPr>
          <w:rStyle w:val="tlid-translation"/>
        </w:rPr>
        <w:t xml:space="preserve">prohibiting </w:t>
      </w:r>
      <w:r w:rsidRPr="00C16B77">
        <w:rPr>
          <w:rStyle w:val="tlid-translation"/>
        </w:rPr>
        <w:t>his entry to Ukraine for three years.</w:t>
      </w:r>
    </w:p>
  </w:footnote>
  <w:footnote w:id="48">
    <w:p w14:paraId="638D96F2" w14:textId="77777777" w:rsidR="00815357" w:rsidRPr="0029627B" w:rsidRDefault="00815357" w:rsidP="00502987">
      <w:pPr>
        <w:pStyle w:val="FootnoteText"/>
      </w:pPr>
      <w:r w:rsidRPr="0029627B">
        <w:rPr>
          <w:rStyle w:val="FootnoteReference"/>
        </w:rPr>
        <w:footnoteRef/>
      </w:r>
      <w:r w:rsidRPr="0029627B">
        <w:t xml:space="preserve"> ‘</w:t>
      </w:r>
      <w:r w:rsidRPr="0029627B">
        <w:rPr>
          <w:rStyle w:val="highlight"/>
        </w:rPr>
        <w:t>Administrative</w:t>
      </w:r>
      <w:r w:rsidRPr="0029627B">
        <w:t xml:space="preserve"> arrest’ was introduced on 8 August 2014 in territory controlled by ‘Donetsk people’s republic’. During </w:t>
      </w:r>
      <w:r>
        <w:t xml:space="preserve">30-day period, </w:t>
      </w:r>
      <w:r w:rsidRPr="0029627B">
        <w:rPr>
          <w:color w:val="000000"/>
        </w:rPr>
        <w:t xml:space="preserve">individuals are held </w:t>
      </w:r>
      <w:r w:rsidRPr="0029627B">
        <w:rPr>
          <w:i/>
          <w:color w:val="000000"/>
        </w:rPr>
        <w:t xml:space="preserve">incommunicado. </w:t>
      </w:r>
      <w:r w:rsidRPr="0029627B">
        <w:t>After the initial 30</w:t>
      </w:r>
      <w:r>
        <w:t xml:space="preserve"> </w:t>
      </w:r>
      <w:r w:rsidRPr="0029627B">
        <w:t>day</w:t>
      </w:r>
      <w:r>
        <w:t>s</w:t>
      </w:r>
      <w:r w:rsidRPr="0029627B">
        <w:t xml:space="preserve"> expire, the ‘prosecutor’ would often issue an ‘order’ with new ‘grounds’ for ‘administrative arrest’ and detention. See also OHCHR Report 16 November 2017 to 15 February 2018, para. 33.</w:t>
      </w:r>
    </w:p>
  </w:footnote>
  <w:footnote w:id="49">
    <w:p w14:paraId="24686B25" w14:textId="77777777" w:rsidR="00815357" w:rsidRPr="00C16B77" w:rsidRDefault="00815357" w:rsidP="00502987">
      <w:pPr>
        <w:pStyle w:val="FootnoteText"/>
      </w:pPr>
      <w:r w:rsidRPr="00C16B77">
        <w:rPr>
          <w:rStyle w:val="FootnoteReference"/>
        </w:rPr>
        <w:footnoteRef/>
      </w:r>
      <w:r w:rsidRPr="00C16B77">
        <w:tab/>
        <w:t>‘</w:t>
      </w:r>
      <w:r w:rsidRPr="00C16B77">
        <w:rPr>
          <w:rStyle w:val="highlight"/>
        </w:rPr>
        <w:t>Preventive</w:t>
      </w:r>
      <w:r w:rsidRPr="00C16B77">
        <w:t xml:space="preserve"> arrest’ was introduced on 2 February 2018 in territory controlled by ‘Luhansk people’s republic’. It may be applied for up to 30 days, with the possibility to extend to 60 days, based on allegations that a person may have been involved in crimes against the security of the ‘republic’. During ‘</w:t>
      </w:r>
      <w:r w:rsidRPr="00C16B77">
        <w:rPr>
          <w:rStyle w:val="highlight"/>
        </w:rPr>
        <w:t>preventive</w:t>
      </w:r>
      <w:r w:rsidRPr="00C16B77">
        <w:t xml:space="preserve"> arrest’, detainees are denied access to lawyers or relatives.</w:t>
      </w:r>
      <w:r>
        <w:t xml:space="preserve"> See also OHCHR report 16 November 2018 to 15 February 2019, para. 53. </w:t>
      </w:r>
    </w:p>
  </w:footnote>
  <w:footnote w:id="50">
    <w:p w14:paraId="4FEBF518" w14:textId="1D35C6B3" w:rsidR="00815357" w:rsidRPr="0029627B" w:rsidRDefault="00815357" w:rsidP="002A4CBE">
      <w:pPr>
        <w:pStyle w:val="FootnoteText"/>
      </w:pPr>
      <w:r w:rsidRPr="0029627B">
        <w:rPr>
          <w:rStyle w:val="FootnoteReference"/>
        </w:rPr>
        <w:footnoteRef/>
      </w:r>
      <w:r>
        <w:t xml:space="preserve"> </w:t>
      </w:r>
      <w:r>
        <w:tab/>
        <w:t>OHCHR interview</w:t>
      </w:r>
      <w:r w:rsidRPr="0029627B">
        <w:t>, 13 March 2019.</w:t>
      </w:r>
    </w:p>
  </w:footnote>
  <w:footnote w:id="51">
    <w:p w14:paraId="626FB522" w14:textId="77777777" w:rsidR="00815357" w:rsidRPr="0029627B" w:rsidRDefault="00815357" w:rsidP="00581FCC">
      <w:pPr>
        <w:pStyle w:val="FootnoteText"/>
      </w:pPr>
      <w:r w:rsidRPr="0029627B">
        <w:rPr>
          <w:rStyle w:val="FootnoteReference"/>
        </w:rPr>
        <w:footnoteRef/>
      </w:r>
      <w:r>
        <w:t xml:space="preserve"> </w:t>
      </w:r>
      <w:r>
        <w:tab/>
      </w:r>
      <w:r w:rsidRPr="0029627B">
        <w:t xml:space="preserve">OHCHR interview, 27 February 2019. </w:t>
      </w:r>
    </w:p>
  </w:footnote>
  <w:footnote w:id="52">
    <w:p w14:paraId="5CF25CCD" w14:textId="06FBA082" w:rsidR="00815357" w:rsidRPr="00AB4AD8" w:rsidRDefault="00815357" w:rsidP="00502987">
      <w:pPr>
        <w:pStyle w:val="FootnoteText"/>
        <w:rPr>
          <w:lang w:val="en-US"/>
        </w:rPr>
      </w:pPr>
      <w:r>
        <w:rPr>
          <w:rStyle w:val="FootnoteReference"/>
        </w:rPr>
        <w:footnoteRef/>
      </w:r>
      <w:r>
        <w:t xml:space="preserve"> </w:t>
      </w:r>
      <w:r>
        <w:tab/>
      </w:r>
      <w:r>
        <w:rPr>
          <w:lang w:val="en-US"/>
        </w:rPr>
        <w:t xml:space="preserve">OHCHR interviews, 31 January and 17 April 2019. </w:t>
      </w:r>
    </w:p>
  </w:footnote>
  <w:footnote w:id="53">
    <w:p w14:paraId="20D75A78" w14:textId="2F7AC8D5" w:rsidR="00815357" w:rsidRPr="00A41A5A" w:rsidRDefault="00815357" w:rsidP="00502987">
      <w:pPr>
        <w:pStyle w:val="FootnoteText"/>
      </w:pPr>
      <w:r>
        <w:rPr>
          <w:rStyle w:val="FootnoteReference"/>
        </w:rPr>
        <w:footnoteRef/>
      </w:r>
      <w:r>
        <w:t xml:space="preserve"> </w:t>
      </w:r>
      <w:r>
        <w:tab/>
        <w:t>OHCHR is aware of separate barracks for prisoners with disabilities in at least three colonies.</w:t>
      </w:r>
    </w:p>
  </w:footnote>
  <w:footnote w:id="54">
    <w:p w14:paraId="3572E13C" w14:textId="500CC277" w:rsidR="00815357" w:rsidRPr="00C16B77" w:rsidRDefault="00815357" w:rsidP="00502987">
      <w:pPr>
        <w:pStyle w:val="FootnoteText"/>
      </w:pPr>
      <w:r w:rsidRPr="00597DC6">
        <w:rPr>
          <w:vertAlign w:val="superscript"/>
        </w:rPr>
        <w:footnoteRef/>
      </w:r>
      <w:r w:rsidRPr="00C16B77">
        <w:t xml:space="preserve"> </w:t>
      </w:r>
      <w:r w:rsidRPr="00C16B77">
        <w:tab/>
        <w:t>According to the prisoner, the letters are read by the prison administration, and the ones with complaints are not sent. </w:t>
      </w:r>
    </w:p>
  </w:footnote>
  <w:footnote w:id="55">
    <w:p w14:paraId="133783C8" w14:textId="181E8EC3" w:rsidR="00815357" w:rsidRPr="00C16B77" w:rsidRDefault="00815357" w:rsidP="00502987">
      <w:pPr>
        <w:pStyle w:val="FootnoteText"/>
      </w:pPr>
      <w:r w:rsidRPr="00C16B77">
        <w:rPr>
          <w:rStyle w:val="FootnoteReference"/>
        </w:rPr>
        <w:footnoteRef/>
      </w:r>
      <w:r w:rsidRPr="00C16B77">
        <w:t xml:space="preserve"> </w:t>
      </w:r>
      <w:r w:rsidRPr="00C16B77">
        <w:tab/>
      </w:r>
      <w:r>
        <w:t>For example,</w:t>
      </w:r>
      <w:r w:rsidRPr="00C16B77">
        <w:t xml:space="preserve"> one prisoner told OHCHR that he was put in</w:t>
      </w:r>
      <w:r>
        <w:t xml:space="preserve"> an</w:t>
      </w:r>
      <w:r w:rsidRPr="00C16B77">
        <w:t xml:space="preserve"> isolation cell for 15 days after he complained. This penalty was not </w:t>
      </w:r>
      <w:r w:rsidRPr="001B00D3">
        <w:t>included</w:t>
      </w:r>
      <w:r w:rsidRPr="00C16B77">
        <w:t xml:space="preserve"> in his case file.</w:t>
      </w:r>
    </w:p>
  </w:footnote>
  <w:footnote w:id="56">
    <w:p w14:paraId="4F1F0C6A" w14:textId="1C14D6BF" w:rsidR="00815357" w:rsidRPr="00421117" w:rsidRDefault="00815357" w:rsidP="00502987">
      <w:pPr>
        <w:pStyle w:val="FootnoteText"/>
      </w:pPr>
      <w:r>
        <w:rPr>
          <w:rStyle w:val="FootnoteReference"/>
        </w:rPr>
        <w:footnoteRef/>
      </w:r>
      <w:r>
        <w:t xml:space="preserve"> </w:t>
      </w:r>
      <w:r>
        <w:tab/>
        <w:t xml:space="preserve">One prisoner complained that prison staff broke his left arm during the beatings. See also </w:t>
      </w:r>
      <w:r w:rsidRPr="00C16B77">
        <w:t>OHCHR report, 16 November 2018 to 15 February 2019</w:t>
      </w:r>
      <w:r>
        <w:t xml:space="preserve">, para. 96. </w:t>
      </w:r>
    </w:p>
  </w:footnote>
  <w:footnote w:id="57">
    <w:p w14:paraId="272B8356" w14:textId="147754DF" w:rsidR="00815357" w:rsidRPr="00616F86" w:rsidRDefault="00815357" w:rsidP="00502987">
      <w:pPr>
        <w:pStyle w:val="FootnoteText"/>
      </w:pPr>
      <w:r>
        <w:rPr>
          <w:rStyle w:val="FootnoteReference"/>
        </w:rPr>
        <w:footnoteRef/>
      </w:r>
      <w:r>
        <w:t xml:space="preserve"> </w:t>
      </w:r>
      <w:r>
        <w:tab/>
      </w:r>
      <w:r w:rsidRPr="00616F86">
        <w:t xml:space="preserve">Cabinet of Ministers Order </w:t>
      </w:r>
      <w:r>
        <w:t>N</w:t>
      </w:r>
      <w:r w:rsidRPr="00616F86">
        <w:t xml:space="preserve">o. 248-p “On the establishment of the Commission on Persons Missing due to Special Circumstances” </w:t>
      </w:r>
      <w:r>
        <w:t>(</w:t>
      </w:r>
      <w:r w:rsidRPr="00616F86">
        <w:t>10 April 2019</w:t>
      </w:r>
      <w:r>
        <w:t>)</w:t>
      </w:r>
      <w:r w:rsidRPr="00616F86">
        <w:t>. See OHCHR Reports on the human rights situation in Ukraine, 16 August to 15 November 2018, para. 55 and 16 May to 15 August 2018, para. 59.</w:t>
      </w:r>
    </w:p>
  </w:footnote>
  <w:footnote w:id="58">
    <w:p w14:paraId="471E2EDA" w14:textId="77777777" w:rsidR="00815357" w:rsidRPr="00C16B77" w:rsidRDefault="00815357" w:rsidP="00412E59">
      <w:pPr>
        <w:pStyle w:val="FootnoteText"/>
      </w:pPr>
      <w:r w:rsidRPr="00C16B77">
        <w:rPr>
          <w:rStyle w:val="FootnoteReference"/>
        </w:rPr>
        <w:footnoteRef/>
      </w:r>
      <w:r w:rsidRPr="00C16B77">
        <w:t xml:space="preserve"> </w:t>
      </w:r>
      <w:r w:rsidRPr="00C16B77">
        <w:tab/>
        <w:t>The Criminal Code of Ukraine, articles 109-114-1, 258-258-5, 260 and 261. These crimes constitute “conflict-related crimes”.</w:t>
      </w:r>
    </w:p>
  </w:footnote>
  <w:footnote w:id="59">
    <w:p w14:paraId="61C6AD05" w14:textId="77CEFF08" w:rsidR="00815357" w:rsidRPr="00C16B77" w:rsidRDefault="00815357" w:rsidP="00502987">
      <w:pPr>
        <w:pStyle w:val="FootnoteText"/>
      </w:pPr>
      <w:r w:rsidRPr="00C16B77">
        <w:rPr>
          <w:rStyle w:val="FootnoteReference"/>
        </w:rPr>
        <w:footnoteRef/>
      </w:r>
      <w:r w:rsidRPr="00C16B77">
        <w:t xml:space="preserve"> </w:t>
      </w:r>
      <w:r w:rsidRPr="00C16B77">
        <w:tab/>
        <w:t xml:space="preserve">Local general courts, which are courts of first instance. See articles 21 and 22 of the Law of Ukraine “Law of Ukraine on the Judiciary and Status of Judges”. </w:t>
      </w:r>
    </w:p>
  </w:footnote>
  <w:footnote w:id="60">
    <w:p w14:paraId="1DE89174" w14:textId="77777777" w:rsidR="00815357" w:rsidRPr="00C16B77" w:rsidRDefault="00815357" w:rsidP="00502987">
      <w:pPr>
        <w:pStyle w:val="FootnoteText"/>
      </w:pPr>
      <w:r w:rsidRPr="00C16B77">
        <w:rPr>
          <w:rStyle w:val="FootnoteReference"/>
        </w:rPr>
        <w:footnoteRef/>
      </w:r>
      <w:r w:rsidRPr="00C16B77">
        <w:t xml:space="preserve"> </w:t>
      </w:r>
      <w:r w:rsidRPr="00C16B77">
        <w:tab/>
        <w:t xml:space="preserve">Statistics from the Register of the court decisions of Ukraine. </w:t>
      </w:r>
    </w:p>
  </w:footnote>
  <w:footnote w:id="61">
    <w:p w14:paraId="12F46428" w14:textId="77777777" w:rsidR="00815357" w:rsidRPr="00C16B77" w:rsidRDefault="00815357" w:rsidP="00973414">
      <w:pPr>
        <w:pStyle w:val="FootnoteText"/>
      </w:pPr>
      <w:r w:rsidRPr="00C16B77">
        <w:rPr>
          <w:rStyle w:val="FootnoteReference"/>
        </w:rPr>
        <w:footnoteRef/>
      </w:r>
      <w:r w:rsidRPr="00C16B77">
        <w:t xml:space="preserve"> </w:t>
      </w:r>
      <w:r w:rsidRPr="00C16B77">
        <w:tab/>
        <w:t>Violation of the territorial integrity and inviolability of Ukraine and creation of a terrorist group or terrorist organi</w:t>
      </w:r>
      <w:r>
        <w:t>s</w:t>
      </w:r>
      <w:r w:rsidRPr="00C16B77">
        <w:t>ation respectively</w:t>
      </w:r>
      <w:r>
        <w:t>.</w:t>
      </w:r>
    </w:p>
  </w:footnote>
  <w:footnote w:id="62">
    <w:p w14:paraId="7E20D38C" w14:textId="40FF990C" w:rsidR="00815357" w:rsidRPr="00C16B77" w:rsidRDefault="00815357" w:rsidP="00502987">
      <w:pPr>
        <w:pStyle w:val="FootnoteText"/>
      </w:pPr>
      <w:r w:rsidRPr="00C16B77">
        <w:rPr>
          <w:rStyle w:val="FootnoteReference"/>
        </w:rPr>
        <w:footnoteRef/>
      </w:r>
      <w:r w:rsidRPr="00C16B77">
        <w:t xml:space="preserve"> </w:t>
      </w:r>
      <w:r w:rsidRPr="00C16B77">
        <w:tab/>
        <w:t>Verdict of the Shevchenkivskyi district court of Zaporizhzhia in case № 336/295/18</w:t>
      </w:r>
      <w:r>
        <w:t xml:space="preserve"> (</w:t>
      </w:r>
      <w:r w:rsidRPr="00C16B77">
        <w:t>27 March 2019</w:t>
      </w:r>
      <w:r>
        <w:t>)</w:t>
      </w:r>
      <w:r w:rsidRPr="00C16B77">
        <w:t>. See http://www.reyestr.court.gov.ua/Review/80747741</w:t>
      </w:r>
      <w:r>
        <w:t>.</w:t>
      </w:r>
    </w:p>
  </w:footnote>
  <w:footnote w:id="63">
    <w:p w14:paraId="141EE516" w14:textId="67C99177" w:rsidR="00815357" w:rsidRPr="00C16B77" w:rsidRDefault="00815357" w:rsidP="00502987">
      <w:pPr>
        <w:pStyle w:val="FootnoteText"/>
      </w:pPr>
      <w:r w:rsidRPr="00C16B77">
        <w:rPr>
          <w:rStyle w:val="FootnoteReference"/>
        </w:rPr>
        <w:footnoteRef/>
      </w:r>
      <w:r w:rsidRPr="00C16B77">
        <w:t xml:space="preserve"> </w:t>
      </w:r>
      <w:r w:rsidRPr="00C16B77">
        <w:tab/>
      </w:r>
      <w:r w:rsidRPr="00513802">
        <w:t>Ukrainian courts convicted defendants for participation in the military formations of armed groups alternatively under articles 258</w:t>
      </w:r>
      <w:r w:rsidRPr="00513802">
        <w:noBreakHyphen/>
        <w:t>3, 260 or 110 of the Criminal Code of Ukraine.</w:t>
      </w:r>
    </w:p>
  </w:footnote>
  <w:footnote w:id="64">
    <w:p w14:paraId="27C80612" w14:textId="1CF11544" w:rsidR="00815357" w:rsidRPr="00A3406B" w:rsidRDefault="00815357" w:rsidP="00502987">
      <w:pPr>
        <w:pStyle w:val="FootnoteText"/>
      </w:pPr>
      <w:r w:rsidRPr="00C16B77">
        <w:rPr>
          <w:rStyle w:val="FootnoteReference"/>
        </w:rPr>
        <w:footnoteRef/>
      </w:r>
      <w:r w:rsidRPr="00C16B77">
        <w:tab/>
      </w:r>
      <w:r w:rsidRPr="00513802">
        <w:t>Each of the referenced criminal rules provides for penalties of varying severity</w:t>
      </w:r>
      <w:r>
        <w:t xml:space="preserve">. </w:t>
      </w:r>
      <w:r w:rsidRPr="00C16B77">
        <w:t xml:space="preserve">Crimes falling under paragraph 1, article 258-3 of the Criminal Code of Ukraine are punishable by eight to 15 years of imprisonment. Crimes under paragraph 2, article 260 and paragraph 2, article 110 of the Criminal Code are publishable by from three to eight and from five to 10 years of imprisonment respectively. </w:t>
      </w:r>
    </w:p>
  </w:footnote>
  <w:footnote w:id="65">
    <w:p w14:paraId="57313ED2" w14:textId="7F1C4BCB" w:rsidR="00815357" w:rsidRPr="00C16B77" w:rsidRDefault="00815357" w:rsidP="00502987">
      <w:pPr>
        <w:pStyle w:val="FootnoteText"/>
      </w:pPr>
      <w:r w:rsidRPr="00597DC6">
        <w:rPr>
          <w:rStyle w:val="FootnoteReference"/>
        </w:rPr>
        <w:footnoteRef/>
      </w:r>
      <w:r w:rsidRPr="00597DC6">
        <w:t xml:space="preserve"> </w:t>
      </w:r>
      <w:r w:rsidRPr="00597DC6">
        <w:tab/>
        <w:t>OHCHR trial monitoring.</w:t>
      </w:r>
      <w:r>
        <w:t xml:space="preserve"> </w:t>
      </w:r>
    </w:p>
  </w:footnote>
  <w:footnote w:id="66">
    <w:p w14:paraId="01093A94" w14:textId="2993F763" w:rsidR="00815357" w:rsidRPr="00C16B77" w:rsidRDefault="00815357" w:rsidP="00502987">
      <w:pPr>
        <w:pStyle w:val="FootnoteText"/>
      </w:pPr>
      <w:r w:rsidRPr="00C16B77">
        <w:rPr>
          <w:rStyle w:val="FootnoteReference"/>
        </w:rPr>
        <w:footnoteRef/>
      </w:r>
      <w:r w:rsidRPr="00C16B77">
        <w:t xml:space="preserve"> </w:t>
      </w:r>
      <w:r w:rsidRPr="00C16B77">
        <w:tab/>
        <w:t>The lack of judges is caused by the lengthy obligatory qualification evaluation of active judges, carried out in accordance with the Law of Ukraine “On ensuring the right to a fair trial” of 12 February 2015. Many judges refused to undergo the evaluation and preferred to resign. The judges who have not undergone the evaluation but have arrived at the end of their 5-year initial appointment are not authorised to render justice.</w:t>
      </w:r>
      <w:r>
        <w:t xml:space="preserve"> </w:t>
      </w:r>
    </w:p>
  </w:footnote>
  <w:footnote w:id="67">
    <w:p w14:paraId="04348E14" w14:textId="77777777" w:rsidR="00815357" w:rsidRPr="00C16B77" w:rsidRDefault="00815357" w:rsidP="00502987">
      <w:pPr>
        <w:pStyle w:val="FootnoteText"/>
      </w:pPr>
      <w:r w:rsidRPr="00C16B77">
        <w:rPr>
          <w:rStyle w:val="FootnoteReference"/>
        </w:rPr>
        <w:footnoteRef/>
      </w:r>
      <w:r w:rsidRPr="00C16B77">
        <w:t xml:space="preserve"> </w:t>
      </w:r>
      <w:r w:rsidRPr="00C16B77">
        <w:tab/>
      </w:r>
      <w:r>
        <w:t xml:space="preserve">According to information provided by the High Qualification Commission of Judges in the letter of 23 April 2019. </w:t>
      </w:r>
    </w:p>
  </w:footnote>
  <w:footnote w:id="68">
    <w:p w14:paraId="38D6399F" w14:textId="471F0450" w:rsidR="00815357" w:rsidRPr="00C16B77" w:rsidRDefault="00815357" w:rsidP="00502987">
      <w:pPr>
        <w:pStyle w:val="FootnoteText"/>
      </w:pPr>
      <w:r w:rsidRPr="00C16B77">
        <w:rPr>
          <w:rStyle w:val="FootnoteReference"/>
        </w:rPr>
        <w:footnoteRef/>
      </w:r>
      <w:r w:rsidRPr="00C16B77">
        <w:t xml:space="preserve"> </w:t>
      </w:r>
      <w:r w:rsidRPr="00C16B77">
        <w:tab/>
        <w:t xml:space="preserve">Judges in the Donetsk and Luhansk regions are also overloaded with civil cases, establishing birth or death certificates for individuals residing </w:t>
      </w:r>
      <w:r w:rsidRPr="007533BB">
        <w:t>in territory controlled by</w:t>
      </w:r>
      <w:r>
        <w:t xml:space="preserve"> ‘Donetsk people’s republic’ and ‘Luhansk people’s republic’</w:t>
      </w:r>
      <w:r w:rsidRPr="00C16B77">
        <w:t xml:space="preserve">. According to article 317 of the Civil Procedure Code of Ukraine, the courts shall consider such cases urgently. </w:t>
      </w:r>
    </w:p>
  </w:footnote>
  <w:footnote w:id="69">
    <w:p w14:paraId="20EF8551" w14:textId="0C9D44F2" w:rsidR="00815357" w:rsidRPr="00C16B77" w:rsidRDefault="00815357" w:rsidP="00502987">
      <w:pPr>
        <w:pStyle w:val="FootnoteText"/>
      </w:pPr>
      <w:r w:rsidRPr="00C16B77">
        <w:rPr>
          <w:rStyle w:val="FootnoteReference"/>
        </w:rPr>
        <w:footnoteRef/>
      </w:r>
      <w:r w:rsidRPr="00C16B77">
        <w:t xml:space="preserve"> </w:t>
      </w:r>
      <w:r w:rsidRPr="00C16B77">
        <w:tab/>
        <w:t xml:space="preserve">Ruling of Velykonovosylivskyi district court of Donetsk region </w:t>
      </w:r>
      <w:r>
        <w:t>(</w:t>
      </w:r>
      <w:r w:rsidRPr="00C16B77">
        <w:t>27 February 2019</w:t>
      </w:r>
      <w:r>
        <w:t>)</w:t>
      </w:r>
      <w:r w:rsidRPr="00C16B77">
        <w:t xml:space="preserve">. See </w:t>
      </w:r>
      <w:hyperlink r:id="rId6" w:history="1">
        <w:r w:rsidRPr="00C16B77">
          <w:rPr>
            <w:rStyle w:val="Hyperlink"/>
          </w:rPr>
          <w:t>http://reyestr.court.gov.ua/Review/80126440</w:t>
        </w:r>
      </w:hyperlink>
      <w:r>
        <w:rPr>
          <w:rStyle w:val="Hyperlink"/>
        </w:rPr>
        <w:t>.</w:t>
      </w:r>
      <w:r w:rsidRPr="00C16B77">
        <w:t xml:space="preserve"> </w:t>
      </w:r>
    </w:p>
  </w:footnote>
  <w:footnote w:id="70">
    <w:p w14:paraId="1FDA3278" w14:textId="2E0BA8C7" w:rsidR="00815357" w:rsidRPr="00C16B77" w:rsidRDefault="00815357" w:rsidP="00502987">
      <w:pPr>
        <w:pStyle w:val="FootnoteText"/>
      </w:pPr>
      <w:r w:rsidRPr="00C16B77">
        <w:rPr>
          <w:rStyle w:val="FootnoteReference"/>
        </w:rPr>
        <w:footnoteRef/>
      </w:r>
      <w:r w:rsidRPr="00C16B77">
        <w:t xml:space="preserve"> </w:t>
      </w:r>
      <w:r w:rsidRPr="00C16B77">
        <w:tab/>
        <w:t>According to the article 17 of the Law of Ukraine “On the Fulfilment of Decisions and Application of Practice of the European Court of Human Rights”</w:t>
      </w:r>
      <w:r>
        <w:t>,</w:t>
      </w:r>
      <w:r w:rsidRPr="00C16B77">
        <w:t xml:space="preserve"> Ukrainian courts shall apply case law of the E</w:t>
      </w:r>
      <w:r>
        <w:t xml:space="preserve">uropean </w:t>
      </w:r>
      <w:r w:rsidRPr="00C16B77">
        <w:t>C</w:t>
      </w:r>
      <w:r>
        <w:t>our</w:t>
      </w:r>
      <w:r w:rsidRPr="00C16B77">
        <w:t>t</w:t>
      </w:r>
      <w:r>
        <w:t xml:space="preserve"> of </w:t>
      </w:r>
      <w:r w:rsidRPr="00C16B77">
        <w:t>H</w:t>
      </w:r>
      <w:r>
        <w:t xml:space="preserve">uman </w:t>
      </w:r>
      <w:r w:rsidRPr="00C16B77">
        <w:t>R</w:t>
      </w:r>
      <w:r>
        <w:t>ights</w:t>
      </w:r>
      <w:r w:rsidRPr="00C16B77">
        <w:t xml:space="preserve"> as a source of law</w:t>
      </w:r>
      <w:r>
        <w:t>.</w:t>
      </w:r>
    </w:p>
  </w:footnote>
  <w:footnote w:id="71">
    <w:p w14:paraId="10CEE85C" w14:textId="67514526" w:rsidR="00815357" w:rsidRPr="00C16B77" w:rsidRDefault="00815357" w:rsidP="00502987">
      <w:pPr>
        <w:pStyle w:val="FootnoteText"/>
      </w:pPr>
      <w:r w:rsidRPr="00C16B77">
        <w:rPr>
          <w:rStyle w:val="FootnoteReference"/>
        </w:rPr>
        <w:footnoteRef/>
      </w:r>
      <w:r w:rsidRPr="00C16B77">
        <w:t xml:space="preserve"> </w:t>
      </w:r>
      <w:r w:rsidRPr="00C16B77">
        <w:tab/>
      </w:r>
      <w:r w:rsidRPr="00597DC6">
        <w:t xml:space="preserve">HRMMU, </w:t>
      </w:r>
      <w:r w:rsidRPr="00597DC6">
        <w:rPr>
          <w:i/>
        </w:rPr>
        <w:t>Analytical paper on the human rights impact of article 176.5 of the Criminal Procedure Code of Ukraine</w:t>
      </w:r>
      <w:r w:rsidRPr="00597DC6">
        <w:t xml:space="preserve">, available </w:t>
      </w:r>
      <w:r>
        <w:t xml:space="preserve">at </w:t>
      </w:r>
      <w:hyperlink r:id="rId7" w:history="1">
        <w:r w:rsidRPr="00597DC6">
          <w:rPr>
            <w:rStyle w:val="Hyperlink"/>
          </w:rPr>
          <w:t>http://search.ligazakon.ua/l_doc2.nsf/link1/MU19012.html</w:t>
        </w:r>
      </w:hyperlink>
      <w:r>
        <w:rPr>
          <w:rStyle w:val="Hyperlink"/>
        </w:rPr>
        <w:t>.</w:t>
      </w:r>
      <w:r w:rsidRPr="00C16B77">
        <w:t xml:space="preserve"> OHCHR also made recommendations regarding the application of article 176.5 of the Criminal Procedure Code of Ukraine in </w:t>
      </w:r>
      <w:r w:rsidRPr="003C71C6">
        <w:t>its 21</w:t>
      </w:r>
      <w:r w:rsidRPr="003C71C6">
        <w:rPr>
          <w:vertAlign w:val="superscript"/>
        </w:rPr>
        <w:t>st</w:t>
      </w:r>
      <w:r w:rsidRPr="003C71C6">
        <w:t xml:space="preserve"> report on the human rights situation in Ukraine covering the period 16 November 2017 to 15 February 2018</w:t>
      </w:r>
      <w:r>
        <w:t>.</w:t>
      </w:r>
      <w:r w:rsidRPr="00C16B77">
        <w:t xml:space="preserve"> </w:t>
      </w:r>
      <w:r>
        <w:t>S</w:t>
      </w:r>
      <w:r w:rsidRPr="00C16B77">
        <w:t xml:space="preserve">ee </w:t>
      </w:r>
      <w:r>
        <w:t>paras.</w:t>
      </w:r>
      <w:r w:rsidRPr="00C16B77">
        <w:t xml:space="preserve"> 44, 45</w:t>
      </w:r>
      <w:r>
        <w:t xml:space="preserve"> and </w:t>
      </w:r>
      <w:r w:rsidRPr="00C16B77">
        <w:t>150</w:t>
      </w:r>
      <w:r>
        <w:t>.</w:t>
      </w:r>
    </w:p>
  </w:footnote>
  <w:footnote w:id="72">
    <w:p w14:paraId="2DE8F683" w14:textId="607D854E" w:rsidR="00815357" w:rsidRPr="00C16B77" w:rsidRDefault="00815357" w:rsidP="00502987">
      <w:pPr>
        <w:pStyle w:val="FootnoteText"/>
      </w:pPr>
      <w:r w:rsidRPr="00C16B77">
        <w:rPr>
          <w:rStyle w:val="FootnoteReference"/>
        </w:rPr>
        <w:footnoteRef/>
      </w:r>
      <w:r w:rsidRPr="00C16B77">
        <w:t xml:space="preserve"> </w:t>
      </w:r>
      <w:r w:rsidRPr="00C16B77">
        <w:tab/>
        <w:t xml:space="preserve">According to </w:t>
      </w:r>
      <w:r>
        <w:t>one judge’s complaint</w:t>
      </w:r>
      <w:r w:rsidRPr="00C16B77">
        <w:t>, on 21 March 2019 a hearing in the case was postponed. An activist outraged by this fact entered the judge’s office and began insulting the judge. Later</w:t>
      </w:r>
      <w:r>
        <w:t>,</w:t>
      </w:r>
      <w:r w:rsidRPr="00C16B77">
        <w:t xml:space="preserve"> the activist published a post insulting the judge and other court judges on her Facebook page. Consequently, the judge recused herself from the case. </w:t>
      </w:r>
    </w:p>
  </w:footnote>
  <w:footnote w:id="73">
    <w:p w14:paraId="5D45C38C" w14:textId="46914419" w:rsidR="00815357" w:rsidRPr="00C16B77" w:rsidRDefault="00815357" w:rsidP="00502987">
      <w:pPr>
        <w:pStyle w:val="FootnoteText"/>
      </w:pPr>
      <w:r w:rsidRPr="00C16B77">
        <w:rPr>
          <w:rStyle w:val="FootnoteReference"/>
        </w:rPr>
        <w:footnoteRef/>
      </w:r>
      <w:r w:rsidRPr="00C16B77">
        <w:t xml:space="preserve"> </w:t>
      </w:r>
      <w:r w:rsidRPr="00C16B77">
        <w:tab/>
        <w:t xml:space="preserve">OHCHR documented the presence of activists verbally abusing the defence lawyer during a court hearing. Some unidentified individuals in Vuhledar also put up leaflets accusing the defence lawyer of </w:t>
      </w:r>
      <w:r>
        <w:t>“</w:t>
      </w:r>
      <w:r w:rsidRPr="00C16B77">
        <w:t>defending armed insurgents</w:t>
      </w:r>
      <w:r>
        <w:t>”</w:t>
      </w:r>
      <w:r w:rsidRPr="00C16B77">
        <w:t>.</w:t>
      </w:r>
    </w:p>
  </w:footnote>
  <w:footnote w:id="74">
    <w:p w14:paraId="40A54DBE" w14:textId="77777777" w:rsidR="00815357" w:rsidRPr="00C16B77" w:rsidRDefault="00815357" w:rsidP="00502987">
      <w:pPr>
        <w:pStyle w:val="FootnoteText"/>
      </w:pPr>
      <w:r w:rsidRPr="00C16B77">
        <w:rPr>
          <w:rStyle w:val="FootnoteReference"/>
        </w:rPr>
        <w:footnoteRef/>
      </w:r>
      <w:r w:rsidRPr="00C16B77">
        <w:t xml:space="preserve"> </w:t>
      </w:r>
      <w:r w:rsidRPr="00C16B77">
        <w:tab/>
        <w:t>OHCHR documented the presence of activists verbally abusing the defendant during court hearings.</w:t>
      </w:r>
    </w:p>
  </w:footnote>
  <w:footnote w:id="75">
    <w:p w14:paraId="75910378" w14:textId="77777777" w:rsidR="00815357" w:rsidRPr="009A3C06" w:rsidRDefault="00815357" w:rsidP="00502987">
      <w:pPr>
        <w:pStyle w:val="FootnoteText"/>
      </w:pPr>
      <w:r>
        <w:rPr>
          <w:rStyle w:val="FootnoteReference"/>
        </w:rPr>
        <w:footnoteRef/>
      </w:r>
      <w:r>
        <w:t xml:space="preserve"> </w:t>
      </w:r>
      <w:r>
        <w:tab/>
      </w:r>
      <w:r w:rsidRPr="009A3C06">
        <w:t>One male office worker died in the office of the then ruling political party (‘Party of Regions’), which was set on fire during the clashes on 18 February 2014 in Kyiv.</w:t>
      </w:r>
    </w:p>
  </w:footnote>
  <w:footnote w:id="76">
    <w:p w14:paraId="39F3B22B" w14:textId="7B94967D" w:rsidR="00815357" w:rsidRPr="00C16B77" w:rsidRDefault="00815357" w:rsidP="00502987">
      <w:pPr>
        <w:pStyle w:val="FootnoteText"/>
      </w:pPr>
      <w:r w:rsidRPr="00C16B77">
        <w:rPr>
          <w:rStyle w:val="FootnoteReference"/>
        </w:rPr>
        <w:footnoteRef/>
      </w:r>
      <w:r w:rsidRPr="00C16B77">
        <w:t xml:space="preserve"> </w:t>
      </w:r>
      <w:r w:rsidRPr="00C16B77">
        <w:tab/>
      </w:r>
      <w:r>
        <w:t>HRMMU</w:t>
      </w:r>
      <w:r w:rsidRPr="00C16B77">
        <w:t xml:space="preserve">, </w:t>
      </w:r>
      <w:r w:rsidRPr="00597DC6">
        <w:rPr>
          <w:i/>
        </w:rPr>
        <w:t>Briefing Note on Accountability for Killings and Violent Deaths During the Maidan Protests</w:t>
      </w:r>
      <w:r w:rsidRPr="00C16B77">
        <w:t xml:space="preserve">, paras. 10 and 11, available </w:t>
      </w:r>
      <w:r>
        <w:t>at</w:t>
      </w:r>
      <w:r w:rsidRPr="00C16B77">
        <w:t xml:space="preserve"> </w:t>
      </w:r>
      <w:hyperlink r:id="rId8" w:history="1">
        <w:r>
          <w:rPr>
            <w:rStyle w:val="Hyperlink"/>
            <w:lang w:val="en-US"/>
          </w:rPr>
          <w:t>http://un.org.ua/images/documents/4700/Accountability%20for%20Killings%20and%20Violent%20Deaths%20During%20the%20Maidan%20Protest_2.pdf</w:t>
        </w:r>
      </w:hyperlink>
      <w:r>
        <w:rPr>
          <w:rStyle w:val="Hyperlink"/>
        </w:rPr>
        <w:t>.</w:t>
      </w:r>
    </w:p>
  </w:footnote>
  <w:footnote w:id="77">
    <w:p w14:paraId="5506EF8A" w14:textId="0245DBE7" w:rsidR="00815357" w:rsidRPr="00C16B77" w:rsidRDefault="00815357" w:rsidP="00502987">
      <w:pPr>
        <w:pStyle w:val="FootnoteText"/>
      </w:pPr>
      <w:r w:rsidRPr="00C16B77">
        <w:rPr>
          <w:rStyle w:val="FootnoteReference"/>
        </w:rPr>
        <w:footnoteRef/>
      </w:r>
      <w:r w:rsidRPr="00C16B77">
        <w:t xml:space="preserve"> </w:t>
      </w:r>
      <w:r w:rsidRPr="00C16B77">
        <w:tab/>
        <w:t xml:space="preserve">The Law on prevention of prosecution and punishment of individuals in respect of events, which have taken place during peaceful assemblies and recognising the repeal of certain laws of Ukraine, adopted by the Parliament on 21 February 2014, </w:t>
      </w:r>
      <w:r>
        <w:t>available at</w:t>
      </w:r>
      <w:r w:rsidRPr="00C16B77">
        <w:t xml:space="preserve"> </w:t>
      </w:r>
      <w:hyperlink r:id="rId9" w:history="1">
        <w:r w:rsidRPr="00C16B77">
          <w:rPr>
            <w:rStyle w:val="Hyperlink"/>
          </w:rPr>
          <w:t>https://zakon.rada.gov.ua/laws/show/743-18</w:t>
        </w:r>
      </w:hyperlink>
      <w:r>
        <w:rPr>
          <w:rStyle w:val="Hyperlink"/>
        </w:rPr>
        <w:t>.</w:t>
      </w:r>
    </w:p>
  </w:footnote>
  <w:footnote w:id="78">
    <w:p w14:paraId="61C3CB9F" w14:textId="4D11DD19" w:rsidR="00815357" w:rsidRDefault="00815357" w:rsidP="00502987">
      <w:pPr>
        <w:pStyle w:val="FootnoteText"/>
      </w:pPr>
      <w:r w:rsidRPr="00C16B77">
        <w:rPr>
          <w:rStyle w:val="FootnoteReference"/>
        </w:rPr>
        <w:footnoteRef/>
      </w:r>
      <w:r w:rsidRPr="00C16B77">
        <w:tab/>
      </w:r>
      <w:r>
        <w:t xml:space="preserve">Special Investigations Department of the Prosecutor General’s Office of Ukraine, </w:t>
      </w:r>
      <w:r w:rsidRPr="00816D6F">
        <w:rPr>
          <w:i/>
        </w:rPr>
        <w:t>Analytical paper on the systemic impediments to the investigation of crimes perpetrated during Euromaidan</w:t>
      </w:r>
      <w:r>
        <w:t xml:space="preserve"> (19 February 2019), </w:t>
      </w:r>
      <w:r w:rsidRPr="00597DC6">
        <w:t>available at</w:t>
      </w:r>
    </w:p>
    <w:p w14:paraId="06206BC2" w14:textId="0F211C6E" w:rsidR="00815357" w:rsidRPr="00C16B77" w:rsidRDefault="00815357" w:rsidP="00502987">
      <w:pPr>
        <w:pStyle w:val="FootnoteText"/>
      </w:pPr>
      <w:r>
        <w:tab/>
      </w:r>
      <w:hyperlink r:id="rId10" w:history="1">
        <w:r w:rsidRPr="00D44DE6">
          <w:rPr>
            <w:rStyle w:val="Hyperlink"/>
          </w:rPr>
          <w:t>https://docs.google.com/document/d/1YnxFCgzyMNWn7fzIhbSwOOehZfhwP0kWRz4dp1VCHWY/edit?fbclid=IwAR3g8JKzuUYOsQySQfq0gaDPj9DDqPc7vpeSF62e6EEtx3PSFbTSahFeW20</w:t>
        </w:r>
      </w:hyperlink>
      <w:r>
        <w:rPr>
          <w:rStyle w:val="Hyperlink"/>
        </w:rPr>
        <w:t xml:space="preserve"> </w:t>
      </w:r>
      <w:r w:rsidRPr="00597DC6">
        <w:rPr>
          <w:rStyle w:val="Hyperlink"/>
        </w:rPr>
        <w:t>(only available in Ukrainian</w:t>
      </w:r>
      <w:r>
        <w:rPr>
          <w:rStyle w:val="Hyperlink"/>
        </w:rPr>
        <w:t>).</w:t>
      </w:r>
      <w:r w:rsidRPr="00C16B77">
        <w:t xml:space="preserve"> </w:t>
      </w:r>
    </w:p>
  </w:footnote>
  <w:footnote w:id="79">
    <w:p w14:paraId="0CFFD2D9" w14:textId="2ADBED25" w:rsidR="00815357" w:rsidRPr="000037B1" w:rsidRDefault="00815357" w:rsidP="00502987">
      <w:pPr>
        <w:pStyle w:val="FootnoteText"/>
        <w:rPr>
          <w:lang w:val="en-US"/>
        </w:rPr>
      </w:pPr>
      <w:r>
        <w:rPr>
          <w:rStyle w:val="FootnoteReference"/>
        </w:rPr>
        <w:footnoteRef/>
      </w:r>
      <w:r>
        <w:t xml:space="preserve"> </w:t>
      </w:r>
      <w:r>
        <w:rPr>
          <w:lang w:val="uk-UA"/>
        </w:rPr>
        <w:tab/>
      </w:r>
      <w:r w:rsidRPr="000037B1">
        <w:rPr>
          <w:lang w:val="en-US"/>
        </w:rPr>
        <w:t>The Special Investigation Department of the Prosecutor General</w:t>
      </w:r>
      <w:r>
        <w:rPr>
          <w:lang w:val="en-US"/>
        </w:rPr>
        <w:t xml:space="preserve">’s Office did not grant permission for construction work take place on the crime scene, see </w:t>
      </w:r>
      <w:hyperlink r:id="rId11" w:history="1">
        <w:r>
          <w:rPr>
            <w:rStyle w:val="Hyperlink"/>
          </w:rPr>
          <w:t>https://www.ukrinform.ua/rubric-kyiv/2698951-u-kievi-pocali-zvoditi-memorial-geroiv-nebesnoi-sotni.html</w:t>
        </w:r>
      </w:hyperlink>
      <w:r>
        <w:t>.</w:t>
      </w:r>
    </w:p>
  </w:footnote>
  <w:footnote w:id="80">
    <w:p w14:paraId="5E00FFA1" w14:textId="044C6CD3" w:rsidR="00815357" w:rsidRPr="000037B1" w:rsidRDefault="00815357" w:rsidP="00502987">
      <w:pPr>
        <w:pStyle w:val="FootnoteText"/>
        <w:rPr>
          <w:lang w:val="en-US"/>
        </w:rPr>
      </w:pPr>
      <w:r>
        <w:rPr>
          <w:rStyle w:val="FootnoteReference"/>
        </w:rPr>
        <w:footnoteRef/>
      </w:r>
      <w:r>
        <w:t xml:space="preserve"> </w:t>
      </w:r>
      <w:r>
        <w:rPr>
          <w:lang w:val="en-US"/>
        </w:rPr>
        <w:tab/>
        <w:t xml:space="preserve">Known as the Museum of the Revolution of Dignity in Ukrainian, </w:t>
      </w:r>
      <w:r>
        <w:t>commemorating the events at Maidan in 2013-2014.</w:t>
      </w:r>
    </w:p>
  </w:footnote>
  <w:footnote w:id="81">
    <w:p w14:paraId="18A37311" w14:textId="033849D3" w:rsidR="00815357" w:rsidRPr="00597DC6" w:rsidRDefault="00815357" w:rsidP="00502987">
      <w:pPr>
        <w:pStyle w:val="FootnoteText"/>
      </w:pPr>
      <w:r>
        <w:rPr>
          <w:rStyle w:val="FootnoteReference"/>
        </w:rPr>
        <w:footnoteRef/>
      </w:r>
      <w:r>
        <w:t xml:space="preserve"> </w:t>
      </w:r>
      <w:r>
        <w:rPr>
          <w:lang w:val="en-US"/>
        </w:rPr>
        <w:tab/>
        <w:t xml:space="preserve">More information </w:t>
      </w:r>
      <w:r>
        <w:t>on specific cases can be found in HRMMU</w:t>
      </w:r>
      <w:r w:rsidRPr="00C16B77">
        <w:t xml:space="preserve">, </w:t>
      </w:r>
      <w:r w:rsidRPr="00597DC6">
        <w:rPr>
          <w:i/>
        </w:rPr>
        <w:t>Briefing Note on Accountability for Killings and Violent Deaths During the Maidan Protests</w:t>
      </w:r>
      <w:r w:rsidRPr="00C16B77">
        <w:t xml:space="preserve">, paras. 10 and 11, available </w:t>
      </w:r>
      <w:r>
        <w:t>at</w:t>
      </w:r>
      <w:r w:rsidRPr="00C16B77">
        <w:t xml:space="preserve"> </w:t>
      </w:r>
      <w:hyperlink r:id="rId12" w:history="1">
        <w:r w:rsidRPr="00C16B77">
          <w:rPr>
            <w:rStyle w:val="Hyperlink"/>
          </w:rPr>
          <w:t>http://www.un.org.ua/images/documents/4619/UN_Briefing%20note_Accountability%20for%20killings%20at%20Maidan.pdf</w:t>
        </w:r>
      </w:hyperlink>
      <w:r>
        <w:rPr>
          <w:rStyle w:val="Hyperlink"/>
        </w:rPr>
        <w:t>.</w:t>
      </w:r>
      <w:r>
        <w:t xml:space="preserve"> Additional information on the general protracted nature of trials can be found in the section on administration of justice.</w:t>
      </w:r>
    </w:p>
  </w:footnote>
  <w:footnote w:id="82">
    <w:p w14:paraId="7FF56230" w14:textId="77777777" w:rsidR="00815357" w:rsidRPr="00632072" w:rsidRDefault="00815357" w:rsidP="00502987">
      <w:pPr>
        <w:pStyle w:val="FootnoteText"/>
        <w:rPr>
          <w:rStyle w:val="Hyperlink"/>
        </w:rPr>
      </w:pPr>
      <w:r>
        <w:rPr>
          <w:rStyle w:val="FootnoteReference"/>
        </w:rPr>
        <w:footnoteRef/>
      </w:r>
      <w:r>
        <w:t xml:space="preserve"> </w:t>
      </w:r>
      <w:r>
        <w:rPr>
          <w:lang w:val="en-US"/>
        </w:rPr>
        <w:tab/>
      </w:r>
      <w:r w:rsidRPr="00632072">
        <w:rPr>
          <w:rStyle w:val="Hyperlink"/>
        </w:rPr>
        <w:t xml:space="preserve">More information on specific cases can be found in </w:t>
      </w:r>
      <w:r>
        <w:rPr>
          <w:rStyle w:val="Hyperlink"/>
        </w:rPr>
        <w:t>HRMMU</w:t>
      </w:r>
      <w:r w:rsidRPr="00632072">
        <w:rPr>
          <w:rStyle w:val="Hyperlink"/>
        </w:rPr>
        <w:t xml:space="preserve">, </w:t>
      </w:r>
      <w:r w:rsidRPr="00597DC6">
        <w:rPr>
          <w:rStyle w:val="Hyperlink"/>
          <w:i/>
        </w:rPr>
        <w:t>Briefing note on 2 May events</w:t>
      </w:r>
      <w:r w:rsidRPr="00632072">
        <w:rPr>
          <w:rStyle w:val="Hyperlink"/>
        </w:rPr>
        <w:t xml:space="preserve">, available </w:t>
      </w:r>
      <w:r>
        <w:rPr>
          <w:rStyle w:val="Hyperlink"/>
        </w:rPr>
        <w:t>at</w:t>
      </w:r>
    </w:p>
    <w:p w14:paraId="03C4B611" w14:textId="361BD7D4" w:rsidR="00815357" w:rsidRPr="00632072" w:rsidRDefault="00815357" w:rsidP="00502987">
      <w:pPr>
        <w:pStyle w:val="FootnoteText"/>
        <w:rPr>
          <w:sz w:val="24"/>
          <w:szCs w:val="24"/>
        </w:rPr>
      </w:pPr>
      <w:r>
        <w:rPr>
          <w:rStyle w:val="Hyperlink"/>
        </w:rPr>
        <w:tab/>
      </w:r>
      <w:hyperlink r:id="rId13" w:history="1">
        <w:r>
          <w:rPr>
            <w:rStyle w:val="Hyperlink"/>
            <w:lang w:val="en-US"/>
          </w:rPr>
          <w:t>http://un.org.ua/images/documents/4671/Accountability%20for%20Killings%20and%20Violent%20Deaths%20on%202%20May%202014%20in%20Odesa_1.pdf</w:t>
        </w:r>
      </w:hyperlink>
      <w:r>
        <w:rPr>
          <w:rStyle w:val="Hyperlink"/>
        </w:rPr>
        <w:t>.</w:t>
      </w:r>
    </w:p>
  </w:footnote>
  <w:footnote w:id="83">
    <w:p w14:paraId="50B23ADE" w14:textId="5825E69B" w:rsidR="00815357" w:rsidRPr="003B6D70" w:rsidRDefault="00815357" w:rsidP="00502987">
      <w:pPr>
        <w:pStyle w:val="FootnoteText"/>
        <w:rPr>
          <w:lang w:val="en-US"/>
        </w:rPr>
      </w:pPr>
      <w:r>
        <w:rPr>
          <w:rStyle w:val="FootnoteReference"/>
        </w:rPr>
        <w:footnoteRef/>
      </w:r>
      <w:r>
        <w:t xml:space="preserve"> </w:t>
      </w:r>
      <w:r>
        <w:tab/>
      </w:r>
      <w:r>
        <w:rPr>
          <w:lang w:val="en-US"/>
        </w:rPr>
        <w:t xml:space="preserve">During the reporting period, local courts have not yet completed the preliminary stage in four 2 May violence-related cases: against former deputy head and two mid-level officials of the Odesa regional department of State Emergency Service, against former first deputy head of the Odesa regional department of State Emergency Service, against former head of Odesa city police and two high-ranking police officers and against the </w:t>
      </w:r>
      <w:r w:rsidRPr="002C053F">
        <w:t>participant of the mass disturbances accused of murder</w:t>
      </w:r>
      <w:r>
        <w:t xml:space="preserve">. </w:t>
      </w:r>
    </w:p>
  </w:footnote>
  <w:footnote w:id="84">
    <w:p w14:paraId="7AB4B056" w14:textId="61871469" w:rsidR="00815357" w:rsidRDefault="00815357" w:rsidP="0073522A">
      <w:pPr>
        <w:pStyle w:val="FootnoteText"/>
      </w:pPr>
      <w:r>
        <w:rPr>
          <w:rStyle w:val="FootnoteReference"/>
        </w:rPr>
        <w:footnoteRef/>
      </w:r>
      <w:r>
        <w:t xml:space="preserve"> </w:t>
      </w:r>
      <w:r>
        <w:tab/>
      </w:r>
      <w:r w:rsidRPr="0073522A">
        <w:rPr>
          <w:lang w:val="en-US"/>
        </w:rPr>
        <w:t>Statement</w:t>
      </w:r>
      <w:r>
        <w:t xml:space="preserve"> of preliminary findings and conclusions of the international election observation mission Ukraine – Presidential Election, Second </w:t>
      </w:r>
      <w:r w:rsidRPr="00597DC6">
        <w:rPr>
          <w:lang w:val="en-US"/>
        </w:rPr>
        <w:t>Round</w:t>
      </w:r>
      <w:r>
        <w:t>, 21 April 2019, page 5, available at</w:t>
      </w:r>
    </w:p>
    <w:p w14:paraId="56549D15" w14:textId="1A488059" w:rsidR="00815357" w:rsidRPr="000037B1" w:rsidRDefault="00815357" w:rsidP="0073522A">
      <w:pPr>
        <w:pStyle w:val="FootnoteText"/>
        <w:rPr>
          <w:lang w:val="en-US"/>
        </w:rPr>
      </w:pPr>
      <w:r>
        <w:tab/>
      </w:r>
      <w:hyperlink r:id="rId14" w:history="1">
        <w:r w:rsidRPr="001459BE">
          <w:rPr>
            <w:rStyle w:val="Hyperlink"/>
          </w:rPr>
          <w:t>https://www.osce.org/odihr/elections/ukraine/417821?download=true</w:t>
        </w:r>
      </w:hyperlink>
      <w:r>
        <w:rPr>
          <w:rStyle w:val="Hyperlink"/>
        </w:rPr>
        <w:t>.</w:t>
      </w:r>
    </w:p>
  </w:footnote>
  <w:footnote w:id="85">
    <w:p w14:paraId="39C4B156" w14:textId="682C4446" w:rsidR="00815357" w:rsidRPr="003C71C6" w:rsidRDefault="00815357" w:rsidP="00502987">
      <w:pPr>
        <w:pStyle w:val="FootnoteText"/>
        <w:rPr>
          <w:lang w:val="uk-UA"/>
        </w:rPr>
      </w:pPr>
      <w:r w:rsidRPr="00C16B77">
        <w:rPr>
          <w:rStyle w:val="FootnoteReference"/>
        </w:rPr>
        <w:footnoteRef/>
      </w:r>
      <w:r w:rsidRPr="00C16B77">
        <w:t xml:space="preserve"> </w:t>
      </w:r>
      <w:r w:rsidRPr="00C16B77">
        <w:tab/>
      </w:r>
      <w:r>
        <w:rPr>
          <w:lang w:val="en-US"/>
        </w:rPr>
        <w:t xml:space="preserve">Court hearing in case of access to personal data of investigative journalist </w:t>
      </w:r>
      <w:r w:rsidRPr="00EC4AAE">
        <w:rPr>
          <w:lang w:val="en-US"/>
        </w:rPr>
        <w:t>Khrystyna</w:t>
      </w:r>
      <w:r>
        <w:rPr>
          <w:lang w:val="en-US"/>
        </w:rPr>
        <w:t xml:space="preserve"> </w:t>
      </w:r>
      <w:r w:rsidRPr="00EC4AAE">
        <w:rPr>
          <w:lang w:val="en-US"/>
        </w:rPr>
        <w:t>Berdynskych</w:t>
      </w:r>
      <w:r>
        <w:rPr>
          <w:lang w:val="en-US"/>
        </w:rPr>
        <w:t xml:space="preserve"> scheduled on 6 May 2019 in Pecherskiy district court of Kyiv was postponed. Decision of European Court of Human Rights in similar case of Natalia </w:t>
      </w:r>
      <w:r w:rsidRPr="009A7E0B">
        <w:rPr>
          <w:lang w:val="en-US"/>
        </w:rPr>
        <w:t>Sedletska</w:t>
      </w:r>
      <w:r>
        <w:rPr>
          <w:lang w:val="en-US"/>
        </w:rPr>
        <w:t xml:space="preserve"> is expected later in 2019. </w:t>
      </w:r>
    </w:p>
  </w:footnote>
  <w:footnote w:id="86">
    <w:p w14:paraId="3B2547E4" w14:textId="0E5E4169" w:rsidR="00815357" w:rsidRPr="00C16B77" w:rsidRDefault="00815357" w:rsidP="00502987">
      <w:pPr>
        <w:pStyle w:val="FootnoteText"/>
      </w:pPr>
      <w:r w:rsidRPr="00597DC6">
        <w:rPr>
          <w:rStyle w:val="FootnoteReference"/>
        </w:rPr>
        <w:footnoteRef/>
      </w:r>
      <w:r w:rsidRPr="00597DC6">
        <w:t xml:space="preserve"> </w:t>
      </w:r>
      <w:r w:rsidRPr="00597DC6">
        <w:tab/>
      </w:r>
      <w:r w:rsidRPr="00F26003">
        <w:t xml:space="preserve">Ruling of Appeal Court of Kyiv of 1 March 2019. See http://reyestr.court.gov.ua/Review/80303794 (accessed </w:t>
      </w:r>
      <w:r>
        <w:t xml:space="preserve">on </w:t>
      </w:r>
      <w:r w:rsidRPr="00F26003">
        <w:t>19 May 2019).</w:t>
      </w:r>
    </w:p>
  </w:footnote>
  <w:footnote w:id="87">
    <w:p w14:paraId="7FBAD848" w14:textId="1D7EDA6E" w:rsidR="00815357" w:rsidRPr="00B83E05" w:rsidRDefault="00815357" w:rsidP="00502987">
      <w:pPr>
        <w:pStyle w:val="FootnoteText"/>
      </w:pPr>
      <w:r>
        <w:rPr>
          <w:rStyle w:val="FootnoteReference"/>
        </w:rPr>
        <w:footnoteRef/>
      </w:r>
      <w:r>
        <w:t xml:space="preserve"> </w:t>
      </w:r>
      <w:r>
        <w:tab/>
      </w:r>
      <w:r w:rsidRPr="00B83E05">
        <w:rPr>
          <w:rStyle w:val="5yl5"/>
          <w:lang w:val="en-US"/>
        </w:rPr>
        <w:t>Unknown individuals had already attempted to shoot him in 2016.</w:t>
      </w:r>
    </w:p>
  </w:footnote>
  <w:footnote w:id="88">
    <w:p w14:paraId="3BB40DD2" w14:textId="52C89CFE" w:rsidR="00815357" w:rsidRPr="00C16B77" w:rsidRDefault="00815357" w:rsidP="00502987">
      <w:pPr>
        <w:pStyle w:val="FootnoteText"/>
      </w:pPr>
      <w:r w:rsidRPr="00C16B77">
        <w:rPr>
          <w:rStyle w:val="FootnoteReference"/>
        </w:rPr>
        <w:footnoteRef/>
      </w:r>
      <w:r w:rsidRPr="00C16B77">
        <w:t xml:space="preserve"> </w:t>
      </w:r>
      <w:r w:rsidRPr="00C16B77">
        <w:tab/>
        <w:t xml:space="preserve">OHCHR interview, </w:t>
      </w:r>
      <w:r>
        <w:t>27 May 2019.</w:t>
      </w:r>
    </w:p>
  </w:footnote>
  <w:footnote w:id="89">
    <w:p w14:paraId="6FFA6751" w14:textId="77777777" w:rsidR="00815357" w:rsidRPr="00C16B77" w:rsidRDefault="00815357" w:rsidP="00502987">
      <w:pPr>
        <w:pStyle w:val="FootnoteText"/>
      </w:pPr>
      <w:r w:rsidRPr="00C16B77">
        <w:rPr>
          <w:rStyle w:val="FootnoteReference"/>
        </w:rPr>
        <w:footnoteRef/>
      </w:r>
      <w:r w:rsidRPr="00C16B77">
        <w:t xml:space="preserve"> </w:t>
      </w:r>
      <w:r w:rsidRPr="00C16B77">
        <w:tab/>
        <w:t>Kateryna Handziuk, a senior staff member of Kherson city council, was well-known for her anticorruption views. On 31 July 2018, she was attacked with acid, causing her severe injuries which eventually led to her death on 4 November 2018.</w:t>
      </w:r>
    </w:p>
  </w:footnote>
  <w:footnote w:id="90">
    <w:p w14:paraId="6608D757" w14:textId="66BBB2CF" w:rsidR="00815357" w:rsidRPr="00C16B77" w:rsidRDefault="00815357" w:rsidP="00502987">
      <w:pPr>
        <w:pStyle w:val="FootnoteText"/>
      </w:pPr>
      <w:r w:rsidRPr="00C16B77">
        <w:rPr>
          <w:vertAlign w:val="superscript"/>
        </w:rPr>
        <w:footnoteRef/>
      </w:r>
      <w:r w:rsidRPr="00C16B77">
        <w:t xml:space="preserve"> </w:t>
      </w:r>
      <w:r w:rsidRPr="00C16B77">
        <w:tab/>
        <w:t>OHCHR trial observations, 25 March 2019.</w:t>
      </w:r>
    </w:p>
  </w:footnote>
  <w:footnote w:id="91">
    <w:p w14:paraId="61460969" w14:textId="18670CA1" w:rsidR="00815357" w:rsidRPr="008E3096" w:rsidRDefault="00815357" w:rsidP="00502987">
      <w:pPr>
        <w:pStyle w:val="FootnoteText"/>
      </w:pPr>
      <w:r w:rsidRPr="008E3096">
        <w:rPr>
          <w:rStyle w:val="FootnoteReference"/>
        </w:rPr>
        <w:footnoteRef/>
      </w:r>
      <w:r w:rsidRPr="008E3096">
        <w:t xml:space="preserve"> </w:t>
      </w:r>
      <w:r w:rsidRPr="008E3096">
        <w:tab/>
      </w:r>
      <w:r>
        <w:t>Para. 2, a</w:t>
      </w:r>
      <w:r w:rsidRPr="00597DC6">
        <w:t>rticle 115 of the Criminal Code of Ukraine</w:t>
      </w:r>
      <w:r w:rsidRPr="008E3096">
        <w:t>.</w:t>
      </w:r>
    </w:p>
  </w:footnote>
  <w:footnote w:id="92">
    <w:p w14:paraId="7EFFC193" w14:textId="6B5D8A04" w:rsidR="00815357" w:rsidRPr="00D35B9F" w:rsidRDefault="00815357" w:rsidP="00502987">
      <w:pPr>
        <w:pStyle w:val="FootnoteText"/>
      </w:pPr>
      <w:r w:rsidRPr="008E3096">
        <w:rPr>
          <w:rStyle w:val="FootnoteReference"/>
        </w:rPr>
        <w:footnoteRef/>
      </w:r>
      <w:r w:rsidRPr="008E3096">
        <w:t xml:space="preserve"> </w:t>
      </w:r>
      <w:r w:rsidRPr="008E3096">
        <w:tab/>
      </w:r>
      <w:r>
        <w:t>Para, 2, a</w:t>
      </w:r>
      <w:r w:rsidRPr="00597DC6">
        <w:t>rticle 121 of the Criminal Code of Ukraine</w:t>
      </w:r>
      <w:r w:rsidRPr="008E3096">
        <w:t>.</w:t>
      </w:r>
      <w:r>
        <w:t xml:space="preserve"> </w:t>
      </w:r>
    </w:p>
  </w:footnote>
  <w:footnote w:id="93">
    <w:p w14:paraId="45D44957" w14:textId="6E6CEC47" w:rsidR="00815357" w:rsidRPr="001D2B4D" w:rsidRDefault="00815357" w:rsidP="00502987">
      <w:pPr>
        <w:pStyle w:val="FootnoteText"/>
      </w:pPr>
      <w:r>
        <w:rPr>
          <w:rStyle w:val="FootnoteReference"/>
        </w:rPr>
        <w:footnoteRef/>
      </w:r>
      <w:r>
        <w:t xml:space="preserve"> </w:t>
      </w:r>
      <w:r>
        <w:tab/>
      </w:r>
      <w:r w:rsidRPr="00D35B9F">
        <w:t xml:space="preserve">These new charges would result in </w:t>
      </w:r>
      <w:r>
        <w:t>less severe</w:t>
      </w:r>
      <w:r w:rsidRPr="00D35B9F">
        <w:t xml:space="preserve"> sentences: the Criminal Code of Ukraine prescribes 10 to 15 years imprisonment for intended murder, and </w:t>
      </w:r>
      <w:r>
        <w:t>seven</w:t>
      </w:r>
      <w:r w:rsidRPr="00D35B9F">
        <w:t xml:space="preserve"> to 10 years of imprisonment for </w:t>
      </w:r>
      <w:r>
        <w:t>aggravated intended grievous bodily injury</w:t>
      </w:r>
      <w:r w:rsidRPr="00D35B9F">
        <w:t>.</w:t>
      </w:r>
    </w:p>
  </w:footnote>
  <w:footnote w:id="94">
    <w:p w14:paraId="235FF5B3" w14:textId="2B06A6CE" w:rsidR="00815357" w:rsidRPr="00B70026" w:rsidRDefault="00815357" w:rsidP="00502987">
      <w:pPr>
        <w:pStyle w:val="FootnoteText"/>
        <w:rPr>
          <w:lang w:val="en-US"/>
        </w:rPr>
      </w:pPr>
      <w:r>
        <w:rPr>
          <w:rStyle w:val="FootnoteReference"/>
        </w:rPr>
        <w:footnoteRef/>
      </w:r>
      <w:r>
        <w:t xml:space="preserve"> </w:t>
      </w:r>
      <w:r>
        <w:tab/>
      </w:r>
      <w:r>
        <w:rPr>
          <w:lang w:val="en-US"/>
        </w:rPr>
        <w:t xml:space="preserve">Oles Buzyna was killed on 16 April 2015 near his home in Kyiv. </w:t>
      </w:r>
    </w:p>
  </w:footnote>
  <w:footnote w:id="95">
    <w:p w14:paraId="0674B714" w14:textId="7185E047" w:rsidR="00815357" w:rsidRPr="00C16B77" w:rsidRDefault="00815357" w:rsidP="00502987">
      <w:pPr>
        <w:pStyle w:val="FootnoteText"/>
      </w:pPr>
      <w:r w:rsidRPr="00C16B77">
        <w:rPr>
          <w:rStyle w:val="FootnoteReference"/>
        </w:rPr>
        <w:footnoteRef/>
      </w:r>
      <w:r w:rsidRPr="00C16B77">
        <w:t xml:space="preserve"> </w:t>
      </w:r>
      <w:r w:rsidRPr="00C16B77">
        <w:tab/>
        <w:t xml:space="preserve">Law of Ukraine ‘On ensuring the functioning of the Ukrainian as the State language’ </w:t>
      </w:r>
      <w:r>
        <w:t>N</w:t>
      </w:r>
      <w:r w:rsidRPr="0066316A">
        <w:t>o. 2704-VIII of 25 April 2019.</w:t>
      </w:r>
      <w:r>
        <w:t xml:space="preserve"> The law was signed by the President on 15 May 2019 and was officially published on 16 May 2019. The law will enter into force on 16 July 2019.</w:t>
      </w:r>
      <w:r w:rsidRPr="0002238F">
        <w:t xml:space="preserve"> The law provides for a deferred application (from 6 months to up to 10 years) of </w:t>
      </w:r>
      <w:r>
        <w:t>a number of</w:t>
      </w:r>
      <w:r w:rsidRPr="0002238F">
        <w:t xml:space="preserve"> provisions, for instance, those relating to the use of language in education, in printed media, publishing, advertising and in provision of services.</w:t>
      </w:r>
      <w:r>
        <w:t xml:space="preserve"> </w:t>
      </w:r>
    </w:p>
  </w:footnote>
  <w:footnote w:id="96">
    <w:p w14:paraId="78B4DC78" w14:textId="212F523D" w:rsidR="00815357" w:rsidRPr="00C16B77" w:rsidRDefault="00815357" w:rsidP="00502987">
      <w:pPr>
        <w:pStyle w:val="FootnoteText"/>
      </w:pPr>
      <w:r w:rsidRPr="00C16B77">
        <w:rPr>
          <w:rStyle w:val="FootnoteReference"/>
        </w:rPr>
        <w:footnoteRef/>
      </w:r>
      <w:r w:rsidRPr="00C16B77">
        <w:t xml:space="preserve"> </w:t>
      </w:r>
      <w:r w:rsidRPr="00C16B77">
        <w:tab/>
      </w:r>
      <w:r w:rsidRPr="00004D94">
        <w:t xml:space="preserve">The text of the draft law (No. 5670-d) adopted in the first reading was substantially changed before the final vote with 849 amendments introduced largely to mitigate the concerns found in the initial text. </w:t>
      </w:r>
      <w:r w:rsidRPr="00C16B77">
        <w:t>OHCHR Report on the human rights situation in Ukraine, 16 August to 15 November 2018, para. 84.</w:t>
      </w:r>
    </w:p>
  </w:footnote>
  <w:footnote w:id="97">
    <w:p w14:paraId="666C82DF" w14:textId="0200736D" w:rsidR="00815357" w:rsidRPr="000D63B0" w:rsidRDefault="00815357" w:rsidP="00502987">
      <w:pPr>
        <w:pStyle w:val="FootnoteText"/>
      </w:pPr>
      <w:r>
        <w:rPr>
          <w:rStyle w:val="FootnoteReference"/>
        </w:rPr>
        <w:footnoteRef/>
      </w:r>
      <w:r>
        <w:t xml:space="preserve"> </w:t>
      </w:r>
      <w:r>
        <w:tab/>
        <w:t>Para. 8 (3) of Chapter IX of the law No.</w:t>
      </w:r>
      <w:r w:rsidRPr="009F67EB">
        <w:t xml:space="preserve"> </w:t>
      </w:r>
      <w:r w:rsidRPr="00FB2C3E">
        <w:t>2704-VIII</w:t>
      </w:r>
      <w:r>
        <w:t xml:space="preserve">. </w:t>
      </w:r>
    </w:p>
  </w:footnote>
  <w:footnote w:id="98">
    <w:p w14:paraId="7CA2EB4E" w14:textId="2F72B053" w:rsidR="00815357" w:rsidRPr="00C16B77" w:rsidRDefault="00815357" w:rsidP="00502987">
      <w:pPr>
        <w:pStyle w:val="FootnoteText"/>
      </w:pPr>
      <w:r w:rsidRPr="00C16B77">
        <w:rPr>
          <w:rStyle w:val="FootnoteReference"/>
        </w:rPr>
        <w:footnoteRef/>
      </w:r>
      <w:r w:rsidRPr="00C16B77">
        <w:t xml:space="preserve"> </w:t>
      </w:r>
      <w:r w:rsidRPr="00C16B77">
        <w:tab/>
      </w:r>
      <w:r>
        <w:t>L</w:t>
      </w:r>
      <w:r w:rsidRPr="00C16B77">
        <w:t xml:space="preserve">aw </w:t>
      </w:r>
      <w:r>
        <w:t>N</w:t>
      </w:r>
      <w:r w:rsidRPr="00004D94">
        <w:t>o. 2704-VIII</w:t>
      </w:r>
      <w:r w:rsidRPr="00C16B77">
        <w:t xml:space="preserve"> provides preferential treatment to indigenous peoples and minorities using the EU official languages in the spheres of education, media and publishing. The issue of differential treatment was highlighted by the Venice Commission in its Opinion No. 902/2017 on the Provisions of the Law on Education of 5 September 2017 which concern the use of the State language and minority and other languages in Education. The Venice Commission recommended amending the law to address the issue of discriminatory treatment of minority languages, which are not official languages of the EU. </w:t>
      </w:r>
      <w:r w:rsidRPr="00875881">
        <w:t>See</w:t>
      </w:r>
      <w:r w:rsidRPr="00C16B77">
        <w:t xml:space="preserve"> also OHCHR Report on the human rights situation in Ukraine, 16 November 2017 to 15 February 2018, para. 136.</w:t>
      </w:r>
    </w:p>
  </w:footnote>
  <w:footnote w:id="99">
    <w:p w14:paraId="3DB0EB95" w14:textId="4E7D120E" w:rsidR="00815357" w:rsidRPr="00C16B77" w:rsidRDefault="00815357" w:rsidP="00502987">
      <w:pPr>
        <w:pStyle w:val="FootnoteText"/>
      </w:pPr>
      <w:r w:rsidRPr="00C16B77">
        <w:rPr>
          <w:rStyle w:val="FootnoteReference"/>
        </w:rPr>
        <w:footnoteRef/>
      </w:r>
      <w:r w:rsidRPr="00C16B77">
        <w:rPr>
          <w:vertAlign w:val="superscript"/>
        </w:rPr>
        <w:t xml:space="preserve"> </w:t>
      </w:r>
      <w:r w:rsidRPr="00C16B77">
        <w:tab/>
        <w:t>OHCHR interview</w:t>
      </w:r>
      <w:r>
        <w:t xml:space="preserve">, </w:t>
      </w:r>
      <w:r w:rsidRPr="00C16B77">
        <w:t xml:space="preserve">8 April 2019. </w:t>
      </w:r>
    </w:p>
  </w:footnote>
  <w:footnote w:id="100">
    <w:p w14:paraId="06B9C5FC" w14:textId="3491AB6F" w:rsidR="00815357" w:rsidRPr="00FD1475" w:rsidRDefault="00815357" w:rsidP="00502987">
      <w:pPr>
        <w:pStyle w:val="FootnoteText"/>
        <w:rPr>
          <w:lang w:val="en-US"/>
        </w:rPr>
      </w:pPr>
      <w:r>
        <w:rPr>
          <w:rStyle w:val="FootnoteReference"/>
        </w:rPr>
        <w:footnoteRef/>
      </w:r>
      <w:r>
        <w:t xml:space="preserve"> </w:t>
      </w:r>
      <w:r>
        <w:rPr>
          <w:lang w:val="en-US"/>
        </w:rPr>
        <w:tab/>
        <w:t xml:space="preserve"> Official statement of press-service of District Administrative Court of Kyiv </w:t>
      </w:r>
      <w:r>
        <w:t xml:space="preserve">on 22 April 2019. See </w:t>
      </w:r>
      <w:r w:rsidRPr="00806806">
        <w:t>http://oask.gov.ua/node/3829</w:t>
      </w:r>
      <w:r>
        <w:t>.</w:t>
      </w:r>
    </w:p>
  </w:footnote>
  <w:footnote w:id="101">
    <w:p w14:paraId="069C20EC" w14:textId="176DAA86" w:rsidR="00815357" w:rsidRPr="007606B5" w:rsidRDefault="00815357" w:rsidP="0073522A">
      <w:pPr>
        <w:pStyle w:val="FootnoteText"/>
        <w:rPr>
          <w:lang w:val="en-US"/>
        </w:rPr>
      </w:pPr>
      <w:r>
        <w:rPr>
          <w:rStyle w:val="FootnoteReference"/>
        </w:rPr>
        <w:footnoteRef/>
      </w:r>
      <w:r>
        <w:t xml:space="preserve"> </w:t>
      </w:r>
      <w:r>
        <w:tab/>
        <w:t>See also,</w:t>
      </w:r>
      <w:r w:rsidRPr="007606B5">
        <w:rPr>
          <w:lang w:val="en-US"/>
        </w:rPr>
        <w:t xml:space="preserve"> R</w:t>
      </w:r>
      <w:r w:rsidRPr="00BD013C">
        <w:t xml:space="preserve">esolution on religious freedom in the Ukrainian territories of Crimea and Donbas occupied by Russian Federation adopted by 50 participants of the Religious Freedom Roundtable in Ukraine on </w:t>
      </w:r>
      <w:r>
        <w:t xml:space="preserve">14 </w:t>
      </w:r>
      <w:r w:rsidRPr="00BD013C">
        <w:t>May</w:t>
      </w:r>
      <w:r>
        <w:t xml:space="preserve"> 2019, available at </w:t>
      </w:r>
      <w:r w:rsidRPr="00BD013C">
        <w:t>https://irs.in.ua/index.php?option=com_content&amp;view=article&amp;id=1976%3A1&amp;cat</w:t>
      </w:r>
      <w:r>
        <w:t xml:space="preserve">id=34%3Aua&amp;Itemid=61&amp;lang=uk. </w:t>
      </w:r>
    </w:p>
  </w:footnote>
  <w:footnote w:id="102">
    <w:p w14:paraId="75576652" w14:textId="53642C10" w:rsidR="00815357" w:rsidRPr="000B3F1E" w:rsidRDefault="00815357" w:rsidP="00502987">
      <w:pPr>
        <w:pStyle w:val="FootnoteText"/>
      </w:pPr>
      <w:r>
        <w:rPr>
          <w:rStyle w:val="FootnoteReference"/>
        </w:rPr>
        <w:footnoteRef/>
      </w:r>
      <w:r>
        <w:t xml:space="preserve"> </w:t>
      </w:r>
      <w:r>
        <w:tab/>
        <w:t>OHCHR interview, 29 April 2019.</w:t>
      </w:r>
    </w:p>
  </w:footnote>
  <w:footnote w:id="103">
    <w:p w14:paraId="616CA40E" w14:textId="363052E7" w:rsidR="00815357" w:rsidRPr="00BA0A97" w:rsidRDefault="00815357" w:rsidP="00502987">
      <w:pPr>
        <w:pStyle w:val="FootnoteText"/>
      </w:pPr>
      <w:r>
        <w:rPr>
          <w:rStyle w:val="FootnoteReference"/>
        </w:rPr>
        <w:footnoteRef/>
      </w:r>
      <w:r>
        <w:t xml:space="preserve"> </w:t>
      </w:r>
      <w:r>
        <w:tab/>
        <w:t>UN Independent Expert on the protection against violence and discrimination based on sexual orientation and gender identity, Preliminary observations on the country visit to Ukraine, held from 30 April to 10 May 2019, para. 16.</w:t>
      </w:r>
    </w:p>
  </w:footnote>
  <w:footnote w:id="104">
    <w:p w14:paraId="67064F83" w14:textId="02B921B6" w:rsidR="00815357" w:rsidRPr="002F7584" w:rsidRDefault="00815357" w:rsidP="00502987">
      <w:pPr>
        <w:pStyle w:val="FootnoteText"/>
      </w:pPr>
      <w:r>
        <w:rPr>
          <w:rStyle w:val="FootnoteReference"/>
        </w:rPr>
        <w:footnoteRef/>
      </w:r>
      <w:r>
        <w:t xml:space="preserve"> </w:t>
      </w:r>
      <w:r>
        <w:tab/>
      </w:r>
      <w:r w:rsidRPr="00913746">
        <w:rPr>
          <w:i/>
        </w:rPr>
        <w:t>Official Records of the General Assembly</w:t>
      </w:r>
      <w:r>
        <w:t>, Seventy-third Session, Resolution (A/RES/73/236), para 11. Hereafter Crimea.</w:t>
      </w:r>
    </w:p>
  </w:footnote>
  <w:footnote w:id="105">
    <w:p w14:paraId="56219FE7" w14:textId="495BBEE4" w:rsidR="00815357" w:rsidRPr="00CB5EA2" w:rsidRDefault="00815357" w:rsidP="00502987">
      <w:pPr>
        <w:pStyle w:val="FootnoteText"/>
        <w:rPr>
          <w:lang w:val="en-US"/>
        </w:rPr>
      </w:pPr>
      <w:r>
        <w:rPr>
          <w:rStyle w:val="FootnoteReference"/>
        </w:rPr>
        <w:footnoteRef/>
      </w:r>
      <w:r>
        <w:t xml:space="preserve"> </w:t>
      </w:r>
      <w:r>
        <w:tab/>
      </w:r>
      <w:r w:rsidRPr="008E42AE">
        <w:t>The violations attributable to the Government of Ukraine did not necessarily occur in Crimea itself, but concern events in mainland Ukraine connected to the situation in Crimea. They</w:t>
      </w:r>
      <w:r>
        <w:t xml:space="preserve"> </w:t>
      </w:r>
      <w:r w:rsidRPr="008E42AE">
        <w:t>are related to freedom of movement, access to public services, and the right to property.</w:t>
      </w:r>
    </w:p>
  </w:footnote>
  <w:footnote w:id="106">
    <w:p w14:paraId="2AD7AABB" w14:textId="5293EBDF" w:rsidR="00815357" w:rsidRPr="00C16B77" w:rsidRDefault="00815357" w:rsidP="00502987">
      <w:pPr>
        <w:pStyle w:val="FootnoteText"/>
      </w:pPr>
      <w:r w:rsidRPr="00C16B77">
        <w:rPr>
          <w:rStyle w:val="FootnoteReference"/>
        </w:rPr>
        <w:footnoteRef/>
      </w:r>
      <w:r w:rsidRPr="00C16B77">
        <w:t xml:space="preserve"> </w:t>
      </w:r>
      <w:r w:rsidRPr="00C16B77">
        <w:tab/>
      </w:r>
      <w:r>
        <w:t>OHCHR</w:t>
      </w:r>
      <w:r w:rsidRPr="00C16B77">
        <w:t xml:space="preserve"> interviews, 27, 28</w:t>
      </w:r>
      <w:r>
        <w:t xml:space="preserve"> and </w:t>
      </w:r>
      <w:r w:rsidRPr="00C16B77">
        <w:t xml:space="preserve">29 March 2019. </w:t>
      </w:r>
    </w:p>
  </w:footnote>
  <w:footnote w:id="107">
    <w:p w14:paraId="765F8A27" w14:textId="54999673" w:rsidR="00815357" w:rsidRPr="00875881" w:rsidRDefault="00815357" w:rsidP="00502987">
      <w:pPr>
        <w:pStyle w:val="FootnoteText"/>
      </w:pPr>
      <w:r>
        <w:rPr>
          <w:rStyle w:val="FootnoteReference"/>
        </w:rPr>
        <w:footnoteRef/>
      </w:r>
      <w:r>
        <w:t xml:space="preserve"> </w:t>
      </w:r>
      <w:r>
        <w:tab/>
      </w:r>
      <w:r w:rsidRPr="00C16B77">
        <w:t xml:space="preserve">OHCHR Report on the human rights situation in Ukraine, 16 </w:t>
      </w:r>
      <w:r w:rsidRPr="002E7F7C">
        <w:t>November 2018 to 15 February 2019</w:t>
      </w:r>
      <w:r w:rsidRPr="00C16B77">
        <w:t>, para</w:t>
      </w:r>
      <w:r>
        <w:t>s</w:t>
      </w:r>
      <w:r w:rsidRPr="00C16B77">
        <w:t xml:space="preserve">. </w:t>
      </w:r>
      <w:r>
        <w:t>99-103.</w:t>
      </w:r>
    </w:p>
  </w:footnote>
  <w:footnote w:id="108">
    <w:p w14:paraId="1E61EFE8" w14:textId="0FCCB6E3" w:rsidR="00815357" w:rsidRPr="00512B65" w:rsidRDefault="00815357" w:rsidP="00502987">
      <w:pPr>
        <w:pStyle w:val="FootnoteText"/>
      </w:pPr>
      <w:r>
        <w:rPr>
          <w:rStyle w:val="FootnoteReference"/>
        </w:rPr>
        <w:footnoteRef/>
      </w:r>
      <w:r>
        <w:t xml:space="preserve"> </w:t>
      </w:r>
      <w:r>
        <w:tab/>
        <w:t>Until 26 July for three crew members and until 24 July for the remaining 21.</w:t>
      </w:r>
    </w:p>
  </w:footnote>
  <w:footnote w:id="109">
    <w:p w14:paraId="4CCAFF10" w14:textId="29AB8F31" w:rsidR="00815357" w:rsidRPr="00795BCB" w:rsidRDefault="00815357" w:rsidP="00502987">
      <w:pPr>
        <w:pStyle w:val="FootnoteText"/>
      </w:pPr>
      <w:r w:rsidRPr="00795BCB">
        <w:rPr>
          <w:rStyle w:val="FootnoteReference"/>
        </w:rPr>
        <w:footnoteRef/>
      </w:r>
      <w:r w:rsidRPr="00795BCB">
        <w:t xml:space="preserve"> </w:t>
      </w:r>
      <w:r w:rsidRPr="00795BCB">
        <w:tab/>
        <w:t>See International Tribunal of the Law on the Sea, Case Concerning the Detention of Three</w:t>
      </w:r>
      <w:r>
        <w:t xml:space="preserve"> </w:t>
      </w:r>
      <w:r w:rsidRPr="00795BCB">
        <w:t>Ukrainian Naval Vessels (Ukraine V. Russian Federation), Request for the prescription of provisional measures, 25 May 2019, para. 124.</w:t>
      </w:r>
    </w:p>
  </w:footnote>
  <w:footnote w:id="110">
    <w:p w14:paraId="1793954A" w14:textId="77777777" w:rsidR="00815357" w:rsidRPr="00930946" w:rsidRDefault="00815357" w:rsidP="00502987">
      <w:pPr>
        <w:pStyle w:val="FootnoteText"/>
        <w:rPr>
          <w:lang w:val="en-US"/>
        </w:rPr>
      </w:pPr>
      <w:r>
        <w:rPr>
          <w:rStyle w:val="FootnoteReference"/>
        </w:rPr>
        <w:footnoteRef/>
      </w:r>
      <w:r>
        <w:t xml:space="preserve"> </w:t>
      </w:r>
      <w:r>
        <w:rPr>
          <w:lang w:val="en-US"/>
        </w:rPr>
        <w:tab/>
      </w:r>
      <w:r>
        <w:t>While a public hearing of ITLOS took place during the reporting period (10 and 11 May), the Order on Provisional Measures was delivered outside the reporting period.</w:t>
      </w:r>
    </w:p>
  </w:footnote>
  <w:footnote w:id="111">
    <w:p w14:paraId="2EBD9928" w14:textId="57A83C09" w:rsidR="00815357" w:rsidRPr="00C16B77" w:rsidRDefault="00815357" w:rsidP="00502987">
      <w:pPr>
        <w:pStyle w:val="FootnoteText"/>
      </w:pPr>
      <w:r w:rsidRPr="00C16B77">
        <w:rPr>
          <w:rStyle w:val="FootnoteReference"/>
        </w:rPr>
        <w:footnoteRef/>
      </w:r>
      <w:r w:rsidRPr="00C16B77">
        <w:t xml:space="preserve"> </w:t>
      </w:r>
      <w:r w:rsidRPr="00C16B77">
        <w:tab/>
      </w:r>
      <w:r>
        <w:rPr>
          <w:lang w:val="en-US"/>
        </w:rPr>
        <w:t xml:space="preserve">Report of the High Commissioner for Human Rights in the Republic of Crimea, 2018, p. 33, </w:t>
      </w:r>
      <w:hyperlink r:id="rId15" w:history="1">
        <w:r>
          <w:rPr>
            <w:rStyle w:val="Hyperlink"/>
            <w:lang w:val="en-US"/>
          </w:rPr>
          <w:t>http://www.crimea.gov.ru/app/11820</w:t>
        </w:r>
      </w:hyperlink>
      <w:r>
        <w:rPr>
          <w:rStyle w:val="Hyperlink"/>
          <w:lang w:val="en-US"/>
        </w:rPr>
        <w:t>.</w:t>
      </w:r>
      <w:r>
        <w:t xml:space="preserve"> </w:t>
      </w:r>
    </w:p>
  </w:footnote>
  <w:footnote w:id="112">
    <w:p w14:paraId="092E0D27" w14:textId="04834188" w:rsidR="00815357" w:rsidRPr="00C16B77" w:rsidRDefault="00815357" w:rsidP="00502987">
      <w:pPr>
        <w:pStyle w:val="FootnoteText"/>
      </w:pPr>
      <w:r w:rsidRPr="00C16B77">
        <w:rPr>
          <w:rStyle w:val="FootnoteReference"/>
        </w:rPr>
        <w:footnoteRef/>
      </w:r>
      <w:r w:rsidRPr="00C16B77">
        <w:t xml:space="preserve"> </w:t>
      </w:r>
      <w:r w:rsidRPr="00C16B77">
        <w:tab/>
      </w:r>
      <w:r>
        <w:t>OHCHR</w:t>
      </w:r>
      <w:r w:rsidRPr="00C16B77">
        <w:t xml:space="preserve"> interview, 19 March 2019. </w:t>
      </w:r>
    </w:p>
  </w:footnote>
  <w:footnote w:id="113">
    <w:p w14:paraId="46BB4BE9" w14:textId="6638D09A" w:rsidR="00815357" w:rsidRPr="00C16B77" w:rsidRDefault="00815357" w:rsidP="00502987">
      <w:pPr>
        <w:pStyle w:val="FootnoteText"/>
      </w:pPr>
      <w:r w:rsidRPr="00C16B77">
        <w:rPr>
          <w:rStyle w:val="FootnoteReference"/>
        </w:rPr>
        <w:footnoteRef/>
      </w:r>
      <w:r w:rsidRPr="00C16B77">
        <w:t xml:space="preserve"> </w:t>
      </w:r>
      <w:r w:rsidRPr="00C16B77">
        <w:tab/>
      </w:r>
      <w:r>
        <w:t>OHCHR</w:t>
      </w:r>
      <w:r w:rsidRPr="00C16B77">
        <w:t xml:space="preserve"> interview, 20 March 2019.</w:t>
      </w:r>
    </w:p>
  </w:footnote>
  <w:footnote w:id="114">
    <w:p w14:paraId="4A93B24F" w14:textId="77777777" w:rsidR="00815357" w:rsidRPr="00C16B77" w:rsidRDefault="00815357" w:rsidP="000E49B3">
      <w:pPr>
        <w:pStyle w:val="FootnoteText"/>
      </w:pPr>
      <w:r w:rsidRPr="00C16B77">
        <w:rPr>
          <w:rStyle w:val="FootnoteReference"/>
        </w:rPr>
        <w:footnoteRef/>
      </w:r>
      <w:r w:rsidRPr="00C16B77">
        <w:t xml:space="preserve"> </w:t>
      </w:r>
      <w:r w:rsidRPr="00C16B77">
        <w:tab/>
      </w:r>
      <w:r w:rsidRPr="00C16B77">
        <w:rPr>
          <w:rFonts w:eastAsiaTheme="minorHAnsi"/>
        </w:rPr>
        <w:t>Application of the International Convention for the Suppression of the Financing of Terrorism and of the International Convention on the Elimination of all forms of racial discrimination</w:t>
      </w:r>
      <w:r>
        <w:rPr>
          <w:rFonts w:eastAsiaTheme="minorHAnsi"/>
        </w:rPr>
        <w:t>,</w:t>
      </w:r>
      <w:r w:rsidRPr="00C16B77">
        <w:rPr>
          <w:rFonts w:eastAsiaTheme="minorHAnsi"/>
        </w:rPr>
        <w:t xml:space="preserve"> </w:t>
      </w:r>
      <w:r w:rsidRPr="00597DC6">
        <w:rPr>
          <w:rFonts w:eastAsiaTheme="minorHAnsi"/>
          <w:i/>
        </w:rPr>
        <w:t>Ukraine v. Russian Federation</w:t>
      </w:r>
      <w:r w:rsidRPr="00C16B77">
        <w:rPr>
          <w:rFonts w:eastAsiaTheme="minorHAnsi"/>
        </w:rPr>
        <w:t xml:space="preserve">; Request for the indication of provisional measures, </w:t>
      </w:r>
      <w:r w:rsidRPr="008F6D38">
        <w:rPr>
          <w:rFonts w:eastAsiaTheme="minorHAnsi"/>
          <w:i/>
        </w:rPr>
        <w:t>Ukraine v. Russian Federation</w:t>
      </w:r>
      <w:r>
        <w:rPr>
          <w:rFonts w:eastAsiaTheme="minorHAnsi"/>
        </w:rPr>
        <w:t xml:space="preserve">, </w:t>
      </w:r>
      <w:r w:rsidRPr="00C16B77">
        <w:rPr>
          <w:rFonts w:eastAsiaTheme="minorHAnsi"/>
        </w:rPr>
        <w:t>General List No. 166</w:t>
      </w:r>
      <w:r>
        <w:rPr>
          <w:rFonts w:eastAsiaTheme="minorHAnsi"/>
        </w:rPr>
        <w:t>, para. 106,</w:t>
      </w:r>
      <w:r w:rsidRPr="00C16B77">
        <w:rPr>
          <w:rFonts w:eastAsiaTheme="minorHAnsi"/>
        </w:rPr>
        <w:t xml:space="preserve"> 19 April 2017</w:t>
      </w:r>
      <w:r>
        <w:rPr>
          <w:rFonts w:eastAsiaTheme="minorHAnsi"/>
        </w:rPr>
        <w:t>.</w:t>
      </w:r>
      <w:r w:rsidRPr="00C16B77">
        <w:rPr>
          <w:rFonts w:eastAsiaTheme="minorHAnsi"/>
        </w:rPr>
        <w:t xml:space="preserve"> </w:t>
      </w:r>
    </w:p>
  </w:footnote>
  <w:footnote w:id="115">
    <w:p w14:paraId="09441FFC" w14:textId="77777777" w:rsidR="00815357" w:rsidRPr="00C16B77" w:rsidRDefault="00815357" w:rsidP="000E49B3">
      <w:pPr>
        <w:pStyle w:val="FootnoteText"/>
      </w:pPr>
      <w:r w:rsidRPr="002E64CC">
        <w:rPr>
          <w:rStyle w:val="FootnoteReference"/>
        </w:rPr>
        <w:footnoteRef/>
      </w:r>
      <w:r w:rsidRPr="002E64CC">
        <w:t xml:space="preserve"> </w:t>
      </w:r>
      <w:r w:rsidRPr="002E64CC">
        <w:tab/>
      </w:r>
      <w:r w:rsidRPr="00597DC6">
        <w:t xml:space="preserve">The Mejlis </w:t>
      </w:r>
      <w:r w:rsidRPr="00597DC6">
        <w:rPr>
          <w:bCs/>
        </w:rPr>
        <w:t>of the Crimean Tatar People</w:t>
      </w:r>
      <w:r w:rsidRPr="00597DC6">
        <w:t xml:space="preserve"> is a representative body of the Crimean Tatars.</w:t>
      </w:r>
    </w:p>
  </w:footnote>
  <w:footnote w:id="116">
    <w:p w14:paraId="155FDE7E" w14:textId="39A0157F" w:rsidR="00815357" w:rsidRPr="00C16B77" w:rsidRDefault="00815357" w:rsidP="00502987">
      <w:pPr>
        <w:pStyle w:val="FootnoteText"/>
      </w:pPr>
      <w:r w:rsidRPr="00B802A2">
        <w:rPr>
          <w:rStyle w:val="FootnoteReference"/>
        </w:rPr>
        <w:footnoteRef/>
      </w:r>
      <w:r w:rsidRPr="00B802A2">
        <w:t xml:space="preserve"> </w:t>
      </w:r>
      <w:r w:rsidRPr="00B802A2">
        <w:tab/>
      </w:r>
      <w:r w:rsidRPr="00597DC6">
        <w:t>UNESCO</w:t>
      </w:r>
      <w:r>
        <w:t>,</w:t>
      </w:r>
      <w:r w:rsidRPr="00597DC6">
        <w:t xml:space="preserve"> Guidelines on Language and Education</w:t>
      </w:r>
      <w:r>
        <w:t>,</w:t>
      </w:r>
      <w:r w:rsidRPr="00597DC6">
        <w:t xml:space="preserve"> Principle I, available at </w:t>
      </w:r>
      <w:r w:rsidRPr="00B802A2">
        <w:rPr>
          <w:rStyle w:val="Hyperlink"/>
          <w:iCs/>
        </w:rPr>
        <w:t>https://unesdoc.unesco.org/ark:/48223/pf0000129728</w:t>
      </w:r>
      <w:r w:rsidRPr="00B802A2">
        <w:t>.</w:t>
      </w:r>
      <w:r w:rsidRPr="00C16B77">
        <w:t xml:space="preserve"> </w:t>
      </w:r>
    </w:p>
  </w:footnote>
  <w:footnote w:id="117">
    <w:p w14:paraId="19E75733" w14:textId="4F1AE42E" w:rsidR="00815357" w:rsidRPr="00C16B77" w:rsidRDefault="00815357" w:rsidP="00502987">
      <w:pPr>
        <w:pStyle w:val="FootnoteText"/>
      </w:pPr>
      <w:r w:rsidRPr="00C16B77">
        <w:rPr>
          <w:rStyle w:val="FootnoteReference"/>
        </w:rPr>
        <w:footnoteRef/>
      </w:r>
      <w:r w:rsidRPr="00C16B77">
        <w:t xml:space="preserve"> </w:t>
      </w:r>
      <w:r w:rsidRPr="00C16B77">
        <w:tab/>
        <w:t xml:space="preserve">Previously reported divergences in the official figures, as well as information received by OHCHR from individual interlocutors, indicate that the formal Ukrainian status of the school or class does not reflect the actual use of Ukrainian in the classroom. </w:t>
      </w:r>
    </w:p>
  </w:footnote>
  <w:footnote w:id="118">
    <w:p w14:paraId="5B0907AF" w14:textId="0CD15483" w:rsidR="00815357" w:rsidRPr="00C16B77" w:rsidRDefault="00815357" w:rsidP="00502987">
      <w:pPr>
        <w:pStyle w:val="FootnoteText"/>
      </w:pPr>
      <w:r w:rsidRPr="00C16B77">
        <w:rPr>
          <w:rStyle w:val="FootnoteReference"/>
        </w:rPr>
        <w:footnoteRef/>
      </w:r>
      <w:r w:rsidRPr="00C16B77">
        <w:t xml:space="preserve"> </w:t>
      </w:r>
      <w:r w:rsidRPr="00C16B77">
        <w:tab/>
      </w:r>
      <w:r w:rsidRPr="00513802">
        <w:t>In the 2013/2014 academic year, 12,694 children were receiving education in Ukrainian</w:t>
      </w:r>
      <w:r>
        <w:t>.</w:t>
      </w:r>
      <w:r w:rsidRPr="00C16B77">
        <w:t xml:space="preserve"> For figures per each academic year between 2014 and 2018, see OHCHR report on the human rights situation in Ukraine, 16 November 2017 to 15 February 2018, para</w:t>
      </w:r>
      <w:r>
        <w:t>s</w:t>
      </w:r>
      <w:r w:rsidRPr="00C16B77">
        <w:t>. 126-128</w:t>
      </w:r>
      <w:r>
        <w:t>.</w:t>
      </w:r>
    </w:p>
  </w:footnote>
  <w:footnote w:id="119">
    <w:p w14:paraId="04789B58" w14:textId="5015A4E2" w:rsidR="00815357" w:rsidRPr="00C16B77" w:rsidRDefault="00815357" w:rsidP="00502987">
      <w:pPr>
        <w:pStyle w:val="FootnoteText"/>
      </w:pPr>
      <w:r w:rsidRPr="00C16B77">
        <w:rPr>
          <w:rStyle w:val="FootnoteReference"/>
        </w:rPr>
        <w:footnoteRef/>
      </w:r>
      <w:r w:rsidRPr="00C16B77">
        <w:t xml:space="preserve"> </w:t>
      </w:r>
      <w:r w:rsidRPr="00C16B77">
        <w:tab/>
        <w:t xml:space="preserve">There were 5,551 Crimean Tatars educated in their native language in 2013/2014. </w:t>
      </w:r>
    </w:p>
  </w:footnote>
  <w:footnote w:id="120">
    <w:p w14:paraId="21EC3F7C" w14:textId="55A3E25B" w:rsidR="00815357" w:rsidRPr="00C16B77" w:rsidRDefault="00815357" w:rsidP="00502987">
      <w:pPr>
        <w:pStyle w:val="FootnoteText"/>
      </w:pPr>
      <w:r w:rsidRPr="00C16B77">
        <w:rPr>
          <w:rStyle w:val="FootnoteReference"/>
        </w:rPr>
        <w:footnoteRef/>
      </w:r>
      <w:r w:rsidRPr="00C16B77">
        <w:t xml:space="preserve"> </w:t>
      </w:r>
      <w:r w:rsidRPr="00C16B77">
        <w:tab/>
        <w:t>OHCHR report on the situation of human rights in the temporarily occupied Autonomous Republic of Crimea and the city of Sevastopol, Ukraine, 13 September 2017 to 30 June 2018, para. 70</w:t>
      </w:r>
      <w:r>
        <w:t>.</w:t>
      </w:r>
    </w:p>
  </w:footnote>
  <w:footnote w:id="121">
    <w:p w14:paraId="5DDADE44" w14:textId="0D62F42A" w:rsidR="00815357" w:rsidRPr="00564756" w:rsidRDefault="00815357" w:rsidP="00502987">
      <w:pPr>
        <w:pStyle w:val="FootnoteText"/>
      </w:pPr>
      <w:r>
        <w:rPr>
          <w:rStyle w:val="FootnoteReference"/>
        </w:rPr>
        <w:footnoteRef/>
      </w:r>
      <w:r>
        <w:t xml:space="preserve"> </w:t>
      </w:r>
      <w:r>
        <w:tab/>
        <w:t>Recent examples include schools in village of Orlivka in Sevastopol and Bilohirsk district of Crimea.</w:t>
      </w:r>
    </w:p>
  </w:footnote>
  <w:footnote w:id="122">
    <w:p w14:paraId="7F4C3A94" w14:textId="48287966" w:rsidR="00815357" w:rsidRPr="00C16B77" w:rsidRDefault="00815357" w:rsidP="00502987">
      <w:pPr>
        <w:pStyle w:val="FootnoteText"/>
      </w:pPr>
      <w:r w:rsidRPr="00C16B77">
        <w:rPr>
          <w:rStyle w:val="FootnoteReference"/>
        </w:rPr>
        <w:footnoteRef/>
      </w:r>
      <w:r w:rsidRPr="00C16B77">
        <w:t xml:space="preserve"> </w:t>
      </w:r>
      <w:r w:rsidRPr="00C16B77">
        <w:tab/>
        <w:t>OHCHR report on the situation of human rights in the temporarily occupied Autonomous Republic of Crimea and the city of Sevastopol</w:t>
      </w:r>
      <w:r>
        <w:t>,</w:t>
      </w:r>
      <w:r w:rsidRPr="00C16B77">
        <w:t xml:space="preserve"> Ukraine, </w:t>
      </w:r>
      <w:r>
        <w:t xml:space="preserve">27 September 2017, </w:t>
      </w:r>
      <w:r w:rsidRPr="00C16B77">
        <w:t>par</w:t>
      </w:r>
      <w:r>
        <w:t>as</w:t>
      </w:r>
      <w:r w:rsidRPr="00C16B77">
        <w:t xml:space="preserve">. 187-193. </w:t>
      </w:r>
    </w:p>
  </w:footnote>
  <w:footnote w:id="123">
    <w:p w14:paraId="3D841380" w14:textId="0D2EC8B0" w:rsidR="00815357" w:rsidRPr="00C16B77" w:rsidRDefault="00815357" w:rsidP="00502987">
      <w:pPr>
        <w:pStyle w:val="FootnoteText"/>
      </w:pPr>
      <w:r w:rsidRPr="00C16B77">
        <w:rPr>
          <w:rStyle w:val="FootnoteReference"/>
        </w:rPr>
        <w:footnoteRef/>
      </w:r>
      <w:r w:rsidRPr="00C16B77">
        <w:t xml:space="preserve"> </w:t>
      </w:r>
      <w:r w:rsidRPr="00C16B77">
        <w:tab/>
        <w:t>ICRC</w:t>
      </w:r>
      <w:r>
        <w:t>,</w:t>
      </w:r>
      <w:r w:rsidRPr="00C16B77">
        <w:t xml:space="preserve"> Customary International Humanitarian Law Database, Rule 23. This rule is applicable to both international armed conflicts and non-international armed conflicts.</w:t>
      </w:r>
    </w:p>
  </w:footnote>
  <w:footnote w:id="124">
    <w:p w14:paraId="0EECE5FA" w14:textId="6B5548D0" w:rsidR="00815357" w:rsidRPr="00C16B77" w:rsidRDefault="00815357" w:rsidP="00502987">
      <w:pPr>
        <w:pStyle w:val="FootnoteText"/>
      </w:pPr>
      <w:r w:rsidRPr="00C16B77">
        <w:rPr>
          <w:rStyle w:val="FootnoteReference"/>
        </w:rPr>
        <w:footnoteRef/>
      </w:r>
      <w:r w:rsidRPr="00C16B77">
        <w:t xml:space="preserve"> </w:t>
      </w:r>
      <w:r w:rsidRPr="00C16B77">
        <w:tab/>
        <w:t>ICRC</w:t>
      </w:r>
      <w:r>
        <w:t>,</w:t>
      </w:r>
      <w:r w:rsidRPr="00C16B77">
        <w:t xml:space="preserve"> Customary International Humanitarian Law Database, Rule 22. This rule is applicable to both international armed conflicts and non-international armed conflicts.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1400986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921E3F"/>
    <w:multiLevelType w:val="multilevel"/>
    <w:tmpl w:val="431CD530"/>
    <w:lvl w:ilvl="0">
      <w:start w:val="1"/>
      <w:numFmt w:val="upperRoman"/>
      <w:pStyle w:val="H1G"/>
      <w:lvlText w:val="%1."/>
      <w:lvlJc w:val="left"/>
      <w:pPr>
        <w:ind w:left="360" w:hanging="360"/>
      </w:pPr>
      <w:rPr>
        <w:rFonts w:hint="default"/>
      </w:rPr>
    </w:lvl>
    <w:lvl w:ilvl="1">
      <w:start w:val="1"/>
      <w:numFmt w:val="upperLetter"/>
      <w:pStyle w:val="H23G"/>
      <w:lvlText w:val="%2."/>
      <w:lvlJc w:val="left"/>
      <w:pPr>
        <w:ind w:left="720" w:hanging="360"/>
      </w:pPr>
      <w:rPr>
        <w:rFonts w:hint="default"/>
      </w:rPr>
    </w:lvl>
    <w:lvl w:ilvl="2">
      <w:start w:val="1"/>
      <w:numFmt w:val="decimal"/>
      <w:pStyle w:val="H4G"/>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B70460A"/>
    <w:multiLevelType w:val="hybridMultilevel"/>
    <w:tmpl w:val="FB6AD2AE"/>
    <w:lvl w:ilvl="0" w:tplc="1024B6F2">
      <w:start w:val="1"/>
      <w:numFmt w:val="decimal"/>
      <w:pStyle w:val="SingleTxtG"/>
      <w:lvlText w:val="%1."/>
      <w:lvlJc w:val="left"/>
      <w:pPr>
        <w:ind w:left="1353" w:hanging="360"/>
      </w:pPr>
      <w:rPr>
        <w:b w:val="0"/>
        <w:i w:val="0"/>
        <w:color w:val="auto"/>
        <w:sz w:val="20"/>
        <w:szCs w:val="20"/>
        <w:vertAlign w:val="baseline"/>
      </w:rPr>
    </w:lvl>
    <w:lvl w:ilvl="1" w:tplc="08090019" w:tentative="1">
      <w:start w:val="1"/>
      <w:numFmt w:val="lowerLetter"/>
      <w:lvlText w:val="%2."/>
      <w:lvlJc w:val="left"/>
      <w:pPr>
        <w:ind w:left="3000" w:hanging="360"/>
      </w:pPr>
    </w:lvl>
    <w:lvl w:ilvl="2" w:tplc="0809001B">
      <w:start w:val="1"/>
      <w:numFmt w:val="lowerRoman"/>
      <w:lvlText w:val="%3."/>
      <w:lvlJc w:val="right"/>
      <w:pPr>
        <w:ind w:left="3720" w:hanging="180"/>
      </w:pPr>
    </w:lvl>
    <w:lvl w:ilvl="3" w:tplc="0809000F" w:tentative="1">
      <w:start w:val="1"/>
      <w:numFmt w:val="decimal"/>
      <w:lvlText w:val="%4."/>
      <w:lvlJc w:val="left"/>
      <w:pPr>
        <w:ind w:left="4440" w:hanging="360"/>
      </w:pPr>
    </w:lvl>
    <w:lvl w:ilvl="4" w:tplc="08090019" w:tentative="1">
      <w:start w:val="1"/>
      <w:numFmt w:val="lowerLetter"/>
      <w:lvlText w:val="%5."/>
      <w:lvlJc w:val="left"/>
      <w:pPr>
        <w:ind w:left="5160" w:hanging="360"/>
      </w:pPr>
    </w:lvl>
    <w:lvl w:ilvl="5" w:tplc="0809001B" w:tentative="1">
      <w:start w:val="1"/>
      <w:numFmt w:val="lowerRoman"/>
      <w:lvlText w:val="%6."/>
      <w:lvlJc w:val="right"/>
      <w:pPr>
        <w:ind w:left="5880" w:hanging="180"/>
      </w:pPr>
    </w:lvl>
    <w:lvl w:ilvl="6" w:tplc="0809000F" w:tentative="1">
      <w:start w:val="1"/>
      <w:numFmt w:val="decimal"/>
      <w:lvlText w:val="%7."/>
      <w:lvlJc w:val="left"/>
      <w:pPr>
        <w:ind w:left="6600" w:hanging="360"/>
      </w:pPr>
    </w:lvl>
    <w:lvl w:ilvl="7" w:tplc="08090019" w:tentative="1">
      <w:start w:val="1"/>
      <w:numFmt w:val="lowerLetter"/>
      <w:lvlText w:val="%8."/>
      <w:lvlJc w:val="left"/>
      <w:pPr>
        <w:ind w:left="7320" w:hanging="360"/>
      </w:pPr>
    </w:lvl>
    <w:lvl w:ilvl="8" w:tplc="0809001B" w:tentative="1">
      <w:start w:val="1"/>
      <w:numFmt w:val="lowerRoman"/>
      <w:lvlText w:val="%9."/>
      <w:lvlJc w:val="right"/>
      <w:pPr>
        <w:ind w:left="8040" w:hanging="180"/>
      </w:pPr>
    </w:lvl>
  </w:abstractNum>
  <w:abstractNum w:abstractNumId="4" w15:restartNumberingAfterBreak="0">
    <w:nsid w:val="2E1943C4"/>
    <w:multiLevelType w:val="hybridMultilevel"/>
    <w:tmpl w:val="505400AC"/>
    <w:lvl w:ilvl="0" w:tplc="98429508">
      <w:start w:val="1"/>
      <w:numFmt w:val="lowerLetter"/>
      <w:pStyle w:val="Rrecommendations"/>
      <w:lvlText w:val="%1)"/>
      <w:lvlJc w:val="left"/>
      <w:pPr>
        <w:ind w:left="2421"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20019" w:tentative="1">
      <w:start w:val="1"/>
      <w:numFmt w:val="lowerLetter"/>
      <w:lvlText w:val="%2."/>
      <w:lvlJc w:val="left"/>
      <w:pPr>
        <w:ind w:left="3141" w:hanging="360"/>
      </w:pPr>
    </w:lvl>
    <w:lvl w:ilvl="2" w:tplc="0422001B" w:tentative="1">
      <w:start w:val="1"/>
      <w:numFmt w:val="lowerRoman"/>
      <w:lvlText w:val="%3."/>
      <w:lvlJc w:val="right"/>
      <w:pPr>
        <w:ind w:left="3861" w:hanging="180"/>
      </w:pPr>
    </w:lvl>
    <w:lvl w:ilvl="3" w:tplc="0422000F" w:tentative="1">
      <w:start w:val="1"/>
      <w:numFmt w:val="decimal"/>
      <w:lvlText w:val="%4."/>
      <w:lvlJc w:val="left"/>
      <w:pPr>
        <w:ind w:left="4581" w:hanging="360"/>
      </w:pPr>
    </w:lvl>
    <w:lvl w:ilvl="4" w:tplc="04220019" w:tentative="1">
      <w:start w:val="1"/>
      <w:numFmt w:val="lowerLetter"/>
      <w:lvlText w:val="%5."/>
      <w:lvlJc w:val="left"/>
      <w:pPr>
        <w:ind w:left="5301" w:hanging="360"/>
      </w:pPr>
    </w:lvl>
    <w:lvl w:ilvl="5" w:tplc="0422001B" w:tentative="1">
      <w:start w:val="1"/>
      <w:numFmt w:val="lowerRoman"/>
      <w:lvlText w:val="%6."/>
      <w:lvlJc w:val="right"/>
      <w:pPr>
        <w:ind w:left="6021" w:hanging="180"/>
      </w:pPr>
    </w:lvl>
    <w:lvl w:ilvl="6" w:tplc="0422000F" w:tentative="1">
      <w:start w:val="1"/>
      <w:numFmt w:val="decimal"/>
      <w:lvlText w:val="%7."/>
      <w:lvlJc w:val="left"/>
      <w:pPr>
        <w:ind w:left="6741" w:hanging="360"/>
      </w:pPr>
    </w:lvl>
    <w:lvl w:ilvl="7" w:tplc="04220019" w:tentative="1">
      <w:start w:val="1"/>
      <w:numFmt w:val="lowerLetter"/>
      <w:lvlText w:val="%8."/>
      <w:lvlJc w:val="left"/>
      <w:pPr>
        <w:ind w:left="7461" w:hanging="360"/>
      </w:pPr>
    </w:lvl>
    <w:lvl w:ilvl="8" w:tplc="0422001B" w:tentative="1">
      <w:start w:val="1"/>
      <w:numFmt w:val="lowerRoman"/>
      <w:lvlText w:val="%9."/>
      <w:lvlJc w:val="right"/>
      <w:pPr>
        <w:ind w:left="8181" w:hanging="180"/>
      </w:pPr>
    </w:lvl>
  </w:abstractNum>
  <w:abstractNum w:abstractNumId="5" w15:restartNumberingAfterBreak="0">
    <w:nsid w:val="3BAE3EB1"/>
    <w:multiLevelType w:val="multilevel"/>
    <w:tmpl w:val="B87C0FB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4A9F68F8"/>
    <w:multiLevelType w:val="multilevel"/>
    <w:tmpl w:val="3DC63018"/>
    <w:styleLink w:val="List21"/>
    <w:lvl w:ilvl="0">
      <w:numFmt w:val="bullet"/>
      <w:lvlText w:val="•"/>
      <w:lvlJc w:val="left"/>
      <w:pPr>
        <w:tabs>
          <w:tab w:val="num" w:pos="303"/>
        </w:tabs>
        <w:ind w:left="303" w:hanging="303"/>
      </w:pPr>
      <w:rPr>
        <w:rFonts w:ascii="Times New Roman" w:eastAsia="Times New Roman" w:hAnsi="Times New Roman" w:cs="Times New Roman"/>
        <w:b/>
        <w:bCs/>
        <w:position w:val="0"/>
        <w:sz w:val="24"/>
        <w:szCs w:val="24"/>
        <w:lang w:val="en-US"/>
      </w:rPr>
    </w:lvl>
    <w:lvl w:ilvl="1">
      <w:start w:val="1"/>
      <w:numFmt w:val="bullet"/>
      <w:lvlText w:val=""/>
      <w:lvlJc w:val="left"/>
      <w:pPr>
        <w:tabs>
          <w:tab w:val="num" w:pos="1080"/>
        </w:tabs>
        <w:ind w:left="1080" w:hanging="360"/>
      </w:pPr>
      <w:rPr>
        <w:rFonts w:ascii="Wingdings" w:hAnsi="Wingdings" w:hint="default"/>
        <w:b/>
        <w:bCs/>
        <w:position w:val="0"/>
        <w:sz w:val="24"/>
        <w:szCs w:val="24"/>
        <w:lang w:val="en-US"/>
      </w:rPr>
    </w:lvl>
    <w:lvl w:ilvl="2">
      <w:start w:val="1"/>
      <w:numFmt w:val="bullet"/>
      <w:lvlText w:val="▪"/>
      <w:lvlJc w:val="left"/>
      <w:pPr>
        <w:tabs>
          <w:tab w:val="num" w:pos="1800"/>
        </w:tabs>
        <w:ind w:left="1800" w:hanging="360"/>
      </w:pPr>
      <w:rPr>
        <w:rFonts w:ascii="Times New Roman" w:eastAsia="Times New Roman" w:hAnsi="Times New Roman" w:cs="Times New Roman"/>
        <w:b/>
        <w:bCs/>
        <w:position w:val="0"/>
        <w:sz w:val="24"/>
        <w:szCs w:val="24"/>
        <w:lang w:val="en-US"/>
      </w:rPr>
    </w:lvl>
    <w:lvl w:ilvl="3">
      <w:start w:val="1"/>
      <w:numFmt w:val="bullet"/>
      <w:lvlText w:val="•"/>
      <w:lvlJc w:val="left"/>
      <w:pPr>
        <w:tabs>
          <w:tab w:val="num" w:pos="2520"/>
        </w:tabs>
        <w:ind w:left="2520" w:hanging="360"/>
      </w:pPr>
      <w:rPr>
        <w:rFonts w:ascii="Times New Roman" w:eastAsia="Times New Roman" w:hAnsi="Times New Roman" w:cs="Times New Roman"/>
        <w:b/>
        <w:bCs/>
        <w:position w:val="0"/>
        <w:sz w:val="24"/>
        <w:szCs w:val="24"/>
        <w:lang w:val="en-US"/>
      </w:rPr>
    </w:lvl>
    <w:lvl w:ilvl="4">
      <w:start w:val="1"/>
      <w:numFmt w:val="bullet"/>
      <w:lvlText w:val="o"/>
      <w:lvlJc w:val="left"/>
      <w:pPr>
        <w:tabs>
          <w:tab w:val="num" w:pos="3240"/>
        </w:tabs>
        <w:ind w:left="3240" w:hanging="360"/>
      </w:pPr>
      <w:rPr>
        <w:rFonts w:ascii="Times New Roman" w:eastAsia="Times New Roman" w:hAnsi="Times New Roman" w:cs="Times New Roman"/>
        <w:b/>
        <w:bCs/>
        <w:position w:val="0"/>
        <w:sz w:val="24"/>
        <w:szCs w:val="24"/>
        <w:lang w:val="en-US"/>
      </w:rPr>
    </w:lvl>
    <w:lvl w:ilvl="5">
      <w:start w:val="1"/>
      <w:numFmt w:val="bullet"/>
      <w:lvlText w:val="▪"/>
      <w:lvlJc w:val="left"/>
      <w:pPr>
        <w:tabs>
          <w:tab w:val="num" w:pos="3960"/>
        </w:tabs>
        <w:ind w:left="3960" w:hanging="360"/>
      </w:pPr>
      <w:rPr>
        <w:rFonts w:ascii="Times New Roman" w:eastAsia="Times New Roman" w:hAnsi="Times New Roman" w:cs="Times New Roman"/>
        <w:b/>
        <w:bCs/>
        <w:position w:val="0"/>
        <w:sz w:val="24"/>
        <w:szCs w:val="24"/>
        <w:lang w:val="en-US"/>
      </w:rPr>
    </w:lvl>
    <w:lvl w:ilvl="6">
      <w:start w:val="1"/>
      <w:numFmt w:val="bullet"/>
      <w:lvlText w:val="•"/>
      <w:lvlJc w:val="left"/>
      <w:pPr>
        <w:tabs>
          <w:tab w:val="num" w:pos="4680"/>
        </w:tabs>
        <w:ind w:left="4680" w:hanging="360"/>
      </w:pPr>
      <w:rPr>
        <w:rFonts w:ascii="Times New Roman" w:eastAsia="Times New Roman" w:hAnsi="Times New Roman" w:cs="Times New Roman"/>
        <w:b/>
        <w:bCs/>
        <w:position w:val="0"/>
        <w:sz w:val="24"/>
        <w:szCs w:val="24"/>
        <w:lang w:val="en-US"/>
      </w:rPr>
    </w:lvl>
    <w:lvl w:ilvl="7">
      <w:start w:val="1"/>
      <w:numFmt w:val="bullet"/>
      <w:lvlText w:val="o"/>
      <w:lvlJc w:val="left"/>
      <w:pPr>
        <w:tabs>
          <w:tab w:val="num" w:pos="5400"/>
        </w:tabs>
        <w:ind w:left="5400" w:hanging="360"/>
      </w:pPr>
      <w:rPr>
        <w:rFonts w:ascii="Times New Roman" w:eastAsia="Times New Roman" w:hAnsi="Times New Roman" w:cs="Times New Roman"/>
        <w:b/>
        <w:bCs/>
        <w:position w:val="0"/>
        <w:sz w:val="24"/>
        <w:szCs w:val="24"/>
        <w:lang w:val="en-US"/>
      </w:rPr>
    </w:lvl>
    <w:lvl w:ilvl="8">
      <w:start w:val="1"/>
      <w:numFmt w:val="bullet"/>
      <w:lvlText w:val="▪"/>
      <w:lvlJc w:val="left"/>
      <w:pPr>
        <w:tabs>
          <w:tab w:val="num" w:pos="6120"/>
        </w:tabs>
        <w:ind w:left="6120" w:hanging="360"/>
      </w:pPr>
      <w:rPr>
        <w:rFonts w:ascii="Times New Roman" w:eastAsia="Times New Roman" w:hAnsi="Times New Roman" w:cs="Times New Roman"/>
        <w:b/>
        <w:bCs/>
        <w:position w:val="0"/>
        <w:sz w:val="24"/>
        <w:szCs w:val="24"/>
        <w:lang w:val="en-US"/>
      </w:rPr>
    </w:lvl>
  </w:abstractNum>
  <w:abstractNum w:abstractNumId="7" w15:restartNumberingAfterBreak="0">
    <w:nsid w:val="4C36088F"/>
    <w:multiLevelType w:val="hybridMultilevel"/>
    <w:tmpl w:val="291A3604"/>
    <w:lvl w:ilvl="0" w:tplc="FA4A828A">
      <w:start w:val="1"/>
      <w:numFmt w:val="lowerLetter"/>
      <w:lvlText w:val="(%1)"/>
      <w:lvlJc w:val="left"/>
      <w:pPr>
        <w:ind w:left="1320" w:hanging="360"/>
      </w:pPr>
    </w:lvl>
    <w:lvl w:ilvl="1" w:tplc="6E0A16E2">
      <w:start w:val="1"/>
      <w:numFmt w:val="lowerLetter"/>
      <w:pStyle w:val="H4G-Automaticletters"/>
      <w:lvlText w:val="(%2)"/>
      <w:lvlJc w:val="left"/>
      <w:pPr>
        <w:ind w:left="2040" w:hanging="360"/>
      </w:pPr>
      <w:rPr>
        <w:rFonts w:hint="default"/>
      </w:rPr>
    </w:lvl>
    <w:lvl w:ilvl="2" w:tplc="0809001B" w:tentative="1">
      <w:start w:val="1"/>
      <w:numFmt w:val="lowerRoman"/>
      <w:lvlText w:val="%3."/>
      <w:lvlJc w:val="right"/>
      <w:pPr>
        <w:ind w:left="2760" w:hanging="180"/>
      </w:pPr>
    </w:lvl>
    <w:lvl w:ilvl="3" w:tplc="0809000F" w:tentative="1">
      <w:start w:val="1"/>
      <w:numFmt w:val="decimal"/>
      <w:lvlText w:val="%4."/>
      <w:lvlJc w:val="left"/>
      <w:pPr>
        <w:ind w:left="3480" w:hanging="360"/>
      </w:pPr>
    </w:lvl>
    <w:lvl w:ilvl="4" w:tplc="08090019" w:tentative="1">
      <w:start w:val="1"/>
      <w:numFmt w:val="lowerLetter"/>
      <w:lvlText w:val="%5."/>
      <w:lvlJc w:val="left"/>
      <w:pPr>
        <w:ind w:left="4200" w:hanging="360"/>
      </w:pPr>
    </w:lvl>
    <w:lvl w:ilvl="5" w:tplc="0809001B" w:tentative="1">
      <w:start w:val="1"/>
      <w:numFmt w:val="lowerRoman"/>
      <w:lvlText w:val="%6."/>
      <w:lvlJc w:val="right"/>
      <w:pPr>
        <w:ind w:left="4920" w:hanging="180"/>
      </w:pPr>
    </w:lvl>
    <w:lvl w:ilvl="6" w:tplc="0809000F" w:tentative="1">
      <w:start w:val="1"/>
      <w:numFmt w:val="decimal"/>
      <w:lvlText w:val="%7."/>
      <w:lvlJc w:val="left"/>
      <w:pPr>
        <w:ind w:left="5640" w:hanging="360"/>
      </w:pPr>
    </w:lvl>
    <w:lvl w:ilvl="7" w:tplc="08090019" w:tentative="1">
      <w:start w:val="1"/>
      <w:numFmt w:val="lowerLetter"/>
      <w:lvlText w:val="%8."/>
      <w:lvlJc w:val="left"/>
      <w:pPr>
        <w:ind w:left="6360" w:hanging="360"/>
      </w:pPr>
    </w:lvl>
    <w:lvl w:ilvl="8" w:tplc="0809001B" w:tentative="1">
      <w:start w:val="1"/>
      <w:numFmt w:val="lowerRoman"/>
      <w:lvlText w:val="%9."/>
      <w:lvlJc w:val="right"/>
      <w:pPr>
        <w:ind w:left="7080" w:hanging="180"/>
      </w:pPr>
    </w:lvl>
  </w:abstractNum>
  <w:abstractNum w:abstractNumId="8" w15:restartNumberingAfterBreak="0">
    <w:nsid w:val="5AF951B7"/>
    <w:multiLevelType w:val="hybridMultilevel"/>
    <w:tmpl w:val="2A80ED90"/>
    <w:lvl w:ilvl="0" w:tplc="7E16A41A">
      <w:start w:val="454"/>
      <w:numFmt w:val="bullet"/>
      <w:lvlText w:val="-"/>
      <w:lvlJc w:val="left"/>
      <w:pPr>
        <w:ind w:left="720" w:hanging="360"/>
      </w:pPr>
      <w:rPr>
        <w:rFonts w:ascii="Times New Roman" w:eastAsia="Calibr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67700194"/>
    <w:multiLevelType w:val="hybridMultilevel"/>
    <w:tmpl w:val="886873AE"/>
    <w:lvl w:ilvl="0" w:tplc="6F5A2BEE">
      <w:start w:val="1"/>
      <w:numFmt w:val="bullet"/>
      <w:pStyle w:val="2"/>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B8F031F"/>
    <w:multiLevelType w:val="hybridMultilevel"/>
    <w:tmpl w:val="E6362144"/>
    <w:lvl w:ilvl="0" w:tplc="7352ACCC">
      <w:numFmt w:val="decimal"/>
      <w:pStyle w:val="abc-NEW"/>
      <w:lvlText w:val=""/>
      <w:lvlJc w:val="left"/>
    </w:lvl>
    <w:lvl w:ilvl="1" w:tplc="B6CC21D6">
      <w:numFmt w:val="decimal"/>
      <w:lvlText w:val=""/>
      <w:lvlJc w:val="left"/>
    </w:lvl>
    <w:lvl w:ilvl="2" w:tplc="85EACFF0">
      <w:numFmt w:val="none"/>
      <w:lvlText w:val=""/>
      <w:lvlJc w:val="left"/>
      <w:pPr>
        <w:tabs>
          <w:tab w:val="num" w:pos="360"/>
        </w:tabs>
      </w:pPr>
    </w:lvl>
    <w:lvl w:ilvl="3" w:tplc="B038D568">
      <w:numFmt w:val="none"/>
      <w:lvlText w:val=""/>
      <w:lvlJc w:val="left"/>
      <w:pPr>
        <w:tabs>
          <w:tab w:val="num" w:pos="360"/>
        </w:tabs>
      </w:pPr>
    </w:lvl>
    <w:lvl w:ilvl="4" w:tplc="A15E118C">
      <w:numFmt w:val="decimal"/>
      <w:lvlText w:val=""/>
      <w:lvlJc w:val="left"/>
    </w:lvl>
    <w:lvl w:ilvl="5" w:tplc="7C5C6712">
      <w:numFmt w:val="decimal"/>
      <w:lvlText w:val=""/>
      <w:lvlJc w:val="left"/>
    </w:lvl>
    <w:lvl w:ilvl="6" w:tplc="76982726">
      <w:numFmt w:val="decimal"/>
      <w:lvlText w:val=""/>
      <w:lvlJc w:val="left"/>
    </w:lvl>
    <w:lvl w:ilvl="7" w:tplc="2A3A5F14">
      <w:numFmt w:val="decimal"/>
      <w:lvlText w:val=""/>
      <w:lvlJc w:val="left"/>
    </w:lvl>
    <w:lvl w:ilvl="8" w:tplc="E2E03AC4">
      <w:numFmt w:val="decimal"/>
      <w:lvlText w:val=""/>
      <w:lvlJc w:val="left"/>
    </w:lvl>
  </w:abstractNum>
  <w:abstractNum w:abstractNumId="12" w15:restartNumberingAfterBreak="0">
    <w:nsid w:val="7E68424F"/>
    <w:multiLevelType w:val="hybridMultilevel"/>
    <w:tmpl w:val="CF3CE0A6"/>
    <w:lvl w:ilvl="0" w:tplc="0278FECE">
      <w:start w:val="31"/>
      <w:numFmt w:val="bullet"/>
      <w:lvlText w:val="-"/>
      <w:lvlJc w:val="left"/>
      <w:pPr>
        <w:ind w:left="1494" w:hanging="360"/>
      </w:pPr>
      <w:rPr>
        <w:rFonts w:ascii="Times New Roman" w:eastAsia="Times New Roman" w:hAnsi="Times New Roman" w:cs="Times New Roman"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13" w15:restartNumberingAfterBreak="0">
    <w:nsid w:val="7EBC494D"/>
    <w:multiLevelType w:val="multilevel"/>
    <w:tmpl w:val="3F86530E"/>
    <w:styleLink w:val="Style1"/>
    <w:lvl w:ilvl="0">
      <w:start w:val="1"/>
      <w:numFmt w:val="upperRoman"/>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7F385853"/>
    <w:multiLevelType w:val="hybridMultilevel"/>
    <w:tmpl w:val="8688947C"/>
    <w:lvl w:ilvl="0" w:tplc="86FE5F9E">
      <w:start w:val="72"/>
      <w:numFmt w:val="bullet"/>
      <w:lvlText w:val="-"/>
      <w:lvlJc w:val="left"/>
      <w:pPr>
        <w:ind w:left="1854" w:hanging="360"/>
      </w:pPr>
      <w:rPr>
        <w:rFonts w:ascii="Times New Roman" w:eastAsia="Times New Roman" w:hAnsi="Times New Roman" w:cs="Times New Roman" w:hint="default"/>
      </w:rPr>
    </w:lvl>
    <w:lvl w:ilvl="1" w:tplc="04220003" w:tentative="1">
      <w:start w:val="1"/>
      <w:numFmt w:val="bullet"/>
      <w:lvlText w:val="o"/>
      <w:lvlJc w:val="left"/>
      <w:pPr>
        <w:ind w:left="2574" w:hanging="360"/>
      </w:pPr>
      <w:rPr>
        <w:rFonts w:ascii="Courier New" w:hAnsi="Courier New" w:cs="Courier New" w:hint="default"/>
      </w:rPr>
    </w:lvl>
    <w:lvl w:ilvl="2" w:tplc="04220005" w:tentative="1">
      <w:start w:val="1"/>
      <w:numFmt w:val="bullet"/>
      <w:lvlText w:val=""/>
      <w:lvlJc w:val="left"/>
      <w:pPr>
        <w:ind w:left="3294" w:hanging="360"/>
      </w:pPr>
      <w:rPr>
        <w:rFonts w:ascii="Wingdings" w:hAnsi="Wingdings" w:hint="default"/>
      </w:rPr>
    </w:lvl>
    <w:lvl w:ilvl="3" w:tplc="04220001" w:tentative="1">
      <w:start w:val="1"/>
      <w:numFmt w:val="bullet"/>
      <w:lvlText w:val=""/>
      <w:lvlJc w:val="left"/>
      <w:pPr>
        <w:ind w:left="4014" w:hanging="360"/>
      </w:pPr>
      <w:rPr>
        <w:rFonts w:ascii="Symbol" w:hAnsi="Symbol" w:hint="default"/>
      </w:rPr>
    </w:lvl>
    <w:lvl w:ilvl="4" w:tplc="04220003" w:tentative="1">
      <w:start w:val="1"/>
      <w:numFmt w:val="bullet"/>
      <w:lvlText w:val="o"/>
      <w:lvlJc w:val="left"/>
      <w:pPr>
        <w:ind w:left="4734" w:hanging="360"/>
      </w:pPr>
      <w:rPr>
        <w:rFonts w:ascii="Courier New" w:hAnsi="Courier New" w:cs="Courier New" w:hint="default"/>
      </w:rPr>
    </w:lvl>
    <w:lvl w:ilvl="5" w:tplc="04220005" w:tentative="1">
      <w:start w:val="1"/>
      <w:numFmt w:val="bullet"/>
      <w:lvlText w:val=""/>
      <w:lvlJc w:val="left"/>
      <w:pPr>
        <w:ind w:left="5454" w:hanging="360"/>
      </w:pPr>
      <w:rPr>
        <w:rFonts w:ascii="Wingdings" w:hAnsi="Wingdings" w:hint="default"/>
      </w:rPr>
    </w:lvl>
    <w:lvl w:ilvl="6" w:tplc="04220001" w:tentative="1">
      <w:start w:val="1"/>
      <w:numFmt w:val="bullet"/>
      <w:lvlText w:val=""/>
      <w:lvlJc w:val="left"/>
      <w:pPr>
        <w:ind w:left="6174" w:hanging="360"/>
      </w:pPr>
      <w:rPr>
        <w:rFonts w:ascii="Symbol" w:hAnsi="Symbol" w:hint="default"/>
      </w:rPr>
    </w:lvl>
    <w:lvl w:ilvl="7" w:tplc="04220003" w:tentative="1">
      <w:start w:val="1"/>
      <w:numFmt w:val="bullet"/>
      <w:lvlText w:val="o"/>
      <w:lvlJc w:val="left"/>
      <w:pPr>
        <w:ind w:left="6894" w:hanging="360"/>
      </w:pPr>
      <w:rPr>
        <w:rFonts w:ascii="Courier New" w:hAnsi="Courier New" w:cs="Courier New" w:hint="default"/>
      </w:rPr>
    </w:lvl>
    <w:lvl w:ilvl="8" w:tplc="04220005" w:tentative="1">
      <w:start w:val="1"/>
      <w:numFmt w:val="bullet"/>
      <w:lvlText w:val=""/>
      <w:lvlJc w:val="left"/>
      <w:pPr>
        <w:ind w:left="7614" w:hanging="360"/>
      </w:pPr>
      <w:rPr>
        <w:rFonts w:ascii="Wingdings" w:hAnsi="Wingdings" w:hint="default"/>
      </w:rPr>
    </w:lvl>
  </w:abstractNum>
  <w:num w:numId="1">
    <w:abstractNumId w:val="1"/>
  </w:num>
  <w:num w:numId="2">
    <w:abstractNumId w:val="10"/>
  </w:num>
  <w:num w:numId="3">
    <w:abstractNumId w:val="9"/>
  </w:num>
  <w:num w:numId="4">
    <w:abstractNumId w:val="11"/>
  </w:num>
  <w:num w:numId="5">
    <w:abstractNumId w:val="7"/>
  </w:num>
  <w:num w:numId="6">
    <w:abstractNumId w:val="6"/>
  </w:num>
  <w:num w:numId="7">
    <w:abstractNumId w:val="0"/>
  </w:num>
  <w:num w:numId="8">
    <w:abstractNumId w:val="2"/>
  </w:num>
  <w:num w:numId="9">
    <w:abstractNumId w:val="13"/>
  </w:num>
  <w:num w:numId="10">
    <w:abstractNumId w:val="4"/>
  </w:num>
  <w:num w:numId="11">
    <w:abstractNumId w:val="3"/>
  </w:num>
  <w:num w:numId="12">
    <w:abstractNumId w:val="14"/>
  </w:num>
  <w:num w:numId="13">
    <w:abstractNumId w:val="12"/>
  </w:num>
  <w:num w:numId="14">
    <w:abstractNumId w:val="8"/>
  </w:num>
  <w:num w:numId="15">
    <w:abstractNumId w:val="4"/>
  </w:num>
  <w:num w:numId="16">
    <w:abstractNumId w:val="4"/>
  </w:num>
  <w:num w:numId="17">
    <w:abstractNumId w:val="4"/>
    <w:lvlOverride w:ilvl="0">
      <w:startOverride w:val="1"/>
    </w:lvlOverride>
  </w:num>
  <w:num w:numId="18">
    <w:abstractNumId w:val="4"/>
    <w:lvlOverride w:ilvl="0">
      <w:startOverride w:val="1"/>
    </w:lvlOverride>
  </w:num>
  <w:num w:numId="19">
    <w:abstractNumId w:val="4"/>
  </w:num>
  <w:num w:numId="20">
    <w:abstractNumId w:val="4"/>
    <w:lvlOverride w:ilvl="0">
      <w:startOverride w:val="1"/>
    </w:lvlOverride>
  </w:num>
  <w:num w:numId="21">
    <w:abstractNumId w:val="4"/>
    <w:lvlOverride w:ilvl="0">
      <w:startOverride w:val="1"/>
    </w:lvlOverride>
  </w:num>
  <w:num w:numId="22">
    <w:abstractNumId w:val="4"/>
    <w:lvlOverride w:ilvl="0">
      <w:startOverride w:val="1"/>
    </w:lvlOverride>
  </w:num>
  <w:num w:numId="23">
    <w:abstractNumId w:val="4"/>
    <w:lvlOverride w:ilvl="0">
      <w:startOverride w:val="1"/>
    </w:lvlOverride>
  </w:num>
  <w:num w:numId="24">
    <w:abstractNumId w:val="4"/>
    <w:lvlOverride w:ilvl="0">
      <w:startOverride w:val="1"/>
    </w:lvlOverride>
  </w:num>
  <w:num w:numId="25">
    <w:abstractNumId w:val="4"/>
    <w:lvlOverride w:ilvl="0">
      <w:startOverride w:val="1"/>
    </w:lvlOverride>
  </w:num>
  <w:num w:numId="26">
    <w:abstractNumId w:val="4"/>
    <w:lvlOverride w:ilvl="0">
      <w:startOverride w:val="1"/>
    </w:lvlOverride>
  </w:num>
  <w:num w:numId="27">
    <w:abstractNumId w:val="5"/>
  </w:num>
  <w:num w:numId="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51201"/>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DI2tzQ0NzQxMzYxMDBT0lEKTi0uzszPAykwqgUA4OOi3SwAAAA="/>
  </w:docVars>
  <w:rsids>
    <w:rsidRoot w:val="00256B96"/>
    <w:rsid w:val="000017E4"/>
    <w:rsid w:val="000037B1"/>
    <w:rsid w:val="00004309"/>
    <w:rsid w:val="00004439"/>
    <w:rsid w:val="00004C74"/>
    <w:rsid w:val="00004C9B"/>
    <w:rsid w:val="00004D94"/>
    <w:rsid w:val="00005E93"/>
    <w:rsid w:val="0000612C"/>
    <w:rsid w:val="0000670F"/>
    <w:rsid w:val="000067CE"/>
    <w:rsid w:val="000078D5"/>
    <w:rsid w:val="00010B12"/>
    <w:rsid w:val="000114D8"/>
    <w:rsid w:val="00013452"/>
    <w:rsid w:val="00013659"/>
    <w:rsid w:val="0001392B"/>
    <w:rsid w:val="00014010"/>
    <w:rsid w:val="000144AA"/>
    <w:rsid w:val="00015951"/>
    <w:rsid w:val="0001736B"/>
    <w:rsid w:val="0001762D"/>
    <w:rsid w:val="00020B6B"/>
    <w:rsid w:val="00020E3E"/>
    <w:rsid w:val="000210C3"/>
    <w:rsid w:val="000214D5"/>
    <w:rsid w:val="0002238F"/>
    <w:rsid w:val="00022BEA"/>
    <w:rsid w:val="00024776"/>
    <w:rsid w:val="00024B4A"/>
    <w:rsid w:val="0002518C"/>
    <w:rsid w:val="000260CE"/>
    <w:rsid w:val="00026B96"/>
    <w:rsid w:val="000273BD"/>
    <w:rsid w:val="00027F30"/>
    <w:rsid w:val="000303D6"/>
    <w:rsid w:val="0003053B"/>
    <w:rsid w:val="000312C5"/>
    <w:rsid w:val="00031C8C"/>
    <w:rsid w:val="0003225D"/>
    <w:rsid w:val="00032442"/>
    <w:rsid w:val="00033773"/>
    <w:rsid w:val="000348C0"/>
    <w:rsid w:val="000362D6"/>
    <w:rsid w:val="0003749B"/>
    <w:rsid w:val="00037775"/>
    <w:rsid w:val="00037862"/>
    <w:rsid w:val="00040B49"/>
    <w:rsid w:val="00040F01"/>
    <w:rsid w:val="00040F0B"/>
    <w:rsid w:val="00041086"/>
    <w:rsid w:val="00041139"/>
    <w:rsid w:val="00041452"/>
    <w:rsid w:val="0004428B"/>
    <w:rsid w:val="000457B3"/>
    <w:rsid w:val="00045C35"/>
    <w:rsid w:val="0004640B"/>
    <w:rsid w:val="000466D7"/>
    <w:rsid w:val="00046CCB"/>
    <w:rsid w:val="0004700B"/>
    <w:rsid w:val="00047230"/>
    <w:rsid w:val="0005003D"/>
    <w:rsid w:val="000501DA"/>
    <w:rsid w:val="000504CD"/>
    <w:rsid w:val="000529BB"/>
    <w:rsid w:val="0005372D"/>
    <w:rsid w:val="00053DE7"/>
    <w:rsid w:val="00055AE2"/>
    <w:rsid w:val="00056294"/>
    <w:rsid w:val="000563C7"/>
    <w:rsid w:val="0005655E"/>
    <w:rsid w:val="000568D6"/>
    <w:rsid w:val="00057504"/>
    <w:rsid w:val="00057E10"/>
    <w:rsid w:val="00057E7B"/>
    <w:rsid w:val="00060A7D"/>
    <w:rsid w:val="00061380"/>
    <w:rsid w:val="0006146A"/>
    <w:rsid w:val="00061A7E"/>
    <w:rsid w:val="00062DCE"/>
    <w:rsid w:val="000636EC"/>
    <w:rsid w:val="00063802"/>
    <w:rsid w:val="00063F14"/>
    <w:rsid w:val="00064594"/>
    <w:rsid w:val="00064605"/>
    <w:rsid w:val="00065402"/>
    <w:rsid w:val="00065A38"/>
    <w:rsid w:val="00066272"/>
    <w:rsid w:val="00066468"/>
    <w:rsid w:val="00066498"/>
    <w:rsid w:val="000668CA"/>
    <w:rsid w:val="00067794"/>
    <w:rsid w:val="0007055C"/>
    <w:rsid w:val="00070C32"/>
    <w:rsid w:val="00070DA8"/>
    <w:rsid w:val="000727B4"/>
    <w:rsid w:val="00073C69"/>
    <w:rsid w:val="00074674"/>
    <w:rsid w:val="00075FF6"/>
    <w:rsid w:val="0007663B"/>
    <w:rsid w:val="0007735B"/>
    <w:rsid w:val="00077911"/>
    <w:rsid w:val="0008095A"/>
    <w:rsid w:val="00080A82"/>
    <w:rsid w:val="00082CC0"/>
    <w:rsid w:val="00082F83"/>
    <w:rsid w:val="00082FCC"/>
    <w:rsid w:val="000831DE"/>
    <w:rsid w:val="00083B00"/>
    <w:rsid w:val="000843C3"/>
    <w:rsid w:val="00084856"/>
    <w:rsid w:val="00085C65"/>
    <w:rsid w:val="00085E2C"/>
    <w:rsid w:val="0008611F"/>
    <w:rsid w:val="000866B8"/>
    <w:rsid w:val="00086FFE"/>
    <w:rsid w:val="0008720A"/>
    <w:rsid w:val="00090B41"/>
    <w:rsid w:val="0009193E"/>
    <w:rsid w:val="0009197C"/>
    <w:rsid w:val="00091F34"/>
    <w:rsid w:val="0009245A"/>
    <w:rsid w:val="000934F6"/>
    <w:rsid w:val="00093539"/>
    <w:rsid w:val="00093FE7"/>
    <w:rsid w:val="00094EFD"/>
    <w:rsid w:val="00095681"/>
    <w:rsid w:val="0009568A"/>
    <w:rsid w:val="0009568C"/>
    <w:rsid w:val="00096569"/>
    <w:rsid w:val="00096FD6"/>
    <w:rsid w:val="00097D08"/>
    <w:rsid w:val="000A0644"/>
    <w:rsid w:val="000A0B9E"/>
    <w:rsid w:val="000A0CA6"/>
    <w:rsid w:val="000A0E06"/>
    <w:rsid w:val="000A16EB"/>
    <w:rsid w:val="000A1FD1"/>
    <w:rsid w:val="000A2833"/>
    <w:rsid w:val="000A383C"/>
    <w:rsid w:val="000A3AD7"/>
    <w:rsid w:val="000A3D26"/>
    <w:rsid w:val="000A4129"/>
    <w:rsid w:val="000A4B82"/>
    <w:rsid w:val="000A4BE7"/>
    <w:rsid w:val="000A5450"/>
    <w:rsid w:val="000A5D84"/>
    <w:rsid w:val="000A5E63"/>
    <w:rsid w:val="000A657F"/>
    <w:rsid w:val="000A7079"/>
    <w:rsid w:val="000A77AB"/>
    <w:rsid w:val="000B248B"/>
    <w:rsid w:val="000B2D63"/>
    <w:rsid w:val="000B3F1E"/>
    <w:rsid w:val="000B3F6B"/>
    <w:rsid w:val="000B4005"/>
    <w:rsid w:val="000B4DA5"/>
    <w:rsid w:val="000B5460"/>
    <w:rsid w:val="000B61B0"/>
    <w:rsid w:val="000B6D29"/>
    <w:rsid w:val="000B6E46"/>
    <w:rsid w:val="000B752A"/>
    <w:rsid w:val="000C1554"/>
    <w:rsid w:val="000C16B2"/>
    <w:rsid w:val="000C1745"/>
    <w:rsid w:val="000C1785"/>
    <w:rsid w:val="000C229F"/>
    <w:rsid w:val="000C2B61"/>
    <w:rsid w:val="000C3345"/>
    <w:rsid w:val="000C3673"/>
    <w:rsid w:val="000C4B21"/>
    <w:rsid w:val="000C692B"/>
    <w:rsid w:val="000C77B9"/>
    <w:rsid w:val="000D1244"/>
    <w:rsid w:val="000D12F2"/>
    <w:rsid w:val="000D137A"/>
    <w:rsid w:val="000D197B"/>
    <w:rsid w:val="000D2309"/>
    <w:rsid w:val="000D259D"/>
    <w:rsid w:val="000D30A5"/>
    <w:rsid w:val="000D3D16"/>
    <w:rsid w:val="000D3F95"/>
    <w:rsid w:val="000D40AF"/>
    <w:rsid w:val="000D4378"/>
    <w:rsid w:val="000D4D6A"/>
    <w:rsid w:val="000D5319"/>
    <w:rsid w:val="000D5412"/>
    <w:rsid w:val="000D5921"/>
    <w:rsid w:val="000D5BC3"/>
    <w:rsid w:val="000D6035"/>
    <w:rsid w:val="000D638D"/>
    <w:rsid w:val="000D63AB"/>
    <w:rsid w:val="000D63B0"/>
    <w:rsid w:val="000D6E89"/>
    <w:rsid w:val="000D7FD3"/>
    <w:rsid w:val="000E13AA"/>
    <w:rsid w:val="000E20D6"/>
    <w:rsid w:val="000E2271"/>
    <w:rsid w:val="000E2977"/>
    <w:rsid w:val="000E2F24"/>
    <w:rsid w:val="000E30BC"/>
    <w:rsid w:val="000E30D9"/>
    <w:rsid w:val="000E41AF"/>
    <w:rsid w:val="000E4649"/>
    <w:rsid w:val="000E47CB"/>
    <w:rsid w:val="000E49B3"/>
    <w:rsid w:val="000E587F"/>
    <w:rsid w:val="000E7126"/>
    <w:rsid w:val="000E76D5"/>
    <w:rsid w:val="000E79BF"/>
    <w:rsid w:val="000E7A05"/>
    <w:rsid w:val="000E7D26"/>
    <w:rsid w:val="000F0789"/>
    <w:rsid w:val="000F2054"/>
    <w:rsid w:val="000F331F"/>
    <w:rsid w:val="000F336D"/>
    <w:rsid w:val="000F3C77"/>
    <w:rsid w:val="000F3EBE"/>
    <w:rsid w:val="000F4044"/>
    <w:rsid w:val="000F4DB2"/>
    <w:rsid w:val="000F52BD"/>
    <w:rsid w:val="000F5699"/>
    <w:rsid w:val="000F6183"/>
    <w:rsid w:val="000F7E0A"/>
    <w:rsid w:val="00100587"/>
    <w:rsid w:val="00100990"/>
    <w:rsid w:val="00100CEB"/>
    <w:rsid w:val="001013D0"/>
    <w:rsid w:val="00102602"/>
    <w:rsid w:val="0010372D"/>
    <w:rsid w:val="001055DD"/>
    <w:rsid w:val="00105733"/>
    <w:rsid w:val="00105BE7"/>
    <w:rsid w:val="00105F73"/>
    <w:rsid w:val="0010742D"/>
    <w:rsid w:val="001074AB"/>
    <w:rsid w:val="00110504"/>
    <w:rsid w:val="0011185C"/>
    <w:rsid w:val="001121E1"/>
    <w:rsid w:val="001122EF"/>
    <w:rsid w:val="001138A2"/>
    <w:rsid w:val="00113C03"/>
    <w:rsid w:val="00113C3A"/>
    <w:rsid w:val="001140D4"/>
    <w:rsid w:val="001154F1"/>
    <w:rsid w:val="00115BF4"/>
    <w:rsid w:val="001160F1"/>
    <w:rsid w:val="00116C94"/>
    <w:rsid w:val="00116EAB"/>
    <w:rsid w:val="00117618"/>
    <w:rsid w:val="001205FA"/>
    <w:rsid w:val="00121CDD"/>
    <w:rsid w:val="00122434"/>
    <w:rsid w:val="001232C6"/>
    <w:rsid w:val="00123A8F"/>
    <w:rsid w:val="00124CE7"/>
    <w:rsid w:val="001253A0"/>
    <w:rsid w:val="001257AA"/>
    <w:rsid w:val="00125EF7"/>
    <w:rsid w:val="0012662D"/>
    <w:rsid w:val="00126824"/>
    <w:rsid w:val="00130A39"/>
    <w:rsid w:val="00130A5A"/>
    <w:rsid w:val="00130E0E"/>
    <w:rsid w:val="0013133D"/>
    <w:rsid w:val="001315D9"/>
    <w:rsid w:val="00131EFD"/>
    <w:rsid w:val="0013226C"/>
    <w:rsid w:val="00133B4A"/>
    <w:rsid w:val="00134FA2"/>
    <w:rsid w:val="001350B9"/>
    <w:rsid w:val="00135A3E"/>
    <w:rsid w:val="00135D48"/>
    <w:rsid w:val="00137B64"/>
    <w:rsid w:val="00137E52"/>
    <w:rsid w:val="001402F5"/>
    <w:rsid w:val="0014034E"/>
    <w:rsid w:val="00140507"/>
    <w:rsid w:val="00140A61"/>
    <w:rsid w:val="00140D3B"/>
    <w:rsid w:val="00141346"/>
    <w:rsid w:val="00141D43"/>
    <w:rsid w:val="0014337D"/>
    <w:rsid w:val="00144976"/>
    <w:rsid w:val="00144DC0"/>
    <w:rsid w:val="001457E0"/>
    <w:rsid w:val="001459BE"/>
    <w:rsid w:val="00145EF3"/>
    <w:rsid w:val="00145FF0"/>
    <w:rsid w:val="001464F8"/>
    <w:rsid w:val="001467D9"/>
    <w:rsid w:val="00146BC8"/>
    <w:rsid w:val="00147646"/>
    <w:rsid w:val="00147AA9"/>
    <w:rsid w:val="0015188A"/>
    <w:rsid w:val="001521E8"/>
    <w:rsid w:val="0015249D"/>
    <w:rsid w:val="001527D7"/>
    <w:rsid w:val="00152BC3"/>
    <w:rsid w:val="001530BA"/>
    <w:rsid w:val="0015482E"/>
    <w:rsid w:val="00154A76"/>
    <w:rsid w:val="00156300"/>
    <w:rsid w:val="00156414"/>
    <w:rsid w:val="00156F7B"/>
    <w:rsid w:val="00157461"/>
    <w:rsid w:val="00161C40"/>
    <w:rsid w:val="00161E39"/>
    <w:rsid w:val="0016288E"/>
    <w:rsid w:val="00163754"/>
    <w:rsid w:val="00163B51"/>
    <w:rsid w:val="00164F1D"/>
    <w:rsid w:val="0016536A"/>
    <w:rsid w:val="001703F8"/>
    <w:rsid w:val="001705A7"/>
    <w:rsid w:val="001712E5"/>
    <w:rsid w:val="00174EAE"/>
    <w:rsid w:val="00175BB4"/>
    <w:rsid w:val="00176A58"/>
    <w:rsid w:val="001779D3"/>
    <w:rsid w:val="001813CC"/>
    <w:rsid w:val="00182C25"/>
    <w:rsid w:val="001836F0"/>
    <w:rsid w:val="00183A41"/>
    <w:rsid w:val="00183E34"/>
    <w:rsid w:val="00185583"/>
    <w:rsid w:val="001861C4"/>
    <w:rsid w:val="00186795"/>
    <w:rsid w:val="001867FE"/>
    <w:rsid w:val="00187FD7"/>
    <w:rsid w:val="00190396"/>
    <w:rsid w:val="0019065D"/>
    <w:rsid w:val="00190A3A"/>
    <w:rsid w:val="00190F8D"/>
    <w:rsid w:val="001912AE"/>
    <w:rsid w:val="001919A0"/>
    <w:rsid w:val="00191BD7"/>
    <w:rsid w:val="001921BE"/>
    <w:rsid w:val="00192832"/>
    <w:rsid w:val="0019430A"/>
    <w:rsid w:val="00195DD6"/>
    <w:rsid w:val="001964F4"/>
    <w:rsid w:val="00197003"/>
    <w:rsid w:val="001A0177"/>
    <w:rsid w:val="001A0896"/>
    <w:rsid w:val="001A0A01"/>
    <w:rsid w:val="001A0E3B"/>
    <w:rsid w:val="001A1430"/>
    <w:rsid w:val="001A177C"/>
    <w:rsid w:val="001A17C2"/>
    <w:rsid w:val="001A1895"/>
    <w:rsid w:val="001A199A"/>
    <w:rsid w:val="001A26B1"/>
    <w:rsid w:val="001A27E9"/>
    <w:rsid w:val="001A3F3E"/>
    <w:rsid w:val="001A49AD"/>
    <w:rsid w:val="001A54C4"/>
    <w:rsid w:val="001A55C5"/>
    <w:rsid w:val="001A59C7"/>
    <w:rsid w:val="001A59E8"/>
    <w:rsid w:val="001A5B99"/>
    <w:rsid w:val="001A5C02"/>
    <w:rsid w:val="001A5C90"/>
    <w:rsid w:val="001A644B"/>
    <w:rsid w:val="001A6471"/>
    <w:rsid w:val="001B00D3"/>
    <w:rsid w:val="001B134E"/>
    <w:rsid w:val="001B1D7B"/>
    <w:rsid w:val="001B1FA3"/>
    <w:rsid w:val="001B4088"/>
    <w:rsid w:val="001B4152"/>
    <w:rsid w:val="001B4F63"/>
    <w:rsid w:val="001B4FB4"/>
    <w:rsid w:val="001B5E31"/>
    <w:rsid w:val="001B60F9"/>
    <w:rsid w:val="001B6A12"/>
    <w:rsid w:val="001B744E"/>
    <w:rsid w:val="001B7FD4"/>
    <w:rsid w:val="001C0210"/>
    <w:rsid w:val="001C3C52"/>
    <w:rsid w:val="001C42C9"/>
    <w:rsid w:val="001C445B"/>
    <w:rsid w:val="001C4BA6"/>
    <w:rsid w:val="001C5096"/>
    <w:rsid w:val="001C5DA1"/>
    <w:rsid w:val="001C7415"/>
    <w:rsid w:val="001D00D4"/>
    <w:rsid w:val="001D0CE3"/>
    <w:rsid w:val="001D0D32"/>
    <w:rsid w:val="001D111C"/>
    <w:rsid w:val="001D162D"/>
    <w:rsid w:val="001D2B4D"/>
    <w:rsid w:val="001D3986"/>
    <w:rsid w:val="001D4070"/>
    <w:rsid w:val="001D4D8C"/>
    <w:rsid w:val="001D565E"/>
    <w:rsid w:val="001D5B83"/>
    <w:rsid w:val="001D63A4"/>
    <w:rsid w:val="001D72A0"/>
    <w:rsid w:val="001D7389"/>
    <w:rsid w:val="001D7A6E"/>
    <w:rsid w:val="001E099D"/>
    <w:rsid w:val="001E2FA3"/>
    <w:rsid w:val="001E2FEA"/>
    <w:rsid w:val="001E40BD"/>
    <w:rsid w:val="001E4AD9"/>
    <w:rsid w:val="001E5322"/>
    <w:rsid w:val="001E61CB"/>
    <w:rsid w:val="001E6E80"/>
    <w:rsid w:val="001E7C63"/>
    <w:rsid w:val="001E7FA7"/>
    <w:rsid w:val="001F04EA"/>
    <w:rsid w:val="001F056A"/>
    <w:rsid w:val="001F171F"/>
    <w:rsid w:val="001F2409"/>
    <w:rsid w:val="001F3783"/>
    <w:rsid w:val="001F3B27"/>
    <w:rsid w:val="001F4DA2"/>
    <w:rsid w:val="001F547C"/>
    <w:rsid w:val="001F54BE"/>
    <w:rsid w:val="001F5FFF"/>
    <w:rsid w:val="001F60F2"/>
    <w:rsid w:val="001F630C"/>
    <w:rsid w:val="001F740B"/>
    <w:rsid w:val="001F7B51"/>
    <w:rsid w:val="00202CD5"/>
    <w:rsid w:val="00202DA7"/>
    <w:rsid w:val="00204C69"/>
    <w:rsid w:val="00204DE2"/>
    <w:rsid w:val="00204ED6"/>
    <w:rsid w:val="002051D8"/>
    <w:rsid w:val="00207492"/>
    <w:rsid w:val="002075C0"/>
    <w:rsid w:val="00207E4C"/>
    <w:rsid w:val="00210CD6"/>
    <w:rsid w:val="00211B6E"/>
    <w:rsid w:val="00211C7C"/>
    <w:rsid w:val="0021309A"/>
    <w:rsid w:val="00213B57"/>
    <w:rsid w:val="00214843"/>
    <w:rsid w:val="00214AF6"/>
    <w:rsid w:val="00215B02"/>
    <w:rsid w:val="00216E2A"/>
    <w:rsid w:val="002174FC"/>
    <w:rsid w:val="00217944"/>
    <w:rsid w:val="00217D97"/>
    <w:rsid w:val="00220BE0"/>
    <w:rsid w:val="00221F86"/>
    <w:rsid w:val="00222FB1"/>
    <w:rsid w:val="002256D8"/>
    <w:rsid w:val="002276A8"/>
    <w:rsid w:val="00227FB2"/>
    <w:rsid w:val="0023200C"/>
    <w:rsid w:val="00232022"/>
    <w:rsid w:val="00234C04"/>
    <w:rsid w:val="00235310"/>
    <w:rsid w:val="00235FB3"/>
    <w:rsid w:val="002368F8"/>
    <w:rsid w:val="00236BA5"/>
    <w:rsid w:val="00237445"/>
    <w:rsid w:val="002374E2"/>
    <w:rsid w:val="00237742"/>
    <w:rsid w:val="00240136"/>
    <w:rsid w:val="00240757"/>
    <w:rsid w:val="00242DA3"/>
    <w:rsid w:val="0024398C"/>
    <w:rsid w:val="0024546F"/>
    <w:rsid w:val="00247DD2"/>
    <w:rsid w:val="00247FB6"/>
    <w:rsid w:val="00251CD9"/>
    <w:rsid w:val="002520EB"/>
    <w:rsid w:val="00252756"/>
    <w:rsid w:val="00256A23"/>
    <w:rsid w:val="00256B96"/>
    <w:rsid w:val="00257E72"/>
    <w:rsid w:val="00257EC9"/>
    <w:rsid w:val="00260A4A"/>
    <w:rsid w:val="002610B1"/>
    <w:rsid w:val="0026171A"/>
    <w:rsid w:val="00261AAE"/>
    <w:rsid w:val="00261D61"/>
    <w:rsid w:val="00262B1F"/>
    <w:rsid w:val="002631EB"/>
    <w:rsid w:val="00263984"/>
    <w:rsid w:val="002640B2"/>
    <w:rsid w:val="00265742"/>
    <w:rsid w:val="0026663F"/>
    <w:rsid w:val="00266C9D"/>
    <w:rsid w:val="00267F56"/>
    <w:rsid w:val="00270967"/>
    <w:rsid w:val="00273889"/>
    <w:rsid w:val="002747CF"/>
    <w:rsid w:val="00274C21"/>
    <w:rsid w:val="0027556D"/>
    <w:rsid w:val="002762FA"/>
    <w:rsid w:val="00276C22"/>
    <w:rsid w:val="002774D3"/>
    <w:rsid w:val="002778F9"/>
    <w:rsid w:val="002805F4"/>
    <w:rsid w:val="00280AB5"/>
    <w:rsid w:val="00281B8B"/>
    <w:rsid w:val="00281E59"/>
    <w:rsid w:val="00282C90"/>
    <w:rsid w:val="00282DB2"/>
    <w:rsid w:val="00282E81"/>
    <w:rsid w:val="00283AE0"/>
    <w:rsid w:val="00283CC3"/>
    <w:rsid w:val="002841BF"/>
    <w:rsid w:val="002843D2"/>
    <w:rsid w:val="002867D4"/>
    <w:rsid w:val="002869AE"/>
    <w:rsid w:val="00286D46"/>
    <w:rsid w:val="00287005"/>
    <w:rsid w:val="002874BD"/>
    <w:rsid w:val="002876AB"/>
    <w:rsid w:val="0029073A"/>
    <w:rsid w:val="00290C83"/>
    <w:rsid w:val="00292A13"/>
    <w:rsid w:val="00292AF3"/>
    <w:rsid w:val="00294481"/>
    <w:rsid w:val="002978AA"/>
    <w:rsid w:val="002A1314"/>
    <w:rsid w:val="002A19AB"/>
    <w:rsid w:val="002A28B9"/>
    <w:rsid w:val="002A2B58"/>
    <w:rsid w:val="002A376A"/>
    <w:rsid w:val="002A384F"/>
    <w:rsid w:val="002A4CBE"/>
    <w:rsid w:val="002A553E"/>
    <w:rsid w:val="002A5651"/>
    <w:rsid w:val="002A632C"/>
    <w:rsid w:val="002A6F38"/>
    <w:rsid w:val="002B0B1C"/>
    <w:rsid w:val="002B0BAA"/>
    <w:rsid w:val="002B1631"/>
    <w:rsid w:val="002B1EBC"/>
    <w:rsid w:val="002B2CAC"/>
    <w:rsid w:val="002B2D6D"/>
    <w:rsid w:val="002B2EA0"/>
    <w:rsid w:val="002B3685"/>
    <w:rsid w:val="002B3751"/>
    <w:rsid w:val="002B49DF"/>
    <w:rsid w:val="002B5103"/>
    <w:rsid w:val="002B5217"/>
    <w:rsid w:val="002B6025"/>
    <w:rsid w:val="002B67EA"/>
    <w:rsid w:val="002B7022"/>
    <w:rsid w:val="002C053F"/>
    <w:rsid w:val="002C0CC3"/>
    <w:rsid w:val="002C2342"/>
    <w:rsid w:val="002C4575"/>
    <w:rsid w:val="002C4BF2"/>
    <w:rsid w:val="002C4FDB"/>
    <w:rsid w:val="002C626E"/>
    <w:rsid w:val="002C66FA"/>
    <w:rsid w:val="002C6BB1"/>
    <w:rsid w:val="002C6C84"/>
    <w:rsid w:val="002C6F24"/>
    <w:rsid w:val="002D1248"/>
    <w:rsid w:val="002D1A79"/>
    <w:rsid w:val="002D2967"/>
    <w:rsid w:val="002D2FC7"/>
    <w:rsid w:val="002D6023"/>
    <w:rsid w:val="002D63ED"/>
    <w:rsid w:val="002D6FDF"/>
    <w:rsid w:val="002D7432"/>
    <w:rsid w:val="002D7453"/>
    <w:rsid w:val="002D7668"/>
    <w:rsid w:val="002D7CBA"/>
    <w:rsid w:val="002E0930"/>
    <w:rsid w:val="002E463A"/>
    <w:rsid w:val="002E604E"/>
    <w:rsid w:val="002E64CC"/>
    <w:rsid w:val="002E6FA9"/>
    <w:rsid w:val="002E7B26"/>
    <w:rsid w:val="002E7D8B"/>
    <w:rsid w:val="002E7F0B"/>
    <w:rsid w:val="002E7F7C"/>
    <w:rsid w:val="002F0126"/>
    <w:rsid w:val="002F0BD0"/>
    <w:rsid w:val="002F14B9"/>
    <w:rsid w:val="002F14C2"/>
    <w:rsid w:val="002F35C5"/>
    <w:rsid w:val="002F50B5"/>
    <w:rsid w:val="002F55B0"/>
    <w:rsid w:val="002F68BA"/>
    <w:rsid w:val="002F68C0"/>
    <w:rsid w:val="002F7584"/>
    <w:rsid w:val="0030085F"/>
    <w:rsid w:val="00301245"/>
    <w:rsid w:val="00301EA0"/>
    <w:rsid w:val="00302738"/>
    <w:rsid w:val="00302938"/>
    <w:rsid w:val="00302A50"/>
    <w:rsid w:val="00303441"/>
    <w:rsid w:val="0030498F"/>
    <w:rsid w:val="00304ECD"/>
    <w:rsid w:val="00305265"/>
    <w:rsid w:val="0030560C"/>
    <w:rsid w:val="00306B47"/>
    <w:rsid w:val="00307E6C"/>
    <w:rsid w:val="00311E21"/>
    <w:rsid w:val="003125C4"/>
    <w:rsid w:val="00312E32"/>
    <w:rsid w:val="00312FEE"/>
    <w:rsid w:val="00313F3A"/>
    <w:rsid w:val="003144DD"/>
    <w:rsid w:val="00314886"/>
    <w:rsid w:val="00314E67"/>
    <w:rsid w:val="00314FA7"/>
    <w:rsid w:val="0031648A"/>
    <w:rsid w:val="003164BD"/>
    <w:rsid w:val="00316A16"/>
    <w:rsid w:val="00320904"/>
    <w:rsid w:val="00320A84"/>
    <w:rsid w:val="00320B00"/>
    <w:rsid w:val="00320BAF"/>
    <w:rsid w:val="00320E0C"/>
    <w:rsid w:val="00321221"/>
    <w:rsid w:val="00321B36"/>
    <w:rsid w:val="00321D1B"/>
    <w:rsid w:val="00321E4C"/>
    <w:rsid w:val="0032340E"/>
    <w:rsid w:val="00323694"/>
    <w:rsid w:val="00323E42"/>
    <w:rsid w:val="0032425C"/>
    <w:rsid w:val="00324A53"/>
    <w:rsid w:val="00325080"/>
    <w:rsid w:val="00326E36"/>
    <w:rsid w:val="00327090"/>
    <w:rsid w:val="00327574"/>
    <w:rsid w:val="003276E6"/>
    <w:rsid w:val="00327858"/>
    <w:rsid w:val="00327CEF"/>
    <w:rsid w:val="00331DC5"/>
    <w:rsid w:val="00332015"/>
    <w:rsid w:val="00332D16"/>
    <w:rsid w:val="00335519"/>
    <w:rsid w:val="003359A1"/>
    <w:rsid w:val="00336684"/>
    <w:rsid w:val="00337906"/>
    <w:rsid w:val="00337E6B"/>
    <w:rsid w:val="003409E6"/>
    <w:rsid w:val="00341692"/>
    <w:rsid w:val="00342261"/>
    <w:rsid w:val="00344C70"/>
    <w:rsid w:val="00344CA4"/>
    <w:rsid w:val="0034669E"/>
    <w:rsid w:val="003468C2"/>
    <w:rsid w:val="00346E4F"/>
    <w:rsid w:val="00346EC7"/>
    <w:rsid w:val="00347E1C"/>
    <w:rsid w:val="0035049B"/>
    <w:rsid w:val="003504AD"/>
    <w:rsid w:val="00350FE9"/>
    <w:rsid w:val="00352501"/>
    <w:rsid w:val="00353C82"/>
    <w:rsid w:val="00354023"/>
    <w:rsid w:val="00354B7D"/>
    <w:rsid w:val="0035653E"/>
    <w:rsid w:val="003576BC"/>
    <w:rsid w:val="003601E4"/>
    <w:rsid w:val="00361011"/>
    <w:rsid w:val="00362D98"/>
    <w:rsid w:val="00362EC9"/>
    <w:rsid w:val="003641BC"/>
    <w:rsid w:val="0036758F"/>
    <w:rsid w:val="003702AA"/>
    <w:rsid w:val="003704D9"/>
    <w:rsid w:val="00371392"/>
    <w:rsid w:val="00371525"/>
    <w:rsid w:val="003731CF"/>
    <w:rsid w:val="003734B1"/>
    <w:rsid w:val="003735E6"/>
    <w:rsid w:val="00374382"/>
    <w:rsid w:val="00375481"/>
    <w:rsid w:val="003754D3"/>
    <w:rsid w:val="00375E18"/>
    <w:rsid w:val="00375E39"/>
    <w:rsid w:val="00377D9F"/>
    <w:rsid w:val="0038181D"/>
    <w:rsid w:val="00382343"/>
    <w:rsid w:val="0038239F"/>
    <w:rsid w:val="0038536F"/>
    <w:rsid w:val="00386920"/>
    <w:rsid w:val="00387578"/>
    <w:rsid w:val="00390707"/>
    <w:rsid w:val="0039101B"/>
    <w:rsid w:val="00392390"/>
    <w:rsid w:val="00392C27"/>
    <w:rsid w:val="00393D63"/>
    <w:rsid w:val="0039627E"/>
    <w:rsid w:val="00397226"/>
    <w:rsid w:val="003974A3"/>
    <w:rsid w:val="003A008C"/>
    <w:rsid w:val="003A19AF"/>
    <w:rsid w:val="003A2556"/>
    <w:rsid w:val="003A36FE"/>
    <w:rsid w:val="003A464A"/>
    <w:rsid w:val="003A5932"/>
    <w:rsid w:val="003A6C5E"/>
    <w:rsid w:val="003A6D3B"/>
    <w:rsid w:val="003A7827"/>
    <w:rsid w:val="003B0162"/>
    <w:rsid w:val="003B20EB"/>
    <w:rsid w:val="003B32EF"/>
    <w:rsid w:val="003B46DA"/>
    <w:rsid w:val="003B6D13"/>
    <w:rsid w:val="003B6D70"/>
    <w:rsid w:val="003B7016"/>
    <w:rsid w:val="003B7230"/>
    <w:rsid w:val="003C3769"/>
    <w:rsid w:val="003C4A92"/>
    <w:rsid w:val="003C506E"/>
    <w:rsid w:val="003C526B"/>
    <w:rsid w:val="003C577F"/>
    <w:rsid w:val="003C6D14"/>
    <w:rsid w:val="003C714A"/>
    <w:rsid w:val="003C71C6"/>
    <w:rsid w:val="003C7F30"/>
    <w:rsid w:val="003D1B29"/>
    <w:rsid w:val="003D2325"/>
    <w:rsid w:val="003D3EB8"/>
    <w:rsid w:val="003D4CEA"/>
    <w:rsid w:val="003D6E84"/>
    <w:rsid w:val="003E0589"/>
    <w:rsid w:val="003E0642"/>
    <w:rsid w:val="003E1618"/>
    <w:rsid w:val="003E1F7F"/>
    <w:rsid w:val="003E1FF4"/>
    <w:rsid w:val="003E3707"/>
    <w:rsid w:val="003E48C3"/>
    <w:rsid w:val="003E5B80"/>
    <w:rsid w:val="003E5D3F"/>
    <w:rsid w:val="003E7682"/>
    <w:rsid w:val="003F0100"/>
    <w:rsid w:val="003F01A0"/>
    <w:rsid w:val="003F1245"/>
    <w:rsid w:val="003F1BDC"/>
    <w:rsid w:val="003F2850"/>
    <w:rsid w:val="003F3AAD"/>
    <w:rsid w:val="003F76FB"/>
    <w:rsid w:val="004007C7"/>
    <w:rsid w:val="00400835"/>
    <w:rsid w:val="004008BB"/>
    <w:rsid w:val="00403107"/>
    <w:rsid w:val="004037D5"/>
    <w:rsid w:val="004039E4"/>
    <w:rsid w:val="00403E11"/>
    <w:rsid w:val="0040436A"/>
    <w:rsid w:val="00404D73"/>
    <w:rsid w:val="004058E8"/>
    <w:rsid w:val="00405FB8"/>
    <w:rsid w:val="004073CB"/>
    <w:rsid w:val="00410640"/>
    <w:rsid w:val="0041099F"/>
    <w:rsid w:val="00411199"/>
    <w:rsid w:val="00411DBD"/>
    <w:rsid w:val="00412785"/>
    <w:rsid w:val="00412E59"/>
    <w:rsid w:val="0041305A"/>
    <w:rsid w:val="00413185"/>
    <w:rsid w:val="0041325C"/>
    <w:rsid w:val="0041348C"/>
    <w:rsid w:val="00413838"/>
    <w:rsid w:val="004156CA"/>
    <w:rsid w:val="0041609D"/>
    <w:rsid w:val="00416728"/>
    <w:rsid w:val="00417310"/>
    <w:rsid w:val="004176B9"/>
    <w:rsid w:val="00421117"/>
    <w:rsid w:val="00421757"/>
    <w:rsid w:val="00421AB2"/>
    <w:rsid w:val="0042212C"/>
    <w:rsid w:val="004223BE"/>
    <w:rsid w:val="00422843"/>
    <w:rsid w:val="004239CB"/>
    <w:rsid w:val="00423F52"/>
    <w:rsid w:val="00424F8A"/>
    <w:rsid w:val="004259F1"/>
    <w:rsid w:val="0042661B"/>
    <w:rsid w:val="004274DE"/>
    <w:rsid w:val="00430B12"/>
    <w:rsid w:val="00431E69"/>
    <w:rsid w:val="00432DDB"/>
    <w:rsid w:val="004334BE"/>
    <w:rsid w:val="004343A2"/>
    <w:rsid w:val="004346B9"/>
    <w:rsid w:val="00434E06"/>
    <w:rsid w:val="00434E3F"/>
    <w:rsid w:val="0043759E"/>
    <w:rsid w:val="004377E6"/>
    <w:rsid w:val="00441704"/>
    <w:rsid w:val="00441A15"/>
    <w:rsid w:val="00443D87"/>
    <w:rsid w:val="004442D2"/>
    <w:rsid w:val="00444A40"/>
    <w:rsid w:val="004462C0"/>
    <w:rsid w:val="00446991"/>
    <w:rsid w:val="00447F9B"/>
    <w:rsid w:val="00450061"/>
    <w:rsid w:val="004510BC"/>
    <w:rsid w:val="00451218"/>
    <w:rsid w:val="00452321"/>
    <w:rsid w:val="0045327D"/>
    <w:rsid w:val="00453A8E"/>
    <w:rsid w:val="00454306"/>
    <w:rsid w:val="00456274"/>
    <w:rsid w:val="004576A0"/>
    <w:rsid w:val="0045796A"/>
    <w:rsid w:val="004602CA"/>
    <w:rsid w:val="00464230"/>
    <w:rsid w:val="00464273"/>
    <w:rsid w:val="004643DB"/>
    <w:rsid w:val="00464855"/>
    <w:rsid w:val="004668EA"/>
    <w:rsid w:val="00466A5D"/>
    <w:rsid w:val="004672D1"/>
    <w:rsid w:val="00467341"/>
    <w:rsid w:val="004677CB"/>
    <w:rsid w:val="004713AC"/>
    <w:rsid w:val="00471E59"/>
    <w:rsid w:val="00473DF7"/>
    <w:rsid w:val="00474BE3"/>
    <w:rsid w:val="00475A2B"/>
    <w:rsid w:val="00476B3A"/>
    <w:rsid w:val="00477108"/>
    <w:rsid w:val="004771C3"/>
    <w:rsid w:val="00477A11"/>
    <w:rsid w:val="00477E0C"/>
    <w:rsid w:val="00480608"/>
    <w:rsid w:val="00480C7D"/>
    <w:rsid w:val="00481C74"/>
    <w:rsid w:val="00481DB1"/>
    <w:rsid w:val="004843A0"/>
    <w:rsid w:val="00484A25"/>
    <w:rsid w:val="00484EE3"/>
    <w:rsid w:val="00485EB3"/>
    <w:rsid w:val="0048637E"/>
    <w:rsid w:val="004869F6"/>
    <w:rsid w:val="00487EFE"/>
    <w:rsid w:val="00490E13"/>
    <w:rsid w:val="0049176C"/>
    <w:rsid w:val="00491BEC"/>
    <w:rsid w:val="00493D96"/>
    <w:rsid w:val="0049415C"/>
    <w:rsid w:val="0049418F"/>
    <w:rsid w:val="00495066"/>
    <w:rsid w:val="004957A2"/>
    <w:rsid w:val="00496866"/>
    <w:rsid w:val="004971A0"/>
    <w:rsid w:val="00497628"/>
    <w:rsid w:val="00497E49"/>
    <w:rsid w:val="004A0CAF"/>
    <w:rsid w:val="004A0E98"/>
    <w:rsid w:val="004A16E6"/>
    <w:rsid w:val="004A20EE"/>
    <w:rsid w:val="004A3595"/>
    <w:rsid w:val="004A3B3E"/>
    <w:rsid w:val="004A41D9"/>
    <w:rsid w:val="004A5967"/>
    <w:rsid w:val="004A61C3"/>
    <w:rsid w:val="004A636D"/>
    <w:rsid w:val="004A7517"/>
    <w:rsid w:val="004A7A13"/>
    <w:rsid w:val="004A7C3C"/>
    <w:rsid w:val="004B45A5"/>
    <w:rsid w:val="004B4FD4"/>
    <w:rsid w:val="004B5EE7"/>
    <w:rsid w:val="004B60B8"/>
    <w:rsid w:val="004B6DC1"/>
    <w:rsid w:val="004B6EB7"/>
    <w:rsid w:val="004C0EC2"/>
    <w:rsid w:val="004C2745"/>
    <w:rsid w:val="004C2FD4"/>
    <w:rsid w:val="004C3008"/>
    <w:rsid w:val="004C3117"/>
    <w:rsid w:val="004C42F6"/>
    <w:rsid w:val="004C512D"/>
    <w:rsid w:val="004C5B38"/>
    <w:rsid w:val="004C62FC"/>
    <w:rsid w:val="004C6551"/>
    <w:rsid w:val="004C6D2E"/>
    <w:rsid w:val="004C791E"/>
    <w:rsid w:val="004C7B05"/>
    <w:rsid w:val="004C7B98"/>
    <w:rsid w:val="004D0845"/>
    <w:rsid w:val="004D0AA4"/>
    <w:rsid w:val="004D1676"/>
    <w:rsid w:val="004D275B"/>
    <w:rsid w:val="004D45FE"/>
    <w:rsid w:val="004D5334"/>
    <w:rsid w:val="004D78D4"/>
    <w:rsid w:val="004D7F11"/>
    <w:rsid w:val="004E0489"/>
    <w:rsid w:val="004E097D"/>
    <w:rsid w:val="004E1139"/>
    <w:rsid w:val="004E1731"/>
    <w:rsid w:val="004E2A14"/>
    <w:rsid w:val="004E348E"/>
    <w:rsid w:val="004E36DA"/>
    <w:rsid w:val="004E518F"/>
    <w:rsid w:val="004E5711"/>
    <w:rsid w:val="004E6422"/>
    <w:rsid w:val="004E6CAD"/>
    <w:rsid w:val="004E72BC"/>
    <w:rsid w:val="004E7774"/>
    <w:rsid w:val="004E7BF4"/>
    <w:rsid w:val="004F127A"/>
    <w:rsid w:val="004F14CA"/>
    <w:rsid w:val="004F2AED"/>
    <w:rsid w:val="004F2B71"/>
    <w:rsid w:val="004F2D78"/>
    <w:rsid w:val="004F2FC9"/>
    <w:rsid w:val="004F40A1"/>
    <w:rsid w:val="004F40E8"/>
    <w:rsid w:val="004F4EAB"/>
    <w:rsid w:val="004F56F4"/>
    <w:rsid w:val="004F5C55"/>
    <w:rsid w:val="004F638F"/>
    <w:rsid w:val="004F6712"/>
    <w:rsid w:val="004F6D20"/>
    <w:rsid w:val="004F7F5B"/>
    <w:rsid w:val="00500492"/>
    <w:rsid w:val="0050052A"/>
    <w:rsid w:val="00501386"/>
    <w:rsid w:val="00502987"/>
    <w:rsid w:val="00502F2B"/>
    <w:rsid w:val="0050317C"/>
    <w:rsid w:val="0050345A"/>
    <w:rsid w:val="0050394E"/>
    <w:rsid w:val="00504542"/>
    <w:rsid w:val="005049BB"/>
    <w:rsid w:val="00505158"/>
    <w:rsid w:val="00505252"/>
    <w:rsid w:val="005053C1"/>
    <w:rsid w:val="00505B57"/>
    <w:rsid w:val="00505EF9"/>
    <w:rsid w:val="005066BD"/>
    <w:rsid w:val="00507413"/>
    <w:rsid w:val="00511CCE"/>
    <w:rsid w:val="0051227C"/>
    <w:rsid w:val="0051227D"/>
    <w:rsid w:val="00512ACD"/>
    <w:rsid w:val="00512B65"/>
    <w:rsid w:val="00512F65"/>
    <w:rsid w:val="00512FF3"/>
    <w:rsid w:val="0051301B"/>
    <w:rsid w:val="005131E4"/>
    <w:rsid w:val="00513352"/>
    <w:rsid w:val="005136B5"/>
    <w:rsid w:val="00513802"/>
    <w:rsid w:val="00513FE7"/>
    <w:rsid w:val="00514720"/>
    <w:rsid w:val="00514B7D"/>
    <w:rsid w:val="00515B97"/>
    <w:rsid w:val="00515FF9"/>
    <w:rsid w:val="00517248"/>
    <w:rsid w:val="005177F5"/>
    <w:rsid w:val="00517AB0"/>
    <w:rsid w:val="005207D3"/>
    <w:rsid w:val="00521B4C"/>
    <w:rsid w:val="00521E46"/>
    <w:rsid w:val="005227F4"/>
    <w:rsid w:val="00522B12"/>
    <w:rsid w:val="0052397E"/>
    <w:rsid w:val="00523EFE"/>
    <w:rsid w:val="00524658"/>
    <w:rsid w:val="00524BA8"/>
    <w:rsid w:val="00525146"/>
    <w:rsid w:val="0052581E"/>
    <w:rsid w:val="00526167"/>
    <w:rsid w:val="00526267"/>
    <w:rsid w:val="005305DF"/>
    <w:rsid w:val="005317D1"/>
    <w:rsid w:val="005318CD"/>
    <w:rsid w:val="00532AC5"/>
    <w:rsid w:val="00534279"/>
    <w:rsid w:val="0053453E"/>
    <w:rsid w:val="00535DBB"/>
    <w:rsid w:val="00535FF4"/>
    <w:rsid w:val="0053675D"/>
    <w:rsid w:val="00537005"/>
    <w:rsid w:val="005376CB"/>
    <w:rsid w:val="0053771E"/>
    <w:rsid w:val="00540072"/>
    <w:rsid w:val="00540376"/>
    <w:rsid w:val="00540A51"/>
    <w:rsid w:val="00540C7B"/>
    <w:rsid w:val="00540D8A"/>
    <w:rsid w:val="00540E2D"/>
    <w:rsid w:val="00542163"/>
    <w:rsid w:val="00542625"/>
    <w:rsid w:val="00544DC4"/>
    <w:rsid w:val="00545176"/>
    <w:rsid w:val="00545297"/>
    <w:rsid w:val="005454BD"/>
    <w:rsid w:val="005456A8"/>
    <w:rsid w:val="005457D9"/>
    <w:rsid w:val="0054704F"/>
    <w:rsid w:val="00550296"/>
    <w:rsid w:val="0055111F"/>
    <w:rsid w:val="005516E5"/>
    <w:rsid w:val="00551952"/>
    <w:rsid w:val="005520A5"/>
    <w:rsid w:val="00552AA7"/>
    <w:rsid w:val="00552BED"/>
    <w:rsid w:val="005539AC"/>
    <w:rsid w:val="005544EC"/>
    <w:rsid w:val="00554A1F"/>
    <w:rsid w:val="00554C5B"/>
    <w:rsid w:val="005557D8"/>
    <w:rsid w:val="0055616A"/>
    <w:rsid w:val="005600CA"/>
    <w:rsid w:val="00560288"/>
    <w:rsid w:val="00560D42"/>
    <w:rsid w:val="00562E99"/>
    <w:rsid w:val="00562FB4"/>
    <w:rsid w:val="00563028"/>
    <w:rsid w:val="00564756"/>
    <w:rsid w:val="0056616E"/>
    <w:rsid w:val="00566C9F"/>
    <w:rsid w:val="00566EF5"/>
    <w:rsid w:val="00566FBB"/>
    <w:rsid w:val="00567464"/>
    <w:rsid w:val="005676A1"/>
    <w:rsid w:val="00570E9C"/>
    <w:rsid w:val="00572612"/>
    <w:rsid w:val="005732FF"/>
    <w:rsid w:val="00573804"/>
    <w:rsid w:val="005743E9"/>
    <w:rsid w:val="00574D60"/>
    <w:rsid w:val="005750F5"/>
    <w:rsid w:val="00575281"/>
    <w:rsid w:val="00575661"/>
    <w:rsid w:val="005756DF"/>
    <w:rsid w:val="0057610D"/>
    <w:rsid w:val="00577078"/>
    <w:rsid w:val="00580D04"/>
    <w:rsid w:val="005815F6"/>
    <w:rsid w:val="0058166A"/>
    <w:rsid w:val="005818CC"/>
    <w:rsid w:val="00581FCC"/>
    <w:rsid w:val="00582174"/>
    <w:rsid w:val="005822C8"/>
    <w:rsid w:val="005833F9"/>
    <w:rsid w:val="005836D6"/>
    <w:rsid w:val="00583F8E"/>
    <w:rsid w:val="00584084"/>
    <w:rsid w:val="005842B1"/>
    <w:rsid w:val="005859EA"/>
    <w:rsid w:val="005861AA"/>
    <w:rsid w:val="00586CA6"/>
    <w:rsid w:val="00587CF4"/>
    <w:rsid w:val="00590462"/>
    <w:rsid w:val="00590964"/>
    <w:rsid w:val="00591DBE"/>
    <w:rsid w:val="00592F5C"/>
    <w:rsid w:val="00594039"/>
    <w:rsid w:val="00594C2E"/>
    <w:rsid w:val="005952AF"/>
    <w:rsid w:val="00596E85"/>
    <w:rsid w:val="00597DC6"/>
    <w:rsid w:val="005A0210"/>
    <w:rsid w:val="005A041F"/>
    <w:rsid w:val="005A0AEB"/>
    <w:rsid w:val="005A0B47"/>
    <w:rsid w:val="005A154E"/>
    <w:rsid w:val="005A1DF2"/>
    <w:rsid w:val="005A30A0"/>
    <w:rsid w:val="005A57EB"/>
    <w:rsid w:val="005A5B53"/>
    <w:rsid w:val="005B0EAE"/>
    <w:rsid w:val="005B1C25"/>
    <w:rsid w:val="005B23EC"/>
    <w:rsid w:val="005B313A"/>
    <w:rsid w:val="005B3F6D"/>
    <w:rsid w:val="005B4822"/>
    <w:rsid w:val="005B4BD1"/>
    <w:rsid w:val="005B556E"/>
    <w:rsid w:val="005B59AD"/>
    <w:rsid w:val="005B5F98"/>
    <w:rsid w:val="005B663B"/>
    <w:rsid w:val="005C027D"/>
    <w:rsid w:val="005C130D"/>
    <w:rsid w:val="005C2211"/>
    <w:rsid w:val="005C22EE"/>
    <w:rsid w:val="005C288F"/>
    <w:rsid w:val="005C3208"/>
    <w:rsid w:val="005C44BE"/>
    <w:rsid w:val="005C474E"/>
    <w:rsid w:val="005C4AB8"/>
    <w:rsid w:val="005C4B58"/>
    <w:rsid w:val="005C502F"/>
    <w:rsid w:val="005C59A7"/>
    <w:rsid w:val="005C65B0"/>
    <w:rsid w:val="005C783E"/>
    <w:rsid w:val="005C7990"/>
    <w:rsid w:val="005C7C44"/>
    <w:rsid w:val="005D0064"/>
    <w:rsid w:val="005D020A"/>
    <w:rsid w:val="005D091C"/>
    <w:rsid w:val="005D0C3C"/>
    <w:rsid w:val="005D0DB0"/>
    <w:rsid w:val="005D1DB9"/>
    <w:rsid w:val="005D23B7"/>
    <w:rsid w:val="005D2A82"/>
    <w:rsid w:val="005D2CE6"/>
    <w:rsid w:val="005D40D2"/>
    <w:rsid w:val="005D443B"/>
    <w:rsid w:val="005D5465"/>
    <w:rsid w:val="005D5500"/>
    <w:rsid w:val="005D5BEF"/>
    <w:rsid w:val="005D6900"/>
    <w:rsid w:val="005D79F1"/>
    <w:rsid w:val="005E1347"/>
    <w:rsid w:val="005E1658"/>
    <w:rsid w:val="005E1B75"/>
    <w:rsid w:val="005E25FD"/>
    <w:rsid w:val="005E3FE0"/>
    <w:rsid w:val="005E4410"/>
    <w:rsid w:val="005E45DF"/>
    <w:rsid w:val="005E4704"/>
    <w:rsid w:val="005E477C"/>
    <w:rsid w:val="005E5311"/>
    <w:rsid w:val="005E5904"/>
    <w:rsid w:val="005E5E13"/>
    <w:rsid w:val="005E63A0"/>
    <w:rsid w:val="005E7460"/>
    <w:rsid w:val="005E78B2"/>
    <w:rsid w:val="005F0366"/>
    <w:rsid w:val="005F10CF"/>
    <w:rsid w:val="005F1B39"/>
    <w:rsid w:val="005F273B"/>
    <w:rsid w:val="005F2DEA"/>
    <w:rsid w:val="005F31CE"/>
    <w:rsid w:val="005F325F"/>
    <w:rsid w:val="005F342D"/>
    <w:rsid w:val="005F3C16"/>
    <w:rsid w:val="005F4F62"/>
    <w:rsid w:val="005F542D"/>
    <w:rsid w:val="005F61A0"/>
    <w:rsid w:val="005F6E78"/>
    <w:rsid w:val="005F74FC"/>
    <w:rsid w:val="00600DBD"/>
    <w:rsid w:val="00600F61"/>
    <w:rsid w:val="00601112"/>
    <w:rsid w:val="00601B55"/>
    <w:rsid w:val="00602343"/>
    <w:rsid w:val="006032B9"/>
    <w:rsid w:val="00603611"/>
    <w:rsid w:val="00603942"/>
    <w:rsid w:val="00604221"/>
    <w:rsid w:val="006060E3"/>
    <w:rsid w:val="0061170E"/>
    <w:rsid w:val="00611908"/>
    <w:rsid w:val="00611EF0"/>
    <w:rsid w:val="0061222F"/>
    <w:rsid w:val="006136F9"/>
    <w:rsid w:val="00614BAD"/>
    <w:rsid w:val="00616AA4"/>
    <w:rsid w:val="00616D7F"/>
    <w:rsid w:val="00616F86"/>
    <w:rsid w:val="00617BEB"/>
    <w:rsid w:val="00617D7C"/>
    <w:rsid w:val="006202EF"/>
    <w:rsid w:val="00620873"/>
    <w:rsid w:val="006211B6"/>
    <w:rsid w:val="00621C23"/>
    <w:rsid w:val="00622726"/>
    <w:rsid w:val="006250E4"/>
    <w:rsid w:val="00625277"/>
    <w:rsid w:val="00625517"/>
    <w:rsid w:val="00627F1A"/>
    <w:rsid w:val="006303B2"/>
    <w:rsid w:val="00630FA6"/>
    <w:rsid w:val="00631B6F"/>
    <w:rsid w:val="00631BE0"/>
    <w:rsid w:val="00632072"/>
    <w:rsid w:val="006320A4"/>
    <w:rsid w:val="00633911"/>
    <w:rsid w:val="00633980"/>
    <w:rsid w:val="00633DE2"/>
    <w:rsid w:val="00635470"/>
    <w:rsid w:val="00636FD4"/>
    <w:rsid w:val="0063750B"/>
    <w:rsid w:val="00637749"/>
    <w:rsid w:val="006402B3"/>
    <w:rsid w:val="0064136F"/>
    <w:rsid w:val="00641593"/>
    <w:rsid w:val="00641BA8"/>
    <w:rsid w:val="00641D23"/>
    <w:rsid w:val="00642167"/>
    <w:rsid w:val="00642366"/>
    <w:rsid w:val="00643017"/>
    <w:rsid w:val="00644531"/>
    <w:rsid w:val="006445F8"/>
    <w:rsid w:val="0064519E"/>
    <w:rsid w:val="00645EAD"/>
    <w:rsid w:val="00646F0D"/>
    <w:rsid w:val="0064757F"/>
    <w:rsid w:val="00647812"/>
    <w:rsid w:val="00647CF1"/>
    <w:rsid w:val="0065042E"/>
    <w:rsid w:val="006504B0"/>
    <w:rsid w:val="00652810"/>
    <w:rsid w:val="00652DE9"/>
    <w:rsid w:val="0065396B"/>
    <w:rsid w:val="006539E4"/>
    <w:rsid w:val="00654582"/>
    <w:rsid w:val="006547E2"/>
    <w:rsid w:val="00655D41"/>
    <w:rsid w:val="00656973"/>
    <w:rsid w:val="0065736E"/>
    <w:rsid w:val="0065752D"/>
    <w:rsid w:val="00657B32"/>
    <w:rsid w:val="00657CD3"/>
    <w:rsid w:val="00657D88"/>
    <w:rsid w:val="006603E8"/>
    <w:rsid w:val="0066093F"/>
    <w:rsid w:val="00661624"/>
    <w:rsid w:val="0066316A"/>
    <w:rsid w:val="00663391"/>
    <w:rsid w:val="0066551D"/>
    <w:rsid w:val="00665E92"/>
    <w:rsid w:val="00666523"/>
    <w:rsid w:val="00666D7D"/>
    <w:rsid w:val="00666E34"/>
    <w:rsid w:val="006671F1"/>
    <w:rsid w:val="00672836"/>
    <w:rsid w:val="006748C9"/>
    <w:rsid w:val="00675118"/>
    <w:rsid w:val="006769B2"/>
    <w:rsid w:val="00680FB9"/>
    <w:rsid w:val="00682489"/>
    <w:rsid w:val="006826E7"/>
    <w:rsid w:val="006827B9"/>
    <w:rsid w:val="0068292A"/>
    <w:rsid w:val="00683592"/>
    <w:rsid w:val="00683633"/>
    <w:rsid w:val="00683BD1"/>
    <w:rsid w:val="00684496"/>
    <w:rsid w:val="006846B2"/>
    <w:rsid w:val="00684F34"/>
    <w:rsid w:val="0068579C"/>
    <w:rsid w:val="00685C2A"/>
    <w:rsid w:val="006867B1"/>
    <w:rsid w:val="00687078"/>
    <w:rsid w:val="00687128"/>
    <w:rsid w:val="0068729D"/>
    <w:rsid w:val="00687EB4"/>
    <w:rsid w:val="00690547"/>
    <w:rsid w:val="006906E5"/>
    <w:rsid w:val="00690B97"/>
    <w:rsid w:val="00691886"/>
    <w:rsid w:val="00691AC1"/>
    <w:rsid w:val="006925D4"/>
    <w:rsid w:val="00692BAB"/>
    <w:rsid w:val="00693F60"/>
    <w:rsid w:val="006962A1"/>
    <w:rsid w:val="00696527"/>
    <w:rsid w:val="00696ADD"/>
    <w:rsid w:val="006A0FDD"/>
    <w:rsid w:val="006A2764"/>
    <w:rsid w:val="006A2AC7"/>
    <w:rsid w:val="006A333B"/>
    <w:rsid w:val="006A3AB1"/>
    <w:rsid w:val="006A45BE"/>
    <w:rsid w:val="006A4AAC"/>
    <w:rsid w:val="006A5979"/>
    <w:rsid w:val="006A6A73"/>
    <w:rsid w:val="006A6D85"/>
    <w:rsid w:val="006A79AA"/>
    <w:rsid w:val="006A7A64"/>
    <w:rsid w:val="006A7FD7"/>
    <w:rsid w:val="006B0B65"/>
    <w:rsid w:val="006B2670"/>
    <w:rsid w:val="006B2BE6"/>
    <w:rsid w:val="006B2D6F"/>
    <w:rsid w:val="006B3043"/>
    <w:rsid w:val="006B33A6"/>
    <w:rsid w:val="006B462F"/>
    <w:rsid w:val="006B464F"/>
    <w:rsid w:val="006B4D57"/>
    <w:rsid w:val="006B65DF"/>
    <w:rsid w:val="006B6904"/>
    <w:rsid w:val="006B7544"/>
    <w:rsid w:val="006B7D6D"/>
    <w:rsid w:val="006C0008"/>
    <w:rsid w:val="006C00DF"/>
    <w:rsid w:val="006C0B8F"/>
    <w:rsid w:val="006C1114"/>
    <w:rsid w:val="006C2A56"/>
    <w:rsid w:val="006C4E76"/>
    <w:rsid w:val="006C541E"/>
    <w:rsid w:val="006C5421"/>
    <w:rsid w:val="006C76B7"/>
    <w:rsid w:val="006C7747"/>
    <w:rsid w:val="006C78E0"/>
    <w:rsid w:val="006D1033"/>
    <w:rsid w:val="006D2075"/>
    <w:rsid w:val="006D22CF"/>
    <w:rsid w:val="006D2DF4"/>
    <w:rsid w:val="006D2E01"/>
    <w:rsid w:val="006D38DC"/>
    <w:rsid w:val="006D45FC"/>
    <w:rsid w:val="006D4613"/>
    <w:rsid w:val="006D48C4"/>
    <w:rsid w:val="006D52A8"/>
    <w:rsid w:val="006D534C"/>
    <w:rsid w:val="006D557D"/>
    <w:rsid w:val="006D56FA"/>
    <w:rsid w:val="006D6157"/>
    <w:rsid w:val="006D735D"/>
    <w:rsid w:val="006D7AA6"/>
    <w:rsid w:val="006E0275"/>
    <w:rsid w:val="006E0C2C"/>
    <w:rsid w:val="006E1051"/>
    <w:rsid w:val="006E344A"/>
    <w:rsid w:val="006E4284"/>
    <w:rsid w:val="006E44A7"/>
    <w:rsid w:val="006E4D89"/>
    <w:rsid w:val="006E4F36"/>
    <w:rsid w:val="006E625D"/>
    <w:rsid w:val="006E67DA"/>
    <w:rsid w:val="006F04C5"/>
    <w:rsid w:val="006F0A4D"/>
    <w:rsid w:val="006F1425"/>
    <w:rsid w:val="006F16FE"/>
    <w:rsid w:val="006F174A"/>
    <w:rsid w:val="006F3066"/>
    <w:rsid w:val="006F3421"/>
    <w:rsid w:val="006F3A99"/>
    <w:rsid w:val="006F3E2A"/>
    <w:rsid w:val="006F40AC"/>
    <w:rsid w:val="006F4A4F"/>
    <w:rsid w:val="006F4C24"/>
    <w:rsid w:val="006F5808"/>
    <w:rsid w:val="006F5FC3"/>
    <w:rsid w:val="006F6484"/>
    <w:rsid w:val="006F7A88"/>
    <w:rsid w:val="006F7E82"/>
    <w:rsid w:val="007006F5"/>
    <w:rsid w:val="00701CEE"/>
    <w:rsid w:val="00702E57"/>
    <w:rsid w:val="007046D3"/>
    <w:rsid w:val="00705A38"/>
    <w:rsid w:val="00706064"/>
    <w:rsid w:val="00706CDF"/>
    <w:rsid w:val="0070766F"/>
    <w:rsid w:val="007102EB"/>
    <w:rsid w:val="0071092B"/>
    <w:rsid w:val="00711503"/>
    <w:rsid w:val="0071174C"/>
    <w:rsid w:val="007128F5"/>
    <w:rsid w:val="0071318D"/>
    <w:rsid w:val="00714D59"/>
    <w:rsid w:val="007151A7"/>
    <w:rsid w:val="00715473"/>
    <w:rsid w:val="007154A1"/>
    <w:rsid w:val="007159B2"/>
    <w:rsid w:val="0071734F"/>
    <w:rsid w:val="00721226"/>
    <w:rsid w:val="00721940"/>
    <w:rsid w:val="00723353"/>
    <w:rsid w:val="00723AB5"/>
    <w:rsid w:val="00723BB9"/>
    <w:rsid w:val="00723E52"/>
    <w:rsid w:val="00724365"/>
    <w:rsid w:val="00727C50"/>
    <w:rsid w:val="00727C74"/>
    <w:rsid w:val="007306D8"/>
    <w:rsid w:val="007307CE"/>
    <w:rsid w:val="00730842"/>
    <w:rsid w:val="00731950"/>
    <w:rsid w:val="00732E63"/>
    <w:rsid w:val="00733CE0"/>
    <w:rsid w:val="0073522A"/>
    <w:rsid w:val="00735DEA"/>
    <w:rsid w:val="00735E35"/>
    <w:rsid w:val="00736D8C"/>
    <w:rsid w:val="00736FE4"/>
    <w:rsid w:val="007378FC"/>
    <w:rsid w:val="00737BD3"/>
    <w:rsid w:val="00740C89"/>
    <w:rsid w:val="007425D0"/>
    <w:rsid w:val="00742F43"/>
    <w:rsid w:val="00743D6C"/>
    <w:rsid w:val="007446A6"/>
    <w:rsid w:val="0074599E"/>
    <w:rsid w:val="00746253"/>
    <w:rsid w:val="00746C3E"/>
    <w:rsid w:val="00746EC7"/>
    <w:rsid w:val="00746FB1"/>
    <w:rsid w:val="00747F32"/>
    <w:rsid w:val="00750BA8"/>
    <w:rsid w:val="0075105A"/>
    <w:rsid w:val="00751BD2"/>
    <w:rsid w:val="007521E8"/>
    <w:rsid w:val="007533BB"/>
    <w:rsid w:val="00755B46"/>
    <w:rsid w:val="00755DB1"/>
    <w:rsid w:val="00757CF0"/>
    <w:rsid w:val="007606B5"/>
    <w:rsid w:val="00761AB0"/>
    <w:rsid w:val="00761C3C"/>
    <w:rsid w:val="00761DCC"/>
    <w:rsid w:val="007623B5"/>
    <w:rsid w:val="007637B4"/>
    <w:rsid w:val="00763952"/>
    <w:rsid w:val="00763DA2"/>
    <w:rsid w:val="00765569"/>
    <w:rsid w:val="00766C73"/>
    <w:rsid w:val="0076730A"/>
    <w:rsid w:val="007676B3"/>
    <w:rsid w:val="007704EE"/>
    <w:rsid w:val="00770E51"/>
    <w:rsid w:val="00771206"/>
    <w:rsid w:val="007715AF"/>
    <w:rsid w:val="00771F1B"/>
    <w:rsid w:val="0077334E"/>
    <w:rsid w:val="00773367"/>
    <w:rsid w:val="00773EBE"/>
    <w:rsid w:val="00776E58"/>
    <w:rsid w:val="00780E71"/>
    <w:rsid w:val="00781CB8"/>
    <w:rsid w:val="007821FB"/>
    <w:rsid w:val="00782650"/>
    <w:rsid w:val="00782D15"/>
    <w:rsid w:val="00783AD7"/>
    <w:rsid w:val="00784E07"/>
    <w:rsid w:val="007858A5"/>
    <w:rsid w:val="00785B18"/>
    <w:rsid w:val="00786350"/>
    <w:rsid w:val="0078655F"/>
    <w:rsid w:val="00786671"/>
    <w:rsid w:val="00786996"/>
    <w:rsid w:val="00787106"/>
    <w:rsid w:val="00790106"/>
    <w:rsid w:val="00791367"/>
    <w:rsid w:val="00793C90"/>
    <w:rsid w:val="00793CAD"/>
    <w:rsid w:val="00793CCB"/>
    <w:rsid w:val="00793D96"/>
    <w:rsid w:val="007941B1"/>
    <w:rsid w:val="00794494"/>
    <w:rsid w:val="00794827"/>
    <w:rsid w:val="00794C12"/>
    <w:rsid w:val="00795374"/>
    <w:rsid w:val="0079557A"/>
    <w:rsid w:val="00795775"/>
    <w:rsid w:val="00795A6B"/>
    <w:rsid w:val="00795BCB"/>
    <w:rsid w:val="00795FBB"/>
    <w:rsid w:val="00797213"/>
    <w:rsid w:val="0079722C"/>
    <w:rsid w:val="007976D4"/>
    <w:rsid w:val="00797D4B"/>
    <w:rsid w:val="007A13A6"/>
    <w:rsid w:val="007A1885"/>
    <w:rsid w:val="007A2843"/>
    <w:rsid w:val="007A34C6"/>
    <w:rsid w:val="007A5079"/>
    <w:rsid w:val="007A58EB"/>
    <w:rsid w:val="007A7006"/>
    <w:rsid w:val="007B0BBB"/>
    <w:rsid w:val="007B163F"/>
    <w:rsid w:val="007B2D84"/>
    <w:rsid w:val="007B36F0"/>
    <w:rsid w:val="007B5615"/>
    <w:rsid w:val="007B5999"/>
    <w:rsid w:val="007B59C4"/>
    <w:rsid w:val="007B5E84"/>
    <w:rsid w:val="007B64BD"/>
    <w:rsid w:val="007B6E53"/>
    <w:rsid w:val="007C08B3"/>
    <w:rsid w:val="007C098F"/>
    <w:rsid w:val="007C2098"/>
    <w:rsid w:val="007C31DC"/>
    <w:rsid w:val="007C46ED"/>
    <w:rsid w:val="007C4B30"/>
    <w:rsid w:val="007C52EC"/>
    <w:rsid w:val="007C58EF"/>
    <w:rsid w:val="007C58FC"/>
    <w:rsid w:val="007C65D1"/>
    <w:rsid w:val="007C6745"/>
    <w:rsid w:val="007C7750"/>
    <w:rsid w:val="007C7CBD"/>
    <w:rsid w:val="007D117F"/>
    <w:rsid w:val="007D1A91"/>
    <w:rsid w:val="007D2616"/>
    <w:rsid w:val="007D3010"/>
    <w:rsid w:val="007D30D0"/>
    <w:rsid w:val="007D3862"/>
    <w:rsid w:val="007D4836"/>
    <w:rsid w:val="007D49DE"/>
    <w:rsid w:val="007D500B"/>
    <w:rsid w:val="007D641A"/>
    <w:rsid w:val="007D69D5"/>
    <w:rsid w:val="007D6C35"/>
    <w:rsid w:val="007D7540"/>
    <w:rsid w:val="007D7A0C"/>
    <w:rsid w:val="007E02D9"/>
    <w:rsid w:val="007E0314"/>
    <w:rsid w:val="007E094C"/>
    <w:rsid w:val="007E0B79"/>
    <w:rsid w:val="007E1B8E"/>
    <w:rsid w:val="007E1D1B"/>
    <w:rsid w:val="007E32F2"/>
    <w:rsid w:val="007E3A30"/>
    <w:rsid w:val="007E44F3"/>
    <w:rsid w:val="007E5478"/>
    <w:rsid w:val="007E579C"/>
    <w:rsid w:val="007E6B8A"/>
    <w:rsid w:val="007E7049"/>
    <w:rsid w:val="007E7322"/>
    <w:rsid w:val="007E786B"/>
    <w:rsid w:val="007F210F"/>
    <w:rsid w:val="007F47B1"/>
    <w:rsid w:val="007F59E4"/>
    <w:rsid w:val="007F5CB5"/>
    <w:rsid w:val="007F725A"/>
    <w:rsid w:val="008006E7"/>
    <w:rsid w:val="00801192"/>
    <w:rsid w:val="008021FA"/>
    <w:rsid w:val="0080357F"/>
    <w:rsid w:val="00804E4D"/>
    <w:rsid w:val="008050D1"/>
    <w:rsid w:val="0080571C"/>
    <w:rsid w:val="00806806"/>
    <w:rsid w:val="00807C9E"/>
    <w:rsid w:val="00810ACD"/>
    <w:rsid w:val="00810C42"/>
    <w:rsid w:val="00810F92"/>
    <w:rsid w:val="00812086"/>
    <w:rsid w:val="008122BF"/>
    <w:rsid w:val="00814045"/>
    <w:rsid w:val="008143AB"/>
    <w:rsid w:val="00814CF3"/>
    <w:rsid w:val="0081520F"/>
    <w:rsid w:val="00815357"/>
    <w:rsid w:val="00815BB7"/>
    <w:rsid w:val="00816140"/>
    <w:rsid w:val="00816CC2"/>
    <w:rsid w:val="00816D6F"/>
    <w:rsid w:val="00816E3D"/>
    <w:rsid w:val="00817689"/>
    <w:rsid w:val="00817999"/>
    <w:rsid w:val="0082098C"/>
    <w:rsid w:val="00820CBF"/>
    <w:rsid w:val="008230F3"/>
    <w:rsid w:val="0082360E"/>
    <w:rsid w:val="0082372D"/>
    <w:rsid w:val="00823CE2"/>
    <w:rsid w:val="00824036"/>
    <w:rsid w:val="00824E03"/>
    <w:rsid w:val="00825772"/>
    <w:rsid w:val="00826B28"/>
    <w:rsid w:val="00827C67"/>
    <w:rsid w:val="008301E2"/>
    <w:rsid w:val="00830274"/>
    <w:rsid w:val="008309CF"/>
    <w:rsid w:val="00830BB8"/>
    <w:rsid w:val="008356AF"/>
    <w:rsid w:val="008368EF"/>
    <w:rsid w:val="008378ED"/>
    <w:rsid w:val="008414E4"/>
    <w:rsid w:val="00844055"/>
    <w:rsid w:val="0084523B"/>
    <w:rsid w:val="00845623"/>
    <w:rsid w:val="0084568B"/>
    <w:rsid w:val="00845F0B"/>
    <w:rsid w:val="0084616B"/>
    <w:rsid w:val="00846638"/>
    <w:rsid w:val="00847C8A"/>
    <w:rsid w:val="00853BAC"/>
    <w:rsid w:val="00854FEC"/>
    <w:rsid w:val="00855000"/>
    <w:rsid w:val="0085543F"/>
    <w:rsid w:val="00855C5C"/>
    <w:rsid w:val="008565BF"/>
    <w:rsid w:val="008566E3"/>
    <w:rsid w:val="00857A6F"/>
    <w:rsid w:val="0086043D"/>
    <w:rsid w:val="008606CB"/>
    <w:rsid w:val="008613F8"/>
    <w:rsid w:val="00862CE7"/>
    <w:rsid w:val="00863E5E"/>
    <w:rsid w:val="00863EFC"/>
    <w:rsid w:val="0086423D"/>
    <w:rsid w:val="00864253"/>
    <w:rsid w:val="0086451C"/>
    <w:rsid w:val="0086486C"/>
    <w:rsid w:val="00865E9E"/>
    <w:rsid w:val="008670E6"/>
    <w:rsid w:val="00867195"/>
    <w:rsid w:val="00867B0C"/>
    <w:rsid w:val="00867FEA"/>
    <w:rsid w:val="00870560"/>
    <w:rsid w:val="008707C7"/>
    <w:rsid w:val="00872028"/>
    <w:rsid w:val="008736EA"/>
    <w:rsid w:val="00873CD4"/>
    <w:rsid w:val="00874242"/>
    <w:rsid w:val="00875881"/>
    <w:rsid w:val="0087667D"/>
    <w:rsid w:val="0087676C"/>
    <w:rsid w:val="00880EBB"/>
    <w:rsid w:val="0088221C"/>
    <w:rsid w:val="00882943"/>
    <w:rsid w:val="00883931"/>
    <w:rsid w:val="00883A25"/>
    <w:rsid w:val="008855BB"/>
    <w:rsid w:val="008855F7"/>
    <w:rsid w:val="00890B70"/>
    <w:rsid w:val="00890EAE"/>
    <w:rsid w:val="00890FDD"/>
    <w:rsid w:val="00893082"/>
    <w:rsid w:val="00893209"/>
    <w:rsid w:val="008937FD"/>
    <w:rsid w:val="00893BD5"/>
    <w:rsid w:val="00893E62"/>
    <w:rsid w:val="00893E97"/>
    <w:rsid w:val="00894C6B"/>
    <w:rsid w:val="00895592"/>
    <w:rsid w:val="00895E1A"/>
    <w:rsid w:val="008970A2"/>
    <w:rsid w:val="0089755A"/>
    <w:rsid w:val="00897E62"/>
    <w:rsid w:val="008A12C8"/>
    <w:rsid w:val="008A1DD4"/>
    <w:rsid w:val="008A1F69"/>
    <w:rsid w:val="008A1FB6"/>
    <w:rsid w:val="008A34C5"/>
    <w:rsid w:val="008A34EF"/>
    <w:rsid w:val="008A3D5A"/>
    <w:rsid w:val="008A4559"/>
    <w:rsid w:val="008A52EA"/>
    <w:rsid w:val="008A5BEF"/>
    <w:rsid w:val="008A74F9"/>
    <w:rsid w:val="008B0508"/>
    <w:rsid w:val="008B10A6"/>
    <w:rsid w:val="008B17C0"/>
    <w:rsid w:val="008B2C1A"/>
    <w:rsid w:val="008B3435"/>
    <w:rsid w:val="008B3A4A"/>
    <w:rsid w:val="008B3D2D"/>
    <w:rsid w:val="008B3E73"/>
    <w:rsid w:val="008B5C1B"/>
    <w:rsid w:val="008B678D"/>
    <w:rsid w:val="008B76AE"/>
    <w:rsid w:val="008B7D5E"/>
    <w:rsid w:val="008C02E3"/>
    <w:rsid w:val="008C07E0"/>
    <w:rsid w:val="008C0A85"/>
    <w:rsid w:val="008C0D75"/>
    <w:rsid w:val="008C12F6"/>
    <w:rsid w:val="008C2E67"/>
    <w:rsid w:val="008C47BB"/>
    <w:rsid w:val="008C4AF7"/>
    <w:rsid w:val="008C5F28"/>
    <w:rsid w:val="008C6930"/>
    <w:rsid w:val="008D05E9"/>
    <w:rsid w:val="008D07AB"/>
    <w:rsid w:val="008D0D25"/>
    <w:rsid w:val="008D0E3F"/>
    <w:rsid w:val="008D0FCC"/>
    <w:rsid w:val="008D22A7"/>
    <w:rsid w:val="008D2B1A"/>
    <w:rsid w:val="008D3196"/>
    <w:rsid w:val="008D4702"/>
    <w:rsid w:val="008D5D3E"/>
    <w:rsid w:val="008D6FEB"/>
    <w:rsid w:val="008D75B5"/>
    <w:rsid w:val="008E049F"/>
    <w:rsid w:val="008E0888"/>
    <w:rsid w:val="008E09D2"/>
    <w:rsid w:val="008E104F"/>
    <w:rsid w:val="008E1074"/>
    <w:rsid w:val="008E122F"/>
    <w:rsid w:val="008E1CD4"/>
    <w:rsid w:val="008E20F8"/>
    <w:rsid w:val="008E2681"/>
    <w:rsid w:val="008E3096"/>
    <w:rsid w:val="008E35FC"/>
    <w:rsid w:val="008E3883"/>
    <w:rsid w:val="008E3FAC"/>
    <w:rsid w:val="008E465F"/>
    <w:rsid w:val="008E494A"/>
    <w:rsid w:val="008E4C8B"/>
    <w:rsid w:val="008E55FD"/>
    <w:rsid w:val="008E62E3"/>
    <w:rsid w:val="008E62E7"/>
    <w:rsid w:val="008E7180"/>
    <w:rsid w:val="008E7567"/>
    <w:rsid w:val="008E79DF"/>
    <w:rsid w:val="008E7A29"/>
    <w:rsid w:val="008E7BAF"/>
    <w:rsid w:val="008E7E32"/>
    <w:rsid w:val="008F0119"/>
    <w:rsid w:val="008F1E9A"/>
    <w:rsid w:val="008F31A2"/>
    <w:rsid w:val="008F35E9"/>
    <w:rsid w:val="008F3706"/>
    <w:rsid w:val="008F47ED"/>
    <w:rsid w:val="008F77C1"/>
    <w:rsid w:val="008F792C"/>
    <w:rsid w:val="00901E23"/>
    <w:rsid w:val="0090205C"/>
    <w:rsid w:val="0090232B"/>
    <w:rsid w:val="00903B55"/>
    <w:rsid w:val="00903CFA"/>
    <w:rsid w:val="00906431"/>
    <w:rsid w:val="00906517"/>
    <w:rsid w:val="00907D6A"/>
    <w:rsid w:val="00910AAA"/>
    <w:rsid w:val="00911296"/>
    <w:rsid w:val="00911913"/>
    <w:rsid w:val="00911DCE"/>
    <w:rsid w:val="00912BE4"/>
    <w:rsid w:val="00912EEB"/>
    <w:rsid w:val="00913746"/>
    <w:rsid w:val="009142FB"/>
    <w:rsid w:val="00914513"/>
    <w:rsid w:val="00916165"/>
    <w:rsid w:val="009163A0"/>
    <w:rsid w:val="0091788A"/>
    <w:rsid w:val="0092034D"/>
    <w:rsid w:val="00921680"/>
    <w:rsid w:val="00923F5A"/>
    <w:rsid w:val="0092452E"/>
    <w:rsid w:val="00924F01"/>
    <w:rsid w:val="009251E2"/>
    <w:rsid w:val="009254A1"/>
    <w:rsid w:val="00926D3A"/>
    <w:rsid w:val="009273F1"/>
    <w:rsid w:val="009274D2"/>
    <w:rsid w:val="00927951"/>
    <w:rsid w:val="009279EF"/>
    <w:rsid w:val="00927B99"/>
    <w:rsid w:val="00930202"/>
    <w:rsid w:val="00930946"/>
    <w:rsid w:val="00930E9A"/>
    <w:rsid w:val="00930F77"/>
    <w:rsid w:val="0093143B"/>
    <w:rsid w:val="009324EA"/>
    <w:rsid w:val="00932AAE"/>
    <w:rsid w:val="00932EDB"/>
    <w:rsid w:val="00933842"/>
    <w:rsid w:val="00933D02"/>
    <w:rsid w:val="00934E48"/>
    <w:rsid w:val="009356CE"/>
    <w:rsid w:val="0093617F"/>
    <w:rsid w:val="00936F5A"/>
    <w:rsid w:val="00940003"/>
    <w:rsid w:val="009407C1"/>
    <w:rsid w:val="00940B64"/>
    <w:rsid w:val="009414D9"/>
    <w:rsid w:val="009424D4"/>
    <w:rsid w:val="0094289F"/>
    <w:rsid w:val="009430A4"/>
    <w:rsid w:val="009439B0"/>
    <w:rsid w:val="00944B59"/>
    <w:rsid w:val="00945583"/>
    <w:rsid w:val="009459FB"/>
    <w:rsid w:val="00945CF8"/>
    <w:rsid w:val="009471DF"/>
    <w:rsid w:val="009472CB"/>
    <w:rsid w:val="0095037F"/>
    <w:rsid w:val="00950448"/>
    <w:rsid w:val="00950A30"/>
    <w:rsid w:val="009512B5"/>
    <w:rsid w:val="00951501"/>
    <w:rsid w:val="00951572"/>
    <w:rsid w:val="00951EA0"/>
    <w:rsid w:val="00952E9A"/>
    <w:rsid w:val="00953CE1"/>
    <w:rsid w:val="009541C3"/>
    <w:rsid w:val="00955509"/>
    <w:rsid w:val="00961827"/>
    <w:rsid w:val="0096291D"/>
    <w:rsid w:val="00963550"/>
    <w:rsid w:val="0096450E"/>
    <w:rsid w:val="00965256"/>
    <w:rsid w:val="009653CE"/>
    <w:rsid w:val="009653FA"/>
    <w:rsid w:val="00965AA2"/>
    <w:rsid w:val="0096615A"/>
    <w:rsid w:val="00966BEF"/>
    <w:rsid w:val="00967AA3"/>
    <w:rsid w:val="0097064F"/>
    <w:rsid w:val="00970D42"/>
    <w:rsid w:val="00971F57"/>
    <w:rsid w:val="00971FED"/>
    <w:rsid w:val="009727CE"/>
    <w:rsid w:val="00973414"/>
    <w:rsid w:val="00975148"/>
    <w:rsid w:val="009758E4"/>
    <w:rsid w:val="009805C3"/>
    <w:rsid w:val="0098076D"/>
    <w:rsid w:val="00980A10"/>
    <w:rsid w:val="00980AF0"/>
    <w:rsid w:val="00980EAC"/>
    <w:rsid w:val="009819A5"/>
    <w:rsid w:val="00981CEA"/>
    <w:rsid w:val="00984E2D"/>
    <w:rsid w:val="0098518C"/>
    <w:rsid w:val="009867A4"/>
    <w:rsid w:val="00986D09"/>
    <w:rsid w:val="009872A6"/>
    <w:rsid w:val="00990543"/>
    <w:rsid w:val="00990F28"/>
    <w:rsid w:val="00991664"/>
    <w:rsid w:val="0099171C"/>
    <w:rsid w:val="00991CD0"/>
    <w:rsid w:val="0099204B"/>
    <w:rsid w:val="00992152"/>
    <w:rsid w:val="00993173"/>
    <w:rsid w:val="00993B91"/>
    <w:rsid w:val="00994EED"/>
    <w:rsid w:val="0099521E"/>
    <w:rsid w:val="00995CBB"/>
    <w:rsid w:val="0099638C"/>
    <w:rsid w:val="00997A06"/>
    <w:rsid w:val="00997E64"/>
    <w:rsid w:val="009A066A"/>
    <w:rsid w:val="009A06DD"/>
    <w:rsid w:val="009A2046"/>
    <w:rsid w:val="009A2D5D"/>
    <w:rsid w:val="009A3C06"/>
    <w:rsid w:val="009A406F"/>
    <w:rsid w:val="009A43F0"/>
    <w:rsid w:val="009A4BA4"/>
    <w:rsid w:val="009A4BC9"/>
    <w:rsid w:val="009A6AF2"/>
    <w:rsid w:val="009A7BE2"/>
    <w:rsid w:val="009A7E0B"/>
    <w:rsid w:val="009A7EBF"/>
    <w:rsid w:val="009B0149"/>
    <w:rsid w:val="009B055B"/>
    <w:rsid w:val="009B08D7"/>
    <w:rsid w:val="009B0F51"/>
    <w:rsid w:val="009B2B0A"/>
    <w:rsid w:val="009B2E81"/>
    <w:rsid w:val="009B30CE"/>
    <w:rsid w:val="009B31F6"/>
    <w:rsid w:val="009B3302"/>
    <w:rsid w:val="009B4352"/>
    <w:rsid w:val="009B4DCC"/>
    <w:rsid w:val="009B4DE8"/>
    <w:rsid w:val="009B51E3"/>
    <w:rsid w:val="009B57E5"/>
    <w:rsid w:val="009B5861"/>
    <w:rsid w:val="009B5965"/>
    <w:rsid w:val="009B5ACC"/>
    <w:rsid w:val="009B6425"/>
    <w:rsid w:val="009B6891"/>
    <w:rsid w:val="009B6B37"/>
    <w:rsid w:val="009B7010"/>
    <w:rsid w:val="009C00E4"/>
    <w:rsid w:val="009C118B"/>
    <w:rsid w:val="009C15E4"/>
    <w:rsid w:val="009C17E9"/>
    <w:rsid w:val="009C2720"/>
    <w:rsid w:val="009C4F5B"/>
    <w:rsid w:val="009C54CF"/>
    <w:rsid w:val="009C7336"/>
    <w:rsid w:val="009D0446"/>
    <w:rsid w:val="009D0458"/>
    <w:rsid w:val="009D0553"/>
    <w:rsid w:val="009D32B4"/>
    <w:rsid w:val="009D386E"/>
    <w:rsid w:val="009D3AF1"/>
    <w:rsid w:val="009D4530"/>
    <w:rsid w:val="009D4C76"/>
    <w:rsid w:val="009D556B"/>
    <w:rsid w:val="009D5BA7"/>
    <w:rsid w:val="009D5F98"/>
    <w:rsid w:val="009D679A"/>
    <w:rsid w:val="009D6FE9"/>
    <w:rsid w:val="009D77C7"/>
    <w:rsid w:val="009E2B7A"/>
    <w:rsid w:val="009E2D48"/>
    <w:rsid w:val="009E3DF0"/>
    <w:rsid w:val="009E422A"/>
    <w:rsid w:val="009E5D58"/>
    <w:rsid w:val="009E5F8D"/>
    <w:rsid w:val="009E609E"/>
    <w:rsid w:val="009E6CDF"/>
    <w:rsid w:val="009E7BCC"/>
    <w:rsid w:val="009F0562"/>
    <w:rsid w:val="009F07B3"/>
    <w:rsid w:val="009F19EB"/>
    <w:rsid w:val="009F1ACE"/>
    <w:rsid w:val="009F1C1F"/>
    <w:rsid w:val="009F24F9"/>
    <w:rsid w:val="009F2C13"/>
    <w:rsid w:val="009F3B22"/>
    <w:rsid w:val="009F3EAC"/>
    <w:rsid w:val="009F3F46"/>
    <w:rsid w:val="009F42FB"/>
    <w:rsid w:val="009F508E"/>
    <w:rsid w:val="009F53CF"/>
    <w:rsid w:val="009F60D3"/>
    <w:rsid w:val="009F67EB"/>
    <w:rsid w:val="009F6886"/>
    <w:rsid w:val="009F6ADF"/>
    <w:rsid w:val="009F7509"/>
    <w:rsid w:val="009F750D"/>
    <w:rsid w:val="009F757E"/>
    <w:rsid w:val="00A00457"/>
    <w:rsid w:val="00A0118A"/>
    <w:rsid w:val="00A0323A"/>
    <w:rsid w:val="00A0480A"/>
    <w:rsid w:val="00A06DEB"/>
    <w:rsid w:val="00A10FBF"/>
    <w:rsid w:val="00A11C3C"/>
    <w:rsid w:val="00A135E2"/>
    <w:rsid w:val="00A13759"/>
    <w:rsid w:val="00A13F1D"/>
    <w:rsid w:val="00A143D8"/>
    <w:rsid w:val="00A15534"/>
    <w:rsid w:val="00A156F2"/>
    <w:rsid w:val="00A16041"/>
    <w:rsid w:val="00A169BA"/>
    <w:rsid w:val="00A17551"/>
    <w:rsid w:val="00A21421"/>
    <w:rsid w:val="00A21753"/>
    <w:rsid w:val="00A246CF"/>
    <w:rsid w:val="00A24A8A"/>
    <w:rsid w:val="00A2526E"/>
    <w:rsid w:val="00A2533A"/>
    <w:rsid w:val="00A2607F"/>
    <w:rsid w:val="00A26588"/>
    <w:rsid w:val="00A26A79"/>
    <w:rsid w:val="00A27275"/>
    <w:rsid w:val="00A308B5"/>
    <w:rsid w:val="00A30A78"/>
    <w:rsid w:val="00A3160B"/>
    <w:rsid w:val="00A3183C"/>
    <w:rsid w:val="00A31915"/>
    <w:rsid w:val="00A32400"/>
    <w:rsid w:val="00A32D6B"/>
    <w:rsid w:val="00A33248"/>
    <w:rsid w:val="00A33270"/>
    <w:rsid w:val="00A33955"/>
    <w:rsid w:val="00A3406B"/>
    <w:rsid w:val="00A35CFD"/>
    <w:rsid w:val="00A35FEB"/>
    <w:rsid w:val="00A36A3A"/>
    <w:rsid w:val="00A36DD1"/>
    <w:rsid w:val="00A4105E"/>
    <w:rsid w:val="00A412AA"/>
    <w:rsid w:val="00A41A5A"/>
    <w:rsid w:val="00A437A6"/>
    <w:rsid w:val="00A43DC8"/>
    <w:rsid w:val="00A44403"/>
    <w:rsid w:val="00A446CE"/>
    <w:rsid w:val="00A500FE"/>
    <w:rsid w:val="00A50123"/>
    <w:rsid w:val="00A50C08"/>
    <w:rsid w:val="00A50E60"/>
    <w:rsid w:val="00A51B37"/>
    <w:rsid w:val="00A522E8"/>
    <w:rsid w:val="00A5257F"/>
    <w:rsid w:val="00A52FB2"/>
    <w:rsid w:val="00A542C4"/>
    <w:rsid w:val="00A54A0E"/>
    <w:rsid w:val="00A5562B"/>
    <w:rsid w:val="00A55748"/>
    <w:rsid w:val="00A55BA6"/>
    <w:rsid w:val="00A565AB"/>
    <w:rsid w:val="00A56C11"/>
    <w:rsid w:val="00A570A1"/>
    <w:rsid w:val="00A60BBB"/>
    <w:rsid w:val="00A62040"/>
    <w:rsid w:val="00A6225B"/>
    <w:rsid w:val="00A62A65"/>
    <w:rsid w:val="00A62F17"/>
    <w:rsid w:val="00A64394"/>
    <w:rsid w:val="00A65CE1"/>
    <w:rsid w:val="00A66137"/>
    <w:rsid w:val="00A66633"/>
    <w:rsid w:val="00A66F9C"/>
    <w:rsid w:val="00A67612"/>
    <w:rsid w:val="00A67E55"/>
    <w:rsid w:val="00A70EA5"/>
    <w:rsid w:val="00A73854"/>
    <w:rsid w:val="00A73894"/>
    <w:rsid w:val="00A7569B"/>
    <w:rsid w:val="00A76116"/>
    <w:rsid w:val="00A769B2"/>
    <w:rsid w:val="00A769D3"/>
    <w:rsid w:val="00A77453"/>
    <w:rsid w:val="00A77597"/>
    <w:rsid w:val="00A77F74"/>
    <w:rsid w:val="00A81A46"/>
    <w:rsid w:val="00A827C3"/>
    <w:rsid w:val="00A8388C"/>
    <w:rsid w:val="00A83D38"/>
    <w:rsid w:val="00A8590E"/>
    <w:rsid w:val="00A85A19"/>
    <w:rsid w:val="00A86876"/>
    <w:rsid w:val="00A86EC2"/>
    <w:rsid w:val="00A87A98"/>
    <w:rsid w:val="00A903D2"/>
    <w:rsid w:val="00A912D2"/>
    <w:rsid w:val="00A914FB"/>
    <w:rsid w:val="00A923A0"/>
    <w:rsid w:val="00A927C9"/>
    <w:rsid w:val="00A92B13"/>
    <w:rsid w:val="00A93F77"/>
    <w:rsid w:val="00A9477F"/>
    <w:rsid w:val="00A94895"/>
    <w:rsid w:val="00A94950"/>
    <w:rsid w:val="00A9583D"/>
    <w:rsid w:val="00A95F25"/>
    <w:rsid w:val="00A964B2"/>
    <w:rsid w:val="00A96BBF"/>
    <w:rsid w:val="00A96CDA"/>
    <w:rsid w:val="00A978B1"/>
    <w:rsid w:val="00AA0BD3"/>
    <w:rsid w:val="00AA0F34"/>
    <w:rsid w:val="00AA1D14"/>
    <w:rsid w:val="00AA249D"/>
    <w:rsid w:val="00AA301C"/>
    <w:rsid w:val="00AA5B7D"/>
    <w:rsid w:val="00AA6D9E"/>
    <w:rsid w:val="00AA736F"/>
    <w:rsid w:val="00AB01A5"/>
    <w:rsid w:val="00AB03EA"/>
    <w:rsid w:val="00AB1143"/>
    <w:rsid w:val="00AB1327"/>
    <w:rsid w:val="00AB13E8"/>
    <w:rsid w:val="00AB1535"/>
    <w:rsid w:val="00AB1D08"/>
    <w:rsid w:val="00AB28FD"/>
    <w:rsid w:val="00AB2925"/>
    <w:rsid w:val="00AB2B78"/>
    <w:rsid w:val="00AB2C63"/>
    <w:rsid w:val="00AB3E3F"/>
    <w:rsid w:val="00AB4534"/>
    <w:rsid w:val="00AB46E2"/>
    <w:rsid w:val="00AB49DD"/>
    <w:rsid w:val="00AB4AD8"/>
    <w:rsid w:val="00AB5771"/>
    <w:rsid w:val="00AB6F14"/>
    <w:rsid w:val="00AB6FEF"/>
    <w:rsid w:val="00AB7076"/>
    <w:rsid w:val="00AB7208"/>
    <w:rsid w:val="00AB799A"/>
    <w:rsid w:val="00AC12F8"/>
    <w:rsid w:val="00AC1DBA"/>
    <w:rsid w:val="00AC2C83"/>
    <w:rsid w:val="00AC2E4F"/>
    <w:rsid w:val="00AC354B"/>
    <w:rsid w:val="00AC4375"/>
    <w:rsid w:val="00AC4CDE"/>
    <w:rsid w:val="00AC56D0"/>
    <w:rsid w:val="00AD0057"/>
    <w:rsid w:val="00AD0DB3"/>
    <w:rsid w:val="00AD1938"/>
    <w:rsid w:val="00AD3465"/>
    <w:rsid w:val="00AD3C9F"/>
    <w:rsid w:val="00AD43AF"/>
    <w:rsid w:val="00AD737B"/>
    <w:rsid w:val="00AD7524"/>
    <w:rsid w:val="00AD75A6"/>
    <w:rsid w:val="00AE0145"/>
    <w:rsid w:val="00AE047D"/>
    <w:rsid w:val="00AE277F"/>
    <w:rsid w:val="00AE2D42"/>
    <w:rsid w:val="00AE3FF0"/>
    <w:rsid w:val="00AE42E2"/>
    <w:rsid w:val="00AE46C4"/>
    <w:rsid w:val="00AE4C84"/>
    <w:rsid w:val="00AE5186"/>
    <w:rsid w:val="00AE5FF6"/>
    <w:rsid w:val="00AE71AA"/>
    <w:rsid w:val="00AF07EA"/>
    <w:rsid w:val="00AF2C83"/>
    <w:rsid w:val="00AF3822"/>
    <w:rsid w:val="00AF3CBD"/>
    <w:rsid w:val="00AF4826"/>
    <w:rsid w:val="00AF4EE2"/>
    <w:rsid w:val="00AF5373"/>
    <w:rsid w:val="00AF55A2"/>
    <w:rsid w:val="00AF7363"/>
    <w:rsid w:val="00AF794E"/>
    <w:rsid w:val="00B0254F"/>
    <w:rsid w:val="00B031E1"/>
    <w:rsid w:val="00B0397F"/>
    <w:rsid w:val="00B03B0E"/>
    <w:rsid w:val="00B042B7"/>
    <w:rsid w:val="00B0477E"/>
    <w:rsid w:val="00B048C7"/>
    <w:rsid w:val="00B05C22"/>
    <w:rsid w:val="00B05DFD"/>
    <w:rsid w:val="00B07A50"/>
    <w:rsid w:val="00B10556"/>
    <w:rsid w:val="00B119E9"/>
    <w:rsid w:val="00B11EFD"/>
    <w:rsid w:val="00B14166"/>
    <w:rsid w:val="00B14D1D"/>
    <w:rsid w:val="00B14F8F"/>
    <w:rsid w:val="00B158A3"/>
    <w:rsid w:val="00B171A1"/>
    <w:rsid w:val="00B175D6"/>
    <w:rsid w:val="00B177F2"/>
    <w:rsid w:val="00B17D9E"/>
    <w:rsid w:val="00B17F16"/>
    <w:rsid w:val="00B20B4F"/>
    <w:rsid w:val="00B21047"/>
    <w:rsid w:val="00B21142"/>
    <w:rsid w:val="00B21312"/>
    <w:rsid w:val="00B2221C"/>
    <w:rsid w:val="00B22265"/>
    <w:rsid w:val="00B22888"/>
    <w:rsid w:val="00B22C66"/>
    <w:rsid w:val="00B2407E"/>
    <w:rsid w:val="00B2502B"/>
    <w:rsid w:val="00B250CE"/>
    <w:rsid w:val="00B25856"/>
    <w:rsid w:val="00B25FA7"/>
    <w:rsid w:val="00B266AC"/>
    <w:rsid w:val="00B26AA5"/>
    <w:rsid w:val="00B26EAE"/>
    <w:rsid w:val="00B27BAC"/>
    <w:rsid w:val="00B3009B"/>
    <w:rsid w:val="00B30B58"/>
    <w:rsid w:val="00B31EDD"/>
    <w:rsid w:val="00B325B0"/>
    <w:rsid w:val="00B330E7"/>
    <w:rsid w:val="00B347D5"/>
    <w:rsid w:val="00B35A17"/>
    <w:rsid w:val="00B35BC7"/>
    <w:rsid w:val="00B41A6B"/>
    <w:rsid w:val="00B42707"/>
    <w:rsid w:val="00B434D6"/>
    <w:rsid w:val="00B44357"/>
    <w:rsid w:val="00B469FA"/>
    <w:rsid w:val="00B47290"/>
    <w:rsid w:val="00B500C8"/>
    <w:rsid w:val="00B50DF9"/>
    <w:rsid w:val="00B5150E"/>
    <w:rsid w:val="00B52217"/>
    <w:rsid w:val="00B5341C"/>
    <w:rsid w:val="00B53C2F"/>
    <w:rsid w:val="00B53C50"/>
    <w:rsid w:val="00B544DB"/>
    <w:rsid w:val="00B5747F"/>
    <w:rsid w:val="00B57944"/>
    <w:rsid w:val="00B5799E"/>
    <w:rsid w:val="00B57EFD"/>
    <w:rsid w:val="00B6057D"/>
    <w:rsid w:val="00B621C5"/>
    <w:rsid w:val="00B622DF"/>
    <w:rsid w:val="00B62567"/>
    <w:rsid w:val="00B640C5"/>
    <w:rsid w:val="00B64491"/>
    <w:rsid w:val="00B669E8"/>
    <w:rsid w:val="00B66D3D"/>
    <w:rsid w:val="00B67093"/>
    <w:rsid w:val="00B67312"/>
    <w:rsid w:val="00B677CB"/>
    <w:rsid w:val="00B7039C"/>
    <w:rsid w:val="00B70B65"/>
    <w:rsid w:val="00B715E7"/>
    <w:rsid w:val="00B71F71"/>
    <w:rsid w:val="00B7258D"/>
    <w:rsid w:val="00B727B2"/>
    <w:rsid w:val="00B72C1D"/>
    <w:rsid w:val="00B72D59"/>
    <w:rsid w:val="00B731A4"/>
    <w:rsid w:val="00B736E5"/>
    <w:rsid w:val="00B73F48"/>
    <w:rsid w:val="00B745B2"/>
    <w:rsid w:val="00B7473F"/>
    <w:rsid w:val="00B74FBD"/>
    <w:rsid w:val="00B75519"/>
    <w:rsid w:val="00B75FDD"/>
    <w:rsid w:val="00B76E97"/>
    <w:rsid w:val="00B77C09"/>
    <w:rsid w:val="00B77C0D"/>
    <w:rsid w:val="00B802A2"/>
    <w:rsid w:val="00B81508"/>
    <w:rsid w:val="00B81643"/>
    <w:rsid w:val="00B835AC"/>
    <w:rsid w:val="00B8383C"/>
    <w:rsid w:val="00B83E05"/>
    <w:rsid w:val="00B85C56"/>
    <w:rsid w:val="00B86C6C"/>
    <w:rsid w:val="00B86D4C"/>
    <w:rsid w:val="00B870D0"/>
    <w:rsid w:val="00B87284"/>
    <w:rsid w:val="00B8749B"/>
    <w:rsid w:val="00B90248"/>
    <w:rsid w:val="00B90869"/>
    <w:rsid w:val="00B90ED5"/>
    <w:rsid w:val="00B916DC"/>
    <w:rsid w:val="00B92405"/>
    <w:rsid w:val="00B92C07"/>
    <w:rsid w:val="00B938E2"/>
    <w:rsid w:val="00B93D6B"/>
    <w:rsid w:val="00B95C36"/>
    <w:rsid w:val="00BA0A97"/>
    <w:rsid w:val="00BA176D"/>
    <w:rsid w:val="00BA23E4"/>
    <w:rsid w:val="00BA2B7E"/>
    <w:rsid w:val="00BA2E3A"/>
    <w:rsid w:val="00BA3AA6"/>
    <w:rsid w:val="00BA3D40"/>
    <w:rsid w:val="00BA4903"/>
    <w:rsid w:val="00BA5AEC"/>
    <w:rsid w:val="00BB083C"/>
    <w:rsid w:val="00BB0E0F"/>
    <w:rsid w:val="00BB1AB9"/>
    <w:rsid w:val="00BB2484"/>
    <w:rsid w:val="00BB2BBD"/>
    <w:rsid w:val="00BB38ED"/>
    <w:rsid w:val="00BB3EAD"/>
    <w:rsid w:val="00BB3ED4"/>
    <w:rsid w:val="00BB4968"/>
    <w:rsid w:val="00BB6656"/>
    <w:rsid w:val="00BC0F3D"/>
    <w:rsid w:val="00BC1284"/>
    <w:rsid w:val="00BC1C53"/>
    <w:rsid w:val="00BC1ECC"/>
    <w:rsid w:val="00BC270F"/>
    <w:rsid w:val="00BC28E7"/>
    <w:rsid w:val="00BC2CE3"/>
    <w:rsid w:val="00BC3BA7"/>
    <w:rsid w:val="00BC41A1"/>
    <w:rsid w:val="00BC4217"/>
    <w:rsid w:val="00BC46DF"/>
    <w:rsid w:val="00BC4A4F"/>
    <w:rsid w:val="00BC6048"/>
    <w:rsid w:val="00BC657B"/>
    <w:rsid w:val="00BC6617"/>
    <w:rsid w:val="00BC7E54"/>
    <w:rsid w:val="00BD013C"/>
    <w:rsid w:val="00BD046A"/>
    <w:rsid w:val="00BD052E"/>
    <w:rsid w:val="00BD06CF"/>
    <w:rsid w:val="00BD36D8"/>
    <w:rsid w:val="00BD3AF9"/>
    <w:rsid w:val="00BD3CC1"/>
    <w:rsid w:val="00BD62F1"/>
    <w:rsid w:val="00BD69BA"/>
    <w:rsid w:val="00BD6AF1"/>
    <w:rsid w:val="00BD6D9C"/>
    <w:rsid w:val="00BD775A"/>
    <w:rsid w:val="00BD79F6"/>
    <w:rsid w:val="00BE1410"/>
    <w:rsid w:val="00BE2102"/>
    <w:rsid w:val="00BE2606"/>
    <w:rsid w:val="00BE29DE"/>
    <w:rsid w:val="00BE3204"/>
    <w:rsid w:val="00BE325D"/>
    <w:rsid w:val="00BE3951"/>
    <w:rsid w:val="00BE4968"/>
    <w:rsid w:val="00BE4AD8"/>
    <w:rsid w:val="00BE5896"/>
    <w:rsid w:val="00BE5FC9"/>
    <w:rsid w:val="00BE603B"/>
    <w:rsid w:val="00BE6417"/>
    <w:rsid w:val="00BE6636"/>
    <w:rsid w:val="00BE7776"/>
    <w:rsid w:val="00BE7F14"/>
    <w:rsid w:val="00BF123F"/>
    <w:rsid w:val="00BF24AB"/>
    <w:rsid w:val="00BF3113"/>
    <w:rsid w:val="00BF4F48"/>
    <w:rsid w:val="00BF54D0"/>
    <w:rsid w:val="00C00F4B"/>
    <w:rsid w:val="00C012A4"/>
    <w:rsid w:val="00C01B7E"/>
    <w:rsid w:val="00C01D0A"/>
    <w:rsid w:val="00C01E63"/>
    <w:rsid w:val="00C0292D"/>
    <w:rsid w:val="00C03721"/>
    <w:rsid w:val="00C03C62"/>
    <w:rsid w:val="00C03D6A"/>
    <w:rsid w:val="00C044B2"/>
    <w:rsid w:val="00C04E9F"/>
    <w:rsid w:val="00C0626C"/>
    <w:rsid w:val="00C073F3"/>
    <w:rsid w:val="00C1398A"/>
    <w:rsid w:val="00C140E6"/>
    <w:rsid w:val="00C144E4"/>
    <w:rsid w:val="00C1488E"/>
    <w:rsid w:val="00C149A0"/>
    <w:rsid w:val="00C15891"/>
    <w:rsid w:val="00C15DB2"/>
    <w:rsid w:val="00C162CF"/>
    <w:rsid w:val="00C166B6"/>
    <w:rsid w:val="00C169C2"/>
    <w:rsid w:val="00C16B4B"/>
    <w:rsid w:val="00C16B77"/>
    <w:rsid w:val="00C17785"/>
    <w:rsid w:val="00C17BAF"/>
    <w:rsid w:val="00C17E5A"/>
    <w:rsid w:val="00C20FEA"/>
    <w:rsid w:val="00C216D6"/>
    <w:rsid w:val="00C226CC"/>
    <w:rsid w:val="00C237E9"/>
    <w:rsid w:val="00C239CF"/>
    <w:rsid w:val="00C2541C"/>
    <w:rsid w:val="00C27BE6"/>
    <w:rsid w:val="00C31254"/>
    <w:rsid w:val="00C3133A"/>
    <w:rsid w:val="00C3239E"/>
    <w:rsid w:val="00C32BB4"/>
    <w:rsid w:val="00C33DF9"/>
    <w:rsid w:val="00C346A2"/>
    <w:rsid w:val="00C34862"/>
    <w:rsid w:val="00C368F3"/>
    <w:rsid w:val="00C36A97"/>
    <w:rsid w:val="00C36DB6"/>
    <w:rsid w:val="00C37086"/>
    <w:rsid w:val="00C3732D"/>
    <w:rsid w:val="00C403F3"/>
    <w:rsid w:val="00C41828"/>
    <w:rsid w:val="00C4196C"/>
    <w:rsid w:val="00C42D92"/>
    <w:rsid w:val="00C4301A"/>
    <w:rsid w:val="00C439AE"/>
    <w:rsid w:val="00C4422F"/>
    <w:rsid w:val="00C446FF"/>
    <w:rsid w:val="00C449FE"/>
    <w:rsid w:val="00C45A54"/>
    <w:rsid w:val="00C460B7"/>
    <w:rsid w:val="00C46426"/>
    <w:rsid w:val="00C4764A"/>
    <w:rsid w:val="00C47664"/>
    <w:rsid w:val="00C476C0"/>
    <w:rsid w:val="00C500CE"/>
    <w:rsid w:val="00C514D2"/>
    <w:rsid w:val="00C51D64"/>
    <w:rsid w:val="00C53413"/>
    <w:rsid w:val="00C53856"/>
    <w:rsid w:val="00C5395E"/>
    <w:rsid w:val="00C5404E"/>
    <w:rsid w:val="00C54334"/>
    <w:rsid w:val="00C559B6"/>
    <w:rsid w:val="00C55DA5"/>
    <w:rsid w:val="00C562B9"/>
    <w:rsid w:val="00C56345"/>
    <w:rsid w:val="00C5689F"/>
    <w:rsid w:val="00C56D72"/>
    <w:rsid w:val="00C56F52"/>
    <w:rsid w:val="00C57391"/>
    <w:rsid w:val="00C60060"/>
    <w:rsid w:val="00C60EC4"/>
    <w:rsid w:val="00C6230C"/>
    <w:rsid w:val="00C625FD"/>
    <w:rsid w:val="00C62C87"/>
    <w:rsid w:val="00C62E19"/>
    <w:rsid w:val="00C6681A"/>
    <w:rsid w:val="00C66893"/>
    <w:rsid w:val="00C66994"/>
    <w:rsid w:val="00C673E1"/>
    <w:rsid w:val="00C677F4"/>
    <w:rsid w:val="00C704BF"/>
    <w:rsid w:val="00C71601"/>
    <w:rsid w:val="00C7174F"/>
    <w:rsid w:val="00C71D13"/>
    <w:rsid w:val="00C7291D"/>
    <w:rsid w:val="00C73437"/>
    <w:rsid w:val="00C7344F"/>
    <w:rsid w:val="00C7397E"/>
    <w:rsid w:val="00C73A49"/>
    <w:rsid w:val="00C743D9"/>
    <w:rsid w:val="00C7522B"/>
    <w:rsid w:val="00C756F9"/>
    <w:rsid w:val="00C762CC"/>
    <w:rsid w:val="00C76BB9"/>
    <w:rsid w:val="00C76D82"/>
    <w:rsid w:val="00C77A97"/>
    <w:rsid w:val="00C817A5"/>
    <w:rsid w:val="00C81A44"/>
    <w:rsid w:val="00C832BF"/>
    <w:rsid w:val="00C83E3A"/>
    <w:rsid w:val="00C84361"/>
    <w:rsid w:val="00C8497B"/>
    <w:rsid w:val="00C8727E"/>
    <w:rsid w:val="00C876DD"/>
    <w:rsid w:val="00C87FF6"/>
    <w:rsid w:val="00C9141B"/>
    <w:rsid w:val="00C91726"/>
    <w:rsid w:val="00C91737"/>
    <w:rsid w:val="00C92120"/>
    <w:rsid w:val="00C921EF"/>
    <w:rsid w:val="00C92446"/>
    <w:rsid w:val="00C926CB"/>
    <w:rsid w:val="00C92A16"/>
    <w:rsid w:val="00C937E7"/>
    <w:rsid w:val="00C9435F"/>
    <w:rsid w:val="00C955C5"/>
    <w:rsid w:val="00C95756"/>
    <w:rsid w:val="00C961E5"/>
    <w:rsid w:val="00C963BE"/>
    <w:rsid w:val="00C963CE"/>
    <w:rsid w:val="00C96428"/>
    <w:rsid w:val="00C97B08"/>
    <w:rsid w:val="00CA0398"/>
    <w:rsid w:val="00CA0D85"/>
    <w:rsid w:val="00CA0E9D"/>
    <w:rsid w:val="00CA1B62"/>
    <w:rsid w:val="00CA1C73"/>
    <w:rsid w:val="00CA27C3"/>
    <w:rsid w:val="00CA2C87"/>
    <w:rsid w:val="00CA2CB0"/>
    <w:rsid w:val="00CA3191"/>
    <w:rsid w:val="00CA3866"/>
    <w:rsid w:val="00CA38F7"/>
    <w:rsid w:val="00CA4426"/>
    <w:rsid w:val="00CA56E6"/>
    <w:rsid w:val="00CA5956"/>
    <w:rsid w:val="00CA65EF"/>
    <w:rsid w:val="00CA7ED1"/>
    <w:rsid w:val="00CA7FF0"/>
    <w:rsid w:val="00CB0FA2"/>
    <w:rsid w:val="00CB134C"/>
    <w:rsid w:val="00CB18DA"/>
    <w:rsid w:val="00CB22A9"/>
    <w:rsid w:val="00CB24F4"/>
    <w:rsid w:val="00CB266A"/>
    <w:rsid w:val="00CB3003"/>
    <w:rsid w:val="00CB367E"/>
    <w:rsid w:val="00CB3C54"/>
    <w:rsid w:val="00CB3EF1"/>
    <w:rsid w:val="00CB4BC8"/>
    <w:rsid w:val="00CB585A"/>
    <w:rsid w:val="00CB5EA2"/>
    <w:rsid w:val="00CB650A"/>
    <w:rsid w:val="00CB685A"/>
    <w:rsid w:val="00CB71FD"/>
    <w:rsid w:val="00CB772F"/>
    <w:rsid w:val="00CB783D"/>
    <w:rsid w:val="00CB798F"/>
    <w:rsid w:val="00CB7B56"/>
    <w:rsid w:val="00CB7E58"/>
    <w:rsid w:val="00CC0D42"/>
    <w:rsid w:val="00CC0F94"/>
    <w:rsid w:val="00CC1A55"/>
    <w:rsid w:val="00CC1F5C"/>
    <w:rsid w:val="00CC2149"/>
    <w:rsid w:val="00CC296B"/>
    <w:rsid w:val="00CC299B"/>
    <w:rsid w:val="00CC2DE4"/>
    <w:rsid w:val="00CC2EEE"/>
    <w:rsid w:val="00CC3CA5"/>
    <w:rsid w:val="00CC48DB"/>
    <w:rsid w:val="00CC50BF"/>
    <w:rsid w:val="00CC562F"/>
    <w:rsid w:val="00CC5D78"/>
    <w:rsid w:val="00CC616D"/>
    <w:rsid w:val="00CC7577"/>
    <w:rsid w:val="00CD05A6"/>
    <w:rsid w:val="00CD09D1"/>
    <w:rsid w:val="00CD0D4D"/>
    <w:rsid w:val="00CD1C84"/>
    <w:rsid w:val="00CD2646"/>
    <w:rsid w:val="00CD30C9"/>
    <w:rsid w:val="00CD3CEF"/>
    <w:rsid w:val="00CD4334"/>
    <w:rsid w:val="00CD596E"/>
    <w:rsid w:val="00CD68D8"/>
    <w:rsid w:val="00CD7FB2"/>
    <w:rsid w:val="00CE0116"/>
    <w:rsid w:val="00CE1F2C"/>
    <w:rsid w:val="00CE2056"/>
    <w:rsid w:val="00CE235E"/>
    <w:rsid w:val="00CE39B3"/>
    <w:rsid w:val="00CE3B1E"/>
    <w:rsid w:val="00CE3F5E"/>
    <w:rsid w:val="00CE4364"/>
    <w:rsid w:val="00CE66F4"/>
    <w:rsid w:val="00CE7AC9"/>
    <w:rsid w:val="00CF3094"/>
    <w:rsid w:val="00CF3819"/>
    <w:rsid w:val="00CF4354"/>
    <w:rsid w:val="00CF4820"/>
    <w:rsid w:val="00CF5015"/>
    <w:rsid w:val="00D0158B"/>
    <w:rsid w:val="00D02444"/>
    <w:rsid w:val="00D03429"/>
    <w:rsid w:val="00D036D2"/>
    <w:rsid w:val="00D03CE5"/>
    <w:rsid w:val="00D0440B"/>
    <w:rsid w:val="00D04D86"/>
    <w:rsid w:val="00D0504D"/>
    <w:rsid w:val="00D06194"/>
    <w:rsid w:val="00D065CD"/>
    <w:rsid w:val="00D06E80"/>
    <w:rsid w:val="00D07C32"/>
    <w:rsid w:val="00D118BF"/>
    <w:rsid w:val="00D11B9A"/>
    <w:rsid w:val="00D12897"/>
    <w:rsid w:val="00D1299C"/>
    <w:rsid w:val="00D12A06"/>
    <w:rsid w:val="00D12DAD"/>
    <w:rsid w:val="00D142DA"/>
    <w:rsid w:val="00D154DB"/>
    <w:rsid w:val="00D155D7"/>
    <w:rsid w:val="00D15A89"/>
    <w:rsid w:val="00D16888"/>
    <w:rsid w:val="00D208F5"/>
    <w:rsid w:val="00D20CC0"/>
    <w:rsid w:val="00D210F8"/>
    <w:rsid w:val="00D21D9C"/>
    <w:rsid w:val="00D21F54"/>
    <w:rsid w:val="00D22AF8"/>
    <w:rsid w:val="00D22B12"/>
    <w:rsid w:val="00D232BD"/>
    <w:rsid w:val="00D235B4"/>
    <w:rsid w:val="00D23E44"/>
    <w:rsid w:val="00D23EF1"/>
    <w:rsid w:val="00D23FC1"/>
    <w:rsid w:val="00D24205"/>
    <w:rsid w:val="00D25131"/>
    <w:rsid w:val="00D25E2E"/>
    <w:rsid w:val="00D27A62"/>
    <w:rsid w:val="00D304B0"/>
    <w:rsid w:val="00D328C4"/>
    <w:rsid w:val="00D32954"/>
    <w:rsid w:val="00D32C00"/>
    <w:rsid w:val="00D34E19"/>
    <w:rsid w:val="00D35B9F"/>
    <w:rsid w:val="00D36D5E"/>
    <w:rsid w:val="00D42504"/>
    <w:rsid w:val="00D42A60"/>
    <w:rsid w:val="00D42C26"/>
    <w:rsid w:val="00D4372D"/>
    <w:rsid w:val="00D47694"/>
    <w:rsid w:val="00D51A9C"/>
    <w:rsid w:val="00D52E6B"/>
    <w:rsid w:val="00D53B33"/>
    <w:rsid w:val="00D554A4"/>
    <w:rsid w:val="00D561B7"/>
    <w:rsid w:val="00D56E9D"/>
    <w:rsid w:val="00D57AB4"/>
    <w:rsid w:val="00D60274"/>
    <w:rsid w:val="00D607E8"/>
    <w:rsid w:val="00D61097"/>
    <w:rsid w:val="00D61895"/>
    <w:rsid w:val="00D62A5F"/>
    <w:rsid w:val="00D63A38"/>
    <w:rsid w:val="00D64B38"/>
    <w:rsid w:val="00D64FE2"/>
    <w:rsid w:val="00D654CB"/>
    <w:rsid w:val="00D66DDE"/>
    <w:rsid w:val="00D67A35"/>
    <w:rsid w:val="00D709AB"/>
    <w:rsid w:val="00D70BF1"/>
    <w:rsid w:val="00D71A52"/>
    <w:rsid w:val="00D71B8E"/>
    <w:rsid w:val="00D7285E"/>
    <w:rsid w:val="00D72FD5"/>
    <w:rsid w:val="00D73581"/>
    <w:rsid w:val="00D73D85"/>
    <w:rsid w:val="00D740AF"/>
    <w:rsid w:val="00D74D0A"/>
    <w:rsid w:val="00D75174"/>
    <w:rsid w:val="00D75254"/>
    <w:rsid w:val="00D77205"/>
    <w:rsid w:val="00D7747F"/>
    <w:rsid w:val="00D77663"/>
    <w:rsid w:val="00D8023A"/>
    <w:rsid w:val="00D81924"/>
    <w:rsid w:val="00D824D9"/>
    <w:rsid w:val="00D83A43"/>
    <w:rsid w:val="00D83B23"/>
    <w:rsid w:val="00D84A38"/>
    <w:rsid w:val="00D85045"/>
    <w:rsid w:val="00D85266"/>
    <w:rsid w:val="00D87F0B"/>
    <w:rsid w:val="00D901B2"/>
    <w:rsid w:val="00D91935"/>
    <w:rsid w:val="00D92294"/>
    <w:rsid w:val="00D923F5"/>
    <w:rsid w:val="00D9348A"/>
    <w:rsid w:val="00D956F3"/>
    <w:rsid w:val="00D96491"/>
    <w:rsid w:val="00D96EBB"/>
    <w:rsid w:val="00D977DA"/>
    <w:rsid w:val="00DA0191"/>
    <w:rsid w:val="00DA05AC"/>
    <w:rsid w:val="00DA0EC3"/>
    <w:rsid w:val="00DA1242"/>
    <w:rsid w:val="00DA16BB"/>
    <w:rsid w:val="00DA1C0E"/>
    <w:rsid w:val="00DA1DB7"/>
    <w:rsid w:val="00DA1E66"/>
    <w:rsid w:val="00DA2052"/>
    <w:rsid w:val="00DA35A4"/>
    <w:rsid w:val="00DA4B82"/>
    <w:rsid w:val="00DA577D"/>
    <w:rsid w:val="00DA6547"/>
    <w:rsid w:val="00DA6BB5"/>
    <w:rsid w:val="00DA6C13"/>
    <w:rsid w:val="00DA7A32"/>
    <w:rsid w:val="00DB04A4"/>
    <w:rsid w:val="00DB1914"/>
    <w:rsid w:val="00DB2333"/>
    <w:rsid w:val="00DB2872"/>
    <w:rsid w:val="00DB37C2"/>
    <w:rsid w:val="00DB4390"/>
    <w:rsid w:val="00DB5B88"/>
    <w:rsid w:val="00DB6473"/>
    <w:rsid w:val="00DB77D0"/>
    <w:rsid w:val="00DB7BC8"/>
    <w:rsid w:val="00DC02C1"/>
    <w:rsid w:val="00DC0351"/>
    <w:rsid w:val="00DC0D28"/>
    <w:rsid w:val="00DC0EAF"/>
    <w:rsid w:val="00DC233A"/>
    <w:rsid w:val="00DC26C6"/>
    <w:rsid w:val="00DC4924"/>
    <w:rsid w:val="00DC52A2"/>
    <w:rsid w:val="00DC7225"/>
    <w:rsid w:val="00DC77FB"/>
    <w:rsid w:val="00DD23CB"/>
    <w:rsid w:val="00DD284C"/>
    <w:rsid w:val="00DD390D"/>
    <w:rsid w:val="00DD3A02"/>
    <w:rsid w:val="00DD3D9D"/>
    <w:rsid w:val="00DD3E78"/>
    <w:rsid w:val="00DD3EDC"/>
    <w:rsid w:val="00DD4B81"/>
    <w:rsid w:val="00DD4D5A"/>
    <w:rsid w:val="00DD7D9B"/>
    <w:rsid w:val="00DE0328"/>
    <w:rsid w:val="00DE03D2"/>
    <w:rsid w:val="00DE1A7B"/>
    <w:rsid w:val="00DE203F"/>
    <w:rsid w:val="00DE455E"/>
    <w:rsid w:val="00DE463E"/>
    <w:rsid w:val="00DE6CB2"/>
    <w:rsid w:val="00DE720E"/>
    <w:rsid w:val="00DE7B65"/>
    <w:rsid w:val="00DF014D"/>
    <w:rsid w:val="00DF03DA"/>
    <w:rsid w:val="00DF05C4"/>
    <w:rsid w:val="00DF0612"/>
    <w:rsid w:val="00DF0F21"/>
    <w:rsid w:val="00DF1142"/>
    <w:rsid w:val="00DF1618"/>
    <w:rsid w:val="00DF1740"/>
    <w:rsid w:val="00DF1F1A"/>
    <w:rsid w:val="00DF2200"/>
    <w:rsid w:val="00DF26AB"/>
    <w:rsid w:val="00DF3D71"/>
    <w:rsid w:val="00DF5624"/>
    <w:rsid w:val="00E005E5"/>
    <w:rsid w:val="00E007E9"/>
    <w:rsid w:val="00E00861"/>
    <w:rsid w:val="00E01EFD"/>
    <w:rsid w:val="00E0281E"/>
    <w:rsid w:val="00E02CC1"/>
    <w:rsid w:val="00E03A24"/>
    <w:rsid w:val="00E040DE"/>
    <w:rsid w:val="00E041F5"/>
    <w:rsid w:val="00E05C01"/>
    <w:rsid w:val="00E06669"/>
    <w:rsid w:val="00E06B4E"/>
    <w:rsid w:val="00E06F6B"/>
    <w:rsid w:val="00E07A83"/>
    <w:rsid w:val="00E07BCC"/>
    <w:rsid w:val="00E07CE4"/>
    <w:rsid w:val="00E11E6E"/>
    <w:rsid w:val="00E12106"/>
    <w:rsid w:val="00E1260C"/>
    <w:rsid w:val="00E12A3E"/>
    <w:rsid w:val="00E12D7A"/>
    <w:rsid w:val="00E1424F"/>
    <w:rsid w:val="00E14EA9"/>
    <w:rsid w:val="00E15574"/>
    <w:rsid w:val="00E16686"/>
    <w:rsid w:val="00E1696C"/>
    <w:rsid w:val="00E16DC6"/>
    <w:rsid w:val="00E16DD9"/>
    <w:rsid w:val="00E17F07"/>
    <w:rsid w:val="00E20AA4"/>
    <w:rsid w:val="00E20FB4"/>
    <w:rsid w:val="00E20FC2"/>
    <w:rsid w:val="00E2135A"/>
    <w:rsid w:val="00E22C76"/>
    <w:rsid w:val="00E22D1A"/>
    <w:rsid w:val="00E24459"/>
    <w:rsid w:val="00E24825"/>
    <w:rsid w:val="00E24D02"/>
    <w:rsid w:val="00E26246"/>
    <w:rsid w:val="00E267B9"/>
    <w:rsid w:val="00E27E2A"/>
    <w:rsid w:val="00E3049F"/>
    <w:rsid w:val="00E306BE"/>
    <w:rsid w:val="00E31654"/>
    <w:rsid w:val="00E31773"/>
    <w:rsid w:val="00E35BF7"/>
    <w:rsid w:val="00E35EBD"/>
    <w:rsid w:val="00E361F2"/>
    <w:rsid w:val="00E362C6"/>
    <w:rsid w:val="00E372DD"/>
    <w:rsid w:val="00E40F68"/>
    <w:rsid w:val="00E4531E"/>
    <w:rsid w:val="00E457B3"/>
    <w:rsid w:val="00E4597E"/>
    <w:rsid w:val="00E46D37"/>
    <w:rsid w:val="00E479E4"/>
    <w:rsid w:val="00E47EFF"/>
    <w:rsid w:val="00E5091D"/>
    <w:rsid w:val="00E50BD1"/>
    <w:rsid w:val="00E514F9"/>
    <w:rsid w:val="00E515BB"/>
    <w:rsid w:val="00E521A9"/>
    <w:rsid w:val="00E5237E"/>
    <w:rsid w:val="00E53FEA"/>
    <w:rsid w:val="00E54590"/>
    <w:rsid w:val="00E546A0"/>
    <w:rsid w:val="00E546A2"/>
    <w:rsid w:val="00E547C2"/>
    <w:rsid w:val="00E549B1"/>
    <w:rsid w:val="00E55DB8"/>
    <w:rsid w:val="00E571A0"/>
    <w:rsid w:val="00E576D3"/>
    <w:rsid w:val="00E57A95"/>
    <w:rsid w:val="00E609F8"/>
    <w:rsid w:val="00E614E1"/>
    <w:rsid w:val="00E615C3"/>
    <w:rsid w:val="00E61D31"/>
    <w:rsid w:val="00E61FB6"/>
    <w:rsid w:val="00E62637"/>
    <w:rsid w:val="00E6521D"/>
    <w:rsid w:val="00E66215"/>
    <w:rsid w:val="00E6689D"/>
    <w:rsid w:val="00E66ECB"/>
    <w:rsid w:val="00E66FFB"/>
    <w:rsid w:val="00E674D7"/>
    <w:rsid w:val="00E70257"/>
    <w:rsid w:val="00E70539"/>
    <w:rsid w:val="00E728C0"/>
    <w:rsid w:val="00E72D36"/>
    <w:rsid w:val="00E73113"/>
    <w:rsid w:val="00E739D4"/>
    <w:rsid w:val="00E73BBC"/>
    <w:rsid w:val="00E74C4C"/>
    <w:rsid w:val="00E75DBE"/>
    <w:rsid w:val="00E77855"/>
    <w:rsid w:val="00E77C0A"/>
    <w:rsid w:val="00E81EA3"/>
    <w:rsid w:val="00E851B4"/>
    <w:rsid w:val="00E852C0"/>
    <w:rsid w:val="00E85C68"/>
    <w:rsid w:val="00E86E7D"/>
    <w:rsid w:val="00E91C06"/>
    <w:rsid w:val="00E920FC"/>
    <w:rsid w:val="00E937A6"/>
    <w:rsid w:val="00E93FAD"/>
    <w:rsid w:val="00E941A9"/>
    <w:rsid w:val="00E95840"/>
    <w:rsid w:val="00E95F52"/>
    <w:rsid w:val="00E968F1"/>
    <w:rsid w:val="00E97D55"/>
    <w:rsid w:val="00EA0074"/>
    <w:rsid w:val="00EA1BCF"/>
    <w:rsid w:val="00EA3E8E"/>
    <w:rsid w:val="00EA4754"/>
    <w:rsid w:val="00EB092F"/>
    <w:rsid w:val="00EB265B"/>
    <w:rsid w:val="00EB3582"/>
    <w:rsid w:val="00EB3661"/>
    <w:rsid w:val="00EB3A03"/>
    <w:rsid w:val="00EB4733"/>
    <w:rsid w:val="00EB5160"/>
    <w:rsid w:val="00EB5784"/>
    <w:rsid w:val="00EB7603"/>
    <w:rsid w:val="00EB78C9"/>
    <w:rsid w:val="00EB7D26"/>
    <w:rsid w:val="00EB7EA9"/>
    <w:rsid w:val="00EC1509"/>
    <w:rsid w:val="00EC1F0A"/>
    <w:rsid w:val="00EC25D1"/>
    <w:rsid w:val="00EC2F09"/>
    <w:rsid w:val="00EC3A11"/>
    <w:rsid w:val="00EC4AAE"/>
    <w:rsid w:val="00EC4D1F"/>
    <w:rsid w:val="00EC5A51"/>
    <w:rsid w:val="00EC5F7A"/>
    <w:rsid w:val="00EC66F1"/>
    <w:rsid w:val="00EC687F"/>
    <w:rsid w:val="00EC6ACC"/>
    <w:rsid w:val="00EC6F5D"/>
    <w:rsid w:val="00EC7946"/>
    <w:rsid w:val="00ED034D"/>
    <w:rsid w:val="00ED08D5"/>
    <w:rsid w:val="00ED0CD0"/>
    <w:rsid w:val="00ED190F"/>
    <w:rsid w:val="00ED2967"/>
    <w:rsid w:val="00ED5CA5"/>
    <w:rsid w:val="00ED684B"/>
    <w:rsid w:val="00ED7580"/>
    <w:rsid w:val="00ED77D0"/>
    <w:rsid w:val="00EE0B3C"/>
    <w:rsid w:val="00EE1926"/>
    <w:rsid w:val="00EE1BB9"/>
    <w:rsid w:val="00EE20D3"/>
    <w:rsid w:val="00EE2393"/>
    <w:rsid w:val="00EE2CA0"/>
    <w:rsid w:val="00EE35B8"/>
    <w:rsid w:val="00EE4952"/>
    <w:rsid w:val="00EE59AB"/>
    <w:rsid w:val="00EE5A46"/>
    <w:rsid w:val="00EE5EFB"/>
    <w:rsid w:val="00EE5F4A"/>
    <w:rsid w:val="00EE63DD"/>
    <w:rsid w:val="00EF0930"/>
    <w:rsid w:val="00EF0A97"/>
    <w:rsid w:val="00EF11F6"/>
    <w:rsid w:val="00EF1673"/>
    <w:rsid w:val="00EF214E"/>
    <w:rsid w:val="00EF4655"/>
    <w:rsid w:val="00EF46E0"/>
    <w:rsid w:val="00EF5A54"/>
    <w:rsid w:val="00EF5AD9"/>
    <w:rsid w:val="00EF5FB7"/>
    <w:rsid w:val="00EF78FC"/>
    <w:rsid w:val="00EF7C9D"/>
    <w:rsid w:val="00EF7EDA"/>
    <w:rsid w:val="00F0027D"/>
    <w:rsid w:val="00F003B2"/>
    <w:rsid w:val="00F0065C"/>
    <w:rsid w:val="00F00D6D"/>
    <w:rsid w:val="00F040B1"/>
    <w:rsid w:val="00F05043"/>
    <w:rsid w:val="00F051A4"/>
    <w:rsid w:val="00F05901"/>
    <w:rsid w:val="00F06091"/>
    <w:rsid w:val="00F0667F"/>
    <w:rsid w:val="00F06D3D"/>
    <w:rsid w:val="00F07474"/>
    <w:rsid w:val="00F10810"/>
    <w:rsid w:val="00F11587"/>
    <w:rsid w:val="00F11CCA"/>
    <w:rsid w:val="00F1384C"/>
    <w:rsid w:val="00F14006"/>
    <w:rsid w:val="00F14943"/>
    <w:rsid w:val="00F15189"/>
    <w:rsid w:val="00F152A9"/>
    <w:rsid w:val="00F15A72"/>
    <w:rsid w:val="00F1643C"/>
    <w:rsid w:val="00F17557"/>
    <w:rsid w:val="00F208D3"/>
    <w:rsid w:val="00F20A2D"/>
    <w:rsid w:val="00F211E8"/>
    <w:rsid w:val="00F21595"/>
    <w:rsid w:val="00F2398C"/>
    <w:rsid w:val="00F2423B"/>
    <w:rsid w:val="00F24273"/>
    <w:rsid w:val="00F24D1B"/>
    <w:rsid w:val="00F26003"/>
    <w:rsid w:val="00F265B9"/>
    <w:rsid w:val="00F2772B"/>
    <w:rsid w:val="00F27DBA"/>
    <w:rsid w:val="00F304D2"/>
    <w:rsid w:val="00F30D8C"/>
    <w:rsid w:val="00F31002"/>
    <w:rsid w:val="00F31EAB"/>
    <w:rsid w:val="00F33803"/>
    <w:rsid w:val="00F35B42"/>
    <w:rsid w:val="00F35D27"/>
    <w:rsid w:val="00F35FF4"/>
    <w:rsid w:val="00F3615E"/>
    <w:rsid w:val="00F36DDA"/>
    <w:rsid w:val="00F3733B"/>
    <w:rsid w:val="00F37F11"/>
    <w:rsid w:val="00F41FCF"/>
    <w:rsid w:val="00F426BF"/>
    <w:rsid w:val="00F429BE"/>
    <w:rsid w:val="00F43376"/>
    <w:rsid w:val="00F4381B"/>
    <w:rsid w:val="00F43FBA"/>
    <w:rsid w:val="00F45518"/>
    <w:rsid w:val="00F45F74"/>
    <w:rsid w:val="00F50363"/>
    <w:rsid w:val="00F50630"/>
    <w:rsid w:val="00F51E93"/>
    <w:rsid w:val="00F51FD4"/>
    <w:rsid w:val="00F523C7"/>
    <w:rsid w:val="00F5332E"/>
    <w:rsid w:val="00F53DD0"/>
    <w:rsid w:val="00F55150"/>
    <w:rsid w:val="00F55266"/>
    <w:rsid w:val="00F55EEC"/>
    <w:rsid w:val="00F57558"/>
    <w:rsid w:val="00F57938"/>
    <w:rsid w:val="00F57E48"/>
    <w:rsid w:val="00F6021C"/>
    <w:rsid w:val="00F6057B"/>
    <w:rsid w:val="00F60F7F"/>
    <w:rsid w:val="00F62546"/>
    <w:rsid w:val="00F627CE"/>
    <w:rsid w:val="00F62F30"/>
    <w:rsid w:val="00F630C6"/>
    <w:rsid w:val="00F64A88"/>
    <w:rsid w:val="00F6533A"/>
    <w:rsid w:val="00F70847"/>
    <w:rsid w:val="00F70A6E"/>
    <w:rsid w:val="00F710AA"/>
    <w:rsid w:val="00F7138F"/>
    <w:rsid w:val="00F73F91"/>
    <w:rsid w:val="00F74157"/>
    <w:rsid w:val="00F7451C"/>
    <w:rsid w:val="00F7494C"/>
    <w:rsid w:val="00F74EF8"/>
    <w:rsid w:val="00F766CA"/>
    <w:rsid w:val="00F76952"/>
    <w:rsid w:val="00F770DE"/>
    <w:rsid w:val="00F805EA"/>
    <w:rsid w:val="00F856F3"/>
    <w:rsid w:val="00F857C2"/>
    <w:rsid w:val="00F858B6"/>
    <w:rsid w:val="00F86304"/>
    <w:rsid w:val="00F90736"/>
    <w:rsid w:val="00F91BC4"/>
    <w:rsid w:val="00F9234D"/>
    <w:rsid w:val="00F93825"/>
    <w:rsid w:val="00F9459C"/>
    <w:rsid w:val="00F95007"/>
    <w:rsid w:val="00F9509E"/>
    <w:rsid w:val="00F95B84"/>
    <w:rsid w:val="00F95D1B"/>
    <w:rsid w:val="00F96A89"/>
    <w:rsid w:val="00F97279"/>
    <w:rsid w:val="00F97F7D"/>
    <w:rsid w:val="00FA0077"/>
    <w:rsid w:val="00FA177E"/>
    <w:rsid w:val="00FA19A1"/>
    <w:rsid w:val="00FA1FB3"/>
    <w:rsid w:val="00FA2711"/>
    <w:rsid w:val="00FA298C"/>
    <w:rsid w:val="00FA52E2"/>
    <w:rsid w:val="00FA6432"/>
    <w:rsid w:val="00FA72BA"/>
    <w:rsid w:val="00FA78D8"/>
    <w:rsid w:val="00FB0350"/>
    <w:rsid w:val="00FB05AB"/>
    <w:rsid w:val="00FB06B6"/>
    <w:rsid w:val="00FB0CB4"/>
    <w:rsid w:val="00FB1B7C"/>
    <w:rsid w:val="00FB22B5"/>
    <w:rsid w:val="00FB2C3E"/>
    <w:rsid w:val="00FB52DA"/>
    <w:rsid w:val="00FB53E9"/>
    <w:rsid w:val="00FB5538"/>
    <w:rsid w:val="00FC0590"/>
    <w:rsid w:val="00FC0715"/>
    <w:rsid w:val="00FC09A5"/>
    <w:rsid w:val="00FC28B0"/>
    <w:rsid w:val="00FC2E02"/>
    <w:rsid w:val="00FC32E6"/>
    <w:rsid w:val="00FC3542"/>
    <w:rsid w:val="00FC3C52"/>
    <w:rsid w:val="00FC5D87"/>
    <w:rsid w:val="00FC70CD"/>
    <w:rsid w:val="00FC7358"/>
    <w:rsid w:val="00FD04DD"/>
    <w:rsid w:val="00FD13A8"/>
    <w:rsid w:val="00FD1475"/>
    <w:rsid w:val="00FD23A1"/>
    <w:rsid w:val="00FD2654"/>
    <w:rsid w:val="00FD2834"/>
    <w:rsid w:val="00FD4A1A"/>
    <w:rsid w:val="00FD4AF4"/>
    <w:rsid w:val="00FD5A0D"/>
    <w:rsid w:val="00FD5ED2"/>
    <w:rsid w:val="00FE0165"/>
    <w:rsid w:val="00FE04B6"/>
    <w:rsid w:val="00FE04D7"/>
    <w:rsid w:val="00FE35F5"/>
    <w:rsid w:val="00FE3BF3"/>
    <w:rsid w:val="00FE4260"/>
    <w:rsid w:val="00FE4CEA"/>
    <w:rsid w:val="00FE4D21"/>
    <w:rsid w:val="00FE62DD"/>
    <w:rsid w:val="00FE690F"/>
    <w:rsid w:val="00FF050A"/>
    <w:rsid w:val="00FF1791"/>
    <w:rsid w:val="00FF1834"/>
    <w:rsid w:val="00FF2C07"/>
    <w:rsid w:val="00FF2F87"/>
    <w:rsid w:val="00FF3030"/>
    <w:rsid w:val="00FF36AD"/>
    <w:rsid w:val="00FF4207"/>
    <w:rsid w:val="00FF44A7"/>
    <w:rsid w:val="00FF5DC9"/>
    <w:rsid w:val="00FF662E"/>
    <w:rsid w:val="00FF6842"/>
    <w:rsid w:val="00FF6FAF"/>
    <w:rsid w:val="00FF77CA"/>
    <w:rsid w:val="00FF7B20"/>
  </w:rsids>
  <m:mathPr>
    <m:mathFont m:val="Cambria Math"/>
    <m:brkBin m:val="before"/>
    <m:brkBinSub m:val="--"/>
    <m:smallFrac m:val="0"/>
    <m:dispDef/>
    <m:lMargin m:val="0"/>
    <m:rMargin m:val="0"/>
    <m:defJc m:val="centerGroup"/>
    <m:wrapIndent m:val="1440"/>
    <m:intLim m:val="subSup"/>
    <m:naryLim m:val="undOvr"/>
  </m:mathPr>
  <w:themeFontLang w:val="uk-UA" w:eastAsia="ko-KR"/>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044292B5"/>
  <w15:docId w15:val="{E57579F9-F2CD-46B9-AFCA-D4E2D850DF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6B96"/>
    <w:pPr>
      <w:suppressAutoHyphens/>
      <w:spacing w:after="0" w:line="240" w:lineRule="atLeast"/>
    </w:pPr>
    <w:rPr>
      <w:rFonts w:ascii="Times New Roman" w:eastAsia="Times New Roman" w:hAnsi="Times New Roman" w:cs="Times New Roman"/>
      <w:sz w:val="20"/>
      <w:szCs w:val="20"/>
      <w:lang w:val="en-GB"/>
    </w:rPr>
  </w:style>
  <w:style w:type="paragraph" w:styleId="Heading1">
    <w:name w:val="heading 1"/>
    <w:aliases w:val="Table_G,COI Heading 1"/>
    <w:basedOn w:val="SingleTxtG"/>
    <w:next w:val="SingleTxtG"/>
    <w:link w:val="Heading1Char"/>
    <w:uiPriority w:val="9"/>
    <w:qFormat/>
    <w:rsid w:val="00256B96"/>
    <w:pPr>
      <w:spacing w:after="0" w:line="240" w:lineRule="auto"/>
      <w:ind w:right="0"/>
      <w:jc w:val="left"/>
      <w:outlineLvl w:val="0"/>
    </w:pPr>
  </w:style>
  <w:style w:type="paragraph" w:styleId="Heading2">
    <w:name w:val="heading 2"/>
    <w:aliases w:val="COI Heading 2"/>
    <w:basedOn w:val="Normal"/>
    <w:next w:val="Normal"/>
    <w:link w:val="Heading2Char"/>
    <w:uiPriority w:val="9"/>
    <w:qFormat/>
    <w:rsid w:val="00256B96"/>
    <w:pPr>
      <w:spacing w:line="240" w:lineRule="auto"/>
      <w:outlineLvl w:val="1"/>
    </w:pPr>
  </w:style>
  <w:style w:type="paragraph" w:styleId="Heading3">
    <w:name w:val="heading 3"/>
    <w:aliases w:val="COI Heading 3"/>
    <w:basedOn w:val="Normal"/>
    <w:next w:val="Normal"/>
    <w:link w:val="Heading3Char"/>
    <w:uiPriority w:val="9"/>
    <w:qFormat/>
    <w:rsid w:val="00256B96"/>
    <w:pPr>
      <w:spacing w:line="240" w:lineRule="auto"/>
      <w:outlineLvl w:val="2"/>
    </w:pPr>
  </w:style>
  <w:style w:type="paragraph" w:styleId="Heading4">
    <w:name w:val="heading 4"/>
    <w:aliases w:val="COI Heading 4"/>
    <w:basedOn w:val="Normal"/>
    <w:next w:val="Normal"/>
    <w:link w:val="Heading4Char"/>
    <w:uiPriority w:val="9"/>
    <w:qFormat/>
    <w:rsid w:val="00256B96"/>
    <w:pPr>
      <w:spacing w:line="240" w:lineRule="auto"/>
      <w:outlineLvl w:val="3"/>
    </w:pPr>
  </w:style>
  <w:style w:type="paragraph" w:styleId="Heading5">
    <w:name w:val="heading 5"/>
    <w:aliases w:val="COI Heading 5"/>
    <w:basedOn w:val="Normal"/>
    <w:next w:val="Normal"/>
    <w:link w:val="Heading5Char"/>
    <w:uiPriority w:val="9"/>
    <w:qFormat/>
    <w:rsid w:val="00256B96"/>
    <w:pPr>
      <w:spacing w:line="240" w:lineRule="auto"/>
      <w:outlineLvl w:val="4"/>
    </w:pPr>
  </w:style>
  <w:style w:type="paragraph" w:styleId="Heading6">
    <w:name w:val="heading 6"/>
    <w:basedOn w:val="Normal"/>
    <w:next w:val="Normal"/>
    <w:link w:val="Heading6Char"/>
    <w:uiPriority w:val="9"/>
    <w:qFormat/>
    <w:rsid w:val="00256B96"/>
    <w:pPr>
      <w:spacing w:line="240" w:lineRule="auto"/>
      <w:outlineLvl w:val="5"/>
    </w:pPr>
  </w:style>
  <w:style w:type="paragraph" w:styleId="Heading7">
    <w:name w:val="heading 7"/>
    <w:basedOn w:val="Normal"/>
    <w:next w:val="Normal"/>
    <w:link w:val="Heading7Char"/>
    <w:uiPriority w:val="9"/>
    <w:qFormat/>
    <w:rsid w:val="00256B96"/>
    <w:pPr>
      <w:spacing w:line="240" w:lineRule="auto"/>
      <w:outlineLvl w:val="6"/>
    </w:pPr>
  </w:style>
  <w:style w:type="paragraph" w:styleId="Heading8">
    <w:name w:val="heading 8"/>
    <w:basedOn w:val="Normal"/>
    <w:next w:val="Normal"/>
    <w:link w:val="Heading8Char"/>
    <w:uiPriority w:val="9"/>
    <w:qFormat/>
    <w:rsid w:val="00256B96"/>
    <w:pPr>
      <w:spacing w:line="240" w:lineRule="auto"/>
      <w:outlineLvl w:val="7"/>
    </w:pPr>
  </w:style>
  <w:style w:type="paragraph" w:styleId="Heading9">
    <w:name w:val="heading 9"/>
    <w:basedOn w:val="Normal"/>
    <w:next w:val="Normal"/>
    <w:link w:val="Heading9Char"/>
    <w:uiPriority w:val="9"/>
    <w:qFormat/>
    <w:rsid w:val="00256B96"/>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ble_G Char,COI Heading 1 Char"/>
    <w:basedOn w:val="DefaultParagraphFont"/>
    <w:link w:val="Heading1"/>
    <w:uiPriority w:val="9"/>
    <w:rsid w:val="00256B96"/>
    <w:rPr>
      <w:rFonts w:ascii="Times New Roman" w:eastAsia="Times New Roman" w:hAnsi="Times New Roman" w:cs="Times New Roman"/>
      <w:sz w:val="20"/>
      <w:szCs w:val="20"/>
      <w:lang w:val="en-GB"/>
    </w:rPr>
  </w:style>
  <w:style w:type="character" w:customStyle="1" w:styleId="Heading2Char">
    <w:name w:val="Heading 2 Char"/>
    <w:aliases w:val="COI Heading 2 Char"/>
    <w:basedOn w:val="DefaultParagraphFont"/>
    <w:link w:val="Heading2"/>
    <w:uiPriority w:val="9"/>
    <w:rsid w:val="00256B96"/>
    <w:rPr>
      <w:rFonts w:ascii="Times New Roman" w:eastAsia="Times New Roman" w:hAnsi="Times New Roman" w:cs="Times New Roman"/>
      <w:sz w:val="20"/>
      <w:szCs w:val="20"/>
      <w:lang w:val="en-GB"/>
    </w:rPr>
  </w:style>
  <w:style w:type="character" w:customStyle="1" w:styleId="Heading3Char">
    <w:name w:val="Heading 3 Char"/>
    <w:aliases w:val="COI Heading 3 Char"/>
    <w:basedOn w:val="DefaultParagraphFont"/>
    <w:link w:val="Heading3"/>
    <w:uiPriority w:val="9"/>
    <w:rsid w:val="00256B96"/>
    <w:rPr>
      <w:rFonts w:ascii="Times New Roman" w:eastAsia="Times New Roman" w:hAnsi="Times New Roman" w:cs="Times New Roman"/>
      <w:sz w:val="20"/>
      <w:szCs w:val="20"/>
      <w:lang w:val="en-GB"/>
    </w:rPr>
  </w:style>
  <w:style w:type="character" w:customStyle="1" w:styleId="Heading4Char">
    <w:name w:val="Heading 4 Char"/>
    <w:aliases w:val="COI Heading 4 Char"/>
    <w:basedOn w:val="DefaultParagraphFont"/>
    <w:link w:val="Heading4"/>
    <w:uiPriority w:val="9"/>
    <w:rsid w:val="00256B96"/>
    <w:rPr>
      <w:rFonts w:ascii="Times New Roman" w:eastAsia="Times New Roman" w:hAnsi="Times New Roman" w:cs="Times New Roman"/>
      <w:sz w:val="20"/>
      <w:szCs w:val="20"/>
      <w:lang w:val="en-GB"/>
    </w:rPr>
  </w:style>
  <w:style w:type="character" w:customStyle="1" w:styleId="Heading5Char">
    <w:name w:val="Heading 5 Char"/>
    <w:aliases w:val="COI Heading 5 Char"/>
    <w:basedOn w:val="DefaultParagraphFont"/>
    <w:link w:val="Heading5"/>
    <w:uiPriority w:val="9"/>
    <w:rsid w:val="00256B96"/>
    <w:rPr>
      <w:rFonts w:ascii="Times New Roman" w:eastAsia="Times New Roman" w:hAnsi="Times New Roman" w:cs="Times New Roman"/>
      <w:sz w:val="20"/>
      <w:szCs w:val="20"/>
      <w:lang w:val="en-GB"/>
    </w:rPr>
  </w:style>
  <w:style w:type="character" w:customStyle="1" w:styleId="Heading6Char">
    <w:name w:val="Heading 6 Char"/>
    <w:basedOn w:val="DefaultParagraphFont"/>
    <w:link w:val="Heading6"/>
    <w:uiPriority w:val="9"/>
    <w:rsid w:val="00256B96"/>
    <w:rPr>
      <w:rFonts w:ascii="Times New Roman" w:eastAsia="Times New Roman" w:hAnsi="Times New Roman" w:cs="Times New Roman"/>
      <w:sz w:val="20"/>
      <w:szCs w:val="20"/>
      <w:lang w:val="en-GB"/>
    </w:rPr>
  </w:style>
  <w:style w:type="character" w:customStyle="1" w:styleId="Heading7Char">
    <w:name w:val="Heading 7 Char"/>
    <w:basedOn w:val="DefaultParagraphFont"/>
    <w:link w:val="Heading7"/>
    <w:uiPriority w:val="9"/>
    <w:rsid w:val="00256B96"/>
    <w:rPr>
      <w:rFonts w:ascii="Times New Roman" w:eastAsia="Times New Roman" w:hAnsi="Times New Roman" w:cs="Times New Roman"/>
      <w:sz w:val="20"/>
      <w:szCs w:val="20"/>
      <w:lang w:val="en-GB"/>
    </w:rPr>
  </w:style>
  <w:style w:type="character" w:customStyle="1" w:styleId="Heading8Char">
    <w:name w:val="Heading 8 Char"/>
    <w:basedOn w:val="DefaultParagraphFont"/>
    <w:link w:val="Heading8"/>
    <w:uiPriority w:val="9"/>
    <w:rsid w:val="00256B96"/>
    <w:rPr>
      <w:rFonts w:ascii="Times New Roman" w:eastAsia="Times New Roman" w:hAnsi="Times New Roman" w:cs="Times New Roman"/>
      <w:sz w:val="20"/>
      <w:szCs w:val="20"/>
      <w:lang w:val="en-GB"/>
    </w:rPr>
  </w:style>
  <w:style w:type="character" w:customStyle="1" w:styleId="Heading9Char">
    <w:name w:val="Heading 9 Char"/>
    <w:basedOn w:val="DefaultParagraphFont"/>
    <w:link w:val="Heading9"/>
    <w:uiPriority w:val="9"/>
    <w:rsid w:val="00256B96"/>
    <w:rPr>
      <w:rFonts w:ascii="Times New Roman" w:eastAsia="Times New Roman" w:hAnsi="Times New Roman" w:cs="Times New Roman"/>
      <w:sz w:val="20"/>
      <w:szCs w:val="20"/>
      <w:lang w:val="en-GB"/>
    </w:rPr>
  </w:style>
  <w:style w:type="paragraph" w:customStyle="1" w:styleId="SingleTxtG">
    <w:name w:val="_ Single Txt_G"/>
    <w:basedOn w:val="ListParagraph"/>
    <w:link w:val="SingleTxtGChar"/>
    <w:qFormat/>
    <w:rsid w:val="001232C6"/>
    <w:pPr>
      <w:numPr>
        <w:numId w:val="11"/>
      </w:numPr>
      <w:tabs>
        <w:tab w:val="left" w:pos="1701"/>
      </w:tabs>
      <w:spacing w:after="120"/>
      <w:ind w:left="1134" w:right="1126" w:firstLine="0"/>
      <w:contextualSpacing w:val="0"/>
      <w:jc w:val="both"/>
    </w:pPr>
  </w:style>
  <w:style w:type="paragraph" w:customStyle="1" w:styleId="HMG">
    <w:name w:val="_ H __M_G"/>
    <w:basedOn w:val="Normal"/>
    <w:next w:val="Normal"/>
    <w:qFormat/>
    <w:rsid w:val="00256B96"/>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256B96"/>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4_G Char Char,Footnote number,Footnotes refss,Footnote Ref,16 Point,Superscript 6 Point,ftref,Footnote Refernece,Appel note de bas de p.,[0],Texto de nota al pie,referencia nota al pie,BVI fnr,Footnote text,callout,Ref"/>
    <w:uiPriority w:val="99"/>
    <w:qFormat/>
    <w:rsid w:val="00256B96"/>
    <w:rPr>
      <w:rFonts w:ascii="Times New Roman" w:hAnsi="Times New Roman"/>
      <w:sz w:val="18"/>
      <w:vertAlign w:val="superscript"/>
    </w:rPr>
  </w:style>
  <w:style w:type="character" w:styleId="EndnoteReference">
    <w:name w:val="endnote reference"/>
    <w:aliases w:val="1_G"/>
    <w:qFormat/>
    <w:rsid w:val="00256B96"/>
    <w:rPr>
      <w:rFonts w:ascii="Times New Roman" w:hAnsi="Times New Roman"/>
      <w:sz w:val="18"/>
      <w:vertAlign w:val="superscript"/>
    </w:rPr>
  </w:style>
  <w:style w:type="paragraph" w:styleId="Header">
    <w:name w:val="header"/>
    <w:aliases w:val="6_G"/>
    <w:basedOn w:val="Normal"/>
    <w:link w:val="HeaderChar"/>
    <w:uiPriority w:val="99"/>
    <w:qFormat/>
    <w:rsid w:val="00256B96"/>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uiPriority w:val="99"/>
    <w:rsid w:val="00256B96"/>
    <w:rPr>
      <w:rFonts w:ascii="Times New Roman" w:eastAsia="Times New Roman" w:hAnsi="Times New Roman" w:cs="Times New Roman"/>
      <w:b/>
      <w:sz w:val="18"/>
      <w:szCs w:val="20"/>
      <w:lang w:val="en-GB"/>
    </w:rPr>
  </w:style>
  <w:style w:type="table" w:styleId="TableGrid">
    <w:name w:val="Table Grid"/>
    <w:basedOn w:val="TableNormal"/>
    <w:uiPriority w:val="39"/>
    <w:rsid w:val="00256B96"/>
    <w:pPr>
      <w:suppressAutoHyphens/>
      <w:spacing w:after="0" w:line="240" w:lineRule="atLeast"/>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uiPriority w:val="99"/>
    <w:rsid w:val="00256B96"/>
    <w:rPr>
      <w:color w:val="auto"/>
      <w:u w:val="none"/>
    </w:rPr>
  </w:style>
  <w:style w:type="character" w:styleId="FollowedHyperlink">
    <w:name w:val="FollowedHyperlink"/>
    <w:uiPriority w:val="99"/>
    <w:semiHidden/>
    <w:rsid w:val="00256B96"/>
    <w:rPr>
      <w:color w:val="auto"/>
      <w:u w:val="none"/>
    </w:rPr>
  </w:style>
  <w:style w:type="paragraph" w:customStyle="1" w:styleId="SMG">
    <w:name w:val="__S_M_G"/>
    <w:basedOn w:val="Normal"/>
    <w:next w:val="Normal"/>
    <w:rsid w:val="00256B96"/>
    <w:pPr>
      <w:keepNext/>
      <w:keepLines/>
      <w:spacing w:before="240" w:after="240" w:line="420" w:lineRule="exact"/>
      <w:ind w:left="1134" w:right="1134"/>
    </w:pPr>
    <w:rPr>
      <w:b/>
      <w:sz w:val="40"/>
    </w:rPr>
  </w:style>
  <w:style w:type="paragraph" w:customStyle="1" w:styleId="SLG">
    <w:name w:val="__S_L_G"/>
    <w:basedOn w:val="Normal"/>
    <w:next w:val="Normal"/>
    <w:rsid w:val="00256B96"/>
    <w:pPr>
      <w:keepNext/>
      <w:keepLines/>
      <w:spacing w:before="240" w:after="240" w:line="580" w:lineRule="exact"/>
      <w:ind w:left="1134" w:right="1134"/>
    </w:pPr>
    <w:rPr>
      <w:b/>
      <w:sz w:val="56"/>
    </w:rPr>
  </w:style>
  <w:style w:type="paragraph" w:customStyle="1" w:styleId="SSG">
    <w:name w:val="__S_S_G"/>
    <w:basedOn w:val="Normal"/>
    <w:next w:val="Normal"/>
    <w:rsid w:val="00256B96"/>
    <w:pPr>
      <w:keepNext/>
      <w:keepLines/>
      <w:spacing w:before="240" w:after="240" w:line="300" w:lineRule="exact"/>
      <w:ind w:left="1134" w:right="1134"/>
    </w:pPr>
    <w:rPr>
      <w:b/>
      <w:sz w:val="28"/>
    </w:rPr>
  </w:style>
  <w:style w:type="paragraph" w:styleId="FootnoteText">
    <w:name w:val="footnote text"/>
    <w:aliases w:val="5_G,Footnote Text Char Char Char Char Char,Footnote Text Char Char Char Char,Footnote reference,FA Fu,Footnote Text Char Char Char,Char,Footnote Reference1,Voetnoottekst1,Char1,FA Fu1,Footnote Text Char Char Char1,5_GR,fn"/>
    <w:basedOn w:val="Normal"/>
    <w:link w:val="FootnoteTextChar"/>
    <w:uiPriority w:val="99"/>
    <w:qFormat/>
    <w:rsid w:val="00C817A5"/>
    <w:pPr>
      <w:spacing w:line="220" w:lineRule="exact"/>
      <w:ind w:left="1134" w:right="1134" w:hanging="284"/>
    </w:pPr>
    <w:rPr>
      <w:sz w:val="18"/>
      <w:szCs w:val="18"/>
    </w:rPr>
  </w:style>
  <w:style w:type="character" w:customStyle="1" w:styleId="FootnoteTextChar">
    <w:name w:val="Footnote Text Char"/>
    <w:aliases w:val="5_G Char,Footnote Text Char Char Char Char Char Char,Footnote Text Char Char Char Char Char1,Footnote reference Char,FA Fu Char,Footnote Text Char Char Char Char1,Char Char,Footnote Reference1 Char,Voetnoottekst1 Char,Char1 Char"/>
    <w:basedOn w:val="DefaultParagraphFont"/>
    <w:link w:val="FootnoteText"/>
    <w:uiPriority w:val="99"/>
    <w:rsid w:val="00C817A5"/>
    <w:rPr>
      <w:rFonts w:ascii="Times New Roman" w:eastAsia="Times New Roman" w:hAnsi="Times New Roman" w:cs="Times New Roman"/>
      <w:sz w:val="18"/>
      <w:szCs w:val="18"/>
      <w:lang w:val="en-GB"/>
    </w:rPr>
  </w:style>
  <w:style w:type="paragraph" w:styleId="EndnoteText">
    <w:name w:val="endnote text"/>
    <w:aliases w:val="2_G"/>
    <w:basedOn w:val="FootnoteText"/>
    <w:link w:val="EndnoteTextChar"/>
    <w:qFormat/>
    <w:rsid w:val="00256B96"/>
  </w:style>
  <w:style w:type="character" w:customStyle="1" w:styleId="EndnoteTextChar">
    <w:name w:val="Endnote Text Char"/>
    <w:aliases w:val="2_G Char"/>
    <w:basedOn w:val="DefaultParagraphFont"/>
    <w:link w:val="EndnoteText"/>
    <w:rsid w:val="00256B96"/>
    <w:rPr>
      <w:rFonts w:ascii="Times New Roman" w:eastAsia="Times New Roman" w:hAnsi="Times New Roman" w:cs="Times New Roman"/>
      <w:sz w:val="18"/>
      <w:szCs w:val="20"/>
      <w:lang w:val="en-GB"/>
    </w:rPr>
  </w:style>
  <w:style w:type="character" w:styleId="PageNumber">
    <w:name w:val="page number"/>
    <w:aliases w:val="7_G"/>
    <w:uiPriority w:val="99"/>
    <w:qFormat/>
    <w:rsid w:val="00256B96"/>
    <w:rPr>
      <w:rFonts w:ascii="Times New Roman" w:hAnsi="Times New Roman"/>
      <w:b/>
      <w:sz w:val="18"/>
    </w:rPr>
  </w:style>
  <w:style w:type="paragraph" w:customStyle="1" w:styleId="XLargeG">
    <w:name w:val="__XLarge_G"/>
    <w:basedOn w:val="Normal"/>
    <w:next w:val="Normal"/>
    <w:rsid w:val="00256B96"/>
    <w:pPr>
      <w:keepNext/>
      <w:keepLines/>
      <w:spacing w:before="240" w:after="240" w:line="420" w:lineRule="exact"/>
      <w:ind w:left="1134" w:right="1134"/>
    </w:pPr>
    <w:rPr>
      <w:b/>
      <w:sz w:val="40"/>
    </w:rPr>
  </w:style>
  <w:style w:type="paragraph" w:customStyle="1" w:styleId="Bullet1G">
    <w:name w:val="_Bullet 1_G"/>
    <w:basedOn w:val="Normal"/>
    <w:qFormat/>
    <w:rsid w:val="00256B96"/>
    <w:pPr>
      <w:numPr>
        <w:numId w:val="1"/>
      </w:numPr>
      <w:spacing w:after="120"/>
      <w:ind w:right="1134"/>
      <w:jc w:val="both"/>
    </w:pPr>
  </w:style>
  <w:style w:type="paragraph" w:styleId="Footer">
    <w:name w:val="footer"/>
    <w:aliases w:val="3_G"/>
    <w:basedOn w:val="Normal"/>
    <w:link w:val="FooterChar"/>
    <w:uiPriority w:val="99"/>
    <w:qFormat/>
    <w:rsid w:val="00256B96"/>
    <w:pPr>
      <w:spacing w:line="240" w:lineRule="auto"/>
    </w:pPr>
    <w:rPr>
      <w:sz w:val="16"/>
    </w:rPr>
  </w:style>
  <w:style w:type="character" w:customStyle="1" w:styleId="FooterChar">
    <w:name w:val="Footer Char"/>
    <w:aliases w:val="3_G Char"/>
    <w:basedOn w:val="DefaultParagraphFont"/>
    <w:link w:val="Footer"/>
    <w:uiPriority w:val="99"/>
    <w:rsid w:val="00256B96"/>
    <w:rPr>
      <w:rFonts w:ascii="Times New Roman" w:eastAsia="Times New Roman" w:hAnsi="Times New Roman" w:cs="Times New Roman"/>
      <w:sz w:val="16"/>
      <w:szCs w:val="20"/>
      <w:lang w:val="en-GB"/>
    </w:rPr>
  </w:style>
  <w:style w:type="paragraph" w:customStyle="1" w:styleId="Bullet2G">
    <w:name w:val="_Bullet 2_G"/>
    <w:basedOn w:val="Normal"/>
    <w:qFormat/>
    <w:rsid w:val="00256B96"/>
    <w:pPr>
      <w:numPr>
        <w:numId w:val="2"/>
      </w:numPr>
      <w:spacing w:after="120"/>
      <w:ind w:right="1134"/>
      <w:jc w:val="both"/>
    </w:pPr>
  </w:style>
  <w:style w:type="paragraph" w:customStyle="1" w:styleId="H1G">
    <w:name w:val="_ H_1_G"/>
    <w:basedOn w:val="Normal"/>
    <w:next w:val="Normal"/>
    <w:link w:val="H1GChar"/>
    <w:qFormat/>
    <w:rsid w:val="004B45A5"/>
    <w:pPr>
      <w:keepNext/>
      <w:keepLines/>
      <w:numPr>
        <w:numId w:val="8"/>
      </w:numPr>
      <w:tabs>
        <w:tab w:val="right" w:pos="851"/>
      </w:tabs>
      <w:spacing w:before="360" w:after="240" w:line="270" w:lineRule="exact"/>
      <w:ind w:right="1134"/>
    </w:pPr>
    <w:rPr>
      <w:b/>
      <w:sz w:val="24"/>
    </w:rPr>
  </w:style>
  <w:style w:type="paragraph" w:customStyle="1" w:styleId="H23G">
    <w:name w:val="_ H_2/3_G"/>
    <w:basedOn w:val="Normal"/>
    <w:next w:val="Normal"/>
    <w:qFormat/>
    <w:rsid w:val="00906431"/>
    <w:pPr>
      <w:keepNext/>
      <w:keepLines/>
      <w:numPr>
        <w:ilvl w:val="1"/>
        <w:numId w:val="8"/>
      </w:numPr>
      <w:tabs>
        <w:tab w:val="right" w:pos="1134"/>
      </w:tabs>
      <w:spacing w:before="240" w:after="120" w:line="240" w:lineRule="exact"/>
      <w:ind w:right="1134"/>
    </w:pPr>
    <w:rPr>
      <w:b/>
    </w:rPr>
  </w:style>
  <w:style w:type="paragraph" w:customStyle="1" w:styleId="H4G">
    <w:name w:val="_ H_4_G"/>
    <w:basedOn w:val="Normal"/>
    <w:next w:val="Normal"/>
    <w:qFormat/>
    <w:rsid w:val="00EC5F7A"/>
    <w:pPr>
      <w:keepNext/>
      <w:keepLines/>
      <w:numPr>
        <w:ilvl w:val="2"/>
        <w:numId w:val="8"/>
      </w:numPr>
      <w:tabs>
        <w:tab w:val="right" w:pos="851"/>
      </w:tabs>
      <w:spacing w:before="240" w:after="120" w:line="240" w:lineRule="exact"/>
      <w:ind w:right="1134"/>
    </w:pPr>
    <w:rPr>
      <w:b/>
    </w:rPr>
  </w:style>
  <w:style w:type="paragraph" w:customStyle="1" w:styleId="H56G">
    <w:name w:val="_ H_5/6_G"/>
    <w:basedOn w:val="Normal"/>
    <w:next w:val="Normal"/>
    <w:qFormat/>
    <w:rsid w:val="00256B96"/>
    <w:pPr>
      <w:keepNext/>
      <w:keepLines/>
      <w:tabs>
        <w:tab w:val="right" w:pos="851"/>
      </w:tabs>
      <w:spacing w:before="240" w:after="120" w:line="240" w:lineRule="exact"/>
      <w:ind w:left="1134" w:right="1134" w:hanging="1134"/>
    </w:pPr>
  </w:style>
  <w:style w:type="paragraph" w:styleId="BalloonText">
    <w:name w:val="Balloon Text"/>
    <w:basedOn w:val="Normal"/>
    <w:link w:val="BalloonTextChar"/>
    <w:uiPriority w:val="99"/>
    <w:qFormat/>
    <w:rsid w:val="00256B9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256B96"/>
    <w:rPr>
      <w:rFonts w:ascii="Tahoma" w:eastAsia="Times New Roman" w:hAnsi="Tahoma" w:cs="Tahoma"/>
      <w:sz w:val="16"/>
      <w:szCs w:val="16"/>
      <w:lang w:val="en-GB"/>
    </w:rPr>
  </w:style>
  <w:style w:type="paragraph" w:customStyle="1" w:styleId="ParNoG">
    <w:name w:val="_ParNo_G"/>
    <w:basedOn w:val="SingleTxtG"/>
    <w:qFormat/>
    <w:rsid w:val="00256B96"/>
    <w:pPr>
      <w:numPr>
        <w:numId w:val="0"/>
      </w:numPr>
      <w:tabs>
        <w:tab w:val="num" w:pos="1701"/>
      </w:tabs>
      <w:kinsoku w:val="0"/>
      <w:overflowPunct w:val="0"/>
      <w:autoSpaceDE w:val="0"/>
      <w:autoSpaceDN w:val="0"/>
      <w:adjustRightInd w:val="0"/>
      <w:snapToGrid w:val="0"/>
      <w:ind w:left="1134"/>
    </w:pPr>
  </w:style>
  <w:style w:type="character" w:customStyle="1" w:styleId="HChGChar">
    <w:name w:val="_ H _Ch_G Char"/>
    <w:link w:val="HChG"/>
    <w:locked/>
    <w:rsid w:val="00256B96"/>
    <w:rPr>
      <w:rFonts w:ascii="Times New Roman" w:eastAsia="Times New Roman" w:hAnsi="Times New Roman" w:cs="Times New Roman"/>
      <w:b/>
      <w:sz w:val="28"/>
      <w:szCs w:val="20"/>
      <w:lang w:val="en-GB"/>
    </w:rPr>
  </w:style>
  <w:style w:type="paragraph" w:customStyle="1" w:styleId="Body1">
    <w:name w:val="Body 1"/>
    <w:rsid w:val="00256B96"/>
    <w:pPr>
      <w:suppressAutoHyphens/>
      <w:spacing w:after="0" w:line="240" w:lineRule="atLeast"/>
      <w:outlineLvl w:val="0"/>
    </w:pPr>
    <w:rPr>
      <w:rFonts w:ascii="Times New Roman" w:eastAsia="Arial Unicode MS" w:hAnsi="Times New Roman" w:cs="Times New Roman"/>
      <w:color w:val="000000"/>
      <w:sz w:val="20"/>
      <w:szCs w:val="20"/>
      <w:u w:color="000000"/>
      <w:lang w:val="en-GB" w:eastAsia="en-GB"/>
    </w:rPr>
  </w:style>
  <w:style w:type="paragraph" w:styleId="CommentText">
    <w:name w:val="annotation text"/>
    <w:basedOn w:val="Normal"/>
    <w:link w:val="CommentTextChar"/>
    <w:uiPriority w:val="99"/>
    <w:unhideWhenUsed/>
    <w:rsid w:val="00256B96"/>
    <w:pPr>
      <w:suppressAutoHyphens w:val="0"/>
      <w:spacing w:line="240" w:lineRule="auto"/>
    </w:pPr>
    <w:rPr>
      <w:rFonts w:ascii="Cambria" w:hAnsi="Cambria"/>
      <w:sz w:val="24"/>
      <w:szCs w:val="24"/>
      <w:lang w:eastAsia="fr-FR"/>
    </w:rPr>
  </w:style>
  <w:style w:type="character" w:customStyle="1" w:styleId="CommentTextChar">
    <w:name w:val="Comment Text Char"/>
    <w:basedOn w:val="DefaultParagraphFont"/>
    <w:link w:val="CommentText"/>
    <w:uiPriority w:val="99"/>
    <w:rsid w:val="00256B96"/>
    <w:rPr>
      <w:rFonts w:ascii="Cambria" w:eastAsia="Times New Roman" w:hAnsi="Cambria" w:cs="Times New Roman"/>
      <w:sz w:val="24"/>
      <w:szCs w:val="24"/>
      <w:lang w:val="en-GB" w:eastAsia="fr-FR"/>
    </w:rPr>
  </w:style>
  <w:style w:type="character" w:styleId="Strong">
    <w:name w:val="Strong"/>
    <w:aliases w:val="witness"/>
    <w:uiPriority w:val="22"/>
    <w:qFormat/>
    <w:rsid w:val="00256B96"/>
    <w:rPr>
      <w:b/>
      <w:bCs/>
    </w:rPr>
  </w:style>
  <w:style w:type="character" w:styleId="CommentReference">
    <w:name w:val="annotation reference"/>
    <w:uiPriority w:val="99"/>
    <w:unhideWhenUsed/>
    <w:rsid w:val="00256B96"/>
    <w:rPr>
      <w:sz w:val="16"/>
      <w:szCs w:val="16"/>
    </w:rPr>
  </w:style>
  <w:style w:type="character" w:customStyle="1" w:styleId="SingleTxtGChar">
    <w:name w:val="_ Single Txt_G Char"/>
    <w:link w:val="SingleTxtG"/>
    <w:locked/>
    <w:rsid w:val="001232C6"/>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uiPriority w:val="99"/>
    <w:rsid w:val="00256B96"/>
    <w:pPr>
      <w:suppressAutoHyphens/>
      <w:spacing w:line="240" w:lineRule="atLeast"/>
    </w:pPr>
    <w:rPr>
      <w:b/>
      <w:bCs/>
      <w:lang w:eastAsia="en-US"/>
    </w:rPr>
  </w:style>
  <w:style w:type="character" w:customStyle="1" w:styleId="CommentSubjectChar">
    <w:name w:val="Comment Subject Char"/>
    <w:basedOn w:val="CommentTextChar"/>
    <w:link w:val="CommentSubject"/>
    <w:uiPriority w:val="99"/>
    <w:rsid w:val="00256B96"/>
    <w:rPr>
      <w:rFonts w:ascii="Cambria" w:eastAsia="Times New Roman" w:hAnsi="Cambria" w:cs="Times New Roman"/>
      <w:b/>
      <w:bCs/>
      <w:sz w:val="24"/>
      <w:szCs w:val="24"/>
      <w:lang w:val="en-GB" w:eastAsia="fr-FR"/>
    </w:rPr>
  </w:style>
  <w:style w:type="paragraph" w:customStyle="1" w:styleId="Default">
    <w:name w:val="Default"/>
    <w:rsid w:val="00256B96"/>
    <w:pPr>
      <w:autoSpaceDE w:val="0"/>
      <w:autoSpaceDN w:val="0"/>
      <w:adjustRightInd w:val="0"/>
      <w:spacing w:after="0" w:line="240" w:lineRule="auto"/>
    </w:pPr>
    <w:rPr>
      <w:rFonts w:ascii="MrsEavesRoman" w:eastAsia="Times New Roman" w:hAnsi="MrsEavesRoman" w:cs="MrsEavesRoman"/>
      <w:color w:val="000000"/>
      <w:sz w:val="24"/>
      <w:szCs w:val="24"/>
      <w:lang w:val="en-GB" w:eastAsia="en-GB"/>
    </w:rPr>
  </w:style>
  <w:style w:type="paragraph" w:styleId="Caption">
    <w:name w:val="caption"/>
    <w:basedOn w:val="Normal"/>
    <w:next w:val="Normal"/>
    <w:uiPriority w:val="35"/>
    <w:qFormat/>
    <w:rsid w:val="00256B96"/>
    <w:pPr>
      <w:suppressAutoHyphens w:val="0"/>
      <w:spacing w:after="200" w:line="276" w:lineRule="auto"/>
    </w:pPr>
    <w:rPr>
      <w:rFonts w:ascii="Calibri" w:eastAsia="Calibri" w:hAnsi="Calibri" w:cs="Arial"/>
      <w:b/>
      <w:bCs/>
    </w:rPr>
  </w:style>
  <w:style w:type="character" w:styleId="Emphasis">
    <w:name w:val="Emphasis"/>
    <w:uiPriority w:val="20"/>
    <w:qFormat/>
    <w:rsid w:val="00256B96"/>
    <w:rPr>
      <w:i/>
      <w:iCs/>
    </w:rPr>
  </w:style>
  <w:style w:type="paragraph" w:customStyle="1" w:styleId="NormalWebCharChar">
    <w:name w:val="Normal (Web) Char Char"/>
    <w:basedOn w:val="Normal"/>
    <w:rsid w:val="00256B96"/>
    <w:pPr>
      <w:suppressAutoHyphens w:val="0"/>
      <w:spacing w:before="100" w:beforeAutospacing="1" w:after="100" w:afterAutospacing="1" w:line="276" w:lineRule="auto"/>
    </w:pPr>
    <w:rPr>
      <w:rFonts w:eastAsia="Batang"/>
      <w:sz w:val="24"/>
      <w:szCs w:val="24"/>
      <w:lang w:val="en-US"/>
    </w:rPr>
  </w:style>
  <w:style w:type="paragraph" w:customStyle="1" w:styleId="NoSpacing1">
    <w:name w:val="No Spacing1"/>
    <w:qFormat/>
    <w:rsid w:val="00256B96"/>
    <w:pPr>
      <w:spacing w:after="0" w:line="240" w:lineRule="auto"/>
    </w:pPr>
    <w:rPr>
      <w:rFonts w:ascii="Calibri" w:eastAsia="Calibri" w:hAnsi="Calibri" w:cs="Times New Roman"/>
      <w:lang w:val="en-US"/>
    </w:rPr>
  </w:style>
  <w:style w:type="character" w:customStyle="1" w:styleId="apple-converted-space">
    <w:name w:val="apple-converted-space"/>
    <w:rsid w:val="00256B96"/>
  </w:style>
  <w:style w:type="paragraph" w:customStyle="1" w:styleId="Heading2-Letter">
    <w:name w:val="Heading 2 - Letter"/>
    <w:basedOn w:val="Heading2"/>
    <w:link w:val="Heading2-LetterChar"/>
    <w:rsid w:val="00256B96"/>
    <w:pPr>
      <w:keepNext/>
      <w:suppressAutoHyphens w:val="0"/>
      <w:spacing w:before="240" w:after="60"/>
      <w:ind w:left="1134" w:hanging="567"/>
    </w:pPr>
    <w:rPr>
      <w:rFonts w:eastAsia="MS Gothic"/>
      <w:b/>
      <w:bCs/>
      <w:iCs/>
      <w:sz w:val="26"/>
      <w:szCs w:val="28"/>
    </w:rPr>
  </w:style>
  <w:style w:type="character" w:customStyle="1" w:styleId="Heading2-LetterChar">
    <w:name w:val="Heading 2 - Letter Char"/>
    <w:link w:val="Heading2-Letter"/>
    <w:rsid w:val="00256B96"/>
    <w:rPr>
      <w:rFonts w:ascii="Times New Roman" w:eastAsia="MS Gothic" w:hAnsi="Times New Roman" w:cs="Times New Roman"/>
      <w:b/>
      <w:bCs/>
      <w:iCs/>
      <w:sz w:val="26"/>
      <w:szCs w:val="28"/>
      <w:lang w:val="en-GB"/>
    </w:rPr>
  </w:style>
  <w:style w:type="paragraph" w:customStyle="1" w:styleId="SingleTxtG-Withnumbering">
    <w:name w:val="_ Single Txt_G - With numbering"/>
    <w:basedOn w:val="SingleTxtG"/>
    <w:link w:val="SingleTxtG-WithnumberingChar"/>
    <w:qFormat/>
    <w:rsid w:val="002A384F"/>
  </w:style>
  <w:style w:type="paragraph" w:customStyle="1" w:styleId="Bulletsanspoint-justeletexte">
    <w:name w:val="_ Bullet sans point - juste le texte"/>
    <w:basedOn w:val="Normal"/>
    <w:qFormat/>
    <w:rsid w:val="00256B96"/>
    <w:pPr>
      <w:tabs>
        <w:tab w:val="left" w:pos="1701"/>
      </w:tabs>
      <w:suppressAutoHyphens w:val="0"/>
      <w:spacing w:after="120" w:line="240" w:lineRule="auto"/>
      <w:ind w:left="1701" w:right="1701"/>
      <w:jc w:val="both"/>
    </w:pPr>
    <w:rPr>
      <w:shd w:val="clear" w:color="auto" w:fill="FFFFFF"/>
    </w:rPr>
  </w:style>
  <w:style w:type="paragraph" w:customStyle="1" w:styleId="H4G-Automaticletters">
    <w:name w:val="_ H_4_G - Automatic letters"/>
    <w:basedOn w:val="H4G"/>
    <w:rsid w:val="00256B96"/>
    <w:pPr>
      <w:keepNext w:val="0"/>
      <w:keepLines w:val="0"/>
      <w:numPr>
        <w:ilvl w:val="1"/>
        <w:numId w:val="5"/>
      </w:numPr>
    </w:pPr>
  </w:style>
  <w:style w:type="paragraph" w:customStyle="1" w:styleId="ColorfulList-Accent11">
    <w:name w:val="Colorful List - Accent 11"/>
    <w:basedOn w:val="Normal"/>
    <w:uiPriority w:val="34"/>
    <w:qFormat/>
    <w:rsid w:val="00256B96"/>
    <w:pPr>
      <w:suppressAutoHyphens w:val="0"/>
      <w:spacing w:line="240" w:lineRule="auto"/>
      <w:ind w:left="720"/>
      <w:contextualSpacing/>
    </w:pPr>
    <w:rPr>
      <w:rFonts w:ascii="Cambria" w:eastAsia="Cambria" w:hAnsi="Cambria"/>
      <w:sz w:val="24"/>
      <w:szCs w:val="24"/>
      <w:lang w:val="en-US"/>
    </w:rPr>
  </w:style>
  <w:style w:type="paragraph" w:customStyle="1" w:styleId="ColorfulList-Accent12">
    <w:name w:val="Colorful List - Accent 12"/>
    <w:basedOn w:val="Normal"/>
    <w:uiPriority w:val="34"/>
    <w:qFormat/>
    <w:rsid w:val="00256B96"/>
    <w:pPr>
      <w:suppressAutoHyphens w:val="0"/>
      <w:spacing w:line="240" w:lineRule="auto"/>
      <w:ind w:left="720"/>
      <w:contextualSpacing/>
    </w:pPr>
    <w:rPr>
      <w:rFonts w:ascii="Calibri" w:eastAsia="Calibri" w:hAnsi="Calibri" w:cs="Arial"/>
      <w:sz w:val="22"/>
      <w:szCs w:val="22"/>
      <w:lang w:val="en-AU"/>
    </w:rPr>
  </w:style>
  <w:style w:type="paragraph" w:styleId="NormalWeb">
    <w:name w:val="Normal (Web)"/>
    <w:basedOn w:val="Normal"/>
    <w:uiPriority w:val="99"/>
    <w:unhideWhenUsed/>
    <w:rsid w:val="00256B96"/>
    <w:pPr>
      <w:suppressAutoHyphens w:val="0"/>
      <w:spacing w:before="100" w:beforeAutospacing="1" w:after="100" w:afterAutospacing="1" w:line="240" w:lineRule="auto"/>
    </w:pPr>
    <w:rPr>
      <w:sz w:val="24"/>
      <w:szCs w:val="24"/>
      <w:lang w:eastAsia="en-GB"/>
    </w:rPr>
  </w:style>
  <w:style w:type="paragraph" w:customStyle="1" w:styleId="ColorfulShading-Accent12">
    <w:name w:val="Colorful Shading - Accent 12"/>
    <w:hidden/>
    <w:uiPriority w:val="99"/>
    <w:semiHidden/>
    <w:rsid w:val="00256B96"/>
    <w:pPr>
      <w:spacing w:after="0" w:line="240" w:lineRule="auto"/>
    </w:pPr>
    <w:rPr>
      <w:rFonts w:ascii="Calibri" w:eastAsia="Calibri" w:hAnsi="Calibri" w:cs="Times New Roman"/>
      <w:lang w:val="en-GB"/>
    </w:rPr>
  </w:style>
  <w:style w:type="paragraph" w:customStyle="1" w:styleId="COIPara">
    <w:name w:val="COI Para"/>
    <w:basedOn w:val="SingleTxtG"/>
    <w:link w:val="COIParaChar"/>
    <w:qFormat/>
    <w:rsid w:val="00256B96"/>
    <w:pPr>
      <w:ind w:left="6031" w:right="379"/>
    </w:pPr>
    <w:rPr>
      <w:rFonts w:eastAsia="Batang"/>
    </w:rPr>
  </w:style>
  <w:style w:type="character" w:customStyle="1" w:styleId="COIParaChar">
    <w:name w:val="COI Para Char"/>
    <w:link w:val="COIPara"/>
    <w:rsid w:val="00256B96"/>
    <w:rPr>
      <w:rFonts w:ascii="Times New Roman" w:eastAsia="Batang" w:hAnsi="Times New Roman" w:cs="Times New Roman"/>
      <w:sz w:val="20"/>
      <w:szCs w:val="20"/>
      <w:lang w:val="en-GB"/>
    </w:rPr>
  </w:style>
  <w:style w:type="paragraph" w:customStyle="1" w:styleId="TOCHeading2">
    <w:name w:val="TOC Heading2"/>
    <w:basedOn w:val="Heading1"/>
    <w:next w:val="Normal"/>
    <w:uiPriority w:val="39"/>
    <w:unhideWhenUsed/>
    <w:qFormat/>
    <w:rsid w:val="00256B96"/>
    <w:pPr>
      <w:keepNext/>
      <w:keepLines/>
      <w:suppressAutoHyphens w:val="0"/>
      <w:spacing w:before="480" w:line="276" w:lineRule="auto"/>
      <w:ind w:left="0"/>
      <w:outlineLvl w:val="9"/>
    </w:pPr>
    <w:rPr>
      <w:rFonts w:eastAsia="MS Gothic"/>
      <w:b/>
      <w:bCs/>
      <w:sz w:val="28"/>
      <w:szCs w:val="28"/>
      <w:lang w:val="en-US" w:eastAsia="ja-JP"/>
    </w:rPr>
  </w:style>
  <w:style w:type="paragraph" w:styleId="TOC1">
    <w:name w:val="toc 1"/>
    <w:basedOn w:val="Normal"/>
    <w:next w:val="Normal"/>
    <w:autoRedefine/>
    <w:uiPriority w:val="39"/>
    <w:unhideWhenUsed/>
    <w:qFormat/>
    <w:rsid w:val="00A52FB2"/>
    <w:pPr>
      <w:tabs>
        <w:tab w:val="left" w:pos="990"/>
        <w:tab w:val="right" w:leader="dot" w:pos="9180"/>
      </w:tabs>
      <w:suppressAutoHyphens w:val="0"/>
      <w:spacing w:before="120" w:line="240" w:lineRule="auto"/>
      <w:ind w:left="450" w:right="451"/>
    </w:pPr>
    <w:rPr>
      <w:rFonts w:eastAsia="MS Mincho"/>
      <w:noProof/>
      <w:szCs w:val="24"/>
    </w:rPr>
  </w:style>
  <w:style w:type="paragraph" w:styleId="TOC2">
    <w:name w:val="toc 2"/>
    <w:basedOn w:val="Normal"/>
    <w:next w:val="Normal"/>
    <w:autoRedefine/>
    <w:uiPriority w:val="39"/>
    <w:unhideWhenUsed/>
    <w:qFormat/>
    <w:rsid w:val="00256B96"/>
    <w:pPr>
      <w:tabs>
        <w:tab w:val="left" w:pos="1440"/>
        <w:tab w:val="right" w:leader="dot" w:pos="9180"/>
      </w:tabs>
      <w:suppressAutoHyphens w:val="0"/>
      <w:spacing w:line="240" w:lineRule="auto"/>
      <w:ind w:left="1134"/>
    </w:pPr>
    <w:rPr>
      <w:rFonts w:eastAsia="MS Mincho"/>
      <w:noProof/>
      <w:szCs w:val="22"/>
    </w:rPr>
  </w:style>
  <w:style w:type="paragraph" w:styleId="TOC3">
    <w:name w:val="toc 3"/>
    <w:basedOn w:val="Normal"/>
    <w:next w:val="Normal"/>
    <w:autoRedefine/>
    <w:uiPriority w:val="39"/>
    <w:unhideWhenUsed/>
    <w:qFormat/>
    <w:rsid w:val="00A52FB2"/>
    <w:pPr>
      <w:tabs>
        <w:tab w:val="left" w:pos="1860"/>
        <w:tab w:val="right" w:leader="dot" w:pos="9180"/>
      </w:tabs>
      <w:suppressAutoHyphens w:val="0"/>
      <w:spacing w:line="240" w:lineRule="auto"/>
      <w:ind w:left="1440" w:right="36"/>
    </w:pPr>
    <w:rPr>
      <w:rFonts w:eastAsia="MS Mincho"/>
      <w:bCs/>
      <w:noProof/>
    </w:rPr>
  </w:style>
  <w:style w:type="paragraph" w:customStyle="1" w:styleId="1">
    <w:name w:val="1"/>
    <w:basedOn w:val="Heading2"/>
    <w:link w:val="1Char"/>
    <w:rsid w:val="00256B96"/>
    <w:pPr>
      <w:suppressAutoHyphens w:val="0"/>
      <w:spacing w:before="60"/>
      <w:contextualSpacing/>
    </w:pPr>
    <w:rPr>
      <w:rFonts w:eastAsia="Calibri"/>
      <w:b/>
      <w:sz w:val="26"/>
      <w:szCs w:val="26"/>
    </w:rPr>
  </w:style>
  <w:style w:type="paragraph" w:customStyle="1" w:styleId="2">
    <w:name w:val="2"/>
    <w:basedOn w:val="Normal"/>
    <w:link w:val="2Char"/>
    <w:rsid w:val="00256B96"/>
    <w:pPr>
      <w:numPr>
        <w:numId w:val="3"/>
      </w:numPr>
      <w:suppressAutoHyphens w:val="0"/>
      <w:spacing w:line="276" w:lineRule="auto"/>
      <w:ind w:left="1418" w:right="379" w:hanging="284"/>
    </w:pPr>
    <w:rPr>
      <w:rFonts w:eastAsia="MS Mincho"/>
    </w:rPr>
  </w:style>
  <w:style w:type="character" w:customStyle="1" w:styleId="1Char">
    <w:name w:val="1 Char"/>
    <w:link w:val="1"/>
    <w:rsid w:val="00256B96"/>
    <w:rPr>
      <w:rFonts w:ascii="Times New Roman" w:eastAsia="Calibri" w:hAnsi="Times New Roman" w:cs="Times New Roman"/>
      <w:b/>
      <w:sz w:val="26"/>
      <w:szCs w:val="26"/>
      <w:lang w:val="en-GB"/>
    </w:rPr>
  </w:style>
  <w:style w:type="character" w:customStyle="1" w:styleId="2Char">
    <w:name w:val="2 Char"/>
    <w:link w:val="2"/>
    <w:rsid w:val="00256B96"/>
    <w:rPr>
      <w:rFonts w:ascii="Times New Roman" w:eastAsia="MS Mincho" w:hAnsi="Times New Roman" w:cs="Times New Roman"/>
      <w:sz w:val="20"/>
      <w:szCs w:val="20"/>
      <w:lang w:val="en-GB"/>
    </w:rPr>
  </w:style>
  <w:style w:type="character" w:customStyle="1" w:styleId="hps">
    <w:name w:val="hps"/>
    <w:rsid w:val="00256B96"/>
  </w:style>
  <w:style w:type="paragraph" w:styleId="DocumentMap">
    <w:name w:val="Document Map"/>
    <w:basedOn w:val="Normal"/>
    <w:link w:val="DocumentMapChar"/>
    <w:uiPriority w:val="99"/>
    <w:unhideWhenUsed/>
    <w:rsid w:val="00256B96"/>
    <w:pPr>
      <w:suppressAutoHyphens w:val="0"/>
      <w:spacing w:line="240" w:lineRule="auto"/>
    </w:pPr>
    <w:rPr>
      <w:rFonts w:ascii="Lucida Grande" w:eastAsia="MS Mincho" w:hAnsi="Lucida Grande"/>
      <w:sz w:val="24"/>
      <w:szCs w:val="24"/>
      <w:lang w:eastAsia="ja-JP"/>
    </w:rPr>
  </w:style>
  <w:style w:type="character" w:customStyle="1" w:styleId="DocumentMapChar">
    <w:name w:val="Document Map Char"/>
    <w:basedOn w:val="DefaultParagraphFont"/>
    <w:link w:val="DocumentMap"/>
    <w:uiPriority w:val="99"/>
    <w:rsid w:val="00256B96"/>
    <w:rPr>
      <w:rFonts w:ascii="Lucida Grande" w:eastAsia="MS Mincho" w:hAnsi="Lucida Grande" w:cs="Times New Roman"/>
      <w:sz w:val="24"/>
      <w:szCs w:val="24"/>
      <w:lang w:val="en-GB" w:eastAsia="ja-JP"/>
    </w:rPr>
  </w:style>
  <w:style w:type="paragraph" w:customStyle="1" w:styleId="Normal1">
    <w:name w:val="Normal1"/>
    <w:rsid w:val="00256B96"/>
    <w:pPr>
      <w:spacing w:after="0" w:line="276" w:lineRule="auto"/>
    </w:pPr>
    <w:rPr>
      <w:rFonts w:ascii="Arial" w:eastAsia="Arial" w:hAnsi="Arial" w:cs="Arial"/>
      <w:color w:val="000000"/>
      <w:szCs w:val="24"/>
      <w:lang w:val="en-US" w:eastAsia="ja-JP"/>
    </w:rPr>
  </w:style>
  <w:style w:type="paragraph" w:customStyle="1" w:styleId="FootnoteTex">
    <w:name w:val="Footnote Tex"/>
    <w:aliases w:val="5_G - Figure superscript"/>
    <w:basedOn w:val="FootnoteText"/>
    <w:rsid w:val="00256B96"/>
    <w:rPr>
      <w:lang w:val="fr-CH"/>
    </w:rPr>
  </w:style>
  <w:style w:type="paragraph" w:styleId="HTMLPreformatted">
    <w:name w:val="HTML Preformatted"/>
    <w:basedOn w:val="Normal"/>
    <w:link w:val="HTMLPreformattedChar"/>
    <w:uiPriority w:val="99"/>
    <w:unhideWhenUsed/>
    <w:qFormat/>
    <w:rsid w:val="00256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pPr>
    <w:rPr>
      <w:rFonts w:ascii="Courier New" w:hAnsi="Courier New"/>
      <w:lang w:eastAsia="ja-JP"/>
    </w:rPr>
  </w:style>
  <w:style w:type="character" w:customStyle="1" w:styleId="HTMLPreformattedChar">
    <w:name w:val="HTML Preformatted Char"/>
    <w:basedOn w:val="DefaultParagraphFont"/>
    <w:link w:val="HTMLPreformatted"/>
    <w:uiPriority w:val="99"/>
    <w:qFormat/>
    <w:rsid w:val="00256B96"/>
    <w:rPr>
      <w:rFonts w:ascii="Courier New" w:eastAsia="Times New Roman" w:hAnsi="Courier New" w:cs="Times New Roman"/>
      <w:sz w:val="20"/>
      <w:szCs w:val="20"/>
      <w:lang w:val="en-GB" w:eastAsia="ja-JP"/>
    </w:rPr>
  </w:style>
  <w:style w:type="paragraph" w:customStyle="1" w:styleId="COIpara0">
    <w:name w:val="COI para"/>
    <w:basedOn w:val="ColorfulList-Accent11"/>
    <w:link w:val="COIparaChar0"/>
    <w:qFormat/>
    <w:rsid w:val="00256B96"/>
    <w:pPr>
      <w:suppressAutoHyphens/>
      <w:spacing w:after="120" w:line="240" w:lineRule="atLeast"/>
      <w:ind w:left="6031" w:right="1134" w:hanging="360"/>
      <w:jc w:val="both"/>
    </w:pPr>
    <w:rPr>
      <w:rFonts w:ascii="Times New Roman" w:eastAsia="Times New Roman" w:hAnsi="Times New Roman"/>
      <w:color w:val="000000"/>
      <w:sz w:val="20"/>
      <w:szCs w:val="20"/>
    </w:rPr>
  </w:style>
  <w:style w:type="character" w:customStyle="1" w:styleId="COIparaChar0">
    <w:name w:val="COI para Char"/>
    <w:link w:val="COIpara0"/>
    <w:rsid w:val="00256B96"/>
    <w:rPr>
      <w:rFonts w:ascii="Times New Roman" w:eastAsia="Times New Roman" w:hAnsi="Times New Roman" w:cs="Times New Roman"/>
      <w:color w:val="000000"/>
      <w:sz w:val="20"/>
      <w:szCs w:val="20"/>
      <w:lang w:val="en-US"/>
    </w:rPr>
  </w:style>
  <w:style w:type="paragraph" w:styleId="Title">
    <w:name w:val="Title"/>
    <w:basedOn w:val="Normal"/>
    <w:next w:val="Normal"/>
    <w:link w:val="TitleChar"/>
    <w:uiPriority w:val="10"/>
    <w:qFormat/>
    <w:rsid w:val="00256B96"/>
    <w:pPr>
      <w:suppressAutoHyphens w:val="0"/>
      <w:spacing w:before="240" w:after="60" w:line="240" w:lineRule="auto"/>
      <w:jc w:val="center"/>
      <w:outlineLvl w:val="0"/>
    </w:pPr>
    <w:rPr>
      <w:rFonts w:ascii="Cambria" w:eastAsia="MS Gothic" w:hAnsi="Cambria"/>
      <w:b/>
      <w:bCs/>
      <w:kern w:val="28"/>
      <w:sz w:val="32"/>
      <w:szCs w:val="32"/>
    </w:rPr>
  </w:style>
  <w:style w:type="character" w:customStyle="1" w:styleId="TitleChar">
    <w:name w:val="Title Char"/>
    <w:basedOn w:val="DefaultParagraphFont"/>
    <w:link w:val="Title"/>
    <w:uiPriority w:val="10"/>
    <w:rsid w:val="00256B96"/>
    <w:rPr>
      <w:rFonts w:ascii="Cambria" w:eastAsia="MS Gothic" w:hAnsi="Cambria" w:cs="Times New Roman"/>
      <w:b/>
      <w:bCs/>
      <w:kern w:val="28"/>
      <w:sz w:val="32"/>
      <w:szCs w:val="32"/>
      <w:lang w:val="en-GB"/>
    </w:rPr>
  </w:style>
  <w:style w:type="paragraph" w:customStyle="1" w:styleId="a">
    <w:name w:val="바탕글"/>
    <w:basedOn w:val="Normal"/>
    <w:rsid w:val="00256B96"/>
    <w:pPr>
      <w:suppressAutoHyphens w:val="0"/>
      <w:snapToGrid w:val="0"/>
      <w:spacing w:line="384" w:lineRule="auto"/>
      <w:jc w:val="both"/>
    </w:pPr>
    <w:rPr>
      <w:rFonts w:ascii="Batang" w:eastAsia="Batang" w:hAnsi="Batang" w:cs="Gulim"/>
      <w:color w:val="000000"/>
      <w:lang w:val="en-US" w:eastAsia="ko-KR"/>
    </w:rPr>
  </w:style>
  <w:style w:type="character" w:customStyle="1" w:styleId="st1">
    <w:name w:val="st1"/>
    <w:rsid w:val="00256B96"/>
  </w:style>
  <w:style w:type="paragraph" w:customStyle="1" w:styleId="BULLET">
    <w:name w:val="BULLET"/>
    <w:basedOn w:val="Normal"/>
    <w:qFormat/>
    <w:rsid w:val="00256B96"/>
    <w:pPr>
      <w:tabs>
        <w:tab w:val="left" w:pos="1701"/>
      </w:tabs>
      <w:suppressAutoHyphens w:val="0"/>
      <w:spacing w:after="120" w:line="240" w:lineRule="auto"/>
      <w:ind w:left="1701" w:right="379" w:hanging="567"/>
      <w:jc w:val="both"/>
    </w:pPr>
    <w:rPr>
      <w:rFonts w:eastAsia="MS Mincho"/>
    </w:rPr>
  </w:style>
  <w:style w:type="paragraph" w:styleId="TOC4">
    <w:name w:val="toc 4"/>
    <w:basedOn w:val="Normal"/>
    <w:next w:val="Normal"/>
    <w:autoRedefine/>
    <w:uiPriority w:val="39"/>
    <w:unhideWhenUsed/>
    <w:rsid w:val="00256B96"/>
    <w:pPr>
      <w:suppressAutoHyphens w:val="0"/>
      <w:spacing w:line="240" w:lineRule="auto"/>
      <w:ind w:left="600"/>
    </w:pPr>
    <w:rPr>
      <w:rFonts w:ascii="Cambria" w:eastAsia="MS Mincho" w:hAnsi="Cambria"/>
    </w:rPr>
  </w:style>
  <w:style w:type="paragraph" w:customStyle="1" w:styleId="ColorfulShading-Accent11">
    <w:name w:val="Colorful Shading - Accent 11"/>
    <w:hidden/>
    <w:uiPriority w:val="99"/>
    <w:rsid w:val="00256B96"/>
    <w:pPr>
      <w:spacing w:after="0" w:line="240" w:lineRule="auto"/>
    </w:pPr>
    <w:rPr>
      <w:rFonts w:ascii="Calibri" w:eastAsia="Calibri" w:hAnsi="Calibri" w:cs="Times New Roman"/>
      <w:lang w:val="en-GB" w:eastAsia="en-GB"/>
    </w:rPr>
  </w:style>
  <w:style w:type="paragraph" w:styleId="TOC5">
    <w:name w:val="toc 5"/>
    <w:basedOn w:val="Normal"/>
    <w:next w:val="Normal"/>
    <w:autoRedefine/>
    <w:uiPriority w:val="39"/>
    <w:unhideWhenUsed/>
    <w:rsid w:val="00256B96"/>
    <w:pPr>
      <w:suppressAutoHyphens w:val="0"/>
      <w:spacing w:line="240" w:lineRule="auto"/>
      <w:ind w:left="800"/>
    </w:pPr>
    <w:rPr>
      <w:rFonts w:ascii="Cambria" w:eastAsia="MS Mincho" w:hAnsi="Cambria"/>
    </w:rPr>
  </w:style>
  <w:style w:type="paragraph" w:styleId="TOC6">
    <w:name w:val="toc 6"/>
    <w:basedOn w:val="Normal"/>
    <w:next w:val="Normal"/>
    <w:autoRedefine/>
    <w:uiPriority w:val="39"/>
    <w:unhideWhenUsed/>
    <w:rsid w:val="00256B96"/>
    <w:pPr>
      <w:suppressAutoHyphens w:val="0"/>
      <w:spacing w:line="240" w:lineRule="auto"/>
      <w:ind w:left="1000"/>
    </w:pPr>
    <w:rPr>
      <w:rFonts w:ascii="Cambria" w:eastAsia="MS Mincho" w:hAnsi="Cambria"/>
    </w:rPr>
  </w:style>
  <w:style w:type="paragraph" w:styleId="TOC7">
    <w:name w:val="toc 7"/>
    <w:basedOn w:val="Normal"/>
    <w:next w:val="Normal"/>
    <w:autoRedefine/>
    <w:uiPriority w:val="39"/>
    <w:unhideWhenUsed/>
    <w:rsid w:val="00256B96"/>
    <w:pPr>
      <w:suppressAutoHyphens w:val="0"/>
      <w:spacing w:line="240" w:lineRule="auto"/>
      <w:ind w:left="1200"/>
    </w:pPr>
    <w:rPr>
      <w:rFonts w:ascii="Cambria" w:eastAsia="MS Mincho" w:hAnsi="Cambria"/>
    </w:rPr>
  </w:style>
  <w:style w:type="paragraph" w:styleId="TOC8">
    <w:name w:val="toc 8"/>
    <w:basedOn w:val="Normal"/>
    <w:next w:val="Normal"/>
    <w:autoRedefine/>
    <w:uiPriority w:val="39"/>
    <w:unhideWhenUsed/>
    <w:rsid w:val="00256B96"/>
    <w:pPr>
      <w:suppressAutoHyphens w:val="0"/>
      <w:spacing w:line="240" w:lineRule="auto"/>
      <w:ind w:left="1400"/>
    </w:pPr>
    <w:rPr>
      <w:rFonts w:ascii="Cambria" w:eastAsia="MS Mincho" w:hAnsi="Cambria"/>
    </w:rPr>
  </w:style>
  <w:style w:type="paragraph" w:styleId="TOC9">
    <w:name w:val="toc 9"/>
    <w:basedOn w:val="Normal"/>
    <w:next w:val="Normal"/>
    <w:autoRedefine/>
    <w:uiPriority w:val="39"/>
    <w:unhideWhenUsed/>
    <w:rsid w:val="00256B96"/>
    <w:pPr>
      <w:suppressAutoHyphens w:val="0"/>
      <w:spacing w:line="240" w:lineRule="auto"/>
      <w:ind w:left="1600"/>
    </w:pPr>
    <w:rPr>
      <w:rFonts w:ascii="Cambria" w:eastAsia="MS Mincho" w:hAnsi="Cambria"/>
    </w:rPr>
  </w:style>
  <w:style w:type="paragraph" w:styleId="Subtitle">
    <w:name w:val="Subtitle"/>
    <w:basedOn w:val="Normal"/>
    <w:next w:val="Normal"/>
    <w:link w:val="SubtitleChar"/>
    <w:uiPriority w:val="11"/>
    <w:qFormat/>
    <w:rsid w:val="00256B96"/>
    <w:pPr>
      <w:suppressAutoHyphens w:val="0"/>
      <w:spacing w:after="60" w:line="240" w:lineRule="auto"/>
      <w:jc w:val="center"/>
      <w:outlineLvl w:val="1"/>
    </w:pPr>
    <w:rPr>
      <w:rFonts w:ascii="Calibri" w:eastAsia="MS Gothic" w:hAnsi="Calibri"/>
      <w:sz w:val="24"/>
      <w:szCs w:val="24"/>
    </w:rPr>
  </w:style>
  <w:style w:type="character" w:customStyle="1" w:styleId="SubtitleChar">
    <w:name w:val="Subtitle Char"/>
    <w:basedOn w:val="DefaultParagraphFont"/>
    <w:link w:val="Subtitle"/>
    <w:uiPriority w:val="11"/>
    <w:rsid w:val="00256B96"/>
    <w:rPr>
      <w:rFonts w:ascii="Calibri" w:eastAsia="MS Gothic" w:hAnsi="Calibri" w:cs="Times New Roman"/>
      <w:sz w:val="24"/>
      <w:szCs w:val="24"/>
      <w:lang w:val="en-GB"/>
    </w:rPr>
  </w:style>
  <w:style w:type="character" w:customStyle="1" w:styleId="BookTitle1">
    <w:name w:val="Book Title1"/>
    <w:uiPriority w:val="33"/>
    <w:qFormat/>
    <w:rsid w:val="00256B96"/>
    <w:rPr>
      <w:b/>
      <w:bCs/>
      <w:smallCaps/>
      <w:spacing w:val="5"/>
    </w:rPr>
  </w:style>
  <w:style w:type="numbering" w:customStyle="1" w:styleId="NoList1">
    <w:name w:val="No List1"/>
    <w:next w:val="NoList"/>
    <w:uiPriority w:val="99"/>
    <w:semiHidden/>
    <w:unhideWhenUsed/>
    <w:rsid w:val="00256B96"/>
  </w:style>
  <w:style w:type="numbering" w:customStyle="1" w:styleId="NoList2">
    <w:name w:val="No List2"/>
    <w:next w:val="NoList"/>
    <w:uiPriority w:val="99"/>
    <w:semiHidden/>
    <w:unhideWhenUsed/>
    <w:rsid w:val="00256B96"/>
  </w:style>
  <w:style w:type="paragraph" w:customStyle="1" w:styleId="CommentSubject1">
    <w:name w:val="Comment Subject1"/>
    <w:basedOn w:val="CommentText"/>
    <w:next w:val="CommentText"/>
    <w:link w:val="KommentarthemaZchn"/>
    <w:rsid w:val="00256B96"/>
    <w:pPr>
      <w:spacing w:after="200" w:line="276" w:lineRule="auto"/>
    </w:pPr>
    <w:rPr>
      <w:rFonts w:ascii="Calibri" w:eastAsia="Calibri" w:hAnsi="Calibri"/>
      <w:b/>
      <w:bCs/>
      <w:sz w:val="20"/>
      <w:szCs w:val="20"/>
      <w:lang w:val="en-US" w:eastAsia="en-US"/>
    </w:rPr>
  </w:style>
  <w:style w:type="paragraph" w:customStyle="1" w:styleId="ListParagraph1">
    <w:name w:val="List Paragraph1"/>
    <w:basedOn w:val="Normal"/>
    <w:rsid w:val="00256B96"/>
    <w:pPr>
      <w:suppressAutoHyphens w:val="0"/>
      <w:spacing w:before="100" w:beforeAutospacing="1" w:after="100" w:afterAutospacing="1" w:line="240" w:lineRule="auto"/>
    </w:pPr>
    <w:rPr>
      <w:sz w:val="24"/>
      <w:szCs w:val="24"/>
      <w:lang w:val="en-US"/>
    </w:rPr>
  </w:style>
  <w:style w:type="paragraph" w:customStyle="1" w:styleId="TOCHeading1">
    <w:name w:val="TOC Heading1"/>
    <w:basedOn w:val="Heading1"/>
    <w:next w:val="Normal"/>
    <w:rsid w:val="00256B96"/>
    <w:pPr>
      <w:keepNext/>
      <w:keepLines/>
      <w:suppressAutoHyphens w:val="0"/>
      <w:spacing w:before="480" w:line="276" w:lineRule="auto"/>
      <w:ind w:left="0"/>
      <w:outlineLvl w:val="9"/>
    </w:pPr>
    <w:rPr>
      <w:rFonts w:ascii="Cambria" w:eastAsia="MS Gothic" w:hAnsi="Cambria"/>
      <w:b/>
      <w:bCs/>
      <w:color w:val="365F91"/>
      <w:sz w:val="28"/>
      <w:szCs w:val="28"/>
      <w:lang w:val="en-US" w:eastAsia="ja-JP"/>
    </w:rPr>
  </w:style>
  <w:style w:type="paragraph" w:customStyle="1" w:styleId="Revision1">
    <w:name w:val="Revision1"/>
    <w:rsid w:val="00256B96"/>
    <w:pPr>
      <w:spacing w:after="200" w:line="276" w:lineRule="auto"/>
    </w:pPr>
    <w:rPr>
      <w:rFonts w:ascii="Calibri" w:eastAsia="Calibri" w:hAnsi="Calibri" w:cs="Calibri"/>
      <w:lang w:val="en-US"/>
    </w:rPr>
  </w:style>
  <w:style w:type="character" w:customStyle="1" w:styleId="CommentReference1">
    <w:name w:val="Comment Reference1"/>
    <w:rsid w:val="00256B96"/>
    <w:rPr>
      <w:sz w:val="16"/>
      <w:szCs w:val="16"/>
    </w:rPr>
  </w:style>
  <w:style w:type="character" w:customStyle="1" w:styleId="CommentSubjectChar1">
    <w:name w:val="Comment Subject Char1"/>
    <w:uiPriority w:val="99"/>
    <w:semiHidden/>
    <w:rsid w:val="00256B96"/>
    <w:rPr>
      <w:rFonts w:eastAsia="Calibri" w:cs="Times New Roman"/>
      <w:b/>
      <w:bCs/>
      <w:sz w:val="22"/>
      <w:szCs w:val="22"/>
      <w:lang w:val="en-US" w:eastAsia="en-US"/>
    </w:rPr>
  </w:style>
  <w:style w:type="paragraph" w:customStyle="1" w:styleId="MediumGrid21">
    <w:name w:val="Medium Grid 21"/>
    <w:uiPriority w:val="1"/>
    <w:qFormat/>
    <w:rsid w:val="00256B96"/>
    <w:pPr>
      <w:spacing w:after="0" w:line="240" w:lineRule="auto"/>
    </w:pPr>
    <w:rPr>
      <w:rFonts w:ascii="Calibri" w:eastAsia="Calibri" w:hAnsi="Calibri" w:cs="Times New Roman"/>
      <w:lang w:val="en-US"/>
    </w:rPr>
  </w:style>
  <w:style w:type="numbering" w:customStyle="1" w:styleId="NoList3">
    <w:name w:val="No List3"/>
    <w:next w:val="NoList"/>
    <w:uiPriority w:val="99"/>
    <w:semiHidden/>
    <w:unhideWhenUsed/>
    <w:rsid w:val="00256B96"/>
  </w:style>
  <w:style w:type="numbering" w:customStyle="1" w:styleId="NoList4">
    <w:name w:val="No List4"/>
    <w:next w:val="NoList"/>
    <w:uiPriority w:val="99"/>
    <w:semiHidden/>
    <w:unhideWhenUsed/>
    <w:rsid w:val="00256B96"/>
  </w:style>
  <w:style w:type="character" w:customStyle="1" w:styleId="KommentarthemaZchn">
    <w:name w:val="Kommentarthema Zchn"/>
    <w:link w:val="CommentSubject1"/>
    <w:rsid w:val="00256B96"/>
    <w:rPr>
      <w:rFonts w:ascii="Calibri" w:eastAsia="Calibri" w:hAnsi="Calibri" w:cs="Times New Roman"/>
      <w:b/>
      <w:bCs/>
      <w:sz w:val="20"/>
      <w:szCs w:val="20"/>
      <w:lang w:val="en-US"/>
    </w:rPr>
  </w:style>
  <w:style w:type="paragraph" w:customStyle="1" w:styleId="TOCHeading3">
    <w:name w:val="TOC Heading3"/>
    <w:basedOn w:val="Heading1"/>
    <w:next w:val="Normal"/>
    <w:uiPriority w:val="39"/>
    <w:unhideWhenUsed/>
    <w:qFormat/>
    <w:rsid w:val="00256B96"/>
    <w:pPr>
      <w:keepNext/>
      <w:keepLines/>
      <w:suppressAutoHyphens w:val="0"/>
      <w:spacing w:before="480" w:line="276" w:lineRule="auto"/>
      <w:ind w:left="0"/>
      <w:outlineLvl w:val="9"/>
    </w:pPr>
    <w:rPr>
      <w:rFonts w:ascii="Cambria" w:hAnsi="Cambria"/>
      <w:b/>
      <w:bCs/>
      <w:color w:val="365F91"/>
      <w:sz w:val="28"/>
      <w:szCs w:val="28"/>
      <w:lang w:val="en-US" w:eastAsia="ja-JP"/>
    </w:rPr>
  </w:style>
  <w:style w:type="paragraph" w:customStyle="1" w:styleId="Normal2">
    <w:name w:val="Normal2"/>
    <w:rsid w:val="00256B96"/>
    <w:pPr>
      <w:spacing w:after="0" w:line="240" w:lineRule="auto"/>
    </w:pPr>
    <w:rPr>
      <w:rFonts w:ascii="Times New Roman" w:eastAsia="Times New Roman" w:hAnsi="Times New Roman" w:cs="Times New Roman"/>
      <w:color w:val="000000"/>
      <w:sz w:val="24"/>
      <w:lang w:val="en-US" w:eastAsia="ja-JP"/>
    </w:rPr>
  </w:style>
  <w:style w:type="paragraph" w:styleId="BodyText">
    <w:name w:val="Body Text"/>
    <w:basedOn w:val="Normal"/>
    <w:link w:val="BodyTextChar"/>
    <w:uiPriority w:val="99"/>
    <w:unhideWhenUsed/>
    <w:rsid w:val="00256B96"/>
    <w:pPr>
      <w:suppressAutoHyphens w:val="0"/>
      <w:spacing w:before="60" w:line="240" w:lineRule="auto"/>
      <w:contextualSpacing/>
      <w:jc w:val="both"/>
    </w:pPr>
    <w:rPr>
      <w:rFonts w:eastAsia="Calibri"/>
      <w:b/>
      <w:color w:val="FF0000"/>
      <w:sz w:val="24"/>
      <w:szCs w:val="24"/>
    </w:rPr>
  </w:style>
  <w:style w:type="character" w:customStyle="1" w:styleId="BodyTextChar">
    <w:name w:val="Body Text Char"/>
    <w:basedOn w:val="DefaultParagraphFont"/>
    <w:link w:val="BodyText"/>
    <w:uiPriority w:val="99"/>
    <w:rsid w:val="00256B96"/>
    <w:rPr>
      <w:rFonts w:ascii="Times New Roman" w:eastAsia="Calibri" w:hAnsi="Times New Roman" w:cs="Times New Roman"/>
      <w:b/>
      <w:color w:val="FF0000"/>
      <w:sz w:val="24"/>
      <w:szCs w:val="24"/>
      <w:lang w:val="en-GB"/>
    </w:rPr>
  </w:style>
  <w:style w:type="paragraph" w:styleId="BodyText2">
    <w:name w:val="Body Text 2"/>
    <w:basedOn w:val="Normal"/>
    <w:link w:val="BodyText2Char"/>
    <w:uiPriority w:val="99"/>
    <w:unhideWhenUsed/>
    <w:rsid w:val="00256B96"/>
    <w:pPr>
      <w:suppressAutoHyphens w:val="0"/>
      <w:spacing w:after="200" w:line="276" w:lineRule="auto"/>
      <w:jc w:val="both"/>
    </w:pPr>
    <w:rPr>
      <w:rFonts w:eastAsia="Calibri"/>
      <w:b/>
      <w:sz w:val="24"/>
      <w:szCs w:val="24"/>
    </w:rPr>
  </w:style>
  <w:style w:type="character" w:customStyle="1" w:styleId="BodyText2Char">
    <w:name w:val="Body Text 2 Char"/>
    <w:basedOn w:val="DefaultParagraphFont"/>
    <w:link w:val="BodyText2"/>
    <w:uiPriority w:val="99"/>
    <w:rsid w:val="00256B96"/>
    <w:rPr>
      <w:rFonts w:ascii="Times New Roman" w:eastAsia="Calibri" w:hAnsi="Times New Roman" w:cs="Times New Roman"/>
      <w:b/>
      <w:sz w:val="24"/>
      <w:szCs w:val="24"/>
      <w:lang w:val="en-GB"/>
    </w:rPr>
  </w:style>
  <w:style w:type="character" w:customStyle="1" w:styleId="reference-text">
    <w:name w:val="reference-text"/>
    <w:rsid w:val="00256B96"/>
  </w:style>
  <w:style w:type="paragraph" w:styleId="BodyText3">
    <w:name w:val="Body Text 3"/>
    <w:basedOn w:val="Normal"/>
    <w:link w:val="BodyText3Char"/>
    <w:uiPriority w:val="99"/>
    <w:unhideWhenUsed/>
    <w:rsid w:val="00256B96"/>
    <w:pPr>
      <w:suppressAutoHyphens w:val="0"/>
      <w:spacing w:line="240" w:lineRule="auto"/>
      <w:jc w:val="both"/>
    </w:pPr>
    <w:rPr>
      <w:rFonts w:eastAsia="Calibri"/>
      <w:sz w:val="22"/>
      <w:szCs w:val="22"/>
    </w:rPr>
  </w:style>
  <w:style w:type="character" w:customStyle="1" w:styleId="BodyText3Char">
    <w:name w:val="Body Text 3 Char"/>
    <w:basedOn w:val="DefaultParagraphFont"/>
    <w:link w:val="BodyText3"/>
    <w:uiPriority w:val="99"/>
    <w:rsid w:val="00256B96"/>
    <w:rPr>
      <w:rFonts w:ascii="Times New Roman" w:eastAsia="Calibri" w:hAnsi="Times New Roman" w:cs="Times New Roman"/>
      <w:lang w:val="en-GB"/>
    </w:rPr>
  </w:style>
  <w:style w:type="paragraph" w:styleId="BodyTextIndent">
    <w:name w:val="Body Text Indent"/>
    <w:basedOn w:val="Normal"/>
    <w:link w:val="BodyTextIndentChar"/>
    <w:uiPriority w:val="99"/>
    <w:unhideWhenUsed/>
    <w:rsid w:val="00256B96"/>
    <w:pPr>
      <w:tabs>
        <w:tab w:val="left" w:pos="567"/>
        <w:tab w:val="right" w:leader="dot" w:pos="9016"/>
      </w:tabs>
      <w:suppressAutoHyphens w:val="0"/>
      <w:autoSpaceDE w:val="0"/>
      <w:autoSpaceDN w:val="0"/>
      <w:adjustRightInd w:val="0"/>
      <w:spacing w:before="60" w:after="200" w:line="276" w:lineRule="auto"/>
      <w:ind w:left="567"/>
      <w:contextualSpacing/>
    </w:pPr>
    <w:rPr>
      <w:rFonts w:eastAsia="Calibri"/>
      <w:sz w:val="22"/>
      <w:szCs w:val="22"/>
    </w:rPr>
  </w:style>
  <w:style w:type="character" w:customStyle="1" w:styleId="BodyTextIndentChar">
    <w:name w:val="Body Text Indent Char"/>
    <w:basedOn w:val="DefaultParagraphFont"/>
    <w:link w:val="BodyTextIndent"/>
    <w:uiPriority w:val="99"/>
    <w:rsid w:val="00256B96"/>
    <w:rPr>
      <w:rFonts w:ascii="Times New Roman" w:eastAsia="Calibri" w:hAnsi="Times New Roman" w:cs="Times New Roman"/>
      <w:lang w:val="en-GB"/>
    </w:rPr>
  </w:style>
  <w:style w:type="paragraph" w:styleId="BodyTextIndent2">
    <w:name w:val="Body Text Indent 2"/>
    <w:basedOn w:val="Normal"/>
    <w:link w:val="BodyTextIndent2Char"/>
    <w:uiPriority w:val="99"/>
    <w:unhideWhenUsed/>
    <w:rsid w:val="00256B96"/>
    <w:pPr>
      <w:suppressAutoHyphens w:val="0"/>
      <w:spacing w:after="200" w:line="276" w:lineRule="auto"/>
      <w:ind w:left="360"/>
      <w:jc w:val="both"/>
    </w:pPr>
    <w:rPr>
      <w:rFonts w:eastAsia="Calibri"/>
      <w:sz w:val="22"/>
      <w:szCs w:val="22"/>
    </w:rPr>
  </w:style>
  <w:style w:type="character" w:customStyle="1" w:styleId="BodyTextIndent2Char">
    <w:name w:val="Body Text Indent 2 Char"/>
    <w:basedOn w:val="DefaultParagraphFont"/>
    <w:link w:val="BodyTextIndent2"/>
    <w:uiPriority w:val="99"/>
    <w:rsid w:val="00256B96"/>
    <w:rPr>
      <w:rFonts w:ascii="Times New Roman" w:eastAsia="Calibri" w:hAnsi="Times New Roman" w:cs="Times New Roman"/>
      <w:lang w:val="en-GB"/>
    </w:rPr>
  </w:style>
  <w:style w:type="paragraph" w:customStyle="1" w:styleId="body">
    <w:name w:val="body"/>
    <w:basedOn w:val="Normal"/>
    <w:rsid w:val="00256B96"/>
    <w:pPr>
      <w:suppressAutoHyphens w:val="0"/>
      <w:spacing w:before="100" w:beforeAutospacing="1" w:after="100" w:afterAutospacing="1" w:line="240" w:lineRule="auto"/>
    </w:pPr>
    <w:rPr>
      <w:rFonts w:eastAsia="Batang"/>
      <w:sz w:val="24"/>
      <w:szCs w:val="24"/>
      <w:lang w:eastAsia="ja-JP"/>
    </w:rPr>
  </w:style>
  <w:style w:type="paragraph" w:customStyle="1" w:styleId="abc">
    <w:name w:val="(a) (b) (c)"/>
    <w:basedOn w:val="Heading4"/>
    <w:qFormat/>
    <w:rsid w:val="00256B96"/>
    <w:pPr>
      <w:keepNext/>
      <w:tabs>
        <w:tab w:val="left" w:pos="1134"/>
      </w:tabs>
      <w:suppressAutoHyphens w:val="0"/>
      <w:spacing w:after="120"/>
      <w:jc w:val="both"/>
    </w:pPr>
    <w:rPr>
      <w:rFonts w:eastAsia="MS Mincho"/>
      <w:b/>
      <w:bCs/>
      <w:sz w:val="22"/>
      <w:szCs w:val="28"/>
    </w:rPr>
  </w:style>
  <w:style w:type="paragraph" w:customStyle="1" w:styleId="abc-NEW">
    <w:name w:val="(a) (b) (c) - NEW"/>
    <w:basedOn w:val="abc"/>
    <w:qFormat/>
    <w:rsid w:val="00256B96"/>
    <w:pPr>
      <w:numPr>
        <w:numId w:val="4"/>
      </w:numPr>
    </w:pPr>
  </w:style>
  <w:style w:type="character" w:customStyle="1" w:styleId="arial">
    <w:name w:val="arial"/>
    <w:rsid w:val="00256B96"/>
  </w:style>
  <w:style w:type="paragraph" w:customStyle="1" w:styleId="RETRAITINDENT">
    <w:name w:val="RETRAIT INDENT"/>
    <w:basedOn w:val="Normal"/>
    <w:qFormat/>
    <w:rsid w:val="00256B96"/>
    <w:pPr>
      <w:suppressAutoHyphens w:val="0"/>
      <w:spacing w:line="240" w:lineRule="auto"/>
      <w:ind w:left="1701" w:right="425"/>
      <w:contextualSpacing/>
      <w:jc w:val="both"/>
    </w:pPr>
    <w:rPr>
      <w:rFonts w:eastAsia="Calibri"/>
      <w:i/>
      <w:shd w:val="clear" w:color="auto" w:fill="F5F6F7"/>
      <w:lang w:val="en-US"/>
    </w:rPr>
  </w:style>
  <w:style w:type="character" w:customStyle="1" w:styleId="fspeccs1">
    <w:name w:val="fspeccs1"/>
    <w:rsid w:val="00256B96"/>
    <w:rPr>
      <w:b/>
      <w:bCs/>
      <w:sz w:val="26"/>
      <w:szCs w:val="26"/>
    </w:rPr>
  </w:style>
  <w:style w:type="paragraph" w:customStyle="1" w:styleId="Bulletsanspoint-italics">
    <w:name w:val="_Bullet sans point - italics"/>
    <w:basedOn w:val="Normal"/>
    <w:qFormat/>
    <w:rsid w:val="00256B96"/>
    <w:pPr>
      <w:tabs>
        <w:tab w:val="left" w:pos="1701"/>
      </w:tabs>
      <w:suppressAutoHyphens w:val="0"/>
      <w:spacing w:after="120" w:line="240" w:lineRule="auto"/>
      <w:ind w:left="1701" w:right="1134"/>
      <w:jc w:val="both"/>
    </w:pPr>
    <w:rPr>
      <w:rFonts w:eastAsia="MS Mincho"/>
      <w:i/>
    </w:rPr>
  </w:style>
  <w:style w:type="character" w:customStyle="1" w:styleId="srtitle">
    <w:name w:val="srtitle"/>
    <w:rsid w:val="00256B96"/>
  </w:style>
  <w:style w:type="character" w:customStyle="1" w:styleId="SingleTxtG-WithnumberingChar">
    <w:name w:val="_ Single Txt_G - With numbering Char"/>
    <w:link w:val="SingleTxtG-Withnumbering"/>
    <w:locked/>
    <w:rsid w:val="002A384F"/>
    <w:rPr>
      <w:rFonts w:ascii="Times New Roman" w:eastAsia="Times New Roman" w:hAnsi="Times New Roman" w:cs="Times New Roman"/>
      <w:sz w:val="20"/>
      <w:szCs w:val="20"/>
      <w:lang w:val="en-GB"/>
    </w:rPr>
  </w:style>
  <w:style w:type="character" w:customStyle="1" w:styleId="normalbullet">
    <w:name w:val="normalbullet"/>
    <w:rsid w:val="00256B96"/>
  </w:style>
  <w:style w:type="paragraph" w:styleId="ListParagraph">
    <w:name w:val="List Paragraph"/>
    <w:aliases w:val="Bullet List,FooterText,Colorful List Accent 1,numbered,Paragraphe de liste1,列出段落,列出段落1,Bulletr List Paragraph,List Paragraph2,List Paragraph21,Párrafo de lista1,Parágrafo da Lista1,リスト段落1,Plan,Dot pt,F5 List Paragraph,Indicator Text"/>
    <w:basedOn w:val="Normal"/>
    <w:link w:val="ListParagraphChar"/>
    <w:uiPriority w:val="34"/>
    <w:qFormat/>
    <w:rsid w:val="00256B96"/>
    <w:pPr>
      <w:ind w:left="720"/>
      <w:contextualSpacing/>
    </w:pPr>
  </w:style>
  <w:style w:type="paragraph" w:customStyle="1" w:styleId="10">
    <w:name w:val="Обычный1"/>
    <w:rsid w:val="00256B96"/>
    <w:pPr>
      <w:pBdr>
        <w:top w:val="nil"/>
        <w:left w:val="nil"/>
        <w:bottom w:val="nil"/>
        <w:right w:val="nil"/>
        <w:between w:val="nil"/>
        <w:bar w:val="nil"/>
      </w:pBdr>
      <w:spacing w:after="200" w:line="276" w:lineRule="auto"/>
    </w:pPr>
    <w:rPr>
      <w:rFonts w:ascii="Calibri" w:eastAsia="Arial Unicode MS" w:hAnsi="Arial Unicode MS" w:cs="Arial Unicode MS"/>
      <w:color w:val="000000"/>
      <w:u w:color="000000"/>
      <w:bdr w:val="nil"/>
      <w:lang w:val="en-US"/>
    </w:rPr>
  </w:style>
  <w:style w:type="paragraph" w:styleId="Revision">
    <w:name w:val="Revision"/>
    <w:hidden/>
    <w:rsid w:val="00256B96"/>
    <w:pPr>
      <w:spacing w:after="0" w:line="240" w:lineRule="auto"/>
    </w:pPr>
    <w:rPr>
      <w:rFonts w:ascii="Times New Roman" w:eastAsia="Times New Roman" w:hAnsi="Times New Roman" w:cs="Times New Roman"/>
      <w:sz w:val="20"/>
      <w:szCs w:val="20"/>
      <w:lang w:val="en-GB"/>
    </w:rPr>
  </w:style>
  <w:style w:type="character" w:customStyle="1" w:styleId="ListParagraphChar">
    <w:name w:val="List Paragraph Char"/>
    <w:aliases w:val="Bullet List Char,FooterText Char,Colorful List Accent 1 Char,numbered Char,Paragraphe de liste1 Char,列出段落 Char,列出段落1 Char,Bulletr List Paragraph Char,List Paragraph2 Char,List Paragraph21 Char,Párrafo de lista1 Char,リスト段落1 Char"/>
    <w:link w:val="ListParagraph"/>
    <w:uiPriority w:val="34"/>
    <w:qFormat/>
    <w:rsid w:val="00256B96"/>
    <w:rPr>
      <w:rFonts w:ascii="Times New Roman" w:eastAsia="Times New Roman" w:hAnsi="Times New Roman" w:cs="Times New Roman"/>
      <w:sz w:val="20"/>
      <w:szCs w:val="20"/>
      <w:lang w:val="en-GB"/>
    </w:rPr>
  </w:style>
  <w:style w:type="character" w:customStyle="1" w:styleId="s28-1">
    <w:name w:val="s28-1"/>
    <w:rsid w:val="00256B96"/>
    <w:rPr>
      <w:rFonts w:ascii="Arial" w:hAnsi="Arial" w:cs="Arial" w:hint="default"/>
      <w:color w:val="000000"/>
      <w:sz w:val="16"/>
      <w:szCs w:val="16"/>
    </w:rPr>
  </w:style>
  <w:style w:type="paragraph" w:customStyle="1" w:styleId="20">
    <w:name w:val="Обычный2"/>
    <w:rsid w:val="00256B96"/>
    <w:pPr>
      <w:pBdr>
        <w:top w:val="nil"/>
        <w:left w:val="nil"/>
        <w:bottom w:val="nil"/>
        <w:right w:val="nil"/>
        <w:between w:val="nil"/>
        <w:bar w:val="nil"/>
      </w:pBdr>
      <w:spacing w:after="200" w:line="276" w:lineRule="auto"/>
    </w:pPr>
    <w:rPr>
      <w:rFonts w:ascii="Calibri" w:eastAsia="Arial Unicode MS" w:hAnsi="Arial Unicode MS" w:cs="Arial Unicode MS"/>
      <w:color w:val="000000"/>
      <w:u w:color="000000"/>
      <w:bdr w:val="nil"/>
      <w:lang w:val="en-US"/>
    </w:rPr>
  </w:style>
  <w:style w:type="table" w:customStyle="1" w:styleId="TableGrid1">
    <w:name w:val="Table Grid1"/>
    <w:basedOn w:val="TableNormal"/>
    <w:next w:val="TableGrid"/>
    <w:uiPriority w:val="59"/>
    <w:rsid w:val="00256B96"/>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ccess">
    <w:name w:val="success"/>
    <w:basedOn w:val="DefaultParagraphFont"/>
    <w:rsid w:val="00256B96"/>
  </w:style>
  <w:style w:type="character" w:customStyle="1" w:styleId="lblwarning">
    <w:name w:val="lblwarning"/>
    <w:basedOn w:val="DefaultParagraphFont"/>
    <w:rsid w:val="00256B96"/>
  </w:style>
  <w:style w:type="character" w:customStyle="1" w:styleId="s29-">
    <w:name w:val="s29-"/>
    <w:basedOn w:val="DefaultParagraphFont"/>
    <w:rsid w:val="00256B96"/>
  </w:style>
  <w:style w:type="paragraph" w:customStyle="1" w:styleId="3">
    <w:name w:val="Обычный3"/>
    <w:qFormat/>
    <w:rsid w:val="00256B96"/>
    <w:pPr>
      <w:pBdr>
        <w:top w:val="nil"/>
        <w:left w:val="nil"/>
        <w:bottom w:val="nil"/>
        <w:right w:val="nil"/>
        <w:between w:val="nil"/>
        <w:bar w:val="nil"/>
      </w:pBdr>
      <w:spacing w:after="200" w:line="276" w:lineRule="auto"/>
    </w:pPr>
    <w:rPr>
      <w:rFonts w:ascii="Calibri" w:eastAsia="Arial Unicode MS" w:hAnsi="Arial Unicode MS" w:cs="Arial Unicode MS"/>
      <w:color w:val="000000"/>
      <w:u w:color="000000"/>
      <w:bdr w:val="nil"/>
      <w:lang w:val="en-US"/>
    </w:rPr>
  </w:style>
  <w:style w:type="character" w:customStyle="1" w:styleId="s30-">
    <w:name w:val="s30-"/>
    <w:basedOn w:val="DefaultParagraphFont"/>
    <w:rsid w:val="00256B96"/>
  </w:style>
  <w:style w:type="table" w:customStyle="1" w:styleId="TableGrid11">
    <w:name w:val="Table Grid11"/>
    <w:basedOn w:val="TableNormal"/>
    <w:next w:val="TableGrid"/>
    <w:uiPriority w:val="59"/>
    <w:rsid w:val="00256B96"/>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owt-stl-2">
    <w:name w:val="qowt-stl-основнойтекст2"/>
    <w:basedOn w:val="Normal"/>
    <w:rsid w:val="00256B96"/>
    <w:pPr>
      <w:suppressAutoHyphens w:val="0"/>
      <w:spacing w:before="100" w:beforeAutospacing="1" w:after="100" w:afterAutospacing="1" w:line="240" w:lineRule="auto"/>
    </w:pPr>
    <w:rPr>
      <w:sz w:val="24"/>
      <w:szCs w:val="24"/>
      <w:lang w:val="ru-RU" w:eastAsia="ru-RU"/>
    </w:rPr>
  </w:style>
  <w:style w:type="paragraph" w:customStyle="1" w:styleId="qowt-stl-">
    <w:name w:val="qowt-stl-обычный"/>
    <w:basedOn w:val="Normal"/>
    <w:rsid w:val="00256B96"/>
    <w:pPr>
      <w:suppressAutoHyphens w:val="0"/>
      <w:spacing w:before="100" w:beforeAutospacing="1" w:after="100" w:afterAutospacing="1" w:line="240" w:lineRule="auto"/>
    </w:pPr>
    <w:rPr>
      <w:sz w:val="24"/>
      <w:szCs w:val="24"/>
      <w:lang w:val="ru-RU" w:eastAsia="ru-RU"/>
    </w:rPr>
  </w:style>
  <w:style w:type="paragraph" w:customStyle="1" w:styleId="Chap">
    <w:name w:val="Chap"/>
    <w:basedOn w:val="HChG"/>
    <w:link w:val="ChapChar"/>
    <w:qFormat/>
    <w:rsid w:val="00256B96"/>
    <w:pPr>
      <w:spacing w:before="0" w:after="100" w:line="240" w:lineRule="auto"/>
      <w:ind w:left="1138" w:right="1138" w:hanging="1138"/>
    </w:pPr>
  </w:style>
  <w:style w:type="paragraph" w:customStyle="1" w:styleId="Section">
    <w:name w:val="Section"/>
    <w:basedOn w:val="H1G"/>
    <w:link w:val="SectionChar"/>
    <w:qFormat/>
    <w:rsid w:val="00256B96"/>
    <w:pPr>
      <w:spacing w:before="240" w:after="100" w:line="240" w:lineRule="auto"/>
      <w:ind w:left="1138" w:right="821" w:hanging="1138"/>
    </w:pPr>
  </w:style>
  <w:style w:type="character" w:customStyle="1" w:styleId="ChapChar">
    <w:name w:val="Chap Char"/>
    <w:link w:val="Chap"/>
    <w:rsid w:val="00256B96"/>
    <w:rPr>
      <w:rFonts w:ascii="Times New Roman" w:eastAsia="Times New Roman" w:hAnsi="Times New Roman" w:cs="Times New Roman"/>
      <w:b/>
      <w:sz w:val="28"/>
      <w:szCs w:val="20"/>
      <w:lang w:val="en-GB"/>
    </w:rPr>
  </w:style>
  <w:style w:type="character" w:customStyle="1" w:styleId="H1GChar">
    <w:name w:val="_ H_1_G Char"/>
    <w:link w:val="H1G"/>
    <w:rsid w:val="004B45A5"/>
    <w:rPr>
      <w:rFonts w:ascii="Times New Roman" w:eastAsia="Times New Roman" w:hAnsi="Times New Roman" w:cs="Times New Roman"/>
      <w:b/>
      <w:sz w:val="24"/>
      <w:szCs w:val="20"/>
      <w:lang w:val="en-GB"/>
    </w:rPr>
  </w:style>
  <w:style w:type="character" w:customStyle="1" w:styleId="SectionChar">
    <w:name w:val="Section Char"/>
    <w:link w:val="Section"/>
    <w:rsid w:val="00256B96"/>
    <w:rPr>
      <w:rFonts w:ascii="Times New Roman" w:eastAsia="Times New Roman" w:hAnsi="Times New Roman" w:cs="Times New Roman"/>
      <w:b/>
      <w:sz w:val="24"/>
      <w:szCs w:val="20"/>
      <w:lang w:val="en-GB"/>
    </w:rPr>
  </w:style>
  <w:style w:type="paragraph" w:customStyle="1" w:styleId="Subsectn">
    <w:name w:val="Subsectn"/>
    <w:basedOn w:val="SingleTxtG"/>
    <w:link w:val="SubsectnChar"/>
    <w:qFormat/>
    <w:rsid w:val="00256B96"/>
    <w:pPr>
      <w:tabs>
        <w:tab w:val="left" w:pos="855"/>
      </w:tabs>
      <w:ind w:hanging="1134"/>
    </w:pPr>
    <w:rPr>
      <w:b/>
      <w:bCs/>
      <w:sz w:val="22"/>
      <w:szCs w:val="22"/>
    </w:rPr>
  </w:style>
  <w:style w:type="character" w:customStyle="1" w:styleId="SubsectnChar">
    <w:name w:val="Subsectn Char"/>
    <w:link w:val="Subsectn"/>
    <w:rsid w:val="00256B96"/>
    <w:rPr>
      <w:rFonts w:ascii="Times New Roman" w:eastAsia="Times New Roman" w:hAnsi="Times New Roman" w:cs="Times New Roman"/>
      <w:b/>
      <w:bCs/>
      <w:lang w:val="en-GB"/>
    </w:rPr>
  </w:style>
  <w:style w:type="character" w:customStyle="1" w:styleId="sb8d990e2">
    <w:name w:val="sb8d990e2"/>
    <w:basedOn w:val="DefaultParagraphFont"/>
    <w:rsid w:val="00256B96"/>
  </w:style>
  <w:style w:type="character" w:customStyle="1" w:styleId="s6b621b36">
    <w:name w:val="s6b621b36"/>
    <w:basedOn w:val="DefaultParagraphFont"/>
    <w:rsid w:val="00256B96"/>
  </w:style>
  <w:style w:type="character" w:customStyle="1" w:styleId="rvts46">
    <w:name w:val="rvts46"/>
    <w:basedOn w:val="DefaultParagraphFont"/>
    <w:rsid w:val="00256B96"/>
  </w:style>
  <w:style w:type="table" w:customStyle="1" w:styleId="TableGrid2">
    <w:name w:val="Table Grid2"/>
    <w:basedOn w:val="TableNormal"/>
    <w:next w:val="TableGrid"/>
    <w:uiPriority w:val="59"/>
    <w:rsid w:val="00256B96"/>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28-">
    <w:name w:val="s28-"/>
    <w:basedOn w:val="DefaultParagraphFont"/>
    <w:rsid w:val="00256B96"/>
  </w:style>
  <w:style w:type="character" w:customStyle="1" w:styleId="s77-">
    <w:name w:val="s77-"/>
    <w:basedOn w:val="DefaultParagraphFont"/>
    <w:rsid w:val="00256B96"/>
  </w:style>
  <w:style w:type="character" w:customStyle="1" w:styleId="highlight">
    <w:name w:val="highlight"/>
    <w:basedOn w:val="DefaultParagraphFont"/>
    <w:rsid w:val="00256B96"/>
  </w:style>
  <w:style w:type="character" w:customStyle="1" w:styleId="shorttext">
    <w:name w:val="short_text"/>
    <w:basedOn w:val="DefaultParagraphFont"/>
    <w:rsid w:val="00256B96"/>
  </w:style>
  <w:style w:type="paragraph" w:styleId="Quote">
    <w:name w:val="Quote"/>
    <w:basedOn w:val="Normal"/>
    <w:next w:val="Normal"/>
    <w:link w:val="QuoteChar"/>
    <w:uiPriority w:val="29"/>
    <w:qFormat/>
    <w:rsid w:val="00256B96"/>
    <w:pPr>
      <w:suppressAutoHyphens w:val="0"/>
      <w:spacing w:before="200" w:after="160" w:line="259" w:lineRule="auto"/>
      <w:ind w:left="864" w:right="864"/>
      <w:jc w:val="center"/>
    </w:pPr>
    <w:rPr>
      <w:rFonts w:asciiTheme="minorHAnsi" w:eastAsiaTheme="minorHAnsi" w:hAnsiTheme="minorHAnsi" w:cstheme="minorBidi"/>
      <w:i/>
      <w:iCs/>
      <w:color w:val="404040" w:themeColor="text1" w:themeTint="BF"/>
      <w:sz w:val="22"/>
      <w:szCs w:val="22"/>
      <w:lang w:val="en-US"/>
    </w:rPr>
  </w:style>
  <w:style w:type="character" w:customStyle="1" w:styleId="QuoteChar">
    <w:name w:val="Quote Char"/>
    <w:basedOn w:val="DefaultParagraphFont"/>
    <w:link w:val="Quote"/>
    <w:uiPriority w:val="29"/>
    <w:rsid w:val="00256B96"/>
    <w:rPr>
      <w:i/>
      <w:iCs/>
      <w:color w:val="404040" w:themeColor="text1" w:themeTint="BF"/>
      <w:lang w:val="en-US"/>
    </w:rPr>
  </w:style>
  <w:style w:type="numbering" w:customStyle="1" w:styleId="List21">
    <w:name w:val="List 21"/>
    <w:basedOn w:val="NoList"/>
    <w:rsid w:val="00256B96"/>
    <w:pPr>
      <w:numPr>
        <w:numId w:val="6"/>
      </w:numPr>
    </w:pPr>
  </w:style>
  <w:style w:type="table" w:customStyle="1" w:styleId="TableGrid3">
    <w:name w:val="Table Grid3"/>
    <w:basedOn w:val="TableNormal"/>
    <w:next w:val="TableGrid"/>
    <w:uiPriority w:val="39"/>
    <w:rsid w:val="00256B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256B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rsid w:val="00256B96"/>
    <w:pPr>
      <w:numPr>
        <w:numId w:val="7"/>
      </w:numPr>
      <w:suppressAutoHyphens w:val="0"/>
      <w:spacing w:after="160" w:line="259" w:lineRule="auto"/>
      <w:contextualSpacing/>
    </w:pPr>
    <w:rPr>
      <w:rFonts w:asciiTheme="minorHAnsi" w:eastAsiaTheme="minorHAnsi" w:hAnsiTheme="minorHAnsi" w:cstheme="minorBidi"/>
      <w:sz w:val="22"/>
      <w:szCs w:val="22"/>
    </w:rPr>
  </w:style>
  <w:style w:type="character" w:styleId="SubtleEmphasis">
    <w:name w:val="Subtle Emphasis"/>
    <w:basedOn w:val="DefaultParagraphFont"/>
    <w:uiPriority w:val="19"/>
    <w:qFormat/>
    <w:rsid w:val="00256B96"/>
    <w:rPr>
      <w:i/>
      <w:iCs/>
      <w:color w:val="404040" w:themeColor="text1" w:themeTint="BF"/>
    </w:rPr>
  </w:style>
  <w:style w:type="paragraph" w:customStyle="1" w:styleId="4">
    <w:name w:val="Обычный4"/>
    <w:rsid w:val="00256B96"/>
    <w:pPr>
      <w:pBdr>
        <w:top w:val="nil"/>
        <w:left w:val="nil"/>
        <w:bottom w:val="nil"/>
        <w:right w:val="nil"/>
        <w:between w:val="nil"/>
        <w:bar w:val="nil"/>
      </w:pBdr>
      <w:spacing w:after="200" w:line="276" w:lineRule="auto"/>
    </w:pPr>
    <w:rPr>
      <w:rFonts w:ascii="Calibri" w:eastAsia="Arial Unicode MS" w:hAnsi="Arial Unicode MS" w:cs="Arial Unicode MS"/>
      <w:color w:val="000000"/>
      <w:u w:color="000000"/>
      <w:bdr w:val="nil"/>
      <w:lang w:val="en-US"/>
    </w:rPr>
  </w:style>
  <w:style w:type="paragraph" w:styleId="TOCHeading">
    <w:name w:val="TOC Heading"/>
    <w:basedOn w:val="Heading1"/>
    <w:next w:val="Normal"/>
    <w:uiPriority w:val="39"/>
    <w:unhideWhenUsed/>
    <w:qFormat/>
    <w:rsid w:val="00256B96"/>
    <w:pPr>
      <w:keepNext/>
      <w:keepLines/>
      <w:suppressAutoHyphens w:val="0"/>
      <w:spacing w:before="240" w:line="259" w:lineRule="auto"/>
      <w:ind w:left="0"/>
      <w:outlineLvl w:val="9"/>
    </w:pPr>
    <w:rPr>
      <w:rFonts w:asciiTheme="majorHAnsi" w:eastAsiaTheme="majorEastAsia" w:hAnsiTheme="majorHAnsi" w:cstheme="majorBidi"/>
      <w:color w:val="2E74B5" w:themeColor="accent1" w:themeShade="BF"/>
      <w:sz w:val="32"/>
      <w:szCs w:val="32"/>
      <w:lang w:val="en-US"/>
    </w:rPr>
  </w:style>
  <w:style w:type="numbering" w:customStyle="1" w:styleId="Style1">
    <w:name w:val="Style1"/>
    <w:uiPriority w:val="99"/>
    <w:rsid w:val="00906431"/>
    <w:pPr>
      <w:numPr>
        <w:numId w:val="9"/>
      </w:numPr>
    </w:pPr>
  </w:style>
  <w:style w:type="character" w:customStyle="1" w:styleId="tlid-translation">
    <w:name w:val="tlid-translation"/>
    <w:basedOn w:val="DefaultParagraphFont"/>
    <w:rsid w:val="00DA577D"/>
  </w:style>
  <w:style w:type="character" w:customStyle="1" w:styleId="5yl5">
    <w:name w:val="_5yl5"/>
    <w:basedOn w:val="DefaultParagraphFont"/>
    <w:rsid w:val="003C526B"/>
  </w:style>
  <w:style w:type="character" w:customStyle="1" w:styleId="fontstyle01">
    <w:name w:val="fontstyle01"/>
    <w:basedOn w:val="DefaultParagraphFont"/>
    <w:rsid w:val="00FF4207"/>
    <w:rPr>
      <w:rFonts w:ascii="TimesNewRomanPSMT" w:hAnsi="TimesNewRomanPSMT" w:hint="default"/>
      <w:b w:val="0"/>
      <w:bCs w:val="0"/>
      <w:i w:val="0"/>
      <w:iCs w:val="0"/>
      <w:color w:val="000000"/>
      <w:sz w:val="18"/>
      <w:szCs w:val="18"/>
    </w:rPr>
  </w:style>
  <w:style w:type="character" w:customStyle="1" w:styleId="st">
    <w:name w:val="st"/>
    <w:basedOn w:val="DefaultParagraphFont"/>
    <w:rsid w:val="00C87FF6"/>
  </w:style>
  <w:style w:type="character" w:customStyle="1" w:styleId="UnresolvedMention1">
    <w:name w:val="Unresolved Mention1"/>
    <w:basedOn w:val="DefaultParagraphFont"/>
    <w:uiPriority w:val="99"/>
    <w:semiHidden/>
    <w:unhideWhenUsed/>
    <w:rsid w:val="00750BA8"/>
    <w:rPr>
      <w:color w:val="605E5C"/>
      <w:shd w:val="clear" w:color="auto" w:fill="E1DFDD"/>
    </w:rPr>
  </w:style>
  <w:style w:type="paragraph" w:customStyle="1" w:styleId="Rrecommendations">
    <w:name w:val="Rrecommendations"/>
    <w:basedOn w:val="SingleTxtG"/>
    <w:link w:val="RrecommendationsChar"/>
    <w:qFormat/>
    <w:rsid w:val="009E7BCC"/>
    <w:pPr>
      <w:numPr>
        <w:numId w:val="15"/>
      </w:numPr>
    </w:pPr>
    <w:rPr>
      <w:b/>
    </w:rPr>
  </w:style>
  <w:style w:type="character" w:customStyle="1" w:styleId="RrecommendationsChar">
    <w:name w:val="Rrecommendations Char"/>
    <w:basedOn w:val="SingleTxtGChar"/>
    <w:link w:val="Rrecommendations"/>
    <w:rsid w:val="009E7BCC"/>
    <w:rPr>
      <w:rFonts w:ascii="Times New Roman" w:eastAsia="Times New Roman" w:hAnsi="Times New Roman" w:cs="Times New Roman"/>
      <w:b/>
      <w:sz w:val="20"/>
      <w:szCs w:val="20"/>
      <w:lang w:val="en-GB"/>
    </w:rPr>
  </w:style>
  <w:style w:type="character" w:customStyle="1" w:styleId="UnresolvedMention">
    <w:name w:val="Unresolved Mention"/>
    <w:basedOn w:val="DefaultParagraphFont"/>
    <w:uiPriority w:val="99"/>
    <w:semiHidden/>
    <w:unhideWhenUsed/>
    <w:rsid w:val="00934E48"/>
    <w:rPr>
      <w:color w:val="605E5C"/>
      <w:shd w:val="clear" w:color="auto" w:fill="E1DFDD"/>
    </w:rPr>
  </w:style>
  <w:style w:type="paragraph" w:styleId="PlainText">
    <w:name w:val="Plain Text"/>
    <w:basedOn w:val="Normal"/>
    <w:link w:val="PlainTextChar"/>
    <w:uiPriority w:val="99"/>
    <w:semiHidden/>
    <w:unhideWhenUsed/>
    <w:rsid w:val="001A5B99"/>
    <w:pPr>
      <w:suppressAutoHyphens w:val="0"/>
      <w:spacing w:line="240" w:lineRule="auto"/>
    </w:pPr>
    <w:rPr>
      <w:rFonts w:ascii="Calibri" w:eastAsiaTheme="minorHAnsi" w:hAnsi="Calibri" w:cstheme="minorBidi"/>
      <w:sz w:val="22"/>
      <w:szCs w:val="21"/>
      <w:lang w:val="uk-UA"/>
    </w:rPr>
  </w:style>
  <w:style w:type="character" w:customStyle="1" w:styleId="PlainTextChar">
    <w:name w:val="Plain Text Char"/>
    <w:basedOn w:val="DefaultParagraphFont"/>
    <w:link w:val="PlainText"/>
    <w:uiPriority w:val="99"/>
    <w:semiHidden/>
    <w:rsid w:val="001A5B99"/>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084308">
      <w:bodyDiv w:val="1"/>
      <w:marLeft w:val="0"/>
      <w:marRight w:val="0"/>
      <w:marTop w:val="0"/>
      <w:marBottom w:val="0"/>
      <w:divBdr>
        <w:top w:val="none" w:sz="0" w:space="0" w:color="auto"/>
        <w:left w:val="none" w:sz="0" w:space="0" w:color="auto"/>
        <w:bottom w:val="none" w:sz="0" w:space="0" w:color="auto"/>
        <w:right w:val="none" w:sz="0" w:space="0" w:color="auto"/>
      </w:divBdr>
    </w:div>
    <w:div w:id="95906938">
      <w:bodyDiv w:val="1"/>
      <w:marLeft w:val="0"/>
      <w:marRight w:val="0"/>
      <w:marTop w:val="0"/>
      <w:marBottom w:val="0"/>
      <w:divBdr>
        <w:top w:val="none" w:sz="0" w:space="0" w:color="auto"/>
        <w:left w:val="none" w:sz="0" w:space="0" w:color="auto"/>
        <w:bottom w:val="none" w:sz="0" w:space="0" w:color="auto"/>
        <w:right w:val="none" w:sz="0" w:space="0" w:color="auto"/>
      </w:divBdr>
    </w:div>
    <w:div w:id="132791850">
      <w:bodyDiv w:val="1"/>
      <w:marLeft w:val="0"/>
      <w:marRight w:val="0"/>
      <w:marTop w:val="0"/>
      <w:marBottom w:val="0"/>
      <w:divBdr>
        <w:top w:val="none" w:sz="0" w:space="0" w:color="auto"/>
        <w:left w:val="none" w:sz="0" w:space="0" w:color="auto"/>
        <w:bottom w:val="none" w:sz="0" w:space="0" w:color="auto"/>
        <w:right w:val="none" w:sz="0" w:space="0" w:color="auto"/>
      </w:divBdr>
    </w:div>
    <w:div w:id="240260947">
      <w:bodyDiv w:val="1"/>
      <w:marLeft w:val="0"/>
      <w:marRight w:val="0"/>
      <w:marTop w:val="0"/>
      <w:marBottom w:val="0"/>
      <w:divBdr>
        <w:top w:val="none" w:sz="0" w:space="0" w:color="auto"/>
        <w:left w:val="none" w:sz="0" w:space="0" w:color="auto"/>
        <w:bottom w:val="none" w:sz="0" w:space="0" w:color="auto"/>
        <w:right w:val="none" w:sz="0" w:space="0" w:color="auto"/>
      </w:divBdr>
    </w:div>
    <w:div w:id="245312258">
      <w:bodyDiv w:val="1"/>
      <w:marLeft w:val="0"/>
      <w:marRight w:val="0"/>
      <w:marTop w:val="0"/>
      <w:marBottom w:val="0"/>
      <w:divBdr>
        <w:top w:val="none" w:sz="0" w:space="0" w:color="auto"/>
        <w:left w:val="none" w:sz="0" w:space="0" w:color="auto"/>
        <w:bottom w:val="none" w:sz="0" w:space="0" w:color="auto"/>
        <w:right w:val="none" w:sz="0" w:space="0" w:color="auto"/>
      </w:divBdr>
    </w:div>
    <w:div w:id="310796333">
      <w:bodyDiv w:val="1"/>
      <w:marLeft w:val="0"/>
      <w:marRight w:val="0"/>
      <w:marTop w:val="0"/>
      <w:marBottom w:val="0"/>
      <w:divBdr>
        <w:top w:val="none" w:sz="0" w:space="0" w:color="auto"/>
        <w:left w:val="none" w:sz="0" w:space="0" w:color="auto"/>
        <w:bottom w:val="none" w:sz="0" w:space="0" w:color="auto"/>
        <w:right w:val="none" w:sz="0" w:space="0" w:color="auto"/>
      </w:divBdr>
    </w:div>
    <w:div w:id="315651966">
      <w:bodyDiv w:val="1"/>
      <w:marLeft w:val="0"/>
      <w:marRight w:val="0"/>
      <w:marTop w:val="0"/>
      <w:marBottom w:val="0"/>
      <w:divBdr>
        <w:top w:val="none" w:sz="0" w:space="0" w:color="auto"/>
        <w:left w:val="none" w:sz="0" w:space="0" w:color="auto"/>
        <w:bottom w:val="none" w:sz="0" w:space="0" w:color="auto"/>
        <w:right w:val="none" w:sz="0" w:space="0" w:color="auto"/>
      </w:divBdr>
    </w:div>
    <w:div w:id="329718875">
      <w:bodyDiv w:val="1"/>
      <w:marLeft w:val="0"/>
      <w:marRight w:val="0"/>
      <w:marTop w:val="0"/>
      <w:marBottom w:val="0"/>
      <w:divBdr>
        <w:top w:val="none" w:sz="0" w:space="0" w:color="auto"/>
        <w:left w:val="none" w:sz="0" w:space="0" w:color="auto"/>
        <w:bottom w:val="none" w:sz="0" w:space="0" w:color="auto"/>
        <w:right w:val="none" w:sz="0" w:space="0" w:color="auto"/>
      </w:divBdr>
    </w:div>
    <w:div w:id="535316736">
      <w:bodyDiv w:val="1"/>
      <w:marLeft w:val="0"/>
      <w:marRight w:val="0"/>
      <w:marTop w:val="0"/>
      <w:marBottom w:val="0"/>
      <w:divBdr>
        <w:top w:val="none" w:sz="0" w:space="0" w:color="auto"/>
        <w:left w:val="none" w:sz="0" w:space="0" w:color="auto"/>
        <w:bottom w:val="none" w:sz="0" w:space="0" w:color="auto"/>
        <w:right w:val="none" w:sz="0" w:space="0" w:color="auto"/>
      </w:divBdr>
    </w:div>
    <w:div w:id="642196223">
      <w:bodyDiv w:val="1"/>
      <w:marLeft w:val="0"/>
      <w:marRight w:val="0"/>
      <w:marTop w:val="0"/>
      <w:marBottom w:val="0"/>
      <w:divBdr>
        <w:top w:val="none" w:sz="0" w:space="0" w:color="auto"/>
        <w:left w:val="none" w:sz="0" w:space="0" w:color="auto"/>
        <w:bottom w:val="none" w:sz="0" w:space="0" w:color="auto"/>
        <w:right w:val="none" w:sz="0" w:space="0" w:color="auto"/>
      </w:divBdr>
    </w:div>
    <w:div w:id="748423997">
      <w:bodyDiv w:val="1"/>
      <w:marLeft w:val="0"/>
      <w:marRight w:val="0"/>
      <w:marTop w:val="0"/>
      <w:marBottom w:val="0"/>
      <w:divBdr>
        <w:top w:val="none" w:sz="0" w:space="0" w:color="auto"/>
        <w:left w:val="none" w:sz="0" w:space="0" w:color="auto"/>
        <w:bottom w:val="none" w:sz="0" w:space="0" w:color="auto"/>
        <w:right w:val="none" w:sz="0" w:space="0" w:color="auto"/>
      </w:divBdr>
    </w:div>
    <w:div w:id="861240731">
      <w:bodyDiv w:val="1"/>
      <w:marLeft w:val="0"/>
      <w:marRight w:val="0"/>
      <w:marTop w:val="0"/>
      <w:marBottom w:val="0"/>
      <w:divBdr>
        <w:top w:val="none" w:sz="0" w:space="0" w:color="auto"/>
        <w:left w:val="none" w:sz="0" w:space="0" w:color="auto"/>
        <w:bottom w:val="none" w:sz="0" w:space="0" w:color="auto"/>
        <w:right w:val="none" w:sz="0" w:space="0" w:color="auto"/>
      </w:divBdr>
    </w:div>
    <w:div w:id="922880236">
      <w:bodyDiv w:val="1"/>
      <w:marLeft w:val="0"/>
      <w:marRight w:val="0"/>
      <w:marTop w:val="0"/>
      <w:marBottom w:val="0"/>
      <w:divBdr>
        <w:top w:val="none" w:sz="0" w:space="0" w:color="auto"/>
        <w:left w:val="none" w:sz="0" w:space="0" w:color="auto"/>
        <w:bottom w:val="none" w:sz="0" w:space="0" w:color="auto"/>
        <w:right w:val="none" w:sz="0" w:space="0" w:color="auto"/>
      </w:divBdr>
    </w:div>
    <w:div w:id="936716459">
      <w:bodyDiv w:val="1"/>
      <w:marLeft w:val="0"/>
      <w:marRight w:val="0"/>
      <w:marTop w:val="0"/>
      <w:marBottom w:val="0"/>
      <w:divBdr>
        <w:top w:val="none" w:sz="0" w:space="0" w:color="auto"/>
        <w:left w:val="none" w:sz="0" w:space="0" w:color="auto"/>
        <w:bottom w:val="none" w:sz="0" w:space="0" w:color="auto"/>
        <w:right w:val="none" w:sz="0" w:space="0" w:color="auto"/>
      </w:divBdr>
    </w:div>
    <w:div w:id="981957478">
      <w:bodyDiv w:val="1"/>
      <w:marLeft w:val="0"/>
      <w:marRight w:val="0"/>
      <w:marTop w:val="0"/>
      <w:marBottom w:val="0"/>
      <w:divBdr>
        <w:top w:val="none" w:sz="0" w:space="0" w:color="auto"/>
        <w:left w:val="none" w:sz="0" w:space="0" w:color="auto"/>
        <w:bottom w:val="none" w:sz="0" w:space="0" w:color="auto"/>
        <w:right w:val="none" w:sz="0" w:space="0" w:color="auto"/>
      </w:divBdr>
    </w:div>
    <w:div w:id="1033112159">
      <w:bodyDiv w:val="1"/>
      <w:marLeft w:val="0"/>
      <w:marRight w:val="0"/>
      <w:marTop w:val="0"/>
      <w:marBottom w:val="0"/>
      <w:divBdr>
        <w:top w:val="none" w:sz="0" w:space="0" w:color="auto"/>
        <w:left w:val="none" w:sz="0" w:space="0" w:color="auto"/>
        <w:bottom w:val="none" w:sz="0" w:space="0" w:color="auto"/>
        <w:right w:val="none" w:sz="0" w:space="0" w:color="auto"/>
      </w:divBdr>
    </w:div>
    <w:div w:id="1039865286">
      <w:bodyDiv w:val="1"/>
      <w:marLeft w:val="0"/>
      <w:marRight w:val="0"/>
      <w:marTop w:val="0"/>
      <w:marBottom w:val="0"/>
      <w:divBdr>
        <w:top w:val="none" w:sz="0" w:space="0" w:color="auto"/>
        <w:left w:val="none" w:sz="0" w:space="0" w:color="auto"/>
        <w:bottom w:val="none" w:sz="0" w:space="0" w:color="auto"/>
        <w:right w:val="none" w:sz="0" w:space="0" w:color="auto"/>
      </w:divBdr>
    </w:div>
    <w:div w:id="1260875120">
      <w:bodyDiv w:val="1"/>
      <w:marLeft w:val="0"/>
      <w:marRight w:val="0"/>
      <w:marTop w:val="0"/>
      <w:marBottom w:val="0"/>
      <w:divBdr>
        <w:top w:val="none" w:sz="0" w:space="0" w:color="auto"/>
        <w:left w:val="none" w:sz="0" w:space="0" w:color="auto"/>
        <w:bottom w:val="none" w:sz="0" w:space="0" w:color="auto"/>
        <w:right w:val="none" w:sz="0" w:space="0" w:color="auto"/>
      </w:divBdr>
    </w:div>
    <w:div w:id="1278411516">
      <w:bodyDiv w:val="1"/>
      <w:marLeft w:val="0"/>
      <w:marRight w:val="0"/>
      <w:marTop w:val="0"/>
      <w:marBottom w:val="0"/>
      <w:divBdr>
        <w:top w:val="none" w:sz="0" w:space="0" w:color="auto"/>
        <w:left w:val="none" w:sz="0" w:space="0" w:color="auto"/>
        <w:bottom w:val="none" w:sz="0" w:space="0" w:color="auto"/>
        <w:right w:val="none" w:sz="0" w:space="0" w:color="auto"/>
      </w:divBdr>
    </w:div>
    <w:div w:id="1318725932">
      <w:bodyDiv w:val="1"/>
      <w:marLeft w:val="0"/>
      <w:marRight w:val="0"/>
      <w:marTop w:val="0"/>
      <w:marBottom w:val="0"/>
      <w:divBdr>
        <w:top w:val="none" w:sz="0" w:space="0" w:color="auto"/>
        <w:left w:val="none" w:sz="0" w:space="0" w:color="auto"/>
        <w:bottom w:val="none" w:sz="0" w:space="0" w:color="auto"/>
        <w:right w:val="none" w:sz="0" w:space="0" w:color="auto"/>
      </w:divBdr>
    </w:div>
    <w:div w:id="1338265198">
      <w:bodyDiv w:val="1"/>
      <w:marLeft w:val="0"/>
      <w:marRight w:val="0"/>
      <w:marTop w:val="0"/>
      <w:marBottom w:val="0"/>
      <w:divBdr>
        <w:top w:val="none" w:sz="0" w:space="0" w:color="auto"/>
        <w:left w:val="none" w:sz="0" w:space="0" w:color="auto"/>
        <w:bottom w:val="none" w:sz="0" w:space="0" w:color="auto"/>
        <w:right w:val="none" w:sz="0" w:space="0" w:color="auto"/>
      </w:divBdr>
    </w:div>
    <w:div w:id="1352803614">
      <w:bodyDiv w:val="1"/>
      <w:marLeft w:val="0"/>
      <w:marRight w:val="0"/>
      <w:marTop w:val="0"/>
      <w:marBottom w:val="0"/>
      <w:divBdr>
        <w:top w:val="none" w:sz="0" w:space="0" w:color="auto"/>
        <w:left w:val="none" w:sz="0" w:space="0" w:color="auto"/>
        <w:bottom w:val="none" w:sz="0" w:space="0" w:color="auto"/>
        <w:right w:val="none" w:sz="0" w:space="0" w:color="auto"/>
      </w:divBdr>
    </w:div>
    <w:div w:id="1426420556">
      <w:bodyDiv w:val="1"/>
      <w:marLeft w:val="0"/>
      <w:marRight w:val="0"/>
      <w:marTop w:val="0"/>
      <w:marBottom w:val="0"/>
      <w:divBdr>
        <w:top w:val="none" w:sz="0" w:space="0" w:color="auto"/>
        <w:left w:val="none" w:sz="0" w:space="0" w:color="auto"/>
        <w:bottom w:val="none" w:sz="0" w:space="0" w:color="auto"/>
        <w:right w:val="none" w:sz="0" w:space="0" w:color="auto"/>
      </w:divBdr>
    </w:div>
    <w:div w:id="1481998045">
      <w:bodyDiv w:val="1"/>
      <w:marLeft w:val="0"/>
      <w:marRight w:val="0"/>
      <w:marTop w:val="0"/>
      <w:marBottom w:val="0"/>
      <w:divBdr>
        <w:top w:val="none" w:sz="0" w:space="0" w:color="auto"/>
        <w:left w:val="none" w:sz="0" w:space="0" w:color="auto"/>
        <w:bottom w:val="none" w:sz="0" w:space="0" w:color="auto"/>
        <w:right w:val="none" w:sz="0" w:space="0" w:color="auto"/>
      </w:divBdr>
    </w:div>
    <w:div w:id="1538003739">
      <w:bodyDiv w:val="1"/>
      <w:marLeft w:val="0"/>
      <w:marRight w:val="0"/>
      <w:marTop w:val="0"/>
      <w:marBottom w:val="0"/>
      <w:divBdr>
        <w:top w:val="none" w:sz="0" w:space="0" w:color="auto"/>
        <w:left w:val="none" w:sz="0" w:space="0" w:color="auto"/>
        <w:bottom w:val="none" w:sz="0" w:space="0" w:color="auto"/>
        <w:right w:val="none" w:sz="0" w:space="0" w:color="auto"/>
      </w:divBdr>
    </w:div>
    <w:div w:id="1562909675">
      <w:bodyDiv w:val="1"/>
      <w:marLeft w:val="0"/>
      <w:marRight w:val="0"/>
      <w:marTop w:val="0"/>
      <w:marBottom w:val="0"/>
      <w:divBdr>
        <w:top w:val="none" w:sz="0" w:space="0" w:color="auto"/>
        <w:left w:val="none" w:sz="0" w:space="0" w:color="auto"/>
        <w:bottom w:val="none" w:sz="0" w:space="0" w:color="auto"/>
        <w:right w:val="none" w:sz="0" w:space="0" w:color="auto"/>
      </w:divBdr>
    </w:div>
    <w:div w:id="1568345325">
      <w:bodyDiv w:val="1"/>
      <w:marLeft w:val="0"/>
      <w:marRight w:val="0"/>
      <w:marTop w:val="0"/>
      <w:marBottom w:val="0"/>
      <w:divBdr>
        <w:top w:val="none" w:sz="0" w:space="0" w:color="auto"/>
        <w:left w:val="none" w:sz="0" w:space="0" w:color="auto"/>
        <w:bottom w:val="none" w:sz="0" w:space="0" w:color="auto"/>
        <w:right w:val="none" w:sz="0" w:space="0" w:color="auto"/>
      </w:divBdr>
    </w:div>
    <w:div w:id="1585256909">
      <w:bodyDiv w:val="1"/>
      <w:marLeft w:val="0"/>
      <w:marRight w:val="0"/>
      <w:marTop w:val="0"/>
      <w:marBottom w:val="0"/>
      <w:divBdr>
        <w:top w:val="none" w:sz="0" w:space="0" w:color="auto"/>
        <w:left w:val="none" w:sz="0" w:space="0" w:color="auto"/>
        <w:bottom w:val="none" w:sz="0" w:space="0" w:color="auto"/>
        <w:right w:val="none" w:sz="0" w:space="0" w:color="auto"/>
      </w:divBdr>
    </w:div>
    <w:div w:id="1586303045">
      <w:bodyDiv w:val="1"/>
      <w:marLeft w:val="0"/>
      <w:marRight w:val="0"/>
      <w:marTop w:val="0"/>
      <w:marBottom w:val="0"/>
      <w:divBdr>
        <w:top w:val="none" w:sz="0" w:space="0" w:color="auto"/>
        <w:left w:val="none" w:sz="0" w:space="0" w:color="auto"/>
        <w:bottom w:val="none" w:sz="0" w:space="0" w:color="auto"/>
        <w:right w:val="none" w:sz="0" w:space="0" w:color="auto"/>
      </w:divBdr>
    </w:div>
    <w:div w:id="1595481988">
      <w:bodyDiv w:val="1"/>
      <w:marLeft w:val="0"/>
      <w:marRight w:val="0"/>
      <w:marTop w:val="0"/>
      <w:marBottom w:val="0"/>
      <w:divBdr>
        <w:top w:val="none" w:sz="0" w:space="0" w:color="auto"/>
        <w:left w:val="none" w:sz="0" w:space="0" w:color="auto"/>
        <w:bottom w:val="none" w:sz="0" w:space="0" w:color="auto"/>
        <w:right w:val="none" w:sz="0" w:space="0" w:color="auto"/>
      </w:divBdr>
    </w:div>
    <w:div w:id="1657420195">
      <w:bodyDiv w:val="1"/>
      <w:marLeft w:val="0"/>
      <w:marRight w:val="0"/>
      <w:marTop w:val="0"/>
      <w:marBottom w:val="0"/>
      <w:divBdr>
        <w:top w:val="none" w:sz="0" w:space="0" w:color="auto"/>
        <w:left w:val="none" w:sz="0" w:space="0" w:color="auto"/>
        <w:bottom w:val="none" w:sz="0" w:space="0" w:color="auto"/>
        <w:right w:val="none" w:sz="0" w:space="0" w:color="auto"/>
      </w:divBdr>
    </w:div>
    <w:div w:id="1664119747">
      <w:bodyDiv w:val="1"/>
      <w:marLeft w:val="0"/>
      <w:marRight w:val="0"/>
      <w:marTop w:val="0"/>
      <w:marBottom w:val="0"/>
      <w:divBdr>
        <w:top w:val="none" w:sz="0" w:space="0" w:color="auto"/>
        <w:left w:val="none" w:sz="0" w:space="0" w:color="auto"/>
        <w:bottom w:val="none" w:sz="0" w:space="0" w:color="auto"/>
        <w:right w:val="none" w:sz="0" w:space="0" w:color="auto"/>
      </w:divBdr>
    </w:div>
    <w:div w:id="1713071949">
      <w:bodyDiv w:val="1"/>
      <w:marLeft w:val="0"/>
      <w:marRight w:val="0"/>
      <w:marTop w:val="0"/>
      <w:marBottom w:val="0"/>
      <w:divBdr>
        <w:top w:val="none" w:sz="0" w:space="0" w:color="auto"/>
        <w:left w:val="none" w:sz="0" w:space="0" w:color="auto"/>
        <w:bottom w:val="none" w:sz="0" w:space="0" w:color="auto"/>
        <w:right w:val="none" w:sz="0" w:space="0" w:color="auto"/>
      </w:divBdr>
    </w:div>
    <w:div w:id="1793551848">
      <w:bodyDiv w:val="1"/>
      <w:marLeft w:val="0"/>
      <w:marRight w:val="0"/>
      <w:marTop w:val="0"/>
      <w:marBottom w:val="0"/>
      <w:divBdr>
        <w:top w:val="none" w:sz="0" w:space="0" w:color="auto"/>
        <w:left w:val="none" w:sz="0" w:space="0" w:color="auto"/>
        <w:bottom w:val="none" w:sz="0" w:space="0" w:color="auto"/>
        <w:right w:val="none" w:sz="0" w:space="0" w:color="auto"/>
      </w:divBdr>
    </w:div>
    <w:div w:id="1800799807">
      <w:bodyDiv w:val="1"/>
      <w:marLeft w:val="0"/>
      <w:marRight w:val="0"/>
      <w:marTop w:val="0"/>
      <w:marBottom w:val="0"/>
      <w:divBdr>
        <w:top w:val="none" w:sz="0" w:space="0" w:color="auto"/>
        <w:left w:val="none" w:sz="0" w:space="0" w:color="auto"/>
        <w:bottom w:val="none" w:sz="0" w:space="0" w:color="auto"/>
        <w:right w:val="none" w:sz="0" w:space="0" w:color="auto"/>
      </w:divBdr>
    </w:div>
    <w:div w:id="1843621018">
      <w:bodyDiv w:val="1"/>
      <w:marLeft w:val="0"/>
      <w:marRight w:val="0"/>
      <w:marTop w:val="0"/>
      <w:marBottom w:val="0"/>
      <w:divBdr>
        <w:top w:val="none" w:sz="0" w:space="0" w:color="auto"/>
        <w:left w:val="none" w:sz="0" w:space="0" w:color="auto"/>
        <w:bottom w:val="none" w:sz="0" w:space="0" w:color="auto"/>
        <w:right w:val="none" w:sz="0" w:space="0" w:color="auto"/>
      </w:divBdr>
    </w:div>
    <w:div w:id="1966351139">
      <w:bodyDiv w:val="1"/>
      <w:marLeft w:val="0"/>
      <w:marRight w:val="0"/>
      <w:marTop w:val="0"/>
      <w:marBottom w:val="0"/>
      <w:divBdr>
        <w:top w:val="none" w:sz="0" w:space="0" w:color="auto"/>
        <w:left w:val="none" w:sz="0" w:space="0" w:color="auto"/>
        <w:bottom w:val="none" w:sz="0" w:space="0" w:color="auto"/>
        <w:right w:val="none" w:sz="0" w:space="0" w:color="auto"/>
      </w:divBdr>
    </w:div>
    <w:div w:id="1969124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cid:image001.png@01D52067.D0925930" TargetMode="External"/><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28" Type="http://schemas.microsoft.com/office/2016/09/relationships/commentsIds" Target="commentsIds.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3.xml"/></Relationships>
</file>

<file path=word/_rels/footnotes.xml.rels><?xml version="1.0" encoding="UTF-8" standalone="yes"?>
<Relationships xmlns="http://schemas.openxmlformats.org/package/2006/relationships"><Relationship Id="rId8" Type="http://schemas.openxmlformats.org/officeDocument/2006/relationships/hyperlink" Target="http://un.org.ua/images/documents/4700/Accountability%20for%20Killings%20and%20Violent%20Deaths%20During%20the%20Maidan%20Protest_2.pdf" TargetMode="External"/><Relationship Id="rId13" Type="http://schemas.openxmlformats.org/officeDocument/2006/relationships/hyperlink" Target="http://un.org.ua/images/documents/4671/Accountability%20for%20Killings%20and%20Violent%20Deaths%20on%202%20May%202014%20in%20Odesa_1.pdf" TargetMode="External"/><Relationship Id="rId3" Type="http://schemas.openxmlformats.org/officeDocument/2006/relationships/hyperlink" Target="http://reyestr.court.gov.ua/Review/77310529" TargetMode="External"/><Relationship Id="rId7" Type="http://schemas.openxmlformats.org/officeDocument/2006/relationships/hyperlink" Target="http://search.ligazakon.ua/l_doc2.nsf/link1/MU19012.html" TargetMode="External"/><Relationship Id="rId12" Type="http://schemas.openxmlformats.org/officeDocument/2006/relationships/hyperlink" Target="http://www.un.org.ua/images/documents/4619/UN_Briefing%20note_Accountability%20for%20killings%20at%20Maidan.pdf" TargetMode="External"/><Relationship Id="rId2" Type="http://schemas.openxmlformats.org/officeDocument/2006/relationships/hyperlink" Target="https://zakon.rada.gov.ua/laws/show/z1020-18" TargetMode="External"/><Relationship Id="rId1" Type="http://schemas.openxmlformats.org/officeDocument/2006/relationships/hyperlink" Target="http://www.un.org.ua/en/publications-and-reports" TargetMode="External"/><Relationship Id="rId6" Type="http://schemas.openxmlformats.org/officeDocument/2006/relationships/hyperlink" Target="http://reyestr.court.gov.ua/Review/80126440" TargetMode="External"/><Relationship Id="rId11" Type="http://schemas.openxmlformats.org/officeDocument/2006/relationships/hyperlink" Target="https://www.ukrinform.ua/rubric-kyiv/2698951-u-kievi-pocali-zvoditi-memorial-geroiv-nebesnoi-sotni.html" TargetMode="External"/><Relationship Id="rId5" Type="http://schemas.openxmlformats.org/officeDocument/2006/relationships/hyperlink" Target="http://reyestr.court.gov.ua/Review/80383536?fbclid=IwAR3zQnLsEnGBXfEZ6hKDlnY4WM4dDy_feU8ZSTsKqhxSic48au8WPbLngVY" TargetMode="External"/><Relationship Id="rId15" Type="http://schemas.openxmlformats.org/officeDocument/2006/relationships/hyperlink" Target="http://www.crimea.gov.ru/app/11820" TargetMode="External"/><Relationship Id="rId10" Type="http://schemas.openxmlformats.org/officeDocument/2006/relationships/hyperlink" Target="https://docs.google.com/document/d/1YnxFCgzyMNWn7fzIhbSwOOehZfhwP0kWRz4dp1VCHWY/edit?fbclid=IwAR3g8JKzuUYOsQySQfq0gaDPj9DDqPc7vpeSF62e6EEtx3PSFbTSahFeW20" TargetMode="External"/><Relationship Id="rId4" Type="http://schemas.openxmlformats.org/officeDocument/2006/relationships/hyperlink" Target="https://urp.ssu.gov.ua/" TargetMode="External"/><Relationship Id="rId9" Type="http://schemas.openxmlformats.org/officeDocument/2006/relationships/hyperlink" Target="https://zakon.rada.gov.ua/laws/show/743-18" TargetMode="External"/><Relationship Id="rId14" Type="http://schemas.openxmlformats.org/officeDocument/2006/relationships/hyperlink" Target="https://www.osce.org/odihr/elections/ukraine/417821?download=tru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A7C89F-902F-4387-9A67-ABF666F4AE39}"/>
</file>

<file path=customXml/itemProps2.xml><?xml version="1.0" encoding="utf-8"?>
<ds:datastoreItem xmlns:ds="http://schemas.openxmlformats.org/officeDocument/2006/customXml" ds:itemID="{5E42C4EF-38CF-4CA7-B309-D29B0CC31727}">
  <ds:schemaRefs>
    <ds:schemaRef ds:uri="http://schemas.microsoft.com/sharepoint/v3/contenttype/forms"/>
  </ds:schemaRefs>
</ds:datastoreItem>
</file>

<file path=customXml/itemProps3.xml><?xml version="1.0" encoding="utf-8"?>
<ds:datastoreItem xmlns:ds="http://schemas.openxmlformats.org/officeDocument/2006/customXml" ds:itemID="{75C04728-19A3-436C-8FA6-4EE42052EA3B}">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50595EE7-E6A6-4B43-B724-00DEFCECAD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TotalTime>
  <Pages>34</Pages>
  <Words>50840</Words>
  <Characters>28979</Characters>
  <Application>Microsoft Office Word</Application>
  <DocSecurity>0</DocSecurity>
  <Lines>241</Lines>
  <Paragraphs>159</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OHCHR</Company>
  <LinksUpToDate>false</LinksUpToDate>
  <CharactersWithSpaces>79660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ohchr\noemie.crottaz</dc:creator>
  <cp:keywords/>
  <dc:description/>
  <cp:lastModifiedBy>ohchr\noemie.crottaz</cp:lastModifiedBy>
  <cp:revision>69</cp:revision>
  <cp:lastPrinted>2019-06-11T13:39:00Z</cp:lastPrinted>
  <dcterms:created xsi:type="dcterms:W3CDTF">2019-06-11T08:47:00Z</dcterms:created>
  <dcterms:modified xsi:type="dcterms:W3CDTF">2019-06-11T18:29:00Z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