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870431" w14:textId="77777777" w:rsidR="00130487" w:rsidRDefault="00130487" w:rsidP="009B0A9C">
      <w:pPr>
        <w:pStyle w:val="Heading1"/>
        <w:spacing w:before="0" w:after="0" w:line="240" w:lineRule="auto"/>
        <w:rPr>
          <w:b/>
          <w:bCs/>
          <w:sz w:val="32"/>
          <w:szCs w:val="22"/>
        </w:rPr>
      </w:pPr>
      <w:r>
        <w:rPr>
          <w:b/>
          <w:bCs/>
          <w:sz w:val="32"/>
          <w:szCs w:val="22"/>
        </w:rPr>
        <w:t>PHILIPPINES’ SUBMISSION FOR THE HIGH COMMISSIONER’S ORAL UPDATES ON COVID-19</w:t>
      </w:r>
    </w:p>
    <w:p w14:paraId="65ABD6C4" w14:textId="77777777" w:rsidR="00130487" w:rsidRDefault="00130487" w:rsidP="009B0A9C">
      <w:pPr>
        <w:pStyle w:val="Heading1"/>
        <w:spacing w:before="0" w:after="0" w:line="240" w:lineRule="auto"/>
        <w:rPr>
          <w:b/>
          <w:bCs/>
          <w:sz w:val="32"/>
          <w:szCs w:val="22"/>
        </w:rPr>
      </w:pPr>
    </w:p>
    <w:p w14:paraId="619F854B" w14:textId="0C5B0715" w:rsidR="007833D5" w:rsidRPr="00130487" w:rsidRDefault="00130487" w:rsidP="009B0A9C">
      <w:pPr>
        <w:pStyle w:val="Heading1"/>
        <w:spacing w:before="0" w:after="0" w:line="240" w:lineRule="auto"/>
        <w:rPr>
          <w:b/>
          <w:bCs/>
          <w:sz w:val="32"/>
          <w:szCs w:val="22"/>
        </w:rPr>
      </w:pPr>
      <w:r>
        <w:rPr>
          <w:b/>
          <w:bCs/>
          <w:sz w:val="32"/>
          <w:szCs w:val="22"/>
        </w:rPr>
        <w:t xml:space="preserve">THE </w:t>
      </w:r>
      <w:r w:rsidR="00AC1888" w:rsidRPr="00455F2E">
        <w:rPr>
          <w:b/>
          <w:bCs/>
          <w:sz w:val="32"/>
          <w:szCs w:val="22"/>
        </w:rPr>
        <w:t xml:space="preserve">NATIONAL </w:t>
      </w:r>
      <w:r w:rsidR="002E7FFA" w:rsidRPr="00455F2E">
        <w:rPr>
          <w:b/>
          <w:bCs/>
          <w:sz w:val="32"/>
          <w:szCs w:val="22"/>
        </w:rPr>
        <w:t>RESPONSE TO COVID-19</w:t>
      </w:r>
    </w:p>
    <w:p w14:paraId="48E43CBC" w14:textId="77777777" w:rsidR="00AC1888" w:rsidRPr="00455F2E" w:rsidRDefault="00AC1888" w:rsidP="009B0A9C">
      <w:pPr>
        <w:spacing w:line="240" w:lineRule="auto"/>
      </w:pPr>
    </w:p>
    <w:tbl>
      <w:tblPr>
        <w:tblStyle w:val="TableGrid"/>
        <w:tblW w:w="0" w:type="auto"/>
        <w:jc w:val="center"/>
        <w:tblLook w:val="04A0" w:firstRow="1" w:lastRow="0" w:firstColumn="1" w:lastColumn="0" w:noHBand="0" w:noVBand="1"/>
      </w:tblPr>
      <w:tblGrid>
        <w:gridCol w:w="4608"/>
        <w:gridCol w:w="4860"/>
      </w:tblGrid>
      <w:tr w:rsidR="00AC1888" w:rsidRPr="00455F2E" w14:paraId="122556C5" w14:textId="77777777" w:rsidTr="00030841">
        <w:trPr>
          <w:jc w:val="center"/>
        </w:trPr>
        <w:tc>
          <w:tcPr>
            <w:tcW w:w="4608" w:type="dxa"/>
          </w:tcPr>
          <w:p w14:paraId="7FEFFF20" w14:textId="3F069052" w:rsidR="00AC1888" w:rsidRPr="00455F2E" w:rsidRDefault="00AC1888" w:rsidP="009B0A9C">
            <w:pPr>
              <w:rPr>
                <w:b/>
              </w:rPr>
            </w:pPr>
            <w:r w:rsidRPr="00455F2E">
              <w:rPr>
                <w:b/>
              </w:rPr>
              <w:t>Country Profile</w:t>
            </w:r>
          </w:p>
          <w:p w14:paraId="77B6F559" w14:textId="77777777" w:rsidR="00AC1888" w:rsidRPr="00455F2E" w:rsidRDefault="00AC1888" w:rsidP="009B0A9C"/>
          <w:p w14:paraId="40EF5EA7" w14:textId="77777777" w:rsidR="00AC1888" w:rsidRPr="00455F2E" w:rsidRDefault="00AC1888" w:rsidP="009B0A9C">
            <w:r w:rsidRPr="00455F2E">
              <w:t xml:space="preserve">Total population:  110 million </w:t>
            </w:r>
          </w:p>
          <w:p w14:paraId="6DBE77CB" w14:textId="77777777" w:rsidR="00AC1888" w:rsidRPr="00455F2E" w:rsidRDefault="00AC1888" w:rsidP="009B0A9C">
            <w:r w:rsidRPr="00455F2E">
              <w:t>Children (18 years and below): 40 million</w:t>
            </w:r>
          </w:p>
          <w:p w14:paraId="65ADEB4A" w14:textId="79DB7114" w:rsidR="00AC1888" w:rsidRPr="00455F2E" w:rsidRDefault="00AC1888" w:rsidP="009B0A9C">
            <w:r w:rsidRPr="00455F2E">
              <w:t>Elderly (60 years and above): 7.5 million</w:t>
            </w:r>
          </w:p>
        </w:tc>
        <w:tc>
          <w:tcPr>
            <w:tcW w:w="4860" w:type="dxa"/>
          </w:tcPr>
          <w:p w14:paraId="728DFD8E" w14:textId="691EFE80" w:rsidR="00AC1888" w:rsidRPr="00455F2E" w:rsidRDefault="00AC1888" w:rsidP="009B0A9C">
            <w:pPr>
              <w:rPr>
                <w:b/>
              </w:rPr>
            </w:pPr>
            <w:r w:rsidRPr="00455F2E">
              <w:rPr>
                <w:b/>
              </w:rPr>
              <w:t>COVID-19 Cases (As of 31 May 2020)</w:t>
            </w:r>
          </w:p>
          <w:p w14:paraId="135C9EEE" w14:textId="77777777" w:rsidR="00AC1888" w:rsidRPr="00455F2E" w:rsidRDefault="00AC1888" w:rsidP="009B0A9C"/>
          <w:p w14:paraId="6349C176" w14:textId="246D5AF4" w:rsidR="00AC1888" w:rsidRPr="001E3221" w:rsidRDefault="00AC1888" w:rsidP="009B0A9C">
            <w:pPr>
              <w:rPr>
                <w:b/>
                <w:bCs/>
              </w:rPr>
            </w:pPr>
            <w:r w:rsidRPr="00455F2E">
              <w:t>Total confirmed cases:</w:t>
            </w:r>
            <w:r w:rsidR="003F5306">
              <w:t xml:space="preserve"> </w:t>
            </w:r>
            <w:r w:rsidR="001E3221">
              <w:rPr>
                <w:b/>
                <w:bCs/>
              </w:rPr>
              <w:t>18,086</w:t>
            </w:r>
          </w:p>
          <w:p w14:paraId="6963EDEB" w14:textId="61E24C6F" w:rsidR="00AC1888" w:rsidRPr="001E3221" w:rsidRDefault="00AC1888" w:rsidP="009B0A9C">
            <w:pPr>
              <w:rPr>
                <w:b/>
                <w:bCs/>
              </w:rPr>
            </w:pPr>
            <w:r w:rsidRPr="00455F2E">
              <w:t>Deaths:</w:t>
            </w:r>
            <w:r w:rsidR="003F5306">
              <w:t xml:space="preserve"> </w:t>
            </w:r>
            <w:r w:rsidR="001E3221">
              <w:rPr>
                <w:b/>
                <w:bCs/>
              </w:rPr>
              <w:t>957</w:t>
            </w:r>
          </w:p>
          <w:p w14:paraId="3C7BFA48" w14:textId="3D26F80F" w:rsidR="00AC1888" w:rsidRPr="001E3221" w:rsidRDefault="00AC1888" w:rsidP="009B0A9C">
            <w:pPr>
              <w:rPr>
                <w:b/>
                <w:bCs/>
              </w:rPr>
            </w:pPr>
            <w:r w:rsidRPr="00455F2E">
              <w:t>Recovered:</w:t>
            </w:r>
            <w:r w:rsidR="003F5306">
              <w:t xml:space="preserve"> </w:t>
            </w:r>
            <w:r w:rsidR="001E3221">
              <w:rPr>
                <w:b/>
                <w:bCs/>
              </w:rPr>
              <w:t>3,909</w:t>
            </w:r>
          </w:p>
          <w:p w14:paraId="5C2853D7" w14:textId="64F18016" w:rsidR="00AC1888" w:rsidRPr="00455F2E" w:rsidRDefault="00AC1888" w:rsidP="009B0A9C"/>
        </w:tc>
      </w:tr>
    </w:tbl>
    <w:p w14:paraId="76FAD56E" w14:textId="7D71E580" w:rsidR="00AC1888" w:rsidRPr="00455F2E" w:rsidRDefault="00AC1888" w:rsidP="009B0A9C">
      <w:pPr>
        <w:spacing w:line="240" w:lineRule="auto"/>
      </w:pPr>
    </w:p>
    <w:p w14:paraId="28C07574" w14:textId="71622594" w:rsidR="00AC1888" w:rsidRPr="00130487" w:rsidRDefault="00AC1888" w:rsidP="00130487">
      <w:pPr>
        <w:pStyle w:val="ListParagraph"/>
        <w:numPr>
          <w:ilvl w:val="0"/>
          <w:numId w:val="40"/>
        </w:numPr>
        <w:ind w:left="284" w:hanging="284"/>
        <w:rPr>
          <w:b/>
        </w:rPr>
      </w:pPr>
      <w:r w:rsidRPr="00130487">
        <w:rPr>
          <w:b/>
        </w:rPr>
        <w:t>Full compliance with international laws and standards and national laws</w:t>
      </w:r>
    </w:p>
    <w:p w14:paraId="5D9529A3" w14:textId="77777777" w:rsidR="00030841" w:rsidRPr="00455F2E" w:rsidRDefault="00030841" w:rsidP="009B0A9C">
      <w:pPr>
        <w:spacing w:line="240" w:lineRule="auto"/>
        <w:jc w:val="both"/>
        <w:rPr>
          <w:lang w:val="en-PH"/>
        </w:rPr>
      </w:pPr>
    </w:p>
    <w:p w14:paraId="2B2C5B61" w14:textId="622EBFAE" w:rsidR="003F5306" w:rsidRDefault="00AC1888" w:rsidP="009B0A9C">
      <w:pPr>
        <w:autoSpaceDE w:val="0"/>
        <w:autoSpaceDN w:val="0"/>
        <w:adjustRightInd w:val="0"/>
        <w:spacing w:line="240" w:lineRule="auto"/>
        <w:jc w:val="both"/>
        <w:rPr>
          <w:lang w:val="en-PH"/>
        </w:rPr>
      </w:pPr>
      <w:r w:rsidRPr="00455F2E">
        <w:rPr>
          <w:lang w:val="en-PH"/>
        </w:rPr>
        <w:t>COVID-19 is a novel coronavirus for which diagnostics, therapeutics and vacci</w:t>
      </w:r>
      <w:r w:rsidR="003F5306">
        <w:rPr>
          <w:lang w:val="en-PH"/>
        </w:rPr>
        <w:t xml:space="preserve">nes are still being studied and </w:t>
      </w:r>
      <w:r w:rsidRPr="00455F2E">
        <w:rPr>
          <w:lang w:val="en-PH"/>
        </w:rPr>
        <w:t>developed.</w:t>
      </w:r>
      <w:r w:rsidR="003F5306">
        <w:rPr>
          <w:lang w:val="en-PH"/>
        </w:rPr>
        <w:t xml:space="preserve"> </w:t>
      </w:r>
      <w:r w:rsidRPr="00455F2E">
        <w:rPr>
          <w:lang w:val="en-PH"/>
        </w:rPr>
        <w:t xml:space="preserve">The interventions </w:t>
      </w:r>
      <w:r w:rsidR="009D07A0">
        <w:rPr>
          <w:lang w:val="en-PH"/>
        </w:rPr>
        <w:t xml:space="preserve">that have been </w:t>
      </w:r>
      <w:r w:rsidRPr="00455F2E">
        <w:rPr>
          <w:lang w:val="en-PH"/>
        </w:rPr>
        <w:t>introduced by the Philippine Governmen</w:t>
      </w:r>
      <w:r w:rsidR="009D07A0">
        <w:rPr>
          <w:lang w:val="en-PH"/>
        </w:rPr>
        <w:t>t</w:t>
      </w:r>
      <w:r w:rsidR="00455F2E" w:rsidRPr="00455F2E">
        <w:rPr>
          <w:lang w:val="en-PH"/>
        </w:rPr>
        <w:t xml:space="preserve"> tak</w:t>
      </w:r>
      <w:r w:rsidR="009D07A0">
        <w:rPr>
          <w:lang w:val="en-PH"/>
        </w:rPr>
        <w:t>e</w:t>
      </w:r>
      <w:r w:rsidR="00455F2E" w:rsidRPr="00455F2E">
        <w:rPr>
          <w:lang w:val="en-PH"/>
        </w:rPr>
        <w:t xml:space="preserve"> into account</w:t>
      </w:r>
      <w:r w:rsidRPr="00455F2E">
        <w:rPr>
          <w:lang w:val="en-PH"/>
        </w:rPr>
        <w:t xml:space="preserve"> the country’</w:t>
      </w:r>
      <w:r w:rsidR="00455F2E" w:rsidRPr="00455F2E">
        <w:rPr>
          <w:lang w:val="en-PH"/>
        </w:rPr>
        <w:t>s circumstances</w:t>
      </w:r>
      <w:r w:rsidRPr="00455F2E">
        <w:rPr>
          <w:lang w:val="en-PH"/>
        </w:rPr>
        <w:t xml:space="preserve"> and capacity as</w:t>
      </w:r>
      <w:r w:rsidR="00455F2E" w:rsidRPr="00455F2E">
        <w:rPr>
          <w:lang w:val="en-PH"/>
        </w:rPr>
        <w:t xml:space="preserve"> a low tech-high touch society </w:t>
      </w:r>
      <w:r w:rsidRPr="00455F2E">
        <w:rPr>
          <w:lang w:val="en-PH"/>
        </w:rPr>
        <w:t>facing a rapidly spreading pathogenic disease</w:t>
      </w:r>
      <w:r w:rsidR="009D07A0">
        <w:rPr>
          <w:lang w:val="en-PH"/>
        </w:rPr>
        <w:t xml:space="preserve"> </w:t>
      </w:r>
      <w:r w:rsidR="009D07A0" w:rsidRPr="00455F2E">
        <w:rPr>
          <w:lang w:val="en-PH"/>
        </w:rPr>
        <w:t>th</w:t>
      </w:r>
      <w:r w:rsidR="009D07A0">
        <w:rPr>
          <w:lang w:val="en-PH"/>
        </w:rPr>
        <w:t>at</w:t>
      </w:r>
      <w:r w:rsidR="009D07A0" w:rsidRPr="00455F2E">
        <w:rPr>
          <w:lang w:val="en-PH"/>
        </w:rPr>
        <w:t xml:space="preserve"> threat</w:t>
      </w:r>
      <w:r w:rsidR="009D07A0">
        <w:rPr>
          <w:lang w:val="en-PH"/>
        </w:rPr>
        <w:t>ens</w:t>
      </w:r>
      <w:r w:rsidR="009D07A0" w:rsidRPr="00455F2E">
        <w:rPr>
          <w:lang w:val="en-PH"/>
        </w:rPr>
        <w:t xml:space="preserve"> human security</w:t>
      </w:r>
      <w:r w:rsidRPr="00455F2E">
        <w:rPr>
          <w:lang w:val="en-PH"/>
        </w:rPr>
        <w:t xml:space="preserve">. </w:t>
      </w:r>
    </w:p>
    <w:p w14:paraId="0E1EE1CC" w14:textId="77777777" w:rsidR="003F5306" w:rsidRDefault="003F5306" w:rsidP="009B0A9C">
      <w:pPr>
        <w:autoSpaceDE w:val="0"/>
        <w:autoSpaceDN w:val="0"/>
        <w:adjustRightInd w:val="0"/>
        <w:spacing w:line="240" w:lineRule="auto"/>
        <w:jc w:val="both"/>
        <w:rPr>
          <w:lang w:val="en-PH"/>
        </w:rPr>
      </w:pPr>
    </w:p>
    <w:p w14:paraId="3163ABC0" w14:textId="7FC2BB83" w:rsidR="00AC1888" w:rsidRPr="00455F2E" w:rsidRDefault="00AC1888" w:rsidP="009B0A9C">
      <w:pPr>
        <w:autoSpaceDE w:val="0"/>
        <w:autoSpaceDN w:val="0"/>
        <w:adjustRightInd w:val="0"/>
        <w:spacing w:line="240" w:lineRule="auto"/>
        <w:jc w:val="both"/>
        <w:rPr>
          <w:lang w:val="en-PH"/>
        </w:rPr>
      </w:pPr>
      <w:r w:rsidRPr="00455F2E">
        <w:rPr>
          <w:lang w:val="en-PH"/>
        </w:rPr>
        <w:t>To leave an open path for a pathogen to ravage people</w:t>
      </w:r>
      <w:r w:rsidR="009D07A0">
        <w:rPr>
          <w:lang w:val="en-PH"/>
        </w:rPr>
        <w:t>—d</w:t>
      </w:r>
      <w:r w:rsidRPr="00455F2E">
        <w:rPr>
          <w:lang w:val="en-PH"/>
        </w:rPr>
        <w:t>isproportionate</w:t>
      </w:r>
      <w:r w:rsidR="00455F2E" w:rsidRPr="00455F2E">
        <w:rPr>
          <w:lang w:val="en-PH"/>
        </w:rPr>
        <w:t xml:space="preserve">ly impacting those already made </w:t>
      </w:r>
      <w:r w:rsidRPr="00455F2E">
        <w:rPr>
          <w:lang w:val="en-PH"/>
        </w:rPr>
        <w:t>vulnerable by the deprivation of access to resources as enumerated by the W</w:t>
      </w:r>
      <w:r w:rsidR="003F5306">
        <w:rPr>
          <w:lang w:val="en-PH"/>
        </w:rPr>
        <w:t>orld Health Organization (WHO) in its</w:t>
      </w:r>
      <w:r w:rsidR="00455F2E" w:rsidRPr="00455F2E">
        <w:rPr>
          <w:lang w:val="en-PH"/>
        </w:rPr>
        <w:t xml:space="preserve"> study of the social </w:t>
      </w:r>
      <w:r w:rsidRPr="00455F2E">
        <w:rPr>
          <w:lang w:val="en-PH"/>
        </w:rPr>
        <w:t>dete</w:t>
      </w:r>
      <w:r w:rsidR="00455F2E" w:rsidRPr="00455F2E">
        <w:rPr>
          <w:lang w:val="en-PH"/>
        </w:rPr>
        <w:t>rminants of health</w:t>
      </w:r>
      <w:r w:rsidR="009D07A0">
        <w:rPr>
          <w:lang w:val="en-PH"/>
        </w:rPr>
        <w:t>—w</w:t>
      </w:r>
      <w:r w:rsidR="00455F2E" w:rsidRPr="00455F2E">
        <w:rPr>
          <w:lang w:val="en-PH"/>
        </w:rPr>
        <w:t>ould</w:t>
      </w:r>
      <w:r w:rsidRPr="00455F2E">
        <w:rPr>
          <w:lang w:val="en-PH"/>
        </w:rPr>
        <w:t xml:space="preserve"> </w:t>
      </w:r>
      <w:r w:rsidR="003F5306">
        <w:rPr>
          <w:lang w:val="en-PH"/>
        </w:rPr>
        <w:t xml:space="preserve">indeed </w:t>
      </w:r>
      <w:r w:rsidRPr="00455F2E">
        <w:rPr>
          <w:lang w:val="en-PH"/>
        </w:rPr>
        <w:t>be a deprivation of human rights.</w:t>
      </w:r>
      <w:r w:rsidR="00455F2E" w:rsidRPr="00455F2E">
        <w:rPr>
          <w:lang w:val="en-PH"/>
        </w:rPr>
        <w:t xml:space="preserve"> </w:t>
      </w:r>
      <w:r w:rsidRPr="00455F2E">
        <w:rPr>
          <w:lang w:val="en-PH"/>
        </w:rPr>
        <w:t>Cut</w:t>
      </w:r>
      <w:r w:rsidR="00455F2E" w:rsidRPr="00455F2E">
        <w:rPr>
          <w:lang w:val="en-PH"/>
        </w:rPr>
        <w:t xml:space="preserve">ting the chains of transmission </w:t>
      </w:r>
      <w:r w:rsidR="003F5306">
        <w:rPr>
          <w:lang w:val="en-PH"/>
        </w:rPr>
        <w:t>h</w:t>
      </w:r>
      <w:r w:rsidRPr="00455F2E">
        <w:rPr>
          <w:lang w:val="en-PH"/>
        </w:rPr>
        <w:t>as been the constant advice of the WHO and, in its interventions, the Philip</w:t>
      </w:r>
      <w:r w:rsidR="00455F2E" w:rsidRPr="00455F2E">
        <w:rPr>
          <w:lang w:val="en-PH"/>
        </w:rPr>
        <w:t xml:space="preserve">pines has consistently acted to </w:t>
      </w:r>
      <w:r w:rsidRPr="00455F2E">
        <w:rPr>
          <w:lang w:val="en-PH"/>
        </w:rPr>
        <w:t>do exactly that: to delay, to test, to isolate, to contain</w:t>
      </w:r>
      <w:r w:rsidR="009D07A0">
        <w:rPr>
          <w:lang w:val="en-PH"/>
        </w:rPr>
        <w:t>—t</w:t>
      </w:r>
      <w:r w:rsidRPr="00455F2E">
        <w:rPr>
          <w:lang w:val="en-PH"/>
        </w:rPr>
        <w:t>o save lives.</w:t>
      </w:r>
    </w:p>
    <w:p w14:paraId="6483E5FE" w14:textId="77777777" w:rsidR="00455F2E" w:rsidRPr="00455F2E" w:rsidRDefault="00455F2E" w:rsidP="009B0A9C">
      <w:pPr>
        <w:autoSpaceDE w:val="0"/>
        <w:autoSpaceDN w:val="0"/>
        <w:adjustRightInd w:val="0"/>
        <w:spacing w:line="240" w:lineRule="auto"/>
        <w:jc w:val="both"/>
        <w:rPr>
          <w:lang w:val="en-PH"/>
        </w:rPr>
      </w:pPr>
    </w:p>
    <w:p w14:paraId="699297CC" w14:textId="3CC612D8" w:rsidR="003F5306" w:rsidRDefault="00455F2E" w:rsidP="009B0A9C">
      <w:pPr>
        <w:autoSpaceDE w:val="0"/>
        <w:autoSpaceDN w:val="0"/>
        <w:adjustRightInd w:val="0"/>
        <w:spacing w:line="240" w:lineRule="auto"/>
        <w:jc w:val="both"/>
        <w:rPr>
          <w:lang w:val="en-PH"/>
        </w:rPr>
      </w:pPr>
      <w:r w:rsidRPr="00455F2E">
        <w:rPr>
          <w:lang w:val="en-PH"/>
        </w:rPr>
        <w:t xml:space="preserve">The </w:t>
      </w:r>
      <w:r w:rsidRPr="009B0A9C">
        <w:rPr>
          <w:b/>
          <w:bCs/>
          <w:lang w:val="en-PH"/>
        </w:rPr>
        <w:t>national measures put in place to contain the spread of COVID-19 fully integrat</w:t>
      </w:r>
      <w:r w:rsidR="003F5306" w:rsidRPr="009B0A9C">
        <w:rPr>
          <w:b/>
          <w:bCs/>
          <w:lang w:val="en-PH"/>
        </w:rPr>
        <w:t xml:space="preserve">e the country’s compliance with </w:t>
      </w:r>
      <w:r w:rsidRPr="009B0A9C">
        <w:rPr>
          <w:b/>
          <w:bCs/>
          <w:lang w:val="en-PH"/>
        </w:rPr>
        <w:t>international human rights laws and standards</w:t>
      </w:r>
      <w:r w:rsidRPr="00455F2E">
        <w:rPr>
          <w:lang w:val="en-PH"/>
        </w:rPr>
        <w:t>. These measures correspond</w:t>
      </w:r>
      <w:r w:rsidR="003F5306">
        <w:rPr>
          <w:lang w:val="en-PH"/>
        </w:rPr>
        <w:t xml:space="preserve"> to the state of the Philippine </w:t>
      </w:r>
      <w:r w:rsidRPr="00455F2E">
        <w:rPr>
          <w:lang w:val="en-PH"/>
        </w:rPr>
        <w:t xml:space="preserve">health system and pandemic preparedness and response capacities, which is </w:t>
      </w:r>
      <w:r w:rsidR="003F5306">
        <w:rPr>
          <w:lang w:val="en-PH"/>
        </w:rPr>
        <w:t xml:space="preserve">described by the Joint External </w:t>
      </w:r>
      <w:r w:rsidRPr="00455F2E">
        <w:rPr>
          <w:lang w:val="en-PH"/>
        </w:rPr>
        <w:t>Evaluation of core capacities for International Health Regulations</w:t>
      </w:r>
      <w:r w:rsidR="00AD0194">
        <w:rPr>
          <w:lang w:val="en-PH"/>
        </w:rPr>
        <w:t xml:space="preserve"> (IHR)</w:t>
      </w:r>
      <w:r w:rsidRPr="00455F2E">
        <w:rPr>
          <w:lang w:val="en-PH"/>
        </w:rPr>
        <w:t xml:space="preserve"> 2005, p</w:t>
      </w:r>
      <w:r w:rsidR="003F5306">
        <w:rPr>
          <w:lang w:val="en-PH"/>
        </w:rPr>
        <w:t xml:space="preserve">ublished by the WHO in 2019, as </w:t>
      </w:r>
      <w:r w:rsidRPr="00455F2E">
        <w:rPr>
          <w:lang w:val="en-PH"/>
        </w:rPr>
        <w:t xml:space="preserve">“in need of strengthening”. </w:t>
      </w:r>
      <w:r w:rsidR="00AC1888" w:rsidRPr="00455F2E">
        <w:rPr>
          <w:lang w:val="en-PH"/>
        </w:rPr>
        <w:t>The Philippines has similarly complied with the reportorial requireme</w:t>
      </w:r>
      <w:r w:rsidRPr="00455F2E">
        <w:rPr>
          <w:lang w:val="en-PH"/>
        </w:rPr>
        <w:t xml:space="preserve">nts of IHR and has consistently </w:t>
      </w:r>
      <w:r w:rsidR="00AC1888" w:rsidRPr="00455F2E">
        <w:rPr>
          <w:lang w:val="en-PH"/>
        </w:rPr>
        <w:t>exercised transparency in the management of COVID-19. Following ar</w:t>
      </w:r>
      <w:r w:rsidR="003F5306">
        <w:rPr>
          <w:lang w:val="en-PH"/>
        </w:rPr>
        <w:t xml:space="preserve">e among the legal bases for the </w:t>
      </w:r>
      <w:r w:rsidR="00AC1888" w:rsidRPr="00455F2E">
        <w:rPr>
          <w:lang w:val="en-PH"/>
        </w:rPr>
        <w:t>measures put in place:</w:t>
      </w:r>
    </w:p>
    <w:p w14:paraId="282F8282" w14:textId="77777777" w:rsidR="003F5306" w:rsidRDefault="003F5306" w:rsidP="009B0A9C">
      <w:pPr>
        <w:autoSpaceDE w:val="0"/>
        <w:autoSpaceDN w:val="0"/>
        <w:adjustRightInd w:val="0"/>
        <w:spacing w:line="240" w:lineRule="auto"/>
        <w:jc w:val="both"/>
        <w:rPr>
          <w:lang w:val="en-PH"/>
        </w:rPr>
      </w:pPr>
    </w:p>
    <w:p w14:paraId="6C302DBF" w14:textId="5C3353A3" w:rsidR="009D07A0" w:rsidRPr="009D07A0" w:rsidRDefault="009D07A0" w:rsidP="009B0A9C">
      <w:pPr>
        <w:pStyle w:val="ListParagraph"/>
        <w:numPr>
          <w:ilvl w:val="0"/>
          <w:numId w:val="26"/>
        </w:numPr>
        <w:autoSpaceDE w:val="0"/>
        <w:autoSpaceDN w:val="0"/>
        <w:adjustRightInd w:val="0"/>
        <w:rPr>
          <w:sz w:val="22"/>
          <w:lang w:val="en-PH"/>
        </w:rPr>
      </w:pPr>
      <w:r w:rsidRPr="009D07A0">
        <w:rPr>
          <w:sz w:val="22"/>
          <w:lang w:val="en-PH"/>
        </w:rPr>
        <w:t xml:space="preserve">The </w:t>
      </w:r>
      <w:r>
        <w:rPr>
          <w:sz w:val="22"/>
          <w:lang w:val="en-PH"/>
        </w:rPr>
        <w:t xml:space="preserve">1987 </w:t>
      </w:r>
      <w:r w:rsidRPr="009D07A0">
        <w:rPr>
          <w:sz w:val="22"/>
          <w:lang w:val="en-PH"/>
        </w:rPr>
        <w:t>Philippine Constitution</w:t>
      </w:r>
    </w:p>
    <w:p w14:paraId="4A400C29" w14:textId="0A57FA76" w:rsidR="00AC1888" w:rsidRPr="009D07A0" w:rsidRDefault="00AC1888" w:rsidP="009B0A9C">
      <w:pPr>
        <w:pStyle w:val="ListParagraph"/>
        <w:numPr>
          <w:ilvl w:val="0"/>
          <w:numId w:val="26"/>
        </w:numPr>
        <w:autoSpaceDE w:val="0"/>
        <w:autoSpaceDN w:val="0"/>
        <w:adjustRightInd w:val="0"/>
        <w:jc w:val="both"/>
        <w:rPr>
          <w:sz w:val="22"/>
          <w:lang w:val="en-PH"/>
        </w:rPr>
      </w:pPr>
      <w:r w:rsidRPr="009D07A0">
        <w:rPr>
          <w:sz w:val="22"/>
          <w:lang w:val="en-PH"/>
        </w:rPr>
        <w:t>International Covenant on Economic, Social, and Cultural Rights</w:t>
      </w:r>
    </w:p>
    <w:p w14:paraId="161F7064" w14:textId="0D3422D1" w:rsidR="00AC1888" w:rsidRPr="009D07A0" w:rsidRDefault="009D07A0" w:rsidP="009B0A9C">
      <w:pPr>
        <w:pStyle w:val="ListParagraph"/>
        <w:numPr>
          <w:ilvl w:val="0"/>
          <w:numId w:val="26"/>
        </w:numPr>
        <w:autoSpaceDE w:val="0"/>
        <w:autoSpaceDN w:val="0"/>
        <w:adjustRightInd w:val="0"/>
        <w:rPr>
          <w:sz w:val="22"/>
          <w:lang w:val="en-PH"/>
        </w:rPr>
      </w:pPr>
      <w:r>
        <w:rPr>
          <w:sz w:val="22"/>
          <w:lang w:val="en-PH"/>
        </w:rPr>
        <w:t xml:space="preserve">WHO - </w:t>
      </w:r>
      <w:r w:rsidR="003F5306" w:rsidRPr="009D07A0">
        <w:rPr>
          <w:sz w:val="22"/>
          <w:lang w:val="en-PH"/>
        </w:rPr>
        <w:t>I</w:t>
      </w:r>
      <w:r w:rsidR="00AC1888" w:rsidRPr="009D07A0">
        <w:rPr>
          <w:sz w:val="22"/>
          <w:lang w:val="en-PH"/>
        </w:rPr>
        <w:t>nternational Health Regulations 2005</w:t>
      </w:r>
    </w:p>
    <w:p w14:paraId="363120E3" w14:textId="122D817E" w:rsidR="00AC1888" w:rsidRPr="009D07A0" w:rsidRDefault="00AC1888" w:rsidP="009B0A9C">
      <w:pPr>
        <w:pStyle w:val="ListParagraph"/>
        <w:numPr>
          <w:ilvl w:val="0"/>
          <w:numId w:val="26"/>
        </w:numPr>
        <w:autoSpaceDE w:val="0"/>
        <w:autoSpaceDN w:val="0"/>
        <w:adjustRightInd w:val="0"/>
        <w:rPr>
          <w:sz w:val="22"/>
          <w:lang w:val="en-PH"/>
        </w:rPr>
      </w:pPr>
      <w:r w:rsidRPr="009D07A0">
        <w:rPr>
          <w:sz w:val="22"/>
          <w:lang w:val="en-PH"/>
        </w:rPr>
        <w:t>Republic Act</w:t>
      </w:r>
      <w:r w:rsidR="009D07A0">
        <w:rPr>
          <w:sz w:val="22"/>
          <w:lang w:val="en-PH"/>
        </w:rPr>
        <w:t xml:space="preserve"> </w:t>
      </w:r>
      <w:r w:rsidR="00C64B03">
        <w:rPr>
          <w:sz w:val="22"/>
          <w:lang w:val="en-PH"/>
        </w:rPr>
        <w:t xml:space="preserve">No. </w:t>
      </w:r>
      <w:r w:rsidRPr="009D07A0">
        <w:rPr>
          <w:sz w:val="22"/>
          <w:lang w:val="en-PH"/>
        </w:rPr>
        <w:t>9271 or the Quarantine Act of 2004</w:t>
      </w:r>
    </w:p>
    <w:p w14:paraId="15C76BE0" w14:textId="42BF0500" w:rsidR="00AC1888" w:rsidRPr="009D07A0" w:rsidRDefault="00AC1888" w:rsidP="009B0A9C">
      <w:pPr>
        <w:pStyle w:val="ListParagraph"/>
        <w:numPr>
          <w:ilvl w:val="0"/>
          <w:numId w:val="26"/>
        </w:numPr>
        <w:autoSpaceDE w:val="0"/>
        <w:autoSpaceDN w:val="0"/>
        <w:adjustRightInd w:val="0"/>
        <w:rPr>
          <w:sz w:val="22"/>
          <w:lang w:val="en-PH"/>
        </w:rPr>
      </w:pPr>
      <w:r w:rsidRPr="009D07A0">
        <w:rPr>
          <w:sz w:val="22"/>
          <w:lang w:val="en-PH"/>
        </w:rPr>
        <w:t>Domestic laws implementing International Health Regulations of 2005</w:t>
      </w:r>
    </w:p>
    <w:p w14:paraId="1E8227D3" w14:textId="3C56949A" w:rsidR="00AC1888" w:rsidRPr="009D07A0" w:rsidRDefault="00AC1888" w:rsidP="009B0A9C">
      <w:pPr>
        <w:pStyle w:val="ListParagraph"/>
        <w:numPr>
          <w:ilvl w:val="0"/>
          <w:numId w:val="26"/>
        </w:numPr>
        <w:autoSpaceDE w:val="0"/>
        <w:autoSpaceDN w:val="0"/>
        <w:adjustRightInd w:val="0"/>
        <w:rPr>
          <w:sz w:val="22"/>
          <w:lang w:val="en-PH"/>
        </w:rPr>
      </w:pPr>
      <w:r w:rsidRPr="009D07A0">
        <w:rPr>
          <w:sz w:val="22"/>
          <w:lang w:val="en-PH"/>
        </w:rPr>
        <w:t>Republic Act</w:t>
      </w:r>
      <w:r w:rsidR="009B0A9C">
        <w:rPr>
          <w:sz w:val="22"/>
          <w:lang w:val="en-PH"/>
        </w:rPr>
        <w:t xml:space="preserve"> </w:t>
      </w:r>
      <w:r w:rsidR="00C64B03">
        <w:rPr>
          <w:sz w:val="22"/>
          <w:lang w:val="en-PH"/>
        </w:rPr>
        <w:t xml:space="preserve">No. </w:t>
      </w:r>
      <w:r w:rsidRPr="009D07A0">
        <w:rPr>
          <w:sz w:val="22"/>
          <w:lang w:val="en-PH"/>
        </w:rPr>
        <w:t>10121 or the Philippine Disaster Risk Reduction and Management Act of 2010</w:t>
      </w:r>
    </w:p>
    <w:p w14:paraId="59CE6CC1" w14:textId="1B7C48BD" w:rsidR="00AC1888" w:rsidRPr="009D07A0" w:rsidRDefault="00AC1888" w:rsidP="009B0A9C">
      <w:pPr>
        <w:pStyle w:val="ListParagraph"/>
        <w:numPr>
          <w:ilvl w:val="0"/>
          <w:numId w:val="26"/>
        </w:numPr>
        <w:autoSpaceDE w:val="0"/>
        <w:autoSpaceDN w:val="0"/>
        <w:adjustRightInd w:val="0"/>
        <w:rPr>
          <w:sz w:val="22"/>
          <w:lang w:val="en-PH"/>
        </w:rPr>
      </w:pPr>
      <w:r w:rsidRPr="009D07A0">
        <w:rPr>
          <w:sz w:val="22"/>
          <w:lang w:val="en-PH"/>
        </w:rPr>
        <w:t xml:space="preserve">Executive Order 168 </w:t>
      </w:r>
      <w:r w:rsidR="009D07A0">
        <w:rPr>
          <w:sz w:val="22"/>
          <w:lang w:val="en-PH"/>
        </w:rPr>
        <w:t>s.</w:t>
      </w:r>
      <w:r w:rsidRPr="009D07A0">
        <w:rPr>
          <w:sz w:val="22"/>
          <w:lang w:val="en-PH"/>
        </w:rPr>
        <w:t xml:space="preserve"> 2014 creating the Inter-Agency T</w:t>
      </w:r>
      <w:r w:rsidR="00455F2E" w:rsidRPr="009D07A0">
        <w:rPr>
          <w:sz w:val="22"/>
          <w:lang w:val="en-PH"/>
        </w:rPr>
        <w:t>ask Force for the Management of Emerging Infectious</w:t>
      </w:r>
      <w:r w:rsidR="003F5306" w:rsidRPr="009D07A0">
        <w:rPr>
          <w:sz w:val="22"/>
          <w:lang w:val="en-PH"/>
        </w:rPr>
        <w:t xml:space="preserve"> </w:t>
      </w:r>
      <w:r w:rsidRPr="009D07A0">
        <w:rPr>
          <w:sz w:val="22"/>
          <w:lang w:val="en-PH"/>
        </w:rPr>
        <w:t>Diseases in the Philippines</w:t>
      </w:r>
      <w:r w:rsidR="009D07A0">
        <w:rPr>
          <w:sz w:val="22"/>
          <w:lang w:val="en-PH"/>
        </w:rPr>
        <w:t xml:space="preserve"> (IATF)</w:t>
      </w:r>
    </w:p>
    <w:p w14:paraId="3FC98276" w14:textId="77777777" w:rsidR="007833D5" w:rsidRDefault="007833D5" w:rsidP="009B0A9C">
      <w:pPr>
        <w:spacing w:line="240" w:lineRule="auto"/>
        <w:rPr>
          <w:b/>
        </w:rPr>
      </w:pPr>
    </w:p>
    <w:p w14:paraId="6C23F847" w14:textId="4F63F0F1" w:rsidR="003F5306" w:rsidRDefault="003F5306" w:rsidP="00130487">
      <w:pPr>
        <w:pStyle w:val="ListParagraph"/>
        <w:numPr>
          <w:ilvl w:val="0"/>
          <w:numId w:val="40"/>
        </w:numPr>
        <w:ind w:left="284" w:hanging="284"/>
        <w:rPr>
          <w:b/>
        </w:rPr>
      </w:pPr>
      <w:r w:rsidRPr="003F5306">
        <w:rPr>
          <w:b/>
        </w:rPr>
        <w:t>Policies and measures undertaken in response to COVID-19</w:t>
      </w:r>
    </w:p>
    <w:p w14:paraId="47186818" w14:textId="77777777" w:rsidR="00671365" w:rsidRDefault="00671365" w:rsidP="009B0A9C">
      <w:pPr>
        <w:spacing w:line="240" w:lineRule="auto"/>
        <w:rPr>
          <w:b/>
        </w:rPr>
      </w:pPr>
    </w:p>
    <w:p w14:paraId="0E5E4221" w14:textId="7E81BC82" w:rsidR="00671365" w:rsidRPr="00671365" w:rsidRDefault="00671365" w:rsidP="009B0A9C">
      <w:pPr>
        <w:spacing w:line="240" w:lineRule="auto"/>
        <w:jc w:val="both"/>
      </w:pPr>
      <w:r w:rsidRPr="00671365">
        <w:t xml:space="preserve">On 7 March 2020, the country’s COVID-19 alert level system was raised to Code Red Sub-level 1 following the first reported localized transmission. A State of Public Health Emergency was declared throughout the Philippines on 8 March 2020 through Proclamation no. 922. On 12 March 2020, the COVID-19 alert level was raised to Code Red Sub-level 2 following the increase in the number of confirmed cases and evidence of sustained community transmission. Following discussions with the Inter-Agency Task Force </w:t>
      </w:r>
      <w:r w:rsidR="003A3EC0">
        <w:t>for the Management of</w:t>
      </w:r>
      <w:r w:rsidRPr="00671365">
        <w:t xml:space="preserve"> Emerging Infectious Diseases (IATF), </w:t>
      </w:r>
      <w:r w:rsidR="005B371A" w:rsidRPr="00FC38C8">
        <w:t xml:space="preserve">Philippine </w:t>
      </w:r>
      <w:r w:rsidRPr="00FC38C8">
        <w:t xml:space="preserve">President </w:t>
      </w:r>
      <w:r w:rsidR="005B371A" w:rsidRPr="00FC38C8">
        <w:t xml:space="preserve">Rodrigo </w:t>
      </w:r>
      <w:proofErr w:type="spellStart"/>
      <w:r w:rsidR="005B371A" w:rsidRPr="00FC38C8">
        <w:t>Roa</w:t>
      </w:r>
      <w:proofErr w:type="spellEnd"/>
      <w:r w:rsidR="005B371A" w:rsidRPr="00FC38C8">
        <w:t xml:space="preserve"> Duterte </w:t>
      </w:r>
      <w:r w:rsidRPr="00671365">
        <w:t xml:space="preserve">approved the imposition of Stringent Social Distancing Measures in the National Capital Region for 30 days. </w:t>
      </w:r>
    </w:p>
    <w:p w14:paraId="52FEF181" w14:textId="77777777" w:rsidR="003F5306" w:rsidRPr="003F5306" w:rsidRDefault="003F5306" w:rsidP="009B0A9C">
      <w:pPr>
        <w:spacing w:line="240" w:lineRule="auto"/>
        <w:rPr>
          <w:b/>
        </w:rPr>
      </w:pPr>
    </w:p>
    <w:p w14:paraId="540B1DA9" w14:textId="1DB9AEF7" w:rsidR="007833D5" w:rsidRPr="00FC38C8" w:rsidRDefault="003F5306" w:rsidP="009B0A9C">
      <w:pPr>
        <w:autoSpaceDE w:val="0"/>
        <w:autoSpaceDN w:val="0"/>
        <w:adjustRightInd w:val="0"/>
        <w:spacing w:line="240" w:lineRule="auto"/>
        <w:jc w:val="both"/>
        <w:rPr>
          <w:lang w:val="en-PH"/>
        </w:rPr>
      </w:pPr>
      <w:r w:rsidRPr="003F5306">
        <w:rPr>
          <w:lang w:val="en-PH"/>
        </w:rPr>
        <w:lastRenderedPageBreak/>
        <w:t xml:space="preserve">On 16 March 2020, </w:t>
      </w:r>
      <w:r w:rsidR="00671365">
        <w:rPr>
          <w:lang w:val="en-PH"/>
        </w:rPr>
        <w:t xml:space="preserve">the </w:t>
      </w:r>
      <w:r w:rsidRPr="003F5306">
        <w:rPr>
          <w:lang w:val="en-PH"/>
        </w:rPr>
        <w:t xml:space="preserve">President, through Proclamation no. 929, declared a State of Calamity throughout the Philippines due to COVID-19 for a period of six (6) months unless earlier lifted or extended as circumstances may warrant. </w:t>
      </w:r>
      <w:r w:rsidRPr="003F5306">
        <w:rPr>
          <w:color w:val="000000"/>
          <w:lang w:val="en-PH"/>
        </w:rPr>
        <w:t>With this declaration, the President activ</w:t>
      </w:r>
      <w:r w:rsidRPr="00FC38C8">
        <w:rPr>
          <w:lang w:val="en-PH"/>
        </w:rPr>
        <w:t>at</w:t>
      </w:r>
      <w:r w:rsidR="00FC38C8" w:rsidRPr="00FC38C8">
        <w:rPr>
          <w:lang w:val="en-PH"/>
        </w:rPr>
        <w:t>ed</w:t>
      </w:r>
      <w:r w:rsidRPr="003F5306">
        <w:rPr>
          <w:color w:val="000000"/>
          <w:lang w:val="en-PH"/>
        </w:rPr>
        <w:t xml:space="preserve"> all available government mechanisms to protect the</w:t>
      </w:r>
      <w:r w:rsidRPr="003F5306">
        <w:rPr>
          <w:lang w:val="en-PH"/>
        </w:rPr>
        <w:t xml:space="preserve"> </w:t>
      </w:r>
      <w:r w:rsidRPr="003F5306">
        <w:rPr>
          <w:color w:val="000000"/>
          <w:lang w:val="en-PH"/>
        </w:rPr>
        <w:t>Filipino people from the current health threat this country is facing. All concerned agencies of the national</w:t>
      </w:r>
      <w:r w:rsidRPr="003F5306">
        <w:rPr>
          <w:lang w:val="en-PH"/>
        </w:rPr>
        <w:t xml:space="preserve"> </w:t>
      </w:r>
      <w:r w:rsidRPr="003F5306">
        <w:rPr>
          <w:color w:val="000000"/>
          <w:lang w:val="en-PH"/>
        </w:rPr>
        <w:t xml:space="preserve">government, and even local government units, shall therefore be able to mobilize the necessary resources to attend to the immediate situation, including the basic needs of their affected constituents, and obtain necessary funding </w:t>
      </w:r>
      <w:r w:rsidRPr="00FC38C8">
        <w:rPr>
          <w:lang w:val="en-PH"/>
        </w:rPr>
        <w:t xml:space="preserve">support </w:t>
      </w:r>
      <w:r w:rsidR="00153B48" w:rsidRPr="00FC38C8">
        <w:rPr>
          <w:lang w:val="en-PH"/>
        </w:rPr>
        <w:t>thereof</w:t>
      </w:r>
      <w:r w:rsidR="00167536" w:rsidRPr="00FC38C8">
        <w:rPr>
          <w:lang w:val="en-PH"/>
        </w:rPr>
        <w:t>.</w:t>
      </w:r>
    </w:p>
    <w:p w14:paraId="6A748805" w14:textId="20BADF34" w:rsidR="007833D5" w:rsidRPr="00455F2E" w:rsidRDefault="007833D5" w:rsidP="009B0A9C">
      <w:pPr>
        <w:spacing w:line="240" w:lineRule="auto"/>
        <w:rPr>
          <w:b/>
        </w:rPr>
      </w:pPr>
    </w:p>
    <w:p w14:paraId="52E969CF" w14:textId="6318D1B0" w:rsidR="00A47D78" w:rsidRPr="00A47D78" w:rsidRDefault="00A47D78" w:rsidP="009B0A9C">
      <w:pPr>
        <w:spacing w:line="240" w:lineRule="auto"/>
        <w:jc w:val="both"/>
      </w:pPr>
      <w:r w:rsidRPr="00A47D78">
        <w:t xml:space="preserve">A strengthened </w:t>
      </w:r>
      <w:r w:rsidRPr="00A47D78">
        <w:rPr>
          <w:b/>
          <w:bCs/>
        </w:rPr>
        <w:t>whole-of-nation approach</w:t>
      </w:r>
      <w:r>
        <w:t xml:space="preserve"> i</w:t>
      </w:r>
      <w:r w:rsidRPr="00A47D78">
        <w:t xml:space="preserve">s </w:t>
      </w:r>
      <w:r>
        <w:t xml:space="preserve">undertaken </w:t>
      </w:r>
      <w:r w:rsidRPr="00A47D78">
        <w:t>by the Philippine</w:t>
      </w:r>
      <w:r w:rsidR="009B0A9C">
        <w:t xml:space="preserve"> </w:t>
      </w:r>
      <w:r w:rsidR="004A41A6">
        <w:t>G</w:t>
      </w:r>
      <w:r w:rsidR="009B0A9C">
        <w:t>overnment</w:t>
      </w:r>
      <w:r w:rsidRPr="00A47D78">
        <w:t xml:space="preserve"> to protect</w:t>
      </w:r>
      <w:r w:rsidR="009B0A9C">
        <w:t xml:space="preserve"> the</w:t>
      </w:r>
      <w:r w:rsidRPr="00A47D78">
        <w:t xml:space="preserve"> 110 </w:t>
      </w:r>
      <w:r w:rsidR="009B0A9C">
        <w:t>m</w:t>
      </w:r>
      <w:r w:rsidRPr="00A47D78">
        <w:t xml:space="preserve">illion </w:t>
      </w:r>
      <w:r w:rsidR="009B0A9C">
        <w:t>Filipinos</w:t>
      </w:r>
      <w:r w:rsidRPr="00A47D78">
        <w:t xml:space="preserve"> </w:t>
      </w:r>
      <w:r w:rsidR="009B0A9C">
        <w:t>from</w:t>
      </w:r>
      <w:r w:rsidRPr="00A47D78">
        <w:t xml:space="preserve"> the COVID-19 pandemic. Officials at the national, regional, provincial and local government units (LGUs) are innovating measures to implement national policies to protect the people and provide assistance to the members of the community.</w:t>
      </w:r>
    </w:p>
    <w:p w14:paraId="0233FC74" w14:textId="77777777" w:rsidR="002A45B6" w:rsidRPr="00A47D78" w:rsidRDefault="002A45B6" w:rsidP="009B0A9C">
      <w:pPr>
        <w:spacing w:line="240" w:lineRule="auto"/>
        <w:jc w:val="both"/>
      </w:pPr>
    </w:p>
    <w:p w14:paraId="5F4F634A" w14:textId="5A619243" w:rsidR="000F33A6" w:rsidRPr="00FC38C8" w:rsidRDefault="00A070E0" w:rsidP="009B0A9C">
      <w:pPr>
        <w:spacing w:line="240" w:lineRule="auto"/>
        <w:jc w:val="both"/>
        <w:rPr>
          <w:bCs/>
        </w:rPr>
      </w:pPr>
      <w:r w:rsidRPr="00A47D78">
        <w:t xml:space="preserve">Following are </w:t>
      </w:r>
      <w:r w:rsidR="006019ED" w:rsidRPr="00A47D78">
        <w:t xml:space="preserve">key </w:t>
      </w:r>
      <w:r w:rsidRPr="00A47D78">
        <w:t>updates on efforts and responses</w:t>
      </w:r>
      <w:r w:rsidR="00854A87">
        <w:t xml:space="preserve"> as compiled from the </w:t>
      </w:r>
      <w:r w:rsidR="00854A87" w:rsidRPr="00455F2E">
        <w:rPr>
          <w:bCs/>
        </w:rPr>
        <w:t xml:space="preserve">President’s Weekly Reports under </w:t>
      </w:r>
      <w:r w:rsidR="009B0A9C">
        <w:rPr>
          <w:bCs/>
        </w:rPr>
        <w:t xml:space="preserve">Republic Act </w:t>
      </w:r>
      <w:r w:rsidR="00C64B03">
        <w:rPr>
          <w:bCs/>
        </w:rPr>
        <w:t xml:space="preserve">No. </w:t>
      </w:r>
      <w:r w:rsidR="009B0A9C">
        <w:rPr>
          <w:bCs/>
        </w:rPr>
        <w:t xml:space="preserve">11469 or </w:t>
      </w:r>
      <w:r w:rsidR="00854A87" w:rsidRPr="00455F2E">
        <w:rPr>
          <w:bCs/>
        </w:rPr>
        <w:t xml:space="preserve">the </w:t>
      </w:r>
      <w:r w:rsidR="00854A87" w:rsidRPr="00854A87">
        <w:rPr>
          <w:bCs/>
        </w:rPr>
        <w:t>“</w:t>
      </w:r>
      <w:proofErr w:type="spellStart"/>
      <w:r w:rsidR="00854A87" w:rsidRPr="00854A87">
        <w:rPr>
          <w:b/>
          <w:iCs/>
        </w:rPr>
        <w:t>Bayanihan</w:t>
      </w:r>
      <w:proofErr w:type="spellEnd"/>
      <w:r w:rsidR="00854A87" w:rsidRPr="00854A87">
        <w:rPr>
          <w:rStyle w:val="FootnoteReference"/>
          <w:b/>
          <w:iCs/>
        </w:rPr>
        <w:footnoteReference w:id="1"/>
      </w:r>
      <w:r w:rsidR="00854A87" w:rsidRPr="00854A87">
        <w:rPr>
          <w:b/>
          <w:iCs/>
        </w:rPr>
        <w:t xml:space="preserve"> To Heal </w:t>
      </w:r>
      <w:proofErr w:type="gramStart"/>
      <w:r w:rsidR="00854A87" w:rsidRPr="00854A87">
        <w:rPr>
          <w:b/>
          <w:iCs/>
        </w:rPr>
        <w:t>As</w:t>
      </w:r>
      <w:proofErr w:type="gramEnd"/>
      <w:r w:rsidR="00854A87" w:rsidRPr="00854A87">
        <w:rPr>
          <w:b/>
          <w:iCs/>
        </w:rPr>
        <w:t xml:space="preserve"> One</w:t>
      </w:r>
      <w:r w:rsidR="00854A87" w:rsidRPr="00854A87">
        <w:rPr>
          <w:bCs/>
          <w:iCs/>
        </w:rPr>
        <w:t>”</w:t>
      </w:r>
      <w:r w:rsidR="00854A87" w:rsidRPr="00854A87">
        <w:rPr>
          <w:bCs/>
        </w:rPr>
        <w:t xml:space="preserve"> </w:t>
      </w:r>
      <w:r w:rsidR="00854A87" w:rsidRPr="00FC38C8">
        <w:rPr>
          <w:b/>
        </w:rPr>
        <w:t>Act</w:t>
      </w:r>
      <w:r w:rsidR="00854A87">
        <w:rPr>
          <w:bCs/>
        </w:rPr>
        <w:t xml:space="preserve"> </w:t>
      </w:r>
      <w:r w:rsidR="00FC38C8">
        <w:rPr>
          <w:bCs/>
        </w:rPr>
        <w:t xml:space="preserve">enacted on 24 March 2020, </w:t>
      </w:r>
      <w:r w:rsidR="00854A87">
        <w:rPr>
          <w:bCs/>
        </w:rPr>
        <w:t xml:space="preserve">and information </w:t>
      </w:r>
      <w:r w:rsidR="00854A87" w:rsidRPr="00FC38C8">
        <w:rPr>
          <w:bCs/>
        </w:rPr>
        <w:t>f</w:t>
      </w:r>
      <w:r w:rsidR="00467183" w:rsidRPr="00FC38C8">
        <w:rPr>
          <w:bCs/>
        </w:rPr>
        <w:t>ro</w:t>
      </w:r>
      <w:r w:rsidR="00854A87" w:rsidRPr="00FC38C8">
        <w:rPr>
          <w:bCs/>
        </w:rPr>
        <w:t xml:space="preserve">m government agencies:  </w:t>
      </w:r>
    </w:p>
    <w:p w14:paraId="03A0FF07" w14:textId="77777777" w:rsidR="00142D0C" w:rsidRPr="00455F2E" w:rsidRDefault="00142D0C" w:rsidP="009B0A9C">
      <w:pPr>
        <w:spacing w:line="240" w:lineRule="auto"/>
        <w:jc w:val="both"/>
        <w:rPr>
          <w:b/>
        </w:rPr>
      </w:pPr>
    </w:p>
    <w:tbl>
      <w:tblPr>
        <w:tblStyle w:val="a0"/>
        <w:tblW w:w="963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364560" w:rsidRPr="00455F2E" w14:paraId="04E7B1A8" w14:textId="77777777" w:rsidTr="00364560">
        <w:trPr>
          <w:trHeight w:val="450"/>
        </w:trPr>
        <w:tc>
          <w:tcPr>
            <w:tcW w:w="9639" w:type="dxa"/>
            <w:shd w:val="clear" w:color="auto" w:fill="FDE9D9" w:themeFill="accent6" w:themeFillTint="33"/>
            <w:tcMar>
              <w:top w:w="100" w:type="dxa"/>
              <w:left w:w="100" w:type="dxa"/>
              <w:bottom w:w="100" w:type="dxa"/>
              <w:right w:w="100" w:type="dxa"/>
            </w:tcMar>
          </w:tcPr>
          <w:p w14:paraId="4663FCD7" w14:textId="313E75D8" w:rsidR="00364560" w:rsidRPr="00455F2E" w:rsidRDefault="0013099D" w:rsidP="009B0A9C">
            <w:pPr>
              <w:spacing w:line="240" w:lineRule="auto"/>
              <w:jc w:val="both"/>
              <w:rPr>
                <w:b/>
                <w:bCs/>
              </w:rPr>
            </w:pPr>
            <w:r>
              <w:rPr>
                <w:b/>
                <w:bCs/>
              </w:rPr>
              <w:t xml:space="preserve">2.1 </w:t>
            </w:r>
            <w:r w:rsidR="00854A87">
              <w:rPr>
                <w:b/>
                <w:bCs/>
              </w:rPr>
              <w:t>Social Amelioration Programs (SAPs)</w:t>
            </w:r>
          </w:p>
        </w:tc>
      </w:tr>
      <w:tr w:rsidR="0011372F" w:rsidRPr="00455F2E" w14:paraId="2F07DD4C" w14:textId="77777777" w:rsidTr="004A5B81">
        <w:trPr>
          <w:trHeight w:val="450"/>
        </w:trPr>
        <w:tc>
          <w:tcPr>
            <w:tcW w:w="9639" w:type="dxa"/>
            <w:shd w:val="clear" w:color="auto" w:fill="auto"/>
            <w:tcMar>
              <w:top w:w="100" w:type="dxa"/>
              <w:left w:w="100" w:type="dxa"/>
              <w:bottom w:w="100" w:type="dxa"/>
              <w:right w:w="100" w:type="dxa"/>
            </w:tcMar>
          </w:tcPr>
          <w:p w14:paraId="47971C93" w14:textId="5FEAB570" w:rsidR="00EA3FAB" w:rsidRPr="00455F2E" w:rsidRDefault="00EA3FAB" w:rsidP="009B0A9C">
            <w:pPr>
              <w:spacing w:line="240" w:lineRule="auto"/>
              <w:jc w:val="both"/>
              <w:rPr>
                <w:b/>
                <w:bCs/>
              </w:rPr>
            </w:pPr>
            <w:r w:rsidRPr="00455F2E">
              <w:t xml:space="preserve">The Philippine </w:t>
            </w:r>
            <w:r w:rsidR="004A41A6">
              <w:t>G</w:t>
            </w:r>
            <w:r w:rsidRPr="00455F2E">
              <w:t xml:space="preserve">overnment has launched </w:t>
            </w:r>
            <w:r w:rsidRPr="00455F2E">
              <w:rPr>
                <w:b/>
              </w:rPr>
              <w:t xml:space="preserve">a USD 3.9 </w:t>
            </w:r>
            <w:r w:rsidR="00C64B03">
              <w:rPr>
                <w:b/>
              </w:rPr>
              <w:t>b</w:t>
            </w:r>
            <w:r w:rsidRPr="00455F2E">
              <w:rPr>
                <w:b/>
              </w:rPr>
              <w:t>illion emergency cash and non-cash subsidy program</w:t>
            </w:r>
            <w:r w:rsidRPr="00455F2E">
              <w:t xml:space="preserve">, considered as the </w:t>
            </w:r>
            <w:r w:rsidRPr="00455F2E">
              <w:rPr>
                <w:b/>
              </w:rPr>
              <w:t>largest and widest in Philippine history</w:t>
            </w:r>
            <w:r w:rsidRPr="00455F2E">
              <w:t>, to benefit 18 million low-income households</w:t>
            </w:r>
            <w:r w:rsidR="00C64B03">
              <w:t>. It</w:t>
            </w:r>
            <w:r w:rsidRPr="00455F2E">
              <w:t xml:space="preserve"> has also rolled out U</w:t>
            </w:r>
            <w:r w:rsidR="007A55A8" w:rsidRPr="00455F2E">
              <w:t>SD</w:t>
            </w:r>
            <w:r w:rsidRPr="00455F2E">
              <w:t xml:space="preserve"> 542 million worth of economic package for affected workers and establishments, farmers and </w:t>
            </w:r>
            <w:r w:rsidRPr="00FC38C8">
              <w:t xml:space="preserve">fisherfolks and </w:t>
            </w:r>
            <w:r w:rsidR="008F7C7C" w:rsidRPr="00FC38C8">
              <w:t>micro-, small- and medium</w:t>
            </w:r>
            <w:r w:rsidR="00024EB8" w:rsidRPr="00FC38C8">
              <w:t>-scale</w:t>
            </w:r>
            <w:r w:rsidR="008F7C7C" w:rsidRPr="00FC38C8">
              <w:t xml:space="preserve"> enterprise</w:t>
            </w:r>
            <w:r w:rsidR="00024EB8" w:rsidRPr="00FC38C8">
              <w:t>s</w:t>
            </w:r>
            <w:r w:rsidR="008F7C7C" w:rsidRPr="00FC38C8">
              <w:t xml:space="preserve"> (</w:t>
            </w:r>
            <w:r w:rsidRPr="00FC38C8">
              <w:t>MSMEs</w:t>
            </w:r>
            <w:r w:rsidR="008F7C7C" w:rsidRPr="00FC38C8">
              <w:t>)</w:t>
            </w:r>
            <w:r w:rsidRPr="00FC38C8">
              <w:t>. Further measures are being put in place to respond to the pandemic’s wide-ranging impact.</w:t>
            </w:r>
            <w:r w:rsidR="00206FE5" w:rsidRPr="00FC38C8">
              <w:t xml:space="preserve"> This </w:t>
            </w:r>
            <w:r w:rsidR="008B0863" w:rsidRPr="00FC38C8">
              <w:t xml:space="preserve">has been </w:t>
            </w:r>
            <w:r w:rsidR="00206FE5" w:rsidRPr="00FC38C8">
              <w:t>translated</w:t>
            </w:r>
            <w:r w:rsidR="00206FE5" w:rsidRPr="00455F2E">
              <w:t xml:space="preserve"> </w:t>
            </w:r>
            <w:r w:rsidR="00C64B03">
              <w:t>in</w:t>
            </w:r>
            <w:r w:rsidR="00206FE5" w:rsidRPr="00455F2E">
              <w:t>to the following programs:</w:t>
            </w:r>
          </w:p>
          <w:p w14:paraId="0B300321" w14:textId="77777777" w:rsidR="00EA3FAB" w:rsidRPr="00455F2E" w:rsidRDefault="00EA3FAB" w:rsidP="009B0A9C">
            <w:pPr>
              <w:spacing w:line="240" w:lineRule="auto"/>
            </w:pPr>
          </w:p>
          <w:p w14:paraId="4BF4C6A7" w14:textId="00E8F19C" w:rsidR="00364560" w:rsidRPr="00455F2E" w:rsidRDefault="0011372F" w:rsidP="009B0A9C">
            <w:pPr>
              <w:pStyle w:val="ListParagraph"/>
              <w:numPr>
                <w:ilvl w:val="0"/>
                <w:numId w:val="22"/>
              </w:numPr>
              <w:ind w:left="611" w:hanging="284"/>
              <w:contextualSpacing w:val="0"/>
              <w:jc w:val="both"/>
              <w:rPr>
                <w:rFonts w:cs="Arial"/>
                <w:sz w:val="22"/>
              </w:rPr>
            </w:pPr>
            <w:r w:rsidRPr="00455F2E">
              <w:rPr>
                <w:rFonts w:cs="Arial"/>
                <w:b/>
                <w:bCs/>
                <w:sz w:val="22"/>
              </w:rPr>
              <w:t xml:space="preserve">Department of Social Welfare and Development (DSWD)’s Emergency Subsidy Program (ESP). </w:t>
            </w:r>
            <w:r w:rsidR="00226EF5" w:rsidRPr="00455F2E">
              <w:rPr>
                <w:rFonts w:cs="Arial"/>
                <w:b/>
                <w:bCs/>
                <w:sz w:val="22"/>
              </w:rPr>
              <w:t xml:space="preserve"> </w:t>
            </w:r>
            <w:r w:rsidRPr="00455F2E">
              <w:rPr>
                <w:rFonts w:cs="Arial"/>
                <w:sz w:val="22"/>
              </w:rPr>
              <w:t>Pursuant to Republic Act No. 1146, an emergency subsidy ranging from P</w:t>
            </w:r>
            <w:r w:rsidR="00DD5E3E" w:rsidRPr="00455F2E">
              <w:rPr>
                <w:rFonts w:cs="Arial"/>
                <w:sz w:val="22"/>
              </w:rPr>
              <w:t xml:space="preserve">HP </w:t>
            </w:r>
            <w:r w:rsidRPr="00455F2E">
              <w:rPr>
                <w:rFonts w:cs="Arial"/>
                <w:sz w:val="22"/>
              </w:rPr>
              <w:t xml:space="preserve">5,000 </w:t>
            </w:r>
            <w:r w:rsidR="00DD5E3E" w:rsidRPr="00455F2E">
              <w:rPr>
                <w:rFonts w:cs="Arial"/>
                <w:sz w:val="22"/>
              </w:rPr>
              <w:t xml:space="preserve">to </w:t>
            </w:r>
            <w:r w:rsidRPr="00455F2E">
              <w:rPr>
                <w:rFonts w:cs="Arial"/>
                <w:sz w:val="22"/>
              </w:rPr>
              <w:t>8,000</w:t>
            </w:r>
            <w:r w:rsidR="00DD5E3E" w:rsidRPr="00455F2E">
              <w:rPr>
                <w:rFonts w:cs="Arial"/>
                <w:sz w:val="22"/>
              </w:rPr>
              <w:t xml:space="preserve"> (USD 100 to 160)</w:t>
            </w:r>
            <w:r w:rsidRPr="00455F2E">
              <w:rPr>
                <w:rFonts w:cs="Arial"/>
                <w:sz w:val="22"/>
              </w:rPr>
              <w:t xml:space="preserve">, computed based on prevailing regional minimum wage rates, will be provided to 18 million low income households for two months on a ‘per family basis’. </w:t>
            </w:r>
          </w:p>
          <w:p w14:paraId="0875E151" w14:textId="77777777" w:rsidR="00364560" w:rsidRPr="00455F2E" w:rsidRDefault="00364560" w:rsidP="009B0A9C">
            <w:pPr>
              <w:pStyle w:val="ListParagraph"/>
              <w:contextualSpacing w:val="0"/>
              <w:jc w:val="both"/>
              <w:rPr>
                <w:rFonts w:cs="Arial"/>
                <w:b/>
                <w:bCs/>
                <w:sz w:val="22"/>
              </w:rPr>
            </w:pPr>
          </w:p>
          <w:p w14:paraId="12C87709" w14:textId="6D70BAED" w:rsidR="0011372F" w:rsidRPr="00455F2E" w:rsidRDefault="0011372F" w:rsidP="009B0A9C">
            <w:pPr>
              <w:pStyle w:val="ListParagraph"/>
              <w:ind w:left="611"/>
              <w:contextualSpacing w:val="0"/>
              <w:jc w:val="both"/>
              <w:rPr>
                <w:rFonts w:cs="Arial"/>
                <w:sz w:val="22"/>
              </w:rPr>
            </w:pPr>
            <w:r w:rsidRPr="00455F2E">
              <w:rPr>
                <w:rFonts w:cs="Arial"/>
                <w:sz w:val="22"/>
              </w:rPr>
              <w:t xml:space="preserve">The DSWD </w:t>
            </w:r>
            <w:r w:rsidR="00FE7953">
              <w:rPr>
                <w:rFonts w:cs="Arial"/>
                <w:sz w:val="22"/>
              </w:rPr>
              <w:t>has</w:t>
            </w:r>
            <w:r w:rsidRPr="00455F2E">
              <w:rPr>
                <w:rFonts w:cs="Arial"/>
                <w:sz w:val="22"/>
              </w:rPr>
              <w:t xml:space="preserve"> consolidat</w:t>
            </w:r>
            <w:r w:rsidR="00FE7953">
              <w:rPr>
                <w:rFonts w:cs="Arial"/>
                <w:sz w:val="22"/>
              </w:rPr>
              <w:t>ed</w:t>
            </w:r>
            <w:r w:rsidRPr="00455F2E">
              <w:rPr>
                <w:rFonts w:cs="Arial"/>
                <w:sz w:val="22"/>
              </w:rPr>
              <w:t xml:space="preserve"> and harmoniz</w:t>
            </w:r>
            <w:r w:rsidR="00FE7953">
              <w:rPr>
                <w:rFonts w:cs="Arial"/>
                <w:sz w:val="22"/>
              </w:rPr>
              <w:t>ed</w:t>
            </w:r>
            <w:r w:rsidRPr="00455F2E">
              <w:rPr>
                <w:rFonts w:cs="Arial"/>
                <w:sz w:val="22"/>
              </w:rPr>
              <w:t xml:space="preserve"> all issuances in implementing the SAP to ensure that benefits are given to the rightful beneficiaries. It is also noted that the amount received by beneficiaries </w:t>
            </w:r>
            <w:r w:rsidR="00FE7953">
              <w:rPr>
                <w:rFonts w:cs="Arial"/>
                <w:sz w:val="22"/>
              </w:rPr>
              <w:t xml:space="preserve">has also </w:t>
            </w:r>
            <w:r w:rsidRPr="00455F2E">
              <w:rPr>
                <w:rFonts w:cs="Arial"/>
                <w:sz w:val="22"/>
              </w:rPr>
              <w:t>take</w:t>
            </w:r>
            <w:r w:rsidR="00FE7953">
              <w:rPr>
                <w:rFonts w:cs="Arial"/>
                <w:sz w:val="22"/>
              </w:rPr>
              <w:t>n</w:t>
            </w:r>
            <w:r w:rsidRPr="00455F2E">
              <w:rPr>
                <w:rFonts w:cs="Arial"/>
                <w:sz w:val="22"/>
              </w:rPr>
              <w:t xml:space="preserve"> into consideration those who are already part of the Conditional Cash Transfer (CCT) program under </w:t>
            </w:r>
            <w:r w:rsidRPr="00455F2E">
              <w:rPr>
                <w:rFonts w:cs="Arial"/>
                <w:i/>
                <w:iCs/>
                <w:sz w:val="22"/>
              </w:rPr>
              <w:t xml:space="preserve">the </w:t>
            </w:r>
            <w:proofErr w:type="spellStart"/>
            <w:r w:rsidRPr="00455F2E">
              <w:rPr>
                <w:rFonts w:cs="Arial"/>
                <w:i/>
                <w:iCs/>
                <w:sz w:val="22"/>
              </w:rPr>
              <w:t>Pantawid</w:t>
            </w:r>
            <w:proofErr w:type="spellEnd"/>
            <w:r w:rsidRPr="00455F2E">
              <w:rPr>
                <w:rFonts w:cs="Arial"/>
                <w:i/>
                <w:iCs/>
                <w:sz w:val="22"/>
              </w:rPr>
              <w:t xml:space="preserve"> </w:t>
            </w:r>
            <w:proofErr w:type="spellStart"/>
            <w:r w:rsidRPr="00455F2E">
              <w:rPr>
                <w:rFonts w:cs="Arial"/>
                <w:i/>
                <w:iCs/>
                <w:sz w:val="22"/>
              </w:rPr>
              <w:t>Pamilyang</w:t>
            </w:r>
            <w:proofErr w:type="spellEnd"/>
            <w:r w:rsidRPr="00455F2E">
              <w:rPr>
                <w:rFonts w:cs="Arial"/>
                <w:i/>
                <w:iCs/>
                <w:sz w:val="22"/>
              </w:rPr>
              <w:t xml:space="preserve"> Pilipino</w:t>
            </w:r>
            <w:r w:rsidRPr="00455F2E">
              <w:rPr>
                <w:rFonts w:cs="Arial"/>
                <w:sz w:val="22"/>
              </w:rPr>
              <w:t xml:space="preserve"> Program (4Ps) and those who are non-4Ps. </w:t>
            </w:r>
          </w:p>
          <w:p w14:paraId="2F8B5E73" w14:textId="77777777" w:rsidR="0011372F" w:rsidRPr="00455F2E" w:rsidRDefault="0011372F" w:rsidP="009B0A9C">
            <w:pPr>
              <w:spacing w:line="240" w:lineRule="auto"/>
              <w:ind w:left="888"/>
              <w:jc w:val="both"/>
            </w:pPr>
          </w:p>
          <w:p w14:paraId="10B334E0" w14:textId="70CDF2AD" w:rsidR="0011372F" w:rsidRPr="003A3EC0" w:rsidRDefault="0011372F" w:rsidP="009B0A9C">
            <w:pPr>
              <w:pStyle w:val="ListParagraph"/>
              <w:ind w:left="611"/>
              <w:contextualSpacing w:val="0"/>
              <w:jc w:val="both"/>
              <w:rPr>
                <w:rFonts w:cs="Arial"/>
                <w:sz w:val="22"/>
              </w:rPr>
            </w:pPr>
            <w:r w:rsidRPr="003A3EC0">
              <w:rPr>
                <w:rFonts w:cs="Arial"/>
                <w:sz w:val="22"/>
              </w:rPr>
              <w:t xml:space="preserve">As of </w:t>
            </w:r>
            <w:r w:rsidR="00C64B03" w:rsidRPr="003A3EC0">
              <w:rPr>
                <w:rFonts w:cs="Arial"/>
                <w:sz w:val="22"/>
              </w:rPr>
              <w:t>29</w:t>
            </w:r>
            <w:r w:rsidRPr="003A3EC0">
              <w:rPr>
                <w:rFonts w:cs="Arial"/>
                <w:sz w:val="22"/>
              </w:rPr>
              <w:t xml:space="preserve"> </w:t>
            </w:r>
            <w:r w:rsidR="00C64B03" w:rsidRPr="003A3EC0">
              <w:rPr>
                <w:rFonts w:cs="Arial"/>
                <w:sz w:val="22"/>
              </w:rPr>
              <w:t>May</w:t>
            </w:r>
            <w:r w:rsidRPr="003A3EC0">
              <w:rPr>
                <w:rFonts w:cs="Arial"/>
                <w:sz w:val="22"/>
              </w:rPr>
              <w:t xml:space="preserve"> 2020,</w:t>
            </w:r>
            <w:r w:rsidR="003A3EC0" w:rsidRPr="003A3EC0">
              <w:rPr>
                <w:rStyle w:val="FootnoteReference"/>
                <w:rFonts w:cs="Arial"/>
                <w:sz w:val="22"/>
              </w:rPr>
              <w:footnoteReference w:id="2"/>
            </w:r>
            <w:r w:rsidRPr="003A3EC0">
              <w:rPr>
                <w:rFonts w:cs="Arial"/>
                <w:sz w:val="22"/>
              </w:rPr>
              <w:t xml:space="preserve"> </w:t>
            </w:r>
            <w:r w:rsidR="00C64B03" w:rsidRPr="003A3EC0">
              <w:rPr>
                <w:rFonts w:cs="Arial"/>
                <w:b/>
                <w:bCs/>
                <w:sz w:val="22"/>
              </w:rPr>
              <w:t>17,579,395</w:t>
            </w:r>
            <w:r w:rsidRPr="003A3EC0">
              <w:rPr>
                <w:rFonts w:cs="Arial"/>
                <w:b/>
                <w:bCs/>
                <w:sz w:val="22"/>
              </w:rPr>
              <w:t xml:space="preserve"> </w:t>
            </w:r>
            <w:r w:rsidRPr="003A3EC0">
              <w:rPr>
                <w:rFonts w:cs="Arial"/>
                <w:sz w:val="22"/>
              </w:rPr>
              <w:t xml:space="preserve">households </w:t>
            </w:r>
            <w:r w:rsidR="003A3EC0" w:rsidRPr="003A3EC0">
              <w:rPr>
                <w:rFonts w:cs="Arial"/>
                <w:sz w:val="22"/>
              </w:rPr>
              <w:t>(98 percent of the total estimated beneficiaries)</w:t>
            </w:r>
            <w:r w:rsidR="003A3EC0" w:rsidRPr="003A3EC0">
              <w:rPr>
                <w:rFonts w:cs="Arial"/>
                <w:b/>
                <w:bCs/>
                <w:sz w:val="22"/>
              </w:rPr>
              <w:t xml:space="preserve"> </w:t>
            </w:r>
            <w:r w:rsidRPr="003A3EC0">
              <w:rPr>
                <w:rFonts w:cs="Arial"/>
                <w:sz w:val="22"/>
              </w:rPr>
              <w:t xml:space="preserve">have already been served, which includes </w:t>
            </w:r>
            <w:r w:rsidR="00C64B03" w:rsidRPr="003A3EC0">
              <w:rPr>
                <w:rFonts w:cs="Arial"/>
                <w:sz w:val="22"/>
              </w:rPr>
              <w:t>4,222,925</w:t>
            </w:r>
            <w:r w:rsidRPr="003A3EC0">
              <w:rPr>
                <w:rFonts w:cs="Arial"/>
                <w:sz w:val="22"/>
              </w:rPr>
              <w:t xml:space="preserve"> beneficiaries under 4Ps and </w:t>
            </w:r>
            <w:r w:rsidR="003A3EC0" w:rsidRPr="003A3EC0">
              <w:rPr>
                <w:rFonts w:cs="Arial"/>
                <w:sz w:val="22"/>
              </w:rPr>
              <w:t>13,294</w:t>
            </w:r>
            <w:r w:rsidRPr="003A3EC0">
              <w:rPr>
                <w:rFonts w:cs="Arial"/>
                <w:sz w:val="22"/>
              </w:rPr>
              <w:t>,</w:t>
            </w:r>
            <w:r w:rsidR="003A3EC0" w:rsidRPr="003A3EC0">
              <w:rPr>
                <w:rFonts w:cs="Arial"/>
                <w:sz w:val="22"/>
              </w:rPr>
              <w:t>442</w:t>
            </w:r>
            <w:r w:rsidRPr="003A3EC0">
              <w:rPr>
                <w:rFonts w:cs="Arial"/>
                <w:sz w:val="22"/>
              </w:rPr>
              <w:t xml:space="preserve"> non-4Ps. </w:t>
            </w:r>
          </w:p>
          <w:p w14:paraId="460039B6" w14:textId="77777777" w:rsidR="0011372F" w:rsidRPr="003A3EC0" w:rsidRDefault="0011372F" w:rsidP="009B0A9C">
            <w:pPr>
              <w:spacing w:line="240" w:lineRule="auto"/>
              <w:ind w:left="888"/>
              <w:jc w:val="both"/>
            </w:pPr>
          </w:p>
          <w:p w14:paraId="11B2C7C6" w14:textId="0CAD2DE0" w:rsidR="0011372F" w:rsidRPr="003A3EC0" w:rsidRDefault="0011372F" w:rsidP="009B0A9C">
            <w:pPr>
              <w:pStyle w:val="ListParagraph"/>
              <w:ind w:left="611"/>
              <w:contextualSpacing w:val="0"/>
              <w:jc w:val="both"/>
              <w:rPr>
                <w:rFonts w:cs="Arial"/>
                <w:sz w:val="22"/>
              </w:rPr>
            </w:pPr>
            <w:r w:rsidRPr="003A3EC0">
              <w:rPr>
                <w:rFonts w:cs="Arial"/>
                <w:b/>
                <w:bCs/>
                <w:sz w:val="22"/>
              </w:rPr>
              <w:t>PHP</w:t>
            </w:r>
            <w:r w:rsidR="003A3EC0" w:rsidRPr="003A3EC0">
              <w:rPr>
                <w:rFonts w:cs="Arial"/>
                <w:b/>
                <w:bCs/>
                <w:sz w:val="22"/>
              </w:rPr>
              <w:t xml:space="preserve"> </w:t>
            </w:r>
            <w:r w:rsidRPr="003A3EC0">
              <w:rPr>
                <w:rFonts w:cs="Arial"/>
                <w:b/>
                <w:bCs/>
                <w:sz w:val="22"/>
              </w:rPr>
              <w:t>1</w:t>
            </w:r>
            <w:r w:rsidR="003A3EC0" w:rsidRPr="003A3EC0">
              <w:rPr>
                <w:rFonts w:cs="Arial"/>
                <w:b/>
                <w:bCs/>
                <w:sz w:val="22"/>
              </w:rPr>
              <w:t>8.3</w:t>
            </w:r>
            <w:r w:rsidRPr="003A3EC0">
              <w:rPr>
                <w:rFonts w:cs="Arial"/>
                <w:b/>
                <w:bCs/>
                <w:sz w:val="22"/>
              </w:rPr>
              <w:t xml:space="preserve"> billion </w:t>
            </w:r>
            <w:r w:rsidR="00633D9B">
              <w:rPr>
                <w:rFonts w:cs="Arial"/>
                <w:b/>
                <w:bCs/>
                <w:sz w:val="22"/>
              </w:rPr>
              <w:t xml:space="preserve">(USD 366 million) </w:t>
            </w:r>
            <w:r w:rsidRPr="003A3EC0">
              <w:rPr>
                <w:rFonts w:cs="Arial"/>
                <w:sz w:val="22"/>
              </w:rPr>
              <w:t xml:space="preserve">has already been </w:t>
            </w:r>
            <w:r w:rsidR="003A3EC0" w:rsidRPr="003A3EC0">
              <w:rPr>
                <w:rFonts w:cs="Arial"/>
                <w:sz w:val="22"/>
              </w:rPr>
              <w:t xml:space="preserve">received by the beneficiaries under 4Ps, while </w:t>
            </w:r>
            <w:r w:rsidRPr="003A3EC0">
              <w:rPr>
                <w:rFonts w:cs="Arial"/>
                <w:b/>
                <w:bCs/>
                <w:sz w:val="22"/>
              </w:rPr>
              <w:t>PHP</w:t>
            </w:r>
            <w:r w:rsidR="003A3EC0" w:rsidRPr="003A3EC0">
              <w:rPr>
                <w:rFonts w:cs="Arial"/>
                <w:b/>
                <w:bCs/>
                <w:sz w:val="22"/>
              </w:rPr>
              <w:t xml:space="preserve"> 80.5</w:t>
            </w:r>
            <w:r w:rsidRPr="003A3EC0">
              <w:rPr>
                <w:rFonts w:cs="Arial"/>
                <w:b/>
                <w:bCs/>
                <w:sz w:val="22"/>
              </w:rPr>
              <w:t xml:space="preserve"> billion </w:t>
            </w:r>
            <w:r w:rsidR="00633D9B">
              <w:rPr>
                <w:rFonts w:cs="Arial"/>
                <w:b/>
                <w:bCs/>
                <w:sz w:val="22"/>
              </w:rPr>
              <w:t xml:space="preserve">(USD 1.6 billion) </w:t>
            </w:r>
            <w:r w:rsidRPr="003A3EC0">
              <w:rPr>
                <w:rFonts w:cs="Arial"/>
                <w:sz w:val="22"/>
              </w:rPr>
              <w:t>has already been</w:t>
            </w:r>
            <w:r w:rsidRPr="003A3EC0">
              <w:rPr>
                <w:rFonts w:cs="Arial"/>
                <w:b/>
                <w:bCs/>
                <w:sz w:val="22"/>
              </w:rPr>
              <w:t xml:space="preserve"> </w:t>
            </w:r>
            <w:r w:rsidR="003A3EC0" w:rsidRPr="003A3EC0">
              <w:rPr>
                <w:rFonts w:cs="Arial"/>
                <w:sz w:val="22"/>
              </w:rPr>
              <w:t>received by beneficiaries not included in the 4Ps program</w:t>
            </w:r>
            <w:r w:rsidRPr="003A3EC0">
              <w:rPr>
                <w:rFonts w:cs="Arial"/>
                <w:sz w:val="22"/>
              </w:rPr>
              <w:t xml:space="preserve">. </w:t>
            </w:r>
          </w:p>
          <w:p w14:paraId="12A6A371" w14:textId="77777777" w:rsidR="0011372F" w:rsidRPr="003A3EC0" w:rsidRDefault="0011372F" w:rsidP="009B0A9C">
            <w:pPr>
              <w:spacing w:line="240" w:lineRule="auto"/>
              <w:ind w:left="888"/>
              <w:jc w:val="both"/>
            </w:pPr>
          </w:p>
          <w:p w14:paraId="098EACC7" w14:textId="4BDA2DDC" w:rsidR="0011372F" w:rsidRPr="00455F2E" w:rsidRDefault="0011372F" w:rsidP="009B0A9C">
            <w:pPr>
              <w:pStyle w:val="ListParagraph"/>
              <w:numPr>
                <w:ilvl w:val="0"/>
                <w:numId w:val="22"/>
              </w:numPr>
              <w:ind w:left="611" w:hanging="284"/>
              <w:contextualSpacing w:val="0"/>
              <w:jc w:val="both"/>
              <w:rPr>
                <w:rFonts w:cs="Arial"/>
                <w:b/>
                <w:bCs/>
                <w:sz w:val="22"/>
              </w:rPr>
            </w:pPr>
            <w:r w:rsidRPr="003A3EC0">
              <w:rPr>
                <w:rFonts w:cs="Arial"/>
                <w:b/>
                <w:bCs/>
                <w:sz w:val="22"/>
              </w:rPr>
              <w:t>D</w:t>
            </w:r>
            <w:r w:rsidR="00A47D78" w:rsidRPr="003A3EC0">
              <w:rPr>
                <w:rFonts w:cs="Arial"/>
                <w:b/>
                <w:bCs/>
                <w:sz w:val="22"/>
              </w:rPr>
              <w:t>epartment</w:t>
            </w:r>
            <w:r w:rsidR="00A47D78">
              <w:rPr>
                <w:rFonts w:cs="Arial"/>
                <w:b/>
                <w:bCs/>
                <w:sz w:val="22"/>
              </w:rPr>
              <w:t xml:space="preserve"> of Labor and Employment (DOLE)’s </w:t>
            </w:r>
            <w:r w:rsidRPr="00455F2E">
              <w:rPr>
                <w:rFonts w:cs="Arial"/>
                <w:b/>
                <w:bCs/>
                <w:sz w:val="22"/>
              </w:rPr>
              <w:t>COVID-19 Adjustment Measures Program (CAMP)</w:t>
            </w:r>
            <w:r w:rsidR="00042B64" w:rsidRPr="00455F2E">
              <w:rPr>
                <w:rFonts w:cs="Arial"/>
                <w:b/>
                <w:bCs/>
                <w:sz w:val="22"/>
              </w:rPr>
              <w:t xml:space="preserve">.  </w:t>
            </w:r>
            <w:r w:rsidRPr="00455F2E">
              <w:rPr>
                <w:rFonts w:cs="Arial"/>
                <w:sz w:val="22"/>
              </w:rPr>
              <w:t>A one-time financial assistance equivalent to PHP 5,000</w:t>
            </w:r>
            <w:r w:rsidR="0071136C" w:rsidRPr="00455F2E">
              <w:rPr>
                <w:rFonts w:cs="Arial"/>
                <w:sz w:val="22"/>
              </w:rPr>
              <w:t xml:space="preserve"> (USD 100)</w:t>
            </w:r>
            <w:r w:rsidRPr="00455F2E">
              <w:rPr>
                <w:rFonts w:cs="Arial"/>
                <w:sz w:val="22"/>
              </w:rPr>
              <w:t xml:space="preserve"> is provided to affected workers in private establishments that have adopted Flexible Work </w:t>
            </w:r>
            <w:r w:rsidRPr="00455F2E">
              <w:rPr>
                <w:rFonts w:cs="Arial"/>
                <w:sz w:val="22"/>
              </w:rPr>
              <w:lastRenderedPageBreak/>
              <w:t xml:space="preserve">Arrangements (FWAs) or have gone through temporary closure during the COVID-19 pandemic. The lump sum financial assistance is provided without conditions and regardless of employment status. </w:t>
            </w:r>
          </w:p>
          <w:p w14:paraId="4187084A" w14:textId="77777777" w:rsidR="0011372F" w:rsidRPr="00455F2E" w:rsidRDefault="0011372F" w:rsidP="009B0A9C">
            <w:pPr>
              <w:spacing w:line="240" w:lineRule="auto"/>
              <w:jc w:val="both"/>
            </w:pPr>
          </w:p>
          <w:p w14:paraId="7455C8FC" w14:textId="406F972B" w:rsidR="0011372F" w:rsidRPr="002F26A9" w:rsidRDefault="0011372F" w:rsidP="009B0A9C">
            <w:pPr>
              <w:pStyle w:val="ListParagraph"/>
              <w:ind w:left="611"/>
              <w:contextualSpacing w:val="0"/>
              <w:jc w:val="both"/>
              <w:rPr>
                <w:rFonts w:cs="Arial"/>
                <w:sz w:val="22"/>
              </w:rPr>
            </w:pPr>
            <w:r w:rsidRPr="00633D9B">
              <w:rPr>
                <w:rFonts w:cs="Arial"/>
                <w:sz w:val="22"/>
              </w:rPr>
              <w:t xml:space="preserve">As of </w:t>
            </w:r>
            <w:r w:rsidR="00633D9B" w:rsidRPr="00633D9B">
              <w:rPr>
                <w:rFonts w:cs="Arial"/>
                <w:sz w:val="22"/>
              </w:rPr>
              <w:t>31 May 2020,</w:t>
            </w:r>
            <w:r w:rsidRPr="00633D9B">
              <w:rPr>
                <w:rFonts w:cs="Arial"/>
                <w:sz w:val="22"/>
              </w:rPr>
              <w:t xml:space="preserve"> </w:t>
            </w:r>
            <w:r w:rsidR="00633D9B" w:rsidRPr="00633D9B">
              <w:rPr>
                <w:rFonts w:cs="Arial"/>
                <w:sz w:val="22"/>
              </w:rPr>
              <w:t xml:space="preserve">all 657,201 (100 percent) of target beneficiaries have been paid, and the entire </w:t>
            </w:r>
            <w:r w:rsidRPr="00633D9B">
              <w:rPr>
                <w:rFonts w:cs="Arial"/>
                <w:b/>
                <w:bCs/>
                <w:sz w:val="22"/>
              </w:rPr>
              <w:t>PHP</w:t>
            </w:r>
            <w:r w:rsidR="00633D9B" w:rsidRPr="00633D9B">
              <w:rPr>
                <w:rFonts w:cs="Arial"/>
                <w:b/>
                <w:bCs/>
                <w:sz w:val="22"/>
              </w:rPr>
              <w:t xml:space="preserve"> 3.29</w:t>
            </w:r>
            <w:r w:rsidRPr="00633D9B">
              <w:rPr>
                <w:rFonts w:cs="Arial"/>
                <w:b/>
                <w:bCs/>
                <w:sz w:val="22"/>
              </w:rPr>
              <w:t xml:space="preserve"> billion</w:t>
            </w:r>
            <w:r w:rsidRPr="00633D9B">
              <w:rPr>
                <w:rFonts w:cs="Arial"/>
                <w:sz w:val="22"/>
              </w:rPr>
              <w:t xml:space="preserve"> </w:t>
            </w:r>
            <w:r w:rsidR="00633D9B" w:rsidRPr="00633D9B">
              <w:rPr>
                <w:rFonts w:cs="Arial"/>
                <w:sz w:val="22"/>
              </w:rPr>
              <w:t xml:space="preserve">(USD 65.8 million) </w:t>
            </w:r>
            <w:r w:rsidRPr="002F26A9">
              <w:rPr>
                <w:rFonts w:cs="Arial"/>
                <w:sz w:val="22"/>
              </w:rPr>
              <w:t xml:space="preserve">utilized. </w:t>
            </w:r>
          </w:p>
          <w:p w14:paraId="3CCF28A4" w14:textId="77777777" w:rsidR="00633D9B" w:rsidRPr="00455F2E" w:rsidRDefault="00633D9B" w:rsidP="009B0A9C">
            <w:pPr>
              <w:pStyle w:val="ListParagraph"/>
              <w:ind w:left="611"/>
              <w:contextualSpacing w:val="0"/>
              <w:jc w:val="both"/>
              <w:rPr>
                <w:rFonts w:cs="Arial"/>
                <w:sz w:val="22"/>
              </w:rPr>
            </w:pPr>
          </w:p>
          <w:p w14:paraId="67806E16" w14:textId="77777777" w:rsidR="0011372F" w:rsidRPr="00854A87" w:rsidRDefault="0011372F" w:rsidP="009B0A9C">
            <w:pPr>
              <w:pStyle w:val="ListParagraph"/>
              <w:numPr>
                <w:ilvl w:val="0"/>
                <w:numId w:val="22"/>
              </w:numPr>
              <w:jc w:val="both"/>
            </w:pPr>
            <w:r w:rsidRPr="00854A87">
              <w:rPr>
                <w:b/>
                <w:bCs/>
              </w:rPr>
              <w:t xml:space="preserve">DOLE’s </w:t>
            </w:r>
            <w:proofErr w:type="spellStart"/>
            <w:r w:rsidRPr="00854A87">
              <w:rPr>
                <w:b/>
                <w:bCs/>
              </w:rPr>
              <w:t>Tulong</w:t>
            </w:r>
            <w:proofErr w:type="spellEnd"/>
            <w:r w:rsidRPr="00854A87">
              <w:rPr>
                <w:b/>
                <w:bCs/>
                <w:i/>
                <w:iCs/>
              </w:rPr>
              <w:t xml:space="preserve"> </w:t>
            </w:r>
            <w:proofErr w:type="spellStart"/>
            <w:r w:rsidRPr="00854A87">
              <w:rPr>
                <w:b/>
                <w:bCs/>
                <w:i/>
                <w:iCs/>
              </w:rPr>
              <w:t>Panghanapbuhay</w:t>
            </w:r>
            <w:proofErr w:type="spellEnd"/>
            <w:r w:rsidRPr="00854A87">
              <w:rPr>
                <w:b/>
                <w:bCs/>
                <w:i/>
                <w:iCs/>
              </w:rPr>
              <w:t xml:space="preserve"> </w:t>
            </w:r>
            <w:proofErr w:type="spellStart"/>
            <w:r w:rsidRPr="00854A87">
              <w:rPr>
                <w:b/>
                <w:bCs/>
                <w:i/>
                <w:iCs/>
              </w:rPr>
              <w:t>sa</w:t>
            </w:r>
            <w:proofErr w:type="spellEnd"/>
            <w:r w:rsidRPr="00854A87">
              <w:rPr>
                <w:b/>
                <w:bCs/>
                <w:i/>
                <w:iCs/>
              </w:rPr>
              <w:t xml:space="preserve"> </w:t>
            </w:r>
            <w:proofErr w:type="spellStart"/>
            <w:r w:rsidRPr="00854A87">
              <w:rPr>
                <w:b/>
                <w:bCs/>
                <w:i/>
                <w:iCs/>
              </w:rPr>
              <w:t>Ating</w:t>
            </w:r>
            <w:proofErr w:type="spellEnd"/>
            <w:r w:rsidRPr="00854A87">
              <w:rPr>
                <w:b/>
                <w:bCs/>
              </w:rPr>
              <w:t xml:space="preserve"> Displaced/Disadvantaged Workers Program (TUPAD) </w:t>
            </w:r>
            <w:r w:rsidRPr="00854A87">
              <w:rPr>
                <w:b/>
                <w:bCs/>
                <w:i/>
                <w:iCs/>
              </w:rPr>
              <w:t>#Barangay Ko, Bahay Ko</w:t>
            </w:r>
            <w:r w:rsidRPr="00854A87">
              <w:rPr>
                <w:b/>
                <w:bCs/>
              </w:rPr>
              <w:t xml:space="preserve"> (TUPAD #BKBK)</w:t>
            </w:r>
            <w:r w:rsidRPr="00854A87">
              <w:t xml:space="preserve">. </w:t>
            </w:r>
          </w:p>
          <w:p w14:paraId="450C34A2" w14:textId="77777777" w:rsidR="0011372F" w:rsidRPr="00455F2E" w:rsidRDefault="0011372F" w:rsidP="009B0A9C">
            <w:pPr>
              <w:pStyle w:val="ListParagraph"/>
              <w:contextualSpacing w:val="0"/>
              <w:jc w:val="both"/>
              <w:rPr>
                <w:rFonts w:cs="Arial"/>
                <w:b/>
                <w:bCs/>
                <w:sz w:val="22"/>
              </w:rPr>
            </w:pPr>
          </w:p>
          <w:p w14:paraId="004C0140" w14:textId="77777777" w:rsidR="0011372F" w:rsidRPr="00455F2E" w:rsidRDefault="0011372F" w:rsidP="009B0A9C">
            <w:pPr>
              <w:pStyle w:val="ListParagraph"/>
              <w:ind w:left="611"/>
              <w:contextualSpacing w:val="0"/>
              <w:jc w:val="both"/>
              <w:rPr>
                <w:rFonts w:cs="Arial"/>
                <w:sz w:val="22"/>
              </w:rPr>
            </w:pPr>
            <w:r w:rsidRPr="00455F2E">
              <w:rPr>
                <w:rFonts w:cs="Arial"/>
                <w:sz w:val="22"/>
              </w:rPr>
              <w:t>TUPAD #BKBK is a community-based (municipality/barangay) package of assistance that provides temporary wage employment for the displaced workers, underemployed and self-employed workers. The nature of work under the TUPAD Program shall be the disinfection/sanitation of their houses/dwellings and immediate vicinity of their houses. The package of services provided to the TUPAD beneficiaries includes the payment of wages equivalent to 100% of the prevailing highest minimum wage in the region; enrolment to group micro-insurance; and conduct of Basic Orientation on Safety and Health through dissemination of brochures.</w:t>
            </w:r>
          </w:p>
          <w:p w14:paraId="7ED891EB" w14:textId="77777777" w:rsidR="0011372F" w:rsidRPr="00455F2E" w:rsidRDefault="0011372F" w:rsidP="009B0A9C">
            <w:pPr>
              <w:spacing w:line="240" w:lineRule="auto"/>
              <w:jc w:val="both"/>
            </w:pPr>
          </w:p>
          <w:p w14:paraId="5562E1E0" w14:textId="797CB66E" w:rsidR="0011372F" w:rsidRPr="00455F2E" w:rsidRDefault="0011372F" w:rsidP="009B0A9C">
            <w:pPr>
              <w:pStyle w:val="ListParagraph"/>
              <w:ind w:left="611"/>
              <w:contextualSpacing w:val="0"/>
              <w:jc w:val="both"/>
              <w:rPr>
                <w:rFonts w:cs="Arial"/>
                <w:sz w:val="22"/>
              </w:rPr>
            </w:pPr>
            <w:r w:rsidRPr="002A0600">
              <w:rPr>
                <w:rFonts w:cs="Arial"/>
                <w:sz w:val="22"/>
              </w:rPr>
              <w:t xml:space="preserve">As of </w:t>
            </w:r>
            <w:r w:rsidR="002A0600" w:rsidRPr="002A0600">
              <w:rPr>
                <w:rFonts w:cs="Arial"/>
                <w:sz w:val="22"/>
              </w:rPr>
              <w:t>31 May 2020</w:t>
            </w:r>
            <w:r w:rsidRPr="002A0600">
              <w:rPr>
                <w:rFonts w:cs="Arial"/>
                <w:sz w:val="22"/>
              </w:rPr>
              <w:t>,</w:t>
            </w:r>
            <w:r w:rsidR="002A0600" w:rsidRPr="002A0600">
              <w:rPr>
                <w:rFonts w:cs="Arial"/>
                <w:sz w:val="22"/>
              </w:rPr>
              <w:t xml:space="preserve"> all 337,198 (100 percent) of target workers/</w:t>
            </w:r>
            <w:r w:rsidRPr="002A0600">
              <w:rPr>
                <w:rFonts w:cs="Arial"/>
                <w:sz w:val="22"/>
              </w:rPr>
              <w:t xml:space="preserve">beneficiaries have been </w:t>
            </w:r>
            <w:r w:rsidR="002A0600" w:rsidRPr="002A0600">
              <w:rPr>
                <w:rFonts w:cs="Arial"/>
                <w:sz w:val="22"/>
              </w:rPr>
              <w:t>paid</w:t>
            </w:r>
            <w:r w:rsidRPr="002A0600">
              <w:rPr>
                <w:rFonts w:cs="Arial"/>
                <w:sz w:val="22"/>
              </w:rPr>
              <w:t xml:space="preserve">, with </w:t>
            </w:r>
            <w:r w:rsidR="002A0600" w:rsidRPr="002A0600">
              <w:rPr>
                <w:rFonts w:cs="Arial"/>
                <w:sz w:val="22"/>
              </w:rPr>
              <w:t xml:space="preserve">the entire allocated amount of </w:t>
            </w:r>
            <w:r w:rsidRPr="002A0600">
              <w:rPr>
                <w:rFonts w:cs="Arial"/>
                <w:bCs/>
                <w:sz w:val="22"/>
              </w:rPr>
              <w:t>PHP</w:t>
            </w:r>
            <w:r w:rsidR="00854A87" w:rsidRPr="002A0600">
              <w:rPr>
                <w:rFonts w:cs="Arial"/>
                <w:bCs/>
                <w:sz w:val="22"/>
              </w:rPr>
              <w:t xml:space="preserve"> </w:t>
            </w:r>
            <w:r w:rsidR="002A0600" w:rsidRPr="002A0600">
              <w:rPr>
                <w:rFonts w:cs="Arial"/>
                <w:bCs/>
                <w:sz w:val="22"/>
              </w:rPr>
              <w:t>1.264 billion</w:t>
            </w:r>
            <w:r w:rsidRPr="002A0600">
              <w:rPr>
                <w:rFonts w:cs="Arial"/>
                <w:sz w:val="22"/>
              </w:rPr>
              <w:t xml:space="preserve"> </w:t>
            </w:r>
            <w:r w:rsidR="00854A87" w:rsidRPr="002A0600">
              <w:rPr>
                <w:rFonts w:cs="Arial"/>
                <w:sz w:val="22"/>
              </w:rPr>
              <w:t xml:space="preserve">(USD </w:t>
            </w:r>
            <w:r w:rsidR="002A0600" w:rsidRPr="002A0600">
              <w:rPr>
                <w:rFonts w:cs="Arial"/>
                <w:sz w:val="22"/>
              </w:rPr>
              <w:t>25</w:t>
            </w:r>
            <w:r w:rsidR="00854A87" w:rsidRPr="002A0600">
              <w:rPr>
                <w:rFonts w:cs="Arial"/>
                <w:sz w:val="22"/>
              </w:rPr>
              <w:t>.</w:t>
            </w:r>
            <w:r w:rsidR="002A0600" w:rsidRPr="002A0600">
              <w:rPr>
                <w:rFonts w:cs="Arial"/>
                <w:sz w:val="22"/>
              </w:rPr>
              <w:t>3</w:t>
            </w:r>
            <w:r w:rsidR="00854A87" w:rsidRPr="002A0600">
              <w:rPr>
                <w:rFonts w:cs="Arial"/>
                <w:sz w:val="22"/>
              </w:rPr>
              <w:t xml:space="preserve"> million</w:t>
            </w:r>
            <w:r w:rsidR="00854A87" w:rsidRPr="002F26A9">
              <w:rPr>
                <w:rFonts w:cs="Arial"/>
                <w:sz w:val="22"/>
              </w:rPr>
              <w:t xml:space="preserve">) </w:t>
            </w:r>
            <w:r w:rsidRPr="002F26A9">
              <w:rPr>
                <w:rFonts w:cs="Arial"/>
                <w:sz w:val="22"/>
              </w:rPr>
              <w:t>utilize</w:t>
            </w:r>
            <w:r w:rsidR="002A0600" w:rsidRPr="002F26A9">
              <w:rPr>
                <w:rFonts w:cs="Arial"/>
                <w:sz w:val="22"/>
              </w:rPr>
              <w:t>d</w:t>
            </w:r>
            <w:r w:rsidRPr="002F26A9">
              <w:rPr>
                <w:rFonts w:cs="Arial"/>
                <w:sz w:val="22"/>
              </w:rPr>
              <w:t xml:space="preserve">. </w:t>
            </w:r>
          </w:p>
          <w:p w14:paraId="4D804031" w14:textId="77777777" w:rsidR="0011372F" w:rsidRPr="00455F2E" w:rsidRDefault="0011372F" w:rsidP="009B0A9C">
            <w:pPr>
              <w:spacing w:line="240" w:lineRule="auto"/>
              <w:jc w:val="both"/>
            </w:pPr>
          </w:p>
          <w:p w14:paraId="4C2B6E45" w14:textId="77777777" w:rsidR="0011372F" w:rsidRPr="00455F2E" w:rsidRDefault="0011372F" w:rsidP="009B0A9C">
            <w:pPr>
              <w:pStyle w:val="ListParagraph"/>
              <w:numPr>
                <w:ilvl w:val="0"/>
                <w:numId w:val="22"/>
              </w:numPr>
              <w:ind w:left="611" w:hanging="284"/>
              <w:contextualSpacing w:val="0"/>
              <w:jc w:val="both"/>
              <w:rPr>
                <w:rFonts w:cs="Arial"/>
                <w:b/>
                <w:bCs/>
                <w:sz w:val="22"/>
              </w:rPr>
            </w:pPr>
            <w:r w:rsidRPr="00455F2E">
              <w:rPr>
                <w:rFonts w:cs="Arial"/>
                <w:b/>
                <w:bCs/>
                <w:sz w:val="22"/>
              </w:rPr>
              <w:t>Department of Agriculture (DA)’s Financial Subsidy for Rice Farmers</w:t>
            </w:r>
          </w:p>
          <w:p w14:paraId="39321812" w14:textId="77777777" w:rsidR="0011372F" w:rsidRPr="00455F2E" w:rsidRDefault="0011372F" w:rsidP="009B0A9C">
            <w:pPr>
              <w:spacing w:line="240" w:lineRule="auto"/>
              <w:jc w:val="both"/>
            </w:pPr>
          </w:p>
          <w:p w14:paraId="51D23D8F" w14:textId="2DAD96FD" w:rsidR="0011372F" w:rsidRPr="0024794B" w:rsidRDefault="0011372F" w:rsidP="009B0A9C">
            <w:pPr>
              <w:pStyle w:val="ListParagraph"/>
              <w:ind w:left="611"/>
              <w:contextualSpacing w:val="0"/>
              <w:jc w:val="both"/>
              <w:rPr>
                <w:rFonts w:cs="Arial"/>
                <w:sz w:val="22"/>
              </w:rPr>
            </w:pPr>
            <w:r w:rsidRPr="0024794B">
              <w:rPr>
                <w:rFonts w:cs="Arial"/>
                <w:sz w:val="22"/>
              </w:rPr>
              <w:t>PHP</w:t>
            </w:r>
            <w:r w:rsidR="0071136C" w:rsidRPr="0024794B">
              <w:rPr>
                <w:rFonts w:cs="Arial"/>
                <w:sz w:val="22"/>
              </w:rPr>
              <w:t xml:space="preserve"> </w:t>
            </w:r>
            <w:r w:rsidRPr="0024794B">
              <w:rPr>
                <w:rFonts w:cs="Arial"/>
                <w:sz w:val="22"/>
              </w:rPr>
              <w:t xml:space="preserve">3 billion </w:t>
            </w:r>
            <w:r w:rsidR="0071136C" w:rsidRPr="0024794B">
              <w:rPr>
                <w:rFonts w:cs="Arial"/>
                <w:sz w:val="22"/>
              </w:rPr>
              <w:t xml:space="preserve">(USD </w:t>
            </w:r>
            <w:r w:rsidR="0024794B" w:rsidRPr="0024794B">
              <w:rPr>
                <w:rFonts w:cs="Arial"/>
                <w:sz w:val="22"/>
              </w:rPr>
              <w:t>60</w:t>
            </w:r>
            <w:r w:rsidR="0071136C" w:rsidRPr="0024794B">
              <w:rPr>
                <w:rFonts w:cs="Arial"/>
                <w:sz w:val="22"/>
              </w:rPr>
              <w:t xml:space="preserve"> million) </w:t>
            </w:r>
            <w:r w:rsidRPr="0024794B">
              <w:rPr>
                <w:rFonts w:cs="Arial"/>
                <w:sz w:val="22"/>
              </w:rPr>
              <w:t xml:space="preserve">has been set aside to benefit 591,246 farmers. As of </w:t>
            </w:r>
            <w:r w:rsidR="0024794B" w:rsidRPr="0024794B">
              <w:rPr>
                <w:rFonts w:cs="Arial"/>
                <w:sz w:val="22"/>
              </w:rPr>
              <w:t>26 May</w:t>
            </w:r>
            <w:r w:rsidRPr="0024794B">
              <w:rPr>
                <w:rFonts w:cs="Arial"/>
                <w:sz w:val="22"/>
              </w:rPr>
              <w:t xml:space="preserve"> 2020</w:t>
            </w:r>
            <w:r w:rsidR="0024794B" w:rsidRPr="0024794B">
              <w:rPr>
                <w:rFonts w:cs="Arial"/>
                <w:sz w:val="22"/>
              </w:rPr>
              <w:t>,</w:t>
            </w:r>
            <w:r w:rsidRPr="0024794B">
              <w:rPr>
                <w:rFonts w:cs="Arial"/>
                <w:sz w:val="22"/>
              </w:rPr>
              <w:t xml:space="preserve"> </w:t>
            </w:r>
            <w:r w:rsidRPr="0024794B">
              <w:rPr>
                <w:rFonts w:cs="Arial"/>
                <w:b/>
                <w:bCs/>
                <w:sz w:val="22"/>
              </w:rPr>
              <w:t>5</w:t>
            </w:r>
            <w:r w:rsidR="0024794B" w:rsidRPr="0024794B">
              <w:rPr>
                <w:rFonts w:cs="Arial"/>
                <w:b/>
                <w:bCs/>
                <w:sz w:val="22"/>
              </w:rPr>
              <w:t>85,914</w:t>
            </w:r>
            <w:r w:rsidRPr="0024794B">
              <w:rPr>
                <w:rFonts w:cs="Arial"/>
                <w:sz w:val="22"/>
              </w:rPr>
              <w:t xml:space="preserve"> </w:t>
            </w:r>
            <w:r w:rsidRPr="0024794B">
              <w:rPr>
                <w:rFonts w:cs="Arial"/>
                <w:b/>
                <w:bCs/>
                <w:sz w:val="22"/>
              </w:rPr>
              <w:t>have already been served</w:t>
            </w:r>
            <w:r w:rsidRPr="0024794B">
              <w:rPr>
                <w:rFonts w:cs="Arial"/>
                <w:sz w:val="22"/>
              </w:rPr>
              <w:t>, and PHP</w:t>
            </w:r>
            <w:r w:rsidR="0071136C" w:rsidRPr="0024794B">
              <w:rPr>
                <w:rFonts w:cs="Arial"/>
                <w:sz w:val="22"/>
              </w:rPr>
              <w:t xml:space="preserve"> </w:t>
            </w:r>
            <w:r w:rsidR="0024794B" w:rsidRPr="0024794B">
              <w:rPr>
                <w:rFonts w:cs="Arial"/>
                <w:sz w:val="22"/>
              </w:rPr>
              <w:t>2.96</w:t>
            </w:r>
            <w:r w:rsidRPr="0024794B">
              <w:rPr>
                <w:rFonts w:cs="Arial"/>
                <w:sz w:val="22"/>
              </w:rPr>
              <w:t xml:space="preserve"> </w:t>
            </w:r>
            <w:r w:rsidR="0024794B" w:rsidRPr="0024794B">
              <w:rPr>
                <w:rFonts w:cs="Arial"/>
                <w:sz w:val="22"/>
              </w:rPr>
              <w:t>b</w:t>
            </w:r>
            <w:r w:rsidRPr="0024794B">
              <w:rPr>
                <w:rFonts w:cs="Arial"/>
                <w:sz w:val="22"/>
              </w:rPr>
              <w:t>illion</w:t>
            </w:r>
            <w:r w:rsidR="0071136C" w:rsidRPr="0024794B">
              <w:rPr>
                <w:rFonts w:cs="Arial"/>
                <w:sz w:val="22"/>
              </w:rPr>
              <w:t xml:space="preserve"> (USD </w:t>
            </w:r>
            <w:r w:rsidR="0024794B" w:rsidRPr="0024794B">
              <w:rPr>
                <w:rFonts w:cs="Arial"/>
                <w:sz w:val="22"/>
              </w:rPr>
              <w:t>59.2</w:t>
            </w:r>
            <w:r w:rsidR="0071136C" w:rsidRPr="0024794B">
              <w:rPr>
                <w:rFonts w:cs="Arial"/>
                <w:sz w:val="22"/>
              </w:rPr>
              <w:t xml:space="preserve"> million)</w:t>
            </w:r>
            <w:r w:rsidRPr="0024794B">
              <w:rPr>
                <w:rFonts w:cs="Arial"/>
                <w:sz w:val="22"/>
              </w:rPr>
              <w:t xml:space="preserve"> has already been </w:t>
            </w:r>
            <w:r w:rsidR="0024794B" w:rsidRPr="0024794B">
              <w:rPr>
                <w:rFonts w:cs="Arial"/>
                <w:sz w:val="22"/>
              </w:rPr>
              <w:t>transferred to the Land Bank of the Philippines (LBP).</w:t>
            </w:r>
          </w:p>
          <w:p w14:paraId="09907AAF" w14:textId="77777777" w:rsidR="0011372F" w:rsidRPr="0024794B" w:rsidRDefault="0011372F" w:rsidP="009B0A9C">
            <w:pPr>
              <w:spacing w:line="240" w:lineRule="auto"/>
              <w:jc w:val="both"/>
            </w:pPr>
          </w:p>
          <w:p w14:paraId="06BF35FD" w14:textId="3045E6D2" w:rsidR="0011372F" w:rsidRPr="00455F2E" w:rsidRDefault="0011372F" w:rsidP="009B0A9C">
            <w:pPr>
              <w:pStyle w:val="ListParagraph"/>
              <w:numPr>
                <w:ilvl w:val="0"/>
                <w:numId w:val="22"/>
              </w:numPr>
              <w:ind w:left="611" w:hanging="284"/>
              <w:contextualSpacing w:val="0"/>
              <w:jc w:val="both"/>
              <w:rPr>
                <w:rFonts w:cs="Arial"/>
                <w:sz w:val="22"/>
              </w:rPr>
            </w:pPr>
            <w:r w:rsidRPr="0024794B">
              <w:rPr>
                <w:rFonts w:cs="Arial"/>
                <w:b/>
                <w:bCs/>
                <w:sz w:val="22"/>
              </w:rPr>
              <w:t>D</w:t>
            </w:r>
            <w:r w:rsidR="00F807AE" w:rsidRPr="0024794B">
              <w:rPr>
                <w:rFonts w:cs="Arial"/>
                <w:b/>
                <w:bCs/>
                <w:sz w:val="22"/>
              </w:rPr>
              <w:t xml:space="preserve">epartment of </w:t>
            </w:r>
            <w:r w:rsidRPr="0024794B">
              <w:rPr>
                <w:rFonts w:cs="Arial"/>
                <w:b/>
                <w:bCs/>
                <w:sz w:val="22"/>
              </w:rPr>
              <w:t>S</w:t>
            </w:r>
            <w:r w:rsidR="00F807AE" w:rsidRPr="0024794B">
              <w:rPr>
                <w:rFonts w:cs="Arial"/>
                <w:b/>
                <w:bCs/>
                <w:sz w:val="22"/>
              </w:rPr>
              <w:t>ocial</w:t>
            </w:r>
            <w:r w:rsidR="00F807AE">
              <w:rPr>
                <w:rFonts w:cs="Arial"/>
                <w:b/>
                <w:bCs/>
                <w:sz w:val="22"/>
              </w:rPr>
              <w:t xml:space="preserve"> </w:t>
            </w:r>
            <w:r w:rsidRPr="00455F2E">
              <w:rPr>
                <w:rFonts w:cs="Arial"/>
                <w:b/>
                <w:bCs/>
                <w:sz w:val="22"/>
              </w:rPr>
              <w:t>W</w:t>
            </w:r>
            <w:r w:rsidR="00F807AE">
              <w:rPr>
                <w:rFonts w:cs="Arial"/>
                <w:b/>
                <w:bCs/>
                <w:sz w:val="22"/>
              </w:rPr>
              <w:t xml:space="preserve">elfare and </w:t>
            </w:r>
            <w:r w:rsidRPr="00455F2E">
              <w:rPr>
                <w:rFonts w:cs="Arial"/>
                <w:b/>
                <w:bCs/>
                <w:sz w:val="22"/>
              </w:rPr>
              <w:t>D</w:t>
            </w:r>
            <w:r w:rsidR="00F807AE">
              <w:rPr>
                <w:rFonts w:cs="Arial"/>
                <w:b/>
                <w:bCs/>
                <w:sz w:val="22"/>
              </w:rPr>
              <w:t>evelopment (DSWD)</w:t>
            </w:r>
            <w:r w:rsidRPr="00455F2E">
              <w:rPr>
                <w:rFonts w:cs="Arial"/>
                <w:b/>
                <w:bCs/>
                <w:sz w:val="22"/>
              </w:rPr>
              <w:t>’s Assistance to Individuals in Crisis Program (AICS)</w:t>
            </w:r>
            <w:r w:rsidRPr="00455F2E">
              <w:rPr>
                <w:rFonts w:cs="Arial"/>
                <w:sz w:val="22"/>
              </w:rPr>
              <w:t xml:space="preserve"> </w:t>
            </w:r>
          </w:p>
          <w:p w14:paraId="7086D70A" w14:textId="77777777" w:rsidR="0011372F" w:rsidRPr="00455F2E" w:rsidRDefault="0011372F" w:rsidP="009B0A9C">
            <w:pPr>
              <w:pStyle w:val="ListParagraph"/>
              <w:contextualSpacing w:val="0"/>
              <w:jc w:val="both"/>
              <w:rPr>
                <w:rFonts w:cs="Arial"/>
                <w:sz w:val="22"/>
              </w:rPr>
            </w:pPr>
          </w:p>
          <w:p w14:paraId="7FF49A4F" w14:textId="3EE1A0FE" w:rsidR="0011372F" w:rsidRPr="00455F2E" w:rsidRDefault="0011372F" w:rsidP="009B0A9C">
            <w:pPr>
              <w:pStyle w:val="ListParagraph"/>
              <w:ind w:left="611"/>
              <w:contextualSpacing w:val="0"/>
              <w:jc w:val="both"/>
              <w:rPr>
                <w:rFonts w:cs="Arial"/>
                <w:sz w:val="22"/>
              </w:rPr>
            </w:pPr>
            <w:r w:rsidRPr="00455F2E">
              <w:rPr>
                <w:rFonts w:cs="Arial"/>
                <w:sz w:val="22"/>
              </w:rPr>
              <w:t>DSWD’ regular AICS program, alongside its Food and Non-Food Items (NFI) Distribution Program</w:t>
            </w:r>
            <w:r w:rsidR="008A6447">
              <w:rPr>
                <w:rFonts w:cs="Arial"/>
                <w:sz w:val="22"/>
              </w:rPr>
              <w:t>,</w:t>
            </w:r>
            <w:r w:rsidRPr="00455F2E">
              <w:rPr>
                <w:rFonts w:cs="Arial"/>
                <w:sz w:val="22"/>
              </w:rPr>
              <w:t xml:space="preserve"> has assisted </w:t>
            </w:r>
            <w:r w:rsidR="0024794B">
              <w:rPr>
                <w:rFonts w:cs="Arial"/>
                <w:b/>
                <w:bCs/>
                <w:sz w:val="22"/>
              </w:rPr>
              <w:t>131</w:t>
            </w:r>
            <w:r w:rsidRPr="00455F2E">
              <w:rPr>
                <w:rFonts w:cs="Arial"/>
                <w:b/>
                <w:bCs/>
                <w:sz w:val="22"/>
              </w:rPr>
              <w:t>,</w:t>
            </w:r>
            <w:r w:rsidR="0024794B">
              <w:rPr>
                <w:rFonts w:cs="Arial"/>
                <w:b/>
                <w:bCs/>
                <w:sz w:val="22"/>
              </w:rPr>
              <w:t>067</w:t>
            </w:r>
            <w:r w:rsidRPr="00455F2E">
              <w:rPr>
                <w:rFonts w:cs="Arial"/>
                <w:b/>
                <w:bCs/>
                <w:sz w:val="22"/>
              </w:rPr>
              <w:t xml:space="preserve"> clients</w:t>
            </w:r>
            <w:r w:rsidRPr="00455F2E">
              <w:rPr>
                <w:rFonts w:cs="Arial"/>
                <w:sz w:val="22"/>
              </w:rPr>
              <w:t xml:space="preserve"> </w:t>
            </w:r>
            <w:r w:rsidR="0024794B">
              <w:rPr>
                <w:rFonts w:cs="Arial"/>
                <w:sz w:val="22"/>
              </w:rPr>
              <w:t>for</w:t>
            </w:r>
            <w:r w:rsidRPr="00455F2E">
              <w:rPr>
                <w:rFonts w:cs="Arial"/>
                <w:sz w:val="22"/>
              </w:rPr>
              <w:t xml:space="preserve"> COVID-19-related concerns</w:t>
            </w:r>
            <w:r w:rsidR="002F26A9">
              <w:rPr>
                <w:rFonts w:cs="Arial"/>
                <w:sz w:val="22"/>
              </w:rPr>
              <w:t xml:space="preserve">, </w:t>
            </w:r>
            <w:proofErr w:type="spellStart"/>
            <w:r w:rsidRPr="00455F2E">
              <w:rPr>
                <w:rFonts w:cs="Arial"/>
                <w:sz w:val="22"/>
              </w:rPr>
              <w:t>e.g</w:t>
            </w:r>
            <w:proofErr w:type="spellEnd"/>
            <w:r w:rsidRPr="00455F2E">
              <w:rPr>
                <w:rFonts w:cs="Arial"/>
                <w:sz w:val="22"/>
              </w:rPr>
              <w:t xml:space="preserve"> </w:t>
            </w:r>
            <w:r w:rsidR="0024794B">
              <w:rPr>
                <w:rFonts w:cs="Arial"/>
                <w:sz w:val="22"/>
              </w:rPr>
              <w:t xml:space="preserve">transportation assistance, </w:t>
            </w:r>
            <w:r w:rsidR="008A6447" w:rsidRPr="002F26A9">
              <w:rPr>
                <w:rFonts w:cs="Arial"/>
                <w:sz w:val="22"/>
              </w:rPr>
              <w:t xml:space="preserve">and </w:t>
            </w:r>
            <w:r w:rsidRPr="002F26A9">
              <w:rPr>
                <w:rFonts w:cs="Arial"/>
                <w:sz w:val="22"/>
              </w:rPr>
              <w:t xml:space="preserve">requests </w:t>
            </w:r>
            <w:r w:rsidRPr="00455F2E">
              <w:rPr>
                <w:rFonts w:cs="Arial"/>
                <w:sz w:val="22"/>
              </w:rPr>
              <w:t>for medical/burial assistance</w:t>
            </w:r>
            <w:r w:rsidR="0024794B">
              <w:rPr>
                <w:rFonts w:cs="Arial"/>
                <w:sz w:val="22"/>
              </w:rPr>
              <w:t xml:space="preserve">. </w:t>
            </w:r>
          </w:p>
          <w:p w14:paraId="65D0B651" w14:textId="77777777" w:rsidR="0011372F" w:rsidRPr="00455F2E" w:rsidRDefault="0011372F" w:rsidP="009B0A9C">
            <w:pPr>
              <w:spacing w:line="240" w:lineRule="auto"/>
              <w:ind w:left="720"/>
              <w:jc w:val="both"/>
            </w:pPr>
          </w:p>
          <w:p w14:paraId="12EF37BE" w14:textId="77777777" w:rsidR="0011372F" w:rsidRPr="00455F2E" w:rsidRDefault="0011372F" w:rsidP="009B0A9C">
            <w:pPr>
              <w:pStyle w:val="ListParagraph"/>
              <w:numPr>
                <w:ilvl w:val="0"/>
                <w:numId w:val="22"/>
              </w:numPr>
              <w:ind w:left="611" w:hanging="284"/>
              <w:contextualSpacing w:val="0"/>
              <w:jc w:val="both"/>
              <w:rPr>
                <w:rFonts w:cs="Arial"/>
                <w:b/>
                <w:bCs/>
                <w:sz w:val="22"/>
              </w:rPr>
            </w:pPr>
            <w:r w:rsidRPr="00455F2E">
              <w:rPr>
                <w:rFonts w:cs="Arial"/>
                <w:b/>
                <w:bCs/>
                <w:sz w:val="22"/>
              </w:rPr>
              <w:t>DSWD, Land Transportation Franchising and Regulatory Board (LTFRB), and the Land Bank of the Philippines (LBP) – Emergency Subsidy for Public Utility Vehicles (PUVs) Drivers</w:t>
            </w:r>
          </w:p>
          <w:p w14:paraId="7E3A203A" w14:textId="77777777" w:rsidR="0011372F" w:rsidRPr="00455F2E" w:rsidRDefault="0011372F" w:rsidP="009B0A9C">
            <w:pPr>
              <w:pStyle w:val="ListParagraph"/>
              <w:contextualSpacing w:val="0"/>
              <w:jc w:val="both"/>
              <w:rPr>
                <w:rFonts w:cs="Arial"/>
                <w:sz w:val="22"/>
              </w:rPr>
            </w:pPr>
          </w:p>
          <w:p w14:paraId="16F357B8" w14:textId="04F44A01" w:rsidR="0011372F" w:rsidRPr="002F26A9" w:rsidRDefault="0011372F" w:rsidP="009B0A9C">
            <w:pPr>
              <w:pStyle w:val="ListParagraph"/>
              <w:ind w:left="611"/>
              <w:contextualSpacing w:val="0"/>
              <w:jc w:val="both"/>
              <w:rPr>
                <w:rFonts w:cs="Arial"/>
                <w:sz w:val="22"/>
              </w:rPr>
            </w:pPr>
            <w:r w:rsidRPr="00455F2E">
              <w:rPr>
                <w:rFonts w:cs="Arial"/>
                <w:sz w:val="22"/>
              </w:rPr>
              <w:t xml:space="preserve">This will provide emergency subsidy to around 435,000 drivers of public utility vehicles (PUVs) whose operations were suspended due to the </w:t>
            </w:r>
            <w:r w:rsidR="008A6447" w:rsidRPr="002F26A9">
              <w:rPr>
                <w:rFonts w:cs="Arial"/>
                <w:sz w:val="22"/>
              </w:rPr>
              <w:t>Enhanced Community Quarantine (</w:t>
            </w:r>
            <w:r w:rsidRPr="002F26A9">
              <w:rPr>
                <w:rFonts w:cs="Arial"/>
                <w:sz w:val="22"/>
              </w:rPr>
              <w:t>ECQ</w:t>
            </w:r>
            <w:r w:rsidR="008A6447" w:rsidRPr="002F26A9">
              <w:rPr>
                <w:rFonts w:cs="Arial"/>
                <w:sz w:val="22"/>
              </w:rPr>
              <w:t>)</w:t>
            </w:r>
            <w:r w:rsidRPr="002F26A9">
              <w:rPr>
                <w:rFonts w:cs="Arial"/>
                <w:sz w:val="22"/>
              </w:rPr>
              <w:t>. These include public utility jeepneys, UV Express, public utility buses, point-to-point buses, taxis, transport network vehicle service (TNVS), school transport services, tourist transport services, and motorcycle taxis.</w:t>
            </w:r>
          </w:p>
          <w:p w14:paraId="1078F10F" w14:textId="77777777" w:rsidR="0011372F" w:rsidRPr="00455F2E" w:rsidRDefault="0011372F" w:rsidP="009B0A9C">
            <w:pPr>
              <w:pStyle w:val="ListParagraph"/>
              <w:contextualSpacing w:val="0"/>
              <w:rPr>
                <w:rFonts w:cs="Arial"/>
                <w:sz w:val="22"/>
              </w:rPr>
            </w:pPr>
          </w:p>
          <w:p w14:paraId="0AC47D4E" w14:textId="06B0E3AA" w:rsidR="0011372F" w:rsidRPr="00455F2E" w:rsidRDefault="0011372F" w:rsidP="009B0A9C">
            <w:pPr>
              <w:pStyle w:val="ListParagraph"/>
              <w:ind w:left="611"/>
              <w:contextualSpacing w:val="0"/>
              <w:jc w:val="both"/>
              <w:rPr>
                <w:rFonts w:cs="Arial"/>
                <w:sz w:val="22"/>
              </w:rPr>
            </w:pPr>
            <w:r w:rsidRPr="0024794B">
              <w:rPr>
                <w:rFonts w:cs="Arial"/>
                <w:sz w:val="22"/>
              </w:rPr>
              <w:t xml:space="preserve">As of </w:t>
            </w:r>
            <w:r w:rsidR="0024794B" w:rsidRPr="0024794B">
              <w:rPr>
                <w:rFonts w:cs="Arial"/>
                <w:sz w:val="22"/>
              </w:rPr>
              <w:t>29</w:t>
            </w:r>
            <w:r w:rsidRPr="0024794B">
              <w:rPr>
                <w:rFonts w:cs="Arial"/>
                <w:sz w:val="22"/>
              </w:rPr>
              <w:t xml:space="preserve"> </w:t>
            </w:r>
            <w:r w:rsidR="0024794B" w:rsidRPr="0024794B">
              <w:rPr>
                <w:rFonts w:cs="Arial"/>
                <w:sz w:val="22"/>
              </w:rPr>
              <w:t>May</w:t>
            </w:r>
            <w:r w:rsidRPr="0024794B">
              <w:rPr>
                <w:rFonts w:cs="Arial"/>
                <w:sz w:val="22"/>
              </w:rPr>
              <w:t xml:space="preserve"> 2020, </w:t>
            </w:r>
            <w:r w:rsidR="0024794B" w:rsidRPr="0024794B">
              <w:rPr>
                <w:rFonts w:cs="Arial"/>
                <w:b/>
                <w:bCs/>
                <w:sz w:val="22"/>
              </w:rPr>
              <w:t>62,028</w:t>
            </w:r>
            <w:r w:rsidRPr="0024794B">
              <w:rPr>
                <w:rFonts w:cs="Arial"/>
                <w:b/>
                <w:bCs/>
                <w:sz w:val="22"/>
              </w:rPr>
              <w:t xml:space="preserve"> have been served</w:t>
            </w:r>
            <w:r w:rsidRPr="0024794B">
              <w:rPr>
                <w:rFonts w:cs="Arial"/>
                <w:sz w:val="22"/>
              </w:rPr>
              <w:t xml:space="preserve"> </w:t>
            </w:r>
            <w:r w:rsidR="0024794B" w:rsidRPr="00D63E55">
              <w:rPr>
                <w:rFonts w:cs="Arial"/>
                <w:sz w:val="22"/>
              </w:rPr>
              <w:t xml:space="preserve">with </w:t>
            </w:r>
            <w:r w:rsidR="004C1F77" w:rsidRPr="00D63E55">
              <w:rPr>
                <w:rFonts w:cs="Arial"/>
                <w:sz w:val="22"/>
              </w:rPr>
              <w:t xml:space="preserve">a </w:t>
            </w:r>
            <w:r w:rsidR="0024794B" w:rsidRPr="0024794B">
              <w:rPr>
                <w:rFonts w:cs="Arial"/>
                <w:sz w:val="22"/>
              </w:rPr>
              <w:t>total of PHP496.2 million disbursed and already received by the beneficiaries.</w:t>
            </w:r>
            <w:r w:rsidR="0024794B">
              <w:rPr>
                <w:rFonts w:cs="Arial"/>
                <w:sz w:val="22"/>
              </w:rPr>
              <w:t xml:space="preserve"> </w:t>
            </w:r>
          </w:p>
        </w:tc>
      </w:tr>
      <w:tr w:rsidR="00261140" w:rsidRPr="00455F2E" w14:paraId="28DCEC22" w14:textId="77777777" w:rsidTr="00261140">
        <w:tc>
          <w:tcPr>
            <w:tcW w:w="9639" w:type="dxa"/>
            <w:shd w:val="clear" w:color="auto" w:fill="FDE9D9" w:themeFill="accent6" w:themeFillTint="33"/>
            <w:tcMar>
              <w:top w:w="100" w:type="dxa"/>
              <w:left w:w="100" w:type="dxa"/>
              <w:bottom w:w="100" w:type="dxa"/>
              <w:right w:w="100" w:type="dxa"/>
            </w:tcMar>
          </w:tcPr>
          <w:p w14:paraId="5BC17CC8" w14:textId="6912C0A6" w:rsidR="00261140" w:rsidRPr="00455F2E" w:rsidRDefault="00443439" w:rsidP="009B0A9C">
            <w:pPr>
              <w:spacing w:line="240" w:lineRule="auto"/>
              <w:jc w:val="both"/>
              <w:rPr>
                <w:b/>
                <w:bCs/>
              </w:rPr>
            </w:pPr>
            <w:r>
              <w:rPr>
                <w:b/>
                <w:bCs/>
              </w:rPr>
              <w:lastRenderedPageBreak/>
              <w:t xml:space="preserve">2.2 </w:t>
            </w:r>
            <w:r w:rsidR="0020527D">
              <w:rPr>
                <w:b/>
                <w:bCs/>
              </w:rPr>
              <w:t>Specific interventions and programs for vulnerable s</w:t>
            </w:r>
            <w:r w:rsidR="0020527D" w:rsidRPr="00455F2E">
              <w:rPr>
                <w:b/>
                <w:bCs/>
              </w:rPr>
              <w:t>ectors</w:t>
            </w:r>
          </w:p>
        </w:tc>
      </w:tr>
      <w:tr w:rsidR="000A31BB" w:rsidRPr="00455F2E" w14:paraId="0EED2698" w14:textId="77777777" w:rsidTr="004A5B81">
        <w:tc>
          <w:tcPr>
            <w:tcW w:w="9639" w:type="dxa"/>
            <w:shd w:val="clear" w:color="auto" w:fill="auto"/>
            <w:tcMar>
              <w:top w:w="100" w:type="dxa"/>
              <w:left w:w="100" w:type="dxa"/>
              <w:bottom w:w="100" w:type="dxa"/>
              <w:right w:w="100" w:type="dxa"/>
            </w:tcMar>
          </w:tcPr>
          <w:p w14:paraId="5D5349B0" w14:textId="69BCA838" w:rsidR="000A31BB" w:rsidRDefault="000A31BB" w:rsidP="009B0A9C">
            <w:pPr>
              <w:pStyle w:val="ListParagraph"/>
              <w:numPr>
                <w:ilvl w:val="0"/>
                <w:numId w:val="15"/>
              </w:numPr>
              <w:ind w:left="327" w:hanging="327"/>
              <w:contextualSpacing w:val="0"/>
              <w:jc w:val="both"/>
              <w:rPr>
                <w:rFonts w:cs="Arial"/>
                <w:b/>
                <w:bCs/>
                <w:sz w:val="22"/>
              </w:rPr>
            </w:pPr>
            <w:r w:rsidRPr="00455F2E">
              <w:rPr>
                <w:rFonts w:cs="Arial"/>
                <w:b/>
                <w:bCs/>
                <w:sz w:val="22"/>
              </w:rPr>
              <w:t>For Migrant Workers</w:t>
            </w:r>
            <w:r w:rsidR="005B768F" w:rsidRPr="00455F2E">
              <w:rPr>
                <w:rStyle w:val="FootnoteReference"/>
                <w:rFonts w:cs="Arial"/>
                <w:b/>
                <w:bCs/>
                <w:sz w:val="22"/>
              </w:rPr>
              <w:footnoteReference w:id="3"/>
            </w:r>
          </w:p>
          <w:p w14:paraId="058E4FDA" w14:textId="77777777" w:rsidR="004A1AA9" w:rsidRPr="0020527D" w:rsidRDefault="004A1AA9" w:rsidP="004A1AA9">
            <w:pPr>
              <w:pStyle w:val="ListParagraph"/>
              <w:ind w:left="327"/>
              <w:contextualSpacing w:val="0"/>
              <w:jc w:val="both"/>
              <w:rPr>
                <w:rFonts w:cs="Arial"/>
                <w:b/>
                <w:bCs/>
                <w:sz w:val="22"/>
              </w:rPr>
            </w:pPr>
          </w:p>
          <w:p w14:paraId="5F3ED0FC" w14:textId="77777777" w:rsidR="000A31BB" w:rsidRPr="00455F2E" w:rsidRDefault="000A31BB" w:rsidP="009B0A9C">
            <w:pPr>
              <w:pStyle w:val="ListParagraph"/>
              <w:numPr>
                <w:ilvl w:val="0"/>
                <w:numId w:val="22"/>
              </w:numPr>
              <w:ind w:left="611" w:hanging="284"/>
              <w:contextualSpacing w:val="0"/>
              <w:jc w:val="both"/>
              <w:rPr>
                <w:rFonts w:cs="Arial"/>
                <w:b/>
                <w:bCs/>
                <w:sz w:val="22"/>
              </w:rPr>
            </w:pPr>
            <w:r w:rsidRPr="00455F2E">
              <w:rPr>
                <w:rFonts w:cs="Arial"/>
                <w:b/>
                <w:bCs/>
                <w:sz w:val="22"/>
              </w:rPr>
              <w:t>Department of Foreign Affairs (DFA)’s Repatriation Program for Overseas Filipinos</w:t>
            </w:r>
          </w:p>
          <w:p w14:paraId="07E42A8B" w14:textId="77777777" w:rsidR="000A31BB" w:rsidRPr="00455F2E" w:rsidRDefault="000A31BB" w:rsidP="009B0A9C">
            <w:pPr>
              <w:spacing w:line="240" w:lineRule="auto"/>
              <w:rPr>
                <w:b/>
                <w:bCs/>
              </w:rPr>
            </w:pPr>
          </w:p>
          <w:p w14:paraId="5740C58D" w14:textId="77777777" w:rsidR="000A31BB" w:rsidRPr="00455F2E" w:rsidRDefault="000A31BB" w:rsidP="009B0A9C">
            <w:pPr>
              <w:pStyle w:val="ListParagraph"/>
              <w:ind w:left="611"/>
              <w:contextualSpacing w:val="0"/>
              <w:jc w:val="both"/>
              <w:rPr>
                <w:rFonts w:cs="Arial"/>
                <w:sz w:val="22"/>
              </w:rPr>
            </w:pPr>
            <w:r w:rsidRPr="00455F2E">
              <w:rPr>
                <w:rFonts w:cs="Arial"/>
                <w:sz w:val="22"/>
              </w:rPr>
              <w:t>The DFA ensures the safe and successful repatriation of Filipinos in distress through close cooperation with partner agencies – the Department of Health (DOH), Bureau of Immigration (BI), Overseas Workers Welfare Administration (OWWA) and the Department of Transportation (</w:t>
            </w:r>
            <w:proofErr w:type="spellStart"/>
            <w:r w:rsidRPr="00455F2E">
              <w:rPr>
                <w:rFonts w:cs="Arial"/>
                <w:sz w:val="22"/>
              </w:rPr>
              <w:t>DOTr</w:t>
            </w:r>
            <w:proofErr w:type="spellEnd"/>
            <w:r w:rsidRPr="00455F2E">
              <w:rPr>
                <w:rFonts w:cs="Arial"/>
                <w:sz w:val="22"/>
              </w:rPr>
              <w:t>)—and with support from the private sector.</w:t>
            </w:r>
          </w:p>
          <w:p w14:paraId="6AE78EC2" w14:textId="77777777" w:rsidR="000A31BB" w:rsidRPr="00455F2E" w:rsidRDefault="000A31BB" w:rsidP="009B0A9C">
            <w:pPr>
              <w:spacing w:line="240" w:lineRule="auto"/>
              <w:jc w:val="both"/>
            </w:pPr>
          </w:p>
          <w:p w14:paraId="09E039A7" w14:textId="7F330299" w:rsidR="000A31BB" w:rsidRDefault="000A31BB" w:rsidP="009B0A9C">
            <w:pPr>
              <w:pStyle w:val="ListParagraph"/>
              <w:ind w:left="611"/>
              <w:contextualSpacing w:val="0"/>
              <w:jc w:val="both"/>
              <w:rPr>
                <w:rFonts w:cs="Arial"/>
                <w:b/>
                <w:bCs/>
                <w:sz w:val="22"/>
              </w:rPr>
            </w:pPr>
            <w:r w:rsidRPr="006378B8">
              <w:rPr>
                <w:rFonts w:cs="Arial"/>
                <w:sz w:val="22"/>
              </w:rPr>
              <w:t xml:space="preserve">As of </w:t>
            </w:r>
            <w:r w:rsidR="006378B8" w:rsidRPr="006378B8">
              <w:rPr>
                <w:rFonts w:cs="Arial"/>
                <w:sz w:val="22"/>
              </w:rPr>
              <w:t>3</w:t>
            </w:r>
            <w:r w:rsidRPr="006378B8">
              <w:rPr>
                <w:rFonts w:cs="Arial"/>
                <w:sz w:val="22"/>
              </w:rPr>
              <w:t xml:space="preserve">0 </w:t>
            </w:r>
            <w:r w:rsidR="006378B8" w:rsidRPr="006378B8">
              <w:rPr>
                <w:rFonts w:cs="Arial"/>
                <w:sz w:val="22"/>
              </w:rPr>
              <w:t>May</w:t>
            </w:r>
            <w:r w:rsidRPr="006378B8">
              <w:rPr>
                <w:rFonts w:cs="Arial"/>
                <w:sz w:val="22"/>
              </w:rPr>
              <w:t xml:space="preserve"> 2020, the DFA has successfully facilitated the return of </w:t>
            </w:r>
            <w:r w:rsidR="006378B8" w:rsidRPr="006378B8">
              <w:rPr>
                <w:rFonts w:cs="Arial"/>
                <w:b/>
                <w:bCs/>
                <w:sz w:val="22"/>
              </w:rPr>
              <w:t>31,352</w:t>
            </w:r>
            <w:r w:rsidRPr="006378B8">
              <w:rPr>
                <w:rFonts w:cs="Arial"/>
                <w:b/>
                <w:bCs/>
                <w:sz w:val="22"/>
              </w:rPr>
              <w:t xml:space="preserve"> distresse</w:t>
            </w:r>
            <w:r w:rsidR="006378B8" w:rsidRPr="006378B8">
              <w:rPr>
                <w:rFonts w:cs="Arial"/>
                <w:b/>
                <w:bCs/>
                <w:sz w:val="22"/>
              </w:rPr>
              <w:t>d Overseas Filipinos (OFs).</w:t>
            </w:r>
          </w:p>
          <w:p w14:paraId="62F7ACBA" w14:textId="77777777" w:rsidR="006378B8" w:rsidRPr="00455F2E" w:rsidRDefault="006378B8" w:rsidP="009B0A9C">
            <w:pPr>
              <w:pStyle w:val="ListParagraph"/>
              <w:ind w:left="611"/>
              <w:contextualSpacing w:val="0"/>
              <w:jc w:val="both"/>
              <w:rPr>
                <w:rFonts w:cs="Arial"/>
                <w:sz w:val="22"/>
              </w:rPr>
            </w:pPr>
          </w:p>
          <w:p w14:paraId="7A107EF3" w14:textId="1AD2DF4B" w:rsidR="000A31BB" w:rsidRPr="00455F2E" w:rsidRDefault="000A31BB" w:rsidP="009B0A9C">
            <w:pPr>
              <w:pStyle w:val="ListParagraph"/>
              <w:ind w:left="611"/>
              <w:contextualSpacing w:val="0"/>
              <w:jc w:val="both"/>
              <w:rPr>
                <w:rFonts w:cs="Arial"/>
                <w:sz w:val="22"/>
              </w:rPr>
            </w:pPr>
            <w:r w:rsidRPr="00455F2E">
              <w:rPr>
                <w:rFonts w:cs="Arial"/>
                <w:sz w:val="22"/>
              </w:rPr>
              <w:t xml:space="preserve">The distressed OFWs undergo mandatory inspection and appropriate protocols supervised by the Bureau of Quarantine (BOQ) as well as quarantine in BOQ-designated facilities. The government also provides transport, food and accommodation assistance to the OFWs. </w:t>
            </w:r>
          </w:p>
          <w:p w14:paraId="65E334D3" w14:textId="77777777" w:rsidR="000A31BB" w:rsidRPr="00455F2E" w:rsidRDefault="000A31BB" w:rsidP="009B0A9C">
            <w:pPr>
              <w:spacing w:line="240" w:lineRule="auto"/>
              <w:jc w:val="both"/>
              <w:rPr>
                <w:color w:val="FF0000"/>
              </w:rPr>
            </w:pPr>
          </w:p>
          <w:p w14:paraId="586E68EE" w14:textId="77777777" w:rsidR="000A31BB" w:rsidRPr="00455F2E" w:rsidRDefault="000A31BB" w:rsidP="009B0A9C">
            <w:pPr>
              <w:pStyle w:val="ListParagraph"/>
              <w:numPr>
                <w:ilvl w:val="0"/>
                <w:numId w:val="22"/>
              </w:numPr>
              <w:ind w:left="611" w:hanging="284"/>
              <w:contextualSpacing w:val="0"/>
              <w:jc w:val="both"/>
              <w:rPr>
                <w:rFonts w:cs="Arial"/>
                <w:sz w:val="22"/>
              </w:rPr>
            </w:pPr>
            <w:r w:rsidRPr="00455F2E">
              <w:rPr>
                <w:rFonts w:cs="Arial"/>
                <w:b/>
                <w:bCs/>
                <w:sz w:val="22"/>
              </w:rPr>
              <w:t>DOLE-AKAP Financial Assistance Program</w:t>
            </w:r>
            <w:r w:rsidRPr="00455F2E">
              <w:rPr>
                <w:rFonts w:cs="Arial"/>
                <w:sz w:val="22"/>
              </w:rPr>
              <w:t xml:space="preserve"> </w:t>
            </w:r>
          </w:p>
          <w:p w14:paraId="1EBC49FB" w14:textId="77777777" w:rsidR="000A31BB" w:rsidRPr="00455F2E" w:rsidRDefault="000A31BB" w:rsidP="009B0A9C">
            <w:pPr>
              <w:pStyle w:val="ListParagraph"/>
              <w:contextualSpacing w:val="0"/>
              <w:jc w:val="both"/>
              <w:rPr>
                <w:rFonts w:cs="Arial"/>
                <w:sz w:val="22"/>
              </w:rPr>
            </w:pPr>
          </w:p>
          <w:p w14:paraId="386EDBA8" w14:textId="26CCF393" w:rsidR="000A31BB" w:rsidRPr="00455F2E" w:rsidRDefault="000A31BB" w:rsidP="009B0A9C">
            <w:pPr>
              <w:pStyle w:val="ListParagraph"/>
              <w:ind w:left="611"/>
              <w:contextualSpacing w:val="0"/>
              <w:jc w:val="both"/>
              <w:rPr>
                <w:rFonts w:cs="Arial"/>
                <w:sz w:val="22"/>
              </w:rPr>
            </w:pPr>
            <w:r w:rsidRPr="00455F2E">
              <w:rPr>
                <w:rFonts w:cs="Arial"/>
                <w:sz w:val="22"/>
              </w:rPr>
              <w:t>The program assists displaced land-based and sea-based workers, returning workers who were stranded in the Philippines and qualified undocumented OFWs who have experienced job displacement due to the COVID-19 pandemic with a one-time cash assistance amounting to PHP</w:t>
            </w:r>
            <w:r w:rsidR="00D63E55">
              <w:rPr>
                <w:rFonts w:cs="Arial"/>
                <w:sz w:val="22"/>
              </w:rPr>
              <w:t xml:space="preserve"> </w:t>
            </w:r>
            <w:r w:rsidRPr="00455F2E">
              <w:rPr>
                <w:rFonts w:cs="Arial"/>
                <w:sz w:val="22"/>
              </w:rPr>
              <w:t>10,000.00</w:t>
            </w:r>
            <w:r w:rsidR="006378B8">
              <w:rPr>
                <w:rFonts w:cs="Arial"/>
                <w:sz w:val="22"/>
              </w:rPr>
              <w:t xml:space="preserve"> (USD 200).</w:t>
            </w:r>
          </w:p>
          <w:p w14:paraId="0FED7BB9" w14:textId="77777777" w:rsidR="000A31BB" w:rsidRPr="00455F2E" w:rsidRDefault="000A31BB" w:rsidP="009B0A9C">
            <w:pPr>
              <w:pStyle w:val="ListParagraph"/>
              <w:contextualSpacing w:val="0"/>
              <w:jc w:val="both"/>
              <w:rPr>
                <w:rFonts w:cs="Arial"/>
                <w:sz w:val="22"/>
              </w:rPr>
            </w:pPr>
          </w:p>
          <w:p w14:paraId="24B02AD2" w14:textId="5576A0AA" w:rsidR="000A31BB" w:rsidRPr="00455F2E" w:rsidRDefault="000A31BB" w:rsidP="009B0A9C">
            <w:pPr>
              <w:pStyle w:val="ListParagraph"/>
              <w:ind w:left="611"/>
              <w:contextualSpacing w:val="0"/>
              <w:jc w:val="both"/>
              <w:rPr>
                <w:rFonts w:cs="Arial"/>
                <w:sz w:val="22"/>
              </w:rPr>
            </w:pPr>
            <w:r w:rsidRPr="006378B8">
              <w:rPr>
                <w:rFonts w:cs="Arial"/>
                <w:sz w:val="22"/>
              </w:rPr>
              <w:t xml:space="preserve">As of </w:t>
            </w:r>
            <w:r w:rsidR="006378B8" w:rsidRPr="006378B8">
              <w:rPr>
                <w:rFonts w:cs="Arial"/>
                <w:sz w:val="22"/>
              </w:rPr>
              <w:t>31 May 2020</w:t>
            </w:r>
            <w:r w:rsidRPr="006378B8">
              <w:rPr>
                <w:rFonts w:cs="Arial"/>
                <w:sz w:val="22"/>
              </w:rPr>
              <w:t xml:space="preserve">, </w:t>
            </w:r>
            <w:r w:rsidR="006378B8" w:rsidRPr="006378B8">
              <w:rPr>
                <w:rFonts w:cs="Arial"/>
                <w:b/>
                <w:bCs/>
                <w:sz w:val="22"/>
              </w:rPr>
              <w:t>128,538</w:t>
            </w:r>
            <w:r w:rsidR="006378B8" w:rsidRPr="006378B8">
              <w:rPr>
                <w:rFonts w:cs="Arial"/>
                <w:sz w:val="22"/>
              </w:rPr>
              <w:t xml:space="preserve"> OFWs have been paid </w:t>
            </w:r>
            <w:r w:rsidRPr="006378B8">
              <w:rPr>
                <w:rFonts w:cs="Arial"/>
                <w:b/>
                <w:bCs/>
                <w:sz w:val="22"/>
              </w:rPr>
              <w:t>PHP</w:t>
            </w:r>
            <w:r w:rsidR="006967DF" w:rsidRPr="006378B8">
              <w:rPr>
                <w:rFonts w:cs="Arial"/>
                <w:b/>
                <w:bCs/>
                <w:sz w:val="22"/>
              </w:rPr>
              <w:t xml:space="preserve"> </w:t>
            </w:r>
            <w:r w:rsidRPr="006378B8">
              <w:rPr>
                <w:rFonts w:cs="Arial"/>
                <w:b/>
                <w:bCs/>
                <w:sz w:val="22"/>
              </w:rPr>
              <w:t>1.</w:t>
            </w:r>
            <w:r w:rsidR="006378B8" w:rsidRPr="006378B8">
              <w:rPr>
                <w:rFonts w:cs="Arial"/>
                <w:b/>
                <w:bCs/>
                <w:sz w:val="22"/>
              </w:rPr>
              <w:t>32</w:t>
            </w:r>
            <w:r w:rsidRPr="006378B8">
              <w:rPr>
                <w:rFonts w:cs="Arial"/>
                <w:b/>
                <w:bCs/>
                <w:sz w:val="22"/>
              </w:rPr>
              <w:t xml:space="preserve"> billion</w:t>
            </w:r>
            <w:r w:rsidR="0071136C" w:rsidRPr="006378B8">
              <w:rPr>
                <w:rFonts w:cs="Arial"/>
                <w:b/>
                <w:bCs/>
                <w:sz w:val="22"/>
              </w:rPr>
              <w:t xml:space="preserve"> (USD 2</w:t>
            </w:r>
            <w:r w:rsidR="006378B8" w:rsidRPr="006378B8">
              <w:rPr>
                <w:rFonts w:cs="Arial"/>
                <w:b/>
                <w:bCs/>
                <w:sz w:val="22"/>
              </w:rPr>
              <w:t>6</w:t>
            </w:r>
            <w:r w:rsidR="0071136C" w:rsidRPr="006378B8">
              <w:rPr>
                <w:rFonts w:cs="Arial"/>
                <w:b/>
                <w:bCs/>
                <w:sz w:val="22"/>
              </w:rPr>
              <w:t>.</w:t>
            </w:r>
            <w:r w:rsidR="006378B8" w:rsidRPr="006378B8">
              <w:rPr>
                <w:rFonts w:cs="Arial"/>
                <w:b/>
                <w:bCs/>
                <w:sz w:val="22"/>
              </w:rPr>
              <w:t>4</w:t>
            </w:r>
            <w:r w:rsidR="0071136C" w:rsidRPr="006378B8">
              <w:rPr>
                <w:rFonts w:cs="Arial"/>
                <w:b/>
                <w:bCs/>
                <w:sz w:val="22"/>
              </w:rPr>
              <w:t xml:space="preserve"> million</w:t>
            </w:r>
            <w:r w:rsidR="00D63E55">
              <w:rPr>
                <w:rFonts w:cs="Arial"/>
                <w:b/>
                <w:bCs/>
                <w:sz w:val="22"/>
              </w:rPr>
              <w:t>)</w:t>
            </w:r>
            <w:r w:rsidR="006378B8" w:rsidRPr="006378B8">
              <w:rPr>
                <w:rFonts w:cs="Arial"/>
                <w:sz w:val="22"/>
              </w:rPr>
              <w:t>. There is a further increase in the number of target beneficiaries under AKAP (150,000 to 250,000), with an addition</w:t>
            </w:r>
            <w:r w:rsidR="005A0EB4" w:rsidRPr="00D63E55">
              <w:rPr>
                <w:rFonts w:cs="Arial"/>
                <w:sz w:val="22"/>
              </w:rPr>
              <w:t>al</w:t>
            </w:r>
            <w:r w:rsidR="006378B8" w:rsidRPr="00D63E55">
              <w:rPr>
                <w:rFonts w:cs="Arial"/>
                <w:sz w:val="22"/>
              </w:rPr>
              <w:t xml:space="preserve"> </w:t>
            </w:r>
            <w:r w:rsidR="006378B8" w:rsidRPr="006378B8">
              <w:rPr>
                <w:rFonts w:cs="Arial"/>
                <w:sz w:val="22"/>
              </w:rPr>
              <w:t>PHP 1 billion (USD 2</w:t>
            </w:r>
            <w:r w:rsidR="00D63E55">
              <w:rPr>
                <w:rFonts w:cs="Arial"/>
                <w:sz w:val="22"/>
              </w:rPr>
              <w:t>0</w:t>
            </w:r>
            <w:r w:rsidR="006378B8" w:rsidRPr="006378B8">
              <w:rPr>
                <w:rFonts w:cs="Arial"/>
                <w:sz w:val="22"/>
              </w:rPr>
              <w:t xml:space="preserve"> </w:t>
            </w:r>
            <w:r w:rsidR="00D63E55">
              <w:rPr>
                <w:rFonts w:cs="Arial"/>
                <w:sz w:val="22"/>
              </w:rPr>
              <w:t>m</w:t>
            </w:r>
            <w:r w:rsidR="006378B8" w:rsidRPr="006378B8">
              <w:rPr>
                <w:rFonts w:cs="Arial"/>
                <w:sz w:val="22"/>
              </w:rPr>
              <w:t xml:space="preserve">illion) budget approved. </w:t>
            </w:r>
          </w:p>
          <w:p w14:paraId="15678020" w14:textId="77777777" w:rsidR="000A31BB" w:rsidRPr="00455F2E" w:rsidRDefault="000A31BB" w:rsidP="009B0A9C">
            <w:pPr>
              <w:spacing w:line="240" w:lineRule="auto"/>
              <w:jc w:val="both"/>
            </w:pPr>
          </w:p>
          <w:p w14:paraId="42B2C6FA" w14:textId="785B0F74" w:rsidR="000A31BB" w:rsidRDefault="000A31BB" w:rsidP="009B0A9C">
            <w:pPr>
              <w:pStyle w:val="ListParagraph"/>
              <w:numPr>
                <w:ilvl w:val="0"/>
                <w:numId w:val="15"/>
              </w:numPr>
              <w:ind w:left="327" w:hanging="327"/>
              <w:contextualSpacing w:val="0"/>
              <w:jc w:val="both"/>
              <w:rPr>
                <w:rFonts w:cs="Arial"/>
                <w:b/>
                <w:bCs/>
                <w:sz w:val="22"/>
              </w:rPr>
            </w:pPr>
            <w:r w:rsidRPr="00455F2E">
              <w:rPr>
                <w:rFonts w:cs="Arial"/>
                <w:b/>
                <w:bCs/>
                <w:sz w:val="22"/>
              </w:rPr>
              <w:t>For Women and Children</w:t>
            </w:r>
          </w:p>
          <w:p w14:paraId="586CD6FD" w14:textId="77777777" w:rsidR="008E538E" w:rsidRPr="0020527D" w:rsidRDefault="008E538E" w:rsidP="008E538E">
            <w:pPr>
              <w:pStyle w:val="ListParagraph"/>
              <w:ind w:left="327"/>
              <w:contextualSpacing w:val="0"/>
              <w:jc w:val="both"/>
              <w:rPr>
                <w:rFonts w:cs="Arial"/>
                <w:b/>
                <w:bCs/>
                <w:sz w:val="22"/>
              </w:rPr>
            </w:pPr>
          </w:p>
          <w:p w14:paraId="5F88421B" w14:textId="77777777" w:rsidR="00472B88" w:rsidRPr="00455F2E" w:rsidRDefault="000A31BB" w:rsidP="009B0A9C">
            <w:pPr>
              <w:pStyle w:val="ListParagraph"/>
              <w:numPr>
                <w:ilvl w:val="0"/>
                <w:numId w:val="22"/>
              </w:numPr>
              <w:ind w:left="611" w:hanging="284"/>
              <w:contextualSpacing w:val="0"/>
              <w:jc w:val="both"/>
              <w:rPr>
                <w:rFonts w:cs="Arial"/>
                <w:b/>
                <w:bCs/>
                <w:sz w:val="22"/>
              </w:rPr>
            </w:pPr>
            <w:r w:rsidRPr="00455F2E">
              <w:rPr>
                <w:rFonts w:cs="Arial"/>
                <w:b/>
                <w:bCs/>
                <w:sz w:val="22"/>
              </w:rPr>
              <w:t>Response to Violence Against Women and Children</w:t>
            </w:r>
          </w:p>
          <w:p w14:paraId="095CE51F" w14:textId="77777777" w:rsidR="000A31BB" w:rsidRPr="00455F2E" w:rsidRDefault="000A31BB" w:rsidP="009B0A9C">
            <w:pPr>
              <w:pStyle w:val="ListParagraph"/>
              <w:ind w:left="1031"/>
              <w:contextualSpacing w:val="0"/>
              <w:jc w:val="both"/>
              <w:rPr>
                <w:rFonts w:cs="Arial"/>
                <w:b/>
                <w:bCs/>
                <w:sz w:val="22"/>
              </w:rPr>
            </w:pPr>
            <w:r w:rsidRPr="00455F2E">
              <w:rPr>
                <w:rFonts w:cs="Arial"/>
                <w:b/>
                <w:bCs/>
                <w:sz w:val="22"/>
              </w:rPr>
              <w:t xml:space="preserve"> </w:t>
            </w:r>
          </w:p>
          <w:p w14:paraId="4BCE8B89" w14:textId="77777777" w:rsidR="000A31BB" w:rsidRPr="00914FD5" w:rsidRDefault="000A31BB" w:rsidP="00914FD5">
            <w:pPr>
              <w:pStyle w:val="ListParagraph"/>
              <w:numPr>
                <w:ilvl w:val="1"/>
                <w:numId w:val="38"/>
              </w:numPr>
              <w:ind w:left="856" w:hanging="283"/>
              <w:contextualSpacing w:val="0"/>
              <w:jc w:val="both"/>
              <w:rPr>
                <w:rFonts w:cs="Arial"/>
                <w:sz w:val="22"/>
              </w:rPr>
            </w:pPr>
            <w:r w:rsidRPr="00455F2E">
              <w:rPr>
                <w:rFonts w:cs="Arial"/>
                <w:sz w:val="22"/>
              </w:rPr>
              <w:t xml:space="preserve">The </w:t>
            </w:r>
            <w:r w:rsidR="001055E5" w:rsidRPr="00455F2E">
              <w:rPr>
                <w:rFonts w:cs="Arial"/>
                <w:sz w:val="22"/>
              </w:rPr>
              <w:t>Department of Interior and Local Government (</w:t>
            </w:r>
            <w:r w:rsidRPr="00455F2E">
              <w:rPr>
                <w:rFonts w:cs="Arial"/>
                <w:sz w:val="22"/>
              </w:rPr>
              <w:t>DILG</w:t>
            </w:r>
            <w:r w:rsidR="001055E5" w:rsidRPr="00455F2E">
              <w:rPr>
                <w:rFonts w:cs="Arial"/>
                <w:sz w:val="22"/>
              </w:rPr>
              <w:t>)</w:t>
            </w:r>
            <w:r w:rsidRPr="00455F2E">
              <w:rPr>
                <w:rFonts w:cs="Arial"/>
                <w:sz w:val="22"/>
              </w:rPr>
              <w:t xml:space="preserve">, working with the Philippine </w:t>
            </w:r>
            <w:r w:rsidRPr="00914FD5">
              <w:rPr>
                <w:rFonts w:cs="Arial"/>
                <w:sz w:val="22"/>
              </w:rPr>
              <w:t xml:space="preserve">Commission on Women (PCW), is continuously monitoring and actively responding to inquiries related to violence against women and children. </w:t>
            </w:r>
          </w:p>
          <w:p w14:paraId="4DCBE63A" w14:textId="35991240" w:rsidR="000A31BB" w:rsidRPr="00914FD5" w:rsidRDefault="000A31BB" w:rsidP="00914FD5">
            <w:pPr>
              <w:pStyle w:val="ListParagraph"/>
              <w:numPr>
                <w:ilvl w:val="1"/>
                <w:numId w:val="38"/>
              </w:numPr>
              <w:ind w:left="856" w:hanging="283"/>
              <w:contextualSpacing w:val="0"/>
              <w:jc w:val="both"/>
              <w:rPr>
                <w:rFonts w:cs="Arial"/>
                <w:sz w:val="22"/>
              </w:rPr>
            </w:pPr>
            <w:r w:rsidRPr="00914FD5">
              <w:rPr>
                <w:rFonts w:cs="Arial"/>
                <w:sz w:val="22"/>
              </w:rPr>
              <w:t>PCW</w:t>
            </w:r>
            <w:r w:rsidR="00914FD5" w:rsidRPr="00914FD5">
              <w:rPr>
                <w:rFonts w:cs="Arial"/>
                <w:sz w:val="22"/>
              </w:rPr>
              <w:t xml:space="preserve"> </w:t>
            </w:r>
            <w:r w:rsidRPr="00914FD5">
              <w:rPr>
                <w:rFonts w:cs="Arial"/>
                <w:sz w:val="22"/>
              </w:rPr>
              <w:t>issue</w:t>
            </w:r>
            <w:r w:rsidR="00914FD5" w:rsidRPr="00914FD5">
              <w:rPr>
                <w:rFonts w:cs="Arial"/>
                <w:sz w:val="22"/>
              </w:rPr>
              <w:t>d</w:t>
            </w:r>
            <w:r w:rsidRPr="00914FD5">
              <w:rPr>
                <w:rFonts w:cs="Arial"/>
                <w:sz w:val="22"/>
              </w:rPr>
              <w:t xml:space="preserve"> </w:t>
            </w:r>
            <w:r w:rsidR="00914FD5" w:rsidRPr="00914FD5">
              <w:rPr>
                <w:rFonts w:cs="Arial"/>
                <w:sz w:val="22"/>
              </w:rPr>
              <w:t xml:space="preserve">on 27 April 2020 </w:t>
            </w:r>
            <w:r w:rsidRPr="00914FD5">
              <w:rPr>
                <w:rFonts w:cs="Arial"/>
                <w:sz w:val="22"/>
              </w:rPr>
              <w:t>an advisory</w:t>
            </w:r>
            <w:r w:rsidR="00914FD5" w:rsidRPr="00914FD5">
              <w:rPr>
                <w:rStyle w:val="FootnoteReference"/>
                <w:rFonts w:cs="Arial"/>
                <w:sz w:val="22"/>
              </w:rPr>
              <w:footnoteReference w:id="4"/>
            </w:r>
            <w:r w:rsidRPr="00914FD5">
              <w:rPr>
                <w:rFonts w:cs="Arial"/>
                <w:sz w:val="22"/>
              </w:rPr>
              <w:t xml:space="preserve"> to all </w:t>
            </w:r>
            <w:r w:rsidR="00914FD5" w:rsidRPr="00914FD5">
              <w:rPr>
                <w:rFonts w:cs="Arial"/>
                <w:sz w:val="22"/>
              </w:rPr>
              <w:t xml:space="preserve">national and local government units </w:t>
            </w:r>
            <w:r w:rsidRPr="00914FD5">
              <w:rPr>
                <w:rFonts w:cs="Arial"/>
                <w:sz w:val="22"/>
              </w:rPr>
              <w:t>on utilizing their</w:t>
            </w:r>
            <w:r w:rsidR="00914FD5" w:rsidRPr="00914FD5">
              <w:rPr>
                <w:rFonts w:cs="Arial"/>
                <w:sz w:val="22"/>
              </w:rPr>
              <w:t xml:space="preserve"> respective</w:t>
            </w:r>
            <w:r w:rsidRPr="00914FD5">
              <w:rPr>
                <w:rFonts w:cs="Arial"/>
                <w:sz w:val="22"/>
              </w:rPr>
              <w:t xml:space="preserve"> Gender and Development Budget</w:t>
            </w:r>
            <w:r w:rsidR="00914FD5" w:rsidRPr="00914FD5">
              <w:rPr>
                <w:rFonts w:cs="Arial"/>
                <w:sz w:val="22"/>
              </w:rPr>
              <w:t>s</w:t>
            </w:r>
            <w:r w:rsidRPr="00914FD5">
              <w:rPr>
                <w:rFonts w:cs="Arial"/>
                <w:sz w:val="22"/>
              </w:rPr>
              <w:t xml:space="preserve"> to</w:t>
            </w:r>
            <w:r w:rsidR="00914FD5" w:rsidRPr="00914FD5">
              <w:rPr>
                <w:rFonts w:cs="Arial"/>
                <w:sz w:val="22"/>
              </w:rPr>
              <w:t xml:space="preserve"> implement measures to address gender issues and concerns arising from the unequal status of their women and men stakeholders due to the COVID-19 situation, including preventing discrimination against women and gender-based violence. </w:t>
            </w:r>
          </w:p>
          <w:p w14:paraId="224C28A5" w14:textId="30C79EB1" w:rsidR="000A31BB" w:rsidRDefault="000A31BB" w:rsidP="00914FD5">
            <w:pPr>
              <w:pStyle w:val="ListParagraph"/>
              <w:numPr>
                <w:ilvl w:val="1"/>
                <w:numId w:val="38"/>
              </w:numPr>
              <w:ind w:left="856" w:hanging="283"/>
              <w:contextualSpacing w:val="0"/>
              <w:jc w:val="both"/>
              <w:rPr>
                <w:rFonts w:cs="Arial"/>
                <w:sz w:val="22"/>
              </w:rPr>
            </w:pPr>
            <w:r w:rsidRPr="00455F2E">
              <w:rPr>
                <w:rFonts w:cs="Arial"/>
                <w:sz w:val="22"/>
              </w:rPr>
              <w:t>DOH hospitals maintain Women and Child Protection Units capable of responding to any act of violence in coordination with the DILG, DSWD, and the Philippine National Police (PNP).</w:t>
            </w:r>
          </w:p>
          <w:p w14:paraId="751FC10B" w14:textId="485D3D5A" w:rsidR="005E5AFF" w:rsidRPr="00455F2E" w:rsidRDefault="005E5AFF" w:rsidP="00914FD5">
            <w:pPr>
              <w:pStyle w:val="ListParagraph"/>
              <w:numPr>
                <w:ilvl w:val="1"/>
                <w:numId w:val="38"/>
              </w:numPr>
              <w:ind w:left="856" w:hanging="283"/>
              <w:contextualSpacing w:val="0"/>
              <w:jc w:val="both"/>
              <w:rPr>
                <w:rFonts w:cs="Arial"/>
                <w:sz w:val="22"/>
              </w:rPr>
            </w:pPr>
            <w:r>
              <w:rPr>
                <w:rFonts w:cs="Arial"/>
                <w:sz w:val="22"/>
              </w:rPr>
              <w:t>The PNP-Women and Children Protection Center (WCPC) continues to be proactive in responding to complaints of violence against women and children during the pandemic.</w:t>
            </w:r>
          </w:p>
          <w:p w14:paraId="5EC01928" w14:textId="5E352E87" w:rsidR="000A31BB" w:rsidRDefault="000A31BB" w:rsidP="00914FD5">
            <w:pPr>
              <w:pStyle w:val="ListParagraph"/>
              <w:numPr>
                <w:ilvl w:val="1"/>
                <w:numId w:val="38"/>
              </w:numPr>
              <w:ind w:left="856" w:hanging="283"/>
              <w:contextualSpacing w:val="0"/>
              <w:jc w:val="both"/>
              <w:rPr>
                <w:rFonts w:cs="Arial"/>
                <w:sz w:val="22"/>
              </w:rPr>
            </w:pPr>
            <w:r w:rsidRPr="00455F2E">
              <w:rPr>
                <w:rFonts w:cs="Arial"/>
                <w:sz w:val="22"/>
              </w:rPr>
              <w:t>The Commission on Population and Development (POPCOM) maintains the Responsible Parenthood and Family Planning Hotline that also responds to reports of gender-based violence.</w:t>
            </w:r>
          </w:p>
          <w:p w14:paraId="68B58A81" w14:textId="77777777" w:rsidR="00187F41" w:rsidRDefault="00187F41" w:rsidP="00187F41">
            <w:pPr>
              <w:pStyle w:val="ListParagraph"/>
              <w:ind w:left="611"/>
              <w:contextualSpacing w:val="0"/>
              <w:jc w:val="both"/>
              <w:rPr>
                <w:rFonts w:cs="Arial"/>
                <w:sz w:val="22"/>
              </w:rPr>
            </w:pPr>
          </w:p>
          <w:p w14:paraId="1DC48ABC" w14:textId="3F382A24" w:rsidR="000A31BB" w:rsidRPr="00455F2E" w:rsidRDefault="000A31BB" w:rsidP="009B0A9C">
            <w:pPr>
              <w:pStyle w:val="ListParagraph"/>
              <w:numPr>
                <w:ilvl w:val="0"/>
                <w:numId w:val="22"/>
              </w:numPr>
              <w:ind w:left="611" w:hanging="284"/>
              <w:contextualSpacing w:val="0"/>
              <w:jc w:val="both"/>
              <w:rPr>
                <w:rFonts w:cs="Arial"/>
                <w:sz w:val="22"/>
              </w:rPr>
            </w:pPr>
            <w:r w:rsidRPr="00455F2E">
              <w:rPr>
                <w:rFonts w:cs="Arial"/>
                <w:b/>
                <w:bCs/>
                <w:sz w:val="22"/>
              </w:rPr>
              <w:t>DILG and Council for the Welfare of Children (CWC) Joint Memorandum Circular No. 2020-001</w:t>
            </w:r>
            <w:r w:rsidRPr="00455F2E">
              <w:rPr>
                <w:rFonts w:cs="Arial"/>
                <w:sz w:val="22"/>
              </w:rPr>
              <w:t xml:space="preserve"> </w:t>
            </w:r>
            <w:r w:rsidRPr="00455F2E">
              <w:rPr>
                <w:rFonts w:cs="Arial"/>
                <w:b/>
                <w:bCs/>
                <w:sz w:val="22"/>
              </w:rPr>
              <w:t>on protocols for reaching out to children</w:t>
            </w:r>
            <w:r w:rsidRPr="00455F2E">
              <w:rPr>
                <w:rFonts w:cs="Arial"/>
                <w:sz w:val="22"/>
              </w:rPr>
              <w:t>. The MC reiterates the protocols to be followed by LGUs in assisting street children, children in need of special protection, children at risk, and children in conflict with the law during the ECQ.</w:t>
            </w:r>
          </w:p>
          <w:p w14:paraId="180B0F6A" w14:textId="77777777" w:rsidR="000A31BB" w:rsidRPr="00455F2E" w:rsidRDefault="000A31BB" w:rsidP="009B0A9C">
            <w:pPr>
              <w:spacing w:line="240" w:lineRule="auto"/>
            </w:pPr>
          </w:p>
          <w:p w14:paraId="7B5B0310" w14:textId="164D81B3" w:rsidR="000A31BB" w:rsidRPr="00455F2E" w:rsidRDefault="000A31BB" w:rsidP="009B0A9C">
            <w:pPr>
              <w:pStyle w:val="ListParagraph"/>
              <w:numPr>
                <w:ilvl w:val="0"/>
                <w:numId w:val="22"/>
              </w:numPr>
              <w:ind w:left="611" w:hanging="284"/>
              <w:contextualSpacing w:val="0"/>
              <w:jc w:val="both"/>
              <w:rPr>
                <w:rFonts w:cs="Arial"/>
                <w:sz w:val="22"/>
              </w:rPr>
            </w:pPr>
            <w:r w:rsidRPr="00455F2E">
              <w:rPr>
                <w:rFonts w:cs="Arial"/>
                <w:b/>
                <w:bCs/>
                <w:sz w:val="22"/>
              </w:rPr>
              <w:lastRenderedPageBreak/>
              <w:t>#FeedPHBabies</w:t>
            </w:r>
            <w:r w:rsidRPr="00455F2E">
              <w:rPr>
                <w:rFonts w:cs="Arial"/>
                <w:sz w:val="22"/>
              </w:rPr>
              <w:t xml:space="preserve"> </w:t>
            </w:r>
            <w:r w:rsidRPr="00455F2E">
              <w:rPr>
                <w:rFonts w:cs="Arial"/>
                <w:b/>
                <w:bCs/>
                <w:sz w:val="22"/>
              </w:rPr>
              <w:t>campaign</w:t>
            </w:r>
            <w:r w:rsidRPr="00455F2E">
              <w:rPr>
                <w:rFonts w:cs="Arial"/>
                <w:sz w:val="22"/>
              </w:rPr>
              <w:t xml:space="preserve"> initiated by a group of scholars of the Department of Science and Technology (DOST) aims to provide ‘baby-friendly</w:t>
            </w:r>
            <w:r w:rsidR="002B04F7" w:rsidRPr="002B04F7">
              <w:rPr>
                <w:rFonts w:cs="Arial"/>
                <w:color w:val="92D050"/>
                <w:sz w:val="22"/>
              </w:rPr>
              <w:t>’</w:t>
            </w:r>
            <w:r w:rsidRPr="002B04F7">
              <w:rPr>
                <w:rFonts w:cs="Arial"/>
                <w:color w:val="92D050"/>
                <w:sz w:val="22"/>
              </w:rPr>
              <w:t xml:space="preserve"> </w:t>
            </w:r>
            <w:r w:rsidRPr="00455F2E">
              <w:rPr>
                <w:rFonts w:cs="Arial"/>
                <w:sz w:val="22"/>
              </w:rPr>
              <w:t xml:space="preserve">relief goods for babies affected by the ECQ. </w:t>
            </w:r>
          </w:p>
          <w:p w14:paraId="6D91676F" w14:textId="77777777" w:rsidR="000A31BB" w:rsidRPr="00455F2E" w:rsidRDefault="000A31BB" w:rsidP="009B0A9C">
            <w:pPr>
              <w:spacing w:line="240" w:lineRule="auto"/>
              <w:jc w:val="both"/>
              <w:rPr>
                <w:b/>
                <w:bCs/>
              </w:rPr>
            </w:pPr>
          </w:p>
          <w:p w14:paraId="11236874" w14:textId="3AFF854F" w:rsidR="000A31BB" w:rsidRDefault="000A31BB" w:rsidP="009B0A9C">
            <w:pPr>
              <w:pStyle w:val="ListParagraph"/>
              <w:numPr>
                <w:ilvl w:val="0"/>
                <w:numId w:val="15"/>
              </w:numPr>
              <w:ind w:left="327" w:hanging="327"/>
              <w:contextualSpacing w:val="0"/>
              <w:jc w:val="both"/>
              <w:rPr>
                <w:rFonts w:cs="Arial"/>
                <w:b/>
                <w:bCs/>
                <w:sz w:val="22"/>
              </w:rPr>
            </w:pPr>
            <w:r w:rsidRPr="00455F2E">
              <w:rPr>
                <w:rFonts w:cs="Arial"/>
                <w:b/>
                <w:bCs/>
                <w:sz w:val="22"/>
              </w:rPr>
              <w:t>For Older Persons</w:t>
            </w:r>
          </w:p>
          <w:p w14:paraId="77AA09C7" w14:textId="77777777" w:rsidR="00F41CAC" w:rsidRPr="0020527D" w:rsidRDefault="00F41CAC" w:rsidP="00F41CAC">
            <w:pPr>
              <w:pStyle w:val="ListParagraph"/>
              <w:ind w:left="327"/>
              <w:contextualSpacing w:val="0"/>
              <w:jc w:val="both"/>
              <w:rPr>
                <w:rFonts w:cs="Arial"/>
                <w:b/>
                <w:bCs/>
                <w:sz w:val="22"/>
              </w:rPr>
            </w:pPr>
          </w:p>
          <w:p w14:paraId="55B6A421" w14:textId="77777777" w:rsidR="0024794B" w:rsidRPr="00F41CAC" w:rsidRDefault="0024794B" w:rsidP="009B0A9C">
            <w:pPr>
              <w:pStyle w:val="ListParagraph"/>
              <w:numPr>
                <w:ilvl w:val="0"/>
                <w:numId w:val="22"/>
              </w:numPr>
              <w:ind w:left="611" w:hanging="284"/>
              <w:contextualSpacing w:val="0"/>
              <w:jc w:val="both"/>
              <w:rPr>
                <w:rFonts w:cs="Arial"/>
                <w:b/>
                <w:bCs/>
                <w:sz w:val="22"/>
              </w:rPr>
            </w:pPr>
            <w:r w:rsidRPr="00F41CAC">
              <w:rPr>
                <w:rFonts w:cs="Arial"/>
                <w:b/>
                <w:bCs/>
                <w:sz w:val="22"/>
              </w:rPr>
              <w:t xml:space="preserve">Social Pension for the first semester of 2020. </w:t>
            </w:r>
          </w:p>
          <w:p w14:paraId="15FDA5A5" w14:textId="77777777" w:rsidR="0024794B" w:rsidRPr="00F41CAC" w:rsidRDefault="0024794B" w:rsidP="0024794B">
            <w:pPr>
              <w:pStyle w:val="ListParagraph"/>
              <w:ind w:left="611"/>
              <w:contextualSpacing w:val="0"/>
              <w:jc w:val="both"/>
              <w:rPr>
                <w:rFonts w:cs="Arial"/>
                <w:sz w:val="22"/>
              </w:rPr>
            </w:pPr>
          </w:p>
          <w:p w14:paraId="40F92E3F" w14:textId="11A837ED" w:rsidR="0024794B" w:rsidRDefault="0024794B" w:rsidP="0024794B">
            <w:pPr>
              <w:pStyle w:val="ListParagraph"/>
              <w:ind w:left="611"/>
              <w:contextualSpacing w:val="0"/>
              <w:jc w:val="both"/>
              <w:rPr>
                <w:rFonts w:cs="Arial"/>
                <w:sz w:val="22"/>
              </w:rPr>
            </w:pPr>
            <w:r w:rsidRPr="00F41CAC">
              <w:rPr>
                <w:rFonts w:cs="Arial"/>
                <w:sz w:val="22"/>
              </w:rPr>
              <w:t>As of 31 May 2020, a total of 1,717,584 indigent senior citizens have received their social pension for the first semester of 2020 and/or their unpaid social pension for 2019, in the total amount of PHP 5.15 billion (USD 103 million).</w:t>
            </w:r>
          </w:p>
          <w:p w14:paraId="000D5FA6" w14:textId="77777777" w:rsidR="00453166" w:rsidRPr="004F632C" w:rsidRDefault="00453166" w:rsidP="004F632C">
            <w:pPr>
              <w:jc w:val="both"/>
            </w:pPr>
          </w:p>
          <w:p w14:paraId="166ADC1F" w14:textId="0A9CEB3D" w:rsidR="001956C8" w:rsidRPr="00455F2E" w:rsidRDefault="00B85354" w:rsidP="009B0A9C">
            <w:pPr>
              <w:pStyle w:val="ListParagraph"/>
              <w:numPr>
                <w:ilvl w:val="0"/>
                <w:numId w:val="22"/>
              </w:numPr>
              <w:ind w:left="611" w:hanging="284"/>
              <w:contextualSpacing w:val="0"/>
              <w:jc w:val="both"/>
              <w:rPr>
                <w:rFonts w:cs="Arial"/>
                <w:sz w:val="22"/>
              </w:rPr>
            </w:pPr>
            <w:r w:rsidRPr="00455F2E">
              <w:rPr>
                <w:rFonts w:cs="Arial"/>
                <w:b/>
                <w:bCs/>
                <w:sz w:val="22"/>
              </w:rPr>
              <w:t>Department of Trade and Industry (</w:t>
            </w:r>
            <w:r w:rsidR="000A31BB" w:rsidRPr="00455F2E">
              <w:rPr>
                <w:rFonts w:cs="Arial"/>
                <w:b/>
                <w:bCs/>
                <w:sz w:val="22"/>
              </w:rPr>
              <w:t>DTI</w:t>
            </w:r>
            <w:r w:rsidRPr="00455F2E">
              <w:rPr>
                <w:rFonts w:cs="Arial"/>
                <w:b/>
                <w:bCs/>
                <w:sz w:val="22"/>
              </w:rPr>
              <w:t>)</w:t>
            </w:r>
            <w:r w:rsidR="000A31BB" w:rsidRPr="00455F2E">
              <w:rPr>
                <w:rFonts w:cs="Arial"/>
                <w:b/>
                <w:bCs/>
                <w:sz w:val="22"/>
              </w:rPr>
              <w:t xml:space="preserve"> Memorandum Circular on “</w:t>
            </w:r>
            <w:proofErr w:type="spellStart"/>
            <w:r w:rsidR="000A31BB" w:rsidRPr="00455F2E">
              <w:rPr>
                <w:rFonts w:cs="Arial"/>
                <w:b/>
                <w:bCs/>
                <w:i/>
                <w:iCs/>
                <w:sz w:val="22"/>
              </w:rPr>
              <w:t>Pagpapahalaga</w:t>
            </w:r>
            <w:proofErr w:type="spellEnd"/>
            <w:r w:rsidR="000A31BB" w:rsidRPr="00455F2E">
              <w:rPr>
                <w:rFonts w:cs="Arial"/>
                <w:b/>
                <w:bCs/>
                <w:i/>
                <w:iCs/>
                <w:sz w:val="22"/>
              </w:rPr>
              <w:t xml:space="preserve"> </w:t>
            </w:r>
            <w:proofErr w:type="spellStart"/>
            <w:r w:rsidR="000A31BB" w:rsidRPr="00455F2E">
              <w:rPr>
                <w:rFonts w:cs="Arial"/>
                <w:b/>
                <w:bCs/>
                <w:i/>
                <w:iCs/>
                <w:sz w:val="22"/>
              </w:rPr>
              <w:t>sa</w:t>
            </w:r>
            <w:proofErr w:type="spellEnd"/>
            <w:r w:rsidR="000A31BB" w:rsidRPr="00455F2E">
              <w:rPr>
                <w:rFonts w:cs="Arial"/>
                <w:b/>
                <w:bCs/>
                <w:i/>
                <w:iCs/>
                <w:sz w:val="22"/>
              </w:rPr>
              <w:t xml:space="preserve"> </w:t>
            </w:r>
            <w:proofErr w:type="spellStart"/>
            <w:r w:rsidR="000A31BB" w:rsidRPr="00455F2E">
              <w:rPr>
                <w:rFonts w:cs="Arial"/>
                <w:b/>
                <w:bCs/>
                <w:i/>
                <w:iCs/>
                <w:sz w:val="22"/>
              </w:rPr>
              <w:t>mga</w:t>
            </w:r>
            <w:proofErr w:type="spellEnd"/>
            <w:r w:rsidR="000A31BB" w:rsidRPr="00455F2E">
              <w:rPr>
                <w:rFonts w:cs="Arial"/>
                <w:b/>
                <w:bCs/>
                <w:i/>
                <w:iCs/>
                <w:sz w:val="22"/>
              </w:rPr>
              <w:t xml:space="preserve"> Senior Citizens”.</w:t>
            </w:r>
            <w:r w:rsidR="000A31BB" w:rsidRPr="00455F2E">
              <w:rPr>
                <w:rFonts w:cs="Arial"/>
                <w:sz w:val="22"/>
              </w:rPr>
              <w:t xml:space="preserve"> </w:t>
            </w:r>
          </w:p>
          <w:p w14:paraId="1C8B4AA9" w14:textId="77777777" w:rsidR="001956C8" w:rsidRPr="00455F2E" w:rsidRDefault="001956C8" w:rsidP="009B0A9C">
            <w:pPr>
              <w:pStyle w:val="ListParagraph"/>
              <w:ind w:left="611"/>
              <w:contextualSpacing w:val="0"/>
              <w:jc w:val="both"/>
              <w:rPr>
                <w:rFonts w:cs="Arial"/>
                <w:sz w:val="22"/>
              </w:rPr>
            </w:pPr>
          </w:p>
          <w:p w14:paraId="26BBEE1E" w14:textId="46893398" w:rsidR="000A31BB" w:rsidRPr="00455F2E" w:rsidRDefault="000A31BB" w:rsidP="009B0A9C">
            <w:pPr>
              <w:pStyle w:val="ListParagraph"/>
              <w:ind w:left="611"/>
              <w:contextualSpacing w:val="0"/>
              <w:jc w:val="both"/>
              <w:rPr>
                <w:rFonts w:cs="Arial"/>
                <w:sz w:val="22"/>
              </w:rPr>
            </w:pPr>
            <w:r w:rsidRPr="00455F2E">
              <w:rPr>
                <w:rFonts w:cs="Arial"/>
                <w:sz w:val="22"/>
              </w:rPr>
              <w:t>Issued on 28 March 2020, this Circular</w:t>
            </w:r>
            <w:r w:rsidRPr="00455F2E">
              <w:rPr>
                <w:rFonts w:cs="Arial"/>
                <w:b/>
                <w:bCs/>
                <w:sz w:val="22"/>
              </w:rPr>
              <w:t xml:space="preserve"> </w:t>
            </w:r>
            <w:r w:rsidRPr="00455F2E">
              <w:rPr>
                <w:rFonts w:cs="Arial"/>
                <w:sz w:val="22"/>
              </w:rPr>
              <w:t xml:space="preserve">requires all </w:t>
            </w:r>
            <w:r w:rsidRPr="001804CC">
              <w:rPr>
                <w:rFonts w:cs="Arial"/>
                <w:b/>
                <w:sz w:val="22"/>
              </w:rPr>
              <w:t>supermarkets, pharmacies and drug stores</w:t>
            </w:r>
            <w:r w:rsidRPr="00455F2E">
              <w:rPr>
                <w:rFonts w:cs="Arial"/>
                <w:sz w:val="22"/>
              </w:rPr>
              <w:t xml:space="preserve"> to give priority to senior citizens as </w:t>
            </w:r>
            <w:r w:rsidRPr="001804CC">
              <w:rPr>
                <w:rFonts w:cs="Arial"/>
                <w:bCs/>
                <w:sz w:val="22"/>
              </w:rPr>
              <w:t>they</w:t>
            </w:r>
            <w:r w:rsidRPr="00455F2E">
              <w:rPr>
                <w:rFonts w:cs="Arial"/>
                <w:sz w:val="22"/>
              </w:rPr>
              <w:t xml:space="preserve"> purchase their needs</w:t>
            </w:r>
            <w:r w:rsidR="001804CC">
              <w:rPr>
                <w:rFonts w:cs="Arial"/>
                <w:sz w:val="22"/>
              </w:rPr>
              <w:t>,</w:t>
            </w:r>
            <w:r w:rsidRPr="00455F2E">
              <w:rPr>
                <w:rFonts w:cs="Arial"/>
                <w:sz w:val="22"/>
              </w:rPr>
              <w:t xml:space="preserve"> such as food and medicine. The Circular also encourages establishments to designate a ‘Seniors Only’ shopping hour. </w:t>
            </w:r>
          </w:p>
          <w:p w14:paraId="12AABBA2" w14:textId="77777777" w:rsidR="000A31BB" w:rsidRPr="00455F2E" w:rsidRDefault="000A31BB" w:rsidP="009B0A9C">
            <w:pPr>
              <w:pStyle w:val="ListParagraph"/>
              <w:contextualSpacing w:val="0"/>
              <w:jc w:val="both"/>
              <w:rPr>
                <w:rFonts w:cs="Arial"/>
                <w:sz w:val="22"/>
              </w:rPr>
            </w:pPr>
          </w:p>
          <w:p w14:paraId="3AECFB50" w14:textId="77777777" w:rsidR="001956C8" w:rsidRPr="00455F2E" w:rsidRDefault="000A31BB" w:rsidP="009B0A9C">
            <w:pPr>
              <w:pStyle w:val="ListParagraph"/>
              <w:numPr>
                <w:ilvl w:val="0"/>
                <w:numId w:val="22"/>
              </w:numPr>
              <w:ind w:left="611" w:hanging="284"/>
              <w:contextualSpacing w:val="0"/>
              <w:jc w:val="both"/>
              <w:rPr>
                <w:rFonts w:cs="Arial"/>
                <w:sz w:val="22"/>
              </w:rPr>
            </w:pPr>
            <w:r w:rsidRPr="00455F2E">
              <w:rPr>
                <w:rFonts w:cs="Arial"/>
                <w:b/>
                <w:bCs/>
                <w:sz w:val="22"/>
              </w:rPr>
              <w:t>DOH Administrative Order relaxes the one-month rule to three months with regards the sale of medicine to senior citizens</w:t>
            </w:r>
            <w:r w:rsidRPr="00455F2E">
              <w:rPr>
                <w:rFonts w:cs="Arial"/>
                <w:sz w:val="22"/>
              </w:rPr>
              <w:t xml:space="preserve">. </w:t>
            </w:r>
          </w:p>
          <w:p w14:paraId="3071EE27" w14:textId="77777777" w:rsidR="001956C8" w:rsidRPr="00455F2E" w:rsidRDefault="001956C8" w:rsidP="009B0A9C">
            <w:pPr>
              <w:pStyle w:val="ListParagraph"/>
              <w:contextualSpacing w:val="0"/>
              <w:rPr>
                <w:rFonts w:cs="Arial"/>
                <w:sz w:val="22"/>
              </w:rPr>
            </w:pPr>
          </w:p>
          <w:p w14:paraId="1DCA0997" w14:textId="5FA9A493" w:rsidR="000A31BB" w:rsidRPr="00455F2E" w:rsidRDefault="000A31BB" w:rsidP="009B0A9C">
            <w:pPr>
              <w:pStyle w:val="ListParagraph"/>
              <w:ind w:left="611"/>
              <w:contextualSpacing w:val="0"/>
              <w:jc w:val="both"/>
              <w:rPr>
                <w:rFonts w:cs="Arial"/>
                <w:sz w:val="22"/>
              </w:rPr>
            </w:pPr>
            <w:r w:rsidRPr="00455F2E">
              <w:rPr>
                <w:rFonts w:cs="Arial"/>
                <w:sz w:val="22"/>
              </w:rPr>
              <w:t xml:space="preserve">Prior to </w:t>
            </w:r>
            <w:r w:rsidR="001804CC" w:rsidRPr="004A1AA9">
              <w:rPr>
                <w:rFonts w:cs="Arial"/>
                <w:sz w:val="22"/>
              </w:rPr>
              <w:t xml:space="preserve">the </w:t>
            </w:r>
            <w:r w:rsidRPr="004A1AA9">
              <w:rPr>
                <w:rFonts w:cs="Arial"/>
                <w:sz w:val="22"/>
              </w:rPr>
              <w:t>C</w:t>
            </w:r>
            <w:r w:rsidRPr="00455F2E">
              <w:rPr>
                <w:rFonts w:cs="Arial"/>
                <w:sz w:val="22"/>
              </w:rPr>
              <w:t xml:space="preserve">OVID-19 pandemic, the general rule is that any single dispensing must be in accordance with the prescription issued by a physician and should not cover more than one (1) month supply of medicine for senior citizens. </w:t>
            </w:r>
          </w:p>
          <w:p w14:paraId="6ADE9AE7" w14:textId="77777777" w:rsidR="000A31BB" w:rsidRPr="00455F2E" w:rsidRDefault="000A31BB" w:rsidP="009B0A9C">
            <w:pPr>
              <w:spacing w:line="240" w:lineRule="auto"/>
              <w:jc w:val="both"/>
              <w:rPr>
                <w:b/>
                <w:bCs/>
              </w:rPr>
            </w:pPr>
          </w:p>
          <w:p w14:paraId="31006164" w14:textId="62DD937C" w:rsidR="000A31BB" w:rsidRPr="004A1AA9" w:rsidRDefault="000A31BB" w:rsidP="009B0A9C">
            <w:pPr>
              <w:pStyle w:val="ListParagraph"/>
              <w:numPr>
                <w:ilvl w:val="0"/>
                <w:numId w:val="15"/>
              </w:numPr>
              <w:ind w:left="327" w:hanging="327"/>
              <w:contextualSpacing w:val="0"/>
              <w:jc w:val="both"/>
              <w:rPr>
                <w:rFonts w:cs="Arial"/>
                <w:b/>
                <w:bCs/>
                <w:sz w:val="22"/>
              </w:rPr>
            </w:pPr>
            <w:r w:rsidRPr="00455F2E">
              <w:rPr>
                <w:rFonts w:cs="Arial"/>
                <w:b/>
                <w:bCs/>
                <w:sz w:val="22"/>
              </w:rPr>
              <w:t xml:space="preserve">For Persons with </w:t>
            </w:r>
            <w:r w:rsidRPr="004A1AA9">
              <w:rPr>
                <w:rFonts w:cs="Arial"/>
                <w:b/>
                <w:bCs/>
                <w:sz w:val="22"/>
              </w:rPr>
              <w:t>Disabilit</w:t>
            </w:r>
            <w:r w:rsidR="00F145D7" w:rsidRPr="004A1AA9">
              <w:rPr>
                <w:rFonts w:cs="Arial"/>
                <w:b/>
                <w:bCs/>
                <w:sz w:val="22"/>
              </w:rPr>
              <w:t>ie</w:t>
            </w:r>
            <w:r w:rsidR="008641F4" w:rsidRPr="004A1AA9">
              <w:rPr>
                <w:rFonts w:cs="Arial"/>
                <w:b/>
                <w:bCs/>
                <w:sz w:val="22"/>
              </w:rPr>
              <w:t>s</w:t>
            </w:r>
          </w:p>
          <w:p w14:paraId="41E25937" w14:textId="77777777" w:rsidR="003351EC" w:rsidRPr="0020527D" w:rsidRDefault="003351EC" w:rsidP="003351EC">
            <w:pPr>
              <w:pStyle w:val="ListParagraph"/>
              <w:ind w:left="327"/>
              <w:contextualSpacing w:val="0"/>
              <w:jc w:val="both"/>
              <w:rPr>
                <w:rFonts w:cs="Arial"/>
                <w:b/>
                <w:bCs/>
                <w:sz w:val="22"/>
              </w:rPr>
            </w:pPr>
          </w:p>
          <w:p w14:paraId="76A51676" w14:textId="3E6ED400" w:rsidR="001956C8" w:rsidRPr="00455F2E" w:rsidRDefault="000A31BB" w:rsidP="009B0A9C">
            <w:pPr>
              <w:pStyle w:val="ListParagraph"/>
              <w:numPr>
                <w:ilvl w:val="0"/>
                <w:numId w:val="22"/>
              </w:numPr>
              <w:ind w:left="611" w:hanging="284"/>
              <w:contextualSpacing w:val="0"/>
              <w:jc w:val="both"/>
              <w:rPr>
                <w:rFonts w:cs="Arial"/>
                <w:sz w:val="22"/>
              </w:rPr>
            </w:pPr>
            <w:r w:rsidRPr="00455F2E">
              <w:rPr>
                <w:rFonts w:cs="Arial"/>
                <w:b/>
                <w:bCs/>
                <w:sz w:val="22"/>
              </w:rPr>
              <w:t xml:space="preserve">DILG Memorandum Circular on the Proper Welfare of </w:t>
            </w:r>
            <w:r w:rsidR="004A1AA9">
              <w:rPr>
                <w:rFonts w:cs="Arial"/>
                <w:b/>
                <w:bCs/>
                <w:sz w:val="22"/>
              </w:rPr>
              <w:t>Persons with Disabilities</w:t>
            </w:r>
            <w:r w:rsidRPr="00455F2E">
              <w:rPr>
                <w:rFonts w:cs="Arial"/>
                <w:sz w:val="22"/>
              </w:rPr>
              <w:t xml:space="preserve">. </w:t>
            </w:r>
          </w:p>
          <w:p w14:paraId="365BA49B" w14:textId="77777777" w:rsidR="001956C8" w:rsidRPr="00455F2E" w:rsidRDefault="001956C8" w:rsidP="009B0A9C">
            <w:pPr>
              <w:pStyle w:val="ListParagraph"/>
              <w:ind w:left="611"/>
              <w:contextualSpacing w:val="0"/>
              <w:jc w:val="both"/>
              <w:rPr>
                <w:rFonts w:cs="Arial"/>
                <w:sz w:val="22"/>
              </w:rPr>
            </w:pPr>
          </w:p>
          <w:p w14:paraId="74C68BF9" w14:textId="0F86DDA5" w:rsidR="000A31BB" w:rsidRDefault="000A31BB" w:rsidP="009B0A9C">
            <w:pPr>
              <w:pStyle w:val="ListParagraph"/>
              <w:ind w:left="611"/>
              <w:contextualSpacing w:val="0"/>
              <w:jc w:val="both"/>
              <w:rPr>
                <w:rFonts w:cs="Arial"/>
                <w:sz w:val="22"/>
              </w:rPr>
            </w:pPr>
            <w:r w:rsidRPr="00455F2E">
              <w:rPr>
                <w:rFonts w:cs="Arial"/>
                <w:sz w:val="22"/>
              </w:rPr>
              <w:t>The MC directs LGUs to prioritize persons with disabilities in the distribution of relief goods</w:t>
            </w:r>
            <w:r w:rsidR="00174548">
              <w:rPr>
                <w:rFonts w:cs="Arial"/>
                <w:sz w:val="22"/>
              </w:rPr>
              <w:t>,</w:t>
            </w:r>
            <w:r w:rsidRPr="00455F2E">
              <w:rPr>
                <w:rFonts w:cs="Arial"/>
                <w:sz w:val="22"/>
              </w:rPr>
              <w:t xml:space="preserve"> noting its Memorandum Circular No. 2020-066, guidelines on providing proper welfare of persons with disabilities during the enhanced community quarantine due to the COVID-19 pandemic.</w:t>
            </w:r>
          </w:p>
          <w:p w14:paraId="7FF4BC19" w14:textId="77777777" w:rsidR="000A31BB" w:rsidRPr="00455F2E" w:rsidRDefault="000A31BB" w:rsidP="009B0A9C">
            <w:pPr>
              <w:spacing w:line="240" w:lineRule="auto"/>
              <w:jc w:val="both"/>
              <w:rPr>
                <w:b/>
                <w:bCs/>
              </w:rPr>
            </w:pPr>
          </w:p>
          <w:p w14:paraId="58AE27EB" w14:textId="2385633B" w:rsidR="000A31BB" w:rsidRDefault="000A31BB" w:rsidP="009B0A9C">
            <w:pPr>
              <w:pStyle w:val="ListParagraph"/>
              <w:numPr>
                <w:ilvl w:val="0"/>
                <w:numId w:val="15"/>
              </w:numPr>
              <w:ind w:left="327" w:hanging="327"/>
              <w:contextualSpacing w:val="0"/>
              <w:jc w:val="both"/>
              <w:rPr>
                <w:rFonts w:cs="Arial"/>
                <w:b/>
                <w:bCs/>
                <w:sz w:val="22"/>
              </w:rPr>
            </w:pPr>
            <w:r w:rsidRPr="00455F2E">
              <w:rPr>
                <w:rFonts w:cs="Arial"/>
                <w:b/>
                <w:bCs/>
                <w:sz w:val="22"/>
              </w:rPr>
              <w:t>For Indigenous Peoples</w:t>
            </w:r>
          </w:p>
          <w:p w14:paraId="4F3C9684" w14:textId="77777777" w:rsidR="003351EC" w:rsidRPr="0020527D" w:rsidRDefault="003351EC" w:rsidP="003351EC">
            <w:pPr>
              <w:pStyle w:val="ListParagraph"/>
              <w:ind w:left="327"/>
              <w:contextualSpacing w:val="0"/>
              <w:jc w:val="both"/>
              <w:rPr>
                <w:rFonts w:cs="Arial"/>
                <w:b/>
                <w:bCs/>
                <w:sz w:val="22"/>
              </w:rPr>
            </w:pPr>
          </w:p>
          <w:p w14:paraId="73050D25" w14:textId="77777777" w:rsidR="0006193E" w:rsidRPr="0006193E" w:rsidRDefault="000A31BB" w:rsidP="009B0A9C">
            <w:pPr>
              <w:pStyle w:val="ListParagraph"/>
              <w:numPr>
                <w:ilvl w:val="0"/>
                <w:numId w:val="22"/>
              </w:numPr>
              <w:ind w:left="611" w:hanging="284"/>
              <w:contextualSpacing w:val="0"/>
              <w:jc w:val="both"/>
              <w:rPr>
                <w:rFonts w:cs="Arial"/>
                <w:b/>
                <w:bCs/>
                <w:sz w:val="22"/>
                <w:u w:val="single"/>
              </w:rPr>
            </w:pPr>
            <w:r w:rsidRPr="00455F2E">
              <w:rPr>
                <w:rFonts w:cs="Arial"/>
                <w:b/>
                <w:bCs/>
                <w:sz w:val="22"/>
              </w:rPr>
              <w:t xml:space="preserve">National Commission on Indigenous Peoples (NCIP) relief operations. </w:t>
            </w:r>
          </w:p>
          <w:p w14:paraId="6E311552" w14:textId="77777777" w:rsidR="0006193E" w:rsidRPr="0006193E" w:rsidRDefault="0006193E" w:rsidP="0006193E">
            <w:pPr>
              <w:pStyle w:val="ListParagraph"/>
              <w:ind w:left="611"/>
              <w:contextualSpacing w:val="0"/>
              <w:jc w:val="both"/>
              <w:rPr>
                <w:rFonts w:cs="Arial"/>
                <w:b/>
                <w:bCs/>
                <w:sz w:val="22"/>
                <w:u w:val="single"/>
              </w:rPr>
            </w:pPr>
          </w:p>
          <w:p w14:paraId="2C3E40B5" w14:textId="7F8F9479" w:rsidR="000A31BB" w:rsidRPr="00AD0FAE" w:rsidRDefault="000A31BB" w:rsidP="0006193E">
            <w:pPr>
              <w:pStyle w:val="ListParagraph"/>
              <w:ind w:left="611"/>
              <w:contextualSpacing w:val="0"/>
              <w:jc w:val="both"/>
              <w:rPr>
                <w:rFonts w:cs="Arial"/>
                <w:b/>
                <w:bCs/>
                <w:sz w:val="22"/>
                <w:u w:val="single"/>
              </w:rPr>
            </w:pPr>
            <w:r w:rsidRPr="00455F2E">
              <w:rPr>
                <w:rFonts w:cs="Arial"/>
                <w:sz w:val="22"/>
              </w:rPr>
              <w:t xml:space="preserve">The NCIP has provided food aid to some </w:t>
            </w:r>
            <w:r w:rsidRPr="006A6C7B">
              <w:rPr>
                <w:rFonts w:cs="Arial"/>
                <w:b/>
                <w:sz w:val="22"/>
              </w:rPr>
              <w:t>3,000 indigenous people (IP) households in</w:t>
            </w:r>
            <w:r w:rsidRPr="00455F2E">
              <w:rPr>
                <w:rFonts w:cs="Arial"/>
                <w:sz w:val="22"/>
              </w:rPr>
              <w:t xml:space="preserve"> </w:t>
            </w:r>
            <w:r w:rsidRPr="00455F2E">
              <w:rPr>
                <w:rFonts w:cs="Arial"/>
                <w:b/>
                <w:bCs/>
                <w:sz w:val="22"/>
              </w:rPr>
              <w:t>Mindanao</w:t>
            </w:r>
            <w:r w:rsidRPr="00455F2E">
              <w:rPr>
                <w:rFonts w:cs="Arial"/>
                <w:sz w:val="22"/>
              </w:rPr>
              <w:t xml:space="preserve"> </w:t>
            </w:r>
            <w:r w:rsidRPr="006A6C7B">
              <w:rPr>
                <w:rFonts w:cs="Arial"/>
                <w:bCs/>
                <w:sz w:val="22"/>
              </w:rPr>
              <w:t>affected</w:t>
            </w:r>
            <w:r w:rsidRPr="00455F2E">
              <w:rPr>
                <w:rFonts w:cs="Arial"/>
                <w:sz w:val="22"/>
              </w:rPr>
              <w:t xml:space="preserve"> by the declaration of ECQ. NCIP is also seeking to work with the D</w:t>
            </w:r>
            <w:r w:rsidR="006967DF" w:rsidRPr="00455F2E">
              <w:rPr>
                <w:rFonts w:cs="Arial"/>
                <w:sz w:val="22"/>
              </w:rPr>
              <w:t>epartment of Agriculture</w:t>
            </w:r>
            <w:r w:rsidRPr="00455F2E">
              <w:rPr>
                <w:rFonts w:cs="Arial"/>
                <w:sz w:val="22"/>
              </w:rPr>
              <w:t xml:space="preserve"> </w:t>
            </w:r>
            <w:r w:rsidR="0006193E">
              <w:rPr>
                <w:rFonts w:cs="Arial"/>
                <w:sz w:val="22"/>
              </w:rPr>
              <w:t xml:space="preserve">(DA) </w:t>
            </w:r>
            <w:r w:rsidRPr="00455F2E">
              <w:rPr>
                <w:rFonts w:cs="Arial"/>
                <w:sz w:val="22"/>
              </w:rPr>
              <w:t xml:space="preserve">to ensure food self-sufficiency in communities to offset the limited movement of goods between provinces. </w:t>
            </w:r>
          </w:p>
          <w:p w14:paraId="63EBE513" w14:textId="77777777" w:rsidR="00AD0FAE" w:rsidRPr="00AD0FAE" w:rsidRDefault="00AD0FAE" w:rsidP="00AD0FAE">
            <w:pPr>
              <w:pStyle w:val="ListParagraph"/>
              <w:ind w:left="611"/>
              <w:contextualSpacing w:val="0"/>
              <w:jc w:val="both"/>
              <w:rPr>
                <w:rFonts w:cs="Arial"/>
                <w:b/>
                <w:bCs/>
                <w:sz w:val="22"/>
                <w:u w:val="single"/>
              </w:rPr>
            </w:pPr>
          </w:p>
          <w:p w14:paraId="327B276F" w14:textId="7BCF1ABB" w:rsidR="000420A8" w:rsidRPr="00AD0FAE" w:rsidRDefault="000420A8" w:rsidP="00AD0FAE">
            <w:pPr>
              <w:pStyle w:val="ListParagraph"/>
              <w:numPr>
                <w:ilvl w:val="0"/>
                <w:numId w:val="22"/>
              </w:numPr>
              <w:ind w:left="611" w:hanging="284"/>
              <w:contextualSpacing w:val="0"/>
              <w:jc w:val="both"/>
              <w:rPr>
                <w:rFonts w:cs="Arial"/>
                <w:b/>
                <w:bCs/>
                <w:sz w:val="22"/>
                <w:u w:val="single"/>
              </w:rPr>
            </w:pPr>
            <w:r w:rsidRPr="00AD0FAE">
              <w:rPr>
                <w:rFonts w:cs="Arial"/>
                <w:b/>
                <w:bCs/>
                <w:sz w:val="22"/>
              </w:rPr>
              <w:t>NCIP, in partnership with the DA</w:t>
            </w:r>
            <w:r w:rsidRPr="00AD0FAE">
              <w:rPr>
                <w:rFonts w:cs="Arial"/>
                <w:sz w:val="22"/>
              </w:rPr>
              <w:t xml:space="preserve"> and </w:t>
            </w:r>
            <w:proofErr w:type="spellStart"/>
            <w:r w:rsidRPr="00AD0FAE">
              <w:rPr>
                <w:rFonts w:cs="Arial"/>
                <w:sz w:val="22"/>
              </w:rPr>
              <w:t>AgriNurture</w:t>
            </w:r>
            <w:proofErr w:type="spellEnd"/>
            <w:r w:rsidRPr="00AD0FAE">
              <w:rPr>
                <w:rFonts w:cs="Arial"/>
                <w:sz w:val="22"/>
              </w:rPr>
              <w:t xml:space="preserve"> Inc. is </w:t>
            </w:r>
            <w:r w:rsidR="004A41A6">
              <w:rPr>
                <w:rFonts w:cs="Arial"/>
                <w:sz w:val="22"/>
              </w:rPr>
              <w:t xml:space="preserve">also </w:t>
            </w:r>
            <w:r w:rsidRPr="00AD0FAE">
              <w:rPr>
                <w:rFonts w:cs="Arial"/>
                <w:sz w:val="22"/>
              </w:rPr>
              <w:t xml:space="preserve">implementing the </w:t>
            </w:r>
            <w:r w:rsidRPr="00AD0FAE">
              <w:rPr>
                <w:rFonts w:cs="Arial"/>
                <w:b/>
                <w:bCs/>
                <w:sz w:val="22"/>
              </w:rPr>
              <w:t>“</w:t>
            </w:r>
            <w:proofErr w:type="spellStart"/>
            <w:r w:rsidRPr="00AD0FAE">
              <w:rPr>
                <w:rFonts w:cs="Arial"/>
                <w:b/>
                <w:bCs/>
                <w:sz w:val="22"/>
              </w:rPr>
              <w:t>BigMa</w:t>
            </w:r>
            <w:proofErr w:type="spellEnd"/>
            <w:r w:rsidRPr="00AD0FAE">
              <w:rPr>
                <w:rFonts w:cs="Arial"/>
                <w:b/>
                <w:bCs/>
                <w:sz w:val="22"/>
              </w:rPr>
              <w:t xml:space="preserve">” </w:t>
            </w:r>
            <w:r w:rsidRPr="00AD0FAE">
              <w:rPr>
                <w:b/>
                <w:bCs/>
                <w:sz w:val="22"/>
              </w:rPr>
              <w:t>(Bigas-</w:t>
            </w:r>
            <w:proofErr w:type="spellStart"/>
            <w:r w:rsidRPr="00AD0FAE">
              <w:rPr>
                <w:b/>
                <w:bCs/>
                <w:sz w:val="22"/>
              </w:rPr>
              <w:t>Mais</w:t>
            </w:r>
            <w:proofErr w:type="spellEnd"/>
            <w:r w:rsidRPr="00AD0FAE">
              <w:rPr>
                <w:b/>
                <w:bCs/>
                <w:sz w:val="22"/>
              </w:rPr>
              <w:t>) rice-corn blending initiative</w:t>
            </w:r>
            <w:r w:rsidRPr="00AD0FAE">
              <w:rPr>
                <w:sz w:val="22"/>
              </w:rPr>
              <w:t xml:space="preserve"> to ensure food self-sufficiency in communities to offset the limited movement of goods between provinces. This includes developing vast tracts of idle land for planting</w:t>
            </w:r>
            <w:r w:rsidR="00AD0FAE">
              <w:rPr>
                <w:sz w:val="22"/>
              </w:rPr>
              <w:t xml:space="preserve"> </w:t>
            </w:r>
            <w:r w:rsidRPr="00AD0FAE">
              <w:rPr>
                <w:sz w:val="22"/>
              </w:rPr>
              <w:t xml:space="preserve">white corn as an alternative to imported rice. </w:t>
            </w:r>
          </w:p>
          <w:p w14:paraId="7F850705" w14:textId="77777777" w:rsidR="000420A8" w:rsidRPr="000420A8" w:rsidRDefault="000420A8" w:rsidP="000420A8">
            <w:pPr>
              <w:pStyle w:val="ListParagraph"/>
              <w:jc w:val="both"/>
              <w:rPr>
                <w:rFonts w:cs="Arial"/>
                <w:b/>
                <w:bCs/>
                <w:sz w:val="22"/>
                <w:u w:val="single"/>
              </w:rPr>
            </w:pPr>
          </w:p>
          <w:p w14:paraId="57F082B6" w14:textId="2B9FF4B2" w:rsidR="000A31BB" w:rsidRPr="00455F2E" w:rsidRDefault="000A31BB" w:rsidP="009B0A9C">
            <w:pPr>
              <w:pStyle w:val="ListParagraph"/>
              <w:numPr>
                <w:ilvl w:val="0"/>
                <w:numId w:val="22"/>
              </w:numPr>
              <w:ind w:left="611" w:hanging="284"/>
              <w:contextualSpacing w:val="0"/>
              <w:jc w:val="both"/>
              <w:rPr>
                <w:rFonts w:cs="Arial"/>
                <w:b/>
                <w:bCs/>
                <w:sz w:val="22"/>
                <w:u w:val="single"/>
              </w:rPr>
            </w:pPr>
            <w:r w:rsidRPr="00455F2E">
              <w:rPr>
                <w:rFonts w:cs="Arial"/>
                <w:sz w:val="22"/>
              </w:rPr>
              <w:t xml:space="preserve">The </w:t>
            </w:r>
            <w:r w:rsidRPr="00455F2E">
              <w:rPr>
                <w:rFonts w:cs="Arial"/>
                <w:b/>
                <w:bCs/>
                <w:sz w:val="22"/>
              </w:rPr>
              <w:t>Philippine Government</w:t>
            </w:r>
            <w:r w:rsidRPr="00455F2E">
              <w:rPr>
                <w:rFonts w:cs="Arial"/>
                <w:sz w:val="22"/>
              </w:rPr>
              <w:t xml:space="preserve">, which has declared a unilateral ceasefire against the Communist Party of the Philippines (CPP)-New People’s Army (NPA) on </w:t>
            </w:r>
            <w:r w:rsidRPr="00EC4DB6">
              <w:rPr>
                <w:rFonts w:cs="Arial"/>
                <w:bCs/>
                <w:sz w:val="22"/>
              </w:rPr>
              <w:t>16 March</w:t>
            </w:r>
            <w:r w:rsidRPr="00EC4DB6">
              <w:rPr>
                <w:rFonts w:cs="Arial"/>
                <w:sz w:val="22"/>
              </w:rPr>
              <w:t xml:space="preserve"> </w:t>
            </w:r>
            <w:r w:rsidRPr="00EC4DB6">
              <w:rPr>
                <w:rFonts w:cs="Arial"/>
                <w:bCs/>
                <w:sz w:val="22"/>
              </w:rPr>
              <w:t>2020</w:t>
            </w:r>
            <w:r w:rsidRPr="00455F2E">
              <w:rPr>
                <w:rFonts w:cs="Arial"/>
                <w:sz w:val="22"/>
              </w:rPr>
              <w:t xml:space="preserve"> </w:t>
            </w:r>
            <w:r w:rsidRPr="00EC4DB6">
              <w:rPr>
                <w:rFonts w:cs="Arial"/>
                <w:bCs/>
                <w:sz w:val="22"/>
              </w:rPr>
              <w:t>condemns the</w:t>
            </w:r>
            <w:r w:rsidRPr="00455F2E">
              <w:rPr>
                <w:rFonts w:cs="Arial"/>
                <w:b/>
                <w:bCs/>
                <w:sz w:val="22"/>
              </w:rPr>
              <w:t xml:space="preserve"> attacks and harassment by the NPA of IP communities</w:t>
            </w:r>
            <w:r w:rsidRPr="00455F2E">
              <w:rPr>
                <w:rFonts w:cs="Arial"/>
                <w:sz w:val="22"/>
              </w:rPr>
              <w:t xml:space="preserve">, which included snatching of food aid intended for communities and killing of IP tribe members. The ceasefire declared by the Philippine Government is intended to have the Armed Forces of the </w:t>
            </w:r>
            <w:r w:rsidRPr="00455F2E">
              <w:rPr>
                <w:rFonts w:cs="Arial"/>
                <w:sz w:val="22"/>
              </w:rPr>
              <w:lastRenderedPageBreak/>
              <w:t xml:space="preserve">Philippines (AFP) aid in the transport operations of medical supplies, food, and essential workforce as strict measures are imposed to address the COVID-19 pandemic. </w:t>
            </w:r>
          </w:p>
          <w:p w14:paraId="40D364E5" w14:textId="77777777" w:rsidR="000A31BB" w:rsidRPr="00455F2E" w:rsidRDefault="000A31BB" w:rsidP="009B0A9C">
            <w:pPr>
              <w:pStyle w:val="ListParagraph"/>
              <w:contextualSpacing w:val="0"/>
              <w:jc w:val="both"/>
              <w:rPr>
                <w:rFonts w:cs="Arial"/>
                <w:b/>
                <w:bCs/>
                <w:sz w:val="22"/>
                <w:u w:val="single"/>
              </w:rPr>
            </w:pPr>
          </w:p>
          <w:p w14:paraId="10237347" w14:textId="626715C0" w:rsidR="000A31BB" w:rsidRDefault="000A31BB" w:rsidP="009B0A9C">
            <w:pPr>
              <w:pStyle w:val="ListParagraph"/>
              <w:numPr>
                <w:ilvl w:val="0"/>
                <w:numId w:val="15"/>
              </w:numPr>
              <w:ind w:left="327" w:hanging="327"/>
              <w:contextualSpacing w:val="0"/>
              <w:jc w:val="both"/>
              <w:rPr>
                <w:rFonts w:cs="Arial"/>
                <w:b/>
                <w:bCs/>
                <w:sz w:val="22"/>
              </w:rPr>
            </w:pPr>
            <w:r w:rsidRPr="00455F2E">
              <w:rPr>
                <w:rFonts w:cs="Arial"/>
                <w:b/>
                <w:bCs/>
                <w:sz w:val="22"/>
              </w:rPr>
              <w:t>For Religious Minorities</w:t>
            </w:r>
          </w:p>
          <w:p w14:paraId="27BA51C0" w14:textId="77777777" w:rsidR="003351EC" w:rsidRPr="0020527D" w:rsidRDefault="003351EC" w:rsidP="003351EC">
            <w:pPr>
              <w:pStyle w:val="ListParagraph"/>
              <w:ind w:left="327"/>
              <w:contextualSpacing w:val="0"/>
              <w:jc w:val="both"/>
              <w:rPr>
                <w:rFonts w:cs="Arial"/>
                <w:b/>
                <w:bCs/>
                <w:sz w:val="22"/>
              </w:rPr>
            </w:pPr>
          </w:p>
          <w:p w14:paraId="3A05215C" w14:textId="77777777" w:rsidR="000A31BB" w:rsidRDefault="000A31BB" w:rsidP="009B0A9C">
            <w:pPr>
              <w:pStyle w:val="ListParagraph"/>
              <w:numPr>
                <w:ilvl w:val="0"/>
                <w:numId w:val="22"/>
              </w:numPr>
              <w:ind w:left="611" w:hanging="284"/>
              <w:contextualSpacing w:val="0"/>
              <w:jc w:val="both"/>
              <w:rPr>
                <w:rFonts w:cs="Arial"/>
                <w:sz w:val="22"/>
              </w:rPr>
            </w:pPr>
            <w:r w:rsidRPr="00455F2E">
              <w:rPr>
                <w:rFonts w:cs="Arial"/>
                <w:sz w:val="22"/>
              </w:rPr>
              <w:t xml:space="preserve">In coordination with the National Commission on Muslim Filipinos (NCMF) and the LGUs, Muslim communities are provided </w:t>
            </w:r>
            <w:r w:rsidRPr="00EC4DB6">
              <w:rPr>
                <w:rFonts w:cs="Arial"/>
                <w:b/>
                <w:sz w:val="22"/>
              </w:rPr>
              <w:t>medical assistance and relief operations</w:t>
            </w:r>
            <w:r w:rsidRPr="00455F2E">
              <w:rPr>
                <w:rFonts w:cs="Arial"/>
                <w:sz w:val="22"/>
              </w:rPr>
              <w:t xml:space="preserve"> which </w:t>
            </w:r>
            <w:r w:rsidRPr="00EC4DB6">
              <w:rPr>
                <w:rFonts w:cs="Arial"/>
                <w:bCs/>
                <w:sz w:val="22"/>
              </w:rPr>
              <w:t>include</w:t>
            </w:r>
            <w:r w:rsidRPr="00455F2E">
              <w:rPr>
                <w:rFonts w:cs="Arial"/>
                <w:sz w:val="22"/>
              </w:rPr>
              <w:t xml:space="preserve"> the rescue of a patient and assisting stranded </w:t>
            </w:r>
            <w:proofErr w:type="spellStart"/>
            <w:r w:rsidRPr="00455F2E">
              <w:rPr>
                <w:rFonts w:cs="Arial"/>
                <w:i/>
                <w:iCs/>
                <w:sz w:val="22"/>
              </w:rPr>
              <w:t>tablighs</w:t>
            </w:r>
            <w:proofErr w:type="spellEnd"/>
            <w:r w:rsidRPr="00455F2E">
              <w:rPr>
                <w:rFonts w:cs="Arial"/>
                <w:sz w:val="22"/>
              </w:rPr>
              <w:t xml:space="preserve"> (</w:t>
            </w:r>
            <w:r w:rsidRPr="00EC4DB6">
              <w:rPr>
                <w:rFonts w:cs="Arial"/>
                <w:bCs/>
                <w:sz w:val="22"/>
              </w:rPr>
              <w:t>missionaries</w:t>
            </w:r>
            <w:r w:rsidRPr="00455F2E">
              <w:rPr>
                <w:rFonts w:cs="Arial"/>
                <w:sz w:val="22"/>
              </w:rPr>
              <w:t xml:space="preserve">, e.g. </w:t>
            </w:r>
            <w:r w:rsidRPr="00EC4DB6">
              <w:rPr>
                <w:rFonts w:cs="Arial"/>
                <w:bCs/>
                <w:sz w:val="22"/>
              </w:rPr>
              <w:t>those</w:t>
            </w:r>
            <w:r w:rsidRPr="00EC4DB6">
              <w:rPr>
                <w:rFonts w:cs="Arial"/>
                <w:sz w:val="22"/>
              </w:rPr>
              <w:t xml:space="preserve"> </w:t>
            </w:r>
            <w:r w:rsidRPr="00455F2E">
              <w:rPr>
                <w:rFonts w:cs="Arial"/>
                <w:sz w:val="22"/>
              </w:rPr>
              <w:t xml:space="preserve">in  Manila, Zamboanga city, Zamboanga Sibugay, and Lanao del Sur); Muslim burial assistance in the National Capital Region (NCR); coordination with the DILG regarding the observance of Muslim burial customs by the different LGUs; provision of assistance in the transportation of cadavers; and providing Halal guidelines for the provision of relief goods. </w:t>
            </w:r>
          </w:p>
          <w:p w14:paraId="3B0A22FD" w14:textId="1C1B1B47" w:rsidR="00453166" w:rsidRPr="00EC4DB6" w:rsidRDefault="00453166" w:rsidP="00EC4DB6">
            <w:pPr>
              <w:jc w:val="both"/>
            </w:pPr>
          </w:p>
        </w:tc>
      </w:tr>
      <w:tr w:rsidR="00261140" w:rsidRPr="00455F2E" w14:paraId="63AC77B8" w14:textId="77777777" w:rsidTr="00261140">
        <w:tc>
          <w:tcPr>
            <w:tcW w:w="9639" w:type="dxa"/>
            <w:shd w:val="clear" w:color="auto" w:fill="FDE9D9" w:themeFill="accent6" w:themeFillTint="33"/>
            <w:tcMar>
              <w:top w:w="100" w:type="dxa"/>
              <w:left w:w="100" w:type="dxa"/>
              <w:bottom w:w="100" w:type="dxa"/>
              <w:right w:w="100" w:type="dxa"/>
            </w:tcMar>
          </w:tcPr>
          <w:p w14:paraId="3AEE5129" w14:textId="7162B4E5" w:rsidR="00261140" w:rsidRPr="00455F2E" w:rsidRDefault="00443439" w:rsidP="009B0A9C">
            <w:pPr>
              <w:spacing w:line="240" w:lineRule="auto"/>
              <w:jc w:val="both"/>
              <w:rPr>
                <w:b/>
                <w:bCs/>
              </w:rPr>
            </w:pPr>
            <w:r>
              <w:rPr>
                <w:b/>
                <w:bCs/>
              </w:rPr>
              <w:lastRenderedPageBreak/>
              <w:t xml:space="preserve">2.3 </w:t>
            </w:r>
            <w:r w:rsidR="0020527D">
              <w:rPr>
                <w:b/>
                <w:bCs/>
              </w:rPr>
              <w:t>Economic services and l</w:t>
            </w:r>
            <w:r w:rsidR="0020527D" w:rsidRPr="00455F2E">
              <w:rPr>
                <w:b/>
                <w:bCs/>
              </w:rPr>
              <w:t>ivelihood</w:t>
            </w:r>
          </w:p>
        </w:tc>
      </w:tr>
      <w:tr w:rsidR="00B26A7E" w:rsidRPr="00455F2E" w14:paraId="49C6296D" w14:textId="77777777" w:rsidTr="004A5B81">
        <w:tc>
          <w:tcPr>
            <w:tcW w:w="9639" w:type="dxa"/>
            <w:shd w:val="clear" w:color="auto" w:fill="auto"/>
            <w:tcMar>
              <w:top w:w="100" w:type="dxa"/>
              <w:left w:w="100" w:type="dxa"/>
              <w:bottom w:w="100" w:type="dxa"/>
              <w:right w:w="100" w:type="dxa"/>
            </w:tcMar>
          </w:tcPr>
          <w:p w14:paraId="6A79C846" w14:textId="77777777" w:rsidR="00A0734A" w:rsidRPr="00455F2E" w:rsidRDefault="00B26A7E" w:rsidP="009B0A9C">
            <w:pPr>
              <w:pStyle w:val="ListParagraph"/>
              <w:numPr>
                <w:ilvl w:val="0"/>
                <w:numId w:val="22"/>
              </w:numPr>
              <w:ind w:left="611" w:hanging="284"/>
              <w:contextualSpacing w:val="0"/>
              <w:jc w:val="both"/>
              <w:rPr>
                <w:rFonts w:cs="Arial"/>
                <w:b/>
                <w:bCs/>
                <w:sz w:val="22"/>
              </w:rPr>
            </w:pPr>
            <w:r w:rsidRPr="00455F2E">
              <w:rPr>
                <w:rFonts w:cs="Arial"/>
                <w:b/>
                <w:bCs/>
                <w:sz w:val="22"/>
              </w:rPr>
              <w:t xml:space="preserve">Department of Finance (DOF), Social Security System (SSS), Bureau of Internal Revenue (BIR) - Small Business Wage Subsidy (SBWS). </w:t>
            </w:r>
          </w:p>
          <w:p w14:paraId="5D051DFD" w14:textId="77777777" w:rsidR="00A0734A" w:rsidRPr="00455F2E" w:rsidRDefault="00A0734A" w:rsidP="009B0A9C">
            <w:pPr>
              <w:pStyle w:val="ListParagraph"/>
              <w:ind w:left="611"/>
              <w:contextualSpacing w:val="0"/>
              <w:jc w:val="both"/>
              <w:rPr>
                <w:rFonts w:cs="Arial"/>
                <w:b/>
                <w:bCs/>
                <w:sz w:val="22"/>
              </w:rPr>
            </w:pPr>
          </w:p>
          <w:p w14:paraId="285C56B7" w14:textId="6793426C" w:rsidR="00B26A7E" w:rsidRPr="00455F2E" w:rsidRDefault="00B26A7E" w:rsidP="009B0A9C">
            <w:pPr>
              <w:pStyle w:val="ListParagraph"/>
              <w:ind w:left="611"/>
              <w:contextualSpacing w:val="0"/>
              <w:jc w:val="both"/>
              <w:rPr>
                <w:rFonts w:cs="Arial"/>
                <w:b/>
                <w:bCs/>
                <w:sz w:val="22"/>
              </w:rPr>
            </w:pPr>
            <w:r w:rsidRPr="00455F2E">
              <w:rPr>
                <w:rFonts w:cs="Arial"/>
                <w:sz w:val="22"/>
              </w:rPr>
              <w:t>Launched on 16 April 2020, the SBWS program provides up to PHP</w:t>
            </w:r>
            <w:r w:rsidR="006967DF" w:rsidRPr="00455F2E">
              <w:rPr>
                <w:rFonts w:cs="Arial"/>
                <w:sz w:val="22"/>
              </w:rPr>
              <w:t xml:space="preserve"> </w:t>
            </w:r>
            <w:r w:rsidRPr="00455F2E">
              <w:rPr>
                <w:rFonts w:cs="Arial"/>
                <w:sz w:val="22"/>
              </w:rPr>
              <w:t>51 billion</w:t>
            </w:r>
            <w:r w:rsidR="006967DF" w:rsidRPr="00455F2E">
              <w:rPr>
                <w:rFonts w:cs="Arial"/>
                <w:sz w:val="22"/>
              </w:rPr>
              <w:t xml:space="preserve"> (USD 1 billion)</w:t>
            </w:r>
            <w:r w:rsidRPr="00455F2E">
              <w:rPr>
                <w:rFonts w:cs="Arial"/>
                <w:sz w:val="22"/>
              </w:rPr>
              <w:t xml:space="preserve"> to cover 3.4 million employees in small businesses affected by the ECQ. The subsidy ranges from PHP</w:t>
            </w:r>
            <w:r w:rsidR="006967DF" w:rsidRPr="00455F2E">
              <w:rPr>
                <w:rFonts w:cs="Arial"/>
                <w:sz w:val="22"/>
              </w:rPr>
              <w:t xml:space="preserve"> </w:t>
            </w:r>
            <w:r w:rsidRPr="00455F2E">
              <w:rPr>
                <w:rFonts w:cs="Arial"/>
                <w:sz w:val="22"/>
              </w:rPr>
              <w:t>5,000 to</w:t>
            </w:r>
            <w:r w:rsidR="006967DF" w:rsidRPr="00455F2E">
              <w:rPr>
                <w:rFonts w:cs="Arial"/>
                <w:sz w:val="22"/>
              </w:rPr>
              <w:t xml:space="preserve"> </w:t>
            </w:r>
            <w:r w:rsidRPr="00455F2E">
              <w:rPr>
                <w:rFonts w:cs="Arial"/>
                <w:sz w:val="22"/>
              </w:rPr>
              <w:t xml:space="preserve">8,000 </w:t>
            </w:r>
            <w:r w:rsidR="006967DF" w:rsidRPr="00455F2E">
              <w:rPr>
                <w:rFonts w:cs="Arial"/>
                <w:sz w:val="22"/>
              </w:rPr>
              <w:t xml:space="preserve">(USD 100 to 160) </w:t>
            </w:r>
            <w:r w:rsidRPr="00455F2E">
              <w:rPr>
                <w:rFonts w:cs="Arial"/>
                <w:sz w:val="22"/>
              </w:rPr>
              <w:t xml:space="preserve">per eligible worker per month for up to two (2) months, depending on the prevailing </w:t>
            </w:r>
            <w:r w:rsidRPr="0071098D">
              <w:rPr>
                <w:rFonts w:cs="Arial"/>
                <w:bCs/>
                <w:sz w:val="22"/>
              </w:rPr>
              <w:t>regional</w:t>
            </w:r>
            <w:r w:rsidRPr="00455F2E">
              <w:rPr>
                <w:rFonts w:cs="Arial"/>
                <w:sz w:val="22"/>
              </w:rPr>
              <w:t xml:space="preserve"> minimum wage rate. Application period r</w:t>
            </w:r>
            <w:r w:rsidR="00AF0477">
              <w:rPr>
                <w:rFonts w:cs="Arial"/>
                <w:sz w:val="22"/>
              </w:rPr>
              <w:t>an</w:t>
            </w:r>
            <w:r w:rsidRPr="00455F2E">
              <w:rPr>
                <w:rFonts w:cs="Arial"/>
                <w:sz w:val="22"/>
              </w:rPr>
              <w:t xml:space="preserve"> from 16 to 30 April 2020, with the</w:t>
            </w:r>
            <w:r w:rsidRPr="00AF0477">
              <w:rPr>
                <w:rFonts w:cs="Arial"/>
                <w:sz w:val="22"/>
              </w:rPr>
              <w:t xml:space="preserve"> payout </w:t>
            </w:r>
            <w:r w:rsidR="00AF0477">
              <w:rPr>
                <w:rFonts w:cs="Arial"/>
                <w:sz w:val="22"/>
              </w:rPr>
              <w:t xml:space="preserve">having </w:t>
            </w:r>
            <w:r w:rsidRPr="00AF0477">
              <w:rPr>
                <w:rFonts w:cs="Arial"/>
                <w:sz w:val="22"/>
              </w:rPr>
              <w:t>start</w:t>
            </w:r>
            <w:r w:rsidR="00AF0477">
              <w:rPr>
                <w:rFonts w:cs="Arial"/>
                <w:sz w:val="22"/>
              </w:rPr>
              <w:t>ed</w:t>
            </w:r>
            <w:r w:rsidRPr="00AF0477">
              <w:rPr>
                <w:rFonts w:cs="Arial"/>
                <w:sz w:val="22"/>
              </w:rPr>
              <w:t xml:space="preserve"> on 1 May 2020. The SBWS </w:t>
            </w:r>
            <w:proofErr w:type="spellStart"/>
            <w:r w:rsidR="00AF0477">
              <w:rPr>
                <w:rFonts w:cs="Arial"/>
                <w:sz w:val="22"/>
              </w:rPr>
              <w:t>as</w:t>
            </w:r>
            <w:proofErr w:type="spellEnd"/>
            <w:r w:rsidR="00AF0477">
              <w:rPr>
                <w:rFonts w:cs="Arial"/>
                <w:sz w:val="22"/>
              </w:rPr>
              <w:t xml:space="preserve"> been designed</w:t>
            </w:r>
            <w:r w:rsidRPr="00AF0477">
              <w:rPr>
                <w:rFonts w:cs="Arial"/>
                <w:sz w:val="22"/>
              </w:rPr>
              <w:t xml:space="preserve"> </w:t>
            </w:r>
            <w:r w:rsidR="00AF0477">
              <w:rPr>
                <w:rFonts w:cs="Arial"/>
                <w:sz w:val="22"/>
              </w:rPr>
              <w:t xml:space="preserve">to </w:t>
            </w:r>
            <w:r w:rsidRPr="00AF0477">
              <w:rPr>
                <w:rFonts w:cs="Arial"/>
                <w:sz w:val="22"/>
              </w:rPr>
              <w:t xml:space="preserve">replace </w:t>
            </w:r>
            <w:r w:rsidR="00DD4B49" w:rsidRPr="00AF0477">
              <w:rPr>
                <w:rFonts w:cs="Arial"/>
                <w:sz w:val="22"/>
              </w:rPr>
              <w:t>the Department of Labor and Employment (</w:t>
            </w:r>
            <w:r w:rsidRPr="00AF0477">
              <w:rPr>
                <w:rFonts w:cs="Arial"/>
                <w:sz w:val="22"/>
              </w:rPr>
              <w:t>DOLE</w:t>
            </w:r>
            <w:r w:rsidR="00DD4B49" w:rsidRPr="00AF0477">
              <w:rPr>
                <w:rFonts w:cs="Arial"/>
                <w:sz w:val="22"/>
              </w:rPr>
              <w:t>)</w:t>
            </w:r>
            <w:r w:rsidRPr="00AF0477">
              <w:rPr>
                <w:rFonts w:cs="Arial"/>
                <w:sz w:val="22"/>
              </w:rPr>
              <w:t>’s</w:t>
            </w:r>
            <w:r w:rsidR="00DD4B49" w:rsidRPr="00AF0477">
              <w:rPr>
                <w:rFonts w:cs="Arial"/>
                <w:sz w:val="22"/>
              </w:rPr>
              <w:t xml:space="preserve"> COVID-19 Adjustment Measures Program (CAMP)</w:t>
            </w:r>
            <w:r w:rsidRPr="00AF0477">
              <w:rPr>
                <w:rFonts w:cs="Arial"/>
                <w:sz w:val="22"/>
              </w:rPr>
              <w:t>.</w:t>
            </w:r>
            <w:r w:rsidRPr="00455F2E">
              <w:rPr>
                <w:rFonts w:cs="Arial"/>
                <w:sz w:val="22"/>
              </w:rPr>
              <w:t xml:space="preserve"> </w:t>
            </w:r>
          </w:p>
          <w:p w14:paraId="79778238" w14:textId="77777777" w:rsidR="00B26A7E" w:rsidRPr="00455F2E" w:rsidRDefault="00B26A7E" w:rsidP="009B0A9C">
            <w:pPr>
              <w:spacing w:line="240" w:lineRule="auto"/>
            </w:pPr>
          </w:p>
          <w:p w14:paraId="78CB9314" w14:textId="072F79DB" w:rsidR="00A0734A" w:rsidRPr="00455F2E" w:rsidRDefault="00AF0477" w:rsidP="009B0A9C">
            <w:pPr>
              <w:pStyle w:val="ListParagraph"/>
              <w:numPr>
                <w:ilvl w:val="0"/>
                <w:numId w:val="22"/>
              </w:numPr>
              <w:ind w:left="611" w:hanging="284"/>
              <w:contextualSpacing w:val="0"/>
              <w:jc w:val="both"/>
              <w:rPr>
                <w:rFonts w:cs="Arial"/>
                <w:sz w:val="22"/>
              </w:rPr>
            </w:pPr>
            <w:r>
              <w:rPr>
                <w:rFonts w:cs="Arial"/>
                <w:b/>
                <w:bCs/>
                <w:sz w:val="22"/>
              </w:rPr>
              <w:t>Department of Trade and Industry (</w:t>
            </w:r>
            <w:r w:rsidR="00B26A7E" w:rsidRPr="00455F2E">
              <w:rPr>
                <w:rFonts w:cs="Arial"/>
                <w:b/>
                <w:bCs/>
                <w:sz w:val="22"/>
              </w:rPr>
              <w:t>DTI</w:t>
            </w:r>
            <w:r>
              <w:rPr>
                <w:rFonts w:cs="Arial"/>
                <w:b/>
                <w:bCs/>
                <w:sz w:val="22"/>
              </w:rPr>
              <w:t>)</w:t>
            </w:r>
            <w:r w:rsidR="00B26A7E" w:rsidRPr="00455F2E">
              <w:rPr>
                <w:rFonts w:cs="Arial"/>
                <w:b/>
                <w:bCs/>
                <w:sz w:val="22"/>
              </w:rPr>
              <w:t>’s Livelihood Seeding Program-</w:t>
            </w:r>
            <w:r w:rsidR="00B26A7E" w:rsidRPr="00455F2E">
              <w:rPr>
                <w:rFonts w:cs="Arial"/>
                <w:b/>
                <w:bCs/>
                <w:i/>
                <w:iCs/>
                <w:sz w:val="22"/>
              </w:rPr>
              <w:t xml:space="preserve">Negosyo </w:t>
            </w:r>
            <w:proofErr w:type="spellStart"/>
            <w:r w:rsidR="00B26A7E" w:rsidRPr="00455F2E">
              <w:rPr>
                <w:rFonts w:cs="Arial"/>
                <w:b/>
                <w:bCs/>
                <w:i/>
                <w:iCs/>
                <w:sz w:val="22"/>
              </w:rPr>
              <w:t>Serbisyo</w:t>
            </w:r>
            <w:proofErr w:type="spellEnd"/>
            <w:r w:rsidR="00B26A7E" w:rsidRPr="00455F2E">
              <w:rPr>
                <w:rFonts w:cs="Arial"/>
                <w:b/>
                <w:bCs/>
                <w:i/>
                <w:iCs/>
                <w:sz w:val="22"/>
              </w:rPr>
              <w:t xml:space="preserve"> </w:t>
            </w:r>
            <w:proofErr w:type="spellStart"/>
            <w:r w:rsidR="00B26A7E" w:rsidRPr="00455F2E">
              <w:rPr>
                <w:rFonts w:cs="Arial"/>
                <w:b/>
                <w:bCs/>
                <w:i/>
                <w:iCs/>
                <w:sz w:val="22"/>
              </w:rPr>
              <w:t>sa</w:t>
            </w:r>
            <w:proofErr w:type="spellEnd"/>
            <w:r w:rsidR="00B26A7E" w:rsidRPr="00455F2E">
              <w:rPr>
                <w:rFonts w:cs="Arial"/>
                <w:b/>
                <w:bCs/>
                <w:i/>
                <w:iCs/>
                <w:sz w:val="22"/>
              </w:rPr>
              <w:t xml:space="preserve"> Barangay</w:t>
            </w:r>
            <w:r w:rsidR="00B26A7E" w:rsidRPr="00455F2E">
              <w:rPr>
                <w:rFonts w:cs="Arial"/>
                <w:b/>
                <w:bCs/>
                <w:sz w:val="22"/>
              </w:rPr>
              <w:t xml:space="preserve"> Program</w:t>
            </w:r>
            <w:r w:rsidR="00B26A7E" w:rsidRPr="00455F2E">
              <w:rPr>
                <w:rFonts w:cs="Arial"/>
                <w:sz w:val="22"/>
              </w:rPr>
              <w:t xml:space="preserve">. </w:t>
            </w:r>
          </w:p>
          <w:p w14:paraId="34D66678" w14:textId="77777777" w:rsidR="00A0734A" w:rsidRPr="00455F2E" w:rsidRDefault="00A0734A" w:rsidP="009B0A9C">
            <w:pPr>
              <w:pStyle w:val="ListParagraph"/>
              <w:contextualSpacing w:val="0"/>
              <w:rPr>
                <w:rFonts w:cs="Arial"/>
                <w:sz w:val="22"/>
              </w:rPr>
            </w:pPr>
          </w:p>
          <w:p w14:paraId="2025DB58" w14:textId="21EBCF0D" w:rsidR="00B26A7E" w:rsidRPr="00455F2E" w:rsidRDefault="00B26A7E" w:rsidP="009B0A9C">
            <w:pPr>
              <w:pStyle w:val="ListParagraph"/>
              <w:ind w:left="611"/>
              <w:contextualSpacing w:val="0"/>
              <w:jc w:val="both"/>
              <w:rPr>
                <w:rFonts w:cs="Arial"/>
                <w:sz w:val="22"/>
              </w:rPr>
            </w:pPr>
            <w:r w:rsidRPr="00455F2E">
              <w:rPr>
                <w:rFonts w:cs="Arial"/>
                <w:sz w:val="22"/>
              </w:rPr>
              <w:t xml:space="preserve">This program </w:t>
            </w:r>
            <w:r w:rsidRPr="002F7243">
              <w:rPr>
                <w:rFonts w:cs="Arial"/>
                <w:b/>
                <w:bCs/>
                <w:sz w:val="22"/>
              </w:rPr>
              <w:t>expands</w:t>
            </w:r>
            <w:r w:rsidRPr="002F7243">
              <w:rPr>
                <w:rFonts w:cs="Arial"/>
                <w:b/>
                <w:sz w:val="22"/>
              </w:rPr>
              <w:t xml:space="preserve"> the </w:t>
            </w:r>
            <w:r w:rsidRPr="002F7243">
              <w:rPr>
                <w:rFonts w:cs="Arial"/>
                <w:b/>
                <w:i/>
                <w:iCs/>
                <w:sz w:val="22"/>
              </w:rPr>
              <w:t xml:space="preserve">Negosyo </w:t>
            </w:r>
            <w:r w:rsidRPr="002F7243">
              <w:rPr>
                <w:rFonts w:cs="Arial"/>
                <w:b/>
                <w:sz w:val="22"/>
              </w:rPr>
              <w:t>Center services</w:t>
            </w:r>
            <w:r w:rsidRPr="00455F2E">
              <w:rPr>
                <w:rFonts w:cs="Arial"/>
                <w:sz w:val="22"/>
              </w:rPr>
              <w:t xml:space="preserve"> to serve barangays, particularly those identified as Local Communist Armed Conflict</w:t>
            </w:r>
            <w:r w:rsidR="002F7243">
              <w:rPr>
                <w:rFonts w:cs="Arial"/>
                <w:sz w:val="22"/>
              </w:rPr>
              <w:t>-</w:t>
            </w:r>
            <w:r w:rsidRPr="00455F2E">
              <w:rPr>
                <w:rFonts w:cs="Arial"/>
                <w:sz w:val="22"/>
              </w:rPr>
              <w:t xml:space="preserve">affected areas, </w:t>
            </w:r>
            <w:r w:rsidR="00AF0477">
              <w:rPr>
                <w:rFonts w:cs="Arial"/>
                <w:sz w:val="22"/>
              </w:rPr>
              <w:t>i</w:t>
            </w:r>
            <w:r w:rsidRPr="00455F2E">
              <w:rPr>
                <w:rFonts w:cs="Arial"/>
                <w:sz w:val="22"/>
              </w:rPr>
              <w:t xml:space="preserve">ndigenous </w:t>
            </w:r>
            <w:r w:rsidR="00AF0477">
              <w:rPr>
                <w:rFonts w:cs="Arial"/>
                <w:sz w:val="22"/>
              </w:rPr>
              <w:t>p</w:t>
            </w:r>
            <w:r w:rsidRPr="00455F2E">
              <w:rPr>
                <w:rFonts w:cs="Arial"/>
                <w:sz w:val="22"/>
              </w:rPr>
              <w:t>eopl</w:t>
            </w:r>
            <w:r w:rsidR="002F7243">
              <w:rPr>
                <w:rFonts w:cs="Arial"/>
                <w:sz w:val="22"/>
              </w:rPr>
              <w:t>es’</w:t>
            </w:r>
            <w:r w:rsidRPr="00455F2E">
              <w:rPr>
                <w:rFonts w:cs="Arial"/>
                <w:sz w:val="22"/>
              </w:rPr>
              <w:t xml:space="preserve"> communities, as well as MSMEs affected by the COVID-19 pandemic. The </w:t>
            </w:r>
            <w:r w:rsidRPr="00455F2E">
              <w:rPr>
                <w:rFonts w:cs="Arial"/>
                <w:i/>
                <w:iCs/>
                <w:sz w:val="22"/>
              </w:rPr>
              <w:t xml:space="preserve">Negosyo </w:t>
            </w:r>
            <w:r w:rsidRPr="00455F2E">
              <w:rPr>
                <w:rFonts w:cs="Arial"/>
                <w:sz w:val="22"/>
              </w:rPr>
              <w:t>Center shall bring the services of the national government to the barangays to facilitate the processing of business registration and provide technical, financial, and business management assistance to MSMEs. The program shall also now include individuals and MSMEs to support their enterprises during this crisis.</w:t>
            </w:r>
          </w:p>
          <w:p w14:paraId="675C78F6" w14:textId="77777777" w:rsidR="00B26A7E" w:rsidRPr="00455F2E" w:rsidRDefault="00B26A7E" w:rsidP="009B0A9C">
            <w:pPr>
              <w:pStyle w:val="ListParagraph"/>
              <w:contextualSpacing w:val="0"/>
              <w:jc w:val="both"/>
              <w:rPr>
                <w:rFonts w:cs="Arial"/>
                <w:sz w:val="22"/>
              </w:rPr>
            </w:pPr>
          </w:p>
          <w:p w14:paraId="619965D5" w14:textId="2B091298" w:rsidR="00B26A7E" w:rsidRPr="00455F2E" w:rsidRDefault="00B26A7E" w:rsidP="009B0A9C">
            <w:pPr>
              <w:pStyle w:val="ListParagraph"/>
              <w:numPr>
                <w:ilvl w:val="0"/>
                <w:numId w:val="22"/>
              </w:numPr>
              <w:ind w:left="611" w:hanging="284"/>
              <w:contextualSpacing w:val="0"/>
              <w:jc w:val="both"/>
              <w:rPr>
                <w:rFonts w:cs="Arial"/>
                <w:sz w:val="22"/>
              </w:rPr>
            </w:pPr>
            <w:r w:rsidRPr="00455F2E">
              <w:rPr>
                <w:rFonts w:cs="Arial"/>
                <w:b/>
                <w:bCs/>
                <w:sz w:val="22"/>
              </w:rPr>
              <w:t>DTI’s ‘</w:t>
            </w:r>
            <w:proofErr w:type="spellStart"/>
            <w:r w:rsidRPr="00455F2E">
              <w:rPr>
                <w:rFonts w:cs="Arial"/>
                <w:b/>
                <w:bCs/>
                <w:sz w:val="22"/>
              </w:rPr>
              <w:t>Pondo</w:t>
            </w:r>
            <w:proofErr w:type="spellEnd"/>
            <w:r w:rsidRPr="00455F2E">
              <w:rPr>
                <w:rFonts w:cs="Arial"/>
                <w:b/>
                <w:bCs/>
                <w:sz w:val="22"/>
              </w:rPr>
              <w:t xml:space="preserve"> </w:t>
            </w:r>
            <w:proofErr w:type="spellStart"/>
            <w:r w:rsidRPr="00455F2E">
              <w:rPr>
                <w:rFonts w:cs="Arial"/>
                <w:b/>
                <w:bCs/>
                <w:sz w:val="22"/>
              </w:rPr>
              <w:t>sa</w:t>
            </w:r>
            <w:proofErr w:type="spellEnd"/>
            <w:r w:rsidRPr="00455F2E">
              <w:rPr>
                <w:rFonts w:cs="Arial"/>
                <w:b/>
                <w:bCs/>
                <w:sz w:val="22"/>
              </w:rPr>
              <w:t xml:space="preserve"> </w:t>
            </w:r>
            <w:proofErr w:type="spellStart"/>
            <w:r w:rsidRPr="00455F2E">
              <w:rPr>
                <w:rFonts w:cs="Arial"/>
                <w:b/>
                <w:bCs/>
                <w:sz w:val="22"/>
              </w:rPr>
              <w:t>Pagbabago</w:t>
            </w:r>
            <w:proofErr w:type="spellEnd"/>
            <w:r w:rsidRPr="00455F2E">
              <w:rPr>
                <w:rFonts w:cs="Arial"/>
                <w:b/>
                <w:bCs/>
                <w:sz w:val="22"/>
              </w:rPr>
              <w:t xml:space="preserve"> at Pag-</w:t>
            </w:r>
            <w:proofErr w:type="spellStart"/>
            <w:r w:rsidRPr="00455F2E">
              <w:rPr>
                <w:rFonts w:cs="Arial"/>
                <w:b/>
                <w:bCs/>
                <w:sz w:val="22"/>
              </w:rPr>
              <w:t>asenso</w:t>
            </w:r>
            <w:proofErr w:type="spellEnd"/>
            <w:r w:rsidRPr="00455F2E">
              <w:rPr>
                <w:rFonts w:cs="Arial"/>
                <w:b/>
                <w:bCs/>
                <w:sz w:val="22"/>
              </w:rPr>
              <w:t>’</w:t>
            </w:r>
            <w:r w:rsidRPr="00455F2E">
              <w:rPr>
                <w:rFonts w:cs="Arial"/>
                <w:sz w:val="22"/>
              </w:rPr>
              <w:t xml:space="preserve"> provides borrowers an interest rate of 0.5 percent per month. Under the COVID-19 P3-Enterprise Rehabilitation Fund (P3-ERF), MSMEs are provided access to loans, as well as </w:t>
            </w:r>
            <w:r w:rsidR="00DE338B">
              <w:rPr>
                <w:rFonts w:cs="Arial"/>
                <w:sz w:val="22"/>
              </w:rPr>
              <w:t xml:space="preserve">a </w:t>
            </w:r>
            <w:r w:rsidRPr="00455F2E">
              <w:rPr>
                <w:rFonts w:cs="Arial"/>
                <w:sz w:val="22"/>
              </w:rPr>
              <w:t xml:space="preserve">30-day grace period for commercial rent in areas under the ECQ. </w:t>
            </w:r>
          </w:p>
          <w:p w14:paraId="54E48EDE" w14:textId="77777777" w:rsidR="00B26A7E" w:rsidRPr="00455F2E" w:rsidRDefault="00B26A7E" w:rsidP="009B0A9C">
            <w:pPr>
              <w:spacing w:line="240" w:lineRule="auto"/>
            </w:pPr>
          </w:p>
          <w:p w14:paraId="5F49C977" w14:textId="77777777" w:rsidR="00A0734A" w:rsidRPr="00455F2E" w:rsidRDefault="00B26A7E" w:rsidP="009B0A9C">
            <w:pPr>
              <w:pStyle w:val="ListParagraph"/>
              <w:numPr>
                <w:ilvl w:val="0"/>
                <w:numId w:val="22"/>
              </w:numPr>
              <w:ind w:left="611" w:hanging="284"/>
              <w:contextualSpacing w:val="0"/>
              <w:jc w:val="both"/>
              <w:rPr>
                <w:rFonts w:cs="Arial"/>
                <w:sz w:val="22"/>
              </w:rPr>
            </w:pPr>
            <w:r w:rsidRPr="00455F2E">
              <w:rPr>
                <w:rFonts w:cs="Arial"/>
                <w:b/>
                <w:bCs/>
                <w:sz w:val="22"/>
              </w:rPr>
              <w:t>Moratorium on loan payment of borrowers of the Small Business Corporation</w:t>
            </w:r>
            <w:r w:rsidRPr="00455F2E">
              <w:rPr>
                <w:rFonts w:cs="Arial"/>
                <w:sz w:val="22"/>
              </w:rPr>
              <w:t xml:space="preserve">. </w:t>
            </w:r>
          </w:p>
          <w:p w14:paraId="2CC2CCDF" w14:textId="77777777" w:rsidR="00A0734A" w:rsidRPr="00455F2E" w:rsidRDefault="00A0734A" w:rsidP="009B0A9C">
            <w:pPr>
              <w:pStyle w:val="ListParagraph"/>
              <w:contextualSpacing w:val="0"/>
              <w:rPr>
                <w:rFonts w:cs="Arial"/>
                <w:sz w:val="22"/>
              </w:rPr>
            </w:pPr>
          </w:p>
          <w:p w14:paraId="483A5D67" w14:textId="77777777" w:rsidR="00102B1A" w:rsidRPr="00455F2E" w:rsidRDefault="00B26A7E" w:rsidP="009B0A9C">
            <w:pPr>
              <w:pStyle w:val="ListParagraph"/>
              <w:ind w:left="611"/>
              <w:contextualSpacing w:val="0"/>
              <w:jc w:val="both"/>
              <w:rPr>
                <w:rFonts w:cs="Arial"/>
                <w:sz w:val="22"/>
              </w:rPr>
            </w:pPr>
            <w:r w:rsidRPr="00455F2E">
              <w:rPr>
                <w:rFonts w:cs="Arial"/>
                <w:sz w:val="22"/>
              </w:rPr>
              <w:t>A total of 7,317 retail borrowers and 205 wholesale borrowers have been given reprieve from their payments. The moratorium extends to and benefits around 134,000 micro enterprises with loans from wholesale borrowers.</w:t>
            </w:r>
          </w:p>
          <w:p w14:paraId="021E22D2" w14:textId="77777777" w:rsidR="00102B1A" w:rsidRPr="00455F2E" w:rsidRDefault="00102B1A" w:rsidP="009B0A9C">
            <w:pPr>
              <w:pStyle w:val="ListParagraph"/>
              <w:contextualSpacing w:val="0"/>
              <w:rPr>
                <w:rFonts w:cs="Arial"/>
                <w:b/>
                <w:bCs/>
                <w:sz w:val="22"/>
              </w:rPr>
            </w:pPr>
          </w:p>
          <w:p w14:paraId="592A8311" w14:textId="77777777" w:rsidR="00A0734A" w:rsidRPr="00455F2E" w:rsidRDefault="00B26A7E" w:rsidP="009B0A9C">
            <w:pPr>
              <w:pStyle w:val="ListParagraph"/>
              <w:numPr>
                <w:ilvl w:val="0"/>
                <w:numId w:val="22"/>
              </w:numPr>
              <w:ind w:left="611" w:hanging="284"/>
              <w:contextualSpacing w:val="0"/>
              <w:jc w:val="both"/>
              <w:rPr>
                <w:rFonts w:cs="Arial"/>
                <w:sz w:val="22"/>
              </w:rPr>
            </w:pPr>
            <w:r w:rsidRPr="00455F2E">
              <w:rPr>
                <w:rFonts w:cs="Arial"/>
                <w:b/>
                <w:bCs/>
                <w:sz w:val="22"/>
              </w:rPr>
              <w:t xml:space="preserve">Technical Education and Skills Development Authority (TESDA)’s Scholarship Programs. </w:t>
            </w:r>
          </w:p>
          <w:p w14:paraId="4EF30688" w14:textId="77777777" w:rsidR="00A0734A" w:rsidRPr="00455F2E" w:rsidRDefault="00A0734A" w:rsidP="009B0A9C">
            <w:pPr>
              <w:pStyle w:val="ListParagraph"/>
              <w:contextualSpacing w:val="0"/>
              <w:rPr>
                <w:rFonts w:cs="Arial"/>
                <w:sz w:val="22"/>
              </w:rPr>
            </w:pPr>
          </w:p>
          <w:p w14:paraId="5C4E7AB4" w14:textId="161B1B7A" w:rsidR="00B26A7E" w:rsidRPr="00455F2E" w:rsidRDefault="00B26A7E" w:rsidP="009B0A9C">
            <w:pPr>
              <w:pStyle w:val="ListParagraph"/>
              <w:ind w:left="611"/>
              <w:contextualSpacing w:val="0"/>
              <w:jc w:val="both"/>
              <w:rPr>
                <w:rFonts w:cs="Arial"/>
                <w:sz w:val="22"/>
              </w:rPr>
            </w:pPr>
            <w:r w:rsidRPr="00455F2E">
              <w:rPr>
                <w:rFonts w:cs="Arial"/>
                <w:sz w:val="22"/>
              </w:rPr>
              <w:t>Programs amounting to PHP</w:t>
            </w:r>
            <w:r w:rsidR="00AF0477">
              <w:rPr>
                <w:rFonts w:cs="Arial"/>
                <w:sz w:val="22"/>
              </w:rPr>
              <w:t xml:space="preserve"> </w:t>
            </w:r>
            <w:r w:rsidRPr="00455F2E">
              <w:rPr>
                <w:rFonts w:cs="Arial"/>
                <w:sz w:val="22"/>
              </w:rPr>
              <w:t>3 billion</w:t>
            </w:r>
            <w:r w:rsidR="00F807AE">
              <w:rPr>
                <w:rFonts w:cs="Arial"/>
                <w:sz w:val="22"/>
              </w:rPr>
              <w:t xml:space="preserve"> (USD 61.8 million)</w:t>
            </w:r>
            <w:r w:rsidRPr="00455F2E">
              <w:rPr>
                <w:rFonts w:cs="Arial"/>
                <w:sz w:val="22"/>
              </w:rPr>
              <w:t xml:space="preserve"> will support affected and temporarily displaced workers through </w:t>
            </w:r>
            <w:r w:rsidRPr="006665A2">
              <w:rPr>
                <w:rFonts w:cs="Arial"/>
                <w:b/>
                <w:sz w:val="22"/>
              </w:rPr>
              <w:t>upskilling and reskilling</w:t>
            </w:r>
            <w:r w:rsidRPr="00455F2E">
              <w:rPr>
                <w:rFonts w:cs="Arial"/>
                <w:sz w:val="22"/>
              </w:rPr>
              <w:t xml:space="preserve">. It is also offering free </w:t>
            </w:r>
            <w:r w:rsidRPr="00455F2E">
              <w:rPr>
                <w:rFonts w:cs="Arial"/>
                <w:sz w:val="22"/>
              </w:rPr>
              <w:lastRenderedPageBreak/>
              <w:t>courses for all who would like to acquire new skills in the convenience of their own homes, mobile phones and computers through the TESDA Online Program.</w:t>
            </w:r>
          </w:p>
        </w:tc>
      </w:tr>
      <w:tr w:rsidR="009F0485" w:rsidRPr="00455F2E" w14:paraId="19508114" w14:textId="77777777" w:rsidTr="009F0485">
        <w:tc>
          <w:tcPr>
            <w:tcW w:w="9639" w:type="dxa"/>
            <w:shd w:val="clear" w:color="auto" w:fill="FDE9D9" w:themeFill="accent6" w:themeFillTint="33"/>
            <w:tcMar>
              <w:top w:w="100" w:type="dxa"/>
              <w:left w:w="100" w:type="dxa"/>
              <w:bottom w:w="100" w:type="dxa"/>
              <w:right w:w="100" w:type="dxa"/>
            </w:tcMar>
          </w:tcPr>
          <w:p w14:paraId="523012DD" w14:textId="5F2CD09B" w:rsidR="009F0485" w:rsidRPr="00455F2E" w:rsidRDefault="00443439" w:rsidP="009B0A9C">
            <w:pPr>
              <w:spacing w:line="240" w:lineRule="auto"/>
              <w:jc w:val="both"/>
              <w:rPr>
                <w:b/>
                <w:bCs/>
              </w:rPr>
            </w:pPr>
            <w:r>
              <w:rPr>
                <w:b/>
                <w:bCs/>
              </w:rPr>
              <w:lastRenderedPageBreak/>
              <w:t xml:space="preserve">2.4 </w:t>
            </w:r>
            <w:r w:rsidR="0020527D">
              <w:rPr>
                <w:b/>
                <w:bCs/>
              </w:rPr>
              <w:t>Other programs and i</w:t>
            </w:r>
            <w:r w:rsidR="0020527D" w:rsidRPr="00455F2E">
              <w:rPr>
                <w:b/>
                <w:bCs/>
              </w:rPr>
              <w:t>nterventions</w:t>
            </w:r>
          </w:p>
        </w:tc>
      </w:tr>
      <w:tr w:rsidR="00F53A9D" w:rsidRPr="00455F2E" w14:paraId="5246C723" w14:textId="77777777" w:rsidTr="004A5B81">
        <w:tc>
          <w:tcPr>
            <w:tcW w:w="9639" w:type="dxa"/>
            <w:shd w:val="clear" w:color="auto" w:fill="auto"/>
            <w:tcMar>
              <w:top w:w="100" w:type="dxa"/>
              <w:left w:w="100" w:type="dxa"/>
              <w:bottom w:w="100" w:type="dxa"/>
              <w:right w:w="100" w:type="dxa"/>
            </w:tcMar>
          </w:tcPr>
          <w:p w14:paraId="465EAFF0" w14:textId="293A5A0C" w:rsidR="00F53A9D" w:rsidRDefault="00F53A9D" w:rsidP="009B0A9C">
            <w:pPr>
              <w:pStyle w:val="ListParagraph"/>
              <w:numPr>
                <w:ilvl w:val="0"/>
                <w:numId w:val="23"/>
              </w:numPr>
              <w:ind w:left="611" w:hanging="284"/>
              <w:contextualSpacing w:val="0"/>
              <w:jc w:val="both"/>
              <w:rPr>
                <w:rFonts w:cs="Arial"/>
                <w:b/>
                <w:bCs/>
                <w:sz w:val="22"/>
              </w:rPr>
            </w:pPr>
            <w:r w:rsidRPr="00455F2E">
              <w:rPr>
                <w:rFonts w:cs="Arial"/>
                <w:b/>
                <w:bCs/>
                <w:sz w:val="22"/>
              </w:rPr>
              <w:t>Benefit Packages for COVID-19 Patients</w:t>
            </w:r>
          </w:p>
          <w:p w14:paraId="2F31FFD2" w14:textId="77777777" w:rsidR="0020527D" w:rsidRPr="0020527D" w:rsidRDefault="0020527D" w:rsidP="009B0A9C">
            <w:pPr>
              <w:pStyle w:val="ListParagraph"/>
              <w:ind w:left="611"/>
              <w:contextualSpacing w:val="0"/>
              <w:jc w:val="both"/>
              <w:rPr>
                <w:rFonts w:cs="Arial"/>
                <w:b/>
                <w:bCs/>
                <w:sz w:val="22"/>
              </w:rPr>
            </w:pPr>
          </w:p>
          <w:p w14:paraId="39907735" w14:textId="77777777" w:rsidR="00F53A9D" w:rsidRPr="00455F2E" w:rsidRDefault="00F53A9D" w:rsidP="009B0A9C">
            <w:pPr>
              <w:pStyle w:val="ListParagraph"/>
              <w:ind w:left="611"/>
              <w:contextualSpacing w:val="0"/>
              <w:jc w:val="both"/>
              <w:rPr>
                <w:rFonts w:cs="Arial"/>
                <w:sz w:val="22"/>
              </w:rPr>
            </w:pPr>
            <w:r w:rsidRPr="00455F2E">
              <w:rPr>
                <w:rFonts w:cs="Arial"/>
                <w:sz w:val="22"/>
              </w:rPr>
              <w:t>PhilHealth has previously approved the direct reimbursement of patients previously confined for COVID-19, who were unable to avail the benefit for the full cost of treatment as announced, with retroactive application from 01 February 2020, subject to advisories to be issued on the matter.</w:t>
            </w:r>
          </w:p>
          <w:p w14:paraId="763A111B" w14:textId="77777777" w:rsidR="00F53A9D" w:rsidRPr="00455F2E" w:rsidRDefault="00F53A9D" w:rsidP="009B0A9C">
            <w:pPr>
              <w:spacing w:line="240" w:lineRule="auto"/>
              <w:rPr>
                <w:b/>
                <w:bCs/>
              </w:rPr>
            </w:pPr>
          </w:p>
          <w:p w14:paraId="5639DBB8" w14:textId="397DB05E" w:rsidR="00F53A9D" w:rsidRDefault="00F53A9D" w:rsidP="009B0A9C">
            <w:pPr>
              <w:pStyle w:val="ListParagraph"/>
              <w:numPr>
                <w:ilvl w:val="0"/>
                <w:numId w:val="23"/>
              </w:numPr>
              <w:ind w:left="611" w:hanging="284"/>
              <w:contextualSpacing w:val="0"/>
              <w:jc w:val="both"/>
              <w:rPr>
                <w:rFonts w:cs="Arial"/>
                <w:b/>
                <w:bCs/>
                <w:sz w:val="22"/>
              </w:rPr>
            </w:pPr>
            <w:r w:rsidRPr="00455F2E">
              <w:rPr>
                <w:rFonts w:cs="Arial"/>
                <w:b/>
                <w:bCs/>
                <w:sz w:val="22"/>
              </w:rPr>
              <w:t xml:space="preserve">Assistance to Health Workers and </w:t>
            </w:r>
            <w:proofErr w:type="spellStart"/>
            <w:r w:rsidRPr="00455F2E">
              <w:rPr>
                <w:rFonts w:cs="Arial"/>
                <w:b/>
                <w:bCs/>
                <w:sz w:val="22"/>
              </w:rPr>
              <w:t>Frontliners</w:t>
            </w:r>
            <w:proofErr w:type="spellEnd"/>
          </w:p>
          <w:p w14:paraId="25E3CCBC" w14:textId="77777777" w:rsidR="0020527D" w:rsidRPr="0020527D" w:rsidRDefault="0020527D" w:rsidP="009B0A9C">
            <w:pPr>
              <w:pStyle w:val="ListParagraph"/>
              <w:ind w:left="611"/>
              <w:contextualSpacing w:val="0"/>
              <w:jc w:val="both"/>
              <w:rPr>
                <w:rFonts w:cs="Arial"/>
                <w:b/>
                <w:bCs/>
                <w:sz w:val="22"/>
              </w:rPr>
            </w:pPr>
          </w:p>
          <w:p w14:paraId="04AF07C0" w14:textId="77777777" w:rsidR="00F53A9D" w:rsidRPr="00455F2E" w:rsidRDefault="00F53A9D" w:rsidP="009B0A9C">
            <w:pPr>
              <w:pStyle w:val="ListParagraph"/>
              <w:ind w:left="611"/>
              <w:contextualSpacing w:val="0"/>
              <w:jc w:val="both"/>
              <w:rPr>
                <w:rFonts w:cs="Arial"/>
                <w:sz w:val="22"/>
              </w:rPr>
            </w:pPr>
            <w:r w:rsidRPr="00455F2E">
              <w:rPr>
                <w:rFonts w:cs="Arial"/>
                <w:sz w:val="22"/>
              </w:rPr>
              <w:t xml:space="preserve">The Department of Budget and Management (DBM) issued Budget Circular No. 2020-02 dated 7 April 2020 providing </w:t>
            </w:r>
            <w:r w:rsidRPr="003E1E4B">
              <w:rPr>
                <w:rFonts w:cs="Arial"/>
                <w:bCs/>
                <w:sz w:val="22"/>
              </w:rPr>
              <w:t>guidelines on the grant of</w:t>
            </w:r>
            <w:r w:rsidRPr="00455F2E">
              <w:rPr>
                <w:rFonts w:cs="Arial"/>
                <w:b/>
                <w:bCs/>
                <w:sz w:val="22"/>
              </w:rPr>
              <w:t xml:space="preserve"> Special Risk Allowance to public health workers</w:t>
            </w:r>
            <w:r w:rsidRPr="00455F2E">
              <w:rPr>
                <w:rFonts w:cs="Arial"/>
                <w:sz w:val="22"/>
              </w:rPr>
              <w:t xml:space="preserve"> (PHWs) for the duration of the ECQ. The DBM also issued Memorandum Circular No. 2020-072 – </w:t>
            </w:r>
            <w:r w:rsidRPr="00455F2E">
              <w:rPr>
                <w:rFonts w:cs="Arial"/>
                <w:b/>
                <w:bCs/>
                <w:sz w:val="22"/>
              </w:rPr>
              <w:t>Temporary Shelter/accommodation for the safety and protection against discrimination of health workers</w:t>
            </w:r>
            <w:r w:rsidRPr="00455F2E">
              <w:rPr>
                <w:rFonts w:cs="Arial"/>
                <w:sz w:val="22"/>
              </w:rPr>
              <w:t xml:space="preserve"> in provincial/city hospitals and other public health facilities catering to COVID-19 patients.</w:t>
            </w:r>
          </w:p>
          <w:p w14:paraId="49C9056D" w14:textId="77777777" w:rsidR="00F53A9D" w:rsidRPr="00455F2E" w:rsidRDefault="00F53A9D" w:rsidP="009B0A9C">
            <w:pPr>
              <w:spacing w:line="240" w:lineRule="auto"/>
              <w:jc w:val="both"/>
            </w:pPr>
          </w:p>
          <w:p w14:paraId="3FE1F4AC" w14:textId="5089E8B0" w:rsidR="00797018" w:rsidRPr="00455F2E" w:rsidRDefault="00F53A9D" w:rsidP="009B0A9C">
            <w:pPr>
              <w:pStyle w:val="ListParagraph"/>
              <w:ind w:left="611"/>
              <w:contextualSpacing w:val="0"/>
              <w:jc w:val="both"/>
              <w:rPr>
                <w:rFonts w:cs="Arial"/>
                <w:sz w:val="22"/>
              </w:rPr>
            </w:pPr>
            <w:r w:rsidRPr="00455F2E">
              <w:rPr>
                <w:rFonts w:cs="Arial"/>
                <w:sz w:val="22"/>
              </w:rPr>
              <w:t>The National Transmission Corporation (</w:t>
            </w:r>
            <w:proofErr w:type="spellStart"/>
            <w:r w:rsidRPr="00455F2E">
              <w:rPr>
                <w:rFonts w:cs="Arial"/>
                <w:sz w:val="22"/>
              </w:rPr>
              <w:t>TransCo</w:t>
            </w:r>
            <w:proofErr w:type="spellEnd"/>
            <w:r w:rsidRPr="00455F2E">
              <w:rPr>
                <w:rFonts w:cs="Arial"/>
                <w:sz w:val="22"/>
              </w:rPr>
              <w:t xml:space="preserve">) has entered into an agreement with the Lung Center of the Philippines (LCP) for the </w:t>
            </w:r>
            <w:r w:rsidRPr="003E1E4B">
              <w:rPr>
                <w:rFonts w:cs="Arial"/>
                <w:bCs/>
                <w:sz w:val="22"/>
              </w:rPr>
              <w:t xml:space="preserve">use of </w:t>
            </w:r>
            <w:proofErr w:type="spellStart"/>
            <w:r w:rsidRPr="003E1E4B">
              <w:rPr>
                <w:rFonts w:cs="Arial"/>
                <w:bCs/>
                <w:sz w:val="22"/>
              </w:rPr>
              <w:t>TransCo</w:t>
            </w:r>
            <w:proofErr w:type="spellEnd"/>
            <w:r w:rsidRPr="003E1E4B">
              <w:rPr>
                <w:rFonts w:cs="Arial"/>
                <w:bCs/>
                <w:sz w:val="22"/>
              </w:rPr>
              <w:t xml:space="preserve"> dormitory facilities to</w:t>
            </w:r>
            <w:r w:rsidRPr="00455F2E">
              <w:rPr>
                <w:rFonts w:cs="Arial"/>
                <w:b/>
                <w:bCs/>
                <w:sz w:val="22"/>
              </w:rPr>
              <w:t xml:space="preserve"> house LCP health workers or serve as a quarantine area</w:t>
            </w:r>
            <w:r w:rsidRPr="00455F2E">
              <w:rPr>
                <w:rFonts w:cs="Arial"/>
                <w:sz w:val="22"/>
              </w:rPr>
              <w:t xml:space="preserve">. It has also offered its </w:t>
            </w:r>
            <w:r w:rsidRPr="003E1E4B">
              <w:rPr>
                <w:rFonts w:cs="Arial"/>
                <w:bCs/>
                <w:sz w:val="22"/>
              </w:rPr>
              <w:t xml:space="preserve">vehicles to service </w:t>
            </w:r>
            <w:proofErr w:type="spellStart"/>
            <w:r w:rsidRPr="003E1E4B">
              <w:rPr>
                <w:rFonts w:cs="Arial"/>
                <w:bCs/>
                <w:sz w:val="22"/>
              </w:rPr>
              <w:t>frontline</w:t>
            </w:r>
            <w:r w:rsidR="00F43CDE" w:rsidRPr="003E1E4B">
              <w:rPr>
                <w:rFonts w:cs="Arial"/>
                <w:bCs/>
                <w:sz w:val="22"/>
              </w:rPr>
              <w:t>r</w:t>
            </w:r>
            <w:r w:rsidRPr="003E1E4B">
              <w:rPr>
                <w:rFonts w:cs="Arial"/>
                <w:bCs/>
                <w:sz w:val="22"/>
              </w:rPr>
              <w:t>s</w:t>
            </w:r>
            <w:proofErr w:type="spellEnd"/>
            <w:r w:rsidRPr="00455F2E">
              <w:rPr>
                <w:rFonts w:cs="Arial"/>
                <w:sz w:val="22"/>
              </w:rPr>
              <w:t xml:space="preserve"> during the crisis, including the </w:t>
            </w:r>
            <w:r w:rsidRPr="003E1E4B">
              <w:rPr>
                <w:rFonts w:cs="Arial"/>
                <w:bCs/>
                <w:sz w:val="22"/>
              </w:rPr>
              <w:t xml:space="preserve">provision of </w:t>
            </w:r>
            <w:r w:rsidRPr="003E1E4B">
              <w:rPr>
                <w:rFonts w:cs="Arial"/>
                <w:b/>
                <w:bCs/>
                <w:sz w:val="22"/>
              </w:rPr>
              <w:t>shuttle services</w:t>
            </w:r>
            <w:r w:rsidR="007524AC">
              <w:rPr>
                <w:rFonts w:cs="Arial"/>
                <w:sz w:val="22"/>
              </w:rPr>
              <w:t xml:space="preserve"> to nearby hospitals.</w:t>
            </w:r>
          </w:p>
          <w:p w14:paraId="5A744EAA" w14:textId="77777777" w:rsidR="001E100A" w:rsidRPr="00455F2E" w:rsidRDefault="001E100A" w:rsidP="009B0A9C">
            <w:pPr>
              <w:spacing w:line="240" w:lineRule="auto"/>
              <w:jc w:val="both"/>
              <w:rPr>
                <w:b/>
                <w:bCs/>
              </w:rPr>
            </w:pPr>
          </w:p>
          <w:p w14:paraId="3AFAA3FA" w14:textId="77777777" w:rsidR="0014476C" w:rsidRPr="00455F2E" w:rsidRDefault="0014476C" w:rsidP="009B0A9C">
            <w:pPr>
              <w:pStyle w:val="ListParagraph"/>
              <w:numPr>
                <w:ilvl w:val="0"/>
                <w:numId w:val="23"/>
              </w:numPr>
              <w:ind w:left="611" w:hanging="284"/>
              <w:contextualSpacing w:val="0"/>
              <w:jc w:val="both"/>
              <w:rPr>
                <w:rFonts w:cs="Arial"/>
                <w:b/>
                <w:bCs/>
                <w:sz w:val="22"/>
              </w:rPr>
            </w:pPr>
            <w:r w:rsidRPr="00455F2E">
              <w:rPr>
                <w:rFonts w:cs="Arial"/>
                <w:b/>
                <w:bCs/>
                <w:sz w:val="22"/>
              </w:rPr>
              <w:t xml:space="preserve">Protection of Persons Under Police Custody </w:t>
            </w:r>
            <w:r w:rsidRPr="00455F2E">
              <w:rPr>
                <w:rFonts w:cs="Arial"/>
                <w:sz w:val="22"/>
              </w:rPr>
              <w:t>(PUPCs)</w:t>
            </w:r>
          </w:p>
          <w:p w14:paraId="3C718DF4" w14:textId="77777777" w:rsidR="0014476C" w:rsidRPr="00455F2E" w:rsidRDefault="0014476C" w:rsidP="009B0A9C">
            <w:pPr>
              <w:spacing w:line="240" w:lineRule="auto"/>
              <w:ind w:left="604"/>
              <w:jc w:val="both"/>
              <w:rPr>
                <w:b/>
                <w:bCs/>
              </w:rPr>
            </w:pPr>
          </w:p>
          <w:p w14:paraId="6B5FA533" w14:textId="5DF454C2" w:rsidR="00E268E9" w:rsidRPr="00455F2E" w:rsidRDefault="007524AC" w:rsidP="009B0A9C">
            <w:pPr>
              <w:pStyle w:val="ListParagraph"/>
              <w:ind w:left="611"/>
              <w:contextualSpacing w:val="0"/>
              <w:jc w:val="both"/>
              <w:rPr>
                <w:rFonts w:cs="Arial"/>
                <w:sz w:val="22"/>
              </w:rPr>
            </w:pPr>
            <w:r>
              <w:rPr>
                <w:rFonts w:cs="Arial"/>
                <w:sz w:val="22"/>
              </w:rPr>
              <w:t>Aware of</w:t>
            </w:r>
            <w:r w:rsidR="00EB111E" w:rsidRPr="00455F2E">
              <w:rPr>
                <w:rFonts w:cs="Arial"/>
                <w:sz w:val="22"/>
              </w:rPr>
              <w:t xml:space="preserve"> the challenges and implications of possible COVID-19 infection to the</w:t>
            </w:r>
            <w:r w:rsidR="00AD6A76" w:rsidRPr="00455F2E">
              <w:rPr>
                <w:rFonts w:cs="Arial"/>
                <w:sz w:val="22"/>
              </w:rPr>
              <w:t xml:space="preserve"> Persons</w:t>
            </w:r>
            <w:r w:rsidR="00EB111E" w:rsidRPr="00455F2E">
              <w:rPr>
                <w:rFonts w:cs="Arial"/>
                <w:sz w:val="22"/>
              </w:rPr>
              <w:t xml:space="preserve"> </w:t>
            </w:r>
            <w:r w:rsidR="00AD6A76" w:rsidRPr="00455F2E">
              <w:rPr>
                <w:rFonts w:cs="Arial"/>
                <w:sz w:val="22"/>
              </w:rPr>
              <w:t>Under Police Custody (PUPCs)</w:t>
            </w:r>
            <w:r w:rsidR="00EB111E" w:rsidRPr="00455F2E">
              <w:rPr>
                <w:rFonts w:cs="Arial"/>
                <w:sz w:val="22"/>
              </w:rPr>
              <w:t>, t</w:t>
            </w:r>
            <w:r w:rsidR="0014476C" w:rsidRPr="00455F2E">
              <w:rPr>
                <w:rFonts w:cs="Arial"/>
                <w:sz w:val="22"/>
              </w:rPr>
              <w:t xml:space="preserve">he </w:t>
            </w:r>
            <w:r w:rsidR="00AF0477">
              <w:rPr>
                <w:rFonts w:cs="Arial"/>
                <w:sz w:val="22"/>
              </w:rPr>
              <w:t xml:space="preserve">Philippine National </w:t>
            </w:r>
            <w:r w:rsidR="00AF0477" w:rsidRPr="00AF0477">
              <w:rPr>
                <w:rFonts w:cs="Arial"/>
                <w:sz w:val="22"/>
              </w:rPr>
              <w:t>Police (PNP)</w:t>
            </w:r>
            <w:r w:rsidR="00797018" w:rsidRPr="00AF0477">
              <w:rPr>
                <w:rFonts w:cs="Arial"/>
                <w:sz w:val="22"/>
              </w:rPr>
              <w:t xml:space="preserve"> issued </w:t>
            </w:r>
            <w:r w:rsidR="00797018" w:rsidRPr="00455F2E">
              <w:rPr>
                <w:rFonts w:cs="Arial"/>
                <w:sz w:val="22"/>
              </w:rPr>
              <w:t xml:space="preserve">a memorandum dated 26 March 2020 providing </w:t>
            </w:r>
            <w:r w:rsidR="009745C0">
              <w:rPr>
                <w:rFonts w:cs="Arial"/>
                <w:sz w:val="22"/>
              </w:rPr>
              <w:t>an A</w:t>
            </w:r>
            <w:r w:rsidR="00797018" w:rsidRPr="00455F2E">
              <w:rPr>
                <w:rFonts w:cs="Arial"/>
                <w:sz w:val="22"/>
              </w:rPr>
              <w:t xml:space="preserve">dvisory to all field offices/units on the protection of </w:t>
            </w:r>
            <w:r w:rsidR="00797018" w:rsidRPr="00AF0477">
              <w:rPr>
                <w:rFonts w:cs="Arial"/>
                <w:sz w:val="22"/>
              </w:rPr>
              <w:t xml:space="preserve">PUPCs </w:t>
            </w:r>
            <w:r w:rsidR="00797018" w:rsidRPr="00455F2E">
              <w:rPr>
                <w:rFonts w:cs="Arial"/>
                <w:sz w:val="22"/>
              </w:rPr>
              <w:t>from possible COVID-19 infection</w:t>
            </w:r>
            <w:r w:rsidR="004B1264" w:rsidRPr="00455F2E">
              <w:rPr>
                <w:rFonts w:cs="Arial"/>
                <w:sz w:val="22"/>
              </w:rPr>
              <w:t xml:space="preserve">, primarily, </w:t>
            </w:r>
            <w:r w:rsidR="00EE49E6" w:rsidRPr="00455F2E">
              <w:rPr>
                <w:rFonts w:cs="Arial"/>
                <w:sz w:val="22"/>
              </w:rPr>
              <w:t xml:space="preserve">through </w:t>
            </w:r>
            <w:r w:rsidR="00EE49E6" w:rsidRPr="00455F2E">
              <w:rPr>
                <w:rFonts w:cs="Arial"/>
                <w:b/>
                <w:bCs/>
                <w:sz w:val="22"/>
              </w:rPr>
              <w:t>custodial</w:t>
            </w:r>
            <w:r w:rsidR="00EE49E6" w:rsidRPr="00455F2E">
              <w:rPr>
                <w:rFonts w:cs="Arial"/>
                <w:sz w:val="22"/>
              </w:rPr>
              <w:t xml:space="preserve"> </w:t>
            </w:r>
            <w:r w:rsidR="00EE49E6" w:rsidRPr="00455F2E">
              <w:rPr>
                <w:rFonts w:cs="Arial"/>
                <w:b/>
                <w:bCs/>
                <w:sz w:val="22"/>
              </w:rPr>
              <w:t>facility inspections</w:t>
            </w:r>
            <w:r w:rsidR="00736616" w:rsidRPr="00455F2E">
              <w:rPr>
                <w:rFonts w:cs="Arial"/>
                <w:b/>
                <w:bCs/>
                <w:sz w:val="22"/>
              </w:rPr>
              <w:t xml:space="preserve">, </w:t>
            </w:r>
            <w:r w:rsidR="00736616" w:rsidRPr="00DA5CE9">
              <w:rPr>
                <w:rFonts w:cs="Arial"/>
                <w:bCs/>
                <w:sz w:val="22"/>
              </w:rPr>
              <w:t xml:space="preserve">monitoring on the health condition of the PUPCs, </w:t>
            </w:r>
            <w:r w:rsidR="00736616" w:rsidRPr="00DA5CE9">
              <w:rPr>
                <w:rFonts w:cs="Arial"/>
                <w:sz w:val="22"/>
              </w:rPr>
              <w:t>and</w:t>
            </w:r>
            <w:r w:rsidR="00736616" w:rsidRPr="00DA5CE9">
              <w:rPr>
                <w:rFonts w:cs="Arial"/>
                <w:bCs/>
                <w:sz w:val="22"/>
              </w:rPr>
              <w:t xml:space="preserve"> </w:t>
            </w:r>
            <w:r w:rsidR="00736616" w:rsidRPr="00DA5CE9">
              <w:rPr>
                <w:rFonts w:cs="Arial"/>
                <w:sz w:val="22"/>
              </w:rPr>
              <w:t xml:space="preserve">implementing appropriate </w:t>
            </w:r>
            <w:r w:rsidR="00736616" w:rsidRPr="00DA5CE9">
              <w:rPr>
                <w:rFonts w:cs="Arial"/>
                <w:bCs/>
                <w:sz w:val="22"/>
              </w:rPr>
              <w:t>safety measures</w:t>
            </w:r>
            <w:r w:rsidR="00736616" w:rsidRPr="00455F2E">
              <w:rPr>
                <w:rFonts w:cs="Arial"/>
                <w:sz w:val="22"/>
              </w:rPr>
              <w:t xml:space="preserve"> to devoid any single case of infection that can trigger the spread of the virus around the police stations</w:t>
            </w:r>
            <w:r w:rsidR="00EE49E6" w:rsidRPr="00455F2E">
              <w:rPr>
                <w:rFonts w:cs="Arial"/>
                <w:sz w:val="22"/>
              </w:rPr>
              <w:t>.</w:t>
            </w:r>
          </w:p>
          <w:p w14:paraId="4F519461" w14:textId="77777777" w:rsidR="00EE49E6" w:rsidRPr="00455F2E" w:rsidRDefault="00EE49E6" w:rsidP="009B0A9C">
            <w:pPr>
              <w:spacing w:line="240" w:lineRule="auto"/>
              <w:jc w:val="both"/>
            </w:pPr>
          </w:p>
          <w:p w14:paraId="07B63B03" w14:textId="508419EB" w:rsidR="0014476C" w:rsidRPr="00455F2E" w:rsidRDefault="00DB7F66" w:rsidP="009B0A9C">
            <w:pPr>
              <w:pStyle w:val="ListParagraph"/>
              <w:ind w:left="611"/>
              <w:contextualSpacing w:val="0"/>
              <w:jc w:val="both"/>
              <w:rPr>
                <w:rFonts w:cs="Arial"/>
                <w:sz w:val="22"/>
              </w:rPr>
            </w:pPr>
            <w:r w:rsidRPr="00455F2E">
              <w:rPr>
                <w:rFonts w:cs="Arial"/>
                <w:sz w:val="22"/>
              </w:rPr>
              <w:t xml:space="preserve">The memorandum aims to actively engage the chiefs of police to ensure that </w:t>
            </w:r>
            <w:r w:rsidR="007D38C0" w:rsidRPr="00455F2E">
              <w:rPr>
                <w:rFonts w:cs="Arial"/>
                <w:sz w:val="22"/>
              </w:rPr>
              <w:t xml:space="preserve">appropriate health interventions to PUPCs </w:t>
            </w:r>
            <w:r w:rsidRPr="00455F2E">
              <w:rPr>
                <w:rFonts w:cs="Arial"/>
                <w:sz w:val="22"/>
              </w:rPr>
              <w:t xml:space="preserve">are being attended </w:t>
            </w:r>
            <w:r w:rsidR="00FE5EFE" w:rsidRPr="00455F2E">
              <w:rPr>
                <w:rFonts w:cs="Arial"/>
                <w:sz w:val="22"/>
              </w:rPr>
              <w:t xml:space="preserve">in order </w:t>
            </w:r>
            <w:r w:rsidRPr="00455F2E">
              <w:rPr>
                <w:rFonts w:cs="Arial"/>
                <w:sz w:val="22"/>
              </w:rPr>
              <w:t xml:space="preserve">to </w:t>
            </w:r>
            <w:r w:rsidRPr="00491410">
              <w:rPr>
                <w:rFonts w:cs="Arial"/>
                <w:sz w:val="22"/>
              </w:rPr>
              <w:t xml:space="preserve">carefully account </w:t>
            </w:r>
            <w:r w:rsidR="0075330B" w:rsidRPr="00491410">
              <w:rPr>
                <w:rFonts w:cs="Arial"/>
                <w:sz w:val="22"/>
              </w:rPr>
              <w:t xml:space="preserve">for </w:t>
            </w:r>
            <w:r w:rsidRPr="00491410">
              <w:rPr>
                <w:rFonts w:cs="Arial"/>
                <w:sz w:val="22"/>
              </w:rPr>
              <w:t>the</w:t>
            </w:r>
            <w:r w:rsidR="0075330B" w:rsidRPr="00491410">
              <w:rPr>
                <w:rFonts w:cs="Arial"/>
                <w:sz w:val="22"/>
              </w:rPr>
              <w:t>ir</w:t>
            </w:r>
            <w:r w:rsidRPr="00491410">
              <w:rPr>
                <w:rFonts w:cs="Arial"/>
                <w:sz w:val="22"/>
              </w:rPr>
              <w:t xml:space="preserve"> situation amidst COVID-1</w:t>
            </w:r>
            <w:r w:rsidR="000656A0" w:rsidRPr="00491410">
              <w:rPr>
                <w:rFonts w:cs="Arial"/>
                <w:sz w:val="22"/>
              </w:rPr>
              <w:t xml:space="preserve">9 and other relevant diseases associated with </w:t>
            </w:r>
            <w:r w:rsidR="000656A0" w:rsidRPr="00455F2E">
              <w:rPr>
                <w:rFonts w:cs="Arial"/>
                <w:sz w:val="22"/>
              </w:rPr>
              <w:t xml:space="preserve">hot temperature during the period of summer in the country. </w:t>
            </w:r>
            <w:r w:rsidR="00B64254" w:rsidRPr="00455F2E">
              <w:rPr>
                <w:rFonts w:cs="Arial"/>
                <w:sz w:val="22"/>
              </w:rPr>
              <w:t>These efforts are being done in cooperation with the local government health workers and other well-meaning organizations</w:t>
            </w:r>
            <w:r w:rsidR="00BB3408" w:rsidRPr="00455F2E">
              <w:rPr>
                <w:rFonts w:cs="Arial"/>
                <w:sz w:val="22"/>
              </w:rPr>
              <w:t xml:space="preserve">. </w:t>
            </w:r>
          </w:p>
          <w:p w14:paraId="75029989" w14:textId="77777777" w:rsidR="00FE5EFE" w:rsidRPr="00455F2E" w:rsidRDefault="00FE5EFE" w:rsidP="009B0A9C">
            <w:pPr>
              <w:spacing w:line="240" w:lineRule="auto"/>
              <w:jc w:val="both"/>
            </w:pPr>
          </w:p>
          <w:p w14:paraId="11D3A166" w14:textId="651754B0" w:rsidR="00FE5EFE" w:rsidRPr="00637CE2" w:rsidRDefault="00D83A3F" w:rsidP="009B0A9C">
            <w:pPr>
              <w:pStyle w:val="ListParagraph"/>
              <w:ind w:left="611"/>
              <w:contextualSpacing w:val="0"/>
              <w:jc w:val="both"/>
              <w:rPr>
                <w:rFonts w:cs="Arial"/>
                <w:sz w:val="22"/>
              </w:rPr>
            </w:pPr>
            <w:r w:rsidRPr="00637CE2">
              <w:rPr>
                <w:rFonts w:cs="Arial"/>
                <w:sz w:val="22"/>
              </w:rPr>
              <w:t xml:space="preserve">The PNP-Human Rights Affairs Office </w:t>
            </w:r>
            <w:r w:rsidR="00491410">
              <w:rPr>
                <w:rFonts w:cs="Arial"/>
                <w:sz w:val="22"/>
              </w:rPr>
              <w:t xml:space="preserve">(HRAO) </w:t>
            </w:r>
            <w:r w:rsidRPr="00637CE2">
              <w:rPr>
                <w:rFonts w:cs="Arial"/>
                <w:sz w:val="22"/>
              </w:rPr>
              <w:t>spearheads the conduct of a series of custodial facility inspections on various police stations. These inspections</w:t>
            </w:r>
            <w:r w:rsidR="005A1775" w:rsidRPr="00637CE2">
              <w:rPr>
                <w:rFonts w:cs="Arial"/>
                <w:sz w:val="22"/>
              </w:rPr>
              <w:t xml:space="preserve">, which </w:t>
            </w:r>
            <w:r w:rsidRPr="00637CE2">
              <w:rPr>
                <w:rFonts w:cs="Arial"/>
                <w:sz w:val="22"/>
              </w:rPr>
              <w:t xml:space="preserve">are also being carried out by the police regional/provincial offices, aim to look into and check the current situation, including health conditions, of PUPCs.  </w:t>
            </w:r>
          </w:p>
          <w:p w14:paraId="60F927CF" w14:textId="77777777" w:rsidR="00637CE2" w:rsidRPr="00637CE2" w:rsidRDefault="00637CE2" w:rsidP="009B0A9C">
            <w:pPr>
              <w:pStyle w:val="ListParagraph"/>
              <w:ind w:left="611"/>
              <w:contextualSpacing w:val="0"/>
              <w:jc w:val="both"/>
              <w:rPr>
                <w:rFonts w:cs="Arial"/>
                <w:sz w:val="22"/>
              </w:rPr>
            </w:pPr>
          </w:p>
          <w:p w14:paraId="1A141881" w14:textId="77777777" w:rsidR="00F53A9D" w:rsidRPr="00637CE2" w:rsidRDefault="00F53A9D" w:rsidP="009B0A9C">
            <w:pPr>
              <w:pStyle w:val="ListParagraph"/>
              <w:numPr>
                <w:ilvl w:val="0"/>
                <w:numId w:val="23"/>
              </w:numPr>
              <w:jc w:val="both"/>
              <w:rPr>
                <w:b/>
                <w:bCs/>
                <w:sz w:val="22"/>
              </w:rPr>
            </w:pPr>
            <w:r w:rsidRPr="00637CE2">
              <w:rPr>
                <w:b/>
                <w:bCs/>
                <w:sz w:val="22"/>
              </w:rPr>
              <w:t>Protection of Persons Deprived of Liberty (PDLs)</w:t>
            </w:r>
          </w:p>
          <w:p w14:paraId="0FFCC30A" w14:textId="77777777" w:rsidR="00F53A9D" w:rsidRPr="00637CE2" w:rsidRDefault="00F53A9D" w:rsidP="009B0A9C">
            <w:pPr>
              <w:spacing w:line="240" w:lineRule="auto"/>
            </w:pPr>
          </w:p>
          <w:p w14:paraId="6ED3169E" w14:textId="4CB8151F" w:rsidR="00F53A9D" w:rsidRPr="00637CE2" w:rsidRDefault="00F53A9D" w:rsidP="009B0A9C">
            <w:pPr>
              <w:pStyle w:val="ListParagraph"/>
              <w:ind w:left="611"/>
              <w:contextualSpacing w:val="0"/>
              <w:jc w:val="both"/>
              <w:rPr>
                <w:rFonts w:cs="Arial"/>
                <w:sz w:val="22"/>
              </w:rPr>
            </w:pPr>
            <w:r w:rsidRPr="00637CE2">
              <w:rPr>
                <w:rFonts w:cs="Arial"/>
                <w:sz w:val="22"/>
              </w:rPr>
              <w:t>The Bureau of Jail Management and Penology (BJMP), even prior to the Pr</w:t>
            </w:r>
            <w:r w:rsidR="00EC286C" w:rsidRPr="00637CE2">
              <w:rPr>
                <w:rFonts w:cs="Arial"/>
                <w:sz w:val="22"/>
              </w:rPr>
              <w:t>esident’s declaration of the Enhanced Community Quarantine</w:t>
            </w:r>
            <w:r w:rsidRPr="00637CE2">
              <w:rPr>
                <w:rFonts w:cs="Arial"/>
                <w:sz w:val="22"/>
              </w:rPr>
              <w:t xml:space="preserve">, already created the BJMP COVID-19 Task Force operating in the national and regional jail units to implement BJMP plans related to COVID-19. </w:t>
            </w:r>
          </w:p>
          <w:p w14:paraId="3317B03F" w14:textId="77777777" w:rsidR="00F53A9D" w:rsidRPr="00455F2E" w:rsidRDefault="00F53A9D" w:rsidP="009B0A9C">
            <w:pPr>
              <w:pStyle w:val="ListParagraph"/>
              <w:contextualSpacing w:val="0"/>
              <w:jc w:val="both"/>
              <w:rPr>
                <w:rFonts w:cs="Arial"/>
                <w:sz w:val="22"/>
              </w:rPr>
            </w:pPr>
          </w:p>
          <w:p w14:paraId="2ED13CAD" w14:textId="77777777" w:rsidR="00F53A9D" w:rsidRPr="00455F2E" w:rsidRDefault="00F53A9D" w:rsidP="009B0A9C">
            <w:pPr>
              <w:pStyle w:val="ListParagraph"/>
              <w:ind w:left="611"/>
              <w:contextualSpacing w:val="0"/>
              <w:jc w:val="both"/>
              <w:rPr>
                <w:rFonts w:cs="Arial"/>
                <w:sz w:val="22"/>
              </w:rPr>
            </w:pPr>
            <w:r w:rsidRPr="00455F2E">
              <w:rPr>
                <w:rFonts w:cs="Arial"/>
                <w:sz w:val="22"/>
              </w:rPr>
              <w:lastRenderedPageBreak/>
              <w:t xml:space="preserve">The BJMP has directed all jail units to have a contingency plan that directs sufficient supply of food and food products for jail, as well as maintenance medicines including vitamins, with support from LGUs and other donors/partners. In addition, jail facilities are regularly disinfected to maintain cleanliness and prevent contamination. BJMP also conducts regular monitoring to check the health condition of all personnel and PDLs. </w:t>
            </w:r>
          </w:p>
          <w:p w14:paraId="2C117FE2" w14:textId="77777777" w:rsidR="00F53A9D" w:rsidRPr="00455F2E" w:rsidRDefault="00F53A9D" w:rsidP="009B0A9C">
            <w:pPr>
              <w:pStyle w:val="ListParagraph"/>
              <w:contextualSpacing w:val="0"/>
              <w:jc w:val="both"/>
              <w:rPr>
                <w:rFonts w:cs="Arial"/>
                <w:sz w:val="22"/>
              </w:rPr>
            </w:pPr>
          </w:p>
          <w:p w14:paraId="3663BC12" w14:textId="4D0F24F8" w:rsidR="00F53A9D" w:rsidRPr="00455F2E" w:rsidRDefault="00F53A9D" w:rsidP="009B0A9C">
            <w:pPr>
              <w:pStyle w:val="ListParagraph"/>
              <w:ind w:left="611"/>
              <w:contextualSpacing w:val="0"/>
              <w:jc w:val="both"/>
              <w:rPr>
                <w:rFonts w:cs="Arial"/>
                <w:sz w:val="22"/>
              </w:rPr>
            </w:pPr>
            <w:r w:rsidRPr="00455F2E">
              <w:rPr>
                <w:rFonts w:cs="Arial"/>
                <w:sz w:val="22"/>
              </w:rPr>
              <w:t xml:space="preserve">BJMP also provides </w:t>
            </w:r>
            <w:r w:rsidRPr="00455F2E">
              <w:rPr>
                <w:rFonts w:cs="Arial"/>
                <w:b/>
                <w:bCs/>
                <w:sz w:val="22"/>
              </w:rPr>
              <w:t>telepsychology services</w:t>
            </w:r>
            <w:r w:rsidRPr="00455F2E">
              <w:rPr>
                <w:rFonts w:cs="Arial"/>
                <w:sz w:val="22"/>
              </w:rPr>
              <w:t xml:space="preserve"> for the psychological support of personnel and PDL</w:t>
            </w:r>
            <w:r w:rsidR="001833D6">
              <w:rPr>
                <w:rFonts w:cs="Arial"/>
                <w:sz w:val="22"/>
              </w:rPr>
              <w:t>s</w:t>
            </w:r>
            <w:r w:rsidRPr="00455F2E">
              <w:rPr>
                <w:rFonts w:cs="Arial"/>
                <w:sz w:val="22"/>
              </w:rPr>
              <w:t xml:space="preserve"> during the declaration of national jail lockdown. </w:t>
            </w:r>
          </w:p>
          <w:p w14:paraId="2B32D682" w14:textId="77777777" w:rsidR="00F53A9D" w:rsidRPr="00455F2E" w:rsidRDefault="00F53A9D" w:rsidP="009B0A9C">
            <w:pPr>
              <w:spacing w:line="240" w:lineRule="auto"/>
              <w:jc w:val="both"/>
            </w:pPr>
            <w:r w:rsidRPr="00455F2E">
              <w:t xml:space="preserve"> </w:t>
            </w:r>
          </w:p>
          <w:p w14:paraId="08C9C761" w14:textId="77777777" w:rsidR="007524AC" w:rsidRPr="001833D6" w:rsidRDefault="00F53A9D" w:rsidP="009B0A9C">
            <w:pPr>
              <w:pStyle w:val="ListParagraph"/>
              <w:ind w:left="611"/>
              <w:contextualSpacing w:val="0"/>
              <w:jc w:val="both"/>
              <w:rPr>
                <w:rFonts w:cs="Arial"/>
                <w:sz w:val="22"/>
              </w:rPr>
            </w:pPr>
            <w:r w:rsidRPr="00455F2E">
              <w:rPr>
                <w:rFonts w:cs="Arial"/>
                <w:sz w:val="22"/>
              </w:rPr>
              <w:t xml:space="preserve">BJMP’s Board of Pardons and Parole </w:t>
            </w:r>
            <w:r w:rsidRPr="001833D6">
              <w:rPr>
                <w:rFonts w:cs="Arial"/>
                <w:bCs/>
                <w:sz w:val="22"/>
              </w:rPr>
              <w:t xml:space="preserve">is formulating interim guidelines for the </w:t>
            </w:r>
            <w:r w:rsidRPr="001833D6">
              <w:rPr>
                <w:rFonts w:cs="Arial"/>
                <w:b/>
                <w:bCs/>
                <w:sz w:val="22"/>
              </w:rPr>
              <w:t>expeditious release of PDLs</w:t>
            </w:r>
            <w:r w:rsidRPr="001833D6">
              <w:rPr>
                <w:rFonts w:cs="Arial"/>
                <w:bCs/>
                <w:sz w:val="22"/>
              </w:rPr>
              <w:t xml:space="preserve"> who are already of old age, sickly or are suffering from terminal illnesses, or with serious disabilities, as well as those eligible for parole or executive clemency, in order to decongest penal facilities</w:t>
            </w:r>
            <w:r w:rsidRPr="001833D6">
              <w:rPr>
                <w:rFonts w:cs="Arial"/>
                <w:sz w:val="22"/>
              </w:rPr>
              <w:t xml:space="preserve">. </w:t>
            </w:r>
          </w:p>
          <w:p w14:paraId="58DCABAA" w14:textId="77777777" w:rsidR="007524AC" w:rsidRDefault="007524AC" w:rsidP="009B0A9C">
            <w:pPr>
              <w:pStyle w:val="ListParagraph"/>
              <w:ind w:left="611"/>
              <w:contextualSpacing w:val="0"/>
              <w:jc w:val="both"/>
              <w:rPr>
                <w:rFonts w:cs="Arial"/>
                <w:sz w:val="22"/>
              </w:rPr>
            </w:pPr>
          </w:p>
          <w:p w14:paraId="014DE168" w14:textId="35032D8F" w:rsidR="007524AC" w:rsidRDefault="007524AC" w:rsidP="009B0A9C">
            <w:pPr>
              <w:pStyle w:val="ListParagraph"/>
              <w:ind w:left="611"/>
              <w:contextualSpacing w:val="0"/>
              <w:jc w:val="both"/>
              <w:rPr>
                <w:rFonts w:cs="Arial"/>
                <w:sz w:val="22"/>
              </w:rPr>
            </w:pPr>
            <w:r>
              <w:rPr>
                <w:rFonts w:cs="Arial"/>
                <w:sz w:val="22"/>
              </w:rPr>
              <w:t xml:space="preserve">Further measures undertaken include the </w:t>
            </w:r>
            <w:r w:rsidRPr="007524AC">
              <w:rPr>
                <w:rFonts w:cs="Arial"/>
                <w:bCs/>
                <w:sz w:val="22"/>
              </w:rPr>
              <w:t>t</w:t>
            </w:r>
            <w:r w:rsidR="008C00F1" w:rsidRPr="007524AC">
              <w:rPr>
                <w:rFonts w:cs="Arial"/>
                <w:bCs/>
                <w:sz w:val="22"/>
              </w:rPr>
              <w:t>emporary suspension of visitations</w:t>
            </w:r>
            <w:r w:rsidR="00082D7A" w:rsidRPr="007524AC">
              <w:rPr>
                <w:rFonts w:cs="Arial"/>
                <w:b/>
                <w:bCs/>
                <w:sz w:val="22"/>
              </w:rPr>
              <w:t xml:space="preserve"> </w:t>
            </w:r>
            <w:r w:rsidR="00082D7A" w:rsidRPr="007524AC">
              <w:rPr>
                <w:rFonts w:cs="Arial"/>
                <w:sz w:val="22"/>
              </w:rPr>
              <w:t xml:space="preserve">as precautionary measure to prevent the entry of COVID-19 inside the jail facilities.  </w:t>
            </w:r>
            <w:r w:rsidR="00894EC1" w:rsidRPr="001833D6">
              <w:rPr>
                <w:rFonts w:cs="Arial"/>
                <w:bCs/>
                <w:sz w:val="22"/>
              </w:rPr>
              <w:t>Alternative schemes</w:t>
            </w:r>
            <w:r w:rsidR="00894EC1" w:rsidRPr="007524AC">
              <w:rPr>
                <w:rFonts w:cs="Arial"/>
                <w:sz w:val="22"/>
              </w:rPr>
              <w:t xml:space="preserve"> were utilized such as </w:t>
            </w:r>
            <w:r w:rsidR="00894EC1" w:rsidRPr="007524AC">
              <w:rPr>
                <w:rFonts w:cs="Arial"/>
                <w:b/>
                <w:bCs/>
                <w:sz w:val="22"/>
              </w:rPr>
              <w:t xml:space="preserve">“Electronic </w:t>
            </w:r>
            <w:proofErr w:type="spellStart"/>
            <w:r w:rsidR="00894EC1" w:rsidRPr="007524AC">
              <w:rPr>
                <w:rFonts w:cs="Arial"/>
                <w:b/>
                <w:bCs/>
                <w:sz w:val="22"/>
              </w:rPr>
              <w:t>Dalaw</w:t>
            </w:r>
            <w:proofErr w:type="spellEnd"/>
            <w:r w:rsidR="00894EC1" w:rsidRPr="007524AC">
              <w:rPr>
                <w:rFonts w:cs="Arial"/>
                <w:b/>
                <w:bCs/>
                <w:sz w:val="22"/>
              </w:rPr>
              <w:t>”</w:t>
            </w:r>
            <w:r>
              <w:rPr>
                <w:rFonts w:cs="Arial"/>
                <w:sz w:val="22"/>
              </w:rPr>
              <w:t xml:space="preserve"> (e-</w:t>
            </w:r>
            <w:proofErr w:type="spellStart"/>
            <w:r>
              <w:rPr>
                <w:rFonts w:cs="Arial"/>
                <w:sz w:val="22"/>
              </w:rPr>
              <w:t>Dalaw</w:t>
            </w:r>
            <w:proofErr w:type="spellEnd"/>
            <w:r>
              <w:rPr>
                <w:rFonts w:cs="Arial"/>
                <w:sz w:val="22"/>
              </w:rPr>
              <w:t>) or Electronic Visit</w:t>
            </w:r>
            <w:r w:rsidR="00894EC1" w:rsidRPr="007524AC">
              <w:rPr>
                <w:rFonts w:cs="Arial"/>
                <w:sz w:val="22"/>
              </w:rPr>
              <w:t xml:space="preserve"> </w:t>
            </w:r>
            <w:r>
              <w:rPr>
                <w:rFonts w:cs="Arial"/>
                <w:sz w:val="22"/>
              </w:rPr>
              <w:t xml:space="preserve">system where </w:t>
            </w:r>
            <w:r w:rsidR="00894EC1" w:rsidRPr="007524AC">
              <w:rPr>
                <w:rFonts w:cs="Arial"/>
                <w:sz w:val="22"/>
              </w:rPr>
              <w:t>video and telephone calls and other forms of communication</w:t>
            </w:r>
            <w:r>
              <w:rPr>
                <w:rFonts w:cs="Arial"/>
                <w:sz w:val="22"/>
              </w:rPr>
              <w:t>s are used</w:t>
            </w:r>
            <w:r w:rsidR="00894EC1" w:rsidRPr="007524AC">
              <w:rPr>
                <w:rFonts w:cs="Arial"/>
                <w:sz w:val="22"/>
              </w:rPr>
              <w:t xml:space="preserve">.  Each jail unit conducted information dissemination on the suspension and how to avail of the </w:t>
            </w:r>
            <w:r>
              <w:rPr>
                <w:rFonts w:cs="Arial"/>
                <w:sz w:val="22"/>
              </w:rPr>
              <w:t>alternative visitation scheme.</w:t>
            </w:r>
          </w:p>
          <w:p w14:paraId="0A4AF11A" w14:textId="77777777" w:rsidR="007524AC" w:rsidRDefault="007524AC" w:rsidP="009B0A9C">
            <w:pPr>
              <w:pStyle w:val="ListParagraph"/>
              <w:ind w:left="611"/>
              <w:contextualSpacing w:val="0"/>
              <w:jc w:val="both"/>
              <w:rPr>
                <w:rFonts w:cs="Arial"/>
                <w:sz w:val="22"/>
              </w:rPr>
            </w:pPr>
          </w:p>
          <w:p w14:paraId="42EDB3BC" w14:textId="6B3A694A" w:rsidR="00E95968" w:rsidRPr="007524AC" w:rsidRDefault="007524AC" w:rsidP="009B0A9C">
            <w:pPr>
              <w:pStyle w:val="ListParagraph"/>
              <w:ind w:left="611"/>
              <w:contextualSpacing w:val="0"/>
              <w:jc w:val="both"/>
              <w:rPr>
                <w:rFonts w:cs="Arial"/>
                <w:sz w:val="22"/>
              </w:rPr>
            </w:pPr>
            <w:r>
              <w:rPr>
                <w:rFonts w:cs="Arial"/>
                <w:sz w:val="22"/>
              </w:rPr>
              <w:t>W</w:t>
            </w:r>
            <w:r w:rsidRPr="007524AC">
              <w:rPr>
                <w:rFonts w:cs="Arial"/>
                <w:sz w:val="22"/>
              </w:rPr>
              <w:t>ith the assistance of the International Committee of the Red Cross (ICRC)</w:t>
            </w:r>
            <w:r>
              <w:rPr>
                <w:rFonts w:cs="Arial"/>
                <w:sz w:val="22"/>
              </w:rPr>
              <w:t xml:space="preserve"> and the Philippine Red Cross,</w:t>
            </w:r>
            <w:r w:rsidRPr="007524AC">
              <w:rPr>
                <w:rFonts w:cs="Arial"/>
                <w:sz w:val="22"/>
              </w:rPr>
              <w:t xml:space="preserve"> </w:t>
            </w:r>
            <w:r w:rsidR="00BA0296" w:rsidRPr="001833D6">
              <w:rPr>
                <w:rFonts w:cs="Arial"/>
                <w:b/>
                <w:bCs/>
                <w:sz w:val="22"/>
              </w:rPr>
              <w:t>Regional Isolation Facilities</w:t>
            </w:r>
            <w:r w:rsidR="00BA0296" w:rsidRPr="007524AC">
              <w:rPr>
                <w:rFonts w:cs="Arial"/>
                <w:sz w:val="22"/>
              </w:rPr>
              <w:t xml:space="preserve"> </w:t>
            </w:r>
            <w:r>
              <w:rPr>
                <w:rFonts w:cs="Arial"/>
                <w:sz w:val="22"/>
              </w:rPr>
              <w:t xml:space="preserve">in three regions were established to serve as isolation for suspected </w:t>
            </w:r>
            <w:r w:rsidR="00566AC6" w:rsidRPr="007524AC">
              <w:rPr>
                <w:rFonts w:cs="Arial"/>
                <w:sz w:val="22"/>
              </w:rPr>
              <w:t xml:space="preserve">and confirmed cases of COVID-19 where their health conditions will be treated and monitored.  </w:t>
            </w:r>
          </w:p>
          <w:p w14:paraId="2D2DE2DD" w14:textId="77777777" w:rsidR="00E95968" w:rsidRPr="00231DFD" w:rsidRDefault="00E95968" w:rsidP="009B0A9C">
            <w:pPr>
              <w:spacing w:line="240" w:lineRule="auto"/>
              <w:jc w:val="both"/>
            </w:pPr>
          </w:p>
          <w:p w14:paraId="5464F5BA" w14:textId="77777777" w:rsidR="00EA6755" w:rsidRPr="00455F2E" w:rsidRDefault="00EA6755" w:rsidP="009B0A9C">
            <w:pPr>
              <w:pStyle w:val="ListParagraph"/>
              <w:numPr>
                <w:ilvl w:val="0"/>
                <w:numId w:val="23"/>
              </w:numPr>
              <w:pBdr>
                <w:top w:val="nil"/>
                <w:left w:val="nil"/>
                <w:bottom w:val="nil"/>
                <w:right w:val="nil"/>
                <w:between w:val="nil"/>
              </w:pBdr>
              <w:ind w:left="611" w:hanging="284"/>
              <w:contextualSpacing w:val="0"/>
              <w:jc w:val="both"/>
              <w:rPr>
                <w:rFonts w:cs="Arial"/>
                <w:b/>
                <w:sz w:val="22"/>
              </w:rPr>
            </w:pPr>
            <w:r w:rsidRPr="00455F2E">
              <w:rPr>
                <w:rFonts w:cs="Arial"/>
                <w:b/>
                <w:bCs/>
                <w:sz w:val="22"/>
              </w:rPr>
              <w:t>Inventory</w:t>
            </w:r>
            <w:r w:rsidRPr="00455F2E">
              <w:rPr>
                <w:rFonts w:cs="Arial"/>
                <w:b/>
                <w:sz w:val="22"/>
              </w:rPr>
              <w:t xml:space="preserve"> of Pending Criminal Cases </w:t>
            </w:r>
          </w:p>
          <w:p w14:paraId="4033B850" w14:textId="77777777" w:rsidR="00EA6755" w:rsidRPr="00455F2E" w:rsidRDefault="00EA6755" w:rsidP="009B0A9C">
            <w:pPr>
              <w:pBdr>
                <w:top w:val="nil"/>
                <w:left w:val="nil"/>
                <w:bottom w:val="nil"/>
                <w:right w:val="nil"/>
                <w:between w:val="nil"/>
              </w:pBdr>
              <w:spacing w:line="240" w:lineRule="auto"/>
              <w:rPr>
                <w:b/>
              </w:rPr>
            </w:pPr>
          </w:p>
          <w:p w14:paraId="1B32A371" w14:textId="3AE63C63" w:rsidR="00283B82" w:rsidRPr="00455F2E" w:rsidRDefault="00EA6755" w:rsidP="009B0A9C">
            <w:pPr>
              <w:pStyle w:val="ListParagraph"/>
              <w:pBdr>
                <w:top w:val="nil"/>
                <w:left w:val="nil"/>
                <w:bottom w:val="nil"/>
                <w:right w:val="nil"/>
                <w:between w:val="nil"/>
              </w:pBdr>
              <w:ind w:left="611"/>
              <w:contextualSpacing w:val="0"/>
              <w:jc w:val="both"/>
              <w:rPr>
                <w:rFonts w:cs="Arial"/>
                <w:sz w:val="22"/>
              </w:rPr>
            </w:pPr>
            <w:r w:rsidRPr="00455F2E">
              <w:rPr>
                <w:rFonts w:cs="Arial"/>
                <w:sz w:val="22"/>
              </w:rPr>
              <w:t>The Supreme Court (SC)</w:t>
            </w:r>
            <w:r w:rsidR="00283B82" w:rsidRPr="00455F2E">
              <w:rPr>
                <w:rFonts w:cs="Arial"/>
                <w:sz w:val="22"/>
              </w:rPr>
              <w:t xml:space="preserve"> of the Philippines</w:t>
            </w:r>
            <w:r w:rsidRPr="00455F2E">
              <w:rPr>
                <w:rFonts w:cs="Arial"/>
                <w:sz w:val="22"/>
              </w:rPr>
              <w:t xml:space="preserve">, through Circular 91-2020 dated 20 April 2020, directed the first and second level courts to conduct an inventory of pending criminal cases and determine if any persons deprived of liberty (PDLs) are entitled to be released under existing guidelines of the high court for </w:t>
            </w:r>
            <w:r w:rsidRPr="00172475">
              <w:rPr>
                <w:rFonts w:cs="Arial"/>
                <w:b/>
                <w:sz w:val="22"/>
              </w:rPr>
              <w:t>speedy trials of accused persons</w:t>
            </w:r>
            <w:r w:rsidR="00283B82" w:rsidRPr="00455F2E">
              <w:rPr>
                <w:rFonts w:cs="Arial"/>
                <w:sz w:val="22"/>
              </w:rPr>
              <w:t xml:space="preserve">.  </w:t>
            </w:r>
          </w:p>
          <w:p w14:paraId="00B4D961" w14:textId="77777777" w:rsidR="00283B82" w:rsidRPr="00455F2E" w:rsidRDefault="00283B82" w:rsidP="009B0A9C">
            <w:pPr>
              <w:pStyle w:val="ListParagraph"/>
              <w:pBdr>
                <w:top w:val="nil"/>
                <w:left w:val="nil"/>
                <w:bottom w:val="nil"/>
                <w:right w:val="nil"/>
                <w:between w:val="nil"/>
              </w:pBdr>
              <w:contextualSpacing w:val="0"/>
              <w:jc w:val="both"/>
              <w:rPr>
                <w:rFonts w:cs="Arial"/>
                <w:sz w:val="22"/>
              </w:rPr>
            </w:pPr>
          </w:p>
          <w:p w14:paraId="350421F9" w14:textId="77777777" w:rsidR="00EA6755" w:rsidRPr="00455F2E" w:rsidRDefault="00283B82" w:rsidP="009B0A9C">
            <w:pPr>
              <w:pStyle w:val="ListParagraph"/>
              <w:pBdr>
                <w:top w:val="nil"/>
                <w:left w:val="nil"/>
                <w:bottom w:val="nil"/>
                <w:right w:val="nil"/>
                <w:between w:val="nil"/>
              </w:pBdr>
              <w:ind w:left="611"/>
              <w:contextualSpacing w:val="0"/>
              <w:jc w:val="both"/>
              <w:rPr>
                <w:rFonts w:cs="Arial"/>
                <w:sz w:val="22"/>
              </w:rPr>
            </w:pPr>
            <w:r w:rsidRPr="00455F2E">
              <w:rPr>
                <w:rFonts w:cs="Arial"/>
                <w:sz w:val="22"/>
              </w:rPr>
              <w:t>This measure aims to effectively implement existing policies laid down</w:t>
            </w:r>
            <w:r w:rsidR="000C7C09" w:rsidRPr="00455F2E">
              <w:rPr>
                <w:rFonts w:cs="Arial"/>
                <w:sz w:val="22"/>
              </w:rPr>
              <w:t xml:space="preserve">, </w:t>
            </w:r>
            <w:r w:rsidRPr="00455F2E">
              <w:rPr>
                <w:rFonts w:cs="Arial"/>
                <w:sz w:val="22"/>
              </w:rPr>
              <w:t xml:space="preserve">as provided in earlier resolutions of the court </w:t>
            </w:r>
            <w:proofErr w:type="spellStart"/>
            <w:r w:rsidRPr="00455F2E">
              <w:rPr>
                <w:rFonts w:cs="Arial"/>
                <w:sz w:val="22"/>
              </w:rPr>
              <w:t>en</w:t>
            </w:r>
            <w:proofErr w:type="spellEnd"/>
            <w:r w:rsidRPr="00455F2E">
              <w:rPr>
                <w:rFonts w:cs="Arial"/>
                <w:sz w:val="22"/>
              </w:rPr>
              <w:t xml:space="preserve"> banc in 2014</w:t>
            </w:r>
            <w:r w:rsidR="000C7C09" w:rsidRPr="00455F2E">
              <w:rPr>
                <w:rFonts w:cs="Arial"/>
                <w:sz w:val="22"/>
              </w:rPr>
              <w:t xml:space="preserve">, </w:t>
            </w:r>
            <w:r w:rsidRPr="00455F2E">
              <w:rPr>
                <w:rFonts w:cs="Arial"/>
                <w:sz w:val="22"/>
              </w:rPr>
              <w:t xml:space="preserve">taking into consideration </w:t>
            </w:r>
            <w:r w:rsidR="00EA6755" w:rsidRPr="00455F2E">
              <w:rPr>
                <w:rFonts w:cs="Arial"/>
                <w:sz w:val="22"/>
              </w:rPr>
              <w:t>the continuing congestion of detention facilities nationwide</w:t>
            </w:r>
            <w:r w:rsidRPr="00455F2E">
              <w:rPr>
                <w:rFonts w:cs="Arial"/>
                <w:sz w:val="22"/>
              </w:rPr>
              <w:t xml:space="preserve"> </w:t>
            </w:r>
            <w:r w:rsidR="00EA6755" w:rsidRPr="00455F2E">
              <w:rPr>
                <w:rFonts w:cs="Arial"/>
                <w:sz w:val="22"/>
              </w:rPr>
              <w:t xml:space="preserve">and the consequent high risk of persons deprived of liberty being affected with </w:t>
            </w:r>
            <w:r w:rsidRPr="00455F2E">
              <w:rPr>
                <w:rFonts w:cs="Arial"/>
                <w:sz w:val="22"/>
              </w:rPr>
              <w:t>COVID</w:t>
            </w:r>
            <w:r w:rsidR="00EA6755" w:rsidRPr="00455F2E">
              <w:rPr>
                <w:rFonts w:cs="Arial"/>
                <w:sz w:val="22"/>
              </w:rPr>
              <w:t>-19</w:t>
            </w:r>
            <w:r w:rsidR="005D43FB" w:rsidRPr="00455F2E">
              <w:rPr>
                <w:rFonts w:cs="Arial"/>
                <w:sz w:val="22"/>
              </w:rPr>
              <w:t xml:space="preserve">.  </w:t>
            </w:r>
          </w:p>
          <w:p w14:paraId="7A982F16" w14:textId="77777777" w:rsidR="00EA6755" w:rsidRPr="00455F2E" w:rsidRDefault="00EA6755" w:rsidP="009B0A9C">
            <w:pPr>
              <w:pBdr>
                <w:top w:val="nil"/>
                <w:left w:val="nil"/>
                <w:bottom w:val="nil"/>
                <w:right w:val="nil"/>
                <w:between w:val="nil"/>
              </w:pBdr>
              <w:spacing w:line="240" w:lineRule="auto"/>
            </w:pPr>
          </w:p>
          <w:p w14:paraId="035C3892" w14:textId="4B18D71A" w:rsidR="0020527D" w:rsidRDefault="0020527D" w:rsidP="009B0A9C">
            <w:pPr>
              <w:pBdr>
                <w:top w:val="nil"/>
                <w:left w:val="nil"/>
                <w:bottom w:val="nil"/>
                <w:right w:val="nil"/>
                <w:between w:val="nil"/>
              </w:pBdr>
              <w:spacing w:line="240" w:lineRule="auto"/>
              <w:ind w:left="626"/>
              <w:jc w:val="both"/>
            </w:pPr>
            <w:r w:rsidRPr="00181D36">
              <w:t>The guidelines cover:</w:t>
            </w:r>
          </w:p>
          <w:p w14:paraId="1300E141" w14:textId="77777777" w:rsidR="00491410" w:rsidRPr="00181D36" w:rsidRDefault="00491410" w:rsidP="009B0A9C">
            <w:pPr>
              <w:pBdr>
                <w:top w:val="nil"/>
                <w:left w:val="nil"/>
                <w:bottom w:val="nil"/>
                <w:right w:val="nil"/>
                <w:between w:val="nil"/>
              </w:pBdr>
              <w:spacing w:line="240" w:lineRule="auto"/>
              <w:ind w:left="626"/>
              <w:jc w:val="both"/>
            </w:pPr>
          </w:p>
          <w:p w14:paraId="03F2F8BB" w14:textId="205D0DBF" w:rsidR="0020527D" w:rsidRPr="00231DFD" w:rsidRDefault="0020527D" w:rsidP="00637CE2">
            <w:pPr>
              <w:pStyle w:val="ListParagraph"/>
              <w:numPr>
                <w:ilvl w:val="0"/>
                <w:numId w:val="37"/>
              </w:numPr>
              <w:pBdr>
                <w:top w:val="nil"/>
                <w:left w:val="nil"/>
                <w:bottom w:val="nil"/>
                <w:right w:val="nil"/>
                <w:between w:val="nil"/>
              </w:pBdr>
              <w:ind w:left="856" w:hanging="141"/>
              <w:contextualSpacing w:val="0"/>
              <w:jc w:val="both"/>
              <w:rPr>
                <w:rFonts w:cs="Arial"/>
                <w:sz w:val="22"/>
              </w:rPr>
            </w:pPr>
            <w:r w:rsidRPr="00455F2E">
              <w:rPr>
                <w:rFonts w:cs="Arial"/>
                <w:sz w:val="22"/>
              </w:rPr>
              <w:t xml:space="preserve">Instances where the PDL has been detained while the case against him is pending for a period equal to the minimum of the penalty of the </w:t>
            </w:r>
            <w:r w:rsidRPr="00491410">
              <w:rPr>
                <w:rFonts w:cs="Arial"/>
                <w:sz w:val="22"/>
              </w:rPr>
              <w:t xml:space="preserve">offense if </w:t>
            </w:r>
            <w:r w:rsidR="001833D6" w:rsidRPr="00491410">
              <w:rPr>
                <w:rFonts w:cs="Arial"/>
                <w:sz w:val="22"/>
              </w:rPr>
              <w:t xml:space="preserve">he/she </w:t>
            </w:r>
            <w:r w:rsidRPr="00491410">
              <w:rPr>
                <w:rFonts w:cs="Arial"/>
                <w:sz w:val="22"/>
              </w:rPr>
              <w:t xml:space="preserve">had been </w:t>
            </w:r>
            <w:r w:rsidRPr="00455F2E">
              <w:rPr>
                <w:rFonts w:cs="Arial"/>
                <w:sz w:val="22"/>
              </w:rPr>
              <w:t>found guilty; and</w:t>
            </w:r>
          </w:p>
          <w:p w14:paraId="1B3CE08C" w14:textId="77777777" w:rsidR="0020527D" w:rsidRPr="00455F2E" w:rsidRDefault="0020527D" w:rsidP="00637CE2">
            <w:pPr>
              <w:pStyle w:val="ListParagraph"/>
              <w:numPr>
                <w:ilvl w:val="0"/>
                <w:numId w:val="37"/>
              </w:numPr>
              <w:pBdr>
                <w:top w:val="nil"/>
                <w:left w:val="nil"/>
                <w:bottom w:val="nil"/>
                <w:right w:val="nil"/>
                <w:between w:val="nil"/>
              </w:pBdr>
              <w:ind w:left="856" w:hanging="141"/>
              <w:contextualSpacing w:val="0"/>
              <w:jc w:val="both"/>
              <w:rPr>
                <w:rFonts w:cs="Arial"/>
                <w:sz w:val="22"/>
              </w:rPr>
            </w:pPr>
            <w:r w:rsidRPr="00455F2E">
              <w:rPr>
                <w:rFonts w:cs="Arial"/>
                <w:sz w:val="22"/>
              </w:rPr>
              <w:t>Provisional dismissal of cases when the delays are due to the absence of an essential witness whose whereabouts are unknown or cannot be determined.</w:t>
            </w:r>
          </w:p>
          <w:p w14:paraId="01B9A39D" w14:textId="77777777" w:rsidR="0020527D" w:rsidRDefault="0020527D" w:rsidP="009B0A9C">
            <w:pPr>
              <w:pStyle w:val="ListParagraph"/>
              <w:pBdr>
                <w:top w:val="nil"/>
                <w:left w:val="nil"/>
                <w:bottom w:val="nil"/>
                <w:right w:val="nil"/>
                <w:between w:val="nil"/>
              </w:pBdr>
              <w:ind w:left="626"/>
              <w:contextualSpacing w:val="0"/>
              <w:jc w:val="both"/>
              <w:rPr>
                <w:rFonts w:cs="Arial"/>
                <w:sz w:val="22"/>
              </w:rPr>
            </w:pPr>
          </w:p>
          <w:p w14:paraId="163B2C13" w14:textId="141B2830" w:rsidR="005E0952" w:rsidRPr="007524AC" w:rsidRDefault="00DC74D2" w:rsidP="009B0A9C">
            <w:pPr>
              <w:pStyle w:val="ListParagraph"/>
              <w:pBdr>
                <w:top w:val="nil"/>
                <w:left w:val="nil"/>
                <w:bottom w:val="nil"/>
                <w:right w:val="nil"/>
                <w:between w:val="nil"/>
              </w:pBdr>
              <w:ind w:left="626"/>
              <w:contextualSpacing w:val="0"/>
              <w:jc w:val="both"/>
              <w:rPr>
                <w:rFonts w:cs="Arial"/>
                <w:sz w:val="22"/>
              </w:rPr>
            </w:pPr>
            <w:r w:rsidRPr="007524AC">
              <w:rPr>
                <w:rFonts w:cs="Arial"/>
                <w:sz w:val="22"/>
              </w:rPr>
              <w:t xml:space="preserve">The Circular directs the </w:t>
            </w:r>
            <w:r w:rsidR="00EA6755" w:rsidRPr="007524AC">
              <w:rPr>
                <w:rFonts w:cs="Arial"/>
                <w:sz w:val="22"/>
              </w:rPr>
              <w:t>lower courts to "immediately act</w:t>
            </w:r>
            <w:r w:rsidR="00EA6755" w:rsidRPr="007524AC">
              <w:rPr>
                <w:rFonts w:cs="Arial"/>
                <w:i/>
                <w:sz w:val="22"/>
              </w:rPr>
              <w:t xml:space="preserve"> motu proprio</w:t>
            </w:r>
            <w:r w:rsidR="00EA6755" w:rsidRPr="007524AC">
              <w:rPr>
                <w:rFonts w:cs="Arial"/>
                <w:sz w:val="22"/>
              </w:rPr>
              <w:t xml:space="preserve"> (on their own without a motion from a party)" on cases of PDLs who have been detained for a period at least equal to the minimum penalty for the offense charged and if warranted, may release such detainees on their own recognizance, provided the court is assured of where the accused can be located while their cases are ongoing trial</w:t>
            </w:r>
            <w:r w:rsidR="003D5E5A" w:rsidRPr="007524AC">
              <w:rPr>
                <w:rFonts w:cs="Arial"/>
                <w:sz w:val="22"/>
              </w:rPr>
              <w:t xml:space="preserve">. </w:t>
            </w:r>
            <w:r w:rsidR="00EA6755" w:rsidRPr="007524AC">
              <w:rPr>
                <w:rFonts w:cs="Arial"/>
                <w:sz w:val="22"/>
              </w:rPr>
              <w:t>Motions for recognizance and provisional dismissal of cases resulting in the release of the PDLs from detention may be considered urgent and must be immediately set for hearing</w:t>
            </w:r>
            <w:r w:rsidR="003D5E5A" w:rsidRPr="007524AC">
              <w:rPr>
                <w:rFonts w:cs="Arial"/>
                <w:sz w:val="22"/>
              </w:rPr>
              <w:t xml:space="preserve">. To facilitate the process, </w:t>
            </w:r>
            <w:r w:rsidR="00EA6755" w:rsidRPr="007524AC">
              <w:rPr>
                <w:rFonts w:cs="Arial"/>
                <w:sz w:val="22"/>
              </w:rPr>
              <w:t>if release orders are warranted, judges may apply provisions on the electronic transmission of release orders</w:t>
            </w:r>
            <w:r w:rsidR="005E0952" w:rsidRPr="007524AC">
              <w:rPr>
                <w:rFonts w:cs="Arial"/>
                <w:sz w:val="22"/>
              </w:rPr>
              <w:t>.</w:t>
            </w:r>
          </w:p>
          <w:p w14:paraId="35894DC6" w14:textId="77777777" w:rsidR="005E0952" w:rsidRPr="00455F2E" w:rsidRDefault="005E0952" w:rsidP="009B0A9C">
            <w:pPr>
              <w:pStyle w:val="ListParagraph"/>
              <w:pBdr>
                <w:top w:val="nil"/>
                <w:left w:val="nil"/>
                <w:bottom w:val="nil"/>
                <w:right w:val="nil"/>
                <w:between w:val="nil"/>
              </w:pBdr>
              <w:ind w:left="611"/>
              <w:contextualSpacing w:val="0"/>
              <w:jc w:val="both"/>
              <w:rPr>
                <w:rFonts w:cs="Arial"/>
                <w:sz w:val="22"/>
              </w:rPr>
            </w:pPr>
          </w:p>
          <w:p w14:paraId="529E8A4C" w14:textId="77168215" w:rsidR="005E0952" w:rsidRDefault="005E0952" w:rsidP="009B0A9C">
            <w:pPr>
              <w:pStyle w:val="ListParagraph"/>
              <w:pBdr>
                <w:top w:val="nil"/>
                <w:left w:val="nil"/>
                <w:bottom w:val="nil"/>
                <w:right w:val="nil"/>
                <w:between w:val="nil"/>
              </w:pBdr>
              <w:ind w:left="611"/>
              <w:contextualSpacing w:val="0"/>
              <w:jc w:val="both"/>
              <w:rPr>
                <w:rFonts w:cs="Arial"/>
                <w:bCs/>
                <w:sz w:val="22"/>
              </w:rPr>
            </w:pPr>
            <w:r w:rsidRPr="00455F2E">
              <w:rPr>
                <w:rFonts w:cs="Arial"/>
                <w:bCs/>
                <w:sz w:val="22"/>
              </w:rPr>
              <w:lastRenderedPageBreak/>
              <w:t xml:space="preserve">On 30 April 2020, the Philippine Supreme Court issued Administrative Circular no. 38-2020 providing guidance on reduced bail and recognizance as modes for releasing indigent persons deprived of liberty during the period of public health emergency, pending resolution of their cases. </w:t>
            </w:r>
          </w:p>
          <w:p w14:paraId="5F510056" w14:textId="77777777" w:rsidR="0020527D" w:rsidRDefault="0020527D" w:rsidP="009B0A9C">
            <w:pPr>
              <w:pStyle w:val="ListParagraph"/>
              <w:pBdr>
                <w:top w:val="nil"/>
                <w:left w:val="nil"/>
                <w:bottom w:val="nil"/>
                <w:right w:val="nil"/>
                <w:between w:val="nil"/>
              </w:pBdr>
              <w:ind w:left="611"/>
              <w:contextualSpacing w:val="0"/>
              <w:jc w:val="both"/>
              <w:rPr>
                <w:rFonts w:cs="Arial"/>
                <w:bCs/>
                <w:sz w:val="22"/>
              </w:rPr>
            </w:pPr>
          </w:p>
          <w:p w14:paraId="76811D1D" w14:textId="21473BFE" w:rsidR="0089190C" w:rsidRPr="0020527D" w:rsidRDefault="0020527D" w:rsidP="009B0A9C">
            <w:pPr>
              <w:pStyle w:val="ListParagraph"/>
              <w:pBdr>
                <w:top w:val="nil"/>
                <w:left w:val="nil"/>
                <w:bottom w:val="nil"/>
                <w:right w:val="nil"/>
                <w:between w:val="nil"/>
              </w:pBdr>
              <w:ind w:left="611"/>
              <w:contextualSpacing w:val="0"/>
              <w:jc w:val="both"/>
              <w:rPr>
                <w:rFonts w:cs="Arial"/>
                <w:sz w:val="22"/>
              </w:rPr>
            </w:pPr>
            <w:r w:rsidRPr="00453166">
              <w:rPr>
                <w:rFonts w:cs="Arial"/>
                <w:bCs/>
                <w:sz w:val="22"/>
              </w:rPr>
              <w:t xml:space="preserve">As of 29 May 2020, </w:t>
            </w:r>
            <w:r w:rsidRPr="00453166">
              <w:rPr>
                <w:rFonts w:cs="Arial"/>
                <w:b/>
                <w:bCs/>
                <w:sz w:val="22"/>
              </w:rPr>
              <w:t>over 22,000 PDLs</w:t>
            </w:r>
            <w:r w:rsidRPr="00453166">
              <w:rPr>
                <w:rFonts w:cs="Arial"/>
                <w:bCs/>
                <w:sz w:val="22"/>
              </w:rPr>
              <w:t xml:space="preserve"> have been released from detention as part of the national efforts to decongest detention facilities amid the pandemic.</w:t>
            </w:r>
            <w:r w:rsidR="00637CE2" w:rsidRPr="00453166">
              <w:rPr>
                <w:rStyle w:val="FootnoteReference"/>
                <w:rFonts w:cs="Arial"/>
                <w:bCs/>
                <w:sz w:val="22"/>
              </w:rPr>
              <w:footnoteReference w:id="5"/>
            </w:r>
            <w:r w:rsidR="00F53A9D" w:rsidRPr="0020527D">
              <w:rPr>
                <w:rFonts w:cs="Arial"/>
                <w:sz w:val="22"/>
              </w:rPr>
              <w:t xml:space="preserve"> </w:t>
            </w:r>
          </w:p>
        </w:tc>
      </w:tr>
      <w:tr w:rsidR="00581ED2" w:rsidRPr="00455F2E" w14:paraId="75827C14" w14:textId="77777777" w:rsidTr="00581ED2">
        <w:tc>
          <w:tcPr>
            <w:tcW w:w="9639" w:type="dxa"/>
            <w:shd w:val="clear" w:color="auto" w:fill="FDE9D9" w:themeFill="accent6" w:themeFillTint="33"/>
            <w:tcMar>
              <w:top w:w="100" w:type="dxa"/>
              <w:left w:w="100" w:type="dxa"/>
              <w:bottom w:w="100" w:type="dxa"/>
              <w:right w:w="100" w:type="dxa"/>
            </w:tcMar>
          </w:tcPr>
          <w:p w14:paraId="00526F3F" w14:textId="5B2DB3EB" w:rsidR="00581ED2" w:rsidRPr="00B62A97" w:rsidRDefault="00B62A97" w:rsidP="00B62A97">
            <w:pPr>
              <w:spacing w:line="240" w:lineRule="auto"/>
              <w:jc w:val="both"/>
              <w:rPr>
                <w:b/>
              </w:rPr>
            </w:pPr>
            <w:r>
              <w:rPr>
                <w:b/>
                <w:bCs/>
              </w:rPr>
              <w:lastRenderedPageBreak/>
              <w:t xml:space="preserve">2.5   </w:t>
            </w:r>
            <w:r w:rsidR="0020527D" w:rsidRPr="00B62A97">
              <w:rPr>
                <w:b/>
                <w:bCs/>
              </w:rPr>
              <w:t>Department</w:t>
            </w:r>
            <w:r w:rsidR="0020527D" w:rsidRPr="00B62A97">
              <w:rPr>
                <w:b/>
              </w:rPr>
              <w:t xml:space="preserve"> of Health (DOH)’s ongoing initiatives </w:t>
            </w:r>
          </w:p>
        </w:tc>
      </w:tr>
      <w:tr w:rsidR="007833D5" w:rsidRPr="00455F2E" w14:paraId="0DEB3A01" w14:textId="77777777" w:rsidTr="004A5B81">
        <w:tc>
          <w:tcPr>
            <w:tcW w:w="9639" w:type="dxa"/>
            <w:shd w:val="clear" w:color="auto" w:fill="auto"/>
            <w:tcMar>
              <w:top w:w="100" w:type="dxa"/>
              <w:left w:w="100" w:type="dxa"/>
              <w:bottom w:w="100" w:type="dxa"/>
              <w:right w:w="100" w:type="dxa"/>
            </w:tcMar>
          </w:tcPr>
          <w:p w14:paraId="6B5C6B81" w14:textId="77777777" w:rsidR="00637CE2" w:rsidRDefault="00637CE2" w:rsidP="00637CE2">
            <w:pPr>
              <w:pStyle w:val="ListParagraph"/>
              <w:ind w:left="611"/>
              <w:contextualSpacing w:val="0"/>
              <w:jc w:val="both"/>
              <w:rPr>
                <w:rFonts w:cs="Arial"/>
                <w:b/>
                <w:bCs/>
                <w:sz w:val="22"/>
              </w:rPr>
            </w:pPr>
          </w:p>
          <w:p w14:paraId="5816E965" w14:textId="068D0744" w:rsidR="0020527D" w:rsidRPr="0020527D" w:rsidRDefault="0020527D" w:rsidP="009B0A9C">
            <w:pPr>
              <w:pStyle w:val="ListParagraph"/>
              <w:numPr>
                <w:ilvl w:val="0"/>
                <w:numId w:val="23"/>
              </w:numPr>
              <w:ind w:left="611" w:hanging="284"/>
              <w:contextualSpacing w:val="0"/>
              <w:jc w:val="both"/>
              <w:rPr>
                <w:rFonts w:cs="Arial"/>
                <w:b/>
                <w:bCs/>
                <w:sz w:val="22"/>
              </w:rPr>
            </w:pPr>
            <w:r w:rsidRPr="00455F2E">
              <w:rPr>
                <w:rFonts w:cs="Arial"/>
                <w:b/>
                <w:bCs/>
                <w:sz w:val="22"/>
              </w:rPr>
              <w:t>Information Access</w:t>
            </w:r>
            <w:r>
              <w:rPr>
                <w:rFonts w:cs="Arial"/>
                <w:b/>
                <w:bCs/>
                <w:sz w:val="22"/>
              </w:rPr>
              <w:t xml:space="preserve">. </w:t>
            </w:r>
            <w:r w:rsidRPr="0020527D">
              <w:rPr>
                <w:rFonts w:cs="Arial"/>
                <w:sz w:val="22"/>
              </w:rPr>
              <w:t xml:space="preserve">The DOH continues to provide timely updates and information on COVID-19 to the public through its </w:t>
            </w:r>
            <w:proofErr w:type="spellStart"/>
            <w:r w:rsidRPr="0020527D">
              <w:rPr>
                <w:rFonts w:cs="Arial"/>
                <w:i/>
                <w:iCs/>
                <w:sz w:val="22"/>
              </w:rPr>
              <w:t>Laging</w:t>
            </w:r>
            <w:proofErr w:type="spellEnd"/>
            <w:r w:rsidRPr="0020527D">
              <w:rPr>
                <w:rFonts w:cs="Arial"/>
                <w:i/>
                <w:iCs/>
                <w:sz w:val="22"/>
              </w:rPr>
              <w:t xml:space="preserve"> </w:t>
            </w:r>
            <w:proofErr w:type="spellStart"/>
            <w:r w:rsidRPr="0020527D">
              <w:rPr>
                <w:rFonts w:cs="Arial"/>
                <w:i/>
                <w:iCs/>
                <w:sz w:val="22"/>
              </w:rPr>
              <w:t>Handa</w:t>
            </w:r>
            <w:proofErr w:type="spellEnd"/>
            <w:r w:rsidRPr="0020527D">
              <w:rPr>
                <w:rFonts w:cs="Arial"/>
                <w:i/>
                <w:iCs/>
                <w:sz w:val="22"/>
              </w:rPr>
              <w:t xml:space="preserve"> </w:t>
            </w:r>
            <w:r w:rsidRPr="0020527D">
              <w:rPr>
                <w:rFonts w:cs="Arial"/>
                <w:sz w:val="22"/>
              </w:rPr>
              <w:t xml:space="preserve">website </w:t>
            </w:r>
            <w:r w:rsidRPr="00491410">
              <w:rPr>
                <w:rFonts w:cs="Arial"/>
                <w:sz w:val="22"/>
              </w:rPr>
              <w:t>(</w:t>
            </w:r>
            <w:hyperlink r:id="rId8" w:history="1">
              <w:r w:rsidRPr="00491410">
                <w:rPr>
                  <w:rStyle w:val="Hyperlink"/>
                  <w:rFonts w:cs="Arial"/>
                  <w:color w:val="auto"/>
                  <w:sz w:val="22"/>
                </w:rPr>
                <w:t>http://www.doh.gov/covid19tracker</w:t>
              </w:r>
            </w:hyperlink>
            <w:r w:rsidRPr="00491410">
              <w:rPr>
                <w:rFonts w:cs="Arial"/>
                <w:sz w:val="22"/>
              </w:rPr>
              <w:t xml:space="preserve">) and its social media sites. The DOH has also introduced the </w:t>
            </w:r>
            <w:hyperlink r:id="rId9" w:history="1">
              <w:r w:rsidRPr="00491410">
                <w:rPr>
                  <w:rStyle w:val="Hyperlink"/>
                  <w:rFonts w:cs="Arial"/>
                  <w:color w:val="auto"/>
                  <w:sz w:val="22"/>
                </w:rPr>
                <w:t>https://covid19healthypilipinas.ph</w:t>
              </w:r>
            </w:hyperlink>
            <w:r w:rsidRPr="00491410">
              <w:rPr>
                <w:rFonts w:cs="Arial"/>
                <w:sz w:val="22"/>
              </w:rPr>
              <w:t xml:space="preserve"> which consolidates fact checks, reference materials, and relevant </w:t>
            </w:r>
            <w:r w:rsidRPr="0020527D">
              <w:rPr>
                <w:rFonts w:cs="Arial"/>
                <w:sz w:val="22"/>
              </w:rPr>
              <w:t>information for a variety of users – families, media, and LGUs.</w:t>
            </w:r>
          </w:p>
          <w:p w14:paraId="29DF1450" w14:textId="62E1EC18" w:rsidR="007833D5" w:rsidRPr="00455F2E" w:rsidRDefault="002E7FFA" w:rsidP="009B0A9C">
            <w:pPr>
              <w:pStyle w:val="ListParagraph"/>
              <w:numPr>
                <w:ilvl w:val="0"/>
                <w:numId w:val="23"/>
              </w:numPr>
              <w:ind w:left="611" w:hanging="284"/>
              <w:contextualSpacing w:val="0"/>
              <w:jc w:val="both"/>
              <w:rPr>
                <w:rFonts w:cs="Arial"/>
                <w:sz w:val="22"/>
              </w:rPr>
            </w:pPr>
            <w:r w:rsidRPr="00455F2E">
              <w:rPr>
                <w:rFonts w:cs="Arial"/>
                <w:sz w:val="22"/>
              </w:rPr>
              <w:t xml:space="preserve">As of </w:t>
            </w:r>
            <w:r w:rsidR="006328F4" w:rsidRPr="006328F4">
              <w:rPr>
                <w:rFonts w:cs="Arial"/>
                <w:sz w:val="22"/>
              </w:rPr>
              <w:t>31 May</w:t>
            </w:r>
            <w:r w:rsidRPr="006328F4">
              <w:rPr>
                <w:rFonts w:cs="Arial"/>
                <w:sz w:val="22"/>
              </w:rPr>
              <w:t xml:space="preserve"> 2020, the Philippines</w:t>
            </w:r>
            <w:r w:rsidRPr="00455F2E">
              <w:rPr>
                <w:rFonts w:cs="Arial"/>
                <w:sz w:val="22"/>
              </w:rPr>
              <w:t xml:space="preserve"> has </w:t>
            </w:r>
            <w:r w:rsidR="006328F4">
              <w:rPr>
                <w:rFonts w:cs="Arial"/>
                <w:b/>
                <w:sz w:val="22"/>
              </w:rPr>
              <w:t>43 active testing</w:t>
            </w:r>
            <w:r w:rsidRPr="00455F2E">
              <w:rPr>
                <w:rFonts w:cs="Arial"/>
                <w:b/>
                <w:sz w:val="22"/>
              </w:rPr>
              <w:t xml:space="preserve"> </w:t>
            </w:r>
            <w:r w:rsidR="006328F4">
              <w:rPr>
                <w:rFonts w:cs="Arial"/>
                <w:b/>
                <w:sz w:val="22"/>
              </w:rPr>
              <w:t>l</w:t>
            </w:r>
            <w:r w:rsidRPr="00455F2E">
              <w:rPr>
                <w:rFonts w:cs="Arial"/>
                <w:b/>
                <w:sz w:val="22"/>
              </w:rPr>
              <w:t xml:space="preserve">aboratories </w:t>
            </w:r>
            <w:r w:rsidRPr="00455F2E">
              <w:rPr>
                <w:rFonts w:cs="Arial"/>
                <w:sz w:val="22"/>
              </w:rPr>
              <w:t>in the country capable of conducting Real-Time RT-PCR for COVID-19. The DOH will continue to expand and strengthen the testing capabilities of different laboratories across the country to detect more cases for early and appropriate management.</w:t>
            </w:r>
          </w:p>
          <w:p w14:paraId="6E1B0B77" w14:textId="07A0C1D8" w:rsidR="007833D5" w:rsidRPr="00455F2E" w:rsidRDefault="002E7FFA" w:rsidP="009B0A9C">
            <w:pPr>
              <w:pStyle w:val="ListParagraph"/>
              <w:numPr>
                <w:ilvl w:val="0"/>
                <w:numId w:val="23"/>
              </w:numPr>
              <w:ind w:left="611" w:hanging="284"/>
              <w:contextualSpacing w:val="0"/>
              <w:jc w:val="both"/>
              <w:rPr>
                <w:rFonts w:cs="Arial"/>
                <w:sz w:val="22"/>
              </w:rPr>
            </w:pPr>
            <w:r w:rsidRPr="00455F2E">
              <w:rPr>
                <w:rFonts w:cs="Arial"/>
                <w:b/>
                <w:sz w:val="22"/>
              </w:rPr>
              <w:t xml:space="preserve">Emergency hiring of health personnel </w:t>
            </w:r>
            <w:r w:rsidRPr="00455F2E">
              <w:rPr>
                <w:rFonts w:cs="Arial"/>
                <w:sz w:val="22"/>
              </w:rPr>
              <w:t xml:space="preserve">for COVID-19 Response (as prescribed </w:t>
            </w:r>
            <w:r w:rsidR="006328F4">
              <w:rPr>
                <w:rFonts w:cs="Arial"/>
                <w:sz w:val="22"/>
              </w:rPr>
              <w:t>in</w:t>
            </w:r>
            <w:r w:rsidRPr="00455F2E">
              <w:rPr>
                <w:rFonts w:cs="Arial"/>
                <w:sz w:val="22"/>
              </w:rPr>
              <w:t xml:space="preserve"> DOH Department Memorandum No. 2020-0153). DOH is hiring physicians, nurses, medical </w:t>
            </w:r>
            <w:r w:rsidRPr="001B0FC9">
              <w:rPr>
                <w:rFonts w:cs="Arial"/>
                <w:bCs/>
                <w:sz w:val="22"/>
              </w:rPr>
              <w:t>technologists</w:t>
            </w:r>
            <w:r w:rsidRPr="00455F2E">
              <w:rPr>
                <w:rFonts w:cs="Arial"/>
                <w:sz w:val="22"/>
              </w:rPr>
              <w:t>, and other support health personnel on a contract of service basis, for a minimum of three (3) months</w:t>
            </w:r>
            <w:r w:rsidRPr="00491410">
              <w:rPr>
                <w:rFonts w:cs="Arial"/>
                <w:sz w:val="22"/>
              </w:rPr>
              <w:t xml:space="preserve">. This aims to augment </w:t>
            </w:r>
            <w:r w:rsidR="001B0FC9" w:rsidRPr="00491410">
              <w:rPr>
                <w:rFonts w:cs="Arial"/>
                <w:sz w:val="22"/>
              </w:rPr>
              <w:t>the</w:t>
            </w:r>
            <w:r w:rsidRPr="00491410">
              <w:rPr>
                <w:rFonts w:cs="Arial"/>
                <w:sz w:val="22"/>
              </w:rPr>
              <w:t xml:space="preserve"> current health work force, who are working tirelessly in </w:t>
            </w:r>
            <w:r w:rsidR="001B0FC9" w:rsidRPr="00491410">
              <w:rPr>
                <w:rFonts w:cs="Arial"/>
                <w:sz w:val="22"/>
              </w:rPr>
              <w:t>the country’s</w:t>
            </w:r>
            <w:r w:rsidRPr="00491410">
              <w:rPr>
                <w:rFonts w:cs="Arial"/>
                <w:sz w:val="22"/>
              </w:rPr>
              <w:t xml:space="preserve"> </w:t>
            </w:r>
            <w:r w:rsidRPr="00455F2E">
              <w:rPr>
                <w:rFonts w:cs="Arial"/>
                <w:sz w:val="22"/>
              </w:rPr>
              <w:t>fight against this pandemic.</w:t>
            </w:r>
          </w:p>
          <w:p w14:paraId="1E93BC3C" w14:textId="6CC8FB61" w:rsidR="007833D5" w:rsidRPr="00455F2E" w:rsidRDefault="002E7FFA" w:rsidP="009B0A9C">
            <w:pPr>
              <w:pStyle w:val="ListParagraph"/>
              <w:numPr>
                <w:ilvl w:val="0"/>
                <w:numId w:val="23"/>
              </w:numPr>
              <w:ind w:left="611" w:hanging="284"/>
              <w:contextualSpacing w:val="0"/>
              <w:jc w:val="both"/>
              <w:rPr>
                <w:rFonts w:cs="Arial"/>
                <w:sz w:val="22"/>
              </w:rPr>
            </w:pPr>
            <w:r w:rsidRPr="00455F2E">
              <w:rPr>
                <w:rFonts w:cs="Arial"/>
                <w:sz w:val="22"/>
              </w:rPr>
              <w:t xml:space="preserve">Unified COVID-19 </w:t>
            </w:r>
            <w:r w:rsidRPr="00455F2E">
              <w:rPr>
                <w:rFonts w:cs="Arial"/>
                <w:b/>
                <w:sz w:val="22"/>
              </w:rPr>
              <w:t>Algorithms and Guidelines for Hospital Care</w:t>
            </w:r>
            <w:r w:rsidRPr="00455F2E">
              <w:rPr>
                <w:rFonts w:cs="Arial"/>
                <w:sz w:val="22"/>
              </w:rPr>
              <w:t xml:space="preserve">. The Guidance is jointly </w:t>
            </w:r>
            <w:r w:rsidRPr="004B128C">
              <w:rPr>
                <w:rFonts w:cs="Arial"/>
                <w:bCs/>
                <w:sz w:val="22"/>
              </w:rPr>
              <w:t>prepared</w:t>
            </w:r>
            <w:r w:rsidRPr="00455F2E">
              <w:rPr>
                <w:rFonts w:cs="Arial"/>
                <w:sz w:val="22"/>
              </w:rPr>
              <w:t xml:space="preserve"> by the D</w:t>
            </w:r>
            <w:r w:rsidR="00491410">
              <w:rPr>
                <w:rFonts w:cs="Arial"/>
                <w:sz w:val="22"/>
              </w:rPr>
              <w:t>OH</w:t>
            </w:r>
            <w:r w:rsidRPr="00455F2E">
              <w:rPr>
                <w:rFonts w:cs="Arial"/>
                <w:sz w:val="22"/>
              </w:rPr>
              <w:t>, Philippine Society of Microbiology and Infectious Diseases (PSMID), Philippine College of Physicians (PCP), Philippine Society of General Internal Medicine, and the Philippine Society of Public Health Physicians</w:t>
            </w:r>
            <w:r w:rsidR="00491410">
              <w:rPr>
                <w:rFonts w:cs="Arial"/>
                <w:sz w:val="22"/>
              </w:rPr>
              <w:t xml:space="preserve"> (PSPHP)</w:t>
            </w:r>
            <w:r w:rsidRPr="00455F2E">
              <w:rPr>
                <w:rFonts w:cs="Arial"/>
                <w:sz w:val="22"/>
              </w:rPr>
              <w:t>.</w:t>
            </w:r>
          </w:p>
          <w:p w14:paraId="24A901C5" w14:textId="5C97AAD6" w:rsidR="007833D5" w:rsidRPr="00455F2E" w:rsidRDefault="002E7FFA" w:rsidP="009B0A9C">
            <w:pPr>
              <w:pStyle w:val="ListParagraph"/>
              <w:numPr>
                <w:ilvl w:val="0"/>
                <w:numId w:val="23"/>
              </w:numPr>
              <w:ind w:left="611" w:hanging="284"/>
              <w:contextualSpacing w:val="0"/>
              <w:jc w:val="both"/>
              <w:rPr>
                <w:rFonts w:cs="Arial"/>
                <w:sz w:val="22"/>
              </w:rPr>
            </w:pPr>
            <w:r w:rsidRPr="00455F2E">
              <w:rPr>
                <w:rFonts w:cs="Arial"/>
                <w:b/>
                <w:sz w:val="22"/>
              </w:rPr>
              <w:t xml:space="preserve">Official COVID-19 </w:t>
            </w:r>
            <w:r w:rsidRPr="00455F2E">
              <w:rPr>
                <w:rFonts w:cs="Arial"/>
                <w:b/>
                <w:bCs/>
                <w:sz w:val="22"/>
              </w:rPr>
              <w:t>website</w:t>
            </w:r>
            <w:r w:rsidRPr="00455F2E">
              <w:rPr>
                <w:rFonts w:cs="Arial"/>
                <w:b/>
                <w:sz w:val="22"/>
              </w:rPr>
              <w:t xml:space="preserve">: </w:t>
            </w:r>
            <w:r w:rsidRPr="00491410">
              <w:rPr>
                <w:rFonts w:cs="Arial"/>
                <w:sz w:val="22"/>
                <w:u w:val="single"/>
              </w:rPr>
              <w:t>bit.ly/</w:t>
            </w:r>
            <w:proofErr w:type="spellStart"/>
            <w:r w:rsidRPr="00491410">
              <w:rPr>
                <w:rFonts w:cs="Arial"/>
                <w:sz w:val="22"/>
                <w:u w:val="single"/>
              </w:rPr>
              <w:t>OfficialHealthyPilipinas</w:t>
            </w:r>
            <w:proofErr w:type="spellEnd"/>
            <w:r w:rsidRPr="00491410">
              <w:rPr>
                <w:rFonts w:cs="Arial"/>
                <w:sz w:val="22"/>
              </w:rPr>
              <w:t xml:space="preserve"> </w:t>
            </w:r>
            <w:r w:rsidRPr="00C13CAD">
              <w:rPr>
                <w:rFonts w:cs="Arial"/>
                <w:sz w:val="22"/>
              </w:rPr>
              <w:t>provides updates, tips, and FAQs on COVID-19</w:t>
            </w:r>
            <w:r w:rsidR="00C13CAD">
              <w:rPr>
                <w:rFonts w:cs="Arial"/>
                <w:sz w:val="22"/>
              </w:rPr>
              <w:t>.</w:t>
            </w:r>
          </w:p>
          <w:p w14:paraId="02B5B059" w14:textId="4274630B" w:rsidR="007833D5" w:rsidRPr="00455F2E" w:rsidRDefault="002E7FFA" w:rsidP="009B0A9C">
            <w:pPr>
              <w:pStyle w:val="ListParagraph"/>
              <w:numPr>
                <w:ilvl w:val="0"/>
                <w:numId w:val="23"/>
              </w:numPr>
              <w:ind w:left="611" w:hanging="284"/>
              <w:contextualSpacing w:val="0"/>
              <w:jc w:val="both"/>
              <w:rPr>
                <w:rFonts w:cs="Arial"/>
                <w:sz w:val="22"/>
              </w:rPr>
            </w:pPr>
            <w:r w:rsidRPr="00455F2E">
              <w:rPr>
                <w:rFonts w:cs="Arial"/>
                <w:b/>
                <w:sz w:val="22"/>
              </w:rPr>
              <w:t xml:space="preserve">Online COVID-19 </w:t>
            </w:r>
            <w:r w:rsidRPr="00455F2E">
              <w:rPr>
                <w:rFonts w:cs="Arial"/>
                <w:b/>
                <w:bCs/>
                <w:sz w:val="22"/>
              </w:rPr>
              <w:t>tracker</w:t>
            </w:r>
            <w:r w:rsidRPr="00455F2E">
              <w:rPr>
                <w:rFonts w:cs="Arial"/>
                <w:b/>
                <w:sz w:val="22"/>
              </w:rPr>
              <w:t xml:space="preserve"> </w:t>
            </w:r>
            <w:r w:rsidRPr="00455F2E">
              <w:rPr>
                <w:rFonts w:cs="Arial"/>
                <w:sz w:val="22"/>
              </w:rPr>
              <w:t>which provides updates on the number of COVID-19 cases in the country (tested positive, recoveries, and deaths)</w:t>
            </w:r>
            <w:r w:rsidR="00C13CAD">
              <w:rPr>
                <w:rFonts w:cs="Arial"/>
                <w:sz w:val="22"/>
              </w:rPr>
              <w:t>.</w:t>
            </w:r>
            <w:r w:rsidRPr="00455F2E">
              <w:rPr>
                <w:rFonts w:cs="Arial"/>
                <w:b/>
                <w:sz w:val="22"/>
              </w:rPr>
              <w:tab/>
            </w:r>
          </w:p>
          <w:p w14:paraId="0F3AE847" w14:textId="2909667D" w:rsidR="007833D5" w:rsidRPr="00455F2E" w:rsidRDefault="002E7FFA" w:rsidP="009B0A9C">
            <w:pPr>
              <w:pStyle w:val="ListParagraph"/>
              <w:numPr>
                <w:ilvl w:val="0"/>
                <w:numId w:val="23"/>
              </w:numPr>
              <w:ind w:left="611" w:hanging="284"/>
              <w:contextualSpacing w:val="0"/>
              <w:jc w:val="both"/>
              <w:rPr>
                <w:rFonts w:cs="Arial"/>
                <w:sz w:val="22"/>
              </w:rPr>
            </w:pPr>
            <w:proofErr w:type="spellStart"/>
            <w:r w:rsidRPr="00455F2E">
              <w:rPr>
                <w:rFonts w:cs="Arial"/>
                <w:b/>
                <w:sz w:val="22"/>
              </w:rPr>
              <w:t>DataCollect</w:t>
            </w:r>
            <w:proofErr w:type="spellEnd"/>
            <w:r w:rsidRPr="00455F2E">
              <w:rPr>
                <w:rFonts w:cs="Arial"/>
                <w:b/>
                <w:sz w:val="22"/>
              </w:rPr>
              <w:t xml:space="preserve"> </w:t>
            </w:r>
            <w:r w:rsidRPr="00455F2E">
              <w:rPr>
                <w:rFonts w:cs="Arial"/>
                <w:b/>
                <w:bCs/>
                <w:sz w:val="22"/>
              </w:rPr>
              <w:t>application</w:t>
            </w:r>
            <w:r w:rsidRPr="00455F2E">
              <w:rPr>
                <w:rFonts w:cs="Arial"/>
                <w:sz w:val="22"/>
              </w:rPr>
              <w:t xml:space="preserve"> gathers daily data from hospitals and stakeholders such as essential resources and supplies, availability of hospital beds, isolation rooms, ICU beds and mechanical ventilators, and human resource needs. The application also accurately calculates the projected need of personal protective equipment (PPEs), and link to DOH’s logistics offices for delivery of supplies. This also facilitates easier and faster tracking of reports between DOH offices.</w:t>
            </w:r>
          </w:p>
          <w:p w14:paraId="61EDAA22" w14:textId="1B4821B7" w:rsidR="007833D5" w:rsidRPr="00455F2E" w:rsidRDefault="002E7FFA" w:rsidP="009B0A9C">
            <w:pPr>
              <w:pStyle w:val="ListParagraph"/>
              <w:numPr>
                <w:ilvl w:val="0"/>
                <w:numId w:val="23"/>
              </w:numPr>
              <w:ind w:left="611" w:hanging="284"/>
              <w:contextualSpacing w:val="0"/>
              <w:jc w:val="both"/>
              <w:rPr>
                <w:rFonts w:cs="Arial"/>
                <w:sz w:val="22"/>
              </w:rPr>
            </w:pPr>
            <w:r w:rsidRPr="00C13CAD">
              <w:rPr>
                <w:rFonts w:cs="Arial"/>
                <w:b/>
                <w:bCs/>
                <w:sz w:val="22"/>
              </w:rPr>
              <w:t xml:space="preserve">DOH </w:t>
            </w:r>
            <w:r w:rsidRPr="00455F2E">
              <w:rPr>
                <w:rFonts w:cs="Arial"/>
                <w:b/>
                <w:sz w:val="22"/>
              </w:rPr>
              <w:t xml:space="preserve">Survey through its Viber Community </w:t>
            </w:r>
            <w:r w:rsidRPr="00455F2E">
              <w:rPr>
                <w:rFonts w:cs="Arial"/>
                <w:sz w:val="22"/>
              </w:rPr>
              <w:t>is a platform given to the public to highlight the government’s transparency and openness to receive feedback and suggestions on DOH services relating to COVID-19</w:t>
            </w:r>
            <w:r w:rsidR="00C13CAD">
              <w:rPr>
                <w:rFonts w:cs="Arial"/>
                <w:sz w:val="22"/>
              </w:rPr>
              <w:t>.</w:t>
            </w:r>
            <w:r w:rsidRPr="00455F2E">
              <w:rPr>
                <w:rFonts w:cs="Arial"/>
                <w:sz w:val="22"/>
              </w:rPr>
              <w:t xml:space="preserve"> </w:t>
            </w:r>
          </w:p>
          <w:p w14:paraId="75A4CFFC" w14:textId="3942365C" w:rsidR="007833D5" w:rsidRPr="00455F2E" w:rsidRDefault="002E7FFA" w:rsidP="009B0A9C">
            <w:pPr>
              <w:pStyle w:val="ListParagraph"/>
              <w:numPr>
                <w:ilvl w:val="0"/>
                <w:numId w:val="23"/>
              </w:numPr>
              <w:ind w:left="611" w:hanging="284"/>
              <w:contextualSpacing w:val="0"/>
              <w:jc w:val="both"/>
              <w:rPr>
                <w:rFonts w:cs="Arial"/>
                <w:sz w:val="22"/>
              </w:rPr>
            </w:pPr>
            <w:r w:rsidRPr="00455F2E">
              <w:rPr>
                <w:rFonts w:cs="Arial"/>
                <w:sz w:val="22"/>
              </w:rPr>
              <w:t xml:space="preserve">Regular </w:t>
            </w:r>
            <w:r w:rsidRPr="00455F2E">
              <w:rPr>
                <w:rFonts w:cs="Arial"/>
                <w:b/>
                <w:sz w:val="22"/>
              </w:rPr>
              <w:t>Virtual Presser</w:t>
            </w:r>
            <w:r w:rsidRPr="00455F2E">
              <w:rPr>
                <w:rFonts w:cs="Arial"/>
                <w:sz w:val="22"/>
              </w:rPr>
              <w:t xml:space="preserve"> provides the platform for the public to ask questions as well as get informed on latest updates of COVID-19 in the Philippines</w:t>
            </w:r>
            <w:r w:rsidR="00C13CAD">
              <w:rPr>
                <w:rFonts w:cs="Arial"/>
                <w:sz w:val="22"/>
              </w:rPr>
              <w:t>.</w:t>
            </w:r>
            <w:r w:rsidRPr="00455F2E">
              <w:rPr>
                <w:rFonts w:cs="Arial"/>
                <w:sz w:val="22"/>
              </w:rPr>
              <w:t xml:space="preserve"> </w:t>
            </w:r>
          </w:p>
          <w:p w14:paraId="4ECBFD7E" w14:textId="77777777" w:rsidR="00BE1014" w:rsidRPr="00455F2E" w:rsidRDefault="007A043C" w:rsidP="009B0A9C">
            <w:pPr>
              <w:pStyle w:val="ListParagraph"/>
              <w:numPr>
                <w:ilvl w:val="0"/>
                <w:numId w:val="23"/>
              </w:numPr>
              <w:ind w:left="611" w:hanging="284"/>
              <w:contextualSpacing w:val="0"/>
              <w:jc w:val="both"/>
              <w:rPr>
                <w:rFonts w:cs="Arial"/>
                <w:sz w:val="22"/>
              </w:rPr>
            </w:pPr>
            <w:r w:rsidRPr="00455F2E">
              <w:rPr>
                <w:rFonts w:cs="Arial"/>
                <w:sz w:val="22"/>
              </w:rPr>
              <w:t xml:space="preserve">Continuous strengthening of </w:t>
            </w:r>
            <w:r w:rsidR="00BE1014" w:rsidRPr="00455F2E">
              <w:rPr>
                <w:rFonts w:cs="Arial"/>
                <w:sz w:val="22"/>
              </w:rPr>
              <w:t>testing, contract tracing, and isolation protocols</w:t>
            </w:r>
          </w:p>
          <w:p w14:paraId="02C8A9DD" w14:textId="77777777" w:rsidR="007833D5" w:rsidRPr="00455F2E" w:rsidRDefault="002E7FFA" w:rsidP="009B0A9C">
            <w:pPr>
              <w:pStyle w:val="ListParagraph"/>
              <w:numPr>
                <w:ilvl w:val="0"/>
                <w:numId w:val="23"/>
              </w:numPr>
              <w:ind w:left="611" w:hanging="284"/>
              <w:contextualSpacing w:val="0"/>
              <w:jc w:val="both"/>
              <w:rPr>
                <w:rFonts w:cs="Arial"/>
                <w:sz w:val="22"/>
              </w:rPr>
            </w:pPr>
            <w:r w:rsidRPr="00455F2E">
              <w:rPr>
                <w:rFonts w:cs="Arial"/>
                <w:sz w:val="22"/>
              </w:rPr>
              <w:t>Continue</w:t>
            </w:r>
            <w:r w:rsidR="007E1762" w:rsidRPr="00455F2E">
              <w:rPr>
                <w:rFonts w:cs="Arial"/>
                <w:sz w:val="22"/>
              </w:rPr>
              <w:t xml:space="preserve">d </w:t>
            </w:r>
            <w:r w:rsidRPr="00455F2E">
              <w:rPr>
                <w:rFonts w:cs="Arial"/>
                <w:b/>
                <w:sz w:val="22"/>
              </w:rPr>
              <w:t xml:space="preserve">public </w:t>
            </w:r>
            <w:r w:rsidRPr="00455F2E">
              <w:rPr>
                <w:rFonts w:cs="Arial"/>
                <w:b/>
                <w:bCs/>
                <w:sz w:val="22"/>
              </w:rPr>
              <w:t>awareness</w:t>
            </w:r>
            <w:r w:rsidRPr="00455F2E">
              <w:rPr>
                <w:rFonts w:cs="Arial"/>
                <w:b/>
                <w:sz w:val="22"/>
              </w:rPr>
              <w:t xml:space="preserve"> </w:t>
            </w:r>
            <w:r w:rsidRPr="00455F2E">
              <w:rPr>
                <w:rFonts w:cs="Arial"/>
                <w:sz w:val="22"/>
              </w:rPr>
              <w:t>campaign on:</w:t>
            </w:r>
          </w:p>
          <w:p w14:paraId="672923A7" w14:textId="3D0970D2" w:rsidR="0008647F" w:rsidRPr="00455F2E" w:rsidRDefault="002E7FFA" w:rsidP="00453166">
            <w:pPr>
              <w:pStyle w:val="ListParagraph"/>
              <w:numPr>
                <w:ilvl w:val="0"/>
                <w:numId w:val="39"/>
              </w:numPr>
              <w:ind w:left="997" w:hanging="283"/>
              <w:contextualSpacing w:val="0"/>
              <w:jc w:val="both"/>
              <w:rPr>
                <w:rFonts w:cs="Arial"/>
                <w:sz w:val="22"/>
              </w:rPr>
            </w:pPr>
            <w:r w:rsidRPr="00455F2E">
              <w:rPr>
                <w:rFonts w:cs="Arial"/>
                <w:sz w:val="22"/>
              </w:rPr>
              <w:t xml:space="preserve">COVID-19 symptoms </w:t>
            </w:r>
            <w:r w:rsidR="005250DC" w:rsidRPr="00455F2E">
              <w:rPr>
                <w:rFonts w:cs="Arial"/>
                <w:sz w:val="22"/>
              </w:rPr>
              <w:t xml:space="preserve">as well as the </w:t>
            </w:r>
            <w:r w:rsidRPr="00455F2E">
              <w:rPr>
                <w:rFonts w:cs="Arial"/>
                <w:sz w:val="22"/>
              </w:rPr>
              <w:t xml:space="preserve">individual </w:t>
            </w:r>
            <w:r w:rsidR="00140624" w:rsidRPr="00455F2E">
              <w:rPr>
                <w:rFonts w:cs="Arial"/>
                <w:sz w:val="22"/>
              </w:rPr>
              <w:t xml:space="preserve">and collective </w:t>
            </w:r>
            <w:r w:rsidRPr="00455F2E">
              <w:rPr>
                <w:rFonts w:cs="Arial"/>
                <w:sz w:val="22"/>
              </w:rPr>
              <w:t>immediate response</w:t>
            </w:r>
            <w:r w:rsidR="005250DC" w:rsidRPr="00455F2E">
              <w:rPr>
                <w:rFonts w:cs="Arial"/>
                <w:sz w:val="22"/>
              </w:rPr>
              <w:t xml:space="preserve">s </w:t>
            </w:r>
            <w:r w:rsidR="00725F81" w:rsidRPr="00455F2E">
              <w:rPr>
                <w:rFonts w:cs="Arial"/>
                <w:sz w:val="22"/>
              </w:rPr>
              <w:t xml:space="preserve">to protect oneself, </w:t>
            </w:r>
            <w:r w:rsidR="007F5DF2" w:rsidRPr="00455F2E">
              <w:rPr>
                <w:rFonts w:cs="Arial"/>
                <w:sz w:val="22"/>
              </w:rPr>
              <w:t xml:space="preserve">their loved ones, </w:t>
            </w:r>
            <w:r w:rsidR="00725F81" w:rsidRPr="00455F2E">
              <w:rPr>
                <w:rFonts w:cs="Arial"/>
                <w:sz w:val="22"/>
              </w:rPr>
              <w:t>and the community</w:t>
            </w:r>
            <w:r w:rsidR="004B128C">
              <w:rPr>
                <w:rFonts w:cs="Arial"/>
                <w:sz w:val="22"/>
              </w:rPr>
              <w:t>;</w:t>
            </w:r>
          </w:p>
          <w:p w14:paraId="3049A97E" w14:textId="2262664D" w:rsidR="0008647F" w:rsidRPr="00455F2E" w:rsidRDefault="00C2487B" w:rsidP="00453166">
            <w:pPr>
              <w:pStyle w:val="ListParagraph"/>
              <w:numPr>
                <w:ilvl w:val="0"/>
                <w:numId w:val="39"/>
              </w:numPr>
              <w:ind w:left="997" w:hanging="283"/>
              <w:contextualSpacing w:val="0"/>
              <w:jc w:val="both"/>
              <w:rPr>
                <w:rFonts w:cs="Arial"/>
                <w:sz w:val="22"/>
              </w:rPr>
            </w:pPr>
            <w:r w:rsidRPr="00455F2E">
              <w:rPr>
                <w:rFonts w:cs="Arial"/>
                <w:sz w:val="22"/>
              </w:rPr>
              <w:t xml:space="preserve">importance of </w:t>
            </w:r>
            <w:r w:rsidR="00C00618" w:rsidRPr="00455F2E">
              <w:rPr>
                <w:rFonts w:cs="Arial"/>
                <w:sz w:val="22"/>
              </w:rPr>
              <w:t xml:space="preserve">maintaining </w:t>
            </w:r>
            <w:r w:rsidR="002E7FFA" w:rsidRPr="00455F2E">
              <w:rPr>
                <w:rFonts w:cs="Arial"/>
                <w:sz w:val="22"/>
              </w:rPr>
              <w:t xml:space="preserve">mental wellness and </w:t>
            </w:r>
            <w:r w:rsidR="00C00618" w:rsidRPr="00455F2E">
              <w:rPr>
                <w:rFonts w:cs="Arial"/>
                <w:sz w:val="22"/>
              </w:rPr>
              <w:t xml:space="preserve">keeping </w:t>
            </w:r>
            <w:r w:rsidRPr="00455F2E">
              <w:rPr>
                <w:rFonts w:cs="Arial"/>
                <w:sz w:val="22"/>
              </w:rPr>
              <w:t xml:space="preserve">regular </w:t>
            </w:r>
            <w:r w:rsidR="002E7FFA" w:rsidRPr="00455F2E">
              <w:rPr>
                <w:rFonts w:cs="Arial"/>
                <w:sz w:val="22"/>
              </w:rPr>
              <w:t>physical activities while staying at home</w:t>
            </w:r>
            <w:r w:rsidR="004B128C">
              <w:rPr>
                <w:rFonts w:cs="Arial"/>
                <w:sz w:val="22"/>
              </w:rPr>
              <w:t>; and</w:t>
            </w:r>
          </w:p>
          <w:p w14:paraId="14F81FDE" w14:textId="6F72390B" w:rsidR="007833D5" w:rsidRPr="00455F2E" w:rsidRDefault="002E7FFA" w:rsidP="00453166">
            <w:pPr>
              <w:pStyle w:val="ListParagraph"/>
              <w:numPr>
                <w:ilvl w:val="0"/>
                <w:numId w:val="39"/>
              </w:numPr>
              <w:ind w:left="997" w:hanging="283"/>
              <w:contextualSpacing w:val="0"/>
              <w:jc w:val="both"/>
              <w:rPr>
                <w:rFonts w:cs="Arial"/>
                <w:sz w:val="22"/>
              </w:rPr>
            </w:pPr>
            <w:r w:rsidRPr="00455F2E">
              <w:rPr>
                <w:rFonts w:cs="Arial"/>
                <w:sz w:val="22"/>
              </w:rPr>
              <w:t>“</w:t>
            </w:r>
            <w:proofErr w:type="spellStart"/>
            <w:r w:rsidRPr="00455F2E">
              <w:rPr>
                <w:rFonts w:cs="Arial"/>
                <w:sz w:val="22"/>
              </w:rPr>
              <w:t>Malasakit</w:t>
            </w:r>
            <w:proofErr w:type="spellEnd"/>
            <w:r w:rsidRPr="00455F2E">
              <w:rPr>
                <w:rFonts w:cs="Arial"/>
                <w:sz w:val="22"/>
              </w:rPr>
              <w:t xml:space="preserve"> at </w:t>
            </w:r>
            <w:proofErr w:type="spellStart"/>
            <w:r w:rsidRPr="00455F2E">
              <w:rPr>
                <w:rFonts w:cs="Arial"/>
                <w:sz w:val="22"/>
              </w:rPr>
              <w:t>Kabutihan</w:t>
            </w:r>
            <w:proofErr w:type="spellEnd"/>
            <w:r w:rsidRPr="00455F2E">
              <w:rPr>
                <w:rFonts w:cs="Arial"/>
                <w:sz w:val="22"/>
              </w:rPr>
              <w:t>” (</w:t>
            </w:r>
            <w:r w:rsidR="006967DF" w:rsidRPr="00455F2E">
              <w:rPr>
                <w:rFonts w:cs="Arial"/>
                <w:sz w:val="22"/>
              </w:rPr>
              <w:t>Empathy</w:t>
            </w:r>
            <w:r w:rsidRPr="00455F2E">
              <w:rPr>
                <w:rFonts w:cs="Arial"/>
                <w:sz w:val="22"/>
              </w:rPr>
              <w:t xml:space="preserve"> and Kindness) to </w:t>
            </w:r>
            <w:r w:rsidR="00CD44A5" w:rsidRPr="00455F2E">
              <w:rPr>
                <w:rFonts w:cs="Arial"/>
                <w:sz w:val="22"/>
              </w:rPr>
              <w:t>members of the community who need most such as older people,</w:t>
            </w:r>
            <w:r w:rsidR="00274ECE" w:rsidRPr="00455F2E">
              <w:rPr>
                <w:rFonts w:cs="Arial"/>
                <w:sz w:val="22"/>
              </w:rPr>
              <w:t xml:space="preserve"> persons with disabilities, ill people</w:t>
            </w:r>
            <w:r w:rsidR="005E7786" w:rsidRPr="00455F2E">
              <w:rPr>
                <w:rFonts w:cs="Arial"/>
                <w:sz w:val="22"/>
              </w:rPr>
              <w:t>, among others</w:t>
            </w:r>
            <w:r w:rsidR="00CD44A5" w:rsidRPr="00455F2E">
              <w:rPr>
                <w:rFonts w:cs="Arial"/>
                <w:sz w:val="22"/>
              </w:rPr>
              <w:t xml:space="preserve"> </w:t>
            </w:r>
          </w:p>
        </w:tc>
      </w:tr>
      <w:tr w:rsidR="00A22067" w:rsidRPr="00455F2E" w14:paraId="7F9C9893" w14:textId="77777777" w:rsidTr="0020527D">
        <w:tc>
          <w:tcPr>
            <w:tcW w:w="9639" w:type="dxa"/>
            <w:shd w:val="clear" w:color="auto" w:fill="FDE9D9" w:themeFill="accent6" w:themeFillTint="33"/>
            <w:tcMar>
              <w:top w:w="100" w:type="dxa"/>
              <w:left w:w="100" w:type="dxa"/>
              <w:bottom w:w="100" w:type="dxa"/>
              <w:right w:w="100" w:type="dxa"/>
            </w:tcMar>
          </w:tcPr>
          <w:p w14:paraId="2F703B38" w14:textId="76B1414F" w:rsidR="00470399" w:rsidRPr="0020527D" w:rsidRDefault="00443439" w:rsidP="009B0A9C">
            <w:pPr>
              <w:spacing w:line="240" w:lineRule="auto"/>
              <w:rPr>
                <w:b/>
              </w:rPr>
            </w:pPr>
            <w:r>
              <w:rPr>
                <w:b/>
              </w:rPr>
              <w:lastRenderedPageBreak/>
              <w:t xml:space="preserve">2.6 </w:t>
            </w:r>
            <w:r w:rsidR="0020527D">
              <w:rPr>
                <w:b/>
              </w:rPr>
              <w:t>Engagements with t</w:t>
            </w:r>
            <w:r w:rsidR="0020527D" w:rsidRPr="00455F2E">
              <w:rPr>
                <w:b/>
              </w:rPr>
              <w:t xml:space="preserve">he Private Sector </w:t>
            </w:r>
            <w:r w:rsidR="0020527D" w:rsidRPr="0020527D">
              <w:t xml:space="preserve"> </w:t>
            </w:r>
          </w:p>
        </w:tc>
      </w:tr>
      <w:tr w:rsidR="0020527D" w:rsidRPr="00455F2E" w14:paraId="6A669FF1" w14:textId="77777777" w:rsidTr="004A5B81">
        <w:tc>
          <w:tcPr>
            <w:tcW w:w="9639" w:type="dxa"/>
            <w:shd w:val="clear" w:color="auto" w:fill="auto"/>
            <w:tcMar>
              <w:top w:w="100" w:type="dxa"/>
              <w:left w:w="100" w:type="dxa"/>
              <w:bottom w:w="100" w:type="dxa"/>
              <w:right w:w="100" w:type="dxa"/>
            </w:tcMar>
          </w:tcPr>
          <w:p w14:paraId="1E61743A" w14:textId="0EFFA177" w:rsidR="0020527D" w:rsidRPr="00455F2E" w:rsidRDefault="0020527D" w:rsidP="009B0A9C">
            <w:pPr>
              <w:spacing w:line="240" w:lineRule="auto"/>
              <w:jc w:val="both"/>
            </w:pPr>
            <w:r w:rsidRPr="00455F2E">
              <w:t xml:space="preserve">Filipino resilience and </w:t>
            </w:r>
            <w:r w:rsidRPr="00491410">
              <w:t xml:space="preserve">solidarity </w:t>
            </w:r>
            <w:r w:rsidR="00732492" w:rsidRPr="00491410">
              <w:t>are brought to the fore</w:t>
            </w:r>
            <w:r w:rsidRPr="00491410">
              <w:t xml:space="preserve"> in </w:t>
            </w:r>
            <w:r w:rsidRPr="00455F2E">
              <w:t>so many ways amidst the efforts to address the COVID-19 pandemic situation. The spirit of “</w:t>
            </w:r>
            <w:proofErr w:type="spellStart"/>
            <w:r w:rsidRPr="00455F2E">
              <w:t>Bayanihan</w:t>
            </w:r>
            <w:proofErr w:type="spellEnd"/>
            <w:r w:rsidRPr="00455F2E">
              <w:t xml:space="preserve">” or solidarity is once more proven towards helping each other and the Filipinos’ commitment to being part of the solution. </w:t>
            </w:r>
          </w:p>
          <w:p w14:paraId="1BB4A865" w14:textId="77777777" w:rsidR="0020527D" w:rsidRPr="00455F2E" w:rsidRDefault="0020527D" w:rsidP="009B0A9C">
            <w:pPr>
              <w:spacing w:line="240" w:lineRule="auto"/>
            </w:pPr>
          </w:p>
          <w:p w14:paraId="7CACDD90" w14:textId="48772EB2" w:rsidR="0020527D" w:rsidRDefault="0020527D" w:rsidP="009B0A9C">
            <w:pPr>
              <w:spacing w:line="240" w:lineRule="auto"/>
              <w:jc w:val="both"/>
            </w:pPr>
            <w:r w:rsidRPr="00455F2E">
              <w:t xml:space="preserve">The Philippine </w:t>
            </w:r>
            <w:r w:rsidR="004A41A6">
              <w:t>G</w:t>
            </w:r>
            <w:r w:rsidRPr="00455F2E">
              <w:t xml:space="preserve">overnment acknowledges the sustained efforts and collaboration of the private sector in helping our people cope with the situation. Among others: </w:t>
            </w:r>
          </w:p>
          <w:p w14:paraId="1F47395C" w14:textId="77777777" w:rsidR="00491410" w:rsidRPr="00455F2E" w:rsidRDefault="00491410" w:rsidP="009B0A9C">
            <w:pPr>
              <w:spacing w:line="240" w:lineRule="auto"/>
              <w:jc w:val="both"/>
            </w:pPr>
          </w:p>
          <w:p w14:paraId="0EBCEA55" w14:textId="0A7037F8" w:rsidR="0020527D" w:rsidRPr="00455F2E" w:rsidRDefault="0020527D" w:rsidP="009B0A9C">
            <w:pPr>
              <w:pStyle w:val="ListParagraph"/>
              <w:numPr>
                <w:ilvl w:val="0"/>
                <w:numId w:val="23"/>
              </w:numPr>
              <w:ind w:left="611" w:hanging="284"/>
              <w:contextualSpacing w:val="0"/>
              <w:jc w:val="both"/>
              <w:rPr>
                <w:rFonts w:cs="Arial"/>
                <w:sz w:val="22"/>
              </w:rPr>
            </w:pPr>
            <w:r w:rsidRPr="00455F2E">
              <w:rPr>
                <w:rFonts w:cs="Arial"/>
                <w:sz w:val="22"/>
              </w:rPr>
              <w:t xml:space="preserve">The conversion of the World Trade Center (WTC) into a COVID-19 temporary treatment and monitoring facility with the support of the Ayala Group. The "WTC: We Heal </w:t>
            </w:r>
            <w:proofErr w:type="gramStart"/>
            <w:r w:rsidRPr="00455F2E">
              <w:rPr>
                <w:rFonts w:cs="Arial"/>
                <w:sz w:val="22"/>
              </w:rPr>
              <w:t>As</w:t>
            </w:r>
            <w:proofErr w:type="gramEnd"/>
            <w:r w:rsidRPr="00455F2E">
              <w:rPr>
                <w:rFonts w:cs="Arial"/>
                <w:sz w:val="22"/>
              </w:rPr>
              <w:t xml:space="preserve"> One Center" will cater to those in need of appropriate health services amid the ongoing health situation</w:t>
            </w:r>
            <w:r w:rsidR="00453166">
              <w:rPr>
                <w:rFonts w:cs="Arial"/>
                <w:sz w:val="22"/>
              </w:rPr>
              <w:t>;</w:t>
            </w:r>
          </w:p>
          <w:p w14:paraId="00766CAA" w14:textId="7F06BE3F" w:rsidR="0020527D" w:rsidRPr="00455F2E" w:rsidRDefault="0020527D" w:rsidP="009B0A9C">
            <w:pPr>
              <w:pStyle w:val="ListParagraph"/>
              <w:numPr>
                <w:ilvl w:val="0"/>
                <w:numId w:val="23"/>
              </w:numPr>
              <w:ind w:left="611" w:hanging="284"/>
              <w:contextualSpacing w:val="0"/>
              <w:jc w:val="both"/>
              <w:rPr>
                <w:rFonts w:cs="Arial"/>
                <w:sz w:val="22"/>
              </w:rPr>
            </w:pPr>
            <w:r w:rsidRPr="00455F2E">
              <w:rPr>
                <w:rFonts w:cs="Arial"/>
                <w:sz w:val="22"/>
              </w:rPr>
              <w:t xml:space="preserve">Provision of food to </w:t>
            </w:r>
            <w:proofErr w:type="spellStart"/>
            <w:r w:rsidRPr="00455F2E">
              <w:rPr>
                <w:rFonts w:cs="Arial"/>
                <w:sz w:val="22"/>
              </w:rPr>
              <w:t>frontliners</w:t>
            </w:r>
            <w:proofErr w:type="spellEnd"/>
            <w:r w:rsidRPr="00455F2E">
              <w:rPr>
                <w:rFonts w:cs="Arial"/>
                <w:sz w:val="22"/>
              </w:rPr>
              <w:t xml:space="preserve"> in hospitals by various </w:t>
            </w:r>
            <w:proofErr w:type="gramStart"/>
            <w:r w:rsidRPr="00455F2E">
              <w:rPr>
                <w:rFonts w:cs="Arial"/>
                <w:sz w:val="22"/>
              </w:rPr>
              <w:t>fast food</w:t>
            </w:r>
            <w:proofErr w:type="gramEnd"/>
            <w:r w:rsidRPr="00455F2E">
              <w:rPr>
                <w:rFonts w:cs="Arial"/>
                <w:sz w:val="22"/>
              </w:rPr>
              <w:t xml:space="preserve"> chains in the country and private individuals</w:t>
            </w:r>
            <w:r w:rsidR="00453166">
              <w:rPr>
                <w:rFonts w:cs="Arial"/>
                <w:sz w:val="22"/>
              </w:rPr>
              <w:t>;</w:t>
            </w:r>
          </w:p>
          <w:p w14:paraId="5A33688F" w14:textId="0A4EFD17" w:rsidR="0020527D" w:rsidRPr="00455F2E" w:rsidRDefault="0020527D" w:rsidP="009B0A9C">
            <w:pPr>
              <w:pStyle w:val="ListParagraph"/>
              <w:numPr>
                <w:ilvl w:val="0"/>
                <w:numId w:val="23"/>
              </w:numPr>
              <w:ind w:left="611" w:hanging="284"/>
              <w:contextualSpacing w:val="0"/>
              <w:jc w:val="both"/>
              <w:rPr>
                <w:rFonts w:cs="Arial"/>
                <w:sz w:val="22"/>
              </w:rPr>
            </w:pPr>
            <w:r w:rsidRPr="00455F2E">
              <w:rPr>
                <w:rFonts w:cs="Arial"/>
                <w:sz w:val="22"/>
              </w:rPr>
              <w:t>Donations of health commodities and personal protective equipment by private companies and individual</w:t>
            </w:r>
            <w:r w:rsidR="00453166">
              <w:rPr>
                <w:rFonts w:cs="Arial"/>
                <w:sz w:val="22"/>
              </w:rPr>
              <w:t>s;</w:t>
            </w:r>
          </w:p>
          <w:p w14:paraId="013F15A3" w14:textId="3657125E" w:rsidR="0020527D" w:rsidRPr="00455F2E" w:rsidRDefault="0020527D" w:rsidP="009B0A9C">
            <w:pPr>
              <w:pStyle w:val="ListParagraph"/>
              <w:numPr>
                <w:ilvl w:val="0"/>
                <w:numId w:val="23"/>
              </w:numPr>
              <w:ind w:left="611" w:hanging="284"/>
              <w:contextualSpacing w:val="0"/>
              <w:jc w:val="both"/>
              <w:rPr>
                <w:rFonts w:cs="Arial"/>
                <w:sz w:val="22"/>
              </w:rPr>
            </w:pPr>
            <w:r w:rsidRPr="00455F2E">
              <w:rPr>
                <w:rFonts w:cs="Arial"/>
                <w:sz w:val="22"/>
              </w:rPr>
              <w:t>Waiving of rental fees for closed shops</w:t>
            </w:r>
            <w:r w:rsidR="00453166">
              <w:rPr>
                <w:rFonts w:cs="Arial"/>
                <w:sz w:val="22"/>
              </w:rPr>
              <w:t>; and</w:t>
            </w:r>
            <w:r w:rsidRPr="00455F2E">
              <w:rPr>
                <w:rFonts w:cs="Arial"/>
                <w:sz w:val="22"/>
              </w:rPr>
              <w:t xml:space="preserve"> </w:t>
            </w:r>
          </w:p>
          <w:p w14:paraId="6C2DCB6E" w14:textId="4568672E" w:rsidR="0020527D" w:rsidRPr="00455F2E" w:rsidRDefault="0020527D" w:rsidP="009B0A9C">
            <w:pPr>
              <w:pStyle w:val="ListParagraph"/>
              <w:numPr>
                <w:ilvl w:val="0"/>
                <w:numId w:val="23"/>
              </w:numPr>
              <w:ind w:left="611" w:hanging="284"/>
              <w:contextualSpacing w:val="0"/>
              <w:jc w:val="both"/>
              <w:rPr>
                <w:rFonts w:cs="Arial"/>
                <w:sz w:val="22"/>
              </w:rPr>
            </w:pPr>
            <w:r w:rsidRPr="00455F2E">
              <w:rPr>
                <w:rFonts w:cs="Arial"/>
                <w:sz w:val="22"/>
              </w:rPr>
              <w:t>Production of alcohol solutions from molasses, a by-product of the sugar-making process, by University of the Philippines Visayas-School of Technology (UPV-</w:t>
            </w:r>
            <w:proofErr w:type="spellStart"/>
            <w:r w:rsidRPr="00455F2E">
              <w:rPr>
                <w:rFonts w:cs="Arial"/>
                <w:sz w:val="22"/>
              </w:rPr>
              <w:t>SoTech</w:t>
            </w:r>
            <w:proofErr w:type="spellEnd"/>
            <w:r w:rsidRPr="00455F2E">
              <w:rPr>
                <w:rFonts w:cs="Arial"/>
                <w:sz w:val="22"/>
              </w:rPr>
              <w:t>) for distribution to health workers</w:t>
            </w:r>
            <w:r w:rsidR="00453166">
              <w:rPr>
                <w:rFonts w:cs="Arial"/>
                <w:sz w:val="22"/>
              </w:rPr>
              <w:t>.</w:t>
            </w:r>
            <w:r w:rsidRPr="00455F2E">
              <w:rPr>
                <w:rFonts w:cs="Arial"/>
                <w:sz w:val="22"/>
              </w:rPr>
              <w:t xml:space="preserve"> </w:t>
            </w:r>
          </w:p>
          <w:p w14:paraId="6D68D956" w14:textId="79FD097F" w:rsidR="0020527D" w:rsidRDefault="0020527D" w:rsidP="009B0A9C">
            <w:pPr>
              <w:spacing w:line="240" w:lineRule="auto"/>
              <w:rPr>
                <w:b/>
              </w:rPr>
            </w:pPr>
          </w:p>
        </w:tc>
      </w:tr>
      <w:tr w:rsidR="00A22067" w:rsidRPr="00455F2E" w14:paraId="704B6463" w14:textId="77777777" w:rsidTr="0020527D">
        <w:tc>
          <w:tcPr>
            <w:tcW w:w="9639" w:type="dxa"/>
            <w:shd w:val="clear" w:color="auto" w:fill="FDE9D9" w:themeFill="accent6" w:themeFillTint="33"/>
            <w:tcMar>
              <w:top w:w="100" w:type="dxa"/>
              <w:left w:w="100" w:type="dxa"/>
              <w:bottom w:w="100" w:type="dxa"/>
              <w:right w:w="100" w:type="dxa"/>
            </w:tcMar>
          </w:tcPr>
          <w:p w14:paraId="2B978EBB" w14:textId="6E5858E4" w:rsidR="00A22067" w:rsidRPr="0020527D" w:rsidRDefault="00443439" w:rsidP="009B0A9C">
            <w:pPr>
              <w:spacing w:line="240" w:lineRule="auto"/>
              <w:rPr>
                <w:b/>
              </w:rPr>
            </w:pPr>
            <w:r>
              <w:rPr>
                <w:b/>
              </w:rPr>
              <w:t xml:space="preserve">2.7 </w:t>
            </w:r>
            <w:r w:rsidR="0020527D" w:rsidRPr="0020527D">
              <w:rPr>
                <w:b/>
              </w:rPr>
              <w:t xml:space="preserve">International Solidarity </w:t>
            </w:r>
          </w:p>
        </w:tc>
      </w:tr>
      <w:tr w:rsidR="0020527D" w:rsidRPr="00455F2E" w14:paraId="642DADCF" w14:textId="77777777" w:rsidTr="004A5B81">
        <w:tc>
          <w:tcPr>
            <w:tcW w:w="9639" w:type="dxa"/>
            <w:shd w:val="clear" w:color="auto" w:fill="auto"/>
            <w:tcMar>
              <w:top w:w="100" w:type="dxa"/>
              <w:left w:w="100" w:type="dxa"/>
              <w:bottom w:w="100" w:type="dxa"/>
              <w:right w:w="100" w:type="dxa"/>
            </w:tcMar>
          </w:tcPr>
          <w:p w14:paraId="7976B5E1" w14:textId="0A0D6BCB" w:rsidR="0020527D" w:rsidRPr="0020527D" w:rsidRDefault="0020527D" w:rsidP="009B0A9C">
            <w:pPr>
              <w:spacing w:line="240" w:lineRule="auto"/>
              <w:jc w:val="both"/>
            </w:pPr>
            <w:r w:rsidRPr="0020527D">
              <w:t xml:space="preserve">In light of global emergency appeals, the Office of the President has approved the Philippine donation of USD 100,000 to the </w:t>
            </w:r>
            <w:r w:rsidRPr="00A1474F">
              <w:rPr>
                <w:b/>
              </w:rPr>
              <w:t xml:space="preserve">International Federation of Red Cross and Red Crescent Societies </w:t>
            </w:r>
            <w:r w:rsidR="00C13CAD" w:rsidRPr="00A1474F">
              <w:rPr>
                <w:b/>
              </w:rPr>
              <w:t>(IFRC)</w:t>
            </w:r>
            <w:r w:rsidR="00C13CAD">
              <w:t xml:space="preserve"> </w:t>
            </w:r>
            <w:r w:rsidRPr="0020527D">
              <w:t>for COVID-19.</w:t>
            </w:r>
          </w:p>
          <w:p w14:paraId="5A2C66A8" w14:textId="77777777" w:rsidR="0020527D" w:rsidRPr="00455F2E" w:rsidRDefault="0020527D" w:rsidP="009B0A9C">
            <w:pPr>
              <w:pStyle w:val="ListParagraph"/>
              <w:ind w:left="1031"/>
              <w:contextualSpacing w:val="0"/>
              <w:jc w:val="both"/>
              <w:rPr>
                <w:rFonts w:cs="Arial"/>
                <w:sz w:val="22"/>
              </w:rPr>
            </w:pPr>
          </w:p>
          <w:p w14:paraId="7CF71D78" w14:textId="7CE51337" w:rsidR="0020527D" w:rsidRPr="0020527D" w:rsidRDefault="00A1474F" w:rsidP="009B0A9C">
            <w:pPr>
              <w:spacing w:line="240" w:lineRule="auto"/>
              <w:jc w:val="both"/>
              <w:rPr>
                <w:b/>
                <w:bCs/>
              </w:rPr>
            </w:pPr>
            <w:r w:rsidRPr="00A1474F">
              <w:rPr>
                <w:bCs/>
              </w:rPr>
              <w:t>During the</w:t>
            </w:r>
            <w:r>
              <w:rPr>
                <w:b/>
                <w:bCs/>
              </w:rPr>
              <w:t xml:space="preserve"> </w:t>
            </w:r>
            <w:r w:rsidR="0020527D" w:rsidRPr="0020527D">
              <w:rPr>
                <w:b/>
                <w:bCs/>
              </w:rPr>
              <w:t xml:space="preserve">Special ASEAN Summit on COVID-19 </w:t>
            </w:r>
            <w:r w:rsidR="0020527D" w:rsidRPr="0020527D">
              <w:t xml:space="preserve">held via video-conferencing on 14 April 2020, the President </w:t>
            </w:r>
            <w:r w:rsidR="00ED28E2">
              <w:t xml:space="preserve">Rodrigo Duterte </w:t>
            </w:r>
            <w:r w:rsidR="0020527D" w:rsidRPr="0020527D">
              <w:t xml:space="preserve">emphasized the following points in his intervention: 1) the need to </w:t>
            </w:r>
            <w:r w:rsidR="0020527D" w:rsidRPr="0020527D">
              <w:rPr>
                <w:b/>
                <w:bCs/>
              </w:rPr>
              <w:t xml:space="preserve">strengthen healthcare systems </w:t>
            </w:r>
            <w:r w:rsidR="0020527D" w:rsidRPr="0020527D">
              <w:t xml:space="preserve">by boosting production and facilitating intra-ASEAN trade to address the shortage of medicine, medical equipment and supplies; 2) the need to attain </w:t>
            </w:r>
            <w:r w:rsidR="0020527D" w:rsidRPr="0020527D">
              <w:rPr>
                <w:b/>
                <w:bCs/>
              </w:rPr>
              <w:t>food security by ensuring sufficient rice supply</w:t>
            </w:r>
            <w:r w:rsidR="0020527D" w:rsidRPr="0020527D">
              <w:t xml:space="preserve">; 3) the need to support </w:t>
            </w:r>
            <w:r w:rsidR="0020527D" w:rsidRPr="0020527D">
              <w:rPr>
                <w:b/>
                <w:bCs/>
              </w:rPr>
              <w:t xml:space="preserve">research and development on vaccines and therapeutics </w:t>
            </w:r>
            <w:r w:rsidR="0020527D" w:rsidRPr="0020527D">
              <w:t xml:space="preserve">by fast-tracking cooperation with Dialogue Partners; </w:t>
            </w:r>
            <w:r>
              <w:t xml:space="preserve">and </w:t>
            </w:r>
            <w:r w:rsidR="0020527D" w:rsidRPr="0020527D">
              <w:t xml:space="preserve">4) the need to </w:t>
            </w:r>
            <w:r w:rsidR="0020527D" w:rsidRPr="0020527D">
              <w:rPr>
                <w:b/>
                <w:bCs/>
              </w:rPr>
              <w:t>strengthen</w:t>
            </w:r>
            <w:r w:rsidR="0020527D" w:rsidRPr="0020527D">
              <w:t xml:space="preserve"> </w:t>
            </w:r>
            <w:r w:rsidR="0020527D" w:rsidRPr="0020527D">
              <w:rPr>
                <w:b/>
                <w:bCs/>
              </w:rPr>
              <w:t xml:space="preserve">ASEAN’s preparedness for future outbreaks </w:t>
            </w:r>
            <w:r w:rsidR="0020527D" w:rsidRPr="0020527D">
              <w:t xml:space="preserve">by improving existing ASEAN mechanisms for public health emergencies and establishing an </w:t>
            </w:r>
            <w:r w:rsidR="0020527D" w:rsidRPr="0020527D">
              <w:rPr>
                <w:b/>
                <w:bCs/>
              </w:rPr>
              <w:t xml:space="preserve">early warning system for pandemics </w:t>
            </w:r>
            <w:r w:rsidR="0020527D" w:rsidRPr="0020527D">
              <w:t xml:space="preserve">in the region.  </w:t>
            </w:r>
          </w:p>
          <w:p w14:paraId="3CDE9D4F" w14:textId="77777777" w:rsidR="0020527D" w:rsidRPr="0020527D" w:rsidRDefault="0020527D" w:rsidP="009B0A9C">
            <w:pPr>
              <w:pStyle w:val="ListParagraph"/>
              <w:ind w:left="611"/>
              <w:contextualSpacing w:val="0"/>
              <w:jc w:val="both"/>
              <w:rPr>
                <w:rFonts w:cs="Arial"/>
                <w:b/>
                <w:bCs/>
                <w:sz w:val="22"/>
              </w:rPr>
            </w:pPr>
          </w:p>
          <w:p w14:paraId="24080ED4" w14:textId="5111B7CE" w:rsidR="0020527D" w:rsidRPr="0020527D" w:rsidRDefault="0020527D" w:rsidP="009B0A9C">
            <w:pPr>
              <w:spacing w:line="240" w:lineRule="auto"/>
              <w:jc w:val="both"/>
              <w:rPr>
                <w:b/>
                <w:bCs/>
              </w:rPr>
            </w:pPr>
            <w:r w:rsidRPr="0020527D">
              <w:t xml:space="preserve">President Duterte also supported Thailand’s proposal to establish a </w:t>
            </w:r>
            <w:r w:rsidRPr="0020527D">
              <w:rPr>
                <w:b/>
                <w:bCs/>
              </w:rPr>
              <w:t>COVID-19 ASEAN Response Fund</w:t>
            </w:r>
            <w:r w:rsidRPr="0020527D">
              <w:t xml:space="preserve">. The ASEAN Leaders adopted the </w:t>
            </w:r>
            <w:r w:rsidRPr="0020527D">
              <w:rPr>
                <w:b/>
                <w:bCs/>
              </w:rPr>
              <w:t>Declaration of the Special ASEAN Summit on COVID-19</w:t>
            </w:r>
            <w:r w:rsidRPr="0020527D">
              <w:t xml:space="preserve">, which outlines measures to be taken by Member States individually and ASEAN as a whole for a timely and effective response to COVID-19 in the region. </w:t>
            </w:r>
          </w:p>
        </w:tc>
      </w:tr>
    </w:tbl>
    <w:p w14:paraId="277CCD15" w14:textId="77777777" w:rsidR="00FD7199" w:rsidRDefault="00FD7199" w:rsidP="009B0A9C">
      <w:pPr>
        <w:spacing w:line="240" w:lineRule="auto"/>
        <w:rPr>
          <w:b/>
        </w:rPr>
      </w:pPr>
    </w:p>
    <w:p w14:paraId="62C8D72F" w14:textId="05F51BFB" w:rsidR="00FD7199" w:rsidRPr="001E16EC" w:rsidRDefault="00FD7199" w:rsidP="001E16EC">
      <w:pPr>
        <w:pStyle w:val="ListParagraph"/>
        <w:numPr>
          <w:ilvl w:val="0"/>
          <w:numId w:val="40"/>
        </w:numPr>
        <w:ind w:left="284" w:hanging="284"/>
        <w:rPr>
          <w:b/>
        </w:rPr>
      </w:pPr>
      <w:r w:rsidRPr="001E16EC">
        <w:rPr>
          <w:b/>
        </w:rPr>
        <w:t>Accountability for abuses and violations by state actors</w:t>
      </w:r>
    </w:p>
    <w:p w14:paraId="4DF4114C" w14:textId="77777777" w:rsidR="00FD7199" w:rsidRPr="008A241F" w:rsidRDefault="00FD7199" w:rsidP="009B0A9C">
      <w:pPr>
        <w:shd w:val="clear" w:color="auto" w:fill="FFFFFF"/>
        <w:spacing w:line="240" w:lineRule="auto"/>
        <w:jc w:val="both"/>
        <w:rPr>
          <w:rFonts w:eastAsia="Times New Roman"/>
          <w:color w:val="222222"/>
        </w:rPr>
      </w:pPr>
    </w:p>
    <w:p w14:paraId="274867AE" w14:textId="08C97826" w:rsidR="00FD7199" w:rsidRPr="00ED28E2" w:rsidRDefault="00FD7199" w:rsidP="009B0A9C">
      <w:pPr>
        <w:shd w:val="clear" w:color="auto" w:fill="FFFFFF"/>
        <w:spacing w:line="240" w:lineRule="auto"/>
        <w:jc w:val="both"/>
        <w:rPr>
          <w:rFonts w:eastAsia="Times New Roman"/>
          <w:color w:val="222222"/>
        </w:rPr>
      </w:pPr>
      <w:r w:rsidRPr="008A241F">
        <w:rPr>
          <w:rFonts w:eastAsia="Times New Roman"/>
          <w:color w:val="222222"/>
        </w:rPr>
        <w:t xml:space="preserve">The Philippine </w:t>
      </w:r>
      <w:r w:rsidR="004A41A6">
        <w:rPr>
          <w:rFonts w:eastAsia="Times New Roman"/>
          <w:color w:val="222222"/>
        </w:rPr>
        <w:t>G</w:t>
      </w:r>
      <w:r w:rsidRPr="008A241F">
        <w:rPr>
          <w:rFonts w:eastAsia="Times New Roman"/>
          <w:color w:val="222222"/>
        </w:rPr>
        <w:t>overnment takes any report o</w:t>
      </w:r>
      <w:r>
        <w:rPr>
          <w:rFonts w:eastAsia="Times New Roman"/>
          <w:color w:val="222222"/>
        </w:rPr>
        <w:t>f abuses and violations by law </w:t>
      </w:r>
      <w:r w:rsidRPr="008A241F">
        <w:rPr>
          <w:rFonts w:eastAsia="Times New Roman"/>
          <w:color w:val="222222"/>
        </w:rPr>
        <w:t xml:space="preserve">enforcers and local authorities seriously. </w:t>
      </w:r>
      <w:r w:rsidRPr="00D03E83">
        <w:rPr>
          <w:rFonts w:eastAsia="Times New Roman"/>
          <w:b/>
          <w:color w:val="222222"/>
        </w:rPr>
        <w:t>Hotlines 8888, 911, and the DILG Public Assistance and Complaints Center</w:t>
      </w:r>
      <w:r w:rsidRPr="008A241F">
        <w:rPr>
          <w:rFonts w:eastAsia="Times New Roman"/>
          <w:color w:val="222222"/>
        </w:rPr>
        <w:t xml:space="preserve"> are available and the public has been using these and other channels to report abuses and violations. </w:t>
      </w:r>
      <w:r w:rsidRPr="00FD7199">
        <w:rPr>
          <w:rFonts w:eastAsia="Times New Roman"/>
          <w:bCs/>
          <w:color w:val="222222"/>
        </w:rPr>
        <w:t>The Filipino public has been cooperative and collectively vigilant under the Enhanced Community Quarantine</w:t>
      </w:r>
      <w:r w:rsidR="00ED28E2">
        <w:rPr>
          <w:rFonts w:eastAsia="Times New Roman"/>
          <w:b/>
          <w:bCs/>
          <w:color w:val="222222"/>
        </w:rPr>
        <w:t xml:space="preserve"> </w:t>
      </w:r>
      <w:r w:rsidR="00ED28E2" w:rsidRPr="00ED28E2">
        <w:rPr>
          <w:rFonts w:eastAsia="Times New Roman"/>
          <w:color w:val="222222"/>
        </w:rPr>
        <w:t>(ECQ).</w:t>
      </w:r>
      <w:r w:rsidRPr="00ED28E2">
        <w:rPr>
          <w:rFonts w:eastAsia="Times New Roman"/>
          <w:color w:val="222222"/>
        </w:rPr>
        <w:t>  </w:t>
      </w:r>
    </w:p>
    <w:p w14:paraId="1FBE343D" w14:textId="6230A626" w:rsidR="00FD7199" w:rsidRDefault="00A857CF" w:rsidP="009B0A9C">
      <w:pPr>
        <w:shd w:val="clear" w:color="auto" w:fill="FFFFFF"/>
        <w:spacing w:line="240" w:lineRule="auto"/>
        <w:ind w:firstLine="360"/>
        <w:jc w:val="both"/>
        <w:rPr>
          <w:rFonts w:eastAsia="Times New Roman"/>
          <w:color w:val="222222"/>
        </w:rPr>
      </w:pPr>
      <w:r>
        <w:rPr>
          <w:rFonts w:eastAsia="Times New Roman"/>
          <w:color w:val="222222"/>
        </w:rPr>
        <w:t xml:space="preserve"> </w:t>
      </w:r>
    </w:p>
    <w:p w14:paraId="5EE6BA36" w14:textId="6C889CEE" w:rsidR="00FD7199" w:rsidRPr="008A241F" w:rsidRDefault="00FD7199" w:rsidP="009B0A9C">
      <w:pPr>
        <w:shd w:val="clear" w:color="auto" w:fill="FFFFFF"/>
        <w:spacing w:line="240" w:lineRule="auto"/>
        <w:jc w:val="both"/>
        <w:rPr>
          <w:rFonts w:eastAsia="Times New Roman"/>
          <w:color w:val="222222"/>
        </w:rPr>
      </w:pPr>
      <w:r w:rsidRPr="008A241F">
        <w:rPr>
          <w:rFonts w:eastAsia="Times New Roman"/>
          <w:color w:val="222222"/>
        </w:rPr>
        <w:t>The government</w:t>
      </w:r>
      <w:r w:rsidR="00EA5D53">
        <w:rPr>
          <w:rFonts w:eastAsia="Times New Roman"/>
          <w:color w:val="222222"/>
        </w:rPr>
        <w:t>’s</w:t>
      </w:r>
      <w:r w:rsidRPr="008A241F">
        <w:rPr>
          <w:rFonts w:eastAsia="Times New Roman"/>
          <w:color w:val="222222"/>
        </w:rPr>
        <w:t xml:space="preserve"> commitment to address reports of violations and hold erring officials to account can be seen in the following:</w:t>
      </w:r>
    </w:p>
    <w:p w14:paraId="54829058" w14:textId="77777777" w:rsidR="00FD7199" w:rsidRPr="008A241F" w:rsidRDefault="00FD7199" w:rsidP="009B0A9C">
      <w:pPr>
        <w:shd w:val="clear" w:color="auto" w:fill="FFFFFF"/>
        <w:spacing w:line="240" w:lineRule="auto"/>
        <w:jc w:val="both"/>
        <w:rPr>
          <w:rFonts w:eastAsia="Times New Roman"/>
          <w:color w:val="222222"/>
        </w:rPr>
      </w:pPr>
    </w:p>
    <w:p w14:paraId="2FE85AEF" w14:textId="4C704843" w:rsidR="00FD7199" w:rsidRPr="008A241F" w:rsidRDefault="00D03E83" w:rsidP="009B0A9C">
      <w:pPr>
        <w:numPr>
          <w:ilvl w:val="0"/>
          <w:numId w:val="27"/>
        </w:numPr>
        <w:shd w:val="clear" w:color="auto" w:fill="FFFFFF"/>
        <w:spacing w:line="240" w:lineRule="auto"/>
        <w:jc w:val="both"/>
        <w:rPr>
          <w:rFonts w:eastAsia="Times New Roman"/>
          <w:color w:val="222222"/>
        </w:rPr>
      </w:pPr>
      <w:r>
        <w:rPr>
          <w:rFonts w:eastAsia="Times New Roman"/>
          <w:color w:val="222222"/>
        </w:rPr>
        <w:lastRenderedPageBreak/>
        <w:t>T</w:t>
      </w:r>
      <w:r w:rsidR="00FD7199" w:rsidRPr="008A241F">
        <w:rPr>
          <w:rFonts w:eastAsia="Times New Roman"/>
          <w:color w:val="222222"/>
        </w:rPr>
        <w:t xml:space="preserve">he </w:t>
      </w:r>
      <w:r w:rsidR="00FD7199" w:rsidRPr="008A241F">
        <w:rPr>
          <w:rFonts w:eastAsia="Times New Roman"/>
          <w:b/>
          <w:color w:val="222222"/>
        </w:rPr>
        <w:t>barangay (village) official</w:t>
      </w:r>
      <w:r w:rsidR="00FD7199" w:rsidRPr="008A241F">
        <w:rPr>
          <w:rFonts w:eastAsia="Times New Roman"/>
          <w:color w:val="222222"/>
        </w:rPr>
        <w:t xml:space="preserve"> who placed youth residents in a dog cage for violating the curfew was </w:t>
      </w:r>
      <w:r w:rsidR="00FD7199" w:rsidRPr="008A241F">
        <w:rPr>
          <w:rFonts w:eastAsia="Times New Roman"/>
          <w:b/>
          <w:bCs/>
          <w:color w:val="222222"/>
        </w:rPr>
        <w:t>charged for violating the Special Protection of Children Act, as well as for grave threat and coercion</w:t>
      </w:r>
      <w:r w:rsidR="00C13CAD">
        <w:rPr>
          <w:rFonts w:eastAsia="Times New Roman"/>
          <w:color w:val="222222"/>
        </w:rPr>
        <w:t>;</w:t>
      </w:r>
    </w:p>
    <w:p w14:paraId="7FF549ED" w14:textId="7B8CBB5C" w:rsidR="00FD7199" w:rsidRPr="008A241F" w:rsidRDefault="00D03E83" w:rsidP="009B0A9C">
      <w:pPr>
        <w:numPr>
          <w:ilvl w:val="0"/>
          <w:numId w:val="27"/>
        </w:numPr>
        <w:shd w:val="clear" w:color="auto" w:fill="FFFFFF"/>
        <w:spacing w:line="240" w:lineRule="auto"/>
        <w:jc w:val="both"/>
        <w:rPr>
          <w:rFonts w:eastAsia="Times New Roman"/>
          <w:color w:val="222222"/>
        </w:rPr>
      </w:pPr>
      <w:r>
        <w:rPr>
          <w:rFonts w:eastAsia="Times New Roman"/>
          <w:color w:val="222222"/>
        </w:rPr>
        <w:t>T</w:t>
      </w:r>
      <w:r w:rsidR="00FD7199" w:rsidRPr="008A241F">
        <w:rPr>
          <w:rFonts w:eastAsia="Times New Roman"/>
          <w:color w:val="222222"/>
        </w:rPr>
        <w:t>he Police Master Sergeant who fatally shot a former army corporal for supposed ECQ violations was </w:t>
      </w:r>
      <w:r w:rsidR="00FD7199" w:rsidRPr="008A241F">
        <w:rPr>
          <w:rFonts w:eastAsia="Times New Roman"/>
          <w:b/>
          <w:bCs/>
          <w:color w:val="222222"/>
        </w:rPr>
        <w:t>charged with homicide</w:t>
      </w:r>
      <w:r w:rsidR="00C13CAD">
        <w:rPr>
          <w:rFonts w:eastAsia="Times New Roman"/>
          <w:color w:val="222222"/>
        </w:rPr>
        <w:t>;</w:t>
      </w:r>
    </w:p>
    <w:p w14:paraId="002217C4" w14:textId="1805581F" w:rsidR="00FD7199" w:rsidRPr="008A241F" w:rsidRDefault="00C13CAD" w:rsidP="009B0A9C">
      <w:pPr>
        <w:numPr>
          <w:ilvl w:val="0"/>
          <w:numId w:val="27"/>
        </w:numPr>
        <w:shd w:val="clear" w:color="auto" w:fill="FFFFFF"/>
        <w:spacing w:line="240" w:lineRule="auto"/>
        <w:jc w:val="both"/>
        <w:rPr>
          <w:rFonts w:eastAsia="Times New Roman"/>
          <w:color w:val="222222"/>
        </w:rPr>
      </w:pPr>
      <w:r>
        <w:rPr>
          <w:rFonts w:eastAsia="Times New Roman"/>
          <w:color w:val="222222"/>
        </w:rPr>
        <w:t xml:space="preserve">According to DILG, as of 26 May 2020, </w:t>
      </w:r>
      <w:r>
        <w:rPr>
          <w:rFonts w:eastAsia="Times New Roman"/>
          <w:b/>
          <w:bCs/>
          <w:color w:val="222222"/>
        </w:rPr>
        <w:t>134</w:t>
      </w:r>
      <w:r w:rsidR="00FD7199">
        <w:rPr>
          <w:rFonts w:eastAsia="Times New Roman"/>
          <w:b/>
          <w:bCs/>
          <w:color w:val="222222"/>
        </w:rPr>
        <w:t xml:space="preserve"> barangay (</w:t>
      </w:r>
      <w:r w:rsidR="00FD7199" w:rsidRPr="008A241F">
        <w:rPr>
          <w:rFonts w:eastAsia="Times New Roman"/>
          <w:b/>
          <w:bCs/>
          <w:color w:val="222222"/>
        </w:rPr>
        <w:t>village) officials</w:t>
      </w:r>
      <w:r w:rsidR="00FD7199" w:rsidRPr="008A241F">
        <w:rPr>
          <w:rFonts w:eastAsia="Times New Roman"/>
          <w:color w:val="222222"/>
        </w:rPr>
        <w:t> are</w:t>
      </w:r>
      <w:r w:rsidR="00FD7199" w:rsidRPr="008A241F">
        <w:rPr>
          <w:rFonts w:eastAsia="Times New Roman"/>
          <w:b/>
          <w:bCs/>
          <w:color w:val="222222"/>
        </w:rPr>
        <w:t> facing criminal charges</w:t>
      </w:r>
      <w:r w:rsidR="00FD7199" w:rsidRPr="008A241F">
        <w:rPr>
          <w:rFonts w:eastAsia="Times New Roman"/>
          <w:color w:val="222222"/>
        </w:rPr>
        <w:t> for alleged anomalies in the distribution of cash subsidies. </w:t>
      </w:r>
      <w:r w:rsidR="00EA5D53">
        <w:rPr>
          <w:rFonts w:eastAsia="Times New Roman"/>
          <w:color w:val="222222"/>
        </w:rPr>
        <w:t>T</w:t>
      </w:r>
      <w:r>
        <w:rPr>
          <w:rFonts w:eastAsia="Times New Roman"/>
          <w:color w:val="222222"/>
        </w:rPr>
        <w:t xml:space="preserve">here are at least 86 that are under “case build-up” </w:t>
      </w:r>
      <w:r w:rsidR="00FD7199" w:rsidRPr="008A241F">
        <w:rPr>
          <w:rFonts w:eastAsia="Times New Roman"/>
          <w:color w:val="222222"/>
        </w:rPr>
        <w:t>after receiving a total of 318 complaints nationwide of reported graft and corrupt practices. </w:t>
      </w:r>
      <w:r>
        <w:rPr>
          <w:rFonts w:eastAsia="Times New Roman"/>
          <w:color w:val="222222"/>
        </w:rPr>
        <w:t xml:space="preserve">In addition, at least </w:t>
      </w:r>
      <w:r w:rsidR="00FD7199" w:rsidRPr="008A241F">
        <w:rPr>
          <w:rFonts w:eastAsia="Times New Roman"/>
          <w:b/>
          <w:bCs/>
          <w:color w:val="222222"/>
        </w:rPr>
        <w:t>43 mayors</w:t>
      </w:r>
      <w:r w:rsidR="00FD7199" w:rsidRPr="008A241F">
        <w:rPr>
          <w:rFonts w:eastAsia="Times New Roman"/>
          <w:color w:val="222222"/>
        </w:rPr>
        <w:t> will be made to explain for having </w:t>
      </w:r>
      <w:r w:rsidR="00FD7199" w:rsidRPr="008A241F">
        <w:rPr>
          <w:rFonts w:eastAsia="Times New Roman"/>
          <w:b/>
          <w:bCs/>
          <w:color w:val="222222"/>
        </w:rPr>
        <w:t>poor performance</w:t>
      </w:r>
      <w:r w:rsidR="00FD7199" w:rsidRPr="008A241F">
        <w:rPr>
          <w:rFonts w:eastAsia="Times New Roman"/>
          <w:color w:val="222222"/>
        </w:rPr>
        <w:t> in the distribution of cash assistance</w:t>
      </w:r>
      <w:r>
        <w:rPr>
          <w:rFonts w:eastAsia="Times New Roman"/>
          <w:color w:val="222222"/>
        </w:rPr>
        <w:t>;</w:t>
      </w:r>
      <w:r w:rsidR="00FD7199" w:rsidRPr="008A241F">
        <w:rPr>
          <w:rFonts w:eastAsia="Times New Roman"/>
          <w:color w:val="222222"/>
        </w:rPr>
        <w:t> </w:t>
      </w:r>
    </w:p>
    <w:p w14:paraId="36F667AF" w14:textId="70176B8B" w:rsidR="00FD7199" w:rsidRPr="008A241F" w:rsidRDefault="00FD7199" w:rsidP="009B0A9C">
      <w:pPr>
        <w:numPr>
          <w:ilvl w:val="0"/>
          <w:numId w:val="27"/>
        </w:numPr>
        <w:shd w:val="clear" w:color="auto" w:fill="FFFFFF"/>
        <w:spacing w:line="240" w:lineRule="auto"/>
        <w:jc w:val="both"/>
        <w:rPr>
          <w:rFonts w:eastAsia="Times New Roman"/>
          <w:color w:val="222222"/>
        </w:rPr>
      </w:pPr>
      <w:r w:rsidRPr="008A241F">
        <w:rPr>
          <w:rFonts w:eastAsia="Times New Roman"/>
          <w:b/>
          <w:bCs/>
          <w:color w:val="222222"/>
        </w:rPr>
        <w:t>A police office chief, along with 18 other police officers</w:t>
      </w:r>
      <w:r w:rsidR="00C94461">
        <w:rPr>
          <w:rFonts w:eastAsia="Times New Roman"/>
          <w:b/>
          <w:bCs/>
          <w:color w:val="222222"/>
        </w:rPr>
        <w:t>,</w:t>
      </w:r>
      <w:r w:rsidRPr="008A241F">
        <w:rPr>
          <w:rFonts w:eastAsia="Times New Roman"/>
          <w:color w:val="222222"/>
        </w:rPr>
        <w:t> is now </w:t>
      </w:r>
      <w:r w:rsidRPr="008A241F">
        <w:rPr>
          <w:rFonts w:eastAsia="Times New Roman"/>
          <w:b/>
          <w:bCs/>
          <w:color w:val="222222"/>
        </w:rPr>
        <w:t>facing criminal charges</w:t>
      </w:r>
      <w:r w:rsidRPr="008A241F">
        <w:rPr>
          <w:rFonts w:eastAsia="Times New Roman"/>
          <w:color w:val="222222"/>
        </w:rPr>
        <w:t> for violating ECQ rules</w:t>
      </w:r>
      <w:r w:rsidR="00C13CAD">
        <w:rPr>
          <w:rFonts w:eastAsia="Times New Roman"/>
          <w:color w:val="222222"/>
        </w:rPr>
        <w:t>; and</w:t>
      </w:r>
    </w:p>
    <w:p w14:paraId="25F4883B" w14:textId="3E612F11" w:rsidR="00FD7199" w:rsidRPr="008A241F" w:rsidRDefault="00FD7199" w:rsidP="009B0A9C">
      <w:pPr>
        <w:numPr>
          <w:ilvl w:val="0"/>
          <w:numId w:val="27"/>
        </w:numPr>
        <w:shd w:val="clear" w:color="auto" w:fill="FFFFFF"/>
        <w:spacing w:line="240" w:lineRule="auto"/>
        <w:jc w:val="both"/>
        <w:rPr>
          <w:rFonts w:eastAsia="Times New Roman"/>
          <w:color w:val="222222"/>
        </w:rPr>
      </w:pPr>
      <w:r w:rsidRPr="008A241F">
        <w:rPr>
          <w:rFonts w:eastAsia="Times New Roman"/>
          <w:color w:val="222222"/>
        </w:rPr>
        <w:t>DILG has issued </w:t>
      </w:r>
      <w:r w:rsidRPr="008A241F">
        <w:rPr>
          <w:rFonts w:eastAsia="Times New Roman"/>
          <w:b/>
          <w:bCs/>
          <w:color w:val="222222"/>
        </w:rPr>
        <w:t xml:space="preserve">show cause orders </w:t>
      </w:r>
      <w:r w:rsidRPr="00EA5D53">
        <w:rPr>
          <w:rFonts w:eastAsia="Times New Roman"/>
          <w:b/>
          <w:bCs/>
        </w:rPr>
        <w:t xml:space="preserve">to </w:t>
      </w:r>
      <w:r w:rsidR="00C94461" w:rsidRPr="00EA5D53">
        <w:rPr>
          <w:rFonts w:eastAsia="Times New Roman"/>
          <w:b/>
          <w:bCs/>
        </w:rPr>
        <w:t>two</w:t>
      </w:r>
      <w:r w:rsidR="00EA5D53" w:rsidRPr="00EA5D53">
        <w:rPr>
          <w:rFonts w:eastAsia="Times New Roman"/>
          <w:b/>
          <w:bCs/>
        </w:rPr>
        <w:t xml:space="preserve"> </w:t>
      </w:r>
      <w:r w:rsidRPr="00EA5D53">
        <w:rPr>
          <w:rFonts w:eastAsia="Times New Roman"/>
          <w:b/>
          <w:bCs/>
        </w:rPr>
        <w:t xml:space="preserve">governors and </w:t>
      </w:r>
      <w:r w:rsidR="00C94461" w:rsidRPr="00EA5D53">
        <w:rPr>
          <w:rFonts w:eastAsia="Times New Roman"/>
          <w:b/>
          <w:bCs/>
        </w:rPr>
        <w:t>two</w:t>
      </w:r>
      <w:r w:rsidR="00EA5D53" w:rsidRPr="00EA5D53">
        <w:rPr>
          <w:rFonts w:eastAsia="Times New Roman"/>
          <w:b/>
          <w:bCs/>
        </w:rPr>
        <w:t xml:space="preserve"> </w:t>
      </w:r>
      <w:r w:rsidRPr="00EA5D53">
        <w:rPr>
          <w:rFonts w:eastAsia="Times New Roman"/>
          <w:b/>
          <w:bCs/>
        </w:rPr>
        <w:t>mayors for violating ECQ policies</w:t>
      </w:r>
      <w:r w:rsidR="00C94461" w:rsidRPr="00EA5D53">
        <w:rPr>
          <w:rFonts w:eastAsia="Times New Roman"/>
          <w:b/>
          <w:bCs/>
        </w:rPr>
        <w:t>.</w:t>
      </w:r>
    </w:p>
    <w:p w14:paraId="311B17A0" w14:textId="220286F2" w:rsidR="00FD7199" w:rsidRPr="008A241F" w:rsidRDefault="00FD7199" w:rsidP="009B0A9C">
      <w:pPr>
        <w:shd w:val="clear" w:color="auto" w:fill="FFFFFF"/>
        <w:spacing w:line="240" w:lineRule="auto"/>
        <w:ind w:left="540" w:firstLine="45"/>
        <w:jc w:val="both"/>
        <w:rPr>
          <w:rFonts w:eastAsia="Times New Roman"/>
          <w:color w:val="222222"/>
        </w:rPr>
      </w:pPr>
    </w:p>
    <w:p w14:paraId="542C0B88" w14:textId="3AF0C157" w:rsidR="007543AC" w:rsidRDefault="00FD7199" w:rsidP="009B0A9C">
      <w:pPr>
        <w:shd w:val="clear" w:color="auto" w:fill="FFFFFF"/>
        <w:spacing w:line="240" w:lineRule="auto"/>
        <w:jc w:val="both"/>
        <w:rPr>
          <w:rFonts w:eastAsia="Times New Roman"/>
          <w:color w:val="222222"/>
        </w:rPr>
      </w:pPr>
      <w:r>
        <w:rPr>
          <w:rFonts w:eastAsia="Times New Roman"/>
          <w:color w:val="222222"/>
        </w:rPr>
        <w:t xml:space="preserve">The Philippine National Police </w:t>
      </w:r>
      <w:r w:rsidR="00EA5D53">
        <w:rPr>
          <w:rFonts w:eastAsia="Times New Roman"/>
          <w:color w:val="222222"/>
        </w:rPr>
        <w:t>(PNP)</w:t>
      </w:r>
      <w:r w:rsidR="007543AC">
        <w:rPr>
          <w:rFonts w:eastAsia="Times New Roman"/>
          <w:color w:val="222222"/>
        </w:rPr>
        <w:t>, through a directive issued on 22 April 2020,</w:t>
      </w:r>
      <w:r w:rsidR="00EA5D53">
        <w:rPr>
          <w:rFonts w:eastAsia="Times New Roman"/>
          <w:color w:val="222222"/>
        </w:rPr>
        <w:t xml:space="preserve"> </w:t>
      </w:r>
      <w:r w:rsidR="006429A8">
        <w:rPr>
          <w:rFonts w:eastAsia="Times New Roman"/>
          <w:color w:val="222222"/>
        </w:rPr>
        <w:t xml:space="preserve">has </w:t>
      </w:r>
      <w:r w:rsidR="007543AC">
        <w:rPr>
          <w:rFonts w:eastAsia="Times New Roman"/>
          <w:color w:val="222222"/>
        </w:rPr>
        <w:t xml:space="preserve">reiterated the </w:t>
      </w:r>
      <w:r w:rsidR="006429A8">
        <w:rPr>
          <w:rFonts w:eastAsia="Times New Roman"/>
          <w:color w:val="222222"/>
        </w:rPr>
        <w:t>implement</w:t>
      </w:r>
      <w:r w:rsidR="007543AC">
        <w:rPr>
          <w:rFonts w:eastAsia="Times New Roman"/>
          <w:color w:val="222222"/>
        </w:rPr>
        <w:t>ation of</w:t>
      </w:r>
      <w:r>
        <w:rPr>
          <w:rFonts w:eastAsia="Times New Roman"/>
          <w:color w:val="222222"/>
        </w:rPr>
        <w:t xml:space="preserve"> </w:t>
      </w:r>
      <w:r w:rsidRPr="008A241F">
        <w:rPr>
          <w:rFonts w:eastAsia="Times New Roman"/>
          <w:b/>
          <w:color w:val="222222"/>
        </w:rPr>
        <w:t xml:space="preserve">Human Rights-Based Policing </w:t>
      </w:r>
      <w:r w:rsidR="006429A8">
        <w:rPr>
          <w:rFonts w:eastAsia="Times New Roman"/>
          <w:b/>
          <w:color w:val="222222"/>
        </w:rPr>
        <w:t xml:space="preserve">during the </w:t>
      </w:r>
      <w:r w:rsidRPr="008A241F">
        <w:rPr>
          <w:rFonts w:eastAsia="Times New Roman"/>
          <w:b/>
          <w:color w:val="222222"/>
        </w:rPr>
        <w:t>ECQ</w:t>
      </w:r>
      <w:r w:rsidR="006429A8">
        <w:rPr>
          <w:rFonts w:eastAsia="Times New Roman"/>
          <w:color w:val="222222"/>
        </w:rPr>
        <w:t>,</w:t>
      </w:r>
      <w:r w:rsidR="007543AC">
        <w:rPr>
          <w:rFonts w:eastAsia="Times New Roman"/>
          <w:color w:val="222222"/>
        </w:rPr>
        <w:t xml:space="preserve"> with the following salient points:</w:t>
      </w:r>
      <w:r w:rsidR="006429A8">
        <w:rPr>
          <w:rFonts w:eastAsia="Times New Roman"/>
          <w:color w:val="222222"/>
        </w:rPr>
        <w:t xml:space="preserve"> </w:t>
      </w:r>
    </w:p>
    <w:p w14:paraId="24F0F93E" w14:textId="77777777" w:rsidR="00FD7199" w:rsidRPr="008A241F" w:rsidRDefault="00FD7199" w:rsidP="009B0A9C">
      <w:pPr>
        <w:shd w:val="clear" w:color="auto" w:fill="FFFFFF"/>
        <w:spacing w:line="240" w:lineRule="auto"/>
        <w:jc w:val="both"/>
        <w:rPr>
          <w:rFonts w:eastAsia="Times New Roman"/>
          <w:color w:val="222222"/>
        </w:rPr>
      </w:pPr>
    </w:p>
    <w:p w14:paraId="4B968595" w14:textId="77777777" w:rsidR="00FD7199" w:rsidRPr="008A241F" w:rsidRDefault="00FD7199" w:rsidP="009B0A9C">
      <w:pPr>
        <w:numPr>
          <w:ilvl w:val="0"/>
          <w:numId w:val="28"/>
        </w:numPr>
        <w:shd w:val="clear" w:color="auto" w:fill="FFFFFF"/>
        <w:spacing w:line="240" w:lineRule="auto"/>
        <w:jc w:val="both"/>
        <w:rPr>
          <w:rFonts w:eastAsia="Times New Roman"/>
          <w:color w:val="222222"/>
        </w:rPr>
      </w:pPr>
      <w:r w:rsidRPr="008A241F">
        <w:rPr>
          <w:rFonts w:eastAsia="Times New Roman"/>
          <w:color w:val="222222"/>
        </w:rPr>
        <w:t>All ground commanders/team leaders shall ensure that </w:t>
      </w:r>
      <w:r w:rsidRPr="008A241F">
        <w:rPr>
          <w:rFonts w:eastAsia="Times New Roman"/>
          <w:bCs/>
          <w:color w:val="222222"/>
        </w:rPr>
        <w:t>proper briefing/guidance on human rights</w:t>
      </w:r>
      <w:r w:rsidRPr="008A241F">
        <w:rPr>
          <w:rFonts w:eastAsia="Times New Roman"/>
          <w:color w:val="222222"/>
        </w:rPr>
        <w:t> is provided by designated human rights officers in police stations/units prior the conduct of operations against persons violating the ECQ; </w:t>
      </w:r>
    </w:p>
    <w:p w14:paraId="688F7899" w14:textId="41F01D19" w:rsidR="00FD7199" w:rsidRPr="008A241F" w:rsidRDefault="00FD7199" w:rsidP="009B0A9C">
      <w:pPr>
        <w:numPr>
          <w:ilvl w:val="0"/>
          <w:numId w:val="28"/>
        </w:numPr>
        <w:shd w:val="clear" w:color="auto" w:fill="FFFFFF"/>
        <w:spacing w:line="240" w:lineRule="auto"/>
        <w:jc w:val="both"/>
        <w:rPr>
          <w:rFonts w:eastAsia="Times New Roman"/>
          <w:color w:val="222222"/>
        </w:rPr>
      </w:pPr>
      <w:r w:rsidRPr="008A241F">
        <w:rPr>
          <w:rFonts w:eastAsia="Times New Roman"/>
          <w:color w:val="222222"/>
        </w:rPr>
        <w:t xml:space="preserve">There shall be no police personnel deliberately committing acts in violation of Republic Act </w:t>
      </w:r>
      <w:r w:rsidR="00D9607D">
        <w:rPr>
          <w:rFonts w:eastAsia="Times New Roman"/>
          <w:color w:val="222222"/>
        </w:rPr>
        <w:t xml:space="preserve">No. </w:t>
      </w:r>
      <w:r w:rsidRPr="008A241F">
        <w:rPr>
          <w:rFonts w:eastAsia="Times New Roman"/>
          <w:color w:val="222222"/>
        </w:rPr>
        <w:t xml:space="preserve">7438 (Custodial Investigation Act); Republic Act </w:t>
      </w:r>
      <w:r w:rsidR="00D9607D">
        <w:rPr>
          <w:rFonts w:eastAsia="Times New Roman"/>
          <w:color w:val="222222"/>
        </w:rPr>
        <w:t xml:space="preserve">No. </w:t>
      </w:r>
      <w:r w:rsidRPr="008A241F">
        <w:rPr>
          <w:rFonts w:eastAsia="Times New Roman"/>
          <w:color w:val="222222"/>
        </w:rPr>
        <w:t>9745 (Anti-Torture Act); and Article 125 of the Revised Penal Code and other laws that safeguard the rights of persons against unlawful arrest, among others; </w:t>
      </w:r>
    </w:p>
    <w:p w14:paraId="63126CC2" w14:textId="41171313" w:rsidR="00FD7199" w:rsidRPr="008A241F" w:rsidRDefault="00FD7199" w:rsidP="009B0A9C">
      <w:pPr>
        <w:numPr>
          <w:ilvl w:val="0"/>
          <w:numId w:val="28"/>
        </w:numPr>
        <w:shd w:val="clear" w:color="auto" w:fill="FFFFFF"/>
        <w:spacing w:line="240" w:lineRule="auto"/>
        <w:jc w:val="both"/>
        <w:rPr>
          <w:rFonts w:eastAsia="Times New Roman"/>
          <w:color w:val="222222"/>
        </w:rPr>
      </w:pPr>
      <w:r w:rsidRPr="008A241F">
        <w:rPr>
          <w:rFonts w:eastAsia="Times New Roman"/>
          <w:color w:val="222222"/>
        </w:rPr>
        <w:t>Str</w:t>
      </w:r>
      <w:r w:rsidR="006429A8">
        <w:rPr>
          <w:rFonts w:eastAsia="Times New Roman"/>
          <w:color w:val="222222"/>
        </w:rPr>
        <w:t>ict monitoring and evaluation of</w:t>
      </w:r>
      <w:r w:rsidRPr="008A241F">
        <w:rPr>
          <w:rFonts w:eastAsia="Times New Roman"/>
          <w:color w:val="222222"/>
        </w:rPr>
        <w:t xml:space="preserve"> the behavior of troops shifting to “arrest” mode. </w:t>
      </w:r>
      <w:r w:rsidR="006429A8">
        <w:rPr>
          <w:rFonts w:eastAsia="Times New Roman"/>
          <w:color w:val="222222"/>
        </w:rPr>
        <w:t>Maximum tolerance policy is exercised</w:t>
      </w:r>
      <w:r w:rsidRPr="008A241F">
        <w:rPr>
          <w:rFonts w:eastAsia="Times New Roman"/>
          <w:color w:val="222222"/>
        </w:rPr>
        <w:t>; </w:t>
      </w:r>
    </w:p>
    <w:p w14:paraId="54E32CE3" w14:textId="77777777" w:rsidR="00FD7199" w:rsidRPr="008A241F" w:rsidRDefault="00FD7199" w:rsidP="009B0A9C">
      <w:pPr>
        <w:numPr>
          <w:ilvl w:val="0"/>
          <w:numId w:val="28"/>
        </w:numPr>
        <w:shd w:val="clear" w:color="auto" w:fill="FFFFFF"/>
        <w:spacing w:line="240" w:lineRule="auto"/>
        <w:jc w:val="both"/>
        <w:rPr>
          <w:rFonts w:eastAsia="Times New Roman"/>
          <w:color w:val="222222"/>
        </w:rPr>
      </w:pPr>
      <w:r w:rsidRPr="008A241F">
        <w:rPr>
          <w:rFonts w:eastAsia="Times New Roman"/>
          <w:color w:val="222222"/>
        </w:rPr>
        <w:t>Persons arrested shall be referred to a government doctor in the locality for issuance of appropriate medical certification, in accordance with RA 7438; and</w:t>
      </w:r>
    </w:p>
    <w:p w14:paraId="2A3DD536" w14:textId="77777777" w:rsidR="00FD7199" w:rsidRPr="008A241F" w:rsidRDefault="00FD7199" w:rsidP="009B0A9C">
      <w:pPr>
        <w:numPr>
          <w:ilvl w:val="0"/>
          <w:numId w:val="28"/>
        </w:numPr>
        <w:shd w:val="clear" w:color="auto" w:fill="FFFFFF"/>
        <w:spacing w:line="240" w:lineRule="auto"/>
        <w:jc w:val="both"/>
        <w:rPr>
          <w:rFonts w:eastAsia="Times New Roman"/>
          <w:color w:val="222222"/>
        </w:rPr>
      </w:pPr>
      <w:r w:rsidRPr="008A241F">
        <w:rPr>
          <w:rFonts w:eastAsia="Times New Roman"/>
          <w:color w:val="222222"/>
        </w:rPr>
        <w:t xml:space="preserve">Where numerous violators are apprehended, chiefs of police should seek assistance from local government units for the </w:t>
      </w:r>
      <w:proofErr w:type="spellStart"/>
      <w:r w:rsidRPr="008A241F">
        <w:rPr>
          <w:rFonts w:eastAsia="Times New Roman"/>
          <w:color w:val="222222"/>
        </w:rPr>
        <w:t>availment</w:t>
      </w:r>
      <w:proofErr w:type="spellEnd"/>
      <w:r w:rsidRPr="008A241F">
        <w:rPr>
          <w:rFonts w:eastAsia="Times New Roman"/>
          <w:color w:val="222222"/>
        </w:rPr>
        <w:t xml:space="preserve"> of makeshift detention area/s for these violators, as may be appropriate, in case the custodial facilities are already overcrowded with persons under police custody. </w:t>
      </w:r>
    </w:p>
    <w:p w14:paraId="21293CCE" w14:textId="77777777" w:rsidR="00FD7199" w:rsidRPr="008A241F" w:rsidRDefault="00FD7199" w:rsidP="009B0A9C">
      <w:pPr>
        <w:shd w:val="clear" w:color="auto" w:fill="FFFFFF"/>
        <w:spacing w:line="240" w:lineRule="auto"/>
        <w:jc w:val="both"/>
        <w:rPr>
          <w:rFonts w:eastAsia="Times New Roman"/>
          <w:color w:val="222222"/>
        </w:rPr>
      </w:pPr>
    </w:p>
    <w:p w14:paraId="460E698D" w14:textId="4D3A46D0" w:rsidR="00FD7199" w:rsidRPr="008A241F" w:rsidRDefault="006429A8" w:rsidP="009B0A9C">
      <w:pPr>
        <w:shd w:val="clear" w:color="auto" w:fill="FFFFFF"/>
        <w:spacing w:line="240" w:lineRule="auto"/>
        <w:jc w:val="both"/>
        <w:rPr>
          <w:rFonts w:eastAsia="Times New Roman"/>
          <w:color w:val="222222"/>
        </w:rPr>
      </w:pPr>
      <w:r w:rsidRPr="008A241F">
        <w:rPr>
          <w:rFonts w:eastAsia="Times New Roman"/>
          <w:color w:val="222222"/>
        </w:rPr>
        <w:t>The Filipinos’ positive ratings for the government response have only increased from March to April.</w:t>
      </w:r>
      <w:r>
        <w:rPr>
          <w:rFonts w:eastAsia="Times New Roman"/>
          <w:color w:val="222222"/>
        </w:rPr>
        <w:t xml:space="preserve"> In </w:t>
      </w:r>
      <w:r w:rsidR="00D9607D">
        <w:rPr>
          <w:rFonts w:eastAsia="Times New Roman"/>
          <w:color w:val="222222"/>
        </w:rPr>
        <w:t>a survey by a global polling firm</w:t>
      </w:r>
      <w:r>
        <w:rPr>
          <w:rFonts w:eastAsia="Times New Roman"/>
          <w:color w:val="222222"/>
        </w:rPr>
        <w:t xml:space="preserve"> Gallup </w:t>
      </w:r>
      <w:r w:rsidR="00D9607D">
        <w:rPr>
          <w:rFonts w:eastAsia="Times New Roman"/>
          <w:color w:val="222222"/>
        </w:rPr>
        <w:t>International Association on 6-8 April 2020</w:t>
      </w:r>
      <w:r>
        <w:rPr>
          <w:rFonts w:eastAsia="Times New Roman"/>
          <w:color w:val="222222"/>
        </w:rPr>
        <w:t xml:space="preserve">, </w:t>
      </w:r>
      <w:r w:rsidR="00D9607D">
        <w:rPr>
          <w:rFonts w:eastAsia="Times New Roman"/>
          <w:color w:val="222222"/>
        </w:rPr>
        <w:t>around 80 percent of the Filipinos surveyed viewed the government’s handling of the COVID-19 crisis as “well”; only 18 percent expressed dissatisfaction, while two percent  were ambivalent on the matter. T</w:t>
      </w:r>
      <w:r>
        <w:rPr>
          <w:rFonts w:eastAsia="Times New Roman"/>
          <w:color w:val="222222"/>
        </w:rPr>
        <w:t>he Philippines ranked</w:t>
      </w:r>
      <w:r w:rsidR="00FD7199" w:rsidRPr="008A241F">
        <w:rPr>
          <w:rFonts w:eastAsia="Times New Roman"/>
          <w:color w:val="222222"/>
        </w:rPr>
        <w:t xml:space="preserve"> among governments that received the highest confidence ratings from their citizens, even higher than</w:t>
      </w:r>
      <w:r w:rsidR="00CB2B40">
        <w:rPr>
          <w:rFonts w:eastAsia="Times New Roman"/>
          <w:color w:val="222222"/>
        </w:rPr>
        <w:t xml:space="preserve"> a number of</w:t>
      </w:r>
      <w:r w:rsidR="00FD7199" w:rsidRPr="008A241F">
        <w:rPr>
          <w:rFonts w:eastAsia="Times New Roman"/>
          <w:color w:val="222222"/>
        </w:rPr>
        <w:t xml:space="preserve"> Western countries</w:t>
      </w:r>
      <w:r w:rsidR="00D9607D">
        <w:rPr>
          <w:rFonts w:eastAsia="Times New Roman"/>
          <w:color w:val="222222"/>
        </w:rPr>
        <w:t>.</w:t>
      </w:r>
    </w:p>
    <w:p w14:paraId="31F42156" w14:textId="77777777" w:rsidR="00FD7199" w:rsidRPr="008A241F" w:rsidRDefault="00FD7199" w:rsidP="009B0A9C">
      <w:pPr>
        <w:shd w:val="clear" w:color="auto" w:fill="FFFFFF"/>
        <w:spacing w:line="240" w:lineRule="auto"/>
        <w:ind w:left="540"/>
        <w:jc w:val="both"/>
        <w:rPr>
          <w:rFonts w:eastAsia="Times New Roman"/>
          <w:color w:val="222222"/>
        </w:rPr>
      </w:pPr>
    </w:p>
    <w:p w14:paraId="58CA9194" w14:textId="6D1A5A86" w:rsidR="00FD7199" w:rsidRPr="00D7603A" w:rsidRDefault="00FD7199" w:rsidP="009B0A9C">
      <w:pPr>
        <w:shd w:val="clear" w:color="auto" w:fill="FFFFFF"/>
        <w:spacing w:line="240" w:lineRule="auto"/>
        <w:jc w:val="both"/>
        <w:rPr>
          <w:rFonts w:eastAsia="Times New Roman"/>
          <w:b/>
          <w:bCs/>
          <w:color w:val="222222"/>
        </w:rPr>
      </w:pPr>
      <w:r w:rsidRPr="008A241F">
        <w:rPr>
          <w:rFonts w:eastAsia="Times New Roman"/>
          <w:color w:val="222222"/>
        </w:rPr>
        <w:t xml:space="preserve">The comprehensive ECQ measures were </w:t>
      </w:r>
      <w:r w:rsidRPr="00D7603A">
        <w:rPr>
          <w:rFonts w:eastAsia="Times New Roman"/>
          <w:b/>
          <w:bCs/>
          <w:color w:val="222222"/>
        </w:rPr>
        <w:t>carefully</w:t>
      </w:r>
      <w:r w:rsidR="00C05379">
        <w:rPr>
          <w:rFonts w:eastAsia="Times New Roman"/>
          <w:b/>
          <w:bCs/>
          <w:color w:val="222222"/>
        </w:rPr>
        <w:t xml:space="preserve"> </w:t>
      </w:r>
      <w:r w:rsidRPr="00D7603A">
        <w:rPr>
          <w:rFonts w:eastAsia="Times New Roman"/>
          <w:b/>
          <w:bCs/>
          <w:color w:val="222222"/>
        </w:rPr>
        <w:t>considered with the health, safety and well-being of all Filipinos in mind and they were carried out in a lawful, proportionate and non-discriminatory manner.</w:t>
      </w:r>
    </w:p>
    <w:p w14:paraId="7BC7D7FF" w14:textId="77777777" w:rsidR="00443439" w:rsidRDefault="00443439" w:rsidP="009B0A9C">
      <w:pPr>
        <w:spacing w:line="240" w:lineRule="auto"/>
        <w:jc w:val="both"/>
        <w:rPr>
          <w:b/>
        </w:rPr>
      </w:pPr>
    </w:p>
    <w:p w14:paraId="48D19382" w14:textId="0E8F8B74" w:rsidR="00443439" w:rsidRDefault="00443439" w:rsidP="001E16EC">
      <w:pPr>
        <w:pStyle w:val="ListParagraph"/>
        <w:numPr>
          <w:ilvl w:val="0"/>
          <w:numId w:val="40"/>
        </w:numPr>
        <w:ind w:left="284" w:hanging="284"/>
        <w:rPr>
          <w:b/>
        </w:rPr>
      </w:pPr>
      <w:r>
        <w:rPr>
          <w:b/>
        </w:rPr>
        <w:t xml:space="preserve">Allegations of militarization and widespread arrests during the quarantine measures </w:t>
      </w:r>
    </w:p>
    <w:p w14:paraId="2B14B1E0" w14:textId="77777777" w:rsidR="00443439" w:rsidRDefault="00443439" w:rsidP="009B0A9C">
      <w:pPr>
        <w:spacing w:line="240" w:lineRule="auto"/>
        <w:jc w:val="both"/>
        <w:rPr>
          <w:b/>
        </w:rPr>
      </w:pPr>
    </w:p>
    <w:p w14:paraId="27E5018B" w14:textId="79269840" w:rsidR="00443439" w:rsidRPr="008A241F" w:rsidRDefault="0011165F" w:rsidP="009B0A9C">
      <w:pPr>
        <w:spacing w:line="240" w:lineRule="auto"/>
        <w:jc w:val="both"/>
        <w:rPr>
          <w:lang w:val="en-US"/>
        </w:rPr>
      </w:pPr>
      <w:r w:rsidRPr="0011165F">
        <w:t xml:space="preserve">Allegations </w:t>
      </w:r>
      <w:r>
        <w:t xml:space="preserve">characterizing the country’s COVID-19 response as “highly-militarized” with some 120,000 individuals apprehended have unfairly been levelled against the Philippines.  </w:t>
      </w:r>
    </w:p>
    <w:p w14:paraId="177900C6" w14:textId="77777777" w:rsidR="00443439" w:rsidRPr="008A241F" w:rsidRDefault="00443439" w:rsidP="009B0A9C">
      <w:pPr>
        <w:pStyle w:val="ListParagraph"/>
        <w:contextualSpacing w:val="0"/>
        <w:jc w:val="both"/>
        <w:rPr>
          <w:rFonts w:cs="Arial"/>
        </w:rPr>
      </w:pPr>
    </w:p>
    <w:p w14:paraId="2987329E" w14:textId="6B0AA1CB" w:rsidR="0011165F" w:rsidRDefault="0011165F" w:rsidP="009B0A9C">
      <w:pPr>
        <w:spacing w:line="240" w:lineRule="auto"/>
        <w:jc w:val="both"/>
        <w:rPr>
          <w:b/>
          <w:bCs/>
          <w:color w:val="222222"/>
          <w:shd w:val="clear" w:color="auto" w:fill="FFFFFF"/>
        </w:rPr>
      </w:pPr>
      <w:r>
        <w:rPr>
          <w:lang w:val="en-US"/>
        </w:rPr>
        <w:t xml:space="preserve">The Philippines reiterates that the government’s approach </w:t>
      </w:r>
      <w:r>
        <w:rPr>
          <w:color w:val="222222"/>
          <w:shd w:val="clear" w:color="auto" w:fill="FFFFFF"/>
        </w:rPr>
        <w:t xml:space="preserve">is guided by </w:t>
      </w:r>
      <w:r w:rsidR="00443439" w:rsidRPr="008A241F">
        <w:rPr>
          <w:color w:val="222222"/>
          <w:shd w:val="clear" w:color="auto" w:fill="FFFFFF"/>
        </w:rPr>
        <w:t xml:space="preserve">public health safety </w:t>
      </w:r>
      <w:r>
        <w:rPr>
          <w:color w:val="222222"/>
          <w:shd w:val="clear" w:color="auto" w:fill="FFFFFF"/>
        </w:rPr>
        <w:t xml:space="preserve">and </w:t>
      </w:r>
      <w:r w:rsidR="00287734">
        <w:rPr>
          <w:color w:val="222222"/>
          <w:shd w:val="clear" w:color="auto" w:fill="FFFFFF"/>
        </w:rPr>
        <w:t xml:space="preserve">science, </w:t>
      </w:r>
      <w:r w:rsidR="00443439" w:rsidRPr="008A241F">
        <w:rPr>
          <w:color w:val="222222"/>
          <w:shd w:val="clear" w:color="auto" w:fill="FFFFFF"/>
        </w:rPr>
        <w:t>compliant with International Health Regulations</w:t>
      </w:r>
      <w:r w:rsidR="00C05379">
        <w:rPr>
          <w:color w:val="222222"/>
          <w:shd w:val="clear" w:color="auto" w:fill="FFFFFF"/>
        </w:rPr>
        <w:t xml:space="preserve"> (IHR)</w:t>
      </w:r>
      <w:r w:rsidR="00443439" w:rsidRPr="008A241F">
        <w:rPr>
          <w:color w:val="222222"/>
          <w:shd w:val="clear" w:color="auto" w:fill="FFFFFF"/>
        </w:rPr>
        <w:t>, and informed by human rights, highly-mindful of the need to protect the low-income, underprivileged and vulnerable sectors of the Philippine society. </w:t>
      </w:r>
      <w:r w:rsidR="00443439" w:rsidRPr="008A241F">
        <w:rPr>
          <w:b/>
          <w:bCs/>
          <w:color w:val="222222"/>
          <w:shd w:val="clear" w:color="auto" w:fill="FFFFFF"/>
        </w:rPr>
        <w:t xml:space="preserve">The transparent approach of the Philippine </w:t>
      </w:r>
      <w:r w:rsidR="004A41A6">
        <w:rPr>
          <w:b/>
          <w:bCs/>
          <w:color w:val="222222"/>
          <w:shd w:val="clear" w:color="auto" w:fill="FFFFFF"/>
        </w:rPr>
        <w:t>G</w:t>
      </w:r>
      <w:r w:rsidR="00443439" w:rsidRPr="008A241F">
        <w:rPr>
          <w:b/>
          <w:bCs/>
          <w:color w:val="222222"/>
          <w:shd w:val="clear" w:color="auto" w:fill="FFFFFF"/>
        </w:rPr>
        <w:t>overnment has been centrally and fundamentally soc</w:t>
      </w:r>
      <w:r>
        <w:rPr>
          <w:b/>
          <w:bCs/>
          <w:color w:val="222222"/>
          <w:shd w:val="clear" w:color="auto" w:fill="FFFFFF"/>
        </w:rPr>
        <w:t xml:space="preserve">io-economic and rights-oriented. </w:t>
      </w:r>
    </w:p>
    <w:p w14:paraId="50EB83D1" w14:textId="77777777" w:rsidR="0011165F" w:rsidRDefault="0011165F" w:rsidP="009B0A9C">
      <w:pPr>
        <w:pStyle w:val="NormalWeb"/>
        <w:shd w:val="clear" w:color="auto" w:fill="FFFFFF"/>
        <w:spacing w:before="0" w:beforeAutospacing="0" w:after="0" w:afterAutospacing="0"/>
        <w:jc w:val="both"/>
        <w:rPr>
          <w:rFonts w:ascii="Arial" w:hAnsi="Arial" w:cs="Arial"/>
          <w:b/>
          <w:bCs/>
          <w:color w:val="222222"/>
          <w:sz w:val="22"/>
          <w:szCs w:val="22"/>
        </w:rPr>
      </w:pPr>
    </w:p>
    <w:p w14:paraId="3F6145CC" w14:textId="762CD80B" w:rsidR="00443439" w:rsidRDefault="0011165F" w:rsidP="009B0A9C">
      <w:pPr>
        <w:pStyle w:val="NormalWeb"/>
        <w:shd w:val="clear" w:color="auto" w:fill="FFFFFF"/>
        <w:spacing w:before="0" w:beforeAutospacing="0" w:after="0" w:afterAutospacing="0"/>
        <w:jc w:val="both"/>
        <w:rPr>
          <w:rFonts w:ascii="Arial" w:hAnsi="Arial" w:cs="Arial"/>
          <w:b/>
          <w:bCs/>
          <w:color w:val="222222"/>
          <w:sz w:val="22"/>
          <w:szCs w:val="22"/>
        </w:rPr>
      </w:pPr>
      <w:r>
        <w:rPr>
          <w:rFonts w:ascii="Arial" w:hAnsi="Arial" w:cs="Arial"/>
          <w:b/>
          <w:bCs/>
          <w:color w:val="222222"/>
          <w:sz w:val="22"/>
          <w:szCs w:val="22"/>
        </w:rPr>
        <w:t>I</w:t>
      </w:r>
      <w:r w:rsidR="00443439" w:rsidRPr="008A241F">
        <w:rPr>
          <w:rFonts w:ascii="Arial" w:hAnsi="Arial" w:cs="Arial"/>
          <w:color w:val="222222"/>
          <w:sz w:val="22"/>
          <w:szCs w:val="22"/>
        </w:rPr>
        <w:t>n the enforcement of the quarantine measures, the </w:t>
      </w:r>
      <w:r w:rsidR="00443439" w:rsidRPr="008A241F">
        <w:rPr>
          <w:rFonts w:ascii="Arial" w:hAnsi="Arial" w:cs="Arial"/>
          <w:b/>
          <w:bCs/>
          <w:color w:val="222222"/>
          <w:sz w:val="22"/>
          <w:szCs w:val="22"/>
        </w:rPr>
        <w:t>law has been enfor</w:t>
      </w:r>
      <w:r w:rsidR="00443439">
        <w:rPr>
          <w:rFonts w:ascii="Arial" w:hAnsi="Arial" w:cs="Arial"/>
          <w:b/>
          <w:bCs/>
          <w:color w:val="222222"/>
          <w:sz w:val="22"/>
          <w:szCs w:val="22"/>
        </w:rPr>
        <w:t>ced as reasonably strict as</w:t>
      </w:r>
      <w:r w:rsidR="00443439" w:rsidRPr="008A241F">
        <w:rPr>
          <w:rFonts w:ascii="Arial" w:hAnsi="Arial" w:cs="Arial"/>
          <w:b/>
          <w:bCs/>
          <w:color w:val="222222"/>
          <w:sz w:val="22"/>
          <w:szCs w:val="22"/>
        </w:rPr>
        <w:t xml:space="preserve"> possible for the full protection of the Filipino people</w:t>
      </w:r>
      <w:r w:rsidR="00443439" w:rsidRPr="008A241F">
        <w:rPr>
          <w:rFonts w:ascii="Arial" w:hAnsi="Arial" w:cs="Arial"/>
          <w:color w:val="222222"/>
          <w:sz w:val="22"/>
          <w:szCs w:val="22"/>
        </w:rPr>
        <w:t>. While such protection measures spell the difference between life and death, </w:t>
      </w:r>
      <w:r w:rsidR="00443439" w:rsidRPr="008A241F">
        <w:rPr>
          <w:rFonts w:ascii="Arial" w:hAnsi="Arial" w:cs="Arial"/>
          <w:b/>
          <w:bCs/>
          <w:color w:val="222222"/>
          <w:sz w:val="22"/>
          <w:szCs w:val="22"/>
        </w:rPr>
        <w:t>they are implemented well within the rule of law, and are respectful of the human dignity and human rights of everyone.</w:t>
      </w:r>
    </w:p>
    <w:p w14:paraId="11BF88F1" w14:textId="77777777" w:rsidR="00443439" w:rsidRDefault="00443439" w:rsidP="009B0A9C">
      <w:pPr>
        <w:pStyle w:val="NormalWeb"/>
        <w:shd w:val="clear" w:color="auto" w:fill="FFFFFF"/>
        <w:spacing w:before="0" w:beforeAutospacing="0" w:after="0" w:afterAutospacing="0"/>
        <w:ind w:firstLine="540"/>
        <w:jc w:val="both"/>
        <w:rPr>
          <w:rFonts w:ascii="Arial" w:hAnsi="Arial" w:cs="Arial"/>
          <w:b/>
          <w:bCs/>
          <w:color w:val="222222"/>
          <w:sz w:val="22"/>
          <w:szCs w:val="22"/>
        </w:rPr>
      </w:pPr>
    </w:p>
    <w:p w14:paraId="2B4C1411" w14:textId="4F182F36" w:rsidR="00287734" w:rsidRPr="00FD7199" w:rsidRDefault="00287734" w:rsidP="009B0A9C">
      <w:pPr>
        <w:spacing w:line="240" w:lineRule="auto"/>
        <w:jc w:val="both"/>
        <w:rPr>
          <w:rFonts w:eastAsiaTheme="minorEastAsia"/>
          <w:lang w:eastAsia="zh-CN"/>
        </w:rPr>
      </w:pPr>
      <w:r w:rsidRPr="00287734">
        <w:rPr>
          <w:rFonts w:eastAsia="Times New Roman"/>
          <w:color w:val="222222"/>
        </w:rPr>
        <w:t>On the “</w:t>
      </w:r>
      <w:r w:rsidRPr="00287734">
        <w:rPr>
          <w:rFonts w:eastAsia="Times New Roman"/>
          <w:bCs/>
          <w:color w:val="222222"/>
        </w:rPr>
        <w:t>120,000 apprehensions”</w:t>
      </w:r>
      <w:r w:rsidR="00C05379">
        <w:rPr>
          <w:rFonts w:eastAsia="Times New Roman"/>
          <w:bCs/>
          <w:color w:val="222222"/>
        </w:rPr>
        <w:t xml:space="preserve"> being alleged by some sectors</w:t>
      </w:r>
      <w:r w:rsidRPr="00287734">
        <w:rPr>
          <w:rFonts w:eastAsia="Times New Roman"/>
          <w:color w:val="222222"/>
        </w:rPr>
        <w:t>, </w:t>
      </w:r>
      <w:r w:rsidRPr="00287734">
        <w:rPr>
          <w:rFonts w:eastAsia="Times New Roman"/>
          <w:bCs/>
          <w:color w:val="222222"/>
        </w:rPr>
        <w:t xml:space="preserve">the Philippine </w:t>
      </w:r>
      <w:r w:rsidR="004A41A6">
        <w:rPr>
          <w:rFonts w:eastAsia="Times New Roman"/>
          <w:bCs/>
          <w:color w:val="222222"/>
        </w:rPr>
        <w:t>G</w:t>
      </w:r>
      <w:r w:rsidRPr="00287734">
        <w:rPr>
          <w:rFonts w:eastAsia="Times New Roman"/>
          <w:bCs/>
          <w:color w:val="222222"/>
        </w:rPr>
        <w:t>overnment clarifies that widespread arrests and detention as being insinuated are not taking place.</w:t>
      </w:r>
      <w:r w:rsidRPr="00287734">
        <w:rPr>
          <w:rFonts w:eastAsia="Times New Roman"/>
          <w:color w:val="222222"/>
        </w:rPr>
        <w:t> While this figure cited may be close to the number of apprehensions reported, </w:t>
      </w:r>
      <w:r w:rsidRPr="00287734">
        <w:rPr>
          <w:rFonts w:eastAsia="Times New Roman"/>
          <w:b/>
          <w:color w:val="222222"/>
        </w:rPr>
        <w:t xml:space="preserve">majority of the </w:t>
      </w:r>
      <w:r w:rsidRPr="00287734">
        <w:rPr>
          <w:rFonts w:eastAsia="Times New Roman"/>
          <w:b/>
          <w:bCs/>
          <w:color w:val="222222"/>
        </w:rPr>
        <w:t>apprehensions as recorded are in fact mostly warnings/reprimand and fines for ECQ infractions and did not involve arrest and detention</w:t>
      </w:r>
      <w:r w:rsidRPr="00287734">
        <w:rPr>
          <w:rFonts w:eastAsia="Times New Roman"/>
          <w:b/>
          <w:color w:val="222222"/>
        </w:rPr>
        <w:t>.</w:t>
      </w:r>
      <w:r w:rsidRPr="00287734">
        <w:rPr>
          <w:rFonts w:eastAsia="Times New Roman"/>
          <w:color w:val="222222"/>
        </w:rPr>
        <w:t xml:space="preserve"> A number of arrests were made for disobedience and resistance to authorities, but many of these were booked but did not lead to detention. The data gathering system of the </w:t>
      </w:r>
      <w:r w:rsidR="00D6731C">
        <w:rPr>
          <w:rFonts w:eastAsia="Times New Roman"/>
          <w:color w:val="222222"/>
        </w:rPr>
        <w:t xml:space="preserve">DILG </w:t>
      </w:r>
      <w:r w:rsidRPr="00287734">
        <w:rPr>
          <w:rFonts w:eastAsia="Times New Roman"/>
          <w:color w:val="222222"/>
        </w:rPr>
        <w:t xml:space="preserve">and the </w:t>
      </w:r>
      <w:proofErr w:type="gramStart"/>
      <w:r w:rsidRPr="00287734">
        <w:rPr>
          <w:rFonts w:eastAsia="Times New Roman"/>
          <w:color w:val="222222"/>
        </w:rPr>
        <w:t>PNP</w:t>
      </w:r>
      <w:r w:rsidR="00D6731C">
        <w:rPr>
          <w:rFonts w:eastAsia="Times New Roman"/>
          <w:color w:val="222222"/>
        </w:rPr>
        <w:t>)</w:t>
      </w:r>
      <w:r w:rsidRPr="00287734">
        <w:rPr>
          <w:rFonts w:eastAsia="Times New Roman"/>
          <w:color w:val="222222"/>
        </w:rPr>
        <w:t>on</w:t>
      </w:r>
      <w:proofErr w:type="gramEnd"/>
      <w:r w:rsidRPr="00287734">
        <w:rPr>
          <w:rFonts w:eastAsia="Times New Roman"/>
          <w:color w:val="222222"/>
        </w:rPr>
        <w:t xml:space="preserve"> curfew violations supports transparency in reporting in line with accountability and public safety considerations. Aside from their presence on the ground, PNP also successfully used social media to persuade the public to stay home. </w:t>
      </w:r>
    </w:p>
    <w:p w14:paraId="3883A4DD" w14:textId="77777777" w:rsidR="00443439" w:rsidRPr="008A241F" w:rsidRDefault="00443439" w:rsidP="009B0A9C">
      <w:pPr>
        <w:shd w:val="clear" w:color="auto" w:fill="FFFFFF"/>
        <w:spacing w:line="240" w:lineRule="auto"/>
        <w:jc w:val="both"/>
        <w:rPr>
          <w:rFonts w:eastAsia="Times New Roman"/>
          <w:color w:val="222222"/>
        </w:rPr>
      </w:pPr>
    </w:p>
    <w:p w14:paraId="08ED95F5" w14:textId="08766F5C" w:rsidR="00287734" w:rsidRDefault="00287734" w:rsidP="009B0A9C">
      <w:pPr>
        <w:spacing w:line="240" w:lineRule="auto"/>
        <w:jc w:val="both"/>
        <w:rPr>
          <w:rFonts w:eastAsia="Times New Roman"/>
          <w:color w:val="222222"/>
        </w:rPr>
      </w:pPr>
      <w:r>
        <w:rPr>
          <w:rFonts w:eastAsia="Times New Roman"/>
          <w:color w:val="222222"/>
        </w:rPr>
        <w:t xml:space="preserve">On the characterization of a </w:t>
      </w:r>
      <w:r w:rsidR="00443439" w:rsidRPr="00287734">
        <w:rPr>
          <w:rFonts w:eastAsia="Times New Roman"/>
          <w:color w:val="222222"/>
        </w:rPr>
        <w:t>“</w:t>
      </w:r>
      <w:r w:rsidR="00443439" w:rsidRPr="00287734">
        <w:rPr>
          <w:rFonts w:eastAsia="Times New Roman"/>
          <w:bCs/>
          <w:iCs/>
          <w:color w:val="222222"/>
        </w:rPr>
        <w:t>highly-militarized</w:t>
      </w:r>
      <w:r w:rsidR="00443439" w:rsidRPr="00287734">
        <w:rPr>
          <w:rFonts w:eastAsia="Times New Roman"/>
          <w:color w:val="222222"/>
        </w:rPr>
        <w:t>”</w:t>
      </w:r>
      <w:r w:rsidRPr="00287734">
        <w:rPr>
          <w:rFonts w:eastAsia="Times New Roman"/>
          <w:color w:val="222222"/>
        </w:rPr>
        <w:t xml:space="preserve"> approach</w:t>
      </w:r>
      <w:r>
        <w:rPr>
          <w:rFonts w:eastAsia="Times New Roman"/>
          <w:color w:val="222222"/>
        </w:rPr>
        <w:t>, t</w:t>
      </w:r>
      <w:r w:rsidR="00443439" w:rsidRPr="00287734">
        <w:rPr>
          <w:rFonts w:eastAsia="Times New Roman"/>
          <w:color w:val="222222"/>
        </w:rPr>
        <w:t xml:space="preserve">here </w:t>
      </w:r>
      <w:r>
        <w:rPr>
          <w:rFonts w:eastAsia="Times New Roman"/>
          <w:color w:val="222222"/>
        </w:rPr>
        <w:t xml:space="preserve">is </w:t>
      </w:r>
      <w:r w:rsidR="00443439" w:rsidRPr="00287734">
        <w:rPr>
          <w:rFonts w:eastAsia="Times New Roman"/>
          <w:color w:val="222222"/>
        </w:rPr>
        <w:t>no basis for this description of the national approach of th</w:t>
      </w:r>
      <w:r>
        <w:rPr>
          <w:rFonts w:eastAsia="Times New Roman"/>
          <w:color w:val="222222"/>
        </w:rPr>
        <w:t>e government</w:t>
      </w:r>
      <w:r w:rsidR="00443439" w:rsidRPr="00287734">
        <w:rPr>
          <w:rFonts w:eastAsia="Times New Roman"/>
          <w:color w:val="222222"/>
        </w:rPr>
        <w:t>. </w:t>
      </w:r>
      <w:r w:rsidR="00443439" w:rsidRPr="00287734">
        <w:rPr>
          <w:rFonts w:eastAsia="Times New Roman"/>
          <w:bCs/>
          <w:color w:val="222222"/>
        </w:rPr>
        <w:t xml:space="preserve">The Armed Forces of the Philippines (AFP) </w:t>
      </w:r>
      <w:r w:rsidR="00D6731C" w:rsidRPr="00D6731C">
        <w:rPr>
          <w:rFonts w:eastAsia="Times New Roman"/>
          <w:bCs/>
          <w:color w:val="222222"/>
        </w:rPr>
        <w:t xml:space="preserve">has </w:t>
      </w:r>
      <w:r w:rsidR="00443439" w:rsidRPr="00D6731C">
        <w:rPr>
          <w:rFonts w:eastAsia="Times New Roman"/>
          <w:bCs/>
          <w:color w:val="222222"/>
        </w:rPr>
        <w:t>only p</w:t>
      </w:r>
      <w:r w:rsidR="004478C9" w:rsidRPr="00D6731C">
        <w:rPr>
          <w:rFonts w:eastAsia="Times New Roman"/>
          <w:bCs/>
          <w:color w:val="222222"/>
        </w:rPr>
        <w:t>erformed a</w:t>
      </w:r>
      <w:r w:rsidR="00443439" w:rsidRPr="00D6731C">
        <w:rPr>
          <w:rFonts w:eastAsia="Times New Roman"/>
          <w:bCs/>
          <w:color w:val="222222"/>
        </w:rPr>
        <w:t xml:space="preserve"> complementary role to the executive agencies in the operations</w:t>
      </w:r>
      <w:r w:rsidR="00443439" w:rsidRPr="00D6731C">
        <w:rPr>
          <w:rFonts w:eastAsia="Times New Roman"/>
          <w:color w:val="222222"/>
        </w:rPr>
        <w:t>. This involved the use</w:t>
      </w:r>
      <w:r w:rsidR="00443439" w:rsidRPr="00287734">
        <w:rPr>
          <w:rFonts w:eastAsia="Times New Roman"/>
          <w:color w:val="222222"/>
        </w:rPr>
        <w:t xml:space="preserve"> of its military assets and logistics, to transport PPEs, medical equipment, testing kits and frontline personnel in the cities and across the more than 7,100 islands of the Philippines. Naval assets were also used to transport Filipino nationals from Iran and PPEs from China and India, and air assets to transport foreign tourists from the islands to Manila to enable them to join evacuation flights organized by their governments and return to Europe and their home countries. AFP engineering teams were also involved in building 29 Em</w:t>
      </w:r>
      <w:r>
        <w:rPr>
          <w:rFonts w:eastAsia="Times New Roman"/>
          <w:color w:val="222222"/>
        </w:rPr>
        <w:t>ergency Quarantine Facilities (</w:t>
      </w:r>
      <w:r w:rsidR="00443439" w:rsidRPr="00287734">
        <w:rPr>
          <w:rFonts w:eastAsia="Times New Roman"/>
          <w:color w:val="222222"/>
        </w:rPr>
        <w:t>EQF) across the country to support hospitals and health facilities with inadequate rooms.  A number of AFP military kitchen trucks were deployed as “mobile kitchens” serving the homeless in the Metro Manila. </w:t>
      </w:r>
    </w:p>
    <w:p w14:paraId="64573681" w14:textId="77777777" w:rsidR="00287734" w:rsidRDefault="00287734" w:rsidP="009B0A9C">
      <w:pPr>
        <w:spacing w:line="240" w:lineRule="auto"/>
        <w:jc w:val="both"/>
        <w:rPr>
          <w:rFonts w:eastAsia="Times New Roman"/>
          <w:color w:val="222222"/>
        </w:rPr>
      </w:pPr>
    </w:p>
    <w:p w14:paraId="251DA5DD" w14:textId="5D32E1D4" w:rsidR="0011165F" w:rsidRPr="00181D36" w:rsidRDefault="00443439" w:rsidP="009B0A9C">
      <w:pPr>
        <w:spacing w:line="240" w:lineRule="auto"/>
        <w:jc w:val="both"/>
        <w:rPr>
          <w:lang w:val="en-US"/>
        </w:rPr>
      </w:pPr>
      <w:r w:rsidRPr="00FD7199">
        <w:rPr>
          <w:rFonts w:eastAsia="Times New Roman"/>
          <w:bCs/>
          <w:color w:val="222222"/>
        </w:rPr>
        <w:t>The AFP has no police powers.</w:t>
      </w:r>
      <w:r w:rsidRPr="00FD7199">
        <w:rPr>
          <w:rFonts w:eastAsia="Times New Roman"/>
          <w:color w:val="222222"/>
        </w:rPr>
        <w:t> </w:t>
      </w:r>
      <w:r w:rsidRPr="00FD7199">
        <w:rPr>
          <w:rFonts w:eastAsia="Times New Roman"/>
          <w:bCs/>
          <w:color w:val="222222"/>
        </w:rPr>
        <w:t>The enforcement of curfews related to Enhanced Community Quarantine (ECQ) has been the responsibility of the PNP and the local government units (LGUs</w:t>
      </w:r>
      <w:r w:rsidRPr="00FD7199">
        <w:rPr>
          <w:rFonts w:eastAsia="Times New Roman"/>
          <w:color w:val="222222"/>
        </w:rPr>
        <w:t>),</w:t>
      </w:r>
      <w:r w:rsidRPr="00287734">
        <w:rPr>
          <w:rFonts w:eastAsia="Times New Roman"/>
          <w:color w:val="222222"/>
        </w:rPr>
        <w:t xml:space="preserve"> with the AFP personnel only supporting the PNP in selected checkpoints, public markets, etc</w:t>
      </w:r>
      <w:r w:rsidR="00287734">
        <w:rPr>
          <w:rFonts w:eastAsia="Times New Roman"/>
          <w:color w:val="222222"/>
        </w:rPr>
        <w:t>.</w:t>
      </w:r>
      <w:r w:rsidRPr="00287734">
        <w:rPr>
          <w:rFonts w:eastAsia="Times New Roman"/>
          <w:color w:val="222222"/>
        </w:rPr>
        <w:t>, and on the request of the LGUs. This had been necessary to support frontline services in the capital, Metro Manila, which has a population of more than 12 million. LGUs asked AFP teams to assist in delivery of food and cash subsidies in areas in the countryside where these operations had been harassed and prevented by units of the New People’s Army</w:t>
      </w:r>
      <w:r w:rsidR="00D6731C">
        <w:rPr>
          <w:rFonts w:eastAsia="Times New Roman"/>
          <w:color w:val="222222"/>
        </w:rPr>
        <w:t xml:space="preserve"> (NPA)</w:t>
      </w:r>
      <w:r w:rsidRPr="00287734">
        <w:rPr>
          <w:rFonts w:eastAsia="Times New Roman"/>
          <w:color w:val="222222"/>
        </w:rPr>
        <w:t>. It is noted that in Switzerland, France and other European countries, militaries and their assets were deployed as well to carry out national response measures.</w:t>
      </w:r>
      <w:r w:rsidRPr="00287734">
        <w:rPr>
          <w:i/>
          <w:lang w:val="en-US"/>
        </w:rPr>
        <w:t xml:space="preserve">  </w:t>
      </w:r>
    </w:p>
    <w:p w14:paraId="58DE4E72" w14:textId="77777777" w:rsidR="001E16EC" w:rsidRDefault="001E16EC" w:rsidP="001E16EC">
      <w:pPr>
        <w:jc w:val="both"/>
        <w:rPr>
          <w:b/>
          <w:bCs/>
        </w:rPr>
      </w:pPr>
    </w:p>
    <w:p w14:paraId="24F2032E" w14:textId="08C06B3A" w:rsidR="00231DFD" w:rsidRPr="001E16EC" w:rsidRDefault="00443439" w:rsidP="001E16EC">
      <w:pPr>
        <w:pStyle w:val="ListParagraph"/>
        <w:numPr>
          <w:ilvl w:val="0"/>
          <w:numId w:val="40"/>
        </w:numPr>
        <w:ind w:left="284" w:hanging="284"/>
        <w:rPr>
          <w:b/>
        </w:rPr>
      </w:pPr>
      <w:r w:rsidRPr="001E16EC">
        <w:rPr>
          <w:b/>
          <w:bCs/>
        </w:rPr>
        <w:t xml:space="preserve">The Philippine </w:t>
      </w:r>
      <w:r w:rsidR="004A41A6" w:rsidRPr="001E16EC">
        <w:rPr>
          <w:b/>
          <w:bCs/>
        </w:rPr>
        <w:t>G</w:t>
      </w:r>
      <w:r w:rsidRPr="001E16EC">
        <w:rPr>
          <w:b/>
          <w:bCs/>
        </w:rPr>
        <w:t>overnment’s u</w:t>
      </w:r>
      <w:r w:rsidR="00231DFD" w:rsidRPr="001E16EC">
        <w:rPr>
          <w:b/>
          <w:bCs/>
        </w:rPr>
        <w:t>nilateral</w:t>
      </w:r>
      <w:r w:rsidRPr="001E16EC">
        <w:rPr>
          <w:b/>
        </w:rPr>
        <w:t xml:space="preserve"> ceasefire declaration and the violations by the</w:t>
      </w:r>
      <w:r w:rsidR="008B7D4A" w:rsidRPr="001E16EC">
        <w:rPr>
          <w:b/>
        </w:rPr>
        <w:t xml:space="preserve"> Communist Party of the </w:t>
      </w:r>
      <w:r w:rsidR="006B6129" w:rsidRPr="001E16EC">
        <w:rPr>
          <w:b/>
        </w:rPr>
        <w:t>Philippines-New People’s Army-National Democratic Front</w:t>
      </w:r>
      <w:r w:rsidRPr="001E16EC">
        <w:rPr>
          <w:b/>
        </w:rPr>
        <w:t xml:space="preserve"> </w:t>
      </w:r>
      <w:r w:rsidR="006B6129" w:rsidRPr="001E16EC">
        <w:rPr>
          <w:b/>
        </w:rPr>
        <w:t>(</w:t>
      </w:r>
      <w:r w:rsidRPr="001E16EC">
        <w:rPr>
          <w:b/>
        </w:rPr>
        <w:t>CPP-NPA-NDF</w:t>
      </w:r>
      <w:r w:rsidR="006B6129" w:rsidRPr="001E16EC">
        <w:rPr>
          <w:b/>
        </w:rPr>
        <w:t>)</w:t>
      </w:r>
      <w:r w:rsidR="00231DFD" w:rsidRPr="001E16EC">
        <w:rPr>
          <w:b/>
        </w:rPr>
        <w:t xml:space="preserve"> </w:t>
      </w:r>
    </w:p>
    <w:p w14:paraId="7370C18B" w14:textId="77777777" w:rsidR="00231DFD" w:rsidRPr="00455F2E" w:rsidRDefault="00231DFD" w:rsidP="009B0A9C">
      <w:pPr>
        <w:spacing w:line="240" w:lineRule="auto"/>
        <w:ind w:left="604"/>
        <w:jc w:val="both"/>
      </w:pPr>
    </w:p>
    <w:p w14:paraId="47BDD66D" w14:textId="50D6B874" w:rsidR="00231DFD" w:rsidRDefault="00231DFD" w:rsidP="009B0A9C">
      <w:pPr>
        <w:spacing w:line="240" w:lineRule="auto"/>
        <w:jc w:val="both"/>
      </w:pPr>
      <w:r w:rsidRPr="0011165F">
        <w:t>Even before the call by the UN Secretary-General for global ceasefire, President Rodri</w:t>
      </w:r>
      <w:r w:rsidR="00D6731C">
        <w:t>go</w:t>
      </w:r>
      <w:r w:rsidRPr="0011165F">
        <w:t xml:space="preserve"> Duterte declared on 18 March 2020 a unilateral ceasefire against the terrorist group Communist Party of th</w:t>
      </w:r>
      <w:r w:rsidR="00A857CF">
        <w:t>e Philippines-New People’s Army (CPP-NPA</w:t>
      </w:r>
      <w:r w:rsidRPr="0011165F">
        <w:t xml:space="preserve">). It is regrettable that, instead of responding in solidarity and sincerity, the </w:t>
      </w:r>
      <w:r w:rsidR="00D6731C">
        <w:t>NPA</w:t>
      </w:r>
      <w:r w:rsidRPr="0011165F">
        <w:t xml:space="preserve"> violated the ceasefire and exploited the situation with the brutal killings of indigenous leaders, attacks against government </w:t>
      </w:r>
      <w:proofErr w:type="spellStart"/>
      <w:r w:rsidRPr="0011165F">
        <w:t>frontliners</w:t>
      </w:r>
      <w:proofErr w:type="spellEnd"/>
      <w:r w:rsidRPr="0011165F">
        <w:t>, and the political agitation of vulnerable sectors.</w:t>
      </w:r>
    </w:p>
    <w:p w14:paraId="5F3DC62E" w14:textId="77777777" w:rsidR="00A857CF" w:rsidRDefault="00A857CF" w:rsidP="009B0A9C">
      <w:pPr>
        <w:spacing w:line="240" w:lineRule="auto"/>
        <w:jc w:val="both"/>
      </w:pPr>
    </w:p>
    <w:p w14:paraId="7FB09B25" w14:textId="374AE6BA" w:rsidR="00A857CF" w:rsidRPr="0011165F" w:rsidRDefault="00A857CF" w:rsidP="009B0A9C">
      <w:pPr>
        <w:spacing w:line="240" w:lineRule="auto"/>
        <w:jc w:val="both"/>
      </w:pPr>
      <w:r>
        <w:t>While the CPP-NP</w:t>
      </w:r>
      <w:r w:rsidR="00D6731C">
        <w:t>A</w:t>
      </w:r>
      <w:r>
        <w:t xml:space="preserve"> later declared its own unilateral ceasefire on 26 March</w:t>
      </w:r>
      <w:r w:rsidR="006B6129">
        <w:t xml:space="preserve"> 2020</w:t>
      </w:r>
      <w:r>
        <w:t xml:space="preserve">, which </w:t>
      </w:r>
      <w:r w:rsidR="006F0DAB">
        <w:t xml:space="preserve">it </w:t>
      </w:r>
      <w:r>
        <w:t>ended on 30 April</w:t>
      </w:r>
      <w:r w:rsidR="006B6129">
        <w:t xml:space="preserve"> 2020</w:t>
      </w:r>
      <w:r>
        <w:t xml:space="preserve">, the realities on the ground demonstrate </w:t>
      </w:r>
      <w:r w:rsidR="006F0DAB">
        <w:t xml:space="preserve">opportunism, exploitation, and </w:t>
      </w:r>
      <w:r>
        <w:t xml:space="preserve">violations </w:t>
      </w:r>
      <w:r w:rsidR="006F0DAB">
        <w:t>even during its declared period of cease</w:t>
      </w:r>
      <w:r w:rsidR="00B75022">
        <w:t xml:space="preserve">fire. Among the reported abuses and violations include the stealing of food packs and relief goods, armed assault against security officers distributing relief goods resulting in deaths of government </w:t>
      </w:r>
      <w:proofErr w:type="spellStart"/>
      <w:r w:rsidR="00B75022">
        <w:t>frontliners</w:t>
      </w:r>
      <w:proofErr w:type="spellEnd"/>
      <w:r w:rsidR="00B75022">
        <w:t>, killing of indigenous people leaders, extortion activities victimizing village residents, among others. Following are</w:t>
      </w:r>
      <w:r w:rsidR="00BD04D3">
        <w:t xml:space="preserve"> a few of the</w:t>
      </w:r>
      <w:r w:rsidR="00B75022">
        <w:t xml:space="preserve"> specific incidents:  </w:t>
      </w:r>
    </w:p>
    <w:p w14:paraId="58D7E0D9" w14:textId="77777777" w:rsidR="00231DFD" w:rsidRPr="00B75022" w:rsidRDefault="00231DFD" w:rsidP="009B0A9C">
      <w:pPr>
        <w:pStyle w:val="ListParagraph"/>
        <w:ind w:left="1031"/>
        <w:contextualSpacing w:val="0"/>
        <w:jc w:val="both"/>
        <w:rPr>
          <w:rFonts w:cs="Arial"/>
          <w:bCs/>
          <w:sz w:val="22"/>
        </w:rPr>
      </w:pPr>
    </w:p>
    <w:p w14:paraId="5FC95EB0" w14:textId="793D8E04" w:rsidR="003D2BE6" w:rsidRPr="00B75022" w:rsidRDefault="003D2BE6" w:rsidP="009B0A9C">
      <w:pPr>
        <w:pStyle w:val="ListParagraph"/>
        <w:numPr>
          <w:ilvl w:val="0"/>
          <w:numId w:val="32"/>
        </w:numPr>
        <w:jc w:val="both"/>
        <w:rPr>
          <w:rFonts w:cs="Arial"/>
          <w:sz w:val="22"/>
        </w:rPr>
      </w:pPr>
      <w:r w:rsidRPr="00B75022">
        <w:rPr>
          <w:rFonts w:cs="Arial"/>
          <w:sz w:val="22"/>
        </w:rPr>
        <w:lastRenderedPageBreak/>
        <w:t xml:space="preserve">Snatching of food packs by the </w:t>
      </w:r>
      <w:r w:rsidR="00B75022">
        <w:rPr>
          <w:rFonts w:cs="Arial"/>
          <w:sz w:val="22"/>
        </w:rPr>
        <w:t xml:space="preserve">NPA </w:t>
      </w:r>
      <w:r w:rsidRPr="00B75022">
        <w:rPr>
          <w:rFonts w:cs="Arial"/>
          <w:sz w:val="22"/>
        </w:rPr>
        <w:t xml:space="preserve">from village officials in </w:t>
      </w:r>
      <w:proofErr w:type="spellStart"/>
      <w:r w:rsidRPr="00B75022">
        <w:rPr>
          <w:rFonts w:cs="Arial"/>
          <w:sz w:val="22"/>
        </w:rPr>
        <w:t>Balangiga</w:t>
      </w:r>
      <w:proofErr w:type="spellEnd"/>
      <w:r w:rsidRPr="00B75022">
        <w:rPr>
          <w:rFonts w:cs="Arial"/>
          <w:sz w:val="22"/>
        </w:rPr>
        <w:t>, Eastern Samar</w:t>
      </w:r>
      <w:r w:rsidR="00F2202A">
        <w:rPr>
          <w:rFonts w:cs="Arial"/>
          <w:sz w:val="22"/>
        </w:rPr>
        <w:t>.</w:t>
      </w:r>
    </w:p>
    <w:p w14:paraId="3798F35F" w14:textId="77777777" w:rsidR="00CF4CF6" w:rsidRDefault="00CF4CF6" w:rsidP="009B0A9C">
      <w:pPr>
        <w:pStyle w:val="ListParagraph"/>
        <w:jc w:val="both"/>
        <w:rPr>
          <w:rFonts w:cs="Arial"/>
          <w:sz w:val="22"/>
        </w:rPr>
      </w:pPr>
    </w:p>
    <w:p w14:paraId="19CFC2E4" w14:textId="0A13A50E" w:rsidR="003D2BE6" w:rsidRPr="00B75022" w:rsidRDefault="003D2BE6" w:rsidP="009B0A9C">
      <w:pPr>
        <w:pStyle w:val="ListParagraph"/>
        <w:numPr>
          <w:ilvl w:val="0"/>
          <w:numId w:val="32"/>
        </w:numPr>
        <w:jc w:val="both"/>
        <w:rPr>
          <w:rFonts w:cs="Arial"/>
          <w:sz w:val="22"/>
        </w:rPr>
      </w:pPr>
      <w:r w:rsidRPr="00B75022">
        <w:rPr>
          <w:rFonts w:cs="Arial"/>
          <w:sz w:val="22"/>
        </w:rPr>
        <w:t>15 NPA rebels fired at soldiers of the 2</w:t>
      </w:r>
      <w:r w:rsidRPr="00B75022">
        <w:rPr>
          <w:rFonts w:cs="Arial"/>
          <w:sz w:val="22"/>
          <w:vertAlign w:val="superscript"/>
        </w:rPr>
        <w:t xml:space="preserve">nd </w:t>
      </w:r>
      <w:r w:rsidRPr="00B75022">
        <w:rPr>
          <w:rFonts w:cs="Arial"/>
          <w:sz w:val="22"/>
        </w:rPr>
        <w:t>Infantry Bat</w:t>
      </w:r>
      <w:r w:rsidR="00D7603A">
        <w:rPr>
          <w:rFonts w:cs="Arial"/>
          <w:sz w:val="22"/>
        </w:rPr>
        <w:t>t</w:t>
      </w:r>
      <w:r w:rsidRPr="00B75022">
        <w:rPr>
          <w:rFonts w:cs="Arial"/>
          <w:sz w:val="22"/>
        </w:rPr>
        <w:t xml:space="preserve">alion and police officers who were helping distribute relief goods in </w:t>
      </w:r>
      <w:proofErr w:type="spellStart"/>
      <w:r w:rsidRPr="00B75022">
        <w:rPr>
          <w:rFonts w:cs="Arial"/>
          <w:sz w:val="22"/>
        </w:rPr>
        <w:t>Aroroy</w:t>
      </w:r>
      <w:proofErr w:type="spellEnd"/>
      <w:r w:rsidRPr="00B75022">
        <w:rPr>
          <w:rFonts w:cs="Arial"/>
          <w:sz w:val="22"/>
        </w:rPr>
        <w:t>, Masbate</w:t>
      </w:r>
      <w:r w:rsidR="00F2202A">
        <w:rPr>
          <w:rFonts w:cs="Arial"/>
          <w:sz w:val="22"/>
        </w:rPr>
        <w:t xml:space="preserve"> </w:t>
      </w:r>
      <w:r w:rsidR="00F2202A" w:rsidRPr="00B75022">
        <w:rPr>
          <w:rFonts w:cs="Arial"/>
          <w:sz w:val="22"/>
        </w:rPr>
        <w:t xml:space="preserve">on 10 April </w:t>
      </w:r>
      <w:r w:rsidR="00F2202A">
        <w:rPr>
          <w:rFonts w:cs="Arial"/>
          <w:sz w:val="22"/>
        </w:rPr>
        <w:t>2020.</w:t>
      </w:r>
    </w:p>
    <w:p w14:paraId="01BD52A4" w14:textId="77777777" w:rsidR="00CF4CF6" w:rsidRDefault="00CF4CF6" w:rsidP="009B0A9C">
      <w:pPr>
        <w:pStyle w:val="ListParagraph"/>
        <w:jc w:val="both"/>
        <w:rPr>
          <w:rFonts w:cs="Arial"/>
          <w:sz w:val="22"/>
        </w:rPr>
      </w:pPr>
    </w:p>
    <w:p w14:paraId="571809DC" w14:textId="2F1FD19E" w:rsidR="00CF4CF6" w:rsidRPr="00BD04D3" w:rsidRDefault="003D2BE6" w:rsidP="009B0A9C">
      <w:pPr>
        <w:pStyle w:val="ListParagraph"/>
        <w:numPr>
          <w:ilvl w:val="0"/>
          <w:numId w:val="32"/>
        </w:numPr>
        <w:jc w:val="both"/>
      </w:pPr>
      <w:r w:rsidRPr="00B75022">
        <w:rPr>
          <w:rFonts w:cs="Arial"/>
          <w:sz w:val="22"/>
        </w:rPr>
        <w:t xml:space="preserve">The killing on 14 April </w:t>
      </w:r>
      <w:r w:rsidR="00D6731C">
        <w:rPr>
          <w:rFonts w:cs="Arial"/>
          <w:sz w:val="22"/>
        </w:rPr>
        <w:t xml:space="preserve">2020 </w:t>
      </w:r>
      <w:r w:rsidRPr="00B75022">
        <w:rPr>
          <w:rFonts w:cs="Arial"/>
          <w:sz w:val="22"/>
        </w:rPr>
        <w:t xml:space="preserve">of a member of the Manobo tribe in Surigao del Sur while he was tending his farm and was unarmed. The killing was witnessed by his children. The NPA also killed </w:t>
      </w:r>
      <w:r w:rsidR="00BD04D3">
        <w:rPr>
          <w:rFonts w:cs="Arial"/>
          <w:sz w:val="22"/>
        </w:rPr>
        <w:t xml:space="preserve">a </w:t>
      </w:r>
      <w:r w:rsidRPr="00B75022">
        <w:rPr>
          <w:rFonts w:cs="Arial"/>
          <w:sz w:val="22"/>
        </w:rPr>
        <w:t xml:space="preserve">Manobo tribal leader of </w:t>
      </w:r>
      <w:proofErr w:type="spellStart"/>
      <w:r w:rsidRPr="00B75022">
        <w:rPr>
          <w:rFonts w:cs="Arial"/>
          <w:sz w:val="22"/>
        </w:rPr>
        <w:t>Magroyong</w:t>
      </w:r>
      <w:proofErr w:type="spellEnd"/>
      <w:r w:rsidRPr="00B75022">
        <w:rPr>
          <w:rFonts w:cs="Arial"/>
          <w:sz w:val="22"/>
        </w:rPr>
        <w:t>, San Miguel and a civilian on 19 March</w:t>
      </w:r>
      <w:r w:rsidR="00D6731C">
        <w:rPr>
          <w:rFonts w:cs="Arial"/>
          <w:sz w:val="22"/>
        </w:rPr>
        <w:t xml:space="preserve"> 2020</w:t>
      </w:r>
      <w:r w:rsidRPr="00B75022">
        <w:rPr>
          <w:rFonts w:cs="Arial"/>
          <w:sz w:val="22"/>
        </w:rPr>
        <w:t>.</w:t>
      </w:r>
      <w:r w:rsidR="00BD04D3">
        <w:rPr>
          <w:rFonts w:cs="Arial"/>
          <w:sz w:val="22"/>
        </w:rPr>
        <w:t xml:space="preserve"> </w:t>
      </w:r>
    </w:p>
    <w:p w14:paraId="047C75C9" w14:textId="77777777" w:rsidR="00BD04D3" w:rsidRPr="00CF4CF6" w:rsidRDefault="00BD04D3" w:rsidP="009B0A9C">
      <w:pPr>
        <w:spacing w:line="240" w:lineRule="auto"/>
        <w:jc w:val="both"/>
      </w:pPr>
    </w:p>
    <w:p w14:paraId="09790075" w14:textId="4B2C6DB1" w:rsidR="003D2BE6" w:rsidRPr="00CF4CF6" w:rsidRDefault="00CF4CF6" w:rsidP="009B0A9C">
      <w:pPr>
        <w:pStyle w:val="Default"/>
        <w:numPr>
          <w:ilvl w:val="0"/>
          <w:numId w:val="32"/>
        </w:numPr>
        <w:jc w:val="both"/>
        <w:rPr>
          <w:sz w:val="22"/>
          <w:szCs w:val="22"/>
        </w:rPr>
      </w:pPr>
      <w:r w:rsidRPr="00CF4CF6">
        <w:rPr>
          <w:sz w:val="22"/>
          <w:szCs w:val="22"/>
        </w:rPr>
        <w:t xml:space="preserve">On 19 April 2020 in </w:t>
      </w:r>
      <w:proofErr w:type="spellStart"/>
      <w:r w:rsidRPr="00CF4CF6">
        <w:rPr>
          <w:sz w:val="22"/>
          <w:szCs w:val="22"/>
        </w:rPr>
        <w:t>Himamaylan</w:t>
      </w:r>
      <w:proofErr w:type="spellEnd"/>
      <w:r w:rsidRPr="00CF4CF6">
        <w:rPr>
          <w:sz w:val="22"/>
          <w:szCs w:val="22"/>
        </w:rPr>
        <w:t xml:space="preserve"> City, Negros Occidental, t</w:t>
      </w:r>
      <w:r w:rsidR="003D2BE6" w:rsidRPr="00CF4CF6">
        <w:rPr>
          <w:sz w:val="22"/>
          <w:szCs w:val="22"/>
        </w:rPr>
        <w:t>he 94</w:t>
      </w:r>
      <w:r w:rsidR="003D2BE6" w:rsidRPr="00D6731C">
        <w:rPr>
          <w:sz w:val="22"/>
          <w:szCs w:val="22"/>
          <w:vertAlign w:val="superscript"/>
        </w:rPr>
        <w:t>th</w:t>
      </w:r>
      <w:r w:rsidR="00D6731C">
        <w:rPr>
          <w:sz w:val="22"/>
          <w:szCs w:val="22"/>
        </w:rPr>
        <w:t xml:space="preserve"> </w:t>
      </w:r>
      <w:r w:rsidR="003D2BE6" w:rsidRPr="00CF4CF6">
        <w:rPr>
          <w:sz w:val="22"/>
          <w:szCs w:val="22"/>
        </w:rPr>
        <w:t xml:space="preserve">Infantry Battalion </w:t>
      </w:r>
      <w:r w:rsidRPr="00CF4CF6">
        <w:rPr>
          <w:sz w:val="22"/>
          <w:szCs w:val="22"/>
        </w:rPr>
        <w:t xml:space="preserve">was </w:t>
      </w:r>
      <w:r w:rsidR="003D2BE6" w:rsidRPr="00CF4CF6">
        <w:rPr>
          <w:sz w:val="22"/>
          <w:szCs w:val="22"/>
        </w:rPr>
        <w:t>conducting community security patrol in connection with the distribution of Social Amelioration Program (SAP) of the Department of Social Welfare and Development (DSWD) to support the affected families due to COVID-19 in a nearby barangay as they received series of reports regarding the presence of armed group who were conducting extortion activities in the communities forcing the people to give money and rice.</w:t>
      </w:r>
      <w:r w:rsidRPr="00CF4CF6">
        <w:rPr>
          <w:sz w:val="22"/>
          <w:szCs w:val="22"/>
        </w:rPr>
        <w:t xml:space="preserve"> An improvised explosive device </w:t>
      </w:r>
      <w:r w:rsidR="004478C9" w:rsidRPr="008B7D4A">
        <w:rPr>
          <w:color w:val="auto"/>
          <w:sz w:val="22"/>
          <w:szCs w:val="22"/>
        </w:rPr>
        <w:t>(IED)</w:t>
      </w:r>
      <w:r w:rsidR="00CA7D69" w:rsidRPr="008B7D4A">
        <w:rPr>
          <w:color w:val="auto"/>
          <w:sz w:val="22"/>
          <w:szCs w:val="22"/>
        </w:rPr>
        <w:t xml:space="preserve"> </w:t>
      </w:r>
      <w:r w:rsidRPr="00CF4CF6">
        <w:rPr>
          <w:sz w:val="22"/>
          <w:szCs w:val="22"/>
        </w:rPr>
        <w:t xml:space="preserve">and hand grenades were thrown by the NPA inflicting immediate casualties among the soldiers and resulting in injury among </w:t>
      </w:r>
      <w:r w:rsidR="00E046CC">
        <w:rPr>
          <w:sz w:val="22"/>
          <w:szCs w:val="22"/>
        </w:rPr>
        <w:t xml:space="preserve">four </w:t>
      </w:r>
      <w:r w:rsidRPr="00CF4CF6">
        <w:rPr>
          <w:sz w:val="22"/>
          <w:szCs w:val="22"/>
        </w:rPr>
        <w:t xml:space="preserve">soldiers and </w:t>
      </w:r>
      <w:r>
        <w:rPr>
          <w:sz w:val="22"/>
          <w:szCs w:val="22"/>
        </w:rPr>
        <w:t xml:space="preserve">the death of </w:t>
      </w:r>
      <w:r w:rsidR="00E046CC">
        <w:rPr>
          <w:sz w:val="22"/>
          <w:szCs w:val="22"/>
        </w:rPr>
        <w:t>three</w:t>
      </w:r>
      <w:r>
        <w:rPr>
          <w:sz w:val="22"/>
          <w:szCs w:val="22"/>
        </w:rPr>
        <w:t xml:space="preserve"> soldiers. </w:t>
      </w:r>
    </w:p>
    <w:p w14:paraId="0213322B" w14:textId="77777777" w:rsidR="003D2BE6" w:rsidRPr="00B75022" w:rsidRDefault="003D2BE6" w:rsidP="009B0A9C">
      <w:pPr>
        <w:pStyle w:val="Default"/>
        <w:jc w:val="both"/>
        <w:rPr>
          <w:sz w:val="22"/>
          <w:szCs w:val="22"/>
        </w:rPr>
      </w:pPr>
    </w:p>
    <w:p w14:paraId="35784ECC" w14:textId="2B2B0203" w:rsidR="003D2BE6" w:rsidRPr="00B75022" w:rsidRDefault="00CF4CF6" w:rsidP="009B0A9C">
      <w:pPr>
        <w:pStyle w:val="Default"/>
        <w:numPr>
          <w:ilvl w:val="0"/>
          <w:numId w:val="32"/>
        </w:numPr>
        <w:jc w:val="both"/>
        <w:rPr>
          <w:sz w:val="22"/>
          <w:szCs w:val="22"/>
        </w:rPr>
      </w:pPr>
      <w:r>
        <w:rPr>
          <w:sz w:val="22"/>
          <w:szCs w:val="22"/>
        </w:rPr>
        <w:t>On 19 April 2020</w:t>
      </w:r>
      <w:r w:rsidR="00BD04D3">
        <w:rPr>
          <w:sz w:val="22"/>
          <w:szCs w:val="22"/>
        </w:rPr>
        <w:t>, AFP troops received reports from the locals of</w:t>
      </w:r>
      <w:r>
        <w:rPr>
          <w:sz w:val="22"/>
          <w:szCs w:val="22"/>
        </w:rPr>
        <w:t xml:space="preserve"> planned harassment by the CPP-NPA-NDF against civilians and government troops in San Agustin, Surigao del Sur. The plan was foiled with the government troop intercepting CPP-NPA-NDF personalities as they were laying</w:t>
      </w:r>
      <w:r w:rsidR="003D2BE6" w:rsidRPr="00B75022">
        <w:rPr>
          <w:sz w:val="22"/>
          <w:szCs w:val="22"/>
        </w:rPr>
        <w:t xml:space="preserve"> improvised landmines along farm trails</w:t>
      </w:r>
      <w:r>
        <w:rPr>
          <w:sz w:val="22"/>
          <w:szCs w:val="22"/>
        </w:rPr>
        <w:t xml:space="preserve"> which target both government troops and civilians. The army recovered</w:t>
      </w:r>
      <w:r w:rsidR="003D2BE6" w:rsidRPr="00B75022">
        <w:rPr>
          <w:sz w:val="22"/>
          <w:szCs w:val="22"/>
        </w:rPr>
        <w:t xml:space="preserve"> four International Humanitarian Law (IHL)-banned anti-</w:t>
      </w:r>
      <w:r w:rsidR="00E936B0">
        <w:rPr>
          <w:sz w:val="22"/>
          <w:szCs w:val="22"/>
        </w:rPr>
        <w:t xml:space="preserve">personnel improvised landmines and </w:t>
      </w:r>
      <w:r w:rsidR="003D2BE6" w:rsidRPr="00B75022">
        <w:rPr>
          <w:sz w:val="22"/>
          <w:szCs w:val="22"/>
        </w:rPr>
        <w:t>an AK-47 magazine wit</w:t>
      </w:r>
      <w:r w:rsidR="00E936B0">
        <w:rPr>
          <w:sz w:val="22"/>
          <w:szCs w:val="22"/>
        </w:rPr>
        <w:t>h full ammunition.</w:t>
      </w:r>
      <w:r w:rsidR="003D2BE6" w:rsidRPr="00B75022">
        <w:rPr>
          <w:sz w:val="22"/>
          <w:szCs w:val="22"/>
        </w:rPr>
        <w:t xml:space="preserve"> </w:t>
      </w:r>
    </w:p>
    <w:p w14:paraId="6373C446" w14:textId="77777777" w:rsidR="003D2BE6" w:rsidRPr="00B75022" w:rsidRDefault="003D2BE6" w:rsidP="009B0A9C">
      <w:pPr>
        <w:pStyle w:val="Default"/>
        <w:ind w:left="720"/>
        <w:jc w:val="both"/>
        <w:rPr>
          <w:sz w:val="22"/>
          <w:szCs w:val="22"/>
        </w:rPr>
      </w:pPr>
    </w:p>
    <w:p w14:paraId="6B3D8BF1" w14:textId="15D9F747" w:rsidR="003D2BE6" w:rsidRPr="00B75022" w:rsidRDefault="00CF4CF6" w:rsidP="009B0A9C">
      <w:pPr>
        <w:pStyle w:val="Default"/>
        <w:numPr>
          <w:ilvl w:val="0"/>
          <w:numId w:val="32"/>
        </w:numPr>
        <w:jc w:val="both"/>
        <w:rPr>
          <w:sz w:val="22"/>
          <w:szCs w:val="22"/>
        </w:rPr>
      </w:pPr>
      <w:r>
        <w:rPr>
          <w:sz w:val="22"/>
          <w:szCs w:val="22"/>
        </w:rPr>
        <w:t xml:space="preserve">On 21 April 2020, the </w:t>
      </w:r>
      <w:r w:rsidR="003D2BE6" w:rsidRPr="00B75022">
        <w:rPr>
          <w:sz w:val="22"/>
          <w:szCs w:val="22"/>
        </w:rPr>
        <w:t>Army’s Infantry Battalion</w:t>
      </w:r>
      <w:r>
        <w:rPr>
          <w:sz w:val="22"/>
          <w:szCs w:val="22"/>
        </w:rPr>
        <w:t xml:space="preserve"> received a series of reports/complaints from the locals of </w:t>
      </w:r>
      <w:proofErr w:type="spellStart"/>
      <w:r>
        <w:rPr>
          <w:sz w:val="22"/>
          <w:szCs w:val="22"/>
        </w:rPr>
        <w:t>Bayog</w:t>
      </w:r>
      <w:proofErr w:type="spellEnd"/>
      <w:r>
        <w:rPr>
          <w:sz w:val="22"/>
          <w:szCs w:val="22"/>
        </w:rPr>
        <w:t xml:space="preserve">, </w:t>
      </w:r>
      <w:proofErr w:type="spellStart"/>
      <w:r>
        <w:rPr>
          <w:sz w:val="22"/>
          <w:szCs w:val="22"/>
        </w:rPr>
        <w:t>Zamboaga</w:t>
      </w:r>
      <w:proofErr w:type="spellEnd"/>
      <w:r>
        <w:rPr>
          <w:sz w:val="22"/>
          <w:szCs w:val="22"/>
        </w:rPr>
        <w:t xml:space="preserve"> del Sur about the conduct of extortion activities by the NPA in their communities. This prompted the army to conduct</w:t>
      </w:r>
      <w:r w:rsidR="00C47729">
        <w:rPr>
          <w:sz w:val="22"/>
          <w:szCs w:val="22"/>
        </w:rPr>
        <w:t xml:space="preserve"> security patrol in the areas. The army was able to recover </w:t>
      </w:r>
      <w:r w:rsidR="003D2BE6" w:rsidRPr="00B75022">
        <w:rPr>
          <w:sz w:val="22"/>
          <w:szCs w:val="22"/>
        </w:rPr>
        <w:t xml:space="preserve">one M16A1 assault rifle, one </w:t>
      </w:r>
      <w:r w:rsidR="00E936B0">
        <w:rPr>
          <w:sz w:val="22"/>
          <w:szCs w:val="22"/>
        </w:rPr>
        <w:t>IED and other</w:t>
      </w:r>
      <w:r w:rsidR="00107BB8">
        <w:rPr>
          <w:sz w:val="22"/>
          <w:szCs w:val="22"/>
        </w:rPr>
        <w:t xml:space="preserve"> war</w:t>
      </w:r>
      <w:r w:rsidR="00E936B0">
        <w:rPr>
          <w:sz w:val="22"/>
          <w:szCs w:val="22"/>
        </w:rPr>
        <w:t xml:space="preserve"> </w:t>
      </w:r>
      <w:r w:rsidR="003D2BE6" w:rsidRPr="00B75022">
        <w:rPr>
          <w:sz w:val="22"/>
          <w:szCs w:val="22"/>
        </w:rPr>
        <w:t xml:space="preserve">materials. </w:t>
      </w:r>
    </w:p>
    <w:p w14:paraId="332E8693" w14:textId="77777777" w:rsidR="003D2BE6" w:rsidRDefault="003D2BE6" w:rsidP="009B0A9C">
      <w:pPr>
        <w:pStyle w:val="Default"/>
        <w:ind w:left="720"/>
        <w:jc w:val="both"/>
        <w:rPr>
          <w:sz w:val="22"/>
          <w:szCs w:val="22"/>
        </w:rPr>
      </w:pPr>
    </w:p>
    <w:p w14:paraId="2A98ECF7" w14:textId="0B7509E7" w:rsidR="00662896" w:rsidRPr="0039356C" w:rsidRDefault="009E03F5" w:rsidP="009B0A9C">
      <w:pPr>
        <w:pStyle w:val="Default"/>
        <w:jc w:val="both"/>
        <w:rPr>
          <w:sz w:val="22"/>
          <w:szCs w:val="22"/>
        </w:rPr>
      </w:pPr>
      <w:r w:rsidRPr="0039356C">
        <w:rPr>
          <w:sz w:val="22"/>
          <w:szCs w:val="22"/>
        </w:rPr>
        <w:t xml:space="preserve">CPP-NPA-NDF personalities including affiliated groups and organizations have capitalized on the pandemic situation to </w:t>
      </w:r>
      <w:r w:rsidR="00107BB8" w:rsidRPr="0039356C">
        <w:rPr>
          <w:sz w:val="22"/>
          <w:szCs w:val="22"/>
        </w:rPr>
        <w:t xml:space="preserve">further </w:t>
      </w:r>
      <w:r w:rsidRPr="0039356C">
        <w:rPr>
          <w:sz w:val="22"/>
          <w:szCs w:val="22"/>
        </w:rPr>
        <w:t>exploit vulnerable group</w:t>
      </w:r>
      <w:r w:rsidR="00107BB8" w:rsidRPr="0039356C">
        <w:rPr>
          <w:sz w:val="22"/>
          <w:szCs w:val="22"/>
        </w:rPr>
        <w:t>s to advance its political purposes. The group’s modus operandi described in earlier chapters</w:t>
      </w:r>
      <w:r w:rsidR="009D15A9" w:rsidRPr="0039356C">
        <w:rPr>
          <w:sz w:val="22"/>
          <w:szCs w:val="22"/>
        </w:rPr>
        <w:t xml:space="preserve"> refer to</w:t>
      </w:r>
      <w:r w:rsidR="00107BB8" w:rsidRPr="0039356C">
        <w:rPr>
          <w:sz w:val="22"/>
          <w:szCs w:val="22"/>
        </w:rPr>
        <w:t xml:space="preserve"> the deception of vulnerable sectors</w:t>
      </w:r>
      <w:r w:rsidR="00A20C9B">
        <w:rPr>
          <w:sz w:val="22"/>
          <w:szCs w:val="22"/>
        </w:rPr>
        <w:t>,</w:t>
      </w:r>
      <w:r w:rsidR="00107BB8" w:rsidRPr="0039356C">
        <w:rPr>
          <w:sz w:val="22"/>
          <w:szCs w:val="22"/>
        </w:rPr>
        <w:t xml:space="preserve"> such as indigenous peoples </w:t>
      </w:r>
      <w:r w:rsidR="009D15A9" w:rsidRPr="0039356C">
        <w:rPr>
          <w:sz w:val="22"/>
          <w:szCs w:val="22"/>
        </w:rPr>
        <w:t>who are</w:t>
      </w:r>
      <w:r w:rsidR="00107BB8" w:rsidRPr="0039356C">
        <w:rPr>
          <w:sz w:val="22"/>
          <w:szCs w:val="22"/>
        </w:rPr>
        <w:t xml:space="preserve"> used and exploited for political demonstration purposes</w:t>
      </w:r>
      <w:r w:rsidR="00A20C9B">
        <w:rPr>
          <w:sz w:val="22"/>
          <w:szCs w:val="22"/>
        </w:rPr>
        <w:t>,</w:t>
      </w:r>
      <w:r w:rsidR="00107BB8" w:rsidRPr="0039356C">
        <w:rPr>
          <w:sz w:val="22"/>
          <w:szCs w:val="22"/>
        </w:rPr>
        <w:t xml:space="preserve"> as well as of farmers/ peasants who </w:t>
      </w:r>
      <w:r w:rsidR="00662896" w:rsidRPr="0039356C">
        <w:rPr>
          <w:sz w:val="22"/>
          <w:szCs w:val="22"/>
        </w:rPr>
        <w:t xml:space="preserve">are enticed to forcefully occupy private lands thus putting them on the frontline of disputes. </w:t>
      </w:r>
    </w:p>
    <w:p w14:paraId="6A5F8E9C" w14:textId="77777777" w:rsidR="00662896" w:rsidRPr="0039356C" w:rsidRDefault="00662896" w:rsidP="009B0A9C">
      <w:pPr>
        <w:pStyle w:val="Default"/>
        <w:jc w:val="both"/>
        <w:rPr>
          <w:sz w:val="22"/>
          <w:szCs w:val="22"/>
        </w:rPr>
      </w:pPr>
    </w:p>
    <w:p w14:paraId="12C96EB0" w14:textId="77777777" w:rsidR="0039356C" w:rsidRDefault="00662896" w:rsidP="009B0A9C">
      <w:pPr>
        <w:pStyle w:val="Default"/>
        <w:jc w:val="both"/>
        <w:rPr>
          <w:sz w:val="22"/>
          <w:szCs w:val="22"/>
        </w:rPr>
      </w:pPr>
      <w:r w:rsidRPr="0039356C">
        <w:rPr>
          <w:sz w:val="22"/>
          <w:szCs w:val="22"/>
        </w:rPr>
        <w:t xml:space="preserve">These political agitation </w:t>
      </w:r>
      <w:r w:rsidR="009D15A9" w:rsidRPr="0039356C">
        <w:rPr>
          <w:sz w:val="22"/>
          <w:szCs w:val="22"/>
        </w:rPr>
        <w:t xml:space="preserve">of vulnerable groups </w:t>
      </w:r>
      <w:r w:rsidRPr="0039356C">
        <w:rPr>
          <w:sz w:val="22"/>
          <w:szCs w:val="22"/>
        </w:rPr>
        <w:t xml:space="preserve">by CPP-NPA-NDF personalities and entities have continued during the enforcement of the enhanced community quarantine, where, among others,  misleading  information </w:t>
      </w:r>
      <w:r w:rsidR="009D15A9" w:rsidRPr="0039356C">
        <w:rPr>
          <w:sz w:val="22"/>
          <w:szCs w:val="22"/>
        </w:rPr>
        <w:t>were</w:t>
      </w:r>
      <w:r w:rsidRPr="0039356C">
        <w:rPr>
          <w:sz w:val="22"/>
          <w:szCs w:val="22"/>
        </w:rPr>
        <w:t xml:space="preserve"> given to communities and individuals about supposed distribution of relief goods  in order to  instigate individuals to publicly assemble, in violation of the quarantine rules</w:t>
      </w:r>
      <w:r w:rsidR="009D15A9" w:rsidRPr="0039356C">
        <w:rPr>
          <w:sz w:val="22"/>
          <w:szCs w:val="22"/>
        </w:rPr>
        <w:t xml:space="preserve"> and in disregard of public health and safety</w:t>
      </w:r>
      <w:r w:rsidRPr="0039356C">
        <w:rPr>
          <w:sz w:val="22"/>
          <w:szCs w:val="22"/>
        </w:rPr>
        <w:t>, and give the appearance of a public demonstration</w:t>
      </w:r>
      <w:r w:rsidR="009D15A9" w:rsidRPr="0039356C">
        <w:rPr>
          <w:sz w:val="22"/>
          <w:szCs w:val="22"/>
        </w:rPr>
        <w:t xml:space="preserve"> or protest. </w:t>
      </w:r>
      <w:r w:rsidRPr="0039356C">
        <w:rPr>
          <w:sz w:val="22"/>
          <w:szCs w:val="22"/>
        </w:rPr>
        <w:t xml:space="preserve"> </w:t>
      </w:r>
    </w:p>
    <w:p w14:paraId="5140EDDB" w14:textId="77777777" w:rsidR="0039356C" w:rsidRDefault="0039356C" w:rsidP="009B0A9C">
      <w:pPr>
        <w:pStyle w:val="Default"/>
        <w:jc w:val="both"/>
        <w:rPr>
          <w:sz w:val="22"/>
          <w:szCs w:val="22"/>
        </w:rPr>
      </w:pPr>
    </w:p>
    <w:p w14:paraId="7FE748AA" w14:textId="6A5C7AB3" w:rsidR="0039356C" w:rsidRDefault="000351B1" w:rsidP="009B0A9C">
      <w:pPr>
        <w:pStyle w:val="Default"/>
        <w:jc w:val="both"/>
        <w:rPr>
          <w:sz w:val="22"/>
          <w:szCs w:val="22"/>
        </w:rPr>
      </w:pPr>
      <w:r w:rsidRPr="0039356C">
        <w:rPr>
          <w:sz w:val="22"/>
          <w:szCs w:val="22"/>
        </w:rPr>
        <w:t>The group has also been found to make d</w:t>
      </w:r>
      <w:r w:rsidR="009D15A9" w:rsidRPr="0039356C">
        <w:rPr>
          <w:sz w:val="22"/>
          <w:szCs w:val="22"/>
        </w:rPr>
        <w:t>eliberate attempts to violate community quaranti</w:t>
      </w:r>
      <w:r w:rsidRPr="0039356C">
        <w:rPr>
          <w:sz w:val="22"/>
          <w:szCs w:val="22"/>
        </w:rPr>
        <w:t>ne rules in wanton disregard for public health protocols for agitation and propaganda activities under the deceptive cover of a relief mission. Government efforts to hold these personalities to account</w:t>
      </w:r>
      <w:r w:rsidR="0039356C" w:rsidRPr="0039356C">
        <w:rPr>
          <w:sz w:val="22"/>
          <w:szCs w:val="22"/>
        </w:rPr>
        <w:t xml:space="preserve"> for violating the </w:t>
      </w:r>
      <w:r w:rsidR="00F2202A">
        <w:rPr>
          <w:sz w:val="22"/>
          <w:szCs w:val="22"/>
        </w:rPr>
        <w:t>Enhanced Community Quarantine (</w:t>
      </w:r>
      <w:proofErr w:type="gramStart"/>
      <w:r w:rsidR="0039356C" w:rsidRPr="0039356C">
        <w:rPr>
          <w:sz w:val="22"/>
          <w:szCs w:val="22"/>
        </w:rPr>
        <w:t xml:space="preserve">ECQ </w:t>
      </w:r>
      <w:r w:rsidR="00F2202A">
        <w:rPr>
          <w:sz w:val="22"/>
          <w:szCs w:val="22"/>
        </w:rPr>
        <w:t>)</w:t>
      </w:r>
      <w:r w:rsidR="0039356C" w:rsidRPr="0039356C">
        <w:rPr>
          <w:sz w:val="22"/>
          <w:szCs w:val="22"/>
        </w:rPr>
        <w:t>and</w:t>
      </w:r>
      <w:proofErr w:type="gramEnd"/>
      <w:r w:rsidR="0039356C" w:rsidRPr="0039356C">
        <w:rPr>
          <w:sz w:val="22"/>
          <w:szCs w:val="22"/>
        </w:rPr>
        <w:t xml:space="preserve"> attempting to organize a mass gathering are being challenged with allegations of hampering relief operations.</w:t>
      </w:r>
      <w:r w:rsidR="0039356C">
        <w:rPr>
          <w:sz w:val="22"/>
          <w:szCs w:val="22"/>
        </w:rPr>
        <w:t xml:space="preserve"> </w:t>
      </w:r>
    </w:p>
    <w:p w14:paraId="5F5ACEF3" w14:textId="21686CE2" w:rsidR="0039356C" w:rsidRDefault="0039356C" w:rsidP="009B0A9C">
      <w:pPr>
        <w:pStyle w:val="Default"/>
        <w:tabs>
          <w:tab w:val="left" w:pos="8977"/>
        </w:tabs>
        <w:jc w:val="both"/>
        <w:rPr>
          <w:rFonts w:eastAsiaTheme="minorEastAsia"/>
          <w:color w:val="auto"/>
          <w:sz w:val="22"/>
          <w:szCs w:val="22"/>
          <w:lang w:val="en-US" w:eastAsia="zh-CN"/>
        </w:rPr>
      </w:pPr>
    </w:p>
    <w:p w14:paraId="500B2E99" w14:textId="65CFD728" w:rsidR="0039356C" w:rsidRDefault="0039356C" w:rsidP="009B0A9C">
      <w:pPr>
        <w:pStyle w:val="Default"/>
        <w:jc w:val="both"/>
        <w:rPr>
          <w:sz w:val="22"/>
          <w:szCs w:val="22"/>
        </w:rPr>
      </w:pPr>
      <w:r>
        <w:rPr>
          <w:rFonts w:eastAsiaTheme="minorEastAsia"/>
          <w:color w:val="auto"/>
          <w:sz w:val="22"/>
          <w:szCs w:val="22"/>
          <w:lang w:val="en-US" w:eastAsia="zh-CN"/>
        </w:rPr>
        <w:t xml:space="preserve">In assessing the human rights situation in the Philippines, including claims and allegations, the Philippine </w:t>
      </w:r>
      <w:r w:rsidR="004A41A6">
        <w:rPr>
          <w:rFonts w:eastAsiaTheme="minorEastAsia"/>
          <w:color w:val="auto"/>
          <w:sz w:val="22"/>
          <w:szCs w:val="22"/>
          <w:lang w:val="en-US" w:eastAsia="zh-CN"/>
        </w:rPr>
        <w:t>G</w:t>
      </w:r>
      <w:r>
        <w:rPr>
          <w:rFonts w:eastAsiaTheme="minorEastAsia"/>
          <w:color w:val="auto"/>
          <w:sz w:val="22"/>
          <w:szCs w:val="22"/>
          <w:lang w:val="en-US" w:eastAsia="zh-CN"/>
        </w:rPr>
        <w:t xml:space="preserve">overnment underscores the need to scrutinize the sources of information and </w:t>
      </w:r>
      <w:r w:rsidR="00A469F0">
        <w:rPr>
          <w:rFonts w:eastAsiaTheme="minorEastAsia"/>
          <w:color w:val="auto"/>
          <w:sz w:val="22"/>
          <w:szCs w:val="22"/>
          <w:lang w:val="en-US" w:eastAsia="zh-CN"/>
        </w:rPr>
        <w:t>to also take</w:t>
      </w:r>
      <w:r>
        <w:rPr>
          <w:rFonts w:eastAsiaTheme="minorEastAsia"/>
          <w:color w:val="auto"/>
          <w:sz w:val="22"/>
          <w:szCs w:val="22"/>
          <w:lang w:val="en-US" w:eastAsia="zh-CN"/>
        </w:rPr>
        <w:t xml:space="preserve"> into account the activities of the CPP-NPA-NDF and its long track record of instrumentalizing and exploiting human rights and democratic spaces. </w:t>
      </w:r>
    </w:p>
    <w:p w14:paraId="1F40CC21" w14:textId="77777777" w:rsidR="0039356C" w:rsidRDefault="0039356C" w:rsidP="009B0A9C">
      <w:pPr>
        <w:pStyle w:val="Default"/>
        <w:jc w:val="both"/>
        <w:rPr>
          <w:sz w:val="22"/>
          <w:szCs w:val="22"/>
        </w:rPr>
      </w:pPr>
    </w:p>
    <w:p w14:paraId="1979C885" w14:textId="7D11AC7E" w:rsidR="009E03F5" w:rsidRPr="001E16EC" w:rsidRDefault="0039356C" w:rsidP="009B0A9C">
      <w:pPr>
        <w:pStyle w:val="NormalWeb"/>
        <w:shd w:val="clear" w:color="auto" w:fill="FFFFFF"/>
        <w:spacing w:before="0" w:beforeAutospacing="0" w:after="0" w:afterAutospacing="0"/>
        <w:jc w:val="both"/>
        <w:rPr>
          <w:rFonts w:cs="Arial"/>
          <w:b/>
          <w:sz w:val="22"/>
          <w:highlight w:val="yellow"/>
        </w:rPr>
      </w:pPr>
      <w:r w:rsidRPr="0039356C">
        <w:rPr>
          <w:rFonts w:ascii="Arial" w:hAnsi="Arial" w:cs="Arial"/>
          <w:bCs/>
          <w:color w:val="222222"/>
          <w:sz w:val="22"/>
          <w:szCs w:val="22"/>
        </w:rPr>
        <w:lastRenderedPageBreak/>
        <w:t xml:space="preserve">The Philippine </w:t>
      </w:r>
      <w:r w:rsidR="004A41A6">
        <w:rPr>
          <w:rFonts w:ascii="Arial" w:hAnsi="Arial" w:cs="Arial"/>
          <w:bCs/>
          <w:color w:val="222222"/>
          <w:sz w:val="22"/>
          <w:szCs w:val="22"/>
        </w:rPr>
        <w:t>G</w:t>
      </w:r>
      <w:r w:rsidRPr="0039356C">
        <w:rPr>
          <w:rFonts w:ascii="Arial" w:hAnsi="Arial" w:cs="Arial"/>
          <w:bCs/>
          <w:color w:val="222222"/>
          <w:sz w:val="22"/>
          <w:szCs w:val="22"/>
        </w:rPr>
        <w:t>overnment</w:t>
      </w:r>
      <w:r w:rsidR="00A469F0">
        <w:rPr>
          <w:rFonts w:ascii="Arial" w:hAnsi="Arial" w:cs="Arial"/>
          <w:bCs/>
          <w:color w:val="222222"/>
          <w:sz w:val="22"/>
          <w:szCs w:val="22"/>
        </w:rPr>
        <w:t xml:space="preserve"> reiterates that its national response to the pandemic will continue to be strongly guided by the consideration for the welfare of the Filipino people, especially of the vulnerable sectors, the rule of law, and the respect for human dignity and human rights of everyone. </w:t>
      </w:r>
      <w:r w:rsidR="001E16EC">
        <w:rPr>
          <w:rFonts w:ascii="Arial" w:hAnsi="Arial" w:cs="Arial"/>
          <w:b/>
          <w:color w:val="222222"/>
          <w:sz w:val="22"/>
          <w:szCs w:val="22"/>
        </w:rPr>
        <w:t>END.</w:t>
      </w:r>
    </w:p>
    <w:p w14:paraId="5DC6215D" w14:textId="77777777" w:rsidR="00EF3B41" w:rsidRPr="00B75022" w:rsidRDefault="00EF3B41" w:rsidP="009B0A9C">
      <w:pPr>
        <w:spacing w:line="240" w:lineRule="auto"/>
        <w:jc w:val="both"/>
      </w:pPr>
    </w:p>
    <w:sectPr w:rsidR="00EF3B41" w:rsidRPr="00B75022" w:rsidSect="00130487">
      <w:headerReference w:type="default" r:id="rId10"/>
      <w:footerReference w:type="default" r:id="rId11"/>
      <w:footerReference w:type="first" r:id="rId12"/>
      <w:pgSz w:w="11906" w:h="16838" w:code="9"/>
      <w:pgMar w:top="624" w:right="1021" w:bottom="454" w:left="102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F385" w14:textId="77777777" w:rsidR="00192E51" w:rsidRDefault="00192E51">
      <w:pPr>
        <w:spacing w:line="240" w:lineRule="auto"/>
      </w:pPr>
      <w:r>
        <w:separator/>
      </w:r>
    </w:p>
  </w:endnote>
  <w:endnote w:type="continuationSeparator" w:id="0">
    <w:p w14:paraId="25E8808C" w14:textId="77777777" w:rsidR="00192E51" w:rsidRDefault="00192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284228"/>
      <w:docPartObj>
        <w:docPartGallery w:val="Page Numbers (Bottom of Page)"/>
        <w:docPartUnique/>
      </w:docPartObj>
    </w:sdtPr>
    <w:sdtEndPr/>
    <w:sdtContent>
      <w:sdt>
        <w:sdtPr>
          <w:id w:val="1728636285"/>
          <w:docPartObj>
            <w:docPartGallery w:val="Page Numbers (Top of Page)"/>
            <w:docPartUnique/>
          </w:docPartObj>
        </w:sdtPr>
        <w:sdtEndPr/>
        <w:sdtContent>
          <w:p w14:paraId="580FD016" w14:textId="5870E7CE" w:rsidR="00CF4CF6" w:rsidRDefault="00CF4C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69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69F0">
              <w:rPr>
                <w:b/>
                <w:bCs/>
                <w:noProof/>
              </w:rPr>
              <w:t>12</w:t>
            </w:r>
            <w:r>
              <w:rPr>
                <w:b/>
                <w:bCs/>
                <w:sz w:val="24"/>
                <w:szCs w:val="24"/>
              </w:rPr>
              <w:fldChar w:fldCharType="end"/>
            </w:r>
          </w:p>
        </w:sdtContent>
      </w:sdt>
    </w:sdtContent>
  </w:sdt>
  <w:p w14:paraId="2851951D" w14:textId="77777777" w:rsidR="00CF4CF6" w:rsidRDefault="00CF4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3610645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CB14D4F" w14:textId="2DAC8048" w:rsidR="00910D74" w:rsidRPr="00910D74" w:rsidRDefault="00910D74">
            <w:pPr>
              <w:pStyle w:val="Footer"/>
              <w:jc w:val="right"/>
              <w:rPr>
                <w:sz w:val="20"/>
                <w:szCs w:val="20"/>
              </w:rPr>
            </w:pPr>
            <w:r w:rsidRPr="00910D74">
              <w:rPr>
                <w:sz w:val="20"/>
                <w:szCs w:val="20"/>
              </w:rPr>
              <w:t xml:space="preserve">Page </w:t>
            </w:r>
            <w:r w:rsidRPr="00910D74">
              <w:rPr>
                <w:b/>
                <w:bCs/>
              </w:rPr>
              <w:fldChar w:fldCharType="begin"/>
            </w:r>
            <w:r w:rsidRPr="00910D74">
              <w:rPr>
                <w:b/>
                <w:bCs/>
                <w:sz w:val="20"/>
                <w:szCs w:val="20"/>
              </w:rPr>
              <w:instrText xml:space="preserve"> PAGE </w:instrText>
            </w:r>
            <w:r w:rsidRPr="00910D74">
              <w:rPr>
                <w:b/>
                <w:bCs/>
              </w:rPr>
              <w:fldChar w:fldCharType="separate"/>
            </w:r>
            <w:r w:rsidRPr="00910D74">
              <w:rPr>
                <w:b/>
                <w:bCs/>
                <w:noProof/>
                <w:sz w:val="20"/>
                <w:szCs w:val="20"/>
              </w:rPr>
              <w:t>2</w:t>
            </w:r>
            <w:r w:rsidRPr="00910D74">
              <w:rPr>
                <w:b/>
                <w:bCs/>
              </w:rPr>
              <w:fldChar w:fldCharType="end"/>
            </w:r>
            <w:r w:rsidRPr="00910D74">
              <w:rPr>
                <w:sz w:val="20"/>
                <w:szCs w:val="20"/>
              </w:rPr>
              <w:t xml:space="preserve"> of </w:t>
            </w:r>
            <w:r w:rsidRPr="00910D74">
              <w:rPr>
                <w:b/>
                <w:bCs/>
              </w:rPr>
              <w:fldChar w:fldCharType="begin"/>
            </w:r>
            <w:r w:rsidRPr="00910D74">
              <w:rPr>
                <w:b/>
                <w:bCs/>
                <w:sz w:val="20"/>
                <w:szCs w:val="20"/>
              </w:rPr>
              <w:instrText xml:space="preserve"> NUMPAGES  </w:instrText>
            </w:r>
            <w:r w:rsidRPr="00910D74">
              <w:rPr>
                <w:b/>
                <w:bCs/>
              </w:rPr>
              <w:fldChar w:fldCharType="separate"/>
            </w:r>
            <w:r w:rsidRPr="00910D74">
              <w:rPr>
                <w:b/>
                <w:bCs/>
                <w:noProof/>
                <w:sz w:val="20"/>
                <w:szCs w:val="20"/>
              </w:rPr>
              <w:t>2</w:t>
            </w:r>
            <w:r w:rsidRPr="00910D74">
              <w:rPr>
                <w:b/>
                <w:bCs/>
              </w:rPr>
              <w:fldChar w:fldCharType="end"/>
            </w:r>
          </w:p>
        </w:sdtContent>
      </w:sdt>
    </w:sdtContent>
  </w:sdt>
  <w:p w14:paraId="7F04EB1B" w14:textId="77777777" w:rsidR="00910D74" w:rsidRDefault="0091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0DFC4" w14:textId="77777777" w:rsidR="00192E51" w:rsidRDefault="00192E51">
      <w:pPr>
        <w:spacing w:line="240" w:lineRule="auto"/>
      </w:pPr>
      <w:r>
        <w:separator/>
      </w:r>
    </w:p>
  </w:footnote>
  <w:footnote w:type="continuationSeparator" w:id="0">
    <w:p w14:paraId="2AFB32F2" w14:textId="77777777" w:rsidR="00192E51" w:rsidRDefault="00192E51">
      <w:pPr>
        <w:spacing w:line="240" w:lineRule="auto"/>
      </w:pPr>
      <w:r>
        <w:continuationSeparator/>
      </w:r>
    </w:p>
  </w:footnote>
  <w:footnote w:id="1">
    <w:p w14:paraId="3F29A232" w14:textId="6DB0CABC" w:rsidR="00CF4CF6" w:rsidRPr="00D7603A" w:rsidRDefault="00CF4CF6" w:rsidP="00854A87">
      <w:pPr>
        <w:pStyle w:val="FootnoteText"/>
        <w:jc w:val="both"/>
        <w:rPr>
          <w:rFonts w:ascii="Arial Narrow" w:hAnsi="Arial Narrow"/>
          <w:shd w:val="clear" w:color="auto" w:fill="FFFFFF"/>
        </w:rPr>
      </w:pPr>
      <w:r w:rsidRPr="00D7603A">
        <w:rPr>
          <w:rStyle w:val="FootnoteReference"/>
          <w:rFonts w:ascii="Arial Narrow" w:hAnsi="Arial Narrow"/>
        </w:rPr>
        <w:footnoteRef/>
      </w:r>
      <w:r w:rsidRPr="00D7603A">
        <w:rPr>
          <w:rFonts w:ascii="Arial Narrow" w:hAnsi="Arial Narrow"/>
        </w:rPr>
        <w:t xml:space="preserve"> </w:t>
      </w:r>
      <w:r w:rsidRPr="00D7603A">
        <w:rPr>
          <w:rFonts w:ascii="Arial Narrow" w:hAnsi="Arial Narrow"/>
          <w:i/>
          <w:iCs/>
        </w:rPr>
        <w:t>“Bayanihan”</w:t>
      </w:r>
      <w:r w:rsidRPr="00D7603A">
        <w:rPr>
          <w:rFonts w:ascii="Arial Narrow" w:hAnsi="Arial Narrow"/>
        </w:rPr>
        <w:t xml:space="preserve"> is </w:t>
      </w:r>
      <w:r w:rsidRPr="00D7603A">
        <w:rPr>
          <w:rFonts w:ascii="Arial Narrow" w:hAnsi="Arial Narrow"/>
          <w:shd w:val="clear" w:color="auto" w:fill="FFFFFF"/>
        </w:rPr>
        <w:t>a Filipino culture that refer</w:t>
      </w:r>
      <w:r w:rsidR="002F26A9">
        <w:rPr>
          <w:rFonts w:ascii="Arial Narrow" w:hAnsi="Arial Narrow"/>
          <w:shd w:val="clear" w:color="auto" w:fill="FFFFFF"/>
        </w:rPr>
        <w:t>s</w:t>
      </w:r>
      <w:r w:rsidRPr="00D7603A">
        <w:rPr>
          <w:rFonts w:ascii="Arial Narrow" w:hAnsi="Arial Narrow"/>
          <w:shd w:val="clear" w:color="auto" w:fill="FFFFFF"/>
        </w:rPr>
        <w:t xml:space="preserve"> to a traditional system of mutual assistance in which members of the community work together to accomplish a difficult task and achieve a common, greater goal. It is a spirit of civic unity and cooperation among Filipinos that promote a culture of collaboration and empowerment of every individual through teamwork, innovation and action.</w:t>
      </w:r>
    </w:p>
  </w:footnote>
  <w:footnote w:id="2">
    <w:p w14:paraId="27E3D448" w14:textId="718C2AAE" w:rsidR="003A3EC0" w:rsidRPr="00D7603A" w:rsidRDefault="003A3EC0">
      <w:pPr>
        <w:pStyle w:val="FootnoteText"/>
        <w:rPr>
          <w:rFonts w:ascii="Arial Narrow" w:hAnsi="Arial Narrow"/>
          <w:lang w:val="en-PH"/>
        </w:rPr>
      </w:pPr>
      <w:r w:rsidRPr="00D7603A">
        <w:rPr>
          <w:rStyle w:val="FootnoteReference"/>
          <w:rFonts w:ascii="Arial Narrow" w:hAnsi="Arial Narrow"/>
        </w:rPr>
        <w:footnoteRef/>
      </w:r>
      <w:r w:rsidRPr="00D7603A">
        <w:rPr>
          <w:rFonts w:ascii="Arial Narrow" w:hAnsi="Arial Narrow"/>
        </w:rPr>
        <w:t xml:space="preserve"> </w:t>
      </w:r>
      <w:r w:rsidRPr="00D7603A">
        <w:rPr>
          <w:rFonts w:ascii="Arial Narrow" w:hAnsi="Arial Narrow"/>
          <w:lang w:val="en-PH"/>
        </w:rPr>
        <w:t xml:space="preserve">Tenth weekly report of the President to the Joint Congressional Oversight Committee in compliance with Sec. 5 of Republic Act No. 11469, 1 June 2020. </w:t>
      </w:r>
    </w:p>
  </w:footnote>
  <w:footnote w:id="3">
    <w:p w14:paraId="1CF53CE3" w14:textId="77777777" w:rsidR="00CF4CF6" w:rsidRPr="00D7603A" w:rsidRDefault="00CF4CF6">
      <w:pPr>
        <w:pStyle w:val="FootnoteText"/>
        <w:rPr>
          <w:rFonts w:ascii="Arial Narrow" w:hAnsi="Arial Narrow"/>
          <w:lang w:val="en-GB"/>
        </w:rPr>
      </w:pPr>
      <w:r w:rsidRPr="00D7603A">
        <w:rPr>
          <w:rStyle w:val="FootnoteReference"/>
          <w:rFonts w:ascii="Arial Narrow" w:hAnsi="Arial Narrow"/>
        </w:rPr>
        <w:footnoteRef/>
      </w:r>
      <w:r w:rsidRPr="00D7603A">
        <w:rPr>
          <w:rFonts w:ascii="Arial Narrow" w:hAnsi="Arial Narrow"/>
        </w:rPr>
        <w:t xml:space="preserve"> </w:t>
      </w:r>
      <w:r w:rsidRPr="00D7603A">
        <w:rPr>
          <w:rFonts w:ascii="Arial Narrow" w:hAnsi="Arial Narrow"/>
          <w:lang w:val="en-GB"/>
        </w:rPr>
        <w:t xml:space="preserve">The Philippines has over 10 Million Filipinos living and/or working abroad. </w:t>
      </w:r>
    </w:p>
  </w:footnote>
  <w:footnote w:id="4">
    <w:p w14:paraId="5AE926C8" w14:textId="3E9831C4" w:rsidR="00914FD5" w:rsidRPr="00D7603A" w:rsidRDefault="00914FD5">
      <w:pPr>
        <w:pStyle w:val="FootnoteText"/>
        <w:rPr>
          <w:rFonts w:ascii="Arial Narrow" w:hAnsi="Arial Narrow"/>
          <w:lang w:val="en-PH"/>
        </w:rPr>
      </w:pPr>
      <w:r w:rsidRPr="00D7603A">
        <w:rPr>
          <w:rStyle w:val="FootnoteReference"/>
          <w:rFonts w:ascii="Arial Narrow" w:hAnsi="Arial Narrow"/>
          <w:b/>
          <w:bCs/>
        </w:rPr>
        <w:footnoteRef/>
      </w:r>
      <w:r w:rsidRPr="00D7603A">
        <w:rPr>
          <w:rFonts w:ascii="Arial Narrow" w:hAnsi="Arial Narrow"/>
          <w:b/>
          <w:bCs/>
        </w:rPr>
        <w:t xml:space="preserve"> </w:t>
      </w:r>
      <w:r w:rsidRPr="00D7603A">
        <w:rPr>
          <w:rStyle w:val="Strong"/>
          <w:rFonts w:ascii="Arial Narrow" w:hAnsi="Arial Narrow"/>
          <w:b w:val="0"/>
          <w:bCs w:val="0"/>
          <w:shd w:val="clear" w:color="auto" w:fill="FFFFFF"/>
        </w:rPr>
        <w:t>Memorandum Circular 2020-03: Adjustment and/or Implementation of the FY 2020 GAD Plan and Budget in view of the Coronavirus Disease 2019 Situation</w:t>
      </w:r>
      <w:r w:rsidRPr="00D7603A">
        <w:rPr>
          <w:rStyle w:val="Strong"/>
          <w:rFonts w:ascii="Arial Narrow" w:hAnsi="Arial Narrow"/>
          <w:shd w:val="clear" w:color="auto" w:fill="FFFFFF"/>
        </w:rPr>
        <w:t xml:space="preserve"> </w:t>
      </w:r>
      <w:hyperlink r:id="rId1" w:history="1">
        <w:r w:rsidRPr="00D7603A">
          <w:rPr>
            <w:rStyle w:val="Hyperlink"/>
            <w:rFonts w:ascii="Arial Narrow" w:hAnsi="Arial Narrow"/>
          </w:rPr>
          <w:t>https://pcw.gov.ph/memorandum-circular-2020-03-adjustment-and-or-implementation-of-the-fy-2020-gad-plan-and-budget-in-view-of-the-coronavirus-disease-2019-situation/</w:t>
        </w:r>
      </w:hyperlink>
    </w:p>
  </w:footnote>
  <w:footnote w:id="5">
    <w:p w14:paraId="44D541CF" w14:textId="36A22C5F" w:rsidR="00637CE2" w:rsidRPr="00D7603A" w:rsidRDefault="00637CE2">
      <w:pPr>
        <w:pStyle w:val="FootnoteText"/>
        <w:rPr>
          <w:rFonts w:ascii="Arial Narrow" w:hAnsi="Arial Narrow"/>
          <w:lang w:val="en-PH"/>
        </w:rPr>
      </w:pPr>
      <w:r w:rsidRPr="00D7603A">
        <w:rPr>
          <w:rStyle w:val="FootnoteReference"/>
          <w:rFonts w:ascii="Arial Narrow" w:hAnsi="Arial Narrow"/>
        </w:rPr>
        <w:footnoteRef/>
      </w:r>
      <w:r w:rsidRPr="00D7603A">
        <w:rPr>
          <w:rFonts w:ascii="Arial Narrow" w:hAnsi="Arial Narrow"/>
        </w:rPr>
        <w:t xml:space="preserve"> Tetch Torres-Tupas, “Over 22k inmates freed in SC’s bid to decongest jails,” </w:t>
      </w:r>
      <w:r w:rsidRPr="00D7603A">
        <w:rPr>
          <w:rFonts w:ascii="Arial Narrow" w:hAnsi="Arial Narrow"/>
          <w:i/>
          <w:iCs/>
        </w:rPr>
        <w:t xml:space="preserve">Philippine Daily Inquirer, </w:t>
      </w:r>
      <w:r w:rsidRPr="00D7603A">
        <w:rPr>
          <w:rFonts w:ascii="Arial Narrow" w:hAnsi="Arial Narrow"/>
        </w:rPr>
        <w:t xml:space="preserve">May 29, 2020, </w:t>
      </w:r>
      <w:hyperlink r:id="rId2" w:history="1">
        <w:r w:rsidRPr="00D7603A">
          <w:rPr>
            <w:rStyle w:val="Hyperlink"/>
            <w:rFonts w:ascii="Arial Narrow" w:hAnsi="Arial Narrow"/>
          </w:rPr>
          <w:t>https://newsinfo.inquirer.net/1283213/over-22k-inmates-freed-to-decongest-jails</w:t>
        </w:r>
      </w:hyperlink>
      <w:r w:rsidRPr="00D7603A">
        <w:rPr>
          <w:rFonts w:ascii="Arial Narrow" w:hAnsi="Arial Narrow"/>
        </w:rPr>
        <w:t xml:space="preserve"> (accessed 31 May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7BBA" w14:textId="77777777" w:rsidR="00130487" w:rsidRPr="00130487" w:rsidRDefault="00130487" w:rsidP="00130487">
    <w:pPr>
      <w:pStyle w:val="Heading1"/>
      <w:spacing w:before="0" w:after="0" w:line="240" w:lineRule="auto"/>
      <w:rPr>
        <w:sz w:val="20"/>
        <w:szCs w:val="18"/>
      </w:rPr>
    </w:pPr>
    <w:r w:rsidRPr="00130487">
      <w:rPr>
        <w:sz w:val="24"/>
        <w:szCs w:val="18"/>
      </w:rPr>
      <w:t>PHILIPPINES’ NATIONAL RESPONSE TO COVID-19</w:t>
    </w:r>
  </w:p>
  <w:p w14:paraId="68FFBEC9" w14:textId="77777777" w:rsidR="005B371A" w:rsidRDefault="005B3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3F2"/>
    <w:multiLevelType w:val="hybridMultilevel"/>
    <w:tmpl w:val="C0F8784E"/>
    <w:lvl w:ilvl="0" w:tplc="90B4EA6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830C09"/>
    <w:multiLevelType w:val="hybridMultilevel"/>
    <w:tmpl w:val="83A60C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3D9467B"/>
    <w:multiLevelType w:val="multilevel"/>
    <w:tmpl w:val="604CB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CE0828"/>
    <w:multiLevelType w:val="hybridMultilevel"/>
    <w:tmpl w:val="1D92E2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8DB7CDF"/>
    <w:multiLevelType w:val="hybridMultilevel"/>
    <w:tmpl w:val="EA9623D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965B50"/>
    <w:multiLevelType w:val="multilevel"/>
    <w:tmpl w:val="AB3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2566D"/>
    <w:multiLevelType w:val="hybridMultilevel"/>
    <w:tmpl w:val="D00C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68148F"/>
    <w:multiLevelType w:val="hybridMultilevel"/>
    <w:tmpl w:val="1568A4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BC92E57"/>
    <w:multiLevelType w:val="hybridMultilevel"/>
    <w:tmpl w:val="35EAA0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B61D77"/>
    <w:multiLevelType w:val="hybridMultilevel"/>
    <w:tmpl w:val="C218A9B2"/>
    <w:lvl w:ilvl="0" w:tplc="20828EF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E071CAF"/>
    <w:multiLevelType w:val="multilevel"/>
    <w:tmpl w:val="5F140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F57850"/>
    <w:multiLevelType w:val="multilevel"/>
    <w:tmpl w:val="E100700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E21E7B"/>
    <w:multiLevelType w:val="hybridMultilevel"/>
    <w:tmpl w:val="369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AD7FAC"/>
    <w:multiLevelType w:val="hybridMultilevel"/>
    <w:tmpl w:val="A0542400"/>
    <w:lvl w:ilvl="0" w:tplc="F482E4E6">
      <w:start w:val="1"/>
      <w:numFmt w:val="bullet"/>
      <w:lvlText w:val="-"/>
      <w:lvlJc w:val="left"/>
      <w:pPr>
        <w:ind w:left="1440" w:hanging="360"/>
      </w:pPr>
      <w:rPr>
        <w:rFonts w:ascii="Arial" w:eastAsiaTheme="minorHAnsi" w:hAnsi="Arial" w:cs="Aria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37782C7B"/>
    <w:multiLevelType w:val="multilevel"/>
    <w:tmpl w:val="4A1A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77398"/>
    <w:multiLevelType w:val="hybridMultilevel"/>
    <w:tmpl w:val="BDB0A3D6"/>
    <w:lvl w:ilvl="0" w:tplc="F482E4E6">
      <w:start w:val="1"/>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A97626D"/>
    <w:multiLevelType w:val="hybridMultilevel"/>
    <w:tmpl w:val="6A5CB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6C6F77"/>
    <w:multiLevelType w:val="hybridMultilevel"/>
    <w:tmpl w:val="D8ACEE3A"/>
    <w:lvl w:ilvl="0" w:tplc="F482E4E6">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C195D69"/>
    <w:multiLevelType w:val="hybridMultilevel"/>
    <w:tmpl w:val="562AFDC4"/>
    <w:lvl w:ilvl="0" w:tplc="3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EA74B33"/>
    <w:multiLevelType w:val="hybridMultilevel"/>
    <w:tmpl w:val="43B4C4A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4C87C3A"/>
    <w:multiLevelType w:val="hybridMultilevel"/>
    <w:tmpl w:val="0EE0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60B5BFA"/>
    <w:multiLevelType w:val="hybridMultilevel"/>
    <w:tmpl w:val="90AEF48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90E5610"/>
    <w:multiLevelType w:val="hybridMultilevel"/>
    <w:tmpl w:val="CEFE6C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A8639E1"/>
    <w:multiLevelType w:val="hybridMultilevel"/>
    <w:tmpl w:val="623E5BB6"/>
    <w:lvl w:ilvl="0" w:tplc="04090001">
      <w:start w:val="1"/>
      <w:numFmt w:val="bullet"/>
      <w:lvlText w:val=""/>
      <w:lvlJc w:val="left"/>
      <w:pPr>
        <w:ind w:left="720" w:hanging="360"/>
      </w:pPr>
      <w:rPr>
        <w:rFonts w:ascii="Symbol" w:hAnsi="Symbol" w:hint="default"/>
      </w:rPr>
    </w:lvl>
    <w:lvl w:ilvl="1" w:tplc="F482E4E6">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B415129"/>
    <w:multiLevelType w:val="hybridMultilevel"/>
    <w:tmpl w:val="8E98D6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D031F6E"/>
    <w:multiLevelType w:val="multilevel"/>
    <w:tmpl w:val="EFC4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225408"/>
    <w:multiLevelType w:val="multilevel"/>
    <w:tmpl w:val="09BA64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B4366BB"/>
    <w:multiLevelType w:val="multilevel"/>
    <w:tmpl w:val="E4400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474491"/>
    <w:multiLevelType w:val="multilevel"/>
    <w:tmpl w:val="992E0A8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C20B6B"/>
    <w:multiLevelType w:val="multilevel"/>
    <w:tmpl w:val="73D8975C"/>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83885"/>
    <w:multiLevelType w:val="hybridMultilevel"/>
    <w:tmpl w:val="3A484CD2"/>
    <w:lvl w:ilvl="0" w:tplc="C6683798">
      <w:start w:val="1"/>
      <w:numFmt w:val="decimal"/>
      <w:lvlText w:val="(%1)"/>
      <w:lvlJc w:val="left"/>
      <w:pPr>
        <w:ind w:left="720" w:hanging="360"/>
      </w:pPr>
      <w:rPr>
        <w:rFonts w:eastAsia="Times New Roman" w:hint="default"/>
        <w:color w:val="2222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5B51871"/>
    <w:multiLevelType w:val="hybridMultilevel"/>
    <w:tmpl w:val="B6B4B450"/>
    <w:lvl w:ilvl="0" w:tplc="609A748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69E08EB"/>
    <w:multiLevelType w:val="hybridMultilevel"/>
    <w:tmpl w:val="A13C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9774241"/>
    <w:multiLevelType w:val="hybridMultilevel"/>
    <w:tmpl w:val="040C8790"/>
    <w:lvl w:ilvl="0" w:tplc="0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C6C335E"/>
    <w:multiLevelType w:val="multilevel"/>
    <w:tmpl w:val="BAE2E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272752"/>
    <w:multiLevelType w:val="multilevel"/>
    <w:tmpl w:val="6FA69784"/>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5D66121"/>
    <w:multiLevelType w:val="hybridMultilevel"/>
    <w:tmpl w:val="F5B0EE40"/>
    <w:lvl w:ilvl="0" w:tplc="F482E4E6">
      <w:start w:val="1"/>
      <w:numFmt w:val="bullet"/>
      <w:lvlText w:val="-"/>
      <w:lvlJc w:val="left"/>
      <w:pPr>
        <w:ind w:left="1440" w:hanging="360"/>
      </w:pPr>
      <w:rPr>
        <w:rFonts w:ascii="Arial" w:eastAsiaTheme="minorHAnsi" w:hAnsi="Arial" w:cs="Aria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770603E8"/>
    <w:multiLevelType w:val="multilevel"/>
    <w:tmpl w:val="F5905B3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F87E23"/>
    <w:multiLevelType w:val="hybridMultilevel"/>
    <w:tmpl w:val="7CE871E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AF67AF9"/>
    <w:multiLevelType w:val="hybridMultilevel"/>
    <w:tmpl w:val="E1062814"/>
    <w:lvl w:ilvl="0" w:tplc="3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34"/>
  </w:num>
  <w:num w:numId="4">
    <w:abstractNumId w:val="27"/>
  </w:num>
  <w:num w:numId="5">
    <w:abstractNumId w:val="26"/>
  </w:num>
  <w:num w:numId="6">
    <w:abstractNumId w:val="31"/>
  </w:num>
  <w:num w:numId="7">
    <w:abstractNumId w:val="0"/>
  </w:num>
  <w:num w:numId="8">
    <w:abstractNumId w:val="4"/>
  </w:num>
  <w:num w:numId="9">
    <w:abstractNumId w:val="12"/>
  </w:num>
  <w:num w:numId="10">
    <w:abstractNumId w:val="1"/>
  </w:num>
  <w:num w:numId="11">
    <w:abstractNumId w:val="20"/>
  </w:num>
  <w:num w:numId="12">
    <w:abstractNumId w:val="16"/>
  </w:num>
  <w:num w:numId="13">
    <w:abstractNumId w:val="32"/>
  </w:num>
  <w:num w:numId="14">
    <w:abstractNumId w:val="7"/>
  </w:num>
  <w:num w:numId="15">
    <w:abstractNumId w:val="9"/>
  </w:num>
  <w:num w:numId="16">
    <w:abstractNumId w:val="6"/>
  </w:num>
  <w:num w:numId="17">
    <w:abstractNumId w:val="38"/>
  </w:num>
  <w:num w:numId="18">
    <w:abstractNumId w:val="36"/>
  </w:num>
  <w:num w:numId="19">
    <w:abstractNumId w:val="17"/>
  </w:num>
  <w:num w:numId="20">
    <w:abstractNumId w:val="23"/>
  </w:num>
  <w:num w:numId="21">
    <w:abstractNumId w:val="13"/>
  </w:num>
  <w:num w:numId="22">
    <w:abstractNumId w:val="18"/>
  </w:num>
  <w:num w:numId="23">
    <w:abstractNumId w:val="39"/>
  </w:num>
  <w:num w:numId="24">
    <w:abstractNumId w:val="19"/>
  </w:num>
  <w:num w:numId="25">
    <w:abstractNumId w:val="8"/>
  </w:num>
  <w:num w:numId="26">
    <w:abstractNumId w:val="22"/>
  </w:num>
  <w:num w:numId="27">
    <w:abstractNumId w:val="25"/>
  </w:num>
  <w:num w:numId="28">
    <w:abstractNumId w:val="5"/>
  </w:num>
  <w:num w:numId="29">
    <w:abstractNumId w:val="14"/>
  </w:num>
  <w:num w:numId="30">
    <w:abstractNumId w:val="30"/>
  </w:num>
  <w:num w:numId="31">
    <w:abstractNumId w:val="29"/>
  </w:num>
  <w:num w:numId="32">
    <w:abstractNumId w:val="24"/>
  </w:num>
  <w:num w:numId="33">
    <w:abstractNumId w:val="11"/>
  </w:num>
  <w:num w:numId="34">
    <w:abstractNumId w:val="3"/>
  </w:num>
  <w:num w:numId="35">
    <w:abstractNumId w:val="21"/>
  </w:num>
  <w:num w:numId="36">
    <w:abstractNumId w:val="37"/>
  </w:num>
  <w:num w:numId="37">
    <w:abstractNumId w:val="15"/>
  </w:num>
  <w:num w:numId="38">
    <w:abstractNumId w:val="33"/>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D5"/>
    <w:rsid w:val="00011EF4"/>
    <w:rsid w:val="00015829"/>
    <w:rsid w:val="00024EB8"/>
    <w:rsid w:val="00025FEC"/>
    <w:rsid w:val="0003018D"/>
    <w:rsid w:val="00030841"/>
    <w:rsid w:val="000351B1"/>
    <w:rsid w:val="000420A8"/>
    <w:rsid w:val="00042B64"/>
    <w:rsid w:val="00042F3B"/>
    <w:rsid w:val="00055911"/>
    <w:rsid w:val="0006193E"/>
    <w:rsid w:val="000656A0"/>
    <w:rsid w:val="000675D1"/>
    <w:rsid w:val="00082D7A"/>
    <w:rsid w:val="0008647F"/>
    <w:rsid w:val="000939AD"/>
    <w:rsid w:val="000A31BB"/>
    <w:rsid w:val="000A6823"/>
    <w:rsid w:val="000A7868"/>
    <w:rsid w:val="000C0B3F"/>
    <w:rsid w:val="000C7C09"/>
    <w:rsid w:val="000D5111"/>
    <w:rsid w:val="000E0305"/>
    <w:rsid w:val="000E334A"/>
    <w:rsid w:val="000E6B1A"/>
    <w:rsid w:val="000F15F9"/>
    <w:rsid w:val="000F33A6"/>
    <w:rsid w:val="000F6107"/>
    <w:rsid w:val="00102B1A"/>
    <w:rsid w:val="001055E5"/>
    <w:rsid w:val="00107BB8"/>
    <w:rsid w:val="0011165F"/>
    <w:rsid w:val="0011372F"/>
    <w:rsid w:val="00114B9B"/>
    <w:rsid w:val="00130487"/>
    <w:rsid w:val="00130857"/>
    <w:rsid w:val="0013099D"/>
    <w:rsid w:val="00131148"/>
    <w:rsid w:val="00132C1A"/>
    <w:rsid w:val="0014033D"/>
    <w:rsid w:val="00140624"/>
    <w:rsid w:val="00140FC8"/>
    <w:rsid w:val="00142D0C"/>
    <w:rsid w:val="00143289"/>
    <w:rsid w:val="0014476C"/>
    <w:rsid w:val="001454BA"/>
    <w:rsid w:val="00153B48"/>
    <w:rsid w:val="00157585"/>
    <w:rsid w:val="001622F2"/>
    <w:rsid w:val="00167536"/>
    <w:rsid w:val="00167AAB"/>
    <w:rsid w:val="00167CB2"/>
    <w:rsid w:val="00172475"/>
    <w:rsid w:val="00174548"/>
    <w:rsid w:val="00177764"/>
    <w:rsid w:val="001804CC"/>
    <w:rsid w:val="001808AB"/>
    <w:rsid w:val="00181D36"/>
    <w:rsid w:val="001833D6"/>
    <w:rsid w:val="00187F41"/>
    <w:rsid w:val="00192E51"/>
    <w:rsid w:val="001956C8"/>
    <w:rsid w:val="00195EA0"/>
    <w:rsid w:val="00196D4D"/>
    <w:rsid w:val="001A43AE"/>
    <w:rsid w:val="001B0FC9"/>
    <w:rsid w:val="001B2A2C"/>
    <w:rsid w:val="001B6085"/>
    <w:rsid w:val="001B61A8"/>
    <w:rsid w:val="001C6C62"/>
    <w:rsid w:val="001D4E11"/>
    <w:rsid w:val="001D6EA4"/>
    <w:rsid w:val="001E100A"/>
    <w:rsid w:val="001E16EC"/>
    <w:rsid w:val="001E1FCC"/>
    <w:rsid w:val="001E3221"/>
    <w:rsid w:val="001E41BC"/>
    <w:rsid w:val="001E4EDB"/>
    <w:rsid w:val="001E72D5"/>
    <w:rsid w:val="00201F6E"/>
    <w:rsid w:val="00202101"/>
    <w:rsid w:val="0020527D"/>
    <w:rsid w:val="00206FE5"/>
    <w:rsid w:val="00207562"/>
    <w:rsid w:val="00224ABC"/>
    <w:rsid w:val="002269A2"/>
    <w:rsid w:val="00226EF5"/>
    <w:rsid w:val="002273D6"/>
    <w:rsid w:val="00230861"/>
    <w:rsid w:val="00231D01"/>
    <w:rsid w:val="00231DFD"/>
    <w:rsid w:val="00237781"/>
    <w:rsid w:val="00243B37"/>
    <w:rsid w:val="0024794B"/>
    <w:rsid w:val="002512AB"/>
    <w:rsid w:val="00261140"/>
    <w:rsid w:val="00265CE7"/>
    <w:rsid w:val="00272443"/>
    <w:rsid w:val="00273DB5"/>
    <w:rsid w:val="00274ECE"/>
    <w:rsid w:val="00277C3C"/>
    <w:rsid w:val="00283B82"/>
    <w:rsid w:val="00287734"/>
    <w:rsid w:val="00290B7B"/>
    <w:rsid w:val="002A0600"/>
    <w:rsid w:val="002A45B6"/>
    <w:rsid w:val="002A4FD9"/>
    <w:rsid w:val="002A6500"/>
    <w:rsid w:val="002A7AB0"/>
    <w:rsid w:val="002B04F7"/>
    <w:rsid w:val="002C1416"/>
    <w:rsid w:val="002C1864"/>
    <w:rsid w:val="002C4A29"/>
    <w:rsid w:val="002E7FFA"/>
    <w:rsid w:val="002F11C1"/>
    <w:rsid w:val="002F26A9"/>
    <w:rsid w:val="002F7243"/>
    <w:rsid w:val="00304131"/>
    <w:rsid w:val="00306D0B"/>
    <w:rsid w:val="003108EA"/>
    <w:rsid w:val="003125CF"/>
    <w:rsid w:val="00314D5E"/>
    <w:rsid w:val="00323CC0"/>
    <w:rsid w:val="0033323E"/>
    <w:rsid w:val="003351EC"/>
    <w:rsid w:val="00342ECF"/>
    <w:rsid w:val="00361552"/>
    <w:rsid w:val="00364560"/>
    <w:rsid w:val="00371335"/>
    <w:rsid w:val="00372A4E"/>
    <w:rsid w:val="00386CD6"/>
    <w:rsid w:val="0039356C"/>
    <w:rsid w:val="00393DFC"/>
    <w:rsid w:val="00393F72"/>
    <w:rsid w:val="00396176"/>
    <w:rsid w:val="00397702"/>
    <w:rsid w:val="003A359C"/>
    <w:rsid w:val="003A3EC0"/>
    <w:rsid w:val="003B37CD"/>
    <w:rsid w:val="003C47D7"/>
    <w:rsid w:val="003C5152"/>
    <w:rsid w:val="003D13E5"/>
    <w:rsid w:val="003D168F"/>
    <w:rsid w:val="003D2BE6"/>
    <w:rsid w:val="003D5E5A"/>
    <w:rsid w:val="003D7F83"/>
    <w:rsid w:val="003E1E4B"/>
    <w:rsid w:val="003E3AE3"/>
    <w:rsid w:val="003E5EF6"/>
    <w:rsid w:val="003F5306"/>
    <w:rsid w:val="00402748"/>
    <w:rsid w:val="00404A4B"/>
    <w:rsid w:val="0040716B"/>
    <w:rsid w:val="00425179"/>
    <w:rsid w:val="004323EF"/>
    <w:rsid w:val="00442C2D"/>
    <w:rsid w:val="00443439"/>
    <w:rsid w:val="00444F73"/>
    <w:rsid w:val="004478C9"/>
    <w:rsid w:val="00453166"/>
    <w:rsid w:val="00455F2E"/>
    <w:rsid w:val="00456DEF"/>
    <w:rsid w:val="00467183"/>
    <w:rsid w:val="0046797B"/>
    <w:rsid w:val="00467FBC"/>
    <w:rsid w:val="00470399"/>
    <w:rsid w:val="00472B88"/>
    <w:rsid w:val="004815ED"/>
    <w:rsid w:val="00491410"/>
    <w:rsid w:val="004A1AA9"/>
    <w:rsid w:val="004A41A6"/>
    <w:rsid w:val="004A5B81"/>
    <w:rsid w:val="004A6F6B"/>
    <w:rsid w:val="004A79F9"/>
    <w:rsid w:val="004B0D5F"/>
    <w:rsid w:val="004B1264"/>
    <w:rsid w:val="004B128C"/>
    <w:rsid w:val="004B2E25"/>
    <w:rsid w:val="004B4AC7"/>
    <w:rsid w:val="004B76E0"/>
    <w:rsid w:val="004C1E5C"/>
    <w:rsid w:val="004C1F77"/>
    <w:rsid w:val="004C3C83"/>
    <w:rsid w:val="004C7918"/>
    <w:rsid w:val="004D17A6"/>
    <w:rsid w:val="004D5345"/>
    <w:rsid w:val="004D6B1E"/>
    <w:rsid w:val="004D7BEB"/>
    <w:rsid w:val="004E38A3"/>
    <w:rsid w:val="004F0988"/>
    <w:rsid w:val="004F46CE"/>
    <w:rsid w:val="004F5F1C"/>
    <w:rsid w:val="004F632C"/>
    <w:rsid w:val="004F6AD2"/>
    <w:rsid w:val="00511914"/>
    <w:rsid w:val="00513EF3"/>
    <w:rsid w:val="00522212"/>
    <w:rsid w:val="005250DC"/>
    <w:rsid w:val="00542A28"/>
    <w:rsid w:val="00564189"/>
    <w:rsid w:val="00566AC6"/>
    <w:rsid w:val="00567640"/>
    <w:rsid w:val="00570F43"/>
    <w:rsid w:val="00576D81"/>
    <w:rsid w:val="00581ED2"/>
    <w:rsid w:val="005A0EB4"/>
    <w:rsid w:val="005A1775"/>
    <w:rsid w:val="005A7968"/>
    <w:rsid w:val="005B0C24"/>
    <w:rsid w:val="005B371A"/>
    <w:rsid w:val="005B3925"/>
    <w:rsid w:val="005B70FD"/>
    <w:rsid w:val="005B768F"/>
    <w:rsid w:val="005C2858"/>
    <w:rsid w:val="005C33F0"/>
    <w:rsid w:val="005D253C"/>
    <w:rsid w:val="005D274E"/>
    <w:rsid w:val="005D43FB"/>
    <w:rsid w:val="005E0952"/>
    <w:rsid w:val="005E419D"/>
    <w:rsid w:val="005E5AFF"/>
    <w:rsid w:val="005E7786"/>
    <w:rsid w:val="005F385C"/>
    <w:rsid w:val="005F5217"/>
    <w:rsid w:val="005F77A3"/>
    <w:rsid w:val="006019ED"/>
    <w:rsid w:val="00603EFF"/>
    <w:rsid w:val="00611B50"/>
    <w:rsid w:val="00612D3C"/>
    <w:rsid w:val="006167D9"/>
    <w:rsid w:val="00624E55"/>
    <w:rsid w:val="0062672E"/>
    <w:rsid w:val="006267FA"/>
    <w:rsid w:val="006328F4"/>
    <w:rsid w:val="00633D9B"/>
    <w:rsid w:val="006378B8"/>
    <w:rsid w:val="00637CE2"/>
    <w:rsid w:val="00640FE1"/>
    <w:rsid w:val="006429A8"/>
    <w:rsid w:val="00643FBB"/>
    <w:rsid w:val="0064764C"/>
    <w:rsid w:val="00647A5E"/>
    <w:rsid w:val="00654F1F"/>
    <w:rsid w:val="006604D7"/>
    <w:rsid w:val="00662896"/>
    <w:rsid w:val="006665A2"/>
    <w:rsid w:val="00671365"/>
    <w:rsid w:val="00677569"/>
    <w:rsid w:val="006810D6"/>
    <w:rsid w:val="00683D5D"/>
    <w:rsid w:val="0068791A"/>
    <w:rsid w:val="006967DF"/>
    <w:rsid w:val="00696892"/>
    <w:rsid w:val="00696A45"/>
    <w:rsid w:val="006A6C7B"/>
    <w:rsid w:val="006B0D92"/>
    <w:rsid w:val="006B1103"/>
    <w:rsid w:val="006B5918"/>
    <w:rsid w:val="006B6129"/>
    <w:rsid w:val="006C5C04"/>
    <w:rsid w:val="006F003B"/>
    <w:rsid w:val="006F06BC"/>
    <w:rsid w:val="006F0842"/>
    <w:rsid w:val="006F0DAB"/>
    <w:rsid w:val="0071098D"/>
    <w:rsid w:val="0071136C"/>
    <w:rsid w:val="00725F81"/>
    <w:rsid w:val="00730152"/>
    <w:rsid w:val="00730786"/>
    <w:rsid w:val="00732492"/>
    <w:rsid w:val="00735BD2"/>
    <w:rsid w:val="00736616"/>
    <w:rsid w:val="00736C9F"/>
    <w:rsid w:val="0074249F"/>
    <w:rsid w:val="00747855"/>
    <w:rsid w:val="007524AC"/>
    <w:rsid w:val="0075330B"/>
    <w:rsid w:val="00753ACD"/>
    <w:rsid w:val="007543AC"/>
    <w:rsid w:val="00754A88"/>
    <w:rsid w:val="00754D14"/>
    <w:rsid w:val="007618E4"/>
    <w:rsid w:val="00761CEB"/>
    <w:rsid w:val="00771651"/>
    <w:rsid w:val="0077295A"/>
    <w:rsid w:val="00780C77"/>
    <w:rsid w:val="00781049"/>
    <w:rsid w:val="00782F73"/>
    <w:rsid w:val="007833D5"/>
    <w:rsid w:val="0078702B"/>
    <w:rsid w:val="00796D9F"/>
    <w:rsid w:val="00797018"/>
    <w:rsid w:val="007A043C"/>
    <w:rsid w:val="007A4391"/>
    <w:rsid w:val="007A55A8"/>
    <w:rsid w:val="007D291C"/>
    <w:rsid w:val="007D38C0"/>
    <w:rsid w:val="007E1762"/>
    <w:rsid w:val="007E3705"/>
    <w:rsid w:val="007F5DF2"/>
    <w:rsid w:val="0081472F"/>
    <w:rsid w:val="00816E61"/>
    <w:rsid w:val="008215CB"/>
    <w:rsid w:val="00823EA7"/>
    <w:rsid w:val="00845681"/>
    <w:rsid w:val="00852EEA"/>
    <w:rsid w:val="0085363C"/>
    <w:rsid w:val="00854A87"/>
    <w:rsid w:val="00861C35"/>
    <w:rsid w:val="00863B55"/>
    <w:rsid w:val="008641F4"/>
    <w:rsid w:val="008701E1"/>
    <w:rsid w:val="00881641"/>
    <w:rsid w:val="008830C2"/>
    <w:rsid w:val="0089190C"/>
    <w:rsid w:val="00894EC1"/>
    <w:rsid w:val="008A1D9E"/>
    <w:rsid w:val="008A2A28"/>
    <w:rsid w:val="008A420E"/>
    <w:rsid w:val="008A6447"/>
    <w:rsid w:val="008A7A3F"/>
    <w:rsid w:val="008B0863"/>
    <w:rsid w:val="008B3825"/>
    <w:rsid w:val="008B6833"/>
    <w:rsid w:val="008B71AC"/>
    <w:rsid w:val="008B7D4A"/>
    <w:rsid w:val="008C00F1"/>
    <w:rsid w:val="008E538E"/>
    <w:rsid w:val="008E5C67"/>
    <w:rsid w:val="008E6BFE"/>
    <w:rsid w:val="008E6C3E"/>
    <w:rsid w:val="008E71D2"/>
    <w:rsid w:val="008F34DD"/>
    <w:rsid w:val="008F7C7C"/>
    <w:rsid w:val="0090318D"/>
    <w:rsid w:val="00907415"/>
    <w:rsid w:val="009108B0"/>
    <w:rsid w:val="00910D74"/>
    <w:rsid w:val="00912F2D"/>
    <w:rsid w:val="00914FD5"/>
    <w:rsid w:val="009173D4"/>
    <w:rsid w:val="009212C5"/>
    <w:rsid w:val="00930937"/>
    <w:rsid w:val="0094189D"/>
    <w:rsid w:val="00944757"/>
    <w:rsid w:val="00961A85"/>
    <w:rsid w:val="00962821"/>
    <w:rsid w:val="009745C0"/>
    <w:rsid w:val="00980299"/>
    <w:rsid w:val="009815D2"/>
    <w:rsid w:val="009A7D9F"/>
    <w:rsid w:val="009B0A9C"/>
    <w:rsid w:val="009B234F"/>
    <w:rsid w:val="009C3983"/>
    <w:rsid w:val="009D07A0"/>
    <w:rsid w:val="009D15A9"/>
    <w:rsid w:val="009D5590"/>
    <w:rsid w:val="009E03F5"/>
    <w:rsid w:val="009F0288"/>
    <w:rsid w:val="009F0485"/>
    <w:rsid w:val="009F4D44"/>
    <w:rsid w:val="00A00634"/>
    <w:rsid w:val="00A070E0"/>
    <w:rsid w:val="00A0734A"/>
    <w:rsid w:val="00A1474F"/>
    <w:rsid w:val="00A20C9B"/>
    <w:rsid w:val="00A21376"/>
    <w:rsid w:val="00A22067"/>
    <w:rsid w:val="00A22BBC"/>
    <w:rsid w:val="00A25526"/>
    <w:rsid w:val="00A25F45"/>
    <w:rsid w:val="00A2764F"/>
    <w:rsid w:val="00A32AF6"/>
    <w:rsid w:val="00A37679"/>
    <w:rsid w:val="00A469F0"/>
    <w:rsid w:val="00A46A65"/>
    <w:rsid w:val="00A47D78"/>
    <w:rsid w:val="00A513F7"/>
    <w:rsid w:val="00A52586"/>
    <w:rsid w:val="00A533ED"/>
    <w:rsid w:val="00A6265B"/>
    <w:rsid w:val="00A67C2A"/>
    <w:rsid w:val="00A70234"/>
    <w:rsid w:val="00A755A7"/>
    <w:rsid w:val="00A857CF"/>
    <w:rsid w:val="00A947B5"/>
    <w:rsid w:val="00AA0A65"/>
    <w:rsid w:val="00AA50EA"/>
    <w:rsid w:val="00AA7A8F"/>
    <w:rsid w:val="00AB0C56"/>
    <w:rsid w:val="00AB7DF7"/>
    <w:rsid w:val="00AC0702"/>
    <w:rsid w:val="00AC1307"/>
    <w:rsid w:val="00AC1888"/>
    <w:rsid w:val="00AC1A8D"/>
    <w:rsid w:val="00AC63C4"/>
    <w:rsid w:val="00AD0194"/>
    <w:rsid w:val="00AD0FAE"/>
    <w:rsid w:val="00AD1C17"/>
    <w:rsid w:val="00AD6204"/>
    <w:rsid w:val="00AD6A76"/>
    <w:rsid w:val="00AE011F"/>
    <w:rsid w:val="00AF0477"/>
    <w:rsid w:val="00AF3707"/>
    <w:rsid w:val="00AF6570"/>
    <w:rsid w:val="00B03B96"/>
    <w:rsid w:val="00B07E66"/>
    <w:rsid w:val="00B11BA3"/>
    <w:rsid w:val="00B26A7E"/>
    <w:rsid w:val="00B41E5D"/>
    <w:rsid w:val="00B54D99"/>
    <w:rsid w:val="00B62A97"/>
    <w:rsid w:val="00B64254"/>
    <w:rsid w:val="00B6513B"/>
    <w:rsid w:val="00B75022"/>
    <w:rsid w:val="00B750E1"/>
    <w:rsid w:val="00B834DD"/>
    <w:rsid w:val="00B85354"/>
    <w:rsid w:val="00B970F3"/>
    <w:rsid w:val="00BA0296"/>
    <w:rsid w:val="00BB3408"/>
    <w:rsid w:val="00BC1818"/>
    <w:rsid w:val="00BD04D3"/>
    <w:rsid w:val="00BE1014"/>
    <w:rsid w:val="00BE4728"/>
    <w:rsid w:val="00BE7AB5"/>
    <w:rsid w:val="00BF3265"/>
    <w:rsid w:val="00BF3D8F"/>
    <w:rsid w:val="00BF679D"/>
    <w:rsid w:val="00C00618"/>
    <w:rsid w:val="00C05379"/>
    <w:rsid w:val="00C13CAD"/>
    <w:rsid w:val="00C201D8"/>
    <w:rsid w:val="00C2487B"/>
    <w:rsid w:val="00C4641B"/>
    <w:rsid w:val="00C46A12"/>
    <w:rsid w:val="00C47729"/>
    <w:rsid w:val="00C64B03"/>
    <w:rsid w:val="00C92E63"/>
    <w:rsid w:val="00C94461"/>
    <w:rsid w:val="00CA1EAD"/>
    <w:rsid w:val="00CA5A4C"/>
    <w:rsid w:val="00CA6F21"/>
    <w:rsid w:val="00CA71C0"/>
    <w:rsid w:val="00CA7D69"/>
    <w:rsid w:val="00CB1C79"/>
    <w:rsid w:val="00CB2099"/>
    <w:rsid w:val="00CB2B40"/>
    <w:rsid w:val="00CB4C3D"/>
    <w:rsid w:val="00CB6643"/>
    <w:rsid w:val="00CB71E3"/>
    <w:rsid w:val="00CC21A8"/>
    <w:rsid w:val="00CD1FA2"/>
    <w:rsid w:val="00CD44A5"/>
    <w:rsid w:val="00CD6581"/>
    <w:rsid w:val="00CE05AB"/>
    <w:rsid w:val="00CF44C0"/>
    <w:rsid w:val="00CF4CF6"/>
    <w:rsid w:val="00D00DDC"/>
    <w:rsid w:val="00D03E83"/>
    <w:rsid w:val="00D10E24"/>
    <w:rsid w:val="00D12C60"/>
    <w:rsid w:val="00D14EA5"/>
    <w:rsid w:val="00D26CAD"/>
    <w:rsid w:val="00D316F5"/>
    <w:rsid w:val="00D326B4"/>
    <w:rsid w:val="00D3534D"/>
    <w:rsid w:val="00D43822"/>
    <w:rsid w:val="00D44746"/>
    <w:rsid w:val="00D503FE"/>
    <w:rsid w:val="00D52E75"/>
    <w:rsid w:val="00D53A65"/>
    <w:rsid w:val="00D55E42"/>
    <w:rsid w:val="00D63E55"/>
    <w:rsid w:val="00D63EBD"/>
    <w:rsid w:val="00D6731C"/>
    <w:rsid w:val="00D70742"/>
    <w:rsid w:val="00D75365"/>
    <w:rsid w:val="00D7603A"/>
    <w:rsid w:val="00D76EB2"/>
    <w:rsid w:val="00D8375C"/>
    <w:rsid w:val="00D83A3F"/>
    <w:rsid w:val="00D9034E"/>
    <w:rsid w:val="00D950B7"/>
    <w:rsid w:val="00D9607D"/>
    <w:rsid w:val="00D9682F"/>
    <w:rsid w:val="00DA5CE9"/>
    <w:rsid w:val="00DA6FF1"/>
    <w:rsid w:val="00DB062E"/>
    <w:rsid w:val="00DB2A6E"/>
    <w:rsid w:val="00DB2E00"/>
    <w:rsid w:val="00DB5A5F"/>
    <w:rsid w:val="00DB6222"/>
    <w:rsid w:val="00DB7F66"/>
    <w:rsid w:val="00DC74D2"/>
    <w:rsid w:val="00DD104D"/>
    <w:rsid w:val="00DD4B49"/>
    <w:rsid w:val="00DD5E3E"/>
    <w:rsid w:val="00DE2E77"/>
    <w:rsid w:val="00DE338B"/>
    <w:rsid w:val="00DF0E90"/>
    <w:rsid w:val="00DF4E8A"/>
    <w:rsid w:val="00DF7F3C"/>
    <w:rsid w:val="00E046CC"/>
    <w:rsid w:val="00E06CFF"/>
    <w:rsid w:val="00E13981"/>
    <w:rsid w:val="00E151D9"/>
    <w:rsid w:val="00E268E9"/>
    <w:rsid w:val="00E461D1"/>
    <w:rsid w:val="00E50E0A"/>
    <w:rsid w:val="00E62277"/>
    <w:rsid w:val="00E75030"/>
    <w:rsid w:val="00E7528F"/>
    <w:rsid w:val="00E75BE2"/>
    <w:rsid w:val="00E76BE0"/>
    <w:rsid w:val="00E936B0"/>
    <w:rsid w:val="00E95968"/>
    <w:rsid w:val="00E961BA"/>
    <w:rsid w:val="00E96841"/>
    <w:rsid w:val="00EA285F"/>
    <w:rsid w:val="00EA3FAB"/>
    <w:rsid w:val="00EA416D"/>
    <w:rsid w:val="00EA42DB"/>
    <w:rsid w:val="00EA5D53"/>
    <w:rsid w:val="00EA6755"/>
    <w:rsid w:val="00EB111E"/>
    <w:rsid w:val="00EB4831"/>
    <w:rsid w:val="00EB7A35"/>
    <w:rsid w:val="00EC17B8"/>
    <w:rsid w:val="00EC286C"/>
    <w:rsid w:val="00EC48E7"/>
    <w:rsid w:val="00EC4DB6"/>
    <w:rsid w:val="00ED28E2"/>
    <w:rsid w:val="00EE0467"/>
    <w:rsid w:val="00EE429E"/>
    <w:rsid w:val="00EE49E6"/>
    <w:rsid w:val="00EE66F3"/>
    <w:rsid w:val="00EF0CD7"/>
    <w:rsid w:val="00EF1AB4"/>
    <w:rsid w:val="00EF3B41"/>
    <w:rsid w:val="00F00C53"/>
    <w:rsid w:val="00F145D7"/>
    <w:rsid w:val="00F2202A"/>
    <w:rsid w:val="00F41CAC"/>
    <w:rsid w:val="00F43CDE"/>
    <w:rsid w:val="00F51D4C"/>
    <w:rsid w:val="00F534F9"/>
    <w:rsid w:val="00F53A9D"/>
    <w:rsid w:val="00F64222"/>
    <w:rsid w:val="00F7217A"/>
    <w:rsid w:val="00F778A2"/>
    <w:rsid w:val="00F807AE"/>
    <w:rsid w:val="00F81854"/>
    <w:rsid w:val="00F81D20"/>
    <w:rsid w:val="00F82D29"/>
    <w:rsid w:val="00F8475F"/>
    <w:rsid w:val="00F847DB"/>
    <w:rsid w:val="00F8678C"/>
    <w:rsid w:val="00F9031E"/>
    <w:rsid w:val="00FA4DB4"/>
    <w:rsid w:val="00FC2034"/>
    <w:rsid w:val="00FC332A"/>
    <w:rsid w:val="00FC35A1"/>
    <w:rsid w:val="00FC38C8"/>
    <w:rsid w:val="00FC553B"/>
    <w:rsid w:val="00FD7199"/>
    <w:rsid w:val="00FE41E6"/>
    <w:rsid w:val="00FE5EFE"/>
    <w:rsid w:val="00FE7953"/>
    <w:rsid w:val="00FF59E8"/>
    <w:rsid w:val="00FF6245"/>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08A4"/>
  <w15:docId w15:val="{4100CFC2-1919-4D13-A915-714061A9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0CD7"/>
    <w:pPr>
      <w:tabs>
        <w:tab w:val="center" w:pos="4513"/>
        <w:tab w:val="right" w:pos="9026"/>
      </w:tabs>
      <w:spacing w:line="240" w:lineRule="auto"/>
    </w:pPr>
  </w:style>
  <w:style w:type="character" w:customStyle="1" w:styleId="HeaderChar">
    <w:name w:val="Header Char"/>
    <w:basedOn w:val="DefaultParagraphFont"/>
    <w:link w:val="Header"/>
    <w:uiPriority w:val="99"/>
    <w:rsid w:val="00EF0CD7"/>
  </w:style>
  <w:style w:type="paragraph" w:styleId="Footer">
    <w:name w:val="footer"/>
    <w:basedOn w:val="Normal"/>
    <w:link w:val="FooterChar"/>
    <w:uiPriority w:val="99"/>
    <w:unhideWhenUsed/>
    <w:rsid w:val="00EF0CD7"/>
    <w:pPr>
      <w:tabs>
        <w:tab w:val="center" w:pos="4513"/>
        <w:tab w:val="right" w:pos="9026"/>
      </w:tabs>
      <w:spacing w:line="240" w:lineRule="auto"/>
    </w:pPr>
  </w:style>
  <w:style w:type="character" w:customStyle="1" w:styleId="FooterChar">
    <w:name w:val="Footer Char"/>
    <w:basedOn w:val="DefaultParagraphFont"/>
    <w:link w:val="Footer"/>
    <w:uiPriority w:val="99"/>
    <w:rsid w:val="00EF0CD7"/>
  </w:style>
  <w:style w:type="paragraph" w:styleId="FootnoteText">
    <w:name w:val="footnote text"/>
    <w:basedOn w:val="Normal"/>
    <w:link w:val="FootnoteTextChar"/>
    <w:uiPriority w:val="99"/>
    <w:semiHidden/>
    <w:unhideWhenUsed/>
    <w:rsid w:val="00EF0CD7"/>
    <w:pPr>
      <w:spacing w:line="240" w:lineRule="auto"/>
    </w:pPr>
    <w:rPr>
      <w:sz w:val="20"/>
      <w:szCs w:val="20"/>
    </w:rPr>
  </w:style>
  <w:style w:type="character" w:customStyle="1" w:styleId="FootnoteTextChar">
    <w:name w:val="Footnote Text Char"/>
    <w:basedOn w:val="DefaultParagraphFont"/>
    <w:link w:val="FootnoteText"/>
    <w:uiPriority w:val="99"/>
    <w:semiHidden/>
    <w:rsid w:val="00EF0CD7"/>
    <w:rPr>
      <w:sz w:val="20"/>
      <w:szCs w:val="20"/>
    </w:rPr>
  </w:style>
  <w:style w:type="character" w:styleId="FootnoteReference">
    <w:name w:val="footnote reference"/>
    <w:basedOn w:val="DefaultParagraphFont"/>
    <w:uiPriority w:val="99"/>
    <w:semiHidden/>
    <w:unhideWhenUsed/>
    <w:rsid w:val="00EF0CD7"/>
    <w:rPr>
      <w:vertAlign w:val="superscript"/>
    </w:rPr>
  </w:style>
  <w:style w:type="character" w:styleId="Hyperlink">
    <w:name w:val="Hyperlink"/>
    <w:basedOn w:val="DefaultParagraphFont"/>
    <w:uiPriority w:val="99"/>
    <w:unhideWhenUsed/>
    <w:rsid w:val="00EF0CD7"/>
    <w:rPr>
      <w:color w:val="0000FF"/>
      <w:u w:val="single"/>
    </w:rPr>
  </w:style>
  <w:style w:type="paragraph" w:styleId="ListParagraph">
    <w:name w:val="List Paragraph"/>
    <w:basedOn w:val="Normal"/>
    <w:uiPriority w:val="34"/>
    <w:qFormat/>
    <w:rsid w:val="00E7528F"/>
    <w:pPr>
      <w:spacing w:line="240" w:lineRule="auto"/>
      <w:ind w:left="720"/>
      <w:contextualSpacing/>
    </w:pPr>
    <w:rPr>
      <w:rFonts w:eastAsiaTheme="minorEastAsia" w:cstheme="minorBidi"/>
      <w:sz w:val="24"/>
      <w:lang w:val="en-US" w:eastAsia="zh-CN"/>
    </w:rPr>
  </w:style>
  <w:style w:type="paragraph" w:styleId="IntenseQuote">
    <w:name w:val="Intense Quote"/>
    <w:basedOn w:val="Normal"/>
    <w:next w:val="Normal"/>
    <w:link w:val="IntenseQuoteChar"/>
    <w:uiPriority w:val="30"/>
    <w:qFormat/>
    <w:rsid w:val="004B2E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B2E25"/>
    <w:rPr>
      <w:i/>
      <w:iCs/>
      <w:color w:val="4F81BD" w:themeColor="accent1"/>
    </w:rPr>
  </w:style>
  <w:style w:type="character" w:styleId="SubtleEmphasis">
    <w:name w:val="Subtle Emphasis"/>
    <w:basedOn w:val="DefaultParagraphFont"/>
    <w:uiPriority w:val="19"/>
    <w:qFormat/>
    <w:rsid w:val="00D00DDC"/>
    <w:rPr>
      <w:i/>
      <w:iCs/>
      <w:color w:val="404040" w:themeColor="text1" w:themeTint="BF"/>
    </w:rPr>
  </w:style>
  <w:style w:type="paragraph" w:styleId="BalloonText">
    <w:name w:val="Balloon Text"/>
    <w:basedOn w:val="Normal"/>
    <w:link w:val="BalloonTextChar"/>
    <w:uiPriority w:val="99"/>
    <w:semiHidden/>
    <w:unhideWhenUsed/>
    <w:rsid w:val="004A5B81"/>
    <w:pPr>
      <w:spacing w:line="240" w:lineRule="auto"/>
    </w:pPr>
    <w:rPr>
      <w:sz w:val="18"/>
      <w:szCs w:val="18"/>
    </w:rPr>
  </w:style>
  <w:style w:type="character" w:customStyle="1" w:styleId="BalloonTextChar">
    <w:name w:val="Balloon Text Char"/>
    <w:basedOn w:val="DefaultParagraphFont"/>
    <w:link w:val="BalloonText"/>
    <w:uiPriority w:val="99"/>
    <w:semiHidden/>
    <w:rsid w:val="004A5B81"/>
    <w:rPr>
      <w:sz w:val="18"/>
      <w:szCs w:val="18"/>
    </w:rPr>
  </w:style>
  <w:style w:type="paragraph" w:styleId="NoSpacing">
    <w:name w:val="No Spacing"/>
    <w:link w:val="NoSpacingChar"/>
    <w:uiPriority w:val="1"/>
    <w:qFormat/>
    <w:rsid w:val="005F385C"/>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5F385C"/>
    <w:rPr>
      <w:rFonts w:asciiTheme="minorHAnsi" w:eastAsiaTheme="minorEastAsia" w:hAnsiTheme="minorHAnsi" w:cstheme="minorBidi"/>
      <w:lang w:val="en-US" w:eastAsia="en-US"/>
    </w:rPr>
  </w:style>
  <w:style w:type="table" w:styleId="TableGrid">
    <w:name w:val="Table Grid"/>
    <w:basedOn w:val="TableNormal"/>
    <w:uiPriority w:val="39"/>
    <w:rsid w:val="00AC18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3439"/>
    <w:pPr>
      <w:spacing w:before="100" w:beforeAutospacing="1" w:after="100" w:afterAutospacing="1" w:line="240" w:lineRule="auto"/>
    </w:pPr>
    <w:rPr>
      <w:rFonts w:ascii="Times New Roman" w:eastAsia="Times New Roman" w:hAnsi="Times New Roman" w:cs="Times New Roman"/>
      <w:sz w:val="24"/>
      <w:szCs w:val="24"/>
      <w:lang w:val="en-PH"/>
    </w:rPr>
  </w:style>
  <w:style w:type="paragraph" w:customStyle="1" w:styleId="Default">
    <w:name w:val="Default"/>
    <w:rsid w:val="003D2BE6"/>
    <w:pPr>
      <w:autoSpaceDE w:val="0"/>
      <w:autoSpaceDN w:val="0"/>
      <w:adjustRightInd w:val="0"/>
      <w:spacing w:line="240" w:lineRule="auto"/>
    </w:pPr>
    <w:rPr>
      <w:color w:val="000000"/>
      <w:sz w:val="24"/>
      <w:szCs w:val="24"/>
      <w:lang w:val="en-PH"/>
    </w:rPr>
  </w:style>
  <w:style w:type="character" w:styleId="Strong">
    <w:name w:val="Strong"/>
    <w:basedOn w:val="DefaultParagraphFont"/>
    <w:uiPriority w:val="22"/>
    <w:qFormat/>
    <w:rsid w:val="00914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oh.gov/covid19track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19healthypilipinas.p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ewsinfo.inquirer.net/1283213/over-22k-inmates-freed-to-decongest-jails" TargetMode="External"/><Relationship Id="rId1" Type="http://schemas.openxmlformats.org/officeDocument/2006/relationships/hyperlink" Target="https://pcw.gov.ph/memorandum-circular-2020-03-adjustment-and-or-implementation-of-the-fy-2020-gad-plan-and-budget-in-view-of-the-coronavirus-disease-2019-sit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01CA1E-B062-5549-8903-4EE32544F9AF}">
  <ds:schemaRefs>
    <ds:schemaRef ds:uri="http://schemas.openxmlformats.org/officeDocument/2006/bibliography"/>
  </ds:schemaRefs>
</ds:datastoreItem>
</file>

<file path=customXml/itemProps2.xml><?xml version="1.0" encoding="utf-8"?>
<ds:datastoreItem xmlns:ds="http://schemas.openxmlformats.org/officeDocument/2006/customXml" ds:itemID="{6A71ADCC-F259-4F2E-BE88-A994FAC7A0BD}"/>
</file>

<file path=customXml/itemProps3.xml><?xml version="1.0" encoding="utf-8"?>
<ds:datastoreItem xmlns:ds="http://schemas.openxmlformats.org/officeDocument/2006/customXml" ds:itemID="{CDB44F41-3FF4-4208-8ED1-8FBF1EB61554}"/>
</file>

<file path=customXml/itemProps4.xml><?xml version="1.0" encoding="utf-8"?>
<ds:datastoreItem xmlns:ds="http://schemas.openxmlformats.org/officeDocument/2006/customXml" ds:itemID="{54BDE996-770D-4CBA-A437-221C72D7276F}"/>
</file>

<file path=docProps/app.xml><?xml version="1.0" encoding="utf-8"?>
<Properties xmlns="http://schemas.openxmlformats.org/officeDocument/2006/extended-properties" xmlns:vt="http://schemas.openxmlformats.org/officeDocument/2006/docPropsVTypes">
  <Template>Normal</Template>
  <TotalTime>0</TotalTime>
  <Pages>14</Pages>
  <Words>6518</Words>
  <Characters>37156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Pua-Diezmos</dc:creator>
  <cp:lastModifiedBy>Chitralekha Massey</cp:lastModifiedBy>
  <cp:revision>2</cp:revision>
  <cp:lastPrinted>2020-04-22T11:08:00Z</cp:lastPrinted>
  <dcterms:created xsi:type="dcterms:W3CDTF">2020-09-13T11:20:00Z</dcterms:created>
  <dcterms:modified xsi:type="dcterms:W3CDTF">2020-09-13T11:20:00Z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