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2F" w:rsidRDefault="00A07A2F" w:rsidP="00A07A2F">
      <w:pPr>
        <w:spacing w:line="240" w:lineRule="auto"/>
        <w:rPr>
          <w:sz w:val="2"/>
        </w:rPr>
        <w:sectPr w:rsidR="00A07A2F" w:rsidSect="00A07A2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262082" w:rsidRDefault="00262082" w:rsidP="002620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Comité contre la torture</w:t>
      </w:r>
    </w:p>
    <w:p w:rsidR="00262082" w:rsidRDefault="00262082" w:rsidP="00262082">
      <w:pPr>
        <w:pStyle w:val="SingleTxt"/>
        <w:spacing w:after="0" w:line="120" w:lineRule="exact"/>
        <w:rPr>
          <w:sz w:val="10"/>
          <w:lang w:val="fr-CH"/>
        </w:rPr>
      </w:pPr>
    </w:p>
    <w:p w:rsidR="00262082" w:rsidRDefault="00262082" w:rsidP="00262082">
      <w:pPr>
        <w:pStyle w:val="SingleTxt"/>
        <w:spacing w:after="0" w:line="120" w:lineRule="exact"/>
        <w:rPr>
          <w:sz w:val="10"/>
          <w:lang w:val="fr-CH"/>
        </w:rPr>
      </w:pPr>
    </w:p>
    <w:p w:rsidR="00262082" w:rsidRDefault="00262082" w:rsidP="00262082">
      <w:pPr>
        <w:pStyle w:val="SingleTxt"/>
        <w:spacing w:after="0" w:line="120" w:lineRule="exact"/>
        <w:rPr>
          <w:sz w:val="10"/>
          <w:lang w:val="fr-CH"/>
        </w:rPr>
      </w:pPr>
    </w:p>
    <w:p w:rsidR="00262082" w:rsidRDefault="00262082" w:rsidP="002620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262082">
        <w:rPr>
          <w:spacing w:val="-4"/>
          <w:lang w:val="fr-CH"/>
        </w:rPr>
        <w:t xml:space="preserve">Rapport sur le suivi des décisions prises au sujet des requêtes </w:t>
      </w:r>
      <w:r>
        <w:rPr>
          <w:lang w:val="fr-CH"/>
        </w:rPr>
        <w:t>présentées en application de l’article 22 de la Convention contre la torture</w:t>
      </w:r>
      <w:r w:rsidRPr="00E66E07">
        <w:rPr>
          <w:rStyle w:val="FootnoteReference"/>
          <w:b w:val="0"/>
          <w:sz w:val="20"/>
          <w:szCs w:val="20"/>
          <w:vertAlign w:val="baseline"/>
          <w:lang w:val="fr-CH"/>
        </w:rPr>
        <w:footnoteReference w:customMarkFollows="1" w:id="1"/>
        <w:t>*</w:t>
      </w:r>
    </w:p>
    <w:p w:rsidR="00262082" w:rsidRDefault="00262082" w:rsidP="00262082">
      <w:pPr>
        <w:pStyle w:val="SingleTxt"/>
        <w:spacing w:after="0" w:line="120" w:lineRule="exact"/>
        <w:rPr>
          <w:sz w:val="10"/>
          <w:lang w:val="fr-CH"/>
        </w:rPr>
      </w:pPr>
    </w:p>
    <w:p w:rsidR="00262082" w:rsidRDefault="00262082" w:rsidP="00262082">
      <w:pPr>
        <w:pStyle w:val="SingleTxt"/>
        <w:spacing w:after="0" w:line="120" w:lineRule="exact"/>
        <w:rPr>
          <w:sz w:val="10"/>
          <w:lang w:val="fr-CH"/>
        </w:rPr>
      </w:pPr>
    </w:p>
    <w:p w:rsidR="00262082" w:rsidRDefault="00262082" w:rsidP="00E35F95">
      <w:pPr>
        <w:pStyle w:val="SingleTxt"/>
        <w:rPr>
          <w:lang w:val="fr-CH"/>
        </w:rPr>
      </w:pPr>
      <w:r>
        <w:rPr>
          <w:lang w:val="fr-CH"/>
        </w:rPr>
        <w:tab/>
        <w:t xml:space="preserve">On trouvera dans le présent rapport une synthèse des renseignements </w:t>
      </w:r>
      <w:r w:rsidR="00B50B98">
        <w:rPr>
          <w:lang w:val="fr-CH"/>
        </w:rPr>
        <w:t xml:space="preserve">que le Comité a </w:t>
      </w:r>
      <w:r>
        <w:rPr>
          <w:lang w:val="fr-CH"/>
        </w:rPr>
        <w:t>reçus des</w:t>
      </w:r>
      <w:r w:rsidR="00B50B98">
        <w:rPr>
          <w:lang w:val="fr-CH"/>
        </w:rPr>
        <w:t xml:space="preserve"> </w:t>
      </w:r>
      <w:r>
        <w:rPr>
          <w:lang w:val="fr-CH"/>
        </w:rPr>
        <w:t xml:space="preserve">États parties et des requérants depuis </w:t>
      </w:r>
      <w:r w:rsidR="00B50B98">
        <w:rPr>
          <w:lang w:val="fr-CH"/>
        </w:rPr>
        <w:t>s</w:t>
      </w:r>
      <w:r>
        <w:rPr>
          <w:lang w:val="fr-CH"/>
        </w:rPr>
        <w:t xml:space="preserve">a cinquante-troisième session (3-28 novembre 2014) </w:t>
      </w:r>
      <w:r w:rsidR="00B50B98">
        <w:rPr>
          <w:lang w:val="fr-CH"/>
        </w:rPr>
        <w:t>en réponse</w:t>
      </w:r>
      <w:r>
        <w:rPr>
          <w:lang w:val="fr-CH"/>
        </w:rPr>
        <w:t xml:space="preserve"> aux décisions qu’il a</w:t>
      </w:r>
      <w:r w:rsidR="00B50B98">
        <w:rPr>
          <w:lang w:val="fr-CH"/>
        </w:rPr>
        <w:t>vait</w:t>
      </w:r>
      <w:r>
        <w:rPr>
          <w:lang w:val="fr-CH"/>
        </w:rPr>
        <w:t xml:space="preserve"> prises au sujet de requêtes.</w:t>
      </w:r>
    </w:p>
    <w:p w:rsidR="00262082" w:rsidRDefault="00262082" w:rsidP="00262082">
      <w:pPr>
        <w:pStyle w:val="SingleTxt"/>
        <w:spacing w:after="0" w:line="120" w:lineRule="exact"/>
        <w:rPr>
          <w:sz w:val="10"/>
          <w:lang w:val="fr-CH"/>
        </w:rPr>
      </w:pPr>
    </w:p>
    <w:p w:rsidR="00262082" w:rsidRDefault="00262082" w:rsidP="00262082">
      <w:pPr>
        <w:pStyle w:val="SingleTxt"/>
        <w:spacing w:after="0" w:line="120" w:lineRule="exact"/>
        <w:rPr>
          <w:sz w:val="10"/>
          <w:lang w:val="fr-CH"/>
        </w:rPr>
      </w:pPr>
    </w:p>
    <w:tbl>
      <w:tblPr>
        <w:tblW w:w="0" w:type="auto"/>
        <w:tblInd w:w="1260" w:type="dxa"/>
        <w:tblLayout w:type="fixed"/>
        <w:tblCellMar>
          <w:left w:w="0" w:type="dxa"/>
          <w:right w:w="0" w:type="dxa"/>
        </w:tblCellMar>
        <w:tblLook w:val="04A0" w:firstRow="1" w:lastRow="0" w:firstColumn="1" w:lastColumn="0" w:noHBand="0" w:noVBand="1"/>
      </w:tblPr>
      <w:tblGrid>
        <w:gridCol w:w="2160"/>
        <w:gridCol w:w="5328"/>
      </w:tblGrid>
      <w:tr w:rsidR="00262082" w:rsidTr="00B63EAE">
        <w:trPr>
          <w:tblHeader/>
        </w:trPr>
        <w:tc>
          <w:tcPr>
            <w:tcW w:w="7488" w:type="dxa"/>
            <w:gridSpan w:val="2"/>
            <w:tcBorders>
              <w:top w:val="single" w:sz="4" w:space="0" w:color="auto"/>
              <w:left w:val="nil"/>
              <w:bottom w:val="single" w:sz="12" w:space="0" w:color="auto"/>
              <w:right w:val="nil"/>
            </w:tcBorders>
            <w:vAlign w:val="bottom"/>
            <w:hideMark/>
          </w:tcPr>
          <w:p w:rsidR="00262082" w:rsidRDefault="00262082">
            <w:pPr>
              <w:tabs>
                <w:tab w:val="left" w:pos="288"/>
                <w:tab w:val="left" w:pos="576"/>
                <w:tab w:val="left" w:pos="864"/>
                <w:tab w:val="left" w:pos="1152"/>
              </w:tabs>
              <w:suppressAutoHyphens/>
              <w:spacing w:before="80" w:after="80" w:line="160" w:lineRule="exact"/>
              <w:ind w:right="115"/>
              <w:rPr>
                <w:i/>
                <w:szCs w:val="20"/>
                <w:lang w:val="fr-CH"/>
              </w:rPr>
            </w:pPr>
            <w:r>
              <w:rPr>
                <w:b/>
                <w:bCs/>
                <w:iCs/>
                <w:szCs w:val="20"/>
                <w:lang w:val="fr-CH"/>
              </w:rPr>
              <w:t>Algérie</w:t>
            </w:r>
          </w:p>
        </w:tc>
      </w:tr>
      <w:tr w:rsidR="00262082" w:rsidTr="00B63EAE">
        <w:trPr>
          <w:trHeight w:hRule="exact" w:val="115"/>
          <w:tblHeader/>
        </w:trPr>
        <w:tc>
          <w:tcPr>
            <w:tcW w:w="2160" w:type="dxa"/>
            <w:tcBorders>
              <w:top w:val="single" w:sz="12" w:space="0" w:color="auto"/>
              <w:left w:val="nil"/>
              <w:bottom w:val="nil"/>
              <w:right w:val="nil"/>
            </w:tcBorders>
            <w:vAlign w:val="bottom"/>
          </w:tcPr>
          <w:p w:rsidR="00262082" w:rsidRDefault="00262082">
            <w:pPr>
              <w:tabs>
                <w:tab w:val="left" w:pos="288"/>
                <w:tab w:val="left" w:pos="576"/>
                <w:tab w:val="left" w:pos="864"/>
                <w:tab w:val="left" w:pos="1152"/>
              </w:tabs>
              <w:suppressAutoHyphens/>
              <w:spacing w:before="40" w:after="80"/>
              <w:ind w:right="115"/>
              <w:rPr>
                <w:lang w:val="fr-CH"/>
              </w:rPr>
            </w:pPr>
          </w:p>
        </w:tc>
        <w:tc>
          <w:tcPr>
            <w:tcW w:w="5328" w:type="dxa"/>
            <w:tcBorders>
              <w:top w:val="single" w:sz="12" w:space="0" w:color="auto"/>
              <w:left w:val="nil"/>
              <w:bottom w:val="nil"/>
              <w:right w:val="nil"/>
            </w:tcBorders>
            <w:vAlign w:val="bottom"/>
          </w:tcPr>
          <w:p w:rsidR="00262082" w:rsidRDefault="00262082">
            <w:pPr>
              <w:tabs>
                <w:tab w:val="left" w:pos="288"/>
                <w:tab w:val="left" w:pos="576"/>
                <w:tab w:val="left" w:pos="864"/>
                <w:tab w:val="left" w:pos="1152"/>
              </w:tabs>
              <w:suppressAutoHyphens/>
              <w:spacing w:before="40" w:after="80"/>
              <w:ind w:right="115"/>
              <w:rPr>
                <w:lang w:val="fr-CH"/>
              </w:rPr>
            </w:pPr>
          </w:p>
        </w:tc>
      </w:tr>
      <w:tr w:rsidR="00262082" w:rsidTr="00B63EAE">
        <w:tc>
          <w:tcPr>
            <w:tcW w:w="2160" w:type="dxa"/>
            <w:hideMark/>
          </w:tcPr>
          <w:p w:rsidR="00262082" w:rsidRDefault="00B50B98">
            <w:pPr>
              <w:tabs>
                <w:tab w:val="left" w:pos="288"/>
                <w:tab w:val="left" w:pos="576"/>
                <w:tab w:val="left" w:pos="864"/>
                <w:tab w:val="left" w:pos="1152"/>
              </w:tabs>
              <w:suppressAutoHyphens/>
              <w:spacing w:before="40" w:after="80"/>
              <w:ind w:right="115"/>
              <w:rPr>
                <w:b/>
                <w:bCs/>
                <w:lang w:val="fr-CH"/>
              </w:rPr>
            </w:pPr>
            <w:r>
              <w:rPr>
                <w:b/>
                <w:bCs/>
                <w:lang w:val="fr-CH"/>
              </w:rPr>
              <w:t>A</w:t>
            </w:r>
            <w:r w:rsidR="00262082">
              <w:rPr>
                <w:b/>
                <w:bCs/>
                <w:lang w:val="fr-CH"/>
              </w:rPr>
              <w:t>ffaire</w:t>
            </w:r>
          </w:p>
        </w:tc>
        <w:tc>
          <w:tcPr>
            <w:tcW w:w="5328" w:type="dxa"/>
            <w:hideMark/>
          </w:tcPr>
          <w:p w:rsidR="00262082" w:rsidRDefault="00AC5447">
            <w:pPr>
              <w:tabs>
                <w:tab w:val="left" w:pos="288"/>
                <w:tab w:val="left" w:pos="576"/>
                <w:tab w:val="left" w:pos="864"/>
                <w:tab w:val="left" w:pos="1152"/>
              </w:tabs>
              <w:suppressAutoHyphens/>
              <w:spacing w:before="40" w:after="80"/>
              <w:ind w:right="115"/>
              <w:rPr>
                <w:lang w:val="fr-CH"/>
              </w:rPr>
            </w:pPr>
            <w:r>
              <w:rPr>
                <w:i/>
                <w:iCs/>
                <w:lang w:val="fr-CH"/>
              </w:rPr>
              <w:t>B</w:t>
            </w:r>
            <w:r w:rsidR="00262082">
              <w:rPr>
                <w:i/>
                <w:iCs/>
                <w:lang w:val="fr-CH"/>
              </w:rPr>
              <w:t>endib</w:t>
            </w:r>
            <w:r w:rsidR="00262082">
              <w:rPr>
                <w:lang w:val="fr-CH"/>
              </w:rPr>
              <w:t>, 376/2009</w:t>
            </w:r>
          </w:p>
        </w:tc>
      </w:tr>
      <w:tr w:rsidR="00262082" w:rsidTr="00B63EAE">
        <w:tc>
          <w:tcPr>
            <w:tcW w:w="2160" w:type="dxa"/>
            <w:hideMark/>
          </w:tcPr>
          <w:p w:rsidR="00262082" w:rsidRDefault="00262082">
            <w:pPr>
              <w:tabs>
                <w:tab w:val="left" w:pos="288"/>
                <w:tab w:val="left" w:pos="576"/>
                <w:tab w:val="left" w:pos="864"/>
                <w:tab w:val="left" w:pos="1152"/>
              </w:tabs>
              <w:suppressAutoHyphens/>
              <w:spacing w:before="40" w:after="80"/>
              <w:ind w:right="115"/>
              <w:rPr>
                <w:b/>
                <w:bCs/>
                <w:lang w:val="fr-CH"/>
              </w:rPr>
            </w:pPr>
            <w:r>
              <w:rPr>
                <w:b/>
                <w:bCs/>
                <w:lang w:val="fr-CH"/>
              </w:rPr>
              <w:t>Décision adoptée le</w:t>
            </w:r>
          </w:p>
        </w:tc>
        <w:tc>
          <w:tcPr>
            <w:tcW w:w="5328" w:type="dxa"/>
            <w:hideMark/>
          </w:tcPr>
          <w:p w:rsidR="00262082" w:rsidRDefault="00B50B98">
            <w:pPr>
              <w:tabs>
                <w:tab w:val="left" w:pos="288"/>
                <w:tab w:val="left" w:pos="576"/>
                <w:tab w:val="left" w:pos="864"/>
                <w:tab w:val="left" w:pos="1152"/>
              </w:tabs>
              <w:suppressAutoHyphens/>
              <w:spacing w:before="40" w:after="80"/>
              <w:ind w:right="115"/>
              <w:rPr>
                <w:lang w:val="fr-CH"/>
              </w:rPr>
            </w:pPr>
            <w:r>
              <w:rPr>
                <w:lang w:val="fr-CH"/>
              </w:rPr>
              <w:t>8 </w:t>
            </w:r>
            <w:r w:rsidR="00262082">
              <w:rPr>
                <w:lang w:val="fr-CH"/>
              </w:rPr>
              <w:t>novembre 2013</w:t>
            </w:r>
          </w:p>
        </w:tc>
      </w:tr>
      <w:tr w:rsidR="00262082" w:rsidTr="00B63EAE">
        <w:tc>
          <w:tcPr>
            <w:tcW w:w="2160" w:type="dxa"/>
            <w:hideMark/>
          </w:tcPr>
          <w:p w:rsidR="00262082" w:rsidRDefault="00262082">
            <w:pPr>
              <w:tabs>
                <w:tab w:val="left" w:pos="288"/>
                <w:tab w:val="left" w:pos="576"/>
                <w:tab w:val="left" w:pos="864"/>
                <w:tab w:val="left" w:pos="1152"/>
              </w:tabs>
              <w:suppressAutoHyphens/>
              <w:spacing w:before="40" w:after="80"/>
              <w:ind w:right="115"/>
              <w:rPr>
                <w:b/>
                <w:bCs/>
                <w:lang w:val="fr-CH"/>
              </w:rPr>
            </w:pPr>
            <w:r>
              <w:rPr>
                <w:b/>
                <w:bCs/>
                <w:lang w:val="fr-CH"/>
              </w:rPr>
              <w:t>Violations constatées</w:t>
            </w:r>
          </w:p>
        </w:tc>
        <w:tc>
          <w:tcPr>
            <w:tcW w:w="5328" w:type="dxa"/>
            <w:hideMark/>
          </w:tcPr>
          <w:p w:rsidR="00262082" w:rsidRDefault="00262082">
            <w:pPr>
              <w:tabs>
                <w:tab w:val="left" w:pos="288"/>
                <w:tab w:val="left" w:pos="576"/>
                <w:tab w:val="left" w:pos="864"/>
                <w:tab w:val="left" w:pos="1152"/>
              </w:tabs>
              <w:suppressAutoHyphens/>
              <w:spacing w:before="40" w:after="80"/>
              <w:ind w:right="115"/>
              <w:rPr>
                <w:lang w:val="fr-CH"/>
              </w:rPr>
            </w:pPr>
            <w:r>
              <w:rPr>
                <w:lang w:val="fr-CH"/>
              </w:rPr>
              <w:t>Articles 1</w:t>
            </w:r>
            <w:r>
              <w:rPr>
                <w:vertAlign w:val="superscript"/>
                <w:lang w:val="fr-CH"/>
              </w:rPr>
              <w:t>er</w:t>
            </w:r>
            <w:r>
              <w:rPr>
                <w:lang w:val="fr-CH"/>
              </w:rPr>
              <w:t>, 2 (par. 1), 11, 12, 13 et 14</w:t>
            </w:r>
          </w:p>
        </w:tc>
      </w:tr>
      <w:tr w:rsidR="00262082" w:rsidTr="00B63EAE">
        <w:tc>
          <w:tcPr>
            <w:tcW w:w="7488" w:type="dxa"/>
            <w:gridSpan w:val="2"/>
            <w:hideMark/>
          </w:tcPr>
          <w:p w:rsidR="00262082" w:rsidRDefault="00262082" w:rsidP="00706E08">
            <w:pPr>
              <w:tabs>
                <w:tab w:val="left" w:pos="288"/>
                <w:tab w:val="left" w:pos="576"/>
                <w:tab w:val="left" w:pos="864"/>
                <w:tab w:val="left" w:pos="1152"/>
              </w:tabs>
              <w:suppressAutoHyphens/>
              <w:spacing w:before="40" w:after="80"/>
              <w:ind w:right="115"/>
              <w:rPr>
                <w:lang w:val="fr-CH"/>
              </w:rPr>
            </w:pPr>
            <w:r>
              <w:rPr>
                <w:b/>
                <w:bCs/>
                <w:lang w:val="fr-CH"/>
              </w:rPr>
              <w:t>Recommandation</w:t>
            </w:r>
            <w:r>
              <w:rPr>
                <w:lang w:val="fr-CH"/>
              </w:rPr>
              <w:t> : Le Comité a invité instamment l’État partie à l’informer, dans un délai de quatre-vingt-dix jours à compter de la date de la transmission de la décision, des mesures qu’il aura prises conformément à la décision ci-dessus, y</w:t>
            </w:r>
            <w:r w:rsidR="00403AD5">
              <w:rPr>
                <w:lang w:val="fr-CH"/>
              </w:rPr>
              <w:t> </w:t>
            </w:r>
            <w:r>
              <w:rPr>
                <w:lang w:val="fr-CH"/>
              </w:rPr>
              <w:t xml:space="preserve">compris initier une enquête impartiale sur les événements en question, en vue de </w:t>
            </w:r>
            <w:r w:rsidR="00403AD5">
              <w:rPr>
                <w:lang w:val="fr-CH"/>
              </w:rPr>
              <w:t>poursuivre</w:t>
            </w:r>
            <w:r>
              <w:rPr>
                <w:lang w:val="fr-CH"/>
              </w:rPr>
              <w:t xml:space="preserve"> les personnes qui pourraient être responsables du traitement infligé à la victime, remettre </w:t>
            </w:r>
            <w:r w:rsidR="00403AD5">
              <w:rPr>
                <w:lang w:val="fr-CH"/>
              </w:rPr>
              <w:t xml:space="preserve">à la requérante </w:t>
            </w:r>
            <w:r>
              <w:rPr>
                <w:lang w:val="fr-CH"/>
              </w:rPr>
              <w:t>une copie du rapport d’autopsie de la victime et les procès</w:t>
            </w:r>
            <w:r w:rsidR="00706E08">
              <w:rPr>
                <w:lang w:val="fr-CH"/>
              </w:rPr>
              <w:t>-</w:t>
            </w:r>
            <w:r>
              <w:rPr>
                <w:lang w:val="fr-CH"/>
              </w:rPr>
              <w:t>verbaux d</w:t>
            </w:r>
            <w:r w:rsidR="00403AD5">
              <w:rPr>
                <w:lang w:val="fr-CH"/>
              </w:rPr>
              <w:t>e l</w:t>
            </w:r>
            <w:r>
              <w:rPr>
                <w:lang w:val="fr-CH"/>
              </w:rPr>
              <w:t>’enquête préliminaire, comme elle l’a</w:t>
            </w:r>
            <w:r w:rsidR="00403AD5">
              <w:rPr>
                <w:lang w:val="fr-CH"/>
              </w:rPr>
              <w:t>vait</w:t>
            </w:r>
            <w:r>
              <w:rPr>
                <w:lang w:val="fr-CH"/>
              </w:rPr>
              <w:t xml:space="preserve"> demandé et comme l’a</w:t>
            </w:r>
            <w:r w:rsidR="00403AD5">
              <w:rPr>
                <w:lang w:val="fr-CH"/>
              </w:rPr>
              <w:t>vait</w:t>
            </w:r>
            <w:r>
              <w:rPr>
                <w:lang w:val="fr-CH"/>
              </w:rPr>
              <w:t xml:space="preserve"> promis au Comité le représentant du Gouvernement de l’État partie en mai 2008</w:t>
            </w:r>
            <w:r w:rsidR="00403AD5">
              <w:rPr>
                <w:lang w:val="fr-CH"/>
              </w:rPr>
              <w:t>,</w:t>
            </w:r>
            <w:r>
              <w:rPr>
                <w:lang w:val="fr-CH"/>
              </w:rPr>
              <w:t xml:space="preserve"> et </w:t>
            </w:r>
            <w:r w:rsidR="00403AD5">
              <w:rPr>
                <w:lang w:val="fr-CH"/>
              </w:rPr>
              <w:t>assurer un</w:t>
            </w:r>
            <w:r>
              <w:rPr>
                <w:lang w:val="fr-CH"/>
              </w:rPr>
              <w:t>e réparation complète et effective à la requérante.</w:t>
            </w:r>
          </w:p>
        </w:tc>
      </w:tr>
      <w:tr w:rsidR="00262082" w:rsidTr="00B63EAE">
        <w:tc>
          <w:tcPr>
            <w:tcW w:w="7488" w:type="dxa"/>
            <w:gridSpan w:val="2"/>
            <w:hideMark/>
          </w:tcPr>
          <w:p w:rsidR="00262082" w:rsidRDefault="00262082" w:rsidP="003975FE">
            <w:pPr>
              <w:tabs>
                <w:tab w:val="left" w:pos="288"/>
                <w:tab w:val="left" w:pos="576"/>
                <w:tab w:val="left" w:pos="864"/>
                <w:tab w:val="left" w:pos="1152"/>
              </w:tabs>
              <w:suppressAutoHyphens/>
              <w:spacing w:before="40" w:after="80"/>
              <w:ind w:right="115"/>
              <w:rPr>
                <w:lang w:val="fr-CH"/>
              </w:rPr>
            </w:pPr>
            <w:r>
              <w:rPr>
                <w:b/>
                <w:bCs/>
                <w:lang w:val="fr-CH"/>
              </w:rPr>
              <w:t>Suivi</w:t>
            </w:r>
            <w:r>
              <w:rPr>
                <w:lang w:val="fr-CH"/>
              </w:rPr>
              <w:t> : Le 5 novembre 2014, l’État partie a indiqué que le décès en détention du fils de la requérante a</w:t>
            </w:r>
            <w:r w:rsidR="00403AD5">
              <w:rPr>
                <w:lang w:val="fr-CH"/>
              </w:rPr>
              <w:t>vait</w:t>
            </w:r>
            <w:r>
              <w:rPr>
                <w:lang w:val="fr-CH"/>
              </w:rPr>
              <w:t xml:space="preserve"> fait l’objet d’une enquête en 2006 et que celle-ci avait abouti à</w:t>
            </w:r>
            <w:r w:rsidR="003975FE">
              <w:rPr>
                <w:lang w:val="fr-CH"/>
              </w:rPr>
              <w:t> </w:t>
            </w:r>
            <w:r>
              <w:rPr>
                <w:lang w:val="fr-CH"/>
              </w:rPr>
              <w:t>la conclusion qu’il s’était suicidé.</w:t>
            </w:r>
          </w:p>
        </w:tc>
      </w:tr>
      <w:tr w:rsidR="00262082" w:rsidTr="00B63EAE">
        <w:tc>
          <w:tcPr>
            <w:tcW w:w="7488" w:type="dxa"/>
            <w:gridSpan w:val="2"/>
            <w:hideMark/>
          </w:tcPr>
          <w:p w:rsidR="00262082" w:rsidRDefault="00262082" w:rsidP="009B0650">
            <w:pPr>
              <w:tabs>
                <w:tab w:val="left" w:pos="288"/>
                <w:tab w:val="left" w:pos="576"/>
                <w:tab w:val="left" w:pos="864"/>
                <w:tab w:val="left" w:pos="1152"/>
              </w:tabs>
              <w:suppressAutoHyphens/>
              <w:spacing w:before="40" w:after="80"/>
              <w:ind w:right="115"/>
              <w:rPr>
                <w:b/>
                <w:bCs/>
                <w:lang w:val="fr-CH"/>
              </w:rPr>
            </w:pPr>
            <w:r>
              <w:rPr>
                <w:lang w:val="fr-CH"/>
              </w:rPr>
              <w:t xml:space="preserve">Le 6 novembre 2014, la requérante </w:t>
            </w:r>
            <w:r w:rsidR="00403AD5">
              <w:rPr>
                <w:lang w:val="fr-CH"/>
              </w:rPr>
              <w:t>a fait savoir</w:t>
            </w:r>
            <w:r>
              <w:rPr>
                <w:lang w:val="fr-CH"/>
              </w:rPr>
              <w:t xml:space="preserve"> qu’une année après sa transmission</w:t>
            </w:r>
            <w:r w:rsidR="00403AD5">
              <w:rPr>
                <w:lang w:val="fr-CH"/>
              </w:rPr>
              <w:t xml:space="preserve">, la décision du </w:t>
            </w:r>
            <w:r>
              <w:rPr>
                <w:lang w:val="fr-CH"/>
              </w:rPr>
              <w:t>Comité n’a</w:t>
            </w:r>
            <w:r w:rsidR="00403AD5">
              <w:rPr>
                <w:lang w:val="fr-CH"/>
              </w:rPr>
              <w:t>vait</w:t>
            </w:r>
            <w:r>
              <w:rPr>
                <w:lang w:val="fr-CH"/>
              </w:rPr>
              <w:t xml:space="preserve"> pas encore été appliquée par l’État partie. Elle a demandé au Comité d’intervenir auprès de </w:t>
            </w:r>
            <w:r w:rsidR="00403AD5">
              <w:rPr>
                <w:lang w:val="fr-CH"/>
              </w:rPr>
              <w:t xml:space="preserve">celui-ci </w:t>
            </w:r>
            <w:r>
              <w:rPr>
                <w:lang w:val="fr-CH"/>
              </w:rPr>
              <w:t>pour qu’il en accélère l’application.</w:t>
            </w:r>
          </w:p>
        </w:tc>
      </w:tr>
      <w:tr w:rsidR="00262082" w:rsidTr="00B63EAE">
        <w:tc>
          <w:tcPr>
            <w:tcW w:w="7488" w:type="dxa"/>
            <w:gridSpan w:val="2"/>
            <w:hideMark/>
          </w:tcPr>
          <w:p w:rsidR="00262082" w:rsidRDefault="00262082">
            <w:pPr>
              <w:tabs>
                <w:tab w:val="left" w:pos="288"/>
                <w:tab w:val="left" w:pos="576"/>
                <w:tab w:val="left" w:pos="864"/>
                <w:tab w:val="left" w:pos="1152"/>
              </w:tabs>
              <w:suppressAutoHyphens/>
              <w:spacing w:before="40" w:after="80"/>
              <w:ind w:right="115"/>
              <w:rPr>
                <w:lang w:val="fr-CH"/>
              </w:rPr>
            </w:pPr>
            <w:r>
              <w:rPr>
                <w:lang w:val="fr-CH"/>
              </w:rPr>
              <w:t>En janvier 2015, les observations de la requérante ont été transmises à l’État partie pour commentaire</w:t>
            </w:r>
            <w:r w:rsidR="00403AD5">
              <w:rPr>
                <w:lang w:val="fr-CH"/>
              </w:rPr>
              <w:t>s</w:t>
            </w:r>
            <w:r>
              <w:rPr>
                <w:lang w:val="fr-CH"/>
              </w:rPr>
              <w:t>.</w:t>
            </w:r>
          </w:p>
        </w:tc>
      </w:tr>
      <w:tr w:rsidR="00262082" w:rsidTr="00B63EAE">
        <w:tc>
          <w:tcPr>
            <w:tcW w:w="7488" w:type="dxa"/>
            <w:gridSpan w:val="2"/>
            <w:tcBorders>
              <w:top w:val="nil"/>
              <w:left w:val="nil"/>
              <w:bottom w:val="single" w:sz="12" w:space="0" w:color="auto"/>
              <w:right w:val="nil"/>
            </w:tcBorders>
            <w:hideMark/>
          </w:tcPr>
          <w:p w:rsidR="00262082" w:rsidRDefault="00262082">
            <w:pPr>
              <w:tabs>
                <w:tab w:val="left" w:pos="288"/>
                <w:tab w:val="left" w:pos="576"/>
                <w:tab w:val="left" w:pos="864"/>
                <w:tab w:val="left" w:pos="1152"/>
              </w:tabs>
              <w:suppressAutoHyphens/>
              <w:spacing w:before="40" w:after="80"/>
              <w:ind w:right="115"/>
              <w:rPr>
                <w:lang w:val="fr-CH"/>
              </w:rPr>
            </w:pPr>
            <w:r>
              <w:rPr>
                <w:b/>
                <w:bCs/>
                <w:lang w:val="fr-CH"/>
              </w:rPr>
              <w:t>Décision du Comité </w:t>
            </w:r>
            <w:r>
              <w:rPr>
                <w:lang w:val="fr-CH"/>
              </w:rPr>
              <w:t>: Poursuivre le dialogue au titre du suivi.</w:t>
            </w:r>
          </w:p>
        </w:tc>
      </w:tr>
    </w:tbl>
    <w:p w:rsidR="00262082" w:rsidRPr="00B63EAE" w:rsidRDefault="00262082" w:rsidP="00B63EAE">
      <w:pPr>
        <w:pStyle w:val="SingleTxt"/>
        <w:tabs>
          <w:tab w:val="left" w:pos="8730"/>
        </w:tabs>
        <w:spacing w:after="0" w:line="120" w:lineRule="exact"/>
        <w:rPr>
          <w:sz w:val="10"/>
          <w:lang w:val="fr-CH"/>
        </w:rPr>
      </w:pPr>
    </w:p>
    <w:tbl>
      <w:tblPr>
        <w:tblW w:w="0" w:type="auto"/>
        <w:tblInd w:w="1260" w:type="dxa"/>
        <w:tblLayout w:type="fixed"/>
        <w:tblCellMar>
          <w:left w:w="0" w:type="dxa"/>
          <w:right w:w="0" w:type="dxa"/>
        </w:tblCellMar>
        <w:tblLook w:val="04A0" w:firstRow="1" w:lastRow="0" w:firstColumn="1" w:lastColumn="0" w:noHBand="0" w:noVBand="1"/>
      </w:tblPr>
      <w:tblGrid>
        <w:gridCol w:w="2160"/>
        <w:gridCol w:w="5328"/>
      </w:tblGrid>
      <w:tr w:rsidR="00262082" w:rsidTr="00E35F95">
        <w:trPr>
          <w:tblHeader/>
        </w:trPr>
        <w:tc>
          <w:tcPr>
            <w:tcW w:w="7488" w:type="dxa"/>
            <w:gridSpan w:val="2"/>
            <w:tcBorders>
              <w:top w:val="single" w:sz="4" w:space="0" w:color="auto"/>
              <w:left w:val="nil"/>
              <w:bottom w:val="single" w:sz="12" w:space="0" w:color="auto"/>
              <w:right w:val="nil"/>
            </w:tcBorders>
            <w:vAlign w:val="bottom"/>
            <w:hideMark/>
          </w:tcPr>
          <w:p w:rsidR="00262082" w:rsidRDefault="00262082" w:rsidP="00D41D5C">
            <w:pPr>
              <w:tabs>
                <w:tab w:val="left" w:pos="288"/>
                <w:tab w:val="left" w:pos="576"/>
                <w:tab w:val="left" w:pos="864"/>
                <w:tab w:val="left" w:pos="1152"/>
              </w:tabs>
              <w:suppressAutoHyphens/>
              <w:spacing w:before="80" w:after="80" w:line="160" w:lineRule="exact"/>
              <w:ind w:right="115"/>
              <w:rPr>
                <w:i/>
                <w:szCs w:val="20"/>
                <w:lang w:val="fr-CH"/>
              </w:rPr>
            </w:pPr>
            <w:r>
              <w:rPr>
                <w:b/>
                <w:bCs/>
                <w:iCs/>
                <w:szCs w:val="20"/>
                <w:lang w:val="fr-CH"/>
              </w:rPr>
              <w:lastRenderedPageBreak/>
              <w:t>Australie</w:t>
            </w:r>
          </w:p>
        </w:tc>
      </w:tr>
      <w:tr w:rsidR="00262082" w:rsidTr="00E35F95">
        <w:trPr>
          <w:trHeight w:hRule="exact" w:val="115"/>
          <w:tblHeader/>
        </w:trPr>
        <w:tc>
          <w:tcPr>
            <w:tcW w:w="2160" w:type="dxa"/>
            <w:tcBorders>
              <w:top w:val="single" w:sz="12" w:space="0" w:color="auto"/>
              <w:left w:val="nil"/>
              <w:bottom w:val="nil"/>
              <w:right w:val="nil"/>
            </w:tcBorders>
            <w:vAlign w:val="bottom"/>
          </w:tcPr>
          <w:p w:rsidR="00262082" w:rsidRDefault="00262082">
            <w:pPr>
              <w:tabs>
                <w:tab w:val="left" w:pos="288"/>
                <w:tab w:val="left" w:pos="576"/>
                <w:tab w:val="left" w:pos="864"/>
                <w:tab w:val="left" w:pos="1152"/>
              </w:tabs>
              <w:suppressAutoHyphens/>
              <w:spacing w:before="40" w:after="80"/>
              <w:ind w:right="115"/>
              <w:rPr>
                <w:lang w:val="fr-CH"/>
              </w:rPr>
            </w:pPr>
          </w:p>
        </w:tc>
        <w:tc>
          <w:tcPr>
            <w:tcW w:w="5328" w:type="dxa"/>
            <w:tcBorders>
              <w:top w:val="single" w:sz="12" w:space="0" w:color="auto"/>
              <w:left w:val="nil"/>
              <w:bottom w:val="nil"/>
              <w:right w:val="nil"/>
            </w:tcBorders>
            <w:vAlign w:val="bottom"/>
          </w:tcPr>
          <w:p w:rsidR="00262082" w:rsidRDefault="00262082">
            <w:pPr>
              <w:tabs>
                <w:tab w:val="left" w:pos="288"/>
                <w:tab w:val="left" w:pos="576"/>
                <w:tab w:val="left" w:pos="864"/>
                <w:tab w:val="left" w:pos="1152"/>
              </w:tabs>
              <w:suppressAutoHyphens/>
              <w:spacing w:before="40" w:after="80"/>
              <w:ind w:right="115"/>
              <w:rPr>
                <w:lang w:val="fr-CH"/>
              </w:rPr>
            </w:pPr>
          </w:p>
        </w:tc>
      </w:tr>
      <w:tr w:rsidR="00262082" w:rsidTr="00E35F95">
        <w:tc>
          <w:tcPr>
            <w:tcW w:w="2160" w:type="dxa"/>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b/>
                <w:bCs/>
                <w:lang w:val="fr-CH"/>
              </w:rPr>
              <w:t>Affaire</w:t>
            </w:r>
          </w:p>
        </w:tc>
        <w:tc>
          <w:tcPr>
            <w:tcW w:w="5328" w:type="dxa"/>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i/>
                <w:iCs/>
                <w:lang w:val="fr-CH"/>
              </w:rPr>
              <w:t>Dewage</w:t>
            </w:r>
            <w:r>
              <w:rPr>
                <w:lang w:val="fr-CH"/>
              </w:rPr>
              <w:t>, 387/2009</w:t>
            </w:r>
          </w:p>
        </w:tc>
      </w:tr>
      <w:tr w:rsidR="00262082" w:rsidTr="00E35F95">
        <w:tc>
          <w:tcPr>
            <w:tcW w:w="2160" w:type="dxa"/>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b/>
                <w:bCs/>
                <w:lang w:val="fr-CH"/>
              </w:rPr>
              <w:t>Décision adoptée le</w:t>
            </w:r>
          </w:p>
        </w:tc>
        <w:tc>
          <w:tcPr>
            <w:tcW w:w="5328" w:type="dxa"/>
            <w:hideMark/>
          </w:tcPr>
          <w:p w:rsidR="00262082" w:rsidRDefault="00976A1E" w:rsidP="00D41D5C">
            <w:pPr>
              <w:tabs>
                <w:tab w:val="left" w:pos="288"/>
                <w:tab w:val="left" w:pos="576"/>
                <w:tab w:val="left" w:pos="864"/>
                <w:tab w:val="left" w:pos="1152"/>
              </w:tabs>
              <w:suppressAutoHyphens/>
              <w:spacing w:before="40" w:after="80"/>
              <w:ind w:right="115"/>
              <w:rPr>
                <w:lang w:val="fr-CH"/>
              </w:rPr>
            </w:pPr>
            <w:r>
              <w:rPr>
                <w:lang w:val="fr-CH"/>
              </w:rPr>
              <w:t>14 </w:t>
            </w:r>
            <w:r w:rsidR="00262082">
              <w:rPr>
                <w:lang w:val="fr-CH"/>
              </w:rPr>
              <w:t>novembre 2013</w:t>
            </w:r>
          </w:p>
        </w:tc>
      </w:tr>
      <w:tr w:rsidR="00262082" w:rsidTr="00E35F95">
        <w:tc>
          <w:tcPr>
            <w:tcW w:w="2160" w:type="dxa"/>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b/>
                <w:bCs/>
                <w:lang w:val="fr-CH"/>
              </w:rPr>
              <w:t>Violations constatées</w:t>
            </w:r>
          </w:p>
        </w:tc>
        <w:tc>
          <w:tcPr>
            <w:tcW w:w="5328" w:type="dxa"/>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lang w:val="fr-CH"/>
              </w:rPr>
              <w:t>Articles 3 et 22</w:t>
            </w:r>
          </w:p>
        </w:tc>
      </w:tr>
      <w:tr w:rsidR="00262082" w:rsidTr="00E35F95">
        <w:tc>
          <w:tcPr>
            <w:tcW w:w="7488" w:type="dxa"/>
            <w:gridSpan w:val="2"/>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b/>
                <w:bCs/>
                <w:lang w:val="fr-CH"/>
              </w:rPr>
              <w:t>Recommandation</w:t>
            </w:r>
            <w:r>
              <w:rPr>
                <w:lang w:val="fr-CH"/>
              </w:rPr>
              <w:t xml:space="preserve"> : L’État partie est tenu de s’abstenir de renvoyer de force </w:t>
            </w:r>
            <w:r w:rsidR="00976A1E">
              <w:rPr>
                <w:lang w:val="fr-CH"/>
              </w:rPr>
              <w:t>le</w:t>
            </w:r>
            <w:r>
              <w:rPr>
                <w:lang w:val="fr-CH"/>
              </w:rPr>
              <w:t xml:space="preserve"> requérant à Sri Lanka ou dans tout autre pays où il court un risque réel d’être expulsé ou renvoyé </w:t>
            </w:r>
            <w:r w:rsidR="00976A1E">
              <w:rPr>
                <w:lang w:val="fr-CH"/>
              </w:rPr>
              <w:t>à</w:t>
            </w:r>
            <w:r>
              <w:rPr>
                <w:lang w:val="fr-CH"/>
              </w:rPr>
              <w:t xml:space="preserve"> Sri Lanka.</w:t>
            </w:r>
          </w:p>
        </w:tc>
      </w:tr>
      <w:tr w:rsidR="00262082" w:rsidTr="00E35F95">
        <w:tc>
          <w:tcPr>
            <w:tcW w:w="7488" w:type="dxa"/>
            <w:gridSpan w:val="2"/>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b/>
                <w:bCs/>
                <w:lang w:val="fr-CH"/>
              </w:rPr>
              <w:t>Suivi</w:t>
            </w:r>
            <w:r>
              <w:rPr>
                <w:lang w:val="fr-CH"/>
              </w:rPr>
              <w:t> : Le 1</w:t>
            </w:r>
            <w:r>
              <w:rPr>
                <w:vertAlign w:val="superscript"/>
                <w:lang w:val="fr-CH"/>
              </w:rPr>
              <w:t>er</w:t>
            </w:r>
            <w:r>
              <w:rPr>
                <w:lang w:val="fr-CH"/>
              </w:rPr>
              <w:t> décembre 2014</w:t>
            </w:r>
            <w:r w:rsidR="00D50E68">
              <w:rPr>
                <w:lang w:val="fr-CH"/>
              </w:rPr>
              <w:t>,</w:t>
            </w:r>
            <w:r>
              <w:rPr>
                <w:lang w:val="fr-CH"/>
              </w:rPr>
              <w:t xml:space="preserve"> le requérant a fait savoir que sa demande de visa de protection avait été refusée en dépit de la décision du Comité. </w:t>
            </w:r>
          </w:p>
        </w:tc>
      </w:tr>
      <w:tr w:rsidR="00262082" w:rsidTr="00E35F95">
        <w:tc>
          <w:tcPr>
            <w:tcW w:w="7488" w:type="dxa"/>
            <w:gridSpan w:val="2"/>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lang w:val="fr-CH"/>
              </w:rPr>
              <w:t xml:space="preserve">Le 15 décembre 2014, l’État partie s’est référé à sa lettre du 8 août 2014, dans laquelle il avait </w:t>
            </w:r>
            <w:r w:rsidR="006E2A5F">
              <w:rPr>
                <w:lang w:val="fr-CH"/>
              </w:rPr>
              <w:t>dit</w:t>
            </w:r>
            <w:r>
              <w:rPr>
                <w:lang w:val="fr-CH"/>
              </w:rPr>
              <w:t xml:space="preserve"> que la décision du Comité serait </w:t>
            </w:r>
            <w:r w:rsidR="006E2A5F">
              <w:rPr>
                <w:lang w:val="fr-CH"/>
              </w:rPr>
              <w:t>prise en compte</w:t>
            </w:r>
            <w:r>
              <w:rPr>
                <w:lang w:val="fr-CH"/>
              </w:rPr>
              <w:t xml:space="preserve"> dans le cadre de</w:t>
            </w:r>
            <w:r w:rsidR="00D41D5C">
              <w:rPr>
                <w:lang w:val="fr-CH"/>
              </w:rPr>
              <w:t xml:space="preserve"> </w:t>
            </w:r>
            <w:r>
              <w:rPr>
                <w:lang w:val="fr-CH"/>
              </w:rPr>
              <w:t>l’examen de la dernière demande de visa de protection déposée par le requérant</w:t>
            </w:r>
            <w:r w:rsidR="00E45731">
              <w:rPr>
                <w:lang w:val="fr-CH"/>
              </w:rPr>
              <w:t>.</w:t>
            </w:r>
          </w:p>
        </w:tc>
      </w:tr>
      <w:tr w:rsidR="00262082" w:rsidTr="00E35F95">
        <w:tc>
          <w:tcPr>
            <w:tcW w:w="7488" w:type="dxa"/>
            <w:gridSpan w:val="2"/>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lang w:val="fr-CH"/>
              </w:rPr>
              <w:t>En janvier 2015, les observations de l’État partie ont été transmises au requérant pour commentaire</w:t>
            </w:r>
            <w:r w:rsidR="006E2A5F">
              <w:rPr>
                <w:lang w:val="fr-CH"/>
              </w:rPr>
              <w:t>s</w:t>
            </w:r>
            <w:r>
              <w:rPr>
                <w:lang w:val="fr-CH"/>
              </w:rPr>
              <w:t>.</w:t>
            </w:r>
          </w:p>
        </w:tc>
      </w:tr>
      <w:tr w:rsidR="00262082" w:rsidTr="00E35F95">
        <w:tc>
          <w:tcPr>
            <w:tcW w:w="7488" w:type="dxa"/>
            <w:gridSpan w:val="2"/>
            <w:tcBorders>
              <w:top w:val="nil"/>
              <w:left w:val="nil"/>
              <w:bottom w:val="single" w:sz="12" w:space="0" w:color="auto"/>
              <w:right w:val="nil"/>
            </w:tcBorders>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b/>
                <w:bCs/>
                <w:lang w:val="fr-CH"/>
              </w:rPr>
              <w:t>Décision du Comité </w:t>
            </w:r>
            <w:r>
              <w:rPr>
                <w:lang w:val="fr-CH"/>
              </w:rPr>
              <w:t>: Poursuivre le dialogue au titre du suivi et contacter les parties concernées pour s’enquérir de l’</w:t>
            </w:r>
            <w:r w:rsidR="006E2A5F">
              <w:rPr>
                <w:lang w:val="fr-CH"/>
              </w:rPr>
              <w:t>é</w:t>
            </w:r>
            <w:r>
              <w:rPr>
                <w:lang w:val="fr-CH"/>
              </w:rPr>
              <w:t>tat de l’application de la décision.</w:t>
            </w:r>
          </w:p>
        </w:tc>
      </w:tr>
    </w:tbl>
    <w:p w:rsidR="00262082" w:rsidRDefault="00262082" w:rsidP="00D41D5C">
      <w:pPr>
        <w:pStyle w:val="SingleTxt"/>
        <w:spacing w:after="0" w:line="120" w:lineRule="exact"/>
        <w:rPr>
          <w:sz w:val="10"/>
          <w:lang w:val="fr-CH"/>
        </w:rPr>
      </w:pPr>
    </w:p>
    <w:p w:rsidR="00262082" w:rsidRPr="00D41D5C" w:rsidRDefault="00262082" w:rsidP="00D41D5C">
      <w:pPr>
        <w:pStyle w:val="SingleTxt"/>
        <w:spacing w:after="0" w:line="120" w:lineRule="exact"/>
        <w:rPr>
          <w:sz w:val="10"/>
          <w:lang w:val="fr-CH"/>
        </w:rPr>
      </w:pPr>
    </w:p>
    <w:p w:rsidR="00D41D5C" w:rsidRDefault="00D41D5C" w:rsidP="00D41D5C">
      <w:pPr>
        <w:pStyle w:val="SingleTxt"/>
        <w:spacing w:after="0" w:line="120" w:lineRule="exact"/>
        <w:rPr>
          <w:sz w:val="10"/>
          <w:lang w:val="fr-CH"/>
        </w:rPr>
      </w:pPr>
    </w:p>
    <w:tbl>
      <w:tblPr>
        <w:tblW w:w="0" w:type="auto"/>
        <w:tblInd w:w="1260" w:type="dxa"/>
        <w:tblLayout w:type="fixed"/>
        <w:tblCellMar>
          <w:left w:w="0" w:type="dxa"/>
          <w:right w:w="0" w:type="dxa"/>
        </w:tblCellMar>
        <w:tblLook w:val="04A0" w:firstRow="1" w:lastRow="0" w:firstColumn="1" w:lastColumn="0" w:noHBand="0" w:noVBand="1"/>
      </w:tblPr>
      <w:tblGrid>
        <w:gridCol w:w="2160"/>
        <w:gridCol w:w="5328"/>
      </w:tblGrid>
      <w:tr w:rsidR="00262082" w:rsidTr="00E35F95">
        <w:trPr>
          <w:tblHeader/>
        </w:trPr>
        <w:tc>
          <w:tcPr>
            <w:tcW w:w="7488" w:type="dxa"/>
            <w:gridSpan w:val="2"/>
            <w:tcBorders>
              <w:top w:val="single" w:sz="4" w:space="0" w:color="auto"/>
              <w:left w:val="nil"/>
              <w:bottom w:val="single" w:sz="12" w:space="0" w:color="auto"/>
              <w:right w:val="nil"/>
            </w:tcBorders>
            <w:vAlign w:val="bottom"/>
            <w:hideMark/>
          </w:tcPr>
          <w:p w:rsidR="00262082" w:rsidRDefault="00262082" w:rsidP="00D41D5C">
            <w:pPr>
              <w:tabs>
                <w:tab w:val="left" w:pos="288"/>
                <w:tab w:val="left" w:pos="576"/>
                <w:tab w:val="left" w:pos="864"/>
                <w:tab w:val="left" w:pos="1152"/>
              </w:tabs>
              <w:suppressAutoHyphens/>
              <w:spacing w:before="80" w:after="80" w:line="160" w:lineRule="exact"/>
              <w:ind w:right="115"/>
              <w:rPr>
                <w:i/>
                <w:szCs w:val="20"/>
                <w:lang w:val="fr-CH"/>
              </w:rPr>
            </w:pPr>
            <w:r>
              <w:rPr>
                <w:b/>
                <w:bCs/>
                <w:iCs/>
                <w:szCs w:val="20"/>
                <w:lang w:val="fr-CH"/>
              </w:rPr>
              <w:t>Bulgarie</w:t>
            </w:r>
          </w:p>
        </w:tc>
      </w:tr>
      <w:tr w:rsidR="00262082" w:rsidTr="00E35F95">
        <w:trPr>
          <w:trHeight w:hRule="exact" w:val="115"/>
          <w:tblHeader/>
        </w:trPr>
        <w:tc>
          <w:tcPr>
            <w:tcW w:w="2160" w:type="dxa"/>
            <w:tcBorders>
              <w:top w:val="single" w:sz="12" w:space="0" w:color="auto"/>
              <w:left w:val="nil"/>
              <w:bottom w:val="nil"/>
              <w:right w:val="nil"/>
            </w:tcBorders>
            <w:vAlign w:val="bottom"/>
          </w:tcPr>
          <w:p w:rsidR="00262082" w:rsidRDefault="00262082">
            <w:pPr>
              <w:tabs>
                <w:tab w:val="left" w:pos="288"/>
                <w:tab w:val="left" w:pos="576"/>
                <w:tab w:val="left" w:pos="864"/>
                <w:tab w:val="left" w:pos="1152"/>
              </w:tabs>
              <w:suppressAutoHyphens/>
              <w:spacing w:before="40" w:after="80"/>
              <w:ind w:right="115"/>
              <w:rPr>
                <w:lang w:val="fr-CH"/>
              </w:rPr>
            </w:pPr>
          </w:p>
        </w:tc>
        <w:tc>
          <w:tcPr>
            <w:tcW w:w="5328" w:type="dxa"/>
            <w:tcBorders>
              <w:top w:val="single" w:sz="12" w:space="0" w:color="auto"/>
              <w:left w:val="nil"/>
              <w:bottom w:val="nil"/>
              <w:right w:val="nil"/>
            </w:tcBorders>
            <w:vAlign w:val="bottom"/>
          </w:tcPr>
          <w:p w:rsidR="00262082" w:rsidRDefault="00262082">
            <w:pPr>
              <w:tabs>
                <w:tab w:val="left" w:pos="288"/>
                <w:tab w:val="left" w:pos="576"/>
                <w:tab w:val="left" w:pos="864"/>
                <w:tab w:val="left" w:pos="1152"/>
              </w:tabs>
              <w:suppressAutoHyphens/>
              <w:spacing w:before="40" w:after="80"/>
              <w:ind w:right="115"/>
              <w:rPr>
                <w:lang w:val="fr-CH"/>
              </w:rPr>
            </w:pPr>
          </w:p>
        </w:tc>
      </w:tr>
      <w:tr w:rsidR="00262082" w:rsidTr="00E35F95">
        <w:tc>
          <w:tcPr>
            <w:tcW w:w="2160" w:type="dxa"/>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b/>
                <w:bCs/>
                <w:lang w:val="fr-CH"/>
              </w:rPr>
              <w:t>Affaire</w:t>
            </w:r>
          </w:p>
        </w:tc>
        <w:tc>
          <w:tcPr>
            <w:tcW w:w="5328" w:type="dxa"/>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i/>
                <w:iCs/>
                <w:lang w:val="fr-CH"/>
              </w:rPr>
              <w:t>Keremedchiev</w:t>
            </w:r>
            <w:r>
              <w:rPr>
                <w:lang w:val="fr-CH"/>
              </w:rPr>
              <w:t>, 257/2004</w:t>
            </w:r>
          </w:p>
        </w:tc>
      </w:tr>
      <w:tr w:rsidR="00262082" w:rsidTr="00E35F95">
        <w:tc>
          <w:tcPr>
            <w:tcW w:w="2160" w:type="dxa"/>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b/>
                <w:bCs/>
                <w:lang w:val="fr-CH"/>
              </w:rPr>
              <w:t>Décision adoptée le</w:t>
            </w:r>
          </w:p>
        </w:tc>
        <w:tc>
          <w:tcPr>
            <w:tcW w:w="5328" w:type="dxa"/>
            <w:hideMark/>
          </w:tcPr>
          <w:p w:rsidR="00262082" w:rsidRDefault="0070306F" w:rsidP="00D41D5C">
            <w:pPr>
              <w:tabs>
                <w:tab w:val="left" w:pos="288"/>
                <w:tab w:val="left" w:pos="576"/>
                <w:tab w:val="left" w:pos="864"/>
                <w:tab w:val="left" w:pos="1152"/>
              </w:tabs>
              <w:suppressAutoHyphens/>
              <w:spacing w:before="40" w:after="80"/>
              <w:ind w:right="115"/>
              <w:rPr>
                <w:lang w:val="fr-CH"/>
              </w:rPr>
            </w:pPr>
            <w:r>
              <w:rPr>
                <w:lang w:val="fr-CH"/>
              </w:rPr>
              <w:t>11 </w:t>
            </w:r>
            <w:r w:rsidR="00262082">
              <w:rPr>
                <w:lang w:val="fr-CH"/>
              </w:rPr>
              <w:t>novembre 2008</w:t>
            </w:r>
          </w:p>
        </w:tc>
      </w:tr>
      <w:tr w:rsidR="00262082" w:rsidTr="00E35F95">
        <w:tc>
          <w:tcPr>
            <w:tcW w:w="2160" w:type="dxa"/>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b/>
                <w:bCs/>
                <w:lang w:val="fr-CH"/>
              </w:rPr>
              <w:t>Violations constatées</w:t>
            </w:r>
          </w:p>
        </w:tc>
        <w:tc>
          <w:tcPr>
            <w:tcW w:w="5328" w:type="dxa"/>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lang w:val="fr-CH"/>
              </w:rPr>
              <w:t>Articles 12 et 16 (par. 1)</w:t>
            </w:r>
          </w:p>
        </w:tc>
      </w:tr>
      <w:tr w:rsidR="00262082" w:rsidTr="00E35F95">
        <w:tc>
          <w:tcPr>
            <w:tcW w:w="7488" w:type="dxa"/>
            <w:gridSpan w:val="2"/>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b/>
                <w:bCs/>
                <w:lang w:val="fr-CH"/>
              </w:rPr>
              <w:t>Recommandation</w:t>
            </w:r>
            <w:r>
              <w:rPr>
                <w:lang w:val="fr-CH"/>
              </w:rPr>
              <w:t xml:space="preserve"> : Le Comité a demandé instamment à l’État partie </w:t>
            </w:r>
            <w:r w:rsidR="0070306F">
              <w:rPr>
                <w:lang w:val="fr-CH"/>
              </w:rPr>
              <w:t>d’</w:t>
            </w:r>
            <w:r>
              <w:rPr>
                <w:lang w:val="fr-CH"/>
              </w:rPr>
              <w:t>accorder une réparation appropriée au requérant, sous la forme d’une indemnisation équitable et adéquate pour les souffrances</w:t>
            </w:r>
            <w:r w:rsidR="0070306F">
              <w:rPr>
                <w:lang w:val="fr-CH"/>
              </w:rPr>
              <w:t xml:space="preserve"> qui lui avaient été</w:t>
            </w:r>
            <w:r>
              <w:rPr>
                <w:lang w:val="fr-CH"/>
              </w:rPr>
              <w:t xml:space="preserve"> infligées, conformément à </w:t>
            </w:r>
            <w:r w:rsidR="0070306F">
              <w:rPr>
                <w:lang w:val="fr-CH"/>
              </w:rPr>
              <w:t>l’</w:t>
            </w:r>
            <w:r>
              <w:rPr>
                <w:lang w:val="fr-CH"/>
              </w:rPr>
              <w:t>observation générale n</w:t>
            </w:r>
            <w:r>
              <w:rPr>
                <w:vertAlign w:val="superscript"/>
                <w:lang w:val="fr-CH"/>
              </w:rPr>
              <w:t>o</w:t>
            </w:r>
            <w:r>
              <w:rPr>
                <w:lang w:val="fr-CH"/>
              </w:rPr>
              <w:t xml:space="preserve"> 2 </w:t>
            </w:r>
            <w:r w:rsidR="0070306F">
              <w:rPr>
                <w:lang w:val="fr-CH"/>
              </w:rPr>
              <w:t xml:space="preserve">du Comité et de lui assurer une </w:t>
            </w:r>
            <w:r>
              <w:rPr>
                <w:lang w:val="fr-CH"/>
              </w:rPr>
              <w:t>réadaptation médicale.</w:t>
            </w:r>
          </w:p>
        </w:tc>
      </w:tr>
      <w:tr w:rsidR="00262082" w:rsidTr="00E35F95">
        <w:tc>
          <w:tcPr>
            <w:tcW w:w="7488" w:type="dxa"/>
            <w:gridSpan w:val="2"/>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b/>
                <w:bCs/>
                <w:lang w:val="fr-CH"/>
              </w:rPr>
              <w:t>Suivi</w:t>
            </w:r>
            <w:r>
              <w:rPr>
                <w:lang w:val="fr-CH"/>
              </w:rPr>
              <w:t xml:space="preserve"> : Le 15 janvier 2015, l’État partie a fait observer que, le 13 novembre 2014, le Conseil des ministres de la République </w:t>
            </w:r>
            <w:r w:rsidR="00A04DB3">
              <w:rPr>
                <w:lang w:val="fr-CH"/>
              </w:rPr>
              <w:t>de B</w:t>
            </w:r>
            <w:r>
              <w:rPr>
                <w:lang w:val="fr-CH"/>
              </w:rPr>
              <w:t>ulgar</w:t>
            </w:r>
            <w:r w:rsidR="00A04DB3">
              <w:rPr>
                <w:lang w:val="fr-CH"/>
              </w:rPr>
              <w:t>i</w:t>
            </w:r>
            <w:r>
              <w:rPr>
                <w:lang w:val="fr-CH"/>
              </w:rPr>
              <w:t>e avait adopté une décision en vue du paiement d’une indemnisation financière individuelle au requérant</w:t>
            </w:r>
            <w:r w:rsidR="00A04DB3">
              <w:rPr>
                <w:lang w:val="fr-CH"/>
              </w:rPr>
              <w:t>.</w:t>
            </w:r>
          </w:p>
        </w:tc>
      </w:tr>
      <w:tr w:rsidR="00E35F95" w:rsidRPr="007E2CBA" w:rsidTr="00E35F95">
        <w:tc>
          <w:tcPr>
            <w:tcW w:w="7488" w:type="dxa"/>
            <w:gridSpan w:val="2"/>
            <w:tcBorders>
              <w:top w:val="nil"/>
              <w:left w:val="nil"/>
              <w:bottom w:val="single" w:sz="12" w:space="0" w:color="auto"/>
              <w:right w:val="nil"/>
            </w:tcBorders>
            <w:hideMark/>
          </w:tcPr>
          <w:p w:rsidR="00262082" w:rsidRPr="00924F29" w:rsidRDefault="00262082" w:rsidP="00D41D5C">
            <w:pPr>
              <w:tabs>
                <w:tab w:val="left" w:pos="288"/>
                <w:tab w:val="left" w:pos="576"/>
                <w:tab w:val="left" w:pos="864"/>
                <w:tab w:val="left" w:pos="1152"/>
              </w:tabs>
              <w:suppressAutoHyphens/>
              <w:spacing w:before="40" w:after="80"/>
              <w:ind w:right="115"/>
              <w:rPr>
                <w:lang w:val="fr-CH"/>
              </w:rPr>
            </w:pPr>
            <w:r w:rsidRPr="00924F29">
              <w:rPr>
                <w:b/>
                <w:bCs/>
                <w:lang w:val="fr-CH"/>
              </w:rPr>
              <w:t>Décision du Comité </w:t>
            </w:r>
            <w:r w:rsidRPr="00924F29">
              <w:rPr>
                <w:lang w:val="fr-CH"/>
              </w:rPr>
              <w:t>: Poursuivre le dialogue au titre du suivi et contacter le requérant pour déterminer si la décision de lui accorder une indemnisation lui a été</w:t>
            </w:r>
            <w:r w:rsidR="003975FE" w:rsidRPr="00924F29">
              <w:rPr>
                <w:lang w:val="fr-CH"/>
              </w:rPr>
              <w:t xml:space="preserve"> </w:t>
            </w:r>
            <w:r w:rsidRPr="00924F29">
              <w:rPr>
                <w:lang w:val="fr-CH"/>
              </w:rPr>
              <w:t>notifiée.</w:t>
            </w:r>
          </w:p>
        </w:tc>
      </w:tr>
    </w:tbl>
    <w:p w:rsidR="00262082" w:rsidRPr="00D41D5C" w:rsidRDefault="00262082" w:rsidP="00D41D5C">
      <w:pPr>
        <w:pStyle w:val="SingleTxt"/>
        <w:spacing w:after="0" w:line="120" w:lineRule="exact"/>
        <w:rPr>
          <w:sz w:val="10"/>
          <w:lang w:val="fr-CH"/>
        </w:rPr>
      </w:pPr>
    </w:p>
    <w:p w:rsidR="00D41D5C" w:rsidRPr="007E2CBA" w:rsidRDefault="00D41D5C" w:rsidP="00D41D5C">
      <w:pPr>
        <w:pStyle w:val="SingleTxt"/>
        <w:spacing w:after="0" w:line="120" w:lineRule="exact"/>
        <w:rPr>
          <w:sz w:val="10"/>
          <w:lang w:val="fr-CH"/>
        </w:rPr>
      </w:pPr>
    </w:p>
    <w:p w:rsidR="00262082" w:rsidRPr="007E2CBA" w:rsidRDefault="00262082" w:rsidP="00D41D5C">
      <w:pPr>
        <w:pStyle w:val="SingleTxt"/>
        <w:spacing w:after="0" w:line="120" w:lineRule="exact"/>
        <w:rPr>
          <w:sz w:val="10"/>
          <w:lang w:val="fr-CH"/>
        </w:rPr>
      </w:pPr>
    </w:p>
    <w:tbl>
      <w:tblPr>
        <w:tblW w:w="0" w:type="auto"/>
        <w:tblInd w:w="1260" w:type="dxa"/>
        <w:tblLayout w:type="fixed"/>
        <w:tblCellMar>
          <w:left w:w="0" w:type="dxa"/>
          <w:right w:w="0" w:type="dxa"/>
        </w:tblCellMar>
        <w:tblLook w:val="04A0" w:firstRow="1" w:lastRow="0" w:firstColumn="1" w:lastColumn="0" w:noHBand="0" w:noVBand="1"/>
      </w:tblPr>
      <w:tblGrid>
        <w:gridCol w:w="2160"/>
        <w:gridCol w:w="5328"/>
      </w:tblGrid>
      <w:tr w:rsidR="007E2CBA" w:rsidRPr="007E2CBA" w:rsidTr="00E35F95">
        <w:trPr>
          <w:tblHeader/>
        </w:trPr>
        <w:tc>
          <w:tcPr>
            <w:tcW w:w="7488" w:type="dxa"/>
            <w:gridSpan w:val="2"/>
            <w:tcBorders>
              <w:top w:val="single" w:sz="4" w:space="0" w:color="auto"/>
              <w:left w:val="nil"/>
              <w:bottom w:val="single" w:sz="12" w:space="0" w:color="auto"/>
              <w:right w:val="nil"/>
            </w:tcBorders>
            <w:vAlign w:val="bottom"/>
            <w:hideMark/>
          </w:tcPr>
          <w:p w:rsidR="00262082" w:rsidRPr="007E2CBA" w:rsidRDefault="00262082" w:rsidP="00D41D5C">
            <w:pPr>
              <w:tabs>
                <w:tab w:val="left" w:pos="288"/>
                <w:tab w:val="left" w:pos="576"/>
                <w:tab w:val="left" w:pos="864"/>
                <w:tab w:val="left" w:pos="1152"/>
              </w:tabs>
              <w:suppressAutoHyphens/>
              <w:spacing w:before="80" w:after="80" w:line="200" w:lineRule="exact"/>
              <w:ind w:right="115"/>
              <w:rPr>
                <w:i/>
                <w:szCs w:val="20"/>
                <w:lang w:val="fr-CH"/>
              </w:rPr>
            </w:pPr>
            <w:r w:rsidRPr="007E2CBA">
              <w:rPr>
                <w:b/>
                <w:bCs/>
                <w:iCs/>
                <w:szCs w:val="20"/>
                <w:lang w:val="fr-CH"/>
              </w:rPr>
              <w:t>Burundi</w:t>
            </w:r>
          </w:p>
        </w:tc>
      </w:tr>
      <w:tr w:rsidR="007E2CBA" w:rsidRPr="007E2CBA" w:rsidTr="00E35F95">
        <w:trPr>
          <w:trHeight w:hRule="exact" w:val="115"/>
          <w:tblHeader/>
        </w:trPr>
        <w:tc>
          <w:tcPr>
            <w:tcW w:w="2160" w:type="dxa"/>
            <w:tcBorders>
              <w:top w:val="single" w:sz="12" w:space="0" w:color="auto"/>
              <w:left w:val="nil"/>
              <w:bottom w:val="nil"/>
              <w:right w:val="nil"/>
            </w:tcBorders>
            <w:vAlign w:val="bottom"/>
          </w:tcPr>
          <w:p w:rsidR="00262082" w:rsidRPr="007E2CBA" w:rsidRDefault="00262082">
            <w:pPr>
              <w:tabs>
                <w:tab w:val="left" w:pos="288"/>
                <w:tab w:val="left" w:pos="576"/>
                <w:tab w:val="left" w:pos="864"/>
                <w:tab w:val="left" w:pos="1152"/>
              </w:tabs>
              <w:suppressAutoHyphens/>
              <w:spacing w:before="40" w:after="80"/>
              <w:ind w:right="115"/>
              <w:rPr>
                <w:lang w:val="fr-CH"/>
              </w:rPr>
            </w:pPr>
          </w:p>
        </w:tc>
        <w:tc>
          <w:tcPr>
            <w:tcW w:w="5328" w:type="dxa"/>
            <w:tcBorders>
              <w:top w:val="single" w:sz="12" w:space="0" w:color="auto"/>
              <w:left w:val="nil"/>
              <w:bottom w:val="nil"/>
              <w:right w:val="nil"/>
            </w:tcBorders>
            <w:vAlign w:val="bottom"/>
          </w:tcPr>
          <w:p w:rsidR="00262082" w:rsidRPr="007E2CBA" w:rsidRDefault="00262082">
            <w:pPr>
              <w:tabs>
                <w:tab w:val="left" w:pos="288"/>
                <w:tab w:val="left" w:pos="576"/>
                <w:tab w:val="left" w:pos="864"/>
                <w:tab w:val="left" w:pos="1152"/>
              </w:tabs>
              <w:suppressAutoHyphens/>
              <w:spacing w:before="40" w:after="80"/>
              <w:ind w:right="115"/>
              <w:rPr>
                <w:lang w:val="fr-CH"/>
              </w:rPr>
            </w:pPr>
          </w:p>
        </w:tc>
      </w:tr>
      <w:tr w:rsidR="007E2CBA" w:rsidRPr="007E2CBA" w:rsidTr="00E35F95">
        <w:tc>
          <w:tcPr>
            <w:tcW w:w="2160" w:type="dxa"/>
            <w:hideMark/>
          </w:tcPr>
          <w:p w:rsidR="00262082" w:rsidRPr="007E2CBA" w:rsidRDefault="00262082" w:rsidP="00D41D5C">
            <w:pPr>
              <w:tabs>
                <w:tab w:val="left" w:pos="288"/>
                <w:tab w:val="left" w:pos="576"/>
                <w:tab w:val="left" w:pos="864"/>
                <w:tab w:val="left" w:pos="1152"/>
              </w:tabs>
              <w:suppressAutoHyphens/>
              <w:spacing w:before="40" w:after="80"/>
              <w:ind w:right="115"/>
              <w:rPr>
                <w:b/>
                <w:bCs/>
                <w:lang w:val="fr-CH"/>
              </w:rPr>
            </w:pPr>
            <w:r w:rsidRPr="007E2CBA">
              <w:rPr>
                <w:b/>
                <w:bCs/>
                <w:lang w:val="fr-CH"/>
              </w:rPr>
              <w:t>Affaire</w:t>
            </w:r>
          </w:p>
        </w:tc>
        <w:tc>
          <w:tcPr>
            <w:tcW w:w="5328" w:type="dxa"/>
            <w:hideMark/>
          </w:tcPr>
          <w:p w:rsidR="00262082" w:rsidRPr="007E2CBA" w:rsidRDefault="00262082" w:rsidP="00D41D5C">
            <w:pPr>
              <w:tabs>
                <w:tab w:val="left" w:pos="288"/>
                <w:tab w:val="left" w:pos="576"/>
                <w:tab w:val="left" w:pos="864"/>
                <w:tab w:val="left" w:pos="1152"/>
              </w:tabs>
              <w:suppressAutoHyphens/>
              <w:spacing w:before="40" w:after="80"/>
              <w:ind w:right="115"/>
              <w:rPr>
                <w:lang w:val="fr-CH"/>
              </w:rPr>
            </w:pPr>
            <w:r w:rsidRPr="007E2CBA">
              <w:rPr>
                <w:i/>
                <w:iCs/>
                <w:lang w:val="fr-CH"/>
              </w:rPr>
              <w:t>Ntikarahera</w:t>
            </w:r>
            <w:r w:rsidRPr="007E2CBA">
              <w:rPr>
                <w:lang w:val="fr-CH"/>
              </w:rPr>
              <w:t>, 503/2012</w:t>
            </w:r>
          </w:p>
        </w:tc>
      </w:tr>
      <w:tr w:rsidR="007E2CBA" w:rsidRPr="007E2CBA" w:rsidTr="00E35F95">
        <w:tc>
          <w:tcPr>
            <w:tcW w:w="2160" w:type="dxa"/>
            <w:hideMark/>
          </w:tcPr>
          <w:p w:rsidR="00262082" w:rsidRPr="007E2CBA" w:rsidRDefault="00262082" w:rsidP="00D41D5C">
            <w:pPr>
              <w:tabs>
                <w:tab w:val="left" w:pos="288"/>
                <w:tab w:val="left" w:pos="576"/>
                <w:tab w:val="left" w:pos="864"/>
                <w:tab w:val="left" w:pos="1152"/>
              </w:tabs>
              <w:suppressAutoHyphens/>
              <w:spacing w:before="40" w:after="80"/>
              <w:ind w:right="115"/>
              <w:rPr>
                <w:b/>
                <w:bCs/>
                <w:lang w:val="fr-CH"/>
              </w:rPr>
            </w:pPr>
            <w:r w:rsidRPr="007E2CBA">
              <w:rPr>
                <w:b/>
                <w:bCs/>
                <w:lang w:val="fr-CH"/>
              </w:rPr>
              <w:t>Décision adoptée le</w:t>
            </w:r>
          </w:p>
        </w:tc>
        <w:tc>
          <w:tcPr>
            <w:tcW w:w="5328" w:type="dxa"/>
            <w:hideMark/>
          </w:tcPr>
          <w:p w:rsidR="00262082" w:rsidRPr="007E2CBA" w:rsidRDefault="00A04DB3" w:rsidP="00D41D5C">
            <w:pPr>
              <w:tabs>
                <w:tab w:val="left" w:pos="288"/>
                <w:tab w:val="left" w:pos="576"/>
                <w:tab w:val="left" w:pos="864"/>
                <w:tab w:val="left" w:pos="1152"/>
              </w:tabs>
              <w:suppressAutoHyphens/>
              <w:spacing w:before="40" w:after="80"/>
              <w:ind w:right="115"/>
              <w:rPr>
                <w:lang w:val="fr-CH"/>
              </w:rPr>
            </w:pPr>
            <w:r w:rsidRPr="007E2CBA">
              <w:rPr>
                <w:lang w:val="fr-CH"/>
              </w:rPr>
              <w:t>12 </w:t>
            </w:r>
            <w:r w:rsidR="00262082" w:rsidRPr="007E2CBA">
              <w:rPr>
                <w:lang w:val="fr-CH"/>
              </w:rPr>
              <w:t>mai 2014</w:t>
            </w:r>
          </w:p>
        </w:tc>
      </w:tr>
      <w:tr w:rsidR="00262082" w:rsidTr="00E35F95">
        <w:tc>
          <w:tcPr>
            <w:tcW w:w="2160" w:type="dxa"/>
            <w:hideMark/>
          </w:tcPr>
          <w:p w:rsidR="00262082" w:rsidRDefault="00262082" w:rsidP="00D41D5C">
            <w:pPr>
              <w:tabs>
                <w:tab w:val="left" w:pos="288"/>
                <w:tab w:val="left" w:pos="576"/>
                <w:tab w:val="left" w:pos="864"/>
                <w:tab w:val="left" w:pos="1152"/>
              </w:tabs>
              <w:suppressAutoHyphens/>
              <w:spacing w:before="40" w:after="80"/>
              <w:ind w:right="115"/>
              <w:rPr>
                <w:b/>
                <w:bCs/>
                <w:lang w:val="fr-CH"/>
              </w:rPr>
            </w:pPr>
            <w:r>
              <w:rPr>
                <w:b/>
                <w:bCs/>
                <w:lang w:val="fr-CH"/>
              </w:rPr>
              <w:t>Violations constatées</w:t>
            </w:r>
          </w:p>
        </w:tc>
        <w:tc>
          <w:tcPr>
            <w:tcW w:w="5328" w:type="dxa"/>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lang w:val="fr-CH"/>
              </w:rPr>
              <w:t xml:space="preserve">Articles </w:t>
            </w:r>
            <w:r w:rsidR="004E1BB6">
              <w:rPr>
                <w:lang w:val="fr-CH"/>
              </w:rPr>
              <w:t xml:space="preserve">2 </w:t>
            </w:r>
            <w:r>
              <w:rPr>
                <w:lang w:val="fr-CH"/>
              </w:rPr>
              <w:t>(par. 1), 11, 12, 13 et 14, lu</w:t>
            </w:r>
            <w:r w:rsidR="00A04DB3">
              <w:rPr>
                <w:lang w:val="fr-CH"/>
              </w:rPr>
              <w:t>s</w:t>
            </w:r>
            <w:r>
              <w:rPr>
                <w:lang w:val="fr-CH"/>
              </w:rPr>
              <w:t xml:space="preserve"> conjointement avec les articles 1</w:t>
            </w:r>
            <w:r>
              <w:rPr>
                <w:vertAlign w:val="superscript"/>
                <w:lang w:val="fr-CH"/>
              </w:rPr>
              <w:t>er</w:t>
            </w:r>
            <w:r>
              <w:rPr>
                <w:lang w:val="fr-CH"/>
              </w:rPr>
              <w:t xml:space="preserve"> et 16</w:t>
            </w:r>
          </w:p>
        </w:tc>
      </w:tr>
      <w:tr w:rsidR="00262082" w:rsidTr="00E35F95">
        <w:tc>
          <w:tcPr>
            <w:tcW w:w="7488" w:type="dxa"/>
            <w:gridSpan w:val="2"/>
            <w:hideMark/>
          </w:tcPr>
          <w:p w:rsidR="00262082" w:rsidRPr="00D41D5C" w:rsidRDefault="00262082" w:rsidP="00D41D5C">
            <w:pPr>
              <w:tabs>
                <w:tab w:val="left" w:pos="288"/>
                <w:tab w:val="left" w:pos="576"/>
                <w:tab w:val="left" w:pos="864"/>
                <w:tab w:val="left" w:pos="1152"/>
              </w:tabs>
              <w:suppressAutoHyphens/>
              <w:spacing w:before="40" w:after="80"/>
              <w:ind w:right="115"/>
              <w:rPr>
                <w:lang w:val="fr-CH"/>
              </w:rPr>
            </w:pPr>
            <w:r w:rsidRPr="00D41D5C">
              <w:rPr>
                <w:b/>
                <w:bCs/>
                <w:lang w:val="fr-CH"/>
              </w:rPr>
              <w:t>Recommandation</w:t>
            </w:r>
            <w:r w:rsidRPr="00D41D5C">
              <w:rPr>
                <w:lang w:val="fr-CH"/>
              </w:rPr>
              <w:t> : Le Comité a invité instamment l’État partie à initier une enquête impartiale sur les événements en question dans le but de poursuivre en justice les personnes qui pourraient être responsables du traitement infligé à la victime et de l’informer, dans un délai de quatre-vingt-dix jours à compter de la date de la</w:t>
            </w:r>
            <w:r w:rsidR="007E2CBA" w:rsidRPr="00D41D5C">
              <w:rPr>
                <w:lang w:val="fr-CH"/>
              </w:rPr>
              <w:t xml:space="preserve"> transmission de </w:t>
            </w:r>
            <w:r w:rsidR="00C56D22" w:rsidRPr="00D41D5C">
              <w:rPr>
                <w:lang w:val="fr-CH"/>
              </w:rPr>
              <w:t>s</w:t>
            </w:r>
            <w:r w:rsidR="007E2CBA" w:rsidRPr="00D41D5C">
              <w:rPr>
                <w:lang w:val="fr-CH"/>
              </w:rPr>
              <w:t xml:space="preserve">a </w:t>
            </w:r>
            <w:r w:rsidRPr="00D41D5C">
              <w:rPr>
                <w:lang w:val="fr-CH"/>
              </w:rPr>
              <w:t xml:space="preserve">décision, des mesures qu’il aura prises </w:t>
            </w:r>
            <w:r w:rsidR="007E2CBA" w:rsidRPr="00D41D5C">
              <w:rPr>
                <w:lang w:val="fr-CH"/>
              </w:rPr>
              <w:t>pour y donner suite</w:t>
            </w:r>
            <w:r w:rsidRPr="00D41D5C">
              <w:rPr>
                <w:lang w:val="fr-CH"/>
              </w:rPr>
              <w:t xml:space="preserve">, </w:t>
            </w:r>
            <w:r w:rsidRPr="00D41D5C">
              <w:rPr>
                <w:lang w:val="fr-CH"/>
              </w:rPr>
              <w:lastRenderedPageBreak/>
              <w:t>y</w:t>
            </w:r>
            <w:r w:rsidR="007E2CBA" w:rsidRPr="00D41D5C">
              <w:rPr>
                <w:lang w:val="fr-CH"/>
              </w:rPr>
              <w:t> </w:t>
            </w:r>
            <w:r w:rsidRPr="00D41D5C">
              <w:rPr>
                <w:lang w:val="fr-CH"/>
              </w:rPr>
              <w:t xml:space="preserve">compris </w:t>
            </w:r>
            <w:r w:rsidR="007E2CBA" w:rsidRPr="00D41D5C">
              <w:rPr>
                <w:lang w:val="fr-CH"/>
              </w:rPr>
              <w:t xml:space="preserve">accorder </w:t>
            </w:r>
            <w:r w:rsidRPr="00D41D5C">
              <w:rPr>
                <w:lang w:val="fr-CH"/>
              </w:rPr>
              <w:t xml:space="preserve">une indemnisation adéquate et équitable, qui comprenne les moyens nécessaires à </w:t>
            </w:r>
            <w:r w:rsidR="00C56D22" w:rsidRPr="00D41D5C">
              <w:rPr>
                <w:lang w:val="fr-CH"/>
              </w:rPr>
              <w:t>l</w:t>
            </w:r>
            <w:r w:rsidRPr="00D41D5C">
              <w:rPr>
                <w:lang w:val="fr-CH"/>
              </w:rPr>
              <w:t>a réadaptation la plus complète possible</w:t>
            </w:r>
            <w:r w:rsidR="007E2CBA" w:rsidRPr="00D41D5C">
              <w:rPr>
                <w:lang w:val="fr-CH"/>
              </w:rPr>
              <w:t xml:space="preserve"> du requérant</w:t>
            </w:r>
            <w:r w:rsidRPr="00D41D5C">
              <w:rPr>
                <w:lang w:val="fr-CH"/>
              </w:rPr>
              <w:t>.</w:t>
            </w:r>
          </w:p>
        </w:tc>
      </w:tr>
      <w:tr w:rsidR="00262082" w:rsidTr="00E35F95">
        <w:tc>
          <w:tcPr>
            <w:tcW w:w="7488" w:type="dxa"/>
            <w:gridSpan w:val="2"/>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b/>
                <w:bCs/>
                <w:lang w:val="fr-CH"/>
              </w:rPr>
              <w:lastRenderedPageBreak/>
              <w:t>Suivi</w:t>
            </w:r>
            <w:r>
              <w:rPr>
                <w:lang w:val="fr-CH"/>
              </w:rPr>
              <w:t xml:space="preserve"> : Le 8 avril 2015, l’État partie a demandé plus de temps pour </w:t>
            </w:r>
            <w:r w:rsidR="00A244E4">
              <w:rPr>
                <w:lang w:val="fr-CH"/>
              </w:rPr>
              <w:t xml:space="preserve">pouvoir </w:t>
            </w:r>
            <w:r>
              <w:rPr>
                <w:lang w:val="fr-CH"/>
              </w:rPr>
              <w:t>fournir des informations au sujet de l’application de la décision du Comité.</w:t>
            </w:r>
          </w:p>
        </w:tc>
      </w:tr>
      <w:tr w:rsidR="00262082" w:rsidTr="00E35F95">
        <w:tc>
          <w:tcPr>
            <w:tcW w:w="7488" w:type="dxa"/>
            <w:gridSpan w:val="2"/>
            <w:tcBorders>
              <w:top w:val="nil"/>
              <w:left w:val="nil"/>
              <w:bottom w:val="single" w:sz="12" w:space="0" w:color="auto"/>
              <w:right w:val="nil"/>
            </w:tcBorders>
            <w:hideMark/>
          </w:tcPr>
          <w:p w:rsidR="00262082" w:rsidRDefault="00262082" w:rsidP="00D41D5C">
            <w:pPr>
              <w:tabs>
                <w:tab w:val="left" w:pos="288"/>
                <w:tab w:val="left" w:pos="576"/>
                <w:tab w:val="left" w:pos="864"/>
                <w:tab w:val="left" w:pos="1152"/>
              </w:tabs>
              <w:suppressAutoHyphens/>
              <w:spacing w:before="40" w:after="80"/>
              <w:ind w:right="115"/>
              <w:rPr>
                <w:lang w:val="fr-CH"/>
              </w:rPr>
            </w:pPr>
            <w:r>
              <w:rPr>
                <w:b/>
                <w:bCs/>
                <w:lang w:val="fr-CH"/>
              </w:rPr>
              <w:t>Décision du Comité </w:t>
            </w:r>
            <w:r>
              <w:rPr>
                <w:lang w:val="fr-CH"/>
              </w:rPr>
              <w:t>: Poursuivre le dialogue au titre du suivi et prolonger le délai de quatre-vingt-dix jours supplémentaires pour permettre à l’État partie de lui fournir des informations sur les mesures prises pour donner suite à la décision.</w:t>
            </w:r>
          </w:p>
        </w:tc>
      </w:tr>
    </w:tbl>
    <w:p w:rsidR="00A07A2F" w:rsidRPr="00C2049B" w:rsidRDefault="00A07A2F" w:rsidP="00C8631F">
      <w:pPr>
        <w:pStyle w:val="SingleTxt"/>
        <w:spacing w:after="0" w:line="100" w:lineRule="exact"/>
        <w:rPr>
          <w:sz w:val="10"/>
        </w:rPr>
      </w:pPr>
    </w:p>
    <w:p w:rsidR="00C2049B" w:rsidRPr="00A927F1" w:rsidRDefault="00C2049B" w:rsidP="00A927F1">
      <w:pPr>
        <w:pStyle w:val="SingleTxt"/>
        <w:spacing w:after="0" w:line="120" w:lineRule="exact"/>
        <w:rPr>
          <w:sz w:val="10"/>
        </w:rPr>
      </w:pPr>
    </w:p>
    <w:p w:rsidR="00A927F1" w:rsidRPr="00C2049B" w:rsidRDefault="00A927F1" w:rsidP="00C8631F">
      <w:pPr>
        <w:pStyle w:val="SingleTxt"/>
        <w:spacing w:after="0" w:line="120" w:lineRule="exact"/>
        <w:rPr>
          <w:sz w:val="10"/>
        </w:rPr>
      </w:pPr>
    </w:p>
    <w:tbl>
      <w:tblPr>
        <w:tblW w:w="0" w:type="auto"/>
        <w:tblInd w:w="126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42"/>
        <w:gridCol w:w="5346"/>
      </w:tblGrid>
      <w:tr w:rsidR="000E3A08" w:rsidRPr="00DF1CA5" w:rsidTr="00E35F95">
        <w:tc>
          <w:tcPr>
            <w:tcW w:w="2142" w:type="dxa"/>
            <w:tcBorders>
              <w:top w:val="single" w:sz="4" w:space="0" w:color="auto"/>
              <w:bottom w:val="single" w:sz="12" w:space="0" w:color="auto"/>
            </w:tcBorders>
            <w:shd w:val="clear" w:color="auto" w:fill="auto"/>
            <w:vAlign w:val="bottom"/>
          </w:tcPr>
          <w:p w:rsidR="000E3A08" w:rsidRPr="00DF1CA5" w:rsidRDefault="000E3A08" w:rsidP="00924F29">
            <w:pPr>
              <w:spacing w:before="80" w:after="80" w:line="200" w:lineRule="exact"/>
              <w:ind w:right="115"/>
              <w:rPr>
                <w:b/>
                <w:iCs/>
                <w:lang w:val="fr-CH"/>
              </w:rPr>
            </w:pPr>
            <w:r>
              <w:rPr>
                <w:b/>
                <w:iCs/>
                <w:lang w:val="fr-CH"/>
              </w:rPr>
              <w:t>Allemagne</w:t>
            </w:r>
          </w:p>
        </w:tc>
        <w:tc>
          <w:tcPr>
            <w:tcW w:w="5346" w:type="dxa"/>
            <w:tcBorders>
              <w:top w:val="single" w:sz="4" w:space="0" w:color="auto"/>
              <w:bottom w:val="single" w:sz="12" w:space="0" w:color="auto"/>
            </w:tcBorders>
            <w:shd w:val="clear" w:color="auto" w:fill="auto"/>
            <w:vAlign w:val="bottom"/>
          </w:tcPr>
          <w:p w:rsidR="000E3A08" w:rsidRPr="00DF1CA5" w:rsidRDefault="000E3A08" w:rsidP="00924F29">
            <w:pPr>
              <w:spacing w:before="80" w:after="80" w:line="200" w:lineRule="exact"/>
              <w:ind w:right="115"/>
              <w:rPr>
                <w:bCs/>
                <w:i/>
                <w:lang w:val="fr-CH"/>
              </w:rPr>
            </w:pPr>
          </w:p>
        </w:tc>
      </w:tr>
      <w:tr w:rsidR="000E3A08" w:rsidRPr="00DF1CA5" w:rsidTr="00E35F95">
        <w:tc>
          <w:tcPr>
            <w:tcW w:w="2142" w:type="dxa"/>
            <w:tcBorders>
              <w:top w:val="single" w:sz="12" w:space="0" w:color="auto"/>
            </w:tcBorders>
            <w:shd w:val="clear" w:color="auto" w:fill="auto"/>
          </w:tcPr>
          <w:p w:rsidR="000E3A08" w:rsidRPr="00DF1CA5" w:rsidRDefault="000E3A08" w:rsidP="00924F29">
            <w:pPr>
              <w:spacing w:before="40" w:after="80"/>
              <w:ind w:right="113"/>
              <w:rPr>
                <w:b/>
                <w:bCs/>
                <w:lang w:val="fr-CH"/>
              </w:rPr>
            </w:pPr>
            <w:r>
              <w:rPr>
                <w:b/>
                <w:bCs/>
                <w:lang w:val="fr-CH"/>
              </w:rPr>
              <w:t>Affaire</w:t>
            </w:r>
          </w:p>
        </w:tc>
        <w:tc>
          <w:tcPr>
            <w:tcW w:w="5346" w:type="dxa"/>
            <w:tcBorders>
              <w:top w:val="single" w:sz="12" w:space="0" w:color="auto"/>
            </w:tcBorders>
            <w:shd w:val="clear" w:color="auto" w:fill="auto"/>
          </w:tcPr>
          <w:p w:rsidR="000E3A08" w:rsidRPr="00DF1CA5" w:rsidRDefault="000E3A08" w:rsidP="00924F29">
            <w:pPr>
              <w:spacing w:before="40" w:after="80"/>
              <w:ind w:right="115"/>
              <w:rPr>
                <w:bCs/>
                <w:lang w:val="fr-CH"/>
              </w:rPr>
            </w:pPr>
            <w:r w:rsidRPr="00DF1CA5">
              <w:rPr>
                <w:bCs/>
                <w:i/>
                <w:iCs/>
                <w:lang w:val="fr-CH"/>
              </w:rPr>
              <w:t>Abichou</w:t>
            </w:r>
            <w:r w:rsidRPr="00DF1CA5">
              <w:rPr>
                <w:bCs/>
                <w:lang w:val="fr-CH"/>
              </w:rPr>
              <w:t>, 430/2010</w:t>
            </w:r>
          </w:p>
        </w:tc>
      </w:tr>
      <w:tr w:rsidR="000E3A08" w:rsidRPr="00DF1CA5" w:rsidTr="00E35F95">
        <w:tc>
          <w:tcPr>
            <w:tcW w:w="2142" w:type="dxa"/>
            <w:shd w:val="clear" w:color="auto" w:fill="auto"/>
          </w:tcPr>
          <w:p w:rsidR="000E3A08" w:rsidRPr="00DF1CA5" w:rsidRDefault="000E3A08" w:rsidP="00924F29">
            <w:pPr>
              <w:spacing w:before="40" w:after="80"/>
              <w:ind w:right="113"/>
              <w:rPr>
                <w:b/>
                <w:lang w:val="fr-CH"/>
              </w:rPr>
            </w:pPr>
            <w:r>
              <w:rPr>
                <w:b/>
                <w:lang w:val="fr-CH"/>
              </w:rPr>
              <w:t>Décision adoptée le</w:t>
            </w:r>
          </w:p>
        </w:tc>
        <w:tc>
          <w:tcPr>
            <w:tcW w:w="5346" w:type="dxa"/>
            <w:shd w:val="clear" w:color="auto" w:fill="auto"/>
          </w:tcPr>
          <w:p w:rsidR="000E3A08" w:rsidRPr="00DF1CA5" w:rsidRDefault="000E3A08" w:rsidP="00924F29">
            <w:pPr>
              <w:spacing w:before="40" w:after="80"/>
              <w:ind w:right="115"/>
              <w:rPr>
                <w:bCs/>
                <w:lang w:val="fr-CH"/>
              </w:rPr>
            </w:pPr>
            <w:r>
              <w:rPr>
                <w:bCs/>
                <w:lang w:val="fr-CH"/>
              </w:rPr>
              <w:t>21 mai</w:t>
            </w:r>
            <w:r w:rsidRPr="00DF1CA5">
              <w:rPr>
                <w:bCs/>
                <w:lang w:val="fr-CH"/>
              </w:rPr>
              <w:t xml:space="preserve"> 2013</w:t>
            </w:r>
          </w:p>
        </w:tc>
      </w:tr>
      <w:tr w:rsidR="000E3A08" w:rsidRPr="00DF1CA5" w:rsidTr="00E35F95">
        <w:tc>
          <w:tcPr>
            <w:tcW w:w="2142" w:type="dxa"/>
            <w:shd w:val="clear" w:color="auto" w:fill="auto"/>
          </w:tcPr>
          <w:p w:rsidR="000E3A08" w:rsidRPr="00DF1CA5" w:rsidRDefault="000E3A08" w:rsidP="00924F29">
            <w:pPr>
              <w:spacing w:before="40" w:after="80"/>
              <w:ind w:right="113"/>
              <w:rPr>
                <w:b/>
                <w:lang w:val="fr-CH"/>
              </w:rPr>
            </w:pPr>
            <w:r w:rsidRPr="00DF1CA5">
              <w:rPr>
                <w:b/>
                <w:lang w:val="fr-CH"/>
              </w:rPr>
              <w:t>Violation</w:t>
            </w:r>
            <w:r w:rsidR="00203205">
              <w:rPr>
                <w:b/>
                <w:lang w:val="fr-CH"/>
              </w:rPr>
              <w:t>s</w:t>
            </w:r>
            <w:r>
              <w:rPr>
                <w:b/>
                <w:lang w:val="fr-CH"/>
              </w:rPr>
              <w:t xml:space="preserve"> constatée</w:t>
            </w:r>
            <w:r w:rsidR="00203205">
              <w:rPr>
                <w:b/>
                <w:lang w:val="fr-CH"/>
              </w:rPr>
              <w:t>s</w:t>
            </w:r>
          </w:p>
        </w:tc>
        <w:tc>
          <w:tcPr>
            <w:tcW w:w="5346" w:type="dxa"/>
            <w:shd w:val="clear" w:color="auto" w:fill="auto"/>
          </w:tcPr>
          <w:p w:rsidR="000E3A08" w:rsidRPr="00DF1CA5" w:rsidRDefault="000E3A08" w:rsidP="00924F29">
            <w:pPr>
              <w:spacing w:before="40" w:after="80"/>
              <w:ind w:right="115"/>
              <w:rPr>
                <w:bCs/>
                <w:lang w:val="fr-CH"/>
              </w:rPr>
            </w:pPr>
            <w:r w:rsidRPr="00DF1CA5">
              <w:rPr>
                <w:bCs/>
                <w:lang w:val="fr-CH"/>
              </w:rPr>
              <w:t xml:space="preserve">Article 3 </w:t>
            </w:r>
          </w:p>
        </w:tc>
      </w:tr>
      <w:tr w:rsidR="000E3A08" w:rsidRPr="00DF1CA5" w:rsidTr="00E35F95">
        <w:tc>
          <w:tcPr>
            <w:tcW w:w="7488" w:type="dxa"/>
            <w:gridSpan w:val="2"/>
            <w:shd w:val="clear" w:color="auto" w:fill="auto"/>
          </w:tcPr>
          <w:p w:rsidR="000E3A08" w:rsidRPr="00DF1CA5" w:rsidRDefault="000E3A08" w:rsidP="00924F29">
            <w:pPr>
              <w:spacing w:before="40" w:after="80"/>
              <w:ind w:right="115"/>
              <w:rPr>
                <w:b/>
                <w:lang w:val="fr-CH"/>
              </w:rPr>
            </w:pPr>
            <w:r w:rsidRPr="00DF1CA5">
              <w:rPr>
                <w:b/>
                <w:lang w:val="fr-CH"/>
              </w:rPr>
              <w:t>Recomm</w:t>
            </w:r>
            <w:r>
              <w:rPr>
                <w:b/>
                <w:lang w:val="fr-CH"/>
              </w:rPr>
              <w:t>a</w:t>
            </w:r>
            <w:r w:rsidRPr="00DF1CA5">
              <w:rPr>
                <w:b/>
                <w:lang w:val="fr-CH"/>
              </w:rPr>
              <w:t>ndation</w:t>
            </w:r>
            <w:r w:rsidR="00E35F95">
              <w:rPr>
                <w:b/>
                <w:lang w:val="fr-CH"/>
              </w:rPr>
              <w:t> </w:t>
            </w:r>
            <w:r w:rsidRPr="00E35F95">
              <w:rPr>
                <w:lang w:val="fr-CH"/>
              </w:rPr>
              <w:t>:</w:t>
            </w:r>
            <w:r w:rsidRPr="00DF1CA5">
              <w:rPr>
                <w:lang w:val="fr-CH"/>
              </w:rPr>
              <w:t xml:space="preserve"> </w:t>
            </w:r>
            <w:r>
              <w:rPr>
                <w:lang w:val="fr-CH"/>
              </w:rPr>
              <w:t>Le Comité a demandé instamment à l’État partie d’accorder une réparation à la victime</w:t>
            </w:r>
            <w:r w:rsidR="00E35F95">
              <w:rPr>
                <w:lang w:val="fr-CH"/>
              </w:rPr>
              <w:t>,</w:t>
            </w:r>
            <w:r>
              <w:rPr>
                <w:lang w:val="fr-CH"/>
              </w:rPr>
              <w:t xml:space="preserve"> sous la forme d’une indemnisation adéquate.</w:t>
            </w:r>
            <w:r w:rsidRPr="00DF1CA5">
              <w:rPr>
                <w:lang w:val="fr-CH"/>
              </w:rPr>
              <w:t xml:space="preserve"> </w:t>
            </w:r>
          </w:p>
        </w:tc>
      </w:tr>
      <w:tr w:rsidR="000E3A08" w:rsidRPr="00DF1CA5" w:rsidTr="00E35F95">
        <w:tc>
          <w:tcPr>
            <w:tcW w:w="7488" w:type="dxa"/>
            <w:gridSpan w:val="2"/>
            <w:shd w:val="clear" w:color="auto" w:fill="auto"/>
          </w:tcPr>
          <w:p w:rsidR="000E3A08" w:rsidRPr="00DF1CA5" w:rsidRDefault="000E3A08" w:rsidP="00924F29">
            <w:pPr>
              <w:spacing w:before="40" w:after="80"/>
              <w:ind w:right="115"/>
              <w:rPr>
                <w:b/>
                <w:lang w:val="fr-CH"/>
              </w:rPr>
            </w:pPr>
            <w:r>
              <w:rPr>
                <w:b/>
                <w:bCs/>
                <w:lang w:val="fr-CH"/>
              </w:rPr>
              <w:t>Suivi</w:t>
            </w:r>
            <w:r w:rsidR="00E35F95">
              <w:rPr>
                <w:b/>
                <w:lang w:val="fr-CH"/>
              </w:rPr>
              <w:t> </w:t>
            </w:r>
            <w:r w:rsidR="00E35F95" w:rsidRPr="00E35F95">
              <w:rPr>
                <w:lang w:val="fr-CH"/>
              </w:rPr>
              <w:t>:</w:t>
            </w:r>
            <w:r w:rsidR="00E35F95" w:rsidRPr="00DF1CA5">
              <w:rPr>
                <w:lang w:val="fr-CH"/>
              </w:rPr>
              <w:t xml:space="preserve"> </w:t>
            </w:r>
            <w:r>
              <w:rPr>
                <w:lang w:val="fr-CH"/>
              </w:rPr>
              <w:t xml:space="preserve">Le </w:t>
            </w:r>
            <w:r w:rsidRPr="00DF1CA5">
              <w:rPr>
                <w:lang w:val="fr-CH"/>
              </w:rPr>
              <w:t>29</w:t>
            </w:r>
            <w:r>
              <w:rPr>
                <w:lang w:val="fr-CH"/>
              </w:rPr>
              <w:t> décembre</w:t>
            </w:r>
            <w:r w:rsidRPr="00DF1CA5">
              <w:rPr>
                <w:lang w:val="fr-CH"/>
              </w:rPr>
              <w:t xml:space="preserve"> 2014, </w:t>
            </w:r>
            <w:r>
              <w:rPr>
                <w:lang w:val="fr-CH"/>
              </w:rPr>
              <w:t xml:space="preserve">l’État partie a fait savoir que, sous le couvert d’une lettre datée du 16 mai 2014, il avait offert une indemnisation à la victime mais que </w:t>
            </w:r>
            <w:r w:rsidR="00E35F95">
              <w:rPr>
                <w:lang w:val="fr-CH"/>
              </w:rPr>
              <w:t xml:space="preserve">ni celle-ci ni ses </w:t>
            </w:r>
            <w:r>
              <w:rPr>
                <w:lang w:val="fr-CH"/>
              </w:rPr>
              <w:t xml:space="preserve">représentants légaux n’ont répondu à </w:t>
            </w:r>
            <w:r w:rsidR="00E35F95">
              <w:rPr>
                <w:lang w:val="fr-CH"/>
              </w:rPr>
              <w:t>son</w:t>
            </w:r>
            <w:r>
              <w:rPr>
                <w:lang w:val="fr-CH"/>
              </w:rPr>
              <w:t xml:space="preserve"> offre. L’État partie se considère encore tenu par cette offre. Il a ajouté que si la victime n’</w:t>
            </w:r>
            <w:r w:rsidR="00E35F95">
              <w:rPr>
                <w:lang w:val="fr-CH"/>
              </w:rPr>
              <w:t xml:space="preserve">en </w:t>
            </w:r>
            <w:r>
              <w:rPr>
                <w:lang w:val="fr-CH"/>
              </w:rPr>
              <w:t>était pas satisfaite, elle avait la possibilité de se prévaloir des recours disponibles en matière d</w:t>
            </w:r>
            <w:r w:rsidR="00E35F95">
              <w:rPr>
                <w:lang w:val="fr-CH"/>
              </w:rPr>
              <w:t>’indemnisation e</w:t>
            </w:r>
            <w:r>
              <w:rPr>
                <w:lang w:val="fr-CH"/>
              </w:rPr>
              <w:t>n vertu de la législation</w:t>
            </w:r>
            <w:r w:rsidR="00E35F95">
              <w:rPr>
                <w:lang w:val="fr-CH"/>
              </w:rPr>
              <w:t xml:space="preserve"> allemande</w:t>
            </w:r>
            <w:r>
              <w:rPr>
                <w:lang w:val="fr-CH"/>
              </w:rPr>
              <w:t>. Le Gouvernement fédéral ignore toutefois s</w:t>
            </w:r>
            <w:r w:rsidR="00E35F95">
              <w:rPr>
                <w:lang w:val="fr-CH"/>
              </w:rPr>
              <w:t xml:space="preserve">i le requérant </w:t>
            </w:r>
            <w:r>
              <w:rPr>
                <w:lang w:val="fr-CH"/>
              </w:rPr>
              <w:t>a déposé une requête devant les tribunaux allemands.</w:t>
            </w:r>
          </w:p>
        </w:tc>
      </w:tr>
      <w:tr w:rsidR="00AE5DCD" w:rsidRPr="00DF1CA5" w:rsidTr="00E35F95">
        <w:tc>
          <w:tcPr>
            <w:tcW w:w="7488" w:type="dxa"/>
            <w:gridSpan w:val="2"/>
            <w:shd w:val="clear" w:color="auto" w:fill="auto"/>
          </w:tcPr>
          <w:p w:rsidR="00AE5DCD" w:rsidRDefault="00AE5DCD" w:rsidP="00924F29">
            <w:pPr>
              <w:spacing w:before="40" w:after="80"/>
              <w:ind w:right="115"/>
              <w:rPr>
                <w:b/>
                <w:bCs/>
                <w:lang w:val="fr-CH"/>
              </w:rPr>
            </w:pPr>
            <w:r>
              <w:rPr>
                <w:lang w:val="fr-CH"/>
              </w:rPr>
              <w:t>En janvier 2015, la réponse de l’État partie a été transmise au requérant pour commentaires.</w:t>
            </w:r>
          </w:p>
        </w:tc>
      </w:tr>
      <w:tr w:rsidR="000E3A08" w:rsidRPr="00DF1CA5" w:rsidTr="00E35F95">
        <w:tc>
          <w:tcPr>
            <w:tcW w:w="7488" w:type="dxa"/>
            <w:gridSpan w:val="2"/>
            <w:shd w:val="clear" w:color="auto" w:fill="auto"/>
          </w:tcPr>
          <w:p w:rsidR="000E3A08" w:rsidRPr="00DF1CA5" w:rsidRDefault="000E3A08" w:rsidP="00924F29">
            <w:pPr>
              <w:spacing w:before="40" w:after="80"/>
              <w:ind w:right="115"/>
              <w:rPr>
                <w:lang w:val="fr-CH"/>
              </w:rPr>
            </w:pPr>
            <w:r>
              <w:rPr>
                <w:b/>
                <w:bCs/>
                <w:lang w:val="fr-CH"/>
              </w:rPr>
              <w:t>Décision du Comité</w:t>
            </w:r>
            <w:r w:rsidR="00E35F95">
              <w:rPr>
                <w:b/>
                <w:lang w:val="fr-CH"/>
              </w:rPr>
              <w:t> </w:t>
            </w:r>
            <w:r w:rsidR="00E35F95" w:rsidRPr="00E35F95">
              <w:rPr>
                <w:lang w:val="fr-CH"/>
              </w:rPr>
              <w:t>:</w:t>
            </w:r>
            <w:r w:rsidR="00E35F95" w:rsidRPr="00DF1CA5">
              <w:rPr>
                <w:lang w:val="fr-CH"/>
              </w:rPr>
              <w:t xml:space="preserve"> </w:t>
            </w:r>
            <w:r>
              <w:rPr>
                <w:lang w:val="fr-CH"/>
              </w:rPr>
              <w:t>Poursuivre le dialogue au titre du suivi</w:t>
            </w:r>
            <w:r w:rsidRPr="00DF1CA5">
              <w:rPr>
                <w:lang w:val="fr-CH"/>
              </w:rPr>
              <w:t>.</w:t>
            </w:r>
          </w:p>
        </w:tc>
      </w:tr>
    </w:tbl>
    <w:p w:rsidR="000E3A08" w:rsidRDefault="000E3A08" w:rsidP="00924F29">
      <w:pPr>
        <w:pStyle w:val="SingleTxt"/>
        <w:spacing w:after="0" w:line="120" w:lineRule="exact"/>
        <w:rPr>
          <w:sz w:val="10"/>
          <w:lang w:val="fr-CH"/>
        </w:rPr>
      </w:pPr>
    </w:p>
    <w:p w:rsidR="00924F29" w:rsidRPr="00974846" w:rsidRDefault="00924F29" w:rsidP="00924F29">
      <w:pPr>
        <w:pStyle w:val="SingleTxt"/>
        <w:spacing w:after="0" w:line="120" w:lineRule="exact"/>
        <w:rPr>
          <w:sz w:val="10"/>
          <w:lang w:val="fr-CH"/>
        </w:rPr>
      </w:pPr>
    </w:p>
    <w:p w:rsidR="00974846" w:rsidRPr="00974846" w:rsidRDefault="00974846" w:rsidP="00924F29">
      <w:pPr>
        <w:pStyle w:val="SingleTxt"/>
        <w:spacing w:after="0" w:line="120" w:lineRule="exact"/>
        <w:rPr>
          <w:sz w:val="10"/>
          <w:lang w:val="fr-CH"/>
        </w:rPr>
      </w:pPr>
    </w:p>
    <w:tbl>
      <w:tblPr>
        <w:tblW w:w="0" w:type="auto"/>
        <w:tblInd w:w="126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42"/>
        <w:gridCol w:w="5346"/>
      </w:tblGrid>
      <w:tr w:rsidR="000E3A08" w:rsidRPr="00DF1CA5" w:rsidTr="00402B2C">
        <w:trPr>
          <w:cantSplit/>
          <w:tblHeader/>
        </w:trPr>
        <w:tc>
          <w:tcPr>
            <w:tcW w:w="2142" w:type="dxa"/>
            <w:tcBorders>
              <w:top w:val="single" w:sz="4" w:space="0" w:color="auto"/>
              <w:bottom w:val="single" w:sz="12" w:space="0" w:color="auto"/>
            </w:tcBorders>
            <w:shd w:val="clear" w:color="auto" w:fill="auto"/>
            <w:vAlign w:val="bottom"/>
          </w:tcPr>
          <w:p w:rsidR="000E3A08" w:rsidRPr="00DF1CA5" w:rsidRDefault="000E3A08" w:rsidP="00A96A34">
            <w:pPr>
              <w:spacing w:before="80" w:after="80" w:line="200" w:lineRule="exact"/>
              <w:ind w:right="115"/>
              <w:rPr>
                <w:b/>
                <w:bCs/>
                <w:iCs/>
                <w:lang w:val="fr-CH"/>
              </w:rPr>
            </w:pPr>
            <w:r w:rsidRPr="00DF1CA5">
              <w:rPr>
                <w:b/>
                <w:bCs/>
                <w:iCs/>
                <w:lang w:val="fr-CH"/>
              </w:rPr>
              <w:t>Kazakhstan</w:t>
            </w:r>
          </w:p>
        </w:tc>
        <w:tc>
          <w:tcPr>
            <w:tcW w:w="5346" w:type="dxa"/>
            <w:tcBorders>
              <w:top w:val="single" w:sz="4" w:space="0" w:color="auto"/>
              <w:bottom w:val="single" w:sz="12" w:space="0" w:color="auto"/>
            </w:tcBorders>
            <w:shd w:val="clear" w:color="auto" w:fill="auto"/>
            <w:vAlign w:val="bottom"/>
          </w:tcPr>
          <w:p w:rsidR="000E3A08" w:rsidRPr="00DF1CA5" w:rsidRDefault="000E3A08" w:rsidP="00A96A34">
            <w:pPr>
              <w:spacing w:before="80" w:after="80" w:line="200" w:lineRule="exact"/>
              <w:ind w:right="115"/>
              <w:rPr>
                <w:b/>
                <w:bCs/>
                <w:i/>
                <w:lang w:val="fr-CH"/>
              </w:rPr>
            </w:pPr>
          </w:p>
        </w:tc>
      </w:tr>
      <w:tr w:rsidR="000E3A08" w:rsidRPr="00DF1CA5" w:rsidTr="00402B2C">
        <w:trPr>
          <w:cantSplit/>
        </w:trPr>
        <w:tc>
          <w:tcPr>
            <w:tcW w:w="2142" w:type="dxa"/>
            <w:tcBorders>
              <w:top w:val="single" w:sz="12" w:space="0" w:color="auto"/>
            </w:tcBorders>
            <w:shd w:val="clear" w:color="auto" w:fill="auto"/>
          </w:tcPr>
          <w:p w:rsidR="000E3A08" w:rsidRPr="00DF1CA5" w:rsidRDefault="000E3A08" w:rsidP="00BF5F6F">
            <w:pPr>
              <w:spacing w:before="40" w:after="80"/>
              <w:ind w:right="115"/>
              <w:rPr>
                <w:b/>
                <w:bCs/>
                <w:lang w:val="fr-CH"/>
              </w:rPr>
            </w:pPr>
            <w:r>
              <w:rPr>
                <w:b/>
                <w:bCs/>
                <w:lang w:val="fr-CH"/>
              </w:rPr>
              <w:t>Affaire</w:t>
            </w:r>
          </w:p>
        </w:tc>
        <w:tc>
          <w:tcPr>
            <w:tcW w:w="5346" w:type="dxa"/>
            <w:tcBorders>
              <w:top w:val="single" w:sz="12" w:space="0" w:color="auto"/>
            </w:tcBorders>
            <w:shd w:val="clear" w:color="auto" w:fill="auto"/>
          </w:tcPr>
          <w:p w:rsidR="000E3A08" w:rsidRPr="00DF1CA5" w:rsidRDefault="000E3A08" w:rsidP="00BF5F6F">
            <w:pPr>
              <w:spacing w:before="40" w:after="80"/>
              <w:ind w:right="115"/>
              <w:rPr>
                <w:bCs/>
                <w:lang w:val="fr-CH"/>
              </w:rPr>
            </w:pPr>
            <w:r w:rsidRPr="00DF1CA5">
              <w:rPr>
                <w:bCs/>
                <w:i/>
                <w:iCs/>
                <w:lang w:val="fr-CH"/>
              </w:rPr>
              <w:t>Gerasimov</w:t>
            </w:r>
            <w:r w:rsidRPr="00DF1CA5">
              <w:rPr>
                <w:bCs/>
                <w:lang w:val="fr-CH"/>
              </w:rPr>
              <w:t>, 433/2010</w:t>
            </w:r>
          </w:p>
        </w:tc>
      </w:tr>
      <w:tr w:rsidR="000E3A08" w:rsidRPr="00DF1CA5" w:rsidTr="00402B2C">
        <w:trPr>
          <w:cantSplit/>
        </w:trPr>
        <w:tc>
          <w:tcPr>
            <w:tcW w:w="2142" w:type="dxa"/>
            <w:shd w:val="clear" w:color="auto" w:fill="auto"/>
          </w:tcPr>
          <w:p w:rsidR="000E3A08" w:rsidRPr="00DF1CA5" w:rsidRDefault="000E3A08" w:rsidP="00BF5F6F">
            <w:pPr>
              <w:spacing w:before="40" w:after="80"/>
              <w:ind w:right="115"/>
              <w:rPr>
                <w:b/>
                <w:lang w:val="fr-CH"/>
              </w:rPr>
            </w:pPr>
            <w:r>
              <w:rPr>
                <w:b/>
                <w:lang w:val="fr-CH"/>
              </w:rPr>
              <w:t>Décision adoptée le</w:t>
            </w:r>
          </w:p>
        </w:tc>
        <w:tc>
          <w:tcPr>
            <w:tcW w:w="5346" w:type="dxa"/>
            <w:shd w:val="clear" w:color="auto" w:fill="auto"/>
          </w:tcPr>
          <w:p w:rsidR="000E3A08" w:rsidRPr="00DF1CA5" w:rsidRDefault="000E3A08" w:rsidP="00BF5F6F">
            <w:pPr>
              <w:spacing w:before="40" w:after="80"/>
              <w:ind w:right="115"/>
              <w:rPr>
                <w:bCs/>
                <w:lang w:val="fr-CH"/>
              </w:rPr>
            </w:pPr>
            <w:r w:rsidRPr="00DF1CA5">
              <w:rPr>
                <w:bCs/>
                <w:lang w:val="fr-CH"/>
              </w:rPr>
              <w:t>24</w:t>
            </w:r>
            <w:r>
              <w:rPr>
                <w:bCs/>
                <w:lang w:val="fr-CH"/>
              </w:rPr>
              <w:t> mai</w:t>
            </w:r>
            <w:r w:rsidRPr="00DF1CA5">
              <w:rPr>
                <w:bCs/>
                <w:lang w:val="fr-CH"/>
              </w:rPr>
              <w:t xml:space="preserve"> 2012</w:t>
            </w:r>
          </w:p>
        </w:tc>
      </w:tr>
      <w:tr w:rsidR="000E3A08" w:rsidRPr="00DF1CA5" w:rsidTr="00402B2C">
        <w:trPr>
          <w:cantSplit/>
        </w:trPr>
        <w:tc>
          <w:tcPr>
            <w:tcW w:w="2142" w:type="dxa"/>
            <w:shd w:val="clear" w:color="auto" w:fill="auto"/>
          </w:tcPr>
          <w:p w:rsidR="000E3A08" w:rsidRPr="00DF1CA5" w:rsidRDefault="000E3A08" w:rsidP="00BF5F6F">
            <w:pPr>
              <w:spacing w:before="40" w:after="80"/>
              <w:ind w:right="115"/>
              <w:rPr>
                <w:b/>
                <w:lang w:val="fr-CH"/>
              </w:rPr>
            </w:pPr>
            <w:r w:rsidRPr="00DF1CA5">
              <w:rPr>
                <w:b/>
                <w:lang w:val="fr-CH"/>
              </w:rPr>
              <w:t>Violation</w:t>
            </w:r>
            <w:r w:rsidR="00203205">
              <w:rPr>
                <w:b/>
                <w:lang w:val="fr-CH"/>
              </w:rPr>
              <w:t>s</w:t>
            </w:r>
            <w:r>
              <w:rPr>
                <w:b/>
                <w:lang w:val="fr-CH"/>
              </w:rPr>
              <w:t xml:space="preserve"> constatée</w:t>
            </w:r>
            <w:r w:rsidR="00203205">
              <w:rPr>
                <w:b/>
                <w:lang w:val="fr-CH"/>
              </w:rPr>
              <w:t>s</w:t>
            </w:r>
          </w:p>
        </w:tc>
        <w:tc>
          <w:tcPr>
            <w:tcW w:w="5346" w:type="dxa"/>
            <w:shd w:val="clear" w:color="auto" w:fill="auto"/>
          </w:tcPr>
          <w:p w:rsidR="000E3A08" w:rsidRPr="00DF1CA5" w:rsidRDefault="000E3A08" w:rsidP="00BF5F6F">
            <w:pPr>
              <w:spacing w:before="40" w:after="80"/>
              <w:ind w:right="115"/>
              <w:rPr>
                <w:bCs/>
                <w:lang w:val="fr-CH"/>
              </w:rPr>
            </w:pPr>
            <w:r w:rsidRPr="00DF1CA5">
              <w:rPr>
                <w:bCs/>
                <w:lang w:val="fr-CH"/>
              </w:rPr>
              <w:t>Articles 1</w:t>
            </w:r>
            <w:r w:rsidR="00203205" w:rsidRPr="00203205">
              <w:rPr>
                <w:bCs/>
                <w:vertAlign w:val="superscript"/>
                <w:lang w:val="fr-CH"/>
              </w:rPr>
              <w:t>er</w:t>
            </w:r>
            <w:r w:rsidRPr="00DF1CA5">
              <w:rPr>
                <w:bCs/>
                <w:lang w:val="fr-CH"/>
              </w:rPr>
              <w:t>, 2</w:t>
            </w:r>
            <w:r>
              <w:rPr>
                <w:bCs/>
                <w:lang w:val="fr-CH"/>
              </w:rPr>
              <w:t xml:space="preserve"> (par. </w:t>
            </w:r>
            <w:r w:rsidRPr="00DF1CA5">
              <w:rPr>
                <w:bCs/>
                <w:lang w:val="fr-CH"/>
              </w:rPr>
              <w:t xml:space="preserve">1), 12, 13, 14 </w:t>
            </w:r>
            <w:r>
              <w:rPr>
                <w:bCs/>
                <w:lang w:val="fr-CH"/>
              </w:rPr>
              <w:t>et</w:t>
            </w:r>
            <w:r w:rsidRPr="00DF1CA5">
              <w:rPr>
                <w:bCs/>
                <w:lang w:val="fr-CH"/>
              </w:rPr>
              <w:t xml:space="preserve"> 22</w:t>
            </w:r>
          </w:p>
        </w:tc>
      </w:tr>
      <w:tr w:rsidR="000E3A08" w:rsidRPr="00DF1CA5" w:rsidTr="00402B2C">
        <w:trPr>
          <w:cantSplit/>
        </w:trPr>
        <w:tc>
          <w:tcPr>
            <w:tcW w:w="7488" w:type="dxa"/>
            <w:gridSpan w:val="2"/>
            <w:shd w:val="clear" w:color="auto" w:fill="auto"/>
          </w:tcPr>
          <w:p w:rsidR="000E3A08" w:rsidRPr="00C8631F" w:rsidRDefault="000E3A08" w:rsidP="00BF5F6F">
            <w:pPr>
              <w:spacing w:before="40" w:after="80"/>
              <w:ind w:right="115"/>
              <w:rPr>
                <w:b/>
                <w:lang w:val="fr-CH"/>
              </w:rPr>
            </w:pPr>
            <w:r w:rsidRPr="00C8631F">
              <w:rPr>
                <w:b/>
                <w:lang w:val="fr-CH"/>
              </w:rPr>
              <w:t>Recommandation</w:t>
            </w:r>
            <w:r w:rsidR="00203205" w:rsidRPr="00C8631F">
              <w:rPr>
                <w:b/>
                <w:lang w:val="fr-CH"/>
              </w:rPr>
              <w:t> </w:t>
            </w:r>
            <w:r w:rsidR="00203205" w:rsidRPr="00C8631F">
              <w:rPr>
                <w:lang w:val="fr-CH"/>
              </w:rPr>
              <w:t xml:space="preserve">: </w:t>
            </w:r>
            <w:r w:rsidRPr="00C8631F">
              <w:rPr>
                <w:lang w:val="fr-CH"/>
              </w:rPr>
              <w:t xml:space="preserve">Le Comité a demandé instamment à l’État partie de mener une enquête en bonne et due forme, impartiale et </w:t>
            </w:r>
            <w:r w:rsidR="00203205" w:rsidRPr="00C8631F">
              <w:rPr>
                <w:lang w:val="fr-CH"/>
              </w:rPr>
              <w:t>approfondie</w:t>
            </w:r>
            <w:r w:rsidRPr="00C8631F">
              <w:rPr>
                <w:lang w:val="fr-CH"/>
              </w:rPr>
              <w:t xml:space="preserve"> en vue de traduire en justice les responsables du traitement infligé au requérant, de prendre des mesures concrètes pour que la victime et sa famille soient protégées contre toute forme de menace et d’intimidation, d’accorder à la victime une réparation complète et adéquate pour les souffrances subies</w:t>
            </w:r>
            <w:r w:rsidR="00203205" w:rsidRPr="00C8631F">
              <w:rPr>
                <w:lang w:val="fr-CH"/>
              </w:rPr>
              <w:t>,</w:t>
            </w:r>
            <w:r w:rsidRPr="00C8631F">
              <w:rPr>
                <w:lang w:val="fr-CH"/>
              </w:rPr>
              <w:t xml:space="preserve"> sous la forme d’une indemnisation et de services de réadaptation</w:t>
            </w:r>
            <w:r w:rsidR="00203205" w:rsidRPr="00C8631F">
              <w:rPr>
                <w:lang w:val="fr-CH"/>
              </w:rPr>
              <w:t>,</w:t>
            </w:r>
            <w:r w:rsidRPr="00C8631F">
              <w:rPr>
                <w:lang w:val="fr-CH"/>
              </w:rPr>
              <w:t xml:space="preserve"> et </w:t>
            </w:r>
            <w:r w:rsidR="00203205" w:rsidRPr="00C8631F">
              <w:rPr>
                <w:lang w:val="fr-CH"/>
              </w:rPr>
              <w:t>d’</w:t>
            </w:r>
            <w:r w:rsidRPr="00C8631F">
              <w:rPr>
                <w:lang w:val="fr-CH"/>
              </w:rPr>
              <w:t>éviter que des violations analogues ne se reproduisent.</w:t>
            </w:r>
          </w:p>
        </w:tc>
      </w:tr>
      <w:tr w:rsidR="000E3A08" w:rsidRPr="00DF1CA5" w:rsidTr="00402B2C">
        <w:trPr>
          <w:cantSplit/>
        </w:trPr>
        <w:tc>
          <w:tcPr>
            <w:tcW w:w="7488" w:type="dxa"/>
            <w:gridSpan w:val="2"/>
            <w:tcBorders>
              <w:bottom w:val="nil"/>
            </w:tcBorders>
            <w:shd w:val="clear" w:color="auto" w:fill="auto"/>
          </w:tcPr>
          <w:p w:rsidR="000E3A08" w:rsidRPr="00DF1CA5" w:rsidRDefault="000E3A08" w:rsidP="00FE5934">
            <w:pPr>
              <w:spacing w:before="40" w:after="80"/>
              <w:ind w:right="115"/>
              <w:rPr>
                <w:b/>
                <w:lang w:val="fr-CH"/>
              </w:rPr>
            </w:pPr>
            <w:r>
              <w:rPr>
                <w:b/>
                <w:lang w:val="fr-CH"/>
              </w:rPr>
              <w:t>Suivi</w:t>
            </w:r>
            <w:r w:rsidR="00B52BB3">
              <w:rPr>
                <w:b/>
                <w:lang w:val="fr-CH"/>
              </w:rPr>
              <w:t> </w:t>
            </w:r>
            <w:r w:rsidR="00B52BB3" w:rsidRPr="00E35F95">
              <w:rPr>
                <w:lang w:val="fr-CH"/>
              </w:rPr>
              <w:t>:</w:t>
            </w:r>
            <w:r w:rsidR="00B52BB3" w:rsidRPr="00DF1CA5">
              <w:rPr>
                <w:lang w:val="fr-CH"/>
              </w:rPr>
              <w:t xml:space="preserve"> </w:t>
            </w:r>
            <w:r>
              <w:rPr>
                <w:bCs/>
                <w:lang w:val="fr-CH"/>
              </w:rPr>
              <w:t xml:space="preserve">Le </w:t>
            </w:r>
            <w:r w:rsidRPr="00DF1CA5">
              <w:rPr>
                <w:bCs/>
                <w:lang w:val="fr-CH"/>
              </w:rPr>
              <w:t>8</w:t>
            </w:r>
            <w:r>
              <w:rPr>
                <w:bCs/>
                <w:lang w:val="fr-CH"/>
              </w:rPr>
              <w:t> janvier</w:t>
            </w:r>
            <w:r w:rsidRPr="00DF1CA5">
              <w:rPr>
                <w:bCs/>
                <w:lang w:val="fr-CH"/>
              </w:rPr>
              <w:t xml:space="preserve"> 2015, </w:t>
            </w:r>
            <w:r>
              <w:rPr>
                <w:bCs/>
                <w:lang w:val="fr-CH"/>
              </w:rPr>
              <w:t xml:space="preserve">l’État partie a indiqué qu’il s’employait à apporter des modifications à la législation nationale en vue « de créer un mécanisme d’exécution pour les questions relatives </w:t>
            </w:r>
            <w:r w:rsidR="00B52BB3">
              <w:rPr>
                <w:bCs/>
                <w:lang w:val="fr-CH"/>
              </w:rPr>
              <w:t xml:space="preserve">aux </w:t>
            </w:r>
            <w:r>
              <w:rPr>
                <w:bCs/>
                <w:lang w:val="fr-CH"/>
              </w:rPr>
              <w:t>indemnisation</w:t>
            </w:r>
            <w:r w:rsidR="00B52BB3">
              <w:rPr>
                <w:bCs/>
                <w:lang w:val="fr-CH"/>
              </w:rPr>
              <w:t>s</w:t>
            </w:r>
            <w:r>
              <w:rPr>
                <w:bCs/>
                <w:lang w:val="fr-CH"/>
              </w:rPr>
              <w:t xml:space="preserve"> » </w:t>
            </w:r>
            <w:r w:rsidR="00B52BB3">
              <w:rPr>
                <w:bCs/>
                <w:lang w:val="fr-CH"/>
              </w:rPr>
              <w:t xml:space="preserve">demandées dans des </w:t>
            </w:r>
            <w:r>
              <w:rPr>
                <w:bCs/>
                <w:lang w:val="fr-CH"/>
              </w:rPr>
              <w:t>décisions des organes conventionnels de l’ONU et qu’un avant-projet était examiné par le Ministère de la justice.</w:t>
            </w:r>
          </w:p>
        </w:tc>
      </w:tr>
      <w:tr w:rsidR="00C8631F" w:rsidRPr="00DF1CA5" w:rsidTr="00402B2C">
        <w:trPr>
          <w:cantSplit/>
        </w:trPr>
        <w:tc>
          <w:tcPr>
            <w:tcW w:w="7488" w:type="dxa"/>
            <w:gridSpan w:val="2"/>
            <w:shd w:val="clear" w:color="auto" w:fill="auto"/>
          </w:tcPr>
          <w:p w:rsidR="00C8631F" w:rsidRDefault="00C8631F" w:rsidP="00FE5934">
            <w:pPr>
              <w:spacing w:before="40" w:after="80"/>
              <w:ind w:right="115"/>
              <w:rPr>
                <w:b/>
                <w:lang w:val="fr-CH"/>
              </w:rPr>
            </w:pPr>
            <w:r>
              <w:rPr>
                <w:bCs/>
                <w:lang w:val="fr-CH"/>
              </w:rPr>
              <w:t xml:space="preserve">En janvier </w:t>
            </w:r>
            <w:r w:rsidRPr="00DF1CA5">
              <w:rPr>
                <w:bCs/>
                <w:lang w:val="fr-CH"/>
              </w:rPr>
              <w:t xml:space="preserve">2015, </w:t>
            </w:r>
            <w:r>
              <w:rPr>
                <w:bCs/>
                <w:lang w:val="fr-CH"/>
              </w:rPr>
              <w:t>les observations de l’État partie ont été transmises au requérant pour commentaires.</w:t>
            </w:r>
          </w:p>
        </w:tc>
      </w:tr>
      <w:tr w:rsidR="000E3A08" w:rsidRPr="00DF1CA5" w:rsidTr="00402B2C">
        <w:trPr>
          <w:cantSplit/>
        </w:trPr>
        <w:tc>
          <w:tcPr>
            <w:tcW w:w="7488" w:type="dxa"/>
            <w:gridSpan w:val="2"/>
            <w:shd w:val="clear" w:color="auto" w:fill="auto"/>
          </w:tcPr>
          <w:p w:rsidR="000E3A08" w:rsidRPr="00A927F1" w:rsidRDefault="000E3A08" w:rsidP="00FE5934">
            <w:pPr>
              <w:spacing w:before="40" w:after="80"/>
              <w:ind w:right="115"/>
              <w:rPr>
                <w:lang w:val="fr-CH"/>
              </w:rPr>
            </w:pPr>
            <w:r w:rsidRPr="00A927F1">
              <w:rPr>
                <w:b/>
                <w:bCs/>
                <w:lang w:val="fr-CH"/>
              </w:rPr>
              <w:t>Décision du Comité</w:t>
            </w:r>
            <w:r w:rsidR="00DE5388" w:rsidRPr="00A927F1">
              <w:rPr>
                <w:b/>
                <w:lang w:val="fr-CH"/>
              </w:rPr>
              <w:t> </w:t>
            </w:r>
            <w:r w:rsidR="00DE5388" w:rsidRPr="00A927F1">
              <w:rPr>
                <w:lang w:val="fr-CH"/>
              </w:rPr>
              <w:t xml:space="preserve">: </w:t>
            </w:r>
            <w:r w:rsidRPr="00A927F1">
              <w:rPr>
                <w:bCs/>
                <w:lang w:val="fr-CH"/>
              </w:rPr>
              <w:t>Poursuivre le dialogue au titre du suivi et contacter l’État partie pour s’informer de l’état d’avancement de l’enquête sur les a</w:t>
            </w:r>
            <w:r w:rsidRPr="00A927F1">
              <w:rPr>
                <w:lang w:val="fr-CH"/>
              </w:rPr>
              <w:t>llégations de torture de la victime.</w:t>
            </w:r>
          </w:p>
        </w:tc>
      </w:tr>
    </w:tbl>
    <w:p w:rsidR="000E3A08" w:rsidRPr="00532A04" w:rsidRDefault="000E3A08" w:rsidP="00A927F1">
      <w:pPr>
        <w:pStyle w:val="SingleTxt"/>
        <w:spacing w:after="0" w:line="120" w:lineRule="exact"/>
        <w:rPr>
          <w:sz w:val="10"/>
          <w:lang w:val="fr-CH"/>
        </w:rPr>
      </w:pPr>
    </w:p>
    <w:p w:rsidR="00532A04" w:rsidRPr="00532A04" w:rsidRDefault="00532A04" w:rsidP="00A927F1">
      <w:pPr>
        <w:pStyle w:val="SingleTxt"/>
        <w:spacing w:after="0" w:line="120" w:lineRule="exact"/>
        <w:rPr>
          <w:sz w:val="10"/>
          <w:lang w:val="fr-CH"/>
        </w:rPr>
      </w:pPr>
    </w:p>
    <w:p w:rsidR="00532A04" w:rsidRPr="00532A04" w:rsidRDefault="00532A04" w:rsidP="00A927F1">
      <w:pPr>
        <w:pStyle w:val="SingleTxt"/>
        <w:spacing w:after="0" w:line="120" w:lineRule="exact"/>
        <w:rPr>
          <w:sz w:val="10"/>
          <w:lang w:val="fr-CH"/>
        </w:rPr>
      </w:pPr>
    </w:p>
    <w:tbl>
      <w:tblPr>
        <w:tblW w:w="0" w:type="auto"/>
        <w:tblInd w:w="126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42"/>
        <w:gridCol w:w="5346"/>
      </w:tblGrid>
      <w:tr w:rsidR="00516F9C" w:rsidRPr="00DF1CA5" w:rsidTr="000663AC">
        <w:tc>
          <w:tcPr>
            <w:tcW w:w="2142" w:type="dxa"/>
            <w:tcBorders>
              <w:top w:val="single" w:sz="4" w:space="0" w:color="auto"/>
              <w:bottom w:val="single" w:sz="12" w:space="0" w:color="auto"/>
            </w:tcBorders>
            <w:shd w:val="clear" w:color="auto" w:fill="auto"/>
            <w:vAlign w:val="bottom"/>
          </w:tcPr>
          <w:p w:rsidR="00516F9C" w:rsidRPr="00DF1CA5" w:rsidRDefault="00516F9C" w:rsidP="003B0B19">
            <w:pPr>
              <w:spacing w:before="80" w:after="80" w:line="200" w:lineRule="exact"/>
              <w:ind w:right="115"/>
              <w:rPr>
                <w:b/>
                <w:iCs/>
                <w:lang w:val="fr-CH"/>
              </w:rPr>
            </w:pPr>
            <w:r w:rsidRPr="00DF1CA5">
              <w:rPr>
                <w:b/>
                <w:iCs/>
                <w:lang w:val="fr-CH"/>
              </w:rPr>
              <w:t>Kazakhstan</w:t>
            </w:r>
          </w:p>
        </w:tc>
        <w:tc>
          <w:tcPr>
            <w:tcW w:w="5346" w:type="dxa"/>
            <w:tcBorders>
              <w:top w:val="single" w:sz="4" w:space="0" w:color="auto"/>
              <w:bottom w:val="single" w:sz="12" w:space="0" w:color="auto"/>
            </w:tcBorders>
            <w:shd w:val="clear" w:color="auto" w:fill="auto"/>
            <w:vAlign w:val="bottom"/>
          </w:tcPr>
          <w:p w:rsidR="00516F9C" w:rsidRPr="00DF1CA5" w:rsidRDefault="00516F9C" w:rsidP="003B0B19">
            <w:pPr>
              <w:spacing w:before="80" w:after="80" w:line="200" w:lineRule="exact"/>
              <w:ind w:right="115"/>
              <w:rPr>
                <w:b/>
                <w:i/>
                <w:lang w:val="fr-CH"/>
              </w:rPr>
            </w:pPr>
          </w:p>
        </w:tc>
      </w:tr>
      <w:tr w:rsidR="00516F9C" w:rsidRPr="00DF1CA5" w:rsidTr="000663AC">
        <w:tc>
          <w:tcPr>
            <w:tcW w:w="2142" w:type="dxa"/>
            <w:tcBorders>
              <w:top w:val="single" w:sz="12" w:space="0" w:color="auto"/>
            </w:tcBorders>
            <w:shd w:val="clear" w:color="auto" w:fill="auto"/>
          </w:tcPr>
          <w:p w:rsidR="00516F9C" w:rsidRPr="00DF1CA5" w:rsidRDefault="00516F9C" w:rsidP="00A927F1">
            <w:pPr>
              <w:spacing w:before="40" w:after="80"/>
              <w:ind w:right="115"/>
              <w:rPr>
                <w:b/>
                <w:bCs/>
                <w:lang w:val="fr-CH"/>
              </w:rPr>
            </w:pPr>
            <w:r>
              <w:rPr>
                <w:b/>
                <w:bCs/>
                <w:lang w:val="fr-CH"/>
              </w:rPr>
              <w:t>Affaire</w:t>
            </w:r>
          </w:p>
        </w:tc>
        <w:tc>
          <w:tcPr>
            <w:tcW w:w="5346" w:type="dxa"/>
            <w:tcBorders>
              <w:top w:val="single" w:sz="12" w:space="0" w:color="auto"/>
            </w:tcBorders>
            <w:shd w:val="clear" w:color="auto" w:fill="auto"/>
          </w:tcPr>
          <w:p w:rsidR="00516F9C" w:rsidRPr="00DF1CA5" w:rsidRDefault="00516F9C" w:rsidP="00A927F1">
            <w:pPr>
              <w:spacing w:before="40" w:after="80"/>
              <w:ind w:right="115"/>
              <w:rPr>
                <w:bCs/>
                <w:lang w:val="fr-CH"/>
              </w:rPr>
            </w:pPr>
            <w:r w:rsidRPr="00DF1CA5">
              <w:rPr>
                <w:bCs/>
                <w:i/>
                <w:iCs/>
                <w:lang w:val="fr-CH"/>
              </w:rPr>
              <w:t>Nasirov</w:t>
            </w:r>
            <w:r w:rsidRPr="00DF1CA5">
              <w:rPr>
                <w:bCs/>
                <w:lang w:val="fr-CH"/>
              </w:rPr>
              <w:t>, 475/2011</w:t>
            </w:r>
          </w:p>
        </w:tc>
      </w:tr>
      <w:tr w:rsidR="00516F9C" w:rsidRPr="00DF1CA5" w:rsidTr="000663AC">
        <w:tc>
          <w:tcPr>
            <w:tcW w:w="2142" w:type="dxa"/>
            <w:shd w:val="clear" w:color="auto" w:fill="auto"/>
          </w:tcPr>
          <w:p w:rsidR="00516F9C" w:rsidRPr="00DF1CA5" w:rsidRDefault="00516F9C" w:rsidP="00A927F1">
            <w:pPr>
              <w:spacing w:before="40" w:after="80"/>
              <w:ind w:right="115"/>
              <w:rPr>
                <w:b/>
                <w:lang w:val="fr-CH"/>
              </w:rPr>
            </w:pPr>
            <w:r>
              <w:rPr>
                <w:b/>
                <w:lang w:val="fr-CH"/>
              </w:rPr>
              <w:t>Décision adoptée le</w:t>
            </w:r>
          </w:p>
        </w:tc>
        <w:tc>
          <w:tcPr>
            <w:tcW w:w="5346" w:type="dxa"/>
            <w:shd w:val="clear" w:color="auto" w:fill="auto"/>
          </w:tcPr>
          <w:p w:rsidR="00516F9C" w:rsidRPr="00DF1CA5" w:rsidRDefault="00516F9C" w:rsidP="00A927F1">
            <w:pPr>
              <w:spacing w:before="40" w:after="80"/>
              <w:ind w:right="115"/>
              <w:rPr>
                <w:bCs/>
                <w:lang w:val="fr-CH"/>
              </w:rPr>
            </w:pPr>
            <w:r w:rsidRPr="00DF1CA5">
              <w:rPr>
                <w:bCs/>
                <w:lang w:val="fr-CH"/>
              </w:rPr>
              <w:t>14</w:t>
            </w:r>
            <w:r>
              <w:rPr>
                <w:bCs/>
                <w:lang w:val="fr-CH"/>
              </w:rPr>
              <w:t> mai</w:t>
            </w:r>
            <w:r w:rsidRPr="00DF1CA5">
              <w:rPr>
                <w:bCs/>
                <w:lang w:val="fr-CH"/>
              </w:rPr>
              <w:t xml:space="preserve"> 2014</w:t>
            </w:r>
          </w:p>
        </w:tc>
      </w:tr>
      <w:tr w:rsidR="00516F9C" w:rsidRPr="00DF1CA5" w:rsidTr="000663AC">
        <w:tc>
          <w:tcPr>
            <w:tcW w:w="2142" w:type="dxa"/>
            <w:shd w:val="clear" w:color="auto" w:fill="auto"/>
          </w:tcPr>
          <w:p w:rsidR="00516F9C" w:rsidRPr="00DF1CA5" w:rsidRDefault="00516F9C" w:rsidP="00A927F1">
            <w:pPr>
              <w:spacing w:before="40" w:after="80"/>
              <w:ind w:right="115"/>
              <w:rPr>
                <w:b/>
                <w:lang w:val="fr-CH"/>
              </w:rPr>
            </w:pPr>
            <w:r w:rsidRPr="00DF1CA5">
              <w:rPr>
                <w:b/>
                <w:lang w:val="fr-CH"/>
              </w:rPr>
              <w:t>Violation</w:t>
            </w:r>
            <w:r>
              <w:rPr>
                <w:b/>
                <w:lang w:val="fr-CH"/>
              </w:rPr>
              <w:t xml:space="preserve"> constatée</w:t>
            </w:r>
          </w:p>
        </w:tc>
        <w:tc>
          <w:tcPr>
            <w:tcW w:w="5346" w:type="dxa"/>
            <w:shd w:val="clear" w:color="auto" w:fill="auto"/>
          </w:tcPr>
          <w:p w:rsidR="00516F9C" w:rsidRPr="00DF1CA5" w:rsidRDefault="00516F9C" w:rsidP="00A927F1">
            <w:pPr>
              <w:spacing w:before="40" w:after="80"/>
              <w:ind w:right="115"/>
              <w:rPr>
                <w:bCs/>
                <w:lang w:val="fr-CH"/>
              </w:rPr>
            </w:pPr>
            <w:r w:rsidRPr="00DF1CA5">
              <w:rPr>
                <w:bCs/>
                <w:lang w:val="fr-CH"/>
              </w:rPr>
              <w:t xml:space="preserve">Article 3 </w:t>
            </w:r>
          </w:p>
        </w:tc>
      </w:tr>
      <w:tr w:rsidR="00516F9C" w:rsidRPr="00DF1CA5" w:rsidTr="000663AC">
        <w:tc>
          <w:tcPr>
            <w:tcW w:w="7488" w:type="dxa"/>
            <w:gridSpan w:val="2"/>
            <w:shd w:val="clear" w:color="auto" w:fill="auto"/>
          </w:tcPr>
          <w:p w:rsidR="00516F9C" w:rsidRPr="00DF1CA5" w:rsidRDefault="00516F9C" w:rsidP="00A927F1">
            <w:pPr>
              <w:spacing w:before="40" w:after="80"/>
              <w:ind w:right="115"/>
              <w:rPr>
                <w:b/>
                <w:lang w:val="fr-CH"/>
              </w:rPr>
            </w:pPr>
            <w:r w:rsidRPr="00DF1CA5">
              <w:rPr>
                <w:b/>
                <w:lang w:val="fr-CH"/>
              </w:rPr>
              <w:t>Recommandation</w:t>
            </w:r>
            <w:r>
              <w:rPr>
                <w:b/>
                <w:lang w:val="fr-CH"/>
              </w:rPr>
              <w:t> </w:t>
            </w:r>
            <w:r w:rsidRPr="00E35F95">
              <w:rPr>
                <w:lang w:val="fr-CH"/>
              </w:rPr>
              <w:t>:</w:t>
            </w:r>
            <w:r w:rsidRPr="00DF1CA5">
              <w:rPr>
                <w:lang w:val="fr-CH"/>
              </w:rPr>
              <w:t xml:space="preserve"> </w:t>
            </w:r>
            <w:r>
              <w:rPr>
                <w:lang w:val="fr-CH"/>
              </w:rPr>
              <w:t>Le Comité a demandé à l’État partie de l’informer, dans un délai de quatre-vingt-dix jours à compter de la date de la transmission de sa décision, des mesures qu’il aura prises pour donner suite à ses observations.</w:t>
            </w:r>
          </w:p>
        </w:tc>
      </w:tr>
      <w:tr w:rsidR="00516F9C" w:rsidRPr="00DF1CA5" w:rsidTr="000663AC">
        <w:tc>
          <w:tcPr>
            <w:tcW w:w="7488" w:type="dxa"/>
            <w:gridSpan w:val="2"/>
            <w:shd w:val="clear" w:color="auto" w:fill="auto"/>
          </w:tcPr>
          <w:p w:rsidR="00516F9C" w:rsidRPr="00B80D5C" w:rsidRDefault="00516F9C" w:rsidP="00A927F1">
            <w:pPr>
              <w:spacing w:before="40" w:after="80"/>
              <w:ind w:right="115"/>
              <w:rPr>
                <w:bCs/>
                <w:spacing w:val="3"/>
                <w:lang w:val="fr-CH"/>
              </w:rPr>
            </w:pPr>
            <w:r w:rsidRPr="00B80D5C">
              <w:rPr>
                <w:b/>
                <w:bCs/>
                <w:spacing w:val="3"/>
                <w:lang w:val="fr-CH"/>
              </w:rPr>
              <w:t>Suivi</w:t>
            </w:r>
            <w:r w:rsidRPr="00B80D5C">
              <w:rPr>
                <w:b/>
                <w:spacing w:val="3"/>
                <w:lang w:val="fr-CH"/>
              </w:rPr>
              <w:t> </w:t>
            </w:r>
            <w:r w:rsidRPr="00B80D5C">
              <w:rPr>
                <w:spacing w:val="3"/>
                <w:lang w:val="fr-CH"/>
              </w:rPr>
              <w:t>: Le 8 décembre 2014, le requérant a fait savoir que, dans sa dernière réponse, l’État partie avait proposé qu’il fasse appel devant la Cour suprême de la décision du Tribunal de la ville d’Ouralsk, en date du 27 mars 2012, de refuser d’accorder à son frère le statut de réfugié devant la Cour suprême. Il a fait valoir que la proposition de</w:t>
            </w:r>
            <w:r w:rsidR="00B80D5C" w:rsidRPr="00B80D5C">
              <w:rPr>
                <w:spacing w:val="3"/>
                <w:lang w:val="fr-CH"/>
              </w:rPr>
              <w:t xml:space="preserve"> </w:t>
            </w:r>
            <w:r w:rsidRPr="00B80D5C">
              <w:rPr>
                <w:spacing w:val="3"/>
                <w:lang w:val="fr-CH"/>
              </w:rPr>
              <w:t>l’État partie n’était pas un recours utile dans la mesure où : a) son frère se trouvait en Fédération de Russie où il avait obtenu l’asile à titre temporaire et que la question de l’obtention du statut de réfugié au Kazakhstan ne se posait plus; b) étant donné la</w:t>
            </w:r>
            <w:r w:rsidR="00B80D5C" w:rsidRPr="00B80D5C">
              <w:rPr>
                <w:spacing w:val="3"/>
                <w:lang w:val="fr-CH"/>
              </w:rPr>
              <w:t xml:space="preserve"> </w:t>
            </w:r>
            <w:r w:rsidRPr="00B80D5C">
              <w:rPr>
                <w:spacing w:val="3"/>
                <w:lang w:val="fr-CH"/>
              </w:rPr>
              <w:t>situation, la Cour suprême du Kazakhstan rejetterait à juste titre le recours de son frère; et c) la procédure de demande du statut de réfugié n’est pas en elle-même un</w:t>
            </w:r>
            <w:r w:rsidR="00B80D5C">
              <w:rPr>
                <w:spacing w:val="3"/>
                <w:lang w:val="fr-CH"/>
              </w:rPr>
              <w:t xml:space="preserve"> </w:t>
            </w:r>
            <w:r w:rsidRPr="00B80D5C">
              <w:rPr>
                <w:spacing w:val="3"/>
                <w:lang w:val="fr-CH"/>
              </w:rPr>
              <w:t>recours utile pour les personnes accusées de crimes tels que le terrorisme et l’extrémisme religieux, vu que de telles personnes tombaient sous le coup d’une dérogation prévue à l’article 12.5 de la loi sur les réfugiés du Kazakhstan. Le requérant a fait observer que l’article 12.5 de la loi sur les réfugiés devrait être abrogé par l’État partie dans la mesure où il était en contradiction avec la Convention relative au statut des réfugiés de 1951. Il a formulé des observations générales sur la procédure de détermination du statut de réfugié au Kazakhstan et sur l’absence de mesures pour empêcher le renvoi de personnes vers des pays où il y a une pratique généralisée de la torture ou des mauvais traitements, en particulier à l’égard des personnes soupçonnées de crimes tels que le terrorisme et l’extrémisme religieux.</w:t>
            </w:r>
          </w:p>
        </w:tc>
      </w:tr>
      <w:tr w:rsidR="00516F9C" w:rsidTr="000663AC">
        <w:tc>
          <w:tcPr>
            <w:tcW w:w="7488" w:type="dxa"/>
            <w:gridSpan w:val="2"/>
            <w:shd w:val="clear" w:color="auto" w:fill="auto"/>
          </w:tcPr>
          <w:p w:rsidR="00516F9C" w:rsidRDefault="00516F9C" w:rsidP="00A927F1">
            <w:pPr>
              <w:spacing w:before="40" w:after="80"/>
              <w:ind w:right="115"/>
              <w:rPr>
                <w:b/>
                <w:bCs/>
                <w:lang w:val="fr-CH"/>
              </w:rPr>
            </w:pPr>
            <w:r>
              <w:rPr>
                <w:lang w:val="fr-CH"/>
              </w:rPr>
              <w:t xml:space="preserve">En janvier </w:t>
            </w:r>
            <w:r w:rsidRPr="00DF1CA5">
              <w:rPr>
                <w:bCs/>
                <w:lang w:val="fr-CH"/>
              </w:rPr>
              <w:t xml:space="preserve">2015, </w:t>
            </w:r>
            <w:r>
              <w:rPr>
                <w:bCs/>
                <w:lang w:val="fr-CH"/>
              </w:rPr>
              <w:t>les observations du requérant ont été transmises à l’État partie pour commentaires.</w:t>
            </w:r>
          </w:p>
        </w:tc>
      </w:tr>
      <w:tr w:rsidR="00516F9C" w:rsidRPr="00DF1CA5" w:rsidTr="000663AC">
        <w:tc>
          <w:tcPr>
            <w:tcW w:w="7488" w:type="dxa"/>
            <w:gridSpan w:val="2"/>
            <w:shd w:val="clear" w:color="auto" w:fill="auto"/>
          </w:tcPr>
          <w:p w:rsidR="00516F9C" w:rsidRPr="00DF1CA5" w:rsidRDefault="00516F9C" w:rsidP="00A927F1">
            <w:pPr>
              <w:spacing w:before="40" w:after="80"/>
              <w:ind w:right="115"/>
              <w:rPr>
                <w:lang w:val="fr-CH"/>
              </w:rPr>
            </w:pPr>
            <w:r>
              <w:rPr>
                <w:b/>
                <w:bCs/>
                <w:lang w:val="fr-CH"/>
              </w:rPr>
              <w:t>Décision du Comité</w:t>
            </w:r>
            <w:r>
              <w:rPr>
                <w:b/>
                <w:lang w:val="fr-CH"/>
              </w:rPr>
              <w:t> </w:t>
            </w:r>
            <w:r w:rsidRPr="00E35F95">
              <w:rPr>
                <w:lang w:val="fr-CH"/>
              </w:rPr>
              <w:t>:</w:t>
            </w:r>
            <w:r w:rsidRPr="00DF1CA5">
              <w:rPr>
                <w:lang w:val="fr-CH"/>
              </w:rPr>
              <w:t xml:space="preserve"> </w:t>
            </w:r>
            <w:r>
              <w:rPr>
                <w:lang w:val="fr-CH"/>
              </w:rPr>
              <w:t xml:space="preserve">Poursuivre le </w:t>
            </w:r>
            <w:r w:rsidRPr="00DF1CA5">
              <w:rPr>
                <w:lang w:val="fr-CH"/>
              </w:rPr>
              <w:t xml:space="preserve">dialogue </w:t>
            </w:r>
            <w:r>
              <w:rPr>
                <w:lang w:val="fr-CH"/>
              </w:rPr>
              <w:t>au titre du suivi</w:t>
            </w:r>
            <w:r w:rsidRPr="00DF1CA5">
              <w:rPr>
                <w:lang w:val="fr-CH"/>
              </w:rPr>
              <w:t>.</w:t>
            </w:r>
          </w:p>
        </w:tc>
      </w:tr>
    </w:tbl>
    <w:p w:rsidR="00516F9C" w:rsidRPr="00EF5776" w:rsidRDefault="00516F9C" w:rsidP="00A927F1">
      <w:pPr>
        <w:pStyle w:val="SingleTxt"/>
        <w:spacing w:after="0" w:line="120" w:lineRule="exact"/>
        <w:rPr>
          <w:sz w:val="10"/>
          <w:lang w:val="fr-CH"/>
        </w:rPr>
      </w:pPr>
    </w:p>
    <w:p w:rsidR="00EF5776" w:rsidRPr="00EF5776" w:rsidRDefault="00EF5776" w:rsidP="00A927F1">
      <w:pPr>
        <w:pStyle w:val="SingleTxt"/>
        <w:spacing w:after="0" w:line="120" w:lineRule="exact"/>
        <w:rPr>
          <w:sz w:val="10"/>
          <w:lang w:val="fr-CH"/>
        </w:rPr>
      </w:pPr>
    </w:p>
    <w:p w:rsidR="00EF5776" w:rsidRPr="00EF5776" w:rsidRDefault="00EF5776" w:rsidP="00A927F1">
      <w:pPr>
        <w:pStyle w:val="SingleTxt"/>
        <w:spacing w:after="0" w:line="120" w:lineRule="exact"/>
        <w:rPr>
          <w:sz w:val="10"/>
          <w:lang w:val="fr-CH"/>
        </w:rPr>
      </w:pPr>
    </w:p>
    <w:tbl>
      <w:tblPr>
        <w:tblW w:w="0" w:type="auto"/>
        <w:tblInd w:w="126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42"/>
        <w:gridCol w:w="5346"/>
      </w:tblGrid>
      <w:tr w:rsidR="000E3A08" w:rsidRPr="00DF1CA5" w:rsidTr="00C11FDA">
        <w:trPr>
          <w:cantSplit/>
          <w:tblHeader/>
        </w:trPr>
        <w:tc>
          <w:tcPr>
            <w:tcW w:w="2142" w:type="dxa"/>
            <w:tcBorders>
              <w:top w:val="single" w:sz="4" w:space="0" w:color="auto"/>
              <w:bottom w:val="single" w:sz="12" w:space="0" w:color="auto"/>
            </w:tcBorders>
            <w:shd w:val="clear" w:color="auto" w:fill="auto"/>
            <w:vAlign w:val="bottom"/>
          </w:tcPr>
          <w:p w:rsidR="000E3A08" w:rsidRPr="00DF1CA5" w:rsidRDefault="000E3A08" w:rsidP="003230F9">
            <w:pPr>
              <w:spacing w:before="80" w:after="80"/>
              <w:ind w:right="115"/>
              <w:rPr>
                <w:b/>
                <w:iCs/>
                <w:lang w:val="fr-CH"/>
              </w:rPr>
            </w:pPr>
            <w:r w:rsidRPr="00DF1CA5">
              <w:rPr>
                <w:b/>
                <w:iCs/>
                <w:lang w:val="fr-CH"/>
              </w:rPr>
              <w:t>Kazakhstan</w:t>
            </w:r>
          </w:p>
        </w:tc>
        <w:tc>
          <w:tcPr>
            <w:tcW w:w="5346" w:type="dxa"/>
            <w:tcBorders>
              <w:top w:val="single" w:sz="4" w:space="0" w:color="auto"/>
              <w:bottom w:val="single" w:sz="12" w:space="0" w:color="auto"/>
            </w:tcBorders>
            <w:shd w:val="clear" w:color="auto" w:fill="auto"/>
            <w:vAlign w:val="bottom"/>
          </w:tcPr>
          <w:p w:rsidR="000E3A08" w:rsidRPr="00DF1CA5" w:rsidRDefault="000E3A08" w:rsidP="003230F9">
            <w:pPr>
              <w:spacing w:before="80" w:after="80"/>
              <w:ind w:right="115"/>
              <w:rPr>
                <w:bCs/>
                <w:i/>
                <w:lang w:val="fr-CH"/>
              </w:rPr>
            </w:pPr>
          </w:p>
        </w:tc>
      </w:tr>
      <w:tr w:rsidR="000E3A08" w:rsidRPr="00DF1CA5" w:rsidTr="00C11FDA">
        <w:trPr>
          <w:cantSplit/>
        </w:trPr>
        <w:tc>
          <w:tcPr>
            <w:tcW w:w="2142" w:type="dxa"/>
            <w:tcBorders>
              <w:top w:val="single" w:sz="12" w:space="0" w:color="auto"/>
            </w:tcBorders>
            <w:shd w:val="clear" w:color="auto" w:fill="auto"/>
          </w:tcPr>
          <w:p w:rsidR="000E3A08" w:rsidRPr="00DF1CA5" w:rsidRDefault="000E3A08" w:rsidP="00A927F1">
            <w:pPr>
              <w:spacing w:before="40" w:after="80"/>
              <w:ind w:right="115"/>
              <w:rPr>
                <w:b/>
                <w:bCs/>
                <w:lang w:val="fr-CH"/>
              </w:rPr>
            </w:pPr>
            <w:r>
              <w:rPr>
                <w:b/>
                <w:bCs/>
                <w:lang w:val="fr-CH"/>
              </w:rPr>
              <w:t>Affaire</w:t>
            </w:r>
          </w:p>
        </w:tc>
        <w:tc>
          <w:tcPr>
            <w:tcW w:w="5346" w:type="dxa"/>
            <w:tcBorders>
              <w:top w:val="single" w:sz="12" w:space="0" w:color="auto"/>
            </w:tcBorders>
            <w:shd w:val="clear" w:color="auto" w:fill="auto"/>
          </w:tcPr>
          <w:p w:rsidR="000E3A08" w:rsidRPr="00DF1CA5" w:rsidRDefault="000E3A08" w:rsidP="00A927F1">
            <w:pPr>
              <w:spacing w:before="40" w:after="80"/>
              <w:ind w:right="115"/>
              <w:rPr>
                <w:bCs/>
                <w:lang w:val="fr-CH"/>
              </w:rPr>
            </w:pPr>
            <w:r w:rsidRPr="00DF1CA5">
              <w:rPr>
                <w:bCs/>
                <w:i/>
                <w:lang w:val="fr-CH"/>
              </w:rPr>
              <w:t>Bairamov</w:t>
            </w:r>
            <w:r w:rsidRPr="00DF1CA5">
              <w:rPr>
                <w:bCs/>
                <w:iCs/>
                <w:lang w:val="fr-CH"/>
              </w:rPr>
              <w:t>, 497/2012</w:t>
            </w:r>
          </w:p>
        </w:tc>
      </w:tr>
      <w:tr w:rsidR="000E3A08" w:rsidRPr="00DF1CA5" w:rsidTr="00C11FDA">
        <w:trPr>
          <w:cantSplit/>
        </w:trPr>
        <w:tc>
          <w:tcPr>
            <w:tcW w:w="2142" w:type="dxa"/>
            <w:shd w:val="clear" w:color="auto" w:fill="auto"/>
          </w:tcPr>
          <w:p w:rsidR="000E3A08" w:rsidRPr="00DF1CA5" w:rsidRDefault="000E3A08" w:rsidP="00A927F1">
            <w:pPr>
              <w:spacing w:before="40" w:after="80"/>
              <w:ind w:right="115"/>
              <w:rPr>
                <w:b/>
                <w:lang w:val="fr-CH"/>
              </w:rPr>
            </w:pPr>
            <w:r>
              <w:rPr>
                <w:b/>
                <w:lang w:val="fr-CH"/>
              </w:rPr>
              <w:t>Décision adoptée le</w:t>
            </w:r>
          </w:p>
        </w:tc>
        <w:tc>
          <w:tcPr>
            <w:tcW w:w="5346" w:type="dxa"/>
            <w:shd w:val="clear" w:color="auto" w:fill="auto"/>
          </w:tcPr>
          <w:p w:rsidR="000E3A08" w:rsidRPr="00DF1CA5" w:rsidRDefault="000E3A08" w:rsidP="00A927F1">
            <w:pPr>
              <w:spacing w:before="40" w:after="80"/>
              <w:ind w:right="115"/>
              <w:rPr>
                <w:bCs/>
                <w:lang w:val="fr-CH"/>
              </w:rPr>
            </w:pPr>
            <w:r w:rsidRPr="00DF1CA5">
              <w:rPr>
                <w:bCs/>
                <w:lang w:val="fr-CH"/>
              </w:rPr>
              <w:t>14</w:t>
            </w:r>
            <w:r>
              <w:rPr>
                <w:bCs/>
                <w:lang w:val="fr-CH"/>
              </w:rPr>
              <w:t> mai</w:t>
            </w:r>
            <w:r w:rsidRPr="00DF1CA5">
              <w:rPr>
                <w:bCs/>
                <w:lang w:val="fr-CH"/>
              </w:rPr>
              <w:t xml:space="preserve"> 2014</w:t>
            </w:r>
          </w:p>
        </w:tc>
      </w:tr>
      <w:tr w:rsidR="000E3A08" w:rsidRPr="00DF1CA5" w:rsidTr="00C11FDA">
        <w:trPr>
          <w:cantSplit/>
        </w:trPr>
        <w:tc>
          <w:tcPr>
            <w:tcW w:w="2142" w:type="dxa"/>
            <w:shd w:val="clear" w:color="auto" w:fill="auto"/>
          </w:tcPr>
          <w:p w:rsidR="000E3A08" w:rsidRPr="00DF1CA5" w:rsidRDefault="000E3A08" w:rsidP="00A927F1">
            <w:pPr>
              <w:spacing w:before="40" w:after="80"/>
              <w:ind w:right="115"/>
              <w:rPr>
                <w:b/>
                <w:lang w:val="fr-CH"/>
              </w:rPr>
            </w:pPr>
            <w:r w:rsidRPr="00DF1CA5">
              <w:rPr>
                <w:b/>
                <w:lang w:val="fr-CH"/>
              </w:rPr>
              <w:t>Violation</w:t>
            </w:r>
            <w:r w:rsidR="005721F9">
              <w:rPr>
                <w:b/>
                <w:lang w:val="fr-CH"/>
              </w:rPr>
              <w:t>s</w:t>
            </w:r>
            <w:r>
              <w:rPr>
                <w:b/>
                <w:lang w:val="fr-CH"/>
              </w:rPr>
              <w:t xml:space="preserve"> constatée</w:t>
            </w:r>
            <w:r w:rsidR="005721F9">
              <w:rPr>
                <w:b/>
                <w:lang w:val="fr-CH"/>
              </w:rPr>
              <w:t>s</w:t>
            </w:r>
          </w:p>
        </w:tc>
        <w:tc>
          <w:tcPr>
            <w:tcW w:w="5346" w:type="dxa"/>
            <w:shd w:val="clear" w:color="auto" w:fill="auto"/>
          </w:tcPr>
          <w:p w:rsidR="000E3A08" w:rsidRPr="00DF1CA5" w:rsidRDefault="000E3A08" w:rsidP="00A927F1">
            <w:pPr>
              <w:spacing w:before="40" w:after="80"/>
              <w:ind w:right="115"/>
              <w:rPr>
                <w:bCs/>
                <w:lang w:val="fr-CH"/>
              </w:rPr>
            </w:pPr>
            <w:r w:rsidRPr="00DF1CA5">
              <w:rPr>
                <w:bCs/>
                <w:lang w:val="fr-CH"/>
              </w:rPr>
              <w:t>Articles 1</w:t>
            </w:r>
            <w:r w:rsidR="005721F9" w:rsidRPr="005721F9">
              <w:rPr>
                <w:bCs/>
                <w:vertAlign w:val="superscript"/>
                <w:lang w:val="fr-CH"/>
              </w:rPr>
              <w:t>er</w:t>
            </w:r>
            <w:r w:rsidRPr="00DF1CA5">
              <w:rPr>
                <w:bCs/>
                <w:lang w:val="fr-CH"/>
              </w:rPr>
              <w:t>, 2 (</w:t>
            </w:r>
            <w:r>
              <w:rPr>
                <w:bCs/>
                <w:lang w:val="fr-CH"/>
              </w:rPr>
              <w:t>par. </w:t>
            </w:r>
            <w:r w:rsidRPr="00DF1CA5">
              <w:rPr>
                <w:bCs/>
                <w:lang w:val="fr-CH"/>
              </w:rPr>
              <w:t xml:space="preserve">1),12, 13, 14 </w:t>
            </w:r>
            <w:r>
              <w:rPr>
                <w:bCs/>
                <w:lang w:val="fr-CH"/>
              </w:rPr>
              <w:t>et</w:t>
            </w:r>
            <w:r w:rsidRPr="00DF1CA5">
              <w:rPr>
                <w:bCs/>
                <w:lang w:val="fr-CH"/>
              </w:rPr>
              <w:t xml:space="preserve"> 15</w:t>
            </w:r>
          </w:p>
        </w:tc>
      </w:tr>
      <w:tr w:rsidR="000E3A08" w:rsidRPr="00DF1CA5" w:rsidTr="00C11FDA">
        <w:trPr>
          <w:cantSplit/>
        </w:trPr>
        <w:tc>
          <w:tcPr>
            <w:tcW w:w="7488" w:type="dxa"/>
            <w:gridSpan w:val="2"/>
            <w:tcBorders>
              <w:bottom w:val="nil"/>
            </w:tcBorders>
            <w:shd w:val="clear" w:color="auto" w:fill="auto"/>
          </w:tcPr>
          <w:p w:rsidR="000E3A08" w:rsidRPr="00DF1CA5" w:rsidRDefault="000E3A08" w:rsidP="00A927F1">
            <w:pPr>
              <w:spacing w:before="40" w:after="80"/>
              <w:ind w:right="115"/>
              <w:rPr>
                <w:b/>
                <w:lang w:val="fr-CH"/>
              </w:rPr>
            </w:pPr>
            <w:r w:rsidRPr="00DF1CA5">
              <w:rPr>
                <w:b/>
                <w:lang w:val="fr-CH"/>
              </w:rPr>
              <w:t>Recommandation</w:t>
            </w:r>
            <w:r w:rsidR="005721F9">
              <w:rPr>
                <w:b/>
                <w:lang w:val="fr-CH"/>
              </w:rPr>
              <w:t> </w:t>
            </w:r>
            <w:r w:rsidR="005721F9" w:rsidRPr="00E35F95">
              <w:rPr>
                <w:lang w:val="fr-CH"/>
              </w:rPr>
              <w:t>:</w:t>
            </w:r>
            <w:r w:rsidR="005721F9" w:rsidRPr="00DF1CA5">
              <w:rPr>
                <w:lang w:val="fr-CH"/>
              </w:rPr>
              <w:t xml:space="preserve"> </w:t>
            </w:r>
            <w:r>
              <w:rPr>
                <w:lang w:val="fr-CH"/>
              </w:rPr>
              <w:t>Le Comité a demandé instamment à l’État partie de mener une</w:t>
            </w:r>
            <w:r w:rsidR="00A927F1">
              <w:rPr>
                <w:lang w:val="fr-CH"/>
              </w:rPr>
              <w:t xml:space="preserve"> </w:t>
            </w:r>
            <w:r>
              <w:rPr>
                <w:lang w:val="fr-CH"/>
              </w:rPr>
              <w:t xml:space="preserve">enquête sérieuse, impartiale et indépendante en vue de traduire en justice les responsables du traitement infligé au requérant et d’assurer au requérant une réparation complète et appropriée, comprenant une indemnisation et </w:t>
            </w:r>
            <w:r w:rsidR="005721F9">
              <w:rPr>
                <w:lang w:val="fr-CH"/>
              </w:rPr>
              <w:t>une</w:t>
            </w:r>
            <w:r>
              <w:rPr>
                <w:lang w:val="fr-CH"/>
              </w:rPr>
              <w:t xml:space="preserve"> réadaptation, et d’empêcher que des violations analogues ne se reproduisent.</w:t>
            </w:r>
          </w:p>
        </w:tc>
      </w:tr>
      <w:tr w:rsidR="000E3A08" w:rsidRPr="00DF1CA5" w:rsidTr="00C11FDA">
        <w:trPr>
          <w:cantSplit/>
        </w:trPr>
        <w:tc>
          <w:tcPr>
            <w:tcW w:w="7488" w:type="dxa"/>
            <w:gridSpan w:val="2"/>
            <w:tcBorders>
              <w:top w:val="nil"/>
              <w:bottom w:val="nil"/>
            </w:tcBorders>
            <w:shd w:val="clear" w:color="auto" w:fill="auto"/>
          </w:tcPr>
          <w:p w:rsidR="000E3A08" w:rsidRPr="00E35EAE" w:rsidRDefault="000E3A08" w:rsidP="00A927F1">
            <w:pPr>
              <w:spacing w:before="40" w:after="80"/>
              <w:ind w:right="115"/>
              <w:rPr>
                <w:b/>
                <w:bCs/>
                <w:spacing w:val="5"/>
                <w:lang w:val="fr-CH"/>
              </w:rPr>
            </w:pPr>
            <w:r w:rsidRPr="00E35EAE">
              <w:rPr>
                <w:b/>
                <w:bCs/>
                <w:spacing w:val="5"/>
                <w:lang w:val="fr-CH"/>
              </w:rPr>
              <w:t>Suivi</w:t>
            </w:r>
            <w:r w:rsidR="005721F9" w:rsidRPr="00E35EAE">
              <w:rPr>
                <w:b/>
                <w:spacing w:val="5"/>
                <w:lang w:val="fr-CH"/>
              </w:rPr>
              <w:t> </w:t>
            </w:r>
            <w:r w:rsidR="005721F9" w:rsidRPr="00E35EAE">
              <w:rPr>
                <w:spacing w:val="5"/>
                <w:lang w:val="fr-CH"/>
              </w:rPr>
              <w:t xml:space="preserve">: </w:t>
            </w:r>
            <w:r w:rsidRPr="00E35EAE">
              <w:rPr>
                <w:spacing w:val="5"/>
                <w:lang w:val="fr-CH"/>
              </w:rPr>
              <w:t xml:space="preserve">Le 7 novembre 2014, l’État partie a fait savoir que, le 30 juillet 2014, le Bureau du Procureur de la région de </w:t>
            </w:r>
            <w:r w:rsidR="005721F9" w:rsidRPr="00E35EAE">
              <w:rPr>
                <w:spacing w:val="5"/>
                <w:lang w:val="fr-CH"/>
              </w:rPr>
              <w:t>Ko</w:t>
            </w:r>
            <w:r w:rsidRPr="00E35EAE">
              <w:rPr>
                <w:spacing w:val="5"/>
                <w:lang w:val="fr-CH"/>
              </w:rPr>
              <w:t xml:space="preserve">stanaï avait </w:t>
            </w:r>
            <w:r w:rsidR="005721F9" w:rsidRPr="00E35EAE">
              <w:rPr>
                <w:spacing w:val="5"/>
                <w:lang w:val="fr-CH"/>
              </w:rPr>
              <w:t>ouvert</w:t>
            </w:r>
            <w:r w:rsidRPr="00E35EAE">
              <w:rPr>
                <w:spacing w:val="5"/>
                <w:lang w:val="fr-CH"/>
              </w:rPr>
              <w:t xml:space="preserve"> une enquête pénale sur les accusations portées au titre de l’article 347-1 </w:t>
            </w:r>
            <w:r w:rsidR="005721F9" w:rsidRPr="00E35EAE">
              <w:rPr>
                <w:spacing w:val="5"/>
                <w:lang w:val="fr-CH"/>
              </w:rPr>
              <w:t>[</w:t>
            </w:r>
            <w:r w:rsidRPr="00E35EAE">
              <w:rPr>
                <w:spacing w:val="5"/>
                <w:lang w:val="fr-CH"/>
              </w:rPr>
              <w:t>deuxième partie, point a) (torture)</w:t>
            </w:r>
            <w:r w:rsidR="005721F9" w:rsidRPr="00E35EAE">
              <w:rPr>
                <w:spacing w:val="5"/>
                <w:lang w:val="fr-CH"/>
              </w:rPr>
              <w:t>]</w:t>
            </w:r>
            <w:r w:rsidRPr="00E35EAE">
              <w:rPr>
                <w:spacing w:val="5"/>
                <w:lang w:val="fr-CH"/>
              </w:rPr>
              <w:t xml:space="preserve"> du Code pénal du Kazakhstan. Le</w:t>
            </w:r>
            <w:r w:rsidR="005721F9" w:rsidRPr="00E35EAE">
              <w:rPr>
                <w:spacing w:val="5"/>
                <w:lang w:val="fr-CH"/>
              </w:rPr>
              <w:t xml:space="preserve">s autorités avaient </w:t>
            </w:r>
            <w:r w:rsidRPr="00E35EAE">
              <w:rPr>
                <w:spacing w:val="5"/>
                <w:lang w:val="fr-CH"/>
              </w:rPr>
              <w:t>interrogé</w:t>
            </w:r>
            <w:r w:rsidR="005721F9" w:rsidRPr="00E35EAE">
              <w:rPr>
                <w:spacing w:val="5"/>
                <w:lang w:val="fr-CH"/>
              </w:rPr>
              <w:t xml:space="preserve"> le requérant</w:t>
            </w:r>
            <w:r w:rsidRPr="00E35EAE">
              <w:rPr>
                <w:spacing w:val="5"/>
                <w:lang w:val="fr-CH"/>
              </w:rPr>
              <w:t xml:space="preserve"> en tant que victime</w:t>
            </w:r>
            <w:r w:rsidR="005721F9" w:rsidRPr="00E35EAE">
              <w:rPr>
                <w:spacing w:val="5"/>
                <w:lang w:val="fr-CH"/>
              </w:rPr>
              <w:t>, s</w:t>
            </w:r>
            <w:r w:rsidRPr="00E35EAE">
              <w:rPr>
                <w:spacing w:val="5"/>
                <w:lang w:val="fr-CH"/>
              </w:rPr>
              <w:t>a mère en tant que témoin</w:t>
            </w:r>
            <w:r w:rsidR="005721F9" w:rsidRPr="00E35EAE">
              <w:rPr>
                <w:spacing w:val="5"/>
                <w:lang w:val="fr-CH"/>
              </w:rPr>
              <w:t xml:space="preserve"> et </w:t>
            </w:r>
            <w:r w:rsidRPr="00E35EAE">
              <w:rPr>
                <w:spacing w:val="5"/>
                <w:lang w:val="fr-CH"/>
              </w:rPr>
              <w:t xml:space="preserve">deux agents de police en tant que suspects </w:t>
            </w:r>
            <w:r w:rsidR="005721F9" w:rsidRPr="00E35EAE">
              <w:rPr>
                <w:spacing w:val="5"/>
                <w:lang w:val="fr-CH"/>
              </w:rPr>
              <w:t xml:space="preserve">concernant le </w:t>
            </w:r>
            <w:r w:rsidRPr="00E35EAE">
              <w:rPr>
                <w:spacing w:val="5"/>
                <w:lang w:val="fr-CH"/>
              </w:rPr>
              <w:t xml:space="preserve">recours à des pressions physiques et psychologiques sur la personne du requérant. D’autres agents de police et témoins </w:t>
            </w:r>
            <w:r w:rsidR="005721F9" w:rsidRPr="00E35EAE">
              <w:rPr>
                <w:spacing w:val="5"/>
                <w:lang w:val="fr-CH"/>
              </w:rPr>
              <w:t>avaient</w:t>
            </w:r>
            <w:r w:rsidRPr="00E35EAE">
              <w:rPr>
                <w:spacing w:val="5"/>
                <w:lang w:val="fr-CH"/>
              </w:rPr>
              <w:t xml:space="preserve"> également été interrogés. Selon un avis psychiatrique émis le 8 septembre 2014, le requérant souffrait d’une sorte de syndrome psychotique. L’État partie a indiqué que, le 27 septembre 2014, le requérant avait demandé un autre examen par un psychiatre légiste, lequel a</w:t>
            </w:r>
            <w:r w:rsidR="005721F9" w:rsidRPr="00E35EAE">
              <w:rPr>
                <w:spacing w:val="5"/>
                <w:lang w:val="fr-CH"/>
              </w:rPr>
              <w:t>vait</w:t>
            </w:r>
            <w:r w:rsidRPr="00E35EAE">
              <w:rPr>
                <w:spacing w:val="5"/>
                <w:lang w:val="fr-CH"/>
              </w:rPr>
              <w:t xml:space="preserve"> été effectué le 29 septembre 2014.</w:t>
            </w:r>
          </w:p>
        </w:tc>
      </w:tr>
      <w:tr w:rsidR="000E3A08" w:rsidRPr="00DF1CA5" w:rsidTr="00C11FDA">
        <w:trPr>
          <w:cantSplit/>
        </w:trPr>
        <w:tc>
          <w:tcPr>
            <w:tcW w:w="7488" w:type="dxa"/>
            <w:gridSpan w:val="2"/>
            <w:tcBorders>
              <w:top w:val="nil"/>
            </w:tcBorders>
            <w:shd w:val="clear" w:color="auto" w:fill="auto"/>
          </w:tcPr>
          <w:p w:rsidR="000E3A08" w:rsidRPr="00DF1CA5" w:rsidRDefault="000E3A08" w:rsidP="00A927F1">
            <w:pPr>
              <w:keepNext/>
              <w:spacing w:before="40" w:after="80"/>
              <w:ind w:right="115"/>
              <w:rPr>
                <w:bCs/>
                <w:lang w:val="fr-CH"/>
              </w:rPr>
            </w:pPr>
            <w:r>
              <w:rPr>
                <w:lang w:val="fr-CH"/>
              </w:rPr>
              <w:t xml:space="preserve">Le 30 septembre 2014, la procédure pénale a été suspendue en attendant l’avis du psychiatre. Dans le même temps, le requérant a </w:t>
            </w:r>
            <w:r w:rsidR="00770AE0">
              <w:rPr>
                <w:lang w:val="fr-CH"/>
              </w:rPr>
              <w:t xml:space="preserve">intenté une action civile en réparation </w:t>
            </w:r>
            <w:r>
              <w:rPr>
                <w:lang w:val="fr-CH"/>
              </w:rPr>
              <w:t xml:space="preserve">auprès du tribunal de la ville de </w:t>
            </w:r>
            <w:r w:rsidR="00770AE0">
              <w:rPr>
                <w:lang w:val="fr-CH"/>
              </w:rPr>
              <w:t>Ko</w:t>
            </w:r>
            <w:r w:rsidRPr="00DF1CA5">
              <w:rPr>
                <w:lang w:val="fr-CH"/>
              </w:rPr>
              <w:t xml:space="preserve">stanaï </w:t>
            </w:r>
            <w:r>
              <w:rPr>
                <w:lang w:val="fr-CH"/>
              </w:rPr>
              <w:t>contre le Département des affaires intérieures. L’examen de cette requête a également été suspendu après que l’avocat du requérant eu</w:t>
            </w:r>
            <w:r w:rsidR="00770AE0">
              <w:rPr>
                <w:lang w:val="fr-CH"/>
              </w:rPr>
              <w:t>t</w:t>
            </w:r>
            <w:r>
              <w:rPr>
                <w:lang w:val="fr-CH"/>
              </w:rPr>
              <w:t xml:space="preserve"> demandé au tribunal d’ajourner l’examen de l’affaire en attendant </w:t>
            </w:r>
            <w:r w:rsidR="00770AE0">
              <w:rPr>
                <w:lang w:val="fr-CH"/>
              </w:rPr>
              <w:t>le résultat de</w:t>
            </w:r>
            <w:r>
              <w:rPr>
                <w:lang w:val="fr-CH"/>
              </w:rPr>
              <w:t>s consultations psychiatriques. L’État partie a indiqué qu’il informerait le Comité de tout fait nouveau.</w:t>
            </w:r>
          </w:p>
        </w:tc>
      </w:tr>
      <w:tr w:rsidR="00E35EAE" w:rsidRPr="00DF1CA5" w:rsidTr="00C11FDA">
        <w:trPr>
          <w:cantSplit/>
        </w:trPr>
        <w:tc>
          <w:tcPr>
            <w:tcW w:w="7488" w:type="dxa"/>
            <w:gridSpan w:val="2"/>
            <w:tcBorders>
              <w:top w:val="nil"/>
            </w:tcBorders>
            <w:shd w:val="clear" w:color="auto" w:fill="auto"/>
          </w:tcPr>
          <w:p w:rsidR="00E35EAE" w:rsidRDefault="00E35EAE" w:rsidP="00A927F1">
            <w:pPr>
              <w:keepNext/>
              <w:spacing w:before="40" w:after="80"/>
              <w:ind w:right="115"/>
              <w:rPr>
                <w:lang w:val="fr-CH"/>
              </w:rPr>
            </w:pPr>
            <w:r>
              <w:rPr>
                <w:lang w:val="fr-CH"/>
              </w:rPr>
              <w:t xml:space="preserve">En janvier </w:t>
            </w:r>
            <w:r w:rsidRPr="00DF1CA5">
              <w:rPr>
                <w:lang w:val="fr-CH"/>
              </w:rPr>
              <w:t xml:space="preserve">2015, </w:t>
            </w:r>
            <w:r>
              <w:rPr>
                <w:lang w:val="fr-CH"/>
              </w:rPr>
              <w:t>la réponse de l’État partie a été transmise au requérant pour commentaires.</w:t>
            </w:r>
          </w:p>
        </w:tc>
      </w:tr>
      <w:tr w:rsidR="000E3A08" w:rsidRPr="00DF1CA5" w:rsidTr="00C11FDA">
        <w:trPr>
          <w:cantSplit/>
        </w:trPr>
        <w:tc>
          <w:tcPr>
            <w:tcW w:w="7488" w:type="dxa"/>
            <w:gridSpan w:val="2"/>
            <w:shd w:val="clear" w:color="auto" w:fill="auto"/>
          </w:tcPr>
          <w:p w:rsidR="000E3A08" w:rsidRPr="00DF1CA5" w:rsidRDefault="000E3A08" w:rsidP="00A927F1">
            <w:pPr>
              <w:spacing w:before="40" w:after="80"/>
              <w:ind w:right="115"/>
              <w:rPr>
                <w:lang w:val="fr-CH"/>
              </w:rPr>
            </w:pPr>
            <w:r>
              <w:rPr>
                <w:b/>
                <w:bCs/>
                <w:lang w:val="fr-CH"/>
              </w:rPr>
              <w:t>Décision du Comité</w:t>
            </w:r>
            <w:r w:rsidR="00770AE0">
              <w:rPr>
                <w:b/>
                <w:lang w:val="fr-CH"/>
              </w:rPr>
              <w:t> </w:t>
            </w:r>
            <w:r w:rsidR="00770AE0" w:rsidRPr="00E35F95">
              <w:rPr>
                <w:lang w:val="fr-CH"/>
              </w:rPr>
              <w:t>:</w:t>
            </w:r>
            <w:r w:rsidR="00770AE0" w:rsidRPr="00DF1CA5">
              <w:rPr>
                <w:lang w:val="fr-CH"/>
              </w:rPr>
              <w:t xml:space="preserve"> </w:t>
            </w:r>
            <w:r>
              <w:rPr>
                <w:lang w:val="fr-CH"/>
              </w:rPr>
              <w:t xml:space="preserve">Poursuivre le </w:t>
            </w:r>
            <w:r w:rsidRPr="00DF1CA5">
              <w:rPr>
                <w:lang w:val="fr-CH"/>
              </w:rPr>
              <w:t xml:space="preserve">dialogue </w:t>
            </w:r>
            <w:r>
              <w:rPr>
                <w:lang w:val="fr-CH"/>
              </w:rPr>
              <w:t>au titre du suivi</w:t>
            </w:r>
            <w:r w:rsidRPr="00DF1CA5">
              <w:rPr>
                <w:lang w:val="fr-CH"/>
              </w:rPr>
              <w:t>.</w:t>
            </w:r>
          </w:p>
        </w:tc>
      </w:tr>
    </w:tbl>
    <w:p w:rsidR="00C2049B" w:rsidRPr="0004507C" w:rsidRDefault="00C2049B" w:rsidP="00BC2934">
      <w:pPr>
        <w:pStyle w:val="SingleTxt"/>
        <w:spacing w:after="0" w:line="100" w:lineRule="exact"/>
        <w:rPr>
          <w:sz w:val="10"/>
        </w:rPr>
      </w:pPr>
    </w:p>
    <w:p w:rsidR="0004507C" w:rsidRPr="00C967C6" w:rsidRDefault="0004507C" w:rsidP="00BC2934">
      <w:pPr>
        <w:pStyle w:val="SingleTxt"/>
        <w:spacing w:after="0" w:line="100" w:lineRule="exact"/>
        <w:rPr>
          <w:sz w:val="10"/>
        </w:rPr>
      </w:pPr>
    </w:p>
    <w:p w:rsidR="00C967C6" w:rsidRPr="0004507C" w:rsidRDefault="00C967C6" w:rsidP="00BC2934">
      <w:pPr>
        <w:pStyle w:val="SingleTxt"/>
        <w:spacing w:after="0" w:line="10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98"/>
        <w:gridCol w:w="4068"/>
      </w:tblGrid>
      <w:tr w:rsidR="009165A2" w:rsidRPr="00862DB4" w:rsidTr="007D5EA3">
        <w:trPr>
          <w:cantSplit/>
          <w:tblHeader/>
          <w:jc w:val="center"/>
        </w:trPr>
        <w:tc>
          <w:tcPr>
            <w:tcW w:w="3398" w:type="dxa"/>
            <w:tcBorders>
              <w:top w:val="single" w:sz="4" w:space="0" w:color="auto"/>
              <w:bottom w:val="single" w:sz="12" w:space="0" w:color="auto"/>
            </w:tcBorders>
            <w:shd w:val="clear" w:color="auto" w:fill="auto"/>
            <w:vAlign w:val="bottom"/>
          </w:tcPr>
          <w:p w:rsidR="009165A2" w:rsidRPr="00767D37" w:rsidRDefault="009165A2" w:rsidP="00546AB4">
            <w:pPr>
              <w:tabs>
                <w:tab w:val="left" w:pos="288"/>
                <w:tab w:val="left" w:pos="576"/>
                <w:tab w:val="left" w:pos="864"/>
                <w:tab w:val="left" w:pos="1152"/>
              </w:tabs>
              <w:spacing w:before="80" w:after="80" w:line="200" w:lineRule="exact"/>
              <w:ind w:right="43"/>
              <w:rPr>
                <w:b/>
                <w:bCs/>
                <w:iCs/>
              </w:rPr>
            </w:pPr>
            <w:r>
              <w:rPr>
                <w:b/>
                <w:szCs w:val="20"/>
              </w:rPr>
              <w:t>Fédération de Russie</w:t>
            </w:r>
          </w:p>
        </w:tc>
        <w:tc>
          <w:tcPr>
            <w:tcW w:w="4068" w:type="dxa"/>
            <w:tcBorders>
              <w:top w:val="single" w:sz="4" w:space="0" w:color="auto"/>
              <w:bottom w:val="single" w:sz="12" w:space="0" w:color="auto"/>
            </w:tcBorders>
            <w:shd w:val="clear" w:color="auto" w:fill="auto"/>
          </w:tcPr>
          <w:p w:rsidR="009165A2" w:rsidRPr="00862DB4" w:rsidRDefault="009165A2" w:rsidP="00546AB4">
            <w:pPr>
              <w:tabs>
                <w:tab w:val="left" w:pos="288"/>
                <w:tab w:val="left" w:pos="576"/>
                <w:tab w:val="left" w:pos="864"/>
                <w:tab w:val="left" w:pos="1152"/>
              </w:tabs>
              <w:spacing w:before="80" w:after="80" w:line="200" w:lineRule="exact"/>
              <w:ind w:right="43"/>
              <w:rPr>
                <w:i/>
                <w:iCs/>
              </w:rPr>
            </w:pPr>
          </w:p>
        </w:tc>
      </w:tr>
      <w:tr w:rsidR="009165A2" w:rsidRPr="00862DB4" w:rsidTr="007D5EA3">
        <w:trPr>
          <w:cantSplit/>
          <w:trHeight w:hRule="exact" w:val="115"/>
          <w:jc w:val="center"/>
        </w:trPr>
        <w:tc>
          <w:tcPr>
            <w:tcW w:w="3398" w:type="dxa"/>
            <w:tcBorders>
              <w:top w:val="single" w:sz="12" w:space="0" w:color="auto"/>
            </w:tcBorders>
            <w:shd w:val="clear" w:color="auto" w:fill="auto"/>
            <w:vAlign w:val="bottom"/>
          </w:tcPr>
          <w:p w:rsidR="009165A2" w:rsidRPr="00767D37" w:rsidRDefault="009165A2" w:rsidP="000663AC">
            <w:pPr>
              <w:rPr>
                <w:b/>
              </w:rPr>
            </w:pPr>
          </w:p>
        </w:tc>
        <w:tc>
          <w:tcPr>
            <w:tcW w:w="4068" w:type="dxa"/>
            <w:tcBorders>
              <w:top w:val="single" w:sz="12" w:space="0" w:color="auto"/>
            </w:tcBorders>
            <w:shd w:val="clear" w:color="auto" w:fill="auto"/>
          </w:tcPr>
          <w:p w:rsidR="009165A2" w:rsidRPr="00862DB4" w:rsidRDefault="009165A2" w:rsidP="000663AC">
            <w:pPr>
              <w:tabs>
                <w:tab w:val="left" w:pos="288"/>
                <w:tab w:val="left" w:pos="576"/>
                <w:tab w:val="left" w:pos="864"/>
                <w:tab w:val="left" w:pos="1152"/>
              </w:tabs>
              <w:spacing w:before="40" w:after="80"/>
              <w:ind w:right="40"/>
              <w:rPr>
                <w:i/>
                <w:iCs/>
              </w:rPr>
            </w:pPr>
          </w:p>
        </w:tc>
      </w:tr>
      <w:tr w:rsidR="009165A2" w:rsidRPr="00862DB4" w:rsidTr="007D5EA3">
        <w:trPr>
          <w:cantSplit/>
          <w:jc w:val="center"/>
        </w:trPr>
        <w:tc>
          <w:tcPr>
            <w:tcW w:w="3398" w:type="dxa"/>
            <w:shd w:val="clear" w:color="auto" w:fill="auto"/>
          </w:tcPr>
          <w:p w:rsidR="009165A2" w:rsidRPr="00862DB4" w:rsidRDefault="009165A2" w:rsidP="00BF5F6F">
            <w:pPr>
              <w:tabs>
                <w:tab w:val="left" w:pos="288"/>
                <w:tab w:val="left" w:pos="576"/>
                <w:tab w:val="left" w:pos="864"/>
                <w:tab w:val="left" w:pos="1152"/>
              </w:tabs>
              <w:spacing w:before="40" w:after="80"/>
              <w:ind w:right="40"/>
              <w:rPr>
                <w:b/>
                <w:bCs/>
              </w:rPr>
            </w:pPr>
            <w:r>
              <w:rPr>
                <w:b/>
              </w:rPr>
              <w:t>Affaire</w:t>
            </w:r>
          </w:p>
        </w:tc>
        <w:tc>
          <w:tcPr>
            <w:tcW w:w="4068" w:type="dxa"/>
            <w:shd w:val="clear" w:color="auto" w:fill="auto"/>
          </w:tcPr>
          <w:p w:rsidR="009165A2" w:rsidRPr="00727925" w:rsidRDefault="009165A2" w:rsidP="00BF5F6F">
            <w:pPr>
              <w:tabs>
                <w:tab w:val="left" w:pos="288"/>
                <w:tab w:val="left" w:pos="576"/>
                <w:tab w:val="left" w:pos="864"/>
                <w:tab w:val="left" w:pos="1152"/>
              </w:tabs>
              <w:spacing w:before="40" w:after="80"/>
              <w:ind w:right="40"/>
              <w:rPr>
                <w:bCs/>
              </w:rPr>
            </w:pPr>
            <w:r w:rsidRPr="00727925">
              <w:rPr>
                <w:i/>
                <w:iCs/>
              </w:rPr>
              <w:t>Kirsanov</w:t>
            </w:r>
            <w:r w:rsidRPr="00727925">
              <w:t>, 478/2011</w:t>
            </w:r>
          </w:p>
        </w:tc>
      </w:tr>
      <w:tr w:rsidR="009165A2" w:rsidRPr="00862DB4" w:rsidTr="007D5EA3">
        <w:trPr>
          <w:cantSplit/>
          <w:jc w:val="center"/>
        </w:trPr>
        <w:tc>
          <w:tcPr>
            <w:tcW w:w="3398" w:type="dxa"/>
            <w:shd w:val="clear" w:color="auto" w:fill="auto"/>
          </w:tcPr>
          <w:p w:rsidR="009165A2" w:rsidRPr="00131A9C" w:rsidRDefault="009165A2" w:rsidP="00BF5F6F">
            <w:pPr>
              <w:tabs>
                <w:tab w:val="left" w:pos="288"/>
                <w:tab w:val="left" w:pos="576"/>
                <w:tab w:val="left" w:pos="864"/>
                <w:tab w:val="left" w:pos="1152"/>
              </w:tabs>
              <w:spacing w:before="40" w:after="80"/>
              <w:ind w:right="40"/>
              <w:rPr>
                <w:b/>
              </w:rPr>
            </w:pPr>
            <w:r>
              <w:rPr>
                <w:b/>
              </w:rPr>
              <w:t>Décision adoptée</w:t>
            </w:r>
            <w:r w:rsidR="009F0575">
              <w:rPr>
                <w:b/>
              </w:rPr>
              <w:t xml:space="preserve"> le</w:t>
            </w:r>
          </w:p>
        </w:tc>
        <w:tc>
          <w:tcPr>
            <w:tcW w:w="4068" w:type="dxa"/>
            <w:shd w:val="clear" w:color="auto" w:fill="auto"/>
          </w:tcPr>
          <w:p w:rsidR="009165A2" w:rsidRPr="00727925" w:rsidRDefault="00131FA4" w:rsidP="00BF5F6F">
            <w:pPr>
              <w:tabs>
                <w:tab w:val="left" w:pos="288"/>
                <w:tab w:val="left" w:pos="576"/>
                <w:tab w:val="left" w:pos="864"/>
                <w:tab w:val="left" w:pos="1152"/>
              </w:tabs>
              <w:spacing w:before="40" w:after="80"/>
              <w:ind w:right="40"/>
              <w:rPr>
                <w:bCs/>
              </w:rPr>
            </w:pPr>
            <w:r>
              <w:t>14 </w:t>
            </w:r>
            <w:r w:rsidR="009165A2">
              <w:t>mai 2014</w:t>
            </w:r>
          </w:p>
        </w:tc>
      </w:tr>
      <w:tr w:rsidR="009165A2" w:rsidRPr="00862DB4" w:rsidTr="007D5EA3">
        <w:trPr>
          <w:cantSplit/>
          <w:jc w:val="center"/>
        </w:trPr>
        <w:tc>
          <w:tcPr>
            <w:tcW w:w="3398" w:type="dxa"/>
            <w:shd w:val="clear" w:color="auto" w:fill="auto"/>
          </w:tcPr>
          <w:p w:rsidR="009165A2" w:rsidRPr="00C2406A" w:rsidRDefault="009165A2" w:rsidP="00BF5F6F">
            <w:pPr>
              <w:tabs>
                <w:tab w:val="left" w:pos="288"/>
                <w:tab w:val="left" w:pos="576"/>
                <w:tab w:val="left" w:pos="864"/>
                <w:tab w:val="left" w:pos="1152"/>
              </w:tabs>
              <w:spacing w:before="40" w:after="80"/>
              <w:ind w:right="40"/>
              <w:rPr>
                <w:b/>
              </w:rPr>
            </w:pPr>
            <w:r>
              <w:rPr>
                <w:b/>
              </w:rPr>
              <w:t>Violation constatée</w:t>
            </w:r>
          </w:p>
        </w:tc>
        <w:tc>
          <w:tcPr>
            <w:tcW w:w="4068" w:type="dxa"/>
            <w:shd w:val="clear" w:color="auto" w:fill="auto"/>
          </w:tcPr>
          <w:p w:rsidR="009165A2" w:rsidRPr="00727925" w:rsidRDefault="009165A2" w:rsidP="00BF5F6F">
            <w:pPr>
              <w:tabs>
                <w:tab w:val="left" w:pos="288"/>
                <w:tab w:val="left" w:pos="576"/>
                <w:tab w:val="left" w:pos="864"/>
                <w:tab w:val="left" w:pos="1152"/>
              </w:tabs>
              <w:spacing w:before="40" w:after="80"/>
              <w:ind w:right="40"/>
              <w:rPr>
                <w:bCs/>
              </w:rPr>
            </w:pPr>
            <w:r>
              <w:t>Article 16</w:t>
            </w:r>
          </w:p>
        </w:tc>
      </w:tr>
      <w:tr w:rsidR="009165A2" w:rsidRPr="00862DB4" w:rsidTr="007D5EA3">
        <w:trPr>
          <w:cantSplit/>
          <w:trHeight w:val="20"/>
          <w:jc w:val="center"/>
        </w:trPr>
        <w:tc>
          <w:tcPr>
            <w:tcW w:w="7466" w:type="dxa"/>
            <w:gridSpan w:val="2"/>
            <w:shd w:val="clear" w:color="auto" w:fill="auto"/>
          </w:tcPr>
          <w:p w:rsidR="009165A2" w:rsidRPr="00131A9C" w:rsidRDefault="009F0575" w:rsidP="00BF5F6F">
            <w:pPr>
              <w:tabs>
                <w:tab w:val="left" w:pos="288"/>
                <w:tab w:val="left" w:pos="576"/>
                <w:tab w:val="left" w:pos="864"/>
                <w:tab w:val="left" w:pos="1152"/>
              </w:tabs>
              <w:suppressAutoHyphens/>
              <w:spacing w:before="40" w:after="80"/>
              <w:ind w:right="115"/>
              <w:rPr>
                <w:b/>
              </w:rPr>
            </w:pPr>
            <w:r w:rsidRPr="009F0575">
              <w:rPr>
                <w:b/>
              </w:rPr>
              <w:t>Recommandation</w:t>
            </w:r>
            <w:r>
              <w:t xml:space="preserve"> : </w:t>
            </w:r>
            <w:r w:rsidR="009165A2">
              <w:t>Le Comité a invité l’État partie à prendre des mesures pour assurer au requéran</w:t>
            </w:r>
            <w:r>
              <w:t>t</w:t>
            </w:r>
            <w:r w:rsidR="009165A2">
              <w:t xml:space="preserve"> une réparation, sous la forme d’une indemnisation équitable et</w:t>
            </w:r>
            <w:r w:rsidR="008660D8">
              <w:t> </w:t>
            </w:r>
            <w:r w:rsidR="009165A2">
              <w:t xml:space="preserve">adéquate. L’État partie </w:t>
            </w:r>
            <w:r>
              <w:t>était</w:t>
            </w:r>
            <w:r w:rsidR="009165A2">
              <w:t xml:space="preserve"> également tenu de veiller à ce que des violations analogues ne se reproduisent pas.</w:t>
            </w:r>
          </w:p>
        </w:tc>
      </w:tr>
      <w:tr w:rsidR="009165A2" w:rsidRPr="00862DB4" w:rsidTr="007D5EA3">
        <w:trPr>
          <w:cantSplit/>
          <w:jc w:val="center"/>
        </w:trPr>
        <w:tc>
          <w:tcPr>
            <w:tcW w:w="7466" w:type="dxa"/>
            <w:gridSpan w:val="2"/>
            <w:shd w:val="clear" w:color="auto" w:fill="auto"/>
          </w:tcPr>
          <w:p w:rsidR="009165A2" w:rsidRPr="00131A9C" w:rsidRDefault="009F0575" w:rsidP="00BF5F6F">
            <w:pPr>
              <w:tabs>
                <w:tab w:val="left" w:pos="576"/>
                <w:tab w:val="left" w:pos="1152"/>
              </w:tabs>
              <w:spacing w:before="40" w:after="80"/>
              <w:ind w:right="43"/>
              <w:rPr>
                <w:b/>
              </w:rPr>
            </w:pPr>
            <w:r w:rsidRPr="009F0575">
              <w:rPr>
                <w:b/>
              </w:rPr>
              <w:t>Suivi</w:t>
            </w:r>
            <w:r>
              <w:t> : Le 17 </w:t>
            </w:r>
            <w:r w:rsidR="009165A2">
              <w:t xml:space="preserve">décembre 2014, le requérant a fait savoir qu’on lui avait retourné </w:t>
            </w:r>
            <w:r>
              <w:t xml:space="preserve">une </w:t>
            </w:r>
            <w:r w:rsidR="009165A2">
              <w:t>demande qu’il avait adressée aux autorités de l’État partie pour qu’</w:t>
            </w:r>
            <w:r>
              <w:t xml:space="preserve">elles donnent </w:t>
            </w:r>
            <w:r w:rsidR="009165A2">
              <w:t>suite à la décision du Comité</w:t>
            </w:r>
            <w:r>
              <w:t>,</w:t>
            </w:r>
            <w:r w:rsidR="009165A2">
              <w:t xml:space="preserve"> en le priant de </w:t>
            </w:r>
            <w:r>
              <w:t>produire</w:t>
            </w:r>
            <w:r w:rsidR="009165A2">
              <w:t xml:space="preserve"> une copie de ladite décision.</w:t>
            </w:r>
          </w:p>
        </w:tc>
      </w:tr>
      <w:tr w:rsidR="009165A2" w:rsidRPr="00862DB4" w:rsidTr="007D5EA3">
        <w:trPr>
          <w:cantSplit/>
          <w:trHeight w:val="695"/>
          <w:jc w:val="center"/>
        </w:trPr>
        <w:tc>
          <w:tcPr>
            <w:tcW w:w="7466" w:type="dxa"/>
            <w:gridSpan w:val="2"/>
            <w:shd w:val="clear" w:color="auto" w:fill="auto"/>
          </w:tcPr>
          <w:p w:rsidR="009165A2" w:rsidRPr="00727925" w:rsidRDefault="009165A2" w:rsidP="00BF5F6F">
            <w:pPr>
              <w:tabs>
                <w:tab w:val="left" w:pos="576"/>
                <w:tab w:val="left" w:pos="1152"/>
              </w:tabs>
              <w:spacing w:before="40" w:after="80"/>
              <w:ind w:right="43"/>
            </w:pPr>
            <w:r>
              <w:t>En janvier 2015,</w:t>
            </w:r>
            <w:r w:rsidR="009F0575">
              <w:t xml:space="preserve"> les observations </w:t>
            </w:r>
            <w:r>
              <w:t xml:space="preserve">du requérant </w:t>
            </w:r>
            <w:r w:rsidR="009F0575">
              <w:t>ont</w:t>
            </w:r>
            <w:r>
              <w:t xml:space="preserve"> été transmise</w:t>
            </w:r>
            <w:r w:rsidR="009F0575">
              <w:t>s</w:t>
            </w:r>
            <w:r>
              <w:t xml:space="preserve"> à l’État partie pour commentaires.</w:t>
            </w:r>
          </w:p>
        </w:tc>
      </w:tr>
      <w:tr w:rsidR="009165A2" w:rsidRPr="00862DB4" w:rsidTr="007D5EA3">
        <w:trPr>
          <w:cantSplit/>
          <w:trHeight w:val="255"/>
          <w:jc w:val="center"/>
        </w:trPr>
        <w:tc>
          <w:tcPr>
            <w:tcW w:w="7466" w:type="dxa"/>
            <w:gridSpan w:val="2"/>
            <w:tcBorders>
              <w:bottom w:val="single" w:sz="12" w:space="0" w:color="auto"/>
            </w:tcBorders>
            <w:shd w:val="clear" w:color="auto" w:fill="auto"/>
          </w:tcPr>
          <w:p w:rsidR="009165A2" w:rsidRPr="008D042A" w:rsidRDefault="009F0575" w:rsidP="00BF5F6F">
            <w:pPr>
              <w:tabs>
                <w:tab w:val="left" w:pos="576"/>
                <w:tab w:val="left" w:pos="1152"/>
              </w:tabs>
              <w:spacing w:before="40" w:after="80"/>
              <w:ind w:right="43"/>
              <w:rPr>
                <w:b/>
              </w:rPr>
            </w:pPr>
            <w:r>
              <w:rPr>
                <w:b/>
              </w:rPr>
              <w:t>Décision du Comité</w:t>
            </w:r>
            <w:r w:rsidRPr="009F0575">
              <w:t> :</w:t>
            </w:r>
            <w:r w:rsidRPr="00477FE1">
              <w:t xml:space="preserve"> </w:t>
            </w:r>
            <w:r w:rsidR="009165A2">
              <w:t xml:space="preserve">Poursuivre le dialogue au titre </w:t>
            </w:r>
            <w:r w:rsidR="00477FE1">
              <w:t>du suivi.</w:t>
            </w:r>
          </w:p>
        </w:tc>
      </w:tr>
    </w:tbl>
    <w:p w:rsidR="009165A2" w:rsidRPr="00477FE1" w:rsidRDefault="009165A2" w:rsidP="00BC2934">
      <w:pPr>
        <w:pStyle w:val="SingleTxt"/>
        <w:spacing w:after="0" w:line="120" w:lineRule="exact"/>
        <w:rPr>
          <w:sz w:val="10"/>
        </w:rPr>
      </w:pPr>
    </w:p>
    <w:p w:rsidR="00477FE1" w:rsidRPr="00765C94" w:rsidRDefault="00477FE1" w:rsidP="00BC2934">
      <w:pPr>
        <w:pStyle w:val="SingleTxt"/>
        <w:spacing w:after="0" w:line="120" w:lineRule="exact"/>
        <w:rPr>
          <w:sz w:val="10"/>
        </w:rPr>
      </w:pPr>
    </w:p>
    <w:p w:rsidR="00765C94" w:rsidRPr="00477FE1" w:rsidRDefault="00765C94" w:rsidP="00BC2934">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93"/>
        <w:gridCol w:w="4045"/>
      </w:tblGrid>
      <w:tr w:rsidR="009165A2" w:rsidRPr="00862DB4" w:rsidTr="007D4C23">
        <w:trPr>
          <w:tblHeader/>
          <w:jc w:val="center"/>
        </w:trPr>
        <w:tc>
          <w:tcPr>
            <w:tcW w:w="3393" w:type="dxa"/>
            <w:tcBorders>
              <w:top w:val="single" w:sz="4" w:space="0" w:color="auto"/>
              <w:bottom w:val="single" w:sz="12" w:space="0" w:color="auto"/>
            </w:tcBorders>
            <w:shd w:val="clear" w:color="auto" w:fill="auto"/>
            <w:vAlign w:val="bottom"/>
          </w:tcPr>
          <w:p w:rsidR="009165A2" w:rsidRPr="00767D37" w:rsidRDefault="009165A2" w:rsidP="001F3751">
            <w:pPr>
              <w:keepNext/>
              <w:keepLines/>
              <w:tabs>
                <w:tab w:val="left" w:pos="288"/>
                <w:tab w:val="left" w:pos="576"/>
                <w:tab w:val="left" w:pos="864"/>
                <w:tab w:val="left" w:pos="1152"/>
              </w:tabs>
              <w:spacing w:before="80" w:after="80" w:line="200" w:lineRule="exact"/>
              <w:ind w:right="43"/>
              <w:rPr>
                <w:b/>
                <w:bCs/>
                <w:iCs/>
              </w:rPr>
            </w:pPr>
            <w:r>
              <w:rPr>
                <w:b/>
                <w:szCs w:val="20"/>
              </w:rPr>
              <w:t>Suisse</w:t>
            </w:r>
          </w:p>
        </w:tc>
        <w:tc>
          <w:tcPr>
            <w:tcW w:w="4045" w:type="dxa"/>
            <w:tcBorders>
              <w:top w:val="single" w:sz="4" w:space="0" w:color="auto"/>
              <w:bottom w:val="single" w:sz="12" w:space="0" w:color="auto"/>
            </w:tcBorders>
            <w:shd w:val="clear" w:color="auto" w:fill="auto"/>
          </w:tcPr>
          <w:p w:rsidR="009165A2" w:rsidRPr="00862DB4" w:rsidRDefault="009165A2" w:rsidP="001F3751">
            <w:pPr>
              <w:keepNext/>
              <w:keepLines/>
              <w:tabs>
                <w:tab w:val="left" w:pos="288"/>
                <w:tab w:val="left" w:pos="576"/>
                <w:tab w:val="left" w:pos="864"/>
                <w:tab w:val="left" w:pos="1152"/>
              </w:tabs>
              <w:spacing w:before="80" w:after="80" w:line="200" w:lineRule="exact"/>
              <w:ind w:right="43"/>
              <w:rPr>
                <w:i/>
                <w:iCs/>
              </w:rPr>
            </w:pPr>
          </w:p>
        </w:tc>
      </w:tr>
      <w:tr w:rsidR="009165A2" w:rsidRPr="00862DB4" w:rsidTr="007D4C23">
        <w:trPr>
          <w:trHeight w:hRule="exact" w:val="115"/>
          <w:tblHeader/>
          <w:jc w:val="center"/>
        </w:trPr>
        <w:tc>
          <w:tcPr>
            <w:tcW w:w="3393" w:type="dxa"/>
            <w:tcBorders>
              <w:top w:val="single" w:sz="12" w:space="0" w:color="auto"/>
            </w:tcBorders>
            <w:shd w:val="clear" w:color="auto" w:fill="auto"/>
            <w:vAlign w:val="bottom"/>
          </w:tcPr>
          <w:p w:rsidR="009165A2" w:rsidRPr="00767D37" w:rsidRDefault="009165A2" w:rsidP="001F3751">
            <w:pPr>
              <w:keepNext/>
              <w:keepLines/>
              <w:rPr>
                <w:b/>
              </w:rPr>
            </w:pPr>
          </w:p>
        </w:tc>
        <w:tc>
          <w:tcPr>
            <w:tcW w:w="4045" w:type="dxa"/>
            <w:tcBorders>
              <w:top w:val="single" w:sz="12" w:space="0" w:color="auto"/>
            </w:tcBorders>
            <w:shd w:val="clear" w:color="auto" w:fill="auto"/>
          </w:tcPr>
          <w:p w:rsidR="009165A2" w:rsidRPr="00862DB4" w:rsidRDefault="009165A2" w:rsidP="001F3751">
            <w:pPr>
              <w:keepNext/>
              <w:keepLines/>
              <w:tabs>
                <w:tab w:val="left" w:pos="288"/>
                <w:tab w:val="left" w:pos="576"/>
                <w:tab w:val="left" w:pos="864"/>
                <w:tab w:val="left" w:pos="1152"/>
              </w:tabs>
              <w:spacing w:before="40" w:after="80"/>
              <w:ind w:right="40"/>
              <w:rPr>
                <w:i/>
                <w:iCs/>
              </w:rPr>
            </w:pPr>
          </w:p>
        </w:tc>
      </w:tr>
      <w:tr w:rsidR="009165A2" w:rsidRPr="00862DB4" w:rsidTr="007D4C23">
        <w:trPr>
          <w:tblHeader/>
          <w:jc w:val="center"/>
        </w:trPr>
        <w:tc>
          <w:tcPr>
            <w:tcW w:w="3393" w:type="dxa"/>
            <w:shd w:val="clear" w:color="auto" w:fill="auto"/>
          </w:tcPr>
          <w:p w:rsidR="009165A2" w:rsidRPr="00862DB4" w:rsidRDefault="009165A2" w:rsidP="001F3751">
            <w:pPr>
              <w:keepNext/>
              <w:keepLines/>
              <w:tabs>
                <w:tab w:val="left" w:pos="288"/>
                <w:tab w:val="left" w:pos="576"/>
                <w:tab w:val="left" w:pos="864"/>
                <w:tab w:val="left" w:pos="1152"/>
              </w:tabs>
              <w:spacing w:before="40" w:after="80"/>
              <w:ind w:right="40"/>
              <w:rPr>
                <w:b/>
                <w:bCs/>
              </w:rPr>
            </w:pPr>
            <w:r>
              <w:rPr>
                <w:b/>
              </w:rPr>
              <w:t>Affaire</w:t>
            </w:r>
          </w:p>
        </w:tc>
        <w:tc>
          <w:tcPr>
            <w:tcW w:w="4045" w:type="dxa"/>
            <w:shd w:val="clear" w:color="auto" w:fill="auto"/>
          </w:tcPr>
          <w:p w:rsidR="009165A2" w:rsidRPr="00727925" w:rsidRDefault="009165A2" w:rsidP="001F3751">
            <w:pPr>
              <w:keepNext/>
              <w:keepLines/>
              <w:tabs>
                <w:tab w:val="left" w:pos="288"/>
                <w:tab w:val="left" w:pos="576"/>
                <w:tab w:val="left" w:pos="864"/>
                <w:tab w:val="left" w:pos="1152"/>
              </w:tabs>
              <w:spacing w:before="40" w:after="80"/>
              <w:ind w:right="40"/>
              <w:rPr>
                <w:bCs/>
              </w:rPr>
            </w:pPr>
            <w:r>
              <w:rPr>
                <w:i/>
                <w:iCs/>
              </w:rPr>
              <w:t>X.,</w:t>
            </w:r>
            <w:r w:rsidRPr="00951229">
              <w:rPr>
                <w:iCs/>
              </w:rPr>
              <w:t xml:space="preserve"> 470/2011</w:t>
            </w:r>
          </w:p>
        </w:tc>
      </w:tr>
      <w:tr w:rsidR="009165A2" w:rsidRPr="00862DB4" w:rsidTr="007D4C23">
        <w:trPr>
          <w:tblHeader/>
          <w:jc w:val="center"/>
        </w:trPr>
        <w:tc>
          <w:tcPr>
            <w:tcW w:w="3393" w:type="dxa"/>
            <w:shd w:val="clear" w:color="auto" w:fill="auto"/>
          </w:tcPr>
          <w:p w:rsidR="009165A2" w:rsidRPr="00131A9C" w:rsidRDefault="009165A2" w:rsidP="001F3751">
            <w:pPr>
              <w:keepNext/>
              <w:keepLines/>
              <w:tabs>
                <w:tab w:val="left" w:pos="288"/>
                <w:tab w:val="left" w:pos="576"/>
                <w:tab w:val="left" w:pos="864"/>
                <w:tab w:val="left" w:pos="1152"/>
              </w:tabs>
              <w:spacing w:before="40" w:after="80"/>
              <w:ind w:right="40"/>
              <w:rPr>
                <w:b/>
              </w:rPr>
            </w:pPr>
            <w:r>
              <w:rPr>
                <w:b/>
              </w:rPr>
              <w:t>Décision adoptée</w:t>
            </w:r>
            <w:r w:rsidR="00131FA4">
              <w:rPr>
                <w:b/>
              </w:rPr>
              <w:t xml:space="preserve"> le</w:t>
            </w:r>
          </w:p>
        </w:tc>
        <w:tc>
          <w:tcPr>
            <w:tcW w:w="4045" w:type="dxa"/>
            <w:shd w:val="clear" w:color="auto" w:fill="auto"/>
          </w:tcPr>
          <w:p w:rsidR="009165A2" w:rsidRPr="00727925" w:rsidRDefault="00131FA4" w:rsidP="001F3751">
            <w:pPr>
              <w:keepNext/>
              <w:keepLines/>
              <w:tabs>
                <w:tab w:val="left" w:pos="288"/>
                <w:tab w:val="left" w:pos="576"/>
                <w:tab w:val="left" w:pos="864"/>
                <w:tab w:val="left" w:pos="1152"/>
              </w:tabs>
              <w:spacing w:before="40" w:after="80"/>
              <w:ind w:right="40"/>
              <w:rPr>
                <w:bCs/>
              </w:rPr>
            </w:pPr>
            <w:r>
              <w:t>24 </w:t>
            </w:r>
            <w:r w:rsidR="009165A2">
              <w:t>novembre 2014</w:t>
            </w:r>
          </w:p>
        </w:tc>
      </w:tr>
      <w:tr w:rsidR="009165A2" w:rsidRPr="00862DB4" w:rsidTr="007D4C23">
        <w:trPr>
          <w:tblHeader/>
          <w:jc w:val="center"/>
        </w:trPr>
        <w:tc>
          <w:tcPr>
            <w:tcW w:w="3393" w:type="dxa"/>
            <w:shd w:val="clear" w:color="auto" w:fill="auto"/>
          </w:tcPr>
          <w:p w:rsidR="009165A2" w:rsidRPr="00C2406A" w:rsidRDefault="009165A2" w:rsidP="00765C94">
            <w:pPr>
              <w:tabs>
                <w:tab w:val="left" w:pos="288"/>
                <w:tab w:val="left" w:pos="576"/>
                <w:tab w:val="left" w:pos="864"/>
                <w:tab w:val="left" w:pos="1152"/>
              </w:tabs>
              <w:spacing w:before="40" w:after="80"/>
              <w:ind w:right="40"/>
              <w:rPr>
                <w:b/>
              </w:rPr>
            </w:pPr>
            <w:r>
              <w:rPr>
                <w:b/>
              </w:rPr>
              <w:t>Violation constatée</w:t>
            </w:r>
          </w:p>
        </w:tc>
        <w:tc>
          <w:tcPr>
            <w:tcW w:w="4045" w:type="dxa"/>
            <w:shd w:val="clear" w:color="auto" w:fill="auto"/>
          </w:tcPr>
          <w:p w:rsidR="009165A2" w:rsidRPr="00727925" w:rsidRDefault="009165A2" w:rsidP="00765C94">
            <w:pPr>
              <w:tabs>
                <w:tab w:val="left" w:pos="288"/>
                <w:tab w:val="left" w:pos="576"/>
                <w:tab w:val="left" w:pos="864"/>
                <w:tab w:val="left" w:pos="1152"/>
              </w:tabs>
              <w:spacing w:before="40" w:after="80"/>
              <w:ind w:right="40"/>
              <w:rPr>
                <w:bCs/>
              </w:rPr>
            </w:pPr>
            <w:r>
              <w:t>Article 3</w:t>
            </w:r>
          </w:p>
        </w:tc>
      </w:tr>
      <w:tr w:rsidR="009165A2" w:rsidRPr="00862DB4" w:rsidTr="007D4C23">
        <w:trPr>
          <w:trHeight w:val="20"/>
          <w:tblHeader/>
          <w:jc w:val="center"/>
        </w:trPr>
        <w:tc>
          <w:tcPr>
            <w:tcW w:w="7438" w:type="dxa"/>
            <w:gridSpan w:val="2"/>
            <w:shd w:val="clear" w:color="auto" w:fill="auto"/>
          </w:tcPr>
          <w:p w:rsidR="009165A2" w:rsidRPr="00131A9C" w:rsidRDefault="00131FA4" w:rsidP="00765C94">
            <w:pPr>
              <w:tabs>
                <w:tab w:val="left" w:pos="576"/>
                <w:tab w:val="left" w:pos="1152"/>
              </w:tabs>
              <w:spacing w:before="40" w:after="80"/>
              <w:ind w:right="43"/>
              <w:rPr>
                <w:b/>
              </w:rPr>
            </w:pPr>
            <w:r w:rsidRPr="00131FA4">
              <w:rPr>
                <w:b/>
              </w:rPr>
              <w:t>Recommandation</w:t>
            </w:r>
            <w:r>
              <w:t xml:space="preserve"> : </w:t>
            </w:r>
            <w:r w:rsidR="009165A2">
              <w:t>L’État partie est tenu de s’abstenir de renvoyer de force le requérant en République islamique d’Iran ou dans tout autre pays où il court un risque réel d’être expulsé ou renvoyé en République islamique d’Iran.</w:t>
            </w:r>
          </w:p>
        </w:tc>
      </w:tr>
      <w:tr w:rsidR="009165A2" w:rsidRPr="00862DB4" w:rsidTr="007D4C23">
        <w:trPr>
          <w:tblHeader/>
          <w:jc w:val="center"/>
        </w:trPr>
        <w:tc>
          <w:tcPr>
            <w:tcW w:w="7438" w:type="dxa"/>
            <w:gridSpan w:val="2"/>
            <w:shd w:val="clear" w:color="auto" w:fill="auto"/>
          </w:tcPr>
          <w:p w:rsidR="009165A2" w:rsidRPr="00131A9C" w:rsidRDefault="00AC1213" w:rsidP="00BA1914">
            <w:pPr>
              <w:tabs>
                <w:tab w:val="left" w:pos="576"/>
                <w:tab w:val="left" w:pos="1152"/>
              </w:tabs>
              <w:spacing w:before="40" w:after="80"/>
              <w:ind w:right="43"/>
              <w:rPr>
                <w:b/>
              </w:rPr>
            </w:pPr>
            <w:r w:rsidRPr="00AC1213">
              <w:rPr>
                <w:b/>
              </w:rPr>
              <w:t>Suivi</w:t>
            </w:r>
            <w:r>
              <w:t xml:space="preserve"> : </w:t>
            </w:r>
            <w:r w:rsidR="009165A2">
              <w:t xml:space="preserve">Le </w:t>
            </w:r>
            <w:r w:rsidR="000052B0">
              <w:t>1</w:t>
            </w:r>
            <w:r w:rsidR="009165A2">
              <w:t>9</w:t>
            </w:r>
            <w:r>
              <w:t> </w:t>
            </w:r>
            <w:r w:rsidR="009165A2">
              <w:t xml:space="preserve">janvier 2015, l’État partie a fait savoir que, suite à la décision du Comité, </w:t>
            </w:r>
            <w:r>
              <w:t xml:space="preserve">il avait </w:t>
            </w:r>
            <w:r w:rsidR="009165A2">
              <w:t>accord</w:t>
            </w:r>
            <w:r>
              <w:t>é</w:t>
            </w:r>
            <w:r w:rsidR="009165A2">
              <w:t xml:space="preserve"> le statut de réfugié </w:t>
            </w:r>
            <w:r>
              <w:t xml:space="preserve">au requérant et lui avait délivré </w:t>
            </w:r>
            <w:r w:rsidR="009165A2">
              <w:t>un permis de séjour le 16 janvier 2015. Le 20</w:t>
            </w:r>
            <w:r>
              <w:t> </w:t>
            </w:r>
            <w:r w:rsidR="009165A2">
              <w:t xml:space="preserve">janvier 2015, le conseil du requérant a confirmé que son client avait obtenu le statut de réfugié et n’était plus </w:t>
            </w:r>
            <w:r>
              <w:t>menacé</w:t>
            </w:r>
            <w:r w:rsidR="009165A2">
              <w:t xml:space="preserve"> d’être renvoyé.</w:t>
            </w:r>
          </w:p>
        </w:tc>
      </w:tr>
      <w:tr w:rsidR="009165A2" w:rsidRPr="00862DB4" w:rsidTr="007D4C23">
        <w:trPr>
          <w:trHeight w:val="20"/>
          <w:tblHeader/>
          <w:jc w:val="center"/>
        </w:trPr>
        <w:tc>
          <w:tcPr>
            <w:tcW w:w="7438" w:type="dxa"/>
            <w:gridSpan w:val="2"/>
            <w:tcBorders>
              <w:bottom w:val="single" w:sz="12" w:space="0" w:color="auto"/>
            </w:tcBorders>
            <w:shd w:val="clear" w:color="auto" w:fill="auto"/>
          </w:tcPr>
          <w:p w:rsidR="009165A2" w:rsidRDefault="009165A2" w:rsidP="00BA1914">
            <w:pPr>
              <w:tabs>
                <w:tab w:val="left" w:pos="288"/>
                <w:tab w:val="left" w:pos="576"/>
                <w:tab w:val="left" w:pos="864"/>
                <w:tab w:val="left" w:pos="1152"/>
              </w:tabs>
              <w:spacing w:before="40" w:after="80"/>
              <w:ind w:right="40"/>
              <w:rPr>
                <w:b/>
              </w:rPr>
            </w:pPr>
            <w:r>
              <w:rPr>
                <w:b/>
              </w:rPr>
              <w:t xml:space="preserve">Décision du </w:t>
            </w:r>
            <w:r w:rsidRPr="008D042A">
              <w:rPr>
                <w:b/>
              </w:rPr>
              <w:t>Comité</w:t>
            </w:r>
            <w:r w:rsidR="00AC1213" w:rsidRPr="00AC1213">
              <w:t xml:space="preserve"> : </w:t>
            </w:r>
            <w:r w:rsidR="00AC1213">
              <w:t xml:space="preserve">Mettre fin au dialogue au titre du suivi en concluant </w:t>
            </w:r>
            <w:r w:rsidR="00157DA0">
              <w:t xml:space="preserve">à </w:t>
            </w:r>
            <w:r w:rsidR="00AC1213">
              <w:t>un règlement satisfaisant.</w:t>
            </w:r>
          </w:p>
        </w:tc>
      </w:tr>
    </w:tbl>
    <w:p w:rsidR="009165A2" w:rsidRPr="00CC49F2" w:rsidRDefault="009165A2" w:rsidP="00CC49F2">
      <w:pPr>
        <w:pStyle w:val="SingleTxt"/>
        <w:spacing w:after="0" w:line="120" w:lineRule="exact"/>
        <w:rPr>
          <w:sz w:val="10"/>
        </w:rPr>
      </w:pPr>
    </w:p>
    <w:p w:rsidR="00CC49F2" w:rsidRPr="00B05C4E" w:rsidRDefault="00CC49F2" w:rsidP="00B05C4E">
      <w:pPr>
        <w:pStyle w:val="SingleTxt"/>
        <w:spacing w:after="0" w:line="120" w:lineRule="exact"/>
        <w:rPr>
          <w:sz w:val="10"/>
        </w:rPr>
      </w:pPr>
    </w:p>
    <w:p w:rsidR="00B05C4E" w:rsidRPr="00CC49F2" w:rsidRDefault="00B05C4E" w:rsidP="00CC49F2">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59"/>
      </w:tblGrid>
      <w:tr w:rsidR="009165A2" w:rsidRPr="00862DB4" w:rsidTr="00CC49F2">
        <w:trPr>
          <w:jc w:val="center"/>
        </w:trPr>
        <w:tc>
          <w:tcPr>
            <w:tcW w:w="3347" w:type="dxa"/>
            <w:tcBorders>
              <w:top w:val="single" w:sz="4" w:space="0" w:color="auto"/>
              <w:bottom w:val="single" w:sz="12" w:space="0" w:color="auto"/>
            </w:tcBorders>
            <w:shd w:val="clear" w:color="auto" w:fill="auto"/>
            <w:vAlign w:val="bottom"/>
          </w:tcPr>
          <w:p w:rsidR="009165A2" w:rsidRPr="00767D37" w:rsidRDefault="009165A2" w:rsidP="00FC7A88">
            <w:pPr>
              <w:keepNext/>
              <w:keepLines/>
              <w:tabs>
                <w:tab w:val="left" w:pos="288"/>
                <w:tab w:val="left" w:pos="576"/>
                <w:tab w:val="left" w:pos="864"/>
                <w:tab w:val="left" w:pos="1152"/>
              </w:tabs>
              <w:spacing w:before="80" w:after="80" w:line="200" w:lineRule="exact"/>
              <w:ind w:right="43"/>
              <w:rPr>
                <w:b/>
                <w:bCs/>
                <w:iCs/>
              </w:rPr>
            </w:pPr>
            <w:r>
              <w:rPr>
                <w:b/>
                <w:szCs w:val="20"/>
              </w:rPr>
              <w:t>Suisse</w:t>
            </w:r>
          </w:p>
        </w:tc>
        <w:tc>
          <w:tcPr>
            <w:tcW w:w="4059" w:type="dxa"/>
            <w:tcBorders>
              <w:top w:val="single" w:sz="4" w:space="0" w:color="auto"/>
              <w:bottom w:val="single" w:sz="12" w:space="0" w:color="auto"/>
            </w:tcBorders>
            <w:shd w:val="clear" w:color="auto" w:fill="auto"/>
          </w:tcPr>
          <w:p w:rsidR="009165A2" w:rsidRPr="00862DB4" w:rsidRDefault="009165A2" w:rsidP="00FC7A88">
            <w:pPr>
              <w:keepNext/>
              <w:keepLines/>
              <w:tabs>
                <w:tab w:val="left" w:pos="288"/>
                <w:tab w:val="left" w:pos="576"/>
                <w:tab w:val="left" w:pos="864"/>
                <w:tab w:val="left" w:pos="1152"/>
              </w:tabs>
              <w:spacing w:before="80" w:after="80" w:line="200" w:lineRule="exact"/>
              <w:ind w:right="43"/>
              <w:rPr>
                <w:i/>
                <w:iCs/>
              </w:rPr>
            </w:pPr>
          </w:p>
        </w:tc>
      </w:tr>
      <w:tr w:rsidR="009165A2" w:rsidRPr="00862DB4" w:rsidTr="00CC49F2">
        <w:trPr>
          <w:trHeight w:hRule="exact" w:val="115"/>
          <w:jc w:val="center"/>
        </w:trPr>
        <w:tc>
          <w:tcPr>
            <w:tcW w:w="3347" w:type="dxa"/>
            <w:tcBorders>
              <w:top w:val="single" w:sz="12" w:space="0" w:color="auto"/>
            </w:tcBorders>
            <w:shd w:val="clear" w:color="auto" w:fill="auto"/>
            <w:vAlign w:val="bottom"/>
          </w:tcPr>
          <w:p w:rsidR="009165A2" w:rsidRPr="00767D37" w:rsidRDefault="009165A2" w:rsidP="008660D8">
            <w:pPr>
              <w:keepNext/>
              <w:keepLines/>
              <w:rPr>
                <w:b/>
              </w:rPr>
            </w:pPr>
          </w:p>
        </w:tc>
        <w:tc>
          <w:tcPr>
            <w:tcW w:w="4059" w:type="dxa"/>
            <w:tcBorders>
              <w:top w:val="single" w:sz="12" w:space="0" w:color="auto"/>
            </w:tcBorders>
            <w:shd w:val="clear" w:color="auto" w:fill="auto"/>
          </w:tcPr>
          <w:p w:rsidR="009165A2" w:rsidRPr="00862DB4" w:rsidRDefault="009165A2" w:rsidP="008660D8">
            <w:pPr>
              <w:keepNext/>
              <w:keepLines/>
              <w:tabs>
                <w:tab w:val="left" w:pos="288"/>
                <w:tab w:val="left" w:pos="576"/>
                <w:tab w:val="left" w:pos="864"/>
                <w:tab w:val="left" w:pos="1152"/>
              </w:tabs>
              <w:spacing w:before="40" w:after="80"/>
              <w:ind w:right="40"/>
              <w:rPr>
                <w:i/>
                <w:iCs/>
              </w:rPr>
            </w:pPr>
          </w:p>
        </w:tc>
      </w:tr>
      <w:tr w:rsidR="009165A2" w:rsidRPr="00862DB4" w:rsidTr="00CC49F2">
        <w:trPr>
          <w:jc w:val="center"/>
        </w:trPr>
        <w:tc>
          <w:tcPr>
            <w:tcW w:w="3347" w:type="dxa"/>
            <w:shd w:val="clear" w:color="auto" w:fill="auto"/>
          </w:tcPr>
          <w:p w:rsidR="009165A2" w:rsidRPr="00862DB4" w:rsidRDefault="009165A2" w:rsidP="00BA1914">
            <w:pPr>
              <w:keepNext/>
              <w:keepLines/>
              <w:tabs>
                <w:tab w:val="left" w:pos="288"/>
                <w:tab w:val="left" w:pos="576"/>
                <w:tab w:val="left" w:pos="864"/>
                <w:tab w:val="left" w:pos="1152"/>
              </w:tabs>
              <w:spacing w:before="40" w:after="80"/>
              <w:ind w:right="40"/>
              <w:rPr>
                <w:b/>
                <w:bCs/>
              </w:rPr>
            </w:pPr>
            <w:r>
              <w:rPr>
                <w:b/>
              </w:rPr>
              <w:t>Affaire</w:t>
            </w:r>
          </w:p>
        </w:tc>
        <w:tc>
          <w:tcPr>
            <w:tcW w:w="4059" w:type="dxa"/>
            <w:shd w:val="clear" w:color="auto" w:fill="auto"/>
          </w:tcPr>
          <w:p w:rsidR="009165A2" w:rsidRPr="00727925" w:rsidRDefault="009165A2" w:rsidP="00BA1914">
            <w:pPr>
              <w:keepNext/>
              <w:keepLines/>
              <w:tabs>
                <w:tab w:val="left" w:pos="288"/>
                <w:tab w:val="left" w:pos="576"/>
                <w:tab w:val="left" w:pos="864"/>
                <w:tab w:val="left" w:pos="1152"/>
              </w:tabs>
              <w:spacing w:before="40" w:after="80"/>
              <w:ind w:right="40"/>
              <w:rPr>
                <w:bCs/>
              </w:rPr>
            </w:pPr>
            <w:r>
              <w:rPr>
                <w:i/>
                <w:iCs/>
              </w:rPr>
              <w:t xml:space="preserve">Fadel, </w:t>
            </w:r>
            <w:r w:rsidRPr="00BA7EFA">
              <w:rPr>
                <w:iCs/>
              </w:rPr>
              <w:t>450/2011</w:t>
            </w:r>
          </w:p>
        </w:tc>
      </w:tr>
      <w:tr w:rsidR="009165A2" w:rsidRPr="00862DB4" w:rsidTr="00CC49F2">
        <w:trPr>
          <w:jc w:val="center"/>
        </w:trPr>
        <w:tc>
          <w:tcPr>
            <w:tcW w:w="3347" w:type="dxa"/>
            <w:shd w:val="clear" w:color="auto" w:fill="auto"/>
          </w:tcPr>
          <w:p w:rsidR="009165A2" w:rsidRPr="00131A9C" w:rsidRDefault="009165A2" w:rsidP="00BA1914">
            <w:pPr>
              <w:keepNext/>
              <w:keepLines/>
              <w:tabs>
                <w:tab w:val="left" w:pos="288"/>
                <w:tab w:val="left" w:pos="576"/>
                <w:tab w:val="left" w:pos="864"/>
                <w:tab w:val="left" w:pos="1152"/>
              </w:tabs>
              <w:spacing w:before="40" w:after="80"/>
              <w:ind w:right="40"/>
              <w:rPr>
                <w:b/>
              </w:rPr>
            </w:pPr>
            <w:r>
              <w:rPr>
                <w:b/>
              </w:rPr>
              <w:t>Décision adoptée</w:t>
            </w:r>
            <w:r w:rsidR="00FB4667">
              <w:rPr>
                <w:b/>
              </w:rPr>
              <w:t xml:space="preserve"> le</w:t>
            </w:r>
          </w:p>
        </w:tc>
        <w:tc>
          <w:tcPr>
            <w:tcW w:w="4059" w:type="dxa"/>
            <w:shd w:val="clear" w:color="auto" w:fill="auto"/>
          </w:tcPr>
          <w:p w:rsidR="009165A2" w:rsidRPr="00727925" w:rsidRDefault="009165A2" w:rsidP="00BA1914">
            <w:pPr>
              <w:keepNext/>
              <w:keepLines/>
              <w:tabs>
                <w:tab w:val="left" w:pos="288"/>
                <w:tab w:val="left" w:pos="576"/>
                <w:tab w:val="left" w:pos="864"/>
                <w:tab w:val="left" w:pos="1152"/>
              </w:tabs>
              <w:spacing w:before="40" w:after="80"/>
              <w:ind w:right="40"/>
              <w:rPr>
                <w:bCs/>
              </w:rPr>
            </w:pPr>
            <w:r>
              <w:t>1</w:t>
            </w:r>
            <w:r w:rsidR="00FB4667">
              <w:t>4 </w:t>
            </w:r>
            <w:r>
              <w:t>novembre 2014</w:t>
            </w:r>
          </w:p>
        </w:tc>
      </w:tr>
      <w:tr w:rsidR="009165A2" w:rsidRPr="00862DB4" w:rsidTr="00CC49F2">
        <w:trPr>
          <w:jc w:val="center"/>
        </w:trPr>
        <w:tc>
          <w:tcPr>
            <w:tcW w:w="3347" w:type="dxa"/>
            <w:shd w:val="clear" w:color="auto" w:fill="auto"/>
          </w:tcPr>
          <w:p w:rsidR="009165A2" w:rsidRPr="00C2406A" w:rsidRDefault="009165A2" w:rsidP="00BA1914">
            <w:pPr>
              <w:tabs>
                <w:tab w:val="left" w:pos="288"/>
                <w:tab w:val="left" w:pos="576"/>
                <w:tab w:val="left" w:pos="864"/>
                <w:tab w:val="left" w:pos="1152"/>
              </w:tabs>
              <w:spacing w:before="40" w:after="80"/>
              <w:ind w:right="40"/>
              <w:rPr>
                <w:b/>
              </w:rPr>
            </w:pPr>
            <w:r>
              <w:rPr>
                <w:b/>
              </w:rPr>
              <w:t>Violation constatée</w:t>
            </w:r>
          </w:p>
        </w:tc>
        <w:tc>
          <w:tcPr>
            <w:tcW w:w="4059" w:type="dxa"/>
            <w:shd w:val="clear" w:color="auto" w:fill="auto"/>
          </w:tcPr>
          <w:p w:rsidR="009165A2" w:rsidRPr="00727925" w:rsidRDefault="009165A2" w:rsidP="00BA1914">
            <w:pPr>
              <w:tabs>
                <w:tab w:val="left" w:pos="288"/>
                <w:tab w:val="left" w:pos="576"/>
                <w:tab w:val="left" w:pos="864"/>
                <w:tab w:val="left" w:pos="1152"/>
              </w:tabs>
              <w:spacing w:before="40" w:after="80"/>
              <w:ind w:right="40"/>
              <w:rPr>
                <w:bCs/>
              </w:rPr>
            </w:pPr>
            <w:r>
              <w:t>Article 3</w:t>
            </w:r>
          </w:p>
        </w:tc>
      </w:tr>
      <w:tr w:rsidR="009165A2" w:rsidRPr="00862DB4" w:rsidTr="00CC49F2">
        <w:trPr>
          <w:trHeight w:val="20"/>
          <w:jc w:val="center"/>
        </w:trPr>
        <w:tc>
          <w:tcPr>
            <w:tcW w:w="7406" w:type="dxa"/>
            <w:gridSpan w:val="2"/>
            <w:shd w:val="clear" w:color="auto" w:fill="auto"/>
          </w:tcPr>
          <w:p w:rsidR="009165A2" w:rsidRPr="00131A9C" w:rsidRDefault="00FB4667" w:rsidP="00BA1914">
            <w:pPr>
              <w:tabs>
                <w:tab w:val="left" w:pos="576"/>
                <w:tab w:val="left" w:pos="1152"/>
              </w:tabs>
              <w:spacing w:before="40" w:after="80"/>
              <w:ind w:right="43"/>
              <w:rPr>
                <w:b/>
              </w:rPr>
            </w:pPr>
            <w:r w:rsidRPr="00FB4667">
              <w:rPr>
                <w:b/>
              </w:rPr>
              <w:t>Recommandation</w:t>
            </w:r>
            <w:r>
              <w:t xml:space="preserve"> : </w:t>
            </w:r>
            <w:r w:rsidR="009165A2">
              <w:t>Le Comité a invité l’État partie à l’informer</w:t>
            </w:r>
            <w:r>
              <w:t>, dans un délai de quatre-vingt</w:t>
            </w:r>
            <w:r w:rsidR="009165A2">
              <w:t>-dix jours à compter de la date de la transmission de sa décision, des mesures prises en réponse à ses observations.</w:t>
            </w:r>
          </w:p>
        </w:tc>
      </w:tr>
      <w:tr w:rsidR="009165A2" w:rsidRPr="00862DB4" w:rsidTr="00CC49F2">
        <w:trPr>
          <w:jc w:val="center"/>
        </w:trPr>
        <w:tc>
          <w:tcPr>
            <w:tcW w:w="7406" w:type="dxa"/>
            <w:gridSpan w:val="2"/>
            <w:shd w:val="clear" w:color="auto" w:fill="auto"/>
          </w:tcPr>
          <w:p w:rsidR="009165A2" w:rsidRPr="00131A9C" w:rsidRDefault="00FB4667" w:rsidP="00BA1914">
            <w:pPr>
              <w:tabs>
                <w:tab w:val="left" w:pos="576"/>
                <w:tab w:val="left" w:pos="1152"/>
              </w:tabs>
              <w:spacing w:before="40" w:after="80"/>
              <w:ind w:right="43"/>
              <w:rPr>
                <w:b/>
              </w:rPr>
            </w:pPr>
            <w:r w:rsidRPr="00FB4667">
              <w:rPr>
                <w:b/>
              </w:rPr>
              <w:t>Suivi</w:t>
            </w:r>
            <w:r>
              <w:t xml:space="preserve"> : </w:t>
            </w:r>
            <w:r w:rsidR="009165A2">
              <w:t xml:space="preserve">Le </w:t>
            </w:r>
            <w:r>
              <w:t>10 </w:t>
            </w:r>
            <w:r w:rsidR="009165A2">
              <w:t xml:space="preserve">février 2015, l’État partie a fait savoir que, </w:t>
            </w:r>
            <w:r>
              <w:t xml:space="preserve">suite à la décision du Comité, il avait accordé </w:t>
            </w:r>
            <w:r w:rsidR="009165A2">
              <w:t>le statut de réfugié</w:t>
            </w:r>
            <w:r>
              <w:t xml:space="preserve"> au requérant et lui avait délivré un </w:t>
            </w:r>
            <w:r w:rsidR="009165A2">
              <w:t>permis de séjour</w:t>
            </w:r>
            <w:r>
              <w:t xml:space="preserve"> le 3 février 2015, et que ce dernier </w:t>
            </w:r>
            <w:r w:rsidR="009165A2">
              <w:t>ne risquait plus d’être renvoyé au Yémen.</w:t>
            </w:r>
          </w:p>
        </w:tc>
      </w:tr>
      <w:tr w:rsidR="009165A2" w:rsidRPr="00862DB4" w:rsidTr="00CC49F2">
        <w:trPr>
          <w:jc w:val="center"/>
        </w:trPr>
        <w:tc>
          <w:tcPr>
            <w:tcW w:w="7406" w:type="dxa"/>
            <w:gridSpan w:val="2"/>
            <w:shd w:val="clear" w:color="auto" w:fill="auto"/>
          </w:tcPr>
          <w:p w:rsidR="009165A2" w:rsidRDefault="00FB4667" w:rsidP="00BA1914">
            <w:pPr>
              <w:tabs>
                <w:tab w:val="left" w:pos="576"/>
                <w:tab w:val="left" w:pos="1152"/>
              </w:tabs>
              <w:spacing w:before="40" w:after="80"/>
              <w:ind w:right="43"/>
            </w:pPr>
            <w:r>
              <w:t>Le 25 </w:t>
            </w:r>
            <w:r w:rsidR="009165A2">
              <w:t>mars 2015, le conseil du requérant a confirmé qu</w:t>
            </w:r>
            <w:r w:rsidR="007E7D9C">
              <w:t xml:space="preserve">e ce dernier </w:t>
            </w:r>
            <w:r w:rsidR="009165A2">
              <w:t xml:space="preserve">avait obtenu un permis de </w:t>
            </w:r>
            <w:r w:rsidR="007E7D9C">
              <w:t>séjour</w:t>
            </w:r>
            <w:r w:rsidR="009165A2">
              <w:t xml:space="preserve"> et qu’il ne risquait plus d’être expulsé.</w:t>
            </w:r>
          </w:p>
        </w:tc>
      </w:tr>
      <w:tr w:rsidR="009165A2" w:rsidRPr="00862DB4" w:rsidTr="00CC49F2">
        <w:trPr>
          <w:trHeight w:val="255"/>
          <w:jc w:val="center"/>
        </w:trPr>
        <w:tc>
          <w:tcPr>
            <w:tcW w:w="7406" w:type="dxa"/>
            <w:gridSpan w:val="2"/>
            <w:tcBorders>
              <w:bottom w:val="single" w:sz="12" w:space="0" w:color="auto"/>
            </w:tcBorders>
            <w:shd w:val="clear" w:color="auto" w:fill="auto"/>
          </w:tcPr>
          <w:p w:rsidR="009165A2" w:rsidRPr="008D042A" w:rsidRDefault="007E7D9C" w:rsidP="00BA1914">
            <w:pPr>
              <w:tabs>
                <w:tab w:val="left" w:pos="576"/>
                <w:tab w:val="left" w:pos="1152"/>
              </w:tabs>
              <w:spacing w:before="40" w:after="80"/>
              <w:ind w:right="43"/>
              <w:rPr>
                <w:b/>
              </w:rPr>
            </w:pPr>
            <w:r>
              <w:rPr>
                <w:b/>
              </w:rPr>
              <w:t>Décision</w:t>
            </w:r>
            <w:r w:rsidRPr="007E7D9C">
              <w:t xml:space="preserve"> : </w:t>
            </w:r>
            <w:r w:rsidR="009165A2">
              <w:t>Mettre fin au dialogue au titre du suivi en concluant à un règlement satisfaisant.</w:t>
            </w:r>
          </w:p>
        </w:tc>
      </w:tr>
    </w:tbl>
    <w:p w:rsidR="009165A2" w:rsidRPr="007E7D9C" w:rsidRDefault="009165A2" w:rsidP="007E7D9C">
      <w:pPr>
        <w:pStyle w:val="SingleTxt"/>
        <w:spacing w:after="0" w:line="120" w:lineRule="exact"/>
        <w:rPr>
          <w:sz w:val="10"/>
        </w:rPr>
      </w:pPr>
    </w:p>
    <w:p w:rsidR="007E7D9C" w:rsidRPr="00CB3ED6" w:rsidRDefault="007E7D9C" w:rsidP="00CB3ED6">
      <w:pPr>
        <w:pStyle w:val="SingleTxt"/>
        <w:spacing w:after="0" w:line="120" w:lineRule="exact"/>
        <w:rPr>
          <w:sz w:val="10"/>
        </w:rPr>
      </w:pPr>
    </w:p>
    <w:p w:rsidR="00CB3ED6" w:rsidRPr="007E7D9C" w:rsidRDefault="00CB3ED6" w:rsidP="007E7D9C">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9165A2" w:rsidRPr="00862DB4" w:rsidTr="001F3751">
        <w:trPr>
          <w:cantSplit/>
          <w:tblHeader/>
          <w:jc w:val="center"/>
        </w:trPr>
        <w:tc>
          <w:tcPr>
            <w:tcW w:w="3347" w:type="dxa"/>
            <w:tcBorders>
              <w:top w:val="single" w:sz="4" w:space="0" w:color="auto"/>
              <w:bottom w:val="single" w:sz="12" w:space="0" w:color="auto"/>
            </w:tcBorders>
            <w:shd w:val="clear" w:color="auto" w:fill="auto"/>
            <w:vAlign w:val="bottom"/>
          </w:tcPr>
          <w:p w:rsidR="009165A2" w:rsidRPr="00767D37" w:rsidRDefault="009165A2" w:rsidP="00CB3ED6">
            <w:pPr>
              <w:tabs>
                <w:tab w:val="left" w:pos="288"/>
                <w:tab w:val="left" w:pos="576"/>
                <w:tab w:val="left" w:pos="864"/>
                <w:tab w:val="left" w:pos="1152"/>
              </w:tabs>
              <w:spacing w:before="80" w:after="80" w:line="200" w:lineRule="exact"/>
              <w:ind w:right="43"/>
              <w:rPr>
                <w:b/>
                <w:bCs/>
                <w:iCs/>
              </w:rPr>
            </w:pPr>
            <w:r>
              <w:rPr>
                <w:b/>
                <w:szCs w:val="20"/>
              </w:rPr>
              <w:t>Suisse</w:t>
            </w:r>
          </w:p>
        </w:tc>
        <w:tc>
          <w:tcPr>
            <w:tcW w:w="4024" w:type="dxa"/>
            <w:tcBorders>
              <w:top w:val="single" w:sz="4" w:space="0" w:color="auto"/>
              <w:bottom w:val="single" w:sz="12" w:space="0" w:color="auto"/>
            </w:tcBorders>
            <w:shd w:val="clear" w:color="auto" w:fill="auto"/>
          </w:tcPr>
          <w:p w:rsidR="009165A2" w:rsidRPr="00862DB4" w:rsidRDefault="009165A2" w:rsidP="00CB3ED6">
            <w:pPr>
              <w:tabs>
                <w:tab w:val="left" w:pos="288"/>
                <w:tab w:val="left" w:pos="576"/>
                <w:tab w:val="left" w:pos="864"/>
                <w:tab w:val="left" w:pos="1152"/>
              </w:tabs>
              <w:spacing w:before="80" w:after="80" w:line="200" w:lineRule="exact"/>
              <w:ind w:right="43"/>
              <w:rPr>
                <w:i/>
                <w:iCs/>
              </w:rPr>
            </w:pPr>
          </w:p>
        </w:tc>
      </w:tr>
      <w:tr w:rsidR="009165A2" w:rsidRPr="00862DB4" w:rsidTr="001F3751">
        <w:trPr>
          <w:cantSplit/>
          <w:trHeight w:hRule="exact" w:val="115"/>
          <w:jc w:val="center"/>
        </w:trPr>
        <w:tc>
          <w:tcPr>
            <w:tcW w:w="3347" w:type="dxa"/>
            <w:tcBorders>
              <w:top w:val="single" w:sz="12" w:space="0" w:color="auto"/>
            </w:tcBorders>
            <w:shd w:val="clear" w:color="auto" w:fill="auto"/>
            <w:vAlign w:val="bottom"/>
          </w:tcPr>
          <w:p w:rsidR="009165A2" w:rsidRPr="00767D37" w:rsidRDefault="009165A2" w:rsidP="000663AC">
            <w:pPr>
              <w:rPr>
                <w:b/>
              </w:rPr>
            </w:pPr>
          </w:p>
        </w:tc>
        <w:tc>
          <w:tcPr>
            <w:tcW w:w="4024" w:type="dxa"/>
            <w:tcBorders>
              <w:top w:val="single" w:sz="12" w:space="0" w:color="auto"/>
            </w:tcBorders>
            <w:shd w:val="clear" w:color="auto" w:fill="auto"/>
          </w:tcPr>
          <w:p w:rsidR="009165A2" w:rsidRPr="00862DB4" w:rsidRDefault="009165A2" w:rsidP="000663AC">
            <w:pPr>
              <w:tabs>
                <w:tab w:val="left" w:pos="288"/>
                <w:tab w:val="left" w:pos="576"/>
                <w:tab w:val="left" w:pos="864"/>
                <w:tab w:val="left" w:pos="1152"/>
              </w:tabs>
              <w:spacing w:before="40" w:after="80"/>
              <w:ind w:right="40"/>
              <w:rPr>
                <w:i/>
                <w:iCs/>
              </w:rPr>
            </w:pPr>
          </w:p>
        </w:tc>
      </w:tr>
      <w:tr w:rsidR="009165A2" w:rsidRPr="00862DB4" w:rsidTr="001F3751">
        <w:trPr>
          <w:cantSplit/>
          <w:jc w:val="center"/>
        </w:trPr>
        <w:tc>
          <w:tcPr>
            <w:tcW w:w="3347" w:type="dxa"/>
            <w:shd w:val="clear" w:color="auto" w:fill="auto"/>
          </w:tcPr>
          <w:p w:rsidR="009165A2" w:rsidRPr="00862DB4" w:rsidRDefault="009165A2" w:rsidP="00BA1914">
            <w:pPr>
              <w:tabs>
                <w:tab w:val="left" w:pos="288"/>
                <w:tab w:val="left" w:pos="576"/>
                <w:tab w:val="left" w:pos="864"/>
                <w:tab w:val="left" w:pos="1152"/>
              </w:tabs>
              <w:spacing w:before="40" w:after="80"/>
              <w:ind w:right="40"/>
              <w:rPr>
                <w:b/>
                <w:bCs/>
              </w:rPr>
            </w:pPr>
            <w:r>
              <w:rPr>
                <w:b/>
              </w:rPr>
              <w:t>Affaire</w:t>
            </w:r>
          </w:p>
        </w:tc>
        <w:tc>
          <w:tcPr>
            <w:tcW w:w="4024" w:type="dxa"/>
            <w:shd w:val="clear" w:color="auto" w:fill="auto"/>
          </w:tcPr>
          <w:p w:rsidR="009165A2" w:rsidRPr="00727925" w:rsidRDefault="009165A2" w:rsidP="00BA1914">
            <w:pPr>
              <w:tabs>
                <w:tab w:val="left" w:pos="288"/>
                <w:tab w:val="left" w:pos="576"/>
                <w:tab w:val="left" w:pos="864"/>
                <w:tab w:val="left" w:pos="1152"/>
              </w:tabs>
              <w:spacing w:before="40" w:after="80"/>
              <w:ind w:right="40"/>
              <w:rPr>
                <w:bCs/>
              </w:rPr>
            </w:pPr>
            <w:r>
              <w:rPr>
                <w:i/>
                <w:iCs/>
              </w:rPr>
              <w:t xml:space="preserve">Azizi, </w:t>
            </w:r>
            <w:r w:rsidRPr="00D82889">
              <w:rPr>
                <w:iCs/>
              </w:rPr>
              <w:t>492/2011</w:t>
            </w:r>
          </w:p>
        </w:tc>
      </w:tr>
      <w:tr w:rsidR="009165A2" w:rsidRPr="00862DB4" w:rsidTr="001F3751">
        <w:trPr>
          <w:cantSplit/>
          <w:jc w:val="center"/>
        </w:trPr>
        <w:tc>
          <w:tcPr>
            <w:tcW w:w="3347" w:type="dxa"/>
            <w:shd w:val="clear" w:color="auto" w:fill="auto"/>
          </w:tcPr>
          <w:p w:rsidR="009165A2" w:rsidRPr="00131A9C" w:rsidRDefault="009165A2" w:rsidP="00BA1914">
            <w:pPr>
              <w:tabs>
                <w:tab w:val="left" w:pos="288"/>
                <w:tab w:val="left" w:pos="576"/>
                <w:tab w:val="left" w:pos="864"/>
                <w:tab w:val="left" w:pos="1152"/>
              </w:tabs>
              <w:spacing w:before="40" w:after="80"/>
              <w:ind w:right="40"/>
              <w:rPr>
                <w:b/>
              </w:rPr>
            </w:pPr>
            <w:r>
              <w:rPr>
                <w:b/>
              </w:rPr>
              <w:t>Décision adoptée</w:t>
            </w:r>
            <w:r w:rsidR="007E7D9C">
              <w:rPr>
                <w:b/>
              </w:rPr>
              <w:t xml:space="preserve"> le</w:t>
            </w:r>
          </w:p>
        </w:tc>
        <w:tc>
          <w:tcPr>
            <w:tcW w:w="4024" w:type="dxa"/>
            <w:shd w:val="clear" w:color="auto" w:fill="auto"/>
          </w:tcPr>
          <w:p w:rsidR="009165A2" w:rsidRPr="00727925" w:rsidRDefault="007E7D9C" w:rsidP="00BA1914">
            <w:pPr>
              <w:tabs>
                <w:tab w:val="left" w:pos="288"/>
                <w:tab w:val="left" w:pos="576"/>
                <w:tab w:val="left" w:pos="864"/>
                <w:tab w:val="left" w:pos="1152"/>
              </w:tabs>
              <w:spacing w:before="40" w:after="80"/>
              <w:ind w:right="40"/>
              <w:rPr>
                <w:bCs/>
              </w:rPr>
            </w:pPr>
            <w:r>
              <w:t>27 </w:t>
            </w:r>
            <w:r w:rsidR="009165A2">
              <w:t>novembre 2014</w:t>
            </w:r>
          </w:p>
        </w:tc>
      </w:tr>
      <w:tr w:rsidR="009165A2" w:rsidRPr="00862DB4" w:rsidTr="001F3751">
        <w:trPr>
          <w:cantSplit/>
          <w:jc w:val="center"/>
        </w:trPr>
        <w:tc>
          <w:tcPr>
            <w:tcW w:w="3347" w:type="dxa"/>
            <w:shd w:val="clear" w:color="auto" w:fill="auto"/>
          </w:tcPr>
          <w:p w:rsidR="009165A2" w:rsidRPr="00C2406A" w:rsidRDefault="009165A2" w:rsidP="00BA1914">
            <w:pPr>
              <w:tabs>
                <w:tab w:val="left" w:pos="288"/>
                <w:tab w:val="left" w:pos="576"/>
                <w:tab w:val="left" w:pos="864"/>
                <w:tab w:val="left" w:pos="1152"/>
              </w:tabs>
              <w:spacing w:before="40" w:after="80"/>
              <w:ind w:right="40"/>
              <w:rPr>
                <w:b/>
              </w:rPr>
            </w:pPr>
            <w:r>
              <w:rPr>
                <w:b/>
              </w:rPr>
              <w:t>Violation constatée</w:t>
            </w:r>
          </w:p>
        </w:tc>
        <w:tc>
          <w:tcPr>
            <w:tcW w:w="4024" w:type="dxa"/>
            <w:shd w:val="clear" w:color="auto" w:fill="auto"/>
          </w:tcPr>
          <w:p w:rsidR="009165A2" w:rsidRPr="00727925" w:rsidRDefault="009165A2" w:rsidP="00BA1914">
            <w:pPr>
              <w:tabs>
                <w:tab w:val="left" w:pos="288"/>
                <w:tab w:val="left" w:pos="576"/>
                <w:tab w:val="left" w:pos="864"/>
                <w:tab w:val="left" w:pos="1152"/>
              </w:tabs>
              <w:spacing w:before="40" w:after="80"/>
              <w:ind w:right="40"/>
              <w:rPr>
                <w:bCs/>
              </w:rPr>
            </w:pPr>
            <w:r>
              <w:t>Article 3</w:t>
            </w:r>
          </w:p>
        </w:tc>
      </w:tr>
      <w:tr w:rsidR="009165A2" w:rsidRPr="00862DB4" w:rsidTr="001F3751">
        <w:trPr>
          <w:cantSplit/>
          <w:trHeight w:val="20"/>
          <w:jc w:val="center"/>
        </w:trPr>
        <w:tc>
          <w:tcPr>
            <w:tcW w:w="7371" w:type="dxa"/>
            <w:gridSpan w:val="2"/>
            <w:shd w:val="clear" w:color="auto" w:fill="auto"/>
          </w:tcPr>
          <w:p w:rsidR="009165A2" w:rsidRPr="00131A9C" w:rsidRDefault="00A011D7" w:rsidP="00BA1914">
            <w:pPr>
              <w:tabs>
                <w:tab w:val="left" w:pos="576"/>
                <w:tab w:val="left" w:pos="1152"/>
              </w:tabs>
              <w:spacing w:before="40" w:after="80"/>
              <w:ind w:right="43"/>
              <w:rPr>
                <w:b/>
              </w:rPr>
            </w:pPr>
            <w:r w:rsidRPr="00A011D7">
              <w:rPr>
                <w:b/>
              </w:rPr>
              <w:t>Recommandation</w:t>
            </w:r>
            <w:r>
              <w:t xml:space="preserve"> : </w:t>
            </w:r>
            <w:r w:rsidR="009165A2">
              <w:t>Le Comité a demandé à l’État partie de l’informer, dans un délai de quatre-vingt</w:t>
            </w:r>
            <w:r>
              <w:t>-</w:t>
            </w:r>
            <w:r w:rsidR="009165A2">
              <w:t xml:space="preserve">dix jours à </w:t>
            </w:r>
            <w:r>
              <w:t>compter</w:t>
            </w:r>
            <w:r w:rsidR="009165A2">
              <w:t xml:space="preserve"> de la date de la transmission de sa décision, des mesures </w:t>
            </w:r>
            <w:r>
              <w:t xml:space="preserve">pour donner suite </w:t>
            </w:r>
            <w:r w:rsidR="009165A2">
              <w:t>à celle-ci.</w:t>
            </w:r>
          </w:p>
        </w:tc>
      </w:tr>
      <w:tr w:rsidR="009165A2" w:rsidRPr="00862DB4" w:rsidTr="001F3751">
        <w:trPr>
          <w:cantSplit/>
          <w:jc w:val="center"/>
        </w:trPr>
        <w:tc>
          <w:tcPr>
            <w:tcW w:w="7371" w:type="dxa"/>
            <w:gridSpan w:val="2"/>
            <w:shd w:val="clear" w:color="auto" w:fill="auto"/>
          </w:tcPr>
          <w:p w:rsidR="009165A2" w:rsidRPr="00131A9C" w:rsidRDefault="00A011D7" w:rsidP="00BA1914">
            <w:pPr>
              <w:tabs>
                <w:tab w:val="left" w:pos="576"/>
                <w:tab w:val="left" w:pos="1152"/>
              </w:tabs>
              <w:spacing w:before="40" w:after="80"/>
              <w:ind w:right="43"/>
              <w:rPr>
                <w:b/>
              </w:rPr>
            </w:pPr>
            <w:r w:rsidRPr="00A011D7">
              <w:rPr>
                <w:b/>
              </w:rPr>
              <w:t>Suivi</w:t>
            </w:r>
            <w:r>
              <w:t> : Le 19 </w:t>
            </w:r>
            <w:r w:rsidR="009165A2">
              <w:t xml:space="preserve">janvier 2015, l’État partie a fait savoir que, </w:t>
            </w:r>
            <w:r>
              <w:t xml:space="preserve">suite à la décision du Comité, il avait </w:t>
            </w:r>
            <w:r w:rsidR="009165A2">
              <w:t>accord</w:t>
            </w:r>
            <w:r>
              <w:t xml:space="preserve">é, au requérant le 16 janvier 2015, le </w:t>
            </w:r>
            <w:r w:rsidR="009165A2">
              <w:t xml:space="preserve">statut de réfugié et </w:t>
            </w:r>
            <w:r>
              <w:t>lui avait délivré un pe</w:t>
            </w:r>
            <w:r w:rsidR="009165A2">
              <w:t>rmis de séjour, et qu</w:t>
            </w:r>
            <w:r>
              <w:t xml:space="preserve">e ce dernier </w:t>
            </w:r>
            <w:r w:rsidR="009165A2">
              <w:t>ne risquait plus d’être renvoyé en</w:t>
            </w:r>
            <w:r w:rsidR="008660D8">
              <w:t> </w:t>
            </w:r>
            <w:r w:rsidR="009165A2">
              <w:t>République islamique d’Iran.</w:t>
            </w:r>
          </w:p>
        </w:tc>
      </w:tr>
      <w:tr w:rsidR="009165A2" w:rsidRPr="00862DB4" w:rsidTr="001F3751">
        <w:trPr>
          <w:cantSplit/>
          <w:jc w:val="center"/>
        </w:trPr>
        <w:tc>
          <w:tcPr>
            <w:tcW w:w="7371" w:type="dxa"/>
            <w:gridSpan w:val="2"/>
            <w:shd w:val="clear" w:color="auto" w:fill="auto"/>
          </w:tcPr>
          <w:p w:rsidR="009165A2" w:rsidRDefault="009165A2" w:rsidP="00BA1914">
            <w:pPr>
              <w:tabs>
                <w:tab w:val="left" w:pos="576"/>
                <w:tab w:val="left" w:pos="1152"/>
              </w:tabs>
              <w:spacing w:before="40" w:after="80"/>
              <w:ind w:right="43"/>
            </w:pPr>
            <w:r>
              <w:t>Le 23</w:t>
            </w:r>
            <w:r w:rsidR="00A011D7">
              <w:t> </w:t>
            </w:r>
            <w:r>
              <w:t>mars 2015, le requérant a confirmé qu’on lui avait délivré un permis de séjour et qu’il n’était plus menacé d’être renvoyé en République islamique d’Iran.</w:t>
            </w:r>
          </w:p>
        </w:tc>
      </w:tr>
      <w:tr w:rsidR="009165A2" w:rsidRPr="00862DB4" w:rsidTr="001F3751">
        <w:trPr>
          <w:cantSplit/>
          <w:trHeight w:val="255"/>
          <w:jc w:val="center"/>
        </w:trPr>
        <w:tc>
          <w:tcPr>
            <w:tcW w:w="7371" w:type="dxa"/>
            <w:gridSpan w:val="2"/>
            <w:tcBorders>
              <w:bottom w:val="single" w:sz="12" w:space="0" w:color="auto"/>
            </w:tcBorders>
            <w:shd w:val="clear" w:color="auto" w:fill="auto"/>
          </w:tcPr>
          <w:p w:rsidR="009165A2" w:rsidRPr="008D042A" w:rsidRDefault="005C522D" w:rsidP="00BA1914">
            <w:pPr>
              <w:tabs>
                <w:tab w:val="left" w:pos="576"/>
                <w:tab w:val="left" w:pos="1152"/>
              </w:tabs>
              <w:spacing w:before="40" w:after="80"/>
              <w:ind w:right="43"/>
              <w:rPr>
                <w:b/>
              </w:rPr>
            </w:pPr>
            <w:r>
              <w:rPr>
                <w:b/>
              </w:rPr>
              <w:t>Décision du Comité</w:t>
            </w:r>
            <w:r w:rsidRPr="005C522D">
              <w:t xml:space="preserve"> : </w:t>
            </w:r>
            <w:r w:rsidR="009165A2">
              <w:t>Mettre fin au suivi au titre du dialogue concluant à un règlement satisfaisant.</w:t>
            </w:r>
          </w:p>
        </w:tc>
      </w:tr>
    </w:tbl>
    <w:p w:rsidR="009165A2" w:rsidRPr="005C522D" w:rsidRDefault="009165A2" w:rsidP="005C522D">
      <w:pPr>
        <w:pStyle w:val="SingleTxt"/>
        <w:spacing w:after="0" w:line="120" w:lineRule="exact"/>
        <w:rPr>
          <w:sz w:val="10"/>
        </w:rPr>
      </w:pPr>
    </w:p>
    <w:p w:rsidR="005C522D" w:rsidRPr="00A82054" w:rsidRDefault="005C522D" w:rsidP="00A82054">
      <w:pPr>
        <w:pStyle w:val="SingleTxt"/>
        <w:spacing w:after="0" w:line="120" w:lineRule="exact"/>
        <w:rPr>
          <w:sz w:val="10"/>
        </w:rPr>
      </w:pPr>
    </w:p>
    <w:p w:rsidR="00A82054" w:rsidRPr="005C522D" w:rsidRDefault="00A82054" w:rsidP="005C522D">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9165A2" w:rsidRPr="00862DB4" w:rsidTr="000663AC">
        <w:trPr>
          <w:jc w:val="center"/>
        </w:trPr>
        <w:tc>
          <w:tcPr>
            <w:tcW w:w="3347" w:type="dxa"/>
            <w:tcBorders>
              <w:top w:val="single" w:sz="4" w:space="0" w:color="auto"/>
              <w:bottom w:val="single" w:sz="12" w:space="0" w:color="auto"/>
            </w:tcBorders>
            <w:shd w:val="clear" w:color="auto" w:fill="auto"/>
            <w:vAlign w:val="bottom"/>
          </w:tcPr>
          <w:p w:rsidR="009165A2" w:rsidRPr="00767D37" w:rsidRDefault="005C522D" w:rsidP="00BA1914">
            <w:pPr>
              <w:keepNext/>
              <w:keepLines/>
              <w:tabs>
                <w:tab w:val="left" w:pos="288"/>
                <w:tab w:val="left" w:pos="576"/>
                <w:tab w:val="left" w:pos="864"/>
                <w:tab w:val="left" w:pos="1152"/>
              </w:tabs>
              <w:spacing w:before="80" w:after="80" w:line="200" w:lineRule="exact"/>
              <w:ind w:right="43"/>
              <w:rPr>
                <w:b/>
                <w:bCs/>
                <w:iCs/>
              </w:rPr>
            </w:pPr>
            <w:r>
              <w:rPr>
                <w:b/>
                <w:szCs w:val="20"/>
              </w:rPr>
              <w:t>S</w:t>
            </w:r>
            <w:r w:rsidR="009165A2">
              <w:rPr>
                <w:b/>
                <w:szCs w:val="20"/>
              </w:rPr>
              <w:t>uisse</w:t>
            </w:r>
          </w:p>
        </w:tc>
        <w:tc>
          <w:tcPr>
            <w:tcW w:w="4024" w:type="dxa"/>
            <w:tcBorders>
              <w:top w:val="single" w:sz="4" w:space="0" w:color="auto"/>
              <w:bottom w:val="single" w:sz="12" w:space="0" w:color="auto"/>
            </w:tcBorders>
            <w:shd w:val="clear" w:color="auto" w:fill="auto"/>
          </w:tcPr>
          <w:p w:rsidR="009165A2" w:rsidRPr="00862DB4" w:rsidRDefault="009165A2" w:rsidP="00BA1914">
            <w:pPr>
              <w:keepNext/>
              <w:keepLines/>
              <w:tabs>
                <w:tab w:val="left" w:pos="288"/>
                <w:tab w:val="left" w:pos="576"/>
                <w:tab w:val="left" w:pos="864"/>
                <w:tab w:val="left" w:pos="1152"/>
              </w:tabs>
              <w:spacing w:before="80" w:after="80" w:line="200" w:lineRule="exact"/>
              <w:ind w:right="43"/>
              <w:rPr>
                <w:i/>
                <w:iCs/>
              </w:rPr>
            </w:pPr>
          </w:p>
        </w:tc>
      </w:tr>
      <w:tr w:rsidR="009165A2" w:rsidRPr="00862DB4" w:rsidTr="000663AC">
        <w:trPr>
          <w:trHeight w:hRule="exact" w:val="115"/>
          <w:jc w:val="center"/>
        </w:trPr>
        <w:tc>
          <w:tcPr>
            <w:tcW w:w="3347" w:type="dxa"/>
            <w:tcBorders>
              <w:top w:val="single" w:sz="12" w:space="0" w:color="auto"/>
            </w:tcBorders>
            <w:shd w:val="clear" w:color="auto" w:fill="auto"/>
            <w:vAlign w:val="bottom"/>
          </w:tcPr>
          <w:p w:rsidR="009165A2" w:rsidRPr="00767D37" w:rsidRDefault="009165A2" w:rsidP="00BA1914">
            <w:pPr>
              <w:keepNext/>
              <w:keepLines/>
              <w:rPr>
                <w:b/>
              </w:rPr>
            </w:pPr>
          </w:p>
        </w:tc>
        <w:tc>
          <w:tcPr>
            <w:tcW w:w="4024" w:type="dxa"/>
            <w:tcBorders>
              <w:top w:val="single" w:sz="12" w:space="0" w:color="auto"/>
            </w:tcBorders>
            <w:shd w:val="clear" w:color="auto" w:fill="auto"/>
          </w:tcPr>
          <w:p w:rsidR="009165A2" w:rsidRPr="00862DB4" w:rsidRDefault="009165A2" w:rsidP="00BA1914">
            <w:pPr>
              <w:keepNext/>
              <w:keepLines/>
              <w:tabs>
                <w:tab w:val="left" w:pos="288"/>
                <w:tab w:val="left" w:pos="576"/>
                <w:tab w:val="left" w:pos="864"/>
                <w:tab w:val="left" w:pos="1152"/>
              </w:tabs>
              <w:spacing w:before="40" w:after="80"/>
              <w:ind w:right="40"/>
              <w:rPr>
                <w:i/>
                <w:iCs/>
              </w:rPr>
            </w:pPr>
          </w:p>
        </w:tc>
      </w:tr>
      <w:tr w:rsidR="009165A2" w:rsidRPr="00862DB4" w:rsidTr="000663AC">
        <w:trPr>
          <w:jc w:val="center"/>
        </w:trPr>
        <w:tc>
          <w:tcPr>
            <w:tcW w:w="3347" w:type="dxa"/>
            <w:shd w:val="clear" w:color="auto" w:fill="auto"/>
          </w:tcPr>
          <w:p w:rsidR="009165A2" w:rsidRPr="00862DB4" w:rsidRDefault="009165A2" w:rsidP="00BA1914">
            <w:pPr>
              <w:keepNext/>
              <w:keepLines/>
              <w:tabs>
                <w:tab w:val="left" w:pos="288"/>
                <w:tab w:val="left" w:pos="576"/>
                <w:tab w:val="left" w:pos="864"/>
                <w:tab w:val="left" w:pos="1152"/>
              </w:tabs>
              <w:spacing w:before="40" w:after="80"/>
              <w:ind w:right="40"/>
              <w:rPr>
                <w:b/>
                <w:bCs/>
              </w:rPr>
            </w:pPr>
            <w:r>
              <w:rPr>
                <w:b/>
              </w:rPr>
              <w:t>Affaire</w:t>
            </w:r>
          </w:p>
        </w:tc>
        <w:tc>
          <w:tcPr>
            <w:tcW w:w="4024" w:type="dxa"/>
            <w:shd w:val="clear" w:color="auto" w:fill="auto"/>
          </w:tcPr>
          <w:p w:rsidR="009165A2" w:rsidRPr="00727925" w:rsidRDefault="009165A2" w:rsidP="00BA1914">
            <w:pPr>
              <w:keepNext/>
              <w:keepLines/>
              <w:tabs>
                <w:tab w:val="left" w:pos="288"/>
                <w:tab w:val="left" w:pos="576"/>
                <w:tab w:val="left" w:pos="864"/>
                <w:tab w:val="left" w:pos="1152"/>
              </w:tabs>
              <w:spacing w:before="40" w:after="80"/>
              <w:ind w:right="40"/>
              <w:rPr>
                <w:bCs/>
              </w:rPr>
            </w:pPr>
            <w:r>
              <w:rPr>
                <w:i/>
                <w:iCs/>
              </w:rPr>
              <w:t xml:space="preserve">Tahmuresi, </w:t>
            </w:r>
            <w:r w:rsidRPr="00D82889">
              <w:rPr>
                <w:iCs/>
              </w:rPr>
              <w:t>489/2012</w:t>
            </w:r>
          </w:p>
        </w:tc>
      </w:tr>
      <w:tr w:rsidR="009165A2" w:rsidRPr="00862DB4" w:rsidTr="000663AC">
        <w:trPr>
          <w:jc w:val="center"/>
        </w:trPr>
        <w:tc>
          <w:tcPr>
            <w:tcW w:w="3347" w:type="dxa"/>
            <w:shd w:val="clear" w:color="auto" w:fill="auto"/>
          </w:tcPr>
          <w:p w:rsidR="009165A2" w:rsidRPr="00131A9C" w:rsidRDefault="009165A2" w:rsidP="00BA1914">
            <w:pPr>
              <w:keepNext/>
              <w:keepLines/>
              <w:tabs>
                <w:tab w:val="left" w:pos="288"/>
                <w:tab w:val="left" w:pos="576"/>
                <w:tab w:val="left" w:pos="864"/>
                <w:tab w:val="left" w:pos="1152"/>
              </w:tabs>
              <w:spacing w:before="40" w:after="80"/>
              <w:ind w:right="40"/>
              <w:rPr>
                <w:b/>
              </w:rPr>
            </w:pPr>
            <w:r>
              <w:rPr>
                <w:b/>
              </w:rPr>
              <w:t>Décision adoptée</w:t>
            </w:r>
            <w:r w:rsidR="005C522D">
              <w:rPr>
                <w:b/>
              </w:rPr>
              <w:t xml:space="preserve"> le</w:t>
            </w:r>
          </w:p>
        </w:tc>
        <w:tc>
          <w:tcPr>
            <w:tcW w:w="4024" w:type="dxa"/>
            <w:shd w:val="clear" w:color="auto" w:fill="auto"/>
          </w:tcPr>
          <w:p w:rsidR="009165A2" w:rsidRPr="00727925" w:rsidRDefault="005C522D" w:rsidP="00BA1914">
            <w:pPr>
              <w:keepNext/>
              <w:keepLines/>
              <w:tabs>
                <w:tab w:val="left" w:pos="288"/>
                <w:tab w:val="left" w:pos="576"/>
                <w:tab w:val="left" w:pos="864"/>
                <w:tab w:val="left" w:pos="1152"/>
              </w:tabs>
              <w:spacing w:before="40" w:after="80"/>
              <w:ind w:right="40"/>
              <w:rPr>
                <w:bCs/>
              </w:rPr>
            </w:pPr>
            <w:r>
              <w:t>26 </w:t>
            </w:r>
            <w:r w:rsidR="009165A2">
              <w:t>novembre 2014</w:t>
            </w:r>
          </w:p>
        </w:tc>
      </w:tr>
      <w:tr w:rsidR="009165A2" w:rsidRPr="00862DB4" w:rsidTr="000663AC">
        <w:trPr>
          <w:jc w:val="center"/>
        </w:trPr>
        <w:tc>
          <w:tcPr>
            <w:tcW w:w="3347" w:type="dxa"/>
            <w:shd w:val="clear" w:color="auto" w:fill="auto"/>
          </w:tcPr>
          <w:p w:rsidR="009165A2" w:rsidRPr="00C2406A" w:rsidRDefault="009165A2" w:rsidP="00BA1914">
            <w:pPr>
              <w:keepNext/>
              <w:keepLines/>
              <w:tabs>
                <w:tab w:val="left" w:pos="288"/>
                <w:tab w:val="left" w:pos="576"/>
                <w:tab w:val="left" w:pos="864"/>
                <w:tab w:val="left" w:pos="1152"/>
              </w:tabs>
              <w:spacing w:before="40" w:after="80"/>
              <w:ind w:right="40"/>
              <w:rPr>
                <w:b/>
              </w:rPr>
            </w:pPr>
            <w:r>
              <w:rPr>
                <w:b/>
              </w:rPr>
              <w:t>Violation constatée</w:t>
            </w:r>
          </w:p>
        </w:tc>
        <w:tc>
          <w:tcPr>
            <w:tcW w:w="4024" w:type="dxa"/>
            <w:shd w:val="clear" w:color="auto" w:fill="auto"/>
          </w:tcPr>
          <w:p w:rsidR="009165A2" w:rsidRPr="00727925" w:rsidRDefault="009165A2" w:rsidP="00BA1914">
            <w:pPr>
              <w:keepNext/>
              <w:keepLines/>
              <w:tabs>
                <w:tab w:val="left" w:pos="288"/>
                <w:tab w:val="left" w:pos="576"/>
                <w:tab w:val="left" w:pos="864"/>
                <w:tab w:val="left" w:pos="1152"/>
              </w:tabs>
              <w:spacing w:before="40" w:after="80"/>
              <w:ind w:right="40"/>
              <w:rPr>
                <w:bCs/>
              </w:rPr>
            </w:pPr>
            <w:r>
              <w:t>Article 3</w:t>
            </w:r>
          </w:p>
        </w:tc>
      </w:tr>
      <w:tr w:rsidR="009165A2" w:rsidRPr="00862DB4" w:rsidTr="000663AC">
        <w:trPr>
          <w:trHeight w:val="20"/>
          <w:jc w:val="center"/>
        </w:trPr>
        <w:tc>
          <w:tcPr>
            <w:tcW w:w="7371" w:type="dxa"/>
            <w:gridSpan w:val="2"/>
            <w:shd w:val="clear" w:color="auto" w:fill="auto"/>
          </w:tcPr>
          <w:p w:rsidR="009165A2" w:rsidRPr="00131A9C" w:rsidRDefault="005C522D" w:rsidP="00BA1914">
            <w:pPr>
              <w:keepNext/>
              <w:keepLines/>
              <w:tabs>
                <w:tab w:val="left" w:pos="576"/>
                <w:tab w:val="left" w:pos="1152"/>
              </w:tabs>
              <w:spacing w:before="40" w:after="80"/>
              <w:ind w:right="43"/>
              <w:rPr>
                <w:b/>
              </w:rPr>
            </w:pPr>
            <w:r w:rsidRPr="005C522D">
              <w:rPr>
                <w:b/>
              </w:rPr>
              <w:t>Recommandation</w:t>
            </w:r>
            <w:r>
              <w:t xml:space="preserve"> : </w:t>
            </w:r>
            <w:r w:rsidR="009165A2">
              <w:t xml:space="preserve">Le Comité a demandé instamment à l’État partie de l’informer, dans un délai de quatre-vingt-dix jours à compter de la date de la transmission de sa décision, des mesures prises </w:t>
            </w:r>
            <w:r w:rsidR="00CA657A">
              <w:t>pour donner suite</w:t>
            </w:r>
            <w:r w:rsidR="009165A2">
              <w:t xml:space="preserve"> à celle-ci.</w:t>
            </w:r>
          </w:p>
        </w:tc>
      </w:tr>
      <w:tr w:rsidR="009165A2" w:rsidRPr="00862DB4" w:rsidTr="000663AC">
        <w:trPr>
          <w:jc w:val="center"/>
        </w:trPr>
        <w:tc>
          <w:tcPr>
            <w:tcW w:w="7371" w:type="dxa"/>
            <w:gridSpan w:val="2"/>
            <w:shd w:val="clear" w:color="auto" w:fill="auto"/>
          </w:tcPr>
          <w:p w:rsidR="009165A2" w:rsidRPr="00131A9C" w:rsidRDefault="00A058C8" w:rsidP="00BA1914">
            <w:pPr>
              <w:tabs>
                <w:tab w:val="left" w:pos="576"/>
                <w:tab w:val="left" w:pos="1152"/>
              </w:tabs>
              <w:spacing w:before="40" w:after="80"/>
              <w:ind w:right="43"/>
              <w:rPr>
                <w:b/>
              </w:rPr>
            </w:pPr>
            <w:r w:rsidRPr="00A058C8">
              <w:rPr>
                <w:b/>
              </w:rPr>
              <w:t>Suivi</w:t>
            </w:r>
            <w:r>
              <w:t xml:space="preserve"> : </w:t>
            </w:r>
            <w:r w:rsidR="009165A2">
              <w:t>Le 29</w:t>
            </w:r>
            <w:r>
              <w:t> </w:t>
            </w:r>
            <w:r w:rsidR="009165A2">
              <w:t xml:space="preserve">janvier 2015, l’État partie a fait savoir que, suite </w:t>
            </w:r>
            <w:r>
              <w:t>à</w:t>
            </w:r>
            <w:r w:rsidR="009165A2">
              <w:t xml:space="preserve"> la décision du Comité, </w:t>
            </w:r>
            <w:r>
              <w:t xml:space="preserve">il avait accordé au </w:t>
            </w:r>
            <w:r w:rsidR="009165A2">
              <w:t xml:space="preserve">requérant le statut de réfugié et </w:t>
            </w:r>
            <w:r>
              <w:t xml:space="preserve">lui avait délivré </w:t>
            </w:r>
            <w:r w:rsidR="009165A2">
              <w:t>un permis de séjour le 23</w:t>
            </w:r>
            <w:r>
              <w:t> </w:t>
            </w:r>
            <w:r w:rsidR="009165A2">
              <w:t>janvier 2015</w:t>
            </w:r>
            <w:r>
              <w:t>,</w:t>
            </w:r>
            <w:r w:rsidR="009165A2">
              <w:t xml:space="preserve"> et qu</w:t>
            </w:r>
            <w:r>
              <w:t xml:space="preserve">e ce dernier </w:t>
            </w:r>
            <w:r w:rsidR="009165A2">
              <w:t>ne risquait plus d’être renvoyé en République islamique d’Iran.</w:t>
            </w:r>
          </w:p>
        </w:tc>
      </w:tr>
      <w:tr w:rsidR="009165A2" w:rsidRPr="00862DB4" w:rsidTr="000663AC">
        <w:trPr>
          <w:jc w:val="center"/>
        </w:trPr>
        <w:tc>
          <w:tcPr>
            <w:tcW w:w="7371" w:type="dxa"/>
            <w:gridSpan w:val="2"/>
            <w:shd w:val="clear" w:color="auto" w:fill="auto"/>
          </w:tcPr>
          <w:p w:rsidR="009165A2" w:rsidRDefault="009165A2" w:rsidP="00BA1914">
            <w:pPr>
              <w:tabs>
                <w:tab w:val="left" w:pos="576"/>
                <w:tab w:val="left" w:pos="1152"/>
              </w:tabs>
              <w:spacing w:before="40" w:after="80"/>
              <w:ind w:right="43"/>
            </w:pPr>
            <w:r>
              <w:t>Le 7</w:t>
            </w:r>
            <w:r w:rsidR="00A058C8">
              <w:t> </w:t>
            </w:r>
            <w:r>
              <w:t>avril 2015, le requérant a confirmé qu’il avait obtenu le statut de réfugié et qu’il n’était plus menacé d’être renvoyé en République islamique d’Iran.</w:t>
            </w:r>
          </w:p>
        </w:tc>
      </w:tr>
      <w:tr w:rsidR="009165A2" w:rsidRPr="00862DB4" w:rsidTr="000663AC">
        <w:trPr>
          <w:trHeight w:val="255"/>
          <w:jc w:val="center"/>
        </w:trPr>
        <w:tc>
          <w:tcPr>
            <w:tcW w:w="7371" w:type="dxa"/>
            <w:gridSpan w:val="2"/>
            <w:tcBorders>
              <w:bottom w:val="single" w:sz="12" w:space="0" w:color="auto"/>
            </w:tcBorders>
            <w:shd w:val="clear" w:color="auto" w:fill="auto"/>
          </w:tcPr>
          <w:p w:rsidR="009165A2" w:rsidRPr="008D042A" w:rsidRDefault="00A058C8" w:rsidP="00BA1914">
            <w:pPr>
              <w:tabs>
                <w:tab w:val="left" w:pos="576"/>
                <w:tab w:val="left" w:pos="1152"/>
              </w:tabs>
              <w:spacing w:before="40" w:after="80"/>
              <w:ind w:right="43"/>
              <w:rPr>
                <w:b/>
              </w:rPr>
            </w:pPr>
            <w:r>
              <w:rPr>
                <w:b/>
              </w:rPr>
              <w:t>Décision du Comité</w:t>
            </w:r>
            <w:r w:rsidRPr="00A058C8">
              <w:t xml:space="preserve"> : </w:t>
            </w:r>
            <w:r w:rsidR="009165A2">
              <w:t>Mettre fin au dialogue au titre du suivi en concluant à un règlement satisfaisant</w:t>
            </w:r>
            <w:r>
              <w:t>.</w:t>
            </w:r>
          </w:p>
        </w:tc>
      </w:tr>
    </w:tbl>
    <w:p w:rsidR="009165A2" w:rsidRPr="00A058C8" w:rsidRDefault="009165A2" w:rsidP="00A058C8">
      <w:pPr>
        <w:pStyle w:val="SingleTxt"/>
        <w:spacing w:after="0" w:line="120" w:lineRule="exact"/>
        <w:rPr>
          <w:sz w:val="10"/>
        </w:rPr>
      </w:pPr>
    </w:p>
    <w:p w:rsidR="00A058C8" w:rsidRPr="007372D1" w:rsidRDefault="00A058C8" w:rsidP="007372D1">
      <w:pPr>
        <w:pStyle w:val="SingleTxt"/>
        <w:spacing w:after="0" w:line="120" w:lineRule="exact"/>
        <w:rPr>
          <w:sz w:val="10"/>
        </w:rPr>
      </w:pPr>
    </w:p>
    <w:p w:rsidR="007372D1" w:rsidRPr="00A058C8" w:rsidRDefault="007372D1" w:rsidP="00A058C8">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3347"/>
        <w:gridCol w:w="4024"/>
      </w:tblGrid>
      <w:tr w:rsidR="009165A2" w:rsidRPr="00862DB4" w:rsidTr="00BD0ABC">
        <w:trPr>
          <w:cantSplit/>
          <w:tblHeader/>
          <w:jc w:val="center"/>
        </w:trPr>
        <w:tc>
          <w:tcPr>
            <w:tcW w:w="3347" w:type="dxa"/>
            <w:tcBorders>
              <w:top w:val="single" w:sz="4" w:space="0" w:color="auto"/>
              <w:bottom w:val="single" w:sz="12" w:space="0" w:color="auto"/>
            </w:tcBorders>
            <w:shd w:val="clear" w:color="auto" w:fill="auto"/>
            <w:vAlign w:val="bottom"/>
          </w:tcPr>
          <w:p w:rsidR="009165A2" w:rsidRPr="00767D37" w:rsidRDefault="009165A2" w:rsidP="007372D1">
            <w:pPr>
              <w:tabs>
                <w:tab w:val="left" w:pos="288"/>
                <w:tab w:val="left" w:pos="576"/>
                <w:tab w:val="left" w:pos="864"/>
                <w:tab w:val="left" w:pos="1152"/>
              </w:tabs>
              <w:spacing w:before="80" w:after="80" w:line="200" w:lineRule="exact"/>
              <w:ind w:right="43"/>
              <w:rPr>
                <w:b/>
                <w:bCs/>
                <w:iCs/>
              </w:rPr>
            </w:pPr>
            <w:r>
              <w:rPr>
                <w:b/>
                <w:szCs w:val="20"/>
              </w:rPr>
              <w:t>Suisse</w:t>
            </w:r>
          </w:p>
        </w:tc>
        <w:tc>
          <w:tcPr>
            <w:tcW w:w="4024" w:type="dxa"/>
            <w:tcBorders>
              <w:top w:val="single" w:sz="4" w:space="0" w:color="auto"/>
              <w:bottom w:val="single" w:sz="12" w:space="0" w:color="auto"/>
            </w:tcBorders>
            <w:shd w:val="clear" w:color="auto" w:fill="auto"/>
          </w:tcPr>
          <w:p w:rsidR="009165A2" w:rsidRPr="00862DB4" w:rsidRDefault="009165A2" w:rsidP="007372D1">
            <w:pPr>
              <w:tabs>
                <w:tab w:val="left" w:pos="288"/>
                <w:tab w:val="left" w:pos="576"/>
                <w:tab w:val="left" w:pos="864"/>
                <w:tab w:val="left" w:pos="1152"/>
              </w:tabs>
              <w:spacing w:before="80" w:after="80" w:line="200" w:lineRule="exact"/>
              <w:ind w:right="43"/>
              <w:rPr>
                <w:i/>
                <w:iCs/>
              </w:rPr>
            </w:pPr>
          </w:p>
        </w:tc>
      </w:tr>
      <w:tr w:rsidR="009165A2" w:rsidRPr="00862DB4" w:rsidTr="00BD0ABC">
        <w:trPr>
          <w:cantSplit/>
          <w:trHeight w:hRule="exact" w:val="115"/>
          <w:jc w:val="center"/>
        </w:trPr>
        <w:tc>
          <w:tcPr>
            <w:tcW w:w="3347" w:type="dxa"/>
            <w:tcBorders>
              <w:top w:val="single" w:sz="12" w:space="0" w:color="auto"/>
            </w:tcBorders>
            <w:shd w:val="clear" w:color="auto" w:fill="auto"/>
            <w:vAlign w:val="bottom"/>
          </w:tcPr>
          <w:p w:rsidR="009165A2" w:rsidRPr="00767D37" w:rsidRDefault="009165A2" w:rsidP="000663AC">
            <w:pPr>
              <w:rPr>
                <w:b/>
              </w:rPr>
            </w:pPr>
          </w:p>
        </w:tc>
        <w:tc>
          <w:tcPr>
            <w:tcW w:w="4024" w:type="dxa"/>
            <w:tcBorders>
              <w:top w:val="single" w:sz="12" w:space="0" w:color="auto"/>
            </w:tcBorders>
            <w:shd w:val="clear" w:color="auto" w:fill="auto"/>
          </w:tcPr>
          <w:p w:rsidR="009165A2" w:rsidRPr="00862DB4" w:rsidRDefault="009165A2" w:rsidP="000663AC">
            <w:pPr>
              <w:tabs>
                <w:tab w:val="left" w:pos="288"/>
                <w:tab w:val="left" w:pos="576"/>
                <w:tab w:val="left" w:pos="864"/>
                <w:tab w:val="left" w:pos="1152"/>
              </w:tabs>
              <w:spacing w:before="40" w:after="80"/>
              <w:ind w:right="40"/>
              <w:rPr>
                <w:i/>
                <w:iCs/>
              </w:rPr>
            </w:pPr>
          </w:p>
        </w:tc>
      </w:tr>
      <w:tr w:rsidR="009165A2" w:rsidRPr="00862DB4" w:rsidTr="00BD0ABC">
        <w:trPr>
          <w:cantSplit/>
          <w:jc w:val="center"/>
        </w:trPr>
        <w:tc>
          <w:tcPr>
            <w:tcW w:w="3347" w:type="dxa"/>
            <w:shd w:val="clear" w:color="auto" w:fill="auto"/>
          </w:tcPr>
          <w:p w:rsidR="009165A2" w:rsidRPr="00862DB4" w:rsidRDefault="009165A2" w:rsidP="007E5084">
            <w:pPr>
              <w:tabs>
                <w:tab w:val="left" w:pos="288"/>
                <w:tab w:val="left" w:pos="576"/>
                <w:tab w:val="left" w:pos="864"/>
                <w:tab w:val="left" w:pos="1152"/>
              </w:tabs>
              <w:spacing w:before="40" w:after="80"/>
              <w:ind w:right="40"/>
              <w:rPr>
                <w:b/>
                <w:bCs/>
              </w:rPr>
            </w:pPr>
            <w:r>
              <w:rPr>
                <w:b/>
              </w:rPr>
              <w:t>Affaire</w:t>
            </w:r>
          </w:p>
        </w:tc>
        <w:tc>
          <w:tcPr>
            <w:tcW w:w="4024" w:type="dxa"/>
            <w:shd w:val="clear" w:color="auto" w:fill="auto"/>
          </w:tcPr>
          <w:p w:rsidR="009165A2" w:rsidRPr="00727925" w:rsidRDefault="009165A2" w:rsidP="007E5084">
            <w:pPr>
              <w:tabs>
                <w:tab w:val="left" w:pos="288"/>
                <w:tab w:val="left" w:pos="576"/>
                <w:tab w:val="left" w:pos="864"/>
                <w:tab w:val="left" w:pos="1152"/>
              </w:tabs>
              <w:spacing w:before="40" w:after="80"/>
              <w:ind w:right="40"/>
              <w:rPr>
                <w:bCs/>
              </w:rPr>
            </w:pPr>
            <w:r>
              <w:rPr>
                <w:i/>
                <w:iCs/>
              </w:rPr>
              <w:t xml:space="preserve">Khademi et consorts, </w:t>
            </w:r>
            <w:r w:rsidRPr="00592F57">
              <w:rPr>
                <w:iCs/>
              </w:rPr>
              <w:t>473/2011</w:t>
            </w:r>
          </w:p>
        </w:tc>
      </w:tr>
      <w:tr w:rsidR="009165A2" w:rsidRPr="00862DB4" w:rsidTr="00BD0ABC">
        <w:trPr>
          <w:cantSplit/>
          <w:jc w:val="center"/>
        </w:trPr>
        <w:tc>
          <w:tcPr>
            <w:tcW w:w="3347" w:type="dxa"/>
            <w:shd w:val="clear" w:color="auto" w:fill="auto"/>
          </w:tcPr>
          <w:p w:rsidR="009165A2" w:rsidRPr="00131A9C" w:rsidRDefault="009165A2" w:rsidP="007E5084">
            <w:pPr>
              <w:tabs>
                <w:tab w:val="left" w:pos="288"/>
                <w:tab w:val="left" w:pos="576"/>
                <w:tab w:val="left" w:pos="864"/>
                <w:tab w:val="left" w:pos="1152"/>
              </w:tabs>
              <w:spacing w:before="40" w:after="80"/>
              <w:ind w:right="40"/>
              <w:rPr>
                <w:b/>
              </w:rPr>
            </w:pPr>
            <w:r>
              <w:rPr>
                <w:b/>
              </w:rPr>
              <w:t>Décision adoptée</w:t>
            </w:r>
            <w:r w:rsidR="00A058C8">
              <w:rPr>
                <w:b/>
              </w:rPr>
              <w:t xml:space="preserve"> le</w:t>
            </w:r>
          </w:p>
        </w:tc>
        <w:tc>
          <w:tcPr>
            <w:tcW w:w="4024" w:type="dxa"/>
            <w:shd w:val="clear" w:color="auto" w:fill="auto"/>
          </w:tcPr>
          <w:p w:rsidR="009165A2" w:rsidRPr="00727925" w:rsidRDefault="00A058C8" w:rsidP="007E5084">
            <w:pPr>
              <w:tabs>
                <w:tab w:val="left" w:pos="288"/>
                <w:tab w:val="left" w:pos="576"/>
                <w:tab w:val="left" w:pos="864"/>
                <w:tab w:val="left" w:pos="1152"/>
              </w:tabs>
              <w:spacing w:before="40" w:after="80"/>
              <w:ind w:right="40"/>
              <w:rPr>
                <w:bCs/>
              </w:rPr>
            </w:pPr>
            <w:r>
              <w:t>14 </w:t>
            </w:r>
            <w:r w:rsidR="009165A2">
              <w:t>novembre 2014</w:t>
            </w:r>
          </w:p>
        </w:tc>
      </w:tr>
      <w:tr w:rsidR="009165A2" w:rsidRPr="00862DB4" w:rsidTr="00BD0ABC">
        <w:trPr>
          <w:cantSplit/>
          <w:jc w:val="center"/>
        </w:trPr>
        <w:tc>
          <w:tcPr>
            <w:tcW w:w="3347" w:type="dxa"/>
            <w:shd w:val="clear" w:color="auto" w:fill="auto"/>
          </w:tcPr>
          <w:p w:rsidR="009165A2" w:rsidRPr="00C2406A" w:rsidRDefault="009165A2" w:rsidP="007E5084">
            <w:pPr>
              <w:tabs>
                <w:tab w:val="left" w:pos="288"/>
                <w:tab w:val="left" w:pos="576"/>
                <w:tab w:val="left" w:pos="864"/>
                <w:tab w:val="left" w:pos="1152"/>
              </w:tabs>
              <w:spacing w:before="40" w:after="80"/>
              <w:ind w:right="40"/>
              <w:rPr>
                <w:b/>
              </w:rPr>
            </w:pPr>
            <w:r>
              <w:rPr>
                <w:b/>
              </w:rPr>
              <w:t>Violation constatée</w:t>
            </w:r>
          </w:p>
        </w:tc>
        <w:tc>
          <w:tcPr>
            <w:tcW w:w="4024" w:type="dxa"/>
            <w:shd w:val="clear" w:color="auto" w:fill="auto"/>
          </w:tcPr>
          <w:p w:rsidR="009165A2" w:rsidRPr="00727925" w:rsidRDefault="009165A2" w:rsidP="007E5084">
            <w:pPr>
              <w:tabs>
                <w:tab w:val="left" w:pos="288"/>
                <w:tab w:val="left" w:pos="576"/>
                <w:tab w:val="left" w:pos="864"/>
                <w:tab w:val="left" w:pos="1152"/>
              </w:tabs>
              <w:spacing w:before="40" w:after="80"/>
              <w:ind w:right="40"/>
              <w:rPr>
                <w:bCs/>
              </w:rPr>
            </w:pPr>
            <w:r>
              <w:t>Article 3</w:t>
            </w:r>
          </w:p>
        </w:tc>
      </w:tr>
      <w:tr w:rsidR="009165A2" w:rsidRPr="00862DB4" w:rsidTr="00BD0ABC">
        <w:trPr>
          <w:cantSplit/>
          <w:trHeight w:val="20"/>
          <w:jc w:val="center"/>
        </w:trPr>
        <w:tc>
          <w:tcPr>
            <w:tcW w:w="7371" w:type="dxa"/>
            <w:gridSpan w:val="2"/>
            <w:shd w:val="clear" w:color="auto" w:fill="auto"/>
          </w:tcPr>
          <w:p w:rsidR="009165A2" w:rsidRPr="00131A9C" w:rsidRDefault="00A058C8" w:rsidP="007E5084">
            <w:pPr>
              <w:tabs>
                <w:tab w:val="left" w:pos="576"/>
                <w:tab w:val="left" w:pos="1152"/>
              </w:tabs>
              <w:spacing w:before="40" w:after="80"/>
              <w:ind w:right="43"/>
              <w:rPr>
                <w:b/>
              </w:rPr>
            </w:pPr>
            <w:r w:rsidRPr="00A058C8">
              <w:rPr>
                <w:b/>
              </w:rPr>
              <w:t>Recommandation</w:t>
            </w:r>
            <w:r>
              <w:t xml:space="preserve"> : </w:t>
            </w:r>
            <w:r w:rsidR="009165A2">
              <w:t>Le Comité considère que l’État partie est tenu de s’abstenir de renvoyer de force les requérants en République islamique d’Iran ou dans tout autre pays où ils courent un risque réel d’être expulsés ou renvoyés en République islamique d’Iran.</w:t>
            </w:r>
          </w:p>
        </w:tc>
      </w:tr>
      <w:tr w:rsidR="009165A2" w:rsidRPr="00862DB4" w:rsidTr="00BD0ABC">
        <w:trPr>
          <w:cantSplit/>
          <w:jc w:val="center"/>
        </w:trPr>
        <w:tc>
          <w:tcPr>
            <w:tcW w:w="7371" w:type="dxa"/>
            <w:gridSpan w:val="2"/>
            <w:shd w:val="clear" w:color="auto" w:fill="auto"/>
          </w:tcPr>
          <w:p w:rsidR="009165A2" w:rsidRPr="00131A9C" w:rsidRDefault="00A058C8" w:rsidP="007E5084">
            <w:pPr>
              <w:tabs>
                <w:tab w:val="left" w:pos="576"/>
                <w:tab w:val="left" w:pos="1152"/>
              </w:tabs>
              <w:spacing w:before="40" w:after="80"/>
              <w:ind w:right="43"/>
              <w:rPr>
                <w:b/>
              </w:rPr>
            </w:pPr>
            <w:r w:rsidRPr="00A058C8">
              <w:rPr>
                <w:b/>
              </w:rPr>
              <w:t>Suivi</w:t>
            </w:r>
            <w:r>
              <w:t xml:space="preserve"> : </w:t>
            </w:r>
            <w:r w:rsidR="009165A2">
              <w:t>Le 29</w:t>
            </w:r>
            <w:r>
              <w:t> </w:t>
            </w:r>
            <w:r w:rsidR="009165A2">
              <w:t xml:space="preserve">janvier 2015, l’État partie a fait savoir que, suite </w:t>
            </w:r>
            <w:r>
              <w:t>à</w:t>
            </w:r>
            <w:r w:rsidR="005702EE">
              <w:t xml:space="preserve"> la décision du </w:t>
            </w:r>
            <w:r>
              <w:t xml:space="preserve">Comité, il avait accordé aux requérants </w:t>
            </w:r>
            <w:r w:rsidR="009165A2">
              <w:t>des per</w:t>
            </w:r>
            <w:r>
              <w:t>mis de séjour temporaires</w:t>
            </w:r>
            <w:r w:rsidR="005702EE">
              <w:t xml:space="preserve"> le </w:t>
            </w:r>
            <w:r>
              <w:t>27 </w:t>
            </w:r>
            <w:r w:rsidR="009165A2">
              <w:t xml:space="preserve">janvier 2015 et </w:t>
            </w:r>
            <w:r>
              <w:t xml:space="preserve">que ces derniers </w:t>
            </w:r>
            <w:r w:rsidR="009165A2">
              <w:t>ne risquaient plus d’être renvoyés.</w:t>
            </w:r>
          </w:p>
        </w:tc>
      </w:tr>
      <w:tr w:rsidR="009165A2" w:rsidRPr="00862DB4" w:rsidTr="00BD0ABC">
        <w:trPr>
          <w:cantSplit/>
          <w:jc w:val="center"/>
        </w:trPr>
        <w:tc>
          <w:tcPr>
            <w:tcW w:w="7371" w:type="dxa"/>
            <w:gridSpan w:val="2"/>
            <w:shd w:val="clear" w:color="auto" w:fill="auto"/>
          </w:tcPr>
          <w:p w:rsidR="009165A2" w:rsidRDefault="009165A2" w:rsidP="007E5084">
            <w:pPr>
              <w:tabs>
                <w:tab w:val="left" w:pos="576"/>
                <w:tab w:val="left" w:pos="1152"/>
              </w:tabs>
              <w:spacing w:before="40" w:after="80"/>
              <w:ind w:right="43"/>
            </w:pPr>
            <w:r>
              <w:t>Le 6</w:t>
            </w:r>
            <w:r w:rsidR="00A058C8">
              <w:t> </w:t>
            </w:r>
            <w:r>
              <w:t xml:space="preserve">février 2015, le conseil des requérants a confirmé </w:t>
            </w:r>
            <w:r w:rsidR="00A058C8">
              <w:t>que ces derniers</w:t>
            </w:r>
            <w:r>
              <w:t xml:space="preserve"> avaient obtenu le statut de réfugié et qu’ils ne risquaient plus d’être renvoyés. Il a demandé instamment au Comité de ne pas mettre fin au dialogue au titre du suivi sans avoir demandé à l’État partie de les dédommager des frais d’avocat encourus au titre des services </w:t>
            </w:r>
            <w:r w:rsidR="00A058C8">
              <w:t>juridiques fournis en lien avec leur requête.</w:t>
            </w:r>
          </w:p>
        </w:tc>
      </w:tr>
      <w:tr w:rsidR="009165A2" w:rsidRPr="00862DB4" w:rsidTr="00BD0ABC">
        <w:trPr>
          <w:cantSplit/>
          <w:jc w:val="center"/>
        </w:trPr>
        <w:tc>
          <w:tcPr>
            <w:tcW w:w="7371" w:type="dxa"/>
            <w:gridSpan w:val="2"/>
            <w:shd w:val="clear" w:color="auto" w:fill="auto"/>
          </w:tcPr>
          <w:p w:rsidR="009165A2" w:rsidRDefault="009165A2" w:rsidP="00260785">
            <w:pPr>
              <w:keepNext/>
              <w:keepLines/>
              <w:tabs>
                <w:tab w:val="left" w:pos="576"/>
                <w:tab w:val="left" w:pos="1152"/>
              </w:tabs>
              <w:spacing w:before="40" w:after="80"/>
              <w:ind w:right="43"/>
            </w:pPr>
            <w:r>
              <w:t>Le 24</w:t>
            </w:r>
            <w:r w:rsidR="00A058C8">
              <w:t> </w:t>
            </w:r>
            <w:r>
              <w:t xml:space="preserve">mars 2015, l’État partie a fait savoir que la Convention ne contenait aucune disposition susceptible de fonder une demande d’indemnisation au titre des frais juridiques et a invité le Comité à mettre fin au dialogue au titre </w:t>
            </w:r>
            <w:r w:rsidR="00A058C8">
              <w:t xml:space="preserve">du suivi </w:t>
            </w:r>
            <w:r>
              <w:t xml:space="preserve">concernant la </w:t>
            </w:r>
            <w:r w:rsidR="00A058C8">
              <w:t>requête</w:t>
            </w:r>
            <w:r>
              <w:t>.</w:t>
            </w:r>
          </w:p>
        </w:tc>
      </w:tr>
      <w:tr w:rsidR="009165A2" w:rsidRPr="00862DB4" w:rsidTr="00BD0ABC">
        <w:trPr>
          <w:cantSplit/>
          <w:trHeight w:val="255"/>
          <w:jc w:val="center"/>
        </w:trPr>
        <w:tc>
          <w:tcPr>
            <w:tcW w:w="7371" w:type="dxa"/>
            <w:gridSpan w:val="2"/>
            <w:tcBorders>
              <w:bottom w:val="single" w:sz="12" w:space="0" w:color="auto"/>
            </w:tcBorders>
            <w:shd w:val="clear" w:color="auto" w:fill="auto"/>
          </w:tcPr>
          <w:p w:rsidR="009165A2" w:rsidRPr="008D042A" w:rsidRDefault="00A058C8" w:rsidP="00260785">
            <w:pPr>
              <w:keepNext/>
              <w:keepLines/>
              <w:tabs>
                <w:tab w:val="left" w:pos="576"/>
                <w:tab w:val="left" w:pos="1152"/>
              </w:tabs>
              <w:spacing w:before="40" w:after="80"/>
              <w:ind w:right="43"/>
              <w:rPr>
                <w:b/>
              </w:rPr>
            </w:pPr>
            <w:r>
              <w:rPr>
                <w:b/>
              </w:rPr>
              <w:t>Décision du Comité</w:t>
            </w:r>
            <w:r w:rsidRPr="00A058C8">
              <w:t xml:space="preserve"> : </w:t>
            </w:r>
            <w:r w:rsidR="009165A2">
              <w:t>Mettre fin au dialogue au titre du suivi en concluant à un règlement satisfaisant</w:t>
            </w:r>
            <w:r w:rsidR="00706E08">
              <w:t>.</w:t>
            </w:r>
          </w:p>
        </w:tc>
      </w:tr>
    </w:tbl>
    <w:p w:rsidR="0004507C" w:rsidRPr="009165A2" w:rsidRDefault="009165A2" w:rsidP="009165A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4507C" w:rsidRPr="009165A2" w:rsidSect="00A07A2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2-03T12:38:00Z" w:initials="Start">
    <w:p w:rsidR="00A07A2F" w:rsidRDefault="00A07A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NO&gt;&gt;N1516870F&lt;&lt;ODS JOB NO&gt;&gt;</w:t>
      </w:r>
    </w:p>
    <w:p w:rsidR="00A07A2F" w:rsidRDefault="00A07A2F">
      <w:pPr>
        <w:pStyle w:val="CommentText"/>
      </w:pPr>
      <w:r>
        <w:t>&lt;&lt;ODS DOC SYMBOL1&gt;&gt;CAT/C/54/3&lt;&lt;ODS DOC SYMBOL1&gt;&gt;</w:t>
      </w:r>
    </w:p>
    <w:p w:rsidR="00A07A2F" w:rsidRDefault="00A07A2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3C" w:rsidRDefault="00EE453C" w:rsidP="00F3330B">
      <w:pPr>
        <w:spacing w:line="240" w:lineRule="auto"/>
      </w:pPr>
      <w:r>
        <w:separator/>
      </w:r>
    </w:p>
  </w:endnote>
  <w:endnote w:type="continuationSeparator" w:id="0">
    <w:p w:rsidR="00EE453C" w:rsidRDefault="00EE453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7A2F" w:rsidTr="00A07A2F">
      <w:trPr>
        <w:jc w:val="center"/>
      </w:trPr>
      <w:tc>
        <w:tcPr>
          <w:tcW w:w="5126" w:type="dxa"/>
          <w:shd w:val="clear" w:color="auto" w:fill="auto"/>
        </w:tcPr>
        <w:p w:rsidR="00A07A2F" w:rsidRPr="00A07A2F" w:rsidRDefault="00A07A2F" w:rsidP="00A07A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40D5">
            <w:rPr>
              <w:b w:val="0"/>
              <w:w w:val="103"/>
              <w:sz w:val="14"/>
            </w:rPr>
            <w:t>GE.15-12823</w:t>
          </w:r>
          <w:r>
            <w:rPr>
              <w:b w:val="0"/>
              <w:w w:val="103"/>
              <w:sz w:val="14"/>
            </w:rPr>
            <w:fldChar w:fldCharType="end"/>
          </w:r>
        </w:p>
      </w:tc>
      <w:tc>
        <w:tcPr>
          <w:tcW w:w="5127" w:type="dxa"/>
          <w:shd w:val="clear" w:color="auto" w:fill="auto"/>
        </w:tcPr>
        <w:p w:rsidR="00A07A2F" w:rsidRPr="00A07A2F" w:rsidRDefault="00A07A2F" w:rsidP="00A07A2F">
          <w:pPr>
            <w:pStyle w:val="Footer"/>
            <w:rPr>
              <w:w w:val="103"/>
            </w:rPr>
          </w:pPr>
          <w:r>
            <w:rPr>
              <w:w w:val="103"/>
            </w:rPr>
            <w:fldChar w:fldCharType="begin"/>
          </w:r>
          <w:r>
            <w:rPr>
              <w:w w:val="103"/>
            </w:rPr>
            <w:instrText xml:space="preserve"> PAGE  \* Arabic  \* MERGEFORMAT </w:instrText>
          </w:r>
          <w:r>
            <w:rPr>
              <w:w w:val="103"/>
            </w:rPr>
            <w:fldChar w:fldCharType="separate"/>
          </w:r>
          <w:r w:rsidR="00087DBB">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7DBB">
            <w:rPr>
              <w:noProof/>
              <w:w w:val="103"/>
            </w:rPr>
            <w:t>8</w:t>
          </w:r>
          <w:r>
            <w:rPr>
              <w:w w:val="103"/>
            </w:rPr>
            <w:fldChar w:fldCharType="end"/>
          </w:r>
        </w:p>
      </w:tc>
    </w:tr>
  </w:tbl>
  <w:p w:rsidR="00A07A2F" w:rsidRPr="00A07A2F" w:rsidRDefault="00A07A2F" w:rsidP="00A07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7A2F" w:rsidTr="00A07A2F">
      <w:trPr>
        <w:jc w:val="center"/>
      </w:trPr>
      <w:tc>
        <w:tcPr>
          <w:tcW w:w="5126" w:type="dxa"/>
          <w:shd w:val="clear" w:color="auto" w:fill="auto"/>
        </w:tcPr>
        <w:p w:rsidR="00A07A2F" w:rsidRPr="00A07A2F" w:rsidRDefault="00A07A2F" w:rsidP="00A07A2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7DBB">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7DBB">
            <w:rPr>
              <w:noProof/>
              <w:w w:val="103"/>
            </w:rPr>
            <w:t>7</w:t>
          </w:r>
          <w:r>
            <w:rPr>
              <w:w w:val="103"/>
            </w:rPr>
            <w:fldChar w:fldCharType="end"/>
          </w:r>
        </w:p>
      </w:tc>
      <w:tc>
        <w:tcPr>
          <w:tcW w:w="5127" w:type="dxa"/>
          <w:shd w:val="clear" w:color="auto" w:fill="auto"/>
        </w:tcPr>
        <w:p w:rsidR="00A07A2F" w:rsidRPr="00A07A2F" w:rsidRDefault="00A07A2F" w:rsidP="00A07A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340D5">
            <w:rPr>
              <w:b w:val="0"/>
              <w:w w:val="103"/>
              <w:sz w:val="14"/>
            </w:rPr>
            <w:t>GE.15-12823</w:t>
          </w:r>
          <w:r>
            <w:rPr>
              <w:b w:val="0"/>
              <w:w w:val="103"/>
              <w:sz w:val="14"/>
            </w:rPr>
            <w:fldChar w:fldCharType="end"/>
          </w:r>
        </w:p>
      </w:tc>
    </w:tr>
  </w:tbl>
  <w:p w:rsidR="00A07A2F" w:rsidRPr="00A07A2F" w:rsidRDefault="00A07A2F" w:rsidP="00A07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2F" w:rsidRDefault="00A07A2F">
    <w:pPr>
      <w:pStyle w:val="Footer"/>
    </w:pPr>
    <w:r>
      <w:rPr>
        <w:noProof/>
        <w:lang w:val="en-GB" w:eastAsia="en-GB"/>
      </w:rPr>
      <w:drawing>
        <wp:anchor distT="0" distB="0" distL="114300" distR="114300" simplePos="0" relativeHeight="251658240" behindDoc="0" locked="0" layoutInCell="1" allowOverlap="1" wp14:anchorId="2E1D6CE2" wp14:editId="39E6EB7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AT/C/54/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07A2F" w:rsidTr="00A07A2F">
      <w:tc>
        <w:tcPr>
          <w:tcW w:w="3859" w:type="dxa"/>
        </w:tcPr>
        <w:p w:rsidR="00A07A2F" w:rsidRDefault="00A07A2F" w:rsidP="00A07A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340D5">
            <w:rPr>
              <w:b w:val="0"/>
              <w:sz w:val="20"/>
            </w:rPr>
            <w:t>GE.15-12823 (F)</w:t>
          </w:r>
          <w:r>
            <w:rPr>
              <w:b w:val="0"/>
              <w:sz w:val="20"/>
            </w:rPr>
            <w:fldChar w:fldCharType="end"/>
          </w:r>
          <w:r w:rsidR="005D6AE6">
            <w:rPr>
              <w:b w:val="0"/>
              <w:sz w:val="20"/>
            </w:rPr>
            <w:t xml:space="preserve">    02</w:t>
          </w:r>
          <w:r>
            <w:rPr>
              <w:b w:val="0"/>
              <w:sz w:val="20"/>
            </w:rPr>
            <w:t>1215    0</w:t>
          </w:r>
          <w:r w:rsidR="00963C31">
            <w:rPr>
              <w:b w:val="0"/>
              <w:sz w:val="20"/>
            </w:rPr>
            <w:t>4</w:t>
          </w:r>
          <w:r>
            <w:rPr>
              <w:b w:val="0"/>
              <w:sz w:val="20"/>
            </w:rPr>
            <w:t>1215</w:t>
          </w:r>
        </w:p>
        <w:p w:rsidR="00A07A2F" w:rsidRPr="00A07A2F" w:rsidRDefault="00A07A2F" w:rsidP="00A07A2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340D5">
            <w:rPr>
              <w:rFonts w:ascii="Barcode 3 of 9 by request" w:hAnsi="Barcode 3 of 9 by request"/>
              <w:b w:val="0"/>
              <w:spacing w:val="0"/>
              <w:w w:val="100"/>
              <w:sz w:val="24"/>
            </w:rPr>
            <w:t>*1512823*</w:t>
          </w:r>
          <w:r>
            <w:rPr>
              <w:rFonts w:ascii="Barcode 3 of 9 by request" w:hAnsi="Barcode 3 of 9 by request"/>
              <w:b w:val="0"/>
              <w:spacing w:val="0"/>
              <w:w w:val="100"/>
              <w:sz w:val="24"/>
            </w:rPr>
            <w:fldChar w:fldCharType="end"/>
          </w:r>
        </w:p>
      </w:tc>
      <w:tc>
        <w:tcPr>
          <w:tcW w:w="5127" w:type="dxa"/>
        </w:tcPr>
        <w:p w:rsidR="00A07A2F" w:rsidRDefault="00A07A2F" w:rsidP="00A07A2F">
          <w:pPr>
            <w:pStyle w:val="Footer"/>
            <w:spacing w:line="240" w:lineRule="atLeast"/>
            <w:jc w:val="right"/>
            <w:rPr>
              <w:b w:val="0"/>
              <w:sz w:val="20"/>
            </w:rPr>
          </w:pPr>
          <w:r>
            <w:rPr>
              <w:b w:val="0"/>
              <w:noProof/>
              <w:sz w:val="20"/>
              <w:lang w:val="en-GB" w:eastAsia="en-GB"/>
            </w:rPr>
            <w:drawing>
              <wp:inline distT="0" distB="0" distL="0" distR="0" wp14:anchorId="6AE464D6" wp14:editId="56FD447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07A2F" w:rsidRPr="00A07A2F" w:rsidRDefault="00A07A2F" w:rsidP="00A07A2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3C" w:rsidRPr="00E66E07" w:rsidRDefault="00E66E07" w:rsidP="00E66E07">
      <w:pPr>
        <w:pStyle w:val="Footer"/>
        <w:spacing w:after="80"/>
        <w:ind w:left="792"/>
        <w:rPr>
          <w:sz w:val="16"/>
        </w:rPr>
      </w:pPr>
      <w:r w:rsidRPr="00E66E07">
        <w:rPr>
          <w:sz w:val="16"/>
        </w:rPr>
        <w:t>__________________</w:t>
      </w:r>
    </w:p>
  </w:footnote>
  <w:footnote w:type="continuationSeparator" w:id="0">
    <w:p w:rsidR="00EE453C" w:rsidRPr="00E66E07" w:rsidRDefault="00E66E07" w:rsidP="00E66E07">
      <w:pPr>
        <w:pStyle w:val="Footer"/>
        <w:spacing w:after="80"/>
        <w:ind w:left="792"/>
        <w:rPr>
          <w:sz w:val="16"/>
        </w:rPr>
      </w:pPr>
      <w:r w:rsidRPr="00E66E07">
        <w:rPr>
          <w:sz w:val="16"/>
        </w:rPr>
        <w:t>__________________</w:t>
      </w:r>
    </w:p>
  </w:footnote>
  <w:footnote w:id="1">
    <w:p w:rsidR="00262082" w:rsidRPr="00262082" w:rsidRDefault="00262082" w:rsidP="00E66E07">
      <w:pPr>
        <w:pStyle w:val="FootnoteText"/>
        <w:tabs>
          <w:tab w:val="right" w:pos="1195"/>
          <w:tab w:val="left" w:pos="1267"/>
          <w:tab w:val="left" w:pos="1742"/>
          <w:tab w:val="left" w:pos="2218"/>
          <w:tab w:val="left" w:pos="2693"/>
        </w:tabs>
        <w:ind w:left="1267" w:right="1260" w:hanging="432"/>
        <w:rPr>
          <w:lang w:val="fr-CH"/>
        </w:rPr>
      </w:pPr>
      <w:r>
        <w:tab/>
      </w:r>
      <w:r w:rsidRPr="00262082">
        <w:rPr>
          <w:rStyle w:val="FootnoteReference"/>
          <w:vertAlign w:val="baseline"/>
        </w:rPr>
        <w:t>*</w:t>
      </w:r>
      <w:r w:rsidRPr="00262082">
        <w:tab/>
      </w:r>
      <w:r>
        <w:t>Adopté par le Comité à sa cinquante-quatrième session (20 avril-15 mai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07A2F" w:rsidTr="00A07A2F">
      <w:trPr>
        <w:trHeight w:hRule="exact" w:val="864"/>
        <w:jc w:val="center"/>
      </w:trPr>
      <w:tc>
        <w:tcPr>
          <w:tcW w:w="4882" w:type="dxa"/>
          <w:shd w:val="clear" w:color="auto" w:fill="auto"/>
          <w:vAlign w:val="bottom"/>
        </w:tcPr>
        <w:p w:rsidR="00A07A2F" w:rsidRPr="00A07A2F" w:rsidRDefault="00A07A2F" w:rsidP="00A07A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340D5">
            <w:rPr>
              <w:b/>
              <w:color w:val="000000"/>
            </w:rPr>
            <w:t>CAT/C/54/3</w:t>
          </w:r>
          <w:r>
            <w:rPr>
              <w:b/>
              <w:color w:val="000000"/>
            </w:rPr>
            <w:fldChar w:fldCharType="end"/>
          </w:r>
        </w:p>
      </w:tc>
      <w:tc>
        <w:tcPr>
          <w:tcW w:w="5127" w:type="dxa"/>
          <w:shd w:val="clear" w:color="auto" w:fill="auto"/>
          <w:vAlign w:val="bottom"/>
        </w:tcPr>
        <w:p w:rsidR="00A07A2F" w:rsidRDefault="00A07A2F" w:rsidP="00A07A2F">
          <w:pPr>
            <w:pStyle w:val="Header"/>
          </w:pPr>
        </w:p>
      </w:tc>
    </w:tr>
  </w:tbl>
  <w:p w:rsidR="00A07A2F" w:rsidRPr="00A07A2F" w:rsidRDefault="00A07A2F" w:rsidP="00A07A2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07A2F" w:rsidTr="00A07A2F">
      <w:trPr>
        <w:trHeight w:hRule="exact" w:val="864"/>
        <w:jc w:val="center"/>
      </w:trPr>
      <w:tc>
        <w:tcPr>
          <w:tcW w:w="4882" w:type="dxa"/>
          <w:shd w:val="clear" w:color="auto" w:fill="auto"/>
          <w:vAlign w:val="bottom"/>
        </w:tcPr>
        <w:p w:rsidR="00A07A2F" w:rsidRDefault="00A07A2F" w:rsidP="00A07A2F">
          <w:pPr>
            <w:pStyle w:val="Header"/>
          </w:pPr>
        </w:p>
      </w:tc>
      <w:tc>
        <w:tcPr>
          <w:tcW w:w="5127" w:type="dxa"/>
          <w:shd w:val="clear" w:color="auto" w:fill="auto"/>
          <w:vAlign w:val="bottom"/>
        </w:tcPr>
        <w:p w:rsidR="00A07A2F" w:rsidRPr="00A07A2F" w:rsidRDefault="00A07A2F" w:rsidP="00A07A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340D5">
            <w:rPr>
              <w:b/>
              <w:color w:val="000000"/>
            </w:rPr>
            <w:t>CAT/C/54/3</w:t>
          </w:r>
          <w:r>
            <w:rPr>
              <w:b/>
              <w:color w:val="000000"/>
            </w:rPr>
            <w:fldChar w:fldCharType="end"/>
          </w:r>
        </w:p>
      </w:tc>
    </w:tr>
  </w:tbl>
  <w:p w:rsidR="00A07A2F" w:rsidRPr="00A07A2F" w:rsidRDefault="00A07A2F" w:rsidP="00A07A2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07A2F" w:rsidTr="00A07A2F">
      <w:trPr>
        <w:trHeight w:hRule="exact" w:val="864"/>
      </w:trPr>
      <w:tc>
        <w:tcPr>
          <w:tcW w:w="1267" w:type="dxa"/>
          <w:tcBorders>
            <w:bottom w:val="single" w:sz="4" w:space="0" w:color="auto"/>
          </w:tcBorders>
          <w:shd w:val="clear" w:color="auto" w:fill="auto"/>
          <w:vAlign w:val="bottom"/>
        </w:tcPr>
        <w:p w:rsidR="00A07A2F" w:rsidRDefault="00A07A2F" w:rsidP="00A07A2F">
          <w:pPr>
            <w:pStyle w:val="Header"/>
            <w:spacing w:after="120"/>
          </w:pPr>
        </w:p>
      </w:tc>
      <w:tc>
        <w:tcPr>
          <w:tcW w:w="2059" w:type="dxa"/>
          <w:tcBorders>
            <w:bottom w:val="single" w:sz="4" w:space="0" w:color="auto"/>
          </w:tcBorders>
          <w:shd w:val="clear" w:color="auto" w:fill="auto"/>
          <w:vAlign w:val="bottom"/>
        </w:tcPr>
        <w:p w:rsidR="00A07A2F" w:rsidRPr="00A07A2F" w:rsidRDefault="00A07A2F" w:rsidP="00A07A2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07A2F" w:rsidRDefault="00A07A2F" w:rsidP="00A07A2F">
          <w:pPr>
            <w:pStyle w:val="Header"/>
            <w:spacing w:after="120"/>
          </w:pPr>
        </w:p>
      </w:tc>
      <w:tc>
        <w:tcPr>
          <w:tcW w:w="6653" w:type="dxa"/>
          <w:gridSpan w:val="4"/>
          <w:tcBorders>
            <w:bottom w:val="single" w:sz="4" w:space="0" w:color="auto"/>
          </w:tcBorders>
          <w:shd w:val="clear" w:color="auto" w:fill="auto"/>
          <w:vAlign w:val="bottom"/>
        </w:tcPr>
        <w:p w:rsidR="00A07A2F" w:rsidRPr="00A07A2F" w:rsidRDefault="00A07A2F" w:rsidP="00A07A2F">
          <w:pPr>
            <w:spacing w:after="80" w:line="240" w:lineRule="auto"/>
            <w:jc w:val="right"/>
            <w:rPr>
              <w:position w:val="-4"/>
            </w:rPr>
          </w:pPr>
          <w:r>
            <w:rPr>
              <w:position w:val="-4"/>
              <w:sz w:val="40"/>
            </w:rPr>
            <w:t>CAT</w:t>
          </w:r>
          <w:r>
            <w:rPr>
              <w:position w:val="-4"/>
            </w:rPr>
            <w:t>/C/54/3</w:t>
          </w:r>
        </w:p>
      </w:tc>
    </w:tr>
    <w:tr w:rsidR="00A07A2F" w:rsidRPr="00A07A2F" w:rsidTr="00A07A2F">
      <w:trPr>
        <w:gridAfter w:val="1"/>
        <w:wAfter w:w="18" w:type="dxa"/>
        <w:trHeight w:hRule="exact" w:val="2880"/>
      </w:trPr>
      <w:tc>
        <w:tcPr>
          <w:tcW w:w="1267" w:type="dxa"/>
          <w:tcBorders>
            <w:top w:val="single" w:sz="4" w:space="0" w:color="auto"/>
            <w:bottom w:val="single" w:sz="12" w:space="0" w:color="auto"/>
          </w:tcBorders>
          <w:shd w:val="clear" w:color="auto" w:fill="auto"/>
        </w:tcPr>
        <w:p w:rsidR="00A07A2F" w:rsidRPr="00A07A2F" w:rsidRDefault="00A07A2F" w:rsidP="005D6AE6">
          <w:pPr>
            <w:pStyle w:val="Header"/>
            <w:spacing w:before="120" w:line="240" w:lineRule="auto"/>
            <w:ind w:left="-72"/>
            <w:jc w:val="center"/>
          </w:pPr>
          <w:r>
            <w:rPr>
              <w:noProof/>
              <w:lang w:val="en-GB" w:eastAsia="en-GB"/>
            </w:rPr>
            <w:drawing>
              <wp:inline distT="0" distB="0" distL="0" distR="0" wp14:anchorId="4902244C" wp14:editId="7237409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7A2F" w:rsidRPr="00A07A2F" w:rsidRDefault="00A07A2F" w:rsidP="00A07A2F">
          <w:pPr>
            <w:pStyle w:val="XLarge"/>
            <w:spacing w:before="109"/>
          </w:pPr>
          <w:r>
            <w:t>Convention contre</w:t>
          </w:r>
          <w:r w:rsidR="005D6AE6">
            <w:t xml:space="preserve"> </w:t>
          </w:r>
          <w:r>
            <w:br/>
            <w:t>la torture et autres peines</w:t>
          </w:r>
          <w:r w:rsidR="005D6AE6">
            <w:t xml:space="preserve"> </w:t>
          </w:r>
          <w:r>
            <w:br/>
            <w:t>ou traitements cruels,</w:t>
          </w:r>
          <w:r w:rsidR="005D6AE6">
            <w:t xml:space="preserve"> </w:t>
          </w:r>
          <w:r>
            <w:br/>
            <w:t>inhumains ou dégradants</w:t>
          </w:r>
        </w:p>
      </w:tc>
      <w:tc>
        <w:tcPr>
          <w:tcW w:w="245" w:type="dxa"/>
          <w:tcBorders>
            <w:top w:val="single" w:sz="4" w:space="0" w:color="auto"/>
            <w:bottom w:val="single" w:sz="12" w:space="0" w:color="auto"/>
          </w:tcBorders>
          <w:shd w:val="clear" w:color="auto" w:fill="auto"/>
        </w:tcPr>
        <w:p w:rsidR="00A07A2F" w:rsidRPr="00A07A2F" w:rsidRDefault="00A07A2F" w:rsidP="00A07A2F">
          <w:pPr>
            <w:pStyle w:val="Header"/>
            <w:spacing w:before="109"/>
          </w:pPr>
        </w:p>
      </w:tc>
      <w:tc>
        <w:tcPr>
          <w:tcW w:w="3280" w:type="dxa"/>
          <w:tcBorders>
            <w:top w:val="single" w:sz="4" w:space="0" w:color="auto"/>
            <w:bottom w:val="single" w:sz="12" w:space="0" w:color="auto"/>
          </w:tcBorders>
          <w:shd w:val="clear" w:color="auto" w:fill="auto"/>
        </w:tcPr>
        <w:p w:rsidR="00A07A2F" w:rsidRDefault="00A07A2F" w:rsidP="00A07A2F">
          <w:pPr>
            <w:pStyle w:val="Distribution"/>
            <w:rPr>
              <w:color w:val="000000"/>
            </w:rPr>
          </w:pPr>
          <w:r>
            <w:rPr>
              <w:color w:val="000000"/>
            </w:rPr>
            <w:t>Distr. générale</w:t>
          </w:r>
        </w:p>
        <w:p w:rsidR="00A07A2F" w:rsidRDefault="00A07A2F" w:rsidP="00A07A2F">
          <w:pPr>
            <w:pStyle w:val="Publication"/>
            <w:rPr>
              <w:color w:val="000000"/>
            </w:rPr>
          </w:pPr>
          <w:r>
            <w:rPr>
              <w:color w:val="000000"/>
            </w:rPr>
            <w:t>29 juillet 2015</w:t>
          </w:r>
        </w:p>
        <w:p w:rsidR="00A07A2F" w:rsidRDefault="00A07A2F" w:rsidP="00A07A2F">
          <w:pPr>
            <w:rPr>
              <w:lang w:val="en-US"/>
            </w:rPr>
          </w:pPr>
          <w:r>
            <w:rPr>
              <w:lang w:val="en-US"/>
            </w:rPr>
            <w:t>Français</w:t>
          </w:r>
        </w:p>
        <w:p w:rsidR="00A07A2F" w:rsidRPr="00A07A2F" w:rsidRDefault="00A07A2F" w:rsidP="00A07A2F">
          <w:pPr>
            <w:pStyle w:val="Original"/>
            <w:rPr>
              <w:color w:val="000000"/>
            </w:rPr>
          </w:pPr>
          <w:r>
            <w:rPr>
              <w:color w:val="000000"/>
            </w:rPr>
            <w:t>Original : anglais</w:t>
          </w:r>
        </w:p>
      </w:tc>
    </w:tr>
  </w:tbl>
  <w:p w:rsidR="00A07A2F" w:rsidRPr="00A07A2F" w:rsidRDefault="00A07A2F" w:rsidP="00A07A2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720"/>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23*"/>
    <w:docVar w:name="CreationDt" w:val="12/3/2015 12:38 PM"/>
    <w:docVar w:name="DocCategory" w:val="Doc"/>
    <w:docVar w:name="DocType" w:val="Final"/>
    <w:docVar w:name="DutyStation" w:val="Geneva"/>
    <w:docVar w:name="FooterJN" w:val="GE.15-12823"/>
    <w:docVar w:name="jobn" w:val="GE.15-12823 (F)"/>
    <w:docVar w:name="jobnDT" w:val="GE.15-12823 (F)   031215"/>
    <w:docVar w:name="jobnDTDT" w:val="GE.15-12823 (F)   031215   031215"/>
    <w:docVar w:name="JobNo" w:val="GE.1512823F"/>
    <w:docVar w:name="JobNo2" w:val="GE.1516870F"/>
    <w:docVar w:name="LocalDrive" w:val="0"/>
    <w:docVar w:name="OandT" w:val="M. Deschamps"/>
    <w:docVar w:name="PaperSize" w:val="A4"/>
    <w:docVar w:name="sss1" w:val="CAT/C/54/3"/>
    <w:docVar w:name="sss2" w:val="-"/>
    <w:docVar w:name="Symbol1" w:val="CAT/C/54/3"/>
    <w:docVar w:name="Symbol2" w:val="-"/>
  </w:docVars>
  <w:rsids>
    <w:rsidRoot w:val="00EE453C"/>
    <w:rsid w:val="000015B8"/>
    <w:rsid w:val="000046A5"/>
    <w:rsid w:val="000052B0"/>
    <w:rsid w:val="000055FB"/>
    <w:rsid w:val="00010C97"/>
    <w:rsid w:val="00016483"/>
    <w:rsid w:val="00022173"/>
    <w:rsid w:val="0002226F"/>
    <w:rsid w:val="00022B4A"/>
    <w:rsid w:val="00023E37"/>
    <w:rsid w:val="000249FF"/>
    <w:rsid w:val="00025DE5"/>
    <w:rsid w:val="00026A6F"/>
    <w:rsid w:val="000274C2"/>
    <w:rsid w:val="00033DC9"/>
    <w:rsid w:val="000378DE"/>
    <w:rsid w:val="00040497"/>
    <w:rsid w:val="00041ABD"/>
    <w:rsid w:val="0004507C"/>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87DBB"/>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A08"/>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1FA4"/>
    <w:rsid w:val="00132A45"/>
    <w:rsid w:val="00133BA2"/>
    <w:rsid w:val="001359FA"/>
    <w:rsid w:val="0013714F"/>
    <w:rsid w:val="00140666"/>
    <w:rsid w:val="0014233F"/>
    <w:rsid w:val="00143703"/>
    <w:rsid w:val="00144C1D"/>
    <w:rsid w:val="00144DE1"/>
    <w:rsid w:val="00145A1F"/>
    <w:rsid w:val="001466A3"/>
    <w:rsid w:val="00147051"/>
    <w:rsid w:val="001471CF"/>
    <w:rsid w:val="00151710"/>
    <w:rsid w:val="00151AC8"/>
    <w:rsid w:val="00155B70"/>
    <w:rsid w:val="00157DA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3751"/>
    <w:rsid w:val="001F4DBE"/>
    <w:rsid w:val="001F62AF"/>
    <w:rsid w:val="001F793D"/>
    <w:rsid w:val="001F7E9D"/>
    <w:rsid w:val="002021E9"/>
    <w:rsid w:val="00202789"/>
    <w:rsid w:val="00202F1F"/>
    <w:rsid w:val="00203205"/>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0785"/>
    <w:rsid w:val="00261E82"/>
    <w:rsid w:val="002620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0BC"/>
    <w:rsid w:val="0029018C"/>
    <w:rsid w:val="0029219F"/>
    <w:rsid w:val="002A07EF"/>
    <w:rsid w:val="002A2122"/>
    <w:rsid w:val="002A27E5"/>
    <w:rsid w:val="002A530D"/>
    <w:rsid w:val="002A69DB"/>
    <w:rsid w:val="002B037D"/>
    <w:rsid w:val="002B16C6"/>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0F9"/>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975FE"/>
    <w:rsid w:val="003A2037"/>
    <w:rsid w:val="003A4ED6"/>
    <w:rsid w:val="003A56DC"/>
    <w:rsid w:val="003B0B19"/>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3F7E1A"/>
    <w:rsid w:val="00401219"/>
    <w:rsid w:val="00402B2C"/>
    <w:rsid w:val="004039C7"/>
    <w:rsid w:val="00403AD5"/>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53A6"/>
    <w:rsid w:val="004669E9"/>
    <w:rsid w:val="00472794"/>
    <w:rsid w:val="00475F9F"/>
    <w:rsid w:val="00476698"/>
    <w:rsid w:val="00477592"/>
    <w:rsid w:val="00477FE1"/>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0BB"/>
    <w:rsid w:val="004E0FB8"/>
    <w:rsid w:val="004E1BB6"/>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6F9C"/>
    <w:rsid w:val="0051772A"/>
    <w:rsid w:val="00517E8B"/>
    <w:rsid w:val="00520271"/>
    <w:rsid w:val="00520B7B"/>
    <w:rsid w:val="00521F7B"/>
    <w:rsid w:val="00522110"/>
    <w:rsid w:val="00522657"/>
    <w:rsid w:val="00523069"/>
    <w:rsid w:val="00523378"/>
    <w:rsid w:val="0052413A"/>
    <w:rsid w:val="00525A3D"/>
    <w:rsid w:val="00527615"/>
    <w:rsid w:val="00527DD0"/>
    <w:rsid w:val="00532A04"/>
    <w:rsid w:val="00533905"/>
    <w:rsid w:val="00535783"/>
    <w:rsid w:val="005372C0"/>
    <w:rsid w:val="00541630"/>
    <w:rsid w:val="0054168D"/>
    <w:rsid w:val="00542357"/>
    <w:rsid w:val="00546AB4"/>
    <w:rsid w:val="00551176"/>
    <w:rsid w:val="00551EAE"/>
    <w:rsid w:val="00552150"/>
    <w:rsid w:val="005522D6"/>
    <w:rsid w:val="005536AE"/>
    <w:rsid w:val="00554B37"/>
    <w:rsid w:val="0055536F"/>
    <w:rsid w:val="005669CA"/>
    <w:rsid w:val="005702EE"/>
    <w:rsid w:val="005721F9"/>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522D"/>
    <w:rsid w:val="005C65C2"/>
    <w:rsid w:val="005C7219"/>
    <w:rsid w:val="005C765D"/>
    <w:rsid w:val="005C7B4D"/>
    <w:rsid w:val="005D6AE6"/>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CF3"/>
    <w:rsid w:val="00636EB6"/>
    <w:rsid w:val="006407EF"/>
    <w:rsid w:val="0064115E"/>
    <w:rsid w:val="006423E0"/>
    <w:rsid w:val="0064336E"/>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3CC8"/>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4B4"/>
    <w:rsid w:val="006C3BDD"/>
    <w:rsid w:val="006C449D"/>
    <w:rsid w:val="006D0C9B"/>
    <w:rsid w:val="006D1115"/>
    <w:rsid w:val="006D138E"/>
    <w:rsid w:val="006D1B76"/>
    <w:rsid w:val="006D5832"/>
    <w:rsid w:val="006E215F"/>
    <w:rsid w:val="006E2A5F"/>
    <w:rsid w:val="006E3D5C"/>
    <w:rsid w:val="006E4078"/>
    <w:rsid w:val="006E4E12"/>
    <w:rsid w:val="006E4EFA"/>
    <w:rsid w:val="006E5649"/>
    <w:rsid w:val="006F41DD"/>
    <w:rsid w:val="006F5A33"/>
    <w:rsid w:val="006F6787"/>
    <w:rsid w:val="006F6EDD"/>
    <w:rsid w:val="006F79A5"/>
    <w:rsid w:val="006F79E9"/>
    <w:rsid w:val="0070306F"/>
    <w:rsid w:val="007033D2"/>
    <w:rsid w:val="00704AF5"/>
    <w:rsid w:val="0070555E"/>
    <w:rsid w:val="00706E08"/>
    <w:rsid w:val="00707DF8"/>
    <w:rsid w:val="00711F00"/>
    <w:rsid w:val="0071328D"/>
    <w:rsid w:val="00717865"/>
    <w:rsid w:val="00721866"/>
    <w:rsid w:val="0072436A"/>
    <w:rsid w:val="00735F3A"/>
    <w:rsid w:val="00735FB1"/>
    <w:rsid w:val="007367E1"/>
    <w:rsid w:val="007372D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5C94"/>
    <w:rsid w:val="00767FBE"/>
    <w:rsid w:val="00770AE0"/>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4C23"/>
    <w:rsid w:val="007D5EA3"/>
    <w:rsid w:val="007D6FCB"/>
    <w:rsid w:val="007D7FD4"/>
    <w:rsid w:val="007E2CBA"/>
    <w:rsid w:val="007E2FEB"/>
    <w:rsid w:val="007E3CF9"/>
    <w:rsid w:val="007E5084"/>
    <w:rsid w:val="007E74E9"/>
    <w:rsid w:val="007E7D9C"/>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2719C"/>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60D8"/>
    <w:rsid w:val="00867D33"/>
    <w:rsid w:val="00867F04"/>
    <w:rsid w:val="008703DB"/>
    <w:rsid w:val="008710A1"/>
    <w:rsid w:val="0087489F"/>
    <w:rsid w:val="00875E49"/>
    <w:rsid w:val="008773CC"/>
    <w:rsid w:val="0088158E"/>
    <w:rsid w:val="0088258D"/>
    <w:rsid w:val="008829F3"/>
    <w:rsid w:val="00882D4B"/>
    <w:rsid w:val="00887256"/>
    <w:rsid w:val="00890BEA"/>
    <w:rsid w:val="00890EF0"/>
    <w:rsid w:val="0089184F"/>
    <w:rsid w:val="00891ADA"/>
    <w:rsid w:val="008962D4"/>
    <w:rsid w:val="008A2B8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C7264"/>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5A2"/>
    <w:rsid w:val="00916A77"/>
    <w:rsid w:val="00921BE8"/>
    <w:rsid w:val="00922E3D"/>
    <w:rsid w:val="00924F29"/>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3C31"/>
    <w:rsid w:val="00964BDE"/>
    <w:rsid w:val="009676D3"/>
    <w:rsid w:val="00970A5C"/>
    <w:rsid w:val="00971E24"/>
    <w:rsid w:val="00974846"/>
    <w:rsid w:val="00976A1E"/>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225"/>
    <w:rsid w:val="009A142A"/>
    <w:rsid w:val="009A17F4"/>
    <w:rsid w:val="009A193C"/>
    <w:rsid w:val="009A325B"/>
    <w:rsid w:val="009A3FE3"/>
    <w:rsid w:val="009A4787"/>
    <w:rsid w:val="009A7DEC"/>
    <w:rsid w:val="009B0650"/>
    <w:rsid w:val="009B0AF7"/>
    <w:rsid w:val="009B0BFB"/>
    <w:rsid w:val="009B4398"/>
    <w:rsid w:val="009B4EEC"/>
    <w:rsid w:val="009C1815"/>
    <w:rsid w:val="009C5249"/>
    <w:rsid w:val="009C70D0"/>
    <w:rsid w:val="009C7F1B"/>
    <w:rsid w:val="009D5A2E"/>
    <w:rsid w:val="009D702B"/>
    <w:rsid w:val="009E0573"/>
    <w:rsid w:val="009E06DE"/>
    <w:rsid w:val="009E09FA"/>
    <w:rsid w:val="009E1CEC"/>
    <w:rsid w:val="009E246F"/>
    <w:rsid w:val="009E404C"/>
    <w:rsid w:val="009E76A1"/>
    <w:rsid w:val="009F004A"/>
    <w:rsid w:val="009F0575"/>
    <w:rsid w:val="009F235E"/>
    <w:rsid w:val="009F29EB"/>
    <w:rsid w:val="009F2D3B"/>
    <w:rsid w:val="009F3C78"/>
    <w:rsid w:val="009F5ACE"/>
    <w:rsid w:val="009F7FE9"/>
    <w:rsid w:val="00A00A92"/>
    <w:rsid w:val="00A011D7"/>
    <w:rsid w:val="00A02426"/>
    <w:rsid w:val="00A04DB3"/>
    <w:rsid w:val="00A0589C"/>
    <w:rsid w:val="00A058C8"/>
    <w:rsid w:val="00A06CAB"/>
    <w:rsid w:val="00A07A2F"/>
    <w:rsid w:val="00A12A69"/>
    <w:rsid w:val="00A12DBB"/>
    <w:rsid w:val="00A150A7"/>
    <w:rsid w:val="00A151B8"/>
    <w:rsid w:val="00A157E7"/>
    <w:rsid w:val="00A210DD"/>
    <w:rsid w:val="00A21443"/>
    <w:rsid w:val="00A22ED0"/>
    <w:rsid w:val="00A23006"/>
    <w:rsid w:val="00A24099"/>
    <w:rsid w:val="00A244E4"/>
    <w:rsid w:val="00A264B0"/>
    <w:rsid w:val="00A2768E"/>
    <w:rsid w:val="00A329BC"/>
    <w:rsid w:val="00A33E3C"/>
    <w:rsid w:val="00A340D5"/>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2054"/>
    <w:rsid w:val="00A83E5E"/>
    <w:rsid w:val="00A84C12"/>
    <w:rsid w:val="00A85CA4"/>
    <w:rsid w:val="00A85D04"/>
    <w:rsid w:val="00A85DB4"/>
    <w:rsid w:val="00A86044"/>
    <w:rsid w:val="00A90002"/>
    <w:rsid w:val="00A927F1"/>
    <w:rsid w:val="00A96709"/>
    <w:rsid w:val="00A96A34"/>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1213"/>
    <w:rsid w:val="00AC5447"/>
    <w:rsid w:val="00AC625F"/>
    <w:rsid w:val="00AC67C3"/>
    <w:rsid w:val="00AC6CA3"/>
    <w:rsid w:val="00AC6DB5"/>
    <w:rsid w:val="00AD3D04"/>
    <w:rsid w:val="00AD500D"/>
    <w:rsid w:val="00AD7C27"/>
    <w:rsid w:val="00AE0DF0"/>
    <w:rsid w:val="00AE10E9"/>
    <w:rsid w:val="00AE11C7"/>
    <w:rsid w:val="00AE164F"/>
    <w:rsid w:val="00AE2D40"/>
    <w:rsid w:val="00AE5DCD"/>
    <w:rsid w:val="00AE73A1"/>
    <w:rsid w:val="00AE7F88"/>
    <w:rsid w:val="00AF4648"/>
    <w:rsid w:val="00AF4DD3"/>
    <w:rsid w:val="00AF6B78"/>
    <w:rsid w:val="00B01631"/>
    <w:rsid w:val="00B01D80"/>
    <w:rsid w:val="00B05198"/>
    <w:rsid w:val="00B0544B"/>
    <w:rsid w:val="00B05C4E"/>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0B98"/>
    <w:rsid w:val="00B52A47"/>
    <w:rsid w:val="00B52BB3"/>
    <w:rsid w:val="00B53FB4"/>
    <w:rsid w:val="00B541C6"/>
    <w:rsid w:val="00B556DD"/>
    <w:rsid w:val="00B5798F"/>
    <w:rsid w:val="00B57EB0"/>
    <w:rsid w:val="00B61107"/>
    <w:rsid w:val="00B61CB4"/>
    <w:rsid w:val="00B63EAE"/>
    <w:rsid w:val="00B65DB9"/>
    <w:rsid w:val="00B66644"/>
    <w:rsid w:val="00B67756"/>
    <w:rsid w:val="00B70DA9"/>
    <w:rsid w:val="00B712B0"/>
    <w:rsid w:val="00B71478"/>
    <w:rsid w:val="00B71802"/>
    <w:rsid w:val="00B7200B"/>
    <w:rsid w:val="00B76414"/>
    <w:rsid w:val="00B77EB8"/>
    <w:rsid w:val="00B80D5C"/>
    <w:rsid w:val="00B81A2A"/>
    <w:rsid w:val="00B82E95"/>
    <w:rsid w:val="00B84109"/>
    <w:rsid w:val="00B85BDA"/>
    <w:rsid w:val="00B870D6"/>
    <w:rsid w:val="00B874A9"/>
    <w:rsid w:val="00B932C8"/>
    <w:rsid w:val="00B93B31"/>
    <w:rsid w:val="00B9457F"/>
    <w:rsid w:val="00B965BF"/>
    <w:rsid w:val="00BA06B1"/>
    <w:rsid w:val="00BA1914"/>
    <w:rsid w:val="00BA3125"/>
    <w:rsid w:val="00BA3654"/>
    <w:rsid w:val="00BA600B"/>
    <w:rsid w:val="00BC05C8"/>
    <w:rsid w:val="00BC0F9A"/>
    <w:rsid w:val="00BC2934"/>
    <w:rsid w:val="00BC3D5F"/>
    <w:rsid w:val="00BC43E2"/>
    <w:rsid w:val="00BD0917"/>
    <w:rsid w:val="00BD0ABC"/>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5F6F"/>
    <w:rsid w:val="00BF651C"/>
    <w:rsid w:val="00BF734B"/>
    <w:rsid w:val="00BF7BD3"/>
    <w:rsid w:val="00C01B04"/>
    <w:rsid w:val="00C01B3A"/>
    <w:rsid w:val="00C03721"/>
    <w:rsid w:val="00C05291"/>
    <w:rsid w:val="00C06025"/>
    <w:rsid w:val="00C067A3"/>
    <w:rsid w:val="00C115C1"/>
    <w:rsid w:val="00C118DD"/>
    <w:rsid w:val="00C11FDA"/>
    <w:rsid w:val="00C13C81"/>
    <w:rsid w:val="00C14A5C"/>
    <w:rsid w:val="00C14B0A"/>
    <w:rsid w:val="00C2049B"/>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D22"/>
    <w:rsid w:val="00C56EFE"/>
    <w:rsid w:val="00C57F00"/>
    <w:rsid w:val="00C60C0B"/>
    <w:rsid w:val="00C61C92"/>
    <w:rsid w:val="00C66382"/>
    <w:rsid w:val="00C67F09"/>
    <w:rsid w:val="00C72788"/>
    <w:rsid w:val="00C75F9C"/>
    <w:rsid w:val="00C76A5E"/>
    <w:rsid w:val="00C770FD"/>
    <w:rsid w:val="00C83617"/>
    <w:rsid w:val="00C840E2"/>
    <w:rsid w:val="00C8631F"/>
    <w:rsid w:val="00C865D9"/>
    <w:rsid w:val="00C87110"/>
    <w:rsid w:val="00C90813"/>
    <w:rsid w:val="00C90C2B"/>
    <w:rsid w:val="00C9582B"/>
    <w:rsid w:val="00C967C6"/>
    <w:rsid w:val="00C978FA"/>
    <w:rsid w:val="00CA13F9"/>
    <w:rsid w:val="00CA2B14"/>
    <w:rsid w:val="00CA2D2A"/>
    <w:rsid w:val="00CA40E0"/>
    <w:rsid w:val="00CA4C49"/>
    <w:rsid w:val="00CA657A"/>
    <w:rsid w:val="00CA67AB"/>
    <w:rsid w:val="00CA789C"/>
    <w:rsid w:val="00CB016F"/>
    <w:rsid w:val="00CB0CBE"/>
    <w:rsid w:val="00CB1C6D"/>
    <w:rsid w:val="00CB2393"/>
    <w:rsid w:val="00CB3ED6"/>
    <w:rsid w:val="00CB5956"/>
    <w:rsid w:val="00CB60A9"/>
    <w:rsid w:val="00CC3EAA"/>
    <w:rsid w:val="00CC49F2"/>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1D5C"/>
    <w:rsid w:val="00D42F04"/>
    <w:rsid w:val="00D447E5"/>
    <w:rsid w:val="00D457D0"/>
    <w:rsid w:val="00D463A4"/>
    <w:rsid w:val="00D4699C"/>
    <w:rsid w:val="00D47877"/>
    <w:rsid w:val="00D50E68"/>
    <w:rsid w:val="00D513A1"/>
    <w:rsid w:val="00D57D07"/>
    <w:rsid w:val="00D618E7"/>
    <w:rsid w:val="00D619A2"/>
    <w:rsid w:val="00D6375A"/>
    <w:rsid w:val="00D64A77"/>
    <w:rsid w:val="00D66AB5"/>
    <w:rsid w:val="00D67265"/>
    <w:rsid w:val="00D676A0"/>
    <w:rsid w:val="00D70856"/>
    <w:rsid w:val="00D71995"/>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5388"/>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35EAE"/>
    <w:rsid w:val="00E35F95"/>
    <w:rsid w:val="00E405EA"/>
    <w:rsid w:val="00E40877"/>
    <w:rsid w:val="00E45731"/>
    <w:rsid w:val="00E474F9"/>
    <w:rsid w:val="00E51F8B"/>
    <w:rsid w:val="00E51FCF"/>
    <w:rsid w:val="00E529D4"/>
    <w:rsid w:val="00E53839"/>
    <w:rsid w:val="00E53C18"/>
    <w:rsid w:val="00E53F41"/>
    <w:rsid w:val="00E54488"/>
    <w:rsid w:val="00E547B1"/>
    <w:rsid w:val="00E5497B"/>
    <w:rsid w:val="00E5638A"/>
    <w:rsid w:val="00E56D2F"/>
    <w:rsid w:val="00E635B9"/>
    <w:rsid w:val="00E6363C"/>
    <w:rsid w:val="00E66700"/>
    <w:rsid w:val="00E66AD7"/>
    <w:rsid w:val="00E66E07"/>
    <w:rsid w:val="00E67B0A"/>
    <w:rsid w:val="00E71BAD"/>
    <w:rsid w:val="00E72BD2"/>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453C"/>
    <w:rsid w:val="00EE5F6D"/>
    <w:rsid w:val="00EF0701"/>
    <w:rsid w:val="00EF11F2"/>
    <w:rsid w:val="00EF236F"/>
    <w:rsid w:val="00EF3067"/>
    <w:rsid w:val="00EF5776"/>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2FB"/>
    <w:rsid w:val="00F369E3"/>
    <w:rsid w:val="00F36A57"/>
    <w:rsid w:val="00F4019F"/>
    <w:rsid w:val="00F405BB"/>
    <w:rsid w:val="00F4328A"/>
    <w:rsid w:val="00F43573"/>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667"/>
    <w:rsid w:val="00FC0F57"/>
    <w:rsid w:val="00FC1BC9"/>
    <w:rsid w:val="00FC4133"/>
    <w:rsid w:val="00FC41DA"/>
    <w:rsid w:val="00FC5C65"/>
    <w:rsid w:val="00FC75B8"/>
    <w:rsid w:val="00FC75D3"/>
    <w:rsid w:val="00FC7A88"/>
    <w:rsid w:val="00FD318F"/>
    <w:rsid w:val="00FD54BE"/>
    <w:rsid w:val="00FD7CD4"/>
    <w:rsid w:val="00FE2498"/>
    <w:rsid w:val="00FE3548"/>
    <w:rsid w:val="00FE3F2D"/>
    <w:rsid w:val="00FE5934"/>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07A2F"/>
    <w:rPr>
      <w:sz w:val="16"/>
      <w:szCs w:val="16"/>
    </w:rPr>
  </w:style>
  <w:style w:type="paragraph" w:styleId="CommentText">
    <w:name w:val="annotation text"/>
    <w:basedOn w:val="Normal"/>
    <w:link w:val="CommentTextChar"/>
    <w:uiPriority w:val="99"/>
    <w:semiHidden/>
    <w:unhideWhenUsed/>
    <w:rsid w:val="00A07A2F"/>
    <w:pPr>
      <w:spacing w:line="240" w:lineRule="auto"/>
    </w:pPr>
    <w:rPr>
      <w:szCs w:val="20"/>
    </w:rPr>
  </w:style>
  <w:style w:type="character" w:customStyle="1" w:styleId="CommentTextChar">
    <w:name w:val="Comment Text Char"/>
    <w:basedOn w:val="DefaultParagraphFont"/>
    <w:link w:val="CommentText"/>
    <w:uiPriority w:val="99"/>
    <w:semiHidden/>
    <w:rsid w:val="00A07A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07A2F"/>
    <w:rPr>
      <w:b/>
      <w:bCs/>
    </w:rPr>
  </w:style>
  <w:style w:type="character" w:customStyle="1" w:styleId="CommentSubjectChar">
    <w:name w:val="Comment Subject Char"/>
    <w:basedOn w:val="CommentTextChar"/>
    <w:link w:val="CommentSubject"/>
    <w:uiPriority w:val="99"/>
    <w:semiHidden/>
    <w:rsid w:val="00A07A2F"/>
    <w:rPr>
      <w:rFonts w:ascii="Times New Roman" w:hAnsi="Times New Roman"/>
      <w:b/>
      <w:bCs/>
      <w:spacing w:val="4"/>
      <w:w w:val="103"/>
      <w:kern w:val="14"/>
      <w:lang w:val="fr-CA"/>
    </w:rPr>
  </w:style>
  <w:style w:type="paragraph" w:customStyle="1" w:styleId="SingleTxtG">
    <w:name w:val="_ Single Txt_G"/>
    <w:basedOn w:val="Normal"/>
    <w:rsid w:val="000E3A08"/>
    <w:pPr>
      <w:suppressAutoHyphens/>
      <w:spacing w:after="120" w:line="240" w:lineRule="atLeast"/>
      <w:ind w:left="1134" w:right="1134"/>
      <w:jc w:val="both"/>
    </w:pPr>
    <w:rPr>
      <w:rFonts w:eastAsia="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07A2F"/>
    <w:rPr>
      <w:sz w:val="16"/>
      <w:szCs w:val="16"/>
    </w:rPr>
  </w:style>
  <w:style w:type="paragraph" w:styleId="CommentText">
    <w:name w:val="annotation text"/>
    <w:basedOn w:val="Normal"/>
    <w:link w:val="CommentTextChar"/>
    <w:uiPriority w:val="99"/>
    <w:semiHidden/>
    <w:unhideWhenUsed/>
    <w:rsid w:val="00A07A2F"/>
    <w:pPr>
      <w:spacing w:line="240" w:lineRule="auto"/>
    </w:pPr>
    <w:rPr>
      <w:szCs w:val="20"/>
    </w:rPr>
  </w:style>
  <w:style w:type="character" w:customStyle="1" w:styleId="CommentTextChar">
    <w:name w:val="Comment Text Char"/>
    <w:basedOn w:val="DefaultParagraphFont"/>
    <w:link w:val="CommentText"/>
    <w:uiPriority w:val="99"/>
    <w:semiHidden/>
    <w:rsid w:val="00A07A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07A2F"/>
    <w:rPr>
      <w:b/>
      <w:bCs/>
    </w:rPr>
  </w:style>
  <w:style w:type="character" w:customStyle="1" w:styleId="CommentSubjectChar">
    <w:name w:val="Comment Subject Char"/>
    <w:basedOn w:val="CommentTextChar"/>
    <w:link w:val="CommentSubject"/>
    <w:uiPriority w:val="99"/>
    <w:semiHidden/>
    <w:rsid w:val="00A07A2F"/>
    <w:rPr>
      <w:rFonts w:ascii="Times New Roman" w:hAnsi="Times New Roman"/>
      <w:b/>
      <w:bCs/>
      <w:spacing w:val="4"/>
      <w:w w:val="103"/>
      <w:kern w:val="14"/>
      <w:lang w:val="fr-CA"/>
    </w:rPr>
  </w:style>
  <w:style w:type="paragraph" w:customStyle="1" w:styleId="SingleTxtG">
    <w:name w:val="_ Single Txt_G"/>
    <w:basedOn w:val="Normal"/>
    <w:rsid w:val="000E3A08"/>
    <w:pPr>
      <w:suppressAutoHyphens/>
      <w:spacing w:after="120" w:line="240" w:lineRule="atLeast"/>
      <w:ind w:left="1134" w:right="1134"/>
      <w:jc w:val="both"/>
    </w:pPr>
    <w:rPr>
      <w:rFonts w:eastAsia="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4860">
      <w:bodyDiv w:val="1"/>
      <w:marLeft w:val="0"/>
      <w:marRight w:val="0"/>
      <w:marTop w:val="0"/>
      <w:marBottom w:val="0"/>
      <w:divBdr>
        <w:top w:val="none" w:sz="0" w:space="0" w:color="auto"/>
        <w:left w:val="none" w:sz="0" w:space="0" w:color="auto"/>
        <w:bottom w:val="none" w:sz="0" w:space="0" w:color="auto"/>
        <w:right w:val="none" w:sz="0" w:space="0" w:color="auto"/>
      </w:divBdr>
    </w:div>
    <w:div w:id="21396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46DE-0FC7-4753-80F7-9DF59F130AB6}"/>
</file>

<file path=customXml/itemProps2.xml><?xml version="1.0" encoding="utf-8"?>
<ds:datastoreItem xmlns:ds="http://schemas.openxmlformats.org/officeDocument/2006/customXml" ds:itemID="{80F5FED4-33A8-4F08-8879-F72169FA86FA}"/>
</file>

<file path=customXml/itemProps3.xml><?xml version="1.0" encoding="utf-8"?>
<ds:datastoreItem xmlns:ds="http://schemas.openxmlformats.org/officeDocument/2006/customXml" ds:itemID="{E1986435-DCD5-4D83-9235-FF3ED5E741F2}"/>
</file>

<file path=customXml/itemProps4.xml><?xml version="1.0" encoding="utf-8"?>
<ds:datastoreItem xmlns:ds="http://schemas.openxmlformats.org/officeDocument/2006/customXml" ds:itemID="{19D3A3A5-F7A6-4B4F-B53F-ABC743E6354D}"/>
</file>

<file path=docProps/app.xml><?xml version="1.0" encoding="utf-8"?>
<Properties xmlns="http://schemas.openxmlformats.org/officeDocument/2006/extended-properties" xmlns:vt="http://schemas.openxmlformats.org/officeDocument/2006/docPropsVTypes">
  <Template>Normal</Template>
  <TotalTime>1</TotalTime>
  <Pages>8</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CAT/C/54/3 in French</dc:title>
  <dc:creator>Temporaire</dc:creator>
  <cp:lastModifiedBy>Anne Kawuki</cp:lastModifiedBy>
  <cp:revision>2</cp:revision>
  <cp:lastPrinted>2015-12-04T11:58:00Z</cp:lastPrinted>
  <dcterms:created xsi:type="dcterms:W3CDTF">2015-12-21T14:40:00Z</dcterms:created>
  <dcterms:modified xsi:type="dcterms:W3CDTF">2015-12-21T14:40:00Z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1512823F</vt:lpwstr>
  </property>
  <property fmtid="{D5CDD505-2E9C-101B-9397-08002B2CF9AE}" pid="3" name="ODSRefJobNo">
    <vt:lpwstr>1516870F</vt:lpwstr>
  </property>
  <property fmtid="{D5CDD505-2E9C-101B-9397-08002B2CF9AE}" pid="4" name="Symbol1">
    <vt:lpwstr>CAT/C/54/3</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juillet 2015</vt:lpwstr>
  </property>
  <property fmtid="{D5CDD505-2E9C-101B-9397-08002B2CF9AE}" pid="12" name="Original">
    <vt:lpwstr>anglais</vt:lpwstr>
  </property>
  <property fmtid="{D5CDD505-2E9C-101B-9397-08002B2CF9AE}" pid="13" name="Release Date">
    <vt:lpwstr>031215</vt:lpwstr>
  </property>
  <property fmtid="{D5CDD505-2E9C-101B-9397-08002B2CF9AE}" pid="14" name="ContentTypeId">
    <vt:lpwstr>0x0101008822B9E06671B54FA89F14538B9B0FEA</vt:lpwstr>
  </property>
  <property fmtid="{D5CDD505-2E9C-101B-9397-08002B2CF9AE}" pid="15" name="Order">
    <vt:r8>3281300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