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43"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0A5CDD">
        <w:trPr>
          <w:trHeight w:hRule="exact" w:val="810"/>
        </w:trPr>
        <w:tc>
          <w:tcPr>
            <w:tcW w:w="1266" w:type="dxa"/>
            <w:tcBorders>
              <w:top w:val="nil"/>
              <w:bottom w:val="single" w:sz="4" w:space="0" w:color="auto"/>
            </w:tcBorders>
          </w:tcPr>
          <w:p w:rsidR="006B3E27" w:rsidRPr="00983870" w:rsidRDefault="006B3E27" w:rsidP="005A3015">
            <w:pPr>
              <w:bidi w:val="0"/>
              <w:jc w:val="right"/>
            </w:pPr>
            <w:bookmarkStart w:id="0" w:name="_GoBack"/>
            <w:bookmarkEnd w:id="0"/>
          </w:p>
        </w:tc>
        <w:tc>
          <w:tcPr>
            <w:tcW w:w="4767" w:type="dxa"/>
            <w:tcBorders>
              <w:top w:val="nil"/>
              <w:bottom w:val="single" w:sz="4" w:space="0" w:color="auto"/>
            </w:tcBorders>
            <w:vAlign w:val="bottom"/>
          </w:tcPr>
          <w:p w:rsidR="006B3E27" w:rsidRPr="00DB7679" w:rsidRDefault="006B3E27" w:rsidP="005A3015">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A76AB2" w:rsidP="000A5CDD">
            <w:pPr>
              <w:bidi w:val="0"/>
              <w:spacing w:after="20"/>
              <w:jc w:val="left"/>
              <w:rPr>
                <w:szCs w:val="20"/>
              </w:rPr>
            </w:pPr>
            <w:r w:rsidRPr="00A76AB2">
              <w:rPr>
                <w:sz w:val="40"/>
                <w:szCs w:val="20"/>
              </w:rPr>
              <w:t>CAT</w:t>
            </w:r>
            <w:r>
              <w:rPr>
                <w:szCs w:val="20"/>
              </w:rPr>
              <w:t>/C/67/3</w:t>
            </w:r>
          </w:p>
        </w:tc>
      </w:tr>
      <w:tr w:rsidR="00DC1D29" w:rsidRPr="00DB7679" w:rsidTr="000A5CDD">
        <w:trPr>
          <w:trHeight w:hRule="exact" w:val="45"/>
        </w:trPr>
        <w:tc>
          <w:tcPr>
            <w:tcW w:w="1266" w:type="dxa"/>
            <w:tcBorders>
              <w:top w:val="single" w:sz="4" w:space="0" w:color="auto"/>
              <w:bottom w:val="nil"/>
            </w:tcBorders>
          </w:tcPr>
          <w:p w:rsidR="00DC1D29" w:rsidRPr="00983870" w:rsidRDefault="00DC1D29" w:rsidP="005A3015">
            <w:pPr>
              <w:bidi w:val="0"/>
              <w:jc w:val="right"/>
            </w:pPr>
          </w:p>
        </w:tc>
        <w:tc>
          <w:tcPr>
            <w:tcW w:w="4767" w:type="dxa"/>
            <w:tcBorders>
              <w:top w:val="single" w:sz="4" w:space="0" w:color="auto"/>
              <w:bottom w:val="nil"/>
            </w:tcBorders>
            <w:vAlign w:val="bottom"/>
          </w:tcPr>
          <w:p w:rsidR="00DC1D29" w:rsidRPr="00DB7679" w:rsidRDefault="00DC1D29" w:rsidP="005A3015">
            <w:pPr>
              <w:spacing w:after="80" w:line="480" w:lineRule="exact"/>
              <w:jc w:val="left"/>
              <w:rPr>
                <w:szCs w:val="40"/>
                <w:rtl/>
              </w:rPr>
            </w:pPr>
          </w:p>
        </w:tc>
        <w:tc>
          <w:tcPr>
            <w:tcW w:w="3598" w:type="dxa"/>
            <w:tcBorders>
              <w:top w:val="single" w:sz="4" w:space="0" w:color="auto"/>
              <w:bottom w:val="nil"/>
            </w:tcBorders>
            <w:vAlign w:val="bottom"/>
          </w:tcPr>
          <w:p w:rsidR="00DC1D29" w:rsidRDefault="000A5CDD" w:rsidP="000A5CDD">
            <w:pPr>
              <w:bidi w:val="0"/>
              <w:spacing w:after="20"/>
              <w:jc w:val="left"/>
              <w:rPr>
                <w:szCs w:val="20"/>
                <w:rtl/>
              </w:rPr>
            </w:pPr>
            <w:r>
              <w:rPr>
                <w:szCs w:val="20"/>
              </w:rPr>
              <w:t>Distr</w:t>
            </w:r>
            <w:r>
              <w:rPr>
                <w:szCs w:val="20"/>
                <w:rtl/>
              </w:rPr>
              <w:t xml:space="preserve">.: </w:t>
            </w:r>
          </w:p>
          <w:p w:rsidR="000A5CDD" w:rsidRDefault="000A5CDD" w:rsidP="000A5CDD">
            <w:pPr>
              <w:bidi w:val="0"/>
              <w:jc w:val="left"/>
              <w:rPr>
                <w:szCs w:val="20"/>
              </w:rPr>
            </w:pPr>
          </w:p>
          <w:p w:rsidR="000A5CDD" w:rsidRDefault="000A5CDD" w:rsidP="000A5CDD">
            <w:pPr>
              <w:bidi w:val="0"/>
              <w:jc w:val="left"/>
              <w:rPr>
                <w:szCs w:val="20"/>
              </w:rPr>
            </w:pPr>
            <w:r>
              <w:rPr>
                <w:szCs w:val="20"/>
              </w:rPr>
              <w:t>Arabic</w:t>
            </w:r>
          </w:p>
          <w:p w:rsidR="000A5CDD" w:rsidRPr="00243C8A" w:rsidRDefault="000A5CDD" w:rsidP="000A5CDD">
            <w:pPr>
              <w:bidi w:val="0"/>
              <w:jc w:val="left"/>
              <w:rPr>
                <w:szCs w:val="20"/>
              </w:rPr>
            </w:pPr>
            <w:r>
              <w:rPr>
                <w:szCs w:val="20"/>
              </w:rPr>
              <w:t>Original</w:t>
            </w:r>
            <w:r>
              <w:rPr>
                <w:szCs w:val="20"/>
                <w:rtl/>
              </w:rPr>
              <w:t xml:space="preserve">: </w:t>
            </w:r>
          </w:p>
        </w:tc>
      </w:tr>
      <w:tr w:rsidR="006B3E27" w:rsidRPr="00DB7679" w:rsidTr="000A5CDD">
        <w:trPr>
          <w:trHeight w:hRule="exact" w:val="2835"/>
        </w:trPr>
        <w:tc>
          <w:tcPr>
            <w:tcW w:w="1266" w:type="dxa"/>
            <w:tcBorders>
              <w:top w:val="nil"/>
              <w:bottom w:val="single" w:sz="12" w:space="0" w:color="auto"/>
            </w:tcBorders>
          </w:tcPr>
          <w:p w:rsidR="006B3E27" w:rsidRPr="00DB7679" w:rsidRDefault="0059622A" w:rsidP="005A3015">
            <w:pPr>
              <w:jc w:val="center"/>
              <w:rPr>
                <w:rtl/>
              </w:rPr>
            </w:pPr>
            <w:r>
              <w:rPr>
                <w:noProof/>
                <w:lang w:val="en-GB" w:eastAsia="en-GB"/>
              </w:rPr>
              <w:drawing>
                <wp:anchor distT="0" distB="0" distL="114300" distR="114300" simplePos="0" relativeHeight="251658240" behindDoc="1" locked="0" layoutInCell="1" allowOverlap="1" wp14:anchorId="1F1C1B28" wp14:editId="144A970A">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A67AF5" w:rsidRPr="00817373" w:rsidRDefault="00817373" w:rsidP="005A3015">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0A5CDD" w:rsidRPr="00445C02" w:rsidRDefault="000A5CDD" w:rsidP="000A5CDD">
            <w:pPr>
              <w:bidi w:val="0"/>
              <w:spacing w:before="240"/>
              <w:jc w:val="left"/>
              <w:rPr>
                <w:rFonts w:cs="Times New Roman"/>
                <w:szCs w:val="20"/>
                <w:lang w:val="en-GB"/>
              </w:rPr>
            </w:pPr>
            <w:r w:rsidRPr="00445C02">
              <w:rPr>
                <w:rFonts w:cs="Times New Roman"/>
                <w:szCs w:val="20"/>
                <w:lang w:val="en-GB"/>
              </w:rPr>
              <w:t>Distr.: General</w:t>
            </w:r>
          </w:p>
          <w:p w:rsidR="000A5CDD" w:rsidRPr="00445C02" w:rsidRDefault="000A5CDD" w:rsidP="000A5CDD">
            <w:pPr>
              <w:bidi w:val="0"/>
              <w:jc w:val="left"/>
              <w:rPr>
                <w:rFonts w:cs="Times New Roman"/>
                <w:szCs w:val="20"/>
                <w:lang w:val="en-GB"/>
              </w:rPr>
            </w:pPr>
            <w:r w:rsidRPr="00445C02">
              <w:rPr>
                <w:rFonts w:cs="Times New Roman"/>
                <w:szCs w:val="20"/>
                <w:lang w:val="en-GB"/>
              </w:rPr>
              <w:t>26 September 2019</w:t>
            </w:r>
          </w:p>
          <w:p w:rsidR="000A5CDD" w:rsidRPr="00445C02" w:rsidRDefault="000A5CDD" w:rsidP="000A5CDD">
            <w:pPr>
              <w:bidi w:val="0"/>
              <w:jc w:val="left"/>
              <w:rPr>
                <w:rFonts w:cs="Times New Roman"/>
                <w:szCs w:val="20"/>
                <w:lang w:val="en-GB"/>
              </w:rPr>
            </w:pPr>
            <w:r>
              <w:rPr>
                <w:rFonts w:cs="Times New Roman"/>
                <w:szCs w:val="20"/>
                <w:lang w:val="en-GB"/>
              </w:rPr>
              <w:t>Arabic</w:t>
            </w:r>
          </w:p>
          <w:p w:rsidR="006B3E27" w:rsidRPr="008B4BC6" w:rsidRDefault="000A5CDD" w:rsidP="000A5CDD">
            <w:pPr>
              <w:bidi w:val="0"/>
              <w:jc w:val="left"/>
            </w:pPr>
            <w:r w:rsidRPr="00445C02">
              <w:rPr>
                <w:rFonts w:cs="Times New Roman"/>
                <w:szCs w:val="20"/>
                <w:lang w:val="en-GB"/>
              </w:rPr>
              <w:t>Original: English</w:t>
            </w:r>
          </w:p>
        </w:tc>
      </w:tr>
    </w:tbl>
    <w:p w:rsidR="000A5CDD" w:rsidRPr="00717390" w:rsidRDefault="000A5CDD" w:rsidP="000A5CDD">
      <w:pPr>
        <w:pStyle w:val="SingleTxtGA"/>
        <w:spacing w:before="120"/>
        <w:ind w:left="0"/>
        <w:rPr>
          <w:b/>
          <w:bCs/>
          <w:sz w:val="26"/>
          <w:szCs w:val="36"/>
          <w:rtl/>
        </w:rPr>
      </w:pPr>
      <w:r w:rsidRPr="00717390">
        <w:rPr>
          <w:b/>
          <w:bCs/>
          <w:sz w:val="26"/>
          <w:szCs w:val="36"/>
          <w:rtl/>
        </w:rPr>
        <w:t>لجنة مناهضة التعذيب</w:t>
      </w:r>
    </w:p>
    <w:p w:rsidR="000A5CDD" w:rsidRDefault="000A5CDD" w:rsidP="000A5CDD">
      <w:pPr>
        <w:pStyle w:val="HChGA"/>
        <w:rPr>
          <w:rtl/>
        </w:rPr>
      </w:pPr>
      <w:r>
        <w:rPr>
          <w:rtl/>
        </w:rPr>
        <w:tab/>
      </w:r>
      <w:r>
        <w:rPr>
          <w:rtl/>
        </w:rPr>
        <w:tab/>
        <w:t>تقرير متابعة بشأن القرارات المتعلقة بالبلاغات المقدمة في إطار المادة</w:t>
      </w:r>
      <w:r>
        <w:rPr>
          <w:rFonts w:hint="cs"/>
          <w:rtl/>
        </w:rPr>
        <w:t> </w:t>
      </w:r>
      <w:r>
        <w:rPr>
          <w:rtl/>
        </w:rPr>
        <w:t>٢٢ من الاتفاقية</w:t>
      </w:r>
      <w:r w:rsidRPr="00717390">
        <w:rPr>
          <w:rStyle w:val="FootnoteReference"/>
          <w:sz w:val="20"/>
          <w:vertAlign w:val="baseline"/>
          <w:rtl/>
        </w:rPr>
        <w:footnoteReference w:customMarkFollows="1" w:id="1"/>
        <w:t>*</w:t>
      </w:r>
    </w:p>
    <w:p w:rsidR="000A5CDD" w:rsidRDefault="000A5CDD" w:rsidP="000A5CDD">
      <w:pPr>
        <w:pStyle w:val="HChGA"/>
        <w:rPr>
          <w:rtl/>
        </w:rPr>
      </w:pPr>
      <w:r>
        <w:rPr>
          <w:rtl/>
        </w:rPr>
        <w:tab/>
      </w:r>
      <w:r>
        <w:rPr>
          <w:rtl/>
        </w:rPr>
        <w:tab/>
        <w:t>مقدمة</w:t>
      </w:r>
    </w:p>
    <w:p w:rsidR="000A5CDD" w:rsidRDefault="000A5CDD" w:rsidP="000A5CDD">
      <w:pPr>
        <w:pStyle w:val="SingleTxtGA"/>
        <w:rPr>
          <w:rtl/>
        </w:rPr>
      </w:pPr>
      <w:r>
        <w:rPr>
          <w:rtl/>
        </w:rPr>
        <w:t>١-</w:t>
      </w:r>
      <w:r>
        <w:rPr>
          <w:rtl/>
        </w:rPr>
        <w:tab/>
      </w:r>
      <w:r w:rsidRPr="00717390">
        <w:rPr>
          <w:rtl/>
        </w:rPr>
        <w:t>هذا التقرير هو تجميع للمعلومات الواردة من الدول الأطراف وأصحاب الشكاوى التي</w:t>
      </w:r>
      <w:r>
        <w:rPr>
          <w:rFonts w:hint="cs"/>
          <w:rtl/>
        </w:rPr>
        <w:t> </w:t>
      </w:r>
      <w:r w:rsidRPr="00717390">
        <w:rPr>
          <w:rtl/>
        </w:rPr>
        <w:t xml:space="preserve">عالجتها لجنة مناهضة التعذيب منذ دورتها السادسة والستين (23 نيسان/أبريل </w:t>
      </w:r>
      <w:r w:rsidRPr="00717390">
        <w:rPr>
          <w:rFonts w:hint="cs"/>
          <w:rtl/>
        </w:rPr>
        <w:t>-</w:t>
      </w:r>
      <w:r w:rsidRPr="00717390">
        <w:rPr>
          <w:rtl/>
        </w:rPr>
        <w:t xml:space="preserve"> 17 أيار/</w:t>
      </w:r>
      <w:r>
        <w:rPr>
          <w:rFonts w:hint="cs"/>
          <w:rtl/>
        </w:rPr>
        <w:t xml:space="preserve"> </w:t>
      </w:r>
      <w:r w:rsidRPr="00717390">
        <w:rPr>
          <w:rtl/>
        </w:rPr>
        <w:t>مايو 2019)،</w:t>
      </w:r>
      <w:r>
        <w:rPr>
          <w:rtl/>
        </w:rPr>
        <w:t xml:space="preserve"> في إطار إجرائها لمتابعة </w:t>
      </w:r>
      <w:r>
        <w:rPr>
          <w:rtl/>
        </w:rPr>
        <w:lastRenderedPageBreak/>
        <w:t>القرارات المتعلقة بالبلاغات المقدمة في إطار المادة 22 من الاتفاقية</w:t>
      </w:r>
      <w:r>
        <w:rPr>
          <w:vertAlign w:val="superscript"/>
          <w:rtl/>
        </w:rPr>
        <w:t>(</w:t>
      </w:r>
      <w:r>
        <w:rPr>
          <w:rStyle w:val="FootnoteReference"/>
          <w:rtl/>
        </w:rPr>
        <w:footnoteReference w:id="2"/>
      </w:r>
      <w:r>
        <w:rPr>
          <w:vertAlign w:val="superscript"/>
          <w:rtl/>
        </w:rPr>
        <w:t>)</w:t>
      </w:r>
      <w:r>
        <w:rPr>
          <w:rtl/>
        </w:rPr>
        <w:t>.</w:t>
      </w:r>
    </w:p>
    <w:p w:rsidR="000A5CDD" w:rsidRDefault="000A5CDD" w:rsidP="000A5CDD">
      <w:pPr>
        <w:pStyle w:val="H1GA"/>
        <w:rPr>
          <w:rtl/>
        </w:rPr>
      </w:pPr>
      <w:r>
        <w:rPr>
          <w:rtl/>
        </w:rPr>
        <w:tab/>
        <w:t>ألف-</w:t>
      </w:r>
      <w:r>
        <w:rPr>
          <w:rtl/>
        </w:rPr>
        <w:tab/>
        <w:t>البلاغ رقم 477/2011</w:t>
      </w:r>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5"/>
        <w:gridCol w:w="5385"/>
      </w:tblGrid>
      <w:tr w:rsidR="000A5CDD" w:rsidRPr="00445C02" w:rsidTr="005C11AE">
        <w:trPr>
          <w:trHeight w:val="330"/>
          <w:tblHeader/>
        </w:trPr>
        <w:tc>
          <w:tcPr>
            <w:tcW w:w="7370" w:type="dxa"/>
            <w:gridSpan w:val="2"/>
            <w:tcBorders>
              <w:top w:val="single" w:sz="4" w:space="0" w:color="auto"/>
              <w:bottom w:val="single" w:sz="12" w:space="0" w:color="auto"/>
            </w:tcBorders>
            <w:shd w:val="clear" w:color="auto" w:fill="auto"/>
            <w:vAlign w:val="bottom"/>
          </w:tcPr>
          <w:p w:rsidR="000A5CDD" w:rsidRPr="00445C02" w:rsidRDefault="000A5CDD" w:rsidP="005C11AE">
            <w:pPr>
              <w:spacing w:after="120" w:line="380" w:lineRule="exact"/>
              <w:ind w:left="57" w:right="113"/>
              <w:rPr>
                <w:i/>
                <w:iCs/>
                <w:sz w:val="30"/>
              </w:rPr>
            </w:pPr>
            <w:r w:rsidRPr="00445C02">
              <w:rPr>
                <w:i/>
                <w:iCs/>
                <w:sz w:val="30"/>
                <w:rtl/>
              </w:rPr>
              <w:t>عرّاس ضد المغرب</w:t>
            </w:r>
          </w:p>
        </w:tc>
      </w:tr>
      <w:tr w:rsidR="000A5CDD" w:rsidRPr="00445C02" w:rsidTr="005C11AE">
        <w:trPr>
          <w:trHeight w:hRule="exact" w:val="103"/>
        </w:trPr>
        <w:tc>
          <w:tcPr>
            <w:tcW w:w="7370" w:type="dxa"/>
            <w:gridSpan w:val="2"/>
            <w:tcBorders>
              <w:top w:val="single" w:sz="12" w:space="0" w:color="auto"/>
            </w:tcBorders>
            <w:shd w:val="clear" w:color="auto" w:fill="auto"/>
          </w:tcPr>
          <w:p w:rsidR="000A5CDD" w:rsidRPr="00445C02" w:rsidRDefault="000A5CDD" w:rsidP="005C11AE">
            <w:pPr>
              <w:spacing w:before="60" w:after="120" w:line="380" w:lineRule="exact"/>
              <w:ind w:right="113"/>
              <w:rPr>
                <w:sz w:val="30"/>
              </w:rPr>
            </w:pPr>
          </w:p>
        </w:tc>
      </w:tr>
      <w:tr w:rsidR="000A5CDD" w:rsidRPr="00445C02" w:rsidTr="005C11AE">
        <w:trPr>
          <w:trHeight w:val="367"/>
        </w:trPr>
        <w:tc>
          <w:tcPr>
            <w:tcW w:w="1985" w:type="dxa"/>
            <w:shd w:val="clear" w:color="auto" w:fill="auto"/>
          </w:tcPr>
          <w:p w:rsidR="000A5CDD" w:rsidRPr="00445C02" w:rsidRDefault="000A5CDD" w:rsidP="005C11AE">
            <w:pPr>
              <w:spacing w:before="60" w:after="120" w:line="380" w:lineRule="exact"/>
              <w:ind w:right="113"/>
              <w:rPr>
                <w:sz w:val="30"/>
              </w:rPr>
            </w:pPr>
            <w:r w:rsidRPr="00445C02">
              <w:rPr>
                <w:sz w:val="30"/>
                <w:rtl/>
              </w:rPr>
              <w:t>تاريخ اعتماد القرار:</w:t>
            </w:r>
          </w:p>
        </w:tc>
        <w:tc>
          <w:tcPr>
            <w:tcW w:w="5385" w:type="dxa"/>
            <w:shd w:val="clear" w:color="auto" w:fill="auto"/>
          </w:tcPr>
          <w:p w:rsidR="000A5CDD" w:rsidRPr="00445C02" w:rsidRDefault="000A5CDD" w:rsidP="005C11AE">
            <w:pPr>
              <w:spacing w:before="60" w:after="120" w:line="380" w:lineRule="exact"/>
              <w:ind w:left="-3" w:right="113" w:firstLine="3"/>
              <w:rPr>
                <w:sz w:val="30"/>
              </w:rPr>
            </w:pPr>
            <w:r w:rsidRPr="00445C02">
              <w:rPr>
                <w:sz w:val="30"/>
                <w:rtl/>
              </w:rPr>
              <w:t>١٩ أيار/مايو ٢٠١٤</w:t>
            </w:r>
          </w:p>
        </w:tc>
      </w:tr>
      <w:tr w:rsidR="000A5CDD" w:rsidRPr="00445C02" w:rsidTr="005C11AE">
        <w:trPr>
          <w:trHeight w:val="367"/>
        </w:trPr>
        <w:tc>
          <w:tcPr>
            <w:tcW w:w="1985" w:type="dxa"/>
            <w:tcBorders>
              <w:bottom w:val="nil"/>
            </w:tcBorders>
            <w:shd w:val="clear" w:color="auto" w:fill="auto"/>
          </w:tcPr>
          <w:p w:rsidR="000A5CDD" w:rsidRPr="00445C02" w:rsidRDefault="000A5CDD" w:rsidP="005C11AE">
            <w:pPr>
              <w:spacing w:before="60" w:after="120" w:line="380" w:lineRule="exact"/>
              <w:ind w:right="113"/>
              <w:rPr>
                <w:sz w:val="30"/>
              </w:rPr>
            </w:pPr>
            <w:r w:rsidRPr="00445C02">
              <w:rPr>
                <w:sz w:val="30"/>
                <w:rtl/>
              </w:rPr>
              <w:t>المواد المنتهَكة:</w:t>
            </w:r>
          </w:p>
        </w:tc>
        <w:tc>
          <w:tcPr>
            <w:tcW w:w="5385" w:type="dxa"/>
            <w:tcBorders>
              <w:bottom w:val="nil"/>
            </w:tcBorders>
            <w:shd w:val="clear" w:color="auto" w:fill="auto"/>
          </w:tcPr>
          <w:p w:rsidR="000A5CDD" w:rsidRPr="00445C02" w:rsidRDefault="000A5CDD" w:rsidP="005C11AE">
            <w:pPr>
              <w:spacing w:before="60" w:after="120" w:line="380" w:lineRule="exact"/>
              <w:ind w:right="113"/>
              <w:rPr>
                <w:sz w:val="30"/>
              </w:rPr>
            </w:pPr>
            <w:r w:rsidRPr="00445C02">
              <w:rPr>
                <w:sz w:val="30"/>
                <w:rtl/>
              </w:rPr>
              <w:t>المواد 2(1)، و11 إلى 13، و15</w:t>
            </w:r>
          </w:p>
        </w:tc>
      </w:tr>
      <w:tr w:rsidR="000A5CDD" w:rsidRPr="00445C02" w:rsidTr="005C11AE">
        <w:trPr>
          <w:trHeight w:val="2298"/>
        </w:trPr>
        <w:tc>
          <w:tcPr>
            <w:tcW w:w="1985" w:type="dxa"/>
            <w:tcBorders>
              <w:top w:val="nil"/>
              <w:bottom w:val="single" w:sz="12" w:space="0" w:color="auto"/>
            </w:tcBorders>
            <w:shd w:val="clear" w:color="auto" w:fill="auto"/>
          </w:tcPr>
          <w:p w:rsidR="000A5CDD" w:rsidRPr="00445C02" w:rsidRDefault="000A5CDD" w:rsidP="005C11AE">
            <w:pPr>
              <w:spacing w:before="60" w:after="120" w:line="380" w:lineRule="exact"/>
              <w:ind w:right="113"/>
              <w:rPr>
                <w:sz w:val="30"/>
              </w:rPr>
            </w:pPr>
            <w:r w:rsidRPr="00445C02">
              <w:rPr>
                <w:sz w:val="30"/>
                <w:rtl/>
              </w:rPr>
              <w:t>الانتصاف:</w:t>
            </w:r>
          </w:p>
        </w:tc>
        <w:tc>
          <w:tcPr>
            <w:tcW w:w="5385" w:type="dxa"/>
            <w:tcBorders>
              <w:top w:val="nil"/>
              <w:bottom w:val="single" w:sz="12" w:space="0" w:color="auto"/>
            </w:tcBorders>
            <w:shd w:val="clear" w:color="auto" w:fill="auto"/>
          </w:tcPr>
          <w:p w:rsidR="000A5CDD" w:rsidRPr="00445C02" w:rsidRDefault="000A5CDD" w:rsidP="005C11AE">
            <w:pPr>
              <w:spacing w:before="60" w:after="120" w:line="380" w:lineRule="exact"/>
              <w:ind w:right="113"/>
              <w:rPr>
                <w:spacing w:val="-4"/>
                <w:sz w:val="30"/>
              </w:rPr>
            </w:pPr>
            <w:r w:rsidRPr="00445C02">
              <w:rPr>
                <w:spacing w:val="-4"/>
                <w:sz w:val="30"/>
                <w:rtl/>
              </w:rPr>
              <w:t xml:space="preserve">حثت اللجنة الدولة الطرف على إبلاغها، في غضون 90 يوماً من تاريخ إحالة هذا القرار، بما اتخذته من تدابير وفقاً للملاحظات الواردة في القرار، </w:t>
            </w:r>
            <w:r w:rsidRPr="00D457F0">
              <w:rPr>
                <w:spacing w:val="-6"/>
                <w:sz w:val="30"/>
                <w:rtl/>
              </w:rPr>
              <w:t>بما في ذلك فتح تحقيق نزيه ومعمّق في ادعاءات صاحب الشكوى بالتعرض</w:t>
            </w:r>
            <w:r w:rsidRPr="00445C02">
              <w:rPr>
                <w:spacing w:val="-4"/>
                <w:sz w:val="30"/>
                <w:rtl/>
              </w:rPr>
              <w:t xml:space="preserve"> للتعذيب. ويجب أن يشمل هذا التحقيق إجراء فحوص طبية وفقاً لدليل التقصي والتوثيق الفعالين بشأن التعذيب وغيره من ضروب المعاملة أو</w:t>
            </w:r>
            <w:r>
              <w:rPr>
                <w:rFonts w:hint="cs"/>
                <w:spacing w:val="-4"/>
                <w:sz w:val="30"/>
                <w:rtl/>
              </w:rPr>
              <w:t> </w:t>
            </w:r>
            <w:r w:rsidRPr="00445C02">
              <w:rPr>
                <w:spacing w:val="-4"/>
                <w:sz w:val="30"/>
                <w:rtl/>
              </w:rPr>
              <w:t>العقوبة القاسية أو اللاإنسانية أو المهينة (بروتوكول اسطنبول).</w:t>
            </w:r>
          </w:p>
        </w:tc>
      </w:tr>
    </w:tbl>
    <w:p w:rsidR="000A5CDD" w:rsidRPr="003F2566" w:rsidRDefault="000A5CDD" w:rsidP="000A5CDD">
      <w:pPr>
        <w:pStyle w:val="SingleTxtGA"/>
        <w:spacing w:before="240" w:line="370" w:lineRule="exact"/>
        <w:rPr>
          <w:spacing w:val="-4"/>
          <w:rtl/>
        </w:rPr>
      </w:pPr>
      <w:r w:rsidRPr="003F2566">
        <w:rPr>
          <w:spacing w:val="-4"/>
          <w:rtl/>
        </w:rPr>
        <w:t>٢-</w:t>
      </w:r>
      <w:r w:rsidRPr="003F2566">
        <w:rPr>
          <w:spacing w:val="-4"/>
          <w:rtl/>
        </w:rPr>
        <w:tab/>
        <w:t xml:space="preserve">وتمشياً مع القرار الذي اتخذته اللجنة في دورتها السادسة والستين بأن تُبقي حوار المتابعة جارياً، بالنظر إلى عدم إحراز تقدم ملموس في تنفيذ القرار المذكور أعلاه، طلب رئيس اللجنة </w:t>
      </w:r>
      <w:r w:rsidRPr="003F2566">
        <w:rPr>
          <w:spacing w:val="-4"/>
          <w:rtl/>
        </w:rPr>
        <w:lastRenderedPageBreak/>
        <w:t>عقد</w:t>
      </w:r>
      <w:r>
        <w:rPr>
          <w:rFonts w:hint="cs"/>
          <w:spacing w:val="-4"/>
          <w:rtl/>
        </w:rPr>
        <w:t> </w:t>
      </w:r>
      <w:r w:rsidRPr="003F2566">
        <w:rPr>
          <w:spacing w:val="-4"/>
          <w:rtl/>
        </w:rPr>
        <w:t>اجتماع مع ممثلٍ للبعثة الدائمة للمغرب لدى مكتب الأمم المتحدة والمنظمات الدولية الأخرى في</w:t>
      </w:r>
      <w:r>
        <w:rPr>
          <w:rFonts w:hint="cs"/>
          <w:spacing w:val="-4"/>
          <w:rtl/>
        </w:rPr>
        <w:t> </w:t>
      </w:r>
      <w:r w:rsidRPr="003F2566">
        <w:rPr>
          <w:spacing w:val="-4"/>
          <w:rtl/>
        </w:rPr>
        <w:t xml:space="preserve">جنيف. وكان من المقرر عقد الاجتماع في ٦ آب/أغسطس ٢٠١٩ من الساعة </w:t>
      </w:r>
      <w:r w:rsidRPr="003F2566">
        <w:rPr>
          <w:rFonts w:hint="cs"/>
          <w:spacing w:val="-4"/>
          <w:rtl/>
        </w:rPr>
        <w:t xml:space="preserve">00/14 </w:t>
      </w:r>
      <w:r w:rsidRPr="003F2566">
        <w:rPr>
          <w:spacing w:val="-4"/>
          <w:rtl/>
        </w:rPr>
        <w:t xml:space="preserve">إلى الساعة </w:t>
      </w:r>
      <w:r w:rsidRPr="003F2566">
        <w:rPr>
          <w:rFonts w:hint="cs"/>
          <w:spacing w:val="-4"/>
          <w:rtl/>
        </w:rPr>
        <w:t>00/15</w:t>
      </w:r>
      <w:r w:rsidRPr="003F2566">
        <w:rPr>
          <w:spacing w:val="-4"/>
          <w:rtl/>
        </w:rPr>
        <w:t xml:space="preserve">، لغرض مناقشة مزيد من التدابير التي يمكن أن تتخذها سلطات الدولة الطرف من أجل تنفيذ قرار اللجنة. </w:t>
      </w:r>
    </w:p>
    <w:p w:rsidR="000A5CDD" w:rsidRDefault="000A5CDD" w:rsidP="000A5CDD">
      <w:pPr>
        <w:pStyle w:val="SingleTxtGA"/>
        <w:spacing w:line="370" w:lineRule="exact"/>
        <w:rPr>
          <w:rtl/>
        </w:rPr>
      </w:pPr>
      <w:r>
        <w:rPr>
          <w:rtl/>
        </w:rPr>
        <w:t>٣-</w:t>
      </w:r>
      <w:r>
        <w:rPr>
          <w:rtl/>
        </w:rPr>
        <w:tab/>
      </w:r>
      <w:r w:rsidRPr="00031656">
        <w:rPr>
          <w:spacing w:val="-4"/>
          <w:rtl/>
        </w:rPr>
        <w:t>وأظهرت الملاحظات والتعليقات في إطار المتابعة عدم تنفيذ القرار. ولذلك قررت اللجنة أن تُبقي حوار المتابعة جارياً، وأن تنظر في إمكانية اتخاذ تدابير إضافية على ضوء ملاحظات الدولة الطرف. بالإضافة إلى ذلك، وتمشي</w:t>
      </w:r>
      <w:r>
        <w:rPr>
          <w:spacing w:val="-4"/>
          <w:rtl/>
        </w:rPr>
        <w:t xml:space="preserve">اً </w:t>
      </w:r>
      <w:r w:rsidRPr="00031656">
        <w:rPr>
          <w:spacing w:val="-4"/>
          <w:rtl/>
        </w:rPr>
        <w:t>مع قرار سابق، ستنشر اللجنة في تقريرها السنوي</w:t>
      </w:r>
      <w:r>
        <w:rPr>
          <w:rtl/>
        </w:rPr>
        <w:t xml:space="preserve"> عدم تنفيذ القرار المذكور أعلاه. </w:t>
      </w:r>
    </w:p>
    <w:p w:rsidR="000A5CDD" w:rsidRDefault="000A5CDD" w:rsidP="000A5CDD">
      <w:pPr>
        <w:pStyle w:val="H1GA"/>
        <w:rPr>
          <w:rtl/>
        </w:rPr>
      </w:pPr>
      <w:r>
        <w:rPr>
          <w:rtl/>
        </w:rPr>
        <w:lastRenderedPageBreak/>
        <w:tab/>
        <w:t>باء-</w:t>
      </w:r>
      <w:r>
        <w:rPr>
          <w:rtl/>
        </w:rPr>
        <w:tab/>
        <w:t>البلاغ رقم 500/2012</w:t>
      </w:r>
      <w:r>
        <w:rPr>
          <w:vertAlign w:val="superscript"/>
          <w:rtl/>
        </w:rPr>
        <w:t>(</w:t>
      </w:r>
      <w:r>
        <w:rPr>
          <w:rStyle w:val="FootnoteReference"/>
          <w:rtl/>
        </w:rPr>
        <w:footnoteReference w:id="3"/>
      </w:r>
      <w:r>
        <w:rPr>
          <w:vertAlign w:val="superscript"/>
          <w:rtl/>
        </w:rPr>
        <w:t>)</w:t>
      </w:r>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5"/>
        <w:gridCol w:w="5385"/>
      </w:tblGrid>
      <w:tr w:rsidR="000A5CDD" w:rsidRPr="00445C02" w:rsidTr="005C11AE">
        <w:trPr>
          <w:trHeight w:val="330"/>
          <w:tblHeader/>
        </w:trPr>
        <w:tc>
          <w:tcPr>
            <w:tcW w:w="7370" w:type="dxa"/>
            <w:gridSpan w:val="2"/>
            <w:tcBorders>
              <w:top w:val="single" w:sz="4" w:space="0" w:color="auto"/>
              <w:bottom w:val="single" w:sz="12" w:space="0" w:color="auto"/>
            </w:tcBorders>
            <w:shd w:val="clear" w:color="auto" w:fill="auto"/>
            <w:vAlign w:val="bottom"/>
          </w:tcPr>
          <w:p w:rsidR="000A5CDD" w:rsidRPr="00445C02" w:rsidRDefault="000A5CDD" w:rsidP="005C11AE">
            <w:pPr>
              <w:spacing w:after="120" w:line="380" w:lineRule="exact"/>
              <w:ind w:left="57" w:right="113"/>
              <w:rPr>
                <w:i/>
                <w:iCs/>
              </w:rPr>
            </w:pPr>
            <w:r w:rsidRPr="00445C02">
              <w:rPr>
                <w:i/>
                <w:iCs/>
                <w:rtl/>
              </w:rPr>
              <w:t>راميريز مارتينيز وآخرون ضد المكسيك</w:t>
            </w:r>
          </w:p>
        </w:tc>
      </w:tr>
      <w:tr w:rsidR="000A5CDD" w:rsidRPr="00445C02" w:rsidTr="005C11AE">
        <w:trPr>
          <w:trHeight w:hRule="exact" w:val="103"/>
        </w:trPr>
        <w:tc>
          <w:tcPr>
            <w:tcW w:w="7370" w:type="dxa"/>
            <w:gridSpan w:val="2"/>
            <w:tcBorders>
              <w:top w:val="single" w:sz="12" w:space="0" w:color="auto"/>
            </w:tcBorders>
            <w:shd w:val="clear" w:color="auto" w:fill="auto"/>
          </w:tcPr>
          <w:p w:rsidR="000A5CDD" w:rsidRPr="00445C02" w:rsidRDefault="000A5CDD" w:rsidP="005C11AE">
            <w:pPr>
              <w:spacing w:after="120" w:line="380" w:lineRule="exact"/>
              <w:ind w:right="113"/>
            </w:pPr>
          </w:p>
        </w:tc>
      </w:tr>
      <w:tr w:rsidR="000A5CDD" w:rsidRPr="00445C02" w:rsidTr="005C11AE">
        <w:trPr>
          <w:trHeight w:val="367"/>
        </w:trPr>
        <w:tc>
          <w:tcPr>
            <w:tcW w:w="1985" w:type="dxa"/>
            <w:shd w:val="clear" w:color="auto" w:fill="auto"/>
          </w:tcPr>
          <w:p w:rsidR="000A5CDD" w:rsidRPr="00445C02" w:rsidRDefault="000A5CDD" w:rsidP="005C11AE">
            <w:pPr>
              <w:spacing w:after="120" w:line="380" w:lineRule="exact"/>
              <w:ind w:right="113"/>
            </w:pPr>
            <w:r w:rsidRPr="00445C02">
              <w:rPr>
                <w:rtl/>
              </w:rPr>
              <w:t>تاريخ اعتماد القرار:</w:t>
            </w:r>
          </w:p>
        </w:tc>
        <w:tc>
          <w:tcPr>
            <w:tcW w:w="5385" w:type="dxa"/>
            <w:shd w:val="clear" w:color="auto" w:fill="auto"/>
          </w:tcPr>
          <w:p w:rsidR="000A5CDD" w:rsidRPr="00445C02" w:rsidRDefault="000A5CDD" w:rsidP="005C11AE">
            <w:pPr>
              <w:spacing w:after="120" w:line="380" w:lineRule="exact"/>
              <w:ind w:left="-3" w:right="113" w:firstLine="3"/>
            </w:pPr>
            <w:r w:rsidRPr="00445C02">
              <w:rPr>
                <w:rtl/>
              </w:rPr>
              <w:t>٤ آب/أغسطس ٢٠١٥</w:t>
            </w:r>
          </w:p>
        </w:tc>
      </w:tr>
      <w:tr w:rsidR="000A5CDD" w:rsidRPr="00445C02" w:rsidTr="005C11AE">
        <w:trPr>
          <w:trHeight w:val="367"/>
        </w:trPr>
        <w:tc>
          <w:tcPr>
            <w:tcW w:w="1985" w:type="dxa"/>
            <w:tcBorders>
              <w:bottom w:val="nil"/>
            </w:tcBorders>
            <w:shd w:val="clear" w:color="auto" w:fill="auto"/>
          </w:tcPr>
          <w:p w:rsidR="000A5CDD" w:rsidRPr="00445C02" w:rsidRDefault="000A5CDD" w:rsidP="005C11AE">
            <w:pPr>
              <w:spacing w:after="120" w:line="380" w:lineRule="exact"/>
              <w:ind w:right="113"/>
            </w:pPr>
            <w:r w:rsidRPr="00445C02">
              <w:rPr>
                <w:rtl/>
              </w:rPr>
              <w:t>المواد المنتهَكة:</w:t>
            </w:r>
          </w:p>
        </w:tc>
        <w:tc>
          <w:tcPr>
            <w:tcW w:w="5385" w:type="dxa"/>
            <w:tcBorders>
              <w:bottom w:val="nil"/>
            </w:tcBorders>
            <w:shd w:val="clear" w:color="auto" w:fill="auto"/>
          </w:tcPr>
          <w:p w:rsidR="000A5CDD" w:rsidRPr="00445C02" w:rsidRDefault="000A5CDD" w:rsidP="005C11AE">
            <w:pPr>
              <w:spacing w:after="120" w:line="380" w:lineRule="exact"/>
              <w:ind w:right="113"/>
            </w:pPr>
            <w:r w:rsidRPr="00445C02">
              <w:rPr>
                <w:rtl/>
              </w:rPr>
              <w:t>المواد 1</w:t>
            </w:r>
            <w:r>
              <w:rPr>
                <w:rtl/>
              </w:rPr>
              <w:t xml:space="preserve"> و</w:t>
            </w:r>
            <w:r w:rsidRPr="00445C02">
              <w:rPr>
                <w:rtl/>
              </w:rPr>
              <w:t>2 (1)،</w:t>
            </w:r>
            <w:r>
              <w:rPr>
                <w:rtl/>
              </w:rPr>
              <w:t xml:space="preserve"> و</w:t>
            </w:r>
            <w:r w:rsidRPr="00445C02">
              <w:rPr>
                <w:rtl/>
              </w:rPr>
              <w:t>12 إلى 15، و22</w:t>
            </w:r>
          </w:p>
        </w:tc>
      </w:tr>
      <w:tr w:rsidR="000A5CDD" w:rsidRPr="00445C02" w:rsidTr="005C11AE">
        <w:trPr>
          <w:trHeight w:val="2298"/>
        </w:trPr>
        <w:tc>
          <w:tcPr>
            <w:tcW w:w="1985" w:type="dxa"/>
            <w:tcBorders>
              <w:top w:val="nil"/>
              <w:bottom w:val="single" w:sz="12" w:space="0" w:color="auto"/>
            </w:tcBorders>
            <w:shd w:val="clear" w:color="auto" w:fill="auto"/>
          </w:tcPr>
          <w:p w:rsidR="000A5CDD" w:rsidRPr="00445C02" w:rsidRDefault="000A5CDD" w:rsidP="005C11AE">
            <w:pPr>
              <w:spacing w:after="120" w:line="380" w:lineRule="exact"/>
              <w:ind w:right="113"/>
            </w:pPr>
            <w:r w:rsidRPr="00445C02">
              <w:rPr>
                <w:rtl/>
              </w:rPr>
              <w:t>الانتصاف:</w:t>
            </w:r>
          </w:p>
        </w:tc>
        <w:tc>
          <w:tcPr>
            <w:tcW w:w="5385" w:type="dxa"/>
            <w:tcBorders>
              <w:top w:val="nil"/>
              <w:bottom w:val="single" w:sz="12" w:space="0" w:color="auto"/>
            </w:tcBorders>
            <w:shd w:val="clear" w:color="auto" w:fill="auto"/>
          </w:tcPr>
          <w:p w:rsidR="000A5CDD" w:rsidRPr="00445C02" w:rsidRDefault="000A5CDD" w:rsidP="005C11AE">
            <w:pPr>
              <w:spacing w:after="120" w:line="380" w:lineRule="exact"/>
              <w:ind w:right="113"/>
              <w:rPr>
                <w:spacing w:val="-2"/>
              </w:rPr>
            </w:pPr>
            <w:r w:rsidRPr="00445C02">
              <w:rPr>
                <w:spacing w:val="-2"/>
                <w:rtl/>
              </w:rPr>
              <w:t xml:space="preserve">حثت اللجنة الدولة الطرف على القيام بما يلي: (أ) فتح تحقيق شامل </w:t>
            </w:r>
            <w:r w:rsidRPr="00803B3A">
              <w:rPr>
                <w:spacing w:val="-4"/>
                <w:rtl/>
              </w:rPr>
              <w:t>وفعال في أعمال التعذيب؛ (ب) مقاضاة الأشخاص الذين تثبت إدانتهم</w:t>
            </w:r>
            <w:r w:rsidRPr="00445C02">
              <w:rPr>
                <w:spacing w:val="-2"/>
                <w:rtl/>
              </w:rPr>
              <w:t xml:space="preserve"> </w:t>
            </w:r>
            <w:r w:rsidRPr="00803B3A">
              <w:rPr>
                <w:spacing w:val="-4"/>
                <w:rtl/>
              </w:rPr>
              <w:t>بارتكاب هذه الانتهاكات والحكم عليهم ومعاقبتهم على النحو المناسب؛</w:t>
            </w:r>
            <w:r w:rsidRPr="00445C02">
              <w:rPr>
                <w:spacing w:val="-2"/>
                <w:rtl/>
              </w:rPr>
              <w:t xml:space="preserve"> (ج) الأمر بالإفراج الفوري عن أصحاب الشكوى؛ (د) منح أصحاب </w:t>
            </w:r>
            <w:r w:rsidRPr="00D457F0">
              <w:rPr>
                <w:rtl/>
              </w:rPr>
              <w:t xml:space="preserve">الشكوى وافراد أسرهم الجبر الكامل، بما في ذلك التعويض المنصف </w:t>
            </w:r>
            <w:r w:rsidRPr="00D457F0">
              <w:rPr>
                <w:spacing w:val="-4"/>
                <w:rtl/>
              </w:rPr>
              <w:t>والكافي، وإعادة تأهيل أصحاب الشكوى على أكمل وجه ممكن. وكررت</w:t>
            </w:r>
            <w:r w:rsidRPr="00445C02">
              <w:rPr>
                <w:spacing w:val="-2"/>
                <w:rtl/>
              </w:rPr>
              <w:t xml:space="preserve"> اللجنة أيض</w:t>
            </w:r>
            <w:r>
              <w:rPr>
                <w:spacing w:val="-2"/>
                <w:rtl/>
              </w:rPr>
              <w:t xml:space="preserve">اً </w:t>
            </w:r>
            <w:r w:rsidRPr="00445C02">
              <w:rPr>
                <w:spacing w:val="-2"/>
                <w:rtl/>
              </w:rPr>
              <w:t xml:space="preserve">تأكيد ضرورة إلغاء حكم الحبس الاحتياطي في التشريعات المحلية، ومواءمة قانون القضاء العسكري مواءمة تامة مع قرارات محكمة البلدان الأمريكية لحقوق الإنسان، بغية كفالة أن تكون </w:t>
            </w:r>
            <w:r w:rsidRPr="00803B3A">
              <w:rPr>
                <w:spacing w:val="-4"/>
                <w:rtl/>
              </w:rPr>
              <w:t xml:space="preserve">لمحاكم القضاء </w:t>
            </w:r>
            <w:r w:rsidRPr="00D457F0">
              <w:rPr>
                <w:spacing w:val="-4"/>
                <w:rtl/>
              </w:rPr>
              <w:t>العام دون غيرها الولاية القضائية على الحالات التي تنطوي على انتهاكات</w:t>
            </w:r>
            <w:r w:rsidRPr="00445C02">
              <w:rPr>
                <w:spacing w:val="-2"/>
                <w:rtl/>
              </w:rPr>
              <w:t xml:space="preserve"> لحقوق الإنسان.</w:t>
            </w:r>
          </w:p>
        </w:tc>
      </w:tr>
    </w:tbl>
    <w:p w:rsidR="000A5CDD" w:rsidRPr="00717390" w:rsidRDefault="000A5CDD" w:rsidP="000A5CDD">
      <w:pPr>
        <w:pStyle w:val="SingleTxtGA"/>
        <w:spacing w:before="240" w:line="370" w:lineRule="exact"/>
        <w:rPr>
          <w:spacing w:val="-4"/>
          <w:rtl/>
        </w:rPr>
      </w:pPr>
      <w:r w:rsidRPr="00717390">
        <w:rPr>
          <w:spacing w:val="-4"/>
          <w:rtl/>
        </w:rPr>
        <w:t>٤-</w:t>
      </w:r>
      <w:r w:rsidRPr="00717390">
        <w:rPr>
          <w:spacing w:val="-4"/>
          <w:rtl/>
        </w:rPr>
        <w:tab/>
        <w:t xml:space="preserve">في 15 تموز/يوليه 2019، قدمت الدولة الطرف المعلومات التالية. فيما يتعلق بالتحقيق في أعمال التعذيب، أفادت بأن مكتب المدعي العام استأنف في عام ٢٠١٥ التحقيق في ملابسات توقيف راميرو لوبيز فاسكيز، وراميرو راميريز مارتينيز، ورودريغو راميريز مارتينيز، وأورلاندو </w:t>
      </w:r>
      <w:r w:rsidRPr="00717390">
        <w:rPr>
          <w:spacing w:val="-4"/>
          <w:rtl/>
        </w:rPr>
        <w:lastRenderedPageBreak/>
        <w:t>سانتاولايا بياريال على يد</w:t>
      </w:r>
      <w:r>
        <w:rPr>
          <w:spacing w:val="-4"/>
          <w:rtl/>
        </w:rPr>
        <w:t xml:space="preserve"> </w:t>
      </w:r>
      <w:r w:rsidRPr="00717390">
        <w:rPr>
          <w:spacing w:val="-4"/>
          <w:rtl/>
        </w:rPr>
        <w:t>أفراد عسكريين.</w:t>
      </w:r>
    </w:p>
    <w:p w:rsidR="000A5CDD" w:rsidRPr="00717390" w:rsidRDefault="000A5CDD" w:rsidP="000A5CDD">
      <w:pPr>
        <w:pStyle w:val="SingleTxtGA"/>
        <w:spacing w:line="370" w:lineRule="exact"/>
        <w:rPr>
          <w:spacing w:val="-4"/>
          <w:rtl/>
        </w:rPr>
      </w:pPr>
      <w:r w:rsidRPr="00717390">
        <w:rPr>
          <w:spacing w:val="-4"/>
          <w:rtl/>
        </w:rPr>
        <w:t>٥-</w:t>
      </w:r>
      <w:r w:rsidRPr="00717390">
        <w:rPr>
          <w:spacing w:val="-4"/>
          <w:rtl/>
        </w:rPr>
        <w:tab/>
        <w:t xml:space="preserve">وفي ١٢ نيسان/أبريل ٢٠١٩، رُفضت دعوى إنفاذ الحقوق الدستورية </w:t>
      </w:r>
      <w:r w:rsidRPr="000A5CDD">
        <w:rPr>
          <w:i/>
          <w:iCs/>
          <w:spacing w:val="-4"/>
          <w:rtl/>
        </w:rPr>
        <w:t>(إجراءات أمبارو)</w:t>
      </w:r>
      <w:r w:rsidRPr="00717390">
        <w:rPr>
          <w:spacing w:val="-4"/>
          <w:rtl/>
        </w:rPr>
        <w:t xml:space="preserve"> </w:t>
      </w:r>
      <w:r w:rsidRPr="00717390">
        <w:rPr>
          <w:rtl/>
        </w:rPr>
        <w:t>التي شرع الضحايا في إقامتها ضد الأعمال الضارة المزعومة لمكتب الادعاء المتخصص في جرائم التعذيب وخبراء التنسيق العام بدائرة الخبراء</w:t>
      </w:r>
      <w:r w:rsidRPr="00717390">
        <w:rPr>
          <w:spacing w:val="-4"/>
          <w:rtl/>
        </w:rPr>
        <w:t>.</w:t>
      </w:r>
    </w:p>
    <w:p w:rsidR="000A5CDD" w:rsidRDefault="000A5CDD" w:rsidP="000A5CDD">
      <w:pPr>
        <w:pStyle w:val="SingleTxtGA"/>
        <w:rPr>
          <w:rtl/>
        </w:rPr>
      </w:pPr>
      <w:r>
        <w:rPr>
          <w:rtl/>
        </w:rPr>
        <w:t>٦-</w:t>
      </w:r>
      <w:r>
        <w:rPr>
          <w:rtl/>
        </w:rPr>
        <w:tab/>
      </w:r>
      <w:r w:rsidRPr="00803B3A">
        <w:rPr>
          <w:spacing w:val="-4"/>
          <w:rtl/>
        </w:rPr>
        <w:t>ويتناول التحقيق الجاري الذي بدأته المديرية العامة للجرائم التي يرتكبها موظفون عموميون الجرائم المنصوص عليها في القانون الاتحادي لمنع التعذيب والمعاقبة عليه. ويعمل مكتب المدعي العام على تحديد مسؤولية الأشخاص الذين شاركوا في الأعمال الإجرامية المزعومة</w:t>
      </w:r>
      <w:r>
        <w:rPr>
          <w:rtl/>
        </w:rPr>
        <w:t xml:space="preserve"> في ظل احترام حقوق الضحايا في جميع الأوقات. وعلاوة على ذلك، أُجريت عملية تفتيش على المستوى الوزاري، بمشاركة خبراء تصوير في الطب الشرعي، في مرافق كتيبة المشاة الثامنة والعشرين التابعة للجيش </w:t>
      </w:r>
      <w:r>
        <w:rPr>
          <w:rtl/>
        </w:rPr>
        <w:lastRenderedPageBreak/>
        <w:t xml:space="preserve">المكسيكي، حيث كان الضحايا محتجزين حسب الأقوال. كما اتُخذت إجراءات بشأن الحبس الاحتياطي </w:t>
      </w:r>
      <w:r w:rsidRPr="000A5CDD">
        <w:rPr>
          <w:i/>
          <w:iCs/>
          <w:rtl/>
        </w:rPr>
        <w:t>(</w:t>
      </w:r>
      <w:r w:rsidRPr="000A5CDD">
        <w:rPr>
          <w:i/>
          <w:iCs/>
        </w:rPr>
        <w:t>arraigo</w:t>
      </w:r>
      <w:r w:rsidRPr="000A5CDD">
        <w:rPr>
          <w:i/>
          <w:iCs/>
          <w:rtl/>
        </w:rPr>
        <w:t>)</w:t>
      </w:r>
      <w:r>
        <w:rPr>
          <w:rtl/>
        </w:rPr>
        <w:t xml:space="preserve"> والحكم المتصل بالقضية رقم ٢٧/٢٠١٥-ثالثاً الصادر عن المحكمة المحلية الثانية للإجراءات الجنائية في ولاية ناياريت. وبالإضافة إلى ذلك، أُجري تحقيق بتقنية التعرف الصوتي لكل من راميرو راميريز مارتينيز وأورلاندو سانتاولايا بياريال. ونفَّذ المدعي العام للقضاء العسكري التابع لوزارة الدفاع الوطني الإجراءات ذات الصلة من أجل تحديد هوية المسؤولين عن هذه الجرائم تحديداً تاماً. </w:t>
      </w:r>
    </w:p>
    <w:p w:rsidR="000A5CDD" w:rsidRDefault="000A5CDD" w:rsidP="000A5CDD">
      <w:pPr>
        <w:pStyle w:val="SingleTxtGA"/>
        <w:rPr>
          <w:rtl/>
        </w:rPr>
      </w:pPr>
      <w:r>
        <w:rPr>
          <w:rtl/>
        </w:rPr>
        <w:t>٧-</w:t>
      </w:r>
      <w:r>
        <w:rPr>
          <w:rtl/>
        </w:rPr>
        <w:tab/>
        <w:t xml:space="preserve">وفيما يتعلق بطلب اللجنة لإعادة التأهيل، سُجل الضحايا الأربع في السجل الوطني للضحايا. ولهم الحق في الانتفاع بتدابير المساعدة، والحماية، والرعاية، والتعويض الكامل التي توفرها اللجنة التنفيذية المعنية بالضحايا، وفقاً للقانون المتعلق بتقديم </w:t>
      </w:r>
      <w:r>
        <w:rPr>
          <w:rtl/>
        </w:rPr>
        <w:lastRenderedPageBreak/>
        <w:t xml:space="preserve">المساعدة إلى الضحايا. وعلاوة على ذلك، قدمت اللجنة المكسيكية للدفاع عن حقوق الإنسان وتعزيزها، التي تمثل </w:t>
      </w:r>
      <w:r w:rsidRPr="00A61FB4">
        <w:rPr>
          <w:spacing w:val="-4"/>
          <w:rtl/>
        </w:rPr>
        <w:t>الضحايا، مقترح</w:t>
      </w:r>
      <w:r>
        <w:rPr>
          <w:spacing w:val="-4"/>
          <w:rtl/>
        </w:rPr>
        <w:t xml:space="preserve">اً </w:t>
      </w:r>
      <w:r w:rsidRPr="00A61FB4">
        <w:rPr>
          <w:spacing w:val="-4"/>
          <w:rtl/>
        </w:rPr>
        <w:t>لتعويض الضحايا، وهو لا يزال معروض</w:t>
      </w:r>
      <w:r>
        <w:rPr>
          <w:spacing w:val="-4"/>
          <w:rtl/>
        </w:rPr>
        <w:t xml:space="preserve">اً </w:t>
      </w:r>
      <w:r w:rsidRPr="00A61FB4">
        <w:rPr>
          <w:spacing w:val="-4"/>
          <w:rtl/>
        </w:rPr>
        <w:t>على لجنة التقييم المتعددة التخصصات</w:t>
      </w:r>
      <w:r>
        <w:rPr>
          <w:rtl/>
        </w:rPr>
        <w:t xml:space="preserve"> التابعة للجنة التنفيذية المعنية بالضحايا. </w:t>
      </w:r>
    </w:p>
    <w:p w:rsidR="000A5CDD" w:rsidRDefault="000A5CDD" w:rsidP="000A5CDD">
      <w:pPr>
        <w:pStyle w:val="SingleTxtGA"/>
        <w:rPr>
          <w:rtl/>
        </w:rPr>
      </w:pPr>
      <w:r>
        <w:rPr>
          <w:rtl/>
        </w:rPr>
        <w:t>٨-</w:t>
      </w:r>
      <w:r>
        <w:rPr>
          <w:rtl/>
        </w:rPr>
        <w:tab/>
      </w:r>
      <w:r w:rsidRPr="00A61FB4">
        <w:rPr>
          <w:spacing w:val="-4"/>
          <w:rtl/>
        </w:rPr>
        <w:t xml:space="preserve">وعلاوة على ذلك، تلقى كل من رودريغو راميريز مارتينيز وراميرو لوبيز فاسكيز المساعدة </w:t>
      </w:r>
      <w:r w:rsidRPr="00A61FB4">
        <w:rPr>
          <w:rtl/>
        </w:rPr>
        <w:t>النفسية؛ بيد أنها عُلقت نتيجةً لعدم حضورهما. ويمكن أن تُستأنف المساعدة في أي وقت كان. وقد</w:t>
      </w:r>
      <w:r>
        <w:rPr>
          <w:rtl/>
        </w:rPr>
        <w:t xml:space="preserve"> تلقى السيد لوبيز فاسكيز أنواعاً مختلفة من المساعدة الطبية في مركز الرعاية المتكاملة في ولاية باخا كاليفورنيا. وطلب أورلاندو سانتاولايا بياريال إجراء تقييم صحي له لدى مركز إعادة التكييف الاجتماعي "الهونغو الثاني"، الذي أكد أنه لا يحتاج إلى اهتمام عاجل، وأن بالإمكان تقديم العناية إليه بناءً على طلب لهذا الغرض. </w:t>
      </w:r>
    </w:p>
    <w:p w:rsidR="000A5CDD" w:rsidRDefault="000A5CDD" w:rsidP="000A5CDD">
      <w:pPr>
        <w:pStyle w:val="SingleTxtGA"/>
        <w:rPr>
          <w:rtl/>
        </w:rPr>
      </w:pPr>
      <w:r>
        <w:rPr>
          <w:rtl/>
        </w:rPr>
        <w:lastRenderedPageBreak/>
        <w:t>٩-</w:t>
      </w:r>
      <w:r>
        <w:rPr>
          <w:rtl/>
        </w:rPr>
        <w:tab/>
        <w:t xml:space="preserve">بالإضافة إلى ذلك، تؤكد الدولة الطرف أن اللجنة التنفيذية المعنية بالضحايا قدمت المشورة القانونية إلى الضحايا وأقاربهم. وفيما يتعلق بمزاعم مضايقة الضحايا وتجريمهم، تُقرّ الدولة الطرف بأنها لم تفتح تحقيقاً في هذا الصدد. غير أنه يجوز للضحايا أن يقدموا شكوى إلى وزارة </w:t>
      </w:r>
      <w:r w:rsidRPr="00A61FB4">
        <w:rPr>
          <w:spacing w:val="-4"/>
          <w:rtl/>
        </w:rPr>
        <w:t>العدل، عند الاقتضاء. وأبقت الدولة الطرف أيض</w:t>
      </w:r>
      <w:r>
        <w:rPr>
          <w:spacing w:val="-4"/>
          <w:rtl/>
        </w:rPr>
        <w:t xml:space="preserve">اً </w:t>
      </w:r>
      <w:r w:rsidRPr="00A61FB4">
        <w:rPr>
          <w:spacing w:val="-4"/>
          <w:rtl/>
        </w:rPr>
        <w:t>على اتصالات منتظمة مع ممثلي الضحايا، وقد جرى حتى الآن تنظيم اجتماعين مع اللجنة التنفيذية بهذا الشأن. أخير</w:t>
      </w:r>
      <w:r>
        <w:rPr>
          <w:spacing w:val="-4"/>
          <w:rtl/>
        </w:rPr>
        <w:t>اً،</w:t>
      </w:r>
      <w:r w:rsidRPr="00A61FB4">
        <w:rPr>
          <w:spacing w:val="-4"/>
          <w:rtl/>
        </w:rPr>
        <w:t xml:space="preserve"> تؤكد الدولة الطرف من جديد أنها ستتخذ مزيد</w:t>
      </w:r>
      <w:r>
        <w:rPr>
          <w:spacing w:val="-4"/>
          <w:rtl/>
        </w:rPr>
        <w:t xml:space="preserve">اً </w:t>
      </w:r>
      <w:r w:rsidRPr="00A61FB4">
        <w:rPr>
          <w:spacing w:val="-4"/>
          <w:rtl/>
        </w:rPr>
        <w:t>من التدابير من أجل التنفيذ الكامل لتوصيات اللجنة الواردة</w:t>
      </w:r>
      <w:r>
        <w:rPr>
          <w:rtl/>
        </w:rPr>
        <w:t xml:space="preserve"> في القرار المذكور أعلاه، وسوف تقدم المزيد من المعلومات المستكملة. </w:t>
      </w:r>
    </w:p>
    <w:p w:rsidR="000A5CDD" w:rsidRDefault="000A5CDD" w:rsidP="000A5CDD">
      <w:pPr>
        <w:pStyle w:val="SingleTxtGA"/>
        <w:rPr>
          <w:rtl/>
        </w:rPr>
      </w:pPr>
      <w:r>
        <w:rPr>
          <w:rtl/>
        </w:rPr>
        <w:t>١٠-</w:t>
      </w:r>
      <w:r>
        <w:rPr>
          <w:rtl/>
        </w:rPr>
        <w:tab/>
        <w:t xml:space="preserve">وفي 6 آب/أغسطس 2019، أُحيلت ملاحظات الدولة الطرف إلى محامي أصحاب الشكوى للتعليق عليها بحلول 6 تشرين الأول/أكتوبر 2019. </w:t>
      </w:r>
    </w:p>
    <w:p w:rsidR="000A5CDD" w:rsidRDefault="000A5CDD" w:rsidP="000A5CDD">
      <w:pPr>
        <w:pStyle w:val="SingleTxtGA"/>
        <w:rPr>
          <w:rtl/>
        </w:rPr>
      </w:pPr>
      <w:r>
        <w:rPr>
          <w:rtl/>
        </w:rPr>
        <w:lastRenderedPageBreak/>
        <w:t>١١-</w:t>
      </w:r>
      <w:r>
        <w:rPr>
          <w:rtl/>
        </w:rPr>
        <w:tab/>
        <w:t>وأظهرت الملاحظات والتعليقات في إطار المتابعة تنفيذاً جزئياً للقرار. وقررت اللجنة أن تُبقي حوار المتابعة جارياً، وأن تنظر في إمكانية اتخاذ تدابير إضافية على ضوء الردود التي يقدمها محامو أصحاب الشكوى.</w:t>
      </w:r>
    </w:p>
    <w:p w:rsidR="000A5CDD" w:rsidRPr="00445C02" w:rsidRDefault="000A5CDD" w:rsidP="000A5CDD">
      <w:pPr>
        <w:pStyle w:val="H1GA"/>
        <w:rPr>
          <w:rtl/>
        </w:rPr>
      </w:pPr>
      <w:r>
        <w:rPr>
          <w:rtl/>
        </w:rPr>
        <w:tab/>
        <w:t>جيم-</w:t>
      </w:r>
      <w:r>
        <w:rPr>
          <w:rtl/>
        </w:rPr>
        <w:tab/>
        <w:t>البلاغ رقم 606/2014</w:t>
      </w:r>
      <w:r>
        <w:rPr>
          <w:vertAlign w:val="superscript"/>
          <w:rtl/>
        </w:rPr>
        <w:t>(</w:t>
      </w:r>
      <w:r>
        <w:rPr>
          <w:rStyle w:val="FootnoteReference"/>
          <w:rtl/>
        </w:rPr>
        <w:footnoteReference w:id="4"/>
      </w:r>
      <w:r>
        <w:rPr>
          <w:vertAlign w:val="superscript"/>
          <w:rtl/>
        </w:rPr>
        <w:t>)</w:t>
      </w:r>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5"/>
        <w:gridCol w:w="5385"/>
      </w:tblGrid>
      <w:tr w:rsidR="000A5CDD" w:rsidRPr="00717390" w:rsidTr="005C11AE">
        <w:trPr>
          <w:trHeight w:val="330"/>
          <w:tblHeader/>
        </w:trPr>
        <w:tc>
          <w:tcPr>
            <w:tcW w:w="7370" w:type="dxa"/>
            <w:gridSpan w:val="2"/>
            <w:tcBorders>
              <w:top w:val="single" w:sz="4" w:space="0" w:color="auto"/>
              <w:bottom w:val="single" w:sz="12" w:space="0" w:color="auto"/>
            </w:tcBorders>
            <w:shd w:val="clear" w:color="auto" w:fill="auto"/>
            <w:vAlign w:val="bottom"/>
          </w:tcPr>
          <w:p w:rsidR="000A5CDD" w:rsidRPr="00445C02" w:rsidRDefault="000A5CDD" w:rsidP="005C11AE">
            <w:pPr>
              <w:spacing w:after="120" w:line="380" w:lineRule="exact"/>
              <w:ind w:left="57" w:right="113"/>
              <w:rPr>
                <w:i/>
                <w:iCs/>
              </w:rPr>
            </w:pPr>
            <w:r w:rsidRPr="00445C02">
              <w:rPr>
                <w:i/>
                <w:iCs/>
                <w:rtl/>
              </w:rPr>
              <w:t>أسفاري ضد المغرب</w:t>
            </w:r>
          </w:p>
        </w:tc>
      </w:tr>
      <w:tr w:rsidR="000A5CDD" w:rsidRPr="00717390" w:rsidTr="005C11AE">
        <w:trPr>
          <w:trHeight w:hRule="exact" w:val="103"/>
        </w:trPr>
        <w:tc>
          <w:tcPr>
            <w:tcW w:w="7370" w:type="dxa"/>
            <w:gridSpan w:val="2"/>
            <w:tcBorders>
              <w:top w:val="single" w:sz="12" w:space="0" w:color="auto"/>
            </w:tcBorders>
            <w:shd w:val="clear" w:color="auto" w:fill="auto"/>
          </w:tcPr>
          <w:p w:rsidR="000A5CDD" w:rsidRPr="00445C02" w:rsidRDefault="000A5CDD" w:rsidP="005C11AE">
            <w:pPr>
              <w:spacing w:after="120" w:line="380" w:lineRule="exact"/>
              <w:ind w:right="113"/>
            </w:pPr>
          </w:p>
        </w:tc>
      </w:tr>
      <w:tr w:rsidR="000A5CDD" w:rsidRPr="00717390" w:rsidTr="005C11AE">
        <w:trPr>
          <w:trHeight w:val="367"/>
        </w:trPr>
        <w:tc>
          <w:tcPr>
            <w:tcW w:w="1985" w:type="dxa"/>
            <w:shd w:val="clear" w:color="auto" w:fill="auto"/>
          </w:tcPr>
          <w:p w:rsidR="000A5CDD" w:rsidRPr="00445C02" w:rsidRDefault="000A5CDD" w:rsidP="005C11AE">
            <w:pPr>
              <w:spacing w:after="120" w:line="380" w:lineRule="exact"/>
              <w:ind w:right="113"/>
            </w:pPr>
            <w:r w:rsidRPr="00445C02">
              <w:rPr>
                <w:rtl/>
              </w:rPr>
              <w:t>تاريخ اعتماد القرار:</w:t>
            </w:r>
          </w:p>
        </w:tc>
        <w:tc>
          <w:tcPr>
            <w:tcW w:w="5385" w:type="dxa"/>
            <w:shd w:val="clear" w:color="auto" w:fill="auto"/>
          </w:tcPr>
          <w:p w:rsidR="000A5CDD" w:rsidRPr="00445C02" w:rsidRDefault="000A5CDD" w:rsidP="005C11AE">
            <w:pPr>
              <w:spacing w:after="120" w:line="380" w:lineRule="exact"/>
              <w:ind w:left="-3" w:right="113" w:firstLine="3"/>
            </w:pPr>
            <w:r w:rsidRPr="00445C02">
              <w:rPr>
                <w:rtl/>
              </w:rPr>
              <w:t>١٥ تشرين الثاني/نوفمبر ٢٠١٦</w:t>
            </w:r>
          </w:p>
        </w:tc>
      </w:tr>
      <w:tr w:rsidR="000A5CDD" w:rsidRPr="00717390" w:rsidTr="005C11AE">
        <w:trPr>
          <w:trHeight w:val="367"/>
        </w:trPr>
        <w:tc>
          <w:tcPr>
            <w:tcW w:w="1985" w:type="dxa"/>
            <w:tcBorders>
              <w:bottom w:val="nil"/>
            </w:tcBorders>
            <w:shd w:val="clear" w:color="auto" w:fill="auto"/>
          </w:tcPr>
          <w:p w:rsidR="000A5CDD" w:rsidRPr="00445C02" w:rsidRDefault="000A5CDD" w:rsidP="005C11AE">
            <w:pPr>
              <w:spacing w:after="120" w:line="380" w:lineRule="exact"/>
              <w:ind w:right="113"/>
            </w:pPr>
            <w:r w:rsidRPr="00445C02">
              <w:rPr>
                <w:rtl/>
              </w:rPr>
              <w:t>المواد المنتهَكة:</w:t>
            </w:r>
          </w:p>
        </w:tc>
        <w:tc>
          <w:tcPr>
            <w:tcW w:w="5385" w:type="dxa"/>
            <w:tcBorders>
              <w:bottom w:val="nil"/>
            </w:tcBorders>
            <w:shd w:val="clear" w:color="auto" w:fill="auto"/>
          </w:tcPr>
          <w:p w:rsidR="000A5CDD" w:rsidRPr="00445C02" w:rsidRDefault="000A5CDD" w:rsidP="005C11AE">
            <w:pPr>
              <w:spacing w:after="120" w:line="380" w:lineRule="exact"/>
              <w:ind w:right="113"/>
            </w:pPr>
            <w:r w:rsidRPr="00445C02">
              <w:rPr>
                <w:rtl/>
              </w:rPr>
              <w:t>المواد 1</w:t>
            </w:r>
            <w:r>
              <w:rPr>
                <w:rtl/>
              </w:rPr>
              <w:t xml:space="preserve"> و</w:t>
            </w:r>
            <w:r w:rsidRPr="00445C02">
              <w:rPr>
                <w:rtl/>
              </w:rPr>
              <w:t>12 إلى 16</w:t>
            </w:r>
          </w:p>
        </w:tc>
      </w:tr>
      <w:tr w:rsidR="000A5CDD" w:rsidRPr="00717390" w:rsidTr="005C11AE">
        <w:trPr>
          <w:trHeight w:val="2298"/>
        </w:trPr>
        <w:tc>
          <w:tcPr>
            <w:tcW w:w="1985" w:type="dxa"/>
            <w:tcBorders>
              <w:top w:val="nil"/>
              <w:bottom w:val="single" w:sz="12" w:space="0" w:color="auto"/>
            </w:tcBorders>
            <w:shd w:val="clear" w:color="auto" w:fill="auto"/>
          </w:tcPr>
          <w:p w:rsidR="000A5CDD" w:rsidRPr="00445C02" w:rsidRDefault="000A5CDD" w:rsidP="005C11AE">
            <w:pPr>
              <w:spacing w:after="120" w:line="380" w:lineRule="exact"/>
              <w:ind w:right="113"/>
            </w:pPr>
            <w:r w:rsidRPr="00445C02">
              <w:rPr>
                <w:rtl/>
              </w:rPr>
              <w:t>الانتصاف:</w:t>
            </w:r>
          </w:p>
        </w:tc>
        <w:tc>
          <w:tcPr>
            <w:tcW w:w="5385" w:type="dxa"/>
            <w:tcBorders>
              <w:top w:val="nil"/>
              <w:bottom w:val="single" w:sz="12" w:space="0" w:color="auto"/>
            </w:tcBorders>
            <w:shd w:val="clear" w:color="auto" w:fill="auto"/>
          </w:tcPr>
          <w:p w:rsidR="000A5CDD" w:rsidRPr="00445C02" w:rsidRDefault="000A5CDD" w:rsidP="005C11AE">
            <w:pPr>
              <w:spacing w:after="120" w:line="380" w:lineRule="exact"/>
              <w:ind w:right="113"/>
              <w:rPr>
                <w:spacing w:val="-2"/>
              </w:rPr>
            </w:pPr>
            <w:r w:rsidRPr="00803B3A">
              <w:rPr>
                <w:spacing w:val="-6"/>
                <w:rtl/>
              </w:rPr>
              <w:t>تحث اللجنة الدولة الطرف على القيام بما يلي: (أ) منح صاحب الشكوى تعويضاً عادلاً وكافياً، بما في ذلك الوسائل اللازمة لإعادة تأهيله</w:t>
            </w:r>
            <w:r w:rsidRPr="00445C02">
              <w:rPr>
                <w:spacing w:val="-2"/>
                <w:rtl/>
              </w:rPr>
              <w:t xml:space="preserve"> على أكمل وجه ممكن؛ (ب) البدء في تحقيق شامل ونزيه في الأحداث المشار إليها، بما يتفق تماماً مع المبادئ التوجيهية لبروتوكول اسطنبول، وذلك بقصد تقديم المسؤولين عن المعاملة التي تلقاها صاحب الشكوى إلى العدالة؛ (ج) الامتناع عن ممارسة أي شكل من أشكال الضغط أو التخويف </w:t>
            </w:r>
            <w:r w:rsidRPr="00803B3A">
              <w:rPr>
                <w:spacing w:val="-4"/>
                <w:rtl/>
              </w:rPr>
              <w:t>أو</w:t>
            </w:r>
            <w:r w:rsidRPr="00803B3A">
              <w:rPr>
                <w:rFonts w:hint="cs"/>
                <w:spacing w:val="-4"/>
                <w:rtl/>
              </w:rPr>
              <w:t> </w:t>
            </w:r>
            <w:r w:rsidRPr="00803B3A">
              <w:rPr>
                <w:spacing w:val="-4"/>
                <w:rtl/>
              </w:rPr>
              <w:t>الانتقام قد يضر بالسلامة البدنية والمعنوية لصاحب الشكوى أو لأفراد</w:t>
            </w:r>
            <w:r w:rsidRPr="00445C02">
              <w:rPr>
                <w:spacing w:val="-2"/>
                <w:rtl/>
              </w:rPr>
              <w:t xml:space="preserve"> </w:t>
            </w:r>
            <w:r w:rsidRPr="00803B3A">
              <w:rPr>
                <w:spacing w:val="-4"/>
                <w:rtl/>
              </w:rPr>
              <w:t>أسرته، ويمكن أن يشكل من ناحية أخرى انتهاكاً لالتزامات الدولة الطرف</w:t>
            </w:r>
            <w:r w:rsidRPr="00445C02">
              <w:rPr>
                <w:spacing w:val="-2"/>
                <w:rtl/>
              </w:rPr>
              <w:t xml:space="preserve"> بموجب الاتفاقية بأن تتعاون بحسن نية مع اللجنة من أجل تنفيذ أحكام </w:t>
            </w:r>
            <w:r w:rsidRPr="00803B3A">
              <w:rPr>
                <w:spacing w:val="-4"/>
                <w:rtl/>
              </w:rPr>
              <w:t>الاتفاقية، وتمكين صاحب الشكوى من استقبال أفراد أسرته الذين يزورونه</w:t>
            </w:r>
            <w:r w:rsidRPr="00445C02">
              <w:rPr>
                <w:spacing w:val="-2"/>
                <w:rtl/>
              </w:rPr>
              <w:t xml:space="preserve"> </w:t>
            </w:r>
            <w:r w:rsidRPr="00803B3A">
              <w:rPr>
                <w:spacing w:val="-4"/>
                <w:rtl/>
              </w:rPr>
              <w:t>في السجن؛ (د) إبلاغها في غضون ١٨٠ يوم</w:t>
            </w:r>
            <w:r>
              <w:rPr>
                <w:spacing w:val="-4"/>
                <w:rtl/>
              </w:rPr>
              <w:t xml:space="preserve">اً </w:t>
            </w:r>
            <w:r w:rsidRPr="00803B3A">
              <w:rPr>
                <w:spacing w:val="-4"/>
                <w:rtl/>
              </w:rPr>
              <w:t>من تاريخ إحالة هذا القرار</w:t>
            </w:r>
            <w:r w:rsidRPr="00445C02">
              <w:rPr>
                <w:spacing w:val="-2"/>
                <w:rtl/>
              </w:rPr>
              <w:t xml:space="preserve"> بالخطوات التي تم اتخاذها.</w:t>
            </w:r>
          </w:p>
        </w:tc>
      </w:tr>
    </w:tbl>
    <w:p w:rsidR="000A5CDD" w:rsidRDefault="000A5CDD" w:rsidP="000A5CDD">
      <w:pPr>
        <w:pStyle w:val="SingleTxtGA"/>
        <w:spacing w:before="240"/>
        <w:rPr>
          <w:rtl/>
        </w:rPr>
      </w:pPr>
      <w:r>
        <w:rPr>
          <w:rtl/>
        </w:rPr>
        <w:lastRenderedPageBreak/>
        <w:t>١٢-</w:t>
      </w:r>
      <w:r>
        <w:rPr>
          <w:rtl/>
        </w:rPr>
        <w:tab/>
        <w:t xml:space="preserve">وتمشياً مع القرار الذي اتخذته اللجنة في دورتها السادسة والستين بأن تُبقي حوار المتابعة جارياً، بالنظر إلى عدم إحراز تقدم ملموس في تنفيذ القرار المذكور أعلاه، طلب رئيس اللجنة </w:t>
      </w:r>
      <w:r w:rsidRPr="00803B3A">
        <w:rPr>
          <w:spacing w:val="-4"/>
          <w:rtl/>
        </w:rPr>
        <w:t>عقد اجتماع مع ممثلٍ للبعثة الدائمة للمغرب لدى مكتب الأمم المتحدة والمنظمات الدولية الأخرى</w:t>
      </w:r>
      <w:r>
        <w:rPr>
          <w:rtl/>
        </w:rPr>
        <w:t xml:space="preserve"> </w:t>
      </w:r>
      <w:r w:rsidRPr="00803B3A">
        <w:rPr>
          <w:spacing w:val="-4"/>
          <w:rtl/>
        </w:rPr>
        <w:t xml:space="preserve">في جنيف. وكان من المقرر عقد الاجتماع في ٦ آب/أغسطس ٢٠١٩ من الساعة </w:t>
      </w:r>
      <w:r>
        <w:rPr>
          <w:rFonts w:hint="cs"/>
          <w:spacing w:val="-4"/>
          <w:rtl/>
        </w:rPr>
        <w:t>00/14</w:t>
      </w:r>
      <w:r w:rsidRPr="00803B3A">
        <w:rPr>
          <w:spacing w:val="-4"/>
          <w:rtl/>
        </w:rPr>
        <w:t xml:space="preserve"> إلى</w:t>
      </w:r>
      <w:r>
        <w:rPr>
          <w:rtl/>
        </w:rPr>
        <w:t xml:space="preserve"> الساعة </w:t>
      </w:r>
      <w:r>
        <w:rPr>
          <w:rFonts w:hint="cs"/>
          <w:rtl/>
        </w:rPr>
        <w:t>00/15</w:t>
      </w:r>
      <w:r>
        <w:rPr>
          <w:rtl/>
        </w:rPr>
        <w:t xml:space="preserve">، لغرض مناقشة المزيد من التدابير التي يمكن أن تتخذها سلطات الدولة الطرف من أجل تنفيذ قرار اللجنة. وطلب رئيس اللجنة أيضاً إلى الدولة الطرف الامتناع عن الأعمال </w:t>
      </w:r>
      <w:r w:rsidRPr="00803B3A">
        <w:rPr>
          <w:spacing w:val="-4"/>
          <w:rtl/>
        </w:rPr>
        <w:t>الانتقامية الموجهة ضد السيد أسفاري، وأحاط علماً في الوقت نفسه بالتطورات الإيجابية المستجدة</w:t>
      </w:r>
      <w:r>
        <w:rPr>
          <w:rtl/>
        </w:rPr>
        <w:t xml:space="preserve"> في شكل زيارات تُجريها زوجة السيد أسفاري إلى زوجها. كما دعا الرئيس الدولة الطرف إلى أن تقدم المزيد من الملاحظات، في إطار </w:t>
      </w:r>
      <w:r>
        <w:rPr>
          <w:rtl/>
        </w:rPr>
        <w:lastRenderedPageBreak/>
        <w:t xml:space="preserve">المتابعة، بشأن تنفيذ الانتصاف. </w:t>
      </w:r>
    </w:p>
    <w:p w:rsidR="000A5CDD" w:rsidRDefault="000A5CDD" w:rsidP="000A5CDD">
      <w:pPr>
        <w:pStyle w:val="SingleTxtGA"/>
        <w:rPr>
          <w:rtl/>
        </w:rPr>
      </w:pPr>
      <w:r>
        <w:rPr>
          <w:rtl/>
        </w:rPr>
        <w:t>١٣-</w:t>
      </w:r>
      <w:r>
        <w:rPr>
          <w:rtl/>
        </w:rPr>
        <w:tab/>
        <w:t xml:space="preserve">وأظهرت الملاحظات والتعليقات في إطار المتابعة عدم تنفيذ القرار. وقررت اللجنة أن </w:t>
      </w:r>
      <w:r w:rsidRPr="00803B3A">
        <w:rPr>
          <w:spacing w:val="-4"/>
          <w:rtl/>
        </w:rPr>
        <w:t>تُبقي حوار المتابعة جارياً، وأن تنظر في إمكانية اتخاذ تدابير إضافية على ضوء الملاحظات المقدمة من الدولة الطرف. بالإضافة إلى ذلك، وتمشي</w:t>
      </w:r>
      <w:r>
        <w:rPr>
          <w:spacing w:val="-4"/>
          <w:rtl/>
        </w:rPr>
        <w:t xml:space="preserve">اً </w:t>
      </w:r>
      <w:r w:rsidRPr="00803B3A">
        <w:rPr>
          <w:spacing w:val="-4"/>
          <w:rtl/>
        </w:rPr>
        <w:t>مع قرار سابق، ستنشر اللجنة في تقريرها السنوي</w:t>
      </w:r>
      <w:r>
        <w:rPr>
          <w:rtl/>
        </w:rPr>
        <w:t xml:space="preserve"> عدم تنفيذ القرار المذكور أعلاه.</w:t>
      </w:r>
    </w:p>
    <w:p w:rsidR="000A5CDD" w:rsidRDefault="000A5CDD" w:rsidP="000A5CDD">
      <w:pPr>
        <w:pStyle w:val="H1GA"/>
        <w:rPr>
          <w:rtl/>
        </w:rPr>
      </w:pPr>
      <w:r>
        <w:rPr>
          <w:rtl/>
        </w:rPr>
        <w:tab/>
        <w:t>دال-</w:t>
      </w:r>
      <w:r>
        <w:rPr>
          <w:rtl/>
        </w:rPr>
        <w:tab/>
        <w:t>البلاغ رقم 653/2015</w:t>
      </w:r>
      <w:r>
        <w:rPr>
          <w:vertAlign w:val="superscript"/>
          <w:rtl/>
        </w:rPr>
        <w:t>(</w:t>
      </w:r>
      <w:r>
        <w:rPr>
          <w:rStyle w:val="FootnoteReference"/>
          <w:rtl/>
        </w:rPr>
        <w:footnoteReference w:id="5"/>
      </w:r>
      <w:r>
        <w:rPr>
          <w:vertAlign w:val="superscript"/>
          <w:rtl/>
        </w:rPr>
        <w:t>)</w:t>
      </w:r>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5"/>
        <w:gridCol w:w="5385"/>
      </w:tblGrid>
      <w:tr w:rsidR="000A5CDD" w:rsidRPr="00445C02" w:rsidTr="005C11AE">
        <w:trPr>
          <w:trHeight w:val="330"/>
          <w:tblHeader/>
        </w:trPr>
        <w:tc>
          <w:tcPr>
            <w:tcW w:w="7370" w:type="dxa"/>
            <w:gridSpan w:val="2"/>
            <w:tcBorders>
              <w:top w:val="single" w:sz="4" w:space="0" w:color="auto"/>
              <w:bottom w:val="single" w:sz="12" w:space="0" w:color="auto"/>
            </w:tcBorders>
            <w:shd w:val="clear" w:color="auto" w:fill="auto"/>
            <w:vAlign w:val="bottom"/>
          </w:tcPr>
          <w:p w:rsidR="000A5CDD" w:rsidRPr="00445C02" w:rsidRDefault="000A5CDD" w:rsidP="005C11AE">
            <w:pPr>
              <w:spacing w:after="120" w:line="380" w:lineRule="exact"/>
              <w:ind w:left="57" w:right="113"/>
              <w:rPr>
                <w:i/>
                <w:iCs/>
              </w:rPr>
            </w:pPr>
            <w:r w:rsidRPr="00445C02">
              <w:rPr>
                <w:i/>
                <w:iCs/>
                <w:rtl/>
              </w:rPr>
              <w:t>أ. م. د. وآخرون ضد الدانمرك</w:t>
            </w:r>
          </w:p>
        </w:tc>
      </w:tr>
      <w:tr w:rsidR="000A5CDD" w:rsidRPr="00445C02" w:rsidTr="005C11AE">
        <w:trPr>
          <w:trHeight w:hRule="exact" w:val="103"/>
        </w:trPr>
        <w:tc>
          <w:tcPr>
            <w:tcW w:w="7370" w:type="dxa"/>
            <w:gridSpan w:val="2"/>
            <w:tcBorders>
              <w:top w:val="single" w:sz="12" w:space="0" w:color="auto"/>
            </w:tcBorders>
            <w:shd w:val="clear" w:color="auto" w:fill="auto"/>
          </w:tcPr>
          <w:p w:rsidR="000A5CDD" w:rsidRPr="00445C02" w:rsidRDefault="000A5CDD" w:rsidP="005C11AE">
            <w:pPr>
              <w:spacing w:after="120" w:line="380" w:lineRule="exact"/>
              <w:ind w:right="113"/>
            </w:pPr>
          </w:p>
        </w:tc>
      </w:tr>
      <w:tr w:rsidR="000A5CDD" w:rsidRPr="00445C02" w:rsidTr="005C11AE">
        <w:trPr>
          <w:trHeight w:val="367"/>
        </w:trPr>
        <w:tc>
          <w:tcPr>
            <w:tcW w:w="1985" w:type="dxa"/>
            <w:shd w:val="clear" w:color="auto" w:fill="auto"/>
          </w:tcPr>
          <w:p w:rsidR="000A5CDD" w:rsidRPr="00445C02" w:rsidRDefault="000A5CDD" w:rsidP="005C11AE">
            <w:pPr>
              <w:spacing w:after="120" w:line="380" w:lineRule="exact"/>
              <w:ind w:right="113"/>
            </w:pPr>
            <w:r w:rsidRPr="00445C02">
              <w:rPr>
                <w:rtl/>
              </w:rPr>
              <w:t>تاريخ اعتماد القرار:</w:t>
            </w:r>
          </w:p>
        </w:tc>
        <w:tc>
          <w:tcPr>
            <w:tcW w:w="5385" w:type="dxa"/>
            <w:shd w:val="clear" w:color="auto" w:fill="auto"/>
          </w:tcPr>
          <w:p w:rsidR="000A5CDD" w:rsidRPr="00445C02" w:rsidRDefault="000A5CDD" w:rsidP="005C11AE">
            <w:pPr>
              <w:spacing w:after="120" w:line="380" w:lineRule="exact"/>
              <w:ind w:left="-3" w:right="113"/>
            </w:pPr>
            <w:r w:rsidRPr="00445C02">
              <w:rPr>
                <w:rtl/>
              </w:rPr>
              <w:t>١٢ أيار/مايو ٢٠١٧</w:t>
            </w:r>
          </w:p>
        </w:tc>
      </w:tr>
      <w:tr w:rsidR="000A5CDD" w:rsidRPr="00445C02" w:rsidTr="005C11AE">
        <w:trPr>
          <w:trHeight w:val="367"/>
        </w:trPr>
        <w:tc>
          <w:tcPr>
            <w:tcW w:w="1985" w:type="dxa"/>
            <w:tcBorders>
              <w:bottom w:val="nil"/>
            </w:tcBorders>
            <w:shd w:val="clear" w:color="auto" w:fill="auto"/>
          </w:tcPr>
          <w:p w:rsidR="000A5CDD" w:rsidRPr="00445C02" w:rsidRDefault="000A5CDD" w:rsidP="005C11AE">
            <w:pPr>
              <w:spacing w:after="120" w:line="380" w:lineRule="exact"/>
              <w:ind w:right="113"/>
            </w:pPr>
            <w:r w:rsidRPr="00445C02">
              <w:rPr>
                <w:rtl/>
              </w:rPr>
              <w:t>المواد المنتهَكة:</w:t>
            </w:r>
          </w:p>
        </w:tc>
        <w:tc>
          <w:tcPr>
            <w:tcW w:w="5385" w:type="dxa"/>
            <w:tcBorders>
              <w:bottom w:val="nil"/>
            </w:tcBorders>
            <w:shd w:val="clear" w:color="auto" w:fill="auto"/>
          </w:tcPr>
          <w:p w:rsidR="000A5CDD" w:rsidRPr="00445C02" w:rsidRDefault="000A5CDD" w:rsidP="005C11AE">
            <w:pPr>
              <w:spacing w:after="120" w:line="380" w:lineRule="exact"/>
              <w:ind w:right="113"/>
            </w:pPr>
            <w:r w:rsidRPr="00445C02">
              <w:rPr>
                <w:rtl/>
              </w:rPr>
              <w:t>المادة 3</w:t>
            </w:r>
          </w:p>
        </w:tc>
      </w:tr>
      <w:tr w:rsidR="000A5CDD" w:rsidRPr="00445C02" w:rsidTr="005C11AE">
        <w:trPr>
          <w:trHeight w:val="2298"/>
        </w:trPr>
        <w:tc>
          <w:tcPr>
            <w:tcW w:w="1985" w:type="dxa"/>
            <w:tcBorders>
              <w:top w:val="nil"/>
              <w:bottom w:val="single" w:sz="12" w:space="0" w:color="auto"/>
            </w:tcBorders>
            <w:shd w:val="clear" w:color="auto" w:fill="auto"/>
          </w:tcPr>
          <w:p w:rsidR="000A5CDD" w:rsidRPr="00445C02" w:rsidRDefault="000A5CDD" w:rsidP="005C11AE">
            <w:pPr>
              <w:spacing w:after="120" w:line="380" w:lineRule="exact"/>
              <w:ind w:right="113"/>
            </w:pPr>
            <w:r w:rsidRPr="00445C02">
              <w:rPr>
                <w:rtl/>
              </w:rPr>
              <w:t>الانتصاف:</w:t>
            </w:r>
          </w:p>
        </w:tc>
        <w:tc>
          <w:tcPr>
            <w:tcW w:w="5385" w:type="dxa"/>
            <w:tcBorders>
              <w:top w:val="nil"/>
              <w:bottom w:val="single" w:sz="12" w:space="0" w:color="auto"/>
            </w:tcBorders>
            <w:shd w:val="clear" w:color="auto" w:fill="auto"/>
          </w:tcPr>
          <w:p w:rsidR="000A5CDD" w:rsidRPr="00445C02" w:rsidRDefault="000A5CDD" w:rsidP="005C11AE">
            <w:pPr>
              <w:spacing w:after="120" w:line="380" w:lineRule="exact"/>
              <w:ind w:right="113"/>
              <w:rPr>
                <w:spacing w:val="-2"/>
              </w:rPr>
            </w:pPr>
            <w:r w:rsidRPr="00445C02">
              <w:rPr>
                <w:spacing w:val="-2"/>
                <w:rtl/>
              </w:rPr>
              <w:t>خلصت اللجنة إلى أن من شأن ترحيل أصحاب الشكوى إلى الاتحاد الروسي أن يشكل انتهاكاً للمادة 3 من الاتفاقية. ورأت اللجنة أنه يقع على الدولة الطرف، وفقاً للمادة 3 من الاتفاقية، التزام بالامتناع عن إعادة أصحاب الشكوى قسراً إلى الاتحاد الروسي أو إلى أي بلد آخر يواجهون فيه خطراً حقيقياً يتمثل في طردهم أو إعادتهم إلى الاتحاد الروسي. ودعت اللجنة الدولة الطرف إلى إبلاغها، في غضون 90 يوماً من تاريخ إحالة هذا القرار، بالخطوات التي اتَّخذتها استجابةً للملاحظات الواردة في القرار.</w:t>
            </w:r>
            <w:r w:rsidRPr="00445C02">
              <w:rPr>
                <w:rFonts w:ascii="Arial" w:hAnsi="Arial" w:cs="Arial" w:hint="cs"/>
                <w:spacing w:val="-2"/>
                <w:rtl/>
              </w:rPr>
              <w:t>‬</w:t>
            </w:r>
          </w:p>
        </w:tc>
      </w:tr>
    </w:tbl>
    <w:p w:rsidR="000A5CDD" w:rsidRDefault="000A5CDD" w:rsidP="000A5CDD">
      <w:pPr>
        <w:pStyle w:val="SingleTxtGA"/>
        <w:spacing w:before="240"/>
        <w:rPr>
          <w:rtl/>
        </w:rPr>
      </w:pPr>
      <w:r>
        <w:rPr>
          <w:rtl/>
        </w:rPr>
        <w:lastRenderedPageBreak/>
        <w:t>١٤-</w:t>
      </w:r>
      <w:r>
        <w:rPr>
          <w:rtl/>
        </w:rPr>
        <w:tab/>
        <w:t xml:space="preserve">في ١٦ أيار/مايو ٢٠١٩، اعتذرت المحامية عن عدم الرد على طلبات الأمانة للحصول على تعليقات في إطار المتابعة، وأشارت إلى أن ليس لديها المزيد من التعليقات. بيد أن المحامية أقرَّت بأن موكّليها قد غادروا الدانمرك، وقالت إنها ليست على علم بأماكن وجودهم حالياً. </w:t>
      </w:r>
    </w:p>
    <w:p w:rsidR="000A5CDD" w:rsidRDefault="000A5CDD" w:rsidP="000A5CDD">
      <w:pPr>
        <w:pStyle w:val="SingleTxtGA"/>
        <w:rPr>
          <w:rtl/>
        </w:rPr>
      </w:pPr>
      <w:r>
        <w:rPr>
          <w:rtl/>
        </w:rPr>
        <w:t>١٥-</w:t>
      </w:r>
      <w:r>
        <w:rPr>
          <w:rtl/>
        </w:rPr>
        <w:tab/>
        <w:t xml:space="preserve">وأظهرت الملاحظات والتعليقات في إطار المتابعة عدم تنفيذ القرار. وقررت اللجنة إغلاق حوار المتابعة، رغم عدم التوصل إلى حل مُرضٍ، نظراً إلى أن الدولة الطرف قررت عدم تنفيذ القرار وقامت بترحيل أصحاب الشكوى. </w:t>
      </w:r>
    </w:p>
    <w:p w:rsidR="000A5CDD" w:rsidRDefault="000A5CDD" w:rsidP="000A5CDD">
      <w:pPr>
        <w:pStyle w:val="H1GA"/>
        <w:rPr>
          <w:rtl/>
        </w:rPr>
      </w:pPr>
      <w:r>
        <w:rPr>
          <w:rtl/>
        </w:rPr>
        <w:tab/>
        <w:t>هاء-</w:t>
      </w:r>
      <w:r>
        <w:rPr>
          <w:rtl/>
        </w:rPr>
        <w:tab/>
        <w:t>البلاغ رقم 742/2016</w:t>
      </w:r>
      <w:r>
        <w:rPr>
          <w:vertAlign w:val="superscript"/>
          <w:rtl/>
        </w:rPr>
        <w:t>(</w:t>
      </w:r>
      <w:r>
        <w:rPr>
          <w:rStyle w:val="FootnoteReference"/>
          <w:rtl/>
        </w:rPr>
        <w:footnoteReference w:id="6"/>
      </w:r>
      <w:r>
        <w:rPr>
          <w:vertAlign w:val="superscript"/>
          <w:rtl/>
        </w:rPr>
        <w:t>)</w:t>
      </w:r>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5"/>
        <w:gridCol w:w="5385"/>
      </w:tblGrid>
      <w:tr w:rsidR="000A5CDD" w:rsidRPr="00445C02" w:rsidTr="005C11AE">
        <w:trPr>
          <w:trHeight w:val="330"/>
          <w:tblHeader/>
        </w:trPr>
        <w:tc>
          <w:tcPr>
            <w:tcW w:w="7370" w:type="dxa"/>
            <w:gridSpan w:val="2"/>
            <w:tcBorders>
              <w:top w:val="single" w:sz="4" w:space="0" w:color="auto"/>
              <w:bottom w:val="single" w:sz="12" w:space="0" w:color="auto"/>
            </w:tcBorders>
            <w:shd w:val="clear" w:color="auto" w:fill="auto"/>
            <w:vAlign w:val="bottom"/>
          </w:tcPr>
          <w:p w:rsidR="000A5CDD" w:rsidRPr="00445C02" w:rsidRDefault="000A5CDD" w:rsidP="005C11AE">
            <w:pPr>
              <w:spacing w:after="120" w:line="380" w:lineRule="exact"/>
              <w:ind w:left="57" w:right="113"/>
              <w:rPr>
                <w:i/>
                <w:iCs/>
              </w:rPr>
            </w:pPr>
            <w:r w:rsidRPr="00445C02">
              <w:rPr>
                <w:i/>
                <w:iCs/>
                <w:rtl/>
              </w:rPr>
              <w:t>أ‌. ن. ضد سويسرا</w:t>
            </w:r>
          </w:p>
        </w:tc>
      </w:tr>
      <w:tr w:rsidR="000A5CDD" w:rsidRPr="00445C02" w:rsidTr="005C11AE">
        <w:trPr>
          <w:trHeight w:hRule="exact" w:val="103"/>
        </w:trPr>
        <w:tc>
          <w:tcPr>
            <w:tcW w:w="7370" w:type="dxa"/>
            <w:gridSpan w:val="2"/>
            <w:tcBorders>
              <w:top w:val="single" w:sz="12" w:space="0" w:color="auto"/>
            </w:tcBorders>
            <w:shd w:val="clear" w:color="auto" w:fill="auto"/>
          </w:tcPr>
          <w:p w:rsidR="000A5CDD" w:rsidRPr="00445C02" w:rsidRDefault="000A5CDD" w:rsidP="005C11AE">
            <w:pPr>
              <w:spacing w:after="120" w:line="380" w:lineRule="exact"/>
              <w:ind w:right="113"/>
            </w:pPr>
          </w:p>
        </w:tc>
      </w:tr>
      <w:tr w:rsidR="000A5CDD" w:rsidRPr="00445C02" w:rsidTr="005C11AE">
        <w:trPr>
          <w:trHeight w:val="367"/>
        </w:trPr>
        <w:tc>
          <w:tcPr>
            <w:tcW w:w="1985" w:type="dxa"/>
            <w:shd w:val="clear" w:color="auto" w:fill="auto"/>
          </w:tcPr>
          <w:p w:rsidR="000A5CDD" w:rsidRPr="00445C02" w:rsidRDefault="000A5CDD" w:rsidP="005C11AE">
            <w:pPr>
              <w:spacing w:after="120" w:line="380" w:lineRule="exact"/>
              <w:ind w:right="113"/>
            </w:pPr>
            <w:r w:rsidRPr="00445C02">
              <w:rPr>
                <w:rtl/>
              </w:rPr>
              <w:t>تاريخ اعتماد القرار:</w:t>
            </w:r>
          </w:p>
        </w:tc>
        <w:tc>
          <w:tcPr>
            <w:tcW w:w="5385" w:type="dxa"/>
            <w:shd w:val="clear" w:color="auto" w:fill="auto"/>
          </w:tcPr>
          <w:p w:rsidR="000A5CDD" w:rsidRPr="00445C02" w:rsidRDefault="000A5CDD" w:rsidP="005C11AE">
            <w:pPr>
              <w:spacing w:after="120" w:line="380" w:lineRule="exact"/>
              <w:ind w:left="-3" w:right="113" w:firstLine="3"/>
            </w:pPr>
            <w:r w:rsidRPr="00445C02">
              <w:rPr>
                <w:rtl/>
              </w:rPr>
              <w:t>٣ آب/أغسطس ٢٠١٨</w:t>
            </w:r>
          </w:p>
        </w:tc>
      </w:tr>
      <w:tr w:rsidR="000A5CDD" w:rsidRPr="00445C02" w:rsidTr="005C11AE">
        <w:trPr>
          <w:trHeight w:val="367"/>
        </w:trPr>
        <w:tc>
          <w:tcPr>
            <w:tcW w:w="1985" w:type="dxa"/>
            <w:tcBorders>
              <w:bottom w:val="nil"/>
            </w:tcBorders>
            <w:shd w:val="clear" w:color="auto" w:fill="auto"/>
          </w:tcPr>
          <w:p w:rsidR="000A5CDD" w:rsidRPr="00445C02" w:rsidRDefault="000A5CDD" w:rsidP="005C11AE">
            <w:pPr>
              <w:spacing w:after="120" w:line="380" w:lineRule="exact"/>
              <w:ind w:right="113"/>
            </w:pPr>
            <w:r w:rsidRPr="00445C02">
              <w:rPr>
                <w:rtl/>
              </w:rPr>
              <w:t>المواد المنتهَكة:</w:t>
            </w:r>
          </w:p>
        </w:tc>
        <w:tc>
          <w:tcPr>
            <w:tcW w:w="5385" w:type="dxa"/>
            <w:tcBorders>
              <w:bottom w:val="nil"/>
            </w:tcBorders>
            <w:shd w:val="clear" w:color="auto" w:fill="auto"/>
          </w:tcPr>
          <w:p w:rsidR="000A5CDD" w:rsidRPr="00445C02" w:rsidRDefault="000A5CDD" w:rsidP="005C11AE">
            <w:pPr>
              <w:spacing w:after="120" w:line="380" w:lineRule="exact"/>
              <w:ind w:right="113"/>
            </w:pPr>
            <w:r w:rsidRPr="00445C02">
              <w:rPr>
                <w:rtl/>
              </w:rPr>
              <w:t>المواد 3</w:t>
            </w:r>
            <w:r>
              <w:rPr>
                <w:rtl/>
              </w:rPr>
              <w:t xml:space="preserve"> و</w:t>
            </w:r>
            <w:r w:rsidRPr="00445C02">
              <w:rPr>
                <w:rtl/>
              </w:rPr>
              <w:t>14</w:t>
            </w:r>
            <w:r>
              <w:rPr>
                <w:rtl/>
              </w:rPr>
              <w:t xml:space="preserve"> و</w:t>
            </w:r>
            <w:r w:rsidRPr="00445C02">
              <w:rPr>
                <w:rtl/>
              </w:rPr>
              <w:t>16</w:t>
            </w:r>
          </w:p>
        </w:tc>
      </w:tr>
      <w:tr w:rsidR="000A5CDD" w:rsidRPr="00445C02" w:rsidTr="005C11AE">
        <w:trPr>
          <w:trHeight w:val="1917"/>
        </w:trPr>
        <w:tc>
          <w:tcPr>
            <w:tcW w:w="1985" w:type="dxa"/>
            <w:tcBorders>
              <w:top w:val="nil"/>
              <w:bottom w:val="single" w:sz="12" w:space="0" w:color="auto"/>
            </w:tcBorders>
            <w:shd w:val="clear" w:color="auto" w:fill="auto"/>
          </w:tcPr>
          <w:p w:rsidR="000A5CDD" w:rsidRPr="00445C02" w:rsidRDefault="000A5CDD" w:rsidP="005C11AE">
            <w:pPr>
              <w:spacing w:after="120" w:line="380" w:lineRule="exact"/>
              <w:ind w:right="113"/>
            </w:pPr>
            <w:r w:rsidRPr="00445C02">
              <w:rPr>
                <w:rtl/>
              </w:rPr>
              <w:lastRenderedPageBreak/>
              <w:t>الانتصاف:</w:t>
            </w:r>
          </w:p>
        </w:tc>
        <w:tc>
          <w:tcPr>
            <w:tcW w:w="5385" w:type="dxa"/>
            <w:tcBorders>
              <w:top w:val="nil"/>
              <w:bottom w:val="single" w:sz="12" w:space="0" w:color="auto"/>
            </w:tcBorders>
            <w:shd w:val="clear" w:color="auto" w:fill="auto"/>
          </w:tcPr>
          <w:p w:rsidR="000A5CDD" w:rsidRPr="00445C02" w:rsidRDefault="000A5CDD" w:rsidP="005C11AE">
            <w:pPr>
              <w:spacing w:after="120" w:line="380" w:lineRule="exact"/>
              <w:ind w:right="113"/>
              <w:rPr>
                <w:spacing w:val="-2"/>
              </w:rPr>
            </w:pPr>
            <w:r w:rsidRPr="00445C02">
              <w:rPr>
                <w:spacing w:val="-2"/>
                <w:rtl/>
              </w:rPr>
              <w:t>رأت اللجنة أن الدولة الطرف ملزمة بالامتناع عن إعادة صاحب الشكوى قسراً إلى إيطاليا وبمواصلة الامتثال لالتزامها بإعادة تأهيل صاحب الشكوى عن طريق العلاج الطبي، بالتشاور الكامل معه. ودعت اللجنة الدولة الطرف إلى إبلاغها، في غضون 90 يوماً من تاريخ إحالة هذا القرار، بالخطوات التي اتخذتها استجابةً للملاحظات الواردة في</w:t>
            </w:r>
            <w:r>
              <w:rPr>
                <w:rFonts w:hint="cs"/>
                <w:spacing w:val="-2"/>
                <w:rtl/>
              </w:rPr>
              <w:t> </w:t>
            </w:r>
            <w:r w:rsidRPr="00445C02">
              <w:rPr>
                <w:spacing w:val="-2"/>
                <w:rtl/>
              </w:rPr>
              <w:t>القرار.</w:t>
            </w:r>
          </w:p>
        </w:tc>
      </w:tr>
    </w:tbl>
    <w:p w:rsidR="000A5CDD" w:rsidRDefault="000A5CDD" w:rsidP="000A5CDD">
      <w:pPr>
        <w:pStyle w:val="SingleTxtGA"/>
        <w:spacing w:before="240"/>
        <w:rPr>
          <w:rtl/>
        </w:rPr>
      </w:pPr>
      <w:r>
        <w:rPr>
          <w:rtl/>
        </w:rPr>
        <w:t>١٦-</w:t>
      </w:r>
      <w:r>
        <w:rPr>
          <w:rtl/>
        </w:rPr>
        <w:tab/>
        <w:t xml:space="preserve">في ٢٥ حزيران/يونيه ٢٠١٩، أفادت الدولة الطرف بأن وزارة الدولة لشؤون الهجرة قد اعترفت بصاحب الشكوى لاجئاً لديها في ٢٠ حزيران/يونيه ٢٠١٩، مما يمنحه حق الإقامة في سويسرا، والبحث عن عمل. </w:t>
      </w:r>
    </w:p>
    <w:p w:rsidR="000A5CDD" w:rsidRDefault="000A5CDD" w:rsidP="000A5CDD">
      <w:pPr>
        <w:pStyle w:val="SingleTxtGA"/>
        <w:rPr>
          <w:rtl/>
        </w:rPr>
      </w:pPr>
      <w:r>
        <w:rPr>
          <w:rtl/>
        </w:rPr>
        <w:t>١٧-</w:t>
      </w:r>
      <w:r>
        <w:rPr>
          <w:rtl/>
        </w:rPr>
        <w:tab/>
        <w:t xml:space="preserve">وفي ٥ آب/أغسطس ٢٠١٩، أُحيلت ملاحظات الدولة الطرف في إطار المتابعة إلى </w:t>
      </w:r>
      <w:r w:rsidRPr="00585EB7">
        <w:rPr>
          <w:spacing w:val="-4"/>
          <w:rtl/>
        </w:rPr>
        <w:t>المحامي لإبداء تعليقاته عليها، ومن المقرر تلقي التعليقات بحلول ٥ تشرين الأول/أكتوبر ٢٠١٩.</w:t>
      </w:r>
    </w:p>
    <w:p w:rsidR="000A5CDD" w:rsidRDefault="000A5CDD" w:rsidP="000A5CDD">
      <w:pPr>
        <w:pStyle w:val="SingleTxtGA"/>
        <w:rPr>
          <w:rtl/>
        </w:rPr>
      </w:pPr>
      <w:r>
        <w:rPr>
          <w:rtl/>
        </w:rPr>
        <w:t>١٨-</w:t>
      </w:r>
      <w:r>
        <w:rPr>
          <w:rtl/>
        </w:rPr>
        <w:tab/>
        <w:t xml:space="preserve">ولما كان رد المحامي على ملاحظات الدولة الطرف لم يجهز بعد، قررت اللجنة أن تُبقي حوار المتابعة جارياً، وأن تنظر في اتخاذ خطوات </w:t>
      </w:r>
      <w:r>
        <w:rPr>
          <w:rtl/>
        </w:rPr>
        <w:lastRenderedPageBreak/>
        <w:t xml:space="preserve">إضافية على ضوء تعليقات المحامي. وأظهرت الملاحظات والتعليقات في إطار المتابعة تنفيذاً كاملاً. </w:t>
      </w:r>
    </w:p>
    <w:p w:rsidR="000A5CDD" w:rsidRDefault="000A5CDD" w:rsidP="000A5CDD">
      <w:pPr>
        <w:pStyle w:val="H1GA"/>
        <w:rPr>
          <w:rtl/>
        </w:rPr>
      </w:pPr>
      <w:r>
        <w:rPr>
          <w:rtl/>
        </w:rPr>
        <w:tab/>
        <w:t>واو-</w:t>
      </w:r>
      <w:r>
        <w:rPr>
          <w:rtl/>
        </w:rPr>
        <w:tab/>
        <w:t>البلاغ رقم 758/2016</w:t>
      </w:r>
      <w:r>
        <w:rPr>
          <w:vertAlign w:val="superscript"/>
          <w:rtl/>
        </w:rPr>
        <w:t>(</w:t>
      </w:r>
      <w:r>
        <w:rPr>
          <w:rStyle w:val="FootnoteReference"/>
          <w:rtl/>
        </w:rPr>
        <w:footnoteReference w:id="7"/>
      </w:r>
      <w:r>
        <w:rPr>
          <w:vertAlign w:val="superscript"/>
          <w:rtl/>
        </w:rPr>
        <w:t>)</w:t>
      </w:r>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5"/>
        <w:gridCol w:w="5385"/>
      </w:tblGrid>
      <w:tr w:rsidR="000A5CDD" w:rsidRPr="00445C02" w:rsidTr="005C11AE">
        <w:trPr>
          <w:trHeight w:val="330"/>
          <w:tblHeader/>
        </w:trPr>
        <w:tc>
          <w:tcPr>
            <w:tcW w:w="7370" w:type="dxa"/>
            <w:gridSpan w:val="2"/>
            <w:tcBorders>
              <w:top w:val="single" w:sz="4" w:space="0" w:color="auto"/>
              <w:bottom w:val="single" w:sz="12" w:space="0" w:color="auto"/>
            </w:tcBorders>
            <w:shd w:val="clear" w:color="auto" w:fill="auto"/>
            <w:vAlign w:val="bottom"/>
          </w:tcPr>
          <w:p w:rsidR="000A5CDD" w:rsidRPr="00445C02" w:rsidRDefault="000A5CDD" w:rsidP="005C11AE">
            <w:pPr>
              <w:spacing w:after="120" w:line="380" w:lineRule="exact"/>
              <w:ind w:left="57" w:right="113"/>
              <w:rPr>
                <w:i/>
                <w:iCs/>
              </w:rPr>
            </w:pPr>
            <w:r w:rsidRPr="00445C02">
              <w:rPr>
                <w:i/>
                <w:iCs/>
                <w:rtl/>
              </w:rPr>
              <w:t>آدم هارون ضد سويسرا</w:t>
            </w:r>
          </w:p>
        </w:tc>
      </w:tr>
      <w:tr w:rsidR="000A5CDD" w:rsidRPr="00445C02" w:rsidTr="005C11AE">
        <w:trPr>
          <w:trHeight w:hRule="exact" w:val="103"/>
        </w:trPr>
        <w:tc>
          <w:tcPr>
            <w:tcW w:w="7370" w:type="dxa"/>
            <w:gridSpan w:val="2"/>
            <w:tcBorders>
              <w:top w:val="single" w:sz="12" w:space="0" w:color="auto"/>
            </w:tcBorders>
            <w:shd w:val="clear" w:color="auto" w:fill="auto"/>
          </w:tcPr>
          <w:p w:rsidR="000A5CDD" w:rsidRPr="00445C02" w:rsidRDefault="000A5CDD" w:rsidP="005C11AE">
            <w:pPr>
              <w:spacing w:after="120" w:line="380" w:lineRule="exact"/>
              <w:ind w:right="113"/>
            </w:pPr>
          </w:p>
        </w:tc>
      </w:tr>
      <w:tr w:rsidR="000A5CDD" w:rsidRPr="00445C02" w:rsidTr="005C11AE">
        <w:trPr>
          <w:trHeight w:val="367"/>
        </w:trPr>
        <w:tc>
          <w:tcPr>
            <w:tcW w:w="1985" w:type="dxa"/>
            <w:shd w:val="clear" w:color="auto" w:fill="auto"/>
          </w:tcPr>
          <w:p w:rsidR="000A5CDD" w:rsidRPr="00445C02" w:rsidRDefault="000A5CDD" w:rsidP="005C11AE">
            <w:pPr>
              <w:spacing w:after="120" w:line="380" w:lineRule="exact"/>
              <w:ind w:right="113"/>
            </w:pPr>
            <w:r w:rsidRPr="00445C02">
              <w:rPr>
                <w:rtl/>
              </w:rPr>
              <w:t>تاريخ اعتماد القرار:</w:t>
            </w:r>
          </w:p>
        </w:tc>
        <w:tc>
          <w:tcPr>
            <w:tcW w:w="5385" w:type="dxa"/>
            <w:shd w:val="clear" w:color="auto" w:fill="auto"/>
          </w:tcPr>
          <w:p w:rsidR="000A5CDD" w:rsidRPr="00445C02" w:rsidRDefault="000A5CDD" w:rsidP="005C11AE">
            <w:pPr>
              <w:spacing w:after="120" w:line="380" w:lineRule="exact"/>
              <w:ind w:left="-3" w:right="113" w:firstLine="3"/>
            </w:pPr>
            <w:r w:rsidRPr="00445C02">
              <w:rPr>
                <w:rtl/>
              </w:rPr>
              <w:t>٦ كانون الأول/ديسمبر ٢٠١٨</w:t>
            </w:r>
          </w:p>
        </w:tc>
      </w:tr>
      <w:tr w:rsidR="000A5CDD" w:rsidRPr="00445C02" w:rsidTr="005C11AE">
        <w:trPr>
          <w:trHeight w:val="367"/>
        </w:trPr>
        <w:tc>
          <w:tcPr>
            <w:tcW w:w="1985" w:type="dxa"/>
            <w:tcBorders>
              <w:bottom w:val="nil"/>
            </w:tcBorders>
            <w:shd w:val="clear" w:color="auto" w:fill="auto"/>
          </w:tcPr>
          <w:p w:rsidR="000A5CDD" w:rsidRPr="00445C02" w:rsidRDefault="000A5CDD" w:rsidP="005C11AE">
            <w:pPr>
              <w:spacing w:after="120" w:line="380" w:lineRule="exact"/>
              <w:ind w:right="113"/>
            </w:pPr>
            <w:r w:rsidRPr="00445C02">
              <w:rPr>
                <w:rtl/>
              </w:rPr>
              <w:t>المواد المنتهَكة:</w:t>
            </w:r>
          </w:p>
        </w:tc>
        <w:tc>
          <w:tcPr>
            <w:tcW w:w="5385" w:type="dxa"/>
            <w:tcBorders>
              <w:bottom w:val="nil"/>
            </w:tcBorders>
            <w:shd w:val="clear" w:color="auto" w:fill="auto"/>
          </w:tcPr>
          <w:p w:rsidR="000A5CDD" w:rsidRPr="00445C02" w:rsidRDefault="000A5CDD" w:rsidP="005C11AE">
            <w:pPr>
              <w:spacing w:after="120" w:line="380" w:lineRule="exact"/>
              <w:ind w:right="113"/>
            </w:pPr>
            <w:r w:rsidRPr="00445C02">
              <w:rPr>
                <w:rtl/>
              </w:rPr>
              <w:t>المادة 3</w:t>
            </w:r>
          </w:p>
        </w:tc>
      </w:tr>
      <w:tr w:rsidR="000A5CDD" w:rsidRPr="00445C02" w:rsidTr="005C11AE">
        <w:trPr>
          <w:trHeight w:val="2298"/>
        </w:trPr>
        <w:tc>
          <w:tcPr>
            <w:tcW w:w="1985" w:type="dxa"/>
            <w:tcBorders>
              <w:top w:val="nil"/>
              <w:bottom w:val="single" w:sz="12" w:space="0" w:color="auto"/>
            </w:tcBorders>
            <w:shd w:val="clear" w:color="auto" w:fill="auto"/>
          </w:tcPr>
          <w:p w:rsidR="000A5CDD" w:rsidRPr="00445C02" w:rsidRDefault="000A5CDD" w:rsidP="005C11AE">
            <w:pPr>
              <w:spacing w:after="120" w:line="380" w:lineRule="exact"/>
              <w:ind w:right="113"/>
            </w:pPr>
            <w:r w:rsidRPr="00445C02">
              <w:rPr>
                <w:rtl/>
              </w:rPr>
              <w:t>الانتصاف:</w:t>
            </w:r>
          </w:p>
        </w:tc>
        <w:tc>
          <w:tcPr>
            <w:tcW w:w="5385" w:type="dxa"/>
            <w:tcBorders>
              <w:top w:val="nil"/>
              <w:bottom w:val="single" w:sz="12" w:space="0" w:color="auto"/>
            </w:tcBorders>
            <w:shd w:val="clear" w:color="auto" w:fill="auto"/>
          </w:tcPr>
          <w:p w:rsidR="000A5CDD" w:rsidRPr="00445C02" w:rsidRDefault="000A5CDD" w:rsidP="005C11AE">
            <w:pPr>
              <w:spacing w:after="120" w:line="380" w:lineRule="exact"/>
              <w:ind w:right="113"/>
              <w:rPr>
                <w:spacing w:val="-2"/>
              </w:rPr>
            </w:pPr>
            <w:r w:rsidRPr="00445C02">
              <w:rPr>
                <w:spacing w:val="-2"/>
                <w:rtl/>
              </w:rPr>
              <w:t xml:space="preserve">اعتبرت اللجنة أن الدولة الطرف لم تبحث بطريقة فردية ومتعمقة التجربة الشخصية التي مرّ بها صاحب الشكوى باعتباره ضحية من ضحايا التعذيب، ولا التبعات المتوقعة لإعادته قسراً إلى إيطاليا. وبناء عليه، </w:t>
            </w:r>
            <w:r w:rsidRPr="00D457F0">
              <w:rPr>
                <w:spacing w:val="-4"/>
                <w:rtl/>
              </w:rPr>
              <w:t>خلصت اللجنة إلى أن ترحيل صاحب الشكوى إلى إيطاليا سيشكل انتهاكاً للمادة 3 من الاتفاقية. ودعت اللجنة الدولة الطرف إلى إبلاغها،</w:t>
            </w:r>
            <w:r w:rsidRPr="00445C02">
              <w:rPr>
                <w:spacing w:val="-2"/>
                <w:rtl/>
              </w:rPr>
              <w:t xml:space="preserve"> في غضون 90 يوماً من تاريخ إحالة هذا القرار، بالخطوات التي اتخذتها استجابةً للملاحظات الواردة في القرار.</w:t>
            </w:r>
          </w:p>
        </w:tc>
      </w:tr>
    </w:tbl>
    <w:p w:rsidR="000A5CDD" w:rsidRDefault="000A5CDD" w:rsidP="000A5CDD">
      <w:pPr>
        <w:pStyle w:val="SingleTxtGA"/>
        <w:spacing w:before="240"/>
        <w:rPr>
          <w:rtl/>
        </w:rPr>
      </w:pPr>
      <w:r>
        <w:rPr>
          <w:rtl/>
        </w:rPr>
        <w:t>١٩-</w:t>
      </w:r>
      <w:r>
        <w:rPr>
          <w:rtl/>
        </w:rPr>
        <w:tab/>
        <w:t xml:space="preserve">في 18 حزيران/يونيه 2019، قدمت الدولة الطرف المعلومات التالية. أفادت بأن وزارة الدولة لشؤون الهجرة قررت عقد جلسة شفوية لصاحب الشكوى في 10 تموز/يوليه ٢٠١٩. وعلى النحو </w:t>
      </w:r>
      <w:r>
        <w:rPr>
          <w:rtl/>
        </w:rPr>
        <w:lastRenderedPageBreak/>
        <w:t xml:space="preserve">المشار إليه في ٢٧ شباط/فبراير ٢٠١٩، لا يواجه صاحب الشكوى خطر الترحيل نظراً إلى إعادة فتح إجراءات اللجوء في ملفه. وعلاوة على ذلك، فإن قرار وزارة الدولة لشؤون الهجرة يمكن أن يُستأنف أمام المحكمة الإدارية الاتحادية بأثر إيقافي. ولذا تعتبر الدولة الطرف أنها نفذت القرار الذي اتخذته اللجنة في القضية المذكورة أعلاه. </w:t>
      </w:r>
    </w:p>
    <w:p w:rsidR="000A5CDD" w:rsidRPr="00585EB7" w:rsidRDefault="000A5CDD" w:rsidP="000A5CDD">
      <w:pPr>
        <w:pStyle w:val="SingleTxtGA"/>
        <w:rPr>
          <w:spacing w:val="-4"/>
          <w:rtl/>
        </w:rPr>
      </w:pPr>
      <w:r>
        <w:rPr>
          <w:rtl/>
        </w:rPr>
        <w:t>٢٠-</w:t>
      </w:r>
      <w:r>
        <w:rPr>
          <w:rtl/>
        </w:rPr>
        <w:tab/>
        <w:t xml:space="preserve">وفي ٥ آب/أغسطس ٢٠١٩، أُحيلت ملاحظات الدولة الطرف في إطار المتابعة إلى </w:t>
      </w:r>
      <w:r w:rsidRPr="00585EB7">
        <w:rPr>
          <w:spacing w:val="-4"/>
          <w:rtl/>
        </w:rPr>
        <w:t>المحامي لإبداء تعليقاته عليها، ومن المقرر تلقي التعليقات بحلول ٥ تشرين الأول/أكتوبر ٢٠١٩.</w:t>
      </w:r>
    </w:p>
    <w:p w:rsidR="000A5CDD" w:rsidRDefault="000A5CDD" w:rsidP="000A5CDD">
      <w:pPr>
        <w:pStyle w:val="SingleTxtGA"/>
        <w:rPr>
          <w:rtl/>
        </w:rPr>
      </w:pPr>
      <w:r>
        <w:rPr>
          <w:rtl/>
        </w:rPr>
        <w:t>٢١-</w:t>
      </w:r>
      <w:r>
        <w:rPr>
          <w:rtl/>
        </w:rPr>
        <w:tab/>
        <w:t xml:space="preserve">وأظهرت الملاحظات والتعليقات في إطار المتابعة تنفيذاً جزئياً. وقررت اللجنة أن تُبقي حوار المتابعة جارياً، وأن تنظر في إمكانية اتخاذ تدابير إضافية على ضوء التعليقات التي يقدمها المحامي ونتائج إجراءات </w:t>
      </w:r>
      <w:r>
        <w:rPr>
          <w:rtl/>
        </w:rPr>
        <w:lastRenderedPageBreak/>
        <w:t xml:space="preserve">اللجوء على المستوى الوطني. </w:t>
      </w:r>
    </w:p>
    <w:p w:rsidR="000A5CDD" w:rsidRDefault="000A5CDD" w:rsidP="000A5CDD">
      <w:pPr>
        <w:pStyle w:val="H1GA"/>
        <w:rPr>
          <w:rtl/>
        </w:rPr>
      </w:pPr>
      <w:r>
        <w:rPr>
          <w:rtl/>
        </w:rPr>
        <w:tab/>
        <w:t>زاي-</w:t>
      </w:r>
      <w:r>
        <w:rPr>
          <w:rtl/>
        </w:rPr>
        <w:tab/>
        <w:t>البلاغ رقم 778/2016</w:t>
      </w:r>
      <w:r>
        <w:rPr>
          <w:vertAlign w:val="superscript"/>
          <w:rtl/>
        </w:rPr>
        <w:t>(</w:t>
      </w:r>
      <w:r>
        <w:rPr>
          <w:rStyle w:val="FootnoteReference"/>
          <w:rtl/>
        </w:rPr>
        <w:footnoteReference w:id="8"/>
      </w:r>
      <w:r>
        <w:rPr>
          <w:vertAlign w:val="superscript"/>
          <w:rtl/>
        </w:rPr>
        <w:t>)</w:t>
      </w:r>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5"/>
        <w:gridCol w:w="5385"/>
      </w:tblGrid>
      <w:tr w:rsidR="000A5CDD" w:rsidRPr="00445C02" w:rsidTr="005C11AE">
        <w:trPr>
          <w:trHeight w:val="330"/>
          <w:tblHeader/>
        </w:trPr>
        <w:tc>
          <w:tcPr>
            <w:tcW w:w="7370" w:type="dxa"/>
            <w:gridSpan w:val="2"/>
            <w:tcBorders>
              <w:top w:val="single" w:sz="4" w:space="0" w:color="auto"/>
              <w:bottom w:val="single" w:sz="12" w:space="0" w:color="auto"/>
            </w:tcBorders>
            <w:shd w:val="clear" w:color="auto" w:fill="auto"/>
            <w:vAlign w:val="bottom"/>
          </w:tcPr>
          <w:p w:rsidR="000A5CDD" w:rsidRPr="00445C02" w:rsidRDefault="000A5CDD" w:rsidP="005C11AE">
            <w:pPr>
              <w:spacing w:after="120" w:line="380" w:lineRule="exact"/>
              <w:ind w:left="57" w:right="113"/>
              <w:rPr>
                <w:i/>
                <w:iCs/>
              </w:rPr>
            </w:pPr>
            <w:r w:rsidRPr="00445C02">
              <w:rPr>
                <w:i/>
                <w:iCs/>
                <w:rtl/>
              </w:rPr>
              <w:t>إيروستا وآخرون ضد الأرجنتين</w:t>
            </w:r>
          </w:p>
        </w:tc>
      </w:tr>
      <w:tr w:rsidR="000A5CDD" w:rsidRPr="00445C02" w:rsidTr="005C11AE">
        <w:trPr>
          <w:trHeight w:hRule="exact" w:val="103"/>
        </w:trPr>
        <w:tc>
          <w:tcPr>
            <w:tcW w:w="7370" w:type="dxa"/>
            <w:gridSpan w:val="2"/>
            <w:tcBorders>
              <w:top w:val="single" w:sz="12" w:space="0" w:color="auto"/>
            </w:tcBorders>
            <w:shd w:val="clear" w:color="auto" w:fill="auto"/>
          </w:tcPr>
          <w:p w:rsidR="000A5CDD" w:rsidRPr="00445C02" w:rsidRDefault="000A5CDD" w:rsidP="005C11AE">
            <w:pPr>
              <w:spacing w:after="120" w:line="380" w:lineRule="exact"/>
              <w:ind w:right="113"/>
            </w:pPr>
          </w:p>
        </w:tc>
      </w:tr>
      <w:tr w:rsidR="000A5CDD" w:rsidRPr="00445C02" w:rsidTr="005C11AE">
        <w:trPr>
          <w:trHeight w:val="367"/>
        </w:trPr>
        <w:tc>
          <w:tcPr>
            <w:tcW w:w="1985" w:type="dxa"/>
            <w:shd w:val="clear" w:color="auto" w:fill="auto"/>
          </w:tcPr>
          <w:p w:rsidR="000A5CDD" w:rsidRPr="00445C02" w:rsidRDefault="000A5CDD" w:rsidP="005C11AE">
            <w:pPr>
              <w:spacing w:after="120" w:line="380" w:lineRule="exact"/>
              <w:ind w:right="113"/>
            </w:pPr>
            <w:r w:rsidRPr="00445C02">
              <w:rPr>
                <w:rtl/>
              </w:rPr>
              <w:t>تاريخ اعتماد القرار:</w:t>
            </w:r>
          </w:p>
        </w:tc>
        <w:tc>
          <w:tcPr>
            <w:tcW w:w="5385" w:type="dxa"/>
            <w:shd w:val="clear" w:color="auto" w:fill="auto"/>
          </w:tcPr>
          <w:p w:rsidR="000A5CDD" w:rsidRPr="00445C02" w:rsidRDefault="000A5CDD" w:rsidP="005C11AE">
            <w:pPr>
              <w:spacing w:after="120" w:line="380" w:lineRule="exact"/>
              <w:ind w:left="-3" w:right="113" w:firstLine="3"/>
            </w:pPr>
            <w:r w:rsidRPr="00445C02">
              <w:rPr>
                <w:rtl/>
              </w:rPr>
              <w:t>٢٣ تشرين الثاني/نوفمبر ٢٠١٨</w:t>
            </w:r>
          </w:p>
        </w:tc>
      </w:tr>
      <w:tr w:rsidR="000A5CDD" w:rsidRPr="00445C02" w:rsidTr="005C11AE">
        <w:trPr>
          <w:trHeight w:val="367"/>
        </w:trPr>
        <w:tc>
          <w:tcPr>
            <w:tcW w:w="1985" w:type="dxa"/>
            <w:tcBorders>
              <w:bottom w:val="nil"/>
            </w:tcBorders>
            <w:shd w:val="clear" w:color="auto" w:fill="auto"/>
          </w:tcPr>
          <w:p w:rsidR="000A5CDD" w:rsidRPr="00445C02" w:rsidRDefault="000A5CDD" w:rsidP="005C11AE">
            <w:pPr>
              <w:spacing w:after="120" w:line="380" w:lineRule="exact"/>
              <w:ind w:right="113"/>
            </w:pPr>
            <w:r w:rsidRPr="00445C02">
              <w:rPr>
                <w:rtl/>
              </w:rPr>
              <w:t>المواد المنتهَكة:</w:t>
            </w:r>
          </w:p>
        </w:tc>
        <w:tc>
          <w:tcPr>
            <w:tcW w:w="5385" w:type="dxa"/>
            <w:tcBorders>
              <w:bottom w:val="nil"/>
            </w:tcBorders>
            <w:shd w:val="clear" w:color="auto" w:fill="auto"/>
          </w:tcPr>
          <w:p w:rsidR="000A5CDD" w:rsidRPr="00445C02" w:rsidRDefault="000A5CDD" w:rsidP="005C11AE">
            <w:pPr>
              <w:spacing w:after="120" w:line="380" w:lineRule="exact"/>
              <w:ind w:right="113"/>
            </w:pPr>
            <w:r w:rsidRPr="00445C02">
              <w:rPr>
                <w:rtl/>
              </w:rPr>
              <w:t>المواد 1</w:t>
            </w:r>
            <w:r>
              <w:rPr>
                <w:rtl/>
              </w:rPr>
              <w:t xml:space="preserve"> و</w:t>
            </w:r>
            <w:r w:rsidRPr="00445C02">
              <w:rPr>
                <w:rtl/>
              </w:rPr>
              <w:t>2 (1)</w:t>
            </w:r>
            <w:r>
              <w:rPr>
                <w:rtl/>
              </w:rPr>
              <w:t xml:space="preserve"> و</w:t>
            </w:r>
            <w:r w:rsidRPr="00445C02">
              <w:rPr>
                <w:rtl/>
              </w:rPr>
              <w:t>11 إلى 14</w:t>
            </w:r>
          </w:p>
        </w:tc>
      </w:tr>
      <w:tr w:rsidR="000A5CDD" w:rsidRPr="00445C02" w:rsidTr="005C11AE">
        <w:trPr>
          <w:trHeight w:val="2298"/>
        </w:trPr>
        <w:tc>
          <w:tcPr>
            <w:tcW w:w="1985" w:type="dxa"/>
            <w:tcBorders>
              <w:top w:val="nil"/>
              <w:bottom w:val="single" w:sz="12" w:space="0" w:color="auto"/>
            </w:tcBorders>
            <w:shd w:val="clear" w:color="auto" w:fill="auto"/>
          </w:tcPr>
          <w:p w:rsidR="000A5CDD" w:rsidRPr="00445C02" w:rsidRDefault="000A5CDD" w:rsidP="005C11AE">
            <w:pPr>
              <w:spacing w:after="120" w:line="380" w:lineRule="exact"/>
              <w:ind w:right="113"/>
            </w:pPr>
            <w:r w:rsidRPr="00445C02">
              <w:rPr>
                <w:rtl/>
              </w:rPr>
              <w:t>الانتصاف:</w:t>
            </w:r>
          </w:p>
        </w:tc>
        <w:tc>
          <w:tcPr>
            <w:tcW w:w="5385" w:type="dxa"/>
            <w:tcBorders>
              <w:top w:val="nil"/>
              <w:bottom w:val="single" w:sz="12" w:space="0" w:color="auto"/>
            </w:tcBorders>
            <w:shd w:val="clear" w:color="auto" w:fill="auto"/>
          </w:tcPr>
          <w:p w:rsidR="000A5CDD" w:rsidRPr="00445C02" w:rsidRDefault="000A5CDD" w:rsidP="005C11AE">
            <w:pPr>
              <w:spacing w:after="120" w:line="380" w:lineRule="exact"/>
              <w:ind w:right="113"/>
              <w:rPr>
                <w:spacing w:val="-2"/>
              </w:rPr>
            </w:pPr>
            <w:r w:rsidRPr="00445C02">
              <w:rPr>
                <w:spacing w:val="-2"/>
                <w:rtl/>
              </w:rPr>
              <w:t xml:space="preserve">حثت اللجنة الدولة الطرف على القيام بما يلي: (أ) إجراء تحقيق فوري </w:t>
            </w:r>
            <w:r w:rsidRPr="00D457F0">
              <w:rPr>
                <w:spacing w:val="-4"/>
                <w:rtl/>
              </w:rPr>
              <w:t>ونزيه ومستقل في جميع الادعاءات التي قدمها السيد إيروستا بشأن تعرضه</w:t>
            </w:r>
            <w:r w:rsidRPr="00445C02">
              <w:rPr>
                <w:spacing w:val="-2"/>
                <w:rtl/>
              </w:rPr>
              <w:t xml:space="preserve"> </w:t>
            </w:r>
            <w:r w:rsidRPr="00D457F0">
              <w:rPr>
                <w:spacing w:val="-4"/>
                <w:rtl/>
              </w:rPr>
              <w:t>للتعذيب؛ (ب) منح أصحاب الشكوى صفة الضحية؛ (ج) إتاحة سبل</w:t>
            </w:r>
            <w:r w:rsidRPr="00445C02">
              <w:rPr>
                <w:spacing w:val="-2"/>
                <w:rtl/>
              </w:rPr>
              <w:t xml:space="preserve"> </w:t>
            </w:r>
            <w:r w:rsidRPr="00D457F0">
              <w:rPr>
                <w:spacing w:val="-6"/>
                <w:rtl/>
              </w:rPr>
              <w:t>انتصاف مناسبة لأصحاب الشكوى، بما في ذلك التعويض المنصف ومعرفة</w:t>
            </w:r>
            <w:r w:rsidRPr="00445C02">
              <w:rPr>
                <w:spacing w:val="-2"/>
                <w:rtl/>
              </w:rPr>
              <w:t xml:space="preserve"> الحقيقة؛ (د) اتخاذ الخطوات اللازمة لتوفير ضمانات عدم التكرار؛ (ه)</w:t>
            </w:r>
            <w:r>
              <w:rPr>
                <w:rFonts w:hint="cs"/>
                <w:spacing w:val="-2"/>
                <w:rtl/>
              </w:rPr>
              <w:t> </w:t>
            </w:r>
            <w:r w:rsidRPr="00445C02">
              <w:rPr>
                <w:spacing w:val="-2"/>
                <w:rtl/>
              </w:rPr>
              <w:t>الإعلان عن القرار ونشر محتواه على نطاق واسع. ودعت اللجنة الدولة الطرف إلى إبلاغها، في غضون 90 يوماً من تاريخ إحالة هذا القرار، بالخطوات التي اتخذتها استجابةً للملاحظات الواردة في</w:t>
            </w:r>
            <w:r>
              <w:rPr>
                <w:rFonts w:hint="cs"/>
                <w:spacing w:val="-2"/>
                <w:rtl/>
              </w:rPr>
              <w:t> </w:t>
            </w:r>
            <w:r w:rsidRPr="00445C02">
              <w:rPr>
                <w:spacing w:val="-2"/>
                <w:rtl/>
              </w:rPr>
              <w:t>القرار.</w:t>
            </w:r>
          </w:p>
        </w:tc>
      </w:tr>
    </w:tbl>
    <w:p w:rsidR="000A5CDD" w:rsidRDefault="000A5CDD" w:rsidP="000A5CDD">
      <w:pPr>
        <w:pStyle w:val="SingleTxtGA"/>
        <w:spacing w:before="240"/>
        <w:rPr>
          <w:rtl/>
        </w:rPr>
      </w:pPr>
      <w:r>
        <w:rPr>
          <w:rtl/>
        </w:rPr>
        <w:t>٢٢-</w:t>
      </w:r>
      <w:r>
        <w:rPr>
          <w:rtl/>
        </w:rPr>
        <w:tab/>
        <w:t xml:space="preserve">في ٢٧ تموز/يوليه ٢٠١٩، قدم محامي أصحاب الشكوى المعلومات التالية. أفاد بأن أقارب الضحية تعرضوا للمضايقة من جانب الدولة الطرف. فقد توجَّه أفراد من الشرطة إلى منازلهم واستدعوهم للإدلاء بشهاداتهم في المحكمة في سانتا في، التي تبعد ٤٠٠ </w:t>
      </w:r>
      <w:r>
        <w:rPr>
          <w:rtl/>
        </w:rPr>
        <w:lastRenderedPageBreak/>
        <w:t xml:space="preserve">كيلومتر. ولم يبلَّغ </w:t>
      </w:r>
      <w:r w:rsidRPr="00585EB7">
        <w:rPr>
          <w:spacing w:val="-4"/>
          <w:rtl/>
        </w:rPr>
        <w:t>المحامي بقرار الاستدعاء. وفي الوقت نفسه، لم تُحرِز المدعية العامة تقدماً في التحقيق، مما يضاعف الإحساس بالكرب الناجم عن سنوات طويلة من الإفلات من العقاب. وفي هذا الصدد،</w:t>
      </w:r>
      <w:r>
        <w:rPr>
          <w:rtl/>
        </w:rPr>
        <w:t xml:space="preserve"> أشار المحامي إلى أن بإمكان المدعية العامة السفر بنفسها إلى قرطبة للاستماع إلى الإفادات إذا كان </w:t>
      </w:r>
      <w:r w:rsidRPr="00585EB7">
        <w:rPr>
          <w:spacing w:val="-4"/>
          <w:rtl/>
        </w:rPr>
        <w:t>الإدلاء بشهادات أمراً مطلوباً. وثمة طريقة أخرى متاحة للحصول على إفادات، وذلك عن طريق</w:t>
      </w:r>
      <w:r>
        <w:rPr>
          <w:rtl/>
        </w:rPr>
        <w:t xml:space="preserve"> </w:t>
      </w:r>
      <w:r w:rsidRPr="00585EB7">
        <w:rPr>
          <w:spacing w:val="-4"/>
          <w:rtl/>
        </w:rPr>
        <w:t>تقديم المساعدة القضائية، أو تذاكر النقل العام وأموال الإقامة إلى أصحاب الشكوى كخيار أخير.</w:t>
      </w:r>
      <w:r>
        <w:rPr>
          <w:rtl/>
        </w:rPr>
        <w:t xml:space="preserve"> وقُدمت هذه المقترحات لأن الشقيقتين لا يمكنهما تحمل تكلفة الرحلة، ولأن أي مساهمة يمكن لهما تقديمها إلى التحقيق ستكون غير ذات شأن. وقرر المحامي أخيراً أنه ينبغي لأقارب الضحية عدم السفر ورأى أن إفاداتهم كشهود يمكن تقديمها في قرطبة. وكرر التأكيد أن الدولة الطرف </w:t>
      </w:r>
      <w:r>
        <w:rPr>
          <w:rtl/>
        </w:rPr>
        <w:lastRenderedPageBreak/>
        <w:t>لم</w:t>
      </w:r>
      <w:r>
        <w:rPr>
          <w:rFonts w:hint="cs"/>
          <w:rtl/>
        </w:rPr>
        <w:t> </w:t>
      </w:r>
      <w:r>
        <w:rPr>
          <w:rtl/>
        </w:rPr>
        <w:t>تمتثل لأي من التوصيات المقدمة: فالتحقيق لم يُحرز تقدماً، ولم يجرِ الإعلان عن القرار، ولم</w:t>
      </w:r>
      <w:r>
        <w:rPr>
          <w:rFonts w:hint="cs"/>
          <w:rtl/>
        </w:rPr>
        <w:t> </w:t>
      </w:r>
      <w:r>
        <w:rPr>
          <w:rtl/>
        </w:rPr>
        <w:t xml:space="preserve">يحصل أقارب الضحية على تعويض. </w:t>
      </w:r>
    </w:p>
    <w:p w:rsidR="000A5CDD" w:rsidRDefault="000A5CDD" w:rsidP="000A5CDD">
      <w:pPr>
        <w:pStyle w:val="SingleTxtGA"/>
        <w:rPr>
          <w:rtl/>
        </w:rPr>
      </w:pPr>
      <w:r>
        <w:rPr>
          <w:rtl/>
        </w:rPr>
        <w:t>٢٣-</w:t>
      </w:r>
      <w:r w:rsidRPr="00585EB7">
        <w:rPr>
          <w:spacing w:val="-6"/>
          <w:rtl/>
        </w:rPr>
        <w:tab/>
        <w:t>في ٦ آب/أغسطس ٢٠١٩، أُحيلت تعليقات المحامي إلى الدولة الطرف لإبداء ملاحظات</w:t>
      </w:r>
      <w:r w:rsidRPr="00585EB7">
        <w:rPr>
          <w:spacing w:val="-4"/>
          <w:rtl/>
        </w:rPr>
        <w:t xml:space="preserve"> </w:t>
      </w:r>
      <w:r w:rsidRPr="00585EB7">
        <w:rPr>
          <w:spacing w:val="-6"/>
          <w:rtl/>
        </w:rPr>
        <w:t>بشأنها، ومن المقرر تلقي الملاحظات بحلول 6 تشرين الأول/أكتوبر ٢٠١٩ لكي تنفِّذ الدولة الطرف</w:t>
      </w:r>
      <w:r>
        <w:rPr>
          <w:rtl/>
        </w:rPr>
        <w:t xml:space="preserve"> قرار اللجنة. </w:t>
      </w:r>
    </w:p>
    <w:p w:rsidR="000A5CDD" w:rsidRDefault="000A5CDD" w:rsidP="000A5CDD">
      <w:pPr>
        <w:pStyle w:val="SingleTxtGA"/>
        <w:rPr>
          <w:rtl/>
        </w:rPr>
      </w:pPr>
      <w:r>
        <w:rPr>
          <w:rtl/>
        </w:rPr>
        <w:t>٢٤-</w:t>
      </w:r>
      <w:r>
        <w:rPr>
          <w:rtl/>
        </w:rPr>
        <w:tab/>
        <w:t>وأظهرت التعليقات في إطار المتابعة عدم تنفيذ القرار. وقررت اللجنة أن تُبقي حوار المتابعة جارياً، وأن تنظر في إمكانية اتخاذ تدابير إضافية على ضوء ملاحظات الدولة الطرف.</w:t>
      </w:r>
    </w:p>
    <w:p w:rsidR="000A5CDD" w:rsidRDefault="000A5CDD" w:rsidP="000A5CDD">
      <w:pPr>
        <w:pStyle w:val="H1GA"/>
        <w:rPr>
          <w:rtl/>
        </w:rPr>
      </w:pPr>
      <w:r>
        <w:rPr>
          <w:rtl/>
        </w:rPr>
        <w:tab/>
        <w:t>حاء-</w:t>
      </w:r>
      <w:r>
        <w:rPr>
          <w:rtl/>
        </w:rPr>
        <w:tab/>
        <w:t>البلاغ رقم 811/2017</w:t>
      </w:r>
      <w:r>
        <w:rPr>
          <w:vertAlign w:val="superscript"/>
          <w:rtl/>
        </w:rPr>
        <w:t>(</w:t>
      </w:r>
      <w:r>
        <w:rPr>
          <w:rStyle w:val="FootnoteReference"/>
          <w:rtl/>
        </w:rPr>
        <w:footnoteReference w:id="9"/>
      </w:r>
      <w:r>
        <w:rPr>
          <w:vertAlign w:val="superscript"/>
          <w:rtl/>
        </w:rPr>
        <w:t>)</w:t>
      </w:r>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5"/>
        <w:gridCol w:w="5385"/>
      </w:tblGrid>
      <w:tr w:rsidR="000A5CDD" w:rsidRPr="00445C02" w:rsidTr="005C11AE">
        <w:trPr>
          <w:trHeight w:val="330"/>
          <w:tblHeader/>
        </w:trPr>
        <w:tc>
          <w:tcPr>
            <w:tcW w:w="7370" w:type="dxa"/>
            <w:gridSpan w:val="2"/>
            <w:tcBorders>
              <w:top w:val="single" w:sz="4" w:space="0" w:color="auto"/>
              <w:bottom w:val="single" w:sz="12" w:space="0" w:color="auto"/>
            </w:tcBorders>
            <w:shd w:val="clear" w:color="auto" w:fill="auto"/>
            <w:vAlign w:val="bottom"/>
          </w:tcPr>
          <w:p w:rsidR="000A5CDD" w:rsidRPr="00445C02" w:rsidRDefault="000A5CDD" w:rsidP="005C11AE">
            <w:pPr>
              <w:spacing w:after="120" w:line="380" w:lineRule="exact"/>
              <w:ind w:left="57" w:right="113"/>
              <w:rPr>
                <w:i/>
                <w:iCs/>
              </w:rPr>
            </w:pPr>
            <w:r w:rsidRPr="00445C02">
              <w:rPr>
                <w:i/>
                <w:iCs/>
                <w:rtl/>
              </w:rPr>
              <w:t>م. ز. ضد سويسرا</w:t>
            </w:r>
          </w:p>
        </w:tc>
      </w:tr>
      <w:tr w:rsidR="000A5CDD" w:rsidRPr="00445C02" w:rsidTr="005C11AE">
        <w:trPr>
          <w:trHeight w:hRule="exact" w:val="103"/>
        </w:trPr>
        <w:tc>
          <w:tcPr>
            <w:tcW w:w="7370" w:type="dxa"/>
            <w:gridSpan w:val="2"/>
            <w:tcBorders>
              <w:top w:val="single" w:sz="12" w:space="0" w:color="auto"/>
            </w:tcBorders>
            <w:shd w:val="clear" w:color="auto" w:fill="auto"/>
          </w:tcPr>
          <w:p w:rsidR="000A5CDD" w:rsidRPr="00445C02" w:rsidRDefault="000A5CDD" w:rsidP="005C11AE">
            <w:pPr>
              <w:spacing w:after="120" w:line="380" w:lineRule="exact"/>
              <w:ind w:right="113"/>
            </w:pPr>
          </w:p>
        </w:tc>
      </w:tr>
      <w:tr w:rsidR="000A5CDD" w:rsidRPr="00445C02" w:rsidTr="005C11AE">
        <w:trPr>
          <w:trHeight w:val="367"/>
        </w:trPr>
        <w:tc>
          <w:tcPr>
            <w:tcW w:w="1985" w:type="dxa"/>
            <w:shd w:val="clear" w:color="auto" w:fill="auto"/>
          </w:tcPr>
          <w:p w:rsidR="000A5CDD" w:rsidRPr="00445C02" w:rsidRDefault="000A5CDD" w:rsidP="005C11AE">
            <w:pPr>
              <w:spacing w:after="120" w:line="380" w:lineRule="exact"/>
              <w:ind w:right="113"/>
            </w:pPr>
            <w:r w:rsidRPr="00445C02">
              <w:rPr>
                <w:rtl/>
              </w:rPr>
              <w:t>تاريخ اعتماد القرار:</w:t>
            </w:r>
          </w:p>
        </w:tc>
        <w:tc>
          <w:tcPr>
            <w:tcW w:w="5385" w:type="dxa"/>
            <w:shd w:val="clear" w:color="auto" w:fill="auto"/>
          </w:tcPr>
          <w:p w:rsidR="000A5CDD" w:rsidRPr="00445C02" w:rsidRDefault="000A5CDD" w:rsidP="005C11AE">
            <w:pPr>
              <w:spacing w:after="120" w:line="380" w:lineRule="exact"/>
              <w:ind w:left="-3" w:right="113" w:firstLine="3"/>
            </w:pPr>
            <w:r w:rsidRPr="00445C02">
              <w:rPr>
                <w:rtl/>
              </w:rPr>
              <w:t>٧ كانون الأول/ديسمبر ٢٠١٨</w:t>
            </w:r>
          </w:p>
        </w:tc>
      </w:tr>
      <w:tr w:rsidR="000A5CDD" w:rsidRPr="00445C02" w:rsidTr="005C11AE">
        <w:trPr>
          <w:trHeight w:val="367"/>
        </w:trPr>
        <w:tc>
          <w:tcPr>
            <w:tcW w:w="1985" w:type="dxa"/>
            <w:tcBorders>
              <w:bottom w:val="nil"/>
            </w:tcBorders>
            <w:shd w:val="clear" w:color="auto" w:fill="auto"/>
          </w:tcPr>
          <w:p w:rsidR="000A5CDD" w:rsidRPr="00445C02" w:rsidRDefault="000A5CDD" w:rsidP="005C11AE">
            <w:pPr>
              <w:spacing w:after="120" w:line="380" w:lineRule="exact"/>
              <w:ind w:right="113"/>
            </w:pPr>
            <w:r w:rsidRPr="00445C02">
              <w:rPr>
                <w:rtl/>
              </w:rPr>
              <w:lastRenderedPageBreak/>
              <w:t>المواد المنتهَكة:</w:t>
            </w:r>
          </w:p>
        </w:tc>
        <w:tc>
          <w:tcPr>
            <w:tcW w:w="5385" w:type="dxa"/>
            <w:tcBorders>
              <w:bottom w:val="nil"/>
            </w:tcBorders>
            <w:shd w:val="clear" w:color="auto" w:fill="auto"/>
          </w:tcPr>
          <w:p w:rsidR="000A5CDD" w:rsidRPr="00445C02" w:rsidRDefault="000A5CDD" w:rsidP="005C11AE">
            <w:pPr>
              <w:spacing w:after="120" w:line="380" w:lineRule="exact"/>
              <w:ind w:right="113"/>
            </w:pPr>
            <w:r w:rsidRPr="00445C02">
              <w:rPr>
                <w:rtl/>
              </w:rPr>
              <w:t>المادة 3</w:t>
            </w:r>
          </w:p>
        </w:tc>
      </w:tr>
      <w:tr w:rsidR="000A5CDD" w:rsidRPr="00445C02" w:rsidTr="005C11AE">
        <w:trPr>
          <w:trHeight w:val="2298"/>
        </w:trPr>
        <w:tc>
          <w:tcPr>
            <w:tcW w:w="1985" w:type="dxa"/>
            <w:tcBorders>
              <w:top w:val="nil"/>
              <w:bottom w:val="single" w:sz="12" w:space="0" w:color="auto"/>
            </w:tcBorders>
            <w:shd w:val="clear" w:color="auto" w:fill="auto"/>
          </w:tcPr>
          <w:p w:rsidR="000A5CDD" w:rsidRPr="00445C02" w:rsidRDefault="000A5CDD" w:rsidP="005C11AE">
            <w:pPr>
              <w:spacing w:after="120" w:line="380" w:lineRule="exact"/>
              <w:ind w:right="113"/>
            </w:pPr>
            <w:r w:rsidRPr="00445C02">
              <w:rPr>
                <w:rtl/>
              </w:rPr>
              <w:t>الانتصاف:</w:t>
            </w:r>
          </w:p>
        </w:tc>
        <w:tc>
          <w:tcPr>
            <w:tcW w:w="5385" w:type="dxa"/>
            <w:tcBorders>
              <w:top w:val="nil"/>
              <w:bottom w:val="single" w:sz="12" w:space="0" w:color="auto"/>
            </w:tcBorders>
            <w:shd w:val="clear" w:color="auto" w:fill="auto"/>
          </w:tcPr>
          <w:p w:rsidR="000A5CDD" w:rsidRPr="00445C02" w:rsidRDefault="000A5CDD" w:rsidP="005C11AE">
            <w:pPr>
              <w:spacing w:after="120" w:line="380" w:lineRule="exact"/>
              <w:ind w:right="113"/>
              <w:rPr>
                <w:spacing w:val="-2"/>
              </w:rPr>
            </w:pPr>
            <w:r w:rsidRPr="00445C02">
              <w:rPr>
                <w:spacing w:val="-2"/>
                <w:rtl/>
              </w:rPr>
              <w:t xml:space="preserve">استنتجت اللجنة أن إبعاد صاحب الشكوى إلى إريتريا يشكل خرقاً </w:t>
            </w:r>
            <w:r w:rsidRPr="00585EB7">
              <w:rPr>
                <w:spacing w:val="-4"/>
                <w:rtl/>
              </w:rPr>
              <w:t>للمادة 3 من الاتفاقية. وبعدما خلصت اللجنة إلى وجود انتهاك للمادة 3</w:t>
            </w:r>
            <w:r w:rsidRPr="00445C02">
              <w:rPr>
                <w:spacing w:val="-2"/>
                <w:rtl/>
              </w:rPr>
              <w:t xml:space="preserve"> </w:t>
            </w:r>
            <w:r w:rsidRPr="00585EB7">
              <w:rPr>
                <w:spacing w:val="-4"/>
                <w:rtl/>
              </w:rPr>
              <w:t>في حال إعادة صاحب الشكوى، رأت أن ليس من الضروري النظر في الادعاء</w:t>
            </w:r>
            <w:r w:rsidRPr="00445C02">
              <w:rPr>
                <w:spacing w:val="-2"/>
                <w:rtl/>
              </w:rPr>
              <w:t xml:space="preserve"> في إطار المادة 16 من الاتفاقية. ورأت اللجنة أن الدولة الطرف ملزمة بموجب المادة 3 من الاتفاقية بالنظر في الطعن المقدم من صاحب الشكوى نظراً لالتزاماتها بموجب الاتفاقية وبموجب هذه الملاحظات. </w:t>
            </w:r>
            <w:r w:rsidRPr="00585EB7">
              <w:rPr>
                <w:spacing w:val="-4"/>
                <w:rtl/>
              </w:rPr>
              <w:t>ويُطلب إلى الدولة الطرف أيضاً الامتناع عن طرد صاحب الشكوى أثناء</w:t>
            </w:r>
            <w:r w:rsidRPr="00445C02">
              <w:rPr>
                <w:spacing w:val="-2"/>
                <w:rtl/>
              </w:rPr>
              <w:t xml:space="preserve"> إعادة النظر في طلب اللجوء الذي قدمه. ودعت اللجنة الدولة الطرف إلى إبلاغها، في غضون 90 يوماً من تاريخ إحالة هذا القرار، بالخطوات التي اتخذتها استجابةً للملاحظات الواردة في القرار.</w:t>
            </w:r>
          </w:p>
        </w:tc>
      </w:tr>
    </w:tbl>
    <w:p w:rsidR="000A5CDD" w:rsidRDefault="000A5CDD" w:rsidP="000A5CDD">
      <w:pPr>
        <w:pStyle w:val="SingleTxtGA"/>
        <w:spacing w:before="240"/>
        <w:rPr>
          <w:rtl/>
        </w:rPr>
      </w:pPr>
      <w:r>
        <w:rPr>
          <w:rtl/>
        </w:rPr>
        <w:t>٢٥-</w:t>
      </w:r>
      <w:r>
        <w:rPr>
          <w:rtl/>
        </w:rPr>
        <w:tab/>
      </w:r>
      <w:r w:rsidRPr="00585EB7">
        <w:rPr>
          <w:spacing w:val="-4"/>
          <w:rtl/>
        </w:rPr>
        <w:t>بالإضافة إلى المعلومات المؤرخة ١٥ آذار/مارس ٢٠١٩، قدمت الدولة الطرف المعلومات التالية. أفادت بأن وزارة الدولة لشؤون الهجرة قررت، بعد عقد جلسة شفوية لصاحب الشكوى في</w:t>
      </w:r>
      <w:r w:rsidR="00F94631">
        <w:rPr>
          <w:rFonts w:hint="cs"/>
          <w:spacing w:val="-4"/>
          <w:rtl/>
        </w:rPr>
        <w:t> </w:t>
      </w:r>
      <w:r w:rsidRPr="00585EB7">
        <w:rPr>
          <w:spacing w:val="-4"/>
          <w:rtl/>
        </w:rPr>
        <w:t xml:space="preserve">٥ نيسان/أبريل ٢٠١٩، رفض طلب اللجوء المقدم من صاحب الشكوى لأن صاحب الشكوى </w:t>
      </w:r>
      <w:r w:rsidRPr="00F94631">
        <w:rPr>
          <w:spacing w:val="-6"/>
          <w:rtl/>
        </w:rPr>
        <w:t>لم يثبت أن ترحيله سيؤدي إلى تعرضه شخصياً لخطر الاضطهاد. ونظراً إلى أن صاحب الشكوى تزوج</w:t>
      </w:r>
      <w:r w:rsidRPr="00585EB7">
        <w:rPr>
          <w:spacing w:val="-4"/>
          <w:rtl/>
        </w:rPr>
        <w:t xml:space="preserve"> من مواطنة سويسرية في ٢٧ شباط/فبراير ٢٠١٩، لم تُصدِر وزارة الدولة لشؤون الهجرة أمر ترحيل له إلا </w:t>
      </w:r>
      <w:r w:rsidRPr="00585EB7">
        <w:rPr>
          <w:spacing w:val="-4"/>
          <w:rtl/>
        </w:rPr>
        <w:lastRenderedPageBreak/>
        <w:t xml:space="preserve">أنها طلبت إلى سلطات الكانتون منح صاحب الشكوى </w:t>
      </w:r>
      <w:r>
        <w:rPr>
          <w:rtl/>
        </w:rPr>
        <w:t xml:space="preserve">رخصة إقامة مؤقتة لفترة أولية مدتها </w:t>
      </w:r>
      <w:r w:rsidRPr="00585EB7">
        <w:rPr>
          <w:spacing w:val="-4"/>
          <w:rtl/>
        </w:rPr>
        <w:t xml:space="preserve">سنة اعتباراً من تاريخ الزواج. </w:t>
      </w:r>
      <w:dir w:val="rtl">
        <w:r w:rsidRPr="00585EB7">
          <w:rPr>
            <w:rFonts w:ascii="Traditional Arabic" w:hAnsi="Traditional Arabic" w:hint="cs"/>
            <w:spacing w:val="-4"/>
            <w:rtl/>
          </w:rPr>
          <w:t>ولذلك</w:t>
        </w:r>
        <w:r w:rsidRPr="00585EB7">
          <w:rPr>
            <w:spacing w:val="-4"/>
            <w:rtl/>
          </w:rPr>
          <w:t xml:space="preserve"> </w:t>
        </w:r>
        <w:r w:rsidRPr="00585EB7">
          <w:rPr>
            <w:rFonts w:hint="cs"/>
            <w:spacing w:val="-4"/>
            <w:rtl/>
          </w:rPr>
          <w:t>تعتبر</w:t>
        </w:r>
        <w:r w:rsidRPr="00585EB7">
          <w:rPr>
            <w:spacing w:val="-4"/>
            <w:rtl/>
          </w:rPr>
          <w:t xml:space="preserve"> </w:t>
        </w:r>
        <w:r w:rsidRPr="00585EB7">
          <w:rPr>
            <w:rFonts w:hint="cs"/>
            <w:spacing w:val="-4"/>
            <w:rtl/>
          </w:rPr>
          <w:t>الدولة</w:t>
        </w:r>
        <w:r w:rsidRPr="00585EB7">
          <w:rPr>
            <w:spacing w:val="-4"/>
            <w:rtl/>
          </w:rPr>
          <w:t xml:space="preserve"> </w:t>
        </w:r>
        <w:r w:rsidRPr="00585EB7">
          <w:rPr>
            <w:rFonts w:hint="cs"/>
            <w:spacing w:val="-4"/>
            <w:rtl/>
          </w:rPr>
          <w:t>الطرف</w:t>
        </w:r>
        <w:r w:rsidRPr="00585EB7">
          <w:rPr>
            <w:spacing w:val="-4"/>
            <w:rtl/>
          </w:rPr>
          <w:t xml:space="preserve"> </w:t>
        </w:r>
        <w:r w:rsidRPr="00585EB7">
          <w:rPr>
            <w:rFonts w:hint="cs"/>
            <w:spacing w:val="-4"/>
            <w:rtl/>
          </w:rPr>
          <w:t>أنها</w:t>
        </w:r>
        <w:r w:rsidRPr="00585EB7">
          <w:rPr>
            <w:spacing w:val="-4"/>
            <w:rtl/>
          </w:rPr>
          <w:t xml:space="preserve"> </w:t>
        </w:r>
        <w:r w:rsidRPr="00585EB7">
          <w:rPr>
            <w:rFonts w:hint="cs"/>
            <w:spacing w:val="-4"/>
            <w:rtl/>
          </w:rPr>
          <w:t>نفّذت</w:t>
        </w:r>
        <w:r w:rsidRPr="00585EB7">
          <w:rPr>
            <w:spacing w:val="-4"/>
            <w:rtl/>
          </w:rPr>
          <w:t xml:space="preserve"> </w:t>
        </w:r>
        <w:r w:rsidRPr="00585EB7">
          <w:rPr>
            <w:rFonts w:hint="cs"/>
            <w:spacing w:val="-4"/>
            <w:rtl/>
          </w:rPr>
          <w:t>قرار</w:t>
        </w:r>
        <w:r w:rsidRPr="00585EB7">
          <w:rPr>
            <w:spacing w:val="-4"/>
            <w:rtl/>
          </w:rPr>
          <w:t xml:space="preserve"> </w:t>
        </w:r>
        <w:r w:rsidRPr="00585EB7">
          <w:rPr>
            <w:rFonts w:hint="cs"/>
            <w:spacing w:val="-4"/>
            <w:rtl/>
          </w:rPr>
          <w:t>اللجنة</w:t>
        </w:r>
        <w:r w:rsidRPr="00585EB7">
          <w:rPr>
            <w:spacing w:val="-4"/>
            <w:rtl/>
          </w:rPr>
          <w:t xml:space="preserve"> </w:t>
        </w:r>
        <w:r w:rsidRPr="00585EB7">
          <w:rPr>
            <w:rFonts w:hint="cs"/>
            <w:spacing w:val="-4"/>
            <w:rtl/>
          </w:rPr>
          <w:t>في</w:t>
        </w:r>
        <w:r w:rsidRPr="00585EB7">
          <w:rPr>
            <w:spacing w:val="-4"/>
            <w:rtl/>
          </w:rPr>
          <w:t xml:space="preserve"> </w:t>
        </w:r>
        <w:r w:rsidRPr="00585EB7">
          <w:rPr>
            <w:rFonts w:hint="cs"/>
            <w:spacing w:val="-4"/>
            <w:rtl/>
          </w:rPr>
          <w:t>هذه</w:t>
        </w:r>
        <w:r w:rsidRPr="00585EB7">
          <w:rPr>
            <w:spacing w:val="-4"/>
            <w:rtl/>
          </w:rPr>
          <w:t xml:space="preserve"> </w:t>
        </w:r>
        <w:r w:rsidRPr="00585EB7">
          <w:rPr>
            <w:rFonts w:hint="cs"/>
            <w:spacing w:val="-4"/>
            <w:rtl/>
          </w:rPr>
          <w:t>القضية</w:t>
        </w:r>
        <w:r w:rsidRPr="00585EB7">
          <w:rPr>
            <w:spacing w:val="-4"/>
            <w:rtl/>
          </w:rPr>
          <w:t>.</w:t>
        </w:r>
        <w:r w:rsidRPr="00585EB7">
          <w:rPr>
            <w:rFonts w:ascii="Arial" w:hAnsi="Arial" w:cs="Arial" w:hint="cs"/>
            <w:spacing w:val="-4"/>
            <w:rtl/>
          </w:rPr>
          <w:t>‬</w:t>
        </w:r>
        <w:r w:rsidRPr="00585EB7">
          <w:rPr>
            <w:spacing w:val="-4"/>
            <w:rtl/>
          </w:rPr>
          <w:t xml:space="preserve"> </w:t>
        </w:r>
        <w:r w:rsidRPr="00585EB7">
          <w:rPr>
            <w:rFonts w:ascii="Arial" w:hAnsi="Arial" w:cs="Arial" w:hint="cs"/>
            <w:spacing w:val="-4"/>
            <w:rtl/>
          </w:rPr>
          <w:t>‬</w:t>
        </w:r>
        <w:r w:rsidRPr="00585EB7">
          <w:rPr>
            <w:rFonts w:ascii="Arial" w:hAnsi="Arial" w:cs="Arial" w:hint="cs"/>
            <w:spacing w:val="-4"/>
            <w:rtl/>
          </w:rPr>
          <w:t>‬</w:t>
        </w:r>
        <w:r>
          <w:t>‬</w:t>
        </w:r>
        <w:r w:rsidR="00B22EB1">
          <w:t>‬</w:t>
        </w:r>
      </w:dir>
    </w:p>
    <w:p w:rsidR="000A5CDD" w:rsidRDefault="000A5CDD" w:rsidP="000A5CDD">
      <w:pPr>
        <w:pStyle w:val="SingleTxtGA"/>
        <w:rPr>
          <w:rtl/>
        </w:rPr>
      </w:pPr>
      <w:r>
        <w:rPr>
          <w:rtl/>
        </w:rPr>
        <w:t>٢٦-</w:t>
      </w:r>
      <w:r>
        <w:rPr>
          <w:rtl/>
        </w:rPr>
        <w:tab/>
        <w:t>وفي ٥ آب/أغسطس ٢٠١٩، أُحيلت ملاحظات الدولة الطرف في إطار المتابعة إلى المحامي للتعليق عليها بحلول 5 تشرين الأول/أكتوبر 2019.</w:t>
      </w:r>
    </w:p>
    <w:p w:rsidR="000A5CDD" w:rsidRDefault="000A5CDD" w:rsidP="000A5CDD">
      <w:pPr>
        <w:pStyle w:val="SingleTxtGA"/>
        <w:rPr>
          <w:rtl/>
        </w:rPr>
      </w:pPr>
      <w:r>
        <w:rPr>
          <w:rtl/>
        </w:rPr>
        <w:t>٢٧-</w:t>
      </w:r>
      <w:r>
        <w:rPr>
          <w:rtl/>
        </w:rPr>
        <w:tab/>
        <w:t>وأظهرت الملاحظات والتعليقات في إطار المتابعة تنفيذاً جزئياً للقرار. وقررت اللجنة أن تُبقي حوار المتابعة جارياً، وأن تنظر في إمكانية اتخاذ تدابير إضافية على ضوء التعليقات التي يقدمها المحامي.</w:t>
      </w:r>
    </w:p>
    <w:p w:rsidR="00761849" w:rsidRPr="000A5CDD" w:rsidRDefault="000A5CDD" w:rsidP="000A5CDD">
      <w:pPr>
        <w:spacing w:before="120"/>
        <w:jc w:val="center"/>
        <w:rPr>
          <w:u w:val="single"/>
          <w:rtl/>
        </w:rPr>
      </w:pPr>
      <w:r>
        <w:rPr>
          <w:u w:val="single"/>
          <w:rtl/>
        </w:rPr>
        <w:tab/>
      </w:r>
      <w:r>
        <w:rPr>
          <w:u w:val="single"/>
          <w:rtl/>
        </w:rPr>
        <w:tab/>
      </w:r>
      <w:r>
        <w:rPr>
          <w:u w:val="single"/>
          <w:rtl/>
        </w:rPr>
        <w:tab/>
      </w:r>
    </w:p>
    <w:sectPr w:rsidR="00761849" w:rsidRPr="000A5CDD" w:rsidSect="00A76AB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2E0" w:rsidRPr="002901D9" w:rsidRDefault="000172E0" w:rsidP="002901D9">
      <w:pPr>
        <w:spacing w:after="60" w:line="240" w:lineRule="auto"/>
        <w:rPr>
          <w:i/>
          <w:iCs/>
        </w:rPr>
      </w:pPr>
      <w:r>
        <w:rPr>
          <w:rFonts w:hint="cs"/>
          <w:i/>
          <w:iCs/>
          <w:rtl/>
        </w:rPr>
        <w:t>الحواشي</w:t>
      </w:r>
    </w:p>
  </w:endnote>
  <w:endnote w:type="continuationSeparator" w:id="0">
    <w:p w:rsidR="000172E0" w:rsidRDefault="000172E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charset w:val="00"/>
    <w:family w:val="roman"/>
    <w:pitch w:val="variable"/>
    <w:sig w:usb0="00000000"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AB2" w:rsidRPr="000A5CDD" w:rsidRDefault="000A5CDD" w:rsidP="000A5CDD">
    <w:pPr>
      <w:pStyle w:val="Footer"/>
      <w:tabs>
        <w:tab w:val="right" w:pos="9598"/>
      </w:tabs>
      <w:rPr>
        <w:sz w:val="17"/>
      </w:rPr>
    </w:pPr>
    <w:r>
      <w:rPr>
        <w:sz w:val="17"/>
      </w:rPr>
      <w:t>GE.19-16611</w:t>
    </w:r>
    <w:r>
      <w:rPr>
        <w:sz w:val="17"/>
      </w:rPr>
      <w:tab/>
    </w:r>
    <w:r w:rsidRPr="000A5CDD">
      <w:rPr>
        <w:b/>
        <w:sz w:val="18"/>
      </w:rPr>
      <w:fldChar w:fldCharType="begin"/>
    </w:r>
    <w:r w:rsidRPr="000A5CDD">
      <w:rPr>
        <w:b/>
        <w:sz w:val="18"/>
      </w:rPr>
      <w:instrText xml:space="preserve"> PAGE  \* MERGEFORMAT </w:instrText>
    </w:r>
    <w:r w:rsidRPr="000A5CDD">
      <w:rPr>
        <w:b/>
        <w:sz w:val="18"/>
      </w:rPr>
      <w:fldChar w:fldCharType="separate"/>
    </w:r>
    <w:r w:rsidR="00B22EB1">
      <w:rPr>
        <w:b/>
        <w:noProof/>
        <w:sz w:val="18"/>
      </w:rPr>
      <w:t>2</w:t>
    </w:r>
    <w:r w:rsidRPr="000A5CD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0A5CDD" w:rsidRDefault="000A5CDD" w:rsidP="006959B0">
    <w:pPr>
      <w:pStyle w:val="Footer"/>
      <w:tabs>
        <w:tab w:val="right" w:pos="9599"/>
      </w:tabs>
      <w:jc w:val="left"/>
      <w:rPr>
        <w:b/>
        <w:sz w:val="18"/>
        <w:lang w:val="en-US"/>
      </w:rPr>
    </w:pPr>
    <w:r w:rsidRPr="000A5CDD">
      <w:rPr>
        <w:b/>
        <w:sz w:val="18"/>
        <w:lang w:val="en-US"/>
      </w:rPr>
      <w:fldChar w:fldCharType="begin"/>
    </w:r>
    <w:r w:rsidRPr="000A5CDD">
      <w:rPr>
        <w:b/>
        <w:sz w:val="18"/>
        <w:lang w:val="en-US"/>
      </w:rPr>
      <w:instrText xml:space="preserve"> PAGE  \* MERGEFORMAT </w:instrText>
    </w:r>
    <w:r w:rsidRPr="000A5CDD">
      <w:rPr>
        <w:b/>
        <w:sz w:val="18"/>
        <w:lang w:val="en-US"/>
      </w:rPr>
      <w:fldChar w:fldCharType="separate"/>
    </w:r>
    <w:r w:rsidR="00B22EB1">
      <w:rPr>
        <w:b/>
        <w:noProof/>
        <w:sz w:val="18"/>
        <w:lang w:val="en-US"/>
      </w:rPr>
      <w:t>11</w:t>
    </w:r>
    <w:r w:rsidRPr="000A5CDD">
      <w:rPr>
        <w:b/>
        <w:sz w:val="18"/>
        <w:lang w:val="en-US"/>
      </w:rPr>
      <w:fldChar w:fldCharType="end"/>
    </w:r>
    <w:r>
      <w:rPr>
        <w:b/>
        <w:sz w:val="18"/>
        <w:lang w:val="en-US"/>
      </w:rPr>
      <w:tab/>
    </w:r>
    <w:r>
      <w:rPr>
        <w:sz w:val="17"/>
        <w:lang w:val="en-US"/>
      </w:rPr>
      <w:t>GE.19-16611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A8" w:rsidRDefault="00A76AB2" w:rsidP="005A3015">
    <w:pPr>
      <w:pStyle w:val="Footer"/>
      <w:spacing w:before="360"/>
      <w:jc w:val="right"/>
      <w:rPr>
        <w:sz w:val="20"/>
        <w:szCs w:val="20"/>
      </w:rPr>
    </w:pPr>
    <w:r>
      <w:rPr>
        <w:sz w:val="20"/>
        <w:szCs w:val="20"/>
      </w:rPr>
      <w:t>GE.19-16611</w:t>
    </w:r>
    <w:r w:rsidR="00A34EA8">
      <w:rPr>
        <w:noProof/>
        <w:lang w:eastAsia="en-GB"/>
      </w:rPr>
      <w:drawing>
        <wp:anchor distT="0" distB="0" distL="114300" distR="114300" simplePos="0" relativeHeight="251664384" behindDoc="1" locked="1" layoutInCell="0" allowOverlap="1" wp14:anchorId="7DE3C30D" wp14:editId="25BEBE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EA8" w:rsidRPr="007A0286">
      <w:rPr>
        <w:sz w:val="20"/>
        <w:szCs w:val="20"/>
      </w:rPr>
      <w:t>(A)</w:t>
    </w:r>
  </w:p>
  <w:p w:rsidR="00A76AB2" w:rsidRPr="00A76AB2" w:rsidRDefault="00A76AB2" w:rsidP="00A76AB2">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eastAsia="en-GB"/>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2E0" w:rsidRPr="004956DC" w:rsidRDefault="000172E0" w:rsidP="00761849">
      <w:pPr>
        <w:pStyle w:val="Footer"/>
        <w:bidi/>
        <w:spacing w:after="80" w:line="200" w:lineRule="exact"/>
        <w:ind w:left="680"/>
      </w:pPr>
      <w:r>
        <w:rPr>
          <w:rtl/>
        </w:rPr>
        <w:t>__________</w:t>
      </w:r>
    </w:p>
  </w:footnote>
  <w:footnote w:type="continuationSeparator" w:id="0">
    <w:p w:rsidR="000172E0" w:rsidRDefault="000172E0" w:rsidP="00656392">
      <w:pPr>
        <w:spacing w:line="240" w:lineRule="auto"/>
      </w:pPr>
      <w:r>
        <w:continuationSeparator/>
      </w:r>
    </w:p>
  </w:footnote>
  <w:footnote w:id="1">
    <w:p w:rsidR="000A5CDD" w:rsidRPr="00717390" w:rsidRDefault="000A5CDD" w:rsidP="000A5CDD">
      <w:pPr>
        <w:pStyle w:val="FootnoteText1"/>
      </w:pPr>
      <w:r>
        <w:rPr>
          <w:rtl/>
        </w:rPr>
        <w:t>*</w:t>
      </w:r>
      <w:r>
        <w:rPr>
          <w:rtl/>
        </w:rPr>
        <w:tab/>
      </w:r>
      <w:r w:rsidRPr="00717390">
        <w:rPr>
          <w:rtl/>
        </w:rPr>
        <w:t>اعتمدته اللجنة في دورتها السابعة والستين (22 تموز/يوليه - 9 آب/أغسطس 2019).</w:t>
      </w:r>
    </w:p>
  </w:footnote>
  <w:footnote w:id="2">
    <w:p w:rsidR="000A5CDD" w:rsidRPr="00717390" w:rsidRDefault="000A5CDD" w:rsidP="000A5CDD">
      <w:pPr>
        <w:pStyle w:val="FootnoteText1"/>
      </w:pPr>
      <w:r w:rsidRPr="00717390">
        <w:rPr>
          <w:rtl/>
        </w:rPr>
        <w:t>(</w:t>
      </w:r>
      <w:r w:rsidRPr="00717390">
        <w:rPr>
          <w:rStyle w:val="FootnoteReference"/>
          <w:vertAlign w:val="baseline"/>
        </w:rPr>
        <w:footnoteRef/>
      </w:r>
      <w:r>
        <w:rPr>
          <w:sz w:val="26"/>
          <w:rtl/>
        </w:rPr>
        <w:t>)</w:t>
      </w:r>
      <w:r>
        <w:rPr>
          <w:sz w:val="26"/>
          <w:rtl/>
        </w:rPr>
        <w:tab/>
      </w:r>
      <w:r w:rsidRPr="00717390">
        <w:rPr>
          <w:spacing w:val="-4"/>
          <w:rtl/>
        </w:rPr>
        <w:t>اعتمدت اللجنة تقرير المتابعة السابق بشأن القرارات المتعلقة بالبلاغات المقدمة في إطار المادة 22 من الاتفاقية،</w:t>
      </w:r>
      <w:r w:rsidRPr="00717390">
        <w:rPr>
          <w:rtl/>
        </w:rPr>
        <w:t xml:space="preserve"> بصيغته المعدلة، في دورتها السادسة والستين (</w:t>
      </w:r>
      <w:r w:rsidRPr="00717390">
        <w:t>CAT/C/66/3</w:t>
      </w:r>
      <w:r w:rsidRPr="00717390">
        <w:rPr>
          <w:rtl/>
        </w:rPr>
        <w:t xml:space="preserve">)، في 16 أيار/مايو 2019. </w:t>
      </w:r>
    </w:p>
  </w:footnote>
  <w:footnote w:id="3">
    <w:p w:rsidR="000A5CDD" w:rsidRPr="00445C02" w:rsidRDefault="000A5CDD" w:rsidP="000A5CDD">
      <w:pPr>
        <w:pStyle w:val="FootnoteText1"/>
      </w:pPr>
      <w:r w:rsidRPr="00445C02">
        <w:rPr>
          <w:rtl/>
        </w:rPr>
        <w:t>(</w:t>
      </w:r>
      <w:r w:rsidRPr="00445C02">
        <w:rPr>
          <w:rStyle w:val="FootnoteReference"/>
          <w:vertAlign w:val="baseline"/>
        </w:rPr>
        <w:footnoteRef/>
      </w:r>
      <w:r>
        <w:rPr>
          <w:sz w:val="26"/>
          <w:rtl/>
        </w:rPr>
        <w:t>)</w:t>
      </w:r>
      <w:r>
        <w:rPr>
          <w:sz w:val="26"/>
          <w:rtl/>
        </w:rPr>
        <w:tab/>
      </w:r>
      <w:r w:rsidRPr="00445C02">
        <w:rPr>
          <w:rtl/>
        </w:rPr>
        <w:t xml:space="preserve">المرجع نفسه، الفقرات 12 إلى 15. </w:t>
      </w:r>
    </w:p>
  </w:footnote>
  <w:footnote w:id="4">
    <w:p w:rsidR="000A5CDD" w:rsidRPr="00445C02" w:rsidRDefault="000A5CDD" w:rsidP="000A5CDD">
      <w:pPr>
        <w:pStyle w:val="FootnoteText1"/>
      </w:pPr>
      <w:r w:rsidRPr="00445C02">
        <w:rPr>
          <w:rtl/>
        </w:rPr>
        <w:t>(</w:t>
      </w:r>
      <w:r w:rsidRPr="00445C02">
        <w:rPr>
          <w:rStyle w:val="FootnoteReference"/>
          <w:vertAlign w:val="baseline"/>
        </w:rPr>
        <w:footnoteRef/>
      </w:r>
      <w:r>
        <w:rPr>
          <w:sz w:val="26"/>
          <w:rtl/>
        </w:rPr>
        <w:t>)</w:t>
      </w:r>
      <w:r>
        <w:rPr>
          <w:sz w:val="26"/>
          <w:rtl/>
        </w:rPr>
        <w:tab/>
      </w:r>
      <w:r w:rsidRPr="00445C02">
        <w:rPr>
          <w:rtl/>
        </w:rPr>
        <w:t xml:space="preserve">المرجع نفسه، الفقرات 18 إلى 23. </w:t>
      </w:r>
    </w:p>
  </w:footnote>
  <w:footnote w:id="5">
    <w:p w:rsidR="000A5CDD" w:rsidRPr="00445C02" w:rsidRDefault="000A5CDD" w:rsidP="000A5CDD">
      <w:pPr>
        <w:pStyle w:val="FootnoteText1"/>
      </w:pPr>
      <w:r w:rsidRPr="00445C02">
        <w:rPr>
          <w:rtl/>
        </w:rPr>
        <w:t>(</w:t>
      </w:r>
      <w:r w:rsidRPr="00445C02">
        <w:rPr>
          <w:rStyle w:val="FootnoteReference"/>
          <w:vertAlign w:val="baseline"/>
        </w:rPr>
        <w:footnoteRef/>
      </w:r>
      <w:r>
        <w:rPr>
          <w:sz w:val="26"/>
          <w:rtl/>
        </w:rPr>
        <w:t>)</w:t>
      </w:r>
      <w:r>
        <w:rPr>
          <w:sz w:val="26"/>
          <w:rtl/>
        </w:rPr>
        <w:tab/>
      </w:r>
      <w:r w:rsidRPr="00445C02">
        <w:rPr>
          <w:rtl/>
        </w:rPr>
        <w:t xml:space="preserve">المرجع نفسه، الفقرات </w:t>
      </w:r>
      <w:r>
        <w:rPr>
          <w:rFonts w:hint="cs"/>
          <w:rtl/>
        </w:rPr>
        <w:t>24</w:t>
      </w:r>
      <w:r w:rsidRPr="00445C02">
        <w:rPr>
          <w:rtl/>
        </w:rPr>
        <w:t xml:space="preserve"> إلى </w:t>
      </w:r>
      <w:r>
        <w:rPr>
          <w:rFonts w:hint="cs"/>
          <w:rtl/>
        </w:rPr>
        <w:t>26</w:t>
      </w:r>
      <w:r w:rsidRPr="00445C02">
        <w:rPr>
          <w:rtl/>
        </w:rPr>
        <w:t xml:space="preserve">. </w:t>
      </w:r>
    </w:p>
  </w:footnote>
  <w:footnote w:id="6">
    <w:p w:rsidR="000A5CDD" w:rsidRPr="00445C02" w:rsidRDefault="000A5CDD" w:rsidP="000A5CDD">
      <w:pPr>
        <w:pStyle w:val="FootnoteText1"/>
      </w:pPr>
      <w:r w:rsidRPr="00445C02">
        <w:rPr>
          <w:rtl/>
        </w:rPr>
        <w:t>(</w:t>
      </w:r>
      <w:r w:rsidRPr="00445C02">
        <w:rPr>
          <w:rStyle w:val="FootnoteReference"/>
          <w:vertAlign w:val="baseline"/>
        </w:rPr>
        <w:footnoteRef/>
      </w:r>
      <w:r>
        <w:rPr>
          <w:sz w:val="26"/>
          <w:rtl/>
        </w:rPr>
        <w:t>)</w:t>
      </w:r>
      <w:r>
        <w:rPr>
          <w:sz w:val="26"/>
          <w:rtl/>
        </w:rPr>
        <w:tab/>
      </w:r>
      <w:r w:rsidRPr="00445C02">
        <w:rPr>
          <w:rtl/>
        </w:rPr>
        <w:t xml:space="preserve">المرجع نفسه، الفقرات 27 إلى 29. </w:t>
      </w:r>
    </w:p>
  </w:footnote>
  <w:footnote w:id="7">
    <w:p w:rsidR="000A5CDD" w:rsidRPr="00445C02" w:rsidRDefault="000A5CDD" w:rsidP="000A5CDD">
      <w:pPr>
        <w:pStyle w:val="FootnoteText1"/>
      </w:pPr>
      <w:r w:rsidRPr="00445C02">
        <w:rPr>
          <w:rtl/>
        </w:rPr>
        <w:t>(</w:t>
      </w:r>
      <w:r w:rsidRPr="00445C02">
        <w:rPr>
          <w:rStyle w:val="FootnoteReference"/>
          <w:vertAlign w:val="baseline"/>
        </w:rPr>
        <w:footnoteRef/>
      </w:r>
      <w:r>
        <w:rPr>
          <w:sz w:val="26"/>
          <w:rtl/>
        </w:rPr>
        <w:t>)</w:t>
      </w:r>
      <w:r>
        <w:rPr>
          <w:sz w:val="26"/>
          <w:rtl/>
        </w:rPr>
        <w:tab/>
      </w:r>
      <w:r w:rsidRPr="00445C02">
        <w:rPr>
          <w:rtl/>
        </w:rPr>
        <w:t xml:space="preserve">المرجع نفسه، الفقرات 30 إلى 32. </w:t>
      </w:r>
    </w:p>
  </w:footnote>
  <w:footnote w:id="8">
    <w:p w:rsidR="000A5CDD" w:rsidRPr="00445C02" w:rsidRDefault="000A5CDD" w:rsidP="000A5CDD">
      <w:pPr>
        <w:pStyle w:val="FootnoteText1"/>
      </w:pPr>
      <w:r w:rsidRPr="00445C02">
        <w:rPr>
          <w:rtl/>
        </w:rPr>
        <w:t>(</w:t>
      </w:r>
      <w:r w:rsidRPr="00445C02">
        <w:rPr>
          <w:rStyle w:val="FootnoteReference"/>
          <w:vertAlign w:val="baseline"/>
        </w:rPr>
        <w:footnoteRef/>
      </w:r>
      <w:r>
        <w:rPr>
          <w:sz w:val="26"/>
          <w:rtl/>
        </w:rPr>
        <w:t>)</w:t>
      </w:r>
      <w:r>
        <w:rPr>
          <w:sz w:val="26"/>
          <w:rtl/>
        </w:rPr>
        <w:tab/>
      </w:r>
      <w:r w:rsidRPr="00445C02">
        <w:rPr>
          <w:rtl/>
        </w:rPr>
        <w:t xml:space="preserve">المرجع نفسه، الفقرات 33 إلى 35. </w:t>
      </w:r>
    </w:p>
  </w:footnote>
  <w:footnote w:id="9">
    <w:p w:rsidR="000A5CDD" w:rsidRPr="00445C02" w:rsidRDefault="000A5CDD" w:rsidP="000A5CDD">
      <w:pPr>
        <w:pStyle w:val="FootnoteText1"/>
      </w:pPr>
      <w:r w:rsidRPr="00445C02">
        <w:rPr>
          <w:rtl/>
        </w:rPr>
        <w:t>(</w:t>
      </w:r>
      <w:r w:rsidRPr="00445C02">
        <w:rPr>
          <w:rStyle w:val="FootnoteReference"/>
          <w:vertAlign w:val="baseline"/>
        </w:rPr>
        <w:footnoteRef/>
      </w:r>
      <w:r>
        <w:rPr>
          <w:sz w:val="26"/>
          <w:rtl/>
        </w:rPr>
        <w:t>)</w:t>
      </w:r>
      <w:r>
        <w:rPr>
          <w:sz w:val="26"/>
          <w:rtl/>
        </w:rPr>
        <w:tab/>
      </w:r>
      <w:r w:rsidRPr="00445C02">
        <w:rPr>
          <w:rtl/>
        </w:rPr>
        <w:t xml:space="preserve">المرجع نفسه، الفقرات 36 إلى 40.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AB2" w:rsidRPr="000A5CDD" w:rsidRDefault="000A5CDD" w:rsidP="000A5CDD">
    <w:pPr>
      <w:pStyle w:val="Header"/>
      <w:jc w:val="right"/>
    </w:pPr>
    <w:r w:rsidRPr="000A5CDD">
      <w:t>CAT/C/67/3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AB2" w:rsidRPr="000A5CDD" w:rsidRDefault="000A5CDD" w:rsidP="000A5CDD">
    <w:pPr>
      <w:pStyle w:val="Header"/>
      <w:jc w:val="left"/>
    </w:pPr>
    <w:r w:rsidRPr="000A5CDD">
      <w:t>CAT/C/67/3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680"/>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2E0"/>
    <w:rsid w:val="000076D5"/>
    <w:rsid w:val="000172E0"/>
    <w:rsid w:val="00043663"/>
    <w:rsid w:val="000505CF"/>
    <w:rsid w:val="000A2113"/>
    <w:rsid w:val="000A5CDD"/>
    <w:rsid w:val="000D701C"/>
    <w:rsid w:val="000E2A71"/>
    <w:rsid w:val="00160263"/>
    <w:rsid w:val="00167825"/>
    <w:rsid w:val="00181F96"/>
    <w:rsid w:val="001A1371"/>
    <w:rsid w:val="001B346A"/>
    <w:rsid w:val="001E1CAD"/>
    <w:rsid w:val="001E290D"/>
    <w:rsid w:val="002144FA"/>
    <w:rsid w:val="0023469A"/>
    <w:rsid w:val="00243C8A"/>
    <w:rsid w:val="00267A0E"/>
    <w:rsid w:val="002901D9"/>
    <w:rsid w:val="002976C2"/>
    <w:rsid w:val="003260FF"/>
    <w:rsid w:val="00343D95"/>
    <w:rsid w:val="00374341"/>
    <w:rsid w:val="00384DA7"/>
    <w:rsid w:val="003D1062"/>
    <w:rsid w:val="00420D7B"/>
    <w:rsid w:val="00450B21"/>
    <w:rsid w:val="00453B63"/>
    <w:rsid w:val="00455780"/>
    <w:rsid w:val="004956DC"/>
    <w:rsid w:val="004B0A1C"/>
    <w:rsid w:val="004D298E"/>
    <w:rsid w:val="0054472E"/>
    <w:rsid w:val="005662A9"/>
    <w:rsid w:val="005827D4"/>
    <w:rsid w:val="0059622A"/>
    <w:rsid w:val="005A3015"/>
    <w:rsid w:val="005C5878"/>
    <w:rsid w:val="005C7CEA"/>
    <w:rsid w:val="005D3C0B"/>
    <w:rsid w:val="005E5217"/>
    <w:rsid w:val="005F0FA4"/>
    <w:rsid w:val="005F30EE"/>
    <w:rsid w:val="0060473A"/>
    <w:rsid w:val="00656392"/>
    <w:rsid w:val="006646E9"/>
    <w:rsid w:val="0068781D"/>
    <w:rsid w:val="006959B0"/>
    <w:rsid w:val="006B3E27"/>
    <w:rsid w:val="006B6507"/>
    <w:rsid w:val="006C104C"/>
    <w:rsid w:val="00733704"/>
    <w:rsid w:val="00761849"/>
    <w:rsid w:val="0078071A"/>
    <w:rsid w:val="00817373"/>
    <w:rsid w:val="00852A9A"/>
    <w:rsid w:val="00893A8A"/>
    <w:rsid w:val="008F49E1"/>
    <w:rsid w:val="0090370F"/>
    <w:rsid w:val="009269D2"/>
    <w:rsid w:val="00942135"/>
    <w:rsid w:val="009521B0"/>
    <w:rsid w:val="00981C12"/>
    <w:rsid w:val="009A7E9F"/>
    <w:rsid w:val="009D0F0E"/>
    <w:rsid w:val="009E5018"/>
    <w:rsid w:val="009E73E8"/>
    <w:rsid w:val="00A12B37"/>
    <w:rsid w:val="00A34EA8"/>
    <w:rsid w:val="00A67AF5"/>
    <w:rsid w:val="00A76AB2"/>
    <w:rsid w:val="00A94CA3"/>
    <w:rsid w:val="00AB6758"/>
    <w:rsid w:val="00B13763"/>
    <w:rsid w:val="00B22EB1"/>
    <w:rsid w:val="00B477A4"/>
    <w:rsid w:val="00B54045"/>
    <w:rsid w:val="00C438D7"/>
    <w:rsid w:val="00C81B50"/>
    <w:rsid w:val="00C87F1F"/>
    <w:rsid w:val="00CD1801"/>
    <w:rsid w:val="00D10EF1"/>
    <w:rsid w:val="00D42810"/>
    <w:rsid w:val="00D914A7"/>
    <w:rsid w:val="00DC1D29"/>
    <w:rsid w:val="00DD13C3"/>
    <w:rsid w:val="00DD596E"/>
    <w:rsid w:val="00DD621E"/>
    <w:rsid w:val="00DF0575"/>
    <w:rsid w:val="00E70E04"/>
    <w:rsid w:val="00E76499"/>
    <w:rsid w:val="00EC05A7"/>
    <w:rsid w:val="00EC4B6B"/>
    <w:rsid w:val="00EF1EE5"/>
    <w:rsid w:val="00F763B4"/>
    <w:rsid w:val="00F900C3"/>
    <w:rsid w:val="00F94631"/>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E70560E0-474C-43B1-93C4-96F8BA3C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C09EFE-1054-4DB4-8246-4C5B37CF66A0}">
  <ds:schemaRefs>
    <ds:schemaRef ds:uri="http://schemas.openxmlformats.org/officeDocument/2006/bibliography"/>
  </ds:schemaRefs>
</ds:datastoreItem>
</file>

<file path=customXml/itemProps2.xml><?xml version="1.0" encoding="utf-8"?>
<ds:datastoreItem xmlns:ds="http://schemas.openxmlformats.org/officeDocument/2006/customXml" ds:itemID="{C6114CE8-07A6-4B09-918B-F51011874030}"/>
</file>

<file path=customXml/itemProps3.xml><?xml version="1.0" encoding="utf-8"?>
<ds:datastoreItem xmlns:ds="http://schemas.openxmlformats.org/officeDocument/2006/customXml" ds:itemID="{09825284-128D-4F8D-9824-DA4551F05FD6}"/>
</file>

<file path=customXml/itemProps4.xml><?xml version="1.0" encoding="utf-8"?>
<ds:datastoreItem xmlns:ds="http://schemas.openxmlformats.org/officeDocument/2006/customXml" ds:itemID="{F49253B9-A16B-4259-9EFC-66DDB75C8C47}"/>
</file>

<file path=docProps/app.xml><?xml version="1.0" encoding="utf-8"?>
<Properties xmlns="http://schemas.openxmlformats.org/officeDocument/2006/extended-properties" xmlns:vt="http://schemas.openxmlformats.org/officeDocument/2006/docPropsVTypes">
  <Template>CAT.dotm</Template>
  <TotalTime>1</TotalTime>
  <Pages>11</Pages>
  <Words>2275</Words>
  <Characters>12970</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CAT/C/67/3</vt:lpstr>
    </vt:vector>
  </TitlesOfParts>
  <Company>DCM</Company>
  <LinksUpToDate>false</LinksUpToDate>
  <CharactersWithSpaces>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CAT/C/67/3</dc:title>
  <dc:subject>GE.191661</dc:subject>
  <dc:creator>Gamal MAHMOUD-A. Merna</dc:creator>
  <cp:keywords>ODS No.1928787</cp:keywords>
  <dc:description>Distr.: General_x000d_
26 September 2019_x000d_
Original: English</dc:description>
  <cp:lastModifiedBy>KAWUKI Anne</cp:lastModifiedBy>
  <cp:revision>2</cp:revision>
  <cp:lastPrinted>2019-10-24T10:21:00Z</cp:lastPrinted>
  <dcterms:created xsi:type="dcterms:W3CDTF">2019-11-15T10:33:00Z</dcterms:created>
  <dcterms:modified xsi:type="dcterms:W3CDTF">2019-11-15T10:33:00Z</dcterms:modified>
  <cp:category>Final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