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4F2101" w:rsidTr="00AB44C1">
        <w:trPr>
          <w:cantSplit/>
          <w:trHeight w:hRule="exact" w:val="851"/>
        </w:trPr>
        <w:tc>
          <w:tcPr>
            <w:tcW w:w="1276" w:type="dxa"/>
            <w:tcBorders>
              <w:bottom w:val="single" w:sz="4" w:space="0" w:color="auto"/>
            </w:tcBorders>
            <w:vAlign w:val="bottom"/>
          </w:tcPr>
          <w:p w:rsidR="00165C15" w:rsidRPr="004F2101" w:rsidRDefault="00165C15" w:rsidP="00AB44C1">
            <w:pPr>
              <w:spacing w:after="80"/>
            </w:pPr>
          </w:p>
        </w:tc>
        <w:tc>
          <w:tcPr>
            <w:tcW w:w="2268" w:type="dxa"/>
            <w:tcBorders>
              <w:bottom w:val="single" w:sz="4" w:space="0" w:color="auto"/>
            </w:tcBorders>
            <w:vAlign w:val="bottom"/>
          </w:tcPr>
          <w:p w:rsidR="00165C15" w:rsidRPr="004F2101" w:rsidRDefault="00165C15" w:rsidP="00AB44C1">
            <w:pPr>
              <w:spacing w:after="80" w:line="300" w:lineRule="exact"/>
              <w:rPr>
                <w:b/>
                <w:sz w:val="24"/>
                <w:szCs w:val="24"/>
              </w:rPr>
            </w:pPr>
            <w:r w:rsidRPr="004F2101">
              <w:rPr>
                <w:sz w:val="28"/>
                <w:szCs w:val="28"/>
              </w:rPr>
              <w:t>United Nations</w:t>
            </w:r>
          </w:p>
        </w:tc>
        <w:tc>
          <w:tcPr>
            <w:tcW w:w="6095" w:type="dxa"/>
            <w:gridSpan w:val="2"/>
            <w:tcBorders>
              <w:bottom w:val="single" w:sz="4" w:space="0" w:color="auto"/>
            </w:tcBorders>
            <w:vAlign w:val="bottom"/>
          </w:tcPr>
          <w:p w:rsidR="00165C15" w:rsidRPr="004F2101" w:rsidRDefault="00AB44C1" w:rsidP="00AB44C1">
            <w:pPr>
              <w:suppressAutoHyphens w:val="0"/>
              <w:spacing w:after="20"/>
              <w:jc w:val="right"/>
            </w:pPr>
            <w:r w:rsidRPr="004F2101">
              <w:rPr>
                <w:sz w:val="40"/>
              </w:rPr>
              <w:t>CCPR</w:t>
            </w:r>
            <w:r w:rsidR="00CB4745">
              <w:t>/C/121</w:t>
            </w:r>
            <w:r w:rsidR="00026264">
              <w:t>/R.1</w:t>
            </w:r>
          </w:p>
        </w:tc>
      </w:tr>
      <w:tr w:rsidR="00165C15" w:rsidRPr="004F2101" w:rsidTr="00AB44C1">
        <w:trPr>
          <w:cantSplit/>
          <w:trHeight w:hRule="exact" w:val="2835"/>
        </w:trPr>
        <w:tc>
          <w:tcPr>
            <w:tcW w:w="1276" w:type="dxa"/>
            <w:tcBorders>
              <w:top w:val="single" w:sz="4" w:space="0" w:color="auto"/>
              <w:bottom w:val="single" w:sz="12" w:space="0" w:color="auto"/>
            </w:tcBorders>
          </w:tcPr>
          <w:p w:rsidR="00165C15" w:rsidRPr="004F2101" w:rsidRDefault="00165C15" w:rsidP="00AB44C1">
            <w:pPr>
              <w:spacing w:before="120"/>
            </w:pPr>
            <w:r w:rsidRPr="004F2101">
              <w:rPr>
                <w:noProof/>
                <w:lang w:eastAsia="en-GB"/>
              </w:rPr>
              <w:drawing>
                <wp:inline distT="0" distB="0" distL="0" distR="0" wp14:anchorId="4B0046DF" wp14:editId="64ABAB5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23E2D" w:rsidRDefault="00165C15" w:rsidP="00AB44C1">
            <w:pPr>
              <w:spacing w:before="120" w:line="380" w:lineRule="exact"/>
              <w:rPr>
                <w:sz w:val="34"/>
              </w:rPr>
            </w:pPr>
            <w:r w:rsidRPr="004F2101">
              <w:rPr>
                <w:b/>
                <w:sz w:val="34"/>
                <w:szCs w:val="40"/>
              </w:rPr>
              <w:t>International Covenant on</w:t>
            </w:r>
            <w:r w:rsidRPr="004F2101">
              <w:rPr>
                <w:b/>
                <w:sz w:val="34"/>
                <w:szCs w:val="40"/>
              </w:rPr>
              <w:br/>
              <w:t>Civil and Political Rights</w:t>
            </w:r>
          </w:p>
          <w:p w:rsidR="00823E2D" w:rsidRPr="00823E2D" w:rsidRDefault="00823E2D" w:rsidP="00823E2D">
            <w:pPr>
              <w:rPr>
                <w:sz w:val="34"/>
              </w:rPr>
            </w:pPr>
          </w:p>
          <w:p w:rsidR="00823E2D" w:rsidRPr="00823E2D" w:rsidRDefault="00823E2D" w:rsidP="00823E2D">
            <w:pPr>
              <w:rPr>
                <w:sz w:val="34"/>
              </w:rPr>
            </w:pPr>
          </w:p>
          <w:p w:rsidR="00823E2D" w:rsidRDefault="00823E2D" w:rsidP="00823E2D">
            <w:pPr>
              <w:rPr>
                <w:sz w:val="34"/>
              </w:rPr>
            </w:pPr>
          </w:p>
          <w:p w:rsidR="00823E2D" w:rsidRPr="00823E2D" w:rsidRDefault="00823E2D" w:rsidP="00823E2D">
            <w:pPr>
              <w:tabs>
                <w:tab w:val="left" w:pos="3240"/>
              </w:tabs>
              <w:rPr>
                <w:b/>
                <w:sz w:val="34"/>
              </w:rPr>
            </w:pPr>
            <w:r w:rsidRPr="00823E2D">
              <w:rPr>
                <w:b/>
                <w:sz w:val="34"/>
              </w:rPr>
              <w:t>ADVANCE UNEDITED VERSION</w:t>
            </w:r>
          </w:p>
        </w:tc>
        <w:tc>
          <w:tcPr>
            <w:tcW w:w="2835" w:type="dxa"/>
            <w:tcBorders>
              <w:top w:val="single" w:sz="4" w:space="0" w:color="auto"/>
              <w:bottom w:val="single" w:sz="12" w:space="0" w:color="auto"/>
            </w:tcBorders>
          </w:tcPr>
          <w:p w:rsidR="00165C15" w:rsidRPr="004F2101" w:rsidRDefault="00026264" w:rsidP="00026264">
            <w:pPr>
              <w:spacing w:before="240" w:line="240" w:lineRule="exact"/>
            </w:pPr>
            <w:r>
              <w:t xml:space="preserve">Distr.: </w:t>
            </w:r>
            <w:r w:rsidRPr="00117615">
              <w:t>Restricted</w:t>
            </w:r>
            <w:r w:rsidRPr="00117615">
              <w:rPr>
                <w:sz w:val="18"/>
                <w:vertAlign w:val="superscript"/>
              </w:rPr>
              <w:footnoteReference w:customMarkFollows="1" w:id="1"/>
              <w:t>*</w:t>
            </w:r>
          </w:p>
          <w:p w:rsidR="00AB44C1" w:rsidRPr="004F2101" w:rsidRDefault="00F14713" w:rsidP="00AB44C1">
            <w:pPr>
              <w:suppressAutoHyphens w:val="0"/>
            </w:pPr>
            <w:r>
              <w:t>16 November 2017</w:t>
            </w:r>
          </w:p>
          <w:p w:rsidR="00026264" w:rsidRDefault="00026264" w:rsidP="00026264">
            <w:pPr>
              <w:spacing w:line="240" w:lineRule="exact"/>
            </w:pPr>
            <w:r>
              <w:t>Original: English</w:t>
            </w:r>
          </w:p>
          <w:p w:rsidR="00AB44C1" w:rsidRPr="004F2101" w:rsidRDefault="00026264" w:rsidP="00026264">
            <w:pPr>
              <w:suppressAutoHyphens w:val="0"/>
            </w:pPr>
            <w:r>
              <w:t>English, French and Spanish only</w:t>
            </w:r>
          </w:p>
        </w:tc>
      </w:tr>
    </w:tbl>
    <w:p w:rsidR="00AB44C1" w:rsidRDefault="00AB44C1" w:rsidP="004B6BB4">
      <w:pPr>
        <w:pStyle w:val="Caption"/>
      </w:pPr>
      <w:r w:rsidRPr="004F2101">
        <w:t>Human Rights Committee</w:t>
      </w:r>
    </w:p>
    <w:p w:rsidR="00026264" w:rsidRPr="00DB5C36" w:rsidRDefault="00AB2C0D" w:rsidP="00026264">
      <w:pPr>
        <w:rPr>
          <w:b/>
          <w:lang w:val="en-US"/>
        </w:rPr>
      </w:pPr>
      <w:proofErr w:type="gramStart"/>
      <w:r>
        <w:rPr>
          <w:b/>
          <w:lang w:val="en-US"/>
        </w:rPr>
        <w:t>121st</w:t>
      </w:r>
      <w:proofErr w:type="gramEnd"/>
      <w:r w:rsidR="00026264" w:rsidRPr="00DB5C36">
        <w:rPr>
          <w:b/>
          <w:lang w:val="en-US"/>
        </w:rPr>
        <w:t xml:space="preserve"> session</w:t>
      </w:r>
    </w:p>
    <w:p w:rsidR="00026264" w:rsidRPr="00DB5C36" w:rsidRDefault="00026264" w:rsidP="00026264">
      <w:pPr>
        <w:rPr>
          <w:lang w:val="en-US"/>
        </w:rPr>
      </w:pPr>
      <w:r>
        <w:rPr>
          <w:lang w:val="en-US"/>
        </w:rPr>
        <w:t>16</w:t>
      </w:r>
      <w:r w:rsidR="00AB2C0D">
        <w:rPr>
          <w:lang w:val="en-US"/>
        </w:rPr>
        <w:t xml:space="preserve"> October-10 Novem</w:t>
      </w:r>
      <w:r>
        <w:rPr>
          <w:lang w:val="en-US"/>
        </w:rPr>
        <w:t>ber</w:t>
      </w:r>
      <w:r w:rsidRPr="00DB5C36">
        <w:rPr>
          <w:lang w:val="en-US"/>
        </w:rPr>
        <w:t xml:space="preserve"> 2017</w:t>
      </w:r>
    </w:p>
    <w:p w:rsidR="00026264" w:rsidRDefault="008E1119" w:rsidP="00026264">
      <w:pPr>
        <w:rPr>
          <w:lang w:val="en-US"/>
        </w:rPr>
      </w:pPr>
      <w:r>
        <w:rPr>
          <w:lang w:val="en-US"/>
        </w:rPr>
        <w:t xml:space="preserve">Item </w:t>
      </w:r>
      <w:proofErr w:type="gramStart"/>
      <w:r>
        <w:rPr>
          <w:lang w:val="en-US"/>
        </w:rPr>
        <w:t>7</w:t>
      </w:r>
      <w:proofErr w:type="gramEnd"/>
      <w:r w:rsidR="00026264" w:rsidRPr="00DB5C36">
        <w:rPr>
          <w:lang w:val="en-US"/>
        </w:rPr>
        <w:t xml:space="preserve"> of the provisional agenda</w:t>
      </w:r>
    </w:p>
    <w:p w:rsidR="00026264" w:rsidRPr="00DB5C36" w:rsidRDefault="00026264" w:rsidP="00026264">
      <w:pPr>
        <w:rPr>
          <w:b/>
          <w:lang w:val="en-US"/>
        </w:rPr>
      </w:pPr>
      <w:r w:rsidRPr="00DB5C36">
        <w:rPr>
          <w:b/>
          <w:lang w:val="en-US"/>
        </w:rPr>
        <w:t>Follow-up to Views under the Optional Protocol to the Covenant</w:t>
      </w:r>
    </w:p>
    <w:p w:rsidR="00AB44C1" w:rsidRDefault="00AB44C1" w:rsidP="004B6BB4">
      <w:pPr>
        <w:pStyle w:val="HChG"/>
        <w:rPr>
          <w:sz w:val="20"/>
          <w:vertAlign w:val="superscript"/>
        </w:rPr>
      </w:pPr>
      <w:r w:rsidRPr="004F2101">
        <w:tab/>
      </w:r>
      <w:r w:rsidRPr="004F2101">
        <w:tab/>
        <w:t>Follow-up progress report on individual communications</w:t>
      </w:r>
      <w:r w:rsidR="00026264" w:rsidRPr="00DB5C36">
        <w:rPr>
          <w:sz w:val="20"/>
          <w:vertAlign w:val="superscript"/>
        </w:rPr>
        <w:t>**</w:t>
      </w:r>
    </w:p>
    <w:p w:rsidR="00026264" w:rsidRPr="00026264" w:rsidRDefault="00026264" w:rsidP="00026264">
      <w:pPr>
        <w:ind w:left="567" w:firstLine="567"/>
      </w:pPr>
      <w:r>
        <w:rPr>
          <w:b/>
          <w:sz w:val="24"/>
          <w:szCs w:val="24"/>
        </w:rPr>
        <w:t>Draft</w:t>
      </w:r>
      <w:r w:rsidRPr="00F92B13">
        <w:rPr>
          <w:b/>
          <w:sz w:val="24"/>
          <w:szCs w:val="24"/>
        </w:rPr>
        <w:t xml:space="preserve"> proposed by the </w:t>
      </w:r>
      <w:r>
        <w:rPr>
          <w:b/>
          <w:sz w:val="24"/>
          <w:szCs w:val="24"/>
        </w:rPr>
        <w:t xml:space="preserve">Special </w:t>
      </w:r>
      <w:r w:rsidRPr="00F92B13">
        <w:rPr>
          <w:b/>
          <w:sz w:val="24"/>
          <w:szCs w:val="24"/>
        </w:rPr>
        <w:t>Rapporteur</w:t>
      </w:r>
      <w:r>
        <w:rPr>
          <w:b/>
          <w:sz w:val="24"/>
          <w:szCs w:val="24"/>
        </w:rPr>
        <w:t xml:space="preserve"> on follow-up to views</w:t>
      </w:r>
    </w:p>
    <w:p w:rsidR="00AB44C1" w:rsidRPr="004F2101" w:rsidRDefault="00AB44C1" w:rsidP="004B6BB4">
      <w:pPr>
        <w:pStyle w:val="H1G"/>
      </w:pPr>
      <w:r w:rsidRPr="004F2101">
        <w:tab/>
        <w:t>A.</w:t>
      </w:r>
      <w:r w:rsidRPr="004F2101">
        <w:tab/>
        <w:t>Introduction</w:t>
      </w:r>
    </w:p>
    <w:p w:rsidR="00BA7CD4" w:rsidRPr="00C951DF" w:rsidRDefault="00BA7CD4" w:rsidP="00BA7CD4">
      <w:pPr>
        <w:pStyle w:val="SingleTxtG"/>
      </w:pPr>
      <w:r w:rsidRPr="00C951DF">
        <w:t>1.</w:t>
      </w:r>
      <w:r w:rsidRPr="00C951DF">
        <w:tab/>
      </w:r>
      <w:r w:rsidRPr="00C236AB">
        <w:t>At its thirty-ninth session</w:t>
      </w:r>
      <w:r w:rsidRPr="00C951DF">
        <w:t xml:space="preserve">, the </w:t>
      </w:r>
      <w:r>
        <w:t xml:space="preserve">Human Rights </w:t>
      </w:r>
      <w:r w:rsidRPr="00C951DF">
        <w:t xml:space="preserve">Committee established a procedure </w:t>
      </w:r>
      <w:r>
        <w:t xml:space="preserve">and designated a </w:t>
      </w:r>
      <w:r w:rsidRPr="00C236AB">
        <w:t xml:space="preserve">Special Rapporteur </w:t>
      </w:r>
      <w:r>
        <w:t>to</w:t>
      </w:r>
      <w:r w:rsidRPr="00C951DF">
        <w:t xml:space="preserve"> monitor follow-up </w:t>
      </w:r>
      <w:r>
        <w:t>on</w:t>
      </w:r>
      <w:r w:rsidRPr="00C951DF">
        <w:t xml:space="preserve"> its Views </w:t>
      </w:r>
      <w:r>
        <w:t xml:space="preserve">adopted </w:t>
      </w:r>
      <w:r w:rsidRPr="00C951DF">
        <w:t xml:space="preserve">under article 5 </w:t>
      </w:r>
      <w:r>
        <w:t>(</w:t>
      </w:r>
      <w:r w:rsidRPr="00C951DF">
        <w:t>4</w:t>
      </w:r>
      <w:r>
        <w:t>)</w:t>
      </w:r>
      <w:r w:rsidRPr="00C951DF">
        <w:t xml:space="preserve"> of the Optional Protocol</w:t>
      </w:r>
      <w:r>
        <w:t xml:space="preserve"> </w:t>
      </w:r>
      <w:r w:rsidRPr="00C236AB">
        <w:t>to the International Covenant on Civil and Political Rights</w:t>
      </w:r>
      <w:r w:rsidRPr="00C951DF">
        <w:t xml:space="preserve">. </w:t>
      </w:r>
      <w:r>
        <w:t>T</w:t>
      </w:r>
      <w:r w:rsidRPr="00C951DF">
        <w:t>he Special Rapporteur for follow-up on Views prepared the present report</w:t>
      </w:r>
      <w:r>
        <w:t xml:space="preserve"> in accordance with rule 101, paragraph 3, of the Committee’s rules of procedure. </w:t>
      </w:r>
      <w:r w:rsidRPr="000A7F3F">
        <w:t xml:space="preserve">The present report sets out all information provided by States parties and authors or their counsel/representative </w:t>
      </w:r>
      <w:r>
        <w:t xml:space="preserve">received, or processed, </w:t>
      </w:r>
      <w:r w:rsidRPr="00C942FA">
        <w:t>until</w:t>
      </w:r>
      <w:r>
        <w:t xml:space="preserve"> July 2017.</w:t>
      </w:r>
    </w:p>
    <w:p w:rsidR="00BA7CD4" w:rsidRPr="00C951DF" w:rsidRDefault="00BA7CD4" w:rsidP="00BA7CD4">
      <w:pPr>
        <w:pStyle w:val="SingleTxtG"/>
      </w:pPr>
      <w:r w:rsidRPr="00C951DF">
        <w:t>2.</w:t>
      </w:r>
      <w:r w:rsidRPr="00C951DF">
        <w:tab/>
      </w:r>
      <w:r w:rsidR="00CF7B82">
        <w:t>As of the conclusion of the 121</w:t>
      </w:r>
      <w:r w:rsidR="00CF7B82">
        <w:rPr>
          <w:vertAlign w:val="superscript"/>
        </w:rPr>
        <w:t>st</w:t>
      </w:r>
      <w:r w:rsidR="00CF7B82">
        <w:t xml:space="preserve"> session, t</w:t>
      </w:r>
      <w:r>
        <w:t>he Comm</w:t>
      </w:r>
      <w:bookmarkStart w:id="0" w:name="_GoBack"/>
      <w:bookmarkEnd w:id="0"/>
      <w:r>
        <w:t xml:space="preserve">ittee has </w:t>
      </w:r>
      <w:r w:rsidR="00CF7B82">
        <w:t>determined</w:t>
      </w:r>
      <w:r w:rsidRPr="00C951DF">
        <w:t xml:space="preserve"> that there ha</w:t>
      </w:r>
      <w:r>
        <w:t>ve</w:t>
      </w:r>
      <w:r w:rsidRPr="00C951DF">
        <w:t xml:space="preserve"> been violation</w:t>
      </w:r>
      <w:r>
        <w:t>s</w:t>
      </w:r>
      <w:r w:rsidRPr="00C951DF">
        <w:t xml:space="preserve"> of the Covenant</w:t>
      </w:r>
      <w:r>
        <w:t xml:space="preserve"> in</w:t>
      </w:r>
      <w:r w:rsidRPr="00EF53F7">
        <w:t xml:space="preserve"> </w:t>
      </w:r>
      <w:r w:rsidR="00CF7B82">
        <w:t>1,040 of the 1,258</w:t>
      </w:r>
      <w:r w:rsidRPr="00EF53F7">
        <w:t xml:space="preserve"> Views </w:t>
      </w:r>
      <w:r>
        <w:t xml:space="preserve">it has </w:t>
      </w:r>
      <w:r w:rsidRPr="00EF53F7">
        <w:t>adopted since 1979</w:t>
      </w:r>
      <w:r>
        <w:t>.</w:t>
      </w:r>
    </w:p>
    <w:p w:rsidR="00BA7CD4" w:rsidRDefault="00BA7CD4" w:rsidP="00BA7CD4">
      <w:pPr>
        <w:pStyle w:val="SingleTxtG"/>
      </w:pPr>
      <w:r w:rsidRPr="00C951DF">
        <w:t>3.</w:t>
      </w:r>
      <w:r w:rsidRPr="00C951DF">
        <w:tab/>
        <w:t xml:space="preserve">At its 109th session, the Committee decided to include in its reports on follow-up to Views an assessment of the </w:t>
      </w:r>
      <w:r>
        <w:t xml:space="preserve">replies received from and action taken by </w:t>
      </w:r>
      <w:r w:rsidRPr="00C951DF">
        <w:t>States parties</w:t>
      </w:r>
      <w:r>
        <w:t xml:space="preserve">. The assessment </w:t>
      </w:r>
      <w:proofErr w:type="gramStart"/>
      <w:r>
        <w:t>is</w:t>
      </w:r>
      <w:r w:rsidRPr="00C951DF">
        <w:t xml:space="preserve"> based</w:t>
      </w:r>
      <w:proofErr w:type="gramEnd"/>
      <w:r w:rsidRPr="00C951DF">
        <w:t xml:space="preserve"> on the criteria </w:t>
      </w:r>
      <w:r>
        <w:t>applied by the Committee in</w:t>
      </w:r>
      <w:r w:rsidRPr="00C951DF">
        <w:t xml:space="preserve"> the procedure</w:t>
      </w:r>
      <w:r>
        <w:t xml:space="preserve"> for follow-up</w:t>
      </w:r>
      <w:r w:rsidRPr="00C951DF">
        <w:t xml:space="preserve"> to</w:t>
      </w:r>
      <w:r>
        <w:t xml:space="preserve"> its</w:t>
      </w:r>
      <w:r w:rsidRPr="00C951DF">
        <w:t xml:space="preserve"> </w:t>
      </w:r>
      <w:r>
        <w:t>c</w:t>
      </w:r>
      <w:r w:rsidRPr="00C951DF">
        <w:t xml:space="preserve">oncluding </w:t>
      </w:r>
      <w:r>
        <w:t>o</w:t>
      </w:r>
      <w:r w:rsidRPr="00C951DF">
        <w:t>bservations</w:t>
      </w:r>
      <w:r>
        <w:t xml:space="preserve">. </w:t>
      </w:r>
    </w:p>
    <w:p w:rsidR="00AB44C1" w:rsidRDefault="00BA7CD4" w:rsidP="00BA7CD4">
      <w:pPr>
        <w:pStyle w:val="SingleTxtG"/>
      </w:pPr>
      <w:r>
        <w:t>4.</w:t>
      </w:r>
      <w:r>
        <w:tab/>
        <w:t>At its 118</w:t>
      </w:r>
      <w:r w:rsidRPr="00D60118">
        <w:rPr>
          <w:vertAlign w:val="superscript"/>
        </w:rPr>
        <w:t>th</w:t>
      </w:r>
      <w:r>
        <w:t xml:space="preserve"> session, on 4 November 2016, the Committee decided to revise its assessment criteria. </w:t>
      </w:r>
    </w:p>
    <w:p w:rsidR="00BA7CD4" w:rsidRPr="00CD7212" w:rsidRDefault="00BA7CD4" w:rsidP="00D26536">
      <w:pPr>
        <w:keepNext/>
        <w:keepLines/>
        <w:suppressAutoHyphens w:val="0"/>
        <w:spacing w:before="120" w:after="120" w:line="220" w:lineRule="exact"/>
        <w:ind w:left="1134" w:right="57"/>
        <w:rPr>
          <w:b/>
        </w:rPr>
      </w:pPr>
      <w:r>
        <w:rPr>
          <w:b/>
        </w:rPr>
        <w:t>Assessment crit</w:t>
      </w:r>
      <w:r w:rsidRPr="00232023">
        <w:rPr>
          <w:b/>
        </w:rPr>
        <w:t>eria</w:t>
      </w:r>
      <w:r>
        <w:rPr>
          <w:b/>
        </w:rPr>
        <w:t xml:space="preserve"> (</w:t>
      </w:r>
      <w:r w:rsidRPr="00CD7212">
        <w:rPr>
          <w:b/>
          <w:i/>
        </w:rPr>
        <w:t xml:space="preserve">as </w:t>
      </w:r>
      <w:r>
        <w:rPr>
          <w:b/>
          <w:i/>
        </w:rPr>
        <w:t>revised during the 118</w:t>
      </w:r>
      <w:r w:rsidRPr="00CD7212">
        <w:rPr>
          <w:b/>
          <w:i/>
          <w:vertAlign w:val="superscript"/>
        </w:rPr>
        <w:t>th</w:t>
      </w:r>
      <w:r>
        <w:rPr>
          <w:b/>
          <w:i/>
        </w:rPr>
        <w:t xml:space="preserve"> session</w:t>
      </w:r>
      <w:r>
        <w:rPr>
          <w:b/>
        </w:rPr>
        <w:t>)</w:t>
      </w:r>
    </w:p>
    <w:p w:rsidR="00BA7CD4" w:rsidRPr="00D60118" w:rsidRDefault="00BA7CD4" w:rsidP="00D26536">
      <w:pPr>
        <w:pStyle w:val="SingleTxtG"/>
        <w:keepNext/>
        <w:keepLines/>
        <w:pBdr>
          <w:top w:val="single" w:sz="4" w:space="1" w:color="auto"/>
        </w:pBdr>
        <w:ind w:left="567" w:firstLine="567"/>
        <w:rPr>
          <w:b/>
        </w:rPr>
      </w:pPr>
      <w:r w:rsidRPr="00D60118">
        <w:rPr>
          <w:b/>
        </w:rPr>
        <w:t>Assessment of replies</w:t>
      </w:r>
      <w:r w:rsidR="00C45217">
        <w:rPr>
          <w:rStyle w:val="FootnoteReference"/>
          <w:b/>
        </w:rPr>
        <w:footnoteReference w:id="2"/>
      </w:r>
      <w:r w:rsidRPr="00D60118">
        <w:rPr>
          <w:b/>
        </w:rPr>
        <w:t>:</w:t>
      </w:r>
    </w:p>
    <w:p w:rsidR="00C45217" w:rsidRPr="00B309F3" w:rsidRDefault="00C45217" w:rsidP="009716A9">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567" w:hanging="567"/>
        <w:rPr>
          <w:color w:val="000000"/>
        </w:rPr>
      </w:pPr>
      <w:r>
        <w:rPr>
          <w:b/>
        </w:rPr>
        <w:tab/>
      </w:r>
      <w:r w:rsidR="00BA7CD4" w:rsidRPr="00D60118">
        <w:rPr>
          <w:b/>
        </w:rPr>
        <w:t>A</w:t>
      </w:r>
      <w:r w:rsidR="00BA7CD4" w:rsidRPr="00D60118">
        <w:tab/>
      </w:r>
      <w:r w:rsidR="004024A8">
        <w:tab/>
      </w:r>
      <w:r w:rsidR="00BA7CD4" w:rsidRPr="00D60118">
        <w:t>Response largely satisfactory</w:t>
      </w:r>
      <w:r>
        <w:t xml:space="preserve">: </w:t>
      </w:r>
      <w:r w:rsidRPr="00B309F3">
        <w:rPr>
          <w:color w:val="000000"/>
        </w:rPr>
        <w:t>The State party has provided evidence of significant action taken towards the implementation of the recommendation made by the Committee.</w:t>
      </w:r>
    </w:p>
    <w:p w:rsidR="00BA7CD4" w:rsidRPr="00D60118" w:rsidRDefault="00BA7CD4" w:rsidP="00D26536">
      <w:pPr>
        <w:pStyle w:val="SingleTxtG"/>
        <w:keepNext/>
        <w:keepLines/>
      </w:pPr>
    </w:p>
    <w:p w:rsidR="00BA7CD4" w:rsidRPr="00D60118" w:rsidRDefault="00BA7CD4" w:rsidP="00C45217">
      <w:pPr>
        <w:pStyle w:val="SingleTxtG"/>
        <w:keepNext/>
        <w:keepLines/>
      </w:pPr>
      <w:r w:rsidRPr="00876030">
        <w:rPr>
          <w:b/>
        </w:rPr>
        <w:t>B</w:t>
      </w:r>
      <w:r w:rsidRPr="00D60118">
        <w:tab/>
        <w:t xml:space="preserve">Action taken, but additional information or measures </w:t>
      </w:r>
      <w:proofErr w:type="gramStart"/>
      <w:r w:rsidRPr="00D60118">
        <w:t>required</w:t>
      </w:r>
      <w:r w:rsidR="00C45217">
        <w:t>:</w:t>
      </w:r>
      <w:proofErr w:type="gramEnd"/>
      <w:r w:rsidR="00C45217">
        <w:t xml:space="preserve"> </w:t>
      </w:r>
      <w:r w:rsidR="00C45217" w:rsidRPr="00AF3F35">
        <w:t>The State party took steps towards the implementation of the recommendation but additional information or action remains necessary.</w:t>
      </w:r>
    </w:p>
    <w:p w:rsidR="00BA7CD4" w:rsidRPr="00D60118" w:rsidRDefault="00BA7CD4" w:rsidP="00D26536">
      <w:pPr>
        <w:pStyle w:val="SingleTxtG"/>
        <w:keepNext/>
        <w:keepLines/>
      </w:pPr>
      <w:r w:rsidRPr="00876030">
        <w:rPr>
          <w:b/>
        </w:rPr>
        <w:t>C</w:t>
      </w:r>
      <w:r w:rsidRPr="00D60118">
        <w:tab/>
        <w:t>Response received but actions or information not relevant or do not implement the recommendation</w:t>
      </w:r>
      <w:r w:rsidR="00C45217">
        <w:t xml:space="preserve">: </w:t>
      </w:r>
      <w:r w:rsidR="00C45217" w:rsidRPr="00AF3F35">
        <w:t>The action taken or information provided by the State party does not address the situation under consideration</w:t>
      </w:r>
    </w:p>
    <w:p w:rsidR="00BA7CD4" w:rsidRPr="00D60118" w:rsidRDefault="00BA7CD4" w:rsidP="00D26536">
      <w:pPr>
        <w:pStyle w:val="SingleTxtG"/>
        <w:keepNext/>
        <w:keepLines/>
      </w:pPr>
      <w:r w:rsidRPr="00876030">
        <w:rPr>
          <w:b/>
        </w:rPr>
        <w:t>D</w:t>
      </w:r>
      <w:r w:rsidRPr="00D60118">
        <w:tab/>
        <w:t>No follow-up report received after reminder(s)</w:t>
      </w:r>
      <w:r w:rsidR="00C45217">
        <w:t xml:space="preserve">: No follow-up report </w:t>
      </w:r>
      <w:proofErr w:type="gramStart"/>
      <w:r w:rsidR="00C45217">
        <w:t>has been received</w:t>
      </w:r>
      <w:proofErr w:type="gramEnd"/>
      <w:r w:rsidR="00C45217">
        <w:t xml:space="preserve"> after the reminder(s)</w:t>
      </w:r>
    </w:p>
    <w:p w:rsidR="00BA7CD4" w:rsidRPr="00B30EAA" w:rsidRDefault="00BA7CD4" w:rsidP="00D26536">
      <w:pPr>
        <w:pStyle w:val="SingleTxtG"/>
        <w:keepNext/>
        <w:keepLines/>
      </w:pPr>
      <w:r w:rsidRPr="00876030">
        <w:rPr>
          <w:b/>
        </w:rPr>
        <w:t>E</w:t>
      </w:r>
      <w:r w:rsidRPr="00D60118">
        <w:tab/>
        <w:t>Information or measures taken are contrary to</w:t>
      </w:r>
      <w:r w:rsidR="00C45217">
        <w:t>,</w:t>
      </w:r>
      <w:r w:rsidRPr="00D60118">
        <w:t xml:space="preserve"> or reflect rejection of </w:t>
      </w:r>
      <w:r w:rsidRPr="00B30EAA">
        <w:t>the Committee’s recommendations</w:t>
      </w:r>
    </w:p>
    <w:p w:rsidR="00AB44C1" w:rsidRPr="004F2101" w:rsidRDefault="00AB44C1" w:rsidP="00D26536">
      <w:pPr>
        <w:pStyle w:val="H1G"/>
      </w:pPr>
      <w:r w:rsidRPr="004F2101">
        <w:tab/>
        <w:t>B.</w:t>
      </w:r>
      <w:r w:rsidRPr="004F2101">
        <w:tab/>
        <w:t xml:space="preserve">Follow-up information received and processed between </w:t>
      </w:r>
      <w:r w:rsidR="00BA7CD4" w:rsidRPr="00F66C19">
        <w:t xml:space="preserve">March 2016 and </w:t>
      </w:r>
      <w:r w:rsidR="00BA7CD4" w:rsidRPr="00F66C19">
        <w:rPr>
          <w:szCs w:val="24"/>
        </w:rPr>
        <w:t>July 2017</w:t>
      </w:r>
    </w:p>
    <w:p w:rsidR="00AB44C1" w:rsidRPr="004F2101" w:rsidRDefault="006A26DC" w:rsidP="00D26536">
      <w:pPr>
        <w:pStyle w:val="H23G"/>
      </w:pPr>
      <w:r>
        <w:tab/>
      </w:r>
      <w:r w:rsidR="00AB44C1" w:rsidRPr="004F2101">
        <w:t>1.</w:t>
      </w:r>
      <w:r w:rsidR="00AB44C1" w:rsidRPr="004F2101">
        <w:tab/>
      </w:r>
      <w:r w:rsidR="00492B20">
        <w:t>Algeria</w:t>
      </w:r>
      <w:r w:rsidR="009F4EEB">
        <w:rPr>
          <w:rStyle w:val="FootnoteReference"/>
        </w:rPr>
        <w:footnoteReference w:id="3"/>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90"/>
      </w:tblGrid>
      <w:tr w:rsidR="00AB44C1" w:rsidRPr="004F2101" w:rsidTr="009610A6">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AB44C1" w:rsidRPr="00492B20" w:rsidRDefault="00492B20" w:rsidP="00D26536">
            <w:pPr>
              <w:pStyle w:val="SingleTxtG"/>
              <w:keepNext/>
              <w:keepLines/>
              <w:ind w:left="0"/>
              <w:jc w:val="left"/>
              <w:rPr>
                <w:b/>
              </w:rPr>
            </w:pPr>
            <w:r>
              <w:rPr>
                <w:b/>
              </w:rPr>
              <w:t>Communication No. 2157/2012</w:t>
            </w:r>
            <w:r w:rsidRPr="00C7016A">
              <w:rPr>
                <w:b/>
              </w:rPr>
              <w:t xml:space="preserve">, </w:t>
            </w:r>
            <w:proofErr w:type="spellStart"/>
            <w:r>
              <w:rPr>
                <w:b/>
                <w:i/>
              </w:rPr>
              <w:t>Belamrania</w:t>
            </w:r>
            <w:proofErr w:type="spellEnd"/>
          </w:p>
        </w:tc>
      </w:tr>
      <w:tr w:rsidR="00AB44C1" w:rsidRPr="004F2101" w:rsidTr="001F683B">
        <w:tc>
          <w:tcPr>
            <w:tcW w:w="2580" w:type="dxa"/>
            <w:tcBorders>
              <w:top w:val="single" w:sz="12" w:space="0" w:color="auto"/>
            </w:tcBorders>
            <w:shd w:val="clear" w:color="auto" w:fill="auto"/>
            <w:tcMar>
              <w:left w:w="28" w:type="dxa"/>
              <w:right w:w="28" w:type="dxa"/>
            </w:tcMar>
          </w:tcPr>
          <w:p w:rsidR="00AB44C1" w:rsidRPr="004F2101" w:rsidRDefault="00AB44C1" w:rsidP="00D26536">
            <w:pPr>
              <w:pStyle w:val="SingleTxtG"/>
              <w:keepNext/>
              <w:keepLines/>
              <w:suppressAutoHyphens w:val="0"/>
              <w:spacing w:before="40" w:line="220" w:lineRule="exact"/>
              <w:ind w:left="0" w:right="113"/>
              <w:jc w:val="left"/>
            </w:pPr>
            <w:r w:rsidRPr="004F2101">
              <w:t>Views adopted:</w:t>
            </w:r>
          </w:p>
        </w:tc>
        <w:tc>
          <w:tcPr>
            <w:tcW w:w="4790" w:type="dxa"/>
            <w:tcBorders>
              <w:top w:val="single" w:sz="12" w:space="0" w:color="auto"/>
            </w:tcBorders>
            <w:shd w:val="clear" w:color="auto" w:fill="auto"/>
            <w:tcMar>
              <w:left w:w="28" w:type="dxa"/>
              <w:right w:w="28" w:type="dxa"/>
            </w:tcMar>
          </w:tcPr>
          <w:p w:rsidR="00AB44C1" w:rsidRPr="004F2101" w:rsidRDefault="00492B20" w:rsidP="00D26536">
            <w:pPr>
              <w:pStyle w:val="SingleTxtG"/>
              <w:keepNext/>
              <w:keepLines/>
              <w:suppressAutoHyphens w:val="0"/>
              <w:spacing w:before="40" w:line="220" w:lineRule="exact"/>
              <w:ind w:left="0" w:right="113"/>
              <w:jc w:val="left"/>
            </w:pPr>
            <w:r>
              <w:t>27 October 2016</w:t>
            </w:r>
          </w:p>
        </w:tc>
      </w:tr>
      <w:tr w:rsidR="00AB44C1" w:rsidRPr="004F2101" w:rsidTr="001F683B">
        <w:tc>
          <w:tcPr>
            <w:tcW w:w="2580" w:type="dxa"/>
            <w:shd w:val="clear" w:color="auto" w:fill="auto"/>
            <w:tcMar>
              <w:left w:w="28" w:type="dxa"/>
              <w:right w:w="28" w:type="dxa"/>
            </w:tcMar>
          </w:tcPr>
          <w:p w:rsidR="00AB44C1" w:rsidRPr="004F2101" w:rsidRDefault="00AB44C1" w:rsidP="00D26536">
            <w:pPr>
              <w:pStyle w:val="SingleTxtG"/>
              <w:keepNext/>
              <w:keepLines/>
              <w:suppressAutoHyphens w:val="0"/>
              <w:spacing w:before="40" w:line="220" w:lineRule="exact"/>
              <w:ind w:left="0" w:right="113"/>
              <w:jc w:val="left"/>
            </w:pPr>
            <w:r w:rsidRPr="004F2101">
              <w:t>Violation:</w:t>
            </w:r>
          </w:p>
        </w:tc>
        <w:tc>
          <w:tcPr>
            <w:tcW w:w="4790" w:type="dxa"/>
            <w:shd w:val="clear" w:color="auto" w:fill="auto"/>
            <w:tcMar>
              <w:left w:w="28" w:type="dxa"/>
              <w:right w:w="28" w:type="dxa"/>
            </w:tcMar>
          </w:tcPr>
          <w:p w:rsidR="00AB44C1" w:rsidRPr="004F2101" w:rsidRDefault="00D10705" w:rsidP="00D26536">
            <w:pPr>
              <w:pStyle w:val="SingleTxtG"/>
              <w:keepNext/>
              <w:keepLines/>
              <w:suppressAutoHyphens w:val="0"/>
              <w:spacing w:before="40" w:line="220" w:lineRule="exact"/>
              <w:ind w:left="0" w:right="113"/>
              <w:jc w:val="left"/>
            </w:pPr>
            <w:r w:rsidRPr="001206E9">
              <w:t>2 (3), 6 (1) and 7</w:t>
            </w:r>
          </w:p>
        </w:tc>
      </w:tr>
      <w:tr w:rsidR="00AB44C1" w:rsidRPr="004F2101" w:rsidTr="001F683B">
        <w:tc>
          <w:tcPr>
            <w:tcW w:w="2580" w:type="dxa"/>
            <w:shd w:val="clear" w:color="auto" w:fill="auto"/>
            <w:tcMar>
              <w:left w:w="28" w:type="dxa"/>
              <w:right w:w="28" w:type="dxa"/>
            </w:tcMar>
          </w:tcPr>
          <w:p w:rsidR="00AB44C1" w:rsidRPr="004F2101" w:rsidRDefault="00AB44C1" w:rsidP="00D26536">
            <w:pPr>
              <w:pStyle w:val="SingleTxtG"/>
              <w:keepNext/>
              <w:keepLines/>
              <w:suppressAutoHyphens w:val="0"/>
              <w:spacing w:before="40" w:line="220" w:lineRule="exact"/>
              <w:ind w:left="0" w:right="113"/>
              <w:jc w:val="left"/>
            </w:pPr>
            <w:r w:rsidRPr="004F2101">
              <w:t>Remedy:</w:t>
            </w:r>
          </w:p>
        </w:tc>
        <w:tc>
          <w:tcPr>
            <w:tcW w:w="4790" w:type="dxa"/>
            <w:shd w:val="clear" w:color="auto" w:fill="auto"/>
            <w:tcMar>
              <w:left w:w="28" w:type="dxa"/>
              <w:right w:w="28" w:type="dxa"/>
            </w:tcMar>
          </w:tcPr>
          <w:p w:rsidR="00AB44C1" w:rsidRPr="004F2101" w:rsidRDefault="00D10705" w:rsidP="00D26536">
            <w:pPr>
              <w:pStyle w:val="SingleTxtG"/>
              <w:keepNext/>
              <w:keepLines/>
              <w:suppressAutoHyphens w:val="0"/>
              <w:spacing w:before="40" w:line="220" w:lineRule="exact"/>
              <w:ind w:left="0" w:right="113"/>
              <w:jc w:val="left"/>
            </w:pPr>
            <w:r w:rsidRPr="001206E9">
              <w:t xml:space="preserve">the State party is required to: (a) conduct a thorough and rigorous investigation into the alleged summary execution of Mohammed </w:t>
            </w:r>
            <w:proofErr w:type="spellStart"/>
            <w:r w:rsidRPr="001206E9">
              <w:t>Belamrania</w:t>
            </w:r>
            <w:proofErr w:type="spellEnd"/>
            <w:r w:rsidRPr="001206E9">
              <w:t>; (b) provide his family with detailed information on the results of the investigation; (c) prosecute, try and punish those responsible for the violations; (d) provide the victim</w:t>
            </w:r>
            <w:r>
              <w:t>’</w:t>
            </w:r>
            <w:r w:rsidRPr="001206E9">
              <w:t>s family with appropriate compensation and redress.</w:t>
            </w:r>
          </w:p>
        </w:tc>
      </w:tr>
      <w:tr w:rsidR="00AB44C1" w:rsidRPr="004F2101" w:rsidTr="001F683B">
        <w:tc>
          <w:tcPr>
            <w:tcW w:w="2580" w:type="dxa"/>
            <w:shd w:val="clear" w:color="auto" w:fill="auto"/>
            <w:tcMar>
              <w:left w:w="28" w:type="dxa"/>
              <w:right w:w="28" w:type="dxa"/>
            </w:tcMar>
          </w:tcPr>
          <w:p w:rsidR="00AB44C1" w:rsidRPr="004F2101" w:rsidRDefault="00AB44C1" w:rsidP="00D26536">
            <w:pPr>
              <w:pStyle w:val="SingleTxtG"/>
              <w:keepNext/>
              <w:keepLines/>
              <w:suppressAutoHyphens w:val="0"/>
              <w:spacing w:before="40" w:line="220" w:lineRule="exact"/>
              <w:ind w:left="0" w:right="113"/>
              <w:jc w:val="left"/>
            </w:pPr>
            <w:r w:rsidRPr="004F2101">
              <w:t>Subject matter:</w:t>
            </w:r>
          </w:p>
        </w:tc>
        <w:tc>
          <w:tcPr>
            <w:tcW w:w="4790" w:type="dxa"/>
            <w:shd w:val="clear" w:color="auto" w:fill="auto"/>
            <w:tcMar>
              <w:left w:w="28" w:type="dxa"/>
              <w:right w:w="28" w:type="dxa"/>
            </w:tcMar>
          </w:tcPr>
          <w:p w:rsidR="00AB44C1" w:rsidRPr="004F2101" w:rsidRDefault="00D10705" w:rsidP="00D26536">
            <w:pPr>
              <w:pStyle w:val="SingleTxtG"/>
              <w:keepNext/>
              <w:keepLines/>
              <w:suppressAutoHyphens w:val="0"/>
              <w:spacing w:before="40" w:line="220" w:lineRule="exact"/>
              <w:ind w:left="0" w:right="113"/>
              <w:jc w:val="left"/>
            </w:pPr>
            <w:r>
              <w:t>Summary execution</w:t>
            </w:r>
          </w:p>
        </w:tc>
      </w:tr>
      <w:tr w:rsidR="00AB44C1" w:rsidRPr="004F2101" w:rsidTr="001F683B">
        <w:tc>
          <w:tcPr>
            <w:tcW w:w="2580" w:type="dxa"/>
            <w:tcBorders>
              <w:bottom w:val="nil"/>
            </w:tcBorders>
            <w:shd w:val="clear" w:color="auto" w:fill="auto"/>
            <w:tcMar>
              <w:left w:w="28" w:type="dxa"/>
              <w:right w:w="28" w:type="dxa"/>
            </w:tcMar>
          </w:tcPr>
          <w:p w:rsidR="00AB44C1" w:rsidRPr="004F2101" w:rsidRDefault="00AB44C1" w:rsidP="00D26536">
            <w:pPr>
              <w:pStyle w:val="SingleTxtG"/>
              <w:keepNext/>
              <w:keepLines/>
              <w:suppressAutoHyphens w:val="0"/>
              <w:spacing w:before="40" w:line="220" w:lineRule="exact"/>
              <w:ind w:left="0" w:right="113"/>
              <w:jc w:val="left"/>
            </w:pPr>
            <w:r w:rsidRPr="004F2101">
              <w:t>Previous follow-up information:</w:t>
            </w:r>
          </w:p>
        </w:tc>
        <w:tc>
          <w:tcPr>
            <w:tcW w:w="4790" w:type="dxa"/>
            <w:tcBorders>
              <w:bottom w:val="nil"/>
            </w:tcBorders>
            <w:shd w:val="clear" w:color="auto" w:fill="auto"/>
            <w:tcMar>
              <w:left w:w="28" w:type="dxa"/>
              <w:right w:w="28" w:type="dxa"/>
            </w:tcMar>
          </w:tcPr>
          <w:p w:rsidR="00AB44C1" w:rsidRPr="004F2101" w:rsidRDefault="00D10705" w:rsidP="00D26536">
            <w:pPr>
              <w:pStyle w:val="SingleTxtG"/>
              <w:keepNext/>
              <w:keepLines/>
              <w:suppressAutoHyphens w:val="0"/>
              <w:spacing w:before="40" w:line="220" w:lineRule="exact"/>
              <w:ind w:left="0" w:right="113"/>
              <w:jc w:val="left"/>
            </w:pPr>
            <w:r>
              <w:t>none</w:t>
            </w:r>
          </w:p>
        </w:tc>
      </w:tr>
      <w:tr w:rsidR="00AB44C1" w:rsidRPr="004F2101" w:rsidTr="00BA7CD4">
        <w:trPr>
          <w:trHeight w:val="648"/>
        </w:trPr>
        <w:tc>
          <w:tcPr>
            <w:tcW w:w="2580" w:type="dxa"/>
            <w:tcBorders>
              <w:top w:val="nil"/>
              <w:bottom w:val="nil"/>
            </w:tcBorders>
            <w:shd w:val="clear" w:color="auto" w:fill="auto"/>
            <w:tcMar>
              <w:left w:w="28" w:type="dxa"/>
              <w:right w:w="28" w:type="dxa"/>
            </w:tcMar>
          </w:tcPr>
          <w:p w:rsidR="00AB44C1" w:rsidRPr="004F2101" w:rsidRDefault="00AB44C1" w:rsidP="00D26536">
            <w:pPr>
              <w:pStyle w:val="SingleTxtG"/>
              <w:keepNext/>
              <w:keepLines/>
              <w:suppressAutoHyphens w:val="0"/>
              <w:spacing w:before="40" w:line="220" w:lineRule="exact"/>
              <w:ind w:left="0" w:right="113"/>
              <w:jc w:val="left"/>
            </w:pPr>
            <w:r w:rsidRPr="004F2101">
              <w:t>Submission from</w:t>
            </w:r>
            <w:r w:rsidR="00D10705" w:rsidRPr="002C309A">
              <w:t xml:space="preserve"> </w:t>
            </w:r>
            <w:r w:rsidR="00D10705">
              <w:t xml:space="preserve">the author’s counsel </w:t>
            </w:r>
            <w:r w:rsidRPr="004F2101">
              <w:t xml:space="preserve">: </w:t>
            </w:r>
          </w:p>
        </w:tc>
        <w:tc>
          <w:tcPr>
            <w:tcW w:w="4790" w:type="dxa"/>
            <w:tcBorders>
              <w:top w:val="nil"/>
              <w:bottom w:val="nil"/>
            </w:tcBorders>
            <w:shd w:val="clear" w:color="auto" w:fill="auto"/>
            <w:tcMar>
              <w:left w:w="28" w:type="dxa"/>
              <w:right w:w="28" w:type="dxa"/>
            </w:tcMar>
          </w:tcPr>
          <w:p w:rsidR="00AB44C1" w:rsidRDefault="00D10705" w:rsidP="00D26536">
            <w:pPr>
              <w:pStyle w:val="SingleTxtG"/>
              <w:keepNext/>
              <w:keepLines/>
              <w:suppressAutoHyphens w:val="0"/>
              <w:spacing w:before="40" w:line="220" w:lineRule="exact"/>
              <w:ind w:left="0" w:right="113"/>
              <w:jc w:val="left"/>
            </w:pPr>
            <w:r w:rsidRPr="002C309A">
              <w:t xml:space="preserve">27 </w:t>
            </w:r>
            <w:r>
              <w:t>February 2017</w:t>
            </w:r>
          </w:p>
          <w:p w:rsidR="00BA7CD4" w:rsidRDefault="00BA7CD4" w:rsidP="00D26536">
            <w:pPr>
              <w:pStyle w:val="SingleTxtG"/>
              <w:keepNext/>
              <w:keepLines/>
              <w:ind w:left="0" w:right="0"/>
              <w:rPr>
                <w:lang w:eastAsia="en-GB"/>
              </w:rPr>
            </w:pPr>
            <w:r w:rsidRPr="00823376">
              <w:rPr>
                <w:lang w:eastAsia="en-GB"/>
              </w:rPr>
              <w:t>The author’s counsel submits that on 17 February 2017, soo</w:t>
            </w:r>
            <w:r>
              <w:rPr>
                <w:lang w:eastAsia="en-GB"/>
              </w:rPr>
              <w:t>n after receiving the Committee’s</w:t>
            </w:r>
            <w:r w:rsidRPr="00823376">
              <w:rPr>
                <w:lang w:eastAsia="en-GB"/>
              </w:rPr>
              <w:t xml:space="preserve"> Views (transmitted on 2 February 2017), </w:t>
            </w:r>
            <w:r>
              <w:rPr>
                <w:lang w:eastAsia="en-GB"/>
              </w:rPr>
              <w:t xml:space="preserve">the author (victim’s son) </w:t>
            </w:r>
            <w:proofErr w:type="gramStart"/>
            <w:r>
              <w:rPr>
                <w:lang w:eastAsia="en-GB"/>
              </w:rPr>
              <w:t>was summoned</w:t>
            </w:r>
            <w:proofErr w:type="gramEnd"/>
            <w:r>
              <w:rPr>
                <w:lang w:eastAsia="en-GB"/>
              </w:rPr>
              <w:t xml:space="preserve"> before the </w:t>
            </w:r>
            <w:r w:rsidRPr="007367ED">
              <w:rPr>
                <w:lang w:eastAsia="en-GB"/>
              </w:rPr>
              <w:t xml:space="preserve">Commissariat central de la </w:t>
            </w:r>
            <w:proofErr w:type="spellStart"/>
            <w:r w:rsidRPr="007367ED">
              <w:rPr>
                <w:lang w:eastAsia="en-GB"/>
              </w:rPr>
              <w:t>sûreté</w:t>
            </w:r>
            <w:proofErr w:type="spellEnd"/>
            <w:r w:rsidRPr="00823376">
              <w:rPr>
                <w:lang w:eastAsia="en-GB"/>
              </w:rPr>
              <w:t xml:space="preserve"> </w:t>
            </w:r>
            <w:r>
              <w:rPr>
                <w:lang w:eastAsia="en-GB"/>
              </w:rPr>
              <w:t>of</w:t>
            </w:r>
            <w:r w:rsidRPr="00823376">
              <w:rPr>
                <w:lang w:eastAsia="en-GB"/>
              </w:rPr>
              <w:t xml:space="preserve"> </w:t>
            </w:r>
            <w:proofErr w:type="spellStart"/>
            <w:r w:rsidRPr="00823376">
              <w:rPr>
                <w:lang w:eastAsia="en-GB"/>
              </w:rPr>
              <w:t>Jijel</w:t>
            </w:r>
            <w:proofErr w:type="spellEnd"/>
            <w:r w:rsidRPr="00823376">
              <w:rPr>
                <w:lang w:eastAsia="en-GB"/>
              </w:rPr>
              <w:t xml:space="preserve">. The author then contacted his counsels, as well as the association </w:t>
            </w:r>
            <w:proofErr w:type="spellStart"/>
            <w:r w:rsidRPr="00823376">
              <w:rPr>
                <w:lang w:eastAsia="en-GB"/>
              </w:rPr>
              <w:t>Mish’al</w:t>
            </w:r>
            <w:proofErr w:type="spellEnd"/>
            <w:r>
              <w:rPr>
                <w:lang w:eastAsia="en-GB"/>
              </w:rPr>
              <w:t xml:space="preserve"> (working on disappearances)</w:t>
            </w:r>
            <w:r w:rsidRPr="00823376">
              <w:rPr>
                <w:lang w:eastAsia="en-GB"/>
              </w:rPr>
              <w:t xml:space="preserve">, </w:t>
            </w:r>
            <w:r>
              <w:rPr>
                <w:lang w:eastAsia="en-GB"/>
              </w:rPr>
              <w:t>with whom he shared his</w:t>
            </w:r>
            <w:r w:rsidRPr="00823376">
              <w:rPr>
                <w:lang w:eastAsia="en-GB"/>
              </w:rPr>
              <w:t xml:space="preserve"> concern over the fact that this summon may be related to the Committee’s decision. </w:t>
            </w:r>
          </w:p>
          <w:p w:rsidR="00BA7CD4" w:rsidRDefault="00BA7CD4" w:rsidP="00D26536">
            <w:pPr>
              <w:pStyle w:val="SingleTxtG"/>
              <w:keepNext/>
              <w:keepLines/>
              <w:ind w:left="-28" w:right="0"/>
              <w:rPr>
                <w:lang w:eastAsia="en-GB"/>
              </w:rPr>
            </w:pPr>
            <w:r w:rsidRPr="00823376">
              <w:rPr>
                <w:lang w:eastAsia="en-GB"/>
              </w:rPr>
              <w:t xml:space="preserve">On 20 February 2017, the author went to the Commissariat, where he </w:t>
            </w:r>
            <w:proofErr w:type="gramStart"/>
            <w:r w:rsidRPr="00823376">
              <w:rPr>
                <w:lang w:eastAsia="en-GB"/>
              </w:rPr>
              <w:t>was interrogated</w:t>
            </w:r>
            <w:proofErr w:type="gramEnd"/>
            <w:r w:rsidRPr="00823376">
              <w:rPr>
                <w:lang w:eastAsia="en-GB"/>
              </w:rPr>
              <w:t xml:space="preserve"> on an alleged Facebook account, </w:t>
            </w:r>
            <w:r>
              <w:rPr>
                <w:lang w:eastAsia="en-GB"/>
              </w:rPr>
              <w:t>in</w:t>
            </w:r>
            <w:r w:rsidRPr="00823376">
              <w:rPr>
                <w:lang w:eastAsia="en-GB"/>
              </w:rPr>
              <w:t xml:space="preserve"> which he reportedly defamed members of the local administration, </w:t>
            </w:r>
            <w:r>
              <w:rPr>
                <w:lang w:eastAsia="en-GB"/>
              </w:rPr>
              <w:t>accusing them</w:t>
            </w:r>
            <w:r w:rsidRPr="00823376">
              <w:rPr>
                <w:lang w:eastAsia="en-GB"/>
              </w:rPr>
              <w:t xml:space="preserve"> of corruption.</w:t>
            </w:r>
            <w:r>
              <w:rPr>
                <w:lang w:eastAsia="en-GB"/>
              </w:rPr>
              <w:t xml:space="preserve"> However, the author </w:t>
            </w:r>
            <w:proofErr w:type="gramStart"/>
            <w:r>
              <w:rPr>
                <w:lang w:eastAsia="en-GB"/>
              </w:rPr>
              <w:t>was</w:t>
            </w:r>
            <w:r w:rsidRPr="00823376">
              <w:rPr>
                <w:lang w:eastAsia="en-GB"/>
              </w:rPr>
              <w:t xml:space="preserve"> primarily interrogated</w:t>
            </w:r>
            <w:proofErr w:type="gramEnd"/>
            <w:r w:rsidRPr="00823376">
              <w:rPr>
                <w:lang w:eastAsia="en-GB"/>
              </w:rPr>
              <w:t xml:space="preserve"> over the complaint he brought before the Committee. </w:t>
            </w:r>
          </w:p>
          <w:p w:rsidR="00BA7CD4" w:rsidRDefault="00BA7CD4" w:rsidP="00D26536">
            <w:pPr>
              <w:pStyle w:val="SingleTxtG"/>
              <w:keepNext/>
              <w:keepLines/>
              <w:ind w:left="-28" w:right="0"/>
              <w:rPr>
                <w:lang w:eastAsia="en-GB"/>
              </w:rPr>
            </w:pPr>
            <w:r>
              <w:rPr>
                <w:lang w:eastAsia="en-GB"/>
              </w:rPr>
              <w:t xml:space="preserve">On the same day, at 4 pm, the </w:t>
            </w:r>
            <w:proofErr w:type="gramStart"/>
            <w:r>
              <w:rPr>
                <w:lang w:eastAsia="en-GB"/>
              </w:rPr>
              <w:t>author’s domicile was searched by the police</w:t>
            </w:r>
            <w:proofErr w:type="gramEnd"/>
            <w:r>
              <w:rPr>
                <w:lang w:eastAsia="en-GB"/>
              </w:rPr>
              <w:t xml:space="preserve">, and all documents related to his complaint brought before the Committee were seized. </w:t>
            </w:r>
            <w:proofErr w:type="spellStart"/>
            <w:r w:rsidRPr="00823376">
              <w:rPr>
                <w:lang w:eastAsia="en-GB"/>
              </w:rPr>
              <w:t>Rafik</w:t>
            </w:r>
            <w:proofErr w:type="spellEnd"/>
            <w:r w:rsidRPr="00823376">
              <w:rPr>
                <w:lang w:eastAsia="en-GB"/>
              </w:rPr>
              <w:t xml:space="preserve"> </w:t>
            </w:r>
            <w:proofErr w:type="spellStart"/>
            <w:r w:rsidRPr="00823376">
              <w:rPr>
                <w:lang w:eastAsia="en-GB"/>
              </w:rPr>
              <w:t>Belamrania</w:t>
            </w:r>
            <w:proofErr w:type="spellEnd"/>
            <w:r w:rsidRPr="00823376">
              <w:rPr>
                <w:lang w:eastAsia="en-GB"/>
              </w:rPr>
              <w:t xml:space="preserve"> </w:t>
            </w:r>
            <w:proofErr w:type="gramStart"/>
            <w:r w:rsidRPr="00823376">
              <w:rPr>
                <w:lang w:eastAsia="en-GB"/>
              </w:rPr>
              <w:t xml:space="preserve">was arrested, and presented the day after before the Prosecutor of the Republic of the </w:t>
            </w:r>
            <w:proofErr w:type="spellStart"/>
            <w:r w:rsidRPr="00823376">
              <w:rPr>
                <w:lang w:eastAsia="en-GB"/>
              </w:rPr>
              <w:t>Jijel</w:t>
            </w:r>
            <w:proofErr w:type="spellEnd"/>
            <w:r w:rsidRPr="00823376">
              <w:rPr>
                <w:lang w:eastAsia="en-GB"/>
              </w:rPr>
              <w:t xml:space="preserve"> tribunal,</w:t>
            </w:r>
            <w:proofErr w:type="gramEnd"/>
            <w:r w:rsidRPr="00823376">
              <w:rPr>
                <w:lang w:eastAsia="en-GB"/>
              </w:rPr>
              <w:t xml:space="preserve"> and a detention warrant was issued, on counts of « encouraging terrorism ». According to the author’s family, this is clearly a case of direct reprisals, for having pr</w:t>
            </w:r>
            <w:r>
              <w:rPr>
                <w:lang w:eastAsia="en-GB"/>
              </w:rPr>
              <w:t>esented a complaint before the C</w:t>
            </w:r>
            <w:r w:rsidRPr="00823376">
              <w:rPr>
                <w:lang w:eastAsia="en-GB"/>
              </w:rPr>
              <w:t>ommittee.</w:t>
            </w:r>
            <w:r>
              <w:rPr>
                <w:lang w:eastAsia="en-GB"/>
              </w:rPr>
              <w:t xml:space="preserve"> </w:t>
            </w:r>
            <w:r w:rsidRPr="00823376">
              <w:rPr>
                <w:lang w:eastAsia="en-GB"/>
              </w:rPr>
              <w:t xml:space="preserve"> </w:t>
            </w:r>
          </w:p>
          <w:p w:rsidR="00BA7CD4" w:rsidRDefault="00BA7CD4" w:rsidP="00D26536">
            <w:pPr>
              <w:pStyle w:val="SingleTxtG"/>
              <w:keepNext/>
              <w:keepLines/>
              <w:ind w:left="-28" w:right="0"/>
              <w:rPr>
                <w:lang w:eastAsia="en-GB"/>
              </w:rPr>
            </w:pPr>
            <w:r>
              <w:rPr>
                <w:lang w:eastAsia="en-GB"/>
              </w:rPr>
              <w:t>On 8 March 2017, the Committee, acting through the Rapporteur for follow-up to Views, and the Rapporteur on the question of reprisals, sent a letter to the State party, transmitting the letter received from the author’s counsel, and seeking clarifications, with a deadline of two weeks.</w:t>
            </w:r>
          </w:p>
          <w:p w:rsidR="00BA7CD4" w:rsidRPr="004F2101" w:rsidRDefault="00BA7CD4" w:rsidP="00D26536">
            <w:pPr>
              <w:pStyle w:val="SingleTxtG"/>
              <w:keepNext/>
              <w:keepLines/>
              <w:suppressAutoHyphens w:val="0"/>
              <w:spacing w:before="40" w:line="220" w:lineRule="exact"/>
              <w:ind w:left="0" w:right="113"/>
              <w:jc w:val="left"/>
            </w:pPr>
            <w:r>
              <w:rPr>
                <w:lang w:eastAsia="en-GB"/>
              </w:rPr>
              <w:t>The Rapporteur for follow-up to Views also met with representatives of the Permanent Mission of Algeria on 14 July 2017 (during the Committee’s 120</w:t>
            </w:r>
            <w:r w:rsidRPr="007367ED">
              <w:rPr>
                <w:lang w:eastAsia="en-GB"/>
              </w:rPr>
              <w:t>th</w:t>
            </w:r>
            <w:r>
              <w:rPr>
                <w:lang w:eastAsia="en-GB"/>
              </w:rPr>
              <w:t xml:space="preserve"> session).</w:t>
            </w:r>
          </w:p>
        </w:tc>
      </w:tr>
      <w:tr w:rsidR="001F683B" w:rsidRPr="004F2101" w:rsidTr="001F683B">
        <w:tc>
          <w:tcPr>
            <w:tcW w:w="2580" w:type="dxa"/>
            <w:tcBorders>
              <w:top w:val="nil"/>
            </w:tcBorders>
            <w:shd w:val="clear" w:color="auto" w:fill="auto"/>
            <w:tcMar>
              <w:left w:w="28" w:type="dxa"/>
              <w:right w:w="28" w:type="dxa"/>
            </w:tcMar>
          </w:tcPr>
          <w:p w:rsidR="001F683B" w:rsidRPr="004F2101" w:rsidRDefault="00BA7CD4" w:rsidP="001F683B">
            <w:pPr>
              <w:pStyle w:val="SingleTxtG"/>
              <w:keepNext/>
              <w:keepLines/>
              <w:suppressAutoHyphens w:val="0"/>
              <w:spacing w:before="40" w:line="220" w:lineRule="exact"/>
              <w:ind w:left="0" w:right="113"/>
              <w:jc w:val="left"/>
            </w:pPr>
            <w:r>
              <w:rPr>
                <w:lang w:eastAsia="en-GB"/>
              </w:rPr>
              <w:t>State party:</w:t>
            </w:r>
          </w:p>
        </w:tc>
        <w:tc>
          <w:tcPr>
            <w:tcW w:w="4790" w:type="dxa"/>
            <w:tcBorders>
              <w:top w:val="nil"/>
            </w:tcBorders>
            <w:shd w:val="clear" w:color="auto" w:fill="auto"/>
            <w:tcMar>
              <w:left w:w="28" w:type="dxa"/>
              <w:right w:w="28" w:type="dxa"/>
            </w:tcMar>
          </w:tcPr>
          <w:p w:rsidR="00BA7CD4" w:rsidRDefault="00BA7CD4" w:rsidP="00BA7CD4">
            <w:pPr>
              <w:pStyle w:val="SingleTxtG"/>
              <w:ind w:left="0" w:right="0"/>
              <w:rPr>
                <w:lang w:eastAsia="en-GB"/>
              </w:rPr>
            </w:pPr>
            <w:r>
              <w:rPr>
                <w:lang w:eastAsia="en-GB"/>
              </w:rPr>
              <w:t>18 July 2017</w:t>
            </w:r>
          </w:p>
          <w:p w:rsidR="00BA7CD4" w:rsidRDefault="00BA7CD4" w:rsidP="00BA7CD4">
            <w:pPr>
              <w:pStyle w:val="SingleTxtG"/>
              <w:ind w:left="0" w:right="0"/>
              <w:rPr>
                <w:lang w:eastAsia="en-GB"/>
              </w:rPr>
            </w:pPr>
            <w:r>
              <w:rPr>
                <w:lang w:eastAsia="en-GB"/>
              </w:rPr>
              <w:t xml:space="preserve">The State party explains that on 28 November 2016, the </w:t>
            </w:r>
            <w:proofErr w:type="gramStart"/>
            <w:r>
              <w:rPr>
                <w:lang w:eastAsia="en-GB"/>
              </w:rPr>
              <w:t xml:space="preserve">judicial police of </w:t>
            </w:r>
            <w:proofErr w:type="spellStart"/>
            <w:r>
              <w:rPr>
                <w:lang w:eastAsia="en-GB"/>
              </w:rPr>
              <w:t>Jijel</w:t>
            </w:r>
            <w:proofErr w:type="spellEnd"/>
            <w:r>
              <w:rPr>
                <w:lang w:eastAsia="en-GB"/>
              </w:rPr>
              <w:t xml:space="preserve"> was informed by the </w:t>
            </w:r>
            <w:proofErr w:type="spellStart"/>
            <w:r>
              <w:rPr>
                <w:lang w:eastAsia="en-GB"/>
              </w:rPr>
              <w:t>Wali</w:t>
            </w:r>
            <w:proofErr w:type="spellEnd"/>
            <w:proofErr w:type="gramEnd"/>
            <w:r>
              <w:rPr>
                <w:lang w:eastAsia="en-GB"/>
              </w:rPr>
              <w:t xml:space="preserve"> of </w:t>
            </w:r>
            <w:proofErr w:type="spellStart"/>
            <w:r>
              <w:rPr>
                <w:lang w:eastAsia="en-GB"/>
              </w:rPr>
              <w:t>Jijel</w:t>
            </w:r>
            <w:proofErr w:type="spellEnd"/>
            <w:r>
              <w:rPr>
                <w:lang w:eastAsia="en-GB"/>
              </w:rPr>
              <w:t xml:space="preserve"> that </w:t>
            </w:r>
            <w:proofErr w:type="spellStart"/>
            <w:r>
              <w:rPr>
                <w:lang w:eastAsia="en-GB"/>
              </w:rPr>
              <w:t>Rafik</w:t>
            </w:r>
            <w:proofErr w:type="spellEnd"/>
            <w:r>
              <w:rPr>
                <w:lang w:eastAsia="en-GB"/>
              </w:rPr>
              <w:t xml:space="preserve"> </w:t>
            </w:r>
            <w:proofErr w:type="spellStart"/>
            <w:r>
              <w:rPr>
                <w:lang w:eastAsia="en-GB"/>
              </w:rPr>
              <w:t>Belamrania</w:t>
            </w:r>
            <w:proofErr w:type="spellEnd"/>
            <w:r>
              <w:rPr>
                <w:lang w:eastAsia="en-GB"/>
              </w:rPr>
              <w:t xml:space="preserve"> was publically expressing its support to terrorist organisations, including </w:t>
            </w:r>
            <w:proofErr w:type="spellStart"/>
            <w:r>
              <w:rPr>
                <w:lang w:eastAsia="en-GB"/>
              </w:rPr>
              <w:t>Daesh</w:t>
            </w:r>
            <w:proofErr w:type="spellEnd"/>
            <w:r>
              <w:rPr>
                <w:lang w:eastAsia="en-GB"/>
              </w:rPr>
              <w:t xml:space="preserve">. Consequently, a search warrant </w:t>
            </w:r>
            <w:proofErr w:type="gramStart"/>
            <w:r>
              <w:rPr>
                <w:lang w:eastAsia="en-GB"/>
              </w:rPr>
              <w:t>was issued</w:t>
            </w:r>
            <w:proofErr w:type="gramEnd"/>
            <w:r>
              <w:rPr>
                <w:lang w:eastAsia="en-GB"/>
              </w:rPr>
              <w:t xml:space="preserve">, and documents were seized at the author’s domicile. On 20 February 2017, the latter </w:t>
            </w:r>
            <w:proofErr w:type="gramStart"/>
            <w:r>
              <w:rPr>
                <w:lang w:eastAsia="en-GB"/>
              </w:rPr>
              <w:t>was interrogated, and placed in detention</w:t>
            </w:r>
            <w:proofErr w:type="gramEnd"/>
            <w:r>
              <w:rPr>
                <w:lang w:eastAsia="en-GB"/>
              </w:rPr>
              <w:t xml:space="preserve">. On 22 February 2017, he was presented before the Prosecutor and charged with “encouraging terrorism”, and </w:t>
            </w:r>
            <w:proofErr w:type="gramStart"/>
            <w:r>
              <w:rPr>
                <w:lang w:eastAsia="en-GB"/>
              </w:rPr>
              <w:t>his detention was ordered by the investigative judge</w:t>
            </w:r>
            <w:proofErr w:type="gramEnd"/>
            <w:r>
              <w:rPr>
                <w:lang w:eastAsia="en-GB"/>
              </w:rPr>
              <w:t xml:space="preserve">. </w:t>
            </w:r>
          </w:p>
          <w:p w:rsidR="001F683B" w:rsidRPr="004F2101" w:rsidRDefault="00BA7CD4" w:rsidP="00BA7CD4">
            <w:pPr>
              <w:pStyle w:val="SingleTxtG"/>
              <w:ind w:left="-28" w:right="0"/>
              <w:rPr>
                <w:lang w:eastAsia="en-GB"/>
              </w:rPr>
            </w:pPr>
            <w:r>
              <w:rPr>
                <w:lang w:eastAsia="en-GB"/>
              </w:rPr>
              <w:t xml:space="preserve">The State party thus claims that </w:t>
            </w:r>
            <w:proofErr w:type="spellStart"/>
            <w:r>
              <w:rPr>
                <w:lang w:eastAsia="en-GB"/>
              </w:rPr>
              <w:t>Rafik</w:t>
            </w:r>
            <w:proofErr w:type="spellEnd"/>
            <w:r>
              <w:rPr>
                <w:lang w:eastAsia="en-GB"/>
              </w:rPr>
              <w:t xml:space="preserve"> </w:t>
            </w:r>
            <w:proofErr w:type="spellStart"/>
            <w:r>
              <w:rPr>
                <w:lang w:eastAsia="en-GB"/>
              </w:rPr>
              <w:t>Belamrania’s</w:t>
            </w:r>
            <w:proofErr w:type="spellEnd"/>
            <w:r>
              <w:rPr>
                <w:lang w:eastAsia="en-GB"/>
              </w:rPr>
              <w:t xml:space="preserve"> detention was not arbitrary; his preventive detention did not go beyond delays contemplated by law; that this is a terrorist-related case, and that the author’s allegations of reprisals are </w:t>
            </w:r>
            <w:proofErr w:type="gramStart"/>
            <w:r>
              <w:rPr>
                <w:lang w:eastAsia="en-GB"/>
              </w:rPr>
              <w:t>ill-founded</w:t>
            </w:r>
            <w:proofErr w:type="gramEnd"/>
            <w:r>
              <w:rPr>
                <w:lang w:eastAsia="en-GB"/>
              </w:rPr>
              <w:t>, as his arrest and detention are not related to the case of his father, which was presented before the Committee.</w:t>
            </w:r>
          </w:p>
        </w:tc>
      </w:tr>
      <w:tr w:rsidR="00AB44C1" w:rsidRPr="004F2101" w:rsidTr="001F683B">
        <w:tc>
          <w:tcPr>
            <w:tcW w:w="2580" w:type="dxa"/>
            <w:shd w:val="clear" w:color="auto" w:fill="auto"/>
            <w:tcMar>
              <w:left w:w="28" w:type="dxa"/>
              <w:right w:w="28" w:type="dxa"/>
            </w:tcMar>
          </w:tcPr>
          <w:p w:rsidR="00AB44C1" w:rsidRPr="004F2101" w:rsidRDefault="00AB44C1" w:rsidP="004B6BB4">
            <w:pPr>
              <w:pStyle w:val="SingleTxtG"/>
              <w:suppressAutoHyphens w:val="0"/>
              <w:spacing w:before="40" w:line="220" w:lineRule="exact"/>
              <w:ind w:left="0" w:right="113"/>
              <w:jc w:val="left"/>
            </w:pPr>
            <w:r w:rsidRPr="004F2101">
              <w:t>Committee</w:t>
            </w:r>
            <w:r w:rsidR="001D6817" w:rsidRPr="004F2101">
              <w:t>’</w:t>
            </w:r>
            <w:r w:rsidRPr="004F2101">
              <w:t>s assessment:</w:t>
            </w:r>
          </w:p>
        </w:tc>
        <w:tc>
          <w:tcPr>
            <w:tcW w:w="4790" w:type="dxa"/>
            <w:shd w:val="clear" w:color="auto" w:fill="auto"/>
            <w:tcMar>
              <w:left w:w="28" w:type="dxa"/>
              <w:right w:w="28" w:type="dxa"/>
            </w:tcMar>
          </w:tcPr>
          <w:p w:rsidR="00D10705" w:rsidRDefault="00D10705" w:rsidP="00D10705">
            <w:pPr>
              <w:suppressAutoHyphens w:val="0"/>
              <w:autoSpaceDE w:val="0"/>
              <w:autoSpaceDN w:val="0"/>
              <w:adjustRightInd w:val="0"/>
              <w:spacing w:before="40" w:after="120" w:line="220" w:lineRule="atLeast"/>
              <w:ind w:right="1275"/>
              <w:rPr>
                <w:lang w:eastAsia="en-GB"/>
              </w:rPr>
            </w:pPr>
            <w:r>
              <w:t xml:space="preserve">(a) </w:t>
            </w:r>
            <w:r>
              <w:tab/>
              <w:t>Effective</w:t>
            </w:r>
            <w:r w:rsidRPr="00E0693B">
              <w:t xml:space="preserve"> remedy</w:t>
            </w:r>
            <w:r w:rsidRPr="00C951DF">
              <w:rPr>
                <w:lang w:eastAsia="en-GB"/>
              </w:rPr>
              <w:t xml:space="preserve">: </w:t>
            </w:r>
            <w:r>
              <w:rPr>
                <w:lang w:eastAsia="en-GB"/>
              </w:rPr>
              <w:t>D</w:t>
            </w:r>
          </w:p>
          <w:p w:rsidR="00D10705" w:rsidRPr="00C951DF" w:rsidRDefault="00D10705" w:rsidP="00D10705">
            <w:pPr>
              <w:suppressAutoHyphens w:val="0"/>
              <w:autoSpaceDE w:val="0"/>
              <w:autoSpaceDN w:val="0"/>
              <w:adjustRightInd w:val="0"/>
              <w:spacing w:before="40" w:after="120" w:line="220" w:lineRule="atLeast"/>
              <w:ind w:right="1275"/>
              <w:rPr>
                <w:lang w:eastAsia="en-GB"/>
              </w:rPr>
            </w:pPr>
            <w:r>
              <w:rPr>
                <w:lang w:eastAsia="en-GB"/>
              </w:rPr>
              <w:t>(b)</w:t>
            </w:r>
            <w:r>
              <w:rPr>
                <w:lang w:eastAsia="en-GB"/>
              </w:rPr>
              <w:tab/>
            </w:r>
            <w:r w:rsidRPr="00C951DF">
              <w:rPr>
                <w:lang w:eastAsia="en-GB"/>
              </w:rPr>
              <w:t xml:space="preserve">Publication of Views: </w:t>
            </w:r>
            <w:r>
              <w:rPr>
                <w:lang w:eastAsia="en-GB"/>
              </w:rPr>
              <w:t>D</w:t>
            </w:r>
          </w:p>
          <w:p w:rsidR="00AB44C1" w:rsidRPr="004F2101" w:rsidRDefault="00D10705" w:rsidP="004B6BB4">
            <w:pPr>
              <w:pStyle w:val="SingleTxtG"/>
              <w:suppressAutoHyphens w:val="0"/>
              <w:spacing w:before="40" w:line="220" w:lineRule="exact"/>
              <w:ind w:left="0" w:right="113"/>
              <w:jc w:val="left"/>
            </w:pPr>
            <w:r>
              <w:rPr>
                <w:lang w:eastAsia="en-GB"/>
              </w:rPr>
              <w:t>(c)</w:t>
            </w:r>
            <w:r>
              <w:rPr>
                <w:lang w:eastAsia="en-GB"/>
              </w:rPr>
              <w:tab/>
            </w:r>
            <w:r w:rsidRPr="00C951DF">
              <w:rPr>
                <w:lang w:eastAsia="en-GB"/>
              </w:rPr>
              <w:t>Non</w:t>
            </w:r>
            <w:r>
              <w:rPr>
                <w:lang w:eastAsia="en-GB"/>
              </w:rPr>
              <w:t>-repetition: D</w:t>
            </w:r>
          </w:p>
        </w:tc>
      </w:tr>
      <w:tr w:rsidR="00AB44C1" w:rsidRPr="004F2101" w:rsidTr="001F683B">
        <w:tc>
          <w:tcPr>
            <w:tcW w:w="2580" w:type="dxa"/>
            <w:shd w:val="clear" w:color="auto" w:fill="auto"/>
            <w:tcMar>
              <w:left w:w="28" w:type="dxa"/>
              <w:right w:w="28" w:type="dxa"/>
            </w:tcMar>
          </w:tcPr>
          <w:p w:rsidR="00AB44C1" w:rsidRPr="004F2101" w:rsidRDefault="00AB44C1" w:rsidP="004B6BB4">
            <w:pPr>
              <w:pStyle w:val="SingleTxtG"/>
              <w:suppressAutoHyphens w:val="0"/>
              <w:spacing w:before="40" w:line="220" w:lineRule="exact"/>
              <w:ind w:left="0" w:right="113"/>
              <w:jc w:val="left"/>
            </w:pPr>
            <w:r w:rsidRPr="004F2101">
              <w:t>Committee</w:t>
            </w:r>
            <w:r w:rsidR="001D6817" w:rsidRPr="004F2101">
              <w:t>’</w:t>
            </w:r>
            <w:r w:rsidRPr="004F2101">
              <w:t xml:space="preserve">s decision: </w:t>
            </w:r>
          </w:p>
        </w:tc>
        <w:tc>
          <w:tcPr>
            <w:tcW w:w="4790" w:type="dxa"/>
            <w:shd w:val="clear" w:color="auto" w:fill="auto"/>
            <w:tcMar>
              <w:left w:w="28" w:type="dxa"/>
              <w:right w:w="28" w:type="dxa"/>
            </w:tcMar>
          </w:tcPr>
          <w:p w:rsidR="00AB44C1" w:rsidRPr="004F2101" w:rsidRDefault="007029C9" w:rsidP="004B6BB4">
            <w:pPr>
              <w:pStyle w:val="SingleTxtG"/>
              <w:suppressAutoHyphens w:val="0"/>
              <w:spacing w:before="40" w:line="220" w:lineRule="exact"/>
              <w:ind w:left="0" w:right="113"/>
              <w:jc w:val="left"/>
            </w:pPr>
            <w:r>
              <w:rPr>
                <w:lang w:eastAsia="en-GB"/>
              </w:rPr>
              <w:t>Follow-up dialogue ongoing</w:t>
            </w:r>
          </w:p>
        </w:tc>
      </w:tr>
    </w:tbl>
    <w:p w:rsidR="00AB44C1" w:rsidRPr="004F2101" w:rsidRDefault="00D10705" w:rsidP="00D10705">
      <w:pPr>
        <w:pStyle w:val="H23G"/>
        <w:ind w:left="0" w:firstLine="0"/>
      </w:pPr>
      <w:r>
        <w:tab/>
        <w:t>2.</w:t>
      </w:r>
      <w:r>
        <w:tab/>
        <w:t>Australia</w:t>
      </w:r>
      <w:r w:rsidR="00AB156A">
        <w:rPr>
          <w:rStyle w:val="FootnoteReference"/>
        </w:rPr>
        <w:footnoteReference w:id="4"/>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90"/>
      </w:tblGrid>
      <w:tr w:rsidR="00AB44C1" w:rsidRPr="004F2101" w:rsidTr="004D513B">
        <w:trPr>
          <w:tblHeader/>
        </w:trPr>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AB44C1" w:rsidRPr="00D10705" w:rsidRDefault="00D10705" w:rsidP="00D10705">
            <w:pPr>
              <w:pStyle w:val="SingleTxtG"/>
              <w:ind w:left="0"/>
              <w:jc w:val="left"/>
            </w:pPr>
            <w:r w:rsidRPr="00C951DF">
              <w:rPr>
                <w:b/>
              </w:rPr>
              <w:t>C</w:t>
            </w:r>
            <w:r>
              <w:rPr>
                <w:b/>
              </w:rPr>
              <w:t xml:space="preserve">ommunication No. 2229/2012, </w:t>
            </w:r>
            <w:r>
              <w:rPr>
                <w:b/>
                <w:i/>
                <w:color w:val="000000"/>
                <w:lang w:eastAsia="en-GB"/>
              </w:rPr>
              <w:t xml:space="preserve">Nasir </w:t>
            </w:r>
          </w:p>
        </w:tc>
      </w:tr>
      <w:tr w:rsidR="00AB44C1" w:rsidRPr="004F2101" w:rsidTr="004D513B">
        <w:tc>
          <w:tcPr>
            <w:tcW w:w="2580" w:type="dxa"/>
            <w:tcBorders>
              <w:top w:val="single" w:sz="12" w:space="0" w:color="auto"/>
            </w:tcBorders>
            <w:shd w:val="clear" w:color="auto" w:fill="auto"/>
            <w:tcMar>
              <w:left w:w="28" w:type="dxa"/>
              <w:right w:w="28" w:type="dxa"/>
            </w:tcMar>
          </w:tcPr>
          <w:p w:rsidR="00AB44C1" w:rsidRPr="004F2101" w:rsidRDefault="00AB44C1" w:rsidP="004D513B">
            <w:pPr>
              <w:pStyle w:val="SingleTxtG"/>
              <w:suppressAutoHyphens w:val="0"/>
              <w:spacing w:before="40" w:line="220" w:lineRule="exact"/>
              <w:ind w:left="0" w:right="113"/>
              <w:jc w:val="left"/>
            </w:pPr>
            <w:r w:rsidRPr="004F2101">
              <w:t>Views adopted:</w:t>
            </w:r>
          </w:p>
        </w:tc>
        <w:tc>
          <w:tcPr>
            <w:tcW w:w="4790" w:type="dxa"/>
            <w:tcBorders>
              <w:top w:val="single" w:sz="12" w:space="0" w:color="auto"/>
            </w:tcBorders>
            <w:shd w:val="clear" w:color="auto" w:fill="auto"/>
            <w:tcMar>
              <w:left w:w="28" w:type="dxa"/>
              <w:right w:w="28" w:type="dxa"/>
            </w:tcMar>
          </w:tcPr>
          <w:p w:rsidR="00AB44C1" w:rsidRPr="004F2101" w:rsidRDefault="00D10705" w:rsidP="004D513B">
            <w:pPr>
              <w:pStyle w:val="SingleTxtG"/>
              <w:suppressAutoHyphens w:val="0"/>
              <w:spacing w:before="40" w:line="220" w:lineRule="exact"/>
              <w:ind w:left="0" w:right="113"/>
              <w:jc w:val="left"/>
            </w:pPr>
            <w:r>
              <w:t>29 March 2016</w:t>
            </w:r>
          </w:p>
        </w:tc>
      </w:tr>
      <w:tr w:rsidR="00AB44C1" w:rsidRPr="004F2101" w:rsidTr="004D513B">
        <w:tc>
          <w:tcPr>
            <w:tcW w:w="2580" w:type="dxa"/>
            <w:shd w:val="clear" w:color="auto" w:fill="auto"/>
            <w:tcMar>
              <w:left w:w="28" w:type="dxa"/>
              <w:right w:w="28" w:type="dxa"/>
            </w:tcMar>
          </w:tcPr>
          <w:p w:rsidR="00AB44C1" w:rsidRPr="004F2101" w:rsidRDefault="00AB44C1" w:rsidP="004D513B">
            <w:pPr>
              <w:pStyle w:val="SingleTxtG"/>
              <w:suppressAutoHyphens w:val="0"/>
              <w:spacing w:before="40" w:line="220" w:lineRule="exact"/>
              <w:ind w:left="0" w:right="113"/>
              <w:jc w:val="left"/>
            </w:pPr>
            <w:r w:rsidRPr="004F2101">
              <w:t>Violation:</w:t>
            </w:r>
          </w:p>
        </w:tc>
        <w:tc>
          <w:tcPr>
            <w:tcW w:w="4790" w:type="dxa"/>
            <w:shd w:val="clear" w:color="auto" w:fill="auto"/>
            <w:tcMar>
              <w:left w:w="28" w:type="dxa"/>
              <w:right w:w="28" w:type="dxa"/>
            </w:tcMar>
          </w:tcPr>
          <w:p w:rsidR="00AB44C1" w:rsidRPr="004F2101" w:rsidRDefault="00D10705" w:rsidP="004D513B">
            <w:pPr>
              <w:pStyle w:val="SingleTxtG"/>
              <w:suppressAutoHyphens w:val="0"/>
              <w:spacing w:before="40" w:line="220" w:lineRule="exact"/>
              <w:ind w:left="0" w:right="113"/>
              <w:jc w:val="left"/>
            </w:pPr>
            <w:r>
              <w:t>article 9 (1), (3) and (4)</w:t>
            </w:r>
          </w:p>
        </w:tc>
      </w:tr>
      <w:tr w:rsidR="00AB44C1" w:rsidRPr="004F2101" w:rsidTr="004D513B">
        <w:tc>
          <w:tcPr>
            <w:tcW w:w="2580" w:type="dxa"/>
            <w:shd w:val="clear" w:color="auto" w:fill="auto"/>
            <w:tcMar>
              <w:left w:w="28" w:type="dxa"/>
              <w:right w:w="28" w:type="dxa"/>
            </w:tcMar>
          </w:tcPr>
          <w:p w:rsidR="00AB44C1" w:rsidRPr="004F2101" w:rsidRDefault="00AB44C1" w:rsidP="004D513B">
            <w:pPr>
              <w:pStyle w:val="SingleTxtG"/>
              <w:suppressAutoHyphens w:val="0"/>
              <w:spacing w:before="40" w:line="220" w:lineRule="exact"/>
              <w:ind w:left="0" w:right="113"/>
              <w:jc w:val="left"/>
            </w:pPr>
            <w:r w:rsidRPr="004F2101">
              <w:t>Remedy:</w:t>
            </w:r>
          </w:p>
        </w:tc>
        <w:tc>
          <w:tcPr>
            <w:tcW w:w="4790" w:type="dxa"/>
            <w:shd w:val="clear" w:color="auto" w:fill="auto"/>
            <w:tcMar>
              <w:left w:w="28" w:type="dxa"/>
              <w:right w:w="28" w:type="dxa"/>
            </w:tcMar>
          </w:tcPr>
          <w:p w:rsidR="00AB44C1" w:rsidRPr="004F2101" w:rsidRDefault="00D10705" w:rsidP="004D513B">
            <w:pPr>
              <w:pStyle w:val="SingleTxtG"/>
              <w:suppressAutoHyphens w:val="0"/>
              <w:spacing w:before="40" w:line="220" w:lineRule="exact"/>
              <w:ind w:left="0" w:right="113"/>
              <w:jc w:val="left"/>
            </w:pPr>
            <w:r>
              <w:rPr>
                <w:bCs/>
              </w:rPr>
              <w:t>Adequate compensation</w:t>
            </w:r>
          </w:p>
        </w:tc>
      </w:tr>
      <w:tr w:rsidR="00AB44C1" w:rsidRPr="004F2101" w:rsidTr="004D513B">
        <w:tc>
          <w:tcPr>
            <w:tcW w:w="2580" w:type="dxa"/>
            <w:shd w:val="clear" w:color="auto" w:fill="auto"/>
            <w:tcMar>
              <w:left w:w="28" w:type="dxa"/>
              <w:right w:w="28" w:type="dxa"/>
            </w:tcMar>
          </w:tcPr>
          <w:p w:rsidR="00AB44C1" w:rsidRPr="004F2101" w:rsidRDefault="00AB44C1" w:rsidP="004D513B">
            <w:pPr>
              <w:pStyle w:val="SingleTxtG"/>
              <w:suppressAutoHyphens w:val="0"/>
              <w:spacing w:before="40" w:line="220" w:lineRule="exact"/>
              <w:ind w:left="0" w:right="113"/>
              <w:jc w:val="left"/>
            </w:pPr>
            <w:r w:rsidRPr="004F2101">
              <w:t>Subject matter:</w:t>
            </w:r>
          </w:p>
        </w:tc>
        <w:tc>
          <w:tcPr>
            <w:tcW w:w="4790" w:type="dxa"/>
            <w:shd w:val="clear" w:color="auto" w:fill="auto"/>
            <w:tcMar>
              <w:left w:w="28" w:type="dxa"/>
              <w:right w:w="28" w:type="dxa"/>
            </w:tcMar>
          </w:tcPr>
          <w:p w:rsidR="00AB44C1" w:rsidRPr="004F2101" w:rsidRDefault="00D10705" w:rsidP="004D513B">
            <w:pPr>
              <w:pStyle w:val="SingleTxtG"/>
              <w:suppressAutoHyphens w:val="0"/>
              <w:spacing w:before="40" w:line="220" w:lineRule="exact"/>
              <w:ind w:left="0" w:right="113"/>
              <w:jc w:val="left"/>
            </w:pPr>
            <w:r>
              <w:rPr>
                <w:lang w:val="en"/>
              </w:rPr>
              <w:t>Detention and conviction for smuggling of persons</w:t>
            </w:r>
          </w:p>
        </w:tc>
      </w:tr>
      <w:tr w:rsidR="00AB44C1" w:rsidRPr="004F2101" w:rsidTr="004D513B">
        <w:tc>
          <w:tcPr>
            <w:tcW w:w="2580" w:type="dxa"/>
            <w:shd w:val="clear" w:color="auto" w:fill="auto"/>
            <w:tcMar>
              <w:left w:w="28" w:type="dxa"/>
              <w:right w:w="28" w:type="dxa"/>
            </w:tcMar>
          </w:tcPr>
          <w:p w:rsidR="00AB44C1" w:rsidRPr="004F2101" w:rsidRDefault="00AB44C1" w:rsidP="004D513B">
            <w:pPr>
              <w:pStyle w:val="SingleTxtG"/>
              <w:suppressAutoHyphens w:val="0"/>
              <w:spacing w:before="40" w:line="220" w:lineRule="exact"/>
              <w:ind w:left="0" w:right="113"/>
              <w:jc w:val="left"/>
            </w:pPr>
            <w:r w:rsidRPr="004F2101">
              <w:t>Previous follow-up information:</w:t>
            </w:r>
          </w:p>
        </w:tc>
        <w:tc>
          <w:tcPr>
            <w:tcW w:w="4790" w:type="dxa"/>
            <w:shd w:val="clear" w:color="auto" w:fill="auto"/>
            <w:tcMar>
              <w:left w:w="28" w:type="dxa"/>
              <w:right w:w="28" w:type="dxa"/>
            </w:tcMar>
          </w:tcPr>
          <w:p w:rsidR="00AB44C1" w:rsidRPr="004F2101" w:rsidRDefault="00AB44C1" w:rsidP="004D513B">
            <w:pPr>
              <w:pStyle w:val="SingleTxtG"/>
              <w:suppressAutoHyphens w:val="0"/>
              <w:spacing w:before="40" w:line="220" w:lineRule="exact"/>
              <w:ind w:left="0" w:right="113"/>
              <w:jc w:val="left"/>
            </w:pPr>
            <w:r w:rsidRPr="004F2101">
              <w:t>None</w:t>
            </w:r>
          </w:p>
        </w:tc>
      </w:tr>
      <w:tr w:rsidR="00AB44C1" w:rsidRPr="004F2101" w:rsidTr="004D513B">
        <w:tc>
          <w:tcPr>
            <w:tcW w:w="2580" w:type="dxa"/>
            <w:shd w:val="clear" w:color="auto" w:fill="auto"/>
            <w:tcMar>
              <w:left w:w="28" w:type="dxa"/>
              <w:right w:w="28" w:type="dxa"/>
            </w:tcMar>
          </w:tcPr>
          <w:p w:rsidR="00AB44C1" w:rsidRPr="004F2101" w:rsidRDefault="00AB44C1" w:rsidP="00134D3A">
            <w:pPr>
              <w:pStyle w:val="SingleTxtG"/>
              <w:suppressAutoHyphens w:val="0"/>
              <w:spacing w:before="40" w:line="220" w:lineRule="exact"/>
              <w:ind w:left="0" w:right="113"/>
              <w:jc w:val="left"/>
            </w:pPr>
            <w:r w:rsidRPr="004F2101">
              <w:t>Submission from</w:t>
            </w:r>
            <w:r w:rsidR="00134D3A">
              <w:t xml:space="preserve"> State party</w:t>
            </w:r>
            <w:r w:rsidRPr="004F2101">
              <w:t>:</w:t>
            </w:r>
          </w:p>
        </w:tc>
        <w:tc>
          <w:tcPr>
            <w:tcW w:w="4790" w:type="dxa"/>
            <w:shd w:val="clear" w:color="auto" w:fill="auto"/>
            <w:tcMar>
              <w:left w:w="28" w:type="dxa"/>
              <w:right w:w="28" w:type="dxa"/>
            </w:tcMar>
          </w:tcPr>
          <w:p w:rsidR="00134D3A" w:rsidRPr="005D1B75" w:rsidRDefault="00134D3A" w:rsidP="00BA7CD4">
            <w:pPr>
              <w:suppressAutoHyphens w:val="0"/>
              <w:autoSpaceDE w:val="0"/>
              <w:autoSpaceDN w:val="0"/>
              <w:adjustRightInd w:val="0"/>
              <w:spacing w:before="40" w:after="120" w:line="220" w:lineRule="atLeast"/>
              <w:rPr>
                <w:lang w:eastAsia="en-GB"/>
              </w:rPr>
            </w:pPr>
            <w:r>
              <w:rPr>
                <w:lang w:eastAsia="en-GB"/>
              </w:rPr>
              <w:t xml:space="preserve">13 December 2016 </w:t>
            </w:r>
          </w:p>
          <w:p w:rsidR="00134D3A" w:rsidRPr="007367ED" w:rsidRDefault="00134D3A" w:rsidP="00134D3A">
            <w:pPr>
              <w:pStyle w:val="SingleTxtG"/>
              <w:ind w:left="0" w:right="0"/>
              <w:rPr>
                <w:lang w:eastAsia="en-GB"/>
              </w:rPr>
            </w:pPr>
            <w:r>
              <w:rPr>
                <w:lang w:eastAsia="en-GB"/>
              </w:rPr>
              <w:t>The</w:t>
            </w:r>
            <w:r w:rsidRPr="007367ED">
              <w:rPr>
                <w:lang w:eastAsia="en-GB"/>
              </w:rPr>
              <w:t xml:space="preserve"> Views </w:t>
            </w:r>
            <w:proofErr w:type="gramStart"/>
            <w:r w:rsidRPr="007367ED">
              <w:rPr>
                <w:lang w:eastAsia="en-GB"/>
              </w:rPr>
              <w:t>will be published</w:t>
            </w:r>
            <w:proofErr w:type="gramEnd"/>
            <w:r w:rsidRPr="007367ED">
              <w:rPr>
                <w:lang w:eastAsia="en-GB"/>
              </w:rPr>
              <w:t xml:space="preserve"> on the website of the Australian Attorney-General’s Department.</w:t>
            </w:r>
          </w:p>
          <w:p w:rsidR="00134D3A" w:rsidRDefault="00134D3A" w:rsidP="00134D3A">
            <w:pPr>
              <w:pStyle w:val="SingleTxtG"/>
              <w:ind w:left="0" w:right="0"/>
              <w:rPr>
                <w:lang w:eastAsia="en-GB"/>
              </w:rPr>
            </w:pPr>
            <w:r w:rsidRPr="007367ED">
              <w:rPr>
                <w:lang w:eastAsia="en-GB"/>
              </w:rPr>
              <w:t xml:space="preserve">Australia acknowledges its obligations under the Covenant </w:t>
            </w:r>
            <w:r>
              <w:rPr>
                <w:lang w:eastAsia="en-GB"/>
              </w:rPr>
              <w:t xml:space="preserve">and </w:t>
            </w:r>
            <w:r w:rsidRPr="007367ED">
              <w:rPr>
                <w:lang w:eastAsia="en-GB"/>
              </w:rPr>
              <w:t xml:space="preserve">takes its obligations under international human rights law seriously. </w:t>
            </w:r>
          </w:p>
          <w:p w:rsidR="00134D3A" w:rsidRPr="007367ED" w:rsidRDefault="00134D3A" w:rsidP="00134D3A">
            <w:pPr>
              <w:pStyle w:val="SingleTxtG"/>
              <w:ind w:left="0" w:right="0"/>
              <w:rPr>
                <w:lang w:eastAsia="en-GB"/>
              </w:rPr>
            </w:pPr>
            <w:r>
              <w:rPr>
                <w:lang w:eastAsia="en-GB"/>
              </w:rPr>
              <w:t>Concerning the issue of mandatory minimum s</w:t>
            </w:r>
            <w:r w:rsidRPr="007367ED">
              <w:rPr>
                <w:lang w:eastAsia="en-GB"/>
              </w:rPr>
              <w:t>entencing</w:t>
            </w:r>
            <w:r>
              <w:rPr>
                <w:lang w:eastAsia="en-GB"/>
              </w:rPr>
              <w:t xml:space="preserve">, </w:t>
            </w:r>
            <w:r w:rsidRPr="007367ED">
              <w:rPr>
                <w:lang w:eastAsia="en-GB"/>
              </w:rPr>
              <w:t xml:space="preserve">Australia welcomes the Committee’s view that mandatory minimum sentencing is </w:t>
            </w:r>
            <w:proofErr w:type="gramStart"/>
            <w:r w:rsidRPr="007367ED">
              <w:rPr>
                <w:lang w:eastAsia="en-GB"/>
              </w:rPr>
              <w:t>not incompatible</w:t>
            </w:r>
            <w:proofErr w:type="gramEnd"/>
            <w:r w:rsidRPr="007367ED">
              <w:rPr>
                <w:lang w:eastAsia="en-GB"/>
              </w:rPr>
              <w:t xml:space="preserve"> per se with the Covenant.</w:t>
            </w:r>
          </w:p>
          <w:p w:rsidR="00134D3A" w:rsidRPr="007367ED" w:rsidRDefault="00134D3A" w:rsidP="00134D3A">
            <w:pPr>
              <w:pStyle w:val="SingleTxtG"/>
              <w:ind w:left="0" w:right="0"/>
              <w:rPr>
                <w:lang w:eastAsia="en-GB"/>
              </w:rPr>
            </w:pPr>
            <w:r w:rsidRPr="007367ED">
              <w:rPr>
                <w:lang w:eastAsia="en-GB"/>
              </w:rPr>
              <w:t xml:space="preserve">Australia </w:t>
            </w:r>
            <w:r>
              <w:rPr>
                <w:lang w:eastAsia="en-GB"/>
              </w:rPr>
              <w:t xml:space="preserve">however </w:t>
            </w:r>
            <w:r w:rsidRPr="007367ED">
              <w:rPr>
                <w:lang w:eastAsia="en-GB"/>
              </w:rPr>
              <w:t>disagrees with the Committee’s view that Australia violated the author’s rights under Article 9(1) of the Covenant.</w:t>
            </w:r>
            <w:r>
              <w:rPr>
                <w:lang w:eastAsia="en-GB"/>
              </w:rPr>
              <w:t xml:space="preserve"> H</w:t>
            </w:r>
            <w:r w:rsidRPr="007367ED">
              <w:rPr>
                <w:lang w:eastAsia="en-GB"/>
              </w:rPr>
              <w:t>is pre</w:t>
            </w:r>
            <w:r w:rsidRPr="007367ED">
              <w:rPr>
                <w:lang w:eastAsia="en-GB"/>
              </w:rPr>
              <w:noBreakHyphen/>
              <w:t>trial immigration detention</w:t>
            </w:r>
            <w:r>
              <w:rPr>
                <w:lang w:eastAsia="en-GB"/>
              </w:rPr>
              <w:t xml:space="preserve"> was justified as</w:t>
            </w:r>
            <w:r w:rsidRPr="007367ED">
              <w:rPr>
                <w:lang w:eastAsia="en-GB"/>
              </w:rPr>
              <w:t xml:space="preserve"> necessary because he did not have a valid visa to enter or remain in Australia. The Attorney</w:t>
            </w:r>
            <w:r w:rsidRPr="007367ED">
              <w:rPr>
                <w:lang w:eastAsia="en-GB"/>
              </w:rPr>
              <w:noBreakHyphen/>
              <w:t>General issued a criminal justice stay certi</w:t>
            </w:r>
            <w:r>
              <w:rPr>
                <w:lang w:eastAsia="en-GB"/>
              </w:rPr>
              <w:t xml:space="preserve">ficate in respect of the author, </w:t>
            </w:r>
            <w:r w:rsidRPr="007367ED">
              <w:rPr>
                <w:lang w:eastAsia="en-GB"/>
              </w:rPr>
              <w:t xml:space="preserve">with the effect of staying </w:t>
            </w:r>
            <w:r>
              <w:rPr>
                <w:lang w:eastAsia="en-GB"/>
              </w:rPr>
              <w:t>his</w:t>
            </w:r>
            <w:r w:rsidRPr="007367ED">
              <w:rPr>
                <w:lang w:eastAsia="en-GB"/>
              </w:rPr>
              <w:t xml:space="preserve"> deportation. This did not alter the basis of </w:t>
            </w:r>
            <w:r>
              <w:rPr>
                <w:lang w:eastAsia="en-GB"/>
              </w:rPr>
              <w:t xml:space="preserve">his detention </w:t>
            </w:r>
            <w:r w:rsidRPr="007367ED">
              <w:rPr>
                <w:lang w:eastAsia="en-GB"/>
              </w:rPr>
              <w:t>under the Migration Act</w:t>
            </w:r>
            <w:r w:rsidRPr="00C555D3">
              <w:rPr>
                <w:lang w:eastAsia="en-GB"/>
              </w:rPr>
              <w:t>.</w:t>
            </w:r>
          </w:p>
          <w:p w:rsidR="00134D3A" w:rsidRPr="007367ED" w:rsidRDefault="00134D3A" w:rsidP="00134D3A">
            <w:pPr>
              <w:pStyle w:val="SingleTxtG"/>
              <w:ind w:left="0" w:right="0"/>
              <w:rPr>
                <w:lang w:eastAsia="en-GB"/>
              </w:rPr>
            </w:pPr>
            <w:r w:rsidRPr="007367ED">
              <w:rPr>
                <w:lang w:eastAsia="en-GB"/>
              </w:rPr>
              <w:t xml:space="preserve">The author </w:t>
            </w:r>
            <w:proofErr w:type="gramStart"/>
            <w:r w:rsidRPr="007367ED">
              <w:rPr>
                <w:lang w:eastAsia="en-GB"/>
              </w:rPr>
              <w:t xml:space="preserve">was interviewed by the </w:t>
            </w:r>
            <w:r>
              <w:rPr>
                <w:lang w:eastAsia="en-GB"/>
              </w:rPr>
              <w:t>p</w:t>
            </w:r>
            <w:r w:rsidRPr="007367ED">
              <w:rPr>
                <w:lang w:eastAsia="en-GB"/>
              </w:rPr>
              <w:t>olice on 29 June 2010 and charged on 4 August 2010</w:t>
            </w:r>
            <w:proofErr w:type="gramEnd"/>
            <w:r w:rsidRPr="007367ED">
              <w:rPr>
                <w:lang w:eastAsia="en-GB"/>
              </w:rPr>
              <w:t xml:space="preserve">. </w:t>
            </w:r>
            <w:r>
              <w:rPr>
                <w:lang w:eastAsia="en-GB"/>
              </w:rPr>
              <w:t>His</w:t>
            </w:r>
            <w:r w:rsidRPr="007367ED">
              <w:rPr>
                <w:lang w:eastAsia="en-GB"/>
              </w:rPr>
              <w:t xml:space="preserve"> case was under active investigation during the period between </w:t>
            </w:r>
            <w:proofErr w:type="gramStart"/>
            <w:r w:rsidRPr="007367ED">
              <w:rPr>
                <w:lang w:eastAsia="en-GB"/>
              </w:rPr>
              <w:t>the issuance of a criminal justice stay certificate and when the author was charged</w:t>
            </w:r>
            <w:proofErr w:type="gramEnd"/>
            <w:r w:rsidRPr="007367ED">
              <w:rPr>
                <w:lang w:eastAsia="en-GB"/>
              </w:rPr>
              <w:t xml:space="preserve">. The day after he was charged, the author appeared before a court, which decided that he </w:t>
            </w:r>
            <w:proofErr w:type="gramStart"/>
            <w:r w:rsidRPr="007367ED">
              <w:rPr>
                <w:lang w:eastAsia="en-GB"/>
              </w:rPr>
              <w:t>should be remanded</w:t>
            </w:r>
            <w:proofErr w:type="gramEnd"/>
            <w:r w:rsidRPr="007367ED">
              <w:rPr>
                <w:lang w:eastAsia="en-GB"/>
              </w:rPr>
              <w:t xml:space="preserve"> in custody, pending his trial. </w:t>
            </w:r>
            <w:r>
              <w:rPr>
                <w:lang w:eastAsia="en-GB"/>
              </w:rPr>
              <w:t>His</w:t>
            </w:r>
            <w:r w:rsidRPr="007367ED">
              <w:rPr>
                <w:lang w:eastAsia="en-GB"/>
              </w:rPr>
              <w:t xml:space="preserve"> detention was subject to the supervision and review of the court whilst he was on remand.</w:t>
            </w:r>
          </w:p>
          <w:p w:rsidR="00134D3A" w:rsidRPr="007367ED" w:rsidRDefault="00134D3A" w:rsidP="00134D3A">
            <w:pPr>
              <w:pStyle w:val="SingleTxtG"/>
              <w:ind w:left="0" w:right="0"/>
              <w:rPr>
                <w:lang w:eastAsia="en-GB"/>
              </w:rPr>
            </w:pPr>
            <w:r w:rsidRPr="007367ED">
              <w:rPr>
                <w:lang w:eastAsia="en-GB"/>
              </w:rPr>
              <w:t xml:space="preserve">For </w:t>
            </w:r>
            <w:proofErr w:type="gramStart"/>
            <w:r w:rsidRPr="007367ED">
              <w:rPr>
                <w:lang w:eastAsia="en-GB"/>
              </w:rPr>
              <w:t>these</w:t>
            </w:r>
            <w:proofErr w:type="gramEnd"/>
            <w:r w:rsidRPr="007367ED">
              <w:rPr>
                <w:lang w:eastAsia="en-GB"/>
              </w:rPr>
              <w:t xml:space="preserve"> reasons Australia considers that the author’s detention was consistent with Article 9(1) and that the author’s immigration detention was sufficiently justified as reasonable, necessary and proportionate in light of the circumstances of the case. </w:t>
            </w:r>
          </w:p>
          <w:p w:rsidR="00134D3A" w:rsidRPr="007367ED" w:rsidRDefault="00134D3A" w:rsidP="00134D3A">
            <w:pPr>
              <w:pStyle w:val="SingleTxtG"/>
              <w:ind w:left="0" w:right="0"/>
              <w:rPr>
                <w:lang w:eastAsia="en-GB"/>
              </w:rPr>
            </w:pPr>
            <w:r>
              <w:rPr>
                <w:lang w:eastAsia="en-GB"/>
              </w:rPr>
              <w:t xml:space="preserve">Regarding article 9(3), </w:t>
            </w:r>
            <w:r w:rsidRPr="007367ED">
              <w:rPr>
                <w:lang w:eastAsia="en-GB"/>
              </w:rPr>
              <w:t xml:space="preserve">Australia </w:t>
            </w:r>
            <w:r>
              <w:rPr>
                <w:lang w:eastAsia="en-GB"/>
              </w:rPr>
              <w:t xml:space="preserve">also </w:t>
            </w:r>
            <w:r w:rsidRPr="007367ED">
              <w:rPr>
                <w:lang w:eastAsia="en-GB"/>
              </w:rPr>
              <w:t xml:space="preserve">disagrees with the Committee’s view. </w:t>
            </w:r>
            <w:r>
              <w:rPr>
                <w:lang w:eastAsia="en-GB"/>
              </w:rPr>
              <w:t>It believes that t</w:t>
            </w:r>
            <w:r w:rsidRPr="007367ED">
              <w:rPr>
                <w:lang w:eastAsia="en-GB"/>
              </w:rPr>
              <w:t xml:space="preserve">he </w:t>
            </w:r>
            <w:r>
              <w:rPr>
                <w:lang w:eastAsia="en-GB"/>
              </w:rPr>
              <w:t>obligation in a</w:t>
            </w:r>
            <w:r w:rsidRPr="007367ED">
              <w:rPr>
                <w:lang w:eastAsia="en-GB"/>
              </w:rPr>
              <w:t xml:space="preserve">rticle 9(3) is narrower than the interpretation expressed by the Committee.  </w:t>
            </w:r>
            <w:r>
              <w:rPr>
                <w:lang w:eastAsia="en-GB"/>
              </w:rPr>
              <w:t>T</w:t>
            </w:r>
            <w:r w:rsidRPr="007367ED">
              <w:rPr>
                <w:lang w:eastAsia="en-GB"/>
              </w:rPr>
              <w:t xml:space="preserve">he right to </w:t>
            </w:r>
            <w:proofErr w:type="gramStart"/>
            <w:r w:rsidRPr="007367ED">
              <w:rPr>
                <w:lang w:eastAsia="en-GB"/>
              </w:rPr>
              <w:t>be brought</w:t>
            </w:r>
            <w:proofErr w:type="gramEnd"/>
            <w:r w:rsidRPr="007367ED">
              <w:rPr>
                <w:lang w:eastAsia="en-GB"/>
              </w:rPr>
              <w:t xml:space="preserve"> promptly before a judge rests on the factual requirement that a person has been arrested or detained on a criminal charge. </w:t>
            </w:r>
            <w:r>
              <w:rPr>
                <w:lang w:eastAsia="en-GB"/>
              </w:rPr>
              <w:t>In this case</w:t>
            </w:r>
            <w:r w:rsidRPr="007367ED">
              <w:rPr>
                <w:lang w:eastAsia="en-GB"/>
              </w:rPr>
              <w:t xml:space="preserve">, the author </w:t>
            </w:r>
            <w:proofErr w:type="gramStart"/>
            <w:r w:rsidRPr="007367ED">
              <w:rPr>
                <w:lang w:eastAsia="en-GB"/>
              </w:rPr>
              <w:t>was not detained</w:t>
            </w:r>
            <w:proofErr w:type="gramEnd"/>
            <w:r w:rsidRPr="007367ED">
              <w:rPr>
                <w:lang w:eastAsia="en-GB"/>
              </w:rPr>
              <w:t xml:space="preserve"> ‘on a criminal charge’ prior to 4 August 2010, rather, he was detained for immigration purposes, specifically, on the basis that he did not have a valid visa. </w:t>
            </w:r>
          </w:p>
          <w:p w:rsidR="00134D3A" w:rsidRPr="007367ED" w:rsidRDefault="00134D3A" w:rsidP="00134D3A">
            <w:pPr>
              <w:pStyle w:val="SingleTxtG"/>
              <w:ind w:left="0" w:right="0"/>
              <w:rPr>
                <w:lang w:eastAsia="en-GB"/>
              </w:rPr>
            </w:pPr>
            <w:r>
              <w:rPr>
                <w:lang w:eastAsia="en-GB"/>
              </w:rPr>
              <w:t xml:space="preserve">Concerning article 9(4), </w:t>
            </w:r>
            <w:r w:rsidRPr="007367ED">
              <w:rPr>
                <w:lang w:eastAsia="en-GB"/>
              </w:rPr>
              <w:t xml:space="preserve">Australia </w:t>
            </w:r>
            <w:r>
              <w:rPr>
                <w:lang w:eastAsia="en-GB"/>
              </w:rPr>
              <w:t>reiterates its position that a</w:t>
            </w:r>
            <w:r w:rsidRPr="007367ED">
              <w:rPr>
                <w:lang w:eastAsia="en-GB"/>
              </w:rPr>
              <w:t xml:space="preserve">rticle 9(4) requires the review of the legality of detention under domestic law. </w:t>
            </w:r>
            <w:r>
              <w:rPr>
                <w:lang w:eastAsia="en-GB"/>
              </w:rPr>
              <w:t>T</w:t>
            </w:r>
            <w:r w:rsidRPr="007367ED">
              <w:rPr>
                <w:lang w:eastAsia="en-GB"/>
              </w:rPr>
              <w:t xml:space="preserve">he Committee should have considered the author’s claims under </w:t>
            </w:r>
            <w:r>
              <w:rPr>
                <w:lang w:eastAsia="en-GB"/>
              </w:rPr>
              <w:t>a</w:t>
            </w:r>
            <w:r w:rsidRPr="007367ED">
              <w:rPr>
                <w:lang w:eastAsia="en-GB"/>
              </w:rPr>
              <w:t>rticle 9(4) of the Covenant to be lacking in merit.</w:t>
            </w:r>
          </w:p>
          <w:p w:rsidR="00AB44C1" w:rsidRPr="004F2101" w:rsidRDefault="00134D3A" w:rsidP="00134D3A">
            <w:pPr>
              <w:pStyle w:val="SingleTxtG"/>
              <w:ind w:left="0" w:right="0"/>
              <w:rPr>
                <w:lang w:eastAsia="en-GB"/>
              </w:rPr>
            </w:pPr>
            <w:r w:rsidRPr="007367ED">
              <w:rPr>
                <w:lang w:eastAsia="en-GB"/>
              </w:rPr>
              <w:t xml:space="preserve">As Australia does not agree with the Committee’s view that a violation of Articles 9(1), (3) and (4) of the Covenant has occurred, </w:t>
            </w:r>
            <w:r>
              <w:rPr>
                <w:lang w:eastAsia="en-GB"/>
              </w:rPr>
              <w:t xml:space="preserve">it </w:t>
            </w:r>
            <w:r w:rsidRPr="007367ED">
              <w:rPr>
                <w:lang w:eastAsia="en-GB"/>
              </w:rPr>
              <w:t xml:space="preserve">does not accept the Committee’s view that </w:t>
            </w:r>
            <w:r>
              <w:rPr>
                <w:lang w:eastAsia="en-GB"/>
              </w:rPr>
              <w:t>it</w:t>
            </w:r>
            <w:r w:rsidRPr="007367ED">
              <w:rPr>
                <w:lang w:eastAsia="en-GB"/>
              </w:rPr>
              <w:t xml:space="preserve"> is obliged to provide adequate compensation to the author or to take steps to prevent similar violations in the future.</w:t>
            </w:r>
          </w:p>
        </w:tc>
      </w:tr>
      <w:tr w:rsidR="00134D3A" w:rsidRPr="004F2101" w:rsidTr="004D513B">
        <w:tc>
          <w:tcPr>
            <w:tcW w:w="2580" w:type="dxa"/>
            <w:shd w:val="clear" w:color="auto" w:fill="auto"/>
            <w:tcMar>
              <w:left w:w="28" w:type="dxa"/>
              <w:right w:w="28" w:type="dxa"/>
            </w:tcMar>
          </w:tcPr>
          <w:p w:rsidR="00134D3A" w:rsidRPr="00134D3A" w:rsidRDefault="00134D3A" w:rsidP="00134D3A">
            <w:pPr>
              <w:pStyle w:val="SingleTxtG"/>
              <w:suppressAutoHyphens w:val="0"/>
              <w:spacing w:before="40" w:line="220" w:lineRule="exact"/>
              <w:ind w:left="0" w:right="113"/>
              <w:jc w:val="left"/>
            </w:pPr>
            <w:r w:rsidRPr="00134D3A">
              <w:rPr>
                <w:bCs/>
              </w:rPr>
              <w:t>Committee’s assessment:</w:t>
            </w:r>
          </w:p>
        </w:tc>
        <w:tc>
          <w:tcPr>
            <w:tcW w:w="4790" w:type="dxa"/>
            <w:shd w:val="clear" w:color="auto" w:fill="auto"/>
            <w:tcMar>
              <w:left w:w="28" w:type="dxa"/>
              <w:right w:w="28" w:type="dxa"/>
            </w:tcMar>
          </w:tcPr>
          <w:p w:rsidR="00134D3A" w:rsidRDefault="000D5A0D" w:rsidP="000D5A0D">
            <w:pPr>
              <w:pStyle w:val="SingleTxtG"/>
              <w:ind w:left="539" w:hanging="539"/>
              <w:rPr>
                <w:lang w:eastAsia="en-GB"/>
              </w:rPr>
            </w:pPr>
            <w:r>
              <w:rPr>
                <w:lang w:eastAsia="en-GB"/>
              </w:rPr>
              <w:t>(a)</w:t>
            </w:r>
            <w:r w:rsidRPr="000D5A0D">
              <w:rPr>
                <w:lang w:eastAsia="en-GB"/>
              </w:rPr>
              <w:tab/>
            </w:r>
            <w:r w:rsidR="00134D3A" w:rsidRPr="00C951DF">
              <w:rPr>
                <w:lang w:eastAsia="en-GB"/>
              </w:rPr>
              <w:t xml:space="preserve">Publication of Views: </w:t>
            </w:r>
            <w:r w:rsidR="00134D3A">
              <w:rPr>
                <w:lang w:eastAsia="en-GB"/>
              </w:rPr>
              <w:t>A</w:t>
            </w:r>
          </w:p>
          <w:p w:rsidR="00134D3A" w:rsidRPr="00C951DF" w:rsidRDefault="00D26536" w:rsidP="00134D3A">
            <w:pPr>
              <w:pStyle w:val="SingleTxtG"/>
              <w:ind w:left="0"/>
              <w:rPr>
                <w:lang w:eastAsia="en-GB"/>
              </w:rPr>
            </w:pPr>
            <w:r>
              <w:rPr>
                <w:lang w:eastAsia="en-GB"/>
              </w:rPr>
              <w:t xml:space="preserve">(b) </w:t>
            </w:r>
            <w:r w:rsidR="000D5A0D" w:rsidRPr="000D5A0D">
              <w:rPr>
                <w:lang w:eastAsia="en-GB"/>
              </w:rPr>
              <w:tab/>
            </w:r>
            <w:r w:rsidR="00134D3A">
              <w:rPr>
                <w:lang w:eastAsia="en-GB"/>
              </w:rPr>
              <w:t xml:space="preserve">Adequate compensation: E </w:t>
            </w:r>
          </w:p>
          <w:p w:rsidR="00134D3A" w:rsidRDefault="00D26536" w:rsidP="00D26536">
            <w:pPr>
              <w:pStyle w:val="SingleTxtG"/>
              <w:ind w:left="0"/>
              <w:rPr>
                <w:lang w:eastAsia="en-GB"/>
              </w:rPr>
            </w:pPr>
            <w:r>
              <w:rPr>
                <w:lang w:eastAsia="en-GB"/>
              </w:rPr>
              <w:t xml:space="preserve">(c) </w:t>
            </w:r>
            <w:r w:rsidR="000D5A0D" w:rsidRPr="000D5A0D">
              <w:rPr>
                <w:lang w:eastAsia="en-GB"/>
              </w:rPr>
              <w:tab/>
            </w:r>
            <w:r w:rsidR="00134D3A" w:rsidRPr="00C951DF">
              <w:rPr>
                <w:lang w:eastAsia="en-GB"/>
              </w:rPr>
              <w:t>Non</w:t>
            </w:r>
            <w:r w:rsidR="00134D3A">
              <w:rPr>
                <w:lang w:eastAsia="en-GB"/>
              </w:rPr>
              <w:t>-</w:t>
            </w:r>
            <w:r w:rsidR="00134D3A" w:rsidRPr="00C951DF">
              <w:rPr>
                <w:lang w:eastAsia="en-GB"/>
              </w:rPr>
              <w:t xml:space="preserve">repetition: </w:t>
            </w:r>
            <w:r w:rsidR="00134D3A">
              <w:rPr>
                <w:lang w:eastAsia="en-GB"/>
              </w:rPr>
              <w:t>E</w:t>
            </w:r>
          </w:p>
        </w:tc>
      </w:tr>
      <w:tr w:rsidR="00AB44C1" w:rsidRPr="004F2101" w:rsidTr="004D513B">
        <w:tc>
          <w:tcPr>
            <w:tcW w:w="2580" w:type="dxa"/>
            <w:shd w:val="clear" w:color="auto" w:fill="auto"/>
            <w:tcMar>
              <w:left w:w="28" w:type="dxa"/>
              <w:right w:w="28" w:type="dxa"/>
            </w:tcMar>
          </w:tcPr>
          <w:p w:rsidR="00AB44C1" w:rsidRPr="004F2101" w:rsidRDefault="00AB44C1" w:rsidP="004D513B">
            <w:pPr>
              <w:pStyle w:val="SingleTxtG"/>
              <w:suppressAutoHyphens w:val="0"/>
              <w:spacing w:before="40" w:line="220" w:lineRule="exact"/>
              <w:ind w:left="0" w:right="113"/>
              <w:jc w:val="left"/>
            </w:pPr>
            <w:r w:rsidRPr="004F2101">
              <w:t>Committee</w:t>
            </w:r>
            <w:r w:rsidR="001D6817" w:rsidRPr="004F2101">
              <w:t>’</w:t>
            </w:r>
            <w:r w:rsidRPr="004F2101">
              <w:t>s decision:</w:t>
            </w:r>
          </w:p>
        </w:tc>
        <w:tc>
          <w:tcPr>
            <w:tcW w:w="4790" w:type="dxa"/>
            <w:shd w:val="clear" w:color="auto" w:fill="auto"/>
            <w:tcMar>
              <w:left w:w="28" w:type="dxa"/>
              <w:right w:w="28" w:type="dxa"/>
            </w:tcMar>
          </w:tcPr>
          <w:p w:rsidR="00AB44C1" w:rsidRPr="00134D3A" w:rsidRDefault="007029C9" w:rsidP="004D513B">
            <w:pPr>
              <w:pStyle w:val="SingleTxtG"/>
              <w:suppressAutoHyphens w:val="0"/>
              <w:spacing w:before="40" w:line="220" w:lineRule="exact"/>
              <w:ind w:left="0" w:right="113"/>
              <w:jc w:val="left"/>
            </w:pPr>
            <w:r>
              <w:rPr>
                <w:lang w:eastAsia="en-GB"/>
              </w:rPr>
              <w:t>Suspend</w:t>
            </w:r>
            <w:r w:rsidRPr="00134D3A">
              <w:rPr>
                <w:lang w:eastAsia="en-GB"/>
              </w:rPr>
              <w:t xml:space="preserve"> </w:t>
            </w:r>
            <w:r w:rsidR="00134D3A" w:rsidRPr="00134D3A">
              <w:rPr>
                <w:lang w:eastAsia="en-GB"/>
              </w:rPr>
              <w:t>the follow-up dialogue, with a note of unsatisfactory implementation of the Committee’s recommendation</w:t>
            </w:r>
          </w:p>
        </w:tc>
      </w:tr>
      <w:tr w:rsidR="00134D3A" w:rsidRPr="00D10705" w:rsidTr="00BA7CD4">
        <w:trPr>
          <w:tblHeader/>
        </w:trPr>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134D3A" w:rsidRPr="00D10705" w:rsidRDefault="00134D3A" w:rsidP="00D26536">
            <w:pPr>
              <w:pStyle w:val="SingleTxtG"/>
              <w:spacing w:before="120"/>
              <w:ind w:left="0"/>
              <w:jc w:val="left"/>
            </w:pPr>
            <w:r w:rsidRPr="00232023">
              <w:rPr>
                <w:b/>
                <w:iCs/>
                <w:lang w:val="en-US"/>
              </w:rPr>
              <w:t>C</w:t>
            </w:r>
            <w:r>
              <w:rPr>
                <w:b/>
                <w:iCs/>
                <w:lang w:val="en-US"/>
              </w:rPr>
              <w:t>ommunication</w:t>
            </w:r>
            <w:r w:rsidRPr="00232023">
              <w:rPr>
                <w:b/>
                <w:iCs/>
                <w:lang w:val="en-US"/>
              </w:rPr>
              <w:t xml:space="preserve"> No. </w:t>
            </w:r>
            <w:r>
              <w:rPr>
                <w:b/>
                <w:iCs/>
                <w:lang w:val="en-US"/>
              </w:rPr>
              <w:t xml:space="preserve">2233/2013, </w:t>
            </w:r>
            <w:r w:rsidRPr="00627669">
              <w:rPr>
                <w:b/>
                <w:i/>
                <w:iCs/>
                <w:lang w:val="en-US"/>
              </w:rPr>
              <w:t>F.J.</w:t>
            </w:r>
            <w:r>
              <w:rPr>
                <w:b/>
                <w:i/>
                <w:iCs/>
                <w:lang w:val="en-US"/>
              </w:rPr>
              <w:t>et al.</w:t>
            </w:r>
          </w:p>
        </w:tc>
      </w:tr>
      <w:tr w:rsidR="00134D3A" w:rsidRPr="004F2101" w:rsidTr="00BA7CD4">
        <w:tc>
          <w:tcPr>
            <w:tcW w:w="2580" w:type="dxa"/>
            <w:tcBorders>
              <w:top w:val="single" w:sz="12" w:space="0" w:color="auto"/>
            </w:tcBorders>
            <w:shd w:val="clear" w:color="auto" w:fill="auto"/>
            <w:tcMar>
              <w:left w:w="28" w:type="dxa"/>
              <w:right w:w="28" w:type="dxa"/>
            </w:tcMar>
          </w:tcPr>
          <w:p w:rsidR="00134D3A" w:rsidRPr="004F2101" w:rsidRDefault="00134D3A" w:rsidP="00BA7CD4">
            <w:pPr>
              <w:pStyle w:val="SingleTxtG"/>
              <w:suppressAutoHyphens w:val="0"/>
              <w:spacing w:before="40" w:line="220" w:lineRule="exact"/>
              <w:ind w:left="0" w:right="113"/>
              <w:jc w:val="left"/>
            </w:pPr>
            <w:r w:rsidRPr="004F2101">
              <w:t>Views adopted:</w:t>
            </w:r>
          </w:p>
        </w:tc>
        <w:tc>
          <w:tcPr>
            <w:tcW w:w="4790" w:type="dxa"/>
            <w:tcBorders>
              <w:top w:val="single" w:sz="12" w:space="0" w:color="auto"/>
            </w:tcBorders>
            <w:shd w:val="clear" w:color="auto" w:fill="auto"/>
            <w:tcMar>
              <w:left w:w="28" w:type="dxa"/>
              <w:right w:w="28" w:type="dxa"/>
            </w:tcMar>
          </w:tcPr>
          <w:p w:rsidR="00134D3A" w:rsidRPr="004F2101" w:rsidRDefault="00134D3A" w:rsidP="00BA7CD4">
            <w:pPr>
              <w:pStyle w:val="SingleTxtG"/>
              <w:suppressAutoHyphens w:val="0"/>
              <w:spacing w:before="40" w:line="220" w:lineRule="exact"/>
              <w:ind w:left="0" w:right="113"/>
              <w:jc w:val="left"/>
            </w:pPr>
            <w:r>
              <w:t>22 March 2016</w:t>
            </w:r>
          </w:p>
        </w:tc>
      </w:tr>
      <w:tr w:rsidR="00134D3A" w:rsidRPr="004F2101" w:rsidTr="00BA7CD4">
        <w:tc>
          <w:tcPr>
            <w:tcW w:w="2580" w:type="dxa"/>
            <w:shd w:val="clear" w:color="auto" w:fill="auto"/>
            <w:tcMar>
              <w:left w:w="28" w:type="dxa"/>
              <w:right w:w="28" w:type="dxa"/>
            </w:tcMar>
          </w:tcPr>
          <w:p w:rsidR="00134D3A" w:rsidRPr="004F2101" w:rsidRDefault="00134D3A" w:rsidP="00BA7CD4">
            <w:pPr>
              <w:pStyle w:val="SingleTxtG"/>
              <w:suppressAutoHyphens w:val="0"/>
              <w:spacing w:before="40" w:line="220" w:lineRule="exact"/>
              <w:ind w:left="0" w:right="113"/>
              <w:jc w:val="left"/>
            </w:pPr>
            <w:r w:rsidRPr="004F2101">
              <w:t>Violation:</w:t>
            </w:r>
          </w:p>
        </w:tc>
        <w:tc>
          <w:tcPr>
            <w:tcW w:w="4790" w:type="dxa"/>
            <w:shd w:val="clear" w:color="auto" w:fill="auto"/>
            <w:tcMar>
              <w:left w:w="28" w:type="dxa"/>
              <w:right w:w="28" w:type="dxa"/>
            </w:tcMar>
          </w:tcPr>
          <w:p w:rsidR="00134D3A" w:rsidRPr="004F2101" w:rsidRDefault="00134D3A" w:rsidP="00BA7CD4">
            <w:pPr>
              <w:pStyle w:val="SingleTxtG"/>
              <w:suppressAutoHyphens w:val="0"/>
              <w:spacing w:before="40" w:line="220" w:lineRule="exact"/>
              <w:ind w:left="0" w:right="113"/>
              <w:jc w:val="left"/>
            </w:pPr>
            <w:r>
              <w:t>A</w:t>
            </w:r>
            <w:r w:rsidRPr="005663FA">
              <w:t>rticles 7 and 9 (1</w:t>
            </w:r>
            <w:r>
              <w:t>)</w:t>
            </w:r>
            <w:r w:rsidRPr="005663FA">
              <w:t xml:space="preserve"> and </w:t>
            </w:r>
            <w:r>
              <w:t>(</w:t>
            </w:r>
            <w:r w:rsidRPr="005663FA">
              <w:t>4)</w:t>
            </w:r>
          </w:p>
        </w:tc>
      </w:tr>
      <w:tr w:rsidR="00134D3A" w:rsidRPr="004F2101" w:rsidTr="00BA7CD4">
        <w:tc>
          <w:tcPr>
            <w:tcW w:w="2580" w:type="dxa"/>
            <w:shd w:val="clear" w:color="auto" w:fill="auto"/>
            <w:tcMar>
              <w:left w:w="28" w:type="dxa"/>
              <w:right w:w="28" w:type="dxa"/>
            </w:tcMar>
          </w:tcPr>
          <w:p w:rsidR="00134D3A" w:rsidRPr="004F2101" w:rsidRDefault="00134D3A" w:rsidP="00BA7CD4">
            <w:pPr>
              <w:pStyle w:val="SingleTxtG"/>
              <w:suppressAutoHyphens w:val="0"/>
              <w:spacing w:before="40" w:line="220" w:lineRule="exact"/>
              <w:ind w:left="0" w:right="113"/>
              <w:jc w:val="left"/>
            </w:pPr>
            <w:r w:rsidRPr="004F2101">
              <w:t>Remedy:</w:t>
            </w:r>
          </w:p>
        </w:tc>
        <w:tc>
          <w:tcPr>
            <w:tcW w:w="4790" w:type="dxa"/>
            <w:shd w:val="clear" w:color="auto" w:fill="auto"/>
            <w:tcMar>
              <w:left w:w="28" w:type="dxa"/>
              <w:right w:w="28" w:type="dxa"/>
            </w:tcMar>
          </w:tcPr>
          <w:p w:rsidR="00134D3A" w:rsidRPr="004F2101" w:rsidRDefault="00134D3A" w:rsidP="00BA7CD4">
            <w:pPr>
              <w:pStyle w:val="SingleTxtG"/>
              <w:suppressAutoHyphens w:val="0"/>
              <w:spacing w:before="40" w:line="220" w:lineRule="exact"/>
              <w:ind w:left="0" w:right="113"/>
              <w:jc w:val="left"/>
            </w:pPr>
            <w:r>
              <w:t>A</w:t>
            </w:r>
            <w:r w:rsidRPr="00E0693B">
              <w:t xml:space="preserve">ppropriate remedy, </w:t>
            </w:r>
            <w:r>
              <w:t xml:space="preserve">including </w:t>
            </w:r>
            <w:r w:rsidRPr="005663FA">
              <w:t xml:space="preserve">rehabilitation and </w:t>
            </w:r>
            <w:r>
              <w:t>adequate</w:t>
            </w:r>
            <w:r w:rsidRPr="005663FA">
              <w:t xml:space="preserve"> compensation</w:t>
            </w:r>
          </w:p>
        </w:tc>
      </w:tr>
      <w:tr w:rsidR="00134D3A" w:rsidRPr="004F2101" w:rsidTr="00BA7CD4">
        <w:tc>
          <w:tcPr>
            <w:tcW w:w="2580" w:type="dxa"/>
            <w:shd w:val="clear" w:color="auto" w:fill="auto"/>
            <w:tcMar>
              <w:left w:w="28" w:type="dxa"/>
              <w:right w:w="28" w:type="dxa"/>
            </w:tcMar>
          </w:tcPr>
          <w:p w:rsidR="00134D3A" w:rsidRPr="004F2101" w:rsidRDefault="00134D3A" w:rsidP="00BA7CD4">
            <w:pPr>
              <w:pStyle w:val="SingleTxtG"/>
              <w:suppressAutoHyphens w:val="0"/>
              <w:spacing w:before="40" w:line="220" w:lineRule="exact"/>
              <w:ind w:left="0" w:right="113"/>
              <w:jc w:val="left"/>
            </w:pPr>
            <w:r w:rsidRPr="004F2101">
              <w:t>Subject matter:</w:t>
            </w:r>
          </w:p>
        </w:tc>
        <w:tc>
          <w:tcPr>
            <w:tcW w:w="4790" w:type="dxa"/>
            <w:shd w:val="clear" w:color="auto" w:fill="auto"/>
            <w:tcMar>
              <w:left w:w="28" w:type="dxa"/>
              <w:right w:w="28" w:type="dxa"/>
            </w:tcMar>
          </w:tcPr>
          <w:p w:rsidR="00134D3A" w:rsidRPr="004F2101" w:rsidRDefault="00134D3A" w:rsidP="00134D3A">
            <w:pPr>
              <w:pStyle w:val="SingleTxtG"/>
              <w:ind w:left="0"/>
              <w:jc w:val="left"/>
            </w:pPr>
            <w:r>
              <w:t>Indefinite detention of persons in migration facilities</w:t>
            </w:r>
          </w:p>
        </w:tc>
      </w:tr>
      <w:tr w:rsidR="00134D3A" w:rsidRPr="004F2101" w:rsidTr="00BA7CD4">
        <w:tc>
          <w:tcPr>
            <w:tcW w:w="2580" w:type="dxa"/>
            <w:shd w:val="clear" w:color="auto" w:fill="auto"/>
            <w:tcMar>
              <w:left w:w="28" w:type="dxa"/>
              <w:right w:w="28" w:type="dxa"/>
            </w:tcMar>
          </w:tcPr>
          <w:p w:rsidR="00134D3A" w:rsidRPr="004F2101" w:rsidRDefault="00134D3A" w:rsidP="00BA7CD4">
            <w:pPr>
              <w:pStyle w:val="SingleTxtG"/>
              <w:suppressAutoHyphens w:val="0"/>
              <w:spacing w:before="40" w:line="220" w:lineRule="exact"/>
              <w:ind w:left="0" w:right="113"/>
              <w:jc w:val="left"/>
            </w:pPr>
            <w:r w:rsidRPr="004F2101">
              <w:t>Previous follow-up information:</w:t>
            </w:r>
          </w:p>
        </w:tc>
        <w:tc>
          <w:tcPr>
            <w:tcW w:w="4790" w:type="dxa"/>
            <w:shd w:val="clear" w:color="auto" w:fill="auto"/>
            <w:tcMar>
              <w:left w:w="28" w:type="dxa"/>
              <w:right w:w="28" w:type="dxa"/>
            </w:tcMar>
          </w:tcPr>
          <w:p w:rsidR="00134D3A" w:rsidRPr="004F2101" w:rsidRDefault="00134D3A" w:rsidP="00BA7CD4">
            <w:pPr>
              <w:pStyle w:val="SingleTxtG"/>
              <w:suppressAutoHyphens w:val="0"/>
              <w:spacing w:before="40" w:line="220" w:lineRule="exact"/>
              <w:ind w:left="0" w:right="113"/>
              <w:jc w:val="left"/>
            </w:pPr>
            <w:r>
              <w:rPr>
                <w:lang w:eastAsia="en-GB"/>
              </w:rPr>
              <w:t>CCPR/C/119/3</w:t>
            </w:r>
            <w:r w:rsidR="007029C9">
              <w:rPr>
                <w:rStyle w:val="FootnoteReference"/>
                <w:lang w:eastAsia="en-GB"/>
              </w:rPr>
              <w:footnoteReference w:id="5"/>
            </w:r>
          </w:p>
        </w:tc>
      </w:tr>
      <w:tr w:rsidR="00134D3A" w:rsidRPr="004F2101" w:rsidTr="008D1E4E">
        <w:trPr>
          <w:trHeight w:val="957"/>
        </w:trPr>
        <w:tc>
          <w:tcPr>
            <w:tcW w:w="2580" w:type="dxa"/>
            <w:shd w:val="clear" w:color="auto" w:fill="auto"/>
            <w:tcMar>
              <w:left w:w="28" w:type="dxa"/>
              <w:right w:w="28" w:type="dxa"/>
            </w:tcMar>
          </w:tcPr>
          <w:p w:rsidR="00134D3A" w:rsidRPr="004F2101" w:rsidRDefault="00134D3A" w:rsidP="00134D3A">
            <w:pPr>
              <w:pStyle w:val="SingleTxtG"/>
              <w:suppressAutoHyphens w:val="0"/>
              <w:spacing w:before="40" w:line="220" w:lineRule="exact"/>
              <w:ind w:left="0" w:right="113"/>
              <w:jc w:val="left"/>
            </w:pPr>
            <w:r w:rsidRPr="004F2101">
              <w:t>Submission from</w:t>
            </w:r>
            <w:r>
              <w:t xml:space="preserve"> </w:t>
            </w:r>
            <w:r>
              <w:rPr>
                <w:bCs/>
                <w:lang w:eastAsia="en-GB"/>
              </w:rPr>
              <w:t>author’s counsel</w:t>
            </w:r>
            <w:r w:rsidRPr="00232023">
              <w:rPr>
                <w:bCs/>
                <w:lang w:eastAsia="en-GB"/>
              </w:rPr>
              <w:t>:</w:t>
            </w:r>
          </w:p>
        </w:tc>
        <w:tc>
          <w:tcPr>
            <w:tcW w:w="4790" w:type="dxa"/>
            <w:shd w:val="clear" w:color="auto" w:fill="auto"/>
            <w:tcMar>
              <w:left w:w="28" w:type="dxa"/>
              <w:right w:w="28" w:type="dxa"/>
            </w:tcMar>
          </w:tcPr>
          <w:p w:rsidR="00134D3A" w:rsidRDefault="00134D3A" w:rsidP="00134D3A">
            <w:pPr>
              <w:suppressAutoHyphens w:val="0"/>
              <w:autoSpaceDE w:val="0"/>
              <w:autoSpaceDN w:val="0"/>
              <w:adjustRightInd w:val="0"/>
              <w:spacing w:before="40" w:after="100" w:line="220" w:lineRule="atLeast"/>
              <w:jc w:val="both"/>
              <w:rPr>
                <w:lang w:eastAsia="en-GB"/>
              </w:rPr>
            </w:pPr>
            <w:r>
              <w:rPr>
                <w:lang w:eastAsia="en-GB"/>
              </w:rPr>
              <w:t>10 October 2016</w:t>
            </w:r>
          </w:p>
          <w:p w:rsidR="00134D3A" w:rsidRPr="00134D3A" w:rsidRDefault="00134D3A" w:rsidP="00134D3A">
            <w:pPr>
              <w:pStyle w:val="Default"/>
              <w:rPr>
                <w:rFonts w:ascii="Times New Roman" w:hAnsi="Times New Roman" w:cs="Times New Roman"/>
                <w:sz w:val="20"/>
                <w:szCs w:val="20"/>
              </w:rPr>
            </w:pPr>
            <w:r w:rsidRPr="00134D3A">
              <w:rPr>
                <w:rFonts w:ascii="Times New Roman" w:hAnsi="Times New Roman" w:cs="Times New Roman"/>
                <w:bCs/>
                <w:sz w:val="20"/>
                <w:szCs w:val="20"/>
              </w:rPr>
              <w:t>The author’s counsel notes the attempt by Australia to re-argue the case legally, despite its obligation to give effect to the authoritative Views of the Committee. It has not fulfilled its obligation to provide the authors with an effective remedy, nor to prevent future violations, including review of the Migration Act to ensure its conformity with articles 7 and 9 of the Covenant.</w:t>
            </w:r>
          </w:p>
        </w:tc>
      </w:tr>
      <w:tr w:rsidR="00134D3A" w:rsidRPr="00134D3A" w:rsidTr="00BA7CD4">
        <w:tc>
          <w:tcPr>
            <w:tcW w:w="2580" w:type="dxa"/>
            <w:shd w:val="clear" w:color="auto" w:fill="auto"/>
            <w:tcMar>
              <w:left w:w="28" w:type="dxa"/>
              <w:right w:w="28" w:type="dxa"/>
            </w:tcMar>
          </w:tcPr>
          <w:p w:rsidR="00134D3A" w:rsidRPr="004F2101" w:rsidRDefault="00134D3A" w:rsidP="00D26536">
            <w:pPr>
              <w:pStyle w:val="SingleTxtG"/>
              <w:suppressAutoHyphens w:val="0"/>
              <w:spacing w:before="120" w:line="220" w:lineRule="exact"/>
              <w:ind w:left="0" w:right="113"/>
              <w:jc w:val="left"/>
            </w:pPr>
            <w:r w:rsidRPr="004F2101">
              <w:t>Committee’s decision:</w:t>
            </w:r>
          </w:p>
        </w:tc>
        <w:tc>
          <w:tcPr>
            <w:tcW w:w="4790" w:type="dxa"/>
            <w:shd w:val="clear" w:color="auto" w:fill="auto"/>
            <w:tcMar>
              <w:left w:w="28" w:type="dxa"/>
              <w:right w:w="28" w:type="dxa"/>
            </w:tcMar>
          </w:tcPr>
          <w:p w:rsidR="00134D3A" w:rsidRPr="006A26DC" w:rsidRDefault="004A653F" w:rsidP="00D26536">
            <w:pPr>
              <w:pStyle w:val="SingleTxtG"/>
              <w:suppressAutoHyphens w:val="0"/>
              <w:spacing w:before="120" w:line="220" w:lineRule="exact"/>
              <w:ind w:left="0" w:right="113"/>
              <w:jc w:val="left"/>
            </w:pPr>
            <w:r>
              <w:rPr>
                <w:lang w:eastAsia="en-GB"/>
              </w:rPr>
              <w:t xml:space="preserve">Suspend </w:t>
            </w:r>
            <w:r w:rsidR="006A26DC" w:rsidRPr="006A26DC">
              <w:rPr>
                <w:lang w:eastAsia="en-GB"/>
              </w:rPr>
              <w:t>the follow-up dialogue, with a note of unsatisfactory implementation of the Committee’s recommendation</w:t>
            </w:r>
          </w:p>
        </w:tc>
      </w:tr>
    </w:tbl>
    <w:p w:rsidR="00AB44C1" w:rsidRPr="004F2101" w:rsidRDefault="006A26DC" w:rsidP="00BD3800">
      <w:pPr>
        <w:pStyle w:val="H23G"/>
      </w:pPr>
      <w:r>
        <w:tab/>
      </w:r>
      <w:r w:rsidR="00AB44C1" w:rsidRPr="004F2101">
        <w:t>3.</w:t>
      </w:r>
      <w:r w:rsidR="00AB44C1" w:rsidRPr="004F2101">
        <w:tab/>
        <w:t>Bosnia and Herzegovina</w:t>
      </w:r>
    </w:p>
    <w:tbl>
      <w:tblPr>
        <w:tblpPr w:leftFromText="180" w:rightFromText="180" w:vertAnchor="text" w:tblpX="1134" w:tblpY="1"/>
        <w:tblOverlap w:val="never"/>
        <w:tblW w:w="734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65"/>
      </w:tblGrid>
      <w:tr w:rsidR="00AB44C1" w:rsidRPr="004F2101" w:rsidTr="009716A9">
        <w:trPr>
          <w:tblHeader/>
        </w:trPr>
        <w:tc>
          <w:tcPr>
            <w:tcW w:w="7345" w:type="dxa"/>
            <w:gridSpan w:val="2"/>
            <w:tcBorders>
              <w:top w:val="single" w:sz="4" w:space="0" w:color="auto"/>
              <w:bottom w:val="single" w:sz="12" w:space="0" w:color="auto"/>
            </w:tcBorders>
            <w:shd w:val="clear" w:color="auto" w:fill="auto"/>
            <w:tcMar>
              <w:left w:w="28" w:type="dxa"/>
              <w:right w:w="28" w:type="dxa"/>
            </w:tcMar>
            <w:vAlign w:val="bottom"/>
          </w:tcPr>
          <w:p w:rsidR="00AB44C1" w:rsidRPr="004F2101" w:rsidRDefault="008D1E4E">
            <w:pPr>
              <w:pStyle w:val="SingleTxtG"/>
              <w:suppressAutoHyphens w:val="0"/>
              <w:spacing w:before="80" w:after="80" w:line="200" w:lineRule="exact"/>
              <w:ind w:left="0" w:right="113"/>
              <w:jc w:val="left"/>
              <w:rPr>
                <w:rFonts w:ascii="Times New Roman Bold" w:hAnsi="Times New Roman Bold" w:cs="Times New Roman Bold" w:hint="eastAsia"/>
                <w:b/>
                <w:bCs/>
                <w:i/>
              </w:rPr>
            </w:pPr>
            <w:proofErr w:type="spellStart"/>
            <w:r>
              <w:rPr>
                <w:b/>
                <w:lang w:val="es-ES"/>
              </w:rPr>
              <w:t>Communication</w:t>
            </w:r>
            <w:proofErr w:type="spellEnd"/>
            <w:r>
              <w:rPr>
                <w:b/>
                <w:lang w:val="es-ES"/>
              </w:rPr>
              <w:t xml:space="preserve"> No. 1966/2010</w:t>
            </w:r>
            <w:r w:rsidRPr="006E7DC6">
              <w:rPr>
                <w:b/>
                <w:lang w:val="es-ES"/>
              </w:rPr>
              <w:t xml:space="preserve">, </w:t>
            </w:r>
            <w:r>
              <w:rPr>
                <w:b/>
                <w:i/>
              </w:rPr>
              <w:t>Hero</w:t>
            </w:r>
          </w:p>
        </w:tc>
      </w:tr>
      <w:tr w:rsidR="00AB44C1" w:rsidRPr="004F2101" w:rsidTr="009716A9">
        <w:tc>
          <w:tcPr>
            <w:tcW w:w="2580" w:type="dxa"/>
            <w:tcBorders>
              <w:top w:val="single" w:sz="12" w:space="0" w:color="auto"/>
            </w:tcBorders>
            <w:shd w:val="clear" w:color="auto" w:fill="auto"/>
            <w:tcMar>
              <w:left w:w="28" w:type="dxa"/>
              <w:right w:w="28" w:type="dxa"/>
            </w:tcMar>
          </w:tcPr>
          <w:p w:rsidR="00AB44C1" w:rsidRPr="004F2101" w:rsidRDefault="00AB44C1">
            <w:pPr>
              <w:pStyle w:val="SingleTxtG"/>
              <w:suppressAutoHyphens w:val="0"/>
              <w:spacing w:before="40" w:line="220" w:lineRule="exact"/>
              <w:ind w:left="0" w:right="113"/>
              <w:jc w:val="left"/>
            </w:pPr>
            <w:r w:rsidRPr="004F2101">
              <w:t>Views adopted:</w:t>
            </w:r>
          </w:p>
        </w:tc>
        <w:tc>
          <w:tcPr>
            <w:tcW w:w="4765" w:type="dxa"/>
            <w:tcBorders>
              <w:top w:val="single" w:sz="12" w:space="0" w:color="auto"/>
            </w:tcBorders>
            <w:shd w:val="clear" w:color="auto" w:fill="auto"/>
            <w:tcMar>
              <w:left w:w="28" w:type="dxa"/>
              <w:right w:w="28" w:type="dxa"/>
            </w:tcMar>
          </w:tcPr>
          <w:p w:rsidR="00AB44C1" w:rsidRPr="004F2101" w:rsidRDefault="008D1E4E">
            <w:pPr>
              <w:pStyle w:val="SingleTxtG"/>
              <w:suppressAutoHyphens w:val="0"/>
              <w:spacing w:before="40" w:line="220" w:lineRule="exact"/>
              <w:ind w:left="0" w:right="113"/>
              <w:jc w:val="left"/>
            </w:pPr>
            <w:r w:rsidRPr="00D85562">
              <w:t>28 October 2014</w:t>
            </w:r>
          </w:p>
        </w:tc>
      </w:tr>
      <w:tr w:rsidR="00AB44C1" w:rsidRPr="004F2101" w:rsidTr="009716A9">
        <w:tc>
          <w:tcPr>
            <w:tcW w:w="2580" w:type="dxa"/>
            <w:shd w:val="clear" w:color="auto" w:fill="auto"/>
            <w:tcMar>
              <w:left w:w="28" w:type="dxa"/>
              <w:right w:w="28" w:type="dxa"/>
            </w:tcMar>
          </w:tcPr>
          <w:p w:rsidR="00AB44C1" w:rsidRPr="004F2101" w:rsidRDefault="00AB44C1">
            <w:pPr>
              <w:pStyle w:val="SingleTxtG"/>
              <w:suppressAutoHyphens w:val="0"/>
              <w:spacing w:before="40" w:line="220" w:lineRule="exact"/>
              <w:ind w:left="0" w:right="113"/>
              <w:jc w:val="left"/>
            </w:pPr>
            <w:r w:rsidRPr="004F2101">
              <w:t>Violation:</w:t>
            </w:r>
          </w:p>
        </w:tc>
        <w:tc>
          <w:tcPr>
            <w:tcW w:w="4765" w:type="dxa"/>
            <w:shd w:val="clear" w:color="auto" w:fill="auto"/>
            <w:tcMar>
              <w:left w:w="28" w:type="dxa"/>
              <w:right w:w="28" w:type="dxa"/>
            </w:tcMar>
          </w:tcPr>
          <w:p w:rsidR="00AB44C1" w:rsidRPr="004F2101" w:rsidRDefault="008D1E4E">
            <w:r w:rsidRPr="00D85562">
              <w:t xml:space="preserve">Articles 2 (3), 6, 7 and 9 </w:t>
            </w:r>
          </w:p>
        </w:tc>
      </w:tr>
      <w:tr w:rsidR="00AB44C1" w:rsidRPr="004F2101" w:rsidTr="009716A9">
        <w:tc>
          <w:tcPr>
            <w:tcW w:w="2580" w:type="dxa"/>
            <w:shd w:val="clear" w:color="auto" w:fill="auto"/>
            <w:tcMar>
              <w:left w:w="28" w:type="dxa"/>
              <w:right w:w="28" w:type="dxa"/>
            </w:tcMar>
          </w:tcPr>
          <w:p w:rsidR="00AB44C1" w:rsidRPr="004F2101" w:rsidRDefault="00AB44C1">
            <w:pPr>
              <w:pStyle w:val="SingleTxtG"/>
              <w:suppressAutoHyphens w:val="0"/>
              <w:spacing w:before="40" w:line="220" w:lineRule="exact"/>
              <w:ind w:left="0" w:right="113"/>
              <w:jc w:val="left"/>
            </w:pPr>
            <w:r w:rsidRPr="004F2101">
              <w:t>Remedy:</w:t>
            </w:r>
          </w:p>
        </w:tc>
        <w:tc>
          <w:tcPr>
            <w:tcW w:w="4765" w:type="dxa"/>
            <w:shd w:val="clear" w:color="auto" w:fill="auto"/>
            <w:tcMar>
              <w:left w:w="28" w:type="dxa"/>
              <w:right w:w="28" w:type="dxa"/>
            </w:tcMar>
          </w:tcPr>
          <w:p w:rsidR="00AB44C1" w:rsidRPr="004F2101" w:rsidRDefault="008D1E4E">
            <w:pPr>
              <w:pStyle w:val="SingleTxtG"/>
              <w:suppressAutoHyphens w:val="0"/>
              <w:spacing w:before="40" w:line="220" w:lineRule="exact"/>
              <w:ind w:left="0" w:right="113"/>
              <w:jc w:val="left"/>
            </w:pPr>
            <w:proofErr w:type="gramStart"/>
            <w:r w:rsidRPr="00D85562">
              <w:t xml:space="preserve">Effective remedy, including (a) continuing its efforts to establish the fate or whereabouts of </w:t>
            </w:r>
            <w:proofErr w:type="spellStart"/>
            <w:r w:rsidRPr="00D85562">
              <w:t>Sejad</w:t>
            </w:r>
            <w:proofErr w:type="spellEnd"/>
            <w:r w:rsidRPr="00D85562">
              <w:t xml:space="preserve"> Hero, as required by the Law on Missing Persons 2004, and ensure contact with the authors for their contribution to the investigation; (b) continuing its efforts to bring to justice those responsible for his disappearance, without unnecessary delay, as required by the national war crimes strategy; (c) ensuring adequate compensation; and (d) ensuring that investigations are accessible to the families of missing persons, and that the current legal framework is not applied in a manner that requires families to declare the victim dead as a condition for obtaining social benefits and measures of reparation.</w:t>
            </w:r>
            <w:proofErr w:type="gramEnd"/>
          </w:p>
        </w:tc>
      </w:tr>
      <w:tr w:rsidR="00AB44C1" w:rsidRPr="004F2101" w:rsidTr="009716A9">
        <w:tc>
          <w:tcPr>
            <w:tcW w:w="2580" w:type="dxa"/>
            <w:shd w:val="clear" w:color="auto" w:fill="auto"/>
            <w:tcMar>
              <w:left w:w="28" w:type="dxa"/>
              <w:right w:w="28" w:type="dxa"/>
            </w:tcMar>
          </w:tcPr>
          <w:p w:rsidR="00AB44C1" w:rsidRPr="004F2101" w:rsidRDefault="00AB44C1">
            <w:pPr>
              <w:pStyle w:val="SingleTxtG"/>
              <w:suppressAutoHyphens w:val="0"/>
              <w:spacing w:before="40" w:line="220" w:lineRule="exact"/>
              <w:ind w:left="0" w:right="113"/>
              <w:jc w:val="left"/>
            </w:pPr>
            <w:r w:rsidRPr="004F2101">
              <w:t>Subject matter:</w:t>
            </w:r>
          </w:p>
        </w:tc>
        <w:tc>
          <w:tcPr>
            <w:tcW w:w="4765" w:type="dxa"/>
            <w:shd w:val="clear" w:color="auto" w:fill="auto"/>
            <w:tcMar>
              <w:left w:w="28" w:type="dxa"/>
              <w:right w:w="28" w:type="dxa"/>
            </w:tcMar>
          </w:tcPr>
          <w:p w:rsidR="00AB44C1" w:rsidRPr="004F2101" w:rsidRDefault="00AB44C1">
            <w:pPr>
              <w:pStyle w:val="SingleTxtG"/>
              <w:suppressAutoHyphens w:val="0"/>
              <w:spacing w:before="40" w:line="220" w:lineRule="exact"/>
              <w:ind w:left="0" w:right="113"/>
              <w:jc w:val="left"/>
            </w:pPr>
            <w:r w:rsidRPr="004F2101">
              <w:t>Enforced disappearance</w:t>
            </w:r>
          </w:p>
        </w:tc>
      </w:tr>
      <w:tr w:rsidR="00AB44C1" w:rsidRPr="004F2101" w:rsidTr="009716A9">
        <w:tc>
          <w:tcPr>
            <w:tcW w:w="2580" w:type="dxa"/>
            <w:shd w:val="clear" w:color="auto" w:fill="auto"/>
            <w:tcMar>
              <w:left w:w="28" w:type="dxa"/>
              <w:right w:w="28" w:type="dxa"/>
            </w:tcMar>
          </w:tcPr>
          <w:p w:rsidR="00AB44C1" w:rsidRPr="004F2101" w:rsidRDefault="00AB44C1">
            <w:pPr>
              <w:pStyle w:val="SingleTxtG"/>
              <w:suppressAutoHyphens w:val="0"/>
              <w:spacing w:before="40" w:line="220" w:lineRule="exact"/>
              <w:ind w:left="0" w:right="113"/>
              <w:jc w:val="left"/>
            </w:pPr>
            <w:r w:rsidRPr="004F2101">
              <w:t>Previous follow-up information:</w:t>
            </w:r>
          </w:p>
        </w:tc>
        <w:tc>
          <w:tcPr>
            <w:tcW w:w="4765" w:type="dxa"/>
            <w:shd w:val="clear" w:color="auto" w:fill="auto"/>
            <w:tcMar>
              <w:left w:w="28" w:type="dxa"/>
              <w:right w:w="28" w:type="dxa"/>
            </w:tcMar>
          </w:tcPr>
          <w:p w:rsidR="00AB44C1" w:rsidRPr="004F2101" w:rsidRDefault="008D1E4E">
            <w:pPr>
              <w:pStyle w:val="SingleTxtG"/>
              <w:suppressAutoHyphens w:val="0"/>
              <w:spacing w:before="40" w:line="220" w:lineRule="exact"/>
              <w:ind w:left="0" w:right="113"/>
              <w:jc w:val="left"/>
            </w:pPr>
            <w:r>
              <w:t>CCPR/C/115/3</w:t>
            </w:r>
          </w:p>
        </w:tc>
      </w:tr>
      <w:tr w:rsidR="00AB44C1" w:rsidRPr="004F2101" w:rsidTr="009716A9">
        <w:tc>
          <w:tcPr>
            <w:tcW w:w="2580" w:type="dxa"/>
            <w:shd w:val="clear" w:color="auto" w:fill="auto"/>
            <w:tcMar>
              <w:left w:w="28" w:type="dxa"/>
              <w:right w:w="28" w:type="dxa"/>
            </w:tcMar>
          </w:tcPr>
          <w:p w:rsidR="00AB44C1" w:rsidRPr="004F2101" w:rsidRDefault="00AB44C1">
            <w:pPr>
              <w:pStyle w:val="SingleTxtG"/>
              <w:suppressAutoHyphens w:val="0"/>
              <w:spacing w:before="40" w:line="220" w:lineRule="exact"/>
              <w:ind w:left="0" w:right="113"/>
              <w:jc w:val="left"/>
            </w:pPr>
            <w:r w:rsidRPr="004F2101">
              <w:t>Submission from State party:</w:t>
            </w:r>
          </w:p>
        </w:tc>
        <w:tc>
          <w:tcPr>
            <w:tcW w:w="4765" w:type="dxa"/>
            <w:shd w:val="clear" w:color="auto" w:fill="auto"/>
            <w:tcMar>
              <w:left w:w="28" w:type="dxa"/>
              <w:right w:w="28" w:type="dxa"/>
            </w:tcMar>
          </w:tcPr>
          <w:p w:rsidR="008D1E4E" w:rsidRDefault="008D1E4E">
            <w:r>
              <w:t>27 May 2016</w:t>
            </w:r>
          </w:p>
          <w:p w:rsidR="008D1E4E" w:rsidRDefault="008D1E4E">
            <w:pPr>
              <w:spacing w:before="120"/>
            </w:pPr>
            <w:r>
              <w:t>The Constitutional Court of Bosnia and Herzegovina (</w:t>
            </w:r>
            <w:proofErr w:type="spellStart"/>
            <w:r>
              <w:t>BiH</w:t>
            </w:r>
            <w:proofErr w:type="spellEnd"/>
            <w:r>
              <w:t xml:space="preserve">), in its decision of 23 February 2006, determined that the rights of the authors </w:t>
            </w:r>
            <w:proofErr w:type="gramStart"/>
            <w:r>
              <w:t>were violated, and issued appropriate orders to various public authorities to restore the rights of victims and their families</w:t>
            </w:r>
            <w:proofErr w:type="gramEnd"/>
            <w:r>
              <w:t xml:space="preserve">. </w:t>
            </w:r>
          </w:p>
          <w:p w:rsidR="008D1E4E" w:rsidRDefault="008D1E4E">
            <w:pPr>
              <w:spacing w:before="120"/>
            </w:pPr>
            <w:r>
              <w:t xml:space="preserve">The Missing persons Institute indicated that </w:t>
            </w:r>
            <w:proofErr w:type="spellStart"/>
            <w:r>
              <w:t>Seja</w:t>
            </w:r>
            <w:proofErr w:type="spellEnd"/>
            <w:r>
              <w:t xml:space="preserve"> Hero went missing on 4 July 1992 in </w:t>
            </w:r>
            <w:proofErr w:type="spellStart"/>
            <w:r>
              <w:t>Tihoviči</w:t>
            </w:r>
            <w:proofErr w:type="spellEnd"/>
            <w:r>
              <w:t xml:space="preserve"> by members of the former Yugoslav army and paramilitaries to a field, where he </w:t>
            </w:r>
            <w:proofErr w:type="gramStart"/>
            <w:r w:rsidR="004A653F">
              <w:t>w</w:t>
            </w:r>
            <w:r>
              <w:t>as probably killed</w:t>
            </w:r>
            <w:proofErr w:type="gramEnd"/>
            <w:r>
              <w:t xml:space="preserve">, along with other individuals. His body was probably buried in a </w:t>
            </w:r>
            <w:proofErr w:type="gramStart"/>
            <w:r>
              <w:t>place which</w:t>
            </w:r>
            <w:proofErr w:type="gramEnd"/>
            <w:r>
              <w:t xml:space="preserve"> remains unknown to date. There has been no DNA match with the samples collected.</w:t>
            </w:r>
          </w:p>
          <w:p w:rsidR="008D1E4E" w:rsidRDefault="008D1E4E">
            <w:pPr>
              <w:spacing w:before="120"/>
            </w:pPr>
            <w:r>
              <w:t xml:space="preserve">With respect to legislative amendments, the Commission for the protection of Human Rights and freedoms of the Parliament of </w:t>
            </w:r>
            <w:proofErr w:type="spellStart"/>
            <w:r>
              <w:t>BiH</w:t>
            </w:r>
            <w:proofErr w:type="spellEnd"/>
            <w:r>
              <w:t xml:space="preserve"> has discussed the issue on several occasions, and the decision was to send a letter to the Chair of the House of Peoples of </w:t>
            </w:r>
            <w:proofErr w:type="spellStart"/>
            <w:r>
              <w:t>BiH</w:t>
            </w:r>
            <w:proofErr w:type="spellEnd"/>
            <w:r>
              <w:t xml:space="preserve"> to place the issue on the agenda. </w:t>
            </w:r>
          </w:p>
          <w:p w:rsidR="00AB44C1" w:rsidRPr="004F2101" w:rsidRDefault="008D1E4E">
            <w:pPr>
              <w:spacing w:before="120"/>
            </w:pPr>
            <w:r>
              <w:t>The victim’s</w:t>
            </w:r>
            <w:r w:rsidRPr="00B736DF">
              <w:t xml:space="preserve"> family meet</w:t>
            </w:r>
            <w:r>
              <w:t>s</w:t>
            </w:r>
            <w:r w:rsidRPr="00B736DF">
              <w:t xml:space="preserve"> the requirements for obtaining </w:t>
            </w:r>
            <w:r>
              <w:t xml:space="preserve">family disability allowance </w:t>
            </w:r>
            <w:r w:rsidRPr="00B736DF">
              <w:t>under the provisions of the law on social protection of civilian victims of war</w:t>
            </w:r>
            <w:r>
              <w:t xml:space="preserve">, but it appears that it has not made a request. </w:t>
            </w:r>
          </w:p>
        </w:tc>
      </w:tr>
      <w:tr w:rsidR="00AB44C1" w:rsidRPr="004F2101" w:rsidTr="009716A9">
        <w:tc>
          <w:tcPr>
            <w:tcW w:w="2580" w:type="dxa"/>
            <w:shd w:val="clear" w:color="auto" w:fill="auto"/>
            <w:tcMar>
              <w:left w:w="28" w:type="dxa"/>
              <w:right w:w="28" w:type="dxa"/>
            </w:tcMar>
          </w:tcPr>
          <w:p w:rsidR="00AB44C1" w:rsidRPr="004F2101" w:rsidRDefault="00AB44C1">
            <w:pPr>
              <w:pStyle w:val="SingleTxtG"/>
              <w:suppressAutoHyphens w:val="0"/>
              <w:spacing w:before="120" w:line="220" w:lineRule="exact"/>
              <w:ind w:left="0" w:right="113"/>
              <w:jc w:val="left"/>
            </w:pPr>
            <w:r w:rsidRPr="004F2101">
              <w:t>Committee</w:t>
            </w:r>
            <w:r w:rsidR="001D6817" w:rsidRPr="004F2101">
              <w:t>’</w:t>
            </w:r>
            <w:r w:rsidRPr="004F2101">
              <w:t>s assessment:</w:t>
            </w:r>
          </w:p>
        </w:tc>
        <w:tc>
          <w:tcPr>
            <w:tcW w:w="4765" w:type="dxa"/>
            <w:shd w:val="clear" w:color="auto" w:fill="auto"/>
            <w:tcMar>
              <w:left w:w="28" w:type="dxa"/>
              <w:right w:w="28" w:type="dxa"/>
            </w:tcMar>
          </w:tcPr>
          <w:p w:rsidR="008D1E4E" w:rsidRDefault="008D1E4E">
            <w:pPr>
              <w:spacing w:before="120"/>
            </w:pPr>
            <w:r>
              <w:t xml:space="preserve">(a) </w:t>
            </w:r>
            <w:r w:rsidR="000D5A0D" w:rsidRPr="000D5A0D">
              <w:tab/>
            </w:r>
            <w:r>
              <w:t xml:space="preserve">Continuing its efforts to establish the fate or whereabouts of the victim: </w:t>
            </w:r>
            <w:r w:rsidR="004A653F">
              <w:t>C</w:t>
            </w:r>
          </w:p>
          <w:p w:rsidR="008D1E4E" w:rsidRDefault="00D26536">
            <w:pPr>
              <w:spacing w:before="120"/>
            </w:pPr>
            <w:r>
              <w:t>(</w:t>
            </w:r>
            <w:r w:rsidR="008D1E4E">
              <w:t xml:space="preserve">b) </w:t>
            </w:r>
            <w:r w:rsidR="000D5A0D" w:rsidRPr="000D5A0D">
              <w:tab/>
            </w:r>
            <w:r w:rsidR="0043080A">
              <w:t>C</w:t>
            </w:r>
            <w:r w:rsidR="004A653F" w:rsidRPr="00D85562">
              <w:t>ontinuing its efforts to bring to justice those responsible</w:t>
            </w:r>
            <w:r w:rsidR="008D1E4E">
              <w:t xml:space="preserve">: </w:t>
            </w:r>
            <w:r w:rsidR="004A653F">
              <w:t>C</w:t>
            </w:r>
          </w:p>
          <w:p w:rsidR="008D1E4E" w:rsidRDefault="008D1E4E">
            <w:pPr>
              <w:spacing w:before="120"/>
            </w:pPr>
            <w:r>
              <w:t xml:space="preserve">(c) </w:t>
            </w:r>
            <w:r w:rsidR="000D5A0D" w:rsidRPr="000D5A0D">
              <w:tab/>
            </w:r>
            <w:r>
              <w:t>Abolishing the obligation for family members to declare their missing relatives dead to benefit from social allowances: B</w:t>
            </w:r>
          </w:p>
          <w:p w:rsidR="008D1E4E" w:rsidRDefault="008D1E4E">
            <w:pPr>
              <w:spacing w:before="120"/>
            </w:pPr>
            <w:r>
              <w:t xml:space="preserve">(d) </w:t>
            </w:r>
            <w:r w:rsidR="000D5A0D" w:rsidRPr="000D5A0D">
              <w:tab/>
            </w:r>
            <w:r>
              <w:t>Ensuring adequate compensation: C</w:t>
            </w:r>
          </w:p>
          <w:p w:rsidR="008D1E4E" w:rsidRDefault="008D1E4E">
            <w:pPr>
              <w:spacing w:before="120"/>
            </w:pPr>
            <w:r>
              <w:t xml:space="preserve">(e) </w:t>
            </w:r>
            <w:r w:rsidR="000D5A0D" w:rsidRPr="000D5A0D">
              <w:tab/>
            </w:r>
            <w:r>
              <w:t xml:space="preserve">Publication of Views: No information </w:t>
            </w:r>
          </w:p>
          <w:p w:rsidR="00AB44C1" w:rsidRPr="004F2101" w:rsidRDefault="008D1E4E">
            <w:pPr>
              <w:spacing w:before="120"/>
            </w:pPr>
            <w:r>
              <w:t xml:space="preserve">(f) </w:t>
            </w:r>
            <w:r w:rsidR="000D5A0D" w:rsidRPr="000D5A0D">
              <w:tab/>
            </w:r>
            <w:r>
              <w:t xml:space="preserve">Non-repetition: No information </w:t>
            </w:r>
          </w:p>
        </w:tc>
      </w:tr>
      <w:tr w:rsidR="00AB44C1" w:rsidRPr="004F2101" w:rsidTr="009716A9">
        <w:tc>
          <w:tcPr>
            <w:tcW w:w="2580" w:type="dxa"/>
            <w:tcBorders>
              <w:bottom w:val="nil"/>
            </w:tcBorders>
            <w:shd w:val="clear" w:color="auto" w:fill="auto"/>
            <w:tcMar>
              <w:left w:w="28" w:type="dxa"/>
              <w:right w:w="28" w:type="dxa"/>
            </w:tcMar>
          </w:tcPr>
          <w:p w:rsidR="00AB44C1" w:rsidRPr="004F2101" w:rsidRDefault="00AB44C1">
            <w:pPr>
              <w:pStyle w:val="SingleTxtG"/>
              <w:suppressAutoHyphens w:val="0"/>
              <w:spacing w:before="120" w:line="220" w:lineRule="exact"/>
              <w:ind w:left="0" w:right="113"/>
              <w:jc w:val="left"/>
            </w:pPr>
            <w:r w:rsidRPr="004F2101">
              <w:t>Committee</w:t>
            </w:r>
            <w:r w:rsidR="001D6817" w:rsidRPr="004F2101">
              <w:t>’</w:t>
            </w:r>
            <w:r w:rsidRPr="004F2101">
              <w:t>s decision:</w:t>
            </w:r>
          </w:p>
        </w:tc>
        <w:tc>
          <w:tcPr>
            <w:tcW w:w="4765" w:type="dxa"/>
            <w:tcBorders>
              <w:bottom w:val="nil"/>
            </w:tcBorders>
            <w:shd w:val="clear" w:color="auto" w:fill="auto"/>
            <w:tcMar>
              <w:left w:w="28" w:type="dxa"/>
              <w:right w:w="28" w:type="dxa"/>
            </w:tcMar>
          </w:tcPr>
          <w:p w:rsidR="0043080A" w:rsidRPr="004F2101" w:rsidRDefault="00AB44C1">
            <w:pPr>
              <w:pStyle w:val="SingleTxtG"/>
              <w:suppressAutoHyphens w:val="0"/>
              <w:spacing w:before="120" w:line="220" w:lineRule="exact"/>
              <w:ind w:left="0" w:right="113"/>
              <w:jc w:val="left"/>
            </w:pPr>
            <w:r w:rsidRPr="004F2101">
              <w:t>Follow-up dialogue ongoing.</w:t>
            </w:r>
          </w:p>
        </w:tc>
      </w:tr>
      <w:tr w:rsidR="008D1E4E" w:rsidRPr="004F2101" w:rsidTr="009716A9">
        <w:trPr>
          <w:tblHeader/>
        </w:trPr>
        <w:tc>
          <w:tcPr>
            <w:tcW w:w="7345" w:type="dxa"/>
            <w:gridSpan w:val="2"/>
            <w:tcBorders>
              <w:top w:val="nil"/>
              <w:bottom w:val="nil"/>
            </w:tcBorders>
            <w:shd w:val="clear" w:color="auto" w:fill="auto"/>
            <w:tcMar>
              <w:left w:w="28" w:type="dxa"/>
              <w:right w:w="28" w:type="dxa"/>
            </w:tcMar>
            <w:vAlign w:val="bottom"/>
          </w:tcPr>
          <w:p w:rsidR="00882760" w:rsidRDefault="00882760">
            <w:pPr>
              <w:pStyle w:val="SingleTxtG"/>
              <w:keepNext/>
              <w:keepLines/>
              <w:suppressAutoHyphens w:val="0"/>
              <w:spacing w:before="80" w:after="80" w:line="200" w:lineRule="exact"/>
              <w:ind w:left="0" w:right="113"/>
              <w:jc w:val="left"/>
              <w:rPr>
                <w:b/>
                <w:lang w:val="es-ES"/>
              </w:rPr>
            </w:pPr>
          </w:p>
          <w:p w:rsidR="00882760" w:rsidRDefault="00882760">
            <w:pPr>
              <w:pStyle w:val="SingleTxtG"/>
              <w:keepNext/>
              <w:keepLines/>
              <w:suppressAutoHyphens w:val="0"/>
              <w:spacing w:before="80" w:after="80" w:line="200" w:lineRule="exact"/>
              <w:ind w:left="0" w:right="113"/>
              <w:jc w:val="left"/>
              <w:rPr>
                <w:b/>
                <w:lang w:val="es-ES"/>
              </w:rPr>
            </w:pPr>
          </w:p>
          <w:p w:rsidR="00882760" w:rsidRDefault="00882760">
            <w:pPr>
              <w:pStyle w:val="SingleTxtG"/>
              <w:keepNext/>
              <w:keepLines/>
              <w:suppressAutoHyphens w:val="0"/>
              <w:spacing w:before="80" w:after="80" w:line="200" w:lineRule="exact"/>
              <w:ind w:left="0" w:right="113"/>
              <w:jc w:val="left"/>
              <w:rPr>
                <w:b/>
                <w:lang w:val="es-ES"/>
              </w:rPr>
            </w:pPr>
          </w:p>
          <w:p w:rsidR="00882760" w:rsidRDefault="00882760">
            <w:pPr>
              <w:pStyle w:val="SingleTxtG"/>
              <w:keepNext/>
              <w:keepLines/>
              <w:suppressAutoHyphens w:val="0"/>
              <w:spacing w:before="80" w:after="80" w:line="200" w:lineRule="exact"/>
              <w:ind w:left="0" w:right="113"/>
              <w:jc w:val="left"/>
              <w:rPr>
                <w:b/>
                <w:lang w:val="es-ES"/>
              </w:rPr>
            </w:pPr>
          </w:p>
          <w:p w:rsidR="008D1E4E" w:rsidRPr="004F2101" w:rsidRDefault="008D1E4E" w:rsidP="009716A9">
            <w:pPr>
              <w:pStyle w:val="SingleTxtG"/>
              <w:suppressAutoHyphens w:val="0"/>
              <w:spacing w:before="80" w:after="80" w:line="200" w:lineRule="exact"/>
              <w:ind w:left="0" w:right="113"/>
              <w:jc w:val="left"/>
              <w:rPr>
                <w:rFonts w:ascii="Times New Roman Bold" w:hAnsi="Times New Roman Bold" w:cs="Times New Roman Bold" w:hint="eastAsia"/>
                <w:b/>
                <w:bCs/>
                <w:i/>
              </w:rPr>
            </w:pPr>
            <w:proofErr w:type="spellStart"/>
            <w:r w:rsidRPr="00882760">
              <w:rPr>
                <w:b/>
                <w:lang w:val="es-ES"/>
              </w:rPr>
              <w:t>Communication</w:t>
            </w:r>
            <w:proofErr w:type="spellEnd"/>
            <w:r w:rsidRPr="00882760">
              <w:rPr>
                <w:b/>
                <w:lang w:val="es-ES"/>
              </w:rPr>
              <w:t xml:space="preserve"> No. 2048/2011, </w:t>
            </w:r>
            <w:proofErr w:type="spellStart"/>
            <w:r w:rsidRPr="009716A9">
              <w:rPr>
                <w:b/>
                <w:lang w:val="es-ES"/>
              </w:rPr>
              <w:t>Kadirić</w:t>
            </w:r>
            <w:proofErr w:type="spellEnd"/>
          </w:p>
        </w:tc>
      </w:tr>
      <w:tr w:rsidR="008D1E4E" w:rsidRPr="004F2101" w:rsidTr="009716A9">
        <w:tc>
          <w:tcPr>
            <w:tcW w:w="2580" w:type="dxa"/>
            <w:tcBorders>
              <w:top w:val="nil"/>
            </w:tcBorders>
            <w:shd w:val="clear" w:color="auto" w:fill="auto"/>
            <w:tcMar>
              <w:left w:w="28" w:type="dxa"/>
              <w:right w:w="28" w:type="dxa"/>
            </w:tcMar>
          </w:tcPr>
          <w:p w:rsidR="008D1E4E" w:rsidRPr="004F2101" w:rsidRDefault="008D1E4E">
            <w:pPr>
              <w:pStyle w:val="SingleTxtG"/>
              <w:keepNext/>
              <w:keepLines/>
              <w:suppressAutoHyphens w:val="0"/>
              <w:spacing w:before="40" w:line="220" w:lineRule="exact"/>
              <w:ind w:left="0" w:right="113"/>
              <w:jc w:val="left"/>
            </w:pPr>
            <w:r w:rsidRPr="004F2101">
              <w:t>Views adopted:</w:t>
            </w:r>
          </w:p>
        </w:tc>
        <w:tc>
          <w:tcPr>
            <w:tcW w:w="4765" w:type="dxa"/>
            <w:tcBorders>
              <w:top w:val="nil"/>
            </w:tcBorders>
            <w:shd w:val="clear" w:color="auto" w:fill="auto"/>
            <w:tcMar>
              <w:left w:w="28" w:type="dxa"/>
              <w:right w:w="28" w:type="dxa"/>
            </w:tcMar>
          </w:tcPr>
          <w:p w:rsidR="008D1E4E" w:rsidRPr="004F2101" w:rsidRDefault="008D1E4E">
            <w:pPr>
              <w:pStyle w:val="SingleTxtG"/>
              <w:keepNext/>
              <w:keepLines/>
              <w:suppressAutoHyphens w:val="0"/>
              <w:spacing w:before="40" w:line="220" w:lineRule="exact"/>
              <w:ind w:left="0" w:right="113"/>
              <w:jc w:val="left"/>
            </w:pPr>
            <w:r>
              <w:t>5 November 2015</w:t>
            </w:r>
          </w:p>
        </w:tc>
      </w:tr>
      <w:tr w:rsidR="008D1E4E" w:rsidRPr="004F2101" w:rsidTr="009716A9">
        <w:tc>
          <w:tcPr>
            <w:tcW w:w="2580" w:type="dxa"/>
            <w:shd w:val="clear" w:color="auto" w:fill="auto"/>
            <w:tcMar>
              <w:left w:w="28" w:type="dxa"/>
              <w:right w:w="28" w:type="dxa"/>
            </w:tcMar>
          </w:tcPr>
          <w:p w:rsidR="008D1E4E" w:rsidRPr="004F2101" w:rsidRDefault="008D1E4E">
            <w:pPr>
              <w:pStyle w:val="SingleTxtG"/>
              <w:keepNext/>
              <w:keepLines/>
              <w:suppressAutoHyphens w:val="0"/>
              <w:spacing w:before="40" w:line="220" w:lineRule="exact"/>
              <w:ind w:left="0" w:right="113"/>
              <w:jc w:val="left"/>
            </w:pPr>
            <w:r w:rsidRPr="004F2101">
              <w:t>Violation:</w:t>
            </w:r>
          </w:p>
        </w:tc>
        <w:tc>
          <w:tcPr>
            <w:tcW w:w="4765" w:type="dxa"/>
            <w:shd w:val="clear" w:color="auto" w:fill="auto"/>
            <w:tcMar>
              <w:left w:w="28" w:type="dxa"/>
              <w:right w:w="28" w:type="dxa"/>
            </w:tcMar>
          </w:tcPr>
          <w:p w:rsidR="008D1E4E" w:rsidRPr="008D1E4E" w:rsidRDefault="008D1E4E">
            <w:pPr>
              <w:keepNext/>
              <w:keepLines/>
              <w:spacing w:before="40" w:after="100" w:line="220" w:lineRule="exact"/>
              <w:rPr>
                <w:bCs/>
              </w:rPr>
            </w:pPr>
            <w:r>
              <w:t xml:space="preserve">Articles 6, 7 and 9, read in conjunction with article 2 (3), of the Covenant, with regard to </w:t>
            </w:r>
            <w:proofErr w:type="spellStart"/>
            <w:r>
              <w:t>Ermin</w:t>
            </w:r>
            <w:proofErr w:type="spellEnd"/>
            <w:r>
              <w:t xml:space="preserve"> </w:t>
            </w:r>
            <w:proofErr w:type="spellStart"/>
            <w:r>
              <w:t>Kadirić</w:t>
            </w:r>
            <w:proofErr w:type="spellEnd"/>
            <w:r>
              <w:t>, and article 7, read alone and in conjunction with article 2 (3), with regard to the authors.</w:t>
            </w:r>
            <w:r>
              <w:rPr>
                <w:bCs/>
              </w:rPr>
              <w:t xml:space="preserve"> </w:t>
            </w:r>
          </w:p>
        </w:tc>
      </w:tr>
      <w:tr w:rsidR="008D1E4E" w:rsidRPr="004F2101" w:rsidTr="009716A9">
        <w:tc>
          <w:tcPr>
            <w:tcW w:w="2580" w:type="dxa"/>
            <w:shd w:val="clear" w:color="auto" w:fill="auto"/>
            <w:tcMar>
              <w:left w:w="28" w:type="dxa"/>
              <w:right w:w="28" w:type="dxa"/>
            </w:tcMar>
          </w:tcPr>
          <w:p w:rsidR="008D1E4E" w:rsidRPr="004F2101" w:rsidRDefault="008D1E4E">
            <w:pPr>
              <w:pStyle w:val="SingleTxtG"/>
              <w:keepNext/>
              <w:keepLines/>
              <w:suppressAutoHyphens w:val="0"/>
              <w:spacing w:before="40" w:line="220" w:lineRule="exact"/>
              <w:ind w:left="0" w:right="113"/>
              <w:jc w:val="left"/>
            </w:pPr>
            <w:r w:rsidRPr="004F2101">
              <w:t>Remedy:</w:t>
            </w:r>
          </w:p>
        </w:tc>
        <w:tc>
          <w:tcPr>
            <w:tcW w:w="4765" w:type="dxa"/>
            <w:shd w:val="clear" w:color="auto" w:fill="auto"/>
            <w:tcMar>
              <w:left w:w="28" w:type="dxa"/>
              <w:right w:w="28" w:type="dxa"/>
            </w:tcMar>
          </w:tcPr>
          <w:p w:rsidR="008D1E4E" w:rsidRDefault="008D1E4E">
            <w:pPr>
              <w:keepNext/>
              <w:keepLines/>
              <w:spacing w:before="40" w:after="100" w:line="220" w:lineRule="exact"/>
              <w:jc w:val="both"/>
              <w:rPr>
                <w:bCs/>
              </w:rPr>
            </w:pPr>
            <w:proofErr w:type="gramStart"/>
            <w:r>
              <w:t xml:space="preserve">the State party is obligated, inter alia: (a) to intensify its efforts to locate </w:t>
            </w:r>
            <w:proofErr w:type="spellStart"/>
            <w:r>
              <w:t>Ermin</w:t>
            </w:r>
            <w:proofErr w:type="spellEnd"/>
            <w:r>
              <w:t xml:space="preserve"> </w:t>
            </w:r>
            <w:proofErr w:type="spellStart"/>
            <w:r>
              <w:t>Kadirić’s</w:t>
            </w:r>
            <w:proofErr w:type="spellEnd"/>
            <w:r>
              <w:t xml:space="preserve"> remains, as required by the Law on Missing Persons, and have its investigators contact the authors as soon as possible to obtain from them information that could be helpful in the investigation; (b) to strengthen its efforts to bring to justice those responsible for his arbitrary detention, ill-treatment and extrajudicial execution and for the concealment of his remains, without unnecessary delay, as required by the National Strategy for War Crimes Processing; (c) to ensure that any psychological rehabilitation and medical care necessary is provided to the authors for the psychological harm that they have suffered; and (d) to provide effective reparation to the authors, including adequate compensation and appropriate measures of satisfaction.</w:t>
            </w:r>
            <w:proofErr w:type="gramEnd"/>
            <w:r>
              <w:t xml:space="preserve"> The State party is also under an obligation to prevent similar violations in the future and must ensure, in particular, that investigations into allegations of torture and cruel, inhuman and degrading treatment, summary and arbitrary killings and enforced disappearances and adequate measures of reparation are accessible to the families of victims.</w:t>
            </w:r>
            <w:r w:rsidRPr="00232023">
              <w:rPr>
                <w:bCs/>
              </w:rPr>
              <w:t xml:space="preserve"> </w:t>
            </w:r>
          </w:p>
          <w:p w:rsidR="008D1E4E" w:rsidRPr="004F2101" w:rsidRDefault="008D1E4E">
            <w:pPr>
              <w:pStyle w:val="SingleTxtG"/>
              <w:keepNext/>
              <w:keepLines/>
              <w:suppressAutoHyphens w:val="0"/>
              <w:spacing w:before="40" w:line="220" w:lineRule="exact"/>
              <w:ind w:left="0" w:right="113"/>
              <w:jc w:val="left"/>
            </w:pPr>
          </w:p>
        </w:tc>
      </w:tr>
      <w:tr w:rsidR="008D1E4E" w:rsidRPr="004F2101" w:rsidTr="009716A9">
        <w:tc>
          <w:tcPr>
            <w:tcW w:w="2580" w:type="dxa"/>
            <w:shd w:val="clear" w:color="auto" w:fill="auto"/>
            <w:tcMar>
              <w:left w:w="28" w:type="dxa"/>
              <w:right w:w="28" w:type="dxa"/>
            </w:tcMar>
          </w:tcPr>
          <w:p w:rsidR="008D1E4E" w:rsidRPr="004F2101" w:rsidRDefault="008D1E4E">
            <w:pPr>
              <w:pStyle w:val="SingleTxtG"/>
              <w:keepNext/>
              <w:keepLines/>
              <w:suppressAutoHyphens w:val="0"/>
              <w:spacing w:before="40" w:line="220" w:lineRule="exact"/>
              <w:ind w:left="0" w:right="113"/>
              <w:jc w:val="left"/>
            </w:pPr>
            <w:r w:rsidRPr="004F2101">
              <w:t>Subject matter:</w:t>
            </w:r>
          </w:p>
        </w:tc>
        <w:tc>
          <w:tcPr>
            <w:tcW w:w="4765" w:type="dxa"/>
            <w:shd w:val="clear" w:color="auto" w:fill="auto"/>
            <w:tcMar>
              <w:left w:w="28" w:type="dxa"/>
              <w:right w:w="28" w:type="dxa"/>
            </w:tcMar>
          </w:tcPr>
          <w:p w:rsidR="008D1E4E" w:rsidRPr="004F2101" w:rsidRDefault="008D1E4E">
            <w:pPr>
              <w:pStyle w:val="SingleTxtG"/>
              <w:keepNext/>
              <w:keepLines/>
              <w:suppressAutoHyphens w:val="0"/>
              <w:spacing w:before="40" w:line="220" w:lineRule="exact"/>
              <w:ind w:left="0" w:right="113"/>
              <w:jc w:val="left"/>
            </w:pPr>
            <w:r w:rsidRPr="004F2101">
              <w:t>Enforced disappearance</w:t>
            </w:r>
          </w:p>
        </w:tc>
      </w:tr>
      <w:tr w:rsidR="008D1E4E" w:rsidRPr="004F2101" w:rsidTr="009716A9">
        <w:tc>
          <w:tcPr>
            <w:tcW w:w="2580" w:type="dxa"/>
            <w:shd w:val="clear" w:color="auto" w:fill="auto"/>
            <w:tcMar>
              <w:left w:w="28" w:type="dxa"/>
              <w:right w:w="28" w:type="dxa"/>
            </w:tcMar>
          </w:tcPr>
          <w:p w:rsidR="008D1E4E" w:rsidRPr="004F2101" w:rsidRDefault="008D1E4E">
            <w:pPr>
              <w:pStyle w:val="SingleTxtG"/>
              <w:keepNext/>
              <w:keepLines/>
              <w:suppressAutoHyphens w:val="0"/>
              <w:spacing w:before="40" w:line="220" w:lineRule="exact"/>
              <w:ind w:left="0" w:right="113"/>
              <w:jc w:val="left"/>
            </w:pPr>
            <w:r w:rsidRPr="004F2101">
              <w:t>Previous follow-up information:</w:t>
            </w:r>
          </w:p>
        </w:tc>
        <w:tc>
          <w:tcPr>
            <w:tcW w:w="4765" w:type="dxa"/>
            <w:shd w:val="clear" w:color="auto" w:fill="auto"/>
            <w:tcMar>
              <w:left w:w="28" w:type="dxa"/>
              <w:right w:w="28" w:type="dxa"/>
            </w:tcMar>
          </w:tcPr>
          <w:p w:rsidR="008D1E4E" w:rsidRPr="008D1E4E" w:rsidRDefault="008D1E4E">
            <w:pPr>
              <w:keepNext/>
              <w:keepLines/>
              <w:spacing w:before="40" w:after="100" w:line="220" w:lineRule="exact"/>
              <w:jc w:val="both"/>
              <w:rPr>
                <w:bCs/>
              </w:rPr>
            </w:pPr>
            <w:r>
              <w:rPr>
                <w:bCs/>
              </w:rPr>
              <w:t xml:space="preserve">No previous follow-up information </w:t>
            </w:r>
          </w:p>
        </w:tc>
      </w:tr>
      <w:tr w:rsidR="008D1E4E" w:rsidRPr="004F2101" w:rsidTr="009716A9">
        <w:tc>
          <w:tcPr>
            <w:tcW w:w="2580" w:type="dxa"/>
            <w:shd w:val="clear" w:color="auto" w:fill="auto"/>
            <w:tcMar>
              <w:left w:w="28" w:type="dxa"/>
              <w:right w:w="28" w:type="dxa"/>
            </w:tcMar>
          </w:tcPr>
          <w:p w:rsidR="008D1E4E" w:rsidRPr="004F2101" w:rsidRDefault="008D1E4E">
            <w:pPr>
              <w:pStyle w:val="SingleTxtG"/>
              <w:keepNext/>
              <w:keepLines/>
              <w:suppressAutoHyphens w:val="0"/>
              <w:spacing w:before="40" w:line="220" w:lineRule="exact"/>
              <w:ind w:left="0" w:right="113"/>
              <w:jc w:val="left"/>
            </w:pPr>
            <w:r w:rsidRPr="004F2101">
              <w:t>Submission from State party:</w:t>
            </w:r>
          </w:p>
        </w:tc>
        <w:tc>
          <w:tcPr>
            <w:tcW w:w="4765" w:type="dxa"/>
            <w:shd w:val="clear" w:color="auto" w:fill="auto"/>
            <w:tcMar>
              <w:left w:w="28" w:type="dxa"/>
              <w:right w:w="28" w:type="dxa"/>
            </w:tcMar>
          </w:tcPr>
          <w:p w:rsidR="008D1E4E" w:rsidRDefault="008D1E4E">
            <w:pPr>
              <w:keepNext/>
              <w:keepLines/>
              <w:spacing w:before="40" w:after="100" w:line="220" w:lineRule="exact"/>
              <w:jc w:val="both"/>
              <w:rPr>
                <w:bCs/>
              </w:rPr>
            </w:pPr>
            <w:r>
              <w:rPr>
                <w:bCs/>
              </w:rPr>
              <w:t>17 May 2016</w:t>
            </w:r>
          </w:p>
          <w:p w:rsidR="008D1E4E" w:rsidRDefault="00D26536">
            <w:pPr>
              <w:keepNext/>
              <w:keepLines/>
              <w:spacing w:before="40" w:after="100" w:line="220" w:lineRule="exact"/>
              <w:jc w:val="both"/>
            </w:pPr>
            <w:r>
              <w:rPr>
                <w:bCs/>
              </w:rPr>
              <w:t xml:space="preserve">The case of </w:t>
            </w:r>
            <w:proofErr w:type="spellStart"/>
            <w:r w:rsidR="008D1E4E">
              <w:rPr>
                <w:bCs/>
              </w:rPr>
              <w:t>Ermin</w:t>
            </w:r>
            <w:proofErr w:type="spellEnd"/>
            <w:r w:rsidR="008D1E4E">
              <w:rPr>
                <w:bCs/>
              </w:rPr>
              <w:t xml:space="preserve"> </w:t>
            </w:r>
            <w:proofErr w:type="spellStart"/>
            <w:r w:rsidR="008D1E4E" w:rsidRPr="00CA1E26">
              <w:t>Kadirić</w:t>
            </w:r>
            <w:proofErr w:type="spellEnd"/>
            <w:r w:rsidR="008D1E4E">
              <w:t xml:space="preserve"> is being investigated under number T20 0 KTRZ 0004542 05, against a suspect named </w:t>
            </w:r>
            <w:proofErr w:type="spellStart"/>
            <w:r w:rsidR="008D1E4E">
              <w:t>Radmilo</w:t>
            </w:r>
            <w:proofErr w:type="spellEnd"/>
            <w:r w:rsidR="008D1E4E">
              <w:t xml:space="preserve"> </w:t>
            </w:r>
            <w:proofErr w:type="spellStart"/>
            <w:r w:rsidR="008D1E4E">
              <w:t>Zeljaja</w:t>
            </w:r>
            <w:proofErr w:type="spellEnd"/>
            <w:r w:rsidR="008D1E4E">
              <w:t xml:space="preserve">, on suspicion that he committed crimes against humanity. </w:t>
            </w:r>
            <w:proofErr w:type="gramStart"/>
            <w:r w:rsidR="008D1E4E">
              <w:t xml:space="preserve">Since its establishment in 2003, the Prosecutor’s Office has taken measures to </w:t>
            </w:r>
            <w:proofErr w:type="spellStart"/>
            <w:r w:rsidR="008D1E4E">
              <w:t>clariy</w:t>
            </w:r>
            <w:proofErr w:type="spellEnd"/>
            <w:r w:rsidR="008D1E4E">
              <w:t xml:space="preserve"> the events, and identify perpetrators.</w:t>
            </w:r>
            <w:proofErr w:type="gramEnd"/>
            <w:r w:rsidR="008D1E4E">
              <w:t xml:space="preserve"> </w:t>
            </w:r>
            <w:proofErr w:type="gramStart"/>
            <w:r w:rsidR="008D1E4E">
              <w:t>It has been conducting investigations against members of the military, police and civilian authorities, and undertook exhumations.</w:t>
            </w:r>
            <w:proofErr w:type="gramEnd"/>
            <w:r w:rsidR="008D1E4E">
              <w:t xml:space="preserve"> A mass grave in </w:t>
            </w:r>
            <w:proofErr w:type="spellStart"/>
            <w:r w:rsidR="008D1E4E">
              <w:t>Tomašica</w:t>
            </w:r>
            <w:proofErr w:type="spellEnd"/>
            <w:r w:rsidR="008D1E4E">
              <w:t xml:space="preserve">, Municipality of </w:t>
            </w:r>
            <w:proofErr w:type="spellStart"/>
            <w:r w:rsidR="008D1E4E">
              <w:t>Prijedor</w:t>
            </w:r>
            <w:proofErr w:type="spellEnd"/>
            <w:r w:rsidR="008D1E4E">
              <w:t xml:space="preserve">, </w:t>
            </w:r>
            <w:proofErr w:type="gramStart"/>
            <w:r w:rsidR="008D1E4E">
              <w:t>was discovered</w:t>
            </w:r>
            <w:proofErr w:type="gramEnd"/>
            <w:r w:rsidR="008D1E4E">
              <w:t xml:space="preserve"> in 2013. It contained the mortal remains of over 400 victims of war crimes, out of which 280 </w:t>
            </w:r>
            <w:proofErr w:type="gramStart"/>
            <w:r w:rsidR="008D1E4E">
              <w:t>have been identified</w:t>
            </w:r>
            <w:proofErr w:type="gramEnd"/>
            <w:r w:rsidR="008D1E4E">
              <w:t xml:space="preserve"> to date. Among those, remains of </w:t>
            </w:r>
            <w:proofErr w:type="spellStart"/>
            <w:r w:rsidR="008D1E4E">
              <w:t>Ermin</w:t>
            </w:r>
            <w:proofErr w:type="spellEnd"/>
            <w:r w:rsidR="008D1E4E">
              <w:t xml:space="preserve"> </w:t>
            </w:r>
            <w:proofErr w:type="spellStart"/>
            <w:r w:rsidR="008D1E4E" w:rsidRPr="00CA1E26">
              <w:t>Kadirić</w:t>
            </w:r>
            <w:proofErr w:type="spellEnd"/>
            <w:r w:rsidR="008D1E4E">
              <w:t xml:space="preserve"> </w:t>
            </w:r>
            <w:proofErr w:type="gramStart"/>
            <w:r w:rsidR="008D1E4E">
              <w:t>were found and exhumed on 11 October 2013</w:t>
            </w:r>
            <w:proofErr w:type="gramEnd"/>
            <w:r w:rsidR="008D1E4E">
              <w:t xml:space="preserve">. On 17 January 2014, an autopsy </w:t>
            </w:r>
            <w:proofErr w:type="gramStart"/>
            <w:r w:rsidR="008D1E4E">
              <w:t>was performed</w:t>
            </w:r>
            <w:proofErr w:type="gramEnd"/>
            <w:r w:rsidR="008D1E4E">
              <w:t xml:space="preserve">, by order of the Prosecutor’s Office of </w:t>
            </w:r>
            <w:proofErr w:type="spellStart"/>
            <w:r w:rsidR="008D1E4E">
              <w:t>BiH</w:t>
            </w:r>
            <w:proofErr w:type="spellEnd"/>
            <w:r w:rsidR="008D1E4E">
              <w:t xml:space="preserve">, and the identity of the deceased was confirmed on 11 June 2014. On the same day, the family of the victim declared that it wished to bury the remains in the </w:t>
            </w:r>
            <w:proofErr w:type="spellStart"/>
            <w:r w:rsidR="008D1E4E">
              <w:t>Rizvanovici</w:t>
            </w:r>
            <w:proofErr w:type="spellEnd"/>
            <w:r w:rsidR="008D1E4E">
              <w:t xml:space="preserve"> </w:t>
            </w:r>
            <w:proofErr w:type="spellStart"/>
            <w:r w:rsidR="008D1E4E">
              <w:t>Shahid</w:t>
            </w:r>
            <w:proofErr w:type="spellEnd"/>
            <w:r w:rsidR="008D1E4E">
              <w:t xml:space="preserve"> </w:t>
            </w:r>
            <w:proofErr w:type="spellStart"/>
            <w:r w:rsidR="008D1E4E">
              <w:t>cemetary</w:t>
            </w:r>
            <w:proofErr w:type="spellEnd"/>
            <w:r w:rsidR="008D1E4E">
              <w:t xml:space="preserve">, Municipality of </w:t>
            </w:r>
            <w:proofErr w:type="spellStart"/>
            <w:r w:rsidR="008D1E4E">
              <w:t>Prijedor</w:t>
            </w:r>
            <w:proofErr w:type="spellEnd"/>
            <w:r w:rsidR="008D1E4E">
              <w:t>, which happened on 20 July 2014.</w:t>
            </w:r>
          </w:p>
          <w:p w:rsidR="008D1E4E" w:rsidRDefault="008D1E4E">
            <w:pPr>
              <w:keepNext/>
              <w:keepLines/>
              <w:spacing w:before="120" w:after="100" w:line="220" w:lineRule="exact"/>
              <w:jc w:val="both"/>
            </w:pPr>
            <w:r>
              <w:t xml:space="preserve">The results of the investigation </w:t>
            </w:r>
            <w:proofErr w:type="gramStart"/>
            <w:r>
              <w:t>will be used</w:t>
            </w:r>
            <w:proofErr w:type="gramEnd"/>
            <w:r>
              <w:t xml:space="preserve"> in the prosecution as evidence of the commission of war crimes and crimes against humanity, which involve command responsibility. Evidence of the crimes </w:t>
            </w:r>
            <w:proofErr w:type="gramStart"/>
            <w:r>
              <w:t>was transmitted</w:t>
            </w:r>
            <w:proofErr w:type="gramEnd"/>
            <w:r>
              <w:t xml:space="preserve"> to the International tribunal for the former Yugoslavia (ICTY) in June 2015 as additional evidence in the </w:t>
            </w:r>
            <w:r w:rsidR="00882760">
              <w:t>trial</w:t>
            </w:r>
            <w:r>
              <w:t xml:space="preserve"> against Ratko </w:t>
            </w:r>
            <w:proofErr w:type="spellStart"/>
            <w:r>
              <w:t>Mladić</w:t>
            </w:r>
            <w:proofErr w:type="spellEnd"/>
            <w:r>
              <w:t xml:space="preserve">, charged with genocide in the Municipality of </w:t>
            </w:r>
            <w:proofErr w:type="spellStart"/>
            <w:r>
              <w:t>Prijedor</w:t>
            </w:r>
            <w:proofErr w:type="spellEnd"/>
            <w:r>
              <w:t xml:space="preserve"> in 1992.</w:t>
            </w:r>
          </w:p>
          <w:p w:rsidR="008D1E4E" w:rsidRDefault="008D1E4E">
            <w:pPr>
              <w:keepNext/>
              <w:keepLines/>
              <w:spacing w:before="40" w:after="100" w:line="220" w:lineRule="exact"/>
              <w:jc w:val="both"/>
            </w:pPr>
            <w:r>
              <w:t xml:space="preserve">Although identification of perpetrators proves very difficult for lack of direct eyewitnesses, it </w:t>
            </w:r>
            <w:proofErr w:type="gramStart"/>
            <w:r>
              <w:t>will be pursued</w:t>
            </w:r>
            <w:proofErr w:type="gramEnd"/>
            <w:r>
              <w:t>, and there is no statute of limitation.</w:t>
            </w:r>
          </w:p>
          <w:p w:rsidR="008D1E4E" w:rsidRDefault="008D1E4E">
            <w:pPr>
              <w:keepNext/>
              <w:keepLines/>
              <w:spacing w:before="40" w:after="100" w:line="220" w:lineRule="exact"/>
              <w:jc w:val="both"/>
            </w:pPr>
            <w:r>
              <w:t xml:space="preserve">The Court of </w:t>
            </w:r>
            <w:proofErr w:type="spellStart"/>
            <w:r>
              <w:t>BiH</w:t>
            </w:r>
            <w:proofErr w:type="spellEnd"/>
            <w:r>
              <w:t xml:space="preserve"> is not in a position to provide more information, until an indictment against persons reasonably suspected of the murder of </w:t>
            </w:r>
            <w:proofErr w:type="spellStart"/>
            <w:r>
              <w:rPr>
                <w:bCs/>
              </w:rPr>
              <w:t>Ermin</w:t>
            </w:r>
            <w:proofErr w:type="spellEnd"/>
            <w:r>
              <w:rPr>
                <w:bCs/>
              </w:rPr>
              <w:t xml:space="preserve"> </w:t>
            </w:r>
            <w:proofErr w:type="spellStart"/>
            <w:r w:rsidRPr="00CA1E26">
              <w:t>Kadirić</w:t>
            </w:r>
            <w:proofErr w:type="spellEnd"/>
            <w:r>
              <w:t>. The Missing persons Institute has closed the case as far as searching for the remains is concerned.</w:t>
            </w:r>
          </w:p>
          <w:p w:rsidR="008D1E4E" w:rsidRPr="004F2101" w:rsidRDefault="008D1E4E">
            <w:pPr>
              <w:keepNext/>
              <w:keepLines/>
            </w:pPr>
            <w:r>
              <w:t xml:space="preserve">Regarding compensation to families of missing persons, the Council of Ministers initiated the preparation of a new law on the rights of victims of torture in </w:t>
            </w:r>
            <w:proofErr w:type="spellStart"/>
            <w:r>
              <w:t>BiH</w:t>
            </w:r>
            <w:proofErr w:type="spellEnd"/>
            <w:r>
              <w:t xml:space="preserve">, and the law </w:t>
            </w:r>
            <w:proofErr w:type="gramStart"/>
            <w:r>
              <w:t>was envisaged</w:t>
            </w:r>
            <w:proofErr w:type="gramEnd"/>
            <w:r>
              <w:t xml:space="preserve"> to be before Parliament by mid-2016. </w:t>
            </w:r>
          </w:p>
        </w:tc>
      </w:tr>
      <w:tr w:rsidR="008D1E4E" w:rsidRPr="004F2101" w:rsidTr="009716A9">
        <w:tc>
          <w:tcPr>
            <w:tcW w:w="2580" w:type="dxa"/>
            <w:shd w:val="clear" w:color="auto" w:fill="auto"/>
            <w:tcMar>
              <w:left w:w="28" w:type="dxa"/>
              <w:right w:w="28" w:type="dxa"/>
            </w:tcMar>
          </w:tcPr>
          <w:p w:rsidR="008D1E4E" w:rsidRPr="004F2101" w:rsidRDefault="008D1E4E">
            <w:pPr>
              <w:pStyle w:val="SingleTxtG"/>
              <w:keepNext/>
              <w:keepLines/>
              <w:suppressAutoHyphens w:val="0"/>
              <w:spacing w:before="120" w:line="220" w:lineRule="exact"/>
              <w:ind w:left="0" w:right="113"/>
              <w:jc w:val="left"/>
            </w:pPr>
            <w:r w:rsidRPr="004F2101">
              <w:t>Committee’s assessment:</w:t>
            </w:r>
          </w:p>
        </w:tc>
        <w:tc>
          <w:tcPr>
            <w:tcW w:w="4765" w:type="dxa"/>
            <w:shd w:val="clear" w:color="auto" w:fill="auto"/>
            <w:tcMar>
              <w:left w:w="28" w:type="dxa"/>
              <w:right w:w="28" w:type="dxa"/>
            </w:tcMar>
          </w:tcPr>
          <w:p w:rsidR="008D1E4E" w:rsidRDefault="008D1E4E">
            <w:pPr>
              <w:pStyle w:val="SingleTxtG"/>
              <w:keepNext/>
              <w:keepLines/>
              <w:numPr>
                <w:ilvl w:val="0"/>
                <w:numId w:val="23"/>
              </w:numPr>
              <w:spacing w:before="120"/>
              <w:ind w:left="397" w:right="59" w:hanging="425"/>
              <w:jc w:val="left"/>
              <w:rPr>
                <w:lang w:eastAsia="en-GB"/>
              </w:rPr>
            </w:pPr>
            <w:r>
              <w:t xml:space="preserve">Locating </w:t>
            </w:r>
            <w:proofErr w:type="spellStart"/>
            <w:r>
              <w:t>Ermin</w:t>
            </w:r>
            <w:proofErr w:type="spellEnd"/>
            <w:r>
              <w:t xml:space="preserve"> </w:t>
            </w:r>
            <w:proofErr w:type="spellStart"/>
            <w:r>
              <w:t>Kadirić’s</w:t>
            </w:r>
            <w:proofErr w:type="spellEnd"/>
            <w:r>
              <w:t xml:space="preserve"> remains: A</w:t>
            </w:r>
          </w:p>
          <w:p w:rsidR="008D1E4E" w:rsidRDefault="008D1E4E">
            <w:pPr>
              <w:pStyle w:val="SingleTxtG"/>
              <w:keepNext/>
              <w:keepLines/>
              <w:numPr>
                <w:ilvl w:val="0"/>
                <w:numId w:val="23"/>
              </w:numPr>
              <w:ind w:left="397" w:right="59" w:hanging="425"/>
              <w:jc w:val="left"/>
              <w:rPr>
                <w:lang w:eastAsia="en-GB"/>
              </w:rPr>
            </w:pPr>
            <w:r>
              <w:t>Prosecution: C</w:t>
            </w:r>
          </w:p>
          <w:p w:rsidR="008D1E4E" w:rsidRDefault="008D1E4E">
            <w:pPr>
              <w:pStyle w:val="SingleTxtG"/>
              <w:keepNext/>
              <w:keepLines/>
              <w:numPr>
                <w:ilvl w:val="0"/>
                <w:numId w:val="23"/>
              </w:numPr>
              <w:ind w:left="397" w:right="59" w:hanging="425"/>
              <w:jc w:val="left"/>
              <w:rPr>
                <w:lang w:eastAsia="en-GB"/>
              </w:rPr>
            </w:pPr>
            <w:r>
              <w:t>Psychological rehabilitation and medical care to the authors: C</w:t>
            </w:r>
          </w:p>
          <w:p w:rsidR="008D1E4E" w:rsidRDefault="008D1E4E">
            <w:pPr>
              <w:pStyle w:val="SingleTxtG"/>
              <w:keepNext/>
              <w:keepLines/>
              <w:numPr>
                <w:ilvl w:val="0"/>
                <w:numId w:val="23"/>
              </w:numPr>
              <w:ind w:left="397" w:right="59" w:hanging="425"/>
              <w:jc w:val="left"/>
              <w:rPr>
                <w:lang w:eastAsia="en-GB"/>
              </w:rPr>
            </w:pPr>
            <w:r>
              <w:t>Effective reparation to the authors, including adequate compensation: C</w:t>
            </w:r>
          </w:p>
          <w:p w:rsidR="008D1E4E" w:rsidRDefault="008D1E4E">
            <w:pPr>
              <w:pStyle w:val="SingleTxtG"/>
              <w:keepNext/>
              <w:keepLines/>
              <w:numPr>
                <w:ilvl w:val="0"/>
                <w:numId w:val="23"/>
              </w:numPr>
              <w:ind w:left="397" w:right="59" w:hanging="425"/>
              <w:jc w:val="left"/>
              <w:rPr>
                <w:lang w:eastAsia="en-GB"/>
              </w:rPr>
            </w:pPr>
            <w:r w:rsidRPr="00C951DF">
              <w:rPr>
                <w:lang w:eastAsia="en-GB"/>
              </w:rPr>
              <w:t xml:space="preserve">Publication of Views: </w:t>
            </w:r>
            <w:r>
              <w:rPr>
                <w:lang w:eastAsia="en-GB"/>
              </w:rPr>
              <w:t>No information</w:t>
            </w:r>
          </w:p>
          <w:p w:rsidR="008D1E4E" w:rsidRPr="004F2101" w:rsidRDefault="007E5D3B">
            <w:pPr>
              <w:pStyle w:val="SingleTxtG"/>
              <w:keepNext/>
              <w:keepLines/>
              <w:numPr>
                <w:ilvl w:val="0"/>
                <w:numId w:val="23"/>
              </w:numPr>
              <w:ind w:left="397" w:right="59" w:hanging="425"/>
              <w:jc w:val="left"/>
              <w:rPr>
                <w:lang w:eastAsia="en-GB"/>
              </w:rPr>
            </w:pPr>
            <w:r>
              <w:t xml:space="preserve">   </w:t>
            </w:r>
            <w:r w:rsidR="008D1E4E">
              <w:t>Non repetition: No information</w:t>
            </w:r>
          </w:p>
        </w:tc>
      </w:tr>
      <w:tr w:rsidR="008D1E4E" w:rsidRPr="004F2101" w:rsidTr="009716A9">
        <w:tc>
          <w:tcPr>
            <w:tcW w:w="2580" w:type="dxa"/>
            <w:shd w:val="clear" w:color="auto" w:fill="auto"/>
            <w:tcMar>
              <w:left w:w="28" w:type="dxa"/>
              <w:right w:w="28" w:type="dxa"/>
            </w:tcMar>
          </w:tcPr>
          <w:p w:rsidR="008D1E4E" w:rsidRPr="004F2101" w:rsidRDefault="008D1E4E">
            <w:pPr>
              <w:pStyle w:val="SingleTxtG"/>
              <w:suppressAutoHyphens w:val="0"/>
              <w:spacing w:before="40" w:line="220" w:lineRule="exact"/>
              <w:ind w:left="0" w:right="113"/>
              <w:jc w:val="left"/>
            </w:pPr>
            <w:r w:rsidRPr="004F2101">
              <w:t>Committee’s decision:</w:t>
            </w:r>
          </w:p>
        </w:tc>
        <w:tc>
          <w:tcPr>
            <w:tcW w:w="4765" w:type="dxa"/>
            <w:shd w:val="clear" w:color="auto" w:fill="auto"/>
            <w:tcMar>
              <w:left w:w="28" w:type="dxa"/>
              <w:right w:w="28" w:type="dxa"/>
            </w:tcMar>
          </w:tcPr>
          <w:p w:rsidR="008D1E4E" w:rsidRPr="004F2101" w:rsidRDefault="008D1E4E">
            <w:pPr>
              <w:pStyle w:val="SingleTxtG"/>
              <w:suppressAutoHyphens w:val="0"/>
              <w:spacing w:before="40" w:line="220" w:lineRule="exact"/>
              <w:ind w:left="0" w:right="113"/>
              <w:jc w:val="left"/>
            </w:pPr>
            <w:r w:rsidRPr="004F2101">
              <w:t>Follow-up dialogue ongoing.</w:t>
            </w:r>
          </w:p>
        </w:tc>
      </w:tr>
    </w:tbl>
    <w:p w:rsidR="00913BD9" w:rsidRPr="004F2101" w:rsidRDefault="00882760" w:rsidP="00913BD9">
      <w:pPr>
        <w:spacing w:after="240"/>
      </w:pPr>
      <w:r>
        <w:br w:type="textWrapping" w:clear="all"/>
      </w:r>
    </w:p>
    <w:p w:rsidR="00AB44C1" w:rsidRPr="004F2101" w:rsidRDefault="008D1E4E" w:rsidP="008619B9">
      <w:pPr>
        <w:pStyle w:val="H23G"/>
      </w:pPr>
      <w:r>
        <w:tab/>
        <w:t>4.</w:t>
      </w:r>
      <w:r>
        <w:tab/>
        <w:t>Cameroon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90"/>
      </w:tblGrid>
      <w:tr w:rsidR="00AB44C1" w:rsidRPr="004F2101" w:rsidTr="00A22B2D">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AB44C1" w:rsidRPr="008D1E4E" w:rsidRDefault="008D1E4E" w:rsidP="00D26536">
            <w:pPr>
              <w:keepNext/>
              <w:keepLines/>
              <w:spacing w:before="40" w:after="100" w:line="220" w:lineRule="exact"/>
              <w:rPr>
                <w:b/>
                <w:i/>
              </w:rPr>
            </w:pPr>
            <w:r>
              <w:rPr>
                <w:b/>
              </w:rPr>
              <w:t xml:space="preserve">Communication No. 1397/2005, </w:t>
            </w:r>
            <w:proofErr w:type="spellStart"/>
            <w:r>
              <w:rPr>
                <w:b/>
                <w:i/>
              </w:rPr>
              <w:t>Engo</w:t>
            </w:r>
            <w:proofErr w:type="spellEnd"/>
          </w:p>
        </w:tc>
      </w:tr>
      <w:tr w:rsidR="00AB44C1" w:rsidRPr="004F2101" w:rsidTr="008619B9">
        <w:tc>
          <w:tcPr>
            <w:tcW w:w="2580" w:type="dxa"/>
            <w:tcBorders>
              <w:top w:val="single" w:sz="12" w:space="0" w:color="auto"/>
            </w:tcBorders>
            <w:shd w:val="clear" w:color="auto" w:fill="auto"/>
            <w:tcMar>
              <w:left w:w="28" w:type="dxa"/>
              <w:right w:w="28" w:type="dxa"/>
            </w:tcMar>
          </w:tcPr>
          <w:p w:rsidR="00AB44C1" w:rsidRPr="004F2101" w:rsidRDefault="00AB44C1" w:rsidP="008619B9">
            <w:pPr>
              <w:pStyle w:val="SingleTxtG"/>
              <w:suppressAutoHyphens w:val="0"/>
              <w:spacing w:before="40" w:line="220" w:lineRule="exact"/>
              <w:ind w:left="0" w:right="113"/>
              <w:jc w:val="left"/>
            </w:pPr>
            <w:r w:rsidRPr="004F2101">
              <w:t>Views adopted:</w:t>
            </w:r>
          </w:p>
        </w:tc>
        <w:tc>
          <w:tcPr>
            <w:tcW w:w="4790" w:type="dxa"/>
            <w:tcBorders>
              <w:top w:val="single" w:sz="12" w:space="0" w:color="auto"/>
            </w:tcBorders>
            <w:shd w:val="clear" w:color="auto" w:fill="auto"/>
            <w:tcMar>
              <w:left w:w="28" w:type="dxa"/>
              <w:right w:w="28" w:type="dxa"/>
            </w:tcMar>
          </w:tcPr>
          <w:p w:rsidR="00AB44C1" w:rsidRPr="004F2101" w:rsidRDefault="008D1E4E" w:rsidP="008D1E4E">
            <w:pPr>
              <w:pStyle w:val="SingleTxtG"/>
              <w:suppressAutoHyphens w:val="0"/>
              <w:spacing w:before="40" w:line="220" w:lineRule="exact"/>
              <w:ind w:left="0" w:right="113"/>
              <w:jc w:val="left"/>
            </w:pPr>
            <w:r w:rsidRPr="00C32E17">
              <w:t xml:space="preserve">22 </w:t>
            </w:r>
            <w:r w:rsidRPr="00C32E17">
              <w:rPr>
                <w:color w:val="000000"/>
                <w:lang w:eastAsia="en-GB"/>
              </w:rPr>
              <w:t>July</w:t>
            </w:r>
            <w:r w:rsidRPr="00C32E17">
              <w:t xml:space="preserve"> 2009</w:t>
            </w:r>
          </w:p>
        </w:tc>
      </w:tr>
      <w:tr w:rsidR="00AB44C1" w:rsidRPr="004F2101" w:rsidTr="008619B9">
        <w:tc>
          <w:tcPr>
            <w:tcW w:w="2580" w:type="dxa"/>
            <w:shd w:val="clear" w:color="auto" w:fill="auto"/>
            <w:tcMar>
              <w:left w:w="28" w:type="dxa"/>
              <w:right w:w="28" w:type="dxa"/>
            </w:tcMar>
          </w:tcPr>
          <w:p w:rsidR="00AB44C1" w:rsidRPr="004F2101" w:rsidRDefault="00AB44C1" w:rsidP="008619B9">
            <w:pPr>
              <w:pStyle w:val="SingleTxtG"/>
              <w:suppressAutoHyphens w:val="0"/>
              <w:spacing w:before="40" w:line="220" w:lineRule="exact"/>
              <w:ind w:left="0" w:right="113"/>
              <w:jc w:val="left"/>
            </w:pPr>
            <w:r w:rsidRPr="004F2101">
              <w:t>Violation:</w:t>
            </w:r>
          </w:p>
        </w:tc>
        <w:tc>
          <w:tcPr>
            <w:tcW w:w="4790" w:type="dxa"/>
            <w:shd w:val="clear" w:color="auto" w:fill="auto"/>
            <w:tcMar>
              <w:left w:w="28" w:type="dxa"/>
              <w:right w:w="28" w:type="dxa"/>
            </w:tcMar>
          </w:tcPr>
          <w:p w:rsidR="00AB44C1" w:rsidRPr="004F2101" w:rsidRDefault="008D1E4E" w:rsidP="008619B9">
            <w:pPr>
              <w:pStyle w:val="SingleTxtG"/>
              <w:suppressAutoHyphens w:val="0"/>
              <w:spacing w:before="40" w:line="220" w:lineRule="exact"/>
              <w:ind w:left="0" w:right="113"/>
              <w:jc w:val="left"/>
            </w:pPr>
            <w:r w:rsidRPr="00C32E17">
              <w:rPr>
                <w:color w:val="000000"/>
                <w:lang w:eastAsia="en-GB"/>
              </w:rPr>
              <w:t>Article</w:t>
            </w:r>
            <w:r w:rsidRPr="00C32E17">
              <w:t xml:space="preserve"> 9 (2) and (3), article 10 (1), and article 14, paragraphs (2) and (3) (a), (b), (c) and (d)</w:t>
            </w:r>
          </w:p>
        </w:tc>
      </w:tr>
      <w:tr w:rsidR="00AB44C1" w:rsidRPr="004F2101" w:rsidTr="008619B9">
        <w:tc>
          <w:tcPr>
            <w:tcW w:w="2580" w:type="dxa"/>
            <w:shd w:val="clear" w:color="auto" w:fill="auto"/>
            <w:tcMar>
              <w:left w:w="28" w:type="dxa"/>
              <w:right w:w="28" w:type="dxa"/>
            </w:tcMar>
          </w:tcPr>
          <w:p w:rsidR="00AB44C1" w:rsidRPr="004F2101" w:rsidRDefault="00AB44C1" w:rsidP="008619B9">
            <w:pPr>
              <w:pStyle w:val="SingleTxtG"/>
              <w:suppressAutoHyphens w:val="0"/>
              <w:spacing w:before="40" w:line="220" w:lineRule="exact"/>
              <w:ind w:left="0" w:right="113"/>
              <w:jc w:val="left"/>
            </w:pPr>
            <w:r w:rsidRPr="004F2101">
              <w:t xml:space="preserve">Remedy: </w:t>
            </w:r>
          </w:p>
        </w:tc>
        <w:tc>
          <w:tcPr>
            <w:tcW w:w="4790" w:type="dxa"/>
            <w:shd w:val="clear" w:color="auto" w:fill="auto"/>
            <w:tcMar>
              <w:left w:w="28" w:type="dxa"/>
              <w:right w:w="28" w:type="dxa"/>
            </w:tcMar>
          </w:tcPr>
          <w:p w:rsidR="00AB44C1" w:rsidRPr="004F2101" w:rsidRDefault="008D1E4E" w:rsidP="008619B9">
            <w:pPr>
              <w:pStyle w:val="SingleTxtG"/>
              <w:suppressAutoHyphens w:val="0"/>
              <w:spacing w:before="40" w:line="220" w:lineRule="exact"/>
              <w:ind w:left="0" w:right="113"/>
              <w:jc w:val="left"/>
            </w:pPr>
            <w:r w:rsidRPr="007252D3">
              <w:rPr>
                <w:color w:val="000000"/>
                <w:lang w:eastAsia="en-GB"/>
              </w:rPr>
              <w:t>An</w:t>
            </w:r>
            <w:r w:rsidRPr="00C87979">
              <w:t xml:space="preserve"> effective remedy leading to his immedia</w:t>
            </w:r>
            <w:r>
              <w:t xml:space="preserve">te release and the provision of </w:t>
            </w:r>
            <w:r w:rsidRPr="00C87979">
              <w:t>adequ</w:t>
            </w:r>
            <w:r>
              <w:t>ate ophthalmological treatment.</w:t>
            </w:r>
          </w:p>
        </w:tc>
      </w:tr>
      <w:tr w:rsidR="00AB44C1" w:rsidRPr="004F2101" w:rsidTr="00F038D6">
        <w:tc>
          <w:tcPr>
            <w:tcW w:w="2580" w:type="dxa"/>
            <w:tcBorders>
              <w:bottom w:val="nil"/>
            </w:tcBorders>
            <w:shd w:val="clear" w:color="auto" w:fill="auto"/>
            <w:tcMar>
              <w:left w:w="28" w:type="dxa"/>
              <w:right w:w="28" w:type="dxa"/>
            </w:tcMar>
          </w:tcPr>
          <w:p w:rsidR="00AB44C1" w:rsidRPr="004F2101" w:rsidRDefault="00AB44C1" w:rsidP="008619B9">
            <w:pPr>
              <w:pStyle w:val="SingleTxtG"/>
              <w:suppressAutoHyphens w:val="0"/>
              <w:spacing w:before="40" w:line="220" w:lineRule="exact"/>
              <w:ind w:left="0" w:right="113"/>
              <w:jc w:val="left"/>
            </w:pPr>
            <w:r w:rsidRPr="004F2101">
              <w:t>Subject matter:</w:t>
            </w:r>
          </w:p>
        </w:tc>
        <w:tc>
          <w:tcPr>
            <w:tcW w:w="4790" w:type="dxa"/>
            <w:tcBorders>
              <w:bottom w:val="nil"/>
            </w:tcBorders>
            <w:shd w:val="clear" w:color="auto" w:fill="auto"/>
            <w:tcMar>
              <w:left w:w="28" w:type="dxa"/>
              <w:right w:w="28" w:type="dxa"/>
            </w:tcMar>
          </w:tcPr>
          <w:p w:rsidR="00AB44C1" w:rsidRPr="004F2101" w:rsidRDefault="008D1E4E" w:rsidP="008619B9">
            <w:pPr>
              <w:pStyle w:val="SingleTxtG"/>
              <w:suppressAutoHyphens w:val="0"/>
              <w:spacing w:before="40" w:line="220" w:lineRule="exact"/>
              <w:ind w:left="0" w:right="113"/>
              <w:jc w:val="left"/>
            </w:pPr>
            <w:r>
              <w:t>Arbitrary detention</w:t>
            </w:r>
          </w:p>
        </w:tc>
      </w:tr>
      <w:tr w:rsidR="00AB44C1" w:rsidRPr="004F2101" w:rsidTr="00E329FA">
        <w:tc>
          <w:tcPr>
            <w:tcW w:w="2580" w:type="dxa"/>
            <w:tcBorders>
              <w:top w:val="nil"/>
              <w:bottom w:val="nil"/>
            </w:tcBorders>
            <w:shd w:val="clear" w:color="auto" w:fill="auto"/>
            <w:tcMar>
              <w:left w:w="28" w:type="dxa"/>
              <w:right w:w="28" w:type="dxa"/>
            </w:tcMar>
          </w:tcPr>
          <w:p w:rsidR="00AB44C1" w:rsidRPr="004F2101" w:rsidRDefault="00AB44C1" w:rsidP="008619B9">
            <w:pPr>
              <w:pStyle w:val="SingleTxtG"/>
              <w:suppressAutoHyphens w:val="0"/>
              <w:spacing w:before="40" w:line="220" w:lineRule="exact"/>
              <w:ind w:left="0" w:right="113"/>
              <w:jc w:val="left"/>
            </w:pPr>
            <w:r w:rsidRPr="004F2101">
              <w:t xml:space="preserve">Previous follow-up information: </w:t>
            </w:r>
          </w:p>
        </w:tc>
        <w:tc>
          <w:tcPr>
            <w:tcW w:w="4790" w:type="dxa"/>
            <w:tcBorders>
              <w:top w:val="nil"/>
              <w:bottom w:val="nil"/>
            </w:tcBorders>
            <w:shd w:val="clear" w:color="auto" w:fill="auto"/>
            <w:tcMar>
              <w:left w:w="28" w:type="dxa"/>
              <w:right w:w="28" w:type="dxa"/>
            </w:tcMar>
          </w:tcPr>
          <w:p w:rsidR="00AB44C1" w:rsidRPr="004F2101" w:rsidRDefault="008D1E4E" w:rsidP="008D1E4E">
            <w:pPr>
              <w:pStyle w:val="SingleTxtG"/>
              <w:suppressAutoHyphens w:val="0"/>
              <w:spacing w:before="40" w:line="220" w:lineRule="exact"/>
              <w:ind w:left="0" w:right="113"/>
              <w:jc w:val="left"/>
            </w:pPr>
            <w:r w:rsidRPr="00B120AD">
              <w:t>CCPR/C/116/3.</w:t>
            </w:r>
          </w:p>
        </w:tc>
      </w:tr>
      <w:tr w:rsidR="00E329FA" w:rsidRPr="004F2101" w:rsidTr="00E329FA">
        <w:tc>
          <w:tcPr>
            <w:tcW w:w="2580" w:type="dxa"/>
            <w:tcBorders>
              <w:top w:val="nil"/>
              <w:bottom w:val="nil"/>
            </w:tcBorders>
            <w:shd w:val="clear" w:color="auto" w:fill="auto"/>
            <w:tcMar>
              <w:left w:w="28" w:type="dxa"/>
              <w:right w:w="28" w:type="dxa"/>
            </w:tcMar>
          </w:tcPr>
          <w:p w:rsidR="00E329FA" w:rsidRPr="004F2101" w:rsidRDefault="00E329FA" w:rsidP="00E329FA">
            <w:pPr>
              <w:pStyle w:val="SingleTxtG"/>
              <w:suppressAutoHyphens w:val="0"/>
              <w:spacing w:before="40" w:line="220" w:lineRule="exact"/>
              <w:ind w:left="0" w:right="113"/>
              <w:jc w:val="left"/>
            </w:pPr>
            <w:r w:rsidRPr="004F2101">
              <w:t>Submission from State party:</w:t>
            </w:r>
          </w:p>
        </w:tc>
        <w:tc>
          <w:tcPr>
            <w:tcW w:w="4790" w:type="dxa"/>
            <w:tcBorders>
              <w:top w:val="nil"/>
              <w:bottom w:val="nil"/>
            </w:tcBorders>
            <w:shd w:val="clear" w:color="auto" w:fill="auto"/>
            <w:tcMar>
              <w:left w:w="28" w:type="dxa"/>
              <w:right w:w="28" w:type="dxa"/>
            </w:tcMar>
          </w:tcPr>
          <w:p w:rsidR="00E329FA" w:rsidRPr="004F2101" w:rsidRDefault="008D1E4E" w:rsidP="008D1E4E">
            <w:pPr>
              <w:pStyle w:val="SingleTxtG"/>
              <w:suppressAutoHyphens w:val="0"/>
              <w:spacing w:before="40" w:line="220" w:lineRule="exact"/>
              <w:ind w:left="0" w:right="113"/>
              <w:jc w:val="left"/>
            </w:pPr>
            <w:r>
              <w:t>30 May 2016</w:t>
            </w:r>
            <w:r>
              <w:tab/>
            </w:r>
          </w:p>
        </w:tc>
      </w:tr>
      <w:tr w:rsidR="00E329FA" w:rsidRPr="004F2101" w:rsidTr="00E329FA">
        <w:tc>
          <w:tcPr>
            <w:tcW w:w="2580" w:type="dxa"/>
            <w:tcBorders>
              <w:top w:val="nil"/>
              <w:bottom w:val="nil"/>
            </w:tcBorders>
            <w:shd w:val="clear" w:color="auto" w:fill="auto"/>
            <w:tcMar>
              <w:left w:w="28" w:type="dxa"/>
              <w:right w:w="28" w:type="dxa"/>
            </w:tcMar>
          </w:tcPr>
          <w:p w:rsidR="00E329FA" w:rsidRPr="004F2101" w:rsidRDefault="00E329FA" w:rsidP="00F038D6">
            <w:pPr>
              <w:pStyle w:val="SingleTxtG"/>
              <w:keepNext/>
              <w:keepLines/>
              <w:suppressAutoHyphens w:val="0"/>
              <w:spacing w:before="40" w:line="220" w:lineRule="exact"/>
              <w:ind w:left="0" w:right="113"/>
              <w:jc w:val="left"/>
            </w:pPr>
          </w:p>
        </w:tc>
        <w:tc>
          <w:tcPr>
            <w:tcW w:w="4790" w:type="dxa"/>
            <w:tcBorders>
              <w:top w:val="nil"/>
              <w:bottom w:val="nil"/>
            </w:tcBorders>
            <w:shd w:val="clear" w:color="auto" w:fill="auto"/>
            <w:tcMar>
              <w:left w:w="28" w:type="dxa"/>
              <w:right w:w="28" w:type="dxa"/>
            </w:tcMar>
          </w:tcPr>
          <w:p w:rsidR="008D1E4E" w:rsidRPr="00B120AD" w:rsidRDefault="008D1E4E" w:rsidP="008D1E4E">
            <w:pPr>
              <w:spacing w:after="120"/>
              <w:jc w:val="both"/>
            </w:pPr>
            <w:r>
              <w:t xml:space="preserve">According to the State party, the author had not, in the procedure before the Committee prior to the adoption of the Views, made any compensation claim, nor a request for legislative amendments. Therefore, </w:t>
            </w:r>
            <w:proofErr w:type="gramStart"/>
            <w:r>
              <w:t>these requests should not be accepted by the Committee</w:t>
            </w:r>
            <w:proofErr w:type="gramEnd"/>
            <w:r>
              <w:t xml:space="preserve"> at the follow-up stage.</w:t>
            </w:r>
          </w:p>
          <w:p w:rsidR="008D1E4E" w:rsidRDefault="008D1E4E" w:rsidP="008D1E4E">
            <w:pPr>
              <w:pStyle w:val="ListParagraph"/>
              <w:ind w:left="1500"/>
              <w:rPr>
                <w:rFonts w:ascii="Times New Roman" w:eastAsia="MS Mincho" w:hAnsi="Times New Roman"/>
                <w:b/>
                <w:sz w:val="20"/>
                <w:szCs w:val="20"/>
                <w:lang w:val="en-GB"/>
              </w:rPr>
            </w:pPr>
          </w:p>
          <w:p w:rsidR="00E329FA" w:rsidRPr="004F2101" w:rsidRDefault="008D1E4E" w:rsidP="008D1E4E">
            <w:r w:rsidRPr="00D4402F">
              <w:t xml:space="preserve">The State party notes that the author </w:t>
            </w:r>
            <w:proofErr w:type="gramStart"/>
            <w:r w:rsidRPr="00D4402F">
              <w:t>was released</w:t>
            </w:r>
            <w:proofErr w:type="gramEnd"/>
            <w:r w:rsidRPr="00D4402F">
              <w:t xml:space="preserve"> pursuant to decision n°</w:t>
            </w:r>
            <w:r>
              <w:t>014/ADD-CRIM/TCS of 7 May 2014.</w:t>
            </w:r>
          </w:p>
        </w:tc>
      </w:tr>
      <w:tr w:rsidR="00E329FA" w:rsidRPr="004F2101" w:rsidTr="008619B9">
        <w:tc>
          <w:tcPr>
            <w:tcW w:w="2580" w:type="dxa"/>
            <w:shd w:val="clear" w:color="auto" w:fill="auto"/>
            <w:tcMar>
              <w:left w:w="28" w:type="dxa"/>
              <w:right w:w="28" w:type="dxa"/>
            </w:tcMar>
          </w:tcPr>
          <w:p w:rsidR="00E329FA" w:rsidRPr="004F2101" w:rsidRDefault="00E329FA" w:rsidP="00A631AE">
            <w:pPr>
              <w:pStyle w:val="SingleTxtG"/>
              <w:keepNext/>
              <w:keepLines/>
              <w:suppressAutoHyphens w:val="0"/>
              <w:spacing w:before="40" w:line="220" w:lineRule="exact"/>
              <w:ind w:left="0" w:right="113"/>
              <w:jc w:val="left"/>
            </w:pPr>
            <w:r w:rsidRPr="004F2101">
              <w:t>Committee</w:t>
            </w:r>
            <w:r w:rsidR="001D6817" w:rsidRPr="004F2101">
              <w:t>’</w:t>
            </w:r>
            <w:r w:rsidRPr="004F2101">
              <w:t>s assessment:</w:t>
            </w:r>
          </w:p>
        </w:tc>
        <w:tc>
          <w:tcPr>
            <w:tcW w:w="4790" w:type="dxa"/>
            <w:shd w:val="clear" w:color="auto" w:fill="auto"/>
            <w:tcMar>
              <w:left w:w="28" w:type="dxa"/>
              <w:right w:w="28" w:type="dxa"/>
            </w:tcMar>
          </w:tcPr>
          <w:p w:rsidR="008D1E4E" w:rsidRPr="007428F1" w:rsidRDefault="00882760" w:rsidP="00D26536">
            <w:pPr>
              <w:pStyle w:val="ListParagraph"/>
              <w:numPr>
                <w:ilvl w:val="0"/>
                <w:numId w:val="11"/>
              </w:numPr>
              <w:suppressAutoHyphens/>
              <w:spacing w:after="120" w:line="240" w:lineRule="exact"/>
              <w:ind w:hanging="1353"/>
              <w:contextualSpacing/>
              <w:rPr>
                <w:rFonts w:ascii="Times New Roman" w:hAnsi="Times New Roman"/>
                <w:sz w:val="20"/>
                <w:szCs w:val="20"/>
              </w:rPr>
            </w:pPr>
            <w:r>
              <w:rPr>
                <w:rFonts w:ascii="Times New Roman" w:hAnsi="Times New Roman"/>
                <w:sz w:val="20"/>
                <w:szCs w:val="20"/>
              </w:rPr>
              <w:t>Release</w:t>
            </w:r>
            <w:r w:rsidR="008D1E4E">
              <w:rPr>
                <w:rFonts w:ascii="Times New Roman" w:hAnsi="Times New Roman"/>
                <w:sz w:val="20"/>
                <w:szCs w:val="20"/>
              </w:rPr>
              <w:t>: A</w:t>
            </w:r>
          </w:p>
          <w:p w:rsidR="008D1E4E" w:rsidRPr="007428F1" w:rsidRDefault="008D1E4E" w:rsidP="00D26536">
            <w:pPr>
              <w:pStyle w:val="ListParagraph"/>
              <w:numPr>
                <w:ilvl w:val="0"/>
                <w:numId w:val="11"/>
              </w:numPr>
              <w:suppressAutoHyphens/>
              <w:spacing w:after="120" w:line="240" w:lineRule="exact"/>
              <w:ind w:left="539" w:hanging="539"/>
              <w:contextualSpacing/>
              <w:rPr>
                <w:rFonts w:ascii="Times New Roman" w:hAnsi="Times New Roman"/>
                <w:sz w:val="20"/>
                <w:szCs w:val="20"/>
              </w:rPr>
            </w:pPr>
            <w:r w:rsidRPr="007428F1">
              <w:rPr>
                <w:rFonts w:ascii="Times New Roman" w:hAnsi="Times New Roman"/>
                <w:sz w:val="20"/>
                <w:szCs w:val="20"/>
              </w:rPr>
              <w:t xml:space="preserve">Provision of adequate ophthalmological treatment: </w:t>
            </w:r>
            <w:r w:rsidR="00882760">
              <w:rPr>
                <w:rFonts w:ascii="Times New Roman" w:hAnsi="Times New Roman"/>
                <w:sz w:val="20"/>
                <w:szCs w:val="20"/>
              </w:rPr>
              <w:t>B</w:t>
            </w:r>
          </w:p>
          <w:p w:rsidR="008D1E4E" w:rsidRPr="007428F1" w:rsidRDefault="008D1E4E" w:rsidP="00D26536">
            <w:pPr>
              <w:pStyle w:val="ListParagraph"/>
              <w:numPr>
                <w:ilvl w:val="0"/>
                <w:numId w:val="11"/>
              </w:numPr>
              <w:suppressAutoHyphens/>
              <w:spacing w:after="120" w:line="240" w:lineRule="exact"/>
              <w:ind w:hanging="1353"/>
              <w:contextualSpacing/>
              <w:rPr>
                <w:rFonts w:ascii="Times New Roman" w:hAnsi="Times New Roman"/>
                <w:sz w:val="20"/>
                <w:szCs w:val="20"/>
              </w:rPr>
            </w:pPr>
            <w:r w:rsidRPr="007428F1">
              <w:rPr>
                <w:rFonts w:ascii="Times New Roman" w:hAnsi="Times New Roman"/>
                <w:sz w:val="20"/>
                <w:szCs w:val="20"/>
              </w:rPr>
              <w:t>Publication of Views: No information</w:t>
            </w:r>
          </w:p>
          <w:p w:rsidR="00E329FA" w:rsidRPr="008D1E4E" w:rsidRDefault="008D1E4E" w:rsidP="00D26536">
            <w:pPr>
              <w:pStyle w:val="ListParagraph"/>
              <w:numPr>
                <w:ilvl w:val="0"/>
                <w:numId w:val="11"/>
              </w:numPr>
              <w:suppressAutoHyphens/>
              <w:spacing w:after="120" w:line="240" w:lineRule="exact"/>
              <w:ind w:hanging="1353"/>
              <w:contextualSpacing/>
              <w:rPr>
                <w:rFonts w:ascii="Times New Roman" w:hAnsi="Times New Roman"/>
                <w:sz w:val="20"/>
                <w:szCs w:val="20"/>
              </w:rPr>
            </w:pPr>
            <w:r w:rsidRPr="007428F1">
              <w:rPr>
                <w:rFonts w:ascii="Times New Roman" w:hAnsi="Times New Roman"/>
                <w:sz w:val="20"/>
                <w:szCs w:val="20"/>
              </w:rPr>
              <w:t>Non-repetition: No information</w:t>
            </w:r>
          </w:p>
        </w:tc>
      </w:tr>
      <w:tr w:rsidR="00E329FA" w:rsidRPr="004F2101" w:rsidTr="008619B9">
        <w:tc>
          <w:tcPr>
            <w:tcW w:w="2580" w:type="dxa"/>
            <w:shd w:val="clear" w:color="auto" w:fill="auto"/>
            <w:tcMar>
              <w:left w:w="28" w:type="dxa"/>
              <w:right w:w="28" w:type="dxa"/>
            </w:tcMar>
          </w:tcPr>
          <w:p w:rsidR="00E329FA" w:rsidRPr="004F2101" w:rsidRDefault="00E329FA" w:rsidP="00A631AE">
            <w:pPr>
              <w:pStyle w:val="SingleTxtG"/>
              <w:keepNext/>
              <w:keepLines/>
              <w:suppressAutoHyphens w:val="0"/>
              <w:spacing w:before="40" w:line="220" w:lineRule="exact"/>
              <w:ind w:left="0" w:right="113"/>
              <w:jc w:val="left"/>
            </w:pPr>
            <w:r w:rsidRPr="004F2101">
              <w:t>Committee</w:t>
            </w:r>
            <w:r w:rsidR="001D6817" w:rsidRPr="004F2101">
              <w:t>’</w:t>
            </w:r>
            <w:r w:rsidRPr="004F2101">
              <w:t xml:space="preserve">s decision: </w:t>
            </w:r>
          </w:p>
        </w:tc>
        <w:tc>
          <w:tcPr>
            <w:tcW w:w="4790" w:type="dxa"/>
            <w:shd w:val="clear" w:color="auto" w:fill="auto"/>
            <w:tcMar>
              <w:left w:w="28" w:type="dxa"/>
              <w:right w:w="28" w:type="dxa"/>
            </w:tcMar>
          </w:tcPr>
          <w:p w:rsidR="00E329FA" w:rsidRPr="004F2101" w:rsidRDefault="00E329FA" w:rsidP="00A631AE">
            <w:pPr>
              <w:pStyle w:val="SingleTxtG"/>
              <w:keepNext/>
              <w:keepLines/>
              <w:suppressAutoHyphens w:val="0"/>
              <w:spacing w:before="40" w:line="220" w:lineRule="exact"/>
              <w:ind w:left="0" w:right="113"/>
              <w:jc w:val="left"/>
            </w:pPr>
            <w:r w:rsidRPr="004F2101">
              <w:t>Follow-up dialogue ongoing.</w:t>
            </w:r>
          </w:p>
        </w:tc>
      </w:tr>
    </w:tbl>
    <w:p w:rsidR="00AB44C1" w:rsidRPr="004F2101" w:rsidRDefault="008D1E4E" w:rsidP="007C681F">
      <w:pPr>
        <w:pStyle w:val="H23G"/>
      </w:pPr>
      <w:r>
        <w:tab/>
        <w:t>5.</w:t>
      </w:r>
      <w:r>
        <w:tab/>
        <w:t>Canada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90"/>
      </w:tblGrid>
      <w:tr w:rsidR="00AB44C1" w:rsidRPr="004F2101" w:rsidTr="00E329FA">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AB44C1" w:rsidRPr="004F2101" w:rsidRDefault="008D1E4E" w:rsidP="007C681F">
            <w:pPr>
              <w:pStyle w:val="SingleTxtG"/>
              <w:suppressAutoHyphens w:val="0"/>
              <w:spacing w:before="80" w:after="80" w:line="200" w:lineRule="exact"/>
              <w:ind w:left="0" w:right="113"/>
              <w:jc w:val="left"/>
              <w:rPr>
                <w:rFonts w:ascii="Times New Roman Bold" w:hAnsi="Times New Roman Bold" w:cs="Times New Roman Bold" w:hint="eastAsia"/>
                <w:b/>
                <w:bCs/>
                <w:i/>
              </w:rPr>
            </w:pPr>
            <w:r>
              <w:rPr>
                <w:b/>
              </w:rPr>
              <w:t xml:space="preserve">Communication No.1544/2007, </w:t>
            </w:r>
            <w:proofErr w:type="spellStart"/>
            <w:r>
              <w:rPr>
                <w:b/>
                <w:i/>
              </w:rPr>
              <w:t>Hamida</w:t>
            </w:r>
            <w:proofErr w:type="spellEnd"/>
          </w:p>
        </w:tc>
      </w:tr>
      <w:tr w:rsidR="00AB44C1" w:rsidRPr="004F2101" w:rsidTr="007C681F">
        <w:tc>
          <w:tcPr>
            <w:tcW w:w="2580" w:type="dxa"/>
            <w:tcBorders>
              <w:top w:val="single" w:sz="12" w:space="0" w:color="auto"/>
            </w:tcBorders>
            <w:shd w:val="clear" w:color="auto" w:fill="auto"/>
            <w:tcMar>
              <w:left w:w="28" w:type="dxa"/>
              <w:right w:w="28" w:type="dxa"/>
            </w:tcMar>
          </w:tcPr>
          <w:p w:rsidR="00AB44C1" w:rsidRPr="004F2101" w:rsidRDefault="00AB44C1" w:rsidP="007C681F">
            <w:pPr>
              <w:pStyle w:val="SingleTxtG"/>
              <w:suppressAutoHyphens w:val="0"/>
              <w:spacing w:before="40" w:line="220" w:lineRule="exact"/>
              <w:ind w:left="0" w:right="113"/>
              <w:jc w:val="left"/>
            </w:pPr>
            <w:r w:rsidRPr="004F2101">
              <w:t>Views adopted:</w:t>
            </w:r>
          </w:p>
        </w:tc>
        <w:tc>
          <w:tcPr>
            <w:tcW w:w="4790" w:type="dxa"/>
            <w:tcBorders>
              <w:top w:val="single" w:sz="12" w:space="0" w:color="auto"/>
            </w:tcBorders>
            <w:shd w:val="clear" w:color="auto" w:fill="auto"/>
            <w:tcMar>
              <w:left w:w="28" w:type="dxa"/>
              <w:right w:w="28" w:type="dxa"/>
            </w:tcMar>
          </w:tcPr>
          <w:p w:rsidR="00AB44C1" w:rsidRPr="004F2101" w:rsidRDefault="005E61A5" w:rsidP="007C681F">
            <w:pPr>
              <w:pStyle w:val="SingleTxtG"/>
              <w:suppressAutoHyphens w:val="0"/>
              <w:spacing w:before="40" w:line="220" w:lineRule="exact"/>
              <w:ind w:left="0" w:right="113"/>
              <w:jc w:val="left"/>
            </w:pPr>
            <w:r w:rsidRPr="00C24FE0">
              <w:rPr>
                <w:bCs/>
              </w:rPr>
              <w:t>18 March 2010</w:t>
            </w:r>
          </w:p>
        </w:tc>
      </w:tr>
      <w:tr w:rsidR="00AB44C1" w:rsidRPr="004F2101" w:rsidTr="007C681F">
        <w:tc>
          <w:tcPr>
            <w:tcW w:w="2580" w:type="dxa"/>
            <w:shd w:val="clear" w:color="auto" w:fill="auto"/>
            <w:tcMar>
              <w:left w:w="28" w:type="dxa"/>
              <w:right w:w="28" w:type="dxa"/>
            </w:tcMar>
          </w:tcPr>
          <w:p w:rsidR="00AB44C1" w:rsidRPr="004F2101" w:rsidRDefault="00AB44C1" w:rsidP="007C681F">
            <w:pPr>
              <w:pStyle w:val="SingleTxtG"/>
              <w:suppressAutoHyphens w:val="0"/>
              <w:spacing w:before="40" w:line="220" w:lineRule="exact"/>
              <w:ind w:left="0" w:right="113"/>
              <w:jc w:val="left"/>
            </w:pPr>
            <w:r w:rsidRPr="004F2101">
              <w:t>Violation:</w:t>
            </w:r>
          </w:p>
        </w:tc>
        <w:tc>
          <w:tcPr>
            <w:tcW w:w="4790" w:type="dxa"/>
            <w:shd w:val="clear" w:color="auto" w:fill="auto"/>
            <w:tcMar>
              <w:left w:w="28" w:type="dxa"/>
              <w:right w:w="28" w:type="dxa"/>
            </w:tcMar>
          </w:tcPr>
          <w:p w:rsidR="00AB44C1" w:rsidRPr="004F2101" w:rsidRDefault="005E61A5" w:rsidP="007C681F">
            <w:pPr>
              <w:pStyle w:val="SingleTxtG"/>
              <w:suppressAutoHyphens w:val="0"/>
              <w:spacing w:before="40" w:line="220" w:lineRule="exact"/>
              <w:ind w:left="0" w:right="113"/>
              <w:jc w:val="left"/>
            </w:pPr>
            <w:r w:rsidRPr="00C24FE0">
              <w:rPr>
                <w:bCs/>
              </w:rPr>
              <w:t>Articles 2 and 7</w:t>
            </w:r>
          </w:p>
        </w:tc>
      </w:tr>
      <w:tr w:rsidR="00AB44C1" w:rsidRPr="004F2101" w:rsidTr="007C681F">
        <w:tc>
          <w:tcPr>
            <w:tcW w:w="2580" w:type="dxa"/>
            <w:shd w:val="clear" w:color="auto" w:fill="auto"/>
            <w:tcMar>
              <w:left w:w="28" w:type="dxa"/>
              <w:right w:w="28" w:type="dxa"/>
            </w:tcMar>
          </w:tcPr>
          <w:p w:rsidR="00AB44C1" w:rsidRPr="004F2101" w:rsidRDefault="00AB44C1" w:rsidP="007C681F">
            <w:pPr>
              <w:pStyle w:val="SingleTxtG"/>
              <w:suppressAutoHyphens w:val="0"/>
              <w:spacing w:before="40" w:line="220" w:lineRule="exact"/>
              <w:ind w:left="0" w:right="113"/>
              <w:jc w:val="left"/>
            </w:pPr>
            <w:r w:rsidRPr="004F2101">
              <w:t xml:space="preserve">Remedy: </w:t>
            </w:r>
          </w:p>
        </w:tc>
        <w:tc>
          <w:tcPr>
            <w:tcW w:w="4790" w:type="dxa"/>
            <w:shd w:val="clear" w:color="auto" w:fill="auto"/>
            <w:tcMar>
              <w:left w:w="28" w:type="dxa"/>
              <w:right w:w="28" w:type="dxa"/>
            </w:tcMar>
          </w:tcPr>
          <w:p w:rsidR="00AB44C1" w:rsidRPr="004F2101" w:rsidRDefault="005E61A5" w:rsidP="007C681F">
            <w:pPr>
              <w:pStyle w:val="SingleTxtG"/>
              <w:suppressAutoHyphens w:val="0"/>
              <w:spacing w:before="40" w:line="220" w:lineRule="exact"/>
              <w:ind w:left="0" w:right="113"/>
              <w:jc w:val="left"/>
            </w:pPr>
            <w:r w:rsidRPr="00C24FE0">
              <w:rPr>
                <w:bCs/>
              </w:rPr>
              <w:t>Effective remedy, including a full reconsideration of his expulsion order, taking into account the State party’s obligations under the Covenant.</w:t>
            </w:r>
          </w:p>
        </w:tc>
      </w:tr>
      <w:tr w:rsidR="00AB44C1" w:rsidRPr="004F2101" w:rsidTr="007C681F">
        <w:tc>
          <w:tcPr>
            <w:tcW w:w="2580" w:type="dxa"/>
            <w:shd w:val="clear" w:color="auto" w:fill="auto"/>
            <w:tcMar>
              <w:left w:w="28" w:type="dxa"/>
              <w:right w:w="28" w:type="dxa"/>
            </w:tcMar>
          </w:tcPr>
          <w:p w:rsidR="00AB44C1" w:rsidRPr="004F2101" w:rsidRDefault="00AB44C1" w:rsidP="007C681F">
            <w:pPr>
              <w:pStyle w:val="SingleTxtG"/>
              <w:suppressAutoHyphens w:val="0"/>
              <w:spacing w:before="40" w:line="220" w:lineRule="exact"/>
              <w:ind w:left="0" w:right="113"/>
              <w:jc w:val="left"/>
            </w:pPr>
            <w:r w:rsidRPr="004F2101">
              <w:t>Subject matter:</w:t>
            </w:r>
          </w:p>
        </w:tc>
        <w:tc>
          <w:tcPr>
            <w:tcW w:w="4790" w:type="dxa"/>
            <w:shd w:val="clear" w:color="auto" w:fill="auto"/>
            <w:tcMar>
              <w:left w:w="28" w:type="dxa"/>
              <w:right w:w="28" w:type="dxa"/>
            </w:tcMar>
          </w:tcPr>
          <w:p w:rsidR="00AB44C1" w:rsidRPr="004F2101" w:rsidRDefault="005E61A5" w:rsidP="007C681F">
            <w:pPr>
              <w:pStyle w:val="SingleTxtG"/>
              <w:suppressAutoHyphens w:val="0"/>
              <w:spacing w:before="40" w:line="220" w:lineRule="exact"/>
              <w:ind w:left="0" w:right="113"/>
              <w:jc w:val="left"/>
            </w:pPr>
            <w:r>
              <w:rPr>
                <w:bCs/>
              </w:rPr>
              <w:t>Deportation to Tunisia</w:t>
            </w:r>
          </w:p>
        </w:tc>
      </w:tr>
      <w:tr w:rsidR="00AB44C1" w:rsidRPr="004F2101" w:rsidTr="007C681F">
        <w:tc>
          <w:tcPr>
            <w:tcW w:w="2580" w:type="dxa"/>
            <w:shd w:val="clear" w:color="auto" w:fill="auto"/>
            <w:tcMar>
              <w:left w:w="28" w:type="dxa"/>
              <w:right w:w="28" w:type="dxa"/>
            </w:tcMar>
          </w:tcPr>
          <w:p w:rsidR="00AB44C1" w:rsidRPr="004F2101" w:rsidRDefault="00AB44C1" w:rsidP="007C681F">
            <w:pPr>
              <w:pStyle w:val="SingleTxtG"/>
              <w:suppressAutoHyphens w:val="0"/>
              <w:spacing w:before="40" w:line="220" w:lineRule="exact"/>
              <w:ind w:left="0" w:right="113"/>
              <w:jc w:val="left"/>
            </w:pPr>
            <w:r w:rsidRPr="004F2101">
              <w:t xml:space="preserve">Previous follow-up information: </w:t>
            </w:r>
          </w:p>
        </w:tc>
        <w:tc>
          <w:tcPr>
            <w:tcW w:w="4790" w:type="dxa"/>
            <w:shd w:val="clear" w:color="auto" w:fill="auto"/>
            <w:tcMar>
              <w:left w:w="28" w:type="dxa"/>
              <w:right w:w="28" w:type="dxa"/>
            </w:tcMar>
          </w:tcPr>
          <w:p w:rsidR="00AB44C1" w:rsidRPr="004F2101" w:rsidRDefault="005E61A5" w:rsidP="005E61A5">
            <w:pPr>
              <w:pStyle w:val="SingleTxtG"/>
              <w:suppressAutoHyphens w:val="0"/>
              <w:spacing w:before="40" w:line="220" w:lineRule="exact"/>
              <w:ind w:left="0" w:right="113"/>
              <w:jc w:val="left"/>
            </w:pPr>
            <w:r>
              <w:rPr>
                <w:bCs/>
              </w:rPr>
              <w:t>CCPR/C/116/3</w:t>
            </w:r>
          </w:p>
        </w:tc>
      </w:tr>
      <w:tr w:rsidR="00AB44C1" w:rsidRPr="004F2101" w:rsidTr="00E329FA">
        <w:tc>
          <w:tcPr>
            <w:tcW w:w="2580" w:type="dxa"/>
            <w:tcBorders>
              <w:bottom w:val="nil"/>
            </w:tcBorders>
            <w:shd w:val="clear" w:color="auto" w:fill="auto"/>
            <w:tcMar>
              <w:left w:w="28" w:type="dxa"/>
              <w:right w:w="28" w:type="dxa"/>
            </w:tcMar>
          </w:tcPr>
          <w:p w:rsidR="00AB44C1" w:rsidRPr="004F2101" w:rsidRDefault="00AB44C1" w:rsidP="007C681F">
            <w:pPr>
              <w:pStyle w:val="SingleTxtG"/>
              <w:suppressAutoHyphens w:val="0"/>
              <w:spacing w:before="40" w:line="220" w:lineRule="exact"/>
              <w:ind w:left="0" w:right="113"/>
              <w:jc w:val="left"/>
            </w:pPr>
            <w:r w:rsidRPr="004F2101">
              <w:t>Submission from State party:</w:t>
            </w:r>
          </w:p>
        </w:tc>
        <w:tc>
          <w:tcPr>
            <w:tcW w:w="4790" w:type="dxa"/>
            <w:tcBorders>
              <w:bottom w:val="nil"/>
            </w:tcBorders>
            <w:shd w:val="clear" w:color="auto" w:fill="auto"/>
            <w:tcMar>
              <w:left w:w="28" w:type="dxa"/>
              <w:right w:w="28" w:type="dxa"/>
            </w:tcMar>
          </w:tcPr>
          <w:p w:rsidR="00AB44C1" w:rsidRDefault="005E61A5" w:rsidP="007C681F">
            <w:pPr>
              <w:pStyle w:val="SingleTxtG"/>
              <w:suppressAutoHyphens w:val="0"/>
              <w:spacing w:before="40" w:line="220" w:lineRule="exact"/>
              <w:ind w:left="0" w:right="113"/>
              <w:jc w:val="left"/>
              <w:rPr>
                <w:bCs/>
              </w:rPr>
            </w:pPr>
            <w:r>
              <w:rPr>
                <w:bCs/>
              </w:rPr>
              <w:t>19 June 2017</w:t>
            </w:r>
          </w:p>
          <w:p w:rsidR="005E61A5" w:rsidRPr="005E61A5" w:rsidRDefault="005E61A5" w:rsidP="005E61A5">
            <w:pPr>
              <w:spacing w:before="40" w:after="100" w:line="220" w:lineRule="exact"/>
              <w:rPr>
                <w:bCs/>
              </w:rPr>
            </w:pPr>
            <w:r w:rsidRPr="00C8210F">
              <w:rPr>
                <w:bCs/>
              </w:rPr>
              <w:t xml:space="preserve">The State party informs the Committee that the </w:t>
            </w:r>
            <w:proofErr w:type="gramStart"/>
            <w:r w:rsidRPr="00C8210F">
              <w:rPr>
                <w:bCs/>
              </w:rPr>
              <w:t>author’s</w:t>
            </w:r>
            <w:proofErr w:type="gramEnd"/>
            <w:r w:rsidRPr="00C8210F">
              <w:rPr>
                <w:bCs/>
              </w:rPr>
              <w:t xml:space="preserve"> latest Humanitarian and Compassionate grounds was successful, and that cons</w:t>
            </w:r>
            <w:r>
              <w:rPr>
                <w:bCs/>
              </w:rPr>
              <w:t xml:space="preserve">equently, Mr. </w:t>
            </w:r>
            <w:proofErr w:type="spellStart"/>
            <w:r>
              <w:rPr>
                <w:bCs/>
              </w:rPr>
              <w:t>Hamida</w:t>
            </w:r>
            <w:proofErr w:type="spellEnd"/>
            <w:r>
              <w:rPr>
                <w:bCs/>
              </w:rPr>
              <w:t xml:space="preserve"> became a permanent resident on 13 July 2016. </w:t>
            </w:r>
          </w:p>
        </w:tc>
      </w:tr>
      <w:tr w:rsidR="00AB44C1" w:rsidRPr="004F2101" w:rsidTr="00E329FA">
        <w:tc>
          <w:tcPr>
            <w:tcW w:w="2580" w:type="dxa"/>
            <w:tcBorders>
              <w:top w:val="nil"/>
              <w:bottom w:val="nil"/>
            </w:tcBorders>
            <w:shd w:val="clear" w:color="auto" w:fill="auto"/>
            <w:tcMar>
              <w:left w:w="28" w:type="dxa"/>
              <w:right w:w="28" w:type="dxa"/>
            </w:tcMar>
          </w:tcPr>
          <w:p w:rsidR="00AB44C1" w:rsidRPr="004F2101" w:rsidRDefault="00AB44C1" w:rsidP="007C681F">
            <w:pPr>
              <w:pStyle w:val="SingleTxtG"/>
              <w:suppressAutoHyphens w:val="0"/>
              <w:spacing w:before="40" w:line="220" w:lineRule="exact"/>
              <w:ind w:left="0" w:right="113"/>
              <w:jc w:val="left"/>
            </w:pPr>
            <w:r w:rsidRPr="004F2101">
              <w:t>Committee</w:t>
            </w:r>
            <w:r w:rsidR="001D6817" w:rsidRPr="004F2101">
              <w:t>’</w:t>
            </w:r>
            <w:r w:rsidRPr="004F2101">
              <w:t>s assessment:</w:t>
            </w:r>
          </w:p>
        </w:tc>
        <w:tc>
          <w:tcPr>
            <w:tcW w:w="4790" w:type="dxa"/>
            <w:tcBorders>
              <w:top w:val="nil"/>
              <w:bottom w:val="nil"/>
            </w:tcBorders>
            <w:shd w:val="clear" w:color="auto" w:fill="auto"/>
            <w:tcMar>
              <w:left w:w="28" w:type="dxa"/>
              <w:right w:w="28" w:type="dxa"/>
            </w:tcMar>
          </w:tcPr>
          <w:p w:rsidR="005E61A5" w:rsidRPr="00C951DF" w:rsidRDefault="005E61A5" w:rsidP="005E61A5">
            <w:pPr>
              <w:pStyle w:val="SingleTxtG"/>
              <w:ind w:left="0"/>
              <w:rPr>
                <w:lang w:eastAsia="en-GB"/>
              </w:rPr>
            </w:pPr>
            <w:r>
              <w:t>(a)</w:t>
            </w:r>
            <w:r>
              <w:tab/>
            </w:r>
            <w:r w:rsidRPr="00C951DF">
              <w:t>Effective remedy</w:t>
            </w:r>
            <w:r>
              <w:rPr>
                <w:lang w:eastAsia="en-GB"/>
              </w:rPr>
              <w:t>: A</w:t>
            </w:r>
          </w:p>
          <w:p w:rsidR="005E61A5" w:rsidRPr="00C951DF" w:rsidRDefault="005E61A5" w:rsidP="005E61A5">
            <w:pPr>
              <w:pStyle w:val="SingleTxtG"/>
              <w:ind w:left="0"/>
              <w:rPr>
                <w:lang w:eastAsia="en-GB"/>
              </w:rPr>
            </w:pPr>
            <w:r>
              <w:rPr>
                <w:lang w:eastAsia="en-GB"/>
              </w:rPr>
              <w:t>(b)</w:t>
            </w:r>
            <w:r>
              <w:rPr>
                <w:lang w:eastAsia="en-GB"/>
              </w:rPr>
              <w:tab/>
            </w:r>
            <w:r w:rsidRPr="00C951DF">
              <w:rPr>
                <w:lang w:eastAsia="en-GB"/>
              </w:rPr>
              <w:t xml:space="preserve">Publication of Views: </w:t>
            </w:r>
            <w:r>
              <w:rPr>
                <w:lang w:eastAsia="en-GB"/>
              </w:rPr>
              <w:t xml:space="preserve">No information </w:t>
            </w:r>
          </w:p>
          <w:p w:rsidR="00AB44C1" w:rsidRPr="004F2101" w:rsidRDefault="005E61A5" w:rsidP="005E61A5">
            <w:pPr>
              <w:pStyle w:val="SingleTxtG"/>
              <w:ind w:left="0"/>
              <w:rPr>
                <w:lang w:eastAsia="en-GB"/>
              </w:rPr>
            </w:pPr>
            <w:r>
              <w:rPr>
                <w:lang w:eastAsia="en-GB"/>
              </w:rPr>
              <w:t>(c)</w:t>
            </w:r>
            <w:r>
              <w:rPr>
                <w:lang w:eastAsia="en-GB"/>
              </w:rPr>
              <w:tab/>
            </w:r>
            <w:r w:rsidRPr="00C951DF">
              <w:rPr>
                <w:lang w:eastAsia="en-GB"/>
              </w:rPr>
              <w:t>Non</w:t>
            </w:r>
            <w:r>
              <w:rPr>
                <w:lang w:eastAsia="en-GB"/>
              </w:rPr>
              <w:t>-repetition: No information</w:t>
            </w:r>
          </w:p>
        </w:tc>
      </w:tr>
      <w:tr w:rsidR="00AB44C1" w:rsidRPr="004F2101" w:rsidTr="00E329FA">
        <w:tc>
          <w:tcPr>
            <w:tcW w:w="2580" w:type="dxa"/>
            <w:tcBorders>
              <w:top w:val="nil"/>
            </w:tcBorders>
            <w:shd w:val="clear" w:color="auto" w:fill="auto"/>
            <w:tcMar>
              <w:left w:w="28" w:type="dxa"/>
              <w:right w:w="28" w:type="dxa"/>
            </w:tcMar>
          </w:tcPr>
          <w:p w:rsidR="00AB44C1" w:rsidRDefault="00AB44C1" w:rsidP="007C681F">
            <w:pPr>
              <w:pStyle w:val="SingleTxtG"/>
              <w:suppressAutoHyphens w:val="0"/>
              <w:spacing w:before="40" w:line="220" w:lineRule="exact"/>
              <w:ind w:left="0" w:right="113"/>
              <w:jc w:val="left"/>
            </w:pPr>
            <w:r w:rsidRPr="004F2101">
              <w:t>Committee</w:t>
            </w:r>
            <w:r w:rsidR="001D6817" w:rsidRPr="004F2101">
              <w:t>’</w:t>
            </w:r>
            <w:r w:rsidRPr="004F2101">
              <w:t>s decision:</w:t>
            </w:r>
            <w:r w:rsidR="004B6BB4" w:rsidRPr="004F2101">
              <w:t xml:space="preserve"> </w:t>
            </w:r>
          </w:p>
          <w:p w:rsidR="00882760" w:rsidRDefault="00882760" w:rsidP="007C681F">
            <w:pPr>
              <w:pStyle w:val="SingleTxtG"/>
              <w:suppressAutoHyphens w:val="0"/>
              <w:spacing w:before="40" w:line="220" w:lineRule="exact"/>
              <w:ind w:left="0" w:right="113"/>
              <w:jc w:val="left"/>
            </w:pPr>
          </w:p>
          <w:p w:rsidR="00882760" w:rsidRDefault="00882760" w:rsidP="007C681F">
            <w:pPr>
              <w:pStyle w:val="SingleTxtG"/>
              <w:suppressAutoHyphens w:val="0"/>
              <w:spacing w:before="40" w:line="220" w:lineRule="exact"/>
              <w:ind w:left="0" w:right="113"/>
              <w:jc w:val="left"/>
            </w:pPr>
          </w:p>
          <w:p w:rsidR="00882760" w:rsidRDefault="00882760" w:rsidP="007C681F">
            <w:pPr>
              <w:pStyle w:val="SingleTxtG"/>
              <w:suppressAutoHyphens w:val="0"/>
              <w:spacing w:before="40" w:line="220" w:lineRule="exact"/>
              <w:ind w:left="0" w:right="113"/>
              <w:jc w:val="left"/>
            </w:pPr>
          </w:p>
          <w:p w:rsidR="001A7DE1" w:rsidRDefault="001A7DE1" w:rsidP="007C681F">
            <w:pPr>
              <w:pStyle w:val="SingleTxtG"/>
              <w:suppressAutoHyphens w:val="0"/>
              <w:spacing w:before="40" w:line="220" w:lineRule="exact"/>
              <w:ind w:left="0" w:right="113"/>
              <w:jc w:val="left"/>
            </w:pPr>
          </w:p>
          <w:p w:rsidR="001A7DE1" w:rsidRPr="009716A9" w:rsidRDefault="001A7DE1" w:rsidP="007C681F">
            <w:pPr>
              <w:pStyle w:val="SingleTxtG"/>
              <w:suppressAutoHyphens w:val="0"/>
              <w:spacing w:before="40" w:line="220" w:lineRule="exact"/>
              <w:ind w:left="0" w:right="113"/>
              <w:jc w:val="left"/>
              <w:rPr>
                <w:i/>
              </w:rPr>
            </w:pPr>
          </w:p>
        </w:tc>
        <w:tc>
          <w:tcPr>
            <w:tcW w:w="4790" w:type="dxa"/>
            <w:tcBorders>
              <w:top w:val="nil"/>
            </w:tcBorders>
            <w:shd w:val="clear" w:color="auto" w:fill="auto"/>
            <w:tcMar>
              <w:left w:w="28" w:type="dxa"/>
              <w:right w:w="28" w:type="dxa"/>
            </w:tcMar>
          </w:tcPr>
          <w:p w:rsidR="00AB44C1" w:rsidRDefault="005E61A5" w:rsidP="007C681F">
            <w:pPr>
              <w:pStyle w:val="SingleTxtG"/>
              <w:suppressAutoHyphens w:val="0"/>
              <w:spacing w:before="40" w:line="220" w:lineRule="exact"/>
              <w:ind w:left="0" w:right="113"/>
              <w:jc w:val="left"/>
            </w:pPr>
            <w:r>
              <w:t>Close the follow-up dialogue, with a note of satisfactory implementation of the Committee’s recommendation.</w:t>
            </w:r>
          </w:p>
          <w:p w:rsidR="00882760" w:rsidRDefault="00882760" w:rsidP="007C681F">
            <w:pPr>
              <w:pStyle w:val="SingleTxtG"/>
              <w:suppressAutoHyphens w:val="0"/>
              <w:spacing w:before="40" w:line="220" w:lineRule="exact"/>
              <w:ind w:left="0" w:right="113"/>
              <w:jc w:val="left"/>
            </w:pPr>
          </w:p>
          <w:p w:rsidR="00882760" w:rsidRPr="004F2101" w:rsidRDefault="00882760" w:rsidP="007C681F">
            <w:pPr>
              <w:pStyle w:val="SingleTxtG"/>
              <w:suppressAutoHyphens w:val="0"/>
              <w:spacing w:before="40" w:line="220" w:lineRule="exact"/>
              <w:ind w:left="0" w:right="113"/>
              <w:jc w:val="left"/>
            </w:pPr>
          </w:p>
        </w:tc>
      </w:tr>
    </w:tbl>
    <w:p w:rsidR="005E61A5" w:rsidRDefault="005E61A5" w:rsidP="005E61A5"/>
    <w:p w:rsidR="006712BF" w:rsidRDefault="006712BF">
      <w:pPr>
        <w:suppressAutoHyphens w:val="0"/>
        <w:spacing w:after="200" w:line="276" w:lineRule="auto"/>
        <w:rPr>
          <w:b/>
        </w:rPr>
      </w:pPr>
      <w:r>
        <w:rPr>
          <w:b/>
        </w:rPr>
        <w:br w:type="page"/>
      </w:r>
    </w:p>
    <w:p w:rsidR="001A7DE1" w:rsidRPr="009716A9" w:rsidRDefault="001A7DE1" w:rsidP="009716A9">
      <w:pPr>
        <w:ind w:left="567" w:firstLine="567"/>
        <w:rPr>
          <w:b/>
          <w:i/>
        </w:rPr>
      </w:pPr>
      <w:r w:rsidRPr="009716A9">
        <w:rPr>
          <w:b/>
        </w:rPr>
        <w:t xml:space="preserve">Communication No. 1912/2009, </w:t>
      </w:r>
      <w:proofErr w:type="spellStart"/>
      <w:r w:rsidRPr="009716A9">
        <w:rPr>
          <w:b/>
          <w:i/>
        </w:rPr>
        <w:t>Thuraisamy</w:t>
      </w:r>
      <w:proofErr w:type="spellEnd"/>
    </w:p>
    <w:p w:rsidR="001A7DE1" w:rsidRDefault="001A7DE1" w:rsidP="005E61A5"/>
    <w:p w:rsidR="001A7DE1" w:rsidRDefault="001A7DE1" w:rsidP="005E61A5"/>
    <w:p w:rsidR="001A7DE1" w:rsidRDefault="001A7DE1" w:rsidP="005E61A5"/>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1A7DE1" w:rsidRPr="004F2101" w:rsidTr="00241384">
        <w:tc>
          <w:tcPr>
            <w:tcW w:w="2580" w:type="dxa"/>
            <w:tcBorders>
              <w:top w:val="single" w:sz="12" w:space="0" w:color="auto"/>
            </w:tcBorders>
            <w:shd w:val="clear" w:color="auto" w:fill="auto"/>
            <w:tcMar>
              <w:left w:w="28" w:type="dxa"/>
              <w:right w:w="28" w:type="dxa"/>
            </w:tcMar>
          </w:tcPr>
          <w:p w:rsidR="001A7DE1" w:rsidRPr="004F2101" w:rsidRDefault="001A7DE1" w:rsidP="00241384">
            <w:pPr>
              <w:pStyle w:val="SingleTxtG"/>
              <w:suppressAutoHyphens w:val="0"/>
              <w:spacing w:before="40" w:line="220" w:lineRule="exact"/>
              <w:ind w:left="0" w:right="113"/>
              <w:jc w:val="left"/>
            </w:pPr>
            <w:r w:rsidRPr="004F2101">
              <w:t>Views adopted:</w:t>
            </w:r>
            <w:r>
              <w:t xml:space="preserve"> 31 October 2012</w:t>
            </w:r>
          </w:p>
        </w:tc>
      </w:tr>
      <w:tr w:rsidR="001A7DE1" w:rsidRPr="004F2101" w:rsidTr="00241384">
        <w:tc>
          <w:tcPr>
            <w:tcW w:w="2580" w:type="dxa"/>
            <w:shd w:val="clear" w:color="auto" w:fill="auto"/>
            <w:tcMar>
              <w:left w:w="28" w:type="dxa"/>
              <w:right w:w="28" w:type="dxa"/>
            </w:tcMar>
          </w:tcPr>
          <w:p w:rsidR="001A7DE1" w:rsidRPr="004F2101" w:rsidRDefault="001A7DE1" w:rsidP="00241384">
            <w:pPr>
              <w:pStyle w:val="SingleTxtG"/>
              <w:suppressAutoHyphens w:val="0"/>
              <w:spacing w:before="40" w:line="220" w:lineRule="exact"/>
              <w:ind w:left="0" w:right="113"/>
              <w:jc w:val="left"/>
            </w:pPr>
            <w:r w:rsidRPr="004F2101">
              <w:t>Violation:</w:t>
            </w:r>
            <w:r>
              <w:t xml:space="preserve"> Article 7</w:t>
            </w:r>
          </w:p>
        </w:tc>
      </w:tr>
      <w:tr w:rsidR="001A7DE1" w:rsidRPr="004F2101" w:rsidTr="00241384">
        <w:tc>
          <w:tcPr>
            <w:tcW w:w="2580" w:type="dxa"/>
            <w:shd w:val="clear" w:color="auto" w:fill="auto"/>
            <w:tcMar>
              <w:left w:w="28" w:type="dxa"/>
              <w:right w:w="28" w:type="dxa"/>
            </w:tcMar>
          </w:tcPr>
          <w:p w:rsidR="001A7DE1" w:rsidRPr="004F2101" w:rsidRDefault="001A7DE1" w:rsidP="00241384">
            <w:pPr>
              <w:pStyle w:val="SingleTxtG"/>
              <w:suppressAutoHyphens w:val="0"/>
              <w:spacing w:before="40" w:line="220" w:lineRule="exact"/>
              <w:ind w:left="0" w:right="113"/>
              <w:jc w:val="left"/>
            </w:pPr>
            <w:r w:rsidRPr="004F2101">
              <w:t xml:space="preserve">Remedy: </w:t>
            </w:r>
            <w:r>
              <w:t xml:space="preserve"> Effective remedy, including a full reconsideration of the author’s claim regarding the risk of treatment contrary to article 7, </w:t>
            </w:r>
            <w:proofErr w:type="gramStart"/>
            <w:r>
              <w:t>should he be returned</w:t>
            </w:r>
            <w:proofErr w:type="gramEnd"/>
            <w:r>
              <w:t xml:space="preserve"> to Sri Lanka.</w:t>
            </w:r>
          </w:p>
        </w:tc>
      </w:tr>
      <w:tr w:rsidR="001A7DE1" w:rsidRPr="004F2101" w:rsidTr="00241384">
        <w:tc>
          <w:tcPr>
            <w:tcW w:w="2580" w:type="dxa"/>
            <w:shd w:val="clear" w:color="auto" w:fill="auto"/>
            <w:tcMar>
              <w:left w:w="28" w:type="dxa"/>
              <w:right w:w="28" w:type="dxa"/>
            </w:tcMar>
          </w:tcPr>
          <w:p w:rsidR="001A7DE1" w:rsidRPr="004F2101" w:rsidRDefault="001A7DE1" w:rsidP="00241384">
            <w:pPr>
              <w:pStyle w:val="SingleTxtG"/>
              <w:suppressAutoHyphens w:val="0"/>
              <w:spacing w:before="40" w:line="220" w:lineRule="exact"/>
              <w:ind w:left="0" w:right="113"/>
              <w:jc w:val="left"/>
            </w:pPr>
            <w:r w:rsidRPr="004F2101">
              <w:t>Subject matter:</w:t>
            </w:r>
            <w:r>
              <w:t xml:space="preserve"> Deportation to Sri Lanka</w:t>
            </w:r>
          </w:p>
        </w:tc>
      </w:tr>
      <w:tr w:rsidR="001A7DE1" w:rsidRPr="004F2101" w:rsidTr="00241384">
        <w:tc>
          <w:tcPr>
            <w:tcW w:w="2580" w:type="dxa"/>
            <w:shd w:val="clear" w:color="auto" w:fill="auto"/>
            <w:tcMar>
              <w:left w:w="28" w:type="dxa"/>
              <w:right w:w="28" w:type="dxa"/>
            </w:tcMar>
          </w:tcPr>
          <w:p w:rsidR="001A7DE1" w:rsidRPr="004F2101" w:rsidRDefault="001A7DE1" w:rsidP="00241384">
            <w:pPr>
              <w:pStyle w:val="SingleTxtG"/>
              <w:suppressAutoHyphens w:val="0"/>
              <w:spacing w:before="40" w:line="220" w:lineRule="exact"/>
              <w:ind w:left="0" w:right="113"/>
              <w:jc w:val="left"/>
            </w:pPr>
            <w:r w:rsidRPr="004F2101">
              <w:t xml:space="preserve">Previous follow-up information: </w:t>
            </w:r>
            <w:r>
              <w:t>CCPR/C/112/3</w:t>
            </w:r>
          </w:p>
        </w:tc>
      </w:tr>
      <w:tr w:rsidR="001A7DE1" w:rsidRPr="004F2101" w:rsidTr="009716A9">
        <w:tc>
          <w:tcPr>
            <w:tcW w:w="2580" w:type="dxa"/>
            <w:shd w:val="clear" w:color="auto" w:fill="auto"/>
            <w:tcMar>
              <w:left w:w="28" w:type="dxa"/>
              <w:right w:w="28" w:type="dxa"/>
            </w:tcMar>
          </w:tcPr>
          <w:p w:rsidR="001A7DE1" w:rsidRDefault="001A7DE1" w:rsidP="00241384">
            <w:pPr>
              <w:pStyle w:val="SingleTxtG"/>
              <w:suppressAutoHyphens w:val="0"/>
              <w:spacing w:before="40" w:line="220" w:lineRule="exact"/>
              <w:ind w:left="0" w:right="113"/>
              <w:jc w:val="left"/>
            </w:pPr>
            <w:r w:rsidRPr="004F2101">
              <w:t>Submis</w:t>
            </w:r>
            <w:r>
              <w:t>sion from Counsel: 17 September 2017</w:t>
            </w:r>
          </w:p>
          <w:p w:rsidR="001A7DE1" w:rsidRDefault="001A7DE1" w:rsidP="00241384">
            <w:pPr>
              <w:pStyle w:val="SingleTxtG"/>
              <w:suppressAutoHyphens w:val="0"/>
              <w:spacing w:before="40" w:line="220" w:lineRule="exact"/>
              <w:ind w:left="0" w:right="113"/>
              <w:jc w:val="left"/>
            </w:pPr>
            <w:r>
              <w:t xml:space="preserve">The </w:t>
            </w:r>
            <w:proofErr w:type="spellStart"/>
            <w:r>
              <w:t>auhor</w:t>
            </w:r>
            <w:proofErr w:type="spellEnd"/>
            <w:r>
              <w:t xml:space="preserve"> </w:t>
            </w:r>
            <w:proofErr w:type="gramStart"/>
            <w:r>
              <w:t>was granted</w:t>
            </w:r>
            <w:proofErr w:type="gramEnd"/>
            <w:r>
              <w:t xml:space="preserve"> permanent residence in Canada on 4 May 2017. As such, the author is satisfied that he </w:t>
            </w:r>
            <w:proofErr w:type="gramStart"/>
            <w:r>
              <w:t>has been provided</w:t>
            </w:r>
            <w:proofErr w:type="gramEnd"/>
            <w:r>
              <w:t xml:space="preserve"> an effective remedy.</w:t>
            </w:r>
          </w:p>
          <w:p w:rsidR="001A7DE1" w:rsidRDefault="001A7DE1" w:rsidP="00241384">
            <w:pPr>
              <w:pStyle w:val="SingleTxtG"/>
              <w:suppressAutoHyphens w:val="0"/>
              <w:spacing w:before="40" w:line="220" w:lineRule="exact"/>
              <w:ind w:left="0" w:right="113"/>
              <w:jc w:val="left"/>
            </w:pPr>
          </w:p>
          <w:p w:rsidR="001A7DE1" w:rsidRDefault="001A7DE1" w:rsidP="00241384">
            <w:pPr>
              <w:pStyle w:val="SingleTxtG"/>
              <w:suppressAutoHyphens w:val="0"/>
              <w:spacing w:before="40" w:line="220" w:lineRule="exact"/>
              <w:ind w:left="0" w:right="113"/>
              <w:jc w:val="left"/>
            </w:pPr>
            <w:r>
              <w:t>Committee’s assessment:</w:t>
            </w:r>
          </w:p>
          <w:p w:rsidR="001A7DE1" w:rsidRDefault="001A7DE1" w:rsidP="009716A9">
            <w:pPr>
              <w:pStyle w:val="SingleTxtG"/>
              <w:numPr>
                <w:ilvl w:val="0"/>
                <w:numId w:val="26"/>
              </w:numPr>
              <w:suppressAutoHyphens w:val="0"/>
              <w:spacing w:before="40" w:line="220" w:lineRule="exact"/>
              <w:ind w:right="113"/>
              <w:jc w:val="left"/>
            </w:pPr>
            <w:r>
              <w:t>Remedy: A</w:t>
            </w:r>
          </w:p>
          <w:p w:rsidR="001A7DE1" w:rsidRDefault="001A7DE1" w:rsidP="009716A9">
            <w:pPr>
              <w:pStyle w:val="SingleTxtG"/>
              <w:numPr>
                <w:ilvl w:val="0"/>
                <w:numId w:val="26"/>
              </w:numPr>
              <w:suppressAutoHyphens w:val="0"/>
              <w:spacing w:before="40" w:line="220" w:lineRule="exact"/>
              <w:ind w:right="113"/>
              <w:jc w:val="left"/>
            </w:pPr>
            <w:r>
              <w:t>Publication of Views: No information</w:t>
            </w:r>
          </w:p>
          <w:p w:rsidR="001A7DE1" w:rsidRPr="004F2101" w:rsidRDefault="001A7DE1" w:rsidP="00241384">
            <w:pPr>
              <w:pStyle w:val="SingleTxtG"/>
              <w:suppressAutoHyphens w:val="0"/>
              <w:spacing w:before="40" w:line="220" w:lineRule="exact"/>
              <w:ind w:left="0" w:right="113"/>
              <w:jc w:val="left"/>
            </w:pPr>
            <w:r>
              <w:t xml:space="preserve">Committee’s decision: Close the follow-up dialogue, with a finding of satisfactory implementation of the Committee’s recommendation. </w:t>
            </w:r>
          </w:p>
        </w:tc>
      </w:tr>
      <w:tr w:rsidR="001A7DE1" w:rsidRPr="004F2101" w:rsidTr="00241384">
        <w:tc>
          <w:tcPr>
            <w:tcW w:w="2580" w:type="dxa"/>
            <w:tcBorders>
              <w:bottom w:val="nil"/>
            </w:tcBorders>
            <w:shd w:val="clear" w:color="auto" w:fill="auto"/>
            <w:tcMar>
              <w:left w:w="28" w:type="dxa"/>
              <w:right w:w="28" w:type="dxa"/>
            </w:tcMar>
          </w:tcPr>
          <w:p w:rsidR="001A7DE1" w:rsidRPr="004F2101" w:rsidRDefault="001A7DE1" w:rsidP="00241384">
            <w:pPr>
              <w:pStyle w:val="SingleTxtG"/>
              <w:suppressAutoHyphens w:val="0"/>
              <w:spacing w:before="40" w:line="220" w:lineRule="exact"/>
              <w:ind w:left="0" w:right="113"/>
              <w:jc w:val="left"/>
            </w:pPr>
          </w:p>
        </w:tc>
      </w:tr>
    </w:tbl>
    <w:p w:rsidR="001A7DE1" w:rsidRDefault="001A7DE1" w:rsidP="005E61A5"/>
    <w:p w:rsidR="001A7DE1" w:rsidRDefault="001A7DE1" w:rsidP="005E61A5"/>
    <w:p w:rsidR="001A7DE1" w:rsidRDefault="001A7DE1" w:rsidP="005E61A5"/>
    <w:p w:rsidR="001A7DE1" w:rsidRPr="005E61A5" w:rsidRDefault="001A7DE1" w:rsidP="005E61A5"/>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90"/>
      </w:tblGrid>
      <w:tr w:rsidR="005E61A5" w:rsidRPr="004F2101" w:rsidTr="00BA7CD4">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5E61A5" w:rsidRPr="005E61A5" w:rsidRDefault="005E61A5" w:rsidP="00D26536">
            <w:pPr>
              <w:keepNext/>
              <w:keepLines/>
              <w:spacing w:before="40" w:after="100" w:line="220" w:lineRule="exact"/>
              <w:rPr>
                <w:b/>
              </w:rPr>
            </w:pPr>
            <w:r>
              <w:rPr>
                <w:b/>
              </w:rPr>
              <w:t xml:space="preserve">Communication No.2081/2011, </w:t>
            </w:r>
            <w:r>
              <w:rPr>
                <w:b/>
                <w:i/>
              </w:rPr>
              <w:t xml:space="preserve">D.T. and A.A. </w:t>
            </w:r>
          </w:p>
        </w:tc>
      </w:tr>
      <w:tr w:rsidR="005E61A5" w:rsidRPr="004F2101" w:rsidTr="00BA7CD4">
        <w:tc>
          <w:tcPr>
            <w:tcW w:w="2580" w:type="dxa"/>
            <w:tcBorders>
              <w:top w:val="single" w:sz="12" w:space="0" w:color="auto"/>
            </w:tcBorders>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sidRPr="004F2101">
              <w:t>Views adopted:</w:t>
            </w:r>
          </w:p>
        </w:tc>
        <w:tc>
          <w:tcPr>
            <w:tcW w:w="4790" w:type="dxa"/>
            <w:tcBorders>
              <w:top w:val="single" w:sz="12" w:space="0" w:color="auto"/>
            </w:tcBorders>
            <w:shd w:val="clear" w:color="auto" w:fill="auto"/>
            <w:tcMar>
              <w:left w:w="28" w:type="dxa"/>
              <w:right w:w="28" w:type="dxa"/>
            </w:tcMar>
          </w:tcPr>
          <w:p w:rsidR="005E61A5" w:rsidRPr="004F2101" w:rsidRDefault="005E61A5" w:rsidP="005E61A5">
            <w:pPr>
              <w:pStyle w:val="SingleTxtG"/>
              <w:suppressAutoHyphens w:val="0"/>
              <w:spacing w:before="40" w:line="220" w:lineRule="exact"/>
              <w:ind w:left="0" w:right="113"/>
              <w:jc w:val="left"/>
            </w:pPr>
            <w:r w:rsidRPr="00D12F5E">
              <w:rPr>
                <w:bCs/>
              </w:rPr>
              <w:t>15 July 2016</w:t>
            </w:r>
          </w:p>
        </w:tc>
      </w:tr>
      <w:tr w:rsidR="005E61A5" w:rsidRPr="004F2101" w:rsidTr="00BA7CD4">
        <w:tc>
          <w:tcPr>
            <w:tcW w:w="2580" w:type="dxa"/>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sidRPr="004F2101">
              <w:t>Violation:</w:t>
            </w:r>
          </w:p>
        </w:tc>
        <w:tc>
          <w:tcPr>
            <w:tcW w:w="4790" w:type="dxa"/>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Pr>
                <w:bCs/>
              </w:rPr>
              <w:t>A</w:t>
            </w:r>
            <w:r w:rsidRPr="00D12F5E">
              <w:rPr>
                <w:bCs/>
              </w:rPr>
              <w:t>rticle 17</w:t>
            </w:r>
            <w:r>
              <w:rPr>
                <w:bCs/>
              </w:rPr>
              <w:t>,</w:t>
            </w:r>
            <w:r w:rsidRPr="00D12F5E">
              <w:rPr>
                <w:bCs/>
              </w:rPr>
              <w:t xml:space="preserve"> read alone and in conjunction with article 23 (1), in respect to the author and her son</w:t>
            </w:r>
            <w:r>
              <w:rPr>
                <w:bCs/>
              </w:rPr>
              <w:t xml:space="preserve"> A.A.</w:t>
            </w:r>
            <w:r w:rsidRPr="00D12F5E">
              <w:rPr>
                <w:bCs/>
              </w:rPr>
              <w:t>, and additionally, article 24 (1), in relation to A.A.</w:t>
            </w:r>
          </w:p>
        </w:tc>
      </w:tr>
      <w:tr w:rsidR="005E61A5" w:rsidRPr="004F2101" w:rsidTr="00BA7CD4">
        <w:tc>
          <w:tcPr>
            <w:tcW w:w="2580" w:type="dxa"/>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sidRPr="004F2101">
              <w:t xml:space="preserve">Remedy: </w:t>
            </w:r>
          </w:p>
        </w:tc>
        <w:tc>
          <w:tcPr>
            <w:tcW w:w="4790" w:type="dxa"/>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Pr>
                <w:bCs/>
              </w:rPr>
              <w:t>E</w:t>
            </w:r>
            <w:r w:rsidRPr="00D12F5E">
              <w:rPr>
                <w:bCs/>
              </w:rPr>
              <w:t xml:space="preserve">ffective re-evaluation of </w:t>
            </w:r>
            <w:r>
              <w:rPr>
                <w:bCs/>
              </w:rPr>
              <w:t xml:space="preserve">the author’s </w:t>
            </w:r>
            <w:r w:rsidRPr="00D12F5E">
              <w:rPr>
                <w:bCs/>
              </w:rPr>
              <w:t xml:space="preserve">claims, based on an assessment of the best interests </w:t>
            </w:r>
            <w:proofErr w:type="gramStart"/>
            <w:r w:rsidRPr="00D12F5E">
              <w:rPr>
                <w:bCs/>
              </w:rPr>
              <w:t xml:space="preserve">of her child, including his health and educational needs, and to provide </w:t>
            </w:r>
            <w:r>
              <w:rPr>
                <w:bCs/>
              </w:rPr>
              <w:t xml:space="preserve">the author </w:t>
            </w:r>
            <w:r w:rsidRPr="00D12F5E">
              <w:rPr>
                <w:bCs/>
              </w:rPr>
              <w:t>with adequate compensation</w:t>
            </w:r>
            <w:proofErr w:type="gramEnd"/>
            <w:r w:rsidRPr="00D12F5E">
              <w:rPr>
                <w:bCs/>
              </w:rPr>
              <w:t>.</w:t>
            </w:r>
          </w:p>
        </w:tc>
      </w:tr>
      <w:tr w:rsidR="005E61A5" w:rsidRPr="004F2101" w:rsidTr="00BA7CD4">
        <w:tc>
          <w:tcPr>
            <w:tcW w:w="2580" w:type="dxa"/>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sidRPr="004F2101">
              <w:t>Subject matter:</w:t>
            </w:r>
          </w:p>
        </w:tc>
        <w:tc>
          <w:tcPr>
            <w:tcW w:w="4790" w:type="dxa"/>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Pr>
                <w:bCs/>
              </w:rPr>
              <w:t>Deportation to Nigeria of the author and her minor son</w:t>
            </w:r>
          </w:p>
        </w:tc>
      </w:tr>
      <w:tr w:rsidR="005E61A5" w:rsidRPr="004F2101" w:rsidTr="00BA7CD4">
        <w:tc>
          <w:tcPr>
            <w:tcW w:w="2580" w:type="dxa"/>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sidRPr="004F2101">
              <w:t xml:space="preserve">Previous follow-up information: </w:t>
            </w:r>
          </w:p>
        </w:tc>
        <w:tc>
          <w:tcPr>
            <w:tcW w:w="4790" w:type="dxa"/>
            <w:shd w:val="clear" w:color="auto" w:fill="auto"/>
            <w:tcMar>
              <w:left w:w="28" w:type="dxa"/>
              <w:right w:w="28" w:type="dxa"/>
            </w:tcMar>
          </w:tcPr>
          <w:p w:rsidR="005E61A5" w:rsidRPr="004F2101" w:rsidRDefault="005E61A5" w:rsidP="00D26536">
            <w:pPr>
              <w:spacing w:before="40" w:after="100" w:line="220" w:lineRule="exact"/>
              <w:ind w:left="567" w:hanging="567"/>
            </w:pPr>
            <w:r>
              <w:rPr>
                <w:bCs/>
              </w:rPr>
              <w:t>No p</w:t>
            </w:r>
            <w:r w:rsidRPr="00C24FE0">
              <w:rPr>
                <w:bCs/>
              </w:rPr>
              <w:t>revious follow-up information</w:t>
            </w:r>
          </w:p>
        </w:tc>
      </w:tr>
      <w:tr w:rsidR="005E61A5" w:rsidRPr="005E61A5" w:rsidTr="00BA7CD4">
        <w:tc>
          <w:tcPr>
            <w:tcW w:w="2580" w:type="dxa"/>
            <w:tcBorders>
              <w:bottom w:val="nil"/>
            </w:tcBorders>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sidRPr="004F2101">
              <w:t>Submission from State party:</w:t>
            </w:r>
          </w:p>
        </w:tc>
        <w:tc>
          <w:tcPr>
            <w:tcW w:w="4790" w:type="dxa"/>
            <w:tcBorders>
              <w:bottom w:val="nil"/>
            </w:tcBorders>
            <w:shd w:val="clear" w:color="auto" w:fill="auto"/>
            <w:tcMar>
              <w:left w:w="28" w:type="dxa"/>
              <w:right w:w="28" w:type="dxa"/>
            </w:tcMar>
          </w:tcPr>
          <w:p w:rsidR="005E61A5" w:rsidRDefault="005E61A5" w:rsidP="00BA7CD4">
            <w:pPr>
              <w:spacing w:before="40" w:after="100" w:line="220" w:lineRule="exact"/>
              <w:rPr>
                <w:bCs/>
              </w:rPr>
            </w:pPr>
            <w:r>
              <w:rPr>
                <w:bCs/>
              </w:rPr>
              <w:t xml:space="preserve"> 28 July 2017</w:t>
            </w:r>
          </w:p>
          <w:p w:rsidR="005E61A5" w:rsidRDefault="005E61A5" w:rsidP="005E61A5">
            <w:pPr>
              <w:pStyle w:val="BodyTextIndent"/>
              <w:ind w:left="0"/>
              <w:jc w:val="both"/>
              <w:rPr>
                <w:lang w:val="en-ZW"/>
              </w:rPr>
            </w:pPr>
            <w:r>
              <w:t>The State party submits that its</w:t>
            </w:r>
            <w:r w:rsidRPr="0042188F">
              <w:rPr>
                <w:lang w:val="en-ZW"/>
              </w:rPr>
              <w:t xml:space="preserve"> assessment of the facts d</w:t>
            </w:r>
            <w:r>
              <w:rPr>
                <w:lang w:val="en-ZW"/>
              </w:rPr>
              <w:t>id</w:t>
            </w:r>
            <w:r w:rsidRPr="0042188F">
              <w:rPr>
                <w:lang w:val="en-ZW"/>
              </w:rPr>
              <w:t xml:space="preserve"> not reveal any ma</w:t>
            </w:r>
            <w:r>
              <w:rPr>
                <w:lang w:val="en-ZW"/>
              </w:rPr>
              <w:t>nifest error or unreasonablenes</w:t>
            </w:r>
            <w:r w:rsidRPr="0042188F">
              <w:rPr>
                <w:lang w:val="en-ZW"/>
              </w:rPr>
              <w:t>s.</w:t>
            </w:r>
            <w:r>
              <w:rPr>
                <w:lang w:val="en-ZW"/>
              </w:rPr>
              <w:t xml:space="preserve"> Nonetheless, the Committee has a</w:t>
            </w:r>
            <w:r w:rsidRPr="0042188F">
              <w:rPr>
                <w:lang w:val="en-ZW"/>
              </w:rPr>
              <w:t xml:space="preserve">ssessed the underlying facts differently and has unjustifiably substituted its own findings of fact to those made by domestic decision-makers. </w:t>
            </w:r>
          </w:p>
          <w:p w:rsidR="005E61A5" w:rsidRPr="0042188F" w:rsidRDefault="005E61A5" w:rsidP="005E61A5">
            <w:pPr>
              <w:pStyle w:val="BodyTextIndent"/>
              <w:ind w:left="0"/>
              <w:jc w:val="both"/>
            </w:pPr>
            <w:r>
              <w:rPr>
                <w:lang w:val="en-ZW"/>
              </w:rPr>
              <w:t>Additionally, t</w:t>
            </w:r>
            <w:r w:rsidRPr="0042188F">
              <w:rPr>
                <w:lang w:val="en-ZW"/>
              </w:rPr>
              <w:t xml:space="preserve">he Committee has relied on information and </w:t>
            </w:r>
            <w:proofErr w:type="gramStart"/>
            <w:r w:rsidRPr="0042188F">
              <w:rPr>
                <w:lang w:val="en-ZW"/>
              </w:rPr>
              <w:t>evidence which</w:t>
            </w:r>
            <w:proofErr w:type="gramEnd"/>
            <w:r w:rsidRPr="0042188F">
              <w:rPr>
                <w:lang w:val="en-ZW"/>
              </w:rPr>
              <w:t xml:space="preserve"> postdates the author’s removal</w:t>
            </w:r>
            <w:r>
              <w:rPr>
                <w:lang w:val="en-ZW"/>
              </w:rPr>
              <w:t>, which was inappropriate</w:t>
            </w:r>
            <w:r w:rsidRPr="0042188F">
              <w:rPr>
                <w:lang w:val="en-ZW"/>
              </w:rPr>
              <w:t xml:space="preserve">. </w:t>
            </w:r>
            <w:r>
              <w:rPr>
                <w:lang w:val="en-ZW"/>
              </w:rPr>
              <w:t xml:space="preserve">The State party </w:t>
            </w:r>
            <w:r w:rsidRPr="0042188F">
              <w:rPr>
                <w:lang w:val="en-ZW"/>
              </w:rPr>
              <w:t>recalls that it has considered all of the information available at the time of removal concerning the child’s best interest.</w:t>
            </w:r>
            <w:r>
              <w:rPr>
                <w:lang w:val="en-ZW"/>
              </w:rPr>
              <w:t xml:space="preserve"> The State party </w:t>
            </w:r>
            <w:r w:rsidRPr="00F66C19">
              <w:t xml:space="preserve">reiterates its position that the author’s lack of credibility coloured the entirety of this communication, and that the burden was on the author to establish a potential violation upon removal. </w:t>
            </w:r>
            <w:r>
              <w:t>T</w:t>
            </w:r>
            <w:r w:rsidRPr="0042188F">
              <w:t xml:space="preserve">he Committee accepted a good deal of the author’s evidence without credible and independent supporting evidence. </w:t>
            </w:r>
          </w:p>
          <w:p w:rsidR="005E61A5" w:rsidRPr="005E61A5" w:rsidRDefault="005E61A5" w:rsidP="005E61A5">
            <w:pPr>
              <w:pStyle w:val="BodyTextIndent"/>
              <w:ind w:left="0"/>
              <w:contextualSpacing/>
              <w:jc w:val="both"/>
              <w:rPr>
                <w:lang w:val="en-ZW"/>
              </w:rPr>
            </w:pPr>
            <w:r>
              <w:rPr>
                <w:lang w:val="en-ZW"/>
              </w:rPr>
              <w:t xml:space="preserve">Notwithstanding the above, the State party </w:t>
            </w:r>
            <w:r w:rsidRPr="0042188F">
              <w:rPr>
                <w:lang w:val="en-ZW"/>
              </w:rPr>
              <w:t xml:space="preserve">has, on an exceptional basis, agreed to allow Ms. D.T. to submit an application for permanent residence on humanitarian and compassionate grounds (H&amp;C application) from outside the country. This will include a re-consideration, by a new decision-maker, of the risks and hardships that Ms. D.T. and her child face in Nigeria as well as a re-consideration of the best interests of her child. Canada will waive the fees related to the filing of this new application and will process it on a priority basis. </w:t>
            </w:r>
            <w:r>
              <w:rPr>
                <w:lang w:val="en-ZW"/>
              </w:rPr>
              <w:t xml:space="preserve"> The State party </w:t>
            </w:r>
            <w:r w:rsidRPr="0042188F">
              <w:rPr>
                <w:lang w:val="en-ZW"/>
              </w:rPr>
              <w:t>will inform the Committee of the outcome of Ms. D.T.’s H&amp;C application. For the time being, Ms. D.T. remains in Nigeria.</w:t>
            </w:r>
          </w:p>
        </w:tc>
      </w:tr>
      <w:tr w:rsidR="005E61A5" w:rsidRPr="004F2101" w:rsidTr="00BA7CD4">
        <w:tc>
          <w:tcPr>
            <w:tcW w:w="2580" w:type="dxa"/>
            <w:tcBorders>
              <w:top w:val="nil"/>
              <w:bottom w:val="nil"/>
            </w:tcBorders>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sidRPr="004F2101">
              <w:t>Committee’s assessment:</w:t>
            </w:r>
          </w:p>
        </w:tc>
        <w:tc>
          <w:tcPr>
            <w:tcW w:w="4790" w:type="dxa"/>
            <w:tcBorders>
              <w:top w:val="nil"/>
              <w:bottom w:val="nil"/>
            </w:tcBorders>
            <w:shd w:val="clear" w:color="auto" w:fill="auto"/>
            <w:tcMar>
              <w:left w:w="28" w:type="dxa"/>
              <w:right w:w="28" w:type="dxa"/>
            </w:tcMar>
          </w:tcPr>
          <w:p w:rsidR="005E61A5" w:rsidRPr="00C951DF" w:rsidRDefault="005E61A5" w:rsidP="005E61A5">
            <w:pPr>
              <w:pStyle w:val="SingleTxtG"/>
              <w:ind w:left="0"/>
              <w:rPr>
                <w:lang w:eastAsia="en-GB"/>
              </w:rPr>
            </w:pPr>
            <w:r>
              <w:t>(a)</w:t>
            </w:r>
            <w:r>
              <w:tab/>
            </w:r>
            <w:r w:rsidRPr="00C951DF">
              <w:t>Effective remedy</w:t>
            </w:r>
            <w:r>
              <w:rPr>
                <w:lang w:eastAsia="en-GB"/>
              </w:rPr>
              <w:t>: B</w:t>
            </w:r>
          </w:p>
          <w:p w:rsidR="005E61A5" w:rsidRPr="00C951DF" w:rsidRDefault="005E61A5" w:rsidP="005E61A5">
            <w:pPr>
              <w:pStyle w:val="SingleTxtG"/>
              <w:ind w:left="0"/>
              <w:rPr>
                <w:lang w:eastAsia="en-GB"/>
              </w:rPr>
            </w:pPr>
            <w:r>
              <w:rPr>
                <w:lang w:eastAsia="en-GB"/>
              </w:rPr>
              <w:t>(b)</w:t>
            </w:r>
            <w:r>
              <w:rPr>
                <w:lang w:eastAsia="en-GB"/>
              </w:rPr>
              <w:tab/>
            </w:r>
            <w:r w:rsidRPr="00C951DF">
              <w:rPr>
                <w:lang w:eastAsia="en-GB"/>
              </w:rPr>
              <w:t xml:space="preserve">Publication of Views: </w:t>
            </w:r>
            <w:r>
              <w:rPr>
                <w:lang w:eastAsia="en-GB"/>
              </w:rPr>
              <w:t xml:space="preserve">No information </w:t>
            </w:r>
          </w:p>
          <w:p w:rsidR="005E61A5" w:rsidRPr="004F2101" w:rsidRDefault="005E61A5" w:rsidP="00BA7CD4">
            <w:pPr>
              <w:pStyle w:val="SingleTxtG"/>
              <w:ind w:left="0"/>
              <w:rPr>
                <w:lang w:eastAsia="en-GB"/>
              </w:rPr>
            </w:pPr>
            <w:r>
              <w:rPr>
                <w:lang w:eastAsia="en-GB"/>
              </w:rPr>
              <w:t>(c)</w:t>
            </w:r>
            <w:r>
              <w:rPr>
                <w:lang w:eastAsia="en-GB"/>
              </w:rPr>
              <w:tab/>
            </w:r>
            <w:r w:rsidRPr="00C951DF">
              <w:rPr>
                <w:lang w:eastAsia="en-GB"/>
              </w:rPr>
              <w:t>Non</w:t>
            </w:r>
            <w:r>
              <w:rPr>
                <w:lang w:eastAsia="en-GB"/>
              </w:rPr>
              <w:t>-repetition: No information</w:t>
            </w:r>
          </w:p>
        </w:tc>
      </w:tr>
      <w:tr w:rsidR="005E61A5" w:rsidRPr="004F2101" w:rsidTr="00BA7CD4">
        <w:tc>
          <w:tcPr>
            <w:tcW w:w="2580" w:type="dxa"/>
            <w:tcBorders>
              <w:top w:val="nil"/>
            </w:tcBorders>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sidRPr="004F2101">
              <w:t xml:space="preserve">Committee’s decision: </w:t>
            </w:r>
          </w:p>
        </w:tc>
        <w:tc>
          <w:tcPr>
            <w:tcW w:w="4790" w:type="dxa"/>
            <w:tcBorders>
              <w:top w:val="nil"/>
            </w:tcBorders>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sidRPr="004F2101">
              <w:t>Follow-up dialogue ongoing.</w:t>
            </w:r>
          </w:p>
        </w:tc>
      </w:tr>
      <w:tr w:rsidR="005E61A5" w:rsidRPr="004F2101" w:rsidTr="00BA7CD4">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5E61A5" w:rsidRPr="004F2101" w:rsidRDefault="005E61A5" w:rsidP="00BA7CD4">
            <w:pPr>
              <w:pStyle w:val="SingleTxtG"/>
              <w:suppressAutoHyphens w:val="0"/>
              <w:spacing w:before="80" w:after="80" w:line="200" w:lineRule="exact"/>
              <w:ind w:left="0" w:right="113"/>
              <w:jc w:val="left"/>
              <w:rPr>
                <w:rFonts w:ascii="Times New Roman Bold" w:hAnsi="Times New Roman Bold" w:cs="Times New Roman Bold" w:hint="eastAsia"/>
                <w:b/>
                <w:bCs/>
                <w:i/>
              </w:rPr>
            </w:pPr>
            <w:r>
              <w:rPr>
                <w:b/>
              </w:rPr>
              <w:t xml:space="preserve">Communication No.2118/2011, </w:t>
            </w:r>
            <w:proofErr w:type="spellStart"/>
            <w:r>
              <w:rPr>
                <w:b/>
                <w:i/>
              </w:rPr>
              <w:t>Saxena</w:t>
            </w:r>
            <w:proofErr w:type="spellEnd"/>
          </w:p>
        </w:tc>
      </w:tr>
      <w:tr w:rsidR="005E61A5" w:rsidRPr="004F2101" w:rsidTr="00BA7CD4">
        <w:tc>
          <w:tcPr>
            <w:tcW w:w="2580" w:type="dxa"/>
            <w:tcBorders>
              <w:top w:val="single" w:sz="12" w:space="0" w:color="auto"/>
            </w:tcBorders>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sidRPr="004F2101">
              <w:t>Views adopted:</w:t>
            </w:r>
          </w:p>
        </w:tc>
        <w:tc>
          <w:tcPr>
            <w:tcW w:w="4790" w:type="dxa"/>
            <w:tcBorders>
              <w:top w:val="single" w:sz="12" w:space="0" w:color="auto"/>
            </w:tcBorders>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Pr>
                <w:bCs/>
              </w:rPr>
              <w:t>3 November 2016</w:t>
            </w:r>
          </w:p>
        </w:tc>
      </w:tr>
      <w:tr w:rsidR="005E61A5" w:rsidRPr="004F2101" w:rsidTr="00BA7CD4">
        <w:tc>
          <w:tcPr>
            <w:tcW w:w="2580" w:type="dxa"/>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sidRPr="004F2101">
              <w:t>Violation:</w:t>
            </w:r>
          </w:p>
        </w:tc>
        <w:tc>
          <w:tcPr>
            <w:tcW w:w="4790" w:type="dxa"/>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sidRPr="00C24FE0">
              <w:rPr>
                <w:bCs/>
              </w:rPr>
              <w:t>Article</w:t>
            </w:r>
            <w:r>
              <w:rPr>
                <w:bCs/>
              </w:rPr>
              <w:t xml:space="preserve"> 13</w:t>
            </w:r>
          </w:p>
        </w:tc>
      </w:tr>
      <w:tr w:rsidR="005E61A5" w:rsidRPr="004F2101" w:rsidTr="00BA7CD4">
        <w:tc>
          <w:tcPr>
            <w:tcW w:w="2580" w:type="dxa"/>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sidRPr="004F2101">
              <w:t xml:space="preserve">Remedy: </w:t>
            </w:r>
          </w:p>
        </w:tc>
        <w:tc>
          <w:tcPr>
            <w:tcW w:w="4790" w:type="dxa"/>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Pr>
                <w:bCs/>
              </w:rPr>
              <w:t>T</w:t>
            </w:r>
            <w:r w:rsidRPr="00421A72">
              <w:rPr>
                <w:bCs/>
              </w:rPr>
              <w:t>o revise and amend its extradition legislation, including the procedure for consent to a waiver of specialty, in full compliance with the State party’s obligations under the Covenant and the Committee’s present Views</w:t>
            </w:r>
          </w:p>
        </w:tc>
      </w:tr>
      <w:tr w:rsidR="005E61A5" w:rsidRPr="004F2101" w:rsidTr="00BA7CD4">
        <w:tc>
          <w:tcPr>
            <w:tcW w:w="2580" w:type="dxa"/>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sidRPr="004F2101">
              <w:t>Subject matter:</w:t>
            </w:r>
          </w:p>
        </w:tc>
        <w:tc>
          <w:tcPr>
            <w:tcW w:w="4790" w:type="dxa"/>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Pr>
                <w:bCs/>
              </w:rPr>
              <w:t>Deportation to Thailand</w:t>
            </w:r>
          </w:p>
        </w:tc>
      </w:tr>
      <w:tr w:rsidR="005E61A5" w:rsidRPr="004F2101" w:rsidTr="00BA7CD4">
        <w:tc>
          <w:tcPr>
            <w:tcW w:w="2580" w:type="dxa"/>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sidRPr="004F2101">
              <w:t xml:space="preserve">Previous follow-up information: </w:t>
            </w:r>
          </w:p>
        </w:tc>
        <w:tc>
          <w:tcPr>
            <w:tcW w:w="4790" w:type="dxa"/>
            <w:shd w:val="clear" w:color="auto" w:fill="auto"/>
            <w:tcMar>
              <w:left w:w="28" w:type="dxa"/>
              <w:right w:w="28" w:type="dxa"/>
            </w:tcMar>
          </w:tcPr>
          <w:p w:rsidR="005E61A5" w:rsidRPr="004F2101" w:rsidRDefault="005E61A5" w:rsidP="00D26536">
            <w:pPr>
              <w:spacing w:before="40" w:after="100" w:line="220" w:lineRule="exact"/>
            </w:pPr>
            <w:r>
              <w:rPr>
                <w:bCs/>
              </w:rPr>
              <w:t>No p</w:t>
            </w:r>
            <w:r w:rsidRPr="00C24FE0">
              <w:rPr>
                <w:bCs/>
              </w:rPr>
              <w:t>revious follow-up information</w:t>
            </w:r>
          </w:p>
        </w:tc>
      </w:tr>
      <w:tr w:rsidR="005E61A5" w:rsidRPr="005E61A5" w:rsidTr="00BA7CD4">
        <w:tc>
          <w:tcPr>
            <w:tcW w:w="2580" w:type="dxa"/>
            <w:tcBorders>
              <w:bottom w:val="nil"/>
            </w:tcBorders>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sidRPr="004F2101">
              <w:t>Submission from State party:</w:t>
            </w:r>
          </w:p>
        </w:tc>
        <w:tc>
          <w:tcPr>
            <w:tcW w:w="4790" w:type="dxa"/>
            <w:tcBorders>
              <w:bottom w:val="nil"/>
            </w:tcBorders>
            <w:shd w:val="clear" w:color="auto" w:fill="auto"/>
            <w:tcMar>
              <w:left w:w="28" w:type="dxa"/>
              <w:right w:w="28" w:type="dxa"/>
            </w:tcMar>
          </w:tcPr>
          <w:p w:rsidR="005E61A5" w:rsidRDefault="005E61A5" w:rsidP="005E61A5">
            <w:pPr>
              <w:spacing w:before="40" w:after="100" w:line="220" w:lineRule="exact"/>
              <w:rPr>
                <w:bCs/>
              </w:rPr>
            </w:pPr>
            <w:r>
              <w:rPr>
                <w:bCs/>
              </w:rPr>
              <w:t>29 May 2017</w:t>
            </w:r>
          </w:p>
          <w:p w:rsidR="005E61A5" w:rsidRPr="00D4402F" w:rsidRDefault="005E61A5" w:rsidP="005E61A5">
            <w:pPr>
              <w:spacing w:before="40" w:after="100" w:line="220" w:lineRule="exact"/>
              <w:jc w:val="both"/>
              <w:rPr>
                <w:bCs/>
              </w:rPr>
            </w:pPr>
            <w:r>
              <w:rPr>
                <w:bCs/>
              </w:rPr>
              <w:t>The State party recalls that in</w:t>
            </w:r>
            <w:r w:rsidRPr="00D4402F">
              <w:rPr>
                <w:bCs/>
              </w:rPr>
              <w:t xml:space="preserve"> June 2012, a court in Thailand convicted the author of multiple offences, all of which fell within the scope of his original 2003 extradition order (as amended in 2005). He received a sentence of 10 years imprisonment, which he is currently serving in a Thai prison. That sentence </w:t>
            </w:r>
            <w:proofErr w:type="gramStart"/>
            <w:r w:rsidRPr="00D4402F">
              <w:rPr>
                <w:bCs/>
              </w:rPr>
              <w:t>is scheduled</w:t>
            </w:r>
            <w:proofErr w:type="gramEnd"/>
            <w:r w:rsidRPr="00D4402F">
              <w:rPr>
                <w:bCs/>
              </w:rPr>
              <w:t xml:space="preserve"> to expire on 30 October 2019.</w:t>
            </w:r>
          </w:p>
          <w:p w:rsidR="005E61A5" w:rsidRPr="00D4402F" w:rsidRDefault="005E61A5" w:rsidP="005E61A5">
            <w:pPr>
              <w:spacing w:before="40" w:after="100" w:line="220" w:lineRule="exact"/>
              <w:jc w:val="both"/>
              <w:rPr>
                <w:bCs/>
              </w:rPr>
            </w:pPr>
            <w:r w:rsidRPr="00D4402F">
              <w:rPr>
                <w:bCs/>
              </w:rPr>
              <w:t xml:space="preserve">The author </w:t>
            </w:r>
            <w:proofErr w:type="gramStart"/>
            <w:r w:rsidRPr="00D4402F">
              <w:rPr>
                <w:bCs/>
              </w:rPr>
              <w:t>was subsequently tried</w:t>
            </w:r>
            <w:proofErr w:type="gramEnd"/>
            <w:r w:rsidRPr="00D4402F">
              <w:rPr>
                <w:bCs/>
              </w:rPr>
              <w:t xml:space="preserve"> in Thailand on the charges in the three cases for which Canada had granted a waiver of specialty. On 20 December 2016, he was convicted on those charges by a court in Thailand, which sentenced him to 20 years in prison to be served consecutively after completion of the above-mentioned </w:t>
            </w:r>
            <w:proofErr w:type="gramStart"/>
            <w:r w:rsidRPr="00D4402F">
              <w:rPr>
                <w:bCs/>
              </w:rPr>
              <w:t>10 year</w:t>
            </w:r>
            <w:proofErr w:type="gramEnd"/>
            <w:r w:rsidRPr="00D4402F">
              <w:rPr>
                <w:bCs/>
              </w:rPr>
              <w:t xml:space="preserve"> sentence. On 27 April 2017, </w:t>
            </w:r>
            <w:r>
              <w:rPr>
                <w:bCs/>
              </w:rPr>
              <w:t xml:space="preserve">the </w:t>
            </w:r>
            <w:r w:rsidRPr="00D4402F">
              <w:rPr>
                <w:bCs/>
              </w:rPr>
              <w:t>Thai authorities advised</w:t>
            </w:r>
            <w:r>
              <w:rPr>
                <w:bCs/>
              </w:rPr>
              <w:t xml:space="preserve"> the</w:t>
            </w:r>
            <w:r w:rsidRPr="00D4402F">
              <w:rPr>
                <w:bCs/>
              </w:rPr>
              <w:t xml:space="preserve"> Canadian authorities that the author has not yet filed an appeal of the 2016 judgment.  </w:t>
            </w:r>
          </w:p>
          <w:p w:rsidR="005E61A5" w:rsidRDefault="005E61A5" w:rsidP="005E61A5">
            <w:pPr>
              <w:spacing w:before="40" w:after="100" w:line="220" w:lineRule="exact"/>
              <w:jc w:val="both"/>
              <w:rPr>
                <w:bCs/>
              </w:rPr>
            </w:pPr>
            <w:r w:rsidRPr="00D4402F">
              <w:rPr>
                <w:bCs/>
              </w:rPr>
              <w:t>Canada does not agree that the partial waiver of specialty in the author’s case was a violation by Canad</w:t>
            </w:r>
            <w:r>
              <w:rPr>
                <w:bCs/>
              </w:rPr>
              <w:t>a of a</w:t>
            </w:r>
            <w:r w:rsidRPr="00D4402F">
              <w:rPr>
                <w:bCs/>
              </w:rPr>
              <w:t>rticle 13</w:t>
            </w:r>
            <w:r>
              <w:rPr>
                <w:bCs/>
              </w:rPr>
              <w:t xml:space="preserve"> ICCPR</w:t>
            </w:r>
            <w:r w:rsidRPr="00D4402F">
              <w:rPr>
                <w:bCs/>
              </w:rPr>
              <w:t xml:space="preserve">. </w:t>
            </w:r>
          </w:p>
          <w:p w:rsidR="005E61A5" w:rsidRPr="00D4402F" w:rsidRDefault="005E61A5" w:rsidP="005E61A5">
            <w:pPr>
              <w:spacing w:before="40" w:after="100" w:line="220" w:lineRule="exact"/>
              <w:jc w:val="both"/>
              <w:rPr>
                <w:bCs/>
              </w:rPr>
            </w:pPr>
            <w:r w:rsidRPr="00D4402F">
              <w:rPr>
                <w:bCs/>
              </w:rPr>
              <w:t xml:space="preserve">Article 13 is a right that can only apply before an individual’s expulsion from the territory of a State Party. </w:t>
            </w:r>
            <w:r>
              <w:rPr>
                <w:bCs/>
              </w:rPr>
              <w:t>Its</w:t>
            </w:r>
            <w:r w:rsidRPr="00D4402F">
              <w:rPr>
                <w:bCs/>
              </w:rPr>
              <w:t xml:space="preserve"> </w:t>
            </w:r>
            <w:proofErr w:type="gramStart"/>
            <w:r w:rsidRPr="00D4402F">
              <w:rPr>
                <w:bCs/>
              </w:rPr>
              <w:t>underlying purpose</w:t>
            </w:r>
            <w:proofErr w:type="gramEnd"/>
            <w:r w:rsidRPr="00D4402F">
              <w:rPr>
                <w:bCs/>
              </w:rPr>
              <w:t xml:space="preserve"> is “clearly t</w:t>
            </w:r>
            <w:r>
              <w:rPr>
                <w:bCs/>
              </w:rPr>
              <w:t xml:space="preserve">o prevent arbitrary expulsions”. </w:t>
            </w:r>
            <w:r w:rsidRPr="00D4402F">
              <w:rPr>
                <w:bCs/>
              </w:rPr>
              <w:t>The Committee’s view that Canada violated th</w:t>
            </w:r>
            <w:r>
              <w:rPr>
                <w:bCs/>
              </w:rPr>
              <w:t>e author’s a</w:t>
            </w:r>
            <w:r w:rsidRPr="00D4402F">
              <w:rPr>
                <w:bCs/>
              </w:rPr>
              <w:t>rticle 13 rights after his lawful extradition from Canada is therefore incompatible with the text of Article 13, and lacks a connection to the p</w:t>
            </w:r>
            <w:r>
              <w:rPr>
                <w:bCs/>
              </w:rPr>
              <w:t xml:space="preserve">reventive purpose of the right. </w:t>
            </w:r>
            <w:r w:rsidRPr="00D4402F">
              <w:rPr>
                <w:bCs/>
              </w:rPr>
              <w:t xml:space="preserve">When Canada consented to a partial waiver of </w:t>
            </w:r>
            <w:proofErr w:type="gramStart"/>
            <w:r w:rsidRPr="00D4402F">
              <w:rPr>
                <w:bCs/>
              </w:rPr>
              <w:t>specialty</w:t>
            </w:r>
            <w:proofErr w:type="gramEnd"/>
            <w:r w:rsidRPr="00D4402F">
              <w:rPr>
                <w:bCs/>
              </w:rPr>
              <w:t xml:space="preserve"> it did not have obligations under </w:t>
            </w:r>
            <w:r>
              <w:rPr>
                <w:bCs/>
              </w:rPr>
              <w:t>a</w:t>
            </w:r>
            <w:r w:rsidRPr="00D4402F">
              <w:rPr>
                <w:bCs/>
              </w:rPr>
              <w:t>rticle 13, or any other ICCPR provision, in relation to the author.</w:t>
            </w:r>
          </w:p>
          <w:p w:rsidR="005E61A5" w:rsidRDefault="005E61A5" w:rsidP="005E61A5">
            <w:pPr>
              <w:spacing w:before="40" w:after="100" w:line="220" w:lineRule="exact"/>
              <w:jc w:val="both"/>
              <w:rPr>
                <w:bCs/>
              </w:rPr>
            </w:pPr>
            <w:r w:rsidRPr="00D4402F">
              <w:rPr>
                <w:bCs/>
              </w:rPr>
              <w:t xml:space="preserve">At paragraph 11.8, the Committee “notes that the waiver was granted notwithstanding its repeated and emphatic assurances that there would be no breach of the specialty rule.” This statement </w:t>
            </w:r>
            <w:proofErr w:type="gramStart"/>
            <w:r w:rsidRPr="00D4402F">
              <w:rPr>
                <w:bCs/>
              </w:rPr>
              <w:t>is based</w:t>
            </w:r>
            <w:proofErr w:type="gramEnd"/>
            <w:r w:rsidRPr="00D4402F">
              <w:rPr>
                <w:bCs/>
              </w:rPr>
              <w:t xml:space="preserve"> on a mistaken understanding of the rule of specialty in extradition law.</w:t>
            </w:r>
          </w:p>
          <w:p w:rsidR="005E61A5" w:rsidRDefault="005E61A5" w:rsidP="00D26536">
            <w:pPr>
              <w:keepNext/>
              <w:keepLines/>
              <w:spacing w:before="240" w:after="100" w:line="220" w:lineRule="exact"/>
              <w:jc w:val="both"/>
              <w:rPr>
                <w:bCs/>
              </w:rPr>
            </w:pPr>
            <w:r>
              <w:rPr>
                <w:bCs/>
              </w:rPr>
              <w:t>T</w:t>
            </w:r>
            <w:r w:rsidRPr="00D4402F">
              <w:rPr>
                <w:bCs/>
              </w:rPr>
              <w:t xml:space="preserve">he </w:t>
            </w:r>
            <w:r>
              <w:rPr>
                <w:bCs/>
              </w:rPr>
              <w:t>“</w:t>
            </w:r>
            <w:r w:rsidRPr="00D4402F">
              <w:rPr>
                <w:bCs/>
              </w:rPr>
              <w:t xml:space="preserve">rule of specialty” is an obligation between extradition partners. It provides that a person who </w:t>
            </w:r>
            <w:proofErr w:type="gramStart"/>
            <w:r w:rsidRPr="00D4402F">
              <w:rPr>
                <w:bCs/>
              </w:rPr>
              <w:t>has been extradited</w:t>
            </w:r>
            <w:proofErr w:type="gramEnd"/>
            <w:r w:rsidRPr="00D4402F">
              <w:rPr>
                <w:bCs/>
              </w:rPr>
              <w:t xml:space="preserve"> may be prosecuted only for the offenses for which extradition was granted. The rule of specialty </w:t>
            </w:r>
            <w:proofErr w:type="gramStart"/>
            <w:r w:rsidRPr="00D4402F">
              <w:rPr>
                <w:bCs/>
              </w:rPr>
              <w:t>may lawfully be waived</w:t>
            </w:r>
            <w:proofErr w:type="gramEnd"/>
            <w:r w:rsidRPr="00D4402F">
              <w:rPr>
                <w:bCs/>
              </w:rPr>
              <w:t xml:space="preserve"> by the State from which the person was extradited, which is effectively a rule of comity between States and is recognized as a matter of customary international law. </w:t>
            </w:r>
          </w:p>
          <w:p w:rsidR="005E61A5" w:rsidRPr="00D4402F" w:rsidRDefault="005E61A5" w:rsidP="005E61A5">
            <w:pPr>
              <w:spacing w:before="40" w:after="100" w:line="220" w:lineRule="exact"/>
              <w:jc w:val="both"/>
              <w:rPr>
                <w:bCs/>
              </w:rPr>
            </w:pPr>
            <w:r w:rsidRPr="00D4402F">
              <w:rPr>
                <w:bCs/>
              </w:rPr>
              <w:t xml:space="preserve">It was not a “breach of the specialty rule” for Thailand to request that Canada waive specialty, and for </w:t>
            </w:r>
            <w:r w:rsidRPr="00CE661C">
              <w:rPr>
                <w:bCs/>
              </w:rPr>
              <w:t>C</w:t>
            </w:r>
            <w:r>
              <w:rPr>
                <w:bCs/>
              </w:rPr>
              <w:t>anada to consent to waive it. S</w:t>
            </w:r>
            <w:r w:rsidRPr="00CE661C">
              <w:rPr>
                <w:bCs/>
              </w:rPr>
              <w:t xml:space="preserve">uch circumstances </w:t>
            </w:r>
            <w:proofErr w:type="gramStart"/>
            <w:r w:rsidRPr="00CE661C">
              <w:rPr>
                <w:bCs/>
              </w:rPr>
              <w:t>are contemplated</w:t>
            </w:r>
            <w:proofErr w:type="gramEnd"/>
            <w:r w:rsidRPr="00CE661C">
              <w:rPr>
                <w:bCs/>
              </w:rPr>
              <w:t xml:space="preserve"> by the principles governing specialty.</w:t>
            </w:r>
            <w:r w:rsidRPr="00D4402F">
              <w:rPr>
                <w:bCs/>
              </w:rPr>
              <w:t xml:space="preserve"> Any statement by Canadian officials regarding the protections provided by the rule of specialty in the author’s case did not preclude the possibility that Thailand could lawfully request, and Canada could lawfully consent, to a waiver of the rule of specialty. Furthermore, the specialty rule does not itself contain any requirement to consult with the individual affected regarding a potential waiver. Canada departed in no way from the procedures that </w:t>
            </w:r>
            <w:proofErr w:type="gramStart"/>
            <w:r w:rsidRPr="00D4402F">
              <w:rPr>
                <w:bCs/>
              </w:rPr>
              <w:t>are generally extended</w:t>
            </w:r>
            <w:proofErr w:type="gramEnd"/>
            <w:r w:rsidRPr="00D4402F">
              <w:rPr>
                <w:bCs/>
              </w:rPr>
              <w:t xml:space="preserve"> to individuals who have been extradited.</w:t>
            </w:r>
          </w:p>
          <w:p w:rsidR="005E61A5" w:rsidRPr="00D4402F" w:rsidRDefault="005E61A5" w:rsidP="005E61A5">
            <w:pPr>
              <w:spacing w:before="40" w:after="100" w:line="220" w:lineRule="exact"/>
              <w:jc w:val="both"/>
              <w:rPr>
                <w:bCs/>
              </w:rPr>
            </w:pPr>
            <w:r>
              <w:rPr>
                <w:bCs/>
              </w:rPr>
              <w:t xml:space="preserve">Concerning remedial recommendations, </w:t>
            </w:r>
            <w:r w:rsidRPr="00D4402F">
              <w:rPr>
                <w:bCs/>
              </w:rPr>
              <w:t>Canada has carefully considered the procedural fairness issues r</w:t>
            </w:r>
            <w:r>
              <w:rPr>
                <w:bCs/>
              </w:rPr>
              <w:t xml:space="preserve">aised in the Committee’s views, and </w:t>
            </w:r>
            <w:r w:rsidRPr="00D4402F">
              <w:rPr>
                <w:bCs/>
              </w:rPr>
              <w:t xml:space="preserve">concluded that it does not need to amend its legislation in order to give effect to the Committee’s recommendation. The International Assistance Group at the Department of Justice Canada, which reviews and coordinates all extradition requests made to Canada, is considering amending its practices accordingly, including by seeking input from extradited persons where a waiver of specialty has been requested by the State to which that person has been extradited. </w:t>
            </w:r>
          </w:p>
          <w:p w:rsidR="005E61A5" w:rsidRPr="00D4402F" w:rsidRDefault="005E61A5" w:rsidP="005E61A5">
            <w:pPr>
              <w:spacing w:before="40" w:after="100" w:line="220" w:lineRule="exact"/>
              <w:jc w:val="both"/>
              <w:rPr>
                <w:bCs/>
              </w:rPr>
            </w:pPr>
            <w:r w:rsidRPr="00D4402F">
              <w:rPr>
                <w:bCs/>
              </w:rPr>
              <w:t xml:space="preserve">In the author’s case, detailed consideration </w:t>
            </w:r>
            <w:proofErr w:type="gramStart"/>
            <w:r w:rsidRPr="00D4402F">
              <w:rPr>
                <w:bCs/>
              </w:rPr>
              <w:t>was given</w:t>
            </w:r>
            <w:proofErr w:type="gramEnd"/>
            <w:r w:rsidRPr="00D4402F">
              <w:rPr>
                <w:bCs/>
              </w:rPr>
              <w:t xml:space="preserve"> to Thailand’s requests to Canada for the waiver of specialty. A thorough and careful examination of Thailand’s requests and supporting evidence </w:t>
            </w:r>
            <w:proofErr w:type="gramStart"/>
            <w:r w:rsidRPr="00D4402F">
              <w:rPr>
                <w:bCs/>
              </w:rPr>
              <w:t>was conducted</w:t>
            </w:r>
            <w:proofErr w:type="gramEnd"/>
            <w:r w:rsidRPr="00D4402F">
              <w:rPr>
                <w:bCs/>
              </w:rPr>
              <w:t xml:space="preserve">, and Canada found that waiver was warranted in three of eighteen cases. </w:t>
            </w:r>
            <w:r>
              <w:rPr>
                <w:bCs/>
              </w:rPr>
              <w:t>T</w:t>
            </w:r>
            <w:r w:rsidRPr="00D4402F">
              <w:rPr>
                <w:bCs/>
              </w:rPr>
              <w:t xml:space="preserve">he granting of waiver of specialty in the author’s case was lawful and warranted, </w:t>
            </w:r>
            <w:r>
              <w:rPr>
                <w:bCs/>
              </w:rPr>
              <w:t xml:space="preserve">and </w:t>
            </w:r>
            <w:r w:rsidRPr="00D4402F">
              <w:rPr>
                <w:bCs/>
              </w:rPr>
              <w:t>Canada will not be re-examining the author’s case.</w:t>
            </w:r>
          </w:p>
          <w:p w:rsidR="005E61A5" w:rsidRPr="00D4402F" w:rsidRDefault="005E61A5" w:rsidP="005E61A5">
            <w:pPr>
              <w:spacing w:before="40" w:after="100" w:line="220" w:lineRule="exact"/>
              <w:jc w:val="both"/>
              <w:rPr>
                <w:bCs/>
              </w:rPr>
            </w:pPr>
            <w:r>
              <w:rPr>
                <w:bCs/>
              </w:rPr>
              <w:t>Concerning publication of the V</w:t>
            </w:r>
            <w:r w:rsidRPr="00D4402F">
              <w:rPr>
                <w:bCs/>
              </w:rPr>
              <w:t>iews</w:t>
            </w:r>
            <w:r>
              <w:rPr>
                <w:bCs/>
              </w:rPr>
              <w:t xml:space="preserve">, a </w:t>
            </w:r>
            <w:r w:rsidRPr="00D4402F">
              <w:rPr>
                <w:bCs/>
              </w:rPr>
              <w:t xml:space="preserve">website maintained by the Government of Canada provides general information on the individual communications processes that apply to Canada at the international level. It includes information on how to file a complaint and how the processes work. This website contains a link to the publicly available Treaty Body Database that </w:t>
            </w:r>
            <w:proofErr w:type="gramStart"/>
            <w:r w:rsidRPr="00D4402F">
              <w:rPr>
                <w:bCs/>
              </w:rPr>
              <w:t>is maintained</w:t>
            </w:r>
            <w:proofErr w:type="gramEnd"/>
            <w:r w:rsidRPr="00D4402F">
              <w:rPr>
                <w:bCs/>
              </w:rPr>
              <w:t xml:space="preserve"> by the OHCHR.</w:t>
            </w:r>
            <w:r w:rsidRPr="00CE661C">
              <w:rPr>
                <w:rStyle w:val="FootnoteReference"/>
              </w:rPr>
              <w:footnoteReference w:id="6"/>
            </w:r>
            <w:r w:rsidRPr="00CE661C">
              <w:rPr>
                <w:rStyle w:val="FootnoteReference"/>
              </w:rPr>
              <w:t xml:space="preserve"> </w:t>
            </w:r>
            <w:r>
              <w:rPr>
                <w:bCs/>
              </w:rPr>
              <w:t>The Committee’s v</w:t>
            </w:r>
            <w:r w:rsidRPr="00D4402F">
              <w:rPr>
                <w:bCs/>
              </w:rPr>
              <w:t>iews are now available on that site.</w:t>
            </w:r>
          </w:p>
          <w:p w:rsidR="005E61A5" w:rsidRPr="005E61A5" w:rsidRDefault="005E61A5" w:rsidP="005E61A5">
            <w:pPr>
              <w:spacing w:before="40" w:after="100" w:line="220" w:lineRule="exact"/>
              <w:jc w:val="both"/>
              <w:rPr>
                <w:bCs/>
              </w:rPr>
            </w:pPr>
            <w:r w:rsidRPr="00D4402F">
              <w:rPr>
                <w:bCs/>
              </w:rPr>
              <w:t xml:space="preserve">Although Canada is taking steps </w:t>
            </w:r>
            <w:proofErr w:type="gramStart"/>
            <w:r w:rsidRPr="00D4402F">
              <w:rPr>
                <w:bCs/>
              </w:rPr>
              <w:t>to generally address</w:t>
            </w:r>
            <w:proofErr w:type="gramEnd"/>
            <w:r w:rsidRPr="00D4402F">
              <w:rPr>
                <w:bCs/>
              </w:rPr>
              <w:t xml:space="preserve"> the procedural fairness is</w:t>
            </w:r>
            <w:r>
              <w:rPr>
                <w:bCs/>
              </w:rPr>
              <w:t>sue that is at the heart of the V</w:t>
            </w:r>
            <w:r w:rsidRPr="00D4402F">
              <w:rPr>
                <w:bCs/>
              </w:rPr>
              <w:t>iews</w:t>
            </w:r>
            <w:r>
              <w:rPr>
                <w:bCs/>
              </w:rPr>
              <w:t xml:space="preserve"> in this case</w:t>
            </w:r>
            <w:r w:rsidRPr="00D4402F">
              <w:rPr>
                <w:bCs/>
              </w:rPr>
              <w:t xml:space="preserve">, Canada encourages the Committee to reconsider its </w:t>
            </w:r>
            <w:r>
              <w:rPr>
                <w:bCs/>
              </w:rPr>
              <w:t>interpretation of the scope of article 13.</w:t>
            </w:r>
          </w:p>
        </w:tc>
      </w:tr>
      <w:tr w:rsidR="005E61A5" w:rsidRPr="004F2101" w:rsidTr="00BA7CD4">
        <w:tc>
          <w:tcPr>
            <w:tcW w:w="2580" w:type="dxa"/>
            <w:tcBorders>
              <w:top w:val="nil"/>
              <w:bottom w:val="nil"/>
            </w:tcBorders>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sidRPr="004F2101">
              <w:t>Committee’s assessment:</w:t>
            </w:r>
          </w:p>
        </w:tc>
        <w:tc>
          <w:tcPr>
            <w:tcW w:w="4790" w:type="dxa"/>
            <w:tcBorders>
              <w:top w:val="nil"/>
              <w:bottom w:val="nil"/>
            </w:tcBorders>
            <w:shd w:val="clear" w:color="auto" w:fill="auto"/>
            <w:tcMar>
              <w:left w:w="28" w:type="dxa"/>
              <w:right w:w="28" w:type="dxa"/>
            </w:tcMar>
          </w:tcPr>
          <w:p w:rsidR="005E61A5" w:rsidRPr="00C951DF" w:rsidRDefault="005E61A5" w:rsidP="005E61A5">
            <w:pPr>
              <w:pStyle w:val="SingleTxtG"/>
              <w:ind w:left="0"/>
              <w:rPr>
                <w:lang w:eastAsia="en-GB"/>
              </w:rPr>
            </w:pPr>
            <w:r>
              <w:t>(a)</w:t>
            </w:r>
            <w:r>
              <w:tab/>
              <w:t>Legislation amendment</w:t>
            </w:r>
            <w:r>
              <w:rPr>
                <w:lang w:eastAsia="en-GB"/>
              </w:rPr>
              <w:t>: C</w:t>
            </w:r>
          </w:p>
          <w:p w:rsidR="005E61A5" w:rsidRDefault="005E61A5" w:rsidP="005E61A5">
            <w:pPr>
              <w:pStyle w:val="SingleTxtG"/>
              <w:ind w:left="0"/>
              <w:rPr>
                <w:lang w:eastAsia="en-GB"/>
              </w:rPr>
            </w:pPr>
            <w:r>
              <w:rPr>
                <w:lang w:eastAsia="en-GB"/>
              </w:rPr>
              <w:t>(b)</w:t>
            </w:r>
            <w:r>
              <w:rPr>
                <w:lang w:eastAsia="en-GB"/>
              </w:rPr>
              <w:tab/>
            </w:r>
            <w:r w:rsidRPr="00C951DF">
              <w:rPr>
                <w:lang w:eastAsia="en-GB"/>
              </w:rPr>
              <w:t xml:space="preserve">Publication of Views: </w:t>
            </w:r>
            <w:r>
              <w:rPr>
                <w:lang w:eastAsia="en-GB"/>
              </w:rPr>
              <w:t>A</w:t>
            </w:r>
          </w:p>
          <w:p w:rsidR="005E61A5" w:rsidRPr="004F2101" w:rsidRDefault="005E61A5" w:rsidP="00D922C4">
            <w:pPr>
              <w:pStyle w:val="SingleTxtG"/>
              <w:ind w:left="0"/>
              <w:rPr>
                <w:lang w:eastAsia="en-GB"/>
              </w:rPr>
            </w:pPr>
            <w:r>
              <w:rPr>
                <w:lang w:eastAsia="en-GB"/>
              </w:rPr>
              <w:t>(c)</w:t>
            </w:r>
            <w:r>
              <w:rPr>
                <w:lang w:eastAsia="en-GB"/>
              </w:rPr>
              <w:tab/>
            </w:r>
            <w:r w:rsidRPr="00C951DF">
              <w:rPr>
                <w:lang w:eastAsia="en-GB"/>
              </w:rPr>
              <w:t>Non</w:t>
            </w:r>
            <w:r>
              <w:rPr>
                <w:lang w:eastAsia="en-GB"/>
              </w:rPr>
              <w:t xml:space="preserve">-repetition: </w:t>
            </w:r>
            <w:r w:rsidR="00D922C4">
              <w:rPr>
                <w:lang w:eastAsia="en-GB"/>
              </w:rPr>
              <w:t>B</w:t>
            </w:r>
          </w:p>
        </w:tc>
      </w:tr>
      <w:tr w:rsidR="005E61A5" w:rsidRPr="004F2101" w:rsidTr="00BA7CD4">
        <w:tc>
          <w:tcPr>
            <w:tcW w:w="2580" w:type="dxa"/>
            <w:tcBorders>
              <w:top w:val="nil"/>
            </w:tcBorders>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sidRPr="004F2101">
              <w:t xml:space="preserve">Committee’s decision: </w:t>
            </w:r>
          </w:p>
        </w:tc>
        <w:tc>
          <w:tcPr>
            <w:tcW w:w="4790" w:type="dxa"/>
            <w:tcBorders>
              <w:top w:val="nil"/>
            </w:tcBorders>
            <w:shd w:val="clear" w:color="auto" w:fill="auto"/>
            <w:tcMar>
              <w:left w:w="28" w:type="dxa"/>
              <w:right w:w="28" w:type="dxa"/>
            </w:tcMar>
          </w:tcPr>
          <w:p w:rsidR="005E61A5" w:rsidRPr="004F2101" w:rsidRDefault="005E61A5" w:rsidP="00BA7CD4">
            <w:pPr>
              <w:pStyle w:val="SingleTxtG"/>
              <w:suppressAutoHyphens w:val="0"/>
              <w:spacing w:before="40" w:line="220" w:lineRule="exact"/>
              <w:ind w:left="0" w:right="113"/>
              <w:jc w:val="left"/>
            </w:pPr>
            <w:r>
              <w:rPr>
                <w:bCs/>
              </w:rPr>
              <w:t>follow-up dialogue ongoing</w:t>
            </w:r>
          </w:p>
        </w:tc>
      </w:tr>
    </w:tbl>
    <w:p w:rsidR="00AB44C1" w:rsidRDefault="005E61A5" w:rsidP="00E329FA">
      <w:pPr>
        <w:pStyle w:val="H23G"/>
      </w:pPr>
      <w:r>
        <w:tab/>
      </w:r>
      <w:r w:rsidR="00AB44C1" w:rsidRPr="004F2101">
        <w:t>6.</w:t>
      </w:r>
      <w:r w:rsidR="00AB44C1" w:rsidRPr="004F2101">
        <w:tab/>
        <w:t>Denmark</w:t>
      </w:r>
    </w:p>
    <w:p w:rsidR="00F23177" w:rsidRDefault="00F23177" w:rsidP="009716A9">
      <w:pPr>
        <w:pBdr>
          <w:top w:val="single" w:sz="4" w:space="1" w:color="auto"/>
        </w:pBdr>
      </w:pPr>
    </w:p>
    <w:p w:rsidR="00F23177" w:rsidRPr="009716A9" w:rsidRDefault="00F23177" w:rsidP="009716A9">
      <w:pPr>
        <w:pBdr>
          <w:top w:val="single" w:sz="4" w:space="1" w:color="auto"/>
        </w:pBdr>
        <w:ind w:left="567" w:firstLine="567"/>
        <w:rPr>
          <w:i/>
        </w:rPr>
      </w:pPr>
      <w:r w:rsidRPr="00F23177">
        <w:rPr>
          <w:b/>
        </w:rPr>
        <w:t xml:space="preserve">Communication </w:t>
      </w:r>
      <w:proofErr w:type="gramStart"/>
      <w:r w:rsidRPr="00F23177">
        <w:rPr>
          <w:b/>
        </w:rPr>
        <w:t>No. 2343/2014</w:t>
      </w:r>
      <w:proofErr w:type="gramEnd"/>
      <w:r w:rsidRPr="00F23177">
        <w:rPr>
          <w:b/>
        </w:rPr>
        <w:t xml:space="preserve">, </w:t>
      </w:r>
      <w:r w:rsidRPr="00F23177">
        <w:rPr>
          <w:b/>
          <w:i/>
        </w:rPr>
        <w:t>H.E.A.K.</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90"/>
      </w:tblGrid>
      <w:tr w:rsidR="00AB44C1" w:rsidRPr="004F2101" w:rsidTr="00E329FA">
        <w:tc>
          <w:tcPr>
            <w:tcW w:w="2580" w:type="dxa"/>
            <w:tcBorders>
              <w:top w:val="single" w:sz="12" w:space="0" w:color="auto"/>
            </w:tcBorders>
            <w:shd w:val="clear" w:color="auto" w:fill="auto"/>
            <w:tcMar>
              <w:left w:w="28" w:type="dxa"/>
              <w:right w:w="28" w:type="dxa"/>
            </w:tcMar>
          </w:tcPr>
          <w:p w:rsidR="00AB44C1" w:rsidRPr="004F2101" w:rsidRDefault="00AB44C1" w:rsidP="00E329FA">
            <w:pPr>
              <w:pStyle w:val="SingleTxtG"/>
              <w:suppressAutoHyphens w:val="0"/>
              <w:spacing w:before="40" w:line="220" w:lineRule="exact"/>
              <w:ind w:left="0" w:right="113"/>
              <w:jc w:val="left"/>
            </w:pPr>
            <w:r w:rsidRPr="004F2101">
              <w:t>Views adopted:</w:t>
            </w:r>
          </w:p>
        </w:tc>
        <w:tc>
          <w:tcPr>
            <w:tcW w:w="4790" w:type="dxa"/>
            <w:tcBorders>
              <w:top w:val="single" w:sz="12" w:space="0" w:color="auto"/>
            </w:tcBorders>
            <w:shd w:val="clear" w:color="auto" w:fill="auto"/>
            <w:tcMar>
              <w:left w:w="28" w:type="dxa"/>
              <w:right w:w="28" w:type="dxa"/>
            </w:tcMar>
          </w:tcPr>
          <w:p w:rsidR="00AB44C1" w:rsidRPr="004F2101" w:rsidRDefault="009F4EEB" w:rsidP="00E329FA">
            <w:pPr>
              <w:pStyle w:val="SingleTxtG"/>
              <w:suppressAutoHyphens w:val="0"/>
              <w:spacing w:before="40" w:line="220" w:lineRule="exact"/>
              <w:ind w:left="0" w:right="113"/>
              <w:jc w:val="left"/>
            </w:pPr>
            <w:r w:rsidRPr="00D4402F">
              <w:rPr>
                <w:bCs/>
              </w:rPr>
              <w:t>23 July 2015</w:t>
            </w:r>
          </w:p>
        </w:tc>
      </w:tr>
      <w:tr w:rsidR="00AB44C1" w:rsidRPr="004F2101" w:rsidTr="00E329FA">
        <w:tc>
          <w:tcPr>
            <w:tcW w:w="2580" w:type="dxa"/>
            <w:shd w:val="clear" w:color="auto" w:fill="auto"/>
            <w:tcMar>
              <w:left w:w="28" w:type="dxa"/>
              <w:right w:w="28" w:type="dxa"/>
            </w:tcMar>
          </w:tcPr>
          <w:p w:rsidR="00AB44C1" w:rsidRPr="004F2101" w:rsidRDefault="00AB44C1" w:rsidP="00E329FA">
            <w:pPr>
              <w:pStyle w:val="SingleTxtG"/>
              <w:suppressAutoHyphens w:val="0"/>
              <w:spacing w:before="40" w:line="220" w:lineRule="exact"/>
              <w:ind w:left="0" w:right="113"/>
              <w:jc w:val="left"/>
            </w:pPr>
            <w:r w:rsidRPr="004F2101">
              <w:t>Violation:</w:t>
            </w:r>
          </w:p>
        </w:tc>
        <w:tc>
          <w:tcPr>
            <w:tcW w:w="4790" w:type="dxa"/>
            <w:shd w:val="clear" w:color="auto" w:fill="auto"/>
            <w:tcMar>
              <w:left w:w="28" w:type="dxa"/>
              <w:right w:w="28" w:type="dxa"/>
            </w:tcMar>
          </w:tcPr>
          <w:p w:rsidR="00AB44C1" w:rsidRPr="004F2101" w:rsidRDefault="009F4EEB" w:rsidP="00E329FA">
            <w:pPr>
              <w:pStyle w:val="SingleTxtG"/>
              <w:suppressAutoHyphens w:val="0"/>
              <w:spacing w:before="40" w:line="220" w:lineRule="exact"/>
              <w:ind w:left="0" w:right="113"/>
              <w:jc w:val="left"/>
            </w:pPr>
            <w:r w:rsidRPr="00232023">
              <w:rPr>
                <w:bCs/>
              </w:rPr>
              <w:t xml:space="preserve">Article </w:t>
            </w:r>
            <w:r>
              <w:rPr>
                <w:bCs/>
              </w:rPr>
              <w:t>7</w:t>
            </w:r>
          </w:p>
        </w:tc>
      </w:tr>
      <w:tr w:rsidR="00AB44C1" w:rsidRPr="004F2101" w:rsidTr="00E329FA">
        <w:tc>
          <w:tcPr>
            <w:tcW w:w="2580" w:type="dxa"/>
            <w:shd w:val="clear" w:color="auto" w:fill="auto"/>
            <w:tcMar>
              <w:left w:w="28" w:type="dxa"/>
              <w:right w:w="28" w:type="dxa"/>
            </w:tcMar>
          </w:tcPr>
          <w:p w:rsidR="00AB44C1" w:rsidRPr="004F2101" w:rsidRDefault="00AB44C1" w:rsidP="00E329FA">
            <w:pPr>
              <w:pStyle w:val="SingleTxtG"/>
              <w:suppressAutoHyphens w:val="0"/>
              <w:spacing w:before="40" w:line="220" w:lineRule="exact"/>
              <w:ind w:left="0" w:right="113"/>
              <w:jc w:val="left"/>
            </w:pPr>
            <w:r w:rsidRPr="004F2101">
              <w:t xml:space="preserve">Remedy: </w:t>
            </w:r>
          </w:p>
        </w:tc>
        <w:tc>
          <w:tcPr>
            <w:tcW w:w="4790" w:type="dxa"/>
            <w:shd w:val="clear" w:color="auto" w:fill="auto"/>
            <w:tcMar>
              <w:left w:w="28" w:type="dxa"/>
              <w:right w:w="28" w:type="dxa"/>
            </w:tcMar>
          </w:tcPr>
          <w:p w:rsidR="00F23177" w:rsidRPr="00F23177" w:rsidRDefault="009F4EEB" w:rsidP="00E329FA">
            <w:pPr>
              <w:pStyle w:val="SingleTxtG"/>
              <w:suppressAutoHyphens w:val="0"/>
              <w:spacing w:before="40" w:line="220" w:lineRule="exact"/>
              <w:ind w:left="0" w:right="113"/>
              <w:jc w:val="left"/>
              <w:rPr>
                <w:bCs/>
              </w:rPr>
            </w:pPr>
            <w:r w:rsidRPr="00D4402F">
              <w:rPr>
                <w:bCs/>
              </w:rPr>
              <w:t xml:space="preserve">Effective remedy by proceeding to a review of the decision </w:t>
            </w:r>
            <w:proofErr w:type="gramStart"/>
            <w:r w:rsidRPr="00D4402F">
              <w:rPr>
                <w:bCs/>
              </w:rPr>
              <w:t>to forcibly remove</w:t>
            </w:r>
            <w:proofErr w:type="gramEnd"/>
            <w:r w:rsidRPr="00D4402F">
              <w:rPr>
                <w:bCs/>
              </w:rPr>
              <w:t xml:space="preserve"> him to Egypt, taking into account the State party’s obligations under the Covenant. The State party is also under an obligation to take steps to prevent similar violations in the future.</w:t>
            </w:r>
          </w:p>
        </w:tc>
      </w:tr>
      <w:tr w:rsidR="00AB44C1" w:rsidRPr="004F2101" w:rsidTr="00E329FA">
        <w:tc>
          <w:tcPr>
            <w:tcW w:w="2580" w:type="dxa"/>
            <w:shd w:val="clear" w:color="auto" w:fill="auto"/>
            <w:tcMar>
              <w:left w:w="28" w:type="dxa"/>
              <w:right w:w="28" w:type="dxa"/>
            </w:tcMar>
          </w:tcPr>
          <w:p w:rsidR="00AB44C1" w:rsidRPr="004F2101" w:rsidRDefault="00AB44C1" w:rsidP="00E329FA">
            <w:pPr>
              <w:pStyle w:val="SingleTxtG"/>
              <w:suppressAutoHyphens w:val="0"/>
              <w:spacing w:before="40" w:line="220" w:lineRule="exact"/>
              <w:ind w:left="0" w:right="113"/>
              <w:jc w:val="left"/>
            </w:pPr>
            <w:r w:rsidRPr="004F2101">
              <w:t>Subject matter:</w:t>
            </w:r>
          </w:p>
        </w:tc>
        <w:tc>
          <w:tcPr>
            <w:tcW w:w="4790" w:type="dxa"/>
            <w:shd w:val="clear" w:color="auto" w:fill="auto"/>
            <w:tcMar>
              <w:left w:w="28" w:type="dxa"/>
              <w:right w:w="28" w:type="dxa"/>
            </w:tcMar>
          </w:tcPr>
          <w:p w:rsidR="00AB44C1" w:rsidRPr="004F2101" w:rsidRDefault="009F4EEB" w:rsidP="00E329FA">
            <w:pPr>
              <w:pStyle w:val="SingleTxtG"/>
              <w:suppressAutoHyphens w:val="0"/>
              <w:spacing w:before="40" w:line="220" w:lineRule="exact"/>
              <w:ind w:left="0" w:right="113"/>
              <w:jc w:val="left"/>
            </w:pPr>
            <w:r>
              <w:t>Deportation to Egypt</w:t>
            </w:r>
          </w:p>
        </w:tc>
      </w:tr>
      <w:tr w:rsidR="00AB44C1" w:rsidRPr="004F2101" w:rsidTr="00E329FA">
        <w:tc>
          <w:tcPr>
            <w:tcW w:w="2580" w:type="dxa"/>
            <w:shd w:val="clear" w:color="auto" w:fill="auto"/>
            <w:tcMar>
              <w:left w:w="28" w:type="dxa"/>
              <w:right w:w="28" w:type="dxa"/>
            </w:tcMar>
          </w:tcPr>
          <w:p w:rsidR="00AB44C1" w:rsidRPr="004F2101" w:rsidRDefault="00AB44C1" w:rsidP="00E329FA">
            <w:pPr>
              <w:pStyle w:val="SingleTxtG"/>
              <w:suppressAutoHyphens w:val="0"/>
              <w:spacing w:before="40" w:line="220" w:lineRule="exact"/>
              <w:ind w:left="0" w:right="113"/>
              <w:jc w:val="left"/>
            </w:pPr>
            <w:r w:rsidRPr="004F2101">
              <w:t>Previous follow-up information:</w:t>
            </w:r>
          </w:p>
        </w:tc>
        <w:tc>
          <w:tcPr>
            <w:tcW w:w="4790" w:type="dxa"/>
            <w:shd w:val="clear" w:color="auto" w:fill="auto"/>
            <w:tcMar>
              <w:left w:w="28" w:type="dxa"/>
              <w:right w:w="28" w:type="dxa"/>
            </w:tcMar>
          </w:tcPr>
          <w:p w:rsidR="00AB44C1" w:rsidRPr="004F2101" w:rsidRDefault="009F4EEB" w:rsidP="00E329FA">
            <w:pPr>
              <w:pStyle w:val="SingleTxtG"/>
              <w:suppressAutoHyphens w:val="0"/>
              <w:spacing w:before="40" w:line="220" w:lineRule="exact"/>
              <w:ind w:left="0" w:right="113"/>
              <w:jc w:val="left"/>
            </w:pPr>
            <w:r>
              <w:t>CCPR/C/118</w:t>
            </w:r>
            <w:r w:rsidR="00AB44C1" w:rsidRPr="004F2101">
              <w:t xml:space="preserve">/3 </w:t>
            </w:r>
          </w:p>
        </w:tc>
      </w:tr>
      <w:tr w:rsidR="00AB44C1" w:rsidRPr="004F2101" w:rsidTr="00E329FA">
        <w:tc>
          <w:tcPr>
            <w:tcW w:w="2580" w:type="dxa"/>
            <w:shd w:val="clear" w:color="auto" w:fill="auto"/>
            <w:tcMar>
              <w:left w:w="28" w:type="dxa"/>
              <w:right w:w="28" w:type="dxa"/>
            </w:tcMar>
          </w:tcPr>
          <w:p w:rsidR="00AB44C1" w:rsidRPr="004F2101" w:rsidRDefault="00AB44C1" w:rsidP="00E329FA">
            <w:pPr>
              <w:pStyle w:val="SingleTxtG"/>
              <w:suppressAutoHyphens w:val="0"/>
              <w:spacing w:before="40" w:line="220" w:lineRule="exact"/>
              <w:ind w:left="0" w:right="113"/>
              <w:jc w:val="left"/>
            </w:pPr>
            <w:r w:rsidRPr="004F2101">
              <w:t>Submission from State party:</w:t>
            </w:r>
          </w:p>
        </w:tc>
        <w:tc>
          <w:tcPr>
            <w:tcW w:w="4790" w:type="dxa"/>
            <w:shd w:val="clear" w:color="auto" w:fill="auto"/>
            <w:tcMar>
              <w:left w:w="28" w:type="dxa"/>
              <w:right w:w="28" w:type="dxa"/>
            </w:tcMar>
          </w:tcPr>
          <w:p w:rsidR="009F4EEB" w:rsidRPr="00232023" w:rsidRDefault="009F4EEB" w:rsidP="009F4EEB">
            <w:pPr>
              <w:spacing w:before="40" w:after="100" w:line="220" w:lineRule="exact"/>
              <w:rPr>
                <w:bCs/>
              </w:rPr>
            </w:pPr>
            <w:r>
              <w:rPr>
                <w:bCs/>
              </w:rPr>
              <w:t>3 February 2017</w:t>
            </w:r>
          </w:p>
          <w:p w:rsidR="009F4EEB" w:rsidRDefault="009F4EEB" w:rsidP="00D26536">
            <w:pPr>
              <w:spacing w:before="120"/>
              <w:jc w:val="both"/>
            </w:pPr>
            <w:r>
              <w:t xml:space="preserve">The State party recalls that on 22 September 2015, the Refugee Appeals Board (RAB) had decided to reopen the author’s asylum case and to undertake a new assessment of the author’s asylum application, in light of the Committee’s Views. </w:t>
            </w:r>
          </w:p>
          <w:p w:rsidR="009F4EEB" w:rsidRDefault="009F4EEB" w:rsidP="00D26536">
            <w:pPr>
              <w:spacing w:before="120"/>
              <w:jc w:val="both"/>
            </w:pPr>
            <w:r>
              <w:t xml:space="preserve">Accordingly, on 19 November 2015, an oral hearing </w:t>
            </w:r>
            <w:proofErr w:type="gramStart"/>
            <w:r>
              <w:t>was held</w:t>
            </w:r>
            <w:proofErr w:type="gramEnd"/>
            <w:r>
              <w:t xml:space="preserve"> by the RAB, during which the author, represented by legal counsel, was allowed to provide a statement. After deliberations, the Board decided to stay the case, pending a consultation of the Danish Ministry of foreign affairs, to seek more information about the </w:t>
            </w:r>
            <w:r>
              <w:rPr>
                <w:i/>
              </w:rPr>
              <w:t xml:space="preserve">Ultra </w:t>
            </w:r>
            <w:proofErr w:type="spellStart"/>
            <w:r>
              <w:rPr>
                <w:i/>
              </w:rPr>
              <w:t>Ahlawy</w:t>
            </w:r>
            <w:r>
              <w:t>and</w:t>
            </w:r>
            <w:proofErr w:type="spellEnd"/>
            <w:r>
              <w:t xml:space="preserve"> its members. </w:t>
            </w:r>
          </w:p>
          <w:p w:rsidR="009F4EEB" w:rsidRDefault="009F4EEB" w:rsidP="00D26536">
            <w:pPr>
              <w:spacing w:before="120"/>
              <w:jc w:val="both"/>
            </w:pPr>
            <w:r>
              <w:t xml:space="preserve">On 19 February 2016, the Ministry of Foreign affairs provided its response to the RAB. Based on this response, the RAB issued a new decision, on 26 May 2016, in which it relied on a decision dated 16 May 2005 by an Egyptian appeals court, which determined that there existed no connection between Ultra </w:t>
            </w:r>
            <w:proofErr w:type="spellStart"/>
            <w:r>
              <w:t>Ahlawy</w:t>
            </w:r>
            <w:proofErr w:type="spellEnd"/>
            <w:r>
              <w:t xml:space="preserve"> and terrorism, or the Muslim Brotherhood. The consultation response from the Ministry of foreign affairs also indicates that Ultra </w:t>
            </w:r>
            <w:proofErr w:type="spellStart"/>
            <w:r>
              <w:t>Ahlawys</w:t>
            </w:r>
            <w:proofErr w:type="spellEnd"/>
            <w:r>
              <w:t xml:space="preserve"> have not developed onto a group with political objectives, and that there is no information indicating that </w:t>
            </w:r>
            <w:proofErr w:type="spellStart"/>
            <w:r>
              <w:t>Ahlawy</w:t>
            </w:r>
            <w:proofErr w:type="spellEnd"/>
            <w:r>
              <w:t xml:space="preserve"> members </w:t>
            </w:r>
            <w:proofErr w:type="gramStart"/>
            <w:r>
              <w:t>have been prosecuted</w:t>
            </w:r>
            <w:proofErr w:type="gramEnd"/>
            <w:r>
              <w:t xml:space="preserve"> merely because of their connection to Ultra </w:t>
            </w:r>
            <w:proofErr w:type="spellStart"/>
            <w:r>
              <w:t>Ahlawys</w:t>
            </w:r>
            <w:proofErr w:type="spellEnd"/>
            <w:r>
              <w:t xml:space="preserve">. </w:t>
            </w:r>
          </w:p>
          <w:p w:rsidR="009F4EEB" w:rsidRDefault="009F4EEB" w:rsidP="009F4EEB">
            <w:pPr>
              <w:jc w:val="both"/>
            </w:pPr>
            <w:r>
              <w:t xml:space="preserve">Accordingly, in its decision, the RAB determined, in a new hearing, before a new panel, that the author failed to render it probable that he has attracted the attention of the Egyptian authorities in a way that he risks persecution if returned to Egypt. </w:t>
            </w:r>
          </w:p>
          <w:p w:rsidR="009F4EEB" w:rsidRDefault="009F4EEB" w:rsidP="00D26536">
            <w:pPr>
              <w:spacing w:before="120"/>
              <w:jc w:val="both"/>
            </w:pPr>
            <w:r>
              <w:t xml:space="preserve">On 28 June and 4 July 2016, the author’s counsel sought a further reopening of the case before the RAB.  On 18 July 2016, it appeared that the author had failed to appear at this accommodation </w:t>
            </w:r>
            <w:proofErr w:type="spellStart"/>
            <w:r>
              <w:t>center</w:t>
            </w:r>
            <w:proofErr w:type="spellEnd"/>
            <w:r>
              <w:t>. His whereabouts remain unknown, to date.</w:t>
            </w:r>
          </w:p>
          <w:p w:rsidR="009F4EEB" w:rsidRDefault="009F4EEB" w:rsidP="00D26536">
            <w:pPr>
              <w:spacing w:before="120"/>
              <w:jc w:val="both"/>
            </w:pPr>
            <w:r>
              <w:t xml:space="preserve">It follows from section 33(8) of the Aliens Act that the RAB cannot consider a request for reopening if the place of residence of the applicant is unknown. The State party nonetheless considers that the author’s asylum application </w:t>
            </w:r>
            <w:proofErr w:type="gramStart"/>
            <w:r>
              <w:t>was considered</w:t>
            </w:r>
            <w:proofErr w:type="gramEnd"/>
            <w:r>
              <w:t xml:space="preserve"> twice by the RAB, including by a new panel on 26 May 2016.</w:t>
            </w:r>
          </w:p>
          <w:p w:rsidR="009F4EEB" w:rsidRDefault="009F4EEB" w:rsidP="00D26536">
            <w:pPr>
              <w:spacing w:before="120"/>
              <w:jc w:val="both"/>
            </w:pPr>
            <w:r>
              <w:t xml:space="preserve">The State party thus considers that it has complied with the Committee’s Views. </w:t>
            </w:r>
          </w:p>
          <w:p w:rsidR="009F4EEB" w:rsidRDefault="009F4EEB" w:rsidP="00D26536">
            <w:pPr>
              <w:spacing w:before="120"/>
              <w:jc w:val="both"/>
            </w:pPr>
            <w:r>
              <w:t xml:space="preserve">All decisions of the Human Rights Committee </w:t>
            </w:r>
            <w:proofErr w:type="gramStart"/>
            <w:r>
              <w:t>are published</w:t>
            </w:r>
            <w:proofErr w:type="gramEnd"/>
            <w:r>
              <w:t xml:space="preserve"> on the Board’s website.</w:t>
            </w:r>
          </w:p>
          <w:p w:rsidR="00AB44C1" w:rsidRPr="004F2101" w:rsidRDefault="009F4EEB" w:rsidP="009F4EEB">
            <w:pPr>
              <w:pStyle w:val="SingleTxtG"/>
              <w:suppressAutoHyphens w:val="0"/>
              <w:spacing w:before="40" w:line="220" w:lineRule="exact"/>
              <w:ind w:left="0" w:right="113"/>
              <w:jc w:val="left"/>
            </w:pPr>
            <w:r>
              <w:t xml:space="preserve">As for measures of non-repetition, the </w:t>
            </w:r>
            <w:proofErr w:type="gramStart"/>
            <w:r>
              <w:t>Views in the case will be taken into account by the Danish Immigration Service and the RAB</w:t>
            </w:r>
            <w:proofErr w:type="gramEnd"/>
            <w:r>
              <w:t>.</w:t>
            </w:r>
          </w:p>
        </w:tc>
      </w:tr>
      <w:tr w:rsidR="00AB44C1" w:rsidRPr="004F2101" w:rsidTr="00E329FA">
        <w:tc>
          <w:tcPr>
            <w:tcW w:w="2580" w:type="dxa"/>
            <w:shd w:val="clear" w:color="auto" w:fill="auto"/>
            <w:tcMar>
              <w:left w:w="28" w:type="dxa"/>
              <w:right w:w="28" w:type="dxa"/>
            </w:tcMar>
          </w:tcPr>
          <w:p w:rsidR="00AB44C1" w:rsidRPr="004F2101" w:rsidRDefault="00AB44C1" w:rsidP="00E329FA">
            <w:pPr>
              <w:pStyle w:val="SingleTxtG"/>
              <w:suppressAutoHyphens w:val="0"/>
              <w:spacing w:before="40" w:line="220" w:lineRule="exact"/>
              <w:ind w:left="0" w:right="113"/>
              <w:jc w:val="left"/>
            </w:pPr>
            <w:r w:rsidRPr="004F2101">
              <w:t>Committee</w:t>
            </w:r>
            <w:r w:rsidR="001D6817" w:rsidRPr="004F2101">
              <w:t>’</w:t>
            </w:r>
            <w:r w:rsidRPr="004F2101">
              <w:t>s assessment:</w:t>
            </w:r>
          </w:p>
        </w:tc>
        <w:tc>
          <w:tcPr>
            <w:tcW w:w="4790" w:type="dxa"/>
            <w:shd w:val="clear" w:color="auto" w:fill="auto"/>
            <w:tcMar>
              <w:left w:w="28" w:type="dxa"/>
              <w:right w:w="28" w:type="dxa"/>
            </w:tcMar>
          </w:tcPr>
          <w:p w:rsidR="009F4EEB" w:rsidRPr="00C951DF" w:rsidRDefault="009F4EEB" w:rsidP="009F4EEB">
            <w:pPr>
              <w:pStyle w:val="SingleTxtG"/>
              <w:ind w:left="0"/>
              <w:rPr>
                <w:lang w:eastAsia="en-GB"/>
              </w:rPr>
            </w:pPr>
            <w:r>
              <w:t>(a)</w:t>
            </w:r>
            <w:r>
              <w:tab/>
            </w:r>
            <w:r w:rsidRPr="00C951DF">
              <w:t>Effective remedy</w:t>
            </w:r>
            <w:r>
              <w:rPr>
                <w:lang w:eastAsia="en-GB"/>
              </w:rPr>
              <w:t>: A</w:t>
            </w:r>
          </w:p>
          <w:p w:rsidR="009F4EEB" w:rsidRPr="00C951DF" w:rsidRDefault="009F4EEB" w:rsidP="009F4EEB">
            <w:pPr>
              <w:pStyle w:val="SingleTxtG"/>
              <w:ind w:left="0"/>
              <w:rPr>
                <w:lang w:eastAsia="en-GB"/>
              </w:rPr>
            </w:pPr>
            <w:r>
              <w:rPr>
                <w:lang w:eastAsia="en-GB"/>
              </w:rPr>
              <w:t>(b)</w:t>
            </w:r>
            <w:r>
              <w:rPr>
                <w:lang w:eastAsia="en-GB"/>
              </w:rPr>
              <w:tab/>
            </w:r>
            <w:r w:rsidRPr="00C951DF">
              <w:rPr>
                <w:lang w:eastAsia="en-GB"/>
              </w:rPr>
              <w:t xml:space="preserve">Publication of Views: </w:t>
            </w:r>
            <w:r>
              <w:rPr>
                <w:lang w:eastAsia="en-GB"/>
              </w:rPr>
              <w:t>A</w:t>
            </w:r>
          </w:p>
          <w:p w:rsidR="00AB44C1" w:rsidRPr="004F2101" w:rsidRDefault="009F4EEB" w:rsidP="009F4EEB">
            <w:pPr>
              <w:pStyle w:val="SingleTxtG"/>
              <w:ind w:left="0"/>
              <w:rPr>
                <w:lang w:eastAsia="en-GB"/>
              </w:rPr>
            </w:pPr>
            <w:r>
              <w:rPr>
                <w:lang w:eastAsia="en-GB"/>
              </w:rPr>
              <w:t>(c)</w:t>
            </w:r>
            <w:r>
              <w:rPr>
                <w:lang w:eastAsia="en-GB"/>
              </w:rPr>
              <w:tab/>
            </w:r>
            <w:r w:rsidRPr="00C951DF">
              <w:rPr>
                <w:lang w:eastAsia="en-GB"/>
              </w:rPr>
              <w:t>Non</w:t>
            </w:r>
            <w:r>
              <w:rPr>
                <w:lang w:eastAsia="en-GB"/>
              </w:rPr>
              <w:t>-repetition: B</w:t>
            </w:r>
          </w:p>
        </w:tc>
      </w:tr>
      <w:tr w:rsidR="00AB44C1" w:rsidRPr="004F2101" w:rsidTr="00E329FA">
        <w:tc>
          <w:tcPr>
            <w:tcW w:w="2580" w:type="dxa"/>
            <w:shd w:val="clear" w:color="auto" w:fill="auto"/>
            <w:tcMar>
              <w:left w:w="28" w:type="dxa"/>
              <w:right w:w="28" w:type="dxa"/>
            </w:tcMar>
          </w:tcPr>
          <w:p w:rsidR="00AB44C1" w:rsidRPr="004F2101" w:rsidRDefault="00AB44C1" w:rsidP="00E329FA">
            <w:pPr>
              <w:pStyle w:val="SingleTxtG"/>
              <w:suppressAutoHyphens w:val="0"/>
              <w:spacing w:before="40" w:line="220" w:lineRule="exact"/>
              <w:ind w:left="0" w:right="113"/>
              <w:jc w:val="left"/>
            </w:pPr>
            <w:r w:rsidRPr="004F2101">
              <w:t>Committee</w:t>
            </w:r>
            <w:r w:rsidR="001D6817" w:rsidRPr="004F2101">
              <w:t>’</w:t>
            </w:r>
            <w:r w:rsidRPr="004F2101">
              <w:t>s decision:</w:t>
            </w:r>
          </w:p>
        </w:tc>
        <w:tc>
          <w:tcPr>
            <w:tcW w:w="4790" w:type="dxa"/>
            <w:shd w:val="clear" w:color="auto" w:fill="auto"/>
            <w:tcMar>
              <w:left w:w="28" w:type="dxa"/>
              <w:right w:w="28" w:type="dxa"/>
            </w:tcMar>
          </w:tcPr>
          <w:p w:rsidR="00AB44C1" w:rsidRPr="004F2101" w:rsidRDefault="009F4EEB" w:rsidP="0084283C">
            <w:pPr>
              <w:pStyle w:val="SingleTxtG"/>
              <w:suppressAutoHyphens w:val="0"/>
              <w:spacing w:before="40" w:line="220" w:lineRule="exact"/>
              <w:ind w:left="0" w:right="113"/>
              <w:jc w:val="left"/>
            </w:pPr>
            <w:r>
              <w:t>Close the follow-up dialogue with a note of satisfactory implementation of the Committee’s recommendation.</w:t>
            </w:r>
          </w:p>
        </w:tc>
      </w:tr>
    </w:tbl>
    <w:p w:rsidR="000E58DD" w:rsidRPr="004F2101" w:rsidRDefault="000E58DD" w:rsidP="000E58DD">
      <w:pPr>
        <w:pStyle w:val="Revision"/>
        <w:suppressAutoHyphens/>
        <w:spacing w:after="240" w:line="240" w:lineRule="atLeast"/>
        <w:rPr>
          <w:rFonts w:eastAsia="Times New Roman"/>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90"/>
      </w:tblGrid>
      <w:tr w:rsidR="00AB44C1" w:rsidRPr="004F2101" w:rsidTr="002C0BB0">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AB44C1" w:rsidRPr="004F2101" w:rsidRDefault="009F4EEB" w:rsidP="000E58DD">
            <w:pPr>
              <w:pStyle w:val="SingleTxtG"/>
              <w:suppressAutoHyphens w:val="0"/>
              <w:spacing w:before="80" w:after="80" w:line="200" w:lineRule="exact"/>
              <w:ind w:left="0" w:right="113"/>
              <w:jc w:val="left"/>
              <w:rPr>
                <w:rFonts w:ascii="Times New Roman Bold" w:hAnsi="Times New Roman Bold" w:cs="Times New Roman Bold" w:hint="eastAsia"/>
                <w:b/>
                <w:bCs/>
                <w:i/>
              </w:rPr>
            </w:pPr>
            <w:proofErr w:type="spellStart"/>
            <w:r>
              <w:rPr>
                <w:b/>
                <w:lang w:val="es-ES"/>
              </w:rPr>
              <w:t>Communication</w:t>
            </w:r>
            <w:proofErr w:type="spellEnd"/>
            <w:r>
              <w:rPr>
                <w:b/>
                <w:lang w:val="es-ES"/>
              </w:rPr>
              <w:t xml:space="preserve"> No. 2462/2014</w:t>
            </w:r>
            <w:r w:rsidRPr="006E7DC6">
              <w:rPr>
                <w:b/>
                <w:lang w:val="es-ES"/>
              </w:rPr>
              <w:t xml:space="preserve">, </w:t>
            </w:r>
            <w:r>
              <w:rPr>
                <w:b/>
                <w:i/>
              </w:rPr>
              <w:t>M.K.H.</w:t>
            </w:r>
          </w:p>
        </w:tc>
      </w:tr>
      <w:tr w:rsidR="00AB44C1" w:rsidRPr="004F2101" w:rsidTr="000E58DD">
        <w:tc>
          <w:tcPr>
            <w:tcW w:w="2580" w:type="dxa"/>
            <w:tcBorders>
              <w:top w:val="single" w:sz="12" w:space="0" w:color="auto"/>
            </w:tcBorders>
            <w:shd w:val="clear" w:color="auto" w:fill="auto"/>
            <w:tcMar>
              <w:left w:w="28" w:type="dxa"/>
              <w:right w:w="28" w:type="dxa"/>
            </w:tcMar>
          </w:tcPr>
          <w:p w:rsidR="00AB44C1" w:rsidRPr="004F2101" w:rsidRDefault="00AB44C1" w:rsidP="000E58DD">
            <w:pPr>
              <w:pStyle w:val="SingleTxtG"/>
              <w:suppressAutoHyphens w:val="0"/>
              <w:spacing w:before="40" w:line="220" w:lineRule="exact"/>
              <w:ind w:left="0" w:right="113"/>
              <w:jc w:val="left"/>
            </w:pPr>
            <w:r w:rsidRPr="004F2101">
              <w:t>Views adopted:</w:t>
            </w:r>
          </w:p>
        </w:tc>
        <w:tc>
          <w:tcPr>
            <w:tcW w:w="4790" w:type="dxa"/>
            <w:tcBorders>
              <w:top w:val="single" w:sz="12" w:space="0" w:color="auto"/>
            </w:tcBorders>
            <w:shd w:val="clear" w:color="auto" w:fill="auto"/>
            <w:tcMar>
              <w:left w:w="28" w:type="dxa"/>
              <w:right w:w="28" w:type="dxa"/>
            </w:tcMar>
          </w:tcPr>
          <w:p w:rsidR="00AB44C1" w:rsidRPr="004F2101" w:rsidRDefault="009F4EEB" w:rsidP="000E58DD">
            <w:pPr>
              <w:pStyle w:val="SingleTxtG"/>
              <w:suppressAutoHyphens w:val="0"/>
              <w:spacing w:before="40" w:line="220" w:lineRule="exact"/>
              <w:ind w:left="0" w:right="113"/>
              <w:jc w:val="left"/>
            </w:pPr>
            <w:r>
              <w:t>12</w:t>
            </w:r>
            <w:r w:rsidRPr="00C619B6">
              <w:t xml:space="preserve"> July 2016</w:t>
            </w:r>
          </w:p>
        </w:tc>
      </w:tr>
      <w:tr w:rsidR="00AB44C1" w:rsidRPr="004F2101" w:rsidTr="002C0BB0">
        <w:tc>
          <w:tcPr>
            <w:tcW w:w="2580" w:type="dxa"/>
            <w:tcBorders>
              <w:bottom w:val="nil"/>
            </w:tcBorders>
            <w:shd w:val="clear" w:color="auto" w:fill="auto"/>
            <w:tcMar>
              <w:left w:w="28" w:type="dxa"/>
              <w:right w:w="28" w:type="dxa"/>
            </w:tcMar>
          </w:tcPr>
          <w:p w:rsidR="00AB44C1" w:rsidRPr="004F2101" w:rsidRDefault="00AB44C1" w:rsidP="000E58DD">
            <w:pPr>
              <w:pStyle w:val="SingleTxtG"/>
              <w:suppressAutoHyphens w:val="0"/>
              <w:spacing w:before="40" w:line="220" w:lineRule="exact"/>
              <w:ind w:left="0" w:right="113"/>
              <w:jc w:val="left"/>
            </w:pPr>
            <w:r w:rsidRPr="004F2101">
              <w:t>Violation:</w:t>
            </w:r>
          </w:p>
        </w:tc>
        <w:tc>
          <w:tcPr>
            <w:tcW w:w="4790" w:type="dxa"/>
            <w:tcBorders>
              <w:bottom w:val="nil"/>
            </w:tcBorders>
            <w:shd w:val="clear" w:color="auto" w:fill="auto"/>
            <w:tcMar>
              <w:left w:w="28" w:type="dxa"/>
              <w:right w:w="28" w:type="dxa"/>
            </w:tcMar>
          </w:tcPr>
          <w:p w:rsidR="00AB44C1" w:rsidRPr="009F4EEB" w:rsidRDefault="009F4EEB" w:rsidP="009F4EEB">
            <w:pPr>
              <w:keepNext/>
              <w:keepLines/>
              <w:spacing w:before="40" w:after="100" w:line="220" w:lineRule="exact"/>
              <w:rPr>
                <w:bCs/>
              </w:rPr>
            </w:pPr>
            <w:r w:rsidRPr="009654C7">
              <w:rPr>
                <w:bCs/>
              </w:rPr>
              <w:t xml:space="preserve">Article 7 </w:t>
            </w:r>
          </w:p>
        </w:tc>
      </w:tr>
      <w:tr w:rsidR="00AB44C1" w:rsidRPr="004F2101" w:rsidTr="002C0BB0">
        <w:tc>
          <w:tcPr>
            <w:tcW w:w="2580" w:type="dxa"/>
            <w:tcBorders>
              <w:top w:val="nil"/>
              <w:bottom w:val="nil"/>
            </w:tcBorders>
            <w:shd w:val="clear" w:color="auto" w:fill="auto"/>
            <w:tcMar>
              <w:left w:w="28" w:type="dxa"/>
              <w:right w:w="28" w:type="dxa"/>
            </w:tcMar>
          </w:tcPr>
          <w:p w:rsidR="00AB44C1" w:rsidRPr="004F2101" w:rsidRDefault="00AB44C1" w:rsidP="000E58DD">
            <w:pPr>
              <w:pStyle w:val="SingleTxtG"/>
              <w:suppressAutoHyphens w:val="0"/>
              <w:spacing w:before="40" w:line="220" w:lineRule="exact"/>
              <w:ind w:left="0" w:right="113"/>
              <w:jc w:val="left"/>
            </w:pPr>
            <w:r w:rsidRPr="004F2101">
              <w:t xml:space="preserve">Remedy: </w:t>
            </w:r>
          </w:p>
        </w:tc>
        <w:tc>
          <w:tcPr>
            <w:tcW w:w="4790" w:type="dxa"/>
            <w:tcBorders>
              <w:top w:val="nil"/>
              <w:bottom w:val="nil"/>
            </w:tcBorders>
            <w:shd w:val="clear" w:color="auto" w:fill="auto"/>
            <w:tcMar>
              <w:left w:w="28" w:type="dxa"/>
              <w:right w:w="28" w:type="dxa"/>
            </w:tcMar>
          </w:tcPr>
          <w:p w:rsidR="00AB44C1" w:rsidRPr="004F2101" w:rsidRDefault="009F4EEB" w:rsidP="009F4EEB">
            <w:pPr>
              <w:pStyle w:val="SingleTxtG"/>
              <w:ind w:left="1" w:right="113"/>
            </w:pPr>
            <w:r>
              <w:t>T</w:t>
            </w:r>
            <w:r w:rsidRPr="00A22114">
              <w:t xml:space="preserve">he State party is under an obligation to </w:t>
            </w:r>
            <w:r w:rsidRPr="00CA24D2">
              <w:t xml:space="preserve">proceed to a review of </w:t>
            </w:r>
            <w:r>
              <w:t>the author’s</w:t>
            </w:r>
            <w:r w:rsidRPr="00CA24D2">
              <w:t xml:space="preserve"> claim</w:t>
            </w:r>
            <w:r>
              <w:t>,</w:t>
            </w:r>
            <w:r w:rsidRPr="00CA24D2">
              <w:t xml:space="preserve"> taking into account the State party</w:t>
            </w:r>
            <w:r>
              <w:t>’</w:t>
            </w:r>
            <w:r w:rsidRPr="00CA24D2">
              <w:t>s obligations under the Covenant and the Committee</w:t>
            </w:r>
            <w:r>
              <w:t>’</w:t>
            </w:r>
            <w:r w:rsidRPr="00CA24D2">
              <w:t>s present Views</w:t>
            </w:r>
          </w:p>
        </w:tc>
      </w:tr>
      <w:tr w:rsidR="00AB44C1" w:rsidRPr="004F2101" w:rsidTr="002C0BB0">
        <w:tc>
          <w:tcPr>
            <w:tcW w:w="2580" w:type="dxa"/>
            <w:tcBorders>
              <w:top w:val="nil"/>
            </w:tcBorders>
            <w:shd w:val="clear" w:color="auto" w:fill="auto"/>
            <w:tcMar>
              <w:left w:w="28" w:type="dxa"/>
              <w:right w:w="28" w:type="dxa"/>
            </w:tcMar>
          </w:tcPr>
          <w:p w:rsidR="00AB44C1" w:rsidRPr="004F2101" w:rsidRDefault="00AB44C1" w:rsidP="000E58DD">
            <w:pPr>
              <w:pStyle w:val="SingleTxtG"/>
              <w:suppressAutoHyphens w:val="0"/>
              <w:spacing w:before="40" w:line="220" w:lineRule="exact"/>
              <w:ind w:left="0" w:right="113"/>
              <w:jc w:val="left"/>
            </w:pPr>
            <w:r w:rsidRPr="004F2101">
              <w:t>Subject matter:</w:t>
            </w:r>
          </w:p>
        </w:tc>
        <w:tc>
          <w:tcPr>
            <w:tcW w:w="4790" w:type="dxa"/>
            <w:tcBorders>
              <w:top w:val="nil"/>
            </w:tcBorders>
            <w:shd w:val="clear" w:color="auto" w:fill="auto"/>
            <w:tcMar>
              <w:left w:w="28" w:type="dxa"/>
              <w:right w:w="28" w:type="dxa"/>
            </w:tcMar>
          </w:tcPr>
          <w:p w:rsidR="00AB44C1" w:rsidRPr="004F2101" w:rsidRDefault="00AB156A" w:rsidP="000E58DD">
            <w:pPr>
              <w:pStyle w:val="SingleTxtG"/>
              <w:suppressAutoHyphens w:val="0"/>
              <w:spacing w:before="40" w:line="220" w:lineRule="exact"/>
              <w:ind w:left="0" w:right="113"/>
              <w:jc w:val="left"/>
            </w:pPr>
            <w:r w:rsidRPr="00741662">
              <w:rPr>
                <w:iCs/>
              </w:rPr>
              <w:t xml:space="preserve">Deportation </w:t>
            </w:r>
            <w:r>
              <w:rPr>
                <w:iCs/>
              </w:rPr>
              <w:t>to Bangladesh</w:t>
            </w:r>
          </w:p>
        </w:tc>
      </w:tr>
      <w:tr w:rsidR="00AB44C1" w:rsidRPr="004F2101" w:rsidTr="00BF6FD7">
        <w:tc>
          <w:tcPr>
            <w:tcW w:w="2580" w:type="dxa"/>
            <w:tcBorders>
              <w:bottom w:val="nil"/>
            </w:tcBorders>
            <w:shd w:val="clear" w:color="auto" w:fill="auto"/>
            <w:tcMar>
              <w:left w:w="28" w:type="dxa"/>
              <w:right w:w="28" w:type="dxa"/>
            </w:tcMar>
          </w:tcPr>
          <w:p w:rsidR="00AB44C1" w:rsidRPr="004F2101" w:rsidRDefault="00AB44C1" w:rsidP="000E58DD">
            <w:pPr>
              <w:pStyle w:val="SingleTxtG"/>
              <w:suppressAutoHyphens w:val="0"/>
              <w:spacing w:before="40" w:line="220" w:lineRule="exact"/>
              <w:ind w:left="0" w:right="113"/>
              <w:jc w:val="left"/>
            </w:pPr>
            <w:r w:rsidRPr="004F2101">
              <w:t>Previous follow-up information:</w:t>
            </w:r>
          </w:p>
        </w:tc>
        <w:tc>
          <w:tcPr>
            <w:tcW w:w="4790" w:type="dxa"/>
            <w:tcBorders>
              <w:bottom w:val="nil"/>
            </w:tcBorders>
            <w:shd w:val="clear" w:color="auto" w:fill="auto"/>
            <w:tcMar>
              <w:left w:w="28" w:type="dxa"/>
              <w:right w:w="28" w:type="dxa"/>
            </w:tcMar>
          </w:tcPr>
          <w:p w:rsidR="00AB44C1" w:rsidRPr="004F2101" w:rsidRDefault="00AB44C1" w:rsidP="000E58DD">
            <w:pPr>
              <w:pStyle w:val="SingleTxtG"/>
              <w:suppressAutoHyphens w:val="0"/>
              <w:spacing w:before="40" w:line="220" w:lineRule="exact"/>
              <w:ind w:left="0" w:right="113"/>
              <w:jc w:val="left"/>
            </w:pPr>
            <w:r w:rsidRPr="004F2101">
              <w:t>None</w:t>
            </w:r>
          </w:p>
        </w:tc>
      </w:tr>
      <w:tr w:rsidR="00AB44C1" w:rsidRPr="004F2101" w:rsidTr="00BF6FD7">
        <w:tc>
          <w:tcPr>
            <w:tcW w:w="2580" w:type="dxa"/>
            <w:tcBorders>
              <w:top w:val="nil"/>
              <w:bottom w:val="nil"/>
            </w:tcBorders>
            <w:shd w:val="clear" w:color="auto" w:fill="auto"/>
            <w:tcMar>
              <w:left w:w="28" w:type="dxa"/>
              <w:right w:w="28" w:type="dxa"/>
            </w:tcMar>
          </w:tcPr>
          <w:p w:rsidR="00AB44C1" w:rsidRPr="004F2101" w:rsidRDefault="00AB44C1" w:rsidP="000E58DD">
            <w:pPr>
              <w:pStyle w:val="SingleTxtG"/>
              <w:suppressAutoHyphens w:val="0"/>
              <w:spacing w:before="40" w:line="220" w:lineRule="exact"/>
              <w:ind w:left="0" w:right="113"/>
              <w:jc w:val="left"/>
            </w:pPr>
            <w:r w:rsidRPr="004F2101">
              <w:t>Submission from State party:</w:t>
            </w:r>
          </w:p>
        </w:tc>
        <w:tc>
          <w:tcPr>
            <w:tcW w:w="4790" w:type="dxa"/>
            <w:tcBorders>
              <w:top w:val="nil"/>
              <w:bottom w:val="nil"/>
            </w:tcBorders>
            <w:shd w:val="clear" w:color="auto" w:fill="auto"/>
            <w:tcMar>
              <w:left w:w="28" w:type="dxa"/>
              <w:right w:w="28" w:type="dxa"/>
            </w:tcMar>
          </w:tcPr>
          <w:p w:rsidR="00AB156A" w:rsidRPr="00627FAE" w:rsidRDefault="00AB156A" w:rsidP="00AB156A">
            <w:pPr>
              <w:pStyle w:val="SingleTxtG"/>
              <w:ind w:left="0"/>
            </w:pPr>
            <w:r>
              <w:t>10 March 2017</w:t>
            </w:r>
          </w:p>
          <w:p w:rsidR="00AB156A" w:rsidRDefault="00AB156A" w:rsidP="00AB156A">
            <w:pPr>
              <w:pStyle w:val="SingleTxtG"/>
              <w:ind w:left="0" w:right="141"/>
            </w:pPr>
            <w:r w:rsidRPr="00627FAE">
              <w:t xml:space="preserve">The State party submits that </w:t>
            </w:r>
            <w:r>
              <w:t>o</w:t>
            </w:r>
            <w:r w:rsidRPr="00627FAE">
              <w:t>n</w:t>
            </w:r>
            <w:r>
              <w:t xml:space="preserve"> 25 October</w:t>
            </w:r>
            <w:r w:rsidRPr="00627FAE">
              <w:t xml:space="preserve"> 2016, the </w:t>
            </w:r>
            <w:r>
              <w:t xml:space="preserve">Refugee Appeals Board (RAB) reopened the author’s asylum case for a review at an oral hearing, before a new panel, to reconsider </w:t>
            </w:r>
            <w:r w:rsidR="00EC3C53">
              <w:t xml:space="preserve">his </w:t>
            </w:r>
            <w:r>
              <w:t>claims in light of the Committee’s Views. The hearing took place on 19 December 2016.</w:t>
            </w:r>
          </w:p>
          <w:p w:rsidR="00AB156A" w:rsidRDefault="00AB156A" w:rsidP="00AB156A">
            <w:pPr>
              <w:pStyle w:val="SingleTxtG"/>
              <w:ind w:left="0" w:right="141"/>
            </w:pPr>
            <w:r>
              <w:t xml:space="preserve">The RAB accepted for a fact that the author is a homosexual, and that he cannot return to his village, for that reason. However, the RAB determined that there is no basis for assuming that the author risks persecution, within the meaning of article 7 of the Aliens Act </w:t>
            </w:r>
            <w:r>
              <w:rPr>
                <w:i/>
              </w:rPr>
              <w:t>in other parts of Bangladesh</w:t>
            </w:r>
            <w:r>
              <w:t>. Accordingly, the RAB determined that, despite the difficult conditions for homosexuals in Bangladesh, the author, who has not become known as homosexual outside his village, can be expected to take up residence elsewhere, for example in the town where he resided without any problem for a period of four and a half months after being banished from his village.</w:t>
            </w:r>
          </w:p>
          <w:p w:rsidR="00AB156A" w:rsidRDefault="00AB156A" w:rsidP="00AB156A">
            <w:pPr>
              <w:pStyle w:val="SingleTxtG"/>
              <w:ind w:left="0" w:right="141"/>
            </w:pPr>
            <w:r>
              <w:t xml:space="preserve">Consequently, the RAB upheld the decision of the Immigration Service.  The author </w:t>
            </w:r>
            <w:proofErr w:type="gramStart"/>
            <w:r>
              <w:t>was ordered</w:t>
            </w:r>
            <w:proofErr w:type="gramEnd"/>
            <w:r>
              <w:t xml:space="preserve"> to leave Denmark within seven days from service of the RAB’s decision. </w:t>
            </w:r>
          </w:p>
          <w:p w:rsidR="00AB156A" w:rsidRPr="00576B07" w:rsidRDefault="00AB156A" w:rsidP="00AB156A">
            <w:pPr>
              <w:pStyle w:val="SingleTxtG"/>
              <w:ind w:left="0" w:right="141"/>
            </w:pPr>
            <w:r>
              <w:t xml:space="preserve">The State party submits that it has fully complied with the Committee’s Views. </w:t>
            </w:r>
          </w:p>
          <w:p w:rsidR="00AB156A" w:rsidRPr="00627FAE" w:rsidRDefault="00AB156A" w:rsidP="00AB156A">
            <w:pPr>
              <w:pStyle w:val="SingleTxtG"/>
              <w:ind w:left="0" w:right="141"/>
            </w:pPr>
            <w:r w:rsidRPr="00AF64DC">
              <w:t>T</w:t>
            </w:r>
            <w:r w:rsidRPr="00627FAE">
              <w:t xml:space="preserve">he Views of the Committee in cases against Denmark involving the RAB </w:t>
            </w:r>
            <w:proofErr w:type="gramStart"/>
            <w:r>
              <w:t>are</w:t>
            </w:r>
            <w:r w:rsidRPr="00627FAE">
              <w:t xml:space="preserve"> reported</w:t>
            </w:r>
            <w:proofErr w:type="gramEnd"/>
            <w:r w:rsidRPr="00627FAE">
              <w:t xml:space="preserve"> in the </w:t>
            </w:r>
            <w:r>
              <w:t xml:space="preserve">Board’s annual report, which </w:t>
            </w:r>
            <w:r w:rsidRPr="00627FAE">
              <w:t xml:space="preserve">is distributed to all members of the Board </w:t>
            </w:r>
            <w:r>
              <w:t>and</w:t>
            </w:r>
            <w:r w:rsidRPr="00627FAE">
              <w:t xml:space="preserve"> includes a chapter on cases brought before international bodies. The annual report is available on the website of the Board. The RAB and the Danish Ministry of Foreign Affairs have also made the Committee’s views publicly available on their individual websites (www.fln.dk and www.um.dk). </w:t>
            </w:r>
          </w:p>
          <w:p w:rsidR="00AB156A" w:rsidRPr="00627FAE" w:rsidRDefault="00AB156A" w:rsidP="00AB156A">
            <w:pPr>
              <w:pStyle w:val="SingleTxtG"/>
              <w:tabs>
                <w:tab w:val="left" w:pos="9498"/>
              </w:tabs>
              <w:ind w:left="0" w:right="141"/>
            </w:pPr>
            <w:r w:rsidRPr="00627FAE">
              <w:t xml:space="preserve">In light of the prevalence of the English language in Denmark, the Government sees no reason for a full translation into Danish. </w:t>
            </w:r>
          </w:p>
          <w:p w:rsidR="00AB44C1" w:rsidRPr="004F2101" w:rsidRDefault="00AB156A" w:rsidP="00AB156A">
            <w:pPr>
              <w:pStyle w:val="SingleTxtG"/>
              <w:ind w:left="0" w:right="141"/>
            </w:pPr>
            <w:r w:rsidRPr="00627FAE">
              <w:t xml:space="preserve">The State party is of the opinion that full effect </w:t>
            </w:r>
            <w:proofErr w:type="gramStart"/>
            <w:r w:rsidRPr="00627FAE">
              <w:t>has been given</w:t>
            </w:r>
            <w:proofErr w:type="gramEnd"/>
            <w:r w:rsidRPr="00627FAE">
              <w:t xml:space="preserve"> to the Committee’s Views.</w:t>
            </w:r>
          </w:p>
        </w:tc>
      </w:tr>
      <w:tr w:rsidR="00AB44C1" w:rsidRPr="004F2101" w:rsidTr="00BF6FD7">
        <w:tc>
          <w:tcPr>
            <w:tcW w:w="2580" w:type="dxa"/>
            <w:tcBorders>
              <w:top w:val="nil"/>
            </w:tcBorders>
            <w:shd w:val="clear" w:color="auto" w:fill="auto"/>
            <w:tcMar>
              <w:left w:w="28" w:type="dxa"/>
              <w:right w:w="28" w:type="dxa"/>
            </w:tcMar>
          </w:tcPr>
          <w:p w:rsidR="00AB44C1" w:rsidRPr="004F2101" w:rsidRDefault="00AB44C1" w:rsidP="000E58DD">
            <w:pPr>
              <w:pStyle w:val="SingleTxtG"/>
              <w:suppressAutoHyphens w:val="0"/>
              <w:spacing w:before="40" w:line="220" w:lineRule="exact"/>
              <w:ind w:left="0" w:right="113"/>
              <w:jc w:val="left"/>
            </w:pPr>
            <w:r w:rsidRPr="004F2101">
              <w:t>Committee</w:t>
            </w:r>
            <w:r w:rsidR="001D6817" w:rsidRPr="004F2101">
              <w:t>’</w:t>
            </w:r>
            <w:r w:rsidRPr="004F2101">
              <w:t>s assessment:</w:t>
            </w:r>
          </w:p>
        </w:tc>
        <w:tc>
          <w:tcPr>
            <w:tcW w:w="4790" w:type="dxa"/>
            <w:tcBorders>
              <w:top w:val="nil"/>
            </w:tcBorders>
            <w:shd w:val="clear" w:color="auto" w:fill="auto"/>
            <w:tcMar>
              <w:left w:w="28" w:type="dxa"/>
              <w:right w:w="28" w:type="dxa"/>
            </w:tcMar>
          </w:tcPr>
          <w:p w:rsidR="00AB156A" w:rsidRPr="00C951DF" w:rsidRDefault="00AB156A" w:rsidP="00AB156A">
            <w:pPr>
              <w:pStyle w:val="SingleTxtG"/>
              <w:ind w:left="0"/>
              <w:rPr>
                <w:lang w:eastAsia="en-GB"/>
              </w:rPr>
            </w:pPr>
            <w:r>
              <w:t>(a)</w:t>
            </w:r>
            <w:r>
              <w:tab/>
            </w:r>
            <w:r w:rsidRPr="00C951DF">
              <w:t>Effective remedy</w:t>
            </w:r>
            <w:r>
              <w:rPr>
                <w:lang w:eastAsia="en-GB"/>
              </w:rPr>
              <w:t>: A</w:t>
            </w:r>
          </w:p>
          <w:p w:rsidR="00AB156A" w:rsidRPr="00C951DF" w:rsidRDefault="00AB156A" w:rsidP="00AB156A">
            <w:pPr>
              <w:pStyle w:val="SingleTxtG"/>
              <w:ind w:left="0"/>
              <w:rPr>
                <w:lang w:eastAsia="en-GB"/>
              </w:rPr>
            </w:pPr>
            <w:r>
              <w:rPr>
                <w:lang w:eastAsia="en-GB"/>
              </w:rPr>
              <w:t>(b)</w:t>
            </w:r>
            <w:r>
              <w:rPr>
                <w:lang w:eastAsia="en-GB"/>
              </w:rPr>
              <w:tab/>
            </w:r>
            <w:r w:rsidRPr="00C951DF">
              <w:rPr>
                <w:lang w:eastAsia="en-GB"/>
              </w:rPr>
              <w:t xml:space="preserve">Publication of Views: </w:t>
            </w:r>
            <w:r>
              <w:rPr>
                <w:lang w:eastAsia="en-GB"/>
              </w:rPr>
              <w:t>A</w:t>
            </w:r>
          </w:p>
          <w:p w:rsidR="00AB44C1" w:rsidRPr="004F2101" w:rsidRDefault="00AB156A" w:rsidP="00EC3C53">
            <w:pPr>
              <w:pStyle w:val="SingleTxtG"/>
              <w:ind w:left="0"/>
              <w:rPr>
                <w:lang w:eastAsia="en-GB"/>
              </w:rPr>
            </w:pPr>
            <w:r>
              <w:rPr>
                <w:lang w:eastAsia="en-GB"/>
              </w:rPr>
              <w:t>(c)</w:t>
            </w:r>
            <w:r>
              <w:rPr>
                <w:lang w:eastAsia="en-GB"/>
              </w:rPr>
              <w:tab/>
            </w:r>
            <w:r w:rsidRPr="00C951DF">
              <w:rPr>
                <w:lang w:eastAsia="en-GB"/>
              </w:rPr>
              <w:t>Non</w:t>
            </w:r>
            <w:r>
              <w:rPr>
                <w:lang w:eastAsia="en-GB"/>
              </w:rPr>
              <w:t xml:space="preserve">-repetition: </w:t>
            </w:r>
            <w:r w:rsidR="00EC3C53">
              <w:rPr>
                <w:lang w:eastAsia="en-GB"/>
              </w:rPr>
              <w:t>B</w:t>
            </w:r>
          </w:p>
        </w:tc>
      </w:tr>
      <w:tr w:rsidR="00AB44C1" w:rsidRPr="004F2101" w:rsidTr="000E58DD">
        <w:tc>
          <w:tcPr>
            <w:tcW w:w="2580" w:type="dxa"/>
            <w:shd w:val="clear" w:color="auto" w:fill="auto"/>
            <w:tcMar>
              <w:left w:w="28" w:type="dxa"/>
              <w:right w:w="28" w:type="dxa"/>
            </w:tcMar>
          </w:tcPr>
          <w:p w:rsidR="00AB44C1" w:rsidRPr="004F2101" w:rsidRDefault="00AB44C1" w:rsidP="000E58DD">
            <w:pPr>
              <w:pStyle w:val="SingleTxtG"/>
              <w:suppressAutoHyphens w:val="0"/>
              <w:spacing w:before="40" w:line="220" w:lineRule="exact"/>
              <w:ind w:left="0" w:right="113"/>
              <w:jc w:val="left"/>
            </w:pPr>
            <w:r w:rsidRPr="004F2101">
              <w:t>Committee</w:t>
            </w:r>
            <w:r w:rsidR="001D6817" w:rsidRPr="004F2101">
              <w:t>’</w:t>
            </w:r>
            <w:r w:rsidRPr="004F2101">
              <w:t>s decision:</w:t>
            </w:r>
          </w:p>
        </w:tc>
        <w:tc>
          <w:tcPr>
            <w:tcW w:w="4790" w:type="dxa"/>
            <w:shd w:val="clear" w:color="auto" w:fill="auto"/>
            <w:tcMar>
              <w:left w:w="28" w:type="dxa"/>
              <w:right w:w="28" w:type="dxa"/>
            </w:tcMar>
          </w:tcPr>
          <w:p w:rsidR="00AB44C1" w:rsidRPr="00AB156A" w:rsidRDefault="00AB156A" w:rsidP="000E58DD">
            <w:pPr>
              <w:pStyle w:val="SingleTxtG"/>
              <w:suppressAutoHyphens w:val="0"/>
              <w:spacing w:before="40" w:line="220" w:lineRule="exact"/>
              <w:ind w:left="0" w:right="113"/>
              <w:jc w:val="left"/>
            </w:pPr>
            <w:r w:rsidRPr="00AB156A">
              <w:rPr>
                <w:bCs/>
                <w:lang w:eastAsia="en-GB"/>
              </w:rPr>
              <w:t>Close the follow-up dialogue, with a note of satisfactory implementation of the Committee’s recommendation.</w:t>
            </w:r>
          </w:p>
        </w:tc>
      </w:tr>
    </w:tbl>
    <w:p w:rsidR="00345AF8" w:rsidRPr="004F2101" w:rsidRDefault="00345AF8" w:rsidP="00345AF8">
      <w:pPr>
        <w:pStyle w:val="Revision"/>
        <w:suppressAutoHyphens/>
        <w:spacing w:after="240" w:line="240" w:lineRule="atLeast"/>
        <w:rPr>
          <w:rFonts w:eastAsia="Times New Roman"/>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90"/>
      </w:tblGrid>
      <w:tr w:rsidR="00AB44C1" w:rsidRPr="004F2101" w:rsidTr="00C60837">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AB44C1" w:rsidRPr="00AB156A" w:rsidRDefault="00AB156A" w:rsidP="000D5A0D">
            <w:pPr>
              <w:pStyle w:val="SingleTxtG"/>
              <w:ind w:left="0"/>
              <w:jc w:val="left"/>
              <w:rPr>
                <w:b/>
                <w:i/>
              </w:rPr>
            </w:pPr>
            <w:r w:rsidRPr="00E86A90">
              <w:rPr>
                <w:b/>
              </w:rPr>
              <w:t>C</w:t>
            </w:r>
            <w:r>
              <w:rPr>
                <w:b/>
              </w:rPr>
              <w:t>ommunication</w:t>
            </w:r>
            <w:r>
              <w:t xml:space="preserve"> </w:t>
            </w:r>
            <w:r w:rsidRPr="007157FA">
              <w:rPr>
                <w:b/>
                <w:bCs/>
              </w:rPr>
              <w:t>No.</w:t>
            </w:r>
            <w:r>
              <w:t xml:space="preserve"> </w:t>
            </w:r>
            <w:r>
              <w:rPr>
                <w:b/>
              </w:rPr>
              <w:t>2464</w:t>
            </w:r>
            <w:r w:rsidRPr="00204A73">
              <w:rPr>
                <w:b/>
              </w:rPr>
              <w:t>/201</w:t>
            </w:r>
            <w:r>
              <w:rPr>
                <w:b/>
              </w:rPr>
              <w:t xml:space="preserve">4, </w:t>
            </w:r>
            <w:r>
              <w:tab/>
            </w:r>
            <w:r>
              <w:rPr>
                <w:b/>
                <w:i/>
              </w:rPr>
              <w:t>A.A.S.</w:t>
            </w:r>
            <w:r w:rsidRPr="001333E5">
              <w:rPr>
                <w:b/>
                <w:i/>
              </w:rPr>
              <w:t xml:space="preserve"> </w:t>
            </w:r>
          </w:p>
        </w:tc>
      </w:tr>
      <w:tr w:rsidR="00AB44C1" w:rsidRPr="004F2101" w:rsidTr="00C60837">
        <w:tc>
          <w:tcPr>
            <w:tcW w:w="2580" w:type="dxa"/>
            <w:tcBorders>
              <w:top w:val="single" w:sz="12" w:space="0" w:color="auto"/>
              <w:bottom w:val="nil"/>
            </w:tcBorders>
            <w:shd w:val="clear" w:color="auto" w:fill="auto"/>
            <w:tcMar>
              <w:left w:w="28" w:type="dxa"/>
              <w:right w:w="28" w:type="dxa"/>
            </w:tcMar>
          </w:tcPr>
          <w:p w:rsidR="00AB44C1" w:rsidRPr="004F2101" w:rsidRDefault="00AB44C1" w:rsidP="00345AF8">
            <w:pPr>
              <w:pStyle w:val="SingleTxtG"/>
              <w:suppressAutoHyphens w:val="0"/>
              <w:spacing w:before="40" w:line="220" w:lineRule="exact"/>
              <w:ind w:left="0" w:right="113"/>
              <w:jc w:val="left"/>
            </w:pPr>
            <w:r w:rsidRPr="004F2101">
              <w:t>Views adopted:</w:t>
            </w:r>
          </w:p>
        </w:tc>
        <w:tc>
          <w:tcPr>
            <w:tcW w:w="4790" w:type="dxa"/>
            <w:tcBorders>
              <w:top w:val="single" w:sz="12" w:space="0" w:color="auto"/>
              <w:bottom w:val="nil"/>
            </w:tcBorders>
            <w:shd w:val="clear" w:color="auto" w:fill="auto"/>
            <w:tcMar>
              <w:left w:w="28" w:type="dxa"/>
              <w:right w:w="28" w:type="dxa"/>
            </w:tcMar>
          </w:tcPr>
          <w:p w:rsidR="00AB44C1" w:rsidRPr="004F2101" w:rsidRDefault="00AB156A" w:rsidP="00345AF8">
            <w:pPr>
              <w:pStyle w:val="SingleTxtG"/>
              <w:suppressAutoHyphens w:val="0"/>
              <w:spacing w:before="40" w:line="220" w:lineRule="exact"/>
              <w:ind w:left="0" w:right="113"/>
              <w:jc w:val="left"/>
            </w:pPr>
            <w:r w:rsidRPr="00D27C85">
              <w:t>4 July 2016</w:t>
            </w:r>
          </w:p>
        </w:tc>
      </w:tr>
      <w:tr w:rsidR="00AB44C1" w:rsidRPr="004F2101" w:rsidTr="00C60837">
        <w:tc>
          <w:tcPr>
            <w:tcW w:w="2580" w:type="dxa"/>
            <w:tcBorders>
              <w:top w:val="nil"/>
              <w:bottom w:val="nil"/>
            </w:tcBorders>
            <w:shd w:val="clear" w:color="auto" w:fill="auto"/>
            <w:tcMar>
              <w:left w:w="28" w:type="dxa"/>
              <w:right w:w="28" w:type="dxa"/>
            </w:tcMar>
          </w:tcPr>
          <w:p w:rsidR="00AB44C1" w:rsidRPr="004F2101" w:rsidRDefault="00AB44C1" w:rsidP="00345AF8">
            <w:pPr>
              <w:pStyle w:val="SingleTxtG"/>
              <w:suppressAutoHyphens w:val="0"/>
              <w:spacing w:before="40" w:line="220" w:lineRule="exact"/>
              <w:ind w:left="0" w:right="113"/>
              <w:jc w:val="left"/>
            </w:pPr>
            <w:r w:rsidRPr="004F2101">
              <w:t>Violation:</w:t>
            </w:r>
          </w:p>
        </w:tc>
        <w:tc>
          <w:tcPr>
            <w:tcW w:w="4790" w:type="dxa"/>
            <w:tcBorders>
              <w:top w:val="nil"/>
              <w:bottom w:val="nil"/>
            </w:tcBorders>
            <w:shd w:val="clear" w:color="auto" w:fill="auto"/>
            <w:tcMar>
              <w:left w:w="28" w:type="dxa"/>
              <w:right w:w="28" w:type="dxa"/>
            </w:tcMar>
          </w:tcPr>
          <w:p w:rsidR="00AB44C1" w:rsidRPr="004F2101" w:rsidRDefault="00AB156A" w:rsidP="00345AF8">
            <w:pPr>
              <w:pStyle w:val="SingleTxtG"/>
              <w:suppressAutoHyphens w:val="0"/>
              <w:spacing w:before="40" w:line="220" w:lineRule="exact"/>
              <w:ind w:left="0" w:right="113"/>
              <w:jc w:val="left"/>
            </w:pPr>
            <w:r>
              <w:rPr>
                <w:bCs/>
              </w:rPr>
              <w:t>Article 7</w:t>
            </w:r>
          </w:p>
        </w:tc>
      </w:tr>
      <w:tr w:rsidR="00AB44C1" w:rsidRPr="004F2101" w:rsidTr="00C60837">
        <w:tc>
          <w:tcPr>
            <w:tcW w:w="2580" w:type="dxa"/>
            <w:tcBorders>
              <w:top w:val="nil"/>
            </w:tcBorders>
            <w:shd w:val="clear" w:color="auto" w:fill="auto"/>
            <w:tcMar>
              <w:left w:w="28" w:type="dxa"/>
              <w:right w:w="28" w:type="dxa"/>
            </w:tcMar>
          </w:tcPr>
          <w:p w:rsidR="00AB44C1" w:rsidRPr="004F2101" w:rsidRDefault="00AB44C1" w:rsidP="00345AF8">
            <w:pPr>
              <w:pStyle w:val="SingleTxtG"/>
              <w:suppressAutoHyphens w:val="0"/>
              <w:spacing w:before="40" w:line="220" w:lineRule="exact"/>
              <w:ind w:left="0" w:right="113"/>
              <w:jc w:val="left"/>
            </w:pPr>
            <w:r w:rsidRPr="004F2101">
              <w:t xml:space="preserve">Remedy: </w:t>
            </w:r>
          </w:p>
        </w:tc>
        <w:tc>
          <w:tcPr>
            <w:tcW w:w="4790" w:type="dxa"/>
            <w:tcBorders>
              <w:top w:val="nil"/>
            </w:tcBorders>
            <w:shd w:val="clear" w:color="auto" w:fill="auto"/>
            <w:tcMar>
              <w:left w:w="28" w:type="dxa"/>
              <w:right w:w="28" w:type="dxa"/>
            </w:tcMar>
          </w:tcPr>
          <w:p w:rsidR="00AB44C1" w:rsidRPr="004F2101" w:rsidRDefault="00AB156A" w:rsidP="00345AF8">
            <w:pPr>
              <w:pStyle w:val="SingleTxtG"/>
              <w:suppressAutoHyphens w:val="0"/>
              <w:spacing w:before="40" w:line="220" w:lineRule="exact"/>
              <w:ind w:left="0" w:right="113"/>
              <w:jc w:val="left"/>
            </w:pPr>
            <w:r w:rsidRPr="00BF7847">
              <w:t>Deportation</w:t>
            </w:r>
            <w:r w:rsidRPr="00BF7847">
              <w:rPr>
                <w:iCs/>
              </w:rPr>
              <w:t xml:space="preserve"> </w:t>
            </w:r>
            <w:r>
              <w:rPr>
                <w:iCs/>
              </w:rPr>
              <w:t>to Somalia</w:t>
            </w:r>
          </w:p>
        </w:tc>
      </w:tr>
      <w:tr w:rsidR="00AB44C1" w:rsidRPr="004F2101" w:rsidTr="00345AF8">
        <w:tc>
          <w:tcPr>
            <w:tcW w:w="2580" w:type="dxa"/>
            <w:shd w:val="clear" w:color="auto" w:fill="auto"/>
            <w:tcMar>
              <w:left w:w="28" w:type="dxa"/>
              <w:right w:w="28" w:type="dxa"/>
            </w:tcMar>
          </w:tcPr>
          <w:p w:rsidR="00AB44C1" w:rsidRPr="004F2101" w:rsidRDefault="00AB44C1" w:rsidP="00345AF8">
            <w:pPr>
              <w:pStyle w:val="SingleTxtG"/>
              <w:suppressAutoHyphens w:val="0"/>
              <w:spacing w:before="40" w:line="220" w:lineRule="exact"/>
              <w:ind w:left="0" w:right="113"/>
              <w:jc w:val="left"/>
            </w:pPr>
            <w:r w:rsidRPr="004F2101">
              <w:t>Subject matter:</w:t>
            </w:r>
          </w:p>
        </w:tc>
        <w:tc>
          <w:tcPr>
            <w:tcW w:w="4790" w:type="dxa"/>
            <w:shd w:val="clear" w:color="auto" w:fill="auto"/>
            <w:tcMar>
              <w:left w:w="28" w:type="dxa"/>
              <w:right w:w="28" w:type="dxa"/>
            </w:tcMar>
          </w:tcPr>
          <w:p w:rsidR="00AB44C1" w:rsidRPr="004F2101" w:rsidRDefault="00AB156A" w:rsidP="00345AF8">
            <w:pPr>
              <w:pStyle w:val="SingleTxtG"/>
              <w:suppressAutoHyphens w:val="0"/>
              <w:spacing w:before="40" w:line="220" w:lineRule="exact"/>
              <w:ind w:left="0" w:right="113"/>
              <w:jc w:val="left"/>
            </w:pPr>
            <w:r>
              <w:rPr>
                <w:color w:val="000000"/>
                <w:lang w:val="en-US" w:eastAsia="en-GB"/>
              </w:rPr>
              <w:t>T</w:t>
            </w:r>
            <w:r w:rsidRPr="00D27C85">
              <w:rPr>
                <w:color w:val="000000"/>
                <w:lang w:eastAsia="en-GB"/>
              </w:rPr>
              <w:t>he State party is under an obligation to proceed to a review of the author’s claims, taking into account the State party’s obligations under the Covenant and the Committee’s present Views</w:t>
            </w:r>
          </w:p>
        </w:tc>
      </w:tr>
      <w:tr w:rsidR="00AB44C1" w:rsidRPr="004F2101" w:rsidTr="00345AF8">
        <w:tc>
          <w:tcPr>
            <w:tcW w:w="2580" w:type="dxa"/>
            <w:shd w:val="clear" w:color="auto" w:fill="auto"/>
            <w:tcMar>
              <w:left w:w="28" w:type="dxa"/>
              <w:right w:w="28" w:type="dxa"/>
            </w:tcMar>
          </w:tcPr>
          <w:p w:rsidR="00AB44C1" w:rsidRPr="004F2101" w:rsidRDefault="00AB44C1" w:rsidP="00345AF8">
            <w:pPr>
              <w:pStyle w:val="SingleTxtG"/>
              <w:suppressAutoHyphens w:val="0"/>
              <w:spacing w:before="40" w:line="220" w:lineRule="exact"/>
              <w:ind w:left="0" w:right="113"/>
              <w:jc w:val="left"/>
            </w:pPr>
            <w:r w:rsidRPr="004F2101">
              <w:t>Previous follow-up information:</w:t>
            </w:r>
          </w:p>
        </w:tc>
        <w:tc>
          <w:tcPr>
            <w:tcW w:w="4790" w:type="dxa"/>
            <w:shd w:val="clear" w:color="auto" w:fill="auto"/>
            <w:tcMar>
              <w:left w:w="28" w:type="dxa"/>
              <w:right w:w="28" w:type="dxa"/>
            </w:tcMar>
          </w:tcPr>
          <w:p w:rsidR="00AB44C1" w:rsidRPr="004F2101" w:rsidRDefault="00AB156A" w:rsidP="000D5A0D">
            <w:pPr>
              <w:pStyle w:val="SingleTxtG"/>
              <w:ind w:left="0"/>
              <w:jc w:val="left"/>
            </w:pPr>
            <w:r>
              <w:t>No p</w:t>
            </w:r>
            <w:r w:rsidRPr="007157FA">
              <w:rPr>
                <w:bCs/>
              </w:rPr>
              <w:t>revious follow-up information</w:t>
            </w:r>
            <w:r w:rsidR="000D5A0D">
              <w:rPr>
                <w:bCs/>
              </w:rPr>
              <w:t>.</w:t>
            </w:r>
          </w:p>
        </w:tc>
      </w:tr>
      <w:tr w:rsidR="00AB44C1" w:rsidRPr="004F2101" w:rsidTr="00345AF8">
        <w:tc>
          <w:tcPr>
            <w:tcW w:w="2580" w:type="dxa"/>
            <w:shd w:val="clear" w:color="auto" w:fill="auto"/>
            <w:tcMar>
              <w:left w:w="28" w:type="dxa"/>
              <w:right w:w="28" w:type="dxa"/>
            </w:tcMar>
          </w:tcPr>
          <w:p w:rsidR="00AB44C1" w:rsidRPr="00AB156A" w:rsidRDefault="00AB44C1" w:rsidP="00345AF8">
            <w:pPr>
              <w:pStyle w:val="SingleTxtG"/>
              <w:suppressAutoHyphens w:val="0"/>
              <w:spacing w:before="40" w:line="220" w:lineRule="exact"/>
              <w:ind w:left="0" w:right="113"/>
              <w:jc w:val="left"/>
            </w:pPr>
            <w:r w:rsidRPr="00AB156A">
              <w:t>Submission from State party:</w:t>
            </w:r>
          </w:p>
        </w:tc>
        <w:tc>
          <w:tcPr>
            <w:tcW w:w="4790" w:type="dxa"/>
            <w:shd w:val="clear" w:color="auto" w:fill="auto"/>
            <w:tcMar>
              <w:left w:w="28" w:type="dxa"/>
              <w:right w:w="28" w:type="dxa"/>
            </w:tcMar>
          </w:tcPr>
          <w:p w:rsidR="00AB156A" w:rsidRPr="00EC092C" w:rsidRDefault="00AB156A" w:rsidP="00AB156A">
            <w:pPr>
              <w:pStyle w:val="SingleTxtG"/>
              <w:ind w:left="0"/>
              <w:rPr>
                <w:lang w:eastAsia="en-GB"/>
              </w:rPr>
            </w:pPr>
            <w:r>
              <w:rPr>
                <w:lang w:eastAsia="en-GB"/>
              </w:rPr>
              <w:t>7 February 2017</w:t>
            </w:r>
          </w:p>
          <w:p w:rsidR="00AB156A" w:rsidRDefault="00AB156A" w:rsidP="000D5A0D">
            <w:pPr>
              <w:pStyle w:val="SingleTxtG"/>
              <w:ind w:left="0" w:right="368"/>
            </w:pPr>
            <w:r w:rsidRPr="00627FAE">
              <w:t xml:space="preserve">The State party submits that </w:t>
            </w:r>
            <w:r>
              <w:t xml:space="preserve">on 29 August 2016, the RAB reopened the author’s asylum application for a review with an oral hearing before a new panel, which took place on 8 December 2016. Upon examination of the facts and evidence available, and a full reconsideration of his claims, the majority of the RAB upheld the decision of the Immigration Service. </w:t>
            </w:r>
          </w:p>
          <w:p w:rsidR="00AB156A" w:rsidRDefault="00AB156A" w:rsidP="00AB156A">
            <w:pPr>
              <w:pStyle w:val="SingleTxtG"/>
              <w:ind w:left="0" w:right="141"/>
            </w:pPr>
            <w:r>
              <w:t xml:space="preserve">The State party submits that it has fully complied with the Committee’s Views. </w:t>
            </w:r>
          </w:p>
          <w:p w:rsidR="00AB44C1" w:rsidRPr="004F2101" w:rsidRDefault="00AB156A" w:rsidP="00EC3C53">
            <w:pPr>
              <w:pStyle w:val="SingleTxtG"/>
              <w:ind w:left="0" w:right="111"/>
            </w:pPr>
            <w:r>
              <w:t xml:space="preserve">As for publication of the Views, the State party notes that </w:t>
            </w:r>
            <w:r w:rsidRPr="00627FAE">
              <w:t xml:space="preserve">cases against Denmark involving the RAB </w:t>
            </w:r>
            <w:proofErr w:type="gramStart"/>
            <w:r w:rsidRPr="00627FAE">
              <w:t>will be reported</w:t>
            </w:r>
            <w:proofErr w:type="gramEnd"/>
            <w:r w:rsidRPr="00627FAE">
              <w:t xml:space="preserve"> in the annual report of the Refugee Appeals Board. The annual report of the Refugee Appeals Board </w:t>
            </w:r>
            <w:proofErr w:type="gramStart"/>
            <w:r w:rsidRPr="00627FAE">
              <w:t>is distributed</w:t>
            </w:r>
            <w:proofErr w:type="gramEnd"/>
            <w:r w:rsidRPr="00627FAE">
              <w:t xml:space="preserve"> to all members of the Board for use in their work. The annual report of RAB includes a chapter on cases brought before international bodies. The annual report is availabl</w:t>
            </w:r>
            <w:r>
              <w:t>e on the website of the Board.</w:t>
            </w:r>
            <w:r w:rsidRPr="00627FAE">
              <w:t xml:space="preserve"> The RAB and the Danish Ministry of Foreign Affairs have also made the Committee’s views publicly available on their individual websites (www.fln.dk and www.um.dk). </w:t>
            </w:r>
          </w:p>
        </w:tc>
      </w:tr>
      <w:tr w:rsidR="00AB44C1" w:rsidRPr="004F2101" w:rsidTr="00345AF8">
        <w:tc>
          <w:tcPr>
            <w:tcW w:w="2580" w:type="dxa"/>
            <w:shd w:val="clear" w:color="auto" w:fill="auto"/>
            <w:tcMar>
              <w:left w:w="28" w:type="dxa"/>
              <w:right w:w="28" w:type="dxa"/>
            </w:tcMar>
          </w:tcPr>
          <w:p w:rsidR="00AB44C1" w:rsidRPr="00AB156A" w:rsidRDefault="00AB156A" w:rsidP="00345AF8">
            <w:pPr>
              <w:pStyle w:val="SingleTxtG"/>
              <w:suppressAutoHyphens w:val="0"/>
              <w:spacing w:before="40" w:line="220" w:lineRule="exact"/>
              <w:ind w:left="0" w:right="113"/>
              <w:jc w:val="left"/>
            </w:pPr>
            <w:r w:rsidRPr="00AB156A">
              <w:rPr>
                <w:bCs/>
              </w:rPr>
              <w:t>Committee’s assessment:</w:t>
            </w:r>
          </w:p>
        </w:tc>
        <w:tc>
          <w:tcPr>
            <w:tcW w:w="4790" w:type="dxa"/>
            <w:shd w:val="clear" w:color="auto" w:fill="auto"/>
            <w:tcMar>
              <w:left w:w="28" w:type="dxa"/>
              <w:right w:w="28" w:type="dxa"/>
            </w:tcMar>
          </w:tcPr>
          <w:p w:rsidR="00AB156A" w:rsidRPr="00C951DF" w:rsidRDefault="00AB156A" w:rsidP="00AB156A">
            <w:pPr>
              <w:pStyle w:val="SingleTxtG"/>
              <w:ind w:left="0"/>
              <w:rPr>
                <w:lang w:eastAsia="en-GB"/>
              </w:rPr>
            </w:pPr>
            <w:r>
              <w:t>(a)</w:t>
            </w:r>
            <w:r>
              <w:tab/>
            </w:r>
            <w:r w:rsidRPr="00C951DF">
              <w:t>Effective remedy</w:t>
            </w:r>
            <w:r>
              <w:rPr>
                <w:lang w:eastAsia="en-GB"/>
              </w:rPr>
              <w:t>: A</w:t>
            </w:r>
          </w:p>
          <w:p w:rsidR="00AB156A" w:rsidRPr="00C951DF" w:rsidRDefault="00AB156A" w:rsidP="00AB156A">
            <w:pPr>
              <w:pStyle w:val="SingleTxtG"/>
              <w:ind w:left="0"/>
              <w:rPr>
                <w:lang w:eastAsia="en-GB"/>
              </w:rPr>
            </w:pPr>
            <w:r>
              <w:rPr>
                <w:lang w:eastAsia="en-GB"/>
              </w:rPr>
              <w:t>(b)</w:t>
            </w:r>
            <w:r>
              <w:rPr>
                <w:lang w:eastAsia="en-GB"/>
              </w:rPr>
              <w:tab/>
            </w:r>
            <w:r w:rsidRPr="00C951DF">
              <w:rPr>
                <w:lang w:eastAsia="en-GB"/>
              </w:rPr>
              <w:t xml:space="preserve">Publication of Views: </w:t>
            </w:r>
            <w:r>
              <w:rPr>
                <w:lang w:eastAsia="en-GB"/>
              </w:rPr>
              <w:t>A</w:t>
            </w:r>
          </w:p>
          <w:p w:rsidR="00AB44C1" w:rsidRPr="004F2101" w:rsidRDefault="00AB156A" w:rsidP="00AB156A">
            <w:pPr>
              <w:pStyle w:val="SingleTxtG"/>
              <w:ind w:left="0"/>
              <w:rPr>
                <w:lang w:eastAsia="en-GB"/>
              </w:rPr>
            </w:pPr>
            <w:r>
              <w:rPr>
                <w:lang w:eastAsia="en-GB"/>
              </w:rPr>
              <w:t>(c)</w:t>
            </w:r>
            <w:r>
              <w:rPr>
                <w:lang w:eastAsia="en-GB"/>
              </w:rPr>
              <w:tab/>
            </w:r>
            <w:r w:rsidRPr="00C951DF">
              <w:rPr>
                <w:lang w:eastAsia="en-GB"/>
              </w:rPr>
              <w:t>Non</w:t>
            </w:r>
            <w:r>
              <w:rPr>
                <w:lang w:eastAsia="en-GB"/>
              </w:rPr>
              <w:t>-repetition: C</w:t>
            </w:r>
          </w:p>
        </w:tc>
      </w:tr>
      <w:tr w:rsidR="00AB44C1" w:rsidRPr="004F2101" w:rsidTr="00345AF8">
        <w:tc>
          <w:tcPr>
            <w:tcW w:w="2580" w:type="dxa"/>
            <w:shd w:val="clear" w:color="auto" w:fill="auto"/>
            <w:tcMar>
              <w:left w:w="28" w:type="dxa"/>
              <w:right w:w="28" w:type="dxa"/>
            </w:tcMar>
          </w:tcPr>
          <w:p w:rsidR="00AB44C1" w:rsidRPr="004F2101" w:rsidRDefault="00AB44C1" w:rsidP="00345AF8">
            <w:pPr>
              <w:pStyle w:val="SingleTxtG"/>
              <w:suppressAutoHyphens w:val="0"/>
              <w:spacing w:before="40" w:line="220" w:lineRule="exact"/>
              <w:ind w:left="0" w:right="113"/>
              <w:jc w:val="left"/>
            </w:pPr>
            <w:r w:rsidRPr="004F2101">
              <w:t>Committee</w:t>
            </w:r>
            <w:r w:rsidR="001D6817" w:rsidRPr="004F2101">
              <w:t>’</w:t>
            </w:r>
            <w:r w:rsidRPr="004F2101">
              <w:t>s decision:</w:t>
            </w:r>
          </w:p>
        </w:tc>
        <w:tc>
          <w:tcPr>
            <w:tcW w:w="4790" w:type="dxa"/>
            <w:shd w:val="clear" w:color="auto" w:fill="auto"/>
            <w:tcMar>
              <w:left w:w="28" w:type="dxa"/>
              <w:right w:w="28" w:type="dxa"/>
            </w:tcMar>
          </w:tcPr>
          <w:p w:rsidR="00AB44C1" w:rsidRPr="004F2101" w:rsidRDefault="00AB156A" w:rsidP="00345AF8">
            <w:pPr>
              <w:pStyle w:val="SingleTxtG"/>
              <w:suppressAutoHyphens w:val="0"/>
              <w:spacing w:before="40" w:line="220" w:lineRule="exact"/>
              <w:ind w:left="0" w:right="113"/>
              <w:jc w:val="left"/>
            </w:pPr>
            <w:r>
              <w:t>Close the follow-up dialogue in the case, with a note of satisfactory implementation of the Committee’s recommendation.</w:t>
            </w:r>
          </w:p>
        </w:tc>
      </w:tr>
    </w:tbl>
    <w:p w:rsidR="00AB44C1" w:rsidRDefault="00AB156A" w:rsidP="000D5A0D">
      <w:pPr>
        <w:pStyle w:val="H23G"/>
      </w:pPr>
      <w:r>
        <w:tab/>
        <w:t>7.</w:t>
      </w:r>
      <w:r>
        <w:tab/>
        <w:t>Ireland</w:t>
      </w:r>
    </w:p>
    <w:p w:rsidR="00EC3C53" w:rsidRPr="00EC3C53" w:rsidRDefault="00EC3C53" w:rsidP="009716A9">
      <w:pPr>
        <w:ind w:left="567" w:firstLine="567"/>
      </w:pPr>
      <w:r w:rsidRPr="00E86A90">
        <w:rPr>
          <w:b/>
        </w:rPr>
        <w:t>C</w:t>
      </w:r>
      <w:r>
        <w:rPr>
          <w:b/>
        </w:rPr>
        <w:t>ommunication</w:t>
      </w:r>
      <w:r>
        <w:t xml:space="preserve"> </w:t>
      </w:r>
      <w:r w:rsidRPr="007157FA">
        <w:rPr>
          <w:b/>
          <w:bCs/>
        </w:rPr>
        <w:t>No.</w:t>
      </w:r>
      <w:r>
        <w:t xml:space="preserve"> </w:t>
      </w:r>
      <w:r w:rsidRPr="00204A73">
        <w:rPr>
          <w:b/>
        </w:rPr>
        <w:t>2</w:t>
      </w:r>
      <w:r>
        <w:rPr>
          <w:b/>
        </w:rPr>
        <w:t>324</w:t>
      </w:r>
      <w:r w:rsidRPr="00204A73">
        <w:rPr>
          <w:b/>
        </w:rPr>
        <w:t>/201</w:t>
      </w:r>
      <w:r>
        <w:rPr>
          <w:b/>
        </w:rPr>
        <w:t xml:space="preserve">3, </w:t>
      </w:r>
      <w:proofErr w:type="spellStart"/>
      <w:r>
        <w:rPr>
          <w:b/>
          <w:i/>
        </w:rPr>
        <w:t>Mellet</w:t>
      </w:r>
      <w:proofErr w:type="spellEnd"/>
      <w:r>
        <w:rPr>
          <w:b/>
        </w:rPr>
        <w:t xml:space="preserve"> </w:t>
      </w:r>
      <w:r>
        <w:rPr>
          <w:b/>
          <w:i/>
          <w:iCs/>
        </w:rPr>
        <w:t>v. Ireland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90"/>
      </w:tblGrid>
      <w:tr w:rsidR="00AB44C1" w:rsidRPr="004F2101" w:rsidTr="00F851B4">
        <w:trPr>
          <w:tblHeader/>
        </w:trPr>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AB44C1" w:rsidRPr="00AB156A" w:rsidRDefault="00AB44C1" w:rsidP="000D5A0D">
            <w:pPr>
              <w:pStyle w:val="SingleTxtG"/>
              <w:keepNext/>
              <w:keepLines/>
              <w:ind w:left="0"/>
              <w:jc w:val="left"/>
              <w:rPr>
                <w:b/>
              </w:rPr>
            </w:pPr>
          </w:p>
        </w:tc>
      </w:tr>
      <w:tr w:rsidR="00AB44C1" w:rsidRPr="004F2101" w:rsidTr="00F851B4">
        <w:tc>
          <w:tcPr>
            <w:tcW w:w="2580" w:type="dxa"/>
            <w:tcBorders>
              <w:top w:val="single" w:sz="12" w:space="0" w:color="auto"/>
              <w:bottom w:val="nil"/>
            </w:tcBorders>
            <w:shd w:val="clear" w:color="auto" w:fill="auto"/>
            <w:tcMar>
              <w:left w:w="28" w:type="dxa"/>
              <w:right w:w="28" w:type="dxa"/>
            </w:tcMar>
          </w:tcPr>
          <w:p w:rsidR="00AB44C1" w:rsidRPr="004F2101" w:rsidRDefault="00AB44C1" w:rsidP="000D5A0D">
            <w:pPr>
              <w:pStyle w:val="SingleTxtG"/>
              <w:keepNext/>
              <w:keepLines/>
              <w:suppressAutoHyphens w:val="0"/>
              <w:spacing w:before="40" w:line="220" w:lineRule="exact"/>
              <w:ind w:left="0" w:right="113"/>
              <w:jc w:val="left"/>
            </w:pPr>
            <w:r w:rsidRPr="004F2101">
              <w:t>Views adopted:</w:t>
            </w:r>
          </w:p>
        </w:tc>
        <w:tc>
          <w:tcPr>
            <w:tcW w:w="4790" w:type="dxa"/>
            <w:tcBorders>
              <w:top w:val="single" w:sz="12" w:space="0" w:color="auto"/>
              <w:bottom w:val="nil"/>
            </w:tcBorders>
            <w:shd w:val="clear" w:color="auto" w:fill="auto"/>
            <w:tcMar>
              <w:left w:w="28" w:type="dxa"/>
              <w:right w:w="28" w:type="dxa"/>
            </w:tcMar>
          </w:tcPr>
          <w:p w:rsidR="00AB44C1" w:rsidRPr="004F2101" w:rsidRDefault="00AB156A" w:rsidP="000D5A0D">
            <w:pPr>
              <w:pStyle w:val="SingleTxtG"/>
              <w:keepNext/>
              <w:keepLines/>
              <w:suppressAutoHyphens w:val="0"/>
              <w:spacing w:before="40" w:line="220" w:lineRule="exact"/>
              <w:ind w:left="0" w:right="113"/>
              <w:jc w:val="left"/>
            </w:pPr>
            <w:r>
              <w:t>31 March 2016</w:t>
            </w:r>
          </w:p>
        </w:tc>
      </w:tr>
      <w:tr w:rsidR="00AB44C1" w:rsidRPr="004F2101" w:rsidTr="00F851B4">
        <w:tc>
          <w:tcPr>
            <w:tcW w:w="2580" w:type="dxa"/>
            <w:tcBorders>
              <w:top w:val="nil"/>
              <w:bottom w:val="nil"/>
            </w:tcBorders>
            <w:shd w:val="clear" w:color="auto" w:fill="auto"/>
            <w:tcMar>
              <w:left w:w="28" w:type="dxa"/>
              <w:right w:w="28" w:type="dxa"/>
            </w:tcMar>
          </w:tcPr>
          <w:p w:rsidR="00AB44C1" w:rsidRPr="004F2101" w:rsidRDefault="00AB44C1" w:rsidP="00F851B4">
            <w:pPr>
              <w:pStyle w:val="SingleTxtG"/>
              <w:suppressAutoHyphens w:val="0"/>
              <w:spacing w:before="40" w:line="220" w:lineRule="exact"/>
              <w:ind w:left="0" w:right="113"/>
              <w:jc w:val="left"/>
            </w:pPr>
            <w:r w:rsidRPr="004F2101">
              <w:t>Violation:</w:t>
            </w:r>
          </w:p>
        </w:tc>
        <w:tc>
          <w:tcPr>
            <w:tcW w:w="4790" w:type="dxa"/>
            <w:tcBorders>
              <w:top w:val="nil"/>
              <w:bottom w:val="nil"/>
            </w:tcBorders>
            <w:shd w:val="clear" w:color="auto" w:fill="auto"/>
            <w:tcMar>
              <w:left w:w="28" w:type="dxa"/>
              <w:right w:w="28" w:type="dxa"/>
            </w:tcMar>
          </w:tcPr>
          <w:p w:rsidR="00AB44C1" w:rsidRPr="004F2101" w:rsidRDefault="00AB156A" w:rsidP="00F851B4">
            <w:pPr>
              <w:pStyle w:val="SingleTxtG"/>
              <w:suppressAutoHyphens w:val="0"/>
              <w:spacing w:before="40" w:line="220" w:lineRule="exact"/>
              <w:ind w:left="0" w:right="113"/>
              <w:jc w:val="left"/>
            </w:pPr>
            <w:r>
              <w:t>articles 7, 17 and 26</w:t>
            </w:r>
          </w:p>
        </w:tc>
      </w:tr>
      <w:tr w:rsidR="00AB44C1" w:rsidRPr="004F2101" w:rsidTr="00F851B4">
        <w:tc>
          <w:tcPr>
            <w:tcW w:w="2580" w:type="dxa"/>
            <w:tcBorders>
              <w:top w:val="nil"/>
            </w:tcBorders>
            <w:shd w:val="clear" w:color="auto" w:fill="auto"/>
            <w:tcMar>
              <w:left w:w="28" w:type="dxa"/>
              <w:right w:w="28" w:type="dxa"/>
            </w:tcMar>
          </w:tcPr>
          <w:p w:rsidR="00AB44C1" w:rsidRPr="004F2101" w:rsidRDefault="00AB44C1" w:rsidP="00F851B4">
            <w:pPr>
              <w:pStyle w:val="SingleTxtG"/>
              <w:suppressAutoHyphens w:val="0"/>
              <w:spacing w:before="40" w:line="220" w:lineRule="exact"/>
              <w:ind w:left="0" w:right="113"/>
              <w:jc w:val="left"/>
            </w:pPr>
            <w:r w:rsidRPr="004F2101">
              <w:t>Remedy:</w:t>
            </w:r>
          </w:p>
        </w:tc>
        <w:tc>
          <w:tcPr>
            <w:tcW w:w="4790" w:type="dxa"/>
            <w:tcBorders>
              <w:top w:val="nil"/>
            </w:tcBorders>
            <w:shd w:val="clear" w:color="auto" w:fill="auto"/>
            <w:tcMar>
              <w:left w:w="28" w:type="dxa"/>
              <w:right w:w="28" w:type="dxa"/>
            </w:tcMar>
          </w:tcPr>
          <w:p w:rsidR="00AB44C1" w:rsidRPr="004F2101" w:rsidRDefault="00AB156A" w:rsidP="00F851B4">
            <w:pPr>
              <w:pStyle w:val="SingleTxtG"/>
              <w:suppressAutoHyphens w:val="0"/>
              <w:spacing w:before="40" w:line="220" w:lineRule="exact"/>
              <w:ind w:left="0" w:right="113"/>
              <w:jc w:val="left"/>
            </w:pPr>
            <w:r>
              <w:rPr>
                <w:spacing w:val="2"/>
                <w:lang w:val="en-US"/>
              </w:rPr>
              <w:t>A</w:t>
            </w:r>
            <w:proofErr w:type="spellStart"/>
            <w:r>
              <w:rPr>
                <w:spacing w:val="2"/>
              </w:rPr>
              <w:t>dequate</w:t>
            </w:r>
            <w:proofErr w:type="spellEnd"/>
            <w:r>
              <w:rPr>
                <w:spacing w:val="2"/>
              </w:rPr>
              <w:t xml:space="preserve"> </w:t>
            </w:r>
            <w:r w:rsidRPr="00CF736D">
              <w:t>compensation</w:t>
            </w:r>
            <w:r>
              <w:t xml:space="preserve"> and to make available to the author any psychological treatment she needs</w:t>
            </w:r>
            <w:r w:rsidRPr="00CF736D">
              <w:t xml:space="preserve">. </w:t>
            </w:r>
            <w:r w:rsidRPr="00CF736D">
              <w:rPr>
                <w:lang w:val="en-US"/>
              </w:rPr>
              <w:t>The State party should</w:t>
            </w:r>
            <w:r>
              <w:rPr>
                <w:lang w:val="en-US"/>
              </w:rPr>
              <w:t xml:space="preserve"> amend</w:t>
            </w:r>
            <w:r w:rsidRPr="00CF736D">
              <w:rPr>
                <w:lang w:val="en-US"/>
              </w:rPr>
              <w:t xml:space="preserve"> its </w:t>
            </w:r>
            <w:r>
              <w:rPr>
                <w:lang w:val="en-US"/>
              </w:rPr>
              <w:t>law</w:t>
            </w:r>
            <w:r w:rsidRPr="00CF736D">
              <w:rPr>
                <w:lang w:val="en-US"/>
              </w:rPr>
              <w:t xml:space="preserve"> on </w:t>
            </w:r>
            <w:r>
              <w:rPr>
                <w:lang w:val="en-US"/>
              </w:rPr>
              <w:t>the voluntary termination of pregnancy</w:t>
            </w:r>
            <w:r w:rsidRPr="00CF736D">
              <w:rPr>
                <w:lang w:val="en-US"/>
              </w:rPr>
              <w:t xml:space="preserve">, including </w:t>
            </w:r>
            <w:r>
              <w:rPr>
                <w:lang w:val="en-US"/>
              </w:rPr>
              <w:t xml:space="preserve">if necessary </w:t>
            </w:r>
            <w:r w:rsidRPr="00CF736D">
              <w:rPr>
                <w:lang w:val="en-US"/>
              </w:rPr>
              <w:t xml:space="preserve">its Constitution, to ensure </w:t>
            </w:r>
            <w:r>
              <w:rPr>
                <w:lang w:val="en-US"/>
              </w:rPr>
              <w:t xml:space="preserve">compliance with the Covenant, ensuring </w:t>
            </w:r>
            <w:r w:rsidRPr="00CF736D">
              <w:rPr>
                <w:lang w:val="en-US"/>
              </w:rPr>
              <w:t>effective, timely and accessible procedures for pregnancy termination in Ireland</w:t>
            </w:r>
            <w:r>
              <w:rPr>
                <w:lang w:val="en-US"/>
              </w:rPr>
              <w:t>,</w:t>
            </w:r>
            <w:r w:rsidRPr="00CF736D">
              <w:rPr>
                <w:lang w:val="en-US"/>
              </w:rPr>
              <w:t xml:space="preserve"> </w:t>
            </w:r>
            <w:r>
              <w:rPr>
                <w:lang w:val="en-US"/>
              </w:rPr>
              <w:t xml:space="preserve">and </w:t>
            </w:r>
            <w:r w:rsidRPr="00CF736D">
              <w:t>take measures to</w:t>
            </w:r>
            <w:r w:rsidRPr="00CF736D">
              <w:rPr>
                <w:bCs/>
                <w:iCs/>
                <w:lang w:val="en-US"/>
              </w:rPr>
              <w:t xml:space="preserve"> ensure</w:t>
            </w:r>
            <w:r w:rsidRPr="00CF736D">
              <w:rPr>
                <w:lang w:val="en-US"/>
              </w:rPr>
              <w:t xml:space="preserve"> that health-care providers are in a position to supply full information on safe abortion services without fearing </w:t>
            </w:r>
            <w:r>
              <w:rPr>
                <w:lang w:val="en-US"/>
              </w:rPr>
              <w:t>they will be</w:t>
            </w:r>
            <w:r w:rsidRPr="00CF736D">
              <w:rPr>
                <w:lang w:val="en-US"/>
              </w:rPr>
              <w:t xml:space="preserve"> subjected to criminal sanctions</w:t>
            </w:r>
            <w:r>
              <w:rPr>
                <w:lang w:val="en-US"/>
              </w:rPr>
              <w:t>, as indicated in the present Views of the Committee</w:t>
            </w:r>
          </w:p>
        </w:tc>
      </w:tr>
      <w:tr w:rsidR="00E14425" w:rsidRPr="004F2101" w:rsidTr="00F851B4">
        <w:tc>
          <w:tcPr>
            <w:tcW w:w="2580" w:type="dxa"/>
            <w:tcBorders>
              <w:top w:val="nil"/>
            </w:tcBorders>
            <w:shd w:val="clear" w:color="auto" w:fill="auto"/>
            <w:tcMar>
              <w:left w:w="28" w:type="dxa"/>
              <w:right w:w="28" w:type="dxa"/>
            </w:tcMar>
          </w:tcPr>
          <w:p w:rsidR="00E14425" w:rsidRPr="004F2101" w:rsidRDefault="00E14425" w:rsidP="00F851B4">
            <w:pPr>
              <w:pStyle w:val="SingleTxtG"/>
              <w:suppressAutoHyphens w:val="0"/>
              <w:spacing w:before="40" w:line="220" w:lineRule="exact"/>
              <w:ind w:left="0" w:right="113"/>
              <w:jc w:val="left"/>
            </w:pPr>
            <w:r>
              <w:rPr>
                <w:bCs/>
              </w:rPr>
              <w:t>Subject-matter:</w:t>
            </w:r>
          </w:p>
        </w:tc>
        <w:tc>
          <w:tcPr>
            <w:tcW w:w="4790" w:type="dxa"/>
            <w:tcBorders>
              <w:top w:val="nil"/>
            </w:tcBorders>
            <w:shd w:val="clear" w:color="auto" w:fill="auto"/>
            <w:tcMar>
              <w:left w:w="28" w:type="dxa"/>
              <w:right w:w="28" w:type="dxa"/>
            </w:tcMar>
          </w:tcPr>
          <w:p w:rsidR="00E14425" w:rsidRDefault="00E14425" w:rsidP="00F851B4">
            <w:pPr>
              <w:pStyle w:val="SingleTxtG"/>
              <w:suppressAutoHyphens w:val="0"/>
              <w:spacing w:before="40" w:line="220" w:lineRule="exact"/>
              <w:ind w:left="0" w:right="113"/>
              <w:jc w:val="left"/>
              <w:rPr>
                <w:spacing w:val="2"/>
                <w:lang w:val="en-US"/>
              </w:rPr>
            </w:pPr>
            <w:r>
              <w:rPr>
                <w:iCs/>
              </w:rPr>
              <w:t xml:space="preserve">Termination of </w:t>
            </w:r>
            <w:r w:rsidRPr="00E24C1D">
              <w:t>pregnancy</w:t>
            </w:r>
            <w:r>
              <w:rPr>
                <w:iCs/>
              </w:rPr>
              <w:t xml:space="preserve"> in a foreign country</w:t>
            </w:r>
          </w:p>
        </w:tc>
      </w:tr>
      <w:tr w:rsidR="00AB44C1" w:rsidRPr="004F2101" w:rsidTr="00F851B4">
        <w:tc>
          <w:tcPr>
            <w:tcW w:w="2580" w:type="dxa"/>
            <w:shd w:val="clear" w:color="auto" w:fill="auto"/>
            <w:tcMar>
              <w:left w:w="28" w:type="dxa"/>
              <w:right w:w="28" w:type="dxa"/>
            </w:tcMar>
          </w:tcPr>
          <w:p w:rsidR="00AB44C1" w:rsidRPr="004F2101" w:rsidRDefault="00AB44C1" w:rsidP="00F851B4">
            <w:pPr>
              <w:pStyle w:val="SingleTxtG"/>
              <w:suppressAutoHyphens w:val="0"/>
              <w:spacing w:before="40" w:line="220" w:lineRule="exact"/>
              <w:ind w:left="0" w:right="113"/>
              <w:jc w:val="left"/>
            </w:pPr>
            <w:r w:rsidRPr="004F2101">
              <w:t xml:space="preserve">Previous follow-up information: </w:t>
            </w:r>
          </w:p>
        </w:tc>
        <w:tc>
          <w:tcPr>
            <w:tcW w:w="4790" w:type="dxa"/>
            <w:shd w:val="clear" w:color="auto" w:fill="auto"/>
            <w:tcMar>
              <w:left w:w="28" w:type="dxa"/>
              <w:right w:w="28" w:type="dxa"/>
            </w:tcMar>
          </w:tcPr>
          <w:p w:rsidR="00AB44C1" w:rsidRPr="004F2101" w:rsidRDefault="00E14425" w:rsidP="00F851B4">
            <w:pPr>
              <w:pStyle w:val="SingleTxtG"/>
              <w:suppressAutoHyphens w:val="0"/>
              <w:spacing w:before="40" w:line="220" w:lineRule="exact"/>
              <w:ind w:left="0" w:right="113"/>
              <w:jc w:val="left"/>
            </w:pPr>
            <w:r>
              <w:rPr>
                <w:lang w:val="en-US"/>
              </w:rPr>
              <w:t>CCPR/C/119/3</w:t>
            </w:r>
          </w:p>
        </w:tc>
      </w:tr>
      <w:tr w:rsidR="00AB44C1" w:rsidRPr="004F2101" w:rsidTr="00F851B4">
        <w:tc>
          <w:tcPr>
            <w:tcW w:w="2580" w:type="dxa"/>
            <w:shd w:val="clear" w:color="auto" w:fill="auto"/>
            <w:tcMar>
              <w:left w:w="28" w:type="dxa"/>
              <w:right w:w="28" w:type="dxa"/>
            </w:tcMar>
          </w:tcPr>
          <w:p w:rsidR="00AB44C1" w:rsidRPr="004F2101" w:rsidRDefault="00AB44C1" w:rsidP="00E14425">
            <w:pPr>
              <w:pStyle w:val="SingleTxtG"/>
              <w:suppressAutoHyphens w:val="0"/>
              <w:spacing w:before="40" w:line="220" w:lineRule="exact"/>
              <w:ind w:left="0" w:right="113"/>
              <w:jc w:val="left"/>
            </w:pPr>
            <w:r w:rsidRPr="004F2101">
              <w:t xml:space="preserve">Submission from </w:t>
            </w:r>
            <w:r w:rsidR="00E14425">
              <w:rPr>
                <w:lang w:val="en-US"/>
              </w:rPr>
              <w:t>Author’s counsel :</w:t>
            </w:r>
          </w:p>
        </w:tc>
        <w:tc>
          <w:tcPr>
            <w:tcW w:w="4790" w:type="dxa"/>
            <w:shd w:val="clear" w:color="auto" w:fill="auto"/>
            <w:tcMar>
              <w:left w:w="28" w:type="dxa"/>
              <w:right w:w="28" w:type="dxa"/>
            </w:tcMar>
          </w:tcPr>
          <w:p w:rsidR="00E14425" w:rsidRDefault="00E14425" w:rsidP="00E14425">
            <w:pPr>
              <w:rPr>
                <w:lang w:val="en-US"/>
              </w:rPr>
            </w:pPr>
            <w:r>
              <w:rPr>
                <w:lang w:val="en-US"/>
              </w:rPr>
              <w:t>31 July 2017</w:t>
            </w:r>
          </w:p>
          <w:p w:rsidR="00E14425" w:rsidRDefault="00E14425" w:rsidP="000D5A0D">
            <w:pPr>
              <w:spacing w:before="120"/>
              <w:rPr>
                <w:lang w:val="en-US"/>
              </w:rPr>
            </w:pPr>
            <w:r w:rsidRPr="009270F2">
              <w:rPr>
                <w:lang w:val="en-US"/>
              </w:rPr>
              <w:t>While some further developments have occurred since our last update to the Committee, the State party has yet to adopt any meaningful legal reform measures and fulfil this critical aspect of its remedial obligations.</w:t>
            </w:r>
          </w:p>
          <w:p w:rsidR="00E14425" w:rsidRPr="00066AB9" w:rsidRDefault="00E14425" w:rsidP="00E14425">
            <w:pPr>
              <w:rPr>
                <w:lang w:val="en-US"/>
              </w:rPr>
            </w:pPr>
            <w:r w:rsidRPr="00066AB9">
              <w:rPr>
                <w:lang w:val="en-US"/>
              </w:rPr>
              <w:t xml:space="preserve">The </w:t>
            </w:r>
            <w:proofErr w:type="gramStart"/>
            <w:r w:rsidRPr="00066AB9">
              <w:rPr>
                <w:lang w:val="en-US"/>
              </w:rPr>
              <w:t>Citizens’ Assembly was established on 13 July 2016 by the</w:t>
            </w:r>
            <w:r>
              <w:rPr>
                <w:lang w:val="en-US"/>
              </w:rPr>
              <w:t xml:space="preserve"> </w:t>
            </w:r>
            <w:proofErr w:type="spellStart"/>
            <w:r>
              <w:rPr>
                <w:lang w:val="en-US"/>
              </w:rPr>
              <w:t>Oireachtas</w:t>
            </w:r>
            <w:proofErr w:type="spellEnd"/>
            <w:r>
              <w:rPr>
                <w:lang w:val="en-US"/>
              </w:rPr>
              <w:t xml:space="preserve"> (Irish Parliament)</w:t>
            </w:r>
            <w:proofErr w:type="gramEnd"/>
            <w:r>
              <w:rPr>
                <w:lang w:val="en-US"/>
              </w:rPr>
              <w:t>.</w:t>
            </w:r>
            <w:r w:rsidRPr="00066AB9">
              <w:rPr>
                <w:lang w:val="en-US"/>
              </w:rPr>
              <w:t xml:space="preserve"> It completed its deliberations on the Ei</w:t>
            </w:r>
            <w:r>
              <w:rPr>
                <w:lang w:val="en-US"/>
              </w:rPr>
              <w:t xml:space="preserve">ghth Amendment on 23 April 2017. </w:t>
            </w:r>
            <w:r w:rsidRPr="00066AB9">
              <w:rPr>
                <w:lang w:val="en-US"/>
              </w:rPr>
              <w:t xml:space="preserve">The Citizens’ Assembly recommended by majority vote (87%) that the Eighth Amendment </w:t>
            </w:r>
            <w:proofErr w:type="gramStart"/>
            <w:r w:rsidRPr="00066AB9">
              <w:rPr>
                <w:lang w:val="en-US"/>
              </w:rPr>
              <w:t>should not be retained</w:t>
            </w:r>
            <w:proofErr w:type="gramEnd"/>
            <w:r w:rsidRPr="00066AB9">
              <w:rPr>
                <w:lang w:val="en-US"/>
              </w:rPr>
              <w:t xml:space="preserve"> in full in the Constitution. A clear majority voted in favor of removing the Amendment and replacing it with a provision that would explicitly mandate the </w:t>
            </w:r>
            <w:proofErr w:type="spellStart"/>
            <w:r w:rsidRPr="00066AB9">
              <w:rPr>
                <w:lang w:val="en-US"/>
              </w:rPr>
              <w:t>Oireachtas</w:t>
            </w:r>
            <w:proofErr w:type="spellEnd"/>
            <w:r w:rsidRPr="00066AB9">
              <w:rPr>
                <w:lang w:val="en-US"/>
              </w:rPr>
              <w:t xml:space="preserve"> to legislate to address termination of pregnancy. In other words, it would be solely a matter for the </w:t>
            </w:r>
            <w:proofErr w:type="spellStart"/>
            <w:r w:rsidRPr="00066AB9">
              <w:rPr>
                <w:lang w:val="en-US"/>
              </w:rPr>
              <w:t>Oireachtas</w:t>
            </w:r>
            <w:proofErr w:type="spellEnd"/>
            <w:r w:rsidRPr="00066AB9">
              <w:rPr>
                <w:lang w:val="en-US"/>
              </w:rPr>
              <w:t xml:space="preserve"> to decide how </w:t>
            </w:r>
            <w:r>
              <w:rPr>
                <w:lang w:val="en-US"/>
              </w:rPr>
              <w:t xml:space="preserve">to legislate on these issues.” </w:t>
            </w:r>
            <w:r w:rsidRPr="00066AB9">
              <w:rPr>
                <w:lang w:val="en-US"/>
              </w:rPr>
              <w:t xml:space="preserve">The Assembly also made recommendations as to the form that future legislation on abortion should take. A clear majority (64%) voted that abortion should be legal on a woman’s request without restriction as to reason, at least in the first trimester. A clear majority also voted for the legalization of abortion in a range of additional circumstances, including risk to a woman’s health (78%), sexual assault (89%), fatal fetal impairment (89%), severe fetal impairment (80%), and for </w:t>
            </w:r>
            <w:r>
              <w:rPr>
                <w:lang w:val="en-US"/>
              </w:rPr>
              <w:t>socio-economic reasons (72%).</w:t>
            </w:r>
          </w:p>
          <w:p w:rsidR="00E14425" w:rsidRPr="00066AB9" w:rsidRDefault="00E14425" w:rsidP="000D5A0D">
            <w:pPr>
              <w:spacing w:before="120"/>
              <w:rPr>
                <w:lang w:val="en-US"/>
              </w:rPr>
            </w:pPr>
            <w:r w:rsidRPr="00066AB9">
              <w:rPr>
                <w:lang w:val="en-US"/>
              </w:rPr>
              <w:t xml:space="preserve">If the full breath of the Citizens’ Assembly’s recommendations were followed and a constitutional referendum was passed and subsequent legislation was adopted to give effect to them the State party would have taken meaningful steps to ensure that the human rights violations that Ms. </w:t>
            </w:r>
            <w:proofErr w:type="spellStart"/>
            <w:r w:rsidRPr="00066AB9">
              <w:rPr>
                <w:lang w:val="en-US"/>
              </w:rPr>
              <w:t>Mellet</w:t>
            </w:r>
            <w:proofErr w:type="spellEnd"/>
            <w:r w:rsidRPr="00066AB9">
              <w:rPr>
                <w:lang w:val="en-US"/>
              </w:rPr>
              <w:t xml:space="preserve"> suffered</w:t>
            </w:r>
            <w:r>
              <w:rPr>
                <w:lang w:val="en-US"/>
              </w:rPr>
              <w:t xml:space="preserve"> would not continue to occur.  </w:t>
            </w:r>
            <w:r w:rsidRPr="00066AB9">
              <w:rPr>
                <w:lang w:val="en-US"/>
              </w:rPr>
              <w:t xml:space="preserve">However, it remains unclear whether or not this will occur. It is unclear </w:t>
            </w:r>
            <w:proofErr w:type="gramStart"/>
            <w:r w:rsidRPr="00066AB9">
              <w:rPr>
                <w:lang w:val="en-US"/>
              </w:rPr>
              <w:t>if and when</w:t>
            </w:r>
            <w:proofErr w:type="gramEnd"/>
            <w:r w:rsidRPr="00066AB9">
              <w:rPr>
                <w:lang w:val="en-US"/>
              </w:rPr>
              <w:t xml:space="preserve"> a referendum might be held, what the terms will be and what legislative reform will be carried out to give effect to it. Indeed, following the outcome of the Citizens’ Assembly there were several negative political reactions, including from </w:t>
            </w:r>
            <w:r>
              <w:rPr>
                <w:lang w:val="en-US"/>
              </w:rPr>
              <w:t>senior members of government.</w:t>
            </w:r>
          </w:p>
          <w:p w:rsidR="00E14425" w:rsidRPr="00066AB9" w:rsidRDefault="00E14425" w:rsidP="000D5A0D">
            <w:pPr>
              <w:spacing w:before="120"/>
              <w:rPr>
                <w:lang w:val="en-US"/>
              </w:rPr>
            </w:pPr>
            <w:r w:rsidRPr="00066AB9">
              <w:rPr>
                <w:lang w:val="en-US"/>
              </w:rPr>
              <w:t xml:space="preserve">Ireland’s new </w:t>
            </w:r>
            <w:r>
              <w:rPr>
                <w:lang w:val="en-US"/>
              </w:rPr>
              <w:t>Prime Minister</w:t>
            </w:r>
            <w:r w:rsidRPr="00066AB9">
              <w:rPr>
                <w:lang w:val="en-US"/>
              </w:rPr>
              <w:t xml:space="preserve"> has said that he believes a constitutional referendum on Article 40.3.3 of the Constitution </w:t>
            </w:r>
            <w:proofErr w:type="gramStart"/>
            <w:r w:rsidRPr="00066AB9">
              <w:rPr>
                <w:lang w:val="en-US"/>
              </w:rPr>
              <w:t>should be held</w:t>
            </w:r>
            <w:proofErr w:type="gramEnd"/>
            <w:r w:rsidRPr="00066AB9">
              <w:rPr>
                <w:lang w:val="en-US"/>
              </w:rPr>
              <w:t xml:space="preserve"> in 2018. However, the holding of a referendum is subject to Parliamentary approval. </w:t>
            </w:r>
          </w:p>
          <w:p w:rsidR="00E14425" w:rsidRPr="00066AB9" w:rsidRDefault="00E14425" w:rsidP="00E14425">
            <w:pPr>
              <w:rPr>
                <w:lang w:val="en-US"/>
              </w:rPr>
            </w:pPr>
            <w:r w:rsidRPr="00066AB9">
              <w:rPr>
                <w:lang w:val="en-US"/>
              </w:rPr>
              <w:t xml:space="preserve">A special Joint Committee of the </w:t>
            </w:r>
            <w:proofErr w:type="spellStart"/>
            <w:r w:rsidRPr="00066AB9">
              <w:rPr>
                <w:lang w:val="en-US"/>
              </w:rPr>
              <w:t>Oireachtas</w:t>
            </w:r>
            <w:proofErr w:type="spellEnd"/>
            <w:r w:rsidRPr="00066AB9">
              <w:rPr>
                <w:lang w:val="en-US"/>
              </w:rPr>
              <w:t xml:space="preserve"> </w:t>
            </w:r>
            <w:proofErr w:type="gramStart"/>
            <w:r w:rsidRPr="00066AB9">
              <w:rPr>
                <w:lang w:val="en-US"/>
              </w:rPr>
              <w:t>has now been established</w:t>
            </w:r>
            <w:proofErr w:type="gramEnd"/>
            <w:r w:rsidRPr="00066AB9">
              <w:rPr>
                <w:lang w:val="en-US"/>
              </w:rPr>
              <w:t xml:space="preserve"> to consider the Citizens’ Assembly outcome and make recommendations to </w:t>
            </w:r>
            <w:r>
              <w:rPr>
                <w:lang w:val="en-US"/>
              </w:rPr>
              <w:t xml:space="preserve">the </w:t>
            </w:r>
            <w:proofErr w:type="spellStart"/>
            <w:r>
              <w:rPr>
                <w:lang w:val="en-US"/>
              </w:rPr>
              <w:t>Oireachtas</w:t>
            </w:r>
            <w:proofErr w:type="spellEnd"/>
            <w:r>
              <w:rPr>
                <w:lang w:val="en-US"/>
              </w:rPr>
              <w:t xml:space="preserve"> on this matter.</w:t>
            </w:r>
            <w:r w:rsidRPr="00066AB9">
              <w:rPr>
                <w:lang w:val="en-US"/>
              </w:rPr>
              <w:t xml:space="preserve"> It will report to Parliament within three months of its first formal meeting, which </w:t>
            </w:r>
            <w:proofErr w:type="gramStart"/>
            <w:r w:rsidRPr="00066AB9">
              <w:rPr>
                <w:lang w:val="en-US"/>
              </w:rPr>
              <w:t>will be held</w:t>
            </w:r>
            <w:proofErr w:type="gramEnd"/>
            <w:r w:rsidRPr="00066AB9">
              <w:rPr>
                <w:lang w:val="en-US"/>
              </w:rPr>
              <w:t xml:space="preserve"> on 20 September 2017. There is no obligation on the Joint Parliamentary Committee to follow the</w:t>
            </w:r>
            <w:r>
              <w:rPr>
                <w:lang w:val="en-US"/>
              </w:rPr>
              <w:t xml:space="preserve"> </w:t>
            </w:r>
            <w:r w:rsidRPr="00066AB9">
              <w:rPr>
                <w:lang w:val="en-US"/>
              </w:rPr>
              <w:t xml:space="preserve">recommendations of the Citizens’ Assembly and in </w:t>
            </w:r>
            <w:proofErr w:type="gramStart"/>
            <w:r w:rsidRPr="00066AB9">
              <w:rPr>
                <w:lang w:val="en-US"/>
              </w:rPr>
              <w:t>turn</w:t>
            </w:r>
            <w:proofErr w:type="gramEnd"/>
            <w:r w:rsidRPr="00066AB9">
              <w:rPr>
                <w:lang w:val="en-US"/>
              </w:rPr>
              <w:t xml:space="preserve"> there is no obligation on the </w:t>
            </w:r>
            <w:proofErr w:type="spellStart"/>
            <w:r w:rsidRPr="00066AB9">
              <w:rPr>
                <w:lang w:val="en-US"/>
              </w:rPr>
              <w:t>Oireachtas</w:t>
            </w:r>
            <w:proofErr w:type="spellEnd"/>
            <w:r w:rsidRPr="00066AB9">
              <w:rPr>
                <w:lang w:val="en-US"/>
              </w:rPr>
              <w:t xml:space="preserve"> to accept the recommendations of the Parliamentary Committee.  </w:t>
            </w:r>
          </w:p>
          <w:p w:rsidR="00E14425" w:rsidRPr="00066AB9" w:rsidRDefault="00E14425" w:rsidP="000D5A0D">
            <w:pPr>
              <w:spacing w:before="120"/>
              <w:rPr>
                <w:lang w:val="en-US"/>
              </w:rPr>
            </w:pPr>
            <w:r w:rsidRPr="00066AB9">
              <w:rPr>
                <w:lang w:val="en-US"/>
              </w:rPr>
              <w:t xml:space="preserve">Consequently, many concrete steps need to be taken before the State party complies with the Committee’s instruction that it amend the law on the voluntary termination of pregnancy, including if necessary the Constitution and ensure effective, timely and accessible procedures for pregnancy termination in Ireland. It remains wholly uncertain if relevant law reform will take place and if it does, what form it will take. Only when law reform has occurred will it be possible to assess whether it gives effect to the State party’s obligations in respect of reparative measures in Ms. </w:t>
            </w:r>
            <w:proofErr w:type="spellStart"/>
            <w:r w:rsidRPr="00066AB9">
              <w:rPr>
                <w:lang w:val="en-US"/>
              </w:rPr>
              <w:t>Mellet’s</w:t>
            </w:r>
            <w:proofErr w:type="spellEnd"/>
            <w:r w:rsidRPr="00066AB9">
              <w:rPr>
                <w:lang w:val="en-US"/>
              </w:rPr>
              <w:t xml:space="preserve"> case.  </w:t>
            </w:r>
          </w:p>
          <w:p w:rsidR="00E14425" w:rsidRPr="00066AB9" w:rsidRDefault="00E14425" w:rsidP="000D5A0D">
            <w:pPr>
              <w:spacing w:before="120"/>
              <w:rPr>
                <w:lang w:val="en-US"/>
              </w:rPr>
            </w:pPr>
            <w:proofErr w:type="gramStart"/>
            <w:r w:rsidRPr="00066AB9">
              <w:rPr>
                <w:lang w:val="en-US"/>
              </w:rPr>
              <w:t xml:space="preserve">Although the Irish Constitution can only be amended through a public referendum the Government has a duty to ensure that the terms of the referendum guarantee that women no longer suffer similar human rights violations to those endured by Ms. </w:t>
            </w:r>
            <w:proofErr w:type="spellStart"/>
            <w:r w:rsidRPr="00066AB9">
              <w:rPr>
                <w:lang w:val="en-US"/>
              </w:rPr>
              <w:t>Mellet</w:t>
            </w:r>
            <w:proofErr w:type="spellEnd"/>
            <w:r w:rsidRPr="00066AB9">
              <w:rPr>
                <w:lang w:val="en-US"/>
              </w:rPr>
              <w:t>: violations of the right to freedom from ill-treatment, the right to privacy and the right to equality before the law.</w:t>
            </w:r>
            <w:proofErr w:type="gramEnd"/>
            <w:r w:rsidRPr="00066AB9">
              <w:rPr>
                <w:lang w:val="en-US"/>
              </w:rPr>
              <w:t xml:space="preserve"> Moreover, the Government has a duty to ensure that the Irish people </w:t>
            </w:r>
            <w:proofErr w:type="gramStart"/>
            <w:r w:rsidRPr="00066AB9">
              <w:rPr>
                <w:lang w:val="en-US"/>
              </w:rPr>
              <w:t>are informed</w:t>
            </w:r>
            <w:proofErr w:type="gramEnd"/>
            <w:r w:rsidRPr="00066AB9">
              <w:rPr>
                <w:lang w:val="en-US"/>
              </w:rPr>
              <w:t xml:space="preserve"> in full of the consequences of the matter before them in a referendum. </w:t>
            </w:r>
          </w:p>
          <w:p w:rsidR="00E14425" w:rsidRPr="00066AB9" w:rsidRDefault="00E14425" w:rsidP="00E14425">
            <w:pPr>
              <w:rPr>
                <w:lang w:val="en-US"/>
              </w:rPr>
            </w:pPr>
            <w:r w:rsidRPr="00066AB9">
              <w:rPr>
                <w:lang w:val="en-US"/>
              </w:rPr>
              <w:t xml:space="preserve">Only when effective law reform measures that meet the requirements outlined by the Committee </w:t>
            </w:r>
            <w:proofErr w:type="gramStart"/>
            <w:r w:rsidRPr="00066AB9">
              <w:rPr>
                <w:lang w:val="en-US"/>
              </w:rPr>
              <w:t>have been adopted</w:t>
            </w:r>
            <w:proofErr w:type="gramEnd"/>
            <w:r w:rsidRPr="00066AB9">
              <w:rPr>
                <w:lang w:val="en-US"/>
              </w:rPr>
              <w:t xml:space="preserve"> will the State party discharge its obligations in respect of the human rights violations Ms. </w:t>
            </w:r>
            <w:proofErr w:type="spellStart"/>
            <w:r w:rsidRPr="00066AB9">
              <w:rPr>
                <w:lang w:val="en-US"/>
              </w:rPr>
              <w:t>Mellet</w:t>
            </w:r>
            <w:proofErr w:type="spellEnd"/>
            <w:r w:rsidRPr="00066AB9">
              <w:rPr>
                <w:lang w:val="en-US"/>
              </w:rPr>
              <w:t xml:space="preserve"> endured.  </w:t>
            </w:r>
          </w:p>
          <w:p w:rsidR="00E14425" w:rsidRPr="00066AB9" w:rsidRDefault="00E14425" w:rsidP="000D5A0D">
            <w:pPr>
              <w:spacing w:before="120"/>
              <w:rPr>
                <w:lang w:val="en-US"/>
              </w:rPr>
            </w:pPr>
            <w:r>
              <w:rPr>
                <w:lang w:val="en-US"/>
              </w:rPr>
              <w:t>Regarding full provision of i</w:t>
            </w:r>
            <w:r w:rsidRPr="00066AB9">
              <w:rPr>
                <w:lang w:val="en-US"/>
              </w:rPr>
              <w:t xml:space="preserve">nformation on </w:t>
            </w:r>
            <w:r>
              <w:rPr>
                <w:lang w:val="en-US"/>
              </w:rPr>
              <w:t xml:space="preserve">safe abortion services, </w:t>
            </w:r>
            <w:r w:rsidRPr="00066AB9">
              <w:rPr>
                <w:lang w:val="en-US"/>
              </w:rPr>
              <w:t xml:space="preserve">the State party </w:t>
            </w:r>
            <w:r>
              <w:rPr>
                <w:lang w:val="en-US"/>
              </w:rPr>
              <w:t xml:space="preserve">had reported </w:t>
            </w:r>
            <w:r w:rsidRPr="00066AB9">
              <w:rPr>
                <w:lang w:val="en-US"/>
              </w:rPr>
              <w:t>that its review of</w:t>
            </w:r>
            <w:r>
              <w:rPr>
                <w:lang w:val="en-US"/>
              </w:rPr>
              <w:t xml:space="preserve"> the Regulation of Information </w:t>
            </w:r>
            <w:r w:rsidRPr="00066AB9">
              <w:rPr>
                <w:lang w:val="en-US"/>
              </w:rPr>
              <w:t xml:space="preserve">Act 1995, which governs the extent to which medical professionals in Ireland can provide information regarding abortion, was ongoing.  </w:t>
            </w:r>
          </w:p>
          <w:p w:rsidR="00E14425" w:rsidRPr="00066AB9" w:rsidRDefault="00E14425" w:rsidP="000D5A0D">
            <w:pPr>
              <w:spacing w:before="120"/>
              <w:rPr>
                <w:lang w:val="en-US"/>
              </w:rPr>
            </w:pPr>
            <w:r w:rsidRPr="00066AB9">
              <w:rPr>
                <w:lang w:val="en-US"/>
              </w:rPr>
              <w:t xml:space="preserve">The manner in which this review </w:t>
            </w:r>
            <w:proofErr w:type="gramStart"/>
            <w:r w:rsidRPr="00066AB9">
              <w:rPr>
                <w:lang w:val="en-US"/>
              </w:rPr>
              <w:t>will be carried out</w:t>
            </w:r>
            <w:proofErr w:type="gramEnd"/>
            <w:r w:rsidRPr="00066AB9">
              <w:rPr>
                <w:lang w:val="en-US"/>
              </w:rPr>
              <w:t xml:space="preserve">, what its parameters will be, when it will be concluded, and what reforms it might recommend remain unclear.  </w:t>
            </w:r>
          </w:p>
          <w:p w:rsidR="00E14425" w:rsidRPr="00066AB9" w:rsidRDefault="00E14425" w:rsidP="000D5A0D">
            <w:pPr>
              <w:spacing w:before="120"/>
              <w:rPr>
                <w:lang w:val="en-US"/>
              </w:rPr>
            </w:pPr>
            <w:proofErr w:type="gramStart"/>
            <w:r>
              <w:rPr>
                <w:lang w:val="en-US"/>
              </w:rPr>
              <w:t>T</w:t>
            </w:r>
            <w:r w:rsidRPr="00066AB9">
              <w:rPr>
                <w:lang w:val="en-US"/>
              </w:rPr>
              <w:t>he Government’s intention to examine the Regulation of Information Act to assess whether its provisions need to be strengthened or clarified in no way amounts to a commitment to undertake relevant legal reforms or to ensure that any future reforms fulfill the requirement outlined by the Committee that measures be taken “to ensure that health-care providers are in a position to supply full information on safe abortion services without fearing they will be subjected to criminal sanctions.”</w:t>
            </w:r>
            <w:proofErr w:type="gramEnd"/>
            <w:r w:rsidRPr="00066AB9">
              <w:rPr>
                <w:lang w:val="en-US"/>
              </w:rPr>
              <w:t xml:space="preserve"> We therefore consider that the State party’s action with regard to this aspect of its remedial obligations</w:t>
            </w:r>
            <w:r>
              <w:rPr>
                <w:lang w:val="en-US"/>
              </w:rPr>
              <w:t xml:space="preserve"> also remains unsatisfactory.  </w:t>
            </w:r>
          </w:p>
          <w:p w:rsidR="00AB44C1" w:rsidRPr="00E14425" w:rsidRDefault="00E14425" w:rsidP="000D5A0D">
            <w:pPr>
              <w:spacing w:before="120"/>
              <w:rPr>
                <w:lang w:val="en-US"/>
              </w:rPr>
            </w:pPr>
            <w:r w:rsidRPr="00066AB9">
              <w:rPr>
                <w:lang w:val="en-US"/>
              </w:rPr>
              <w:t xml:space="preserve">Consequently, </w:t>
            </w:r>
            <w:r>
              <w:rPr>
                <w:lang w:val="en-US"/>
              </w:rPr>
              <w:t>the author’s counsel</w:t>
            </w:r>
            <w:r w:rsidRPr="00066AB9">
              <w:rPr>
                <w:lang w:val="en-US"/>
              </w:rPr>
              <w:t xml:space="preserve"> maintain</w:t>
            </w:r>
            <w:r>
              <w:rPr>
                <w:lang w:val="en-US"/>
              </w:rPr>
              <w:t>s its</w:t>
            </w:r>
            <w:r w:rsidRPr="00066AB9">
              <w:rPr>
                <w:lang w:val="en-US"/>
              </w:rPr>
              <w:t xml:space="preserve"> request that the Committee continue </w:t>
            </w:r>
            <w:proofErr w:type="gramStart"/>
            <w:r w:rsidRPr="00066AB9">
              <w:rPr>
                <w:lang w:val="en-US"/>
              </w:rPr>
              <w:t>to closely scrutinize</w:t>
            </w:r>
            <w:proofErr w:type="gramEnd"/>
            <w:r w:rsidRPr="00066AB9">
              <w:rPr>
                <w:lang w:val="en-US"/>
              </w:rPr>
              <w:t xml:space="preserve"> the State party’s implementation of the Views in </w:t>
            </w:r>
            <w:proofErr w:type="spellStart"/>
            <w:r w:rsidRPr="00066AB9">
              <w:rPr>
                <w:lang w:val="en-US"/>
              </w:rPr>
              <w:t>Mellet</w:t>
            </w:r>
            <w:proofErr w:type="spellEnd"/>
            <w:r w:rsidRPr="00066AB9">
              <w:rPr>
                <w:lang w:val="en-US"/>
              </w:rPr>
              <w:t xml:space="preserve"> v. Ireland under the follow-up procedure until effective law reform measures that meet the requirements outlined by the Committee have been adopted. </w:t>
            </w:r>
          </w:p>
        </w:tc>
      </w:tr>
      <w:tr w:rsidR="00AB44C1" w:rsidRPr="004F2101" w:rsidTr="00F851B4">
        <w:tc>
          <w:tcPr>
            <w:tcW w:w="2580" w:type="dxa"/>
            <w:shd w:val="clear" w:color="auto" w:fill="auto"/>
            <w:tcMar>
              <w:left w:w="28" w:type="dxa"/>
              <w:right w:w="28" w:type="dxa"/>
            </w:tcMar>
          </w:tcPr>
          <w:p w:rsidR="00AB44C1" w:rsidRPr="004F2101" w:rsidRDefault="00AB44C1" w:rsidP="00F851B4">
            <w:pPr>
              <w:pStyle w:val="SingleTxtG"/>
              <w:suppressAutoHyphens w:val="0"/>
              <w:spacing w:before="40" w:line="220" w:lineRule="exact"/>
              <w:ind w:left="0" w:right="113"/>
              <w:jc w:val="left"/>
            </w:pPr>
            <w:r w:rsidRPr="004F2101">
              <w:t>Committee</w:t>
            </w:r>
            <w:r w:rsidR="001D6817" w:rsidRPr="004F2101">
              <w:t>’</w:t>
            </w:r>
            <w:r w:rsidRPr="004F2101">
              <w:t xml:space="preserve">s decision: </w:t>
            </w:r>
          </w:p>
        </w:tc>
        <w:tc>
          <w:tcPr>
            <w:tcW w:w="4790" w:type="dxa"/>
            <w:shd w:val="clear" w:color="auto" w:fill="auto"/>
            <w:tcMar>
              <w:left w:w="28" w:type="dxa"/>
              <w:right w:w="28" w:type="dxa"/>
            </w:tcMar>
          </w:tcPr>
          <w:p w:rsidR="00AB44C1" w:rsidRPr="004F2101" w:rsidRDefault="00AB44C1" w:rsidP="00F851B4">
            <w:pPr>
              <w:pStyle w:val="SingleTxtG"/>
              <w:suppressAutoHyphens w:val="0"/>
              <w:spacing w:before="40" w:line="220" w:lineRule="exact"/>
              <w:ind w:left="0" w:right="113"/>
              <w:jc w:val="left"/>
            </w:pPr>
            <w:r w:rsidRPr="004F2101">
              <w:t>Follow-up dialogue ongoing.</w:t>
            </w:r>
          </w:p>
        </w:tc>
      </w:tr>
    </w:tbl>
    <w:p w:rsidR="00AB44C1" w:rsidRPr="004F2101" w:rsidRDefault="00E14425" w:rsidP="00E14425">
      <w:pPr>
        <w:pStyle w:val="H23G"/>
        <w:ind w:left="0" w:firstLine="0"/>
      </w:pPr>
      <w:r>
        <w:tab/>
      </w:r>
      <w:r w:rsidR="00AB44C1" w:rsidRPr="004F2101">
        <w:t>8.</w:t>
      </w:r>
      <w:r w:rsidR="00AB44C1" w:rsidRPr="004F2101">
        <w:tab/>
        <w:t>Kazakhstan</w:t>
      </w:r>
      <w:r w:rsidR="00693D1D">
        <w:t xml:space="preserve"> [please re-arrange cases in numerical order]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90"/>
      </w:tblGrid>
      <w:tr w:rsidR="00AB44C1" w:rsidRPr="004F2101" w:rsidTr="00496ECE">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AB44C1" w:rsidRPr="00E14425" w:rsidRDefault="00E14425" w:rsidP="000D5A0D">
            <w:pPr>
              <w:pStyle w:val="SingleTxtG"/>
              <w:ind w:left="0"/>
              <w:jc w:val="left"/>
              <w:rPr>
                <w:b/>
              </w:rPr>
            </w:pPr>
            <w:r>
              <w:rPr>
                <w:b/>
              </w:rPr>
              <w:t>Communication No. 2304/2013</w:t>
            </w:r>
            <w:r w:rsidRPr="00C7016A">
              <w:rPr>
                <w:b/>
              </w:rPr>
              <w:t>,</w:t>
            </w:r>
            <w:r>
              <w:rPr>
                <w:b/>
              </w:rPr>
              <w:t xml:space="preserve"> </w:t>
            </w:r>
            <w:proofErr w:type="spellStart"/>
            <w:r>
              <w:rPr>
                <w:b/>
                <w:i/>
              </w:rPr>
              <w:t>Dzhakishev</w:t>
            </w:r>
            <w:proofErr w:type="spellEnd"/>
          </w:p>
        </w:tc>
      </w:tr>
      <w:tr w:rsidR="00AB44C1" w:rsidRPr="004F2101" w:rsidTr="00F851B4">
        <w:tc>
          <w:tcPr>
            <w:tcW w:w="2580" w:type="dxa"/>
            <w:tcBorders>
              <w:top w:val="single" w:sz="12" w:space="0" w:color="auto"/>
            </w:tcBorders>
            <w:shd w:val="clear" w:color="auto" w:fill="auto"/>
            <w:tcMar>
              <w:left w:w="28" w:type="dxa"/>
              <w:right w:w="28" w:type="dxa"/>
            </w:tcMar>
          </w:tcPr>
          <w:p w:rsidR="00AB44C1" w:rsidRPr="004F2101" w:rsidRDefault="00AB44C1" w:rsidP="00F851B4">
            <w:pPr>
              <w:pStyle w:val="SingleTxtG"/>
              <w:suppressAutoHyphens w:val="0"/>
              <w:spacing w:before="40" w:line="220" w:lineRule="exact"/>
              <w:ind w:left="0" w:right="113"/>
              <w:jc w:val="left"/>
            </w:pPr>
            <w:r w:rsidRPr="004F2101">
              <w:t>Views adopted:</w:t>
            </w:r>
          </w:p>
        </w:tc>
        <w:tc>
          <w:tcPr>
            <w:tcW w:w="4790" w:type="dxa"/>
            <w:tcBorders>
              <w:top w:val="single" w:sz="12" w:space="0" w:color="auto"/>
            </w:tcBorders>
            <w:shd w:val="clear" w:color="auto" w:fill="auto"/>
            <w:tcMar>
              <w:left w:w="28" w:type="dxa"/>
              <w:right w:w="28" w:type="dxa"/>
            </w:tcMar>
          </w:tcPr>
          <w:p w:rsidR="00AB44C1" w:rsidRPr="004F2101" w:rsidRDefault="00E14425" w:rsidP="00F851B4">
            <w:pPr>
              <w:pStyle w:val="SingleTxtG"/>
              <w:suppressAutoHyphens w:val="0"/>
              <w:spacing w:before="40" w:line="220" w:lineRule="exact"/>
              <w:ind w:left="0" w:right="113"/>
              <w:jc w:val="left"/>
            </w:pPr>
            <w:r>
              <w:t>6 November</w:t>
            </w:r>
            <w:r w:rsidRPr="00BC071F">
              <w:t xml:space="preserve"> 201</w:t>
            </w:r>
            <w:r>
              <w:t>5</w:t>
            </w:r>
          </w:p>
        </w:tc>
      </w:tr>
      <w:tr w:rsidR="00AB44C1" w:rsidRPr="004F2101" w:rsidTr="00F851B4">
        <w:tc>
          <w:tcPr>
            <w:tcW w:w="2580" w:type="dxa"/>
            <w:tcBorders>
              <w:bottom w:val="nil"/>
            </w:tcBorders>
            <w:shd w:val="clear" w:color="auto" w:fill="auto"/>
            <w:tcMar>
              <w:left w:w="28" w:type="dxa"/>
              <w:right w:w="28" w:type="dxa"/>
            </w:tcMar>
          </w:tcPr>
          <w:p w:rsidR="00AB44C1" w:rsidRPr="004F2101" w:rsidRDefault="00AB44C1" w:rsidP="00F851B4">
            <w:pPr>
              <w:pStyle w:val="SingleTxtG"/>
              <w:suppressAutoHyphens w:val="0"/>
              <w:spacing w:before="40" w:line="220" w:lineRule="exact"/>
              <w:ind w:left="0" w:right="113"/>
              <w:jc w:val="left"/>
            </w:pPr>
            <w:r w:rsidRPr="004F2101">
              <w:t>Violation:</w:t>
            </w:r>
          </w:p>
        </w:tc>
        <w:tc>
          <w:tcPr>
            <w:tcW w:w="4790" w:type="dxa"/>
            <w:tcBorders>
              <w:bottom w:val="nil"/>
            </w:tcBorders>
            <w:shd w:val="clear" w:color="auto" w:fill="auto"/>
            <w:tcMar>
              <w:left w:w="28" w:type="dxa"/>
              <w:right w:w="28" w:type="dxa"/>
            </w:tcMar>
          </w:tcPr>
          <w:p w:rsidR="00AB44C1" w:rsidRPr="004F2101" w:rsidRDefault="00E14425" w:rsidP="00F851B4">
            <w:pPr>
              <w:pStyle w:val="SingleTxtG"/>
              <w:suppressAutoHyphens w:val="0"/>
              <w:spacing w:before="40" w:line="220" w:lineRule="exact"/>
              <w:ind w:left="0" w:right="113"/>
              <w:jc w:val="left"/>
            </w:pPr>
            <w:r w:rsidRPr="00BC071F">
              <w:t>Article</w:t>
            </w:r>
            <w:r>
              <w:t>s 10 (1) and 14 (1) and (3) (b) and (d)</w:t>
            </w:r>
            <w:r>
              <w:rPr>
                <w:szCs w:val="24"/>
              </w:rPr>
              <w:t xml:space="preserve"> of the Covenant</w:t>
            </w:r>
            <w:r w:rsidRPr="00BC071F">
              <w:t>.</w:t>
            </w:r>
          </w:p>
        </w:tc>
      </w:tr>
      <w:tr w:rsidR="00AB44C1" w:rsidRPr="004F2101" w:rsidTr="00F851B4">
        <w:tc>
          <w:tcPr>
            <w:tcW w:w="2580" w:type="dxa"/>
            <w:tcBorders>
              <w:top w:val="nil"/>
              <w:bottom w:val="nil"/>
            </w:tcBorders>
            <w:shd w:val="clear" w:color="auto" w:fill="auto"/>
            <w:tcMar>
              <w:left w:w="28" w:type="dxa"/>
              <w:right w:w="28" w:type="dxa"/>
            </w:tcMar>
          </w:tcPr>
          <w:p w:rsidR="00AB44C1" w:rsidRPr="004F2101" w:rsidRDefault="00AB44C1" w:rsidP="00F851B4">
            <w:pPr>
              <w:pStyle w:val="SingleTxtG"/>
              <w:suppressAutoHyphens w:val="0"/>
              <w:spacing w:before="40" w:line="220" w:lineRule="exact"/>
              <w:ind w:left="0" w:right="113"/>
              <w:jc w:val="left"/>
            </w:pPr>
            <w:r w:rsidRPr="004F2101">
              <w:t>Remedy:</w:t>
            </w:r>
          </w:p>
        </w:tc>
        <w:tc>
          <w:tcPr>
            <w:tcW w:w="4790" w:type="dxa"/>
            <w:tcBorders>
              <w:top w:val="nil"/>
              <w:bottom w:val="nil"/>
            </w:tcBorders>
            <w:shd w:val="clear" w:color="auto" w:fill="auto"/>
            <w:tcMar>
              <w:left w:w="28" w:type="dxa"/>
              <w:right w:w="28" w:type="dxa"/>
            </w:tcMar>
          </w:tcPr>
          <w:p w:rsidR="00AB44C1" w:rsidRPr="004F2101" w:rsidRDefault="00E14425" w:rsidP="000D5A0D">
            <w:pPr>
              <w:pStyle w:val="SingleTxtG"/>
              <w:ind w:left="0" w:right="141"/>
            </w:pPr>
            <w:proofErr w:type="gramStart"/>
            <w:r w:rsidRPr="00AE0A45">
              <w:t>Effective remedy, including by (</w:t>
            </w:r>
            <w:proofErr w:type="spellStart"/>
            <w:r w:rsidRPr="00AE0A45">
              <w:t>i</w:t>
            </w:r>
            <w:proofErr w:type="spellEnd"/>
            <w:r>
              <w:t xml:space="preserve">) </w:t>
            </w:r>
            <w:r>
              <w:rPr>
                <w:lang w:val="en-US"/>
              </w:rPr>
              <w:t xml:space="preserve">quashing the author’s conviction and releasing him, and, if deemed necessary, conducting a new trial, subject to the principles of fair and public hearings, access to counsel and other procedural safeguards; </w:t>
            </w:r>
            <w:r>
              <w:t>(ii) pending release, providing the author with continuous and effective access to health care in the place of imprisonment; (iii) providing the author with appropriate reparation, including adequate compensation;</w:t>
            </w:r>
            <w:r>
              <w:rPr>
                <w:lang w:val="en-US"/>
              </w:rPr>
              <w:t xml:space="preserve"> (iv) taking steps to prevent similar violations in the future.</w:t>
            </w:r>
            <w:proofErr w:type="gramEnd"/>
          </w:p>
        </w:tc>
      </w:tr>
      <w:tr w:rsidR="00AB44C1" w:rsidRPr="004F2101" w:rsidTr="00F851B4">
        <w:tc>
          <w:tcPr>
            <w:tcW w:w="2580" w:type="dxa"/>
            <w:tcBorders>
              <w:top w:val="nil"/>
            </w:tcBorders>
            <w:shd w:val="clear" w:color="auto" w:fill="auto"/>
            <w:tcMar>
              <w:left w:w="28" w:type="dxa"/>
              <w:right w:w="28" w:type="dxa"/>
            </w:tcMar>
          </w:tcPr>
          <w:p w:rsidR="00AB44C1" w:rsidRPr="004F2101" w:rsidRDefault="00AB44C1" w:rsidP="00F851B4">
            <w:pPr>
              <w:pStyle w:val="SingleTxtG"/>
              <w:suppressAutoHyphens w:val="0"/>
              <w:spacing w:before="40" w:line="220" w:lineRule="exact"/>
              <w:ind w:left="0" w:right="113"/>
              <w:jc w:val="left"/>
            </w:pPr>
            <w:r w:rsidRPr="004F2101">
              <w:t>Subject matter:</w:t>
            </w:r>
          </w:p>
        </w:tc>
        <w:tc>
          <w:tcPr>
            <w:tcW w:w="4790" w:type="dxa"/>
            <w:tcBorders>
              <w:top w:val="nil"/>
            </w:tcBorders>
            <w:shd w:val="clear" w:color="auto" w:fill="auto"/>
            <w:tcMar>
              <w:left w:w="28" w:type="dxa"/>
              <w:right w:w="28" w:type="dxa"/>
            </w:tcMar>
          </w:tcPr>
          <w:p w:rsidR="00AB44C1" w:rsidRPr="004F2101" w:rsidRDefault="00E14425" w:rsidP="00F851B4">
            <w:pPr>
              <w:pStyle w:val="SingleTxtG"/>
              <w:suppressAutoHyphens w:val="0"/>
              <w:spacing w:before="40" w:line="220" w:lineRule="exact"/>
              <w:ind w:left="0" w:right="113"/>
              <w:jc w:val="left"/>
            </w:pPr>
            <w:r>
              <w:t>Unlawful detention, conditions of detention, and unfair trial</w:t>
            </w:r>
          </w:p>
        </w:tc>
      </w:tr>
      <w:tr w:rsidR="00AB44C1" w:rsidRPr="004F2101" w:rsidTr="00F851B4">
        <w:tc>
          <w:tcPr>
            <w:tcW w:w="2580" w:type="dxa"/>
            <w:shd w:val="clear" w:color="auto" w:fill="auto"/>
            <w:tcMar>
              <w:left w:w="28" w:type="dxa"/>
              <w:right w:w="28" w:type="dxa"/>
            </w:tcMar>
          </w:tcPr>
          <w:p w:rsidR="00AB44C1" w:rsidRPr="004F2101" w:rsidRDefault="00AB44C1" w:rsidP="00F851B4">
            <w:pPr>
              <w:pStyle w:val="SingleTxtG"/>
              <w:suppressAutoHyphens w:val="0"/>
              <w:spacing w:before="40" w:line="220" w:lineRule="exact"/>
              <w:ind w:left="0" w:right="113"/>
              <w:jc w:val="left"/>
            </w:pPr>
            <w:r w:rsidRPr="004F2101">
              <w:t xml:space="preserve">Previous follow-up information: </w:t>
            </w:r>
          </w:p>
        </w:tc>
        <w:tc>
          <w:tcPr>
            <w:tcW w:w="4790" w:type="dxa"/>
            <w:shd w:val="clear" w:color="auto" w:fill="auto"/>
            <w:tcMar>
              <w:left w:w="28" w:type="dxa"/>
              <w:right w:w="28" w:type="dxa"/>
            </w:tcMar>
          </w:tcPr>
          <w:p w:rsidR="00AB44C1" w:rsidRPr="004F2101" w:rsidRDefault="00E14425" w:rsidP="000D5A0D">
            <w:pPr>
              <w:pStyle w:val="SingleTxtG"/>
              <w:ind w:left="0"/>
              <w:jc w:val="left"/>
            </w:pPr>
            <w:r>
              <w:t>No p</w:t>
            </w:r>
            <w:r w:rsidRPr="002C309A">
              <w:t>revious follow-up information</w:t>
            </w:r>
          </w:p>
        </w:tc>
      </w:tr>
      <w:tr w:rsidR="00AB44C1" w:rsidRPr="004F2101" w:rsidTr="00F851B4">
        <w:tc>
          <w:tcPr>
            <w:tcW w:w="2580" w:type="dxa"/>
            <w:tcBorders>
              <w:bottom w:val="nil"/>
            </w:tcBorders>
            <w:shd w:val="clear" w:color="auto" w:fill="auto"/>
            <w:tcMar>
              <w:left w:w="28" w:type="dxa"/>
              <w:right w:w="28" w:type="dxa"/>
            </w:tcMar>
          </w:tcPr>
          <w:p w:rsidR="00AB44C1" w:rsidRPr="004F2101" w:rsidRDefault="00AB44C1" w:rsidP="00F851B4">
            <w:pPr>
              <w:pStyle w:val="SingleTxtG"/>
              <w:suppressAutoHyphens w:val="0"/>
              <w:spacing w:before="40" w:line="220" w:lineRule="exact"/>
              <w:ind w:left="0" w:right="113"/>
              <w:jc w:val="left"/>
            </w:pPr>
            <w:r w:rsidRPr="004F2101">
              <w:t>Submission from State party:</w:t>
            </w:r>
          </w:p>
        </w:tc>
        <w:tc>
          <w:tcPr>
            <w:tcW w:w="4790" w:type="dxa"/>
            <w:tcBorders>
              <w:bottom w:val="nil"/>
            </w:tcBorders>
            <w:shd w:val="clear" w:color="auto" w:fill="auto"/>
            <w:tcMar>
              <w:left w:w="28" w:type="dxa"/>
              <w:right w:w="28" w:type="dxa"/>
            </w:tcMar>
          </w:tcPr>
          <w:p w:rsidR="00E14425" w:rsidRDefault="00E14425" w:rsidP="00E14425">
            <w:pPr>
              <w:pStyle w:val="SingleTxtG"/>
              <w:ind w:left="0"/>
              <w:jc w:val="left"/>
            </w:pPr>
            <w:r>
              <w:t>3 May 2016, 19 August 2016</w:t>
            </w:r>
          </w:p>
          <w:p w:rsidR="00E14425" w:rsidRDefault="00E14425" w:rsidP="00E14425">
            <w:pPr>
              <w:pStyle w:val="SingleTxtG"/>
              <w:ind w:left="0" w:right="283"/>
            </w:pPr>
            <w:r>
              <w:t xml:space="preserve">The State party inform the Committee that the criminal case against the author contains classified documents relating to a State secret, which makes it impossible to conduct a public hearing in the case as a measure of implementation. Furthermore, there have been no requests for retrial received from the author following the adoption of the Views. </w:t>
            </w:r>
          </w:p>
          <w:p w:rsidR="00E14425" w:rsidRDefault="00E14425" w:rsidP="00E14425">
            <w:pPr>
              <w:pStyle w:val="SingleTxtG"/>
              <w:ind w:left="0" w:right="283"/>
            </w:pPr>
            <w:r>
              <w:t xml:space="preserve">The State party disagrees with the Committee’s finding a violation of the author’s rights under article 14 of the Covenant. It states that the author </w:t>
            </w:r>
            <w:proofErr w:type="gramStart"/>
            <w:r>
              <w:t>was duly provided</w:t>
            </w:r>
            <w:proofErr w:type="gramEnd"/>
            <w:r>
              <w:t xml:space="preserve"> with legal assistance throughout the trial in his criminal case; that he was also offered the possibility to have his case heard by a jury, however he did not make use of this opportunity. </w:t>
            </w:r>
          </w:p>
          <w:p w:rsidR="00E14425" w:rsidRDefault="00E14425" w:rsidP="00E14425">
            <w:pPr>
              <w:pStyle w:val="SingleTxtG"/>
              <w:ind w:left="0" w:right="283"/>
            </w:pPr>
            <w:r>
              <w:t xml:space="preserve">Regarding compensation, the author </w:t>
            </w:r>
            <w:proofErr w:type="gramStart"/>
            <w:r>
              <w:t>was informed</w:t>
            </w:r>
            <w:proofErr w:type="gramEnd"/>
            <w:r>
              <w:t xml:space="preserve"> about the legal avenues in that respect.   </w:t>
            </w:r>
          </w:p>
          <w:p w:rsidR="00E14425" w:rsidRDefault="00E14425" w:rsidP="00E14425">
            <w:pPr>
              <w:pStyle w:val="SingleTxtG"/>
              <w:ind w:left="0" w:right="283"/>
            </w:pPr>
            <w:r>
              <w:t xml:space="preserve">As for securing appropriate health care arrangements, the State party submits that, upon arrival to the correction facility, </w:t>
            </w:r>
            <w:proofErr w:type="gramStart"/>
            <w:r>
              <w:t>the author was examined by doctors</w:t>
            </w:r>
            <w:proofErr w:type="gramEnd"/>
            <w:r>
              <w:t xml:space="preserve">; he regularly receives outpatient and inpatient medical treatment. His current health condition is satisfactory; he </w:t>
            </w:r>
            <w:proofErr w:type="gramStart"/>
            <w:r>
              <w:t>is being fully provided</w:t>
            </w:r>
            <w:proofErr w:type="gramEnd"/>
            <w:r>
              <w:t xml:space="preserve"> with the necessary medical treatment. On 23 April 2016, the author underwent a medical examination in the </w:t>
            </w:r>
            <w:proofErr w:type="spellStart"/>
            <w:r>
              <w:t>Kapshagay</w:t>
            </w:r>
            <w:proofErr w:type="spellEnd"/>
            <w:r>
              <w:t xml:space="preserve"> town hospital (a medical certificate to that effect is submitted) and received medical recommendations. </w:t>
            </w:r>
          </w:p>
          <w:p w:rsidR="00E14425" w:rsidRDefault="00E14425" w:rsidP="00E14425">
            <w:pPr>
              <w:pStyle w:val="SingleTxtG"/>
              <w:ind w:left="0" w:right="283"/>
            </w:pPr>
            <w:r>
              <w:t xml:space="preserve">On 25 July </w:t>
            </w:r>
            <w:proofErr w:type="gramStart"/>
            <w:r>
              <w:t>2016</w:t>
            </w:r>
            <w:proofErr w:type="gramEnd"/>
            <w:r>
              <w:t xml:space="preserve"> the author was placed to the Almaty city central clinical hospital for additional medical examination. At the current moment, his health condition is satisfactory.  </w:t>
            </w:r>
          </w:p>
          <w:p w:rsidR="00AB44C1" w:rsidRPr="004F2101" w:rsidRDefault="00E14425" w:rsidP="000D5A0D">
            <w:pPr>
              <w:pStyle w:val="SingleTxtG"/>
              <w:ind w:left="0" w:right="283"/>
            </w:pPr>
            <w:r>
              <w:t xml:space="preserve">The State party also submits that there currently exists no possibility to release the author, as the latter is serving his prison sentence </w:t>
            </w:r>
            <w:proofErr w:type="gramStart"/>
            <w:r>
              <w:t>on the basis of</w:t>
            </w:r>
            <w:proofErr w:type="gramEnd"/>
            <w:r>
              <w:t xml:space="preserve"> a binding judgment. A reopening of criminal proceedings could only happen through a request from the author himself, or from the Prosecutor General. No such requests </w:t>
            </w:r>
            <w:proofErr w:type="gramStart"/>
            <w:r>
              <w:t>have been submitted</w:t>
            </w:r>
            <w:proofErr w:type="gramEnd"/>
            <w:r>
              <w:t xml:space="preserve"> so far. </w:t>
            </w:r>
          </w:p>
        </w:tc>
      </w:tr>
      <w:tr w:rsidR="00AB44C1" w:rsidRPr="004F2101" w:rsidTr="00F851B4">
        <w:tc>
          <w:tcPr>
            <w:tcW w:w="2580" w:type="dxa"/>
            <w:tcBorders>
              <w:top w:val="nil"/>
              <w:bottom w:val="nil"/>
            </w:tcBorders>
            <w:shd w:val="clear" w:color="auto" w:fill="auto"/>
            <w:tcMar>
              <w:left w:w="28" w:type="dxa"/>
              <w:right w:w="28" w:type="dxa"/>
            </w:tcMar>
          </w:tcPr>
          <w:p w:rsidR="00AB44C1" w:rsidRPr="004F2101" w:rsidRDefault="00AB44C1" w:rsidP="00F851B4">
            <w:pPr>
              <w:pStyle w:val="SingleTxtG"/>
              <w:suppressAutoHyphens w:val="0"/>
              <w:spacing w:before="40" w:line="220" w:lineRule="exact"/>
              <w:ind w:left="0" w:right="113"/>
              <w:jc w:val="left"/>
            </w:pPr>
            <w:r w:rsidRPr="004F2101">
              <w:t>Submission from author</w:t>
            </w:r>
            <w:r w:rsidR="001D6817" w:rsidRPr="004F2101">
              <w:t>’</w:t>
            </w:r>
            <w:r w:rsidRPr="004F2101">
              <w:t>s counsel:</w:t>
            </w:r>
          </w:p>
        </w:tc>
        <w:tc>
          <w:tcPr>
            <w:tcW w:w="4790" w:type="dxa"/>
            <w:tcBorders>
              <w:top w:val="nil"/>
              <w:bottom w:val="nil"/>
            </w:tcBorders>
            <w:shd w:val="clear" w:color="auto" w:fill="auto"/>
            <w:tcMar>
              <w:left w:w="28" w:type="dxa"/>
              <w:right w:w="28" w:type="dxa"/>
            </w:tcMar>
          </w:tcPr>
          <w:p w:rsidR="00E14425" w:rsidRDefault="00E14425" w:rsidP="00E14425">
            <w:pPr>
              <w:pStyle w:val="SingleTxtG"/>
              <w:ind w:left="0"/>
              <w:jc w:val="left"/>
            </w:pPr>
            <w:r>
              <w:t>21 June 2016</w:t>
            </w:r>
          </w:p>
          <w:p w:rsidR="00AB44C1" w:rsidRPr="004F2101" w:rsidRDefault="00E14425" w:rsidP="00E14425">
            <w:pPr>
              <w:pStyle w:val="SingleTxtG"/>
              <w:ind w:left="0" w:right="283"/>
            </w:pPr>
            <w:r>
              <w:t xml:space="preserve">The author’s counsel refers to the absence of any implementation measures on the part of the State party, and requests the Committee </w:t>
            </w:r>
            <w:proofErr w:type="gramStart"/>
            <w:r>
              <w:t>to closely monitor</w:t>
            </w:r>
            <w:proofErr w:type="gramEnd"/>
            <w:r>
              <w:t xml:space="preserve"> the situation.</w:t>
            </w:r>
          </w:p>
        </w:tc>
      </w:tr>
      <w:tr w:rsidR="00AB44C1" w:rsidRPr="004F2101" w:rsidTr="00F851B4">
        <w:tc>
          <w:tcPr>
            <w:tcW w:w="2580" w:type="dxa"/>
            <w:tcBorders>
              <w:top w:val="nil"/>
            </w:tcBorders>
            <w:shd w:val="clear" w:color="auto" w:fill="auto"/>
            <w:tcMar>
              <w:left w:w="28" w:type="dxa"/>
              <w:right w:w="28" w:type="dxa"/>
            </w:tcMar>
          </w:tcPr>
          <w:p w:rsidR="00AB44C1" w:rsidRPr="004F2101" w:rsidRDefault="00AB44C1" w:rsidP="00F851B4">
            <w:pPr>
              <w:pStyle w:val="SingleTxtG"/>
              <w:suppressAutoHyphens w:val="0"/>
              <w:spacing w:before="40" w:line="220" w:lineRule="exact"/>
              <w:ind w:left="0" w:right="113"/>
              <w:jc w:val="left"/>
            </w:pPr>
            <w:r w:rsidRPr="004F2101">
              <w:t>Committee</w:t>
            </w:r>
            <w:r w:rsidR="001D6817" w:rsidRPr="004F2101">
              <w:t>’</w:t>
            </w:r>
            <w:r w:rsidRPr="004F2101">
              <w:t>s assessment:</w:t>
            </w:r>
          </w:p>
        </w:tc>
        <w:tc>
          <w:tcPr>
            <w:tcW w:w="4790" w:type="dxa"/>
            <w:tcBorders>
              <w:top w:val="nil"/>
            </w:tcBorders>
            <w:shd w:val="clear" w:color="auto" w:fill="auto"/>
            <w:tcMar>
              <w:left w:w="28" w:type="dxa"/>
              <w:right w:w="28" w:type="dxa"/>
            </w:tcMar>
          </w:tcPr>
          <w:p w:rsidR="00E14425" w:rsidRPr="001F75D0" w:rsidRDefault="00E14425" w:rsidP="000D5A0D">
            <w:pPr>
              <w:pStyle w:val="SingleTxtG"/>
              <w:numPr>
                <w:ilvl w:val="0"/>
                <w:numId w:val="12"/>
              </w:numPr>
              <w:ind w:left="539" w:right="141" w:hanging="567"/>
            </w:pPr>
            <w:r>
              <w:t>Q</w:t>
            </w:r>
            <w:proofErr w:type="spellStart"/>
            <w:r>
              <w:rPr>
                <w:lang w:val="en-US"/>
              </w:rPr>
              <w:t>uashing</w:t>
            </w:r>
            <w:proofErr w:type="spellEnd"/>
            <w:r>
              <w:rPr>
                <w:lang w:val="en-US"/>
              </w:rPr>
              <w:t xml:space="preserve"> the author’s conviction and releasing him, and, if deemed necessary, conducting a new trial: C</w:t>
            </w:r>
          </w:p>
          <w:p w:rsidR="00E14425" w:rsidRDefault="00E14425" w:rsidP="000D5A0D">
            <w:pPr>
              <w:pStyle w:val="SingleTxtG"/>
              <w:numPr>
                <w:ilvl w:val="0"/>
                <w:numId w:val="12"/>
              </w:numPr>
              <w:ind w:left="539" w:right="141" w:hanging="567"/>
            </w:pPr>
            <w:r>
              <w:t>Continuous and effective access to health care in the place of imprisonment: B</w:t>
            </w:r>
          </w:p>
          <w:p w:rsidR="00E14425" w:rsidRPr="001F75D0" w:rsidRDefault="00E14425" w:rsidP="000D5A0D">
            <w:pPr>
              <w:pStyle w:val="SingleTxtG"/>
              <w:numPr>
                <w:ilvl w:val="0"/>
                <w:numId w:val="12"/>
              </w:numPr>
              <w:ind w:left="539" w:right="141" w:hanging="567"/>
              <w:rPr>
                <w:lang w:eastAsia="en-GB"/>
              </w:rPr>
            </w:pPr>
            <w:r>
              <w:t>Providing the author with appropriate reparation, including adequate compensation: C</w:t>
            </w:r>
          </w:p>
          <w:p w:rsidR="00E14425" w:rsidRPr="00C951DF" w:rsidRDefault="00E14425" w:rsidP="000D5A0D">
            <w:pPr>
              <w:pStyle w:val="SingleTxtG"/>
              <w:ind w:left="0" w:hanging="1522"/>
              <w:rPr>
                <w:lang w:eastAsia="en-GB"/>
              </w:rPr>
            </w:pPr>
            <w:r>
              <w:rPr>
                <w:lang w:val="en-US"/>
              </w:rPr>
              <w:tab/>
            </w:r>
            <w:r>
              <w:rPr>
                <w:lang w:eastAsia="en-GB"/>
              </w:rPr>
              <w:t>(d)</w:t>
            </w:r>
            <w:r>
              <w:rPr>
                <w:lang w:eastAsia="en-GB"/>
              </w:rPr>
              <w:tab/>
            </w:r>
            <w:r w:rsidRPr="00C951DF">
              <w:rPr>
                <w:lang w:eastAsia="en-GB"/>
              </w:rPr>
              <w:t xml:space="preserve">Publication of Views: </w:t>
            </w:r>
            <w:r>
              <w:rPr>
                <w:lang w:eastAsia="en-GB"/>
              </w:rPr>
              <w:t>No information</w:t>
            </w:r>
          </w:p>
          <w:p w:rsidR="00AB44C1" w:rsidRPr="004F2101" w:rsidRDefault="00E14425" w:rsidP="000D5A0D">
            <w:pPr>
              <w:pStyle w:val="SingleTxtG"/>
              <w:ind w:left="0" w:hanging="1522"/>
            </w:pPr>
            <w:r>
              <w:rPr>
                <w:lang w:eastAsia="en-GB"/>
              </w:rPr>
              <w:t>(e)</w:t>
            </w:r>
            <w:r>
              <w:rPr>
                <w:lang w:eastAsia="en-GB"/>
              </w:rPr>
              <w:tab/>
            </w:r>
            <w:r w:rsidRPr="00C951DF">
              <w:rPr>
                <w:lang w:eastAsia="en-GB"/>
              </w:rPr>
              <w:t>Non</w:t>
            </w:r>
            <w:r>
              <w:rPr>
                <w:lang w:eastAsia="en-GB"/>
              </w:rPr>
              <w:t>-repetition: No information</w:t>
            </w:r>
          </w:p>
        </w:tc>
      </w:tr>
      <w:tr w:rsidR="00AB44C1" w:rsidRPr="004F2101" w:rsidTr="00F851B4">
        <w:tc>
          <w:tcPr>
            <w:tcW w:w="2580" w:type="dxa"/>
            <w:shd w:val="clear" w:color="auto" w:fill="auto"/>
            <w:tcMar>
              <w:left w:w="28" w:type="dxa"/>
              <w:right w:w="28" w:type="dxa"/>
            </w:tcMar>
          </w:tcPr>
          <w:p w:rsidR="00AB44C1" w:rsidRPr="004F2101" w:rsidRDefault="00AB44C1" w:rsidP="00F851B4">
            <w:pPr>
              <w:pStyle w:val="SingleTxtG"/>
              <w:suppressAutoHyphens w:val="0"/>
              <w:spacing w:before="40" w:line="220" w:lineRule="exact"/>
              <w:ind w:left="0" w:right="113"/>
              <w:jc w:val="left"/>
            </w:pPr>
            <w:r w:rsidRPr="004F2101">
              <w:t>Committee</w:t>
            </w:r>
            <w:r w:rsidR="001D6817" w:rsidRPr="004F2101">
              <w:t>’</w:t>
            </w:r>
            <w:r w:rsidRPr="004F2101">
              <w:t xml:space="preserve">s decision: </w:t>
            </w:r>
          </w:p>
        </w:tc>
        <w:tc>
          <w:tcPr>
            <w:tcW w:w="4790" w:type="dxa"/>
            <w:shd w:val="clear" w:color="auto" w:fill="auto"/>
            <w:tcMar>
              <w:left w:w="28" w:type="dxa"/>
              <w:right w:w="28" w:type="dxa"/>
            </w:tcMar>
          </w:tcPr>
          <w:p w:rsidR="00AB44C1" w:rsidRPr="004F2101" w:rsidRDefault="00AB44C1" w:rsidP="00F851B4">
            <w:pPr>
              <w:pStyle w:val="SingleTxtG"/>
              <w:suppressAutoHyphens w:val="0"/>
              <w:spacing w:before="40" w:line="220" w:lineRule="exact"/>
              <w:ind w:left="0" w:right="113"/>
              <w:jc w:val="left"/>
            </w:pPr>
            <w:r w:rsidRPr="004F2101">
              <w:t xml:space="preserve">Follow-up dialogue ongoing. </w:t>
            </w:r>
          </w:p>
        </w:tc>
      </w:tr>
      <w:tr w:rsidR="00AB44C1" w:rsidRPr="004F2101" w:rsidTr="00077B19">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AB44C1" w:rsidRPr="004F2101" w:rsidRDefault="00AB44C1" w:rsidP="00496ECE">
            <w:pPr>
              <w:pStyle w:val="SingleTxtG"/>
              <w:suppressAutoHyphens w:val="0"/>
              <w:spacing w:before="80" w:after="80" w:line="200" w:lineRule="exact"/>
              <w:ind w:left="0" w:right="113"/>
              <w:jc w:val="left"/>
              <w:rPr>
                <w:rFonts w:ascii="Times New Roman Bold" w:hAnsi="Times New Roman Bold" w:cs="Times New Roman Bold" w:hint="eastAsia"/>
                <w:b/>
                <w:bCs/>
                <w:i/>
              </w:rPr>
            </w:pPr>
            <w:r w:rsidRPr="004F2101">
              <w:rPr>
                <w:rFonts w:ascii="Times New Roman Bold" w:hAnsi="Times New Roman Bold" w:cs="Times New Roman Bold"/>
                <w:b/>
                <w:bCs/>
                <w:iCs/>
              </w:rPr>
              <w:t>Communication No. 2131/2012,</w:t>
            </w:r>
            <w:r w:rsidRPr="004F2101">
              <w:rPr>
                <w:rFonts w:ascii="Times New Roman Bold" w:hAnsi="Times New Roman Bold" w:cs="Times New Roman Bold"/>
                <w:b/>
                <w:bCs/>
                <w:i/>
              </w:rPr>
              <w:t xml:space="preserve"> Leven v. Kazakhstan</w:t>
            </w:r>
          </w:p>
        </w:tc>
      </w:tr>
      <w:tr w:rsidR="00AB44C1" w:rsidRPr="004F2101" w:rsidTr="00496ECE">
        <w:tc>
          <w:tcPr>
            <w:tcW w:w="2580" w:type="dxa"/>
            <w:tcBorders>
              <w:top w:val="single" w:sz="12" w:space="0" w:color="auto"/>
            </w:tcBorders>
            <w:shd w:val="clear" w:color="auto" w:fill="auto"/>
            <w:tcMar>
              <w:left w:w="28" w:type="dxa"/>
              <w:right w:w="28" w:type="dxa"/>
            </w:tcMar>
          </w:tcPr>
          <w:p w:rsidR="00AB44C1" w:rsidRPr="004F2101" w:rsidRDefault="00AB44C1" w:rsidP="00496ECE">
            <w:pPr>
              <w:pStyle w:val="SingleTxtG"/>
              <w:suppressAutoHyphens w:val="0"/>
              <w:spacing w:before="40" w:line="220" w:lineRule="exact"/>
              <w:ind w:left="0" w:right="113"/>
              <w:jc w:val="left"/>
            </w:pPr>
            <w:r w:rsidRPr="004F2101">
              <w:t>Views adopted:</w:t>
            </w:r>
          </w:p>
        </w:tc>
        <w:tc>
          <w:tcPr>
            <w:tcW w:w="4790" w:type="dxa"/>
            <w:tcBorders>
              <w:top w:val="single" w:sz="12" w:space="0" w:color="auto"/>
            </w:tcBorders>
            <w:shd w:val="clear" w:color="auto" w:fill="auto"/>
            <w:tcMar>
              <w:left w:w="28" w:type="dxa"/>
              <w:right w:w="28" w:type="dxa"/>
            </w:tcMar>
          </w:tcPr>
          <w:p w:rsidR="00AB44C1" w:rsidRPr="004F2101" w:rsidRDefault="00AB44C1" w:rsidP="00496ECE">
            <w:pPr>
              <w:pStyle w:val="SingleTxtG"/>
              <w:suppressAutoHyphens w:val="0"/>
              <w:spacing w:before="40" w:line="220" w:lineRule="exact"/>
              <w:ind w:left="0" w:right="113"/>
              <w:jc w:val="left"/>
            </w:pPr>
            <w:r w:rsidRPr="004F2101">
              <w:t>21 October 2014</w:t>
            </w:r>
          </w:p>
        </w:tc>
      </w:tr>
      <w:tr w:rsidR="00AB44C1" w:rsidRPr="004F2101" w:rsidTr="00496ECE">
        <w:tc>
          <w:tcPr>
            <w:tcW w:w="2580" w:type="dxa"/>
            <w:shd w:val="clear" w:color="auto" w:fill="auto"/>
            <w:tcMar>
              <w:left w:w="28" w:type="dxa"/>
              <w:right w:w="28" w:type="dxa"/>
            </w:tcMar>
          </w:tcPr>
          <w:p w:rsidR="00AB44C1" w:rsidRPr="004F2101" w:rsidRDefault="00AB44C1" w:rsidP="00496ECE">
            <w:pPr>
              <w:pStyle w:val="SingleTxtG"/>
              <w:suppressAutoHyphens w:val="0"/>
              <w:spacing w:before="40" w:line="220" w:lineRule="exact"/>
              <w:ind w:left="0" w:right="113"/>
              <w:jc w:val="left"/>
            </w:pPr>
            <w:r w:rsidRPr="004F2101">
              <w:t>Violation:</w:t>
            </w:r>
          </w:p>
        </w:tc>
        <w:tc>
          <w:tcPr>
            <w:tcW w:w="4790" w:type="dxa"/>
            <w:shd w:val="clear" w:color="auto" w:fill="auto"/>
            <w:tcMar>
              <w:left w:w="28" w:type="dxa"/>
              <w:right w:w="28" w:type="dxa"/>
            </w:tcMar>
          </w:tcPr>
          <w:p w:rsidR="00AB44C1" w:rsidRPr="004F2101" w:rsidRDefault="00AB44C1" w:rsidP="00496ECE">
            <w:pPr>
              <w:pStyle w:val="SingleTxtG"/>
              <w:suppressAutoHyphens w:val="0"/>
              <w:spacing w:before="40" w:line="220" w:lineRule="exact"/>
              <w:ind w:left="0" w:right="113"/>
              <w:jc w:val="left"/>
            </w:pPr>
            <w:r w:rsidRPr="004F2101">
              <w:t xml:space="preserve">Article 18 </w:t>
            </w:r>
          </w:p>
        </w:tc>
      </w:tr>
      <w:tr w:rsidR="00AB44C1" w:rsidRPr="004F2101" w:rsidTr="00496ECE">
        <w:tc>
          <w:tcPr>
            <w:tcW w:w="2580" w:type="dxa"/>
            <w:shd w:val="clear" w:color="auto" w:fill="auto"/>
            <w:tcMar>
              <w:left w:w="28" w:type="dxa"/>
              <w:right w:w="28" w:type="dxa"/>
            </w:tcMar>
          </w:tcPr>
          <w:p w:rsidR="00AB44C1" w:rsidRPr="004F2101" w:rsidRDefault="00AB44C1" w:rsidP="00496ECE">
            <w:pPr>
              <w:pStyle w:val="SingleTxtG"/>
              <w:suppressAutoHyphens w:val="0"/>
              <w:spacing w:before="40" w:line="220" w:lineRule="exact"/>
              <w:ind w:left="0" w:right="113"/>
              <w:jc w:val="left"/>
            </w:pPr>
            <w:r w:rsidRPr="004F2101">
              <w:t>Remedy:</w:t>
            </w:r>
          </w:p>
        </w:tc>
        <w:tc>
          <w:tcPr>
            <w:tcW w:w="4790" w:type="dxa"/>
            <w:shd w:val="clear" w:color="auto" w:fill="auto"/>
            <w:tcMar>
              <w:left w:w="28" w:type="dxa"/>
              <w:right w:w="28" w:type="dxa"/>
            </w:tcMar>
          </w:tcPr>
          <w:p w:rsidR="00AB44C1" w:rsidRPr="004F2101" w:rsidRDefault="009965FA" w:rsidP="00496ECE">
            <w:pPr>
              <w:pStyle w:val="SingleTxtG"/>
              <w:suppressAutoHyphens w:val="0"/>
              <w:spacing w:before="40" w:line="220" w:lineRule="exact"/>
              <w:ind w:left="0" w:right="113"/>
              <w:jc w:val="left"/>
            </w:pPr>
            <w:r w:rsidRPr="001659D5">
              <w:rPr>
                <w:color w:val="000000" w:themeColor="text1"/>
              </w:rPr>
              <w:t>Effective remedy, including by (</w:t>
            </w:r>
            <w:proofErr w:type="spellStart"/>
            <w:r w:rsidRPr="001659D5">
              <w:rPr>
                <w:color w:val="000000" w:themeColor="text1"/>
              </w:rPr>
              <w:t>i</w:t>
            </w:r>
            <w:proofErr w:type="spellEnd"/>
            <w:r w:rsidRPr="001659D5">
              <w:rPr>
                <w:color w:val="000000" w:themeColor="text1"/>
              </w:rPr>
              <w:t>)</w:t>
            </w:r>
            <w:r>
              <w:rPr>
                <w:color w:val="000000" w:themeColor="text1"/>
              </w:rPr>
              <w:t xml:space="preserve"> </w:t>
            </w:r>
            <w:r>
              <w:t>reviewing the author’s conviction, (ii) reviewing the cancellation of his residence permit and (iii) preventing similar violations in the future.</w:t>
            </w:r>
          </w:p>
        </w:tc>
      </w:tr>
      <w:tr w:rsidR="00AB44C1" w:rsidRPr="004F2101" w:rsidTr="00496ECE">
        <w:tc>
          <w:tcPr>
            <w:tcW w:w="2580" w:type="dxa"/>
            <w:shd w:val="clear" w:color="auto" w:fill="auto"/>
            <w:tcMar>
              <w:left w:w="28" w:type="dxa"/>
              <w:right w:w="28" w:type="dxa"/>
            </w:tcMar>
          </w:tcPr>
          <w:p w:rsidR="00AB44C1" w:rsidRPr="004F2101" w:rsidRDefault="00AB44C1" w:rsidP="00496ECE">
            <w:pPr>
              <w:pStyle w:val="SingleTxtG"/>
              <w:suppressAutoHyphens w:val="0"/>
              <w:spacing w:before="40" w:line="220" w:lineRule="exact"/>
              <w:ind w:left="0" w:right="113"/>
              <w:jc w:val="left"/>
            </w:pPr>
            <w:r w:rsidRPr="004F2101">
              <w:t>Subject matter:</w:t>
            </w:r>
          </w:p>
        </w:tc>
        <w:tc>
          <w:tcPr>
            <w:tcW w:w="4790" w:type="dxa"/>
            <w:shd w:val="clear" w:color="auto" w:fill="auto"/>
            <w:tcMar>
              <w:left w:w="28" w:type="dxa"/>
              <w:right w:w="28" w:type="dxa"/>
            </w:tcMar>
          </w:tcPr>
          <w:p w:rsidR="00AB44C1" w:rsidRPr="004F2101" w:rsidRDefault="00AB44C1" w:rsidP="00496ECE">
            <w:pPr>
              <w:pStyle w:val="SingleTxtG"/>
              <w:suppressAutoHyphens w:val="0"/>
              <w:spacing w:before="40" w:line="220" w:lineRule="exact"/>
              <w:ind w:left="0" w:right="113"/>
              <w:jc w:val="left"/>
            </w:pPr>
            <w:r w:rsidRPr="004F2101">
              <w:t>Conviction with a fine and expulsion from the State party of a foreign national for participating in religious ceremonies</w:t>
            </w:r>
          </w:p>
        </w:tc>
      </w:tr>
      <w:tr w:rsidR="00AB44C1" w:rsidRPr="004F2101" w:rsidTr="00077B19">
        <w:tc>
          <w:tcPr>
            <w:tcW w:w="2580" w:type="dxa"/>
            <w:tcBorders>
              <w:bottom w:val="nil"/>
            </w:tcBorders>
            <w:shd w:val="clear" w:color="auto" w:fill="auto"/>
            <w:tcMar>
              <w:left w:w="28" w:type="dxa"/>
              <w:right w:w="28" w:type="dxa"/>
            </w:tcMar>
          </w:tcPr>
          <w:p w:rsidR="00AB44C1" w:rsidRPr="004F2101" w:rsidRDefault="00AB44C1" w:rsidP="00496ECE">
            <w:pPr>
              <w:pStyle w:val="SingleTxtG"/>
              <w:suppressAutoHyphens w:val="0"/>
              <w:spacing w:before="40" w:line="220" w:lineRule="exact"/>
              <w:ind w:left="0" w:right="113"/>
              <w:jc w:val="left"/>
            </w:pPr>
            <w:r w:rsidRPr="004F2101">
              <w:t xml:space="preserve">Previous follow-up information: </w:t>
            </w:r>
          </w:p>
        </w:tc>
        <w:tc>
          <w:tcPr>
            <w:tcW w:w="4790" w:type="dxa"/>
            <w:tcBorders>
              <w:bottom w:val="nil"/>
            </w:tcBorders>
            <w:shd w:val="clear" w:color="auto" w:fill="auto"/>
            <w:tcMar>
              <w:left w:w="28" w:type="dxa"/>
              <w:right w:w="28" w:type="dxa"/>
            </w:tcMar>
          </w:tcPr>
          <w:p w:rsidR="00AB44C1" w:rsidRPr="004F2101" w:rsidRDefault="009965FA" w:rsidP="00496ECE">
            <w:pPr>
              <w:pStyle w:val="SingleTxtG"/>
              <w:suppressAutoHyphens w:val="0"/>
              <w:spacing w:before="40" w:line="220" w:lineRule="exact"/>
              <w:ind w:left="0" w:right="113"/>
              <w:jc w:val="left"/>
            </w:pPr>
            <w:r>
              <w:rPr>
                <w:color w:val="000000" w:themeColor="text1"/>
              </w:rPr>
              <w:t>CCPR</w:t>
            </w:r>
            <w:r w:rsidRPr="001B30FD">
              <w:rPr>
                <w:color w:val="000000" w:themeColor="text1"/>
              </w:rPr>
              <w:t>/C/118/3</w:t>
            </w:r>
          </w:p>
        </w:tc>
      </w:tr>
      <w:tr w:rsidR="00AB44C1" w:rsidRPr="004F2101" w:rsidTr="00077B19">
        <w:tc>
          <w:tcPr>
            <w:tcW w:w="2580" w:type="dxa"/>
            <w:tcBorders>
              <w:top w:val="nil"/>
              <w:bottom w:val="nil"/>
            </w:tcBorders>
            <w:shd w:val="clear" w:color="auto" w:fill="auto"/>
            <w:tcMar>
              <w:left w:w="28" w:type="dxa"/>
              <w:right w:w="28" w:type="dxa"/>
            </w:tcMar>
          </w:tcPr>
          <w:p w:rsidR="00AB44C1" w:rsidRPr="004F2101" w:rsidRDefault="00AB44C1" w:rsidP="009965FA">
            <w:pPr>
              <w:pStyle w:val="SingleTxtG"/>
              <w:suppressAutoHyphens w:val="0"/>
              <w:spacing w:before="40" w:line="220" w:lineRule="exact"/>
              <w:ind w:left="0" w:right="113"/>
              <w:jc w:val="left"/>
            </w:pPr>
            <w:r w:rsidRPr="004F2101">
              <w:t>Submission from</w:t>
            </w:r>
            <w:r w:rsidR="009965FA">
              <w:t xml:space="preserve"> State party</w:t>
            </w:r>
            <w:r w:rsidRPr="004F2101">
              <w:t>:</w:t>
            </w:r>
          </w:p>
        </w:tc>
        <w:tc>
          <w:tcPr>
            <w:tcW w:w="4790" w:type="dxa"/>
            <w:tcBorders>
              <w:top w:val="nil"/>
              <w:bottom w:val="nil"/>
            </w:tcBorders>
            <w:shd w:val="clear" w:color="auto" w:fill="auto"/>
            <w:tcMar>
              <w:left w:w="28" w:type="dxa"/>
              <w:right w:w="28" w:type="dxa"/>
            </w:tcMar>
          </w:tcPr>
          <w:p w:rsidR="00AB44C1" w:rsidRPr="004F2101" w:rsidRDefault="00AB44C1" w:rsidP="00496ECE">
            <w:pPr>
              <w:pStyle w:val="SingleTxtG"/>
              <w:suppressAutoHyphens w:val="0"/>
              <w:spacing w:before="40" w:line="220" w:lineRule="exact"/>
              <w:ind w:left="0" w:right="113"/>
              <w:jc w:val="left"/>
            </w:pPr>
            <w:r w:rsidRPr="004F2101">
              <w:t xml:space="preserve">28 December 2015 </w:t>
            </w:r>
          </w:p>
          <w:p w:rsidR="009965FA" w:rsidRDefault="009965FA" w:rsidP="009965FA">
            <w:pPr>
              <w:pStyle w:val="SingleTxtG"/>
              <w:ind w:left="0" w:right="283"/>
              <w:rPr>
                <w:color w:val="000000" w:themeColor="text1"/>
              </w:rPr>
            </w:pPr>
            <w:r>
              <w:rPr>
                <w:color w:val="000000" w:themeColor="text1"/>
              </w:rPr>
              <w:t xml:space="preserve">The State party submits that certain organisational and practical measures </w:t>
            </w:r>
            <w:proofErr w:type="gramStart"/>
            <w:r>
              <w:rPr>
                <w:color w:val="000000" w:themeColor="text1"/>
              </w:rPr>
              <w:t>were undertaken</w:t>
            </w:r>
            <w:proofErr w:type="gramEnd"/>
            <w:r>
              <w:rPr>
                <w:color w:val="000000" w:themeColor="text1"/>
              </w:rPr>
              <w:t xml:space="preserve"> to prevent similar violations in the future: On 5 November 2015, the Public Prosecutor’s Office in Astana initiated a cassation review of administrative conviction of a member of Jehovah’s Witnesses community, who had been convicted for unlawful missionary activities. As a result, the Astana City Court quashed the conviction on 16 September 2015 and terminated the proceedings against the member. Furthermore, in December 2015, the Office of the Prosecutor General of Kazakhstan held a meeting with Shane Brady – a legal counsel representing 48 Jehovah’s Witnesses members in the proceedings before the Committee. </w:t>
            </w:r>
          </w:p>
          <w:p w:rsidR="00AB44C1" w:rsidRPr="009965FA" w:rsidRDefault="009965FA" w:rsidP="009965FA">
            <w:pPr>
              <w:pStyle w:val="SingleTxtG"/>
              <w:ind w:left="0" w:right="283"/>
              <w:rPr>
                <w:color w:val="000000" w:themeColor="text1"/>
              </w:rPr>
            </w:pPr>
            <w:r>
              <w:rPr>
                <w:color w:val="000000" w:themeColor="text1"/>
              </w:rPr>
              <w:t xml:space="preserve">With respect to implementation of the Views, the Office of the Prosecutor General issued practice directions for public authorities urging them </w:t>
            </w:r>
            <w:proofErr w:type="gramStart"/>
            <w:r>
              <w:rPr>
                <w:color w:val="000000" w:themeColor="text1"/>
              </w:rPr>
              <w:t>to strictly observe</w:t>
            </w:r>
            <w:proofErr w:type="gramEnd"/>
            <w:r>
              <w:rPr>
                <w:color w:val="000000" w:themeColor="text1"/>
              </w:rPr>
              <w:t xml:space="preserve"> guarantees of the freedom of religion enshrined in the Covenant. </w:t>
            </w:r>
          </w:p>
        </w:tc>
      </w:tr>
      <w:tr w:rsidR="009965FA" w:rsidRPr="004F2101" w:rsidTr="00077B19">
        <w:tc>
          <w:tcPr>
            <w:tcW w:w="2580" w:type="dxa"/>
            <w:tcBorders>
              <w:top w:val="nil"/>
              <w:bottom w:val="nil"/>
            </w:tcBorders>
            <w:shd w:val="clear" w:color="auto" w:fill="auto"/>
            <w:tcMar>
              <w:left w:w="28" w:type="dxa"/>
              <w:right w:w="28" w:type="dxa"/>
            </w:tcMar>
          </w:tcPr>
          <w:p w:rsidR="009965FA" w:rsidRPr="004F2101" w:rsidRDefault="009965FA" w:rsidP="009965FA">
            <w:pPr>
              <w:pStyle w:val="SingleTxtG"/>
              <w:suppressAutoHyphens w:val="0"/>
              <w:spacing w:before="40" w:line="220" w:lineRule="exact"/>
              <w:ind w:left="0" w:right="113"/>
              <w:jc w:val="left"/>
            </w:pPr>
            <w:r w:rsidRPr="004F2101">
              <w:t>Committee’s assessment:</w:t>
            </w:r>
          </w:p>
        </w:tc>
        <w:tc>
          <w:tcPr>
            <w:tcW w:w="4790" w:type="dxa"/>
            <w:tcBorders>
              <w:top w:val="nil"/>
              <w:bottom w:val="nil"/>
            </w:tcBorders>
            <w:shd w:val="clear" w:color="auto" w:fill="auto"/>
            <w:tcMar>
              <w:left w:w="28" w:type="dxa"/>
              <w:right w:w="28" w:type="dxa"/>
            </w:tcMar>
          </w:tcPr>
          <w:p w:rsidR="009965FA" w:rsidRDefault="009965FA" w:rsidP="000D5A0D">
            <w:pPr>
              <w:pStyle w:val="SingleTxtG"/>
              <w:numPr>
                <w:ilvl w:val="0"/>
                <w:numId w:val="13"/>
              </w:numPr>
              <w:ind w:right="141" w:hanging="1522"/>
            </w:pPr>
            <w:r>
              <w:t>Reviewing the author’s conviction: C</w:t>
            </w:r>
          </w:p>
          <w:p w:rsidR="009965FA" w:rsidRPr="00F66C19" w:rsidRDefault="009965FA" w:rsidP="000D5A0D">
            <w:pPr>
              <w:pStyle w:val="SingleTxtG"/>
              <w:numPr>
                <w:ilvl w:val="0"/>
                <w:numId w:val="13"/>
              </w:numPr>
              <w:ind w:right="141" w:hanging="1522"/>
              <w:jc w:val="left"/>
              <w:rPr>
                <w:color w:val="000000" w:themeColor="text1"/>
              </w:rPr>
            </w:pPr>
            <w:r>
              <w:t xml:space="preserve">Reviewing the cancellation of his residence permit: C </w:t>
            </w:r>
          </w:p>
          <w:p w:rsidR="009965FA" w:rsidRPr="00BB5B9B" w:rsidRDefault="009965FA" w:rsidP="000D5A0D">
            <w:pPr>
              <w:pStyle w:val="SingleTxtG"/>
              <w:numPr>
                <w:ilvl w:val="0"/>
                <w:numId w:val="13"/>
              </w:numPr>
              <w:ind w:right="141" w:hanging="1522"/>
              <w:rPr>
                <w:color w:val="000000" w:themeColor="text1"/>
              </w:rPr>
            </w:pPr>
            <w:r>
              <w:t>Non-repetition: B</w:t>
            </w:r>
          </w:p>
          <w:p w:rsidR="009965FA" w:rsidRPr="004F2101" w:rsidRDefault="009965FA" w:rsidP="000D5A0D">
            <w:pPr>
              <w:pStyle w:val="SingleTxtG"/>
              <w:ind w:left="0" w:hanging="1522"/>
              <w:rPr>
                <w:lang w:eastAsia="en-GB"/>
              </w:rPr>
            </w:pPr>
            <w:r>
              <w:rPr>
                <w:lang w:val="en-US"/>
              </w:rPr>
              <w:tab/>
            </w:r>
            <w:r>
              <w:rPr>
                <w:lang w:eastAsia="en-GB"/>
              </w:rPr>
              <w:t>(d)</w:t>
            </w:r>
            <w:r>
              <w:rPr>
                <w:lang w:eastAsia="en-GB"/>
              </w:rPr>
              <w:tab/>
            </w:r>
            <w:r w:rsidRPr="00C951DF">
              <w:rPr>
                <w:lang w:eastAsia="en-GB"/>
              </w:rPr>
              <w:t xml:space="preserve">Publication of Views: </w:t>
            </w:r>
            <w:r>
              <w:rPr>
                <w:lang w:eastAsia="en-GB"/>
              </w:rPr>
              <w:t>No information</w:t>
            </w:r>
          </w:p>
        </w:tc>
      </w:tr>
      <w:tr w:rsidR="00483ED7" w:rsidRPr="004F2101" w:rsidTr="00077B19">
        <w:tc>
          <w:tcPr>
            <w:tcW w:w="2580" w:type="dxa"/>
            <w:tcBorders>
              <w:top w:val="nil"/>
            </w:tcBorders>
            <w:shd w:val="clear" w:color="auto" w:fill="auto"/>
            <w:tcMar>
              <w:left w:w="28" w:type="dxa"/>
              <w:right w:w="28" w:type="dxa"/>
            </w:tcMar>
          </w:tcPr>
          <w:p w:rsidR="00483ED7" w:rsidRPr="004F2101" w:rsidRDefault="00483ED7" w:rsidP="00496ECE">
            <w:pPr>
              <w:pStyle w:val="SingleTxtG"/>
              <w:suppressAutoHyphens w:val="0"/>
              <w:spacing w:before="40" w:line="220" w:lineRule="exact"/>
              <w:ind w:left="0" w:right="113"/>
              <w:jc w:val="left"/>
            </w:pPr>
            <w:r w:rsidRPr="004F2101">
              <w:t>Committee</w:t>
            </w:r>
            <w:r w:rsidR="001D6817" w:rsidRPr="004F2101">
              <w:t>’</w:t>
            </w:r>
            <w:r w:rsidRPr="004F2101">
              <w:t>s decision:</w:t>
            </w:r>
          </w:p>
        </w:tc>
        <w:tc>
          <w:tcPr>
            <w:tcW w:w="4790" w:type="dxa"/>
            <w:tcBorders>
              <w:top w:val="nil"/>
            </w:tcBorders>
            <w:shd w:val="clear" w:color="auto" w:fill="auto"/>
            <w:tcMar>
              <w:left w:w="28" w:type="dxa"/>
              <w:right w:w="28" w:type="dxa"/>
            </w:tcMar>
          </w:tcPr>
          <w:p w:rsidR="00483ED7" w:rsidRPr="004F2101" w:rsidRDefault="00483ED7" w:rsidP="00C80205">
            <w:pPr>
              <w:pStyle w:val="SingleTxtG"/>
              <w:suppressAutoHyphens w:val="0"/>
              <w:spacing w:before="40" w:line="220" w:lineRule="exact"/>
              <w:ind w:left="0" w:right="113"/>
              <w:jc w:val="left"/>
            </w:pPr>
            <w:r w:rsidRPr="004F2101">
              <w:t>Follow-up dialogue ongoing</w:t>
            </w:r>
            <w:r w:rsidR="00451754" w:rsidRPr="004F2101">
              <w:t>.</w:t>
            </w:r>
            <w:r w:rsidRPr="004F2101">
              <w:t xml:space="preserve"> </w:t>
            </w:r>
          </w:p>
        </w:tc>
      </w:tr>
    </w:tbl>
    <w:p w:rsidR="009B69EC" w:rsidRPr="004F2101" w:rsidRDefault="00396387" w:rsidP="009716A9">
      <w:pPr>
        <w:pStyle w:val="Revision"/>
        <w:suppressAutoHyphens/>
        <w:spacing w:after="240" w:line="240" w:lineRule="atLeast"/>
        <w:ind w:left="567" w:firstLine="567"/>
        <w:rPr>
          <w:rFonts w:eastAsia="Times New Roman"/>
        </w:rPr>
      </w:pPr>
      <w:r w:rsidRPr="004F2101">
        <w:rPr>
          <w:rFonts w:ascii="Times New Roman Bold" w:hAnsi="Times New Roman Bold" w:cs="Times New Roman Bold"/>
          <w:b/>
          <w:bCs/>
          <w:iCs/>
        </w:rPr>
        <w:t>Communication No. 2137/2012,</w:t>
      </w:r>
      <w:r w:rsidRPr="004F2101">
        <w:rPr>
          <w:rFonts w:ascii="Times New Roman Bold" w:hAnsi="Times New Roman Bold" w:cs="Times New Roman Bold"/>
          <w:b/>
          <w:bCs/>
          <w:i/>
        </w:rPr>
        <w:t xml:space="preserve"> </w:t>
      </w:r>
      <w:proofErr w:type="spellStart"/>
      <w:r w:rsidRPr="004F2101">
        <w:rPr>
          <w:rFonts w:ascii="Times New Roman Bold" w:hAnsi="Times New Roman Bold" w:cs="Times New Roman Bold"/>
          <w:b/>
          <w:bCs/>
          <w:i/>
        </w:rPr>
        <w:t>Toregozhina</w:t>
      </w:r>
      <w:proofErr w:type="spellEnd"/>
      <w:r w:rsidRPr="004F2101">
        <w:rPr>
          <w:rFonts w:ascii="Times New Roman Bold" w:hAnsi="Times New Roman Bold" w:cs="Times New Roman Bold"/>
          <w:b/>
          <w:bCs/>
          <w:i/>
        </w:rPr>
        <w:t xml:space="preserve"> v. Kazakhstan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90"/>
      </w:tblGrid>
      <w:tr w:rsidR="00AB44C1" w:rsidRPr="004F2101" w:rsidTr="00483ED7">
        <w:trPr>
          <w:tblHeader/>
        </w:trPr>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AB44C1" w:rsidRPr="004F2101" w:rsidRDefault="00AB44C1" w:rsidP="009B69EC">
            <w:pPr>
              <w:pStyle w:val="SingleTxtG"/>
              <w:suppressAutoHyphens w:val="0"/>
              <w:spacing w:before="80" w:after="80" w:line="200" w:lineRule="exact"/>
              <w:ind w:left="0" w:right="113"/>
              <w:jc w:val="left"/>
              <w:rPr>
                <w:rFonts w:ascii="Times New Roman Bold" w:hAnsi="Times New Roman Bold" w:cs="Times New Roman Bold" w:hint="eastAsia"/>
                <w:b/>
                <w:bCs/>
                <w:i/>
              </w:rPr>
            </w:pPr>
          </w:p>
        </w:tc>
      </w:tr>
      <w:tr w:rsidR="00AB44C1" w:rsidRPr="004F2101" w:rsidTr="00483ED7">
        <w:tc>
          <w:tcPr>
            <w:tcW w:w="2580" w:type="dxa"/>
            <w:tcBorders>
              <w:top w:val="single" w:sz="12" w:space="0" w:color="auto"/>
            </w:tcBorders>
            <w:shd w:val="clear" w:color="auto" w:fill="auto"/>
            <w:tcMar>
              <w:left w:w="28" w:type="dxa"/>
              <w:right w:w="28" w:type="dxa"/>
            </w:tcMar>
          </w:tcPr>
          <w:p w:rsidR="00AB44C1" w:rsidRPr="004F2101" w:rsidRDefault="00AB44C1" w:rsidP="00483ED7">
            <w:pPr>
              <w:pStyle w:val="SingleTxtG"/>
              <w:suppressAutoHyphens w:val="0"/>
              <w:spacing w:before="40" w:line="220" w:lineRule="exact"/>
              <w:ind w:left="0" w:right="113"/>
              <w:jc w:val="left"/>
            </w:pPr>
            <w:r w:rsidRPr="004F2101">
              <w:t>Views adopted:</w:t>
            </w:r>
          </w:p>
        </w:tc>
        <w:tc>
          <w:tcPr>
            <w:tcW w:w="4790" w:type="dxa"/>
            <w:tcBorders>
              <w:top w:val="single" w:sz="12" w:space="0" w:color="auto"/>
            </w:tcBorders>
            <w:shd w:val="clear" w:color="auto" w:fill="auto"/>
            <w:tcMar>
              <w:left w:w="28" w:type="dxa"/>
              <w:right w:w="28" w:type="dxa"/>
            </w:tcMar>
          </w:tcPr>
          <w:p w:rsidR="00AB44C1" w:rsidRPr="004F2101" w:rsidRDefault="00AB44C1" w:rsidP="00483ED7">
            <w:pPr>
              <w:pStyle w:val="SingleTxtG"/>
              <w:suppressAutoHyphens w:val="0"/>
              <w:spacing w:before="40" w:line="220" w:lineRule="exact"/>
              <w:ind w:left="0" w:right="113"/>
              <w:jc w:val="left"/>
            </w:pPr>
            <w:r w:rsidRPr="004F2101">
              <w:t>21 October 2014</w:t>
            </w:r>
          </w:p>
        </w:tc>
      </w:tr>
      <w:tr w:rsidR="00AB44C1" w:rsidRPr="004F2101" w:rsidTr="00483ED7">
        <w:tc>
          <w:tcPr>
            <w:tcW w:w="2580" w:type="dxa"/>
            <w:shd w:val="clear" w:color="auto" w:fill="auto"/>
            <w:tcMar>
              <w:left w:w="28" w:type="dxa"/>
              <w:right w:w="28" w:type="dxa"/>
            </w:tcMar>
          </w:tcPr>
          <w:p w:rsidR="00AB44C1" w:rsidRPr="004F2101" w:rsidRDefault="00AB44C1" w:rsidP="00483ED7">
            <w:pPr>
              <w:pStyle w:val="SingleTxtG"/>
              <w:suppressAutoHyphens w:val="0"/>
              <w:spacing w:before="40" w:line="220" w:lineRule="exact"/>
              <w:ind w:left="0" w:right="113"/>
              <w:jc w:val="left"/>
            </w:pPr>
            <w:r w:rsidRPr="004F2101">
              <w:t>Violation:</w:t>
            </w:r>
          </w:p>
        </w:tc>
        <w:tc>
          <w:tcPr>
            <w:tcW w:w="4790" w:type="dxa"/>
            <w:shd w:val="clear" w:color="auto" w:fill="auto"/>
            <w:tcMar>
              <w:left w:w="28" w:type="dxa"/>
              <w:right w:w="28" w:type="dxa"/>
            </w:tcMar>
          </w:tcPr>
          <w:p w:rsidR="00AB44C1" w:rsidRPr="004F2101" w:rsidRDefault="00AB44C1" w:rsidP="00483ED7">
            <w:pPr>
              <w:pStyle w:val="SingleTxtG"/>
              <w:suppressAutoHyphens w:val="0"/>
              <w:spacing w:before="40" w:line="220" w:lineRule="exact"/>
              <w:ind w:left="0" w:right="113"/>
              <w:jc w:val="left"/>
            </w:pPr>
            <w:r w:rsidRPr="004F2101">
              <w:t>Articles 9, 19 and 21</w:t>
            </w:r>
          </w:p>
        </w:tc>
      </w:tr>
      <w:tr w:rsidR="00AB44C1" w:rsidRPr="004F2101" w:rsidTr="00483ED7">
        <w:tc>
          <w:tcPr>
            <w:tcW w:w="2580" w:type="dxa"/>
            <w:shd w:val="clear" w:color="auto" w:fill="auto"/>
            <w:tcMar>
              <w:left w:w="28" w:type="dxa"/>
              <w:right w:w="28" w:type="dxa"/>
            </w:tcMar>
          </w:tcPr>
          <w:p w:rsidR="00AB44C1" w:rsidRPr="004F2101" w:rsidRDefault="00AB44C1" w:rsidP="00483ED7">
            <w:pPr>
              <w:pStyle w:val="SingleTxtG"/>
              <w:suppressAutoHyphens w:val="0"/>
              <w:spacing w:before="40" w:line="220" w:lineRule="exact"/>
              <w:ind w:left="0" w:right="113"/>
              <w:jc w:val="left"/>
            </w:pPr>
            <w:r w:rsidRPr="004F2101">
              <w:t xml:space="preserve">Remedy: </w:t>
            </w:r>
          </w:p>
        </w:tc>
        <w:tc>
          <w:tcPr>
            <w:tcW w:w="4790" w:type="dxa"/>
            <w:shd w:val="clear" w:color="auto" w:fill="auto"/>
            <w:tcMar>
              <w:left w:w="28" w:type="dxa"/>
              <w:right w:w="28" w:type="dxa"/>
            </w:tcMar>
          </w:tcPr>
          <w:p w:rsidR="00AB44C1" w:rsidRPr="004F2101" w:rsidRDefault="009965FA" w:rsidP="00483ED7">
            <w:pPr>
              <w:pStyle w:val="SingleTxtG"/>
              <w:suppressAutoHyphens w:val="0"/>
              <w:spacing w:before="40" w:line="220" w:lineRule="exact"/>
              <w:ind w:left="0" w:right="113"/>
              <w:jc w:val="left"/>
            </w:pPr>
            <w:proofErr w:type="gramStart"/>
            <w:r w:rsidRPr="001659D5">
              <w:rPr>
                <w:color w:val="000000" w:themeColor="text1"/>
              </w:rPr>
              <w:t>Effective remedy, including by (</w:t>
            </w:r>
            <w:proofErr w:type="spellStart"/>
            <w:r w:rsidRPr="001659D5">
              <w:rPr>
                <w:color w:val="000000" w:themeColor="text1"/>
              </w:rPr>
              <w:t>i</w:t>
            </w:r>
            <w:proofErr w:type="spellEnd"/>
            <w:r w:rsidRPr="001659D5">
              <w:rPr>
                <w:color w:val="000000" w:themeColor="text1"/>
              </w:rPr>
              <w:t>)</w:t>
            </w:r>
            <w:r>
              <w:rPr>
                <w:color w:val="000000" w:themeColor="text1"/>
              </w:rPr>
              <w:t xml:space="preserve"> </w:t>
            </w:r>
            <w:r>
              <w:t>reviewing the author’s conviction, (ii) providing her with an</w:t>
            </w:r>
            <w:r w:rsidRPr="006C6C87">
              <w:t xml:space="preserve"> adequate compensation</w:t>
            </w:r>
            <w:r>
              <w:t>, including reimbursement of the legal costs incurred, (iii)</w:t>
            </w:r>
            <w:r w:rsidRPr="00AF590D">
              <w:t xml:space="preserve"> prevent</w:t>
            </w:r>
            <w:r>
              <w:t>ing</w:t>
            </w:r>
            <w:r w:rsidRPr="00AF590D">
              <w:t xml:space="preserve"> si</w:t>
            </w:r>
            <w:r>
              <w:t>milar violations in the future by reviewing the State party’s legislation, in particular</w:t>
            </w:r>
            <w:r w:rsidRPr="00254D8B">
              <w:rPr>
                <w:rFonts w:eastAsia="Verdana"/>
              </w:rPr>
              <w:t xml:space="preserve"> </w:t>
            </w:r>
            <w:r w:rsidRPr="00254D8B">
              <w:t xml:space="preserve">the Law </w:t>
            </w:r>
            <w:r>
              <w:t>o</w:t>
            </w:r>
            <w:r w:rsidRPr="00254D8B">
              <w:t>n the Order of Organization and Conduct of Peaceful Assemblies, Meetings, Processions, Pickets and Demonstrations in the Republic of Kazakhstan</w:t>
            </w:r>
            <w:r>
              <w:t>, as it has been applied in the present case, with a view to ensuring that the rights under articles 19 and 21 of the Covenant may be fully enjoyed in the State party.</w:t>
            </w:r>
            <w:proofErr w:type="gramEnd"/>
          </w:p>
        </w:tc>
      </w:tr>
      <w:tr w:rsidR="00AB44C1" w:rsidRPr="004F2101" w:rsidTr="00483ED7">
        <w:tc>
          <w:tcPr>
            <w:tcW w:w="2580" w:type="dxa"/>
            <w:shd w:val="clear" w:color="auto" w:fill="auto"/>
            <w:tcMar>
              <w:left w:w="28" w:type="dxa"/>
              <w:right w:w="28" w:type="dxa"/>
            </w:tcMar>
          </w:tcPr>
          <w:p w:rsidR="00AB44C1" w:rsidRPr="004F2101" w:rsidRDefault="00AB44C1" w:rsidP="00483ED7">
            <w:pPr>
              <w:pStyle w:val="SingleTxtG"/>
              <w:suppressAutoHyphens w:val="0"/>
              <w:spacing w:before="40" w:line="220" w:lineRule="exact"/>
              <w:ind w:left="0" w:right="113"/>
              <w:jc w:val="left"/>
            </w:pPr>
            <w:r w:rsidRPr="004F2101">
              <w:t>Subject matter:</w:t>
            </w:r>
          </w:p>
        </w:tc>
        <w:tc>
          <w:tcPr>
            <w:tcW w:w="4790" w:type="dxa"/>
            <w:shd w:val="clear" w:color="auto" w:fill="auto"/>
            <w:tcMar>
              <w:left w:w="28" w:type="dxa"/>
              <w:right w:w="28" w:type="dxa"/>
            </w:tcMar>
          </w:tcPr>
          <w:p w:rsidR="00AB44C1" w:rsidRPr="004F2101" w:rsidRDefault="00AB44C1" w:rsidP="00483ED7">
            <w:pPr>
              <w:pStyle w:val="SingleTxtG"/>
              <w:suppressAutoHyphens w:val="0"/>
              <w:spacing w:before="40" w:line="220" w:lineRule="exact"/>
              <w:ind w:left="0" w:right="113"/>
              <w:jc w:val="left"/>
            </w:pPr>
            <w:r w:rsidRPr="004F2101">
              <w:t>Arrest and conviction for an administrative violation and sentencing to a fine for conducting an art-mob event</w:t>
            </w:r>
          </w:p>
        </w:tc>
      </w:tr>
      <w:tr w:rsidR="00AB44C1" w:rsidRPr="004F2101" w:rsidTr="00483ED7">
        <w:tc>
          <w:tcPr>
            <w:tcW w:w="2580" w:type="dxa"/>
            <w:shd w:val="clear" w:color="auto" w:fill="auto"/>
            <w:tcMar>
              <w:left w:w="28" w:type="dxa"/>
              <w:right w:w="28" w:type="dxa"/>
            </w:tcMar>
          </w:tcPr>
          <w:p w:rsidR="00AB44C1" w:rsidRPr="004F2101" w:rsidRDefault="00AB44C1" w:rsidP="00483ED7">
            <w:pPr>
              <w:pStyle w:val="SingleTxtG"/>
              <w:suppressAutoHyphens w:val="0"/>
              <w:spacing w:before="40" w:line="220" w:lineRule="exact"/>
              <w:ind w:left="0" w:right="113"/>
              <w:jc w:val="left"/>
            </w:pPr>
            <w:r w:rsidRPr="004F2101">
              <w:t>Previous follow-up information:</w:t>
            </w:r>
          </w:p>
        </w:tc>
        <w:tc>
          <w:tcPr>
            <w:tcW w:w="4790" w:type="dxa"/>
            <w:shd w:val="clear" w:color="auto" w:fill="auto"/>
            <w:tcMar>
              <w:left w:w="28" w:type="dxa"/>
              <w:right w:w="28" w:type="dxa"/>
            </w:tcMar>
          </w:tcPr>
          <w:p w:rsidR="00AB44C1" w:rsidRPr="004F2101" w:rsidRDefault="006B4DF8" w:rsidP="00483ED7">
            <w:pPr>
              <w:pStyle w:val="SingleTxtG"/>
              <w:suppressAutoHyphens w:val="0"/>
              <w:spacing w:before="40" w:line="220" w:lineRule="exact"/>
              <w:ind w:left="0" w:right="113"/>
              <w:jc w:val="left"/>
            </w:pPr>
            <w:r>
              <w:t>CCPR/C/118</w:t>
            </w:r>
            <w:r w:rsidR="00AB44C1" w:rsidRPr="004F2101">
              <w:t>/3</w:t>
            </w:r>
          </w:p>
        </w:tc>
      </w:tr>
      <w:tr w:rsidR="00AB44C1" w:rsidRPr="004F2101" w:rsidTr="00483ED7">
        <w:tc>
          <w:tcPr>
            <w:tcW w:w="2580" w:type="dxa"/>
            <w:shd w:val="clear" w:color="auto" w:fill="auto"/>
            <w:tcMar>
              <w:left w:w="28" w:type="dxa"/>
              <w:right w:w="28" w:type="dxa"/>
            </w:tcMar>
          </w:tcPr>
          <w:p w:rsidR="00AB44C1" w:rsidRPr="004F2101" w:rsidRDefault="00AB44C1" w:rsidP="00483ED7">
            <w:pPr>
              <w:pStyle w:val="SingleTxtG"/>
              <w:suppressAutoHyphens w:val="0"/>
              <w:spacing w:before="40" w:line="220" w:lineRule="exact"/>
              <w:ind w:left="0" w:right="113"/>
              <w:jc w:val="left"/>
            </w:pPr>
            <w:r w:rsidRPr="004F2101">
              <w:t>Submission from author:</w:t>
            </w:r>
          </w:p>
        </w:tc>
        <w:tc>
          <w:tcPr>
            <w:tcW w:w="4790" w:type="dxa"/>
            <w:shd w:val="clear" w:color="auto" w:fill="auto"/>
            <w:tcMar>
              <w:left w:w="28" w:type="dxa"/>
              <w:right w:w="28" w:type="dxa"/>
            </w:tcMar>
          </w:tcPr>
          <w:p w:rsidR="009965FA" w:rsidRPr="001659D5" w:rsidRDefault="009965FA" w:rsidP="009965FA">
            <w:pPr>
              <w:pStyle w:val="SingleTxtG"/>
              <w:ind w:left="0"/>
              <w:jc w:val="left"/>
              <w:rPr>
                <w:color w:val="000000" w:themeColor="text1"/>
              </w:rPr>
            </w:pPr>
            <w:r>
              <w:rPr>
                <w:color w:val="000000" w:themeColor="text1"/>
              </w:rPr>
              <w:t>5 July</w:t>
            </w:r>
            <w:r w:rsidRPr="001659D5">
              <w:rPr>
                <w:color w:val="000000" w:themeColor="text1"/>
              </w:rPr>
              <w:t xml:space="preserve"> 2016</w:t>
            </w:r>
          </w:p>
          <w:p w:rsidR="00AB44C1" w:rsidRPr="009965FA" w:rsidRDefault="009965FA" w:rsidP="00BB1040">
            <w:pPr>
              <w:pStyle w:val="SingleTxtG"/>
              <w:ind w:left="0" w:right="283"/>
              <w:rPr>
                <w:color w:val="000000" w:themeColor="text1"/>
              </w:rPr>
            </w:pPr>
            <w:r w:rsidRPr="001659D5">
              <w:rPr>
                <w:color w:val="000000" w:themeColor="text1"/>
              </w:rPr>
              <w:t>The</w:t>
            </w:r>
            <w:r>
              <w:rPr>
                <w:color w:val="000000" w:themeColor="text1"/>
              </w:rPr>
              <w:t xml:space="preserve"> author submits that the State party has failed to adopt implementation, and continues violating her right to freedom of expression and to peaceful assembly. The author was yet again sanctioned for organisation of unauthorised public </w:t>
            </w:r>
            <w:proofErr w:type="gramStart"/>
            <w:r>
              <w:rPr>
                <w:color w:val="000000" w:themeColor="text1"/>
              </w:rPr>
              <w:t>meeting which</w:t>
            </w:r>
            <w:proofErr w:type="gramEnd"/>
            <w:r>
              <w:rPr>
                <w:color w:val="000000" w:themeColor="text1"/>
              </w:rPr>
              <w:t xml:space="preserve"> was planned to take place on 21 May 2016 in Almaty. By a decision of the Specialised Inter-district Administrative Court in Almaty of 17 May 2016, she </w:t>
            </w:r>
            <w:proofErr w:type="gramStart"/>
            <w:r>
              <w:rPr>
                <w:color w:val="000000" w:themeColor="text1"/>
              </w:rPr>
              <w:t>was convicted</w:t>
            </w:r>
            <w:proofErr w:type="gramEnd"/>
            <w:r>
              <w:rPr>
                <w:color w:val="000000" w:themeColor="text1"/>
              </w:rPr>
              <w:t xml:space="preserve"> to 15 days of administrative arrest. On 23 May 2016, the Almaty City Court upheld this decision on appeal (copies of both decisions are provided).   </w:t>
            </w:r>
            <w:r w:rsidRPr="001659D5">
              <w:rPr>
                <w:color w:val="000000" w:themeColor="text1"/>
              </w:rPr>
              <w:t xml:space="preserve"> </w:t>
            </w:r>
          </w:p>
        </w:tc>
      </w:tr>
      <w:tr w:rsidR="006B4DF8" w:rsidRPr="004F2101" w:rsidTr="00483ED7">
        <w:tc>
          <w:tcPr>
            <w:tcW w:w="2580" w:type="dxa"/>
            <w:shd w:val="clear" w:color="auto" w:fill="auto"/>
            <w:tcMar>
              <w:left w:w="28" w:type="dxa"/>
              <w:right w:w="28" w:type="dxa"/>
            </w:tcMar>
          </w:tcPr>
          <w:p w:rsidR="006B4DF8" w:rsidRPr="004F2101" w:rsidRDefault="006B4DF8" w:rsidP="00483ED7">
            <w:pPr>
              <w:pStyle w:val="SingleTxtG"/>
              <w:suppressAutoHyphens w:val="0"/>
              <w:spacing w:before="40" w:line="220" w:lineRule="exact"/>
              <w:ind w:left="0" w:right="113"/>
              <w:jc w:val="left"/>
            </w:pPr>
            <w:r w:rsidRPr="004F2101">
              <w:t>Submission from</w:t>
            </w:r>
            <w:r>
              <w:t xml:space="preserve"> State party</w:t>
            </w:r>
            <w:r w:rsidRPr="004F2101">
              <w:t>:</w:t>
            </w:r>
          </w:p>
        </w:tc>
        <w:tc>
          <w:tcPr>
            <w:tcW w:w="4790" w:type="dxa"/>
            <w:shd w:val="clear" w:color="auto" w:fill="auto"/>
            <w:tcMar>
              <w:left w:w="28" w:type="dxa"/>
              <w:right w:w="28" w:type="dxa"/>
            </w:tcMar>
          </w:tcPr>
          <w:p w:rsidR="006B4DF8" w:rsidRDefault="006B4DF8" w:rsidP="006B4DF8">
            <w:pPr>
              <w:pStyle w:val="SingleTxtG"/>
              <w:ind w:left="0"/>
              <w:jc w:val="left"/>
              <w:rPr>
                <w:color w:val="000000" w:themeColor="text1"/>
              </w:rPr>
            </w:pPr>
            <w:r>
              <w:rPr>
                <w:color w:val="000000" w:themeColor="text1"/>
              </w:rPr>
              <w:t>21 September</w:t>
            </w:r>
            <w:r w:rsidRPr="001659D5">
              <w:rPr>
                <w:color w:val="000000" w:themeColor="text1"/>
              </w:rPr>
              <w:t xml:space="preserve"> 2016</w:t>
            </w:r>
          </w:p>
          <w:p w:rsidR="006B4DF8" w:rsidRDefault="006B4DF8" w:rsidP="006B4DF8">
            <w:pPr>
              <w:pStyle w:val="SingleTxtG"/>
              <w:ind w:left="0" w:right="283"/>
              <w:rPr>
                <w:color w:val="000000" w:themeColor="text1"/>
              </w:rPr>
            </w:pPr>
            <w:r>
              <w:rPr>
                <w:color w:val="000000" w:themeColor="text1"/>
              </w:rPr>
              <w:t xml:space="preserve">The </w:t>
            </w:r>
            <w:r w:rsidRPr="001659D5">
              <w:rPr>
                <w:color w:val="000000" w:themeColor="text1"/>
              </w:rPr>
              <w:t>State party</w:t>
            </w:r>
            <w:r>
              <w:rPr>
                <w:color w:val="000000" w:themeColor="text1"/>
              </w:rPr>
              <w:t xml:space="preserve"> submits that on 2 September 2016, the author requested the Office of the Prosecutor Genera to lodge an appeal before the Supreme Court of Kazakhstan. The Office has requested the case materials for examination; the results of the examination </w:t>
            </w:r>
            <w:proofErr w:type="gramStart"/>
            <w:r>
              <w:rPr>
                <w:color w:val="000000" w:themeColor="text1"/>
              </w:rPr>
              <w:t>will be communicated</w:t>
            </w:r>
            <w:proofErr w:type="gramEnd"/>
            <w:r>
              <w:rPr>
                <w:color w:val="000000" w:themeColor="text1"/>
              </w:rPr>
              <w:t xml:space="preserve"> to the Committee. </w:t>
            </w:r>
          </w:p>
        </w:tc>
      </w:tr>
      <w:tr w:rsidR="006B4DF8" w:rsidRPr="004F2101" w:rsidTr="00483ED7">
        <w:tc>
          <w:tcPr>
            <w:tcW w:w="2580" w:type="dxa"/>
            <w:shd w:val="clear" w:color="auto" w:fill="auto"/>
            <w:tcMar>
              <w:left w:w="28" w:type="dxa"/>
              <w:right w:w="28" w:type="dxa"/>
            </w:tcMar>
          </w:tcPr>
          <w:p w:rsidR="006B4DF8" w:rsidRPr="004F2101" w:rsidRDefault="006B4DF8" w:rsidP="00483ED7">
            <w:pPr>
              <w:pStyle w:val="SingleTxtG"/>
              <w:suppressAutoHyphens w:val="0"/>
              <w:spacing w:before="40" w:line="220" w:lineRule="exact"/>
              <w:ind w:left="0" w:right="113"/>
              <w:jc w:val="left"/>
            </w:pPr>
            <w:r w:rsidRPr="004F2101">
              <w:t>Committee’s assessment:</w:t>
            </w:r>
          </w:p>
        </w:tc>
        <w:tc>
          <w:tcPr>
            <w:tcW w:w="4790" w:type="dxa"/>
            <w:shd w:val="clear" w:color="auto" w:fill="auto"/>
            <w:tcMar>
              <w:left w:w="28" w:type="dxa"/>
              <w:right w:w="28" w:type="dxa"/>
            </w:tcMar>
          </w:tcPr>
          <w:p w:rsidR="006B4DF8" w:rsidRDefault="006B4DF8" w:rsidP="000D5A0D">
            <w:pPr>
              <w:pStyle w:val="SingleTxtG"/>
              <w:numPr>
                <w:ilvl w:val="0"/>
                <w:numId w:val="14"/>
              </w:numPr>
              <w:ind w:right="141" w:hanging="1522"/>
            </w:pPr>
            <w:r>
              <w:t>Reviewing the author’s conviction: C</w:t>
            </w:r>
          </w:p>
          <w:p w:rsidR="006B4DF8" w:rsidRDefault="006B4DF8" w:rsidP="000D5A0D">
            <w:pPr>
              <w:pStyle w:val="SingleTxtG"/>
              <w:numPr>
                <w:ilvl w:val="0"/>
                <w:numId w:val="14"/>
              </w:numPr>
              <w:ind w:right="141" w:hanging="1522"/>
              <w:rPr>
                <w:color w:val="000000" w:themeColor="text1"/>
              </w:rPr>
            </w:pPr>
            <w:r>
              <w:t>A</w:t>
            </w:r>
            <w:r w:rsidRPr="006C6C87">
              <w:t>dequate compensation</w:t>
            </w:r>
            <w:r>
              <w:t>: C</w:t>
            </w:r>
          </w:p>
          <w:p w:rsidR="006B4DF8" w:rsidRPr="005C0443" w:rsidRDefault="006B4DF8" w:rsidP="000D5A0D">
            <w:pPr>
              <w:pStyle w:val="SingleTxtG"/>
              <w:numPr>
                <w:ilvl w:val="0"/>
                <w:numId w:val="14"/>
              </w:numPr>
              <w:ind w:right="141" w:hanging="1522"/>
              <w:rPr>
                <w:color w:val="000000" w:themeColor="text1"/>
              </w:rPr>
            </w:pPr>
            <w:r>
              <w:t>Reviewing the State party’s legislation: C</w:t>
            </w:r>
          </w:p>
          <w:p w:rsidR="006B4DF8" w:rsidRPr="00C951DF" w:rsidRDefault="000D5A0D" w:rsidP="000D5A0D">
            <w:pPr>
              <w:pStyle w:val="SingleTxtG"/>
              <w:ind w:left="0" w:right="141" w:hanging="1522"/>
              <w:rPr>
                <w:lang w:eastAsia="en-GB"/>
              </w:rPr>
            </w:pPr>
            <w:r>
              <w:rPr>
                <w:lang w:eastAsia="en-GB"/>
              </w:rPr>
              <w:tab/>
            </w:r>
            <w:r w:rsidR="006B4DF8">
              <w:rPr>
                <w:lang w:eastAsia="en-GB"/>
              </w:rPr>
              <w:t>(d)</w:t>
            </w:r>
            <w:r w:rsidR="006B4DF8">
              <w:rPr>
                <w:lang w:eastAsia="en-GB"/>
              </w:rPr>
              <w:tab/>
            </w:r>
            <w:r w:rsidR="006B4DF8" w:rsidRPr="00C951DF">
              <w:rPr>
                <w:lang w:eastAsia="en-GB"/>
              </w:rPr>
              <w:t xml:space="preserve">Publication of Views: </w:t>
            </w:r>
            <w:r w:rsidR="006B4DF8">
              <w:rPr>
                <w:lang w:eastAsia="en-GB"/>
              </w:rPr>
              <w:t>No information</w:t>
            </w:r>
          </w:p>
          <w:p w:rsidR="006B4DF8" w:rsidRDefault="006B4DF8" w:rsidP="000D5A0D">
            <w:pPr>
              <w:pStyle w:val="SingleTxtG"/>
              <w:ind w:left="539" w:hanging="1522"/>
              <w:rPr>
                <w:lang w:eastAsia="en-GB"/>
              </w:rPr>
            </w:pPr>
            <w:r>
              <w:rPr>
                <w:lang w:eastAsia="en-GB"/>
              </w:rPr>
              <w:t>(e)</w:t>
            </w:r>
            <w:r>
              <w:rPr>
                <w:lang w:eastAsia="en-GB"/>
              </w:rPr>
              <w:tab/>
            </w:r>
            <w:r w:rsidRPr="00C951DF">
              <w:rPr>
                <w:lang w:eastAsia="en-GB"/>
              </w:rPr>
              <w:t>Non</w:t>
            </w:r>
            <w:r>
              <w:rPr>
                <w:lang w:eastAsia="en-GB"/>
              </w:rPr>
              <w:t>-repetition: C</w:t>
            </w:r>
          </w:p>
          <w:p w:rsidR="006B4DF8" w:rsidRDefault="006B4DF8" w:rsidP="006B4DF8">
            <w:pPr>
              <w:pStyle w:val="SingleTxtG"/>
              <w:ind w:left="0"/>
              <w:jc w:val="left"/>
              <w:rPr>
                <w:color w:val="000000" w:themeColor="text1"/>
              </w:rPr>
            </w:pPr>
          </w:p>
        </w:tc>
      </w:tr>
      <w:tr w:rsidR="00AB44C1" w:rsidRPr="004F2101" w:rsidTr="00483ED7">
        <w:tc>
          <w:tcPr>
            <w:tcW w:w="2580" w:type="dxa"/>
            <w:shd w:val="clear" w:color="auto" w:fill="auto"/>
            <w:tcMar>
              <w:left w:w="28" w:type="dxa"/>
              <w:right w:w="28" w:type="dxa"/>
            </w:tcMar>
          </w:tcPr>
          <w:p w:rsidR="00AB44C1" w:rsidRPr="004F2101" w:rsidRDefault="00AB44C1" w:rsidP="00483ED7">
            <w:pPr>
              <w:pStyle w:val="SingleTxtG"/>
              <w:suppressAutoHyphens w:val="0"/>
              <w:spacing w:before="40" w:line="220" w:lineRule="exact"/>
              <w:ind w:left="0" w:right="113"/>
              <w:jc w:val="left"/>
            </w:pPr>
            <w:r w:rsidRPr="004F2101">
              <w:t>Committee</w:t>
            </w:r>
            <w:r w:rsidR="001D6817" w:rsidRPr="004F2101">
              <w:t>’</w:t>
            </w:r>
            <w:r w:rsidRPr="004F2101">
              <w:t xml:space="preserve">s decision: </w:t>
            </w:r>
          </w:p>
        </w:tc>
        <w:tc>
          <w:tcPr>
            <w:tcW w:w="4790" w:type="dxa"/>
            <w:shd w:val="clear" w:color="auto" w:fill="auto"/>
            <w:tcMar>
              <w:left w:w="28" w:type="dxa"/>
              <w:right w:w="28" w:type="dxa"/>
            </w:tcMar>
          </w:tcPr>
          <w:p w:rsidR="00AB44C1" w:rsidRPr="004F2101" w:rsidRDefault="00AB44C1" w:rsidP="00483ED7">
            <w:pPr>
              <w:pStyle w:val="SingleTxtG"/>
              <w:suppressAutoHyphens w:val="0"/>
              <w:spacing w:before="40" w:line="220" w:lineRule="exact"/>
              <w:ind w:left="0" w:right="113"/>
              <w:jc w:val="left"/>
            </w:pPr>
            <w:r w:rsidRPr="004F2101">
              <w:t>Follow-up dialogue ongoing.</w:t>
            </w:r>
          </w:p>
        </w:tc>
      </w:tr>
    </w:tbl>
    <w:p w:rsidR="006B4DF8" w:rsidRDefault="006B4DF8" w:rsidP="006B4DF8">
      <w:pPr>
        <w:pStyle w:val="H23G"/>
        <w:ind w:left="0" w:firstLine="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90"/>
      </w:tblGrid>
      <w:tr w:rsidR="006B4DF8" w:rsidRPr="004F2101" w:rsidTr="00BA7CD4">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6B4DF8" w:rsidRPr="006B4DF8" w:rsidRDefault="006B4DF8" w:rsidP="006B4DF8">
            <w:pPr>
              <w:pBdr>
                <w:top w:val="single" w:sz="4" w:space="1" w:color="auto"/>
              </w:pBdr>
              <w:tabs>
                <w:tab w:val="left" w:pos="3969"/>
              </w:tabs>
              <w:spacing w:after="120" w:line="240" w:lineRule="exact"/>
              <w:rPr>
                <w:color w:val="FF0000"/>
              </w:rPr>
            </w:pPr>
            <w:r>
              <w:rPr>
                <w:b/>
              </w:rPr>
              <w:t xml:space="preserve">Communication No. 2129/2012, </w:t>
            </w:r>
            <w:proofErr w:type="spellStart"/>
            <w:r>
              <w:rPr>
                <w:b/>
                <w:i/>
              </w:rPr>
              <w:t>Esergepov</w:t>
            </w:r>
            <w:proofErr w:type="spellEnd"/>
          </w:p>
        </w:tc>
      </w:tr>
      <w:tr w:rsidR="006B4DF8" w:rsidRPr="004F2101" w:rsidTr="00BA7CD4">
        <w:tc>
          <w:tcPr>
            <w:tcW w:w="2580" w:type="dxa"/>
            <w:tcBorders>
              <w:top w:val="single" w:sz="12" w:space="0" w:color="auto"/>
            </w:tcBorders>
            <w:shd w:val="clear" w:color="auto" w:fill="auto"/>
            <w:tcMar>
              <w:left w:w="28" w:type="dxa"/>
              <w:right w:w="28" w:type="dxa"/>
            </w:tcMar>
          </w:tcPr>
          <w:p w:rsidR="006B4DF8" w:rsidRPr="004F2101" w:rsidRDefault="006B4DF8" w:rsidP="00BA7CD4">
            <w:pPr>
              <w:pStyle w:val="SingleTxtG"/>
              <w:suppressAutoHyphens w:val="0"/>
              <w:spacing w:before="40" w:line="220" w:lineRule="exact"/>
              <w:ind w:left="0" w:right="113"/>
              <w:jc w:val="left"/>
            </w:pPr>
            <w:r w:rsidRPr="004F2101">
              <w:t>Views adopted:</w:t>
            </w:r>
          </w:p>
        </w:tc>
        <w:tc>
          <w:tcPr>
            <w:tcW w:w="4790" w:type="dxa"/>
            <w:tcBorders>
              <w:top w:val="single" w:sz="12" w:space="0" w:color="auto"/>
            </w:tcBorders>
            <w:shd w:val="clear" w:color="auto" w:fill="auto"/>
            <w:tcMar>
              <w:left w:w="28" w:type="dxa"/>
              <w:right w:w="28" w:type="dxa"/>
            </w:tcMar>
          </w:tcPr>
          <w:p w:rsidR="006B4DF8" w:rsidRPr="004F2101" w:rsidRDefault="006B4DF8" w:rsidP="00BA7CD4">
            <w:pPr>
              <w:pStyle w:val="SingleTxtG"/>
              <w:suppressAutoHyphens w:val="0"/>
              <w:spacing w:before="40" w:line="220" w:lineRule="exact"/>
              <w:ind w:left="0" w:right="113"/>
              <w:jc w:val="left"/>
            </w:pPr>
            <w:r w:rsidRPr="00E3549A">
              <w:rPr>
                <w:color w:val="000000" w:themeColor="text1"/>
              </w:rPr>
              <w:t>29 March 2016</w:t>
            </w:r>
          </w:p>
        </w:tc>
      </w:tr>
      <w:tr w:rsidR="006B4DF8" w:rsidRPr="004F2101" w:rsidTr="00BA7CD4">
        <w:tc>
          <w:tcPr>
            <w:tcW w:w="2580" w:type="dxa"/>
            <w:shd w:val="clear" w:color="auto" w:fill="auto"/>
            <w:tcMar>
              <w:left w:w="28" w:type="dxa"/>
              <w:right w:w="28" w:type="dxa"/>
            </w:tcMar>
          </w:tcPr>
          <w:p w:rsidR="006B4DF8" w:rsidRPr="004F2101" w:rsidRDefault="006B4DF8" w:rsidP="00BA7CD4">
            <w:pPr>
              <w:pStyle w:val="SingleTxtG"/>
              <w:suppressAutoHyphens w:val="0"/>
              <w:spacing w:before="40" w:line="220" w:lineRule="exact"/>
              <w:ind w:left="0" w:right="113"/>
              <w:jc w:val="left"/>
            </w:pPr>
            <w:r w:rsidRPr="004F2101">
              <w:t>Violation:</w:t>
            </w:r>
          </w:p>
        </w:tc>
        <w:tc>
          <w:tcPr>
            <w:tcW w:w="4790" w:type="dxa"/>
            <w:shd w:val="clear" w:color="auto" w:fill="auto"/>
            <w:tcMar>
              <w:left w:w="28" w:type="dxa"/>
              <w:right w:w="28" w:type="dxa"/>
            </w:tcMar>
          </w:tcPr>
          <w:p w:rsidR="006B4DF8" w:rsidRPr="004F2101" w:rsidRDefault="006B4DF8" w:rsidP="00BA7CD4">
            <w:pPr>
              <w:pStyle w:val="SingleTxtG"/>
              <w:suppressAutoHyphens w:val="0"/>
              <w:spacing w:before="40" w:line="220" w:lineRule="exact"/>
              <w:ind w:left="0" w:right="113"/>
              <w:jc w:val="left"/>
            </w:pPr>
            <w:r>
              <w:t>A</w:t>
            </w:r>
            <w:r w:rsidRPr="00BA48A2">
              <w:t>rticle 9</w:t>
            </w:r>
            <w:r>
              <w:t> </w:t>
            </w:r>
            <w:r w:rsidRPr="00BA48A2">
              <w:t xml:space="preserve">(5), </w:t>
            </w:r>
            <w:r>
              <w:t xml:space="preserve">article 14 (1) and (3) (b) and (d) </w:t>
            </w:r>
            <w:r w:rsidRPr="00BA48A2">
              <w:t>and</w:t>
            </w:r>
            <w:r>
              <w:t xml:space="preserve"> article 19 (2)</w:t>
            </w:r>
            <w:r w:rsidRPr="00BA48A2">
              <w:t xml:space="preserve"> of the Covenant.</w:t>
            </w:r>
          </w:p>
        </w:tc>
      </w:tr>
      <w:tr w:rsidR="006B4DF8" w:rsidRPr="004F2101" w:rsidTr="00BA7CD4">
        <w:tc>
          <w:tcPr>
            <w:tcW w:w="2580" w:type="dxa"/>
            <w:shd w:val="clear" w:color="auto" w:fill="auto"/>
            <w:tcMar>
              <w:left w:w="28" w:type="dxa"/>
              <w:right w:w="28" w:type="dxa"/>
            </w:tcMar>
          </w:tcPr>
          <w:p w:rsidR="006B4DF8" w:rsidRPr="004F2101" w:rsidRDefault="006B4DF8" w:rsidP="00BA7CD4">
            <w:pPr>
              <w:pStyle w:val="SingleTxtG"/>
              <w:suppressAutoHyphens w:val="0"/>
              <w:spacing w:before="40" w:line="220" w:lineRule="exact"/>
              <w:ind w:left="0" w:right="113"/>
              <w:jc w:val="left"/>
            </w:pPr>
            <w:r w:rsidRPr="004F2101">
              <w:t>Remedy:</w:t>
            </w:r>
          </w:p>
        </w:tc>
        <w:tc>
          <w:tcPr>
            <w:tcW w:w="4790" w:type="dxa"/>
            <w:shd w:val="clear" w:color="auto" w:fill="auto"/>
            <w:tcMar>
              <w:left w:w="28" w:type="dxa"/>
              <w:right w:w="28" w:type="dxa"/>
            </w:tcMar>
          </w:tcPr>
          <w:p w:rsidR="006B4DF8" w:rsidRPr="004F2101" w:rsidRDefault="006B4DF8" w:rsidP="00BA7CD4">
            <w:pPr>
              <w:pStyle w:val="SingleTxtG"/>
              <w:suppressAutoHyphens w:val="0"/>
              <w:spacing w:before="40" w:line="220" w:lineRule="exact"/>
              <w:ind w:left="0" w:right="113"/>
              <w:jc w:val="left"/>
            </w:pPr>
            <w:r>
              <w:rPr>
                <w:color w:val="000000" w:themeColor="text1"/>
              </w:rPr>
              <w:t>Adequate compensation</w:t>
            </w:r>
          </w:p>
        </w:tc>
      </w:tr>
      <w:tr w:rsidR="006B4DF8" w:rsidRPr="004F2101" w:rsidTr="00BA7CD4">
        <w:tc>
          <w:tcPr>
            <w:tcW w:w="2580" w:type="dxa"/>
            <w:shd w:val="clear" w:color="auto" w:fill="auto"/>
            <w:tcMar>
              <w:left w:w="28" w:type="dxa"/>
              <w:right w:w="28" w:type="dxa"/>
            </w:tcMar>
          </w:tcPr>
          <w:p w:rsidR="006B4DF8" w:rsidRPr="004F2101" w:rsidRDefault="006B4DF8" w:rsidP="00BA7CD4">
            <w:pPr>
              <w:pStyle w:val="SingleTxtG"/>
              <w:suppressAutoHyphens w:val="0"/>
              <w:spacing w:before="40" w:line="220" w:lineRule="exact"/>
              <w:ind w:left="0" w:right="113"/>
              <w:jc w:val="left"/>
            </w:pPr>
            <w:r w:rsidRPr="004F2101">
              <w:t>Subject matter:</w:t>
            </w:r>
          </w:p>
        </w:tc>
        <w:tc>
          <w:tcPr>
            <w:tcW w:w="4790" w:type="dxa"/>
            <w:shd w:val="clear" w:color="auto" w:fill="auto"/>
            <w:tcMar>
              <w:left w:w="28" w:type="dxa"/>
              <w:right w:w="28" w:type="dxa"/>
            </w:tcMar>
          </w:tcPr>
          <w:p w:rsidR="006B4DF8" w:rsidRPr="004F2101" w:rsidRDefault="006B4DF8" w:rsidP="00BA7CD4">
            <w:pPr>
              <w:pStyle w:val="SingleTxtG"/>
              <w:suppressAutoHyphens w:val="0"/>
              <w:spacing w:before="40" w:line="220" w:lineRule="exact"/>
              <w:ind w:left="0" w:right="113"/>
              <w:jc w:val="left"/>
            </w:pPr>
            <w:r w:rsidRPr="001342E6">
              <w:t>Author tried and convicted for publishing documents classifie</w:t>
            </w:r>
            <w:r>
              <w:t>d as secret</w:t>
            </w:r>
          </w:p>
        </w:tc>
      </w:tr>
      <w:tr w:rsidR="006B4DF8" w:rsidRPr="004F2101" w:rsidTr="00BA7CD4">
        <w:tc>
          <w:tcPr>
            <w:tcW w:w="2580" w:type="dxa"/>
            <w:tcBorders>
              <w:bottom w:val="nil"/>
            </w:tcBorders>
            <w:shd w:val="clear" w:color="auto" w:fill="auto"/>
            <w:tcMar>
              <w:left w:w="28" w:type="dxa"/>
              <w:right w:w="28" w:type="dxa"/>
            </w:tcMar>
          </w:tcPr>
          <w:p w:rsidR="006B4DF8" w:rsidRPr="004F2101" w:rsidRDefault="006B4DF8" w:rsidP="00BA7CD4">
            <w:pPr>
              <w:pStyle w:val="SingleTxtG"/>
              <w:suppressAutoHyphens w:val="0"/>
              <w:spacing w:before="40" w:line="220" w:lineRule="exact"/>
              <w:ind w:left="0" w:right="113"/>
              <w:jc w:val="left"/>
            </w:pPr>
            <w:r w:rsidRPr="004F2101">
              <w:t xml:space="preserve">Previous follow-up information: </w:t>
            </w:r>
          </w:p>
        </w:tc>
        <w:tc>
          <w:tcPr>
            <w:tcW w:w="4790" w:type="dxa"/>
            <w:tcBorders>
              <w:bottom w:val="nil"/>
            </w:tcBorders>
            <w:shd w:val="clear" w:color="auto" w:fill="auto"/>
            <w:tcMar>
              <w:left w:w="28" w:type="dxa"/>
              <w:right w:w="28" w:type="dxa"/>
            </w:tcMar>
          </w:tcPr>
          <w:p w:rsidR="006B4DF8" w:rsidRPr="004F2101" w:rsidRDefault="006B4DF8" w:rsidP="00BA7CD4">
            <w:pPr>
              <w:pStyle w:val="SingleTxtG"/>
              <w:suppressAutoHyphens w:val="0"/>
              <w:spacing w:before="40" w:line="220" w:lineRule="exact"/>
              <w:ind w:left="0" w:right="113"/>
              <w:jc w:val="left"/>
            </w:pPr>
            <w:r>
              <w:rPr>
                <w:color w:val="000000" w:themeColor="text1"/>
              </w:rPr>
              <w:t>No previous follow-up information</w:t>
            </w:r>
            <w:r w:rsidRPr="001659D5">
              <w:rPr>
                <w:color w:val="000000" w:themeColor="text1"/>
              </w:rPr>
              <w:t xml:space="preserve">    </w:t>
            </w:r>
          </w:p>
        </w:tc>
      </w:tr>
      <w:tr w:rsidR="006B4DF8" w:rsidRPr="009965FA" w:rsidTr="00BA7CD4">
        <w:tc>
          <w:tcPr>
            <w:tcW w:w="2580" w:type="dxa"/>
            <w:tcBorders>
              <w:top w:val="nil"/>
              <w:bottom w:val="nil"/>
            </w:tcBorders>
            <w:shd w:val="clear" w:color="auto" w:fill="auto"/>
            <w:tcMar>
              <w:left w:w="28" w:type="dxa"/>
              <w:right w:w="28" w:type="dxa"/>
            </w:tcMar>
          </w:tcPr>
          <w:p w:rsidR="006B4DF8" w:rsidRPr="004F2101" w:rsidRDefault="006B4DF8" w:rsidP="00BA7CD4">
            <w:pPr>
              <w:pStyle w:val="SingleTxtG"/>
              <w:suppressAutoHyphens w:val="0"/>
              <w:spacing w:before="40" w:line="220" w:lineRule="exact"/>
              <w:ind w:left="0" w:right="113"/>
              <w:jc w:val="left"/>
            </w:pPr>
            <w:r w:rsidRPr="004F2101">
              <w:t>Submission from</w:t>
            </w:r>
            <w:r>
              <w:t xml:space="preserve"> State party</w:t>
            </w:r>
            <w:r w:rsidRPr="004F2101">
              <w:t>:</w:t>
            </w:r>
          </w:p>
        </w:tc>
        <w:tc>
          <w:tcPr>
            <w:tcW w:w="4790" w:type="dxa"/>
            <w:tcBorders>
              <w:top w:val="nil"/>
              <w:bottom w:val="nil"/>
            </w:tcBorders>
            <w:shd w:val="clear" w:color="auto" w:fill="auto"/>
            <w:tcMar>
              <w:left w:w="28" w:type="dxa"/>
              <w:right w:w="28" w:type="dxa"/>
            </w:tcMar>
          </w:tcPr>
          <w:p w:rsidR="006B4DF8" w:rsidRPr="001659D5" w:rsidRDefault="006B4DF8" w:rsidP="006B4DF8">
            <w:pPr>
              <w:pStyle w:val="SingleTxtG"/>
              <w:ind w:left="0"/>
              <w:jc w:val="left"/>
              <w:rPr>
                <w:color w:val="000000" w:themeColor="text1"/>
              </w:rPr>
            </w:pPr>
            <w:r>
              <w:rPr>
                <w:color w:val="000000" w:themeColor="text1"/>
              </w:rPr>
              <w:t>20 May 2016, 26 September</w:t>
            </w:r>
            <w:r w:rsidRPr="001659D5">
              <w:rPr>
                <w:color w:val="000000" w:themeColor="text1"/>
              </w:rPr>
              <w:t xml:space="preserve"> 2016</w:t>
            </w:r>
          </w:p>
          <w:p w:rsidR="006B4DF8" w:rsidRDefault="006B4DF8" w:rsidP="006B4DF8">
            <w:pPr>
              <w:pStyle w:val="SingleTxtG"/>
              <w:ind w:left="0" w:right="283"/>
              <w:rPr>
                <w:color w:val="000000" w:themeColor="text1"/>
              </w:rPr>
            </w:pPr>
            <w:r>
              <w:rPr>
                <w:color w:val="000000" w:themeColor="text1"/>
              </w:rPr>
              <w:t xml:space="preserve">The State party inform the Committee that its Views </w:t>
            </w:r>
            <w:proofErr w:type="gramStart"/>
            <w:r>
              <w:rPr>
                <w:color w:val="000000" w:themeColor="text1"/>
              </w:rPr>
              <w:t>have been forwarded</w:t>
            </w:r>
            <w:proofErr w:type="gramEnd"/>
            <w:r>
              <w:rPr>
                <w:color w:val="000000" w:themeColor="text1"/>
              </w:rPr>
              <w:t xml:space="preserve"> to the relevant domestic authorities for implementation. In order to give effect to the Committee’s recommendation, the domestic authorities, including the Supreme Court of Kazakhstan, were familiarised with the Views. Its text </w:t>
            </w:r>
            <w:proofErr w:type="gramStart"/>
            <w:r>
              <w:rPr>
                <w:color w:val="000000" w:themeColor="text1"/>
              </w:rPr>
              <w:t>has also been published</w:t>
            </w:r>
            <w:proofErr w:type="gramEnd"/>
            <w:r>
              <w:rPr>
                <w:color w:val="000000" w:themeColor="text1"/>
              </w:rPr>
              <w:t xml:space="preserve"> on the website of the public prosecutor’s office. </w:t>
            </w:r>
          </w:p>
          <w:p w:rsidR="006B4DF8" w:rsidRDefault="006B4DF8" w:rsidP="006B4DF8">
            <w:pPr>
              <w:pStyle w:val="SingleTxtG"/>
              <w:ind w:left="0" w:right="283"/>
              <w:rPr>
                <w:color w:val="000000" w:themeColor="text1"/>
              </w:rPr>
            </w:pPr>
            <w:r>
              <w:rPr>
                <w:color w:val="000000" w:themeColor="text1"/>
              </w:rPr>
              <w:t xml:space="preserve">On 13 June 2016, the author lodged a civil claim against a number of state authorities and public officials, including the President of Kazakhstan, seeking to receive official apologies and compensation. On 16 June 2016, the </w:t>
            </w:r>
            <w:proofErr w:type="spellStart"/>
            <w:r>
              <w:rPr>
                <w:color w:val="000000" w:themeColor="text1"/>
              </w:rPr>
              <w:t>Medeuskiy</w:t>
            </w:r>
            <w:proofErr w:type="spellEnd"/>
            <w:r>
              <w:rPr>
                <w:color w:val="000000" w:themeColor="text1"/>
              </w:rPr>
              <w:t xml:space="preserve"> district court in Almaty rejected the suit, </w:t>
            </w:r>
            <w:proofErr w:type="gramStart"/>
            <w:r>
              <w:rPr>
                <w:color w:val="000000" w:themeColor="text1"/>
              </w:rPr>
              <w:t>on the grounds that</w:t>
            </w:r>
            <w:proofErr w:type="gramEnd"/>
            <w:r>
              <w:rPr>
                <w:color w:val="000000" w:themeColor="text1"/>
              </w:rPr>
              <w:t xml:space="preserve"> it had been lodged against the President who enjoys immunity. On 25 August 2016, the Almaty City Court upheld this ruling on appeal. </w:t>
            </w:r>
          </w:p>
          <w:p w:rsidR="006B4DF8" w:rsidRDefault="006B4DF8" w:rsidP="006B4DF8">
            <w:pPr>
              <w:pStyle w:val="SingleTxtG"/>
              <w:ind w:left="0" w:right="283"/>
              <w:rPr>
                <w:color w:val="000000" w:themeColor="text1"/>
              </w:rPr>
            </w:pPr>
            <w:r>
              <w:rPr>
                <w:color w:val="000000" w:themeColor="text1"/>
              </w:rPr>
              <w:t xml:space="preserve">Subsequently, on 31 August 2016, the author lodged another civil claim with the Supreme Court of Kazakhstan seeking to obtain compensation following the Committee’s Views. The outcome of the proceedings </w:t>
            </w:r>
            <w:proofErr w:type="gramStart"/>
            <w:r>
              <w:rPr>
                <w:color w:val="000000" w:themeColor="text1"/>
              </w:rPr>
              <w:t>will be communicated</w:t>
            </w:r>
            <w:proofErr w:type="gramEnd"/>
            <w:r>
              <w:rPr>
                <w:color w:val="000000" w:themeColor="text1"/>
              </w:rPr>
              <w:t xml:space="preserve"> once known.</w:t>
            </w:r>
          </w:p>
          <w:p w:rsidR="006B4DF8" w:rsidRPr="009965FA" w:rsidRDefault="006B4DF8" w:rsidP="00BA7CD4">
            <w:pPr>
              <w:pStyle w:val="SingleTxtG"/>
              <w:ind w:left="0" w:right="283"/>
              <w:rPr>
                <w:color w:val="000000" w:themeColor="text1"/>
              </w:rPr>
            </w:pPr>
            <w:r>
              <w:rPr>
                <w:color w:val="000000" w:themeColor="text1"/>
              </w:rPr>
              <w:t xml:space="preserve">On 9 June 2016, the author further requested that the Supreme Court of Kazakhstan reopen criminal proceedings against him, in view of the newly discovered facts. He also requested that the proceedings </w:t>
            </w:r>
            <w:proofErr w:type="gramStart"/>
            <w:r>
              <w:rPr>
                <w:color w:val="000000" w:themeColor="text1"/>
              </w:rPr>
              <w:t>be terminated</w:t>
            </w:r>
            <w:proofErr w:type="gramEnd"/>
            <w:r>
              <w:rPr>
                <w:color w:val="000000" w:themeColor="text1"/>
              </w:rPr>
              <w:t xml:space="preserve"> due to the absence of </w:t>
            </w:r>
            <w:r w:rsidRPr="00D45FB1">
              <w:rPr>
                <w:i/>
                <w:color w:val="000000" w:themeColor="text1"/>
              </w:rPr>
              <w:t xml:space="preserve">corpus </w:t>
            </w:r>
            <w:proofErr w:type="spellStart"/>
            <w:r w:rsidRPr="00D45FB1">
              <w:rPr>
                <w:i/>
                <w:color w:val="000000" w:themeColor="text1"/>
              </w:rPr>
              <w:t>delicti</w:t>
            </w:r>
            <w:proofErr w:type="spellEnd"/>
            <w:r>
              <w:rPr>
                <w:color w:val="000000" w:themeColor="text1"/>
              </w:rPr>
              <w:t xml:space="preserve">, and that the public officials responsible for the violation of his rights be sanctioned. On 20 June 2016, the Supreme Court rejected his application, for lack of jurisdiction over the matter. The author </w:t>
            </w:r>
            <w:proofErr w:type="gramStart"/>
            <w:r>
              <w:rPr>
                <w:color w:val="000000" w:themeColor="text1"/>
              </w:rPr>
              <w:t>was informed</w:t>
            </w:r>
            <w:proofErr w:type="gramEnd"/>
            <w:r>
              <w:rPr>
                <w:color w:val="000000" w:themeColor="text1"/>
              </w:rPr>
              <w:t xml:space="preserve"> about the proper legal venue to obtain the re-examination of his case.         </w:t>
            </w:r>
          </w:p>
        </w:tc>
      </w:tr>
      <w:tr w:rsidR="006B4DF8" w:rsidRPr="009965FA" w:rsidTr="00BA7CD4">
        <w:tc>
          <w:tcPr>
            <w:tcW w:w="2580" w:type="dxa"/>
            <w:tcBorders>
              <w:top w:val="nil"/>
              <w:bottom w:val="nil"/>
            </w:tcBorders>
            <w:shd w:val="clear" w:color="auto" w:fill="auto"/>
            <w:tcMar>
              <w:left w:w="28" w:type="dxa"/>
              <w:right w:w="28" w:type="dxa"/>
            </w:tcMar>
          </w:tcPr>
          <w:p w:rsidR="006B4DF8" w:rsidRPr="004F2101" w:rsidRDefault="006B4DF8" w:rsidP="00BA7CD4">
            <w:pPr>
              <w:pStyle w:val="SingleTxtG"/>
              <w:suppressAutoHyphens w:val="0"/>
              <w:spacing w:before="40" w:line="220" w:lineRule="exact"/>
              <w:ind w:left="0" w:right="113"/>
              <w:jc w:val="left"/>
            </w:pPr>
            <w:r w:rsidRPr="004F2101">
              <w:t>Submission from author:</w:t>
            </w:r>
          </w:p>
        </w:tc>
        <w:tc>
          <w:tcPr>
            <w:tcW w:w="4790" w:type="dxa"/>
            <w:tcBorders>
              <w:top w:val="nil"/>
              <w:bottom w:val="nil"/>
            </w:tcBorders>
            <w:shd w:val="clear" w:color="auto" w:fill="auto"/>
            <w:tcMar>
              <w:left w:w="28" w:type="dxa"/>
              <w:right w:w="28" w:type="dxa"/>
            </w:tcMar>
          </w:tcPr>
          <w:p w:rsidR="006B4DF8" w:rsidRDefault="006B4DF8" w:rsidP="006B4DF8">
            <w:pPr>
              <w:pStyle w:val="SingleTxtG"/>
              <w:ind w:left="0"/>
              <w:jc w:val="left"/>
              <w:rPr>
                <w:color w:val="000000" w:themeColor="text1"/>
              </w:rPr>
            </w:pPr>
            <w:r>
              <w:rPr>
                <w:color w:val="000000" w:themeColor="text1"/>
              </w:rPr>
              <w:t>20 June</w:t>
            </w:r>
            <w:r w:rsidRPr="001659D5">
              <w:rPr>
                <w:color w:val="000000" w:themeColor="text1"/>
              </w:rPr>
              <w:t xml:space="preserve"> 2016</w:t>
            </w:r>
            <w:r>
              <w:rPr>
                <w:color w:val="000000" w:themeColor="text1"/>
              </w:rPr>
              <w:t>, 25 September 2016, 28 January 2017, 9 February 2017</w:t>
            </w:r>
          </w:p>
          <w:p w:rsidR="006B4DF8" w:rsidRDefault="006B4DF8" w:rsidP="006B4DF8">
            <w:pPr>
              <w:pStyle w:val="SingleTxtG"/>
              <w:ind w:left="0" w:right="283"/>
              <w:rPr>
                <w:color w:val="000000" w:themeColor="text1"/>
              </w:rPr>
            </w:pPr>
            <w:r>
              <w:rPr>
                <w:color w:val="000000" w:themeColor="text1"/>
              </w:rPr>
              <w:t>The author denounces the reluctance of the State party to comply with the Committees’ decision, and contemplates a hunger strike as a sign of protest.</w:t>
            </w:r>
          </w:p>
          <w:p w:rsidR="006B4DF8" w:rsidRDefault="006B4DF8" w:rsidP="006B4DF8">
            <w:pPr>
              <w:pStyle w:val="SingleTxtG"/>
              <w:ind w:left="0" w:right="283"/>
              <w:rPr>
                <w:color w:val="000000" w:themeColor="text1"/>
              </w:rPr>
            </w:pPr>
            <w:r>
              <w:rPr>
                <w:color w:val="000000" w:themeColor="text1"/>
              </w:rPr>
              <w:t xml:space="preserve">The domestic courts unlawfully refuse to accept his civil claims, making it impossible to obtain compensation for damages sustained </w:t>
            </w:r>
            <w:proofErr w:type="gramStart"/>
            <w:r>
              <w:rPr>
                <w:color w:val="000000" w:themeColor="text1"/>
              </w:rPr>
              <w:t>as a result</w:t>
            </w:r>
            <w:proofErr w:type="gramEnd"/>
            <w:r>
              <w:rPr>
                <w:color w:val="000000" w:themeColor="text1"/>
              </w:rPr>
              <w:t xml:space="preserve"> of the violation. No public official responsible for his unlawful detention in the correction facility after the expiration of his prison term </w:t>
            </w:r>
            <w:proofErr w:type="gramStart"/>
            <w:r>
              <w:rPr>
                <w:color w:val="000000" w:themeColor="text1"/>
              </w:rPr>
              <w:t>have so far been punished</w:t>
            </w:r>
            <w:proofErr w:type="gramEnd"/>
            <w:r>
              <w:rPr>
                <w:color w:val="000000" w:themeColor="text1"/>
              </w:rPr>
              <w:t xml:space="preserve">. </w:t>
            </w:r>
          </w:p>
          <w:p w:rsidR="006B4DF8" w:rsidRDefault="006B4DF8" w:rsidP="006B4DF8">
            <w:pPr>
              <w:pStyle w:val="SingleTxtG"/>
              <w:ind w:left="0" w:right="226"/>
              <w:rPr>
                <w:color w:val="000000" w:themeColor="text1"/>
              </w:rPr>
            </w:pPr>
            <w:r>
              <w:rPr>
                <w:color w:val="000000" w:themeColor="text1"/>
              </w:rPr>
              <w:t xml:space="preserve">The author further submits that he lodged a civil claim against a number of state authorities and public officials with a view to receiving official apologies and compensation for the violation suffered. On 16 June 2016, the </w:t>
            </w:r>
            <w:proofErr w:type="spellStart"/>
            <w:r>
              <w:rPr>
                <w:color w:val="000000" w:themeColor="text1"/>
              </w:rPr>
              <w:t>Medeuskiy</w:t>
            </w:r>
            <w:proofErr w:type="spellEnd"/>
            <w:r>
              <w:rPr>
                <w:color w:val="000000" w:themeColor="text1"/>
              </w:rPr>
              <w:t xml:space="preserve"> District Court of Almaty rejected his claim against the President of Kazakhstan, on the ground of immunity, but by doing so, it ignored the fact that his action </w:t>
            </w:r>
            <w:proofErr w:type="gramStart"/>
            <w:r>
              <w:rPr>
                <w:color w:val="000000" w:themeColor="text1"/>
              </w:rPr>
              <w:t>was also directed</w:t>
            </w:r>
            <w:proofErr w:type="gramEnd"/>
            <w:r>
              <w:rPr>
                <w:color w:val="000000" w:themeColor="text1"/>
              </w:rPr>
              <w:t xml:space="preserve"> against a number of state authorities and public officials.  On 25 October 2016, this decision </w:t>
            </w:r>
            <w:proofErr w:type="gramStart"/>
            <w:r>
              <w:rPr>
                <w:color w:val="000000" w:themeColor="text1"/>
              </w:rPr>
              <w:t>was upheld</w:t>
            </w:r>
            <w:proofErr w:type="gramEnd"/>
            <w:r>
              <w:rPr>
                <w:color w:val="000000" w:themeColor="text1"/>
              </w:rPr>
              <w:t xml:space="preserve"> on appeal. His complaint to the Supreme Court President did not bring any positive results. The judicial authorities failed to indicate the correct venue for obtaining reparation in his case.</w:t>
            </w:r>
          </w:p>
        </w:tc>
      </w:tr>
      <w:tr w:rsidR="006B4DF8" w:rsidRPr="004F2101" w:rsidTr="00BA7CD4">
        <w:tc>
          <w:tcPr>
            <w:tcW w:w="2580" w:type="dxa"/>
            <w:tcBorders>
              <w:top w:val="nil"/>
              <w:bottom w:val="nil"/>
            </w:tcBorders>
            <w:shd w:val="clear" w:color="auto" w:fill="auto"/>
            <w:tcMar>
              <w:left w:w="28" w:type="dxa"/>
              <w:right w:w="28" w:type="dxa"/>
            </w:tcMar>
          </w:tcPr>
          <w:p w:rsidR="006B4DF8" w:rsidRPr="004F2101" w:rsidRDefault="006B4DF8" w:rsidP="00BA7CD4">
            <w:pPr>
              <w:pStyle w:val="SingleTxtG"/>
              <w:suppressAutoHyphens w:val="0"/>
              <w:spacing w:before="40" w:line="220" w:lineRule="exact"/>
              <w:ind w:left="0" w:right="113"/>
              <w:jc w:val="left"/>
            </w:pPr>
            <w:r w:rsidRPr="004F2101">
              <w:t>Committee’s assessment:</w:t>
            </w:r>
          </w:p>
        </w:tc>
        <w:tc>
          <w:tcPr>
            <w:tcW w:w="4790" w:type="dxa"/>
            <w:tcBorders>
              <w:top w:val="nil"/>
              <w:bottom w:val="nil"/>
            </w:tcBorders>
            <w:shd w:val="clear" w:color="auto" w:fill="auto"/>
            <w:tcMar>
              <w:left w:w="28" w:type="dxa"/>
              <w:right w:w="28" w:type="dxa"/>
            </w:tcMar>
          </w:tcPr>
          <w:p w:rsidR="006B4DF8" w:rsidRPr="00F66C19" w:rsidRDefault="006B4DF8" w:rsidP="000D5A0D">
            <w:pPr>
              <w:pStyle w:val="SingleTxtG"/>
              <w:numPr>
                <w:ilvl w:val="0"/>
                <w:numId w:val="16"/>
              </w:numPr>
              <w:ind w:right="141" w:hanging="1522"/>
              <w:rPr>
                <w:color w:val="000000" w:themeColor="text1"/>
                <w:lang w:val="fr-CH"/>
              </w:rPr>
            </w:pPr>
            <w:proofErr w:type="spellStart"/>
            <w:r>
              <w:rPr>
                <w:lang w:val="fr-CH"/>
              </w:rPr>
              <w:t>Adequate</w:t>
            </w:r>
            <w:proofErr w:type="spellEnd"/>
            <w:r>
              <w:rPr>
                <w:lang w:val="fr-CH"/>
              </w:rPr>
              <w:t xml:space="preserve"> compensation: </w:t>
            </w:r>
            <w:r w:rsidR="00693D1D">
              <w:rPr>
                <w:lang w:val="fr-CH"/>
              </w:rPr>
              <w:t>C</w:t>
            </w:r>
          </w:p>
          <w:p w:rsidR="006B4DF8" w:rsidRPr="00C951DF" w:rsidRDefault="000D5A0D" w:rsidP="000D5A0D">
            <w:pPr>
              <w:pStyle w:val="SingleTxtG"/>
              <w:ind w:left="0" w:right="141" w:hanging="360"/>
              <w:rPr>
                <w:lang w:eastAsia="en-GB"/>
              </w:rPr>
            </w:pPr>
            <w:r>
              <w:rPr>
                <w:lang w:val="fr-CH" w:eastAsia="en-GB"/>
              </w:rPr>
              <w:tab/>
            </w:r>
            <w:r w:rsidR="006B4DF8">
              <w:rPr>
                <w:lang w:eastAsia="en-GB"/>
              </w:rPr>
              <w:t>(b)</w:t>
            </w:r>
            <w:r w:rsidR="006B4DF8">
              <w:rPr>
                <w:lang w:eastAsia="en-GB"/>
              </w:rPr>
              <w:tab/>
            </w:r>
            <w:r w:rsidR="006B4DF8" w:rsidRPr="00C951DF">
              <w:rPr>
                <w:lang w:eastAsia="en-GB"/>
              </w:rPr>
              <w:t xml:space="preserve">Publication of Views: </w:t>
            </w:r>
            <w:r w:rsidR="006B4DF8">
              <w:rPr>
                <w:lang w:eastAsia="en-GB"/>
              </w:rPr>
              <w:t>A</w:t>
            </w:r>
          </w:p>
          <w:p w:rsidR="006B4DF8" w:rsidRPr="004F2101" w:rsidRDefault="006B4DF8" w:rsidP="00F65EFE">
            <w:pPr>
              <w:pStyle w:val="SingleTxtG"/>
              <w:ind w:left="0"/>
              <w:rPr>
                <w:lang w:eastAsia="en-GB"/>
              </w:rPr>
            </w:pPr>
            <w:r>
              <w:rPr>
                <w:lang w:eastAsia="en-GB"/>
              </w:rPr>
              <w:t>(c)</w:t>
            </w:r>
            <w:r>
              <w:rPr>
                <w:lang w:eastAsia="en-GB"/>
              </w:rPr>
              <w:tab/>
            </w:r>
            <w:r w:rsidRPr="00C951DF">
              <w:rPr>
                <w:lang w:eastAsia="en-GB"/>
              </w:rPr>
              <w:t>Non</w:t>
            </w:r>
            <w:r>
              <w:rPr>
                <w:lang w:eastAsia="en-GB"/>
              </w:rPr>
              <w:t xml:space="preserve">-repetition: </w:t>
            </w:r>
            <w:r w:rsidR="00F65EFE">
              <w:rPr>
                <w:lang w:eastAsia="en-GB"/>
              </w:rPr>
              <w:t>No information</w:t>
            </w:r>
          </w:p>
        </w:tc>
      </w:tr>
      <w:tr w:rsidR="006B4DF8" w:rsidRPr="004F2101" w:rsidTr="00BA7CD4">
        <w:tc>
          <w:tcPr>
            <w:tcW w:w="2580" w:type="dxa"/>
            <w:tcBorders>
              <w:top w:val="nil"/>
            </w:tcBorders>
            <w:shd w:val="clear" w:color="auto" w:fill="auto"/>
            <w:tcMar>
              <w:left w:w="28" w:type="dxa"/>
              <w:right w:w="28" w:type="dxa"/>
            </w:tcMar>
          </w:tcPr>
          <w:p w:rsidR="006B4DF8" w:rsidRPr="004F2101" w:rsidRDefault="006B4DF8" w:rsidP="00BA7CD4">
            <w:pPr>
              <w:pStyle w:val="SingleTxtG"/>
              <w:suppressAutoHyphens w:val="0"/>
              <w:spacing w:before="40" w:line="220" w:lineRule="exact"/>
              <w:ind w:left="0" w:right="113"/>
              <w:jc w:val="left"/>
            </w:pPr>
            <w:r w:rsidRPr="004F2101">
              <w:t>Committee’s decision:</w:t>
            </w:r>
          </w:p>
        </w:tc>
        <w:tc>
          <w:tcPr>
            <w:tcW w:w="4790" w:type="dxa"/>
            <w:tcBorders>
              <w:top w:val="nil"/>
            </w:tcBorders>
            <w:shd w:val="clear" w:color="auto" w:fill="auto"/>
            <w:tcMar>
              <w:left w:w="28" w:type="dxa"/>
              <w:right w:w="28" w:type="dxa"/>
            </w:tcMar>
          </w:tcPr>
          <w:p w:rsidR="006B4DF8" w:rsidRPr="004F2101" w:rsidRDefault="006B4DF8" w:rsidP="00BA7CD4">
            <w:pPr>
              <w:pStyle w:val="SingleTxtG"/>
              <w:suppressAutoHyphens w:val="0"/>
              <w:spacing w:before="40" w:line="220" w:lineRule="exact"/>
              <w:ind w:left="0" w:right="113"/>
              <w:jc w:val="left"/>
            </w:pPr>
            <w:r w:rsidRPr="004F2101">
              <w:t xml:space="preserve">Follow-up dialogue ongoing. </w:t>
            </w:r>
          </w:p>
        </w:tc>
      </w:tr>
    </w:tbl>
    <w:p w:rsidR="00AB44C1" w:rsidRPr="004F2101" w:rsidRDefault="006B4DF8" w:rsidP="00415E9B">
      <w:pPr>
        <w:pStyle w:val="H23G"/>
      </w:pPr>
      <w:r>
        <w:tab/>
      </w:r>
      <w:r w:rsidR="00AB44C1" w:rsidRPr="004F2101">
        <w:t>9.</w:t>
      </w:r>
      <w:r w:rsidR="00AB44C1" w:rsidRPr="004F2101">
        <w:tab/>
        <w:t>Kyrgyzstan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90"/>
      </w:tblGrid>
      <w:tr w:rsidR="00AB44C1" w:rsidRPr="004F2101" w:rsidTr="00415E9B">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AB44C1" w:rsidRPr="006B4DF8" w:rsidRDefault="006B4DF8" w:rsidP="006B4DF8">
            <w:pPr>
              <w:pBdr>
                <w:top w:val="single" w:sz="4" w:space="1" w:color="auto"/>
              </w:pBdr>
              <w:tabs>
                <w:tab w:val="left" w:pos="3969"/>
              </w:tabs>
              <w:spacing w:after="120" w:line="240" w:lineRule="exact"/>
              <w:rPr>
                <w:color w:val="000000" w:themeColor="text1"/>
              </w:rPr>
            </w:pPr>
            <w:r>
              <w:rPr>
                <w:b/>
                <w:color w:val="000000" w:themeColor="text1"/>
              </w:rPr>
              <w:t xml:space="preserve">Communication No. 2231/2012, </w:t>
            </w:r>
            <w:proofErr w:type="spellStart"/>
            <w:r w:rsidRPr="005805E0">
              <w:rPr>
                <w:b/>
                <w:i/>
              </w:rPr>
              <w:t>Askarov</w:t>
            </w:r>
            <w:proofErr w:type="spellEnd"/>
          </w:p>
        </w:tc>
      </w:tr>
      <w:tr w:rsidR="00AB44C1" w:rsidRPr="004F2101" w:rsidTr="00415E9B">
        <w:tc>
          <w:tcPr>
            <w:tcW w:w="2580" w:type="dxa"/>
            <w:tcBorders>
              <w:top w:val="single" w:sz="12" w:space="0" w:color="auto"/>
            </w:tcBorders>
            <w:shd w:val="clear" w:color="auto" w:fill="auto"/>
            <w:tcMar>
              <w:left w:w="28" w:type="dxa"/>
              <w:right w:w="28" w:type="dxa"/>
            </w:tcMar>
          </w:tcPr>
          <w:p w:rsidR="00AB44C1" w:rsidRPr="004F2101" w:rsidRDefault="00AB44C1" w:rsidP="00415E9B">
            <w:pPr>
              <w:pStyle w:val="SingleTxtG"/>
              <w:suppressAutoHyphens w:val="0"/>
              <w:spacing w:before="40" w:line="220" w:lineRule="exact"/>
              <w:ind w:left="0" w:right="113"/>
              <w:jc w:val="left"/>
            </w:pPr>
            <w:r w:rsidRPr="004F2101">
              <w:t>Views adopted:</w:t>
            </w:r>
          </w:p>
        </w:tc>
        <w:tc>
          <w:tcPr>
            <w:tcW w:w="4790" w:type="dxa"/>
            <w:tcBorders>
              <w:top w:val="single" w:sz="12" w:space="0" w:color="auto"/>
            </w:tcBorders>
            <w:shd w:val="clear" w:color="auto" w:fill="auto"/>
            <w:tcMar>
              <w:left w:w="28" w:type="dxa"/>
              <w:right w:w="28" w:type="dxa"/>
            </w:tcMar>
          </w:tcPr>
          <w:p w:rsidR="00AB44C1" w:rsidRPr="004F2101" w:rsidRDefault="003447B6" w:rsidP="003447B6">
            <w:pPr>
              <w:pStyle w:val="SingleTxtG"/>
              <w:suppressAutoHyphens w:val="0"/>
              <w:spacing w:before="40" w:line="220" w:lineRule="exact"/>
              <w:ind w:left="0" w:right="113"/>
              <w:jc w:val="left"/>
            </w:pPr>
            <w:r>
              <w:rPr>
                <w:color w:val="000000" w:themeColor="text1"/>
              </w:rPr>
              <w:t>31 March 2016</w:t>
            </w:r>
          </w:p>
        </w:tc>
      </w:tr>
      <w:tr w:rsidR="00AB44C1" w:rsidRPr="004F2101" w:rsidTr="00415E9B">
        <w:tc>
          <w:tcPr>
            <w:tcW w:w="2580" w:type="dxa"/>
            <w:shd w:val="clear" w:color="auto" w:fill="auto"/>
            <w:tcMar>
              <w:left w:w="28" w:type="dxa"/>
              <w:right w:w="28" w:type="dxa"/>
            </w:tcMar>
          </w:tcPr>
          <w:p w:rsidR="00AB44C1" w:rsidRPr="004F2101" w:rsidRDefault="00AB44C1" w:rsidP="00415E9B">
            <w:pPr>
              <w:pStyle w:val="SingleTxtG"/>
              <w:suppressAutoHyphens w:val="0"/>
              <w:spacing w:before="40" w:line="220" w:lineRule="exact"/>
              <w:ind w:left="0" w:right="113"/>
              <w:jc w:val="left"/>
            </w:pPr>
            <w:r w:rsidRPr="004F2101">
              <w:t>Violation:</w:t>
            </w:r>
          </w:p>
        </w:tc>
        <w:tc>
          <w:tcPr>
            <w:tcW w:w="4790" w:type="dxa"/>
            <w:shd w:val="clear" w:color="auto" w:fill="auto"/>
            <w:tcMar>
              <w:left w:w="28" w:type="dxa"/>
              <w:right w:w="28" w:type="dxa"/>
            </w:tcMar>
          </w:tcPr>
          <w:p w:rsidR="00AB44C1" w:rsidRPr="004F2101" w:rsidRDefault="003447B6" w:rsidP="00415E9B">
            <w:pPr>
              <w:pStyle w:val="SingleTxtG"/>
              <w:suppressAutoHyphens w:val="0"/>
              <w:spacing w:before="40" w:line="220" w:lineRule="exact"/>
              <w:ind w:left="0" w:right="113"/>
              <w:jc w:val="left"/>
            </w:pPr>
            <w:r w:rsidRPr="001659D5">
              <w:rPr>
                <w:color w:val="000000" w:themeColor="text1"/>
              </w:rPr>
              <w:t>Article</w:t>
            </w:r>
            <w:r>
              <w:rPr>
                <w:color w:val="000000" w:themeColor="text1"/>
              </w:rPr>
              <w:t xml:space="preserve"> </w:t>
            </w:r>
            <w:r>
              <w:t>7, read separately and in conjunction with article 2 (3), and articles 9 (1), 10 (1) and 14 (3) (b) and (e) o</w:t>
            </w:r>
            <w:r w:rsidRPr="000A603E">
              <w:t>f the Covenant</w:t>
            </w:r>
            <w:r w:rsidRPr="001659D5">
              <w:rPr>
                <w:color w:val="000000" w:themeColor="text1"/>
              </w:rPr>
              <w:t>.</w:t>
            </w:r>
          </w:p>
        </w:tc>
      </w:tr>
      <w:tr w:rsidR="00AB44C1" w:rsidRPr="004F2101" w:rsidTr="00415E9B">
        <w:tc>
          <w:tcPr>
            <w:tcW w:w="2580" w:type="dxa"/>
            <w:shd w:val="clear" w:color="auto" w:fill="auto"/>
            <w:tcMar>
              <w:left w:w="28" w:type="dxa"/>
              <w:right w:w="28" w:type="dxa"/>
            </w:tcMar>
          </w:tcPr>
          <w:p w:rsidR="00AB44C1" w:rsidRPr="004F2101" w:rsidRDefault="00AB44C1" w:rsidP="00415E9B">
            <w:pPr>
              <w:pStyle w:val="SingleTxtG"/>
              <w:suppressAutoHyphens w:val="0"/>
              <w:spacing w:before="40" w:line="220" w:lineRule="exact"/>
              <w:ind w:left="0" w:right="113"/>
              <w:jc w:val="left"/>
            </w:pPr>
            <w:r w:rsidRPr="004F2101">
              <w:t xml:space="preserve">Remedy: </w:t>
            </w:r>
          </w:p>
        </w:tc>
        <w:tc>
          <w:tcPr>
            <w:tcW w:w="4790" w:type="dxa"/>
            <w:shd w:val="clear" w:color="auto" w:fill="auto"/>
            <w:tcMar>
              <w:left w:w="28" w:type="dxa"/>
              <w:right w:w="28" w:type="dxa"/>
            </w:tcMar>
          </w:tcPr>
          <w:p w:rsidR="00AB44C1" w:rsidRPr="004F2101" w:rsidRDefault="003447B6" w:rsidP="00415E9B">
            <w:pPr>
              <w:pStyle w:val="SingleTxtG"/>
              <w:suppressAutoHyphens w:val="0"/>
              <w:spacing w:before="40" w:line="220" w:lineRule="exact"/>
              <w:ind w:left="0" w:right="113"/>
              <w:jc w:val="left"/>
            </w:pPr>
            <w:r w:rsidRPr="001659D5">
              <w:rPr>
                <w:color w:val="000000" w:themeColor="text1"/>
              </w:rPr>
              <w:t>Effective remedy, including by (</w:t>
            </w:r>
            <w:proofErr w:type="spellStart"/>
            <w:r w:rsidRPr="001659D5">
              <w:rPr>
                <w:color w:val="000000" w:themeColor="text1"/>
              </w:rPr>
              <w:t>i</w:t>
            </w:r>
            <w:proofErr w:type="spellEnd"/>
            <w:r w:rsidRPr="001659D5">
              <w:rPr>
                <w:color w:val="000000" w:themeColor="text1"/>
              </w:rPr>
              <w:t>)</w:t>
            </w:r>
            <w:r>
              <w:t xml:space="preserve"> taking appropriate steps </w:t>
            </w:r>
            <w:proofErr w:type="gramStart"/>
            <w:r>
              <w:t>to immediately release</w:t>
            </w:r>
            <w:proofErr w:type="gramEnd"/>
            <w:r>
              <w:t xml:space="preserve"> the author; (ii) </w:t>
            </w:r>
            <w:r>
              <w:rPr>
                <w:lang w:val="en-US"/>
              </w:rPr>
              <w:t>quashing the author’s conviction and, if necessary, conduct a new trial, in accordance with the principles of fair hearings, presumption of innocence and other procedural safeguards;</w:t>
            </w:r>
            <w:r>
              <w:t xml:space="preserve"> (iii) providing the author with adequate compensation; (iv)</w:t>
            </w:r>
            <w:r>
              <w:rPr>
                <w:lang w:val="en-US"/>
              </w:rPr>
              <w:t xml:space="preserve"> taking steps to prevent similar violations occurring in the future</w:t>
            </w:r>
            <w:r>
              <w:t>.</w:t>
            </w:r>
          </w:p>
        </w:tc>
      </w:tr>
      <w:tr w:rsidR="00AB44C1" w:rsidRPr="004F2101" w:rsidTr="00415E9B">
        <w:tc>
          <w:tcPr>
            <w:tcW w:w="2580" w:type="dxa"/>
            <w:shd w:val="clear" w:color="auto" w:fill="auto"/>
            <w:tcMar>
              <w:left w:w="28" w:type="dxa"/>
              <w:right w:w="28" w:type="dxa"/>
            </w:tcMar>
          </w:tcPr>
          <w:p w:rsidR="00AB44C1" w:rsidRPr="004F2101" w:rsidRDefault="00AB44C1" w:rsidP="00415E9B">
            <w:pPr>
              <w:pStyle w:val="SingleTxtG"/>
              <w:suppressAutoHyphens w:val="0"/>
              <w:spacing w:before="40" w:line="220" w:lineRule="exact"/>
              <w:ind w:left="0" w:right="113"/>
              <w:jc w:val="left"/>
            </w:pPr>
            <w:r w:rsidRPr="004F2101">
              <w:t>Subject matter:</w:t>
            </w:r>
          </w:p>
        </w:tc>
        <w:tc>
          <w:tcPr>
            <w:tcW w:w="4790" w:type="dxa"/>
            <w:shd w:val="clear" w:color="auto" w:fill="auto"/>
            <w:tcMar>
              <w:left w:w="28" w:type="dxa"/>
              <w:right w:w="28" w:type="dxa"/>
            </w:tcMar>
          </w:tcPr>
          <w:p w:rsidR="00AB44C1" w:rsidRPr="004F2101" w:rsidRDefault="003447B6" w:rsidP="00415E9B">
            <w:pPr>
              <w:pStyle w:val="SingleTxtG"/>
              <w:suppressAutoHyphens w:val="0"/>
              <w:spacing w:before="40" w:line="220" w:lineRule="exact"/>
              <w:ind w:left="0" w:right="113"/>
              <w:jc w:val="left"/>
            </w:pPr>
            <w:r>
              <w:t>Torture and unfair trial</w:t>
            </w:r>
            <w:r>
              <w:rPr>
                <w:iCs/>
              </w:rPr>
              <w:t xml:space="preserve">. </w:t>
            </w:r>
            <w:r>
              <w:t xml:space="preserve"> </w:t>
            </w:r>
          </w:p>
        </w:tc>
      </w:tr>
      <w:tr w:rsidR="00AB44C1" w:rsidRPr="004F2101" w:rsidTr="00415E9B">
        <w:tc>
          <w:tcPr>
            <w:tcW w:w="2580" w:type="dxa"/>
            <w:tcBorders>
              <w:bottom w:val="nil"/>
            </w:tcBorders>
            <w:shd w:val="clear" w:color="auto" w:fill="auto"/>
            <w:tcMar>
              <w:left w:w="28" w:type="dxa"/>
              <w:right w:w="28" w:type="dxa"/>
            </w:tcMar>
          </w:tcPr>
          <w:p w:rsidR="00AB44C1" w:rsidRPr="004F2101" w:rsidRDefault="00AB44C1" w:rsidP="00415E9B">
            <w:pPr>
              <w:pStyle w:val="SingleTxtG"/>
              <w:suppressAutoHyphens w:val="0"/>
              <w:spacing w:before="40" w:line="220" w:lineRule="exact"/>
              <w:ind w:left="0" w:right="113"/>
              <w:jc w:val="left"/>
            </w:pPr>
            <w:r w:rsidRPr="004F2101">
              <w:t>Previous follow-up information:</w:t>
            </w:r>
          </w:p>
        </w:tc>
        <w:tc>
          <w:tcPr>
            <w:tcW w:w="4790" w:type="dxa"/>
            <w:tcBorders>
              <w:bottom w:val="nil"/>
            </w:tcBorders>
            <w:shd w:val="clear" w:color="auto" w:fill="auto"/>
            <w:tcMar>
              <w:left w:w="28" w:type="dxa"/>
              <w:right w:w="28" w:type="dxa"/>
            </w:tcMar>
          </w:tcPr>
          <w:p w:rsidR="00AB44C1" w:rsidRPr="004F2101" w:rsidRDefault="003447B6" w:rsidP="00415E9B">
            <w:pPr>
              <w:pStyle w:val="SingleTxtG"/>
              <w:suppressAutoHyphens w:val="0"/>
              <w:spacing w:before="40" w:line="220" w:lineRule="exact"/>
              <w:ind w:left="0" w:right="113"/>
              <w:jc w:val="left"/>
            </w:pPr>
            <w:r>
              <w:rPr>
                <w:color w:val="000000" w:themeColor="text1"/>
              </w:rPr>
              <w:t>No previous follow-up information</w:t>
            </w:r>
            <w:r w:rsidRPr="001659D5">
              <w:rPr>
                <w:color w:val="000000" w:themeColor="text1"/>
              </w:rPr>
              <w:t xml:space="preserve">    </w:t>
            </w:r>
          </w:p>
        </w:tc>
      </w:tr>
      <w:tr w:rsidR="00AB44C1" w:rsidRPr="004F2101" w:rsidTr="00415E9B">
        <w:tc>
          <w:tcPr>
            <w:tcW w:w="2580" w:type="dxa"/>
            <w:tcBorders>
              <w:top w:val="nil"/>
              <w:bottom w:val="nil"/>
            </w:tcBorders>
            <w:shd w:val="clear" w:color="auto" w:fill="auto"/>
            <w:tcMar>
              <w:left w:w="28" w:type="dxa"/>
              <w:right w:w="28" w:type="dxa"/>
            </w:tcMar>
          </w:tcPr>
          <w:p w:rsidR="00AB44C1" w:rsidRPr="004F2101" w:rsidRDefault="00AB44C1" w:rsidP="00415E9B">
            <w:pPr>
              <w:pStyle w:val="SingleTxtG"/>
              <w:suppressAutoHyphens w:val="0"/>
              <w:spacing w:before="40" w:line="220" w:lineRule="exact"/>
              <w:ind w:left="0" w:right="113"/>
              <w:jc w:val="left"/>
            </w:pPr>
            <w:r w:rsidRPr="004F2101">
              <w:t>Submission from author:</w:t>
            </w:r>
          </w:p>
        </w:tc>
        <w:tc>
          <w:tcPr>
            <w:tcW w:w="4790" w:type="dxa"/>
            <w:tcBorders>
              <w:top w:val="nil"/>
              <w:bottom w:val="nil"/>
            </w:tcBorders>
            <w:shd w:val="clear" w:color="auto" w:fill="auto"/>
            <w:tcMar>
              <w:left w:w="28" w:type="dxa"/>
              <w:right w:w="28" w:type="dxa"/>
            </w:tcMar>
          </w:tcPr>
          <w:p w:rsidR="003447B6" w:rsidRDefault="003447B6" w:rsidP="003447B6">
            <w:pPr>
              <w:pStyle w:val="SingleTxtG"/>
              <w:ind w:left="0"/>
              <w:jc w:val="left"/>
              <w:rPr>
                <w:color w:val="000000" w:themeColor="text1"/>
              </w:rPr>
            </w:pPr>
            <w:r>
              <w:rPr>
                <w:color w:val="000000" w:themeColor="text1"/>
              </w:rPr>
              <w:t>24 January 2017</w:t>
            </w:r>
          </w:p>
          <w:p w:rsidR="00AB44C1" w:rsidRPr="003447B6" w:rsidRDefault="003447B6" w:rsidP="003447B6">
            <w:pPr>
              <w:pStyle w:val="SingleTxtG"/>
              <w:ind w:left="0" w:right="283"/>
              <w:rPr>
                <w:color w:val="000000" w:themeColor="text1"/>
              </w:rPr>
            </w:pPr>
            <w:r>
              <w:rPr>
                <w:color w:val="000000" w:themeColor="text1"/>
              </w:rPr>
              <w:t xml:space="preserve">The author submits that the State party has failed to implement the Committee’s Views; that he </w:t>
            </w:r>
            <w:proofErr w:type="gramStart"/>
            <w:r>
              <w:rPr>
                <w:color w:val="000000" w:themeColor="text1"/>
              </w:rPr>
              <w:t>was subjected</w:t>
            </w:r>
            <w:proofErr w:type="gramEnd"/>
            <w:r>
              <w:rPr>
                <w:color w:val="000000" w:themeColor="text1"/>
              </w:rPr>
              <w:t xml:space="preserve"> to torture in detention while waiting for the re-examination of his case; that he was not provided with adequate facilities to prepare his appeal; and informs about his intention to start a hunger strike.  </w:t>
            </w:r>
          </w:p>
        </w:tc>
      </w:tr>
      <w:tr w:rsidR="00415E9B" w:rsidRPr="004F2101" w:rsidTr="00415E9B">
        <w:tc>
          <w:tcPr>
            <w:tcW w:w="2580" w:type="dxa"/>
            <w:tcBorders>
              <w:top w:val="nil"/>
              <w:bottom w:val="nil"/>
            </w:tcBorders>
            <w:shd w:val="clear" w:color="auto" w:fill="auto"/>
            <w:tcMar>
              <w:left w:w="28" w:type="dxa"/>
              <w:right w:w="28" w:type="dxa"/>
            </w:tcMar>
          </w:tcPr>
          <w:p w:rsidR="00415E9B" w:rsidRPr="004F2101" w:rsidRDefault="00415E9B" w:rsidP="00415E9B">
            <w:pPr>
              <w:pStyle w:val="SingleTxtG"/>
              <w:keepNext/>
              <w:keepLines/>
              <w:suppressAutoHyphens w:val="0"/>
              <w:spacing w:before="40" w:line="220" w:lineRule="exact"/>
              <w:ind w:left="0" w:right="113"/>
              <w:jc w:val="left"/>
            </w:pPr>
          </w:p>
        </w:tc>
        <w:tc>
          <w:tcPr>
            <w:tcW w:w="4790" w:type="dxa"/>
            <w:tcBorders>
              <w:top w:val="nil"/>
              <w:bottom w:val="nil"/>
            </w:tcBorders>
            <w:shd w:val="clear" w:color="auto" w:fill="auto"/>
            <w:tcMar>
              <w:left w:w="28" w:type="dxa"/>
              <w:right w:w="28" w:type="dxa"/>
            </w:tcMar>
          </w:tcPr>
          <w:p w:rsidR="00415E9B" w:rsidRPr="004F2101" w:rsidRDefault="00415E9B" w:rsidP="000D5A0D">
            <w:pPr>
              <w:pStyle w:val="SingleTxtG"/>
              <w:ind w:left="539" w:hanging="539"/>
            </w:pPr>
          </w:p>
        </w:tc>
      </w:tr>
      <w:tr w:rsidR="00415E9B" w:rsidRPr="004F2101" w:rsidTr="00415E9B">
        <w:tc>
          <w:tcPr>
            <w:tcW w:w="2580" w:type="dxa"/>
            <w:tcBorders>
              <w:top w:val="nil"/>
            </w:tcBorders>
            <w:shd w:val="clear" w:color="auto" w:fill="auto"/>
            <w:tcMar>
              <w:left w:w="28" w:type="dxa"/>
              <w:right w:w="28" w:type="dxa"/>
            </w:tcMar>
          </w:tcPr>
          <w:p w:rsidR="00415E9B" w:rsidRPr="004F2101" w:rsidRDefault="00415E9B" w:rsidP="00415E9B">
            <w:pPr>
              <w:pStyle w:val="SingleTxtG"/>
              <w:suppressAutoHyphens w:val="0"/>
              <w:spacing w:before="40" w:line="220" w:lineRule="exact"/>
              <w:ind w:left="0" w:right="113"/>
              <w:jc w:val="left"/>
            </w:pPr>
            <w:r w:rsidRPr="004F2101">
              <w:t>Committee</w:t>
            </w:r>
            <w:r w:rsidR="001D6817" w:rsidRPr="004F2101">
              <w:t>’</w:t>
            </w:r>
            <w:r w:rsidRPr="004F2101">
              <w:t>s decision:</w:t>
            </w:r>
          </w:p>
        </w:tc>
        <w:tc>
          <w:tcPr>
            <w:tcW w:w="4790" w:type="dxa"/>
            <w:tcBorders>
              <w:top w:val="nil"/>
            </w:tcBorders>
            <w:shd w:val="clear" w:color="auto" w:fill="auto"/>
            <w:tcMar>
              <w:left w:w="28" w:type="dxa"/>
              <w:right w:w="28" w:type="dxa"/>
            </w:tcMar>
          </w:tcPr>
          <w:p w:rsidR="00415E9B" w:rsidRPr="004F2101" w:rsidRDefault="00415E9B" w:rsidP="00415E9B">
            <w:pPr>
              <w:pStyle w:val="SingleTxtG"/>
              <w:suppressAutoHyphens w:val="0"/>
              <w:spacing w:before="40" w:line="220" w:lineRule="exact"/>
              <w:ind w:left="0" w:right="113"/>
              <w:jc w:val="left"/>
            </w:pPr>
            <w:r w:rsidRPr="004F2101">
              <w:t>Follow-up dialogue ongoing.</w:t>
            </w:r>
          </w:p>
        </w:tc>
      </w:tr>
    </w:tbl>
    <w:p w:rsidR="00415E9B" w:rsidRPr="004F2101" w:rsidRDefault="00415E9B" w:rsidP="000557AA">
      <w:pPr>
        <w:pStyle w:val="Revision"/>
        <w:suppressAutoHyphens/>
        <w:spacing w:after="240" w:line="240" w:lineRule="atLeast"/>
        <w:rPr>
          <w:rFonts w:eastAsia="Times New Roman"/>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90"/>
      </w:tblGrid>
      <w:tr w:rsidR="00AB44C1" w:rsidRPr="004F2101" w:rsidTr="00AC3B6A">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AB44C1" w:rsidRPr="004F2101" w:rsidRDefault="003447B6" w:rsidP="000557AA">
            <w:pPr>
              <w:pStyle w:val="SingleTxtG"/>
              <w:suppressAutoHyphens w:val="0"/>
              <w:spacing w:before="80" w:after="80" w:line="200" w:lineRule="exact"/>
              <w:ind w:left="0" w:right="113"/>
              <w:jc w:val="left"/>
              <w:rPr>
                <w:rFonts w:ascii="Times New Roman Bold" w:hAnsi="Times New Roman Bold" w:cs="Times New Roman Bold" w:hint="eastAsia"/>
                <w:b/>
                <w:bCs/>
                <w:i/>
              </w:rPr>
            </w:pPr>
            <w:r>
              <w:rPr>
                <w:b/>
              </w:rPr>
              <w:t>Communication No. 1756/2008</w:t>
            </w:r>
            <w:r w:rsidRPr="000C7A67">
              <w:rPr>
                <w:b/>
              </w:rPr>
              <w:t xml:space="preserve">, </w:t>
            </w:r>
            <w:proofErr w:type="spellStart"/>
            <w:r>
              <w:rPr>
                <w:b/>
                <w:i/>
              </w:rPr>
              <w:t>Zhumabaeva</w:t>
            </w:r>
            <w:proofErr w:type="spellEnd"/>
          </w:p>
        </w:tc>
      </w:tr>
      <w:tr w:rsidR="00AB44C1" w:rsidRPr="004F2101" w:rsidTr="000557AA">
        <w:tc>
          <w:tcPr>
            <w:tcW w:w="2580" w:type="dxa"/>
            <w:tcBorders>
              <w:top w:val="single" w:sz="12" w:space="0" w:color="auto"/>
            </w:tcBorders>
            <w:shd w:val="clear" w:color="auto" w:fill="auto"/>
            <w:tcMar>
              <w:left w:w="28" w:type="dxa"/>
              <w:right w:w="28" w:type="dxa"/>
            </w:tcMar>
          </w:tcPr>
          <w:p w:rsidR="00AB44C1" w:rsidRPr="004F2101" w:rsidRDefault="00AB44C1" w:rsidP="000557AA">
            <w:pPr>
              <w:pStyle w:val="SingleTxtG"/>
              <w:suppressAutoHyphens w:val="0"/>
              <w:spacing w:before="40" w:line="220" w:lineRule="exact"/>
              <w:ind w:left="0" w:right="113"/>
              <w:jc w:val="left"/>
            </w:pPr>
            <w:r w:rsidRPr="004F2101">
              <w:t>Views adopted:</w:t>
            </w:r>
          </w:p>
        </w:tc>
        <w:tc>
          <w:tcPr>
            <w:tcW w:w="4790" w:type="dxa"/>
            <w:tcBorders>
              <w:top w:val="single" w:sz="12" w:space="0" w:color="auto"/>
            </w:tcBorders>
            <w:shd w:val="clear" w:color="auto" w:fill="auto"/>
            <w:tcMar>
              <w:left w:w="28" w:type="dxa"/>
              <w:right w:w="28" w:type="dxa"/>
            </w:tcMar>
          </w:tcPr>
          <w:p w:rsidR="00AB44C1" w:rsidRPr="004F2101" w:rsidRDefault="003447B6" w:rsidP="000557AA">
            <w:pPr>
              <w:pStyle w:val="SingleTxtG"/>
              <w:suppressAutoHyphens w:val="0"/>
              <w:spacing w:before="40" w:line="220" w:lineRule="exact"/>
              <w:ind w:left="0" w:right="113"/>
              <w:jc w:val="left"/>
            </w:pPr>
            <w:r>
              <w:t>19 July</w:t>
            </w:r>
            <w:r w:rsidRPr="00BC071F">
              <w:t xml:space="preserve"> 201</w:t>
            </w:r>
            <w:r>
              <w:t>1</w:t>
            </w:r>
          </w:p>
        </w:tc>
      </w:tr>
      <w:tr w:rsidR="00AB44C1" w:rsidRPr="004F2101" w:rsidTr="000557AA">
        <w:tc>
          <w:tcPr>
            <w:tcW w:w="2580" w:type="dxa"/>
            <w:shd w:val="clear" w:color="auto" w:fill="auto"/>
            <w:tcMar>
              <w:left w:w="28" w:type="dxa"/>
              <w:right w:w="28" w:type="dxa"/>
            </w:tcMar>
          </w:tcPr>
          <w:p w:rsidR="00AB44C1" w:rsidRPr="004F2101" w:rsidRDefault="00AB44C1" w:rsidP="000557AA">
            <w:pPr>
              <w:pStyle w:val="SingleTxtG"/>
              <w:suppressAutoHyphens w:val="0"/>
              <w:spacing w:before="40" w:line="220" w:lineRule="exact"/>
              <w:ind w:left="0" w:right="113"/>
              <w:jc w:val="left"/>
            </w:pPr>
            <w:r w:rsidRPr="004F2101">
              <w:t>Violation:</w:t>
            </w:r>
          </w:p>
        </w:tc>
        <w:tc>
          <w:tcPr>
            <w:tcW w:w="4790" w:type="dxa"/>
            <w:shd w:val="clear" w:color="auto" w:fill="auto"/>
            <w:tcMar>
              <w:left w:w="28" w:type="dxa"/>
              <w:right w:w="28" w:type="dxa"/>
            </w:tcMar>
          </w:tcPr>
          <w:p w:rsidR="00AB44C1" w:rsidRPr="004F2101" w:rsidRDefault="003447B6" w:rsidP="000557AA">
            <w:pPr>
              <w:pStyle w:val="SingleTxtG"/>
              <w:suppressAutoHyphens w:val="0"/>
              <w:spacing w:before="40" w:line="220" w:lineRule="exact"/>
              <w:ind w:left="0" w:right="113"/>
              <w:jc w:val="left"/>
            </w:pPr>
            <w:r w:rsidRPr="00BC071F">
              <w:t>Article</w:t>
            </w:r>
            <w:r>
              <w:t>s 6 (1), 7, 2 (3) read in conjunction with articles 6 (1) and 7, of the Covenant.</w:t>
            </w:r>
          </w:p>
        </w:tc>
      </w:tr>
      <w:tr w:rsidR="00AB44C1" w:rsidRPr="004F2101" w:rsidTr="000557AA">
        <w:tc>
          <w:tcPr>
            <w:tcW w:w="2580" w:type="dxa"/>
            <w:shd w:val="clear" w:color="auto" w:fill="auto"/>
            <w:tcMar>
              <w:left w:w="28" w:type="dxa"/>
              <w:right w:w="28" w:type="dxa"/>
            </w:tcMar>
          </w:tcPr>
          <w:p w:rsidR="00AB44C1" w:rsidRPr="004F2101" w:rsidRDefault="00AB44C1" w:rsidP="000557AA">
            <w:pPr>
              <w:pStyle w:val="SingleTxtG"/>
              <w:suppressAutoHyphens w:val="0"/>
              <w:spacing w:before="40" w:line="220" w:lineRule="exact"/>
              <w:ind w:left="0" w:right="113"/>
              <w:jc w:val="left"/>
            </w:pPr>
            <w:r w:rsidRPr="004F2101">
              <w:t>Remedy:</w:t>
            </w:r>
          </w:p>
        </w:tc>
        <w:tc>
          <w:tcPr>
            <w:tcW w:w="4790" w:type="dxa"/>
            <w:shd w:val="clear" w:color="auto" w:fill="auto"/>
            <w:tcMar>
              <w:left w:w="28" w:type="dxa"/>
              <w:right w:w="28" w:type="dxa"/>
            </w:tcMar>
          </w:tcPr>
          <w:p w:rsidR="00AB44C1" w:rsidRPr="004F2101" w:rsidRDefault="003447B6" w:rsidP="000557AA">
            <w:pPr>
              <w:pStyle w:val="SingleTxtG"/>
              <w:suppressAutoHyphens w:val="0"/>
              <w:spacing w:before="40" w:line="220" w:lineRule="exact"/>
              <w:ind w:left="0" w:right="113"/>
              <w:jc w:val="left"/>
            </w:pPr>
            <w:r w:rsidRPr="00AE0A45">
              <w:t>Effective remedy, including by (</w:t>
            </w:r>
            <w:proofErr w:type="spellStart"/>
            <w:r w:rsidRPr="00AE0A45">
              <w:t>i</w:t>
            </w:r>
            <w:proofErr w:type="spellEnd"/>
            <w:r>
              <w:t xml:space="preserve">) conducting an impartial, effective and thorough investigation into the circumstances of </w:t>
            </w:r>
            <w:proofErr w:type="gramStart"/>
            <w:r>
              <w:t>the author’s son’s</w:t>
            </w:r>
            <w:proofErr w:type="gramEnd"/>
            <w:r>
              <w:t xml:space="preserve"> death, prosecution of those responsible, (ii) providing full reparation including appropriate compensation (iii) preventing similar violations in the future.</w:t>
            </w:r>
          </w:p>
        </w:tc>
      </w:tr>
      <w:tr w:rsidR="00AB44C1" w:rsidRPr="004F2101" w:rsidTr="000557AA">
        <w:tc>
          <w:tcPr>
            <w:tcW w:w="2580" w:type="dxa"/>
            <w:shd w:val="clear" w:color="auto" w:fill="auto"/>
            <w:tcMar>
              <w:left w:w="28" w:type="dxa"/>
              <w:right w:w="28" w:type="dxa"/>
            </w:tcMar>
          </w:tcPr>
          <w:p w:rsidR="00AB44C1" w:rsidRPr="004F2101" w:rsidRDefault="00AB44C1" w:rsidP="000557AA">
            <w:pPr>
              <w:pStyle w:val="SingleTxtG"/>
              <w:suppressAutoHyphens w:val="0"/>
              <w:spacing w:before="40" w:line="220" w:lineRule="exact"/>
              <w:ind w:left="0" w:right="113"/>
              <w:jc w:val="left"/>
            </w:pPr>
            <w:r w:rsidRPr="004F2101">
              <w:t>Subject matter:</w:t>
            </w:r>
          </w:p>
        </w:tc>
        <w:tc>
          <w:tcPr>
            <w:tcW w:w="4790" w:type="dxa"/>
            <w:shd w:val="clear" w:color="auto" w:fill="auto"/>
            <w:tcMar>
              <w:left w:w="28" w:type="dxa"/>
              <w:right w:w="28" w:type="dxa"/>
            </w:tcMar>
          </w:tcPr>
          <w:p w:rsidR="00AB44C1" w:rsidRPr="004F2101" w:rsidRDefault="003447B6" w:rsidP="000557AA">
            <w:pPr>
              <w:pStyle w:val="SingleTxtG"/>
              <w:suppressAutoHyphens w:val="0"/>
              <w:spacing w:before="40" w:line="220" w:lineRule="exact"/>
              <w:ind w:left="0" w:right="113"/>
              <w:jc w:val="left"/>
            </w:pPr>
            <w:r>
              <w:rPr>
                <w:iCs/>
              </w:rPr>
              <w:t>Death in police custody</w:t>
            </w:r>
          </w:p>
        </w:tc>
      </w:tr>
      <w:tr w:rsidR="00AB44C1" w:rsidRPr="004F2101" w:rsidTr="00AC3B6A">
        <w:tc>
          <w:tcPr>
            <w:tcW w:w="2580" w:type="dxa"/>
            <w:tcBorders>
              <w:bottom w:val="nil"/>
            </w:tcBorders>
            <w:shd w:val="clear" w:color="auto" w:fill="auto"/>
            <w:tcMar>
              <w:left w:w="28" w:type="dxa"/>
              <w:right w:w="28" w:type="dxa"/>
            </w:tcMar>
          </w:tcPr>
          <w:p w:rsidR="00AB44C1" w:rsidRPr="004F2101" w:rsidRDefault="00AB44C1" w:rsidP="000557AA">
            <w:pPr>
              <w:pStyle w:val="SingleTxtG"/>
              <w:suppressAutoHyphens w:val="0"/>
              <w:spacing w:before="40" w:line="220" w:lineRule="exact"/>
              <w:ind w:left="0" w:right="113"/>
              <w:jc w:val="left"/>
            </w:pPr>
            <w:r w:rsidRPr="004F2101">
              <w:t xml:space="preserve">Previous follow-up information: </w:t>
            </w:r>
          </w:p>
        </w:tc>
        <w:tc>
          <w:tcPr>
            <w:tcW w:w="4790" w:type="dxa"/>
            <w:tcBorders>
              <w:bottom w:val="nil"/>
            </w:tcBorders>
            <w:shd w:val="clear" w:color="auto" w:fill="auto"/>
            <w:tcMar>
              <w:left w:w="28" w:type="dxa"/>
              <w:right w:w="28" w:type="dxa"/>
            </w:tcMar>
          </w:tcPr>
          <w:p w:rsidR="00AB44C1" w:rsidRPr="004F2101" w:rsidRDefault="003447B6" w:rsidP="000557AA">
            <w:pPr>
              <w:pStyle w:val="SingleTxtG"/>
              <w:suppressAutoHyphens w:val="0"/>
              <w:spacing w:before="40" w:line="220" w:lineRule="exact"/>
              <w:ind w:left="0" w:right="113"/>
              <w:jc w:val="left"/>
            </w:pPr>
            <w:r>
              <w:t>CCPR/C/116/3</w:t>
            </w:r>
          </w:p>
        </w:tc>
      </w:tr>
      <w:tr w:rsidR="003447B6" w:rsidRPr="004F2101" w:rsidTr="00AC3B6A">
        <w:tc>
          <w:tcPr>
            <w:tcW w:w="2580" w:type="dxa"/>
            <w:tcBorders>
              <w:bottom w:val="nil"/>
            </w:tcBorders>
            <w:shd w:val="clear" w:color="auto" w:fill="auto"/>
            <w:tcMar>
              <w:left w:w="28" w:type="dxa"/>
              <w:right w:w="28" w:type="dxa"/>
            </w:tcMar>
          </w:tcPr>
          <w:p w:rsidR="003447B6" w:rsidRPr="004F2101" w:rsidRDefault="003447B6" w:rsidP="003447B6">
            <w:pPr>
              <w:pStyle w:val="SingleTxtG"/>
              <w:suppressAutoHyphens w:val="0"/>
              <w:spacing w:before="40" w:line="220" w:lineRule="exact"/>
              <w:ind w:left="0" w:right="113"/>
              <w:jc w:val="left"/>
            </w:pPr>
            <w:r w:rsidRPr="004F2101">
              <w:t xml:space="preserve">Submission from </w:t>
            </w:r>
            <w:r>
              <w:t>State party</w:t>
            </w:r>
            <w:r w:rsidRPr="004F2101">
              <w:t>:</w:t>
            </w:r>
          </w:p>
        </w:tc>
        <w:tc>
          <w:tcPr>
            <w:tcW w:w="4790" w:type="dxa"/>
            <w:tcBorders>
              <w:bottom w:val="nil"/>
            </w:tcBorders>
            <w:shd w:val="clear" w:color="auto" w:fill="auto"/>
            <w:tcMar>
              <w:left w:w="28" w:type="dxa"/>
              <w:right w:w="28" w:type="dxa"/>
            </w:tcMar>
          </w:tcPr>
          <w:p w:rsidR="003447B6" w:rsidRDefault="003447B6" w:rsidP="003447B6">
            <w:pPr>
              <w:pStyle w:val="SingleTxtG"/>
              <w:ind w:left="0"/>
              <w:jc w:val="left"/>
            </w:pPr>
            <w:r>
              <w:t>7 February 2017</w:t>
            </w:r>
          </w:p>
          <w:p w:rsidR="003447B6" w:rsidRDefault="003447B6" w:rsidP="003447B6">
            <w:pPr>
              <w:pStyle w:val="SingleTxtG"/>
              <w:ind w:left="0" w:right="283"/>
            </w:pPr>
            <w:r>
              <w:t xml:space="preserve">The State party informs the Committee that by a decision of the Supreme Court of Kyrgyzstan of 11 January 2017 the author, Ms. </w:t>
            </w:r>
            <w:proofErr w:type="spellStart"/>
            <w:r>
              <w:t>Zhumabaeva</w:t>
            </w:r>
            <w:proofErr w:type="spellEnd"/>
            <w:r>
              <w:t xml:space="preserve"> (mother of Mr. </w:t>
            </w:r>
            <w:proofErr w:type="spellStart"/>
            <w:r>
              <w:t>Moidunov</w:t>
            </w:r>
            <w:proofErr w:type="spellEnd"/>
            <w:r>
              <w:t xml:space="preserve">, deceased), was awarded 200 000 Kyrgyzstani </w:t>
            </w:r>
            <w:proofErr w:type="spellStart"/>
            <w:r>
              <w:t>Som</w:t>
            </w:r>
            <w:proofErr w:type="spellEnd"/>
            <w:r>
              <w:t xml:space="preserve"> (approximately 2511 euros) as compensation for non-pecuniary damage sustained as a result of the violation of the rights found by the Committee in its Views. The State party thus requests the Committee to close the dialogue in the case. The State party further seeks a meeting with the Rapporteur on follow-up to Views to discuss the present case.    </w:t>
            </w:r>
          </w:p>
        </w:tc>
      </w:tr>
      <w:tr w:rsidR="00AB44C1" w:rsidRPr="004F2101" w:rsidTr="00AC3B6A">
        <w:tc>
          <w:tcPr>
            <w:tcW w:w="2580" w:type="dxa"/>
            <w:tcBorders>
              <w:top w:val="nil"/>
              <w:bottom w:val="nil"/>
            </w:tcBorders>
            <w:shd w:val="clear" w:color="auto" w:fill="auto"/>
            <w:tcMar>
              <w:left w:w="28" w:type="dxa"/>
              <w:right w:w="28" w:type="dxa"/>
            </w:tcMar>
          </w:tcPr>
          <w:p w:rsidR="00AB44C1" w:rsidRPr="004F2101" w:rsidRDefault="00AB44C1" w:rsidP="0062755D">
            <w:pPr>
              <w:pStyle w:val="SingleTxtG"/>
              <w:suppressAutoHyphens w:val="0"/>
              <w:spacing w:before="40" w:line="220" w:lineRule="exact"/>
              <w:ind w:left="0" w:right="113"/>
              <w:jc w:val="left"/>
            </w:pPr>
            <w:r w:rsidRPr="004F2101">
              <w:t>Submission from author</w:t>
            </w:r>
            <w:r w:rsidR="003447B6">
              <w:t xml:space="preserve">’s counsel </w:t>
            </w:r>
            <w:r w:rsidRPr="004F2101">
              <w:t>:</w:t>
            </w:r>
          </w:p>
        </w:tc>
        <w:tc>
          <w:tcPr>
            <w:tcW w:w="4790" w:type="dxa"/>
            <w:tcBorders>
              <w:top w:val="nil"/>
              <w:bottom w:val="nil"/>
            </w:tcBorders>
            <w:shd w:val="clear" w:color="auto" w:fill="auto"/>
            <w:tcMar>
              <w:left w:w="28" w:type="dxa"/>
              <w:right w:w="28" w:type="dxa"/>
            </w:tcMar>
          </w:tcPr>
          <w:p w:rsidR="003447B6" w:rsidRDefault="003447B6" w:rsidP="003447B6">
            <w:pPr>
              <w:pStyle w:val="SingleTxtG"/>
              <w:ind w:left="0" w:right="283"/>
              <w:rPr>
                <w:color w:val="000000" w:themeColor="text1"/>
              </w:rPr>
            </w:pPr>
            <w:r>
              <w:rPr>
                <w:color w:val="000000" w:themeColor="text1"/>
              </w:rPr>
              <w:t>25 July 2017</w:t>
            </w:r>
          </w:p>
          <w:p w:rsidR="003447B6" w:rsidRDefault="003447B6" w:rsidP="003447B6">
            <w:pPr>
              <w:pStyle w:val="SingleTxtG"/>
              <w:ind w:left="0" w:right="283"/>
              <w:rPr>
                <w:color w:val="000000" w:themeColor="text1"/>
              </w:rPr>
            </w:pPr>
            <w:r>
              <w:rPr>
                <w:color w:val="000000" w:themeColor="text1"/>
              </w:rPr>
              <w:t xml:space="preserve">The author’s counsel stresses that after significant delay, the Government of the State party transferred the compensation for moral damages to a state deposit account in March 2017. However, as of 25 July 2017, the family of Mr. </w:t>
            </w:r>
            <w:proofErr w:type="spellStart"/>
            <w:r>
              <w:rPr>
                <w:color w:val="000000" w:themeColor="text1"/>
              </w:rPr>
              <w:t>Moidunov</w:t>
            </w:r>
            <w:proofErr w:type="spellEnd"/>
            <w:r>
              <w:rPr>
                <w:color w:val="000000" w:themeColor="text1"/>
              </w:rPr>
              <w:t xml:space="preserve"> has not received the compensation, due to administrative difficulties. The Kyrgyz government has also not provided any of the additional remedies requested by the Committee. </w:t>
            </w:r>
          </w:p>
          <w:p w:rsidR="00AB44C1" w:rsidRPr="003447B6" w:rsidRDefault="003447B6" w:rsidP="003447B6">
            <w:pPr>
              <w:pStyle w:val="SingleTxtG"/>
              <w:ind w:left="0" w:right="283"/>
              <w:rPr>
                <w:color w:val="000000" w:themeColor="text1"/>
              </w:rPr>
            </w:pPr>
            <w:proofErr w:type="gramStart"/>
            <w:r>
              <w:rPr>
                <w:color w:val="000000" w:themeColor="text1"/>
              </w:rPr>
              <w:t>The author’s counsel thus requests the Committee not to close the dialogue in the case until the family actually receives the funds, and to provide the author with a three months period to allow the State party to ensure that compensation is paid, so that the family can reassess its position with regard to the other remedies once compensation has been received.</w:t>
            </w:r>
            <w:proofErr w:type="gramEnd"/>
          </w:p>
        </w:tc>
      </w:tr>
      <w:tr w:rsidR="003447B6" w:rsidRPr="004F2101" w:rsidTr="00AC3B6A">
        <w:tc>
          <w:tcPr>
            <w:tcW w:w="2580" w:type="dxa"/>
            <w:tcBorders>
              <w:top w:val="nil"/>
              <w:bottom w:val="nil"/>
            </w:tcBorders>
            <w:shd w:val="clear" w:color="auto" w:fill="auto"/>
            <w:tcMar>
              <w:left w:w="28" w:type="dxa"/>
              <w:right w:w="28" w:type="dxa"/>
            </w:tcMar>
          </w:tcPr>
          <w:p w:rsidR="003447B6" w:rsidRPr="004F2101" w:rsidRDefault="003447B6" w:rsidP="0062755D">
            <w:pPr>
              <w:pStyle w:val="SingleTxtG"/>
              <w:suppressAutoHyphens w:val="0"/>
              <w:spacing w:before="40" w:line="220" w:lineRule="exact"/>
              <w:ind w:left="0" w:right="113"/>
              <w:jc w:val="left"/>
            </w:pPr>
            <w:r w:rsidRPr="004F2101">
              <w:t>Committee’s assessment:</w:t>
            </w:r>
          </w:p>
        </w:tc>
        <w:tc>
          <w:tcPr>
            <w:tcW w:w="4790" w:type="dxa"/>
            <w:tcBorders>
              <w:top w:val="nil"/>
              <w:bottom w:val="nil"/>
            </w:tcBorders>
            <w:shd w:val="clear" w:color="auto" w:fill="auto"/>
            <w:tcMar>
              <w:left w:w="28" w:type="dxa"/>
              <w:right w:w="28" w:type="dxa"/>
            </w:tcMar>
          </w:tcPr>
          <w:p w:rsidR="003447B6" w:rsidRPr="00C50C87" w:rsidRDefault="003447B6" w:rsidP="000D5A0D">
            <w:pPr>
              <w:numPr>
                <w:ilvl w:val="0"/>
                <w:numId w:val="18"/>
              </w:numPr>
              <w:spacing w:after="120" w:line="240" w:lineRule="exact"/>
              <w:ind w:hanging="748"/>
              <w:contextualSpacing/>
              <w:jc w:val="both"/>
              <w:rPr>
                <w:lang w:val="en-CA" w:eastAsia="en-CA"/>
              </w:rPr>
            </w:pPr>
            <w:r>
              <w:t>Investigation and prosecution: C</w:t>
            </w:r>
          </w:p>
          <w:p w:rsidR="003447B6" w:rsidRPr="002445FD" w:rsidRDefault="003447B6" w:rsidP="000D5A0D">
            <w:pPr>
              <w:numPr>
                <w:ilvl w:val="0"/>
                <w:numId w:val="18"/>
              </w:numPr>
              <w:spacing w:after="120" w:line="240" w:lineRule="exact"/>
              <w:ind w:hanging="720"/>
              <w:contextualSpacing/>
              <w:rPr>
                <w:lang w:val="en-CA" w:eastAsia="en-CA"/>
              </w:rPr>
            </w:pPr>
            <w:r>
              <w:t>Full reparation, including appropriate compensation: B</w:t>
            </w:r>
          </w:p>
          <w:p w:rsidR="003447B6" w:rsidRPr="00FC4B47" w:rsidRDefault="003447B6" w:rsidP="000D5A0D">
            <w:pPr>
              <w:numPr>
                <w:ilvl w:val="0"/>
                <w:numId w:val="18"/>
              </w:numPr>
              <w:spacing w:after="120" w:line="240" w:lineRule="exact"/>
              <w:ind w:hanging="720"/>
              <w:contextualSpacing/>
              <w:jc w:val="both"/>
              <w:rPr>
                <w:lang w:val="en-CA" w:eastAsia="en-CA"/>
              </w:rPr>
            </w:pPr>
            <w:r w:rsidRPr="00FC4B47">
              <w:rPr>
                <w:lang w:val="en-CA" w:eastAsia="en-CA"/>
              </w:rPr>
              <w:t>Publication of the Views: No information</w:t>
            </w:r>
          </w:p>
          <w:p w:rsidR="003447B6" w:rsidRPr="009716A9" w:rsidRDefault="003447B6" w:rsidP="00396387">
            <w:pPr>
              <w:numPr>
                <w:ilvl w:val="0"/>
                <w:numId w:val="18"/>
              </w:numPr>
              <w:spacing w:after="120" w:line="240" w:lineRule="exact"/>
              <w:ind w:hanging="720"/>
              <w:contextualSpacing/>
              <w:jc w:val="both"/>
              <w:rPr>
                <w:bCs/>
                <w:color w:val="000000"/>
                <w:lang w:eastAsia="en-GB"/>
              </w:rPr>
            </w:pPr>
            <w:r>
              <w:rPr>
                <w:lang w:val="en-CA" w:eastAsia="en-CA"/>
              </w:rPr>
              <w:t>Non-repetition: B</w:t>
            </w:r>
          </w:p>
          <w:p w:rsidR="005C1577" w:rsidRPr="003447B6" w:rsidRDefault="005C1577" w:rsidP="009716A9">
            <w:pPr>
              <w:spacing w:after="120" w:line="240" w:lineRule="exact"/>
              <w:ind w:left="720"/>
              <w:contextualSpacing/>
              <w:jc w:val="both"/>
              <w:rPr>
                <w:bCs/>
                <w:color w:val="000000"/>
                <w:lang w:eastAsia="en-GB"/>
              </w:rPr>
            </w:pPr>
          </w:p>
        </w:tc>
      </w:tr>
      <w:tr w:rsidR="00720FB5" w:rsidRPr="004F2101" w:rsidTr="00AC3B6A">
        <w:tc>
          <w:tcPr>
            <w:tcW w:w="2580" w:type="dxa"/>
            <w:tcBorders>
              <w:top w:val="nil"/>
            </w:tcBorders>
            <w:shd w:val="clear" w:color="auto" w:fill="auto"/>
            <w:tcMar>
              <w:left w:w="28" w:type="dxa"/>
              <w:right w:w="28" w:type="dxa"/>
            </w:tcMar>
          </w:tcPr>
          <w:p w:rsidR="00720FB5" w:rsidRPr="004F2101" w:rsidRDefault="00720FB5" w:rsidP="000557AA">
            <w:pPr>
              <w:pStyle w:val="SingleTxtG"/>
              <w:suppressAutoHyphens w:val="0"/>
              <w:spacing w:before="40" w:line="220" w:lineRule="exact"/>
              <w:ind w:left="0" w:right="113"/>
              <w:jc w:val="left"/>
            </w:pPr>
            <w:r w:rsidRPr="004F2101">
              <w:t>Committee</w:t>
            </w:r>
            <w:r w:rsidR="001D6817" w:rsidRPr="004F2101">
              <w:t>’</w:t>
            </w:r>
            <w:r w:rsidRPr="004F2101">
              <w:t>s decision:</w:t>
            </w:r>
          </w:p>
        </w:tc>
        <w:tc>
          <w:tcPr>
            <w:tcW w:w="4790" w:type="dxa"/>
            <w:tcBorders>
              <w:top w:val="nil"/>
            </w:tcBorders>
            <w:shd w:val="clear" w:color="auto" w:fill="auto"/>
            <w:tcMar>
              <w:left w:w="28" w:type="dxa"/>
              <w:right w:w="28" w:type="dxa"/>
            </w:tcMar>
          </w:tcPr>
          <w:p w:rsidR="00720FB5" w:rsidRPr="004F2101" w:rsidRDefault="005C1577" w:rsidP="000557AA">
            <w:pPr>
              <w:pStyle w:val="SingleTxtG"/>
              <w:suppressAutoHyphens w:val="0"/>
              <w:spacing w:before="40" w:line="220" w:lineRule="exact"/>
              <w:ind w:left="0" w:right="113"/>
              <w:jc w:val="left"/>
              <w:rPr>
                <w:b/>
                <w:bCs/>
              </w:rPr>
            </w:pPr>
            <w:r>
              <w:rPr>
                <w:color w:val="000000" w:themeColor="text1"/>
              </w:rPr>
              <w:t>Follow-up</w:t>
            </w:r>
            <w:r w:rsidR="003447B6">
              <w:rPr>
                <w:color w:val="000000" w:themeColor="text1"/>
              </w:rPr>
              <w:t xml:space="preserve"> dialogue ongoing; Meet with a representative of the State party during the 122th session.</w:t>
            </w:r>
          </w:p>
        </w:tc>
      </w:tr>
    </w:tbl>
    <w:p w:rsidR="00AB44C1" w:rsidRPr="004F2101" w:rsidRDefault="002F5D4B" w:rsidP="002F5D4B">
      <w:pPr>
        <w:pStyle w:val="H23G"/>
      </w:pPr>
      <w:r>
        <w:tab/>
        <w:t>10.</w:t>
      </w:r>
      <w:r>
        <w:tab/>
        <w:t>Russian Federation</w:t>
      </w:r>
      <w:r w:rsidRPr="0058737A">
        <w:rPr>
          <w:color w:val="000000" w:themeColor="text1"/>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90"/>
      </w:tblGrid>
      <w:tr w:rsidR="00AB44C1" w:rsidRPr="004F2101" w:rsidTr="00BC5103">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AB44C1" w:rsidRPr="002F5D4B" w:rsidRDefault="002F5D4B" w:rsidP="002F5D4B">
            <w:pPr>
              <w:pBdr>
                <w:top w:val="single" w:sz="4" w:space="1" w:color="auto"/>
              </w:pBdr>
              <w:tabs>
                <w:tab w:val="left" w:pos="3969"/>
              </w:tabs>
              <w:spacing w:after="120" w:line="240" w:lineRule="exact"/>
              <w:rPr>
                <w:color w:val="000000" w:themeColor="text1"/>
              </w:rPr>
            </w:pPr>
            <w:r>
              <w:rPr>
                <w:b/>
                <w:color w:val="000000" w:themeColor="text1"/>
              </w:rPr>
              <w:t xml:space="preserve">Communication No. 2099/2011, </w:t>
            </w:r>
            <w:proofErr w:type="spellStart"/>
            <w:r w:rsidRPr="003025A3">
              <w:rPr>
                <w:b/>
                <w:i/>
                <w:color w:val="000000" w:themeColor="text1"/>
              </w:rPr>
              <w:t>Polskikh</w:t>
            </w:r>
            <w:proofErr w:type="spellEnd"/>
          </w:p>
        </w:tc>
      </w:tr>
      <w:tr w:rsidR="00AB44C1" w:rsidRPr="004F2101" w:rsidTr="0056067F">
        <w:tc>
          <w:tcPr>
            <w:tcW w:w="2580" w:type="dxa"/>
            <w:tcBorders>
              <w:top w:val="single" w:sz="12" w:space="0" w:color="auto"/>
              <w:bottom w:val="nil"/>
            </w:tcBorders>
            <w:shd w:val="clear" w:color="auto" w:fill="auto"/>
            <w:tcMar>
              <w:left w:w="28" w:type="dxa"/>
              <w:right w:w="28" w:type="dxa"/>
            </w:tcMar>
          </w:tcPr>
          <w:p w:rsidR="00AB44C1" w:rsidRPr="004F2101" w:rsidRDefault="00AB44C1" w:rsidP="009A090C">
            <w:pPr>
              <w:pStyle w:val="SingleTxtG"/>
              <w:suppressAutoHyphens w:val="0"/>
              <w:spacing w:before="40" w:line="220" w:lineRule="exact"/>
              <w:ind w:left="0" w:right="113"/>
              <w:jc w:val="left"/>
            </w:pPr>
            <w:r w:rsidRPr="004F2101">
              <w:t>Views adopted:</w:t>
            </w:r>
          </w:p>
        </w:tc>
        <w:tc>
          <w:tcPr>
            <w:tcW w:w="4790" w:type="dxa"/>
            <w:tcBorders>
              <w:top w:val="single" w:sz="12" w:space="0" w:color="auto"/>
              <w:bottom w:val="nil"/>
            </w:tcBorders>
            <w:shd w:val="clear" w:color="auto" w:fill="auto"/>
            <w:tcMar>
              <w:left w:w="28" w:type="dxa"/>
              <w:right w:w="28" w:type="dxa"/>
            </w:tcMar>
          </w:tcPr>
          <w:p w:rsidR="00AB44C1" w:rsidRPr="004F2101" w:rsidRDefault="002F5D4B" w:rsidP="009A090C">
            <w:pPr>
              <w:pStyle w:val="SingleTxtG"/>
              <w:suppressAutoHyphens w:val="0"/>
              <w:spacing w:before="40" w:line="220" w:lineRule="exact"/>
              <w:ind w:left="0" w:right="113"/>
              <w:jc w:val="left"/>
            </w:pPr>
            <w:r w:rsidRPr="00B54988">
              <w:t>11</w:t>
            </w:r>
            <w:r w:rsidRPr="009E31DB">
              <w:t xml:space="preserve"> </w:t>
            </w:r>
            <w:r w:rsidRPr="001F71DA">
              <w:t>March</w:t>
            </w:r>
            <w:r w:rsidRPr="009E31DB">
              <w:t xml:space="preserve"> 201</w:t>
            </w:r>
            <w:r w:rsidRPr="001F71DA">
              <w:t>6</w:t>
            </w:r>
          </w:p>
        </w:tc>
      </w:tr>
      <w:tr w:rsidR="00AB44C1" w:rsidRPr="004F2101" w:rsidTr="0056067F">
        <w:tc>
          <w:tcPr>
            <w:tcW w:w="2580" w:type="dxa"/>
            <w:tcBorders>
              <w:top w:val="nil"/>
              <w:bottom w:val="nil"/>
            </w:tcBorders>
            <w:shd w:val="clear" w:color="auto" w:fill="auto"/>
            <w:tcMar>
              <w:left w:w="28" w:type="dxa"/>
              <w:right w:w="28" w:type="dxa"/>
            </w:tcMar>
          </w:tcPr>
          <w:p w:rsidR="00AB44C1" w:rsidRPr="004F2101" w:rsidRDefault="00AB44C1" w:rsidP="009A090C">
            <w:pPr>
              <w:pStyle w:val="SingleTxtG"/>
              <w:suppressAutoHyphens w:val="0"/>
              <w:spacing w:before="40" w:line="220" w:lineRule="exact"/>
              <w:ind w:left="0" w:right="113"/>
              <w:jc w:val="left"/>
            </w:pPr>
            <w:r w:rsidRPr="004F2101">
              <w:t>Violation:</w:t>
            </w:r>
          </w:p>
        </w:tc>
        <w:tc>
          <w:tcPr>
            <w:tcW w:w="4790" w:type="dxa"/>
            <w:tcBorders>
              <w:top w:val="nil"/>
              <w:bottom w:val="nil"/>
            </w:tcBorders>
            <w:shd w:val="clear" w:color="auto" w:fill="auto"/>
            <w:tcMar>
              <w:left w:w="28" w:type="dxa"/>
              <w:right w:w="28" w:type="dxa"/>
            </w:tcMar>
          </w:tcPr>
          <w:p w:rsidR="00AB44C1" w:rsidRPr="004F2101" w:rsidRDefault="002F5D4B" w:rsidP="009A090C">
            <w:pPr>
              <w:pStyle w:val="SingleTxtG"/>
              <w:suppressAutoHyphens w:val="0"/>
              <w:spacing w:before="40" w:line="220" w:lineRule="exact"/>
              <w:ind w:left="0" w:right="113"/>
              <w:jc w:val="left"/>
            </w:pPr>
            <w:r>
              <w:rPr>
                <w:color w:val="000000" w:themeColor="text1"/>
              </w:rPr>
              <w:t>A</w:t>
            </w:r>
            <w:r w:rsidRPr="006C6AA7">
              <w:t>rticle 7 read by itself and in conjunction with article</w:t>
            </w:r>
            <w:r>
              <w:rPr>
                <w:lang w:val="en-US"/>
              </w:rPr>
              <w:t>s</w:t>
            </w:r>
            <w:r w:rsidRPr="006C6AA7">
              <w:t xml:space="preserve"> 2</w:t>
            </w:r>
            <w:r>
              <w:rPr>
                <w:lang w:val="en-US"/>
              </w:rPr>
              <w:t xml:space="preserve"> </w:t>
            </w:r>
            <w:r w:rsidRPr="00B54988">
              <w:t>(</w:t>
            </w:r>
            <w:r w:rsidRPr="006C6AA7">
              <w:t>3</w:t>
            </w:r>
            <w:r w:rsidRPr="00B54988">
              <w:t>)</w:t>
            </w:r>
            <w:r w:rsidRPr="006C6AA7">
              <w:t xml:space="preserve"> </w:t>
            </w:r>
            <w:r w:rsidRPr="00C75539">
              <w:t>and 14</w:t>
            </w:r>
            <w:r>
              <w:t xml:space="preserve"> (3) (g)</w:t>
            </w:r>
            <w:r w:rsidRPr="00054DCF">
              <w:t xml:space="preserve"> of the Covenant.</w:t>
            </w:r>
          </w:p>
        </w:tc>
      </w:tr>
      <w:tr w:rsidR="00AB44C1" w:rsidRPr="004F2101" w:rsidTr="0056067F">
        <w:tc>
          <w:tcPr>
            <w:tcW w:w="2580" w:type="dxa"/>
            <w:tcBorders>
              <w:top w:val="nil"/>
              <w:bottom w:val="nil"/>
            </w:tcBorders>
            <w:shd w:val="clear" w:color="auto" w:fill="auto"/>
            <w:tcMar>
              <w:left w:w="28" w:type="dxa"/>
              <w:right w:w="28" w:type="dxa"/>
            </w:tcMar>
          </w:tcPr>
          <w:p w:rsidR="00AB44C1" w:rsidRPr="004F2101" w:rsidRDefault="00AB44C1" w:rsidP="009A090C">
            <w:pPr>
              <w:pStyle w:val="SingleTxtG"/>
              <w:suppressAutoHyphens w:val="0"/>
              <w:spacing w:before="40" w:line="220" w:lineRule="exact"/>
              <w:ind w:left="0" w:right="113"/>
              <w:jc w:val="left"/>
            </w:pPr>
            <w:r w:rsidRPr="004F2101">
              <w:t xml:space="preserve">Remedy: </w:t>
            </w:r>
          </w:p>
        </w:tc>
        <w:tc>
          <w:tcPr>
            <w:tcW w:w="4790" w:type="dxa"/>
            <w:tcBorders>
              <w:top w:val="nil"/>
              <w:bottom w:val="nil"/>
            </w:tcBorders>
            <w:shd w:val="clear" w:color="auto" w:fill="auto"/>
            <w:tcMar>
              <w:left w:w="28" w:type="dxa"/>
              <w:right w:w="28" w:type="dxa"/>
            </w:tcMar>
          </w:tcPr>
          <w:p w:rsidR="00AB44C1" w:rsidRPr="004F2101" w:rsidRDefault="002F5D4B" w:rsidP="002F5D4B">
            <w:pPr>
              <w:pStyle w:val="SingleTxtG"/>
              <w:ind w:left="0" w:right="141"/>
            </w:pPr>
            <w:proofErr w:type="gramStart"/>
            <w:r>
              <w:rPr>
                <w:color w:val="000000" w:themeColor="text1"/>
              </w:rPr>
              <w:t>T</w:t>
            </w:r>
            <w:r w:rsidRPr="00FC5744">
              <w:t xml:space="preserve">he State party is obligated, </w:t>
            </w:r>
            <w:r w:rsidRPr="00294F10">
              <w:t>inter alia</w:t>
            </w:r>
            <w:r w:rsidRPr="005513B2">
              <w:t>,</w:t>
            </w:r>
            <w:r>
              <w:t xml:space="preserve"> to</w:t>
            </w:r>
            <w:r w:rsidRPr="00E8097C">
              <w:t>: (a)</w:t>
            </w:r>
            <w:r>
              <w:t> </w:t>
            </w:r>
            <w:r w:rsidRPr="00E8097C">
              <w:t xml:space="preserve">conduct a thorough and </w:t>
            </w:r>
            <w:r>
              <w:t xml:space="preserve">effective investigation into the author’s allegations of torture during his </w:t>
            </w:r>
            <w:proofErr w:type="spellStart"/>
            <w:r>
              <w:t>pretrial</w:t>
            </w:r>
            <w:proofErr w:type="spellEnd"/>
            <w:r>
              <w:t xml:space="preserve"> detention</w:t>
            </w:r>
            <w:r w:rsidRPr="00E8097C">
              <w:t>; (b)</w:t>
            </w:r>
            <w:r>
              <w:t> </w:t>
            </w:r>
            <w:r w:rsidRPr="00E8097C">
              <w:t>provid</w:t>
            </w:r>
            <w:r>
              <w:t>e</w:t>
            </w:r>
            <w:r w:rsidRPr="00E8097C">
              <w:t xml:space="preserve"> him with detailed information on the results of the investigation; (c)</w:t>
            </w:r>
            <w:r>
              <w:t> </w:t>
            </w:r>
            <w:r w:rsidRPr="00E8097C">
              <w:t>prosecut</w:t>
            </w:r>
            <w:r>
              <w:t>e</w:t>
            </w:r>
            <w:r w:rsidRPr="00E8097C">
              <w:t>, tr</w:t>
            </w:r>
            <w:r>
              <w:t>y</w:t>
            </w:r>
            <w:r w:rsidRPr="00E8097C">
              <w:t xml:space="preserve"> and</w:t>
            </w:r>
            <w:r>
              <w:t xml:space="preserve">, if </w:t>
            </w:r>
            <w:r w:rsidRPr="00C723C8">
              <w:t>confirmed</w:t>
            </w:r>
            <w:r>
              <w:t xml:space="preserve">, </w:t>
            </w:r>
            <w:r w:rsidRPr="00E8097C">
              <w:t>punish those responsible for the violations committed; (d)</w:t>
            </w:r>
            <w:r>
              <w:t> provide the author with a retrial with all the guarantees enshrined under the Covenant</w:t>
            </w:r>
            <w:r w:rsidRPr="0044065E">
              <w:t xml:space="preserve">; and </w:t>
            </w:r>
            <w:r w:rsidRPr="00CC6174">
              <w:t>(e)</w:t>
            </w:r>
            <w:r>
              <w:t xml:space="preserve"> </w:t>
            </w:r>
            <w:r w:rsidRPr="00E8097C">
              <w:t>provid</w:t>
            </w:r>
            <w:r>
              <w:t>e</w:t>
            </w:r>
            <w:r w:rsidRPr="00E8097C">
              <w:t xml:space="preserve"> </w:t>
            </w:r>
            <w:r>
              <w:t xml:space="preserve">adequate </w:t>
            </w:r>
            <w:r w:rsidRPr="00E8097C">
              <w:t>compensation to the author for the violations suffered.</w:t>
            </w:r>
            <w:proofErr w:type="gramEnd"/>
          </w:p>
        </w:tc>
      </w:tr>
      <w:tr w:rsidR="00AB44C1" w:rsidRPr="004F2101" w:rsidTr="002B4389">
        <w:tc>
          <w:tcPr>
            <w:tcW w:w="2580" w:type="dxa"/>
            <w:tcBorders>
              <w:top w:val="nil"/>
            </w:tcBorders>
            <w:shd w:val="clear" w:color="auto" w:fill="auto"/>
            <w:tcMar>
              <w:left w:w="28" w:type="dxa"/>
              <w:right w:w="28" w:type="dxa"/>
            </w:tcMar>
          </w:tcPr>
          <w:p w:rsidR="00AB44C1" w:rsidRPr="004F2101" w:rsidRDefault="00AB44C1" w:rsidP="009A090C">
            <w:pPr>
              <w:pStyle w:val="SingleTxtG"/>
              <w:suppressAutoHyphens w:val="0"/>
              <w:spacing w:before="40" w:line="220" w:lineRule="exact"/>
              <w:ind w:left="0" w:right="113"/>
              <w:jc w:val="left"/>
            </w:pPr>
            <w:r w:rsidRPr="004F2101">
              <w:t>Subject matter:</w:t>
            </w:r>
          </w:p>
        </w:tc>
        <w:tc>
          <w:tcPr>
            <w:tcW w:w="4790" w:type="dxa"/>
            <w:tcBorders>
              <w:top w:val="nil"/>
            </w:tcBorders>
            <w:shd w:val="clear" w:color="auto" w:fill="auto"/>
            <w:tcMar>
              <w:left w:w="28" w:type="dxa"/>
              <w:right w:w="28" w:type="dxa"/>
            </w:tcMar>
          </w:tcPr>
          <w:p w:rsidR="00AB44C1" w:rsidRPr="004F2101" w:rsidRDefault="002F5D4B" w:rsidP="009A090C">
            <w:pPr>
              <w:pStyle w:val="SingleTxtG"/>
              <w:suppressAutoHyphens w:val="0"/>
              <w:spacing w:before="40" w:line="220" w:lineRule="exact"/>
              <w:ind w:left="0" w:right="113"/>
              <w:jc w:val="left"/>
            </w:pPr>
            <w:r w:rsidRPr="001F71DA">
              <w:t>Author arrested on suspicion of murder and forced to confess through torture</w:t>
            </w:r>
          </w:p>
        </w:tc>
      </w:tr>
      <w:tr w:rsidR="002B4389" w:rsidRPr="004F2101" w:rsidTr="004E605B">
        <w:tc>
          <w:tcPr>
            <w:tcW w:w="2580" w:type="dxa"/>
            <w:tcBorders>
              <w:bottom w:val="nil"/>
            </w:tcBorders>
            <w:shd w:val="clear" w:color="auto" w:fill="auto"/>
            <w:tcMar>
              <w:left w:w="28" w:type="dxa"/>
              <w:right w:w="28" w:type="dxa"/>
            </w:tcMar>
          </w:tcPr>
          <w:p w:rsidR="002B4389" w:rsidRPr="004F2101" w:rsidRDefault="002B4389" w:rsidP="002B4389">
            <w:pPr>
              <w:pStyle w:val="SingleTxtG"/>
              <w:suppressAutoHyphens w:val="0"/>
              <w:spacing w:before="40" w:line="220" w:lineRule="exact"/>
              <w:ind w:left="0" w:right="113"/>
              <w:jc w:val="left"/>
            </w:pPr>
            <w:r w:rsidRPr="004F2101">
              <w:t>Previous follow-up information:</w:t>
            </w:r>
          </w:p>
        </w:tc>
        <w:tc>
          <w:tcPr>
            <w:tcW w:w="4790" w:type="dxa"/>
            <w:tcBorders>
              <w:bottom w:val="nil"/>
            </w:tcBorders>
            <w:shd w:val="clear" w:color="auto" w:fill="auto"/>
            <w:tcMar>
              <w:left w:w="28" w:type="dxa"/>
              <w:right w:w="28" w:type="dxa"/>
            </w:tcMar>
          </w:tcPr>
          <w:p w:rsidR="002B4389" w:rsidRPr="004F2101" w:rsidRDefault="002F5D4B" w:rsidP="007755F2">
            <w:pPr>
              <w:pStyle w:val="SingleTxtG"/>
              <w:suppressAutoHyphens w:val="0"/>
              <w:spacing w:before="40" w:line="220" w:lineRule="exact"/>
              <w:ind w:left="0" w:right="113"/>
              <w:jc w:val="left"/>
            </w:pPr>
            <w:r>
              <w:rPr>
                <w:color w:val="000000" w:themeColor="text1"/>
              </w:rPr>
              <w:t>No previous follow-up information</w:t>
            </w:r>
            <w:r w:rsidRPr="001659D5">
              <w:rPr>
                <w:color w:val="000000" w:themeColor="text1"/>
              </w:rPr>
              <w:t xml:space="preserve">    </w:t>
            </w:r>
          </w:p>
        </w:tc>
      </w:tr>
      <w:tr w:rsidR="00AB44C1" w:rsidRPr="004F2101" w:rsidTr="004E605B">
        <w:tc>
          <w:tcPr>
            <w:tcW w:w="2580" w:type="dxa"/>
            <w:tcBorders>
              <w:top w:val="nil"/>
              <w:bottom w:val="nil"/>
            </w:tcBorders>
            <w:shd w:val="clear" w:color="auto" w:fill="auto"/>
            <w:tcMar>
              <w:left w:w="28" w:type="dxa"/>
              <w:right w:w="28" w:type="dxa"/>
            </w:tcMar>
          </w:tcPr>
          <w:p w:rsidR="00AB44C1" w:rsidRPr="004F2101" w:rsidRDefault="00AB44C1" w:rsidP="002F5D4B">
            <w:pPr>
              <w:pStyle w:val="SingleTxtG"/>
              <w:suppressAutoHyphens w:val="0"/>
              <w:spacing w:before="40" w:line="220" w:lineRule="exact"/>
              <w:ind w:left="0" w:right="113"/>
              <w:jc w:val="left"/>
            </w:pPr>
            <w:r w:rsidRPr="004F2101">
              <w:t>Submission from author</w:t>
            </w:r>
            <w:r w:rsidR="002F5D4B">
              <w:t xml:space="preserve"> </w:t>
            </w:r>
            <w:r w:rsidR="009F5FB0" w:rsidRPr="004F2101">
              <w:t>:</w:t>
            </w:r>
          </w:p>
        </w:tc>
        <w:tc>
          <w:tcPr>
            <w:tcW w:w="4790" w:type="dxa"/>
            <w:tcBorders>
              <w:top w:val="nil"/>
              <w:bottom w:val="nil"/>
            </w:tcBorders>
            <w:shd w:val="clear" w:color="auto" w:fill="auto"/>
            <w:tcMar>
              <w:left w:w="28" w:type="dxa"/>
              <w:right w:w="28" w:type="dxa"/>
            </w:tcMar>
          </w:tcPr>
          <w:p w:rsidR="002F5D4B" w:rsidRPr="001659D5" w:rsidRDefault="002F5D4B" w:rsidP="002F5D4B">
            <w:pPr>
              <w:pStyle w:val="SingleTxtG"/>
              <w:ind w:left="0"/>
              <w:rPr>
                <w:color w:val="000000" w:themeColor="text1"/>
              </w:rPr>
            </w:pPr>
            <w:r>
              <w:rPr>
                <w:color w:val="000000" w:themeColor="text1"/>
              </w:rPr>
              <w:t>13 December 2016.</w:t>
            </w:r>
            <w:r>
              <w:rPr>
                <w:rStyle w:val="FootnoteReference"/>
                <w:color w:val="000000" w:themeColor="text1"/>
              </w:rPr>
              <w:footnoteReference w:id="7"/>
            </w:r>
          </w:p>
          <w:p w:rsidR="00AB44C1" w:rsidRPr="002F5D4B" w:rsidRDefault="002F5D4B" w:rsidP="002F5D4B">
            <w:pPr>
              <w:pStyle w:val="SingleTxtG"/>
              <w:ind w:left="0" w:right="283"/>
              <w:rPr>
                <w:color w:val="000000" w:themeColor="text1"/>
              </w:rPr>
            </w:pPr>
            <w:r>
              <w:rPr>
                <w:color w:val="000000" w:themeColor="text1"/>
              </w:rPr>
              <w:t xml:space="preserve">The author submits that the State party has failed to adopt implementation measures. He applied to the Supreme Court of Russia to reopen the criminal proceedings in his criminal case. On 17 October 2016, the Supreme Court rejected the request, arguing that the Committee’s finding of a violation of article 14 of the Covenant did not constitute a ground for reopening. He then requested the Office of the Prosecutor’s General to initiate proceedings for reopening his case, based on the Committee’s Views. On 11 November 2016, his request was rejected on the ground that the allegations about his ill-treatment and confession obtained under duress were duly examined by the domestic </w:t>
            </w:r>
            <w:proofErr w:type="gramStart"/>
            <w:r>
              <w:rPr>
                <w:color w:val="000000" w:themeColor="text1"/>
              </w:rPr>
              <w:t>authorities,</w:t>
            </w:r>
            <w:proofErr w:type="gramEnd"/>
            <w:r>
              <w:rPr>
                <w:color w:val="000000" w:themeColor="text1"/>
              </w:rPr>
              <w:t xml:space="preserve"> and found unsubstantiated; therefore, any implementation measures with regards to the Committee’s Views were unnecessary.  </w:t>
            </w:r>
          </w:p>
        </w:tc>
      </w:tr>
      <w:tr w:rsidR="002F5D4B" w:rsidRPr="004F2101" w:rsidTr="004E605B">
        <w:tc>
          <w:tcPr>
            <w:tcW w:w="2580" w:type="dxa"/>
            <w:tcBorders>
              <w:top w:val="nil"/>
              <w:bottom w:val="nil"/>
            </w:tcBorders>
            <w:shd w:val="clear" w:color="auto" w:fill="auto"/>
            <w:tcMar>
              <w:left w:w="28" w:type="dxa"/>
              <w:right w:w="28" w:type="dxa"/>
            </w:tcMar>
          </w:tcPr>
          <w:p w:rsidR="002F5D4B" w:rsidRPr="004F2101" w:rsidRDefault="002F5D4B" w:rsidP="002F5D4B">
            <w:pPr>
              <w:pStyle w:val="SingleTxtG"/>
              <w:suppressAutoHyphens w:val="0"/>
              <w:spacing w:before="40" w:line="220" w:lineRule="exact"/>
              <w:ind w:left="0" w:right="113"/>
              <w:jc w:val="left"/>
            </w:pPr>
          </w:p>
        </w:tc>
        <w:tc>
          <w:tcPr>
            <w:tcW w:w="4790" w:type="dxa"/>
            <w:tcBorders>
              <w:top w:val="nil"/>
              <w:bottom w:val="nil"/>
            </w:tcBorders>
            <w:shd w:val="clear" w:color="auto" w:fill="auto"/>
            <w:tcMar>
              <w:left w:w="28" w:type="dxa"/>
              <w:right w:w="28" w:type="dxa"/>
            </w:tcMar>
          </w:tcPr>
          <w:p w:rsidR="002F5D4B" w:rsidRPr="002F5D4B" w:rsidRDefault="002F5D4B" w:rsidP="000D5A0D">
            <w:pPr>
              <w:pStyle w:val="ListParagraph"/>
              <w:numPr>
                <w:ilvl w:val="0"/>
                <w:numId w:val="24"/>
              </w:numPr>
              <w:autoSpaceDE w:val="0"/>
              <w:autoSpaceDN w:val="0"/>
              <w:adjustRightInd w:val="0"/>
              <w:spacing w:before="40" w:after="120" w:line="220" w:lineRule="atLeast"/>
              <w:ind w:right="1275" w:hanging="720"/>
              <w:rPr>
                <w:rFonts w:ascii="Times New Roman" w:hAnsi="Times New Roman"/>
                <w:sz w:val="20"/>
                <w:szCs w:val="20"/>
                <w:lang w:eastAsia="en-GB"/>
              </w:rPr>
            </w:pPr>
          </w:p>
        </w:tc>
      </w:tr>
      <w:tr w:rsidR="00AB44C1" w:rsidRPr="004F2101" w:rsidTr="004E605B">
        <w:tc>
          <w:tcPr>
            <w:tcW w:w="2580" w:type="dxa"/>
            <w:tcBorders>
              <w:top w:val="nil"/>
            </w:tcBorders>
            <w:shd w:val="clear" w:color="auto" w:fill="auto"/>
            <w:tcMar>
              <w:left w:w="28" w:type="dxa"/>
              <w:right w:w="28" w:type="dxa"/>
            </w:tcMar>
          </w:tcPr>
          <w:p w:rsidR="00AB44C1" w:rsidRPr="004F2101" w:rsidRDefault="00AB44C1" w:rsidP="009A090C">
            <w:pPr>
              <w:pStyle w:val="SingleTxtG"/>
              <w:suppressAutoHyphens w:val="0"/>
              <w:spacing w:before="40" w:line="220" w:lineRule="exact"/>
              <w:ind w:left="0" w:right="113"/>
              <w:jc w:val="left"/>
            </w:pPr>
            <w:r w:rsidRPr="004F2101">
              <w:t>Committee</w:t>
            </w:r>
            <w:r w:rsidR="001D6817" w:rsidRPr="004F2101">
              <w:t>’</w:t>
            </w:r>
            <w:r w:rsidRPr="004F2101">
              <w:t>s decision:</w:t>
            </w:r>
          </w:p>
        </w:tc>
        <w:tc>
          <w:tcPr>
            <w:tcW w:w="4790" w:type="dxa"/>
            <w:tcBorders>
              <w:top w:val="nil"/>
            </w:tcBorders>
            <w:shd w:val="clear" w:color="auto" w:fill="auto"/>
            <w:tcMar>
              <w:left w:w="28" w:type="dxa"/>
              <w:right w:w="28" w:type="dxa"/>
            </w:tcMar>
          </w:tcPr>
          <w:p w:rsidR="00396387" w:rsidRDefault="00396387" w:rsidP="009F5FB0">
            <w:pPr>
              <w:pStyle w:val="SingleTxtG"/>
              <w:suppressAutoHyphens w:val="0"/>
              <w:spacing w:before="40" w:line="220" w:lineRule="exact"/>
              <w:ind w:left="0" w:right="113"/>
              <w:jc w:val="left"/>
            </w:pPr>
            <w:r>
              <w:t xml:space="preserve">Send a reminder to the State party; </w:t>
            </w:r>
            <w:r w:rsidR="005C1577">
              <w:t>Meet with a representative of the State party</w:t>
            </w:r>
            <w:r>
              <w:t xml:space="preserve"> during the 122</w:t>
            </w:r>
            <w:r w:rsidRPr="009716A9">
              <w:rPr>
                <w:vertAlign w:val="superscript"/>
              </w:rPr>
              <w:t>nd</w:t>
            </w:r>
            <w:r>
              <w:t xml:space="preserve"> session.</w:t>
            </w:r>
          </w:p>
          <w:p w:rsidR="00AB44C1" w:rsidRPr="004F2101" w:rsidRDefault="00AB44C1" w:rsidP="009F5FB0">
            <w:pPr>
              <w:pStyle w:val="SingleTxtG"/>
              <w:suppressAutoHyphens w:val="0"/>
              <w:spacing w:before="40" w:line="220" w:lineRule="exact"/>
              <w:ind w:left="0" w:right="113"/>
              <w:jc w:val="left"/>
            </w:pPr>
            <w:r w:rsidRPr="004F2101">
              <w:t>Follow-up dialogue ongoing.</w:t>
            </w:r>
          </w:p>
        </w:tc>
      </w:tr>
    </w:tbl>
    <w:p w:rsidR="004E605B" w:rsidRPr="004F2101" w:rsidRDefault="004E605B" w:rsidP="00B45ED8">
      <w:pPr>
        <w:pStyle w:val="Revision"/>
        <w:suppressAutoHyphens/>
        <w:spacing w:after="240" w:line="240" w:lineRule="atLeast"/>
        <w:rPr>
          <w:rFonts w:eastAsia="Times New Roman"/>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90"/>
      </w:tblGrid>
      <w:tr w:rsidR="00AB44C1" w:rsidRPr="004F2101" w:rsidTr="00656532">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AB44C1" w:rsidRPr="004F2101" w:rsidRDefault="002F5D4B" w:rsidP="004E605B">
            <w:pPr>
              <w:pStyle w:val="SingleTxtG"/>
              <w:suppressAutoHyphens w:val="0"/>
              <w:spacing w:before="80" w:after="80" w:line="200" w:lineRule="exact"/>
              <w:ind w:left="0" w:right="113"/>
              <w:jc w:val="left"/>
              <w:rPr>
                <w:rFonts w:ascii="Times New Roman Bold" w:hAnsi="Times New Roman Bold" w:cs="Times New Roman Bold" w:hint="eastAsia"/>
                <w:b/>
                <w:i/>
              </w:rPr>
            </w:pPr>
            <w:r>
              <w:rPr>
                <w:b/>
              </w:rPr>
              <w:t>Communication No. 1304/2004</w:t>
            </w:r>
            <w:r w:rsidRPr="000C7A67">
              <w:rPr>
                <w:b/>
              </w:rPr>
              <w:t xml:space="preserve">, </w:t>
            </w:r>
            <w:proofErr w:type="spellStart"/>
            <w:r>
              <w:rPr>
                <w:b/>
                <w:i/>
              </w:rPr>
              <w:t>Khoroshenko</w:t>
            </w:r>
            <w:proofErr w:type="spellEnd"/>
          </w:p>
        </w:tc>
      </w:tr>
      <w:tr w:rsidR="00AB44C1" w:rsidRPr="004F2101" w:rsidTr="0007625F">
        <w:tc>
          <w:tcPr>
            <w:tcW w:w="2580" w:type="dxa"/>
            <w:tcBorders>
              <w:top w:val="single" w:sz="12" w:space="0" w:color="auto"/>
            </w:tcBorders>
            <w:shd w:val="clear" w:color="auto" w:fill="auto"/>
            <w:tcMar>
              <w:left w:w="28" w:type="dxa"/>
              <w:right w:w="28" w:type="dxa"/>
            </w:tcMar>
          </w:tcPr>
          <w:p w:rsidR="00AB44C1" w:rsidRPr="004F2101" w:rsidRDefault="00AB44C1" w:rsidP="0007625F">
            <w:pPr>
              <w:pStyle w:val="SingleTxtG"/>
              <w:suppressAutoHyphens w:val="0"/>
              <w:spacing w:before="40" w:line="220" w:lineRule="exact"/>
              <w:ind w:left="0" w:right="113"/>
              <w:jc w:val="left"/>
            </w:pPr>
            <w:r w:rsidRPr="004F2101">
              <w:t>Views adopted:</w:t>
            </w:r>
          </w:p>
        </w:tc>
        <w:tc>
          <w:tcPr>
            <w:tcW w:w="4790" w:type="dxa"/>
            <w:tcBorders>
              <w:top w:val="single" w:sz="12" w:space="0" w:color="auto"/>
            </w:tcBorders>
            <w:shd w:val="clear" w:color="auto" w:fill="auto"/>
            <w:tcMar>
              <w:left w:w="28" w:type="dxa"/>
              <w:right w:w="28" w:type="dxa"/>
            </w:tcMar>
          </w:tcPr>
          <w:p w:rsidR="00AB44C1" w:rsidRPr="004F2101" w:rsidRDefault="002F5D4B" w:rsidP="0007625F">
            <w:pPr>
              <w:pStyle w:val="SingleTxtG"/>
              <w:suppressAutoHyphens w:val="0"/>
              <w:spacing w:before="40" w:line="220" w:lineRule="exact"/>
              <w:ind w:left="0" w:right="113"/>
              <w:jc w:val="left"/>
            </w:pPr>
            <w:r>
              <w:t>29 March</w:t>
            </w:r>
            <w:r w:rsidRPr="00BC071F">
              <w:t xml:space="preserve"> 201</w:t>
            </w:r>
            <w:r>
              <w:t>1</w:t>
            </w:r>
          </w:p>
        </w:tc>
      </w:tr>
      <w:tr w:rsidR="00AB44C1" w:rsidRPr="004F2101" w:rsidTr="0007625F">
        <w:tc>
          <w:tcPr>
            <w:tcW w:w="2580" w:type="dxa"/>
            <w:shd w:val="clear" w:color="auto" w:fill="auto"/>
            <w:tcMar>
              <w:left w:w="28" w:type="dxa"/>
              <w:right w:w="28" w:type="dxa"/>
            </w:tcMar>
          </w:tcPr>
          <w:p w:rsidR="00AB44C1" w:rsidRPr="004F2101" w:rsidRDefault="00AB44C1" w:rsidP="0007625F">
            <w:pPr>
              <w:pStyle w:val="SingleTxtG"/>
              <w:suppressAutoHyphens w:val="0"/>
              <w:spacing w:before="40" w:line="220" w:lineRule="exact"/>
              <w:ind w:left="0" w:right="113"/>
              <w:jc w:val="left"/>
            </w:pPr>
            <w:r w:rsidRPr="004F2101">
              <w:t>Violation:</w:t>
            </w:r>
          </w:p>
        </w:tc>
        <w:tc>
          <w:tcPr>
            <w:tcW w:w="4790" w:type="dxa"/>
            <w:shd w:val="clear" w:color="auto" w:fill="auto"/>
            <w:tcMar>
              <w:left w:w="28" w:type="dxa"/>
              <w:right w:w="28" w:type="dxa"/>
            </w:tcMar>
          </w:tcPr>
          <w:p w:rsidR="00AB44C1" w:rsidRPr="004F2101" w:rsidRDefault="002F5D4B" w:rsidP="0007625F">
            <w:pPr>
              <w:pStyle w:val="SingleTxtG"/>
              <w:suppressAutoHyphens w:val="0"/>
              <w:spacing w:before="40" w:line="220" w:lineRule="exact"/>
              <w:ind w:left="0" w:right="113"/>
              <w:jc w:val="left"/>
            </w:pPr>
            <w:r w:rsidRPr="00BC071F">
              <w:t>Article</w:t>
            </w:r>
            <w:r>
              <w:t xml:space="preserve"> 6 read together with article 14</w:t>
            </w:r>
            <w:proofErr w:type="gramStart"/>
            <w:r>
              <w:t>;</w:t>
            </w:r>
            <w:proofErr w:type="gramEnd"/>
            <w:r>
              <w:t xml:space="preserve"> articles 7, 9 (1) (2) (3) (4), 14 (1) and (3) (a), (b), (d), (g) </w:t>
            </w:r>
            <w:r>
              <w:rPr>
                <w:iCs/>
              </w:rPr>
              <w:t>of the Covenant</w:t>
            </w:r>
            <w:r w:rsidRPr="00BC071F">
              <w:t>.</w:t>
            </w:r>
          </w:p>
        </w:tc>
      </w:tr>
      <w:tr w:rsidR="00AB44C1" w:rsidRPr="004F2101" w:rsidTr="0007625F">
        <w:tc>
          <w:tcPr>
            <w:tcW w:w="2580" w:type="dxa"/>
            <w:shd w:val="clear" w:color="auto" w:fill="auto"/>
            <w:tcMar>
              <w:left w:w="28" w:type="dxa"/>
              <w:right w:w="28" w:type="dxa"/>
            </w:tcMar>
          </w:tcPr>
          <w:p w:rsidR="00AB44C1" w:rsidRPr="004F2101" w:rsidRDefault="00AB44C1" w:rsidP="0007625F">
            <w:pPr>
              <w:pStyle w:val="SingleTxtG"/>
              <w:suppressAutoHyphens w:val="0"/>
              <w:spacing w:before="40" w:line="220" w:lineRule="exact"/>
              <w:ind w:left="0" w:right="113"/>
              <w:jc w:val="left"/>
            </w:pPr>
            <w:r w:rsidRPr="004F2101">
              <w:t xml:space="preserve">Remedy: </w:t>
            </w:r>
          </w:p>
        </w:tc>
        <w:tc>
          <w:tcPr>
            <w:tcW w:w="4790" w:type="dxa"/>
            <w:shd w:val="clear" w:color="auto" w:fill="auto"/>
            <w:tcMar>
              <w:left w:w="28" w:type="dxa"/>
              <w:right w:w="28" w:type="dxa"/>
            </w:tcMar>
          </w:tcPr>
          <w:p w:rsidR="00AB44C1" w:rsidRPr="004F2101" w:rsidRDefault="002F5D4B" w:rsidP="0007625F">
            <w:pPr>
              <w:pStyle w:val="SingleTxtG"/>
              <w:suppressAutoHyphens w:val="0"/>
              <w:spacing w:before="40" w:line="220" w:lineRule="exact"/>
              <w:ind w:left="0" w:right="113"/>
              <w:jc w:val="left"/>
            </w:pPr>
            <w:proofErr w:type="gramStart"/>
            <w:r w:rsidRPr="00AE0A45">
              <w:t>Effective remedy, including by (</w:t>
            </w:r>
            <w:proofErr w:type="spellStart"/>
            <w:r w:rsidRPr="00AE0A45">
              <w:t>i</w:t>
            </w:r>
            <w:proofErr w:type="spellEnd"/>
            <w:r>
              <w:t>) conducting full and thorough investigation into the allegations of torture and ill-treatment and initiating criminal proceedings against those responsible for the treatment to which the author was subjected; (ii) conducting a retrial in compliance with all guarantees under the Covenant; (iii) providing the author with adequate reparation including compensation; (iv) taking steps to prevent similar violations occurring in the future.</w:t>
            </w:r>
            <w:proofErr w:type="gramEnd"/>
          </w:p>
        </w:tc>
      </w:tr>
      <w:tr w:rsidR="00AB44C1" w:rsidRPr="004F2101" w:rsidTr="0007625F">
        <w:tc>
          <w:tcPr>
            <w:tcW w:w="2580" w:type="dxa"/>
            <w:shd w:val="clear" w:color="auto" w:fill="auto"/>
            <w:tcMar>
              <w:left w:w="28" w:type="dxa"/>
              <w:right w:w="28" w:type="dxa"/>
            </w:tcMar>
          </w:tcPr>
          <w:p w:rsidR="00AB44C1" w:rsidRPr="004F2101" w:rsidRDefault="00AB44C1" w:rsidP="0007625F">
            <w:pPr>
              <w:pStyle w:val="SingleTxtG"/>
              <w:suppressAutoHyphens w:val="0"/>
              <w:spacing w:before="40" w:line="220" w:lineRule="exact"/>
              <w:ind w:left="0" w:right="113"/>
              <w:jc w:val="left"/>
            </w:pPr>
            <w:r w:rsidRPr="004F2101">
              <w:t>Subject matter:</w:t>
            </w:r>
          </w:p>
        </w:tc>
        <w:tc>
          <w:tcPr>
            <w:tcW w:w="4790" w:type="dxa"/>
            <w:shd w:val="clear" w:color="auto" w:fill="auto"/>
            <w:tcMar>
              <w:left w:w="28" w:type="dxa"/>
              <w:right w:w="28" w:type="dxa"/>
            </w:tcMar>
          </w:tcPr>
          <w:p w:rsidR="00AB44C1" w:rsidRPr="004F2101" w:rsidRDefault="002F5D4B" w:rsidP="0007625F">
            <w:pPr>
              <w:pStyle w:val="SingleTxtG"/>
              <w:suppressAutoHyphens w:val="0"/>
              <w:spacing w:before="40" w:line="220" w:lineRule="exact"/>
              <w:ind w:left="0" w:right="113"/>
              <w:jc w:val="left"/>
            </w:pPr>
            <w:r>
              <w:t>Criminal conviction and death penalty based on an unfair trial, torture, arbitrary detention.</w:t>
            </w:r>
          </w:p>
        </w:tc>
      </w:tr>
      <w:tr w:rsidR="00EC1864" w:rsidRPr="004F2101" w:rsidTr="0007625F">
        <w:tc>
          <w:tcPr>
            <w:tcW w:w="2580" w:type="dxa"/>
            <w:shd w:val="clear" w:color="auto" w:fill="auto"/>
            <w:tcMar>
              <w:left w:w="28" w:type="dxa"/>
              <w:right w:w="28" w:type="dxa"/>
            </w:tcMar>
          </w:tcPr>
          <w:p w:rsidR="00EC1864" w:rsidRPr="004F2101" w:rsidRDefault="00EC1864" w:rsidP="0007625F">
            <w:pPr>
              <w:pStyle w:val="SingleTxtG"/>
              <w:suppressAutoHyphens w:val="0"/>
              <w:spacing w:before="40" w:line="220" w:lineRule="exact"/>
              <w:ind w:left="0" w:right="113"/>
              <w:jc w:val="left"/>
            </w:pPr>
            <w:r w:rsidRPr="004F2101">
              <w:t>Previous follow-up information:</w:t>
            </w:r>
          </w:p>
        </w:tc>
        <w:tc>
          <w:tcPr>
            <w:tcW w:w="4790" w:type="dxa"/>
            <w:shd w:val="clear" w:color="auto" w:fill="auto"/>
            <w:tcMar>
              <w:left w:w="28" w:type="dxa"/>
              <w:right w:w="28" w:type="dxa"/>
            </w:tcMar>
          </w:tcPr>
          <w:p w:rsidR="00EC1864" w:rsidRPr="004F2101" w:rsidRDefault="002F5D4B" w:rsidP="007E288B">
            <w:pPr>
              <w:pStyle w:val="SingleTxtG"/>
              <w:suppressAutoHyphens w:val="0"/>
              <w:spacing w:before="40" w:line="220" w:lineRule="exact"/>
              <w:ind w:left="0" w:right="113"/>
              <w:jc w:val="left"/>
            </w:pPr>
            <w:r>
              <w:t>CCPR/C/115/3</w:t>
            </w:r>
          </w:p>
        </w:tc>
      </w:tr>
      <w:tr w:rsidR="00326358" w:rsidRPr="004F2101" w:rsidTr="00656532">
        <w:tc>
          <w:tcPr>
            <w:tcW w:w="2580" w:type="dxa"/>
            <w:tcBorders>
              <w:bottom w:val="nil"/>
            </w:tcBorders>
            <w:shd w:val="clear" w:color="auto" w:fill="auto"/>
            <w:tcMar>
              <w:left w:w="28" w:type="dxa"/>
              <w:right w:w="28" w:type="dxa"/>
            </w:tcMar>
          </w:tcPr>
          <w:p w:rsidR="00326358" w:rsidRPr="004F2101" w:rsidRDefault="00326358" w:rsidP="0007625F">
            <w:pPr>
              <w:pStyle w:val="SingleTxtG"/>
              <w:suppressAutoHyphens w:val="0"/>
              <w:spacing w:before="40" w:line="220" w:lineRule="exact"/>
              <w:ind w:left="0" w:right="113"/>
              <w:jc w:val="left"/>
            </w:pPr>
            <w:r w:rsidRPr="004F2101">
              <w:t>Submission from author</w:t>
            </w:r>
            <w:r w:rsidR="001D6817" w:rsidRPr="004F2101">
              <w:t>’</w:t>
            </w:r>
            <w:r w:rsidRPr="004F2101">
              <w:t>s counsel:</w:t>
            </w:r>
          </w:p>
        </w:tc>
        <w:tc>
          <w:tcPr>
            <w:tcW w:w="4790" w:type="dxa"/>
            <w:tcBorders>
              <w:bottom w:val="nil"/>
            </w:tcBorders>
            <w:shd w:val="clear" w:color="auto" w:fill="auto"/>
            <w:tcMar>
              <w:left w:w="28" w:type="dxa"/>
              <w:right w:w="28" w:type="dxa"/>
            </w:tcMar>
          </w:tcPr>
          <w:p w:rsidR="002F5D4B" w:rsidRDefault="002F5D4B" w:rsidP="002F5D4B">
            <w:pPr>
              <w:pStyle w:val="SingleTxtG"/>
              <w:ind w:left="0"/>
              <w:jc w:val="left"/>
            </w:pPr>
            <w:r>
              <w:t>12 June 2016</w:t>
            </w:r>
          </w:p>
          <w:p w:rsidR="0057007C" w:rsidRPr="004F2101" w:rsidRDefault="002F5D4B" w:rsidP="002F5D4B">
            <w:pPr>
              <w:pStyle w:val="SingleTxtG"/>
              <w:ind w:left="0" w:right="283"/>
            </w:pPr>
            <w:r>
              <w:t xml:space="preserve">The author submits that the State party has failed </w:t>
            </w:r>
            <w:proofErr w:type="gramStart"/>
            <w:r>
              <w:t>to fully implement</w:t>
            </w:r>
            <w:proofErr w:type="gramEnd"/>
            <w:r>
              <w:t xml:space="preserve"> the recommendations adopted by the Committee. </w:t>
            </w:r>
          </w:p>
        </w:tc>
      </w:tr>
      <w:tr w:rsidR="00AB44C1" w:rsidRPr="004F2101" w:rsidTr="00656532">
        <w:tc>
          <w:tcPr>
            <w:tcW w:w="2580" w:type="dxa"/>
            <w:tcBorders>
              <w:top w:val="nil"/>
              <w:bottom w:val="nil"/>
            </w:tcBorders>
            <w:shd w:val="clear" w:color="auto" w:fill="auto"/>
            <w:tcMar>
              <w:left w:w="28" w:type="dxa"/>
              <w:right w:w="28" w:type="dxa"/>
            </w:tcMar>
          </w:tcPr>
          <w:p w:rsidR="00AB44C1" w:rsidRPr="004F2101" w:rsidRDefault="002F5D4B" w:rsidP="009716A9">
            <w:pPr>
              <w:pStyle w:val="SingleTxtG"/>
              <w:ind w:left="0" w:right="283"/>
            </w:pPr>
            <w:r>
              <w:rPr>
                <w:color w:val="000000" w:themeColor="text1"/>
              </w:rPr>
              <w:t>Committee’s assessment</w:t>
            </w:r>
          </w:p>
        </w:tc>
        <w:tc>
          <w:tcPr>
            <w:tcW w:w="4790" w:type="dxa"/>
            <w:tcBorders>
              <w:top w:val="nil"/>
              <w:bottom w:val="nil"/>
            </w:tcBorders>
            <w:shd w:val="clear" w:color="auto" w:fill="auto"/>
            <w:tcMar>
              <w:left w:w="28" w:type="dxa"/>
              <w:right w:w="28" w:type="dxa"/>
            </w:tcMar>
          </w:tcPr>
          <w:p w:rsidR="002F5D4B" w:rsidRPr="008F6A80" w:rsidRDefault="002F5D4B" w:rsidP="000D5A0D">
            <w:pPr>
              <w:pStyle w:val="ListParagraph"/>
              <w:numPr>
                <w:ilvl w:val="0"/>
                <w:numId w:val="25"/>
              </w:numPr>
              <w:autoSpaceDE w:val="0"/>
              <w:autoSpaceDN w:val="0"/>
              <w:adjustRightInd w:val="0"/>
              <w:spacing w:before="40" w:after="120" w:line="220" w:lineRule="atLeast"/>
              <w:ind w:left="397" w:right="1275" w:hanging="425"/>
              <w:rPr>
                <w:rFonts w:ascii="Times New Roman" w:hAnsi="Times New Roman"/>
                <w:sz w:val="20"/>
                <w:szCs w:val="20"/>
                <w:lang w:val="en-US"/>
              </w:rPr>
            </w:pPr>
            <w:r>
              <w:rPr>
                <w:rFonts w:ascii="Times New Roman" w:hAnsi="Times New Roman"/>
                <w:sz w:val="20"/>
                <w:szCs w:val="20"/>
              </w:rPr>
              <w:t>Investigation and prosecution</w:t>
            </w:r>
            <w:r w:rsidRPr="008F6A80">
              <w:rPr>
                <w:rFonts w:ascii="Times New Roman" w:hAnsi="Times New Roman"/>
                <w:sz w:val="20"/>
                <w:szCs w:val="20"/>
                <w:lang w:val="en-US"/>
              </w:rPr>
              <w:t xml:space="preserve">: D </w:t>
            </w:r>
          </w:p>
          <w:p w:rsidR="002F5D4B" w:rsidRPr="008F6A80" w:rsidRDefault="002F5D4B" w:rsidP="000D5A0D">
            <w:pPr>
              <w:pStyle w:val="ListParagraph"/>
              <w:numPr>
                <w:ilvl w:val="0"/>
                <w:numId w:val="25"/>
              </w:numPr>
              <w:autoSpaceDE w:val="0"/>
              <w:autoSpaceDN w:val="0"/>
              <w:adjustRightInd w:val="0"/>
              <w:spacing w:before="40" w:after="120" w:line="220" w:lineRule="atLeast"/>
              <w:ind w:left="397" w:right="1275" w:hanging="397"/>
              <w:rPr>
                <w:rFonts w:ascii="Times New Roman" w:hAnsi="Times New Roman"/>
                <w:sz w:val="20"/>
                <w:szCs w:val="20"/>
                <w:lang w:eastAsia="en-GB"/>
              </w:rPr>
            </w:pPr>
            <w:r>
              <w:rPr>
                <w:rFonts w:ascii="Times New Roman" w:hAnsi="Times New Roman"/>
                <w:sz w:val="20"/>
                <w:szCs w:val="20"/>
                <w:lang w:val="en-US"/>
              </w:rPr>
              <w:t>Retrial</w:t>
            </w:r>
            <w:r w:rsidRPr="008F6A80">
              <w:rPr>
                <w:rFonts w:ascii="Times New Roman" w:hAnsi="Times New Roman"/>
                <w:sz w:val="20"/>
                <w:szCs w:val="20"/>
                <w:lang w:val="en-US"/>
              </w:rPr>
              <w:t>: D</w:t>
            </w:r>
          </w:p>
          <w:p w:rsidR="002F5D4B" w:rsidRPr="008F6A80" w:rsidRDefault="002F5D4B" w:rsidP="000D5A0D">
            <w:pPr>
              <w:pStyle w:val="ListParagraph"/>
              <w:numPr>
                <w:ilvl w:val="0"/>
                <w:numId w:val="25"/>
              </w:numPr>
              <w:autoSpaceDE w:val="0"/>
              <w:autoSpaceDN w:val="0"/>
              <w:adjustRightInd w:val="0"/>
              <w:spacing w:before="40" w:after="120" w:line="220" w:lineRule="atLeast"/>
              <w:ind w:left="397" w:right="1275" w:hanging="397"/>
              <w:rPr>
                <w:rFonts w:ascii="Times New Roman" w:hAnsi="Times New Roman"/>
                <w:sz w:val="20"/>
                <w:szCs w:val="20"/>
                <w:lang w:eastAsia="en-GB"/>
              </w:rPr>
            </w:pPr>
            <w:r>
              <w:rPr>
                <w:rFonts w:ascii="Times New Roman" w:hAnsi="Times New Roman"/>
                <w:sz w:val="20"/>
                <w:szCs w:val="20"/>
                <w:lang w:val="en-US"/>
              </w:rPr>
              <w:t>Compensation</w:t>
            </w:r>
            <w:r w:rsidRPr="008F6A80">
              <w:rPr>
                <w:rFonts w:ascii="Times New Roman" w:hAnsi="Times New Roman"/>
                <w:sz w:val="20"/>
                <w:szCs w:val="20"/>
                <w:lang w:eastAsia="en-GB"/>
              </w:rPr>
              <w:t>: D</w:t>
            </w:r>
          </w:p>
          <w:p w:rsidR="002F5D4B" w:rsidRPr="008F6A80" w:rsidRDefault="002F5D4B" w:rsidP="000D5A0D">
            <w:pPr>
              <w:pStyle w:val="ListParagraph"/>
              <w:numPr>
                <w:ilvl w:val="0"/>
                <w:numId w:val="25"/>
              </w:numPr>
              <w:autoSpaceDE w:val="0"/>
              <w:autoSpaceDN w:val="0"/>
              <w:adjustRightInd w:val="0"/>
              <w:spacing w:before="40" w:after="120" w:line="220" w:lineRule="atLeast"/>
              <w:ind w:left="397" w:right="1275" w:hanging="397"/>
              <w:rPr>
                <w:rFonts w:ascii="Times New Roman" w:hAnsi="Times New Roman"/>
                <w:sz w:val="20"/>
                <w:szCs w:val="20"/>
                <w:lang w:eastAsia="en-GB"/>
              </w:rPr>
            </w:pPr>
            <w:r>
              <w:rPr>
                <w:rFonts w:ascii="Times New Roman" w:hAnsi="Times New Roman"/>
                <w:sz w:val="20"/>
                <w:szCs w:val="20"/>
                <w:lang w:eastAsia="en-GB"/>
              </w:rPr>
              <w:t>Publication of Views: D</w:t>
            </w:r>
          </w:p>
          <w:p w:rsidR="00AB44C1" w:rsidRPr="002F5D4B" w:rsidRDefault="002F5D4B" w:rsidP="000D5A0D">
            <w:pPr>
              <w:pStyle w:val="ListParagraph"/>
              <w:numPr>
                <w:ilvl w:val="0"/>
                <w:numId w:val="25"/>
              </w:numPr>
              <w:autoSpaceDE w:val="0"/>
              <w:autoSpaceDN w:val="0"/>
              <w:adjustRightInd w:val="0"/>
              <w:spacing w:before="40" w:after="120" w:line="220" w:lineRule="atLeast"/>
              <w:ind w:left="397" w:right="1275" w:hanging="425"/>
              <w:rPr>
                <w:rFonts w:ascii="Times New Roman" w:hAnsi="Times New Roman"/>
                <w:sz w:val="20"/>
                <w:szCs w:val="20"/>
                <w:lang w:eastAsia="en-GB"/>
              </w:rPr>
            </w:pPr>
            <w:r w:rsidRPr="008F6A80">
              <w:rPr>
                <w:rFonts w:ascii="Times New Roman" w:hAnsi="Times New Roman"/>
                <w:sz w:val="20"/>
                <w:szCs w:val="20"/>
                <w:lang w:eastAsia="en-GB"/>
              </w:rPr>
              <w:t>Non repetition: D</w:t>
            </w:r>
          </w:p>
        </w:tc>
      </w:tr>
      <w:tr w:rsidR="00656532" w:rsidRPr="004F2101" w:rsidTr="00656532">
        <w:trPr>
          <w:cantSplit/>
        </w:trPr>
        <w:tc>
          <w:tcPr>
            <w:tcW w:w="2580" w:type="dxa"/>
            <w:tcBorders>
              <w:top w:val="nil"/>
            </w:tcBorders>
            <w:shd w:val="clear" w:color="auto" w:fill="auto"/>
            <w:tcMar>
              <w:left w:w="28" w:type="dxa"/>
              <w:right w:w="28" w:type="dxa"/>
            </w:tcMar>
          </w:tcPr>
          <w:p w:rsidR="00656532" w:rsidRPr="004F2101" w:rsidRDefault="00656532" w:rsidP="0007625F">
            <w:pPr>
              <w:pStyle w:val="SingleTxtG"/>
              <w:suppressAutoHyphens w:val="0"/>
              <w:spacing w:before="40" w:line="220" w:lineRule="exact"/>
              <w:ind w:left="0" w:right="113"/>
              <w:jc w:val="left"/>
            </w:pPr>
          </w:p>
        </w:tc>
        <w:tc>
          <w:tcPr>
            <w:tcW w:w="4790" w:type="dxa"/>
            <w:tcBorders>
              <w:top w:val="nil"/>
            </w:tcBorders>
            <w:shd w:val="clear" w:color="auto" w:fill="auto"/>
            <w:tcMar>
              <w:left w:w="28" w:type="dxa"/>
              <w:right w:w="28" w:type="dxa"/>
            </w:tcMar>
          </w:tcPr>
          <w:p w:rsidR="00656532" w:rsidRPr="004F2101" w:rsidRDefault="00656532" w:rsidP="0007625F">
            <w:pPr>
              <w:pStyle w:val="SingleTxtG"/>
              <w:suppressAutoHyphens w:val="0"/>
              <w:spacing w:before="40" w:line="220" w:lineRule="exact"/>
              <w:ind w:left="0" w:right="113"/>
              <w:jc w:val="left"/>
            </w:pPr>
          </w:p>
        </w:tc>
      </w:tr>
      <w:tr w:rsidR="00AB44C1" w:rsidRPr="004F2101" w:rsidTr="0007625F">
        <w:tc>
          <w:tcPr>
            <w:tcW w:w="2580" w:type="dxa"/>
            <w:shd w:val="clear" w:color="auto" w:fill="auto"/>
            <w:tcMar>
              <w:left w:w="28" w:type="dxa"/>
              <w:right w:w="28" w:type="dxa"/>
            </w:tcMar>
          </w:tcPr>
          <w:p w:rsidR="00AB44C1" w:rsidRPr="004F2101" w:rsidRDefault="00AB44C1" w:rsidP="0007625F">
            <w:pPr>
              <w:pStyle w:val="SingleTxtG"/>
              <w:suppressAutoHyphens w:val="0"/>
              <w:spacing w:before="40" w:line="220" w:lineRule="exact"/>
              <w:ind w:left="0" w:right="113"/>
              <w:jc w:val="left"/>
            </w:pPr>
            <w:r w:rsidRPr="004F2101">
              <w:t>Committee</w:t>
            </w:r>
            <w:r w:rsidR="001D6817" w:rsidRPr="004F2101">
              <w:t>’</w:t>
            </w:r>
            <w:r w:rsidRPr="004F2101">
              <w:t>s decision:</w:t>
            </w:r>
          </w:p>
        </w:tc>
        <w:tc>
          <w:tcPr>
            <w:tcW w:w="4790" w:type="dxa"/>
            <w:shd w:val="clear" w:color="auto" w:fill="auto"/>
            <w:tcMar>
              <w:left w:w="28" w:type="dxa"/>
              <w:right w:w="28" w:type="dxa"/>
            </w:tcMar>
          </w:tcPr>
          <w:p w:rsidR="00AB44C1" w:rsidRPr="002F5D4B" w:rsidRDefault="007E288B" w:rsidP="002F5D4B">
            <w:pPr>
              <w:pStyle w:val="SingleTxtG"/>
              <w:ind w:left="0" w:right="283"/>
              <w:rPr>
                <w:color w:val="000000" w:themeColor="text1"/>
              </w:rPr>
            </w:pPr>
            <w:r>
              <w:rPr>
                <w:color w:val="000000" w:themeColor="text1"/>
              </w:rPr>
              <w:t>Suspend the follow-up dialogue, with a note of unsatisfactory implementation of the Committee’s recommendation</w:t>
            </w:r>
          </w:p>
        </w:tc>
      </w:tr>
    </w:tbl>
    <w:p w:rsidR="00AB44C1" w:rsidRPr="004F2101" w:rsidRDefault="00932191" w:rsidP="0023258D">
      <w:pPr>
        <w:pStyle w:val="H23G"/>
      </w:pPr>
      <w:r>
        <w:tab/>
        <w:t>11.</w:t>
      </w:r>
      <w:r>
        <w:tab/>
        <w:t>Slovak Republic</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90"/>
      </w:tblGrid>
      <w:tr w:rsidR="00AB44C1" w:rsidRPr="00CF7B82" w:rsidTr="00B873CA">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AB44C1" w:rsidRPr="00932191" w:rsidRDefault="00932191" w:rsidP="00932191">
            <w:pPr>
              <w:pStyle w:val="SingleTxtG"/>
              <w:ind w:left="4536" w:hanging="4557"/>
              <w:jc w:val="left"/>
              <w:rPr>
                <w:lang w:val="fr-CH"/>
              </w:rPr>
            </w:pPr>
            <w:r w:rsidRPr="001C6715">
              <w:rPr>
                <w:b/>
                <w:lang w:val="fr-CH"/>
              </w:rPr>
              <w:t xml:space="preserve">Communication No. </w:t>
            </w:r>
            <w:r w:rsidRPr="001C6715">
              <w:rPr>
                <w:b/>
                <w:bCs/>
                <w:lang w:val="fr-CH"/>
              </w:rPr>
              <w:t xml:space="preserve">2062/2011, </w:t>
            </w:r>
            <w:r w:rsidRPr="001C6715">
              <w:rPr>
                <w:b/>
                <w:bCs/>
                <w:i/>
                <w:lang w:val="fr-CH"/>
              </w:rPr>
              <w:t xml:space="preserve">M.K. et al. </w:t>
            </w:r>
          </w:p>
        </w:tc>
      </w:tr>
      <w:tr w:rsidR="00AB44C1" w:rsidRPr="004F2101" w:rsidTr="0023258D">
        <w:tc>
          <w:tcPr>
            <w:tcW w:w="2580" w:type="dxa"/>
            <w:tcBorders>
              <w:top w:val="single" w:sz="12" w:space="0" w:color="auto"/>
            </w:tcBorders>
            <w:shd w:val="clear" w:color="auto" w:fill="auto"/>
            <w:tcMar>
              <w:left w:w="28" w:type="dxa"/>
              <w:right w:w="28" w:type="dxa"/>
            </w:tcMar>
          </w:tcPr>
          <w:p w:rsidR="00AB44C1" w:rsidRPr="004F2101" w:rsidRDefault="00AB44C1" w:rsidP="0023258D">
            <w:pPr>
              <w:pStyle w:val="SingleTxtG"/>
              <w:suppressAutoHyphens w:val="0"/>
              <w:spacing w:before="40" w:line="220" w:lineRule="exact"/>
              <w:ind w:left="0" w:right="113"/>
              <w:jc w:val="left"/>
            </w:pPr>
            <w:r w:rsidRPr="004F2101">
              <w:t>Views adopted:</w:t>
            </w:r>
          </w:p>
        </w:tc>
        <w:tc>
          <w:tcPr>
            <w:tcW w:w="4790" w:type="dxa"/>
            <w:tcBorders>
              <w:top w:val="single" w:sz="12" w:space="0" w:color="auto"/>
            </w:tcBorders>
            <w:shd w:val="clear" w:color="auto" w:fill="auto"/>
            <w:tcMar>
              <w:left w:w="28" w:type="dxa"/>
              <w:right w:w="28" w:type="dxa"/>
            </w:tcMar>
          </w:tcPr>
          <w:p w:rsidR="00AB44C1" w:rsidRPr="004F2101" w:rsidRDefault="00932191" w:rsidP="0023258D">
            <w:pPr>
              <w:pStyle w:val="SingleTxtG"/>
              <w:suppressAutoHyphens w:val="0"/>
              <w:spacing w:before="40" w:line="220" w:lineRule="exact"/>
              <w:ind w:left="0" w:right="113"/>
              <w:jc w:val="left"/>
            </w:pPr>
            <w:r w:rsidRPr="0061104A">
              <w:rPr>
                <w:bCs/>
              </w:rPr>
              <w:t>23 March 2016</w:t>
            </w:r>
          </w:p>
        </w:tc>
      </w:tr>
      <w:tr w:rsidR="00AB44C1" w:rsidRPr="004F2101" w:rsidTr="0023258D">
        <w:tc>
          <w:tcPr>
            <w:tcW w:w="2580" w:type="dxa"/>
            <w:shd w:val="clear" w:color="auto" w:fill="auto"/>
            <w:tcMar>
              <w:left w:w="28" w:type="dxa"/>
              <w:right w:w="28" w:type="dxa"/>
            </w:tcMar>
          </w:tcPr>
          <w:p w:rsidR="00AB44C1" w:rsidRPr="004F2101" w:rsidRDefault="00AB44C1" w:rsidP="0023258D">
            <w:pPr>
              <w:pStyle w:val="SingleTxtG"/>
              <w:suppressAutoHyphens w:val="0"/>
              <w:spacing w:before="40" w:line="220" w:lineRule="exact"/>
              <w:ind w:left="0" w:right="113"/>
              <w:jc w:val="left"/>
            </w:pPr>
            <w:r w:rsidRPr="004F2101">
              <w:t>Violation:</w:t>
            </w:r>
          </w:p>
        </w:tc>
        <w:tc>
          <w:tcPr>
            <w:tcW w:w="4790" w:type="dxa"/>
            <w:shd w:val="clear" w:color="auto" w:fill="auto"/>
            <w:tcMar>
              <w:left w:w="28" w:type="dxa"/>
              <w:right w:w="28" w:type="dxa"/>
            </w:tcMar>
          </w:tcPr>
          <w:p w:rsidR="00AB44C1" w:rsidRPr="004F2101" w:rsidRDefault="00932191" w:rsidP="0023258D">
            <w:pPr>
              <w:pStyle w:val="SingleTxtG"/>
              <w:suppressAutoHyphens w:val="0"/>
              <w:spacing w:before="40" w:line="220" w:lineRule="exact"/>
              <w:ind w:left="0" w:right="113"/>
              <w:jc w:val="left"/>
            </w:pPr>
            <w:r>
              <w:rPr>
                <w:bCs/>
              </w:rPr>
              <w:t>Article 26</w:t>
            </w:r>
          </w:p>
        </w:tc>
      </w:tr>
      <w:tr w:rsidR="00AB44C1" w:rsidRPr="004F2101" w:rsidTr="0023258D">
        <w:tc>
          <w:tcPr>
            <w:tcW w:w="2580" w:type="dxa"/>
            <w:shd w:val="clear" w:color="auto" w:fill="auto"/>
            <w:tcMar>
              <w:left w:w="28" w:type="dxa"/>
              <w:right w:w="28" w:type="dxa"/>
            </w:tcMar>
          </w:tcPr>
          <w:p w:rsidR="00AB44C1" w:rsidRPr="004F2101" w:rsidRDefault="00AB44C1" w:rsidP="0023258D">
            <w:pPr>
              <w:pStyle w:val="SingleTxtG"/>
              <w:suppressAutoHyphens w:val="0"/>
              <w:spacing w:before="40" w:line="220" w:lineRule="exact"/>
              <w:ind w:left="0" w:right="113"/>
              <w:jc w:val="left"/>
            </w:pPr>
            <w:r w:rsidRPr="004F2101">
              <w:t xml:space="preserve">Remedy: </w:t>
            </w:r>
          </w:p>
        </w:tc>
        <w:tc>
          <w:tcPr>
            <w:tcW w:w="4790" w:type="dxa"/>
            <w:shd w:val="clear" w:color="auto" w:fill="auto"/>
            <w:tcMar>
              <w:left w:w="28" w:type="dxa"/>
              <w:right w:w="28" w:type="dxa"/>
            </w:tcMar>
          </w:tcPr>
          <w:p w:rsidR="00AB44C1" w:rsidRPr="004F2101" w:rsidRDefault="00932191" w:rsidP="0023258D">
            <w:pPr>
              <w:pStyle w:val="SingleTxtG"/>
              <w:suppressAutoHyphens w:val="0"/>
              <w:spacing w:before="40" w:line="220" w:lineRule="exact"/>
              <w:ind w:left="0" w:right="113"/>
              <w:jc w:val="left"/>
            </w:pPr>
            <w:r>
              <w:rPr>
                <w:bCs/>
              </w:rPr>
              <w:t>Adequate compensation</w:t>
            </w:r>
            <w:r w:rsidRPr="00C951DF">
              <w:t>.</w:t>
            </w:r>
          </w:p>
        </w:tc>
      </w:tr>
      <w:tr w:rsidR="00AB44C1" w:rsidRPr="004F2101" w:rsidTr="0023258D">
        <w:tc>
          <w:tcPr>
            <w:tcW w:w="2580" w:type="dxa"/>
            <w:shd w:val="clear" w:color="auto" w:fill="auto"/>
            <w:tcMar>
              <w:left w:w="28" w:type="dxa"/>
              <w:right w:w="28" w:type="dxa"/>
            </w:tcMar>
          </w:tcPr>
          <w:p w:rsidR="00AB44C1" w:rsidRPr="004F2101" w:rsidRDefault="00AB44C1" w:rsidP="0023258D">
            <w:pPr>
              <w:pStyle w:val="SingleTxtG"/>
              <w:suppressAutoHyphens w:val="0"/>
              <w:spacing w:before="40" w:line="220" w:lineRule="exact"/>
              <w:ind w:left="0" w:right="113"/>
              <w:jc w:val="left"/>
            </w:pPr>
            <w:r w:rsidRPr="004F2101">
              <w:t>Subject matter:</w:t>
            </w:r>
          </w:p>
        </w:tc>
        <w:tc>
          <w:tcPr>
            <w:tcW w:w="4790" w:type="dxa"/>
            <w:shd w:val="clear" w:color="auto" w:fill="auto"/>
            <w:tcMar>
              <w:left w:w="28" w:type="dxa"/>
              <w:right w:w="28" w:type="dxa"/>
            </w:tcMar>
          </w:tcPr>
          <w:p w:rsidR="00AB44C1" w:rsidRPr="004F2101" w:rsidRDefault="00932191" w:rsidP="0023258D">
            <w:pPr>
              <w:pStyle w:val="SingleTxtG"/>
              <w:suppressAutoHyphens w:val="0"/>
              <w:spacing w:before="40" w:line="220" w:lineRule="exact"/>
              <w:ind w:left="0" w:right="113"/>
              <w:jc w:val="left"/>
            </w:pPr>
            <w:r>
              <w:rPr>
                <w:bCs/>
              </w:rPr>
              <w:t>Dismissal</w:t>
            </w:r>
            <w:r w:rsidRPr="0061104A">
              <w:rPr>
                <w:bCs/>
              </w:rPr>
              <w:t xml:space="preserve"> under duress and undue pressure</w:t>
            </w:r>
          </w:p>
        </w:tc>
      </w:tr>
      <w:tr w:rsidR="0029056D" w:rsidRPr="004F2101" w:rsidTr="0023258D">
        <w:tc>
          <w:tcPr>
            <w:tcW w:w="2580" w:type="dxa"/>
            <w:shd w:val="clear" w:color="auto" w:fill="auto"/>
            <w:tcMar>
              <w:left w:w="28" w:type="dxa"/>
              <w:right w:w="28" w:type="dxa"/>
            </w:tcMar>
          </w:tcPr>
          <w:p w:rsidR="0029056D" w:rsidRPr="004F2101" w:rsidRDefault="0029056D" w:rsidP="0029056D">
            <w:pPr>
              <w:pStyle w:val="SingleTxtG"/>
              <w:suppressAutoHyphens w:val="0"/>
              <w:spacing w:before="40" w:line="220" w:lineRule="exact"/>
              <w:ind w:left="0" w:right="113"/>
              <w:jc w:val="left"/>
            </w:pPr>
            <w:r w:rsidRPr="004F2101">
              <w:t>Previous follow-up information:</w:t>
            </w:r>
          </w:p>
        </w:tc>
        <w:tc>
          <w:tcPr>
            <w:tcW w:w="4790" w:type="dxa"/>
            <w:shd w:val="clear" w:color="auto" w:fill="auto"/>
            <w:tcMar>
              <w:left w:w="28" w:type="dxa"/>
              <w:right w:w="28" w:type="dxa"/>
            </w:tcMar>
          </w:tcPr>
          <w:p w:rsidR="0029056D" w:rsidRPr="004F2101" w:rsidRDefault="00932191" w:rsidP="00932191">
            <w:pPr>
              <w:pStyle w:val="SingleTxtG"/>
              <w:suppressAutoHyphens w:val="0"/>
              <w:spacing w:before="40" w:line="220" w:lineRule="exact"/>
              <w:ind w:left="0" w:right="113"/>
              <w:jc w:val="left"/>
            </w:pPr>
            <w:r>
              <w:rPr>
                <w:color w:val="000000" w:themeColor="text1"/>
              </w:rPr>
              <w:t>No previous follow-up information</w:t>
            </w:r>
            <w:r w:rsidRPr="001659D5">
              <w:rPr>
                <w:color w:val="000000" w:themeColor="text1"/>
              </w:rPr>
              <w:t xml:space="preserve">    </w:t>
            </w:r>
          </w:p>
        </w:tc>
      </w:tr>
      <w:tr w:rsidR="00AB44C1" w:rsidRPr="004F2101" w:rsidTr="00B873CA">
        <w:tc>
          <w:tcPr>
            <w:tcW w:w="2580" w:type="dxa"/>
            <w:tcBorders>
              <w:bottom w:val="nil"/>
            </w:tcBorders>
            <w:shd w:val="clear" w:color="auto" w:fill="auto"/>
            <w:tcMar>
              <w:left w:w="28" w:type="dxa"/>
              <w:right w:w="28" w:type="dxa"/>
            </w:tcMar>
          </w:tcPr>
          <w:p w:rsidR="00AB44C1" w:rsidRPr="004F2101" w:rsidRDefault="00AB44C1" w:rsidP="0029056D">
            <w:pPr>
              <w:pStyle w:val="SingleTxtG"/>
              <w:suppressAutoHyphens w:val="0"/>
              <w:spacing w:before="40" w:line="220" w:lineRule="exact"/>
              <w:ind w:left="0" w:right="113"/>
              <w:jc w:val="left"/>
            </w:pPr>
            <w:r w:rsidRPr="004F2101">
              <w:t>Submission from State party:</w:t>
            </w:r>
          </w:p>
        </w:tc>
        <w:tc>
          <w:tcPr>
            <w:tcW w:w="4790" w:type="dxa"/>
            <w:tcBorders>
              <w:bottom w:val="nil"/>
            </w:tcBorders>
            <w:shd w:val="clear" w:color="auto" w:fill="auto"/>
            <w:tcMar>
              <w:left w:w="28" w:type="dxa"/>
              <w:right w:w="28" w:type="dxa"/>
            </w:tcMar>
          </w:tcPr>
          <w:p w:rsidR="00932191" w:rsidRDefault="00932191" w:rsidP="00932191">
            <w:pPr>
              <w:pStyle w:val="SingleTxtG"/>
              <w:ind w:left="0"/>
              <w:rPr>
                <w:lang w:eastAsia="en-GB"/>
              </w:rPr>
            </w:pPr>
            <w:r>
              <w:rPr>
                <w:lang w:eastAsia="en-GB"/>
              </w:rPr>
              <w:t>6 December 2016</w:t>
            </w:r>
          </w:p>
          <w:p w:rsidR="00932191" w:rsidRDefault="00932191" w:rsidP="00932191">
            <w:pPr>
              <w:pStyle w:val="SingleTxtG"/>
              <w:ind w:left="0" w:right="84"/>
              <w:rPr>
                <w:lang w:eastAsia="en-GB"/>
              </w:rPr>
            </w:pPr>
            <w:r>
              <w:rPr>
                <w:lang w:eastAsia="en-GB"/>
              </w:rPr>
              <w:t xml:space="preserve">The State party notes that the authors have not exhausted domestic remedies. Therefore, the State party does not consider it possible to provide them with compensation. </w:t>
            </w:r>
          </w:p>
          <w:p w:rsidR="00932191" w:rsidRDefault="00932191" w:rsidP="00932191">
            <w:pPr>
              <w:pStyle w:val="SingleTxtG"/>
              <w:ind w:left="0" w:right="84"/>
              <w:rPr>
                <w:lang w:eastAsia="en-GB"/>
              </w:rPr>
            </w:pPr>
            <w:r>
              <w:rPr>
                <w:lang w:eastAsia="en-GB"/>
              </w:rPr>
              <w:t xml:space="preserve">The Constitutional Court of the Slovak Republic reviewed, within the control of constitutionality, the decisions of the District Military Prosecutor’s Office of Bratislava and the Higher Military Prosecutor’s Office of </w:t>
            </w:r>
            <w:proofErr w:type="spellStart"/>
            <w:r>
              <w:rPr>
                <w:lang w:eastAsia="en-GB"/>
              </w:rPr>
              <w:t>Trenčin</w:t>
            </w:r>
            <w:proofErr w:type="spellEnd"/>
            <w:r>
              <w:rPr>
                <w:lang w:eastAsia="en-GB"/>
              </w:rPr>
              <w:t xml:space="preserve">, which were contested by the authors, and it concluded that the decisions of the competent Prosecutors had not been arbitrary but properly substantiated and </w:t>
            </w:r>
            <w:proofErr w:type="gramStart"/>
            <w:r>
              <w:rPr>
                <w:lang w:eastAsia="en-GB"/>
              </w:rPr>
              <w:t>well-founded</w:t>
            </w:r>
            <w:proofErr w:type="gramEnd"/>
            <w:r>
              <w:rPr>
                <w:lang w:eastAsia="en-GB"/>
              </w:rPr>
              <w:t>.</w:t>
            </w:r>
          </w:p>
          <w:p w:rsidR="00932191" w:rsidRDefault="00932191" w:rsidP="00932191">
            <w:pPr>
              <w:pStyle w:val="SingleTxtG"/>
              <w:ind w:left="0" w:right="84"/>
              <w:rPr>
                <w:lang w:eastAsia="en-GB"/>
              </w:rPr>
            </w:pPr>
            <w:r>
              <w:rPr>
                <w:lang w:eastAsia="en-GB"/>
              </w:rPr>
              <w:t xml:space="preserve">The State party revisits the facts of the case, and concludes that the authors terminated their service with a free expression of their will, and were able to use remedies offered by national law, including the filing of an action for the review of the legality of their release from service. The authors had a further opportunity to determine the invalidity of the legal act –the petition </w:t>
            </w:r>
            <w:proofErr w:type="gramStart"/>
            <w:r>
              <w:rPr>
                <w:lang w:eastAsia="en-GB"/>
              </w:rPr>
              <w:t>for release from service under the Code of Civil Procedure Act No.99/1963-then in force</w:t>
            </w:r>
            <w:proofErr w:type="gramEnd"/>
            <w:r>
              <w:rPr>
                <w:lang w:eastAsia="en-GB"/>
              </w:rPr>
              <w:t xml:space="preserve">. </w:t>
            </w:r>
            <w:proofErr w:type="gramStart"/>
            <w:r>
              <w:rPr>
                <w:lang w:eastAsia="en-GB"/>
              </w:rPr>
              <w:t>However</w:t>
            </w:r>
            <w:proofErr w:type="gramEnd"/>
            <w:r>
              <w:rPr>
                <w:lang w:eastAsia="en-GB"/>
              </w:rPr>
              <w:t xml:space="preserve"> they chose not to make use of this remedy.</w:t>
            </w:r>
          </w:p>
          <w:p w:rsidR="00932191" w:rsidRDefault="00932191" w:rsidP="00932191">
            <w:pPr>
              <w:pStyle w:val="SingleTxtG"/>
              <w:ind w:left="0" w:right="84"/>
              <w:rPr>
                <w:lang w:eastAsia="en-GB"/>
              </w:rPr>
            </w:pPr>
            <w:r>
              <w:rPr>
                <w:lang w:eastAsia="en-GB"/>
              </w:rPr>
              <w:t xml:space="preserve">The fact that the authors lodged a criminal complaint and filed an application with the Constitutional Court did not amount to exhaustion of domestic remedies, as the purpose of these actions was to establish the criminal responsibility of the Slovak Information Service, rather than assessing the legality of their release from service. </w:t>
            </w:r>
          </w:p>
          <w:p w:rsidR="00932191" w:rsidRDefault="00932191" w:rsidP="00932191">
            <w:pPr>
              <w:pStyle w:val="SingleTxtG"/>
              <w:ind w:left="0" w:right="84"/>
              <w:rPr>
                <w:lang w:eastAsia="en-GB"/>
              </w:rPr>
            </w:pPr>
            <w:r>
              <w:rPr>
                <w:lang w:eastAsia="en-GB"/>
              </w:rPr>
              <w:t xml:space="preserve">The State party also stresses that the quasi-judicial nature of the Committee’s Views cannot change a </w:t>
            </w:r>
            <w:proofErr w:type="gramStart"/>
            <w:r>
              <w:rPr>
                <w:lang w:eastAsia="en-GB"/>
              </w:rPr>
              <w:t>matter which</w:t>
            </w:r>
            <w:proofErr w:type="gramEnd"/>
            <w:r>
              <w:rPr>
                <w:lang w:eastAsia="en-GB"/>
              </w:rPr>
              <w:t xml:space="preserve"> has been decided under national law. </w:t>
            </w:r>
          </w:p>
          <w:p w:rsidR="00932191" w:rsidRDefault="00932191" w:rsidP="00932191">
            <w:pPr>
              <w:pStyle w:val="SingleTxtG"/>
              <w:ind w:left="0" w:right="84"/>
              <w:rPr>
                <w:lang w:eastAsia="en-GB"/>
              </w:rPr>
            </w:pPr>
            <w:r>
              <w:rPr>
                <w:lang w:eastAsia="en-GB"/>
              </w:rPr>
              <w:t xml:space="preserve">The Views </w:t>
            </w:r>
            <w:proofErr w:type="gramStart"/>
            <w:r>
              <w:rPr>
                <w:lang w:eastAsia="en-GB"/>
              </w:rPr>
              <w:t>were published</w:t>
            </w:r>
            <w:proofErr w:type="gramEnd"/>
            <w:r>
              <w:rPr>
                <w:lang w:eastAsia="en-GB"/>
              </w:rPr>
              <w:t xml:space="preserve">, along with their translation into the Slovak language, on the Ministry of Foreign and European affairs’ website. Distribution to all concerned government authorities and institutions </w:t>
            </w:r>
            <w:proofErr w:type="gramStart"/>
            <w:r>
              <w:rPr>
                <w:lang w:eastAsia="en-GB"/>
              </w:rPr>
              <w:t>was arranged</w:t>
            </w:r>
            <w:proofErr w:type="gramEnd"/>
            <w:r>
              <w:rPr>
                <w:lang w:eastAsia="en-GB"/>
              </w:rPr>
              <w:t>, including to Ministry of Justice, general courts, and the Slovak national Centre for Human Rights, as the national specialized anti-discrimination body.</w:t>
            </w:r>
          </w:p>
          <w:p w:rsidR="00932191" w:rsidRDefault="00932191" w:rsidP="00932191">
            <w:pPr>
              <w:pStyle w:val="SingleTxtG"/>
              <w:ind w:left="0" w:right="84"/>
              <w:rPr>
                <w:lang w:eastAsia="en-GB"/>
              </w:rPr>
            </w:pPr>
            <w:r>
              <w:rPr>
                <w:lang w:eastAsia="en-GB"/>
              </w:rPr>
              <w:t xml:space="preserve">As for non-repetition measures, the State party points to Act No.365/2004 on equal treatment in certain areas and protection against discrimination (Antidiscrimination Act), which prohibits discrimination in employment relationships on grounds of political opinions, including harassment. </w:t>
            </w:r>
          </w:p>
          <w:p w:rsidR="00AB44C1" w:rsidRPr="004F2101" w:rsidRDefault="00AB44C1" w:rsidP="0023258D">
            <w:pPr>
              <w:pStyle w:val="SingleTxtG"/>
              <w:suppressAutoHyphens w:val="0"/>
              <w:spacing w:before="40" w:line="220" w:lineRule="exact"/>
              <w:ind w:left="0" w:right="113"/>
              <w:jc w:val="left"/>
            </w:pPr>
          </w:p>
        </w:tc>
      </w:tr>
      <w:tr w:rsidR="00AB44C1" w:rsidRPr="004F2101" w:rsidTr="00B873CA">
        <w:tc>
          <w:tcPr>
            <w:tcW w:w="2580" w:type="dxa"/>
            <w:tcBorders>
              <w:top w:val="nil"/>
              <w:bottom w:val="nil"/>
            </w:tcBorders>
            <w:shd w:val="clear" w:color="auto" w:fill="auto"/>
            <w:tcMar>
              <w:left w:w="28" w:type="dxa"/>
              <w:right w:w="28" w:type="dxa"/>
            </w:tcMar>
          </w:tcPr>
          <w:p w:rsidR="00AB44C1" w:rsidRPr="004F2101" w:rsidRDefault="00AB44C1" w:rsidP="0023258D">
            <w:pPr>
              <w:pStyle w:val="SingleTxtG"/>
              <w:suppressAutoHyphens w:val="0"/>
              <w:spacing w:before="40" w:line="220" w:lineRule="exact"/>
              <w:ind w:left="0" w:right="113"/>
              <w:jc w:val="left"/>
            </w:pPr>
            <w:r w:rsidRPr="004F2101">
              <w:t>Committee</w:t>
            </w:r>
            <w:r w:rsidR="001D6817" w:rsidRPr="004F2101">
              <w:t>’</w:t>
            </w:r>
            <w:r w:rsidRPr="004F2101">
              <w:t>s assessment:</w:t>
            </w:r>
          </w:p>
        </w:tc>
        <w:tc>
          <w:tcPr>
            <w:tcW w:w="4790" w:type="dxa"/>
            <w:tcBorders>
              <w:top w:val="nil"/>
              <w:bottom w:val="nil"/>
            </w:tcBorders>
            <w:shd w:val="clear" w:color="auto" w:fill="auto"/>
            <w:tcMar>
              <w:left w:w="28" w:type="dxa"/>
              <w:right w:w="28" w:type="dxa"/>
            </w:tcMar>
          </w:tcPr>
          <w:p w:rsidR="00932191" w:rsidRPr="00C951DF" w:rsidRDefault="00932191" w:rsidP="00932191">
            <w:pPr>
              <w:pStyle w:val="SingleTxtG"/>
              <w:ind w:left="0"/>
              <w:rPr>
                <w:lang w:eastAsia="en-GB"/>
              </w:rPr>
            </w:pPr>
            <w:r>
              <w:t>(a)</w:t>
            </w:r>
            <w:r>
              <w:tab/>
            </w:r>
            <w:r w:rsidRPr="00C951DF">
              <w:t>Effective remedy</w:t>
            </w:r>
            <w:r>
              <w:rPr>
                <w:lang w:eastAsia="en-GB"/>
              </w:rPr>
              <w:t>: E</w:t>
            </w:r>
          </w:p>
          <w:p w:rsidR="00932191" w:rsidRPr="00C951DF" w:rsidRDefault="00932191" w:rsidP="00932191">
            <w:pPr>
              <w:pStyle w:val="SingleTxtG"/>
              <w:ind w:left="0"/>
              <w:rPr>
                <w:lang w:eastAsia="en-GB"/>
              </w:rPr>
            </w:pPr>
            <w:r>
              <w:rPr>
                <w:lang w:eastAsia="en-GB"/>
              </w:rPr>
              <w:t>(b)</w:t>
            </w:r>
            <w:r>
              <w:rPr>
                <w:lang w:eastAsia="en-GB"/>
              </w:rPr>
              <w:tab/>
            </w:r>
            <w:r w:rsidRPr="00C951DF">
              <w:rPr>
                <w:lang w:eastAsia="en-GB"/>
              </w:rPr>
              <w:t xml:space="preserve">Publication of Views: </w:t>
            </w:r>
            <w:r>
              <w:rPr>
                <w:lang w:eastAsia="en-GB"/>
              </w:rPr>
              <w:t>A</w:t>
            </w:r>
          </w:p>
          <w:p w:rsidR="00AB44C1" w:rsidRPr="004F2101" w:rsidRDefault="00932191" w:rsidP="00932191">
            <w:pPr>
              <w:pStyle w:val="SingleTxtG"/>
              <w:ind w:left="0"/>
              <w:rPr>
                <w:lang w:eastAsia="en-GB"/>
              </w:rPr>
            </w:pPr>
            <w:r>
              <w:rPr>
                <w:lang w:eastAsia="en-GB"/>
              </w:rPr>
              <w:t>(c)</w:t>
            </w:r>
            <w:r>
              <w:rPr>
                <w:lang w:eastAsia="en-GB"/>
              </w:rPr>
              <w:tab/>
            </w:r>
            <w:r w:rsidRPr="00C951DF">
              <w:rPr>
                <w:lang w:eastAsia="en-GB"/>
              </w:rPr>
              <w:t>Non</w:t>
            </w:r>
            <w:r>
              <w:rPr>
                <w:lang w:eastAsia="en-GB"/>
              </w:rPr>
              <w:t>-repetition: C</w:t>
            </w:r>
          </w:p>
        </w:tc>
      </w:tr>
      <w:tr w:rsidR="00AB44C1" w:rsidRPr="004F2101" w:rsidTr="00B873CA">
        <w:tc>
          <w:tcPr>
            <w:tcW w:w="2580" w:type="dxa"/>
            <w:tcBorders>
              <w:top w:val="nil"/>
            </w:tcBorders>
            <w:shd w:val="clear" w:color="auto" w:fill="auto"/>
            <w:tcMar>
              <w:left w:w="28" w:type="dxa"/>
              <w:right w:w="28" w:type="dxa"/>
            </w:tcMar>
          </w:tcPr>
          <w:p w:rsidR="00AB44C1" w:rsidRPr="004F2101" w:rsidRDefault="00AB44C1" w:rsidP="0023258D">
            <w:pPr>
              <w:pStyle w:val="SingleTxtG"/>
              <w:suppressAutoHyphens w:val="0"/>
              <w:spacing w:before="40" w:line="220" w:lineRule="exact"/>
              <w:ind w:left="0" w:right="113"/>
              <w:jc w:val="left"/>
            </w:pPr>
            <w:r w:rsidRPr="004F2101">
              <w:t>Committee</w:t>
            </w:r>
            <w:r w:rsidR="001D6817" w:rsidRPr="004F2101">
              <w:t>’</w:t>
            </w:r>
            <w:r w:rsidRPr="004F2101">
              <w:t>s decision:</w:t>
            </w:r>
          </w:p>
        </w:tc>
        <w:tc>
          <w:tcPr>
            <w:tcW w:w="4790" w:type="dxa"/>
            <w:tcBorders>
              <w:top w:val="nil"/>
            </w:tcBorders>
            <w:shd w:val="clear" w:color="auto" w:fill="auto"/>
            <w:tcMar>
              <w:left w:w="28" w:type="dxa"/>
              <w:right w:w="28" w:type="dxa"/>
            </w:tcMar>
          </w:tcPr>
          <w:p w:rsidR="00AB44C1" w:rsidRPr="004F2101" w:rsidRDefault="00932191" w:rsidP="0023258D">
            <w:pPr>
              <w:pStyle w:val="SingleTxtG"/>
              <w:suppressAutoHyphens w:val="0"/>
              <w:spacing w:before="40" w:line="220" w:lineRule="exact"/>
              <w:ind w:left="0" w:right="113"/>
              <w:jc w:val="left"/>
            </w:pPr>
            <w:r w:rsidRPr="004F2101">
              <w:t>Follow-up dialogue ongoing.</w:t>
            </w:r>
            <w:r>
              <w:t xml:space="preserve"> </w:t>
            </w:r>
          </w:p>
        </w:tc>
      </w:tr>
    </w:tbl>
    <w:p w:rsidR="00AB44C1" w:rsidRDefault="00AB44C1" w:rsidP="00932191">
      <w:pPr>
        <w:pStyle w:val="H23G"/>
      </w:pPr>
      <w:r w:rsidRPr="004F2101">
        <w:tab/>
      </w:r>
      <w:r w:rsidR="00932191">
        <w:t>12</w:t>
      </w:r>
      <w:r w:rsidRPr="004F2101">
        <w:t>.</w:t>
      </w:r>
      <w:r w:rsidRPr="004F2101">
        <w:tab/>
        <w:t>Sri Lanka</w:t>
      </w:r>
    </w:p>
    <w:p w:rsidR="007E288B" w:rsidRPr="007E288B" w:rsidRDefault="007E288B" w:rsidP="009716A9">
      <w:pPr>
        <w:ind w:left="567" w:firstLine="567"/>
      </w:pPr>
      <w:r>
        <w:rPr>
          <w:b/>
        </w:rPr>
        <w:t>Communication No. 2087/2011</w:t>
      </w:r>
      <w:r w:rsidRPr="00C7016A">
        <w:rPr>
          <w:b/>
        </w:rPr>
        <w:t xml:space="preserve">, </w:t>
      </w:r>
      <w:proofErr w:type="spellStart"/>
      <w:r w:rsidRPr="00D73709">
        <w:rPr>
          <w:b/>
          <w:i/>
          <w:lang w:val="en-US"/>
        </w:rPr>
        <w:t>Guneththige</w:t>
      </w:r>
      <w:proofErr w:type="spellEnd"/>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0"/>
        <w:gridCol w:w="4790"/>
      </w:tblGrid>
      <w:tr w:rsidR="00AB44C1" w:rsidRPr="004F2101" w:rsidTr="00E40DE8">
        <w:trPr>
          <w:tblHeader/>
        </w:trPr>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AB44C1" w:rsidRPr="00932191" w:rsidRDefault="00AB44C1" w:rsidP="000D5A0D">
            <w:pPr>
              <w:pStyle w:val="SingleTxtG"/>
              <w:ind w:left="0"/>
              <w:jc w:val="left"/>
              <w:rPr>
                <w:b/>
              </w:rPr>
            </w:pPr>
          </w:p>
        </w:tc>
      </w:tr>
      <w:tr w:rsidR="00AB44C1" w:rsidRPr="004F2101" w:rsidTr="00E40DE8">
        <w:tc>
          <w:tcPr>
            <w:tcW w:w="2580" w:type="dxa"/>
            <w:tcBorders>
              <w:top w:val="single" w:sz="12" w:space="0" w:color="auto"/>
            </w:tcBorders>
            <w:shd w:val="clear" w:color="auto" w:fill="auto"/>
            <w:tcMar>
              <w:left w:w="28" w:type="dxa"/>
              <w:right w:w="28" w:type="dxa"/>
            </w:tcMar>
          </w:tcPr>
          <w:p w:rsidR="00AB44C1" w:rsidRPr="004F2101" w:rsidRDefault="00AB44C1" w:rsidP="00E40DE8">
            <w:pPr>
              <w:pStyle w:val="SingleTxtG"/>
              <w:suppressAutoHyphens w:val="0"/>
              <w:spacing w:before="40" w:line="220" w:lineRule="exact"/>
              <w:ind w:left="0" w:right="113"/>
              <w:jc w:val="left"/>
            </w:pPr>
            <w:r w:rsidRPr="004F2101">
              <w:t>Views adopted:</w:t>
            </w:r>
          </w:p>
        </w:tc>
        <w:tc>
          <w:tcPr>
            <w:tcW w:w="4790" w:type="dxa"/>
            <w:tcBorders>
              <w:top w:val="single" w:sz="12" w:space="0" w:color="auto"/>
            </w:tcBorders>
            <w:shd w:val="clear" w:color="auto" w:fill="auto"/>
            <w:tcMar>
              <w:left w:w="28" w:type="dxa"/>
              <w:right w:w="28" w:type="dxa"/>
            </w:tcMar>
          </w:tcPr>
          <w:p w:rsidR="00AB44C1" w:rsidRPr="004F2101" w:rsidRDefault="00932191" w:rsidP="00E40DE8">
            <w:pPr>
              <w:pStyle w:val="SingleTxtG"/>
              <w:suppressAutoHyphens w:val="0"/>
              <w:spacing w:before="40" w:line="220" w:lineRule="exact"/>
              <w:ind w:left="0" w:right="113"/>
              <w:jc w:val="left"/>
            </w:pPr>
            <w:r>
              <w:rPr>
                <w:lang w:val="en-US"/>
              </w:rPr>
              <w:t xml:space="preserve">30 </w:t>
            </w:r>
            <w:r w:rsidRPr="000A20DA">
              <w:rPr>
                <w:rStyle w:val="SingleTxtGChar"/>
              </w:rPr>
              <w:t>March</w:t>
            </w:r>
            <w:r>
              <w:rPr>
                <w:lang w:val="en-US"/>
              </w:rPr>
              <w:t xml:space="preserve"> 2015</w:t>
            </w:r>
          </w:p>
        </w:tc>
      </w:tr>
      <w:tr w:rsidR="00AB44C1" w:rsidRPr="004F2101" w:rsidTr="00E40DE8">
        <w:tc>
          <w:tcPr>
            <w:tcW w:w="2580" w:type="dxa"/>
            <w:shd w:val="clear" w:color="auto" w:fill="auto"/>
            <w:tcMar>
              <w:left w:w="28" w:type="dxa"/>
              <w:right w:w="28" w:type="dxa"/>
            </w:tcMar>
          </w:tcPr>
          <w:p w:rsidR="00AB44C1" w:rsidRPr="004F2101" w:rsidRDefault="00AB44C1" w:rsidP="00E40DE8">
            <w:pPr>
              <w:pStyle w:val="SingleTxtG"/>
              <w:suppressAutoHyphens w:val="0"/>
              <w:spacing w:before="40" w:line="220" w:lineRule="exact"/>
              <w:ind w:left="0" w:right="113"/>
              <w:jc w:val="left"/>
            </w:pPr>
            <w:r w:rsidRPr="004F2101">
              <w:t>Violation:</w:t>
            </w:r>
          </w:p>
        </w:tc>
        <w:tc>
          <w:tcPr>
            <w:tcW w:w="4790" w:type="dxa"/>
            <w:shd w:val="clear" w:color="auto" w:fill="auto"/>
            <w:tcMar>
              <w:left w:w="28" w:type="dxa"/>
              <w:right w:w="28" w:type="dxa"/>
            </w:tcMar>
          </w:tcPr>
          <w:p w:rsidR="00AB44C1" w:rsidRPr="004F2101" w:rsidRDefault="00932191" w:rsidP="00E40DE8">
            <w:pPr>
              <w:pStyle w:val="SingleTxtG"/>
              <w:suppressAutoHyphens w:val="0"/>
              <w:spacing w:before="40" w:line="220" w:lineRule="exact"/>
              <w:ind w:left="0" w:right="113"/>
              <w:jc w:val="left"/>
            </w:pPr>
            <w:proofErr w:type="gramStart"/>
            <w:r w:rsidRPr="004C5945">
              <w:rPr>
                <w:lang w:val="en-US"/>
              </w:rPr>
              <w:t>article</w:t>
            </w:r>
            <w:proofErr w:type="gramEnd"/>
            <w:r w:rsidRPr="004C5945">
              <w:rPr>
                <w:lang w:val="en-US"/>
              </w:rPr>
              <w:t xml:space="preserve"> 6</w:t>
            </w:r>
            <w:r>
              <w:rPr>
                <w:lang w:val="en-US"/>
              </w:rPr>
              <w:t xml:space="preserve"> (1), read alone and in conjunction with article 2 (3), of article 7, and of article 9 (paras. 1, 2 and 4), in respect of Sunil </w:t>
            </w:r>
            <w:proofErr w:type="spellStart"/>
            <w:r>
              <w:rPr>
                <w:lang w:val="en-US"/>
              </w:rPr>
              <w:t>Hemachandra</w:t>
            </w:r>
            <w:proofErr w:type="spellEnd"/>
            <w:r>
              <w:rPr>
                <w:lang w:val="en-US"/>
              </w:rPr>
              <w:t>; and of</w:t>
            </w:r>
            <w:r w:rsidRPr="004C5945">
              <w:rPr>
                <w:lang w:val="en-US"/>
              </w:rPr>
              <w:t xml:space="preserve"> article</w:t>
            </w:r>
            <w:r>
              <w:rPr>
                <w:lang w:val="en-US"/>
              </w:rPr>
              <w:t xml:space="preserve"> 2 (3), read in conjunction with article</w:t>
            </w:r>
            <w:r w:rsidRPr="004C5945">
              <w:rPr>
                <w:lang w:val="en-US"/>
              </w:rPr>
              <w:t xml:space="preserve"> </w:t>
            </w:r>
            <w:r>
              <w:rPr>
                <w:lang w:val="en-US"/>
              </w:rPr>
              <w:t>7, in respect of the authors.</w:t>
            </w:r>
          </w:p>
        </w:tc>
      </w:tr>
      <w:tr w:rsidR="00AB44C1" w:rsidRPr="004F2101" w:rsidTr="00E40DE8">
        <w:tc>
          <w:tcPr>
            <w:tcW w:w="2580" w:type="dxa"/>
            <w:shd w:val="clear" w:color="auto" w:fill="auto"/>
            <w:tcMar>
              <w:left w:w="28" w:type="dxa"/>
              <w:right w:w="28" w:type="dxa"/>
            </w:tcMar>
          </w:tcPr>
          <w:p w:rsidR="00AB44C1" w:rsidRPr="004F2101" w:rsidRDefault="00AB44C1" w:rsidP="00E40DE8">
            <w:pPr>
              <w:pStyle w:val="SingleTxtG"/>
              <w:suppressAutoHyphens w:val="0"/>
              <w:spacing w:before="40" w:line="220" w:lineRule="exact"/>
              <w:ind w:left="0" w:right="113"/>
              <w:jc w:val="left"/>
            </w:pPr>
            <w:r w:rsidRPr="004F2101">
              <w:t>Remedy:</w:t>
            </w:r>
          </w:p>
        </w:tc>
        <w:tc>
          <w:tcPr>
            <w:tcW w:w="4790" w:type="dxa"/>
            <w:shd w:val="clear" w:color="auto" w:fill="auto"/>
            <w:tcMar>
              <w:left w:w="28" w:type="dxa"/>
              <w:right w:w="28" w:type="dxa"/>
            </w:tcMar>
          </w:tcPr>
          <w:p w:rsidR="00AB44C1" w:rsidRPr="004F2101" w:rsidRDefault="00932191" w:rsidP="00E40DE8">
            <w:pPr>
              <w:pStyle w:val="SingleTxtG"/>
              <w:suppressAutoHyphens w:val="0"/>
              <w:spacing w:before="40" w:line="220" w:lineRule="exact"/>
              <w:ind w:left="0" w:right="113"/>
              <w:jc w:val="left"/>
            </w:pPr>
            <w:r>
              <w:t>P</w:t>
            </w:r>
            <w:proofErr w:type="spellStart"/>
            <w:r>
              <w:rPr>
                <w:lang w:val="en-US"/>
              </w:rPr>
              <w:t>rompt</w:t>
            </w:r>
            <w:proofErr w:type="spellEnd"/>
            <w:r>
              <w:rPr>
                <w:lang w:val="en-US"/>
              </w:rPr>
              <w:t xml:space="preserve">, thorough and independent investigation into the facts; </w:t>
            </w:r>
            <w:r w:rsidRPr="004C5945">
              <w:rPr>
                <w:lang w:val="en-US"/>
              </w:rPr>
              <w:t>ensuring that</w:t>
            </w:r>
            <w:r>
              <w:rPr>
                <w:lang w:val="en-US"/>
              </w:rPr>
              <w:t xml:space="preserve"> the</w:t>
            </w:r>
            <w:r w:rsidRPr="004C5945">
              <w:rPr>
                <w:lang w:val="en-US"/>
              </w:rPr>
              <w:t xml:space="preserve"> perp</w:t>
            </w:r>
            <w:r>
              <w:rPr>
                <w:lang w:val="en-US"/>
              </w:rPr>
              <w:t xml:space="preserve">etrators </w:t>
            </w:r>
            <w:proofErr w:type="gramStart"/>
            <w:r>
              <w:rPr>
                <w:lang w:val="en-US"/>
              </w:rPr>
              <w:t>are brought</w:t>
            </w:r>
            <w:proofErr w:type="gramEnd"/>
            <w:r>
              <w:rPr>
                <w:lang w:val="en-US"/>
              </w:rPr>
              <w:t xml:space="preserve"> to justice; and </w:t>
            </w:r>
            <w:r w:rsidRPr="004C5945">
              <w:rPr>
                <w:lang w:val="en-US"/>
              </w:rPr>
              <w:t>ensur</w:t>
            </w:r>
            <w:r>
              <w:rPr>
                <w:lang w:val="en-US"/>
              </w:rPr>
              <w:t>ing</w:t>
            </w:r>
            <w:r w:rsidRPr="004C5945">
              <w:rPr>
                <w:lang w:val="en-US"/>
              </w:rPr>
              <w:t xml:space="preserve"> </w:t>
            </w:r>
            <w:r>
              <w:rPr>
                <w:lang w:val="en-US"/>
              </w:rPr>
              <w:t xml:space="preserve">reparation, including the </w:t>
            </w:r>
            <w:r w:rsidRPr="004C5945">
              <w:rPr>
                <w:lang w:val="en-US"/>
              </w:rPr>
              <w:t xml:space="preserve">payment of adequate compensation </w:t>
            </w:r>
            <w:r>
              <w:rPr>
                <w:lang w:val="en-US"/>
              </w:rPr>
              <w:t>and a public apology to the family.</w:t>
            </w:r>
          </w:p>
        </w:tc>
      </w:tr>
      <w:tr w:rsidR="00AB44C1" w:rsidRPr="004F2101" w:rsidTr="00E40DE8">
        <w:tc>
          <w:tcPr>
            <w:tcW w:w="2580" w:type="dxa"/>
            <w:shd w:val="clear" w:color="auto" w:fill="auto"/>
            <w:tcMar>
              <w:left w:w="28" w:type="dxa"/>
              <w:right w:w="28" w:type="dxa"/>
            </w:tcMar>
          </w:tcPr>
          <w:p w:rsidR="00AB44C1" w:rsidRPr="004F2101" w:rsidRDefault="00AB44C1" w:rsidP="00E40DE8">
            <w:pPr>
              <w:pStyle w:val="SingleTxtG"/>
              <w:suppressAutoHyphens w:val="0"/>
              <w:spacing w:before="40" w:line="220" w:lineRule="exact"/>
              <w:ind w:left="0" w:right="113"/>
              <w:jc w:val="left"/>
            </w:pPr>
            <w:r w:rsidRPr="004F2101">
              <w:t>Subject matter:</w:t>
            </w:r>
          </w:p>
        </w:tc>
        <w:tc>
          <w:tcPr>
            <w:tcW w:w="4790" w:type="dxa"/>
            <w:shd w:val="clear" w:color="auto" w:fill="auto"/>
            <w:tcMar>
              <w:left w:w="28" w:type="dxa"/>
              <w:right w:w="28" w:type="dxa"/>
            </w:tcMar>
          </w:tcPr>
          <w:p w:rsidR="00AB44C1" w:rsidRPr="004F2101" w:rsidRDefault="00932191" w:rsidP="00E40DE8">
            <w:pPr>
              <w:pStyle w:val="SingleTxtG"/>
              <w:suppressAutoHyphens w:val="0"/>
              <w:spacing w:before="40" w:line="220" w:lineRule="exact"/>
              <w:ind w:left="0" w:right="113"/>
              <w:jc w:val="left"/>
            </w:pPr>
            <w:r>
              <w:t>D</w:t>
            </w:r>
            <w:r w:rsidRPr="00FE35FD">
              <w:t>eath in custody allegedly resulting from torture</w:t>
            </w:r>
          </w:p>
        </w:tc>
      </w:tr>
      <w:tr w:rsidR="00AB44C1" w:rsidRPr="004F2101" w:rsidTr="00E40DE8">
        <w:tc>
          <w:tcPr>
            <w:tcW w:w="2580" w:type="dxa"/>
            <w:shd w:val="clear" w:color="auto" w:fill="auto"/>
            <w:tcMar>
              <w:left w:w="28" w:type="dxa"/>
              <w:right w:w="28" w:type="dxa"/>
            </w:tcMar>
          </w:tcPr>
          <w:p w:rsidR="00AB44C1" w:rsidRPr="004F2101" w:rsidRDefault="00AB44C1" w:rsidP="00E40DE8">
            <w:pPr>
              <w:pStyle w:val="SingleTxtG"/>
              <w:suppressAutoHyphens w:val="0"/>
              <w:spacing w:before="40" w:line="220" w:lineRule="exact"/>
              <w:ind w:left="0" w:right="113"/>
              <w:jc w:val="left"/>
            </w:pPr>
            <w:r w:rsidRPr="004F2101">
              <w:t xml:space="preserve">Previous follow-up information: </w:t>
            </w:r>
          </w:p>
        </w:tc>
        <w:tc>
          <w:tcPr>
            <w:tcW w:w="4790" w:type="dxa"/>
            <w:shd w:val="clear" w:color="auto" w:fill="auto"/>
            <w:tcMar>
              <w:left w:w="28" w:type="dxa"/>
              <w:right w:w="28" w:type="dxa"/>
            </w:tcMar>
          </w:tcPr>
          <w:p w:rsidR="00AB44C1" w:rsidRPr="004F2101" w:rsidRDefault="00AB44C1" w:rsidP="00E40DE8">
            <w:pPr>
              <w:pStyle w:val="SingleTxtG"/>
              <w:suppressAutoHyphens w:val="0"/>
              <w:spacing w:before="40" w:line="220" w:lineRule="exact"/>
              <w:ind w:left="0" w:right="113"/>
              <w:jc w:val="left"/>
            </w:pPr>
            <w:r w:rsidRPr="004F2101">
              <w:t>No previous follow-up information</w:t>
            </w:r>
          </w:p>
        </w:tc>
      </w:tr>
      <w:tr w:rsidR="00F40CF2" w:rsidRPr="004F2101" w:rsidTr="00E40DE8">
        <w:tc>
          <w:tcPr>
            <w:tcW w:w="2580" w:type="dxa"/>
            <w:shd w:val="clear" w:color="auto" w:fill="auto"/>
            <w:tcMar>
              <w:left w:w="28" w:type="dxa"/>
              <w:right w:w="28" w:type="dxa"/>
            </w:tcMar>
          </w:tcPr>
          <w:p w:rsidR="00F40CF2" w:rsidRPr="004F2101" w:rsidRDefault="00F40CF2" w:rsidP="00E40DE8">
            <w:pPr>
              <w:pStyle w:val="SingleTxtG"/>
              <w:suppressAutoHyphens w:val="0"/>
              <w:spacing w:before="40" w:line="220" w:lineRule="exact"/>
              <w:ind w:left="0" w:right="113"/>
              <w:jc w:val="left"/>
            </w:pPr>
            <w:r w:rsidRPr="004F2101">
              <w:t>Submission from author:</w:t>
            </w:r>
          </w:p>
        </w:tc>
        <w:tc>
          <w:tcPr>
            <w:tcW w:w="4790" w:type="dxa"/>
            <w:shd w:val="clear" w:color="auto" w:fill="auto"/>
            <w:tcMar>
              <w:left w:w="28" w:type="dxa"/>
              <w:right w:w="28" w:type="dxa"/>
            </w:tcMar>
          </w:tcPr>
          <w:p w:rsidR="00932191" w:rsidRPr="00932191" w:rsidRDefault="00932191" w:rsidP="00932191">
            <w:pPr>
              <w:pStyle w:val="SingleTxtG"/>
              <w:ind w:left="0"/>
            </w:pPr>
            <w:r>
              <w:t>6 February 2017</w:t>
            </w:r>
            <w:r>
              <w:rPr>
                <w:lang w:val="en-CA" w:eastAsia="en-CA"/>
              </w:rPr>
              <w:t xml:space="preserve">    </w:t>
            </w:r>
          </w:p>
          <w:p w:rsidR="00932191" w:rsidRPr="00383182" w:rsidRDefault="00932191" w:rsidP="00CB4745">
            <w:pPr>
              <w:pStyle w:val="SingleTxtG"/>
              <w:ind w:left="0" w:right="0"/>
              <w:rPr>
                <w:lang w:val="en-CA" w:eastAsia="en-CA"/>
              </w:rPr>
            </w:pPr>
            <w:r>
              <w:rPr>
                <w:lang w:val="en-CA" w:eastAsia="en-CA"/>
              </w:rPr>
              <w:t>The authors’ counsel stresses that more than a year since the</w:t>
            </w:r>
            <w:r w:rsidRPr="00383182">
              <w:rPr>
                <w:lang w:val="en-CA" w:eastAsia="en-CA"/>
              </w:rPr>
              <w:t xml:space="preserve"> Views were </w:t>
            </w:r>
            <w:proofErr w:type="gramStart"/>
            <w:r w:rsidRPr="00383182">
              <w:rPr>
                <w:lang w:val="en-CA" w:eastAsia="en-CA"/>
              </w:rPr>
              <w:t>adopted</w:t>
            </w:r>
            <w:r>
              <w:rPr>
                <w:lang w:val="en-CA" w:eastAsia="en-CA"/>
              </w:rPr>
              <w:t>,</w:t>
            </w:r>
            <w:proofErr w:type="gramEnd"/>
            <w:r w:rsidRPr="00383182">
              <w:rPr>
                <w:lang w:val="en-CA" w:eastAsia="en-CA"/>
              </w:rPr>
              <w:t xml:space="preserve"> the State party has failed to provide such information, or to take </w:t>
            </w:r>
            <w:r>
              <w:rPr>
                <w:lang w:val="en-CA" w:eastAsia="en-CA"/>
              </w:rPr>
              <w:t>steps to implement the Views.  The a</w:t>
            </w:r>
            <w:r w:rsidRPr="00383182">
              <w:rPr>
                <w:lang w:val="en-CA" w:eastAsia="en-CA"/>
              </w:rPr>
              <w:t>uthors and their legal representatives have received no correspondence or contact from the State party in relation to the steps it plans to take in relation to this case</w:t>
            </w:r>
            <w:r>
              <w:rPr>
                <w:lang w:val="en-CA" w:eastAsia="en-CA"/>
              </w:rPr>
              <w:t xml:space="preserve">. </w:t>
            </w:r>
            <w:r w:rsidRPr="00383182">
              <w:rPr>
                <w:lang w:val="en-CA" w:eastAsia="en-CA"/>
              </w:rPr>
              <w:t xml:space="preserve">More than a year after these Views </w:t>
            </w:r>
            <w:proofErr w:type="gramStart"/>
            <w:r w:rsidRPr="00383182">
              <w:rPr>
                <w:lang w:val="en-CA" w:eastAsia="en-CA"/>
              </w:rPr>
              <w:t>were adopted</w:t>
            </w:r>
            <w:proofErr w:type="gramEnd"/>
            <w:r w:rsidRPr="00383182">
              <w:rPr>
                <w:lang w:val="en-CA" w:eastAsia="en-CA"/>
              </w:rPr>
              <w:t xml:space="preserve"> - and more than 13 years after the incidents which led to Mr. </w:t>
            </w:r>
            <w:proofErr w:type="spellStart"/>
            <w:r w:rsidRPr="00383182">
              <w:rPr>
                <w:lang w:val="en-CA" w:eastAsia="en-CA"/>
              </w:rPr>
              <w:t>Hemachandra’s</w:t>
            </w:r>
            <w:proofErr w:type="spellEnd"/>
            <w:r w:rsidRPr="00383182">
              <w:rPr>
                <w:lang w:val="en-CA" w:eastAsia="en-CA"/>
              </w:rPr>
              <w:t xml:space="preserve"> death in the c</w:t>
            </w:r>
            <w:r>
              <w:rPr>
                <w:lang w:val="en-CA" w:eastAsia="en-CA"/>
              </w:rPr>
              <w:t>ustody of the State party, no effective investigation has been undertaken, and the</w:t>
            </w:r>
            <w:r w:rsidRPr="00383182">
              <w:rPr>
                <w:lang w:val="en-CA" w:eastAsia="en-CA"/>
              </w:rPr>
              <w:t xml:space="preserve"> violation of the authors’ rights remains ongoing. </w:t>
            </w:r>
            <w:r>
              <w:rPr>
                <w:lang w:val="en-CA" w:eastAsia="en-CA"/>
              </w:rPr>
              <w:t>A</w:t>
            </w:r>
            <w:r w:rsidRPr="00383182">
              <w:rPr>
                <w:lang w:val="en-CA" w:eastAsia="en-CA"/>
              </w:rPr>
              <w:t xml:space="preserve"> new</w:t>
            </w:r>
            <w:r>
              <w:rPr>
                <w:lang w:val="en-CA" w:eastAsia="en-CA"/>
              </w:rPr>
              <w:t>, independent and thorough</w:t>
            </w:r>
            <w:r w:rsidRPr="00383182">
              <w:rPr>
                <w:lang w:val="en-CA" w:eastAsia="en-CA"/>
              </w:rPr>
              <w:t xml:space="preserve"> investigation must cure the defect</w:t>
            </w:r>
            <w:r>
              <w:rPr>
                <w:lang w:val="en-CA" w:eastAsia="en-CA"/>
              </w:rPr>
              <w:t xml:space="preserve">s of the earlier investigation. </w:t>
            </w:r>
          </w:p>
          <w:p w:rsidR="00932191" w:rsidRDefault="00932191" w:rsidP="00CB4745">
            <w:pPr>
              <w:pStyle w:val="SingleTxtG"/>
              <w:ind w:left="0" w:right="0"/>
              <w:rPr>
                <w:lang w:val="en-CA" w:eastAsia="en-CA"/>
              </w:rPr>
            </w:pPr>
            <w:r>
              <w:rPr>
                <w:lang w:val="en-CA" w:eastAsia="en-CA"/>
              </w:rPr>
              <w:t>Regarding compensation, t</w:t>
            </w:r>
            <w:r w:rsidRPr="00383182">
              <w:rPr>
                <w:lang w:val="en-CA" w:eastAsia="en-CA"/>
              </w:rPr>
              <w:t xml:space="preserve">he Government of Sri Lanka should contact the authors through their counsel and obtain an estimate from them regarding pecuniary and non-pecuniary damages incurred. Calculation of the loss of earnings should take into consideration the fact that Mr. </w:t>
            </w:r>
            <w:proofErr w:type="spellStart"/>
            <w:r w:rsidRPr="00383182">
              <w:rPr>
                <w:lang w:val="en-CA" w:eastAsia="en-CA"/>
              </w:rPr>
              <w:t>Hemachandra</w:t>
            </w:r>
            <w:proofErr w:type="spellEnd"/>
            <w:r w:rsidRPr="00383182">
              <w:rPr>
                <w:lang w:val="en-CA" w:eastAsia="en-CA"/>
              </w:rPr>
              <w:t xml:space="preserve"> was 34 years old, a healthy and literate man with no criminal record, who was a daily paid labourer. The compensation must also consider the lottery </w:t>
            </w:r>
            <w:proofErr w:type="gramStart"/>
            <w:r w:rsidRPr="00383182">
              <w:rPr>
                <w:lang w:val="en-CA" w:eastAsia="en-CA"/>
              </w:rPr>
              <w:t>winnings which he had just received</w:t>
            </w:r>
            <w:proofErr w:type="gramEnd"/>
            <w:r w:rsidRPr="00383182">
              <w:rPr>
                <w:lang w:val="en-CA" w:eastAsia="en-CA"/>
              </w:rPr>
              <w:t xml:space="preserve"> and the additional opportunities that this </w:t>
            </w:r>
            <w:r>
              <w:rPr>
                <w:lang w:val="en-CA" w:eastAsia="en-CA"/>
              </w:rPr>
              <w:t xml:space="preserve">would have opened up for him.  </w:t>
            </w:r>
            <w:r w:rsidRPr="00383182">
              <w:rPr>
                <w:lang w:val="en-CA" w:eastAsia="en-CA"/>
              </w:rPr>
              <w:t xml:space="preserve"> Compensation must also include expenses incurred seeking justice and an investigation</w:t>
            </w:r>
            <w:r>
              <w:rPr>
                <w:lang w:val="en-CA" w:eastAsia="en-CA"/>
              </w:rPr>
              <w:t xml:space="preserve">.  It </w:t>
            </w:r>
            <w:r w:rsidRPr="00383182">
              <w:rPr>
                <w:lang w:val="en-CA" w:eastAsia="en-CA"/>
              </w:rPr>
              <w:t xml:space="preserve">must </w:t>
            </w:r>
            <w:r>
              <w:rPr>
                <w:lang w:val="en-CA" w:eastAsia="en-CA"/>
              </w:rPr>
              <w:t xml:space="preserve">also </w:t>
            </w:r>
            <w:r w:rsidRPr="00383182">
              <w:rPr>
                <w:lang w:val="en-CA" w:eastAsia="en-CA"/>
              </w:rPr>
              <w:t xml:space="preserve">recognise the pain and suffering and continued anguish and psychological pressure suffered by the </w:t>
            </w:r>
            <w:r>
              <w:rPr>
                <w:lang w:val="en-CA" w:eastAsia="en-CA"/>
              </w:rPr>
              <w:t>victim’s family</w:t>
            </w:r>
            <w:r w:rsidRPr="00383182">
              <w:rPr>
                <w:lang w:val="en-CA" w:eastAsia="en-CA"/>
              </w:rPr>
              <w:t xml:space="preserve">.   </w:t>
            </w:r>
          </w:p>
          <w:p w:rsidR="00932191" w:rsidRDefault="00932191" w:rsidP="00CB4745">
            <w:pPr>
              <w:pStyle w:val="SingleTxtG"/>
              <w:ind w:left="0" w:right="0"/>
              <w:rPr>
                <w:lang w:val="en-CA" w:eastAsia="en-CA"/>
              </w:rPr>
            </w:pPr>
            <w:r w:rsidRPr="009F6505">
              <w:rPr>
                <w:lang w:val="en-CA" w:eastAsia="en-CA"/>
              </w:rPr>
              <w:t xml:space="preserve">The State party should </w:t>
            </w:r>
            <w:r>
              <w:rPr>
                <w:lang w:val="en-CA" w:eastAsia="en-CA"/>
              </w:rPr>
              <w:t xml:space="preserve">also </w:t>
            </w:r>
            <w:r w:rsidRPr="009F6505">
              <w:rPr>
                <w:lang w:val="en-CA" w:eastAsia="en-CA"/>
              </w:rPr>
              <w:t>issue a public apology containing an unequivocal acknowledgement of the numerous violations of the Covenant in the present case</w:t>
            </w:r>
            <w:r>
              <w:rPr>
                <w:lang w:val="en-CA" w:eastAsia="en-CA"/>
              </w:rPr>
              <w:t>.</w:t>
            </w:r>
          </w:p>
          <w:p w:rsidR="00932191" w:rsidRDefault="00932191" w:rsidP="00CB4745">
            <w:pPr>
              <w:pStyle w:val="SingleTxtG"/>
              <w:ind w:left="0" w:right="0"/>
              <w:rPr>
                <w:lang w:val="en-CA" w:eastAsia="en-CA"/>
              </w:rPr>
            </w:pPr>
            <w:r w:rsidRPr="009F6505">
              <w:rPr>
                <w:lang w:val="en-CA" w:eastAsia="en-CA"/>
              </w:rPr>
              <w:t xml:space="preserve">The </w:t>
            </w:r>
            <w:r>
              <w:rPr>
                <w:lang w:val="en-CA" w:eastAsia="en-CA"/>
              </w:rPr>
              <w:t>authors’ counsel adds that in</w:t>
            </w:r>
            <w:r w:rsidRPr="009F6505">
              <w:rPr>
                <w:lang w:val="en-CA" w:eastAsia="en-CA"/>
              </w:rPr>
              <w:t xml:space="preserve"> 2016</w:t>
            </w:r>
            <w:r>
              <w:rPr>
                <w:lang w:val="en-CA" w:eastAsia="en-CA"/>
              </w:rPr>
              <w:t>,</w:t>
            </w:r>
            <w:r w:rsidRPr="009F6505">
              <w:rPr>
                <w:lang w:val="en-CA" w:eastAsia="en-CA"/>
              </w:rPr>
              <w:t xml:space="preserve"> the UN Special Rapporteurs on the independence of judges and lawyers, and on torture and other cruel, inhuman or degrading treatment or punishment conducted </w:t>
            </w:r>
            <w:r>
              <w:rPr>
                <w:lang w:val="en-CA" w:eastAsia="en-CA"/>
              </w:rPr>
              <w:t xml:space="preserve">an official visit to Sri Lanka, and </w:t>
            </w:r>
            <w:proofErr w:type="gramStart"/>
            <w:r w:rsidRPr="009F6505">
              <w:rPr>
                <w:lang w:val="en-CA" w:eastAsia="en-CA"/>
              </w:rPr>
              <w:t>noted that</w:t>
            </w:r>
            <w:proofErr w:type="gramEnd"/>
            <w:r w:rsidRPr="009F6505">
              <w:rPr>
                <w:lang w:val="en-CA" w:eastAsia="en-CA"/>
              </w:rPr>
              <w:t xml:space="preserve"> “old and new cases of torture continue to be surrounded by total impunity”</w:t>
            </w:r>
            <w:r>
              <w:rPr>
                <w:lang w:val="en-CA" w:eastAsia="en-CA"/>
              </w:rPr>
              <w:t xml:space="preserve">. </w:t>
            </w:r>
            <w:r w:rsidRPr="009F6505">
              <w:rPr>
                <w:lang w:val="en-CA" w:eastAsia="en-CA"/>
              </w:rPr>
              <w:t xml:space="preserve">In November </w:t>
            </w:r>
            <w:proofErr w:type="gramStart"/>
            <w:r w:rsidRPr="009F6505">
              <w:rPr>
                <w:lang w:val="en-CA" w:eastAsia="en-CA"/>
              </w:rPr>
              <w:t>2016</w:t>
            </w:r>
            <w:proofErr w:type="gramEnd"/>
            <w:r w:rsidRPr="009F6505">
              <w:rPr>
                <w:lang w:val="en-CA" w:eastAsia="en-CA"/>
              </w:rPr>
              <w:t xml:space="preserve"> the Committee against Torture similarly expressed serious concerns regarding ongoing violations, including “torture during police detention” and “inadequate investigations into allegations o</w:t>
            </w:r>
            <w:r>
              <w:rPr>
                <w:lang w:val="en-CA" w:eastAsia="en-CA"/>
              </w:rPr>
              <w:t>f torture and ill-treatment.”</w:t>
            </w:r>
          </w:p>
          <w:p w:rsidR="00F40CF2" w:rsidRPr="004F2101" w:rsidRDefault="00932191" w:rsidP="004024A8">
            <w:pPr>
              <w:suppressAutoHyphens w:val="0"/>
              <w:autoSpaceDE w:val="0"/>
              <w:autoSpaceDN w:val="0"/>
              <w:adjustRightInd w:val="0"/>
              <w:spacing w:before="40" w:after="120" w:line="220" w:lineRule="atLeast"/>
            </w:pPr>
            <w:r w:rsidRPr="005647F8">
              <w:rPr>
                <w:lang w:val="en-CA" w:eastAsia="en-CA"/>
              </w:rPr>
              <w:t xml:space="preserve">The State party has not provided information on the </w:t>
            </w:r>
            <w:r>
              <w:rPr>
                <w:lang w:val="en-CA" w:eastAsia="en-CA"/>
              </w:rPr>
              <w:t>t</w:t>
            </w:r>
            <w:r w:rsidRPr="005647F8">
              <w:rPr>
                <w:lang w:val="en-CA" w:eastAsia="en-CA"/>
              </w:rPr>
              <w:t>ranslat</w:t>
            </w:r>
            <w:r>
              <w:rPr>
                <w:lang w:val="en-CA" w:eastAsia="en-CA"/>
              </w:rPr>
              <w:t>ion</w:t>
            </w:r>
            <w:r w:rsidRPr="005647F8">
              <w:rPr>
                <w:lang w:val="en-CA" w:eastAsia="en-CA"/>
              </w:rPr>
              <w:t>, pub</w:t>
            </w:r>
            <w:r>
              <w:rPr>
                <w:lang w:val="en-CA" w:eastAsia="en-CA"/>
              </w:rPr>
              <w:t>lication and dissemination of</w:t>
            </w:r>
            <w:r w:rsidRPr="005647F8">
              <w:rPr>
                <w:lang w:val="en-CA" w:eastAsia="en-CA"/>
              </w:rPr>
              <w:t xml:space="preserve"> the Views.   </w:t>
            </w:r>
            <w:r>
              <w:rPr>
                <w:lang w:val="en-CA" w:eastAsia="en-CA"/>
              </w:rPr>
              <w:t>The authors’ counsel requests the Committee to assess the State party’s non-implementation with a D grade.</w:t>
            </w:r>
            <w:r w:rsidRPr="00404B0A">
              <w:rPr>
                <w:rStyle w:val="FootnoteReference"/>
              </w:rPr>
              <w:t xml:space="preserve"> </w:t>
            </w:r>
          </w:p>
        </w:tc>
      </w:tr>
      <w:tr w:rsidR="00AB44C1" w:rsidRPr="004F2101" w:rsidTr="00E40DE8">
        <w:tc>
          <w:tcPr>
            <w:tcW w:w="2580" w:type="dxa"/>
            <w:shd w:val="clear" w:color="auto" w:fill="auto"/>
            <w:tcMar>
              <w:left w:w="28" w:type="dxa"/>
              <w:right w:w="28" w:type="dxa"/>
            </w:tcMar>
          </w:tcPr>
          <w:p w:rsidR="00AB44C1" w:rsidRPr="004F2101" w:rsidRDefault="00AB44C1" w:rsidP="00E40DE8">
            <w:pPr>
              <w:pStyle w:val="SingleTxtG"/>
              <w:suppressAutoHyphens w:val="0"/>
              <w:spacing w:before="40" w:line="220" w:lineRule="exact"/>
              <w:ind w:left="0" w:right="113"/>
              <w:jc w:val="left"/>
            </w:pPr>
          </w:p>
        </w:tc>
        <w:tc>
          <w:tcPr>
            <w:tcW w:w="4790" w:type="dxa"/>
            <w:shd w:val="clear" w:color="auto" w:fill="auto"/>
            <w:tcMar>
              <w:left w:w="28" w:type="dxa"/>
              <w:right w:w="28" w:type="dxa"/>
            </w:tcMar>
          </w:tcPr>
          <w:p w:rsidR="00AB44C1" w:rsidRPr="004F2101" w:rsidRDefault="00AB44C1" w:rsidP="000D5A0D">
            <w:pPr>
              <w:pStyle w:val="ListParagraph"/>
              <w:autoSpaceDE w:val="0"/>
              <w:autoSpaceDN w:val="0"/>
              <w:adjustRightInd w:val="0"/>
              <w:spacing w:before="40" w:after="120" w:line="220" w:lineRule="atLeast"/>
              <w:ind w:left="0" w:right="1275"/>
            </w:pPr>
          </w:p>
        </w:tc>
      </w:tr>
      <w:tr w:rsidR="007104D6" w:rsidRPr="004F2101" w:rsidTr="00E40DE8">
        <w:tc>
          <w:tcPr>
            <w:tcW w:w="2580" w:type="dxa"/>
            <w:shd w:val="clear" w:color="auto" w:fill="auto"/>
            <w:tcMar>
              <w:left w:w="28" w:type="dxa"/>
              <w:right w:w="28" w:type="dxa"/>
            </w:tcMar>
          </w:tcPr>
          <w:p w:rsidR="007104D6" w:rsidRPr="004F2101" w:rsidRDefault="007104D6" w:rsidP="00E40DE8">
            <w:pPr>
              <w:pStyle w:val="SingleTxtG"/>
              <w:suppressAutoHyphens w:val="0"/>
              <w:spacing w:before="40" w:line="220" w:lineRule="exact"/>
              <w:ind w:left="0" w:right="113"/>
              <w:jc w:val="left"/>
            </w:pPr>
            <w:r w:rsidRPr="004F2101">
              <w:t>Committee</w:t>
            </w:r>
            <w:r w:rsidR="001D6817" w:rsidRPr="004F2101">
              <w:t>’</w:t>
            </w:r>
            <w:r w:rsidRPr="004F2101">
              <w:t>s decision:</w:t>
            </w:r>
          </w:p>
        </w:tc>
        <w:tc>
          <w:tcPr>
            <w:tcW w:w="4790" w:type="dxa"/>
            <w:shd w:val="clear" w:color="auto" w:fill="auto"/>
            <w:tcMar>
              <w:left w:w="28" w:type="dxa"/>
              <w:right w:w="28" w:type="dxa"/>
            </w:tcMar>
          </w:tcPr>
          <w:p w:rsidR="007104D6" w:rsidRPr="004F2101" w:rsidRDefault="007E288B" w:rsidP="00E40DE8">
            <w:pPr>
              <w:pStyle w:val="SingleTxtG"/>
              <w:suppressAutoHyphens w:val="0"/>
              <w:spacing w:before="40" w:line="220" w:lineRule="exact"/>
              <w:ind w:left="0" w:right="113"/>
              <w:jc w:val="left"/>
            </w:pPr>
            <w:r>
              <w:t>Send a reminder to the State party; Meet with a representative of the State party during the 122</w:t>
            </w:r>
            <w:r w:rsidRPr="00241384">
              <w:rPr>
                <w:vertAlign w:val="superscript"/>
              </w:rPr>
              <w:t>nd</w:t>
            </w:r>
            <w:r>
              <w:t xml:space="preserve"> session</w:t>
            </w:r>
            <w:r w:rsidRPr="004F2101">
              <w:t xml:space="preserve"> </w:t>
            </w:r>
            <w:r w:rsidR="007104D6" w:rsidRPr="004F2101">
              <w:t>Follow-up dialogue ongoing.</w:t>
            </w:r>
          </w:p>
        </w:tc>
      </w:tr>
    </w:tbl>
    <w:p w:rsidR="00A76DC0" w:rsidRPr="008E1119" w:rsidRDefault="008E1119" w:rsidP="008E1119">
      <w:pPr>
        <w:pStyle w:val="H23G"/>
        <w:keepNext w:val="0"/>
        <w:keepLines w:val="0"/>
        <w:spacing w:after="0" w:line="240" w:lineRule="atLeast"/>
        <w:ind w:firstLine="0"/>
        <w:jc w:val="center"/>
        <w:rPr>
          <w:u w:val="single"/>
        </w:rPr>
      </w:pPr>
      <w:r w:rsidRPr="008E1119">
        <w:rPr>
          <w:u w:val="single"/>
        </w:rPr>
        <w:tab/>
      </w:r>
      <w:r w:rsidRPr="008E1119">
        <w:rPr>
          <w:u w:val="single"/>
        </w:rPr>
        <w:tab/>
      </w:r>
      <w:r w:rsidRPr="008E1119">
        <w:rPr>
          <w:u w:val="single"/>
        </w:rPr>
        <w:tab/>
      </w:r>
    </w:p>
    <w:sectPr w:rsidR="00A76DC0" w:rsidRPr="008E1119" w:rsidSect="00AB44C1">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C6" w:rsidRPr="00B903E5" w:rsidRDefault="001278C6" w:rsidP="00B903E5"/>
  </w:endnote>
  <w:endnote w:type="continuationSeparator" w:id="0">
    <w:p w:rsidR="001278C6" w:rsidRPr="00B903E5" w:rsidRDefault="001278C6" w:rsidP="00B90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C6" w:rsidRPr="00AB44C1" w:rsidRDefault="001278C6" w:rsidP="00AB44C1">
    <w:pPr>
      <w:tabs>
        <w:tab w:val="right" w:pos="9598"/>
      </w:tabs>
      <w:rPr>
        <w:sz w:val="16"/>
      </w:rPr>
    </w:pPr>
    <w:r w:rsidRPr="00AB44C1">
      <w:rPr>
        <w:b/>
        <w:sz w:val="18"/>
      </w:rPr>
      <w:fldChar w:fldCharType="begin"/>
    </w:r>
    <w:r w:rsidRPr="00AB44C1">
      <w:rPr>
        <w:b/>
        <w:sz w:val="18"/>
      </w:rPr>
      <w:instrText xml:space="preserve"> PAGE  \* MERGEFORMAT </w:instrText>
    </w:r>
    <w:r w:rsidRPr="00AB44C1">
      <w:rPr>
        <w:b/>
        <w:sz w:val="18"/>
      </w:rPr>
      <w:fldChar w:fldCharType="separate"/>
    </w:r>
    <w:r w:rsidR="00CF7B82">
      <w:rPr>
        <w:b/>
        <w:noProof/>
        <w:sz w:val="18"/>
      </w:rPr>
      <w:t>22</w:t>
    </w:r>
    <w:r w:rsidRPr="00AB44C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C6" w:rsidRPr="00AB44C1" w:rsidRDefault="001278C6" w:rsidP="00AB44C1">
    <w:pPr>
      <w:tabs>
        <w:tab w:val="right" w:pos="9598"/>
      </w:tabs>
      <w:rPr>
        <w:b/>
        <w:sz w:val="18"/>
      </w:rPr>
    </w:pPr>
    <w:r>
      <w:tab/>
    </w:r>
    <w:r w:rsidRPr="00AB44C1">
      <w:rPr>
        <w:b/>
        <w:sz w:val="18"/>
      </w:rPr>
      <w:fldChar w:fldCharType="begin"/>
    </w:r>
    <w:r w:rsidRPr="00AB44C1">
      <w:rPr>
        <w:b/>
        <w:sz w:val="18"/>
      </w:rPr>
      <w:instrText xml:space="preserve"> PAGE  \* MERGEFORMAT </w:instrText>
    </w:r>
    <w:r w:rsidRPr="00AB44C1">
      <w:rPr>
        <w:b/>
        <w:sz w:val="18"/>
      </w:rPr>
      <w:fldChar w:fldCharType="separate"/>
    </w:r>
    <w:r w:rsidR="00CF7B82">
      <w:rPr>
        <w:b/>
        <w:noProof/>
        <w:sz w:val="18"/>
      </w:rPr>
      <w:t>21</w:t>
    </w:r>
    <w:r w:rsidRPr="00AB44C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C6" w:rsidRPr="00B903E5" w:rsidRDefault="001278C6" w:rsidP="00B903E5">
      <w:pPr>
        <w:tabs>
          <w:tab w:val="right" w:pos="2155"/>
        </w:tabs>
        <w:spacing w:after="80" w:line="240" w:lineRule="auto"/>
        <w:ind w:left="680"/>
      </w:pPr>
      <w:r>
        <w:rPr>
          <w:u w:val="single"/>
        </w:rPr>
        <w:tab/>
      </w:r>
    </w:p>
  </w:footnote>
  <w:footnote w:type="continuationSeparator" w:id="0">
    <w:p w:rsidR="001278C6" w:rsidRPr="00B903E5" w:rsidRDefault="001278C6" w:rsidP="00B903E5">
      <w:pPr>
        <w:tabs>
          <w:tab w:val="right" w:pos="2155"/>
        </w:tabs>
        <w:spacing w:after="80" w:line="240" w:lineRule="auto"/>
        <w:ind w:left="680"/>
      </w:pPr>
      <w:r>
        <w:rPr>
          <w:u w:val="single"/>
        </w:rPr>
        <w:tab/>
      </w:r>
    </w:p>
  </w:footnote>
  <w:footnote w:id="1">
    <w:p w:rsidR="001278C6" w:rsidRDefault="001278C6" w:rsidP="008E1119">
      <w:pPr>
        <w:pStyle w:val="FootnoteText"/>
      </w:pPr>
      <w:r>
        <w:tab/>
      </w:r>
      <w:r>
        <w:rPr>
          <w:vertAlign w:val="superscript"/>
        </w:rPr>
        <w:t>*</w:t>
      </w:r>
      <w:r>
        <w:tab/>
        <w:t xml:space="preserve">All persons handling this document </w:t>
      </w:r>
      <w:proofErr w:type="gramStart"/>
      <w:r>
        <w:t>are requested</w:t>
      </w:r>
      <w:proofErr w:type="gramEnd"/>
      <w:r>
        <w:t xml:space="preserve"> to </w:t>
      </w:r>
      <w:r w:rsidRPr="008E1119">
        <w:t>respect</w:t>
      </w:r>
      <w:r>
        <w:t xml:space="preserve"> and observe its confidential nature.</w:t>
      </w:r>
    </w:p>
    <w:p w:rsidR="001278C6" w:rsidRPr="00DB5C36" w:rsidRDefault="001278C6" w:rsidP="008E1119">
      <w:pPr>
        <w:pStyle w:val="FootnoteText"/>
      </w:pPr>
      <w:r>
        <w:tab/>
      </w:r>
      <w:r w:rsidRPr="00D55A86">
        <w:rPr>
          <w:vertAlign w:val="superscript"/>
        </w:rPr>
        <w:t>**</w:t>
      </w:r>
      <w:r>
        <w:tab/>
        <w:t xml:space="preserve">The present document </w:t>
      </w:r>
      <w:proofErr w:type="gramStart"/>
      <w:r>
        <w:t>is being issued</w:t>
      </w:r>
      <w:proofErr w:type="gramEnd"/>
      <w:r>
        <w:t xml:space="preserve"> without </w:t>
      </w:r>
      <w:r w:rsidRPr="008E1119">
        <w:t>formal</w:t>
      </w:r>
      <w:r>
        <w:t xml:space="preserve"> editing.</w:t>
      </w:r>
    </w:p>
  </w:footnote>
  <w:footnote w:id="2">
    <w:p w:rsidR="00C45217" w:rsidRDefault="00C45217" w:rsidP="009716A9">
      <w:pPr>
        <w:ind w:left="567" w:firstLine="567"/>
      </w:pPr>
      <w:r>
        <w:rPr>
          <w:rStyle w:val="FootnoteReference"/>
        </w:rPr>
        <w:footnoteRef/>
      </w:r>
      <w:r>
        <w:t xml:space="preserve"> The full assessment is available at </w:t>
      </w:r>
      <w:hyperlink r:id="rId1" w:history="1">
        <w:r w:rsidRPr="009716A9">
          <w:rPr>
            <w:color w:val="0000FF"/>
            <w:sz w:val="18"/>
            <w:szCs w:val="18"/>
          </w:rPr>
          <w:t>http://tbinternet.ohchr.org/Treaties/CCPR/Shared%20Documents/1_Global/INT_CCPR_FGD_8108_E.pdf</w:t>
        </w:r>
      </w:hyperlink>
    </w:p>
    <w:p w:rsidR="00C45217" w:rsidRDefault="00C45217">
      <w:pPr>
        <w:pStyle w:val="FootnoteText"/>
      </w:pPr>
    </w:p>
  </w:footnote>
  <w:footnote w:id="3">
    <w:p w:rsidR="00C45217" w:rsidRPr="009716A9" w:rsidRDefault="001278C6" w:rsidP="00C45217">
      <w:pPr>
        <w:pStyle w:val="FootnoteText"/>
      </w:pPr>
      <w:r>
        <w:tab/>
      </w:r>
      <w:r>
        <w:rPr>
          <w:rStyle w:val="FootnoteReference"/>
        </w:rPr>
        <w:footnoteRef/>
      </w:r>
      <w:r>
        <w:t xml:space="preserve"> </w:t>
      </w:r>
      <w:r>
        <w:tab/>
      </w:r>
      <w:r w:rsidRPr="009716A9">
        <w:t>The Special Rapporteur for follow-up to Views met with a representative of Algeria on 14 July 2017.</w:t>
      </w:r>
      <w:r w:rsidR="00C45217">
        <w:t xml:space="preserve"> The State party representative agreed to request from the Ministry of Justice follow-up observations for each individual case currently under the follow-up procedure.</w:t>
      </w:r>
    </w:p>
  </w:footnote>
  <w:footnote w:id="4">
    <w:p w:rsidR="001278C6" w:rsidRPr="009716A9" w:rsidRDefault="001278C6">
      <w:pPr>
        <w:pStyle w:val="FootnoteText"/>
      </w:pPr>
      <w:r>
        <w:tab/>
      </w:r>
      <w:r>
        <w:rPr>
          <w:rStyle w:val="FootnoteReference"/>
        </w:rPr>
        <w:footnoteRef/>
      </w:r>
      <w:r>
        <w:t xml:space="preserve"> </w:t>
      </w:r>
      <w:r>
        <w:tab/>
      </w:r>
      <w:r w:rsidRPr="009716A9">
        <w:t>The Special Rapporteur for follow-up to Views met with a representative of Australia on 18 July 2017</w:t>
      </w:r>
    </w:p>
  </w:footnote>
  <w:footnote w:id="5">
    <w:p w:rsidR="007029C9" w:rsidRDefault="007029C9">
      <w:pPr>
        <w:pStyle w:val="FootnoteText"/>
      </w:pPr>
      <w:r>
        <w:rPr>
          <w:rStyle w:val="FootnoteReference"/>
        </w:rPr>
        <w:footnoteRef/>
      </w:r>
      <w:r>
        <w:t xml:space="preserve"> Committee’s assessment at the 119</w:t>
      </w:r>
      <w:r w:rsidRPr="009716A9">
        <w:rPr>
          <w:vertAlign w:val="superscript"/>
        </w:rPr>
        <w:t>th</w:t>
      </w:r>
      <w:r>
        <w:t xml:space="preserve"> session: </w:t>
      </w:r>
    </w:p>
    <w:p w:rsidR="007029C9" w:rsidRPr="009716A9" w:rsidRDefault="007029C9" w:rsidP="007029C9">
      <w:pPr>
        <w:suppressAutoHyphens w:val="0"/>
        <w:autoSpaceDE w:val="0"/>
        <w:autoSpaceDN w:val="0"/>
        <w:adjustRightInd w:val="0"/>
        <w:spacing w:before="40" w:after="120" w:line="220" w:lineRule="atLeast"/>
        <w:ind w:left="1287" w:right="1275"/>
        <w:rPr>
          <w:sz w:val="18"/>
          <w:szCs w:val="18"/>
          <w:lang w:eastAsia="en-GB"/>
        </w:rPr>
      </w:pPr>
      <w:r>
        <w:tab/>
      </w:r>
      <w:r w:rsidRPr="009716A9">
        <w:rPr>
          <w:sz w:val="18"/>
          <w:szCs w:val="18"/>
        </w:rPr>
        <w:t>(a)</w:t>
      </w:r>
      <w:r w:rsidRPr="009716A9">
        <w:rPr>
          <w:sz w:val="18"/>
          <w:szCs w:val="18"/>
        </w:rPr>
        <w:tab/>
        <w:t>Appropriate remedy, including rehabilitation and adequate compensation</w:t>
      </w:r>
      <w:r w:rsidRPr="009716A9">
        <w:rPr>
          <w:sz w:val="18"/>
          <w:szCs w:val="18"/>
          <w:lang w:eastAsia="en-GB"/>
        </w:rPr>
        <w:t>: E</w:t>
      </w:r>
    </w:p>
    <w:p w:rsidR="007029C9" w:rsidRPr="009716A9" w:rsidRDefault="007029C9" w:rsidP="007029C9">
      <w:pPr>
        <w:suppressAutoHyphens w:val="0"/>
        <w:autoSpaceDE w:val="0"/>
        <w:autoSpaceDN w:val="0"/>
        <w:adjustRightInd w:val="0"/>
        <w:spacing w:before="40" w:after="120" w:line="220" w:lineRule="atLeast"/>
        <w:ind w:left="1287"/>
        <w:rPr>
          <w:sz w:val="18"/>
          <w:szCs w:val="18"/>
          <w:lang w:eastAsia="en-GB"/>
        </w:rPr>
      </w:pPr>
      <w:r w:rsidRPr="009716A9">
        <w:rPr>
          <w:sz w:val="18"/>
          <w:szCs w:val="18"/>
          <w:lang w:eastAsia="en-GB"/>
        </w:rPr>
        <w:tab/>
        <w:t>(b)</w:t>
      </w:r>
      <w:r w:rsidRPr="009716A9">
        <w:rPr>
          <w:sz w:val="18"/>
          <w:szCs w:val="18"/>
          <w:lang w:eastAsia="en-GB"/>
        </w:rPr>
        <w:tab/>
        <w:t>Publication of Views: No information</w:t>
      </w:r>
    </w:p>
    <w:p w:rsidR="007029C9" w:rsidRPr="009716A9" w:rsidRDefault="007029C9" w:rsidP="007029C9">
      <w:pPr>
        <w:suppressAutoHyphens w:val="0"/>
        <w:autoSpaceDE w:val="0"/>
        <w:autoSpaceDN w:val="0"/>
        <w:adjustRightInd w:val="0"/>
        <w:spacing w:before="40" w:after="120" w:line="220" w:lineRule="atLeast"/>
        <w:ind w:left="1287"/>
        <w:rPr>
          <w:sz w:val="18"/>
          <w:szCs w:val="18"/>
          <w:lang w:val="fr-CH" w:eastAsia="en-GB"/>
        </w:rPr>
      </w:pPr>
      <w:r w:rsidRPr="009716A9">
        <w:rPr>
          <w:sz w:val="18"/>
          <w:szCs w:val="18"/>
          <w:lang w:eastAsia="en-GB"/>
        </w:rPr>
        <w:tab/>
      </w:r>
      <w:r w:rsidRPr="009716A9">
        <w:rPr>
          <w:sz w:val="18"/>
          <w:szCs w:val="18"/>
          <w:lang w:val="fr-CH" w:eastAsia="en-GB"/>
        </w:rPr>
        <w:t>(c)</w:t>
      </w:r>
      <w:r w:rsidRPr="009716A9">
        <w:rPr>
          <w:sz w:val="18"/>
          <w:szCs w:val="18"/>
          <w:lang w:val="fr-CH" w:eastAsia="en-GB"/>
        </w:rPr>
        <w:tab/>
        <w:t>Non-</w:t>
      </w:r>
      <w:proofErr w:type="spellStart"/>
      <w:r w:rsidRPr="009716A9">
        <w:rPr>
          <w:sz w:val="18"/>
          <w:szCs w:val="18"/>
          <w:lang w:val="fr-CH" w:eastAsia="en-GB"/>
        </w:rPr>
        <w:t>repetition</w:t>
      </w:r>
      <w:proofErr w:type="spellEnd"/>
      <w:r w:rsidRPr="009716A9">
        <w:rPr>
          <w:sz w:val="18"/>
          <w:szCs w:val="18"/>
          <w:lang w:val="fr-CH" w:eastAsia="en-GB"/>
        </w:rPr>
        <w:t>: C2</w:t>
      </w:r>
    </w:p>
    <w:p w:rsidR="007029C9" w:rsidRPr="009716A9" w:rsidRDefault="007029C9">
      <w:pPr>
        <w:pStyle w:val="FootnoteText"/>
        <w:rPr>
          <w:szCs w:val="18"/>
          <w:lang w:val="fr-CH"/>
        </w:rPr>
      </w:pPr>
    </w:p>
  </w:footnote>
  <w:footnote w:id="6">
    <w:p w:rsidR="001278C6" w:rsidRPr="009716A9" w:rsidRDefault="001278C6" w:rsidP="00D26536">
      <w:pPr>
        <w:pStyle w:val="FootnoteText"/>
        <w:rPr>
          <w:lang w:val="fr-CH"/>
        </w:rPr>
      </w:pPr>
      <w:r w:rsidRPr="009716A9">
        <w:rPr>
          <w:lang w:val="fr-CH"/>
        </w:rPr>
        <w:tab/>
      </w:r>
      <w:r>
        <w:rPr>
          <w:rStyle w:val="FootnoteReference"/>
        </w:rPr>
        <w:footnoteRef/>
      </w:r>
      <w:r w:rsidRPr="009716A9">
        <w:rPr>
          <w:lang w:val="fr-CH"/>
        </w:rPr>
        <w:tab/>
      </w:r>
      <w:r w:rsidR="00CF7B82">
        <w:fldChar w:fldCharType="begin"/>
      </w:r>
      <w:r w:rsidR="00CF7B82" w:rsidRPr="00CF7B82">
        <w:rPr>
          <w:lang w:val="fr-CH"/>
        </w:rPr>
        <w:instrText xml:space="preserve"> HYPERLINK "http://canada.pch.gc.ca/eng/1448633333967" </w:instrText>
      </w:r>
      <w:r w:rsidR="00CF7B82">
        <w:fldChar w:fldCharType="separate"/>
      </w:r>
      <w:r w:rsidRPr="009716A9">
        <w:rPr>
          <w:rStyle w:val="Hyperlink"/>
          <w:lang w:val="fr-CH"/>
        </w:rPr>
        <w:t>http://canada.pch.gc.ca/eng/1448633333967</w:t>
      </w:r>
      <w:r w:rsidR="00CF7B82">
        <w:rPr>
          <w:rStyle w:val="Hyperlink"/>
          <w:lang w:val="fr-CH"/>
        </w:rPr>
        <w:fldChar w:fldCharType="end"/>
      </w:r>
      <w:r w:rsidRPr="009716A9">
        <w:rPr>
          <w:rStyle w:val="Hyperlink"/>
          <w:lang w:val="fr-CH"/>
        </w:rPr>
        <w:t>.</w:t>
      </w:r>
    </w:p>
  </w:footnote>
  <w:footnote w:id="7">
    <w:p w:rsidR="001278C6" w:rsidRPr="000D5A0D" w:rsidRDefault="001278C6" w:rsidP="000D5A0D">
      <w:pPr>
        <w:pStyle w:val="FootnoteText"/>
      </w:pPr>
      <w:r w:rsidRPr="009716A9">
        <w:rPr>
          <w:lang w:val="fr-CH"/>
        </w:rPr>
        <w:tab/>
      </w:r>
      <w:r>
        <w:rPr>
          <w:rStyle w:val="FootnoteReference"/>
        </w:rPr>
        <w:footnoteRef/>
      </w:r>
      <w:r>
        <w:t xml:space="preserve"> </w:t>
      </w:r>
      <w:r>
        <w:tab/>
        <w:t xml:space="preserve">The submission is not </w:t>
      </w:r>
      <w:proofErr w:type="gramStart"/>
      <w:r>
        <w:t>dated,</w:t>
      </w:r>
      <w:proofErr w:type="gramEnd"/>
      <w:r>
        <w:t xml:space="preserve"> therefore the date of the receipt is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C6" w:rsidRPr="00AB44C1" w:rsidRDefault="001278C6" w:rsidP="00897395">
    <w:pPr>
      <w:pStyle w:val="Header"/>
    </w:pPr>
    <w:r>
      <w:t>CCPR/C/121/R.1</w:t>
    </w:r>
    <w:r w:rsidR="00823E2D">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C6" w:rsidRPr="00AB44C1" w:rsidRDefault="00823E2D" w:rsidP="00897395">
    <w:pPr>
      <w:pStyle w:val="Header"/>
      <w:jc w:val="right"/>
    </w:pPr>
    <w:r>
      <w:t xml:space="preserve">ADVANCE UNEDITED VERSION                                                            </w:t>
    </w:r>
    <w:r w:rsidR="001278C6">
      <w:t>CCPR/C/121/R.1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F22D2"/>
    <w:multiLevelType w:val="hybridMultilevel"/>
    <w:tmpl w:val="FDC4144C"/>
    <w:lvl w:ilvl="0" w:tplc="63DA3AD2">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09997008"/>
    <w:multiLevelType w:val="hybridMultilevel"/>
    <w:tmpl w:val="8914447E"/>
    <w:lvl w:ilvl="0" w:tplc="1DCED97A">
      <w:start w:val="1"/>
      <w:numFmt w:val="lowerLetter"/>
      <w:lvlText w:val="(%1)"/>
      <w:lvlJc w:val="left"/>
      <w:pPr>
        <w:ind w:left="720" w:hanging="360"/>
      </w:pPr>
      <w:rPr>
        <w:rFonts w:ascii="Times New Roman" w:eastAsia="Times New Roman" w:hAnsi="Times New Roman" w:cs="Times New Roman"/>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8696C"/>
    <w:multiLevelType w:val="hybridMultilevel"/>
    <w:tmpl w:val="8F8C799C"/>
    <w:lvl w:ilvl="0" w:tplc="A45289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A3923"/>
    <w:multiLevelType w:val="hybridMultilevel"/>
    <w:tmpl w:val="9566E9F2"/>
    <w:lvl w:ilvl="0" w:tplc="A452894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84BB7"/>
    <w:multiLevelType w:val="hybridMultilevel"/>
    <w:tmpl w:val="6D92E0CA"/>
    <w:lvl w:ilvl="0" w:tplc="22AA59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71A47"/>
    <w:multiLevelType w:val="hybridMultilevel"/>
    <w:tmpl w:val="F328EBC0"/>
    <w:lvl w:ilvl="0" w:tplc="47D28F1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B2F2047"/>
    <w:multiLevelType w:val="hybridMultilevel"/>
    <w:tmpl w:val="8B9082AC"/>
    <w:lvl w:ilvl="0" w:tplc="FD5A148C">
      <w:start w:val="1"/>
      <w:numFmt w:val="lowerLetter"/>
      <w:lvlText w:val="(%1)"/>
      <w:lvlJc w:val="left"/>
      <w:pPr>
        <w:ind w:left="1494" w:hanging="360"/>
      </w:pPr>
      <w:rPr>
        <w:rFonts w:hint="default"/>
        <w:color w:val="000000" w:themeColor="text1"/>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53D57"/>
    <w:multiLevelType w:val="hybridMultilevel"/>
    <w:tmpl w:val="C6B47E5E"/>
    <w:lvl w:ilvl="0" w:tplc="C5BEBCE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65A1285"/>
    <w:multiLevelType w:val="hybridMultilevel"/>
    <w:tmpl w:val="298C335A"/>
    <w:lvl w:ilvl="0" w:tplc="A45289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221C3"/>
    <w:multiLevelType w:val="hybridMultilevel"/>
    <w:tmpl w:val="42C4D604"/>
    <w:lvl w:ilvl="0" w:tplc="158631A0">
      <w:start w:val="1"/>
      <w:numFmt w:val="lowerLetter"/>
      <w:lvlText w:val="(%1)"/>
      <w:lvlJc w:val="left"/>
      <w:pPr>
        <w:ind w:left="1353" w:hanging="360"/>
      </w:pPr>
      <w:rPr>
        <w:rFonts w:hint="default"/>
        <w:sz w:val="20"/>
        <w:szCs w:val="2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3BFA1CBB"/>
    <w:multiLevelType w:val="hybridMultilevel"/>
    <w:tmpl w:val="FDC4144C"/>
    <w:lvl w:ilvl="0" w:tplc="63DA3AD2">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40652473"/>
    <w:multiLevelType w:val="hybridMultilevel"/>
    <w:tmpl w:val="8B9082AC"/>
    <w:lvl w:ilvl="0" w:tplc="FD5A148C">
      <w:start w:val="1"/>
      <w:numFmt w:val="lowerLetter"/>
      <w:lvlText w:val="(%1)"/>
      <w:lvlJc w:val="left"/>
      <w:pPr>
        <w:ind w:left="1494" w:hanging="360"/>
      </w:pPr>
      <w:rPr>
        <w:rFonts w:hint="default"/>
        <w:color w:val="000000" w:themeColor="text1"/>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58EB74CE"/>
    <w:multiLevelType w:val="hybridMultilevel"/>
    <w:tmpl w:val="3682A41E"/>
    <w:lvl w:ilvl="0" w:tplc="14BCAE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C1643B"/>
    <w:multiLevelType w:val="hybridMultilevel"/>
    <w:tmpl w:val="9B267F5C"/>
    <w:lvl w:ilvl="0" w:tplc="607E2778">
      <w:start w:val="7"/>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60810257"/>
    <w:multiLevelType w:val="hybridMultilevel"/>
    <w:tmpl w:val="F328EBC0"/>
    <w:lvl w:ilvl="0" w:tplc="47D28F1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591607"/>
    <w:multiLevelType w:val="hybridMultilevel"/>
    <w:tmpl w:val="8A404FFA"/>
    <w:lvl w:ilvl="0" w:tplc="A4528944">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4530A3F"/>
    <w:multiLevelType w:val="hybridMultilevel"/>
    <w:tmpl w:val="3544E644"/>
    <w:lvl w:ilvl="0" w:tplc="67721D7A">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646009DE"/>
    <w:multiLevelType w:val="hybridMultilevel"/>
    <w:tmpl w:val="FFE0FB2E"/>
    <w:lvl w:ilvl="0" w:tplc="14BCAE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10F23"/>
    <w:multiLevelType w:val="hybridMultilevel"/>
    <w:tmpl w:val="1960F214"/>
    <w:lvl w:ilvl="0" w:tplc="BDDC1698">
      <w:start w:val="1"/>
      <w:numFmt w:val="lowerLetter"/>
      <w:lvlText w:val="(%1)"/>
      <w:lvlJc w:val="left"/>
      <w:pPr>
        <w:ind w:left="2254" w:hanging="5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3" w15:restartNumberingAfterBreak="0">
    <w:nsid w:val="72E9325D"/>
    <w:multiLevelType w:val="hybridMultilevel"/>
    <w:tmpl w:val="FDC4144C"/>
    <w:lvl w:ilvl="0" w:tplc="63DA3AD2">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B23FCF"/>
    <w:multiLevelType w:val="hybridMultilevel"/>
    <w:tmpl w:val="BE7E9016"/>
    <w:lvl w:ilvl="0" w:tplc="47D28F1C">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1"/>
  </w:num>
  <w:num w:numId="2">
    <w:abstractNumId w:val="8"/>
  </w:num>
  <w:num w:numId="3">
    <w:abstractNumId w:val="0"/>
  </w:num>
  <w:num w:numId="4">
    <w:abstractNumId w:val="18"/>
  </w:num>
  <w:num w:numId="5">
    <w:abstractNumId w:val="24"/>
  </w:num>
  <w:num w:numId="6">
    <w:abstractNumId w:val="20"/>
  </w:num>
  <w:num w:numId="7">
    <w:abstractNumId w:val="22"/>
  </w:num>
  <w:num w:numId="8">
    <w:abstractNumId w:val="15"/>
  </w:num>
  <w:num w:numId="9">
    <w:abstractNumId w:val="21"/>
  </w:num>
  <w:num w:numId="10">
    <w:abstractNumId w:val="19"/>
  </w:num>
  <w:num w:numId="11">
    <w:abstractNumId w:val="12"/>
  </w:num>
  <w:num w:numId="12">
    <w:abstractNumId w:val="25"/>
  </w:num>
  <w:num w:numId="13">
    <w:abstractNumId w:val="17"/>
  </w:num>
  <w:num w:numId="14">
    <w:abstractNumId w:val="14"/>
  </w:num>
  <w:num w:numId="15">
    <w:abstractNumId w:val="6"/>
  </w:num>
  <w:num w:numId="16">
    <w:abstractNumId w:val="7"/>
  </w:num>
  <w:num w:numId="17">
    <w:abstractNumId w:val="9"/>
  </w:num>
  <w:num w:numId="18">
    <w:abstractNumId w:val="2"/>
  </w:num>
  <w:num w:numId="19">
    <w:abstractNumId w:val="16"/>
  </w:num>
  <w:num w:numId="20">
    <w:abstractNumId w:val="23"/>
  </w:num>
  <w:num w:numId="21">
    <w:abstractNumId w:val="1"/>
  </w:num>
  <w:num w:numId="22">
    <w:abstractNumId w:val="13"/>
  </w:num>
  <w:num w:numId="23">
    <w:abstractNumId w:val="3"/>
  </w:num>
  <w:num w:numId="24">
    <w:abstractNumId w:val="10"/>
  </w:num>
  <w:num w:numId="25">
    <w:abstractNumId w:val="4"/>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F8"/>
    <w:rsid w:val="00026264"/>
    <w:rsid w:val="00046E92"/>
    <w:rsid w:val="000557AA"/>
    <w:rsid w:val="0006523D"/>
    <w:rsid w:val="0007625F"/>
    <w:rsid w:val="0007725A"/>
    <w:rsid w:val="00077B19"/>
    <w:rsid w:val="000813F8"/>
    <w:rsid w:val="000A68C8"/>
    <w:rsid w:val="000B694A"/>
    <w:rsid w:val="000D5A0D"/>
    <w:rsid w:val="000D611A"/>
    <w:rsid w:val="000E58DD"/>
    <w:rsid w:val="000F1D17"/>
    <w:rsid w:val="001278C6"/>
    <w:rsid w:val="00131D7A"/>
    <w:rsid w:val="00134D3A"/>
    <w:rsid w:val="00140367"/>
    <w:rsid w:val="00143EC7"/>
    <w:rsid w:val="00165C15"/>
    <w:rsid w:val="001800E1"/>
    <w:rsid w:val="00185B85"/>
    <w:rsid w:val="001A7DE1"/>
    <w:rsid w:val="001D0C95"/>
    <w:rsid w:val="001D578B"/>
    <w:rsid w:val="001D6817"/>
    <w:rsid w:val="001F0345"/>
    <w:rsid w:val="001F683B"/>
    <w:rsid w:val="001F6D96"/>
    <w:rsid w:val="0023258D"/>
    <w:rsid w:val="00247E2C"/>
    <w:rsid w:val="00262552"/>
    <w:rsid w:val="0029056D"/>
    <w:rsid w:val="002B4389"/>
    <w:rsid w:val="002C0BB0"/>
    <w:rsid w:val="002D6C53"/>
    <w:rsid w:val="002F5595"/>
    <w:rsid w:val="002F5D4B"/>
    <w:rsid w:val="00326358"/>
    <w:rsid w:val="00334F6A"/>
    <w:rsid w:val="00337324"/>
    <w:rsid w:val="00337398"/>
    <w:rsid w:val="00342AC8"/>
    <w:rsid w:val="003447B6"/>
    <w:rsid w:val="00345AF8"/>
    <w:rsid w:val="00366797"/>
    <w:rsid w:val="00395D0B"/>
    <w:rsid w:val="00396387"/>
    <w:rsid w:val="003A51EF"/>
    <w:rsid w:val="003B0112"/>
    <w:rsid w:val="003B4472"/>
    <w:rsid w:val="003B4550"/>
    <w:rsid w:val="003F2BF9"/>
    <w:rsid w:val="004024A8"/>
    <w:rsid w:val="00415A3C"/>
    <w:rsid w:val="00415E9B"/>
    <w:rsid w:val="0043080A"/>
    <w:rsid w:val="00434A1E"/>
    <w:rsid w:val="00451754"/>
    <w:rsid w:val="00461253"/>
    <w:rsid w:val="00483ED7"/>
    <w:rsid w:val="004866ED"/>
    <w:rsid w:val="00492B20"/>
    <w:rsid w:val="00496ECE"/>
    <w:rsid w:val="004A653F"/>
    <w:rsid w:val="004B6BB4"/>
    <w:rsid w:val="004B6BCA"/>
    <w:rsid w:val="004C689C"/>
    <w:rsid w:val="004D513B"/>
    <w:rsid w:val="004E605B"/>
    <w:rsid w:val="004F2101"/>
    <w:rsid w:val="005042C2"/>
    <w:rsid w:val="005103A2"/>
    <w:rsid w:val="00516907"/>
    <w:rsid w:val="005275D9"/>
    <w:rsid w:val="00534E34"/>
    <w:rsid w:val="0056067F"/>
    <w:rsid w:val="0057007C"/>
    <w:rsid w:val="00574B7A"/>
    <w:rsid w:val="0058106A"/>
    <w:rsid w:val="00590788"/>
    <w:rsid w:val="005C1577"/>
    <w:rsid w:val="005C47E2"/>
    <w:rsid w:val="005E61A5"/>
    <w:rsid w:val="005F2C2F"/>
    <w:rsid w:val="006017D4"/>
    <w:rsid w:val="00624577"/>
    <w:rsid w:val="0062755D"/>
    <w:rsid w:val="006362B1"/>
    <w:rsid w:val="006504B2"/>
    <w:rsid w:val="00655642"/>
    <w:rsid w:val="00656532"/>
    <w:rsid w:val="006712BF"/>
    <w:rsid w:val="00671529"/>
    <w:rsid w:val="006815E3"/>
    <w:rsid w:val="00693D1D"/>
    <w:rsid w:val="006A26DC"/>
    <w:rsid w:val="006B4DF8"/>
    <w:rsid w:val="006C3505"/>
    <w:rsid w:val="006C5DA6"/>
    <w:rsid w:val="007029C9"/>
    <w:rsid w:val="007104D6"/>
    <w:rsid w:val="00720FB5"/>
    <w:rsid w:val="00724529"/>
    <w:rsid w:val="007268F9"/>
    <w:rsid w:val="00726D21"/>
    <w:rsid w:val="007518CF"/>
    <w:rsid w:val="007755F2"/>
    <w:rsid w:val="007C52B0"/>
    <w:rsid w:val="007C681F"/>
    <w:rsid w:val="007E2773"/>
    <w:rsid w:val="007E288B"/>
    <w:rsid w:val="007E5D3B"/>
    <w:rsid w:val="0080626E"/>
    <w:rsid w:val="00806E31"/>
    <w:rsid w:val="00817E57"/>
    <w:rsid w:val="00823E2D"/>
    <w:rsid w:val="0082468B"/>
    <w:rsid w:val="0084283C"/>
    <w:rsid w:val="00844AE9"/>
    <w:rsid w:val="008619B9"/>
    <w:rsid w:val="00862BDF"/>
    <w:rsid w:val="00882760"/>
    <w:rsid w:val="00897395"/>
    <w:rsid w:val="008D099A"/>
    <w:rsid w:val="008D1E4E"/>
    <w:rsid w:val="008D3450"/>
    <w:rsid w:val="008E1119"/>
    <w:rsid w:val="008E1658"/>
    <w:rsid w:val="008F0F12"/>
    <w:rsid w:val="008F52AB"/>
    <w:rsid w:val="00913BD9"/>
    <w:rsid w:val="0092790E"/>
    <w:rsid w:val="00932191"/>
    <w:rsid w:val="009411B4"/>
    <w:rsid w:val="009610A6"/>
    <w:rsid w:val="00963FA2"/>
    <w:rsid w:val="009716A9"/>
    <w:rsid w:val="00974336"/>
    <w:rsid w:val="00994718"/>
    <w:rsid w:val="009957DF"/>
    <w:rsid w:val="009965FA"/>
    <w:rsid w:val="009A090C"/>
    <w:rsid w:val="009B69EC"/>
    <w:rsid w:val="009D0139"/>
    <w:rsid w:val="009D430A"/>
    <w:rsid w:val="009F4EEB"/>
    <w:rsid w:val="009F5CDC"/>
    <w:rsid w:val="009F5FB0"/>
    <w:rsid w:val="00A22B2D"/>
    <w:rsid w:val="00A23459"/>
    <w:rsid w:val="00A423A2"/>
    <w:rsid w:val="00A54233"/>
    <w:rsid w:val="00A631AE"/>
    <w:rsid w:val="00A76DC0"/>
    <w:rsid w:val="00A775CF"/>
    <w:rsid w:val="00AB156A"/>
    <w:rsid w:val="00AB2C0D"/>
    <w:rsid w:val="00AB44C1"/>
    <w:rsid w:val="00AC3B6A"/>
    <w:rsid w:val="00AC7E49"/>
    <w:rsid w:val="00AE76EB"/>
    <w:rsid w:val="00B06045"/>
    <w:rsid w:val="00B141A9"/>
    <w:rsid w:val="00B30957"/>
    <w:rsid w:val="00B45ED8"/>
    <w:rsid w:val="00B55360"/>
    <w:rsid w:val="00B73CEF"/>
    <w:rsid w:val="00B768B7"/>
    <w:rsid w:val="00B8244D"/>
    <w:rsid w:val="00B873CA"/>
    <w:rsid w:val="00B903E5"/>
    <w:rsid w:val="00B94D6F"/>
    <w:rsid w:val="00BA7CD4"/>
    <w:rsid w:val="00BB1040"/>
    <w:rsid w:val="00BC5103"/>
    <w:rsid w:val="00BD3800"/>
    <w:rsid w:val="00BF03E7"/>
    <w:rsid w:val="00BF6FD7"/>
    <w:rsid w:val="00C104C9"/>
    <w:rsid w:val="00C35A27"/>
    <w:rsid w:val="00C45217"/>
    <w:rsid w:val="00C60837"/>
    <w:rsid w:val="00C80205"/>
    <w:rsid w:val="00C96072"/>
    <w:rsid w:val="00CA2F31"/>
    <w:rsid w:val="00CB4745"/>
    <w:rsid w:val="00CF7B82"/>
    <w:rsid w:val="00D10705"/>
    <w:rsid w:val="00D26536"/>
    <w:rsid w:val="00D3224A"/>
    <w:rsid w:val="00D35DF4"/>
    <w:rsid w:val="00D922C4"/>
    <w:rsid w:val="00DC3577"/>
    <w:rsid w:val="00DD2986"/>
    <w:rsid w:val="00DF1336"/>
    <w:rsid w:val="00E02C2B"/>
    <w:rsid w:val="00E14425"/>
    <w:rsid w:val="00E329FA"/>
    <w:rsid w:val="00E338E1"/>
    <w:rsid w:val="00E3428A"/>
    <w:rsid w:val="00E364C6"/>
    <w:rsid w:val="00E40DE8"/>
    <w:rsid w:val="00E64B3D"/>
    <w:rsid w:val="00E773DF"/>
    <w:rsid w:val="00EC1864"/>
    <w:rsid w:val="00EC3C53"/>
    <w:rsid w:val="00ED1C09"/>
    <w:rsid w:val="00ED6C48"/>
    <w:rsid w:val="00F038D6"/>
    <w:rsid w:val="00F14713"/>
    <w:rsid w:val="00F23177"/>
    <w:rsid w:val="00F40CF2"/>
    <w:rsid w:val="00F41F0F"/>
    <w:rsid w:val="00F65EFE"/>
    <w:rsid w:val="00F65F5D"/>
    <w:rsid w:val="00F6744D"/>
    <w:rsid w:val="00F7270F"/>
    <w:rsid w:val="00F851B4"/>
    <w:rsid w:val="00F86A3A"/>
    <w:rsid w:val="00F977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372ACF"/>
  <w15:docId w15:val="{27FE4440-42EE-4C3B-82DF-9CA1DD30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4C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B44C1"/>
    <w:pPr>
      <w:spacing w:after="0" w:line="240" w:lineRule="auto"/>
      <w:ind w:right="0"/>
      <w:jc w:val="left"/>
      <w:outlineLvl w:val="0"/>
    </w:pPr>
  </w:style>
  <w:style w:type="paragraph" w:styleId="Heading2">
    <w:name w:val="heading 2"/>
    <w:basedOn w:val="Normal"/>
    <w:next w:val="Normal"/>
    <w:link w:val="Heading2Char"/>
    <w:rsid w:val="00AB44C1"/>
    <w:pPr>
      <w:spacing w:line="240" w:lineRule="auto"/>
      <w:outlineLvl w:val="1"/>
    </w:pPr>
    <w:rPr>
      <w:rFonts w:eastAsia="SimSun"/>
      <w:lang w:eastAsia="zh-CN"/>
    </w:rPr>
  </w:style>
  <w:style w:type="paragraph" w:styleId="Heading3">
    <w:name w:val="heading 3"/>
    <w:basedOn w:val="Normal"/>
    <w:next w:val="Normal"/>
    <w:link w:val="Heading3Char"/>
    <w:rsid w:val="00AB44C1"/>
    <w:pPr>
      <w:spacing w:line="240" w:lineRule="auto"/>
      <w:outlineLvl w:val="2"/>
    </w:pPr>
    <w:rPr>
      <w:rFonts w:eastAsia="SimSun"/>
      <w:lang w:eastAsia="zh-CN"/>
    </w:rPr>
  </w:style>
  <w:style w:type="paragraph" w:styleId="Heading4">
    <w:name w:val="heading 4"/>
    <w:basedOn w:val="Normal"/>
    <w:next w:val="Normal"/>
    <w:link w:val="Heading4Char"/>
    <w:rsid w:val="00AB44C1"/>
    <w:pPr>
      <w:spacing w:line="240" w:lineRule="auto"/>
      <w:outlineLvl w:val="3"/>
    </w:pPr>
    <w:rPr>
      <w:rFonts w:eastAsia="SimSun"/>
      <w:lang w:eastAsia="zh-CN"/>
    </w:rPr>
  </w:style>
  <w:style w:type="paragraph" w:styleId="Heading5">
    <w:name w:val="heading 5"/>
    <w:basedOn w:val="Normal"/>
    <w:next w:val="Normal"/>
    <w:link w:val="Heading5Char"/>
    <w:rsid w:val="00AB44C1"/>
    <w:pPr>
      <w:spacing w:line="240" w:lineRule="auto"/>
      <w:outlineLvl w:val="4"/>
    </w:pPr>
    <w:rPr>
      <w:rFonts w:eastAsia="SimSun"/>
      <w:lang w:eastAsia="zh-CN"/>
    </w:rPr>
  </w:style>
  <w:style w:type="paragraph" w:styleId="Heading6">
    <w:name w:val="heading 6"/>
    <w:basedOn w:val="Normal"/>
    <w:next w:val="Normal"/>
    <w:link w:val="Heading6Char"/>
    <w:rsid w:val="00AB44C1"/>
    <w:pPr>
      <w:spacing w:line="240" w:lineRule="auto"/>
      <w:outlineLvl w:val="5"/>
    </w:pPr>
    <w:rPr>
      <w:rFonts w:eastAsia="SimSun"/>
      <w:lang w:eastAsia="zh-CN"/>
    </w:rPr>
  </w:style>
  <w:style w:type="paragraph" w:styleId="Heading7">
    <w:name w:val="heading 7"/>
    <w:basedOn w:val="Normal"/>
    <w:next w:val="Normal"/>
    <w:link w:val="Heading7Char"/>
    <w:rsid w:val="00AB44C1"/>
    <w:pPr>
      <w:spacing w:line="240" w:lineRule="auto"/>
      <w:outlineLvl w:val="6"/>
    </w:pPr>
    <w:rPr>
      <w:rFonts w:eastAsia="SimSun"/>
      <w:lang w:eastAsia="zh-CN"/>
    </w:rPr>
  </w:style>
  <w:style w:type="paragraph" w:styleId="Heading8">
    <w:name w:val="heading 8"/>
    <w:basedOn w:val="Normal"/>
    <w:next w:val="Normal"/>
    <w:link w:val="Heading8Char"/>
    <w:rsid w:val="00AB44C1"/>
    <w:pPr>
      <w:spacing w:line="240" w:lineRule="auto"/>
      <w:outlineLvl w:val="7"/>
    </w:pPr>
    <w:rPr>
      <w:rFonts w:eastAsia="SimSun"/>
      <w:lang w:eastAsia="zh-CN"/>
    </w:rPr>
  </w:style>
  <w:style w:type="paragraph" w:styleId="Heading9">
    <w:name w:val="heading 9"/>
    <w:basedOn w:val="Normal"/>
    <w:next w:val="Normal"/>
    <w:link w:val="Heading9Char"/>
    <w:rsid w:val="00AB44C1"/>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B44C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B44C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B44C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B44C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B44C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B44C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B44C1"/>
    <w:pPr>
      <w:spacing w:after="120"/>
      <w:ind w:left="1134" w:right="1134"/>
      <w:jc w:val="both"/>
    </w:pPr>
    <w:rPr>
      <w:rFonts w:eastAsia="SimSun"/>
      <w:lang w:eastAsia="zh-CN"/>
    </w:rPr>
  </w:style>
  <w:style w:type="paragraph" w:customStyle="1" w:styleId="SLG">
    <w:name w:val="__S_L_G"/>
    <w:basedOn w:val="Normal"/>
    <w:next w:val="Normal"/>
    <w:rsid w:val="00AB44C1"/>
    <w:pPr>
      <w:keepNext/>
      <w:keepLines/>
      <w:spacing w:before="240" w:after="240" w:line="580" w:lineRule="exact"/>
      <w:ind w:left="1134" w:right="1134"/>
    </w:pPr>
    <w:rPr>
      <w:b/>
      <w:sz w:val="56"/>
    </w:rPr>
  </w:style>
  <w:style w:type="paragraph" w:customStyle="1" w:styleId="SMG">
    <w:name w:val="__S_M_G"/>
    <w:basedOn w:val="Normal"/>
    <w:next w:val="Normal"/>
    <w:rsid w:val="00AB44C1"/>
    <w:pPr>
      <w:keepNext/>
      <w:keepLines/>
      <w:spacing w:before="240" w:after="240" w:line="420" w:lineRule="exact"/>
      <w:ind w:left="1134" w:right="1134"/>
    </w:pPr>
    <w:rPr>
      <w:b/>
      <w:sz w:val="40"/>
    </w:rPr>
  </w:style>
  <w:style w:type="paragraph" w:customStyle="1" w:styleId="SSG">
    <w:name w:val="__S_S_G"/>
    <w:basedOn w:val="Normal"/>
    <w:next w:val="Normal"/>
    <w:rsid w:val="00AB44C1"/>
    <w:pPr>
      <w:keepNext/>
      <w:keepLines/>
      <w:spacing w:before="240" w:after="240" w:line="300" w:lineRule="exact"/>
      <w:ind w:left="1134" w:right="1134"/>
    </w:pPr>
    <w:rPr>
      <w:b/>
      <w:sz w:val="28"/>
    </w:rPr>
  </w:style>
  <w:style w:type="paragraph" w:customStyle="1" w:styleId="XLargeG">
    <w:name w:val="__XLarge_G"/>
    <w:basedOn w:val="Normal"/>
    <w:next w:val="Normal"/>
    <w:rsid w:val="00AB44C1"/>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AB44C1"/>
    <w:pPr>
      <w:numPr>
        <w:numId w:val="1"/>
      </w:numPr>
      <w:spacing w:after="120"/>
      <w:ind w:right="1134"/>
      <w:jc w:val="both"/>
    </w:pPr>
  </w:style>
  <w:style w:type="paragraph" w:customStyle="1" w:styleId="Bullet2G">
    <w:name w:val="_Bullet 2_G"/>
    <w:basedOn w:val="Normal"/>
    <w:rsid w:val="00AB44C1"/>
    <w:pPr>
      <w:numPr>
        <w:numId w:val="2"/>
      </w:numPr>
      <w:spacing w:after="120"/>
      <w:ind w:right="1134"/>
      <w:jc w:val="both"/>
    </w:pPr>
  </w:style>
  <w:style w:type="paragraph" w:customStyle="1" w:styleId="ParaNoG">
    <w:name w:val="_ParaNo._G"/>
    <w:basedOn w:val="SingleTxtG"/>
    <w:rsid w:val="00AB44C1"/>
    <w:pPr>
      <w:numPr>
        <w:numId w:val="3"/>
      </w:numPr>
    </w:pPr>
  </w:style>
  <w:style w:type="numbering" w:styleId="111111">
    <w:name w:val="Outline List 2"/>
    <w:basedOn w:val="NoList"/>
    <w:semiHidden/>
    <w:rsid w:val="00AB44C1"/>
    <w:pPr>
      <w:numPr>
        <w:numId w:val="4"/>
      </w:numPr>
    </w:pPr>
  </w:style>
  <w:style w:type="numbering" w:styleId="1ai">
    <w:name w:val="Outline List 1"/>
    <w:basedOn w:val="NoList"/>
    <w:semiHidden/>
    <w:rsid w:val="00AB44C1"/>
    <w:pPr>
      <w:numPr>
        <w:numId w:val="5"/>
      </w:numPr>
    </w:pPr>
  </w:style>
  <w:style w:type="paragraph" w:styleId="BalloonText">
    <w:name w:val="Balloon Text"/>
    <w:basedOn w:val="Normal"/>
    <w:link w:val="BalloonTextChar"/>
    <w:uiPriority w:val="99"/>
    <w:semiHidden/>
    <w:unhideWhenUsed/>
    <w:rsid w:val="00AB44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C1"/>
    <w:rPr>
      <w:rFonts w:ascii="Tahoma" w:eastAsia="Times New Roman" w:hAnsi="Tahoma" w:cs="Tahoma"/>
      <w:sz w:val="16"/>
      <w:szCs w:val="16"/>
      <w:lang w:eastAsia="en-US"/>
    </w:rPr>
  </w:style>
  <w:style w:type="character" w:styleId="EndnoteReference">
    <w:name w:val="endnote reference"/>
    <w:aliases w:val="1_G"/>
    <w:rsid w:val="00AB44C1"/>
    <w:rPr>
      <w:rFonts w:ascii="Times New Roman" w:hAnsi="Times New Roman"/>
      <w:sz w:val="18"/>
      <w:vertAlign w:val="superscript"/>
    </w:rPr>
  </w:style>
  <w:style w:type="paragraph" w:styleId="FootnoteText">
    <w:name w:val="footnote text"/>
    <w:aliases w:val="5_G,Footnote Text Char Char Char,Footnote Text Char Char Char Char Char Char,Footnote Text Char Char Char Char Char Char Char Char Char Char,Footnote Text Char Char,Footnote Text Char Char Ch Char Char,Footnote Text Char Char Char Char Cha"/>
    <w:basedOn w:val="Normal"/>
    <w:link w:val="FootnoteTextChar"/>
    <w:qFormat/>
    <w:rsid w:val="00AB44C1"/>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Footnote Text Char Char Char Char Char Char Char,Footnote Text Char Char Char Char Char Char Char Char Char Char Char,Footnote Text Char Char Char1,Footnote Text Char Char Ch Char Char Char"/>
    <w:basedOn w:val="DefaultParagraphFont"/>
    <w:link w:val="FootnoteText"/>
    <w:rsid w:val="00AB44C1"/>
    <w:rPr>
      <w:rFonts w:ascii="Times New Roman" w:hAnsi="Times New Roman" w:cs="Times New Roman"/>
      <w:sz w:val="18"/>
      <w:szCs w:val="20"/>
    </w:rPr>
  </w:style>
  <w:style w:type="paragraph" w:styleId="EndnoteText">
    <w:name w:val="endnote text"/>
    <w:aliases w:val="2_G"/>
    <w:basedOn w:val="FootnoteText"/>
    <w:link w:val="EndnoteTextChar"/>
    <w:rsid w:val="00AB44C1"/>
  </w:style>
  <w:style w:type="character" w:customStyle="1" w:styleId="EndnoteTextChar">
    <w:name w:val="Endnote Text Char"/>
    <w:aliases w:val="2_G Char"/>
    <w:basedOn w:val="DefaultParagraphFont"/>
    <w:link w:val="EndnoteText"/>
    <w:rsid w:val="00AB44C1"/>
    <w:rPr>
      <w:rFonts w:ascii="Times New Roman" w:hAnsi="Times New Roman" w:cs="Times New Roman"/>
      <w:sz w:val="18"/>
      <w:szCs w:val="20"/>
    </w:rPr>
  </w:style>
  <w:style w:type="paragraph" w:styleId="Footer">
    <w:name w:val="footer"/>
    <w:aliases w:val="3_G"/>
    <w:basedOn w:val="Normal"/>
    <w:link w:val="FooterChar"/>
    <w:rsid w:val="00AB44C1"/>
    <w:pPr>
      <w:spacing w:line="240" w:lineRule="auto"/>
    </w:pPr>
    <w:rPr>
      <w:rFonts w:eastAsia="SimSun"/>
      <w:sz w:val="16"/>
      <w:lang w:eastAsia="zh-CN"/>
    </w:rPr>
  </w:style>
  <w:style w:type="character" w:customStyle="1" w:styleId="FooterChar">
    <w:name w:val="Footer Char"/>
    <w:aliases w:val="3_G Char"/>
    <w:basedOn w:val="DefaultParagraphFont"/>
    <w:link w:val="Footer"/>
    <w:rsid w:val="00AB44C1"/>
    <w:rPr>
      <w:rFonts w:ascii="Times New Roman" w:hAnsi="Times New Roman" w:cs="Times New Roman"/>
      <w:sz w:val="16"/>
      <w:szCs w:val="20"/>
    </w:rPr>
  </w:style>
  <w:style w:type="character" w:styleId="FootnoteReference">
    <w:name w:val="footnote reference"/>
    <w:aliases w:val="4_G,Footnote number,Footnotes refss,ftref,Style 10"/>
    <w:qFormat/>
    <w:rsid w:val="00AB44C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B44C1"/>
    <w:rPr>
      <w:rFonts w:ascii="Times New Roman" w:hAnsi="Times New Roman" w:cs="Times New Roman"/>
      <w:sz w:val="20"/>
      <w:szCs w:val="20"/>
    </w:rPr>
  </w:style>
  <w:style w:type="character" w:customStyle="1" w:styleId="Heading2Char">
    <w:name w:val="Heading 2 Char"/>
    <w:basedOn w:val="DefaultParagraphFont"/>
    <w:link w:val="Heading2"/>
    <w:rsid w:val="00AB44C1"/>
    <w:rPr>
      <w:rFonts w:ascii="Times New Roman" w:hAnsi="Times New Roman" w:cs="Times New Roman"/>
      <w:sz w:val="20"/>
      <w:szCs w:val="20"/>
    </w:rPr>
  </w:style>
  <w:style w:type="character" w:customStyle="1" w:styleId="Heading3Char">
    <w:name w:val="Heading 3 Char"/>
    <w:basedOn w:val="DefaultParagraphFont"/>
    <w:link w:val="Heading3"/>
    <w:rsid w:val="00AB44C1"/>
    <w:rPr>
      <w:rFonts w:ascii="Times New Roman" w:hAnsi="Times New Roman" w:cs="Times New Roman"/>
      <w:sz w:val="20"/>
      <w:szCs w:val="20"/>
    </w:rPr>
  </w:style>
  <w:style w:type="character" w:customStyle="1" w:styleId="Heading4Char">
    <w:name w:val="Heading 4 Char"/>
    <w:basedOn w:val="DefaultParagraphFont"/>
    <w:link w:val="Heading4"/>
    <w:rsid w:val="00AB44C1"/>
    <w:rPr>
      <w:rFonts w:ascii="Times New Roman" w:hAnsi="Times New Roman" w:cs="Times New Roman"/>
      <w:sz w:val="20"/>
      <w:szCs w:val="20"/>
    </w:rPr>
  </w:style>
  <w:style w:type="character" w:customStyle="1" w:styleId="Heading5Char">
    <w:name w:val="Heading 5 Char"/>
    <w:basedOn w:val="DefaultParagraphFont"/>
    <w:link w:val="Heading5"/>
    <w:rsid w:val="00AB44C1"/>
    <w:rPr>
      <w:rFonts w:ascii="Times New Roman" w:hAnsi="Times New Roman" w:cs="Times New Roman"/>
      <w:sz w:val="20"/>
      <w:szCs w:val="20"/>
    </w:rPr>
  </w:style>
  <w:style w:type="character" w:customStyle="1" w:styleId="Heading6Char">
    <w:name w:val="Heading 6 Char"/>
    <w:basedOn w:val="DefaultParagraphFont"/>
    <w:link w:val="Heading6"/>
    <w:rsid w:val="00AB44C1"/>
    <w:rPr>
      <w:rFonts w:ascii="Times New Roman" w:hAnsi="Times New Roman" w:cs="Times New Roman"/>
      <w:sz w:val="20"/>
      <w:szCs w:val="20"/>
    </w:rPr>
  </w:style>
  <w:style w:type="character" w:customStyle="1" w:styleId="Heading7Char">
    <w:name w:val="Heading 7 Char"/>
    <w:basedOn w:val="DefaultParagraphFont"/>
    <w:link w:val="Heading7"/>
    <w:rsid w:val="00AB44C1"/>
    <w:rPr>
      <w:rFonts w:ascii="Times New Roman" w:hAnsi="Times New Roman" w:cs="Times New Roman"/>
      <w:sz w:val="20"/>
      <w:szCs w:val="20"/>
    </w:rPr>
  </w:style>
  <w:style w:type="character" w:customStyle="1" w:styleId="Heading8Char">
    <w:name w:val="Heading 8 Char"/>
    <w:basedOn w:val="DefaultParagraphFont"/>
    <w:link w:val="Heading8"/>
    <w:rsid w:val="00AB44C1"/>
    <w:rPr>
      <w:rFonts w:ascii="Times New Roman" w:hAnsi="Times New Roman" w:cs="Times New Roman"/>
      <w:sz w:val="20"/>
      <w:szCs w:val="20"/>
    </w:rPr>
  </w:style>
  <w:style w:type="character" w:customStyle="1" w:styleId="Heading9Char">
    <w:name w:val="Heading 9 Char"/>
    <w:basedOn w:val="DefaultParagraphFont"/>
    <w:link w:val="Heading9"/>
    <w:rsid w:val="00AB44C1"/>
    <w:rPr>
      <w:rFonts w:ascii="Times New Roman" w:hAnsi="Times New Roman" w:cs="Times New Roman"/>
      <w:sz w:val="20"/>
      <w:szCs w:val="20"/>
    </w:rPr>
  </w:style>
  <w:style w:type="paragraph" w:styleId="Header">
    <w:name w:val="header"/>
    <w:aliases w:val="6_G"/>
    <w:basedOn w:val="Normal"/>
    <w:link w:val="HeaderChar"/>
    <w:rsid w:val="00AB44C1"/>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AB44C1"/>
    <w:rPr>
      <w:rFonts w:ascii="Times New Roman" w:hAnsi="Times New Roman" w:cs="Times New Roman"/>
      <w:b/>
      <w:sz w:val="18"/>
      <w:szCs w:val="20"/>
    </w:rPr>
  </w:style>
  <w:style w:type="character" w:styleId="PageNumber">
    <w:name w:val="page number"/>
    <w:aliases w:val="7_G"/>
    <w:semiHidden/>
    <w:rsid w:val="00AB44C1"/>
    <w:rPr>
      <w:rFonts w:ascii="Times New Roman" w:hAnsi="Times New Roman"/>
      <w:b/>
      <w:sz w:val="18"/>
    </w:rPr>
  </w:style>
  <w:style w:type="table" w:styleId="TableGrid">
    <w:name w:val="Table Grid"/>
    <w:basedOn w:val="TableNormal"/>
    <w:rsid w:val="00AB44C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6BB4"/>
    <w:pPr>
      <w:spacing w:before="120"/>
    </w:pPr>
    <w:rPr>
      <w:rFonts w:ascii="Times New Roman Bold" w:hAnsi="Times New Roman Bold" w:cs="Times New Roman Bold"/>
      <w:b/>
      <w:bCs/>
      <w:sz w:val="24"/>
    </w:rPr>
  </w:style>
  <w:style w:type="paragraph" w:styleId="BodyText">
    <w:name w:val="Body Text"/>
    <w:basedOn w:val="Normal"/>
    <w:link w:val="BodyTextChar"/>
    <w:unhideWhenUsed/>
    <w:rsid w:val="001F0345"/>
    <w:pPr>
      <w:keepNext/>
      <w:keepLines/>
      <w:suppressAutoHyphens w:val="0"/>
      <w:spacing w:before="40" w:after="120" w:line="220" w:lineRule="exact"/>
      <w:ind w:right="113"/>
    </w:pPr>
  </w:style>
  <w:style w:type="character" w:customStyle="1" w:styleId="BodyTextChar">
    <w:name w:val="Body Text Char"/>
    <w:basedOn w:val="DefaultParagraphFont"/>
    <w:link w:val="BodyText"/>
    <w:rsid w:val="001F0345"/>
    <w:rPr>
      <w:rFonts w:ascii="Times New Roman" w:eastAsia="Times New Roman" w:hAnsi="Times New Roman" w:cs="Times New Roman"/>
      <w:sz w:val="20"/>
      <w:szCs w:val="20"/>
      <w:lang w:eastAsia="en-US"/>
    </w:rPr>
  </w:style>
  <w:style w:type="paragraph" w:customStyle="1" w:styleId="Rvision1">
    <w:name w:val="Révision1"/>
    <w:hidden/>
    <w:semiHidden/>
    <w:rsid w:val="00AB44C1"/>
    <w:pPr>
      <w:spacing w:after="0" w:line="240" w:lineRule="auto"/>
    </w:pPr>
    <w:rPr>
      <w:rFonts w:ascii="Times New Roman" w:hAnsi="Times New Roman" w:cs="Times New Roman"/>
      <w:sz w:val="24"/>
      <w:szCs w:val="24"/>
      <w:lang w:val="en-US"/>
    </w:rPr>
  </w:style>
  <w:style w:type="paragraph" w:styleId="Revision">
    <w:name w:val="Revision"/>
    <w:hidden/>
    <w:uiPriority w:val="99"/>
    <w:semiHidden/>
    <w:rsid w:val="00AB44C1"/>
    <w:pPr>
      <w:spacing w:after="0" w:line="240" w:lineRule="auto"/>
    </w:pPr>
    <w:rPr>
      <w:rFonts w:ascii="Times New Roman" w:eastAsia="MS Mincho" w:hAnsi="Times New Roman" w:cs="Times New Roman"/>
      <w:sz w:val="20"/>
      <w:szCs w:val="20"/>
      <w:lang w:eastAsia="en-US"/>
    </w:rPr>
  </w:style>
  <w:style w:type="character" w:customStyle="1" w:styleId="H23GChar">
    <w:name w:val="_ H_2/3_G Char"/>
    <w:link w:val="H23G"/>
    <w:rsid w:val="00492B20"/>
    <w:rPr>
      <w:rFonts w:ascii="Times New Roman" w:eastAsia="Times New Roman" w:hAnsi="Times New Roman" w:cs="Times New Roman"/>
      <w:b/>
      <w:sz w:val="20"/>
      <w:szCs w:val="20"/>
      <w:lang w:eastAsia="en-US"/>
    </w:rPr>
  </w:style>
  <w:style w:type="character" w:customStyle="1" w:styleId="SingleTxtGChar">
    <w:name w:val="_ Single Txt_G Char"/>
    <w:link w:val="SingleTxtG"/>
    <w:locked/>
    <w:rsid w:val="00492B20"/>
    <w:rPr>
      <w:rFonts w:ascii="Times New Roman" w:hAnsi="Times New Roman" w:cs="Times New Roman"/>
      <w:sz w:val="20"/>
      <w:szCs w:val="20"/>
    </w:rPr>
  </w:style>
  <w:style w:type="character" w:styleId="FollowedHyperlink">
    <w:name w:val="FollowedHyperlink"/>
    <w:semiHidden/>
    <w:rsid w:val="00D10705"/>
    <w:rPr>
      <w:color w:val="auto"/>
      <w:u w:val="none"/>
    </w:rPr>
  </w:style>
  <w:style w:type="paragraph" w:customStyle="1" w:styleId="Default">
    <w:name w:val="Default"/>
    <w:rsid w:val="00134D3A"/>
    <w:pPr>
      <w:autoSpaceDE w:val="0"/>
      <w:autoSpaceDN w:val="0"/>
      <w:adjustRightInd w:val="0"/>
      <w:spacing w:after="0" w:line="240" w:lineRule="auto"/>
    </w:pPr>
    <w:rPr>
      <w:rFonts w:ascii="Segoe UI" w:eastAsia="Calibri" w:hAnsi="Segoe UI" w:cs="Segoe UI"/>
      <w:color w:val="000000"/>
      <w:sz w:val="24"/>
      <w:szCs w:val="24"/>
      <w:lang w:eastAsia="en-GB"/>
    </w:rPr>
  </w:style>
  <w:style w:type="paragraph" w:styleId="ListParagraph">
    <w:name w:val="List Paragraph"/>
    <w:basedOn w:val="Normal"/>
    <w:link w:val="ListParagraphChar"/>
    <w:uiPriority w:val="34"/>
    <w:qFormat/>
    <w:rsid w:val="008D1E4E"/>
    <w:pPr>
      <w:suppressAutoHyphens w:val="0"/>
      <w:spacing w:line="240" w:lineRule="auto"/>
      <w:ind w:left="720"/>
    </w:pPr>
    <w:rPr>
      <w:rFonts w:ascii="Calibri" w:eastAsia="Calibri" w:hAnsi="Calibri"/>
      <w:sz w:val="22"/>
      <w:szCs w:val="22"/>
      <w:lang w:val="en-CA"/>
    </w:rPr>
  </w:style>
  <w:style w:type="character" w:customStyle="1" w:styleId="ListParagraphChar">
    <w:name w:val="List Paragraph Char"/>
    <w:basedOn w:val="DefaultParagraphFont"/>
    <w:link w:val="ListParagraph"/>
    <w:uiPriority w:val="34"/>
    <w:rsid w:val="008D1E4E"/>
    <w:rPr>
      <w:rFonts w:ascii="Calibri" w:eastAsia="Calibri" w:hAnsi="Calibri" w:cs="Times New Roman"/>
      <w:lang w:val="en-CA" w:eastAsia="en-US"/>
    </w:rPr>
  </w:style>
  <w:style w:type="paragraph" w:styleId="BodyTextIndent">
    <w:name w:val="Body Text Indent"/>
    <w:basedOn w:val="Normal"/>
    <w:link w:val="BodyTextIndentChar"/>
    <w:unhideWhenUsed/>
    <w:rsid w:val="005E61A5"/>
    <w:pPr>
      <w:spacing w:after="120"/>
      <w:ind w:left="283"/>
    </w:pPr>
  </w:style>
  <w:style w:type="character" w:customStyle="1" w:styleId="BodyTextIndentChar">
    <w:name w:val="Body Text Indent Char"/>
    <w:basedOn w:val="DefaultParagraphFont"/>
    <w:link w:val="BodyTextIndent"/>
    <w:rsid w:val="005E61A5"/>
    <w:rPr>
      <w:rFonts w:ascii="Times New Roman" w:eastAsia="Times New Roman" w:hAnsi="Times New Roman" w:cs="Times New Roman"/>
      <w:sz w:val="20"/>
      <w:szCs w:val="20"/>
      <w:lang w:eastAsia="en-US"/>
    </w:rPr>
  </w:style>
  <w:style w:type="character" w:styleId="Hyperlink">
    <w:name w:val="Hyperlink"/>
    <w:semiHidden/>
    <w:rsid w:val="005E61A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Treaties/CCPR/Shared%20Documents/1_Global/INT_CCPR_FGD_8108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7D4748-2229-4B76-BA15-FAB0F844003C}">
  <ds:schemaRefs>
    <ds:schemaRef ds:uri="http://schemas.openxmlformats.org/officeDocument/2006/bibliography"/>
  </ds:schemaRefs>
</ds:datastoreItem>
</file>

<file path=customXml/itemProps2.xml><?xml version="1.0" encoding="utf-8"?>
<ds:datastoreItem xmlns:ds="http://schemas.openxmlformats.org/officeDocument/2006/customXml" ds:itemID="{EBFA5D47-3D17-4D66-AF0A-49D1CD585F52}"/>
</file>

<file path=customXml/itemProps3.xml><?xml version="1.0" encoding="utf-8"?>
<ds:datastoreItem xmlns:ds="http://schemas.openxmlformats.org/officeDocument/2006/customXml" ds:itemID="{451D01EC-0EBD-45B3-B8D1-3AD9C459D6B3}"/>
</file>

<file path=customXml/itemProps4.xml><?xml version="1.0" encoding="utf-8"?>
<ds:datastoreItem xmlns:ds="http://schemas.openxmlformats.org/officeDocument/2006/customXml" ds:itemID="{F23FB97D-9929-498D-AEDC-FC9F8FAC365E}"/>
</file>

<file path=docProps/app.xml><?xml version="1.0" encoding="utf-8"?>
<Properties xmlns="http://schemas.openxmlformats.org/officeDocument/2006/extended-properties" xmlns:vt="http://schemas.openxmlformats.org/officeDocument/2006/docPropsVTypes">
  <Template>CCPR.dotm</Template>
  <TotalTime>3</TotalTime>
  <Pages>31</Pages>
  <Words>9593</Words>
  <Characters>54682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1702328</vt:lpstr>
    </vt:vector>
  </TitlesOfParts>
  <Company>DCM</Company>
  <LinksUpToDate>false</LinksUpToDate>
  <CharactersWithSpaces>64147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CCPR/C/118/3</dc:subject>
  <dc:creator>Escalante</dc:creator>
  <dc:description>formatted text</dc:description>
  <cp:lastModifiedBy>Yasmine Hadjoudj</cp:lastModifiedBy>
  <cp:revision>6</cp:revision>
  <dcterms:created xsi:type="dcterms:W3CDTF">2017-12-14T13:05:00Z</dcterms:created>
  <dcterms:modified xsi:type="dcterms:W3CDTF">2018-01-18T14:06:00Z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