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99E2A" w14:textId="77777777" w:rsidR="00874B12" w:rsidRPr="002A4908" w:rsidRDefault="00874B12" w:rsidP="002A4908">
      <w:pPr>
        <w:jc w:val="both"/>
        <w:rPr>
          <w:lang w:val="en-US"/>
        </w:rPr>
      </w:pPr>
    </w:p>
    <w:p w14:paraId="5A659596" w14:textId="77777777" w:rsidR="00874B12" w:rsidRPr="004072EC" w:rsidRDefault="00015531" w:rsidP="003B37FC">
      <w:pPr>
        <w:jc w:val="center"/>
        <w:rPr>
          <w:b/>
          <w:sz w:val="40"/>
          <w:lang w:val="en-US"/>
        </w:rPr>
      </w:pPr>
      <w:r w:rsidRPr="004072EC">
        <w:rPr>
          <w:b/>
          <w:sz w:val="40"/>
          <w:lang w:val="en-US"/>
        </w:rPr>
        <w:t xml:space="preserve">Submission </w:t>
      </w:r>
      <w:r w:rsidR="00874B12" w:rsidRPr="004072EC">
        <w:rPr>
          <w:b/>
          <w:sz w:val="40"/>
          <w:lang w:val="en-US"/>
        </w:rPr>
        <w:t>by the Society for the Protection of Unborn Children</w:t>
      </w:r>
    </w:p>
    <w:p w14:paraId="06287DA7" w14:textId="77777777" w:rsidR="0037322A" w:rsidRPr="004072EC" w:rsidRDefault="0037322A" w:rsidP="003B37FC">
      <w:pPr>
        <w:jc w:val="center"/>
        <w:rPr>
          <w:b/>
          <w:lang w:val="en-US"/>
        </w:rPr>
      </w:pPr>
    </w:p>
    <w:p w14:paraId="1B6EAE0E" w14:textId="77777777" w:rsidR="0037322A" w:rsidRPr="004072EC" w:rsidRDefault="0037322A" w:rsidP="003B37FC">
      <w:pPr>
        <w:jc w:val="center"/>
        <w:rPr>
          <w:b/>
          <w:sz w:val="40"/>
          <w:lang w:val="en-US"/>
        </w:rPr>
      </w:pPr>
    </w:p>
    <w:p w14:paraId="00180351" w14:textId="77777777" w:rsidR="00874B12" w:rsidRPr="004072EC" w:rsidRDefault="00874B12" w:rsidP="003B37FC">
      <w:pPr>
        <w:jc w:val="center"/>
        <w:rPr>
          <w:b/>
          <w:sz w:val="40"/>
          <w:lang w:val="en-US"/>
        </w:rPr>
      </w:pPr>
    </w:p>
    <w:p w14:paraId="3443DEB1" w14:textId="06F76FFA" w:rsidR="00874B12" w:rsidRPr="004072EC" w:rsidRDefault="006F028D" w:rsidP="003B37FC">
      <w:pPr>
        <w:jc w:val="center"/>
        <w:rPr>
          <w:b/>
          <w:sz w:val="40"/>
          <w:lang w:val="en-US"/>
        </w:rPr>
      </w:pPr>
      <w:r w:rsidRPr="004072EC">
        <w:rPr>
          <w:b/>
          <w:sz w:val="40"/>
          <w:lang w:val="en-US"/>
        </w:rPr>
        <w:t xml:space="preserve">To the </w:t>
      </w:r>
      <w:r w:rsidR="00874B12" w:rsidRPr="004072EC">
        <w:rPr>
          <w:b/>
          <w:sz w:val="40"/>
          <w:lang w:val="en-US"/>
        </w:rPr>
        <w:t>United Nations</w:t>
      </w:r>
      <w:r w:rsidRPr="004072EC">
        <w:rPr>
          <w:b/>
          <w:sz w:val="40"/>
          <w:lang w:val="en-US"/>
        </w:rPr>
        <w:t xml:space="preserve"> Human Rights</w:t>
      </w:r>
      <w:r w:rsidR="00874B12" w:rsidRPr="004072EC">
        <w:rPr>
          <w:b/>
          <w:sz w:val="40"/>
          <w:lang w:val="en-US"/>
        </w:rPr>
        <w:t xml:space="preserve"> Committee for the International Covenant on </w:t>
      </w:r>
      <w:r w:rsidRPr="004072EC">
        <w:rPr>
          <w:b/>
          <w:sz w:val="40"/>
          <w:lang w:val="en-US"/>
        </w:rPr>
        <w:t xml:space="preserve">Civil and Political </w:t>
      </w:r>
      <w:r w:rsidR="00874B12" w:rsidRPr="004072EC">
        <w:rPr>
          <w:b/>
          <w:sz w:val="40"/>
          <w:lang w:val="en-US"/>
        </w:rPr>
        <w:t>Rights</w:t>
      </w:r>
    </w:p>
    <w:p w14:paraId="62AA69FC" w14:textId="77777777" w:rsidR="006F028D" w:rsidRPr="004072EC" w:rsidRDefault="006F028D" w:rsidP="003B37FC">
      <w:pPr>
        <w:jc w:val="center"/>
        <w:rPr>
          <w:b/>
          <w:sz w:val="40"/>
          <w:lang w:val="en-US"/>
        </w:rPr>
      </w:pPr>
    </w:p>
    <w:p w14:paraId="3EB0C78E" w14:textId="77777777" w:rsidR="006F028D" w:rsidRPr="004072EC" w:rsidRDefault="006F028D" w:rsidP="003B37FC">
      <w:pPr>
        <w:jc w:val="center"/>
        <w:rPr>
          <w:b/>
          <w:sz w:val="40"/>
          <w:lang w:val="en-US"/>
        </w:rPr>
      </w:pPr>
    </w:p>
    <w:p w14:paraId="1EE478B7" w14:textId="06E8C164" w:rsidR="006F028D" w:rsidRPr="004072EC" w:rsidRDefault="006F028D" w:rsidP="003B37FC">
      <w:pPr>
        <w:jc w:val="center"/>
        <w:rPr>
          <w:b/>
          <w:sz w:val="40"/>
          <w:lang w:val="en-US"/>
        </w:rPr>
      </w:pPr>
      <w:r w:rsidRPr="004072EC">
        <w:rPr>
          <w:b/>
          <w:sz w:val="40"/>
          <w:lang w:val="en-US"/>
        </w:rPr>
        <w:t>On the preparation of a new General Comment on Article 6 of the ICCPR</w:t>
      </w:r>
    </w:p>
    <w:p w14:paraId="5D8F6FE2" w14:textId="77777777" w:rsidR="006F028D" w:rsidRDefault="006F028D" w:rsidP="003B37FC">
      <w:pPr>
        <w:jc w:val="center"/>
        <w:rPr>
          <w:sz w:val="40"/>
          <w:lang w:val="en-US"/>
        </w:rPr>
      </w:pPr>
    </w:p>
    <w:p w14:paraId="62C4156E" w14:textId="77777777" w:rsidR="006F028D" w:rsidRPr="007B47F3" w:rsidRDefault="006F028D" w:rsidP="003B37FC">
      <w:pPr>
        <w:jc w:val="center"/>
        <w:rPr>
          <w:sz w:val="40"/>
          <w:lang w:val="en-US"/>
        </w:rPr>
      </w:pPr>
    </w:p>
    <w:p w14:paraId="2AC302D9" w14:textId="77777777" w:rsidR="00874B12" w:rsidRPr="002A4908" w:rsidRDefault="00874B12" w:rsidP="003B37FC">
      <w:pPr>
        <w:jc w:val="center"/>
        <w:rPr>
          <w:lang w:val="en-US"/>
        </w:rPr>
      </w:pPr>
    </w:p>
    <w:p w14:paraId="1650F815" w14:textId="77777777" w:rsidR="0037322A" w:rsidRPr="002A4908" w:rsidRDefault="0037322A" w:rsidP="003B37FC">
      <w:pPr>
        <w:jc w:val="center"/>
        <w:rPr>
          <w:lang w:val="en-US"/>
        </w:rPr>
      </w:pPr>
    </w:p>
    <w:p w14:paraId="3B49E86A" w14:textId="77777777" w:rsidR="0037322A" w:rsidRPr="002A4908" w:rsidRDefault="0037322A" w:rsidP="003B37FC">
      <w:pPr>
        <w:jc w:val="center"/>
        <w:rPr>
          <w:lang w:val="en-US"/>
        </w:rPr>
      </w:pPr>
    </w:p>
    <w:p w14:paraId="1D65F97C" w14:textId="77777777" w:rsidR="0037322A" w:rsidRPr="002A4908" w:rsidRDefault="0037322A" w:rsidP="003B37FC">
      <w:pPr>
        <w:jc w:val="center"/>
        <w:rPr>
          <w:lang w:val="en-US"/>
        </w:rPr>
      </w:pPr>
    </w:p>
    <w:p w14:paraId="6C20CEC1" w14:textId="77777777" w:rsidR="0037322A" w:rsidRPr="002A4908" w:rsidRDefault="0037322A" w:rsidP="003B37FC">
      <w:pPr>
        <w:jc w:val="center"/>
        <w:rPr>
          <w:lang w:val="en-US"/>
        </w:rPr>
      </w:pPr>
    </w:p>
    <w:p w14:paraId="41A8B19B" w14:textId="77777777" w:rsidR="0037322A" w:rsidRDefault="0037322A" w:rsidP="003B37FC">
      <w:pPr>
        <w:jc w:val="center"/>
        <w:rPr>
          <w:lang w:val="en-US"/>
        </w:rPr>
      </w:pPr>
    </w:p>
    <w:p w14:paraId="11051A0F" w14:textId="77777777" w:rsidR="00CB76FD" w:rsidRDefault="00CB76FD" w:rsidP="003B37FC">
      <w:pPr>
        <w:jc w:val="center"/>
        <w:rPr>
          <w:lang w:val="en-US"/>
        </w:rPr>
      </w:pPr>
    </w:p>
    <w:p w14:paraId="0BC56959" w14:textId="77777777" w:rsidR="00CB76FD" w:rsidRDefault="00CB76FD" w:rsidP="003B37FC">
      <w:pPr>
        <w:jc w:val="center"/>
        <w:rPr>
          <w:lang w:val="en-US"/>
        </w:rPr>
      </w:pPr>
    </w:p>
    <w:p w14:paraId="44773E1D" w14:textId="77777777" w:rsidR="00E008C0" w:rsidRDefault="00E008C0" w:rsidP="003B37FC">
      <w:pPr>
        <w:jc w:val="center"/>
        <w:rPr>
          <w:lang w:val="en-US"/>
        </w:rPr>
      </w:pPr>
    </w:p>
    <w:p w14:paraId="2D96B681" w14:textId="77777777" w:rsidR="00E008C0" w:rsidRDefault="00E008C0" w:rsidP="003B37FC">
      <w:pPr>
        <w:jc w:val="center"/>
        <w:rPr>
          <w:lang w:val="en-US"/>
        </w:rPr>
      </w:pPr>
    </w:p>
    <w:p w14:paraId="2F674224" w14:textId="77777777" w:rsidR="00CB76FD" w:rsidRDefault="00CB76FD" w:rsidP="003B37FC">
      <w:pPr>
        <w:jc w:val="center"/>
        <w:rPr>
          <w:lang w:val="en-US"/>
        </w:rPr>
      </w:pPr>
    </w:p>
    <w:p w14:paraId="71A981B6" w14:textId="77777777" w:rsidR="00CB76FD" w:rsidRDefault="00CB76FD" w:rsidP="003B37FC">
      <w:pPr>
        <w:jc w:val="center"/>
        <w:rPr>
          <w:lang w:val="en-US"/>
        </w:rPr>
      </w:pPr>
    </w:p>
    <w:p w14:paraId="0EE20C78" w14:textId="77777777" w:rsidR="00CB76FD" w:rsidRPr="002A4908" w:rsidRDefault="00CB76FD" w:rsidP="003B37FC">
      <w:pPr>
        <w:jc w:val="center"/>
        <w:rPr>
          <w:lang w:val="en-US"/>
        </w:rPr>
      </w:pPr>
    </w:p>
    <w:p w14:paraId="7FB26BEF" w14:textId="77777777" w:rsidR="0037322A" w:rsidRPr="002A4908" w:rsidRDefault="0037322A" w:rsidP="003B37FC">
      <w:pPr>
        <w:jc w:val="center"/>
        <w:rPr>
          <w:lang w:val="en-US"/>
        </w:rPr>
      </w:pPr>
    </w:p>
    <w:p w14:paraId="7AE3ADDA" w14:textId="77777777" w:rsidR="0037322A" w:rsidRPr="002A4908" w:rsidRDefault="0037322A" w:rsidP="003B37FC">
      <w:pPr>
        <w:jc w:val="center"/>
        <w:rPr>
          <w:lang w:val="en-US"/>
        </w:rPr>
      </w:pPr>
    </w:p>
    <w:p w14:paraId="0B91721E" w14:textId="609C9268" w:rsidR="0037322A" w:rsidRPr="00CB76FD" w:rsidRDefault="00CB76FD" w:rsidP="003B37FC">
      <w:pPr>
        <w:jc w:val="center"/>
        <w:rPr>
          <w:sz w:val="40"/>
          <w:szCs w:val="40"/>
          <w:lang w:val="en-US"/>
        </w:rPr>
      </w:pPr>
      <w:r w:rsidRPr="00CB76FD">
        <w:rPr>
          <w:sz w:val="40"/>
          <w:szCs w:val="40"/>
          <w:lang w:val="en-US"/>
        </w:rPr>
        <w:t>Date June 2015</w:t>
      </w:r>
    </w:p>
    <w:p w14:paraId="65D3AE5B" w14:textId="77777777" w:rsidR="0037322A" w:rsidRPr="002A4908" w:rsidRDefault="0037322A" w:rsidP="003B37FC">
      <w:pPr>
        <w:jc w:val="center"/>
        <w:rPr>
          <w:lang w:val="en-US"/>
        </w:rPr>
      </w:pPr>
    </w:p>
    <w:p w14:paraId="0D0E8FC7" w14:textId="2DDF0A58" w:rsidR="00CB76FD" w:rsidRPr="00CB76FD" w:rsidRDefault="00CB76FD" w:rsidP="003B37FC">
      <w:pPr>
        <w:jc w:val="center"/>
        <w:rPr>
          <w:lang w:val="en-US"/>
        </w:rPr>
      </w:pPr>
      <w:r>
        <w:rPr>
          <w:lang w:val="en-US"/>
        </w:rPr>
        <w:t>T</w:t>
      </w:r>
      <w:r w:rsidRPr="00CB76FD">
        <w:rPr>
          <w:lang w:val="en-US"/>
        </w:rPr>
        <w:t>he Society for the Protection of Unborn Children</w:t>
      </w:r>
      <w:r>
        <w:rPr>
          <w:lang w:val="en-US"/>
        </w:rPr>
        <w:t xml:space="preserve"> is</w:t>
      </w:r>
      <w:r w:rsidRPr="00CB76FD">
        <w:t xml:space="preserve"> </w:t>
      </w:r>
      <w:r>
        <w:rPr>
          <w:lang w:val="en-US"/>
        </w:rPr>
        <w:t>a</w:t>
      </w:r>
      <w:r w:rsidRPr="00CB76FD">
        <w:rPr>
          <w:lang w:val="en-US"/>
        </w:rPr>
        <w:t>n ECOSOC-Accredited NGO</w:t>
      </w:r>
    </w:p>
    <w:p w14:paraId="02AE6E5C" w14:textId="77777777" w:rsidR="00CB76FD" w:rsidRPr="00CB76FD" w:rsidRDefault="00CB76FD" w:rsidP="003B37FC">
      <w:pPr>
        <w:jc w:val="center"/>
        <w:rPr>
          <w:lang w:val="en-US"/>
        </w:rPr>
      </w:pPr>
    </w:p>
    <w:p w14:paraId="04D4C183" w14:textId="2F9FFC9F" w:rsidR="0037322A" w:rsidRPr="002A4908" w:rsidRDefault="0037322A" w:rsidP="002A4908">
      <w:pPr>
        <w:jc w:val="both"/>
        <w:rPr>
          <w:lang w:val="en-US"/>
        </w:rPr>
      </w:pPr>
    </w:p>
    <w:p w14:paraId="71107A01" w14:textId="77777777" w:rsidR="007B47F3" w:rsidRDefault="007B47F3" w:rsidP="002A4908">
      <w:pPr>
        <w:jc w:val="both"/>
        <w:rPr>
          <w:lang w:val="en-US"/>
        </w:rPr>
      </w:pPr>
    </w:p>
    <w:p w14:paraId="58CB81A1" w14:textId="77777777" w:rsidR="007B47F3" w:rsidRDefault="007B47F3" w:rsidP="002A4908">
      <w:pPr>
        <w:jc w:val="both"/>
        <w:rPr>
          <w:lang w:val="en-US"/>
        </w:rPr>
      </w:pPr>
    </w:p>
    <w:p w14:paraId="32443C71" w14:textId="77777777" w:rsidR="003B37FC" w:rsidRDefault="003B37FC" w:rsidP="002A4908">
      <w:pPr>
        <w:jc w:val="both"/>
        <w:rPr>
          <w:lang w:val="en-US"/>
        </w:rPr>
      </w:pPr>
    </w:p>
    <w:p w14:paraId="7ECF9111" w14:textId="77777777" w:rsidR="003B37FC" w:rsidRDefault="003B37FC" w:rsidP="002A4908">
      <w:pPr>
        <w:jc w:val="both"/>
        <w:rPr>
          <w:lang w:val="en-US"/>
        </w:rPr>
      </w:pPr>
    </w:p>
    <w:p w14:paraId="48CE0AC6" w14:textId="3FD69763" w:rsidR="00C70A6D" w:rsidRPr="007B4B29" w:rsidRDefault="00C70A6D" w:rsidP="00C70A6D">
      <w:pPr>
        <w:jc w:val="center"/>
        <w:rPr>
          <w:b/>
          <w:sz w:val="32"/>
          <w:szCs w:val="32"/>
          <w:lang w:val="en-US"/>
        </w:rPr>
      </w:pPr>
      <w:r w:rsidRPr="007B4B29">
        <w:rPr>
          <w:b/>
          <w:sz w:val="32"/>
          <w:szCs w:val="32"/>
          <w:lang w:val="en-US"/>
        </w:rPr>
        <w:lastRenderedPageBreak/>
        <w:t>CONTENTS</w:t>
      </w:r>
    </w:p>
    <w:p w14:paraId="267A8543" w14:textId="77777777" w:rsidR="00C70A6D" w:rsidRDefault="00C70A6D" w:rsidP="00C70A6D">
      <w:pPr>
        <w:jc w:val="center"/>
        <w:rPr>
          <w:b/>
          <w:lang w:val="en-US"/>
        </w:rPr>
      </w:pPr>
    </w:p>
    <w:p w14:paraId="39DD02B5" w14:textId="6EBDB29E" w:rsidR="00C70A6D" w:rsidRDefault="00C70A6D" w:rsidP="00693830">
      <w:pPr>
        <w:ind w:left="360" w:firstLine="720"/>
        <w:rPr>
          <w:b/>
          <w:lang w:val="en-US"/>
        </w:rPr>
      </w:pPr>
      <w:r>
        <w:rPr>
          <w:b/>
          <w:lang w:val="en-US"/>
        </w:rPr>
        <w:t>PRELIMINARY ISSUES</w:t>
      </w:r>
    </w:p>
    <w:p w14:paraId="10AE2140" w14:textId="77777777" w:rsidR="00693830" w:rsidRDefault="00693830" w:rsidP="00693830">
      <w:pPr>
        <w:ind w:left="360" w:firstLine="720"/>
        <w:rPr>
          <w:b/>
          <w:lang w:val="en-US"/>
        </w:rPr>
      </w:pPr>
    </w:p>
    <w:p w14:paraId="07EAD564" w14:textId="77777777" w:rsidR="00693830" w:rsidRPr="003E0292" w:rsidRDefault="00693830" w:rsidP="00693830">
      <w:pPr>
        <w:pStyle w:val="ListParagraph"/>
        <w:numPr>
          <w:ilvl w:val="0"/>
          <w:numId w:val="8"/>
        </w:numPr>
        <w:autoSpaceDE w:val="0"/>
        <w:autoSpaceDN w:val="0"/>
        <w:adjustRightInd w:val="0"/>
        <w:jc w:val="both"/>
      </w:pPr>
      <w:r w:rsidRPr="003E0292">
        <w:t>The scope of the Human Rights Committee duties.</w:t>
      </w:r>
    </w:p>
    <w:p w14:paraId="3894A95F" w14:textId="77777777" w:rsidR="00693830" w:rsidRPr="003E0292" w:rsidRDefault="00693830" w:rsidP="00693830">
      <w:pPr>
        <w:pStyle w:val="ListParagraph"/>
        <w:numPr>
          <w:ilvl w:val="0"/>
          <w:numId w:val="8"/>
        </w:numPr>
      </w:pPr>
      <w:r w:rsidRPr="003E0292">
        <w:t>The Vienna Convention on the Law of Treaties</w:t>
      </w:r>
    </w:p>
    <w:p w14:paraId="1CDFF929" w14:textId="77777777" w:rsidR="00693830" w:rsidRPr="00693830" w:rsidRDefault="00693830" w:rsidP="00693830">
      <w:pPr>
        <w:pStyle w:val="ListParagraph"/>
        <w:numPr>
          <w:ilvl w:val="0"/>
          <w:numId w:val="8"/>
        </w:numPr>
        <w:autoSpaceDE w:val="0"/>
        <w:autoSpaceDN w:val="0"/>
        <w:adjustRightInd w:val="0"/>
        <w:rPr>
          <w:b/>
        </w:rPr>
      </w:pPr>
      <w:r w:rsidRPr="003E0292">
        <w:t>Treaty body mandates</w:t>
      </w:r>
    </w:p>
    <w:p w14:paraId="333266B7" w14:textId="77777777" w:rsidR="00C70A6D" w:rsidRDefault="00C70A6D" w:rsidP="00C70A6D">
      <w:pPr>
        <w:rPr>
          <w:b/>
          <w:lang w:val="en-US"/>
        </w:rPr>
      </w:pPr>
    </w:p>
    <w:p w14:paraId="73946FC1" w14:textId="1D2A0306" w:rsidR="00C70A6D" w:rsidRDefault="00C70A6D" w:rsidP="00C70A6D">
      <w:pPr>
        <w:pStyle w:val="ListParagraph"/>
        <w:numPr>
          <w:ilvl w:val="0"/>
          <w:numId w:val="14"/>
        </w:numPr>
        <w:rPr>
          <w:b/>
        </w:rPr>
      </w:pPr>
      <w:r w:rsidRPr="00C70A6D">
        <w:rPr>
          <w:b/>
        </w:rPr>
        <w:t>ICCPR RECOGNIZES RIGHT TO LIFE OF THE UNBORN</w:t>
      </w:r>
    </w:p>
    <w:p w14:paraId="59CF6233" w14:textId="77777777" w:rsidR="00693830" w:rsidRDefault="00693830" w:rsidP="00693830">
      <w:pPr>
        <w:ind w:left="1080"/>
        <w:rPr>
          <w:b/>
        </w:rPr>
      </w:pPr>
    </w:p>
    <w:p w14:paraId="0522858D" w14:textId="77777777" w:rsidR="00693830" w:rsidRPr="00884232" w:rsidRDefault="00693830" w:rsidP="00693830">
      <w:pPr>
        <w:ind w:left="1080"/>
      </w:pPr>
      <w:r w:rsidRPr="00884232">
        <w:t>A.</w:t>
      </w:r>
      <w:r w:rsidRPr="00884232">
        <w:tab/>
        <w:t xml:space="preserve">The right to life should be interpreted broadly </w:t>
      </w:r>
    </w:p>
    <w:p w14:paraId="7D6FAEC7" w14:textId="77777777" w:rsidR="00884232" w:rsidRPr="00884232" w:rsidRDefault="00693830" w:rsidP="00693830">
      <w:pPr>
        <w:ind w:left="1440" w:hanging="360"/>
      </w:pPr>
      <w:r w:rsidRPr="00884232">
        <w:t>B.</w:t>
      </w:r>
      <w:r w:rsidRPr="00884232">
        <w:tab/>
        <w:t xml:space="preserve">The covenant’s prohibition of the death penalty for pregnant women recognizes the right to life of unborn babies. </w:t>
      </w:r>
    </w:p>
    <w:p w14:paraId="70FFD6C1" w14:textId="41AF1EFC" w:rsidR="00693830" w:rsidRPr="00884232" w:rsidRDefault="00884232" w:rsidP="00693830">
      <w:pPr>
        <w:ind w:left="1440" w:hanging="360"/>
      </w:pPr>
      <w:r w:rsidRPr="00884232">
        <w:rPr>
          <w:lang w:val="en-AU"/>
        </w:rPr>
        <w:t>C.</w:t>
      </w:r>
      <w:r w:rsidRPr="00884232">
        <w:rPr>
          <w:lang w:val="en-AU"/>
        </w:rPr>
        <w:tab/>
        <w:t>Capital Punishment and rights of unborn</w:t>
      </w:r>
      <w:r w:rsidR="00693830" w:rsidRPr="00884232">
        <w:tab/>
      </w:r>
    </w:p>
    <w:p w14:paraId="7D442CDF" w14:textId="0917D163" w:rsidR="00693830" w:rsidRPr="00884232" w:rsidRDefault="00884232" w:rsidP="00693830">
      <w:pPr>
        <w:ind w:left="1440" w:hanging="360"/>
      </w:pPr>
      <w:r w:rsidRPr="00884232">
        <w:t>D</w:t>
      </w:r>
      <w:r w:rsidR="00693830" w:rsidRPr="00884232">
        <w:t>.</w:t>
      </w:r>
      <w:r w:rsidR="00693830" w:rsidRPr="00884232">
        <w:tab/>
        <w:t xml:space="preserve">The covenant prohibits discrimination based on birth or other status, which includes discrimination based on gestational age. </w:t>
      </w:r>
    </w:p>
    <w:p w14:paraId="517CBED4" w14:textId="32E4B9AE" w:rsidR="00EC6E61" w:rsidRPr="00884232" w:rsidRDefault="00884232" w:rsidP="00EC6E61">
      <w:pPr>
        <w:ind w:left="1440" w:hanging="360"/>
      </w:pPr>
      <w:r w:rsidRPr="00884232">
        <w:t>E</w:t>
      </w:r>
      <w:r w:rsidR="00EC6E61" w:rsidRPr="00884232">
        <w:t>.</w:t>
      </w:r>
      <w:r w:rsidR="00EC6E61" w:rsidRPr="00884232">
        <w:tab/>
        <w:t xml:space="preserve">Denying the right to life of the unborn often constitutes torture and thus violates Article 7 of the Covenant </w:t>
      </w:r>
    </w:p>
    <w:p w14:paraId="64693AE9" w14:textId="77777777" w:rsidR="00C70A6D" w:rsidRPr="00C70A6D" w:rsidRDefault="00C70A6D" w:rsidP="00C70A6D">
      <w:pPr>
        <w:rPr>
          <w:b/>
        </w:rPr>
      </w:pPr>
    </w:p>
    <w:p w14:paraId="12FAED0D" w14:textId="77777777" w:rsidR="00C70A6D" w:rsidRDefault="00C70A6D" w:rsidP="00C70A6D">
      <w:pPr>
        <w:pStyle w:val="ListParagraph"/>
        <w:numPr>
          <w:ilvl w:val="0"/>
          <w:numId w:val="14"/>
        </w:numPr>
        <w:rPr>
          <w:b/>
        </w:rPr>
      </w:pPr>
      <w:r w:rsidRPr="00C70A6D">
        <w:rPr>
          <w:b/>
        </w:rPr>
        <w:t>OTHER INTERNATIONAL INSTRUMENTS RECOGNIZE RIGHT TO LIFE OF THE UNBORN</w:t>
      </w:r>
    </w:p>
    <w:p w14:paraId="2E915BC3" w14:textId="77777777" w:rsidR="00884232" w:rsidRDefault="00884232" w:rsidP="00884232">
      <w:pPr>
        <w:pStyle w:val="ListParagraph"/>
        <w:ind w:left="1080"/>
        <w:rPr>
          <w:b/>
        </w:rPr>
      </w:pPr>
    </w:p>
    <w:p w14:paraId="7B909738" w14:textId="256A42A5" w:rsidR="00884232" w:rsidRPr="00A720B7" w:rsidRDefault="00884232" w:rsidP="00884232">
      <w:pPr>
        <w:pStyle w:val="ListParagraph"/>
        <w:numPr>
          <w:ilvl w:val="0"/>
          <w:numId w:val="16"/>
        </w:numPr>
      </w:pPr>
      <w:r w:rsidRPr="00A720B7">
        <w:t>International Treaties contain numerous references to the unborn</w:t>
      </w:r>
    </w:p>
    <w:p w14:paraId="55DBC631" w14:textId="4186A760" w:rsidR="00884232" w:rsidRPr="00A720B7" w:rsidRDefault="00884232" w:rsidP="00884232">
      <w:pPr>
        <w:pStyle w:val="ListParagraph"/>
        <w:numPr>
          <w:ilvl w:val="0"/>
          <w:numId w:val="16"/>
        </w:numPr>
      </w:pPr>
      <w:r w:rsidRPr="00A720B7">
        <w:t>Geneva Convention</w:t>
      </w:r>
    </w:p>
    <w:p w14:paraId="0C86AB67" w14:textId="0046B751" w:rsidR="00884232" w:rsidRPr="00A720B7" w:rsidRDefault="00A720B7" w:rsidP="00884232">
      <w:pPr>
        <w:pStyle w:val="ListParagraph"/>
        <w:numPr>
          <w:ilvl w:val="0"/>
          <w:numId w:val="16"/>
        </w:numPr>
      </w:pPr>
      <w:r w:rsidRPr="00A720B7">
        <w:rPr>
          <w:lang w:val="en-AU"/>
        </w:rPr>
        <w:t>Abortion and genocide</w:t>
      </w:r>
    </w:p>
    <w:p w14:paraId="00FC793B" w14:textId="14FBB3F7" w:rsidR="00C70A6D" w:rsidRPr="00A720B7" w:rsidRDefault="00A720B7" w:rsidP="00C70A6D">
      <w:pPr>
        <w:pStyle w:val="ListParagraph"/>
        <w:numPr>
          <w:ilvl w:val="0"/>
          <w:numId w:val="16"/>
        </w:numPr>
      </w:pPr>
      <w:r w:rsidRPr="00A720B7">
        <w:t xml:space="preserve">Regional Human Rights Treaties can be Interpreted as Protecting Unborn Life </w:t>
      </w:r>
    </w:p>
    <w:p w14:paraId="20975342" w14:textId="77777777" w:rsidR="00A720B7" w:rsidRPr="00C70A6D" w:rsidRDefault="00A720B7" w:rsidP="00C70A6D">
      <w:pPr>
        <w:rPr>
          <w:b/>
        </w:rPr>
      </w:pPr>
    </w:p>
    <w:p w14:paraId="403F0E6F" w14:textId="77777777" w:rsidR="00693830" w:rsidRDefault="00693830" w:rsidP="00693830">
      <w:pPr>
        <w:pStyle w:val="ListParagraph"/>
        <w:numPr>
          <w:ilvl w:val="0"/>
          <w:numId w:val="14"/>
        </w:numPr>
        <w:rPr>
          <w:b/>
        </w:rPr>
      </w:pPr>
      <w:r w:rsidRPr="00693830">
        <w:rPr>
          <w:b/>
        </w:rPr>
        <w:t>PERSONHOOD</w:t>
      </w:r>
    </w:p>
    <w:p w14:paraId="3436B056" w14:textId="77777777" w:rsidR="00A720B7" w:rsidRPr="00A720B7" w:rsidRDefault="00A720B7" w:rsidP="00A720B7">
      <w:pPr>
        <w:rPr>
          <w:b/>
        </w:rPr>
      </w:pPr>
    </w:p>
    <w:p w14:paraId="1191CF98" w14:textId="77777777" w:rsidR="00A720B7" w:rsidRDefault="00A720B7" w:rsidP="00A720B7">
      <w:pPr>
        <w:pStyle w:val="ListParagraph"/>
        <w:numPr>
          <w:ilvl w:val="0"/>
          <w:numId w:val="14"/>
        </w:numPr>
        <w:rPr>
          <w:b/>
        </w:rPr>
      </w:pPr>
      <w:r w:rsidRPr="00A720B7">
        <w:rPr>
          <w:b/>
        </w:rPr>
        <w:t>NATIONAL LEGAL PROVISIONS OF NUMEROUS SIGNATORIES TO THE ICCPR RECOGNIZE THE RIGHT TO LIFE OF THE UNBORN</w:t>
      </w:r>
    </w:p>
    <w:p w14:paraId="58ACB07F" w14:textId="77777777" w:rsidR="00E41209" w:rsidRDefault="00E41209" w:rsidP="00E41209">
      <w:pPr>
        <w:pStyle w:val="ListParagraph"/>
        <w:ind w:left="1080"/>
        <w:rPr>
          <w:b/>
        </w:rPr>
      </w:pPr>
    </w:p>
    <w:p w14:paraId="73FBE754" w14:textId="77777777" w:rsidR="00E41209" w:rsidRPr="00E41209" w:rsidRDefault="00E41209" w:rsidP="00E41209">
      <w:pPr>
        <w:pStyle w:val="ListParagraph"/>
        <w:numPr>
          <w:ilvl w:val="0"/>
          <w:numId w:val="14"/>
        </w:numPr>
        <w:rPr>
          <w:b/>
          <w:lang w:val="en-US"/>
        </w:rPr>
      </w:pPr>
      <w:r w:rsidRPr="00E41209">
        <w:rPr>
          <w:b/>
          <w:lang w:val="en-US"/>
        </w:rPr>
        <w:t>LEGAL JUSTIFICATIONS FOR REJECTING THE NOTION OF A “RIGHT TO DIE”</w:t>
      </w:r>
    </w:p>
    <w:p w14:paraId="72BBCA15" w14:textId="77777777" w:rsidR="00693830" w:rsidRPr="00693830" w:rsidRDefault="00693830" w:rsidP="00693830">
      <w:pPr>
        <w:rPr>
          <w:b/>
        </w:rPr>
      </w:pPr>
    </w:p>
    <w:p w14:paraId="09FAB9EF" w14:textId="472461F9" w:rsidR="00693830" w:rsidRDefault="00693830" w:rsidP="00693830">
      <w:pPr>
        <w:pStyle w:val="ListParagraph"/>
        <w:numPr>
          <w:ilvl w:val="0"/>
          <w:numId w:val="14"/>
        </w:numPr>
        <w:rPr>
          <w:b/>
        </w:rPr>
      </w:pPr>
      <w:r>
        <w:rPr>
          <w:b/>
        </w:rPr>
        <w:t>APPENDIX 1</w:t>
      </w:r>
    </w:p>
    <w:p w14:paraId="29CD7FA2" w14:textId="77777777" w:rsidR="00EE3134" w:rsidRDefault="00EE3134" w:rsidP="00EE3134">
      <w:pPr>
        <w:pStyle w:val="ListParagraph"/>
        <w:ind w:left="1080"/>
        <w:rPr>
          <w:b/>
        </w:rPr>
      </w:pPr>
    </w:p>
    <w:p w14:paraId="44770F5C" w14:textId="652B2478" w:rsidR="00EE3134" w:rsidRDefault="00EE3134" w:rsidP="00EE3134">
      <w:pPr>
        <w:pStyle w:val="ListParagraph"/>
        <w:ind w:left="1080"/>
        <w:rPr>
          <w:lang w:val="en-IE"/>
        </w:rPr>
      </w:pPr>
      <w:r w:rsidRPr="007C3E6B">
        <w:rPr>
          <w:i/>
          <w:lang w:val="en-IE"/>
        </w:rPr>
        <w:t>Common ground? Seeking an Australian consensus on abortion and sex education</w:t>
      </w:r>
      <w:r w:rsidRPr="00EE3134">
        <w:rPr>
          <w:lang w:val="en-IE"/>
        </w:rPr>
        <w:t xml:space="preserve">, </w:t>
      </w:r>
      <w:r w:rsidR="003E0292" w:rsidRPr="003E0292">
        <w:rPr>
          <w:lang w:val="en-IE"/>
        </w:rPr>
        <w:t xml:space="preserve">Fleming John, Tonti-Filippini Nicholas: </w:t>
      </w:r>
      <w:r w:rsidRPr="00EE3134">
        <w:rPr>
          <w:lang w:val="en-IE"/>
        </w:rPr>
        <w:t>Chapter 9</w:t>
      </w:r>
      <w:r w:rsidRPr="00EE3134">
        <w:rPr>
          <w:lang w:val="en-IE"/>
        </w:rPr>
        <w:t xml:space="preserve"> </w:t>
      </w:r>
      <w:r w:rsidRPr="00EE3134">
        <w:rPr>
          <w:bCs/>
          <w:lang w:val="en-IE"/>
        </w:rPr>
        <w:t>Publisher:</w:t>
      </w:r>
      <w:r w:rsidRPr="00EE3134">
        <w:rPr>
          <w:lang w:val="en-IE"/>
        </w:rPr>
        <w:t xml:space="preserve"> St Pauls (2007) </w:t>
      </w:r>
      <w:r w:rsidRPr="00EE3134">
        <w:rPr>
          <w:lang w:val="en-IE"/>
        </w:rPr>
        <w:t xml:space="preserve"> </w:t>
      </w:r>
      <w:r w:rsidRPr="00EE3134">
        <w:rPr>
          <w:bCs/>
          <w:lang w:val="en-IE"/>
        </w:rPr>
        <w:t>ISBN-10:</w:t>
      </w:r>
      <w:r w:rsidRPr="00EE3134">
        <w:rPr>
          <w:lang w:val="en-IE"/>
        </w:rPr>
        <w:t xml:space="preserve"> 1921032642 </w:t>
      </w:r>
      <w:r w:rsidRPr="00EE3134">
        <w:rPr>
          <w:lang w:val="en-IE"/>
        </w:rPr>
        <w:t xml:space="preserve"> </w:t>
      </w:r>
      <w:r w:rsidRPr="00EE3134">
        <w:rPr>
          <w:bCs/>
          <w:lang w:val="en-IE"/>
        </w:rPr>
        <w:t>ISBN-13:</w:t>
      </w:r>
      <w:r w:rsidRPr="00EE3134">
        <w:rPr>
          <w:lang w:val="en-IE"/>
        </w:rPr>
        <w:t xml:space="preserve"> 978-1921032646, </w:t>
      </w:r>
      <w:r w:rsidRPr="00EE3134">
        <w:rPr>
          <w:bCs/>
          <w:lang w:val="en-IE"/>
        </w:rPr>
        <w:t>ASIN:</w:t>
      </w:r>
      <w:r w:rsidRPr="00EE3134">
        <w:rPr>
          <w:lang w:val="en-IE"/>
        </w:rPr>
        <w:t xml:space="preserve"> B00XT7QIBG</w:t>
      </w:r>
      <w:r w:rsidR="003E0292">
        <w:rPr>
          <w:lang w:val="en-IE"/>
        </w:rPr>
        <w:t>.</w:t>
      </w:r>
    </w:p>
    <w:p w14:paraId="3B408D5F" w14:textId="77777777" w:rsidR="00E41209" w:rsidRDefault="00E41209" w:rsidP="00EE3134">
      <w:pPr>
        <w:pStyle w:val="ListParagraph"/>
        <w:ind w:left="1080"/>
        <w:rPr>
          <w:lang w:val="en-IE"/>
        </w:rPr>
      </w:pPr>
    </w:p>
    <w:p w14:paraId="5AA707BE" w14:textId="77777777" w:rsidR="00214FDF" w:rsidRDefault="00214FDF" w:rsidP="002A4908">
      <w:pPr>
        <w:jc w:val="both"/>
        <w:rPr>
          <w:b/>
          <w:lang w:val="en-US"/>
        </w:rPr>
      </w:pPr>
    </w:p>
    <w:p w14:paraId="54E0DA1D" w14:textId="77777777" w:rsidR="00214FDF" w:rsidRDefault="00214FDF" w:rsidP="002A4908">
      <w:pPr>
        <w:jc w:val="both"/>
        <w:rPr>
          <w:b/>
          <w:lang w:val="en-US"/>
        </w:rPr>
      </w:pPr>
    </w:p>
    <w:p w14:paraId="511C7F6C" w14:textId="77777777" w:rsidR="00214FDF" w:rsidRDefault="00214FDF" w:rsidP="002A4908">
      <w:pPr>
        <w:jc w:val="both"/>
        <w:rPr>
          <w:b/>
          <w:lang w:val="en-US"/>
        </w:rPr>
      </w:pPr>
    </w:p>
    <w:p w14:paraId="4D5139DC" w14:textId="77777777" w:rsidR="00214FDF" w:rsidRDefault="00214FDF" w:rsidP="002A4908">
      <w:pPr>
        <w:jc w:val="both"/>
        <w:rPr>
          <w:b/>
          <w:lang w:val="en-US"/>
        </w:rPr>
      </w:pPr>
    </w:p>
    <w:p w14:paraId="40258EC7" w14:textId="77777777" w:rsidR="00214FDF" w:rsidRDefault="00214FDF" w:rsidP="002A4908">
      <w:pPr>
        <w:jc w:val="both"/>
        <w:rPr>
          <w:b/>
          <w:lang w:val="en-US"/>
        </w:rPr>
      </w:pPr>
    </w:p>
    <w:p w14:paraId="142C0FA0" w14:textId="1A3EF1AC" w:rsidR="004072EC" w:rsidRDefault="004072EC" w:rsidP="002A4908">
      <w:pPr>
        <w:jc w:val="both"/>
        <w:rPr>
          <w:b/>
          <w:lang w:val="en-US"/>
        </w:rPr>
      </w:pPr>
      <w:r>
        <w:rPr>
          <w:b/>
          <w:lang w:val="en-US"/>
        </w:rPr>
        <w:t>PRELIMINARY ISSUES</w:t>
      </w:r>
    </w:p>
    <w:p w14:paraId="16B421F4" w14:textId="796021CC" w:rsidR="008A62DE" w:rsidRPr="00B27015" w:rsidRDefault="004072EC" w:rsidP="002A4908">
      <w:pPr>
        <w:jc w:val="both"/>
        <w:rPr>
          <w:b/>
          <w:lang w:val="en-US"/>
        </w:rPr>
      </w:pPr>
      <w:r>
        <w:rPr>
          <w:b/>
          <w:lang w:val="en-US"/>
        </w:rPr>
        <w:t xml:space="preserve"> </w:t>
      </w:r>
    </w:p>
    <w:p w14:paraId="1787599F" w14:textId="3DBF0379" w:rsidR="00AE5EDF" w:rsidRDefault="0037322A" w:rsidP="002A4908">
      <w:pPr>
        <w:jc w:val="both"/>
        <w:rPr>
          <w:lang w:val="en-US"/>
        </w:rPr>
      </w:pPr>
      <w:r w:rsidRPr="002A4908">
        <w:rPr>
          <w:lang w:val="en-US"/>
        </w:rPr>
        <w:t xml:space="preserve">This submission </w:t>
      </w:r>
      <w:r w:rsidR="00015531" w:rsidRPr="002A4908">
        <w:rPr>
          <w:lang w:val="en-US"/>
        </w:rPr>
        <w:t>to the</w:t>
      </w:r>
      <w:r w:rsidR="00CB76FD">
        <w:rPr>
          <w:lang w:val="en-US"/>
        </w:rPr>
        <w:t xml:space="preserve"> Human Rights Committee of</w:t>
      </w:r>
      <w:r w:rsidR="00015531" w:rsidRPr="002A4908">
        <w:rPr>
          <w:lang w:val="en-US"/>
        </w:rPr>
        <w:t xml:space="preserve"> the International Covenant on </w:t>
      </w:r>
      <w:r w:rsidR="006F028D">
        <w:rPr>
          <w:lang w:val="en-US"/>
        </w:rPr>
        <w:t xml:space="preserve">Civil and Political Rights </w:t>
      </w:r>
      <w:r w:rsidR="0063531D" w:rsidRPr="002A4908">
        <w:rPr>
          <w:lang w:val="en-US"/>
        </w:rPr>
        <w:t>(IC</w:t>
      </w:r>
      <w:r w:rsidR="006F028D">
        <w:rPr>
          <w:lang w:val="en-US"/>
        </w:rPr>
        <w:t>CPR</w:t>
      </w:r>
      <w:r w:rsidR="0063531D" w:rsidRPr="002A4908">
        <w:rPr>
          <w:lang w:val="en-US"/>
        </w:rPr>
        <w:t xml:space="preserve">) </w:t>
      </w:r>
      <w:r w:rsidRPr="002A4908">
        <w:rPr>
          <w:lang w:val="en-US"/>
        </w:rPr>
        <w:t>while considering</w:t>
      </w:r>
      <w:r w:rsidR="006F028D">
        <w:rPr>
          <w:lang w:val="en-US"/>
        </w:rPr>
        <w:t xml:space="preserve"> the issues arising out of</w:t>
      </w:r>
      <w:r w:rsidRPr="002A4908">
        <w:rPr>
          <w:lang w:val="en-US"/>
        </w:rPr>
        <w:t xml:space="preserve"> Article </w:t>
      </w:r>
      <w:r w:rsidR="006F028D">
        <w:rPr>
          <w:lang w:val="en-US"/>
        </w:rPr>
        <w:t xml:space="preserve">6 </w:t>
      </w:r>
      <w:r w:rsidRPr="002A4908">
        <w:rPr>
          <w:lang w:val="en-US"/>
        </w:rPr>
        <w:t>of the Covenant as set out in the brief</w:t>
      </w:r>
      <w:r w:rsidR="0063531D" w:rsidRPr="002A4908">
        <w:rPr>
          <w:lang w:val="en-US"/>
        </w:rPr>
        <w:t xml:space="preserve"> firstly</w:t>
      </w:r>
      <w:r w:rsidRPr="002A4908">
        <w:rPr>
          <w:lang w:val="en-US"/>
        </w:rPr>
        <w:t xml:space="preserve"> considers the overall context in</w:t>
      </w:r>
      <w:r w:rsidR="0063531D" w:rsidRPr="002A4908">
        <w:rPr>
          <w:lang w:val="en-US"/>
        </w:rPr>
        <w:t xml:space="preserve"> which this initiative h</w:t>
      </w:r>
      <w:r w:rsidR="006F028D">
        <w:rPr>
          <w:lang w:val="en-US"/>
        </w:rPr>
        <w:t>as been drawn up</w:t>
      </w:r>
      <w:r w:rsidR="00B27015">
        <w:rPr>
          <w:lang w:val="en-US"/>
        </w:rPr>
        <w:t>.</w:t>
      </w:r>
      <w:r w:rsidRPr="002A4908">
        <w:rPr>
          <w:lang w:val="en-US"/>
        </w:rPr>
        <w:t xml:space="preserve"> </w:t>
      </w:r>
    </w:p>
    <w:p w14:paraId="6F572C9C" w14:textId="77777777" w:rsidR="002A0E27" w:rsidRDefault="002A0E27" w:rsidP="002A4908">
      <w:pPr>
        <w:jc w:val="both"/>
        <w:rPr>
          <w:lang w:val="en-US"/>
        </w:rPr>
      </w:pPr>
    </w:p>
    <w:p w14:paraId="76D2634B" w14:textId="77777777" w:rsidR="002A0E27" w:rsidRPr="002A0E27" w:rsidRDefault="002A0E27" w:rsidP="002A0E27">
      <w:pPr>
        <w:jc w:val="both"/>
        <w:rPr>
          <w:lang w:val="en-US"/>
        </w:rPr>
      </w:pPr>
      <w:r w:rsidRPr="002A0E27">
        <w:rPr>
          <w:lang w:val="en-US"/>
        </w:rPr>
        <w:t>Taking into account the guiding principles of the Charter of the United Nations, the Universal Declaration of Human Rights, the International Covenant for Civil and Political Rights and other UN Treaty Documents affirm that:</w:t>
      </w:r>
    </w:p>
    <w:p w14:paraId="003831C1" w14:textId="77777777" w:rsidR="002A0E27" w:rsidRPr="002A0E27" w:rsidRDefault="002A0E27" w:rsidP="002A0E27">
      <w:pPr>
        <w:jc w:val="both"/>
        <w:rPr>
          <w:lang w:val="en-US"/>
        </w:rPr>
      </w:pPr>
    </w:p>
    <w:p w14:paraId="06D9762F" w14:textId="56BFDBE3" w:rsidR="002A0E27" w:rsidRPr="002A0E27" w:rsidRDefault="002A0E27" w:rsidP="001F1D4D">
      <w:pPr>
        <w:ind w:left="720"/>
        <w:jc w:val="both"/>
        <w:rPr>
          <w:lang w:val="en-US"/>
        </w:rPr>
      </w:pPr>
      <w:r w:rsidRPr="002A0E27">
        <w:rPr>
          <w:lang w:val="en-US"/>
        </w:rPr>
        <w:t>The right to life, the inherent dignity, worth and equal and inalienable rights of all members of the human family must be protected in law;</w:t>
      </w:r>
      <w:r w:rsidR="0069456C">
        <w:rPr>
          <w:rStyle w:val="FootnoteReference"/>
          <w:lang w:val="en-US"/>
        </w:rPr>
        <w:footnoteReference w:id="1"/>
      </w:r>
      <w:r w:rsidR="0069456C">
        <w:rPr>
          <w:vertAlign w:val="superscript"/>
          <w:lang w:val="en-US"/>
        </w:rPr>
        <w:t xml:space="preserve"> </w:t>
      </w:r>
      <w:r w:rsidR="0069456C">
        <w:rPr>
          <w:rStyle w:val="FootnoteReference"/>
          <w:lang w:val="en-US"/>
        </w:rPr>
        <w:footnoteReference w:id="2"/>
      </w:r>
      <w:r w:rsidR="0069456C">
        <w:rPr>
          <w:vertAlign w:val="superscript"/>
          <w:lang w:val="en-US"/>
        </w:rPr>
        <w:t xml:space="preserve"> </w:t>
      </w:r>
      <w:r w:rsidR="0069456C">
        <w:rPr>
          <w:rStyle w:val="FootnoteReference"/>
          <w:lang w:val="en-US"/>
        </w:rPr>
        <w:footnoteReference w:id="3"/>
      </w:r>
    </w:p>
    <w:p w14:paraId="5F979DF9" w14:textId="77777777" w:rsidR="002A0E27" w:rsidRPr="002A0E27" w:rsidRDefault="002A0E27" w:rsidP="002A0E27">
      <w:pPr>
        <w:jc w:val="both"/>
        <w:rPr>
          <w:lang w:val="en-US"/>
        </w:rPr>
      </w:pPr>
    </w:p>
    <w:p w14:paraId="56944AD0" w14:textId="77BFFFC9" w:rsidR="002A0E27" w:rsidRPr="002A0E27" w:rsidRDefault="002A0E27" w:rsidP="001F1D4D">
      <w:pPr>
        <w:ind w:left="720"/>
        <w:jc w:val="both"/>
        <w:rPr>
          <w:lang w:val="en-US"/>
        </w:rPr>
      </w:pPr>
      <w:r w:rsidRPr="002A0E27">
        <w:rPr>
          <w:lang w:val="en-US"/>
        </w:rPr>
        <w:t>No one is to have his or her rights and freedoms, as set forth in</w:t>
      </w:r>
      <w:r>
        <w:rPr>
          <w:lang w:val="en-US"/>
        </w:rPr>
        <w:t xml:space="preserve"> those treaties</w:t>
      </w:r>
      <w:r w:rsidRPr="002A0E27">
        <w:rPr>
          <w:lang w:val="en-US"/>
        </w:rPr>
        <w:t>, curtailed for any reason;</w:t>
      </w:r>
      <w:r w:rsidR="009E1FFD">
        <w:rPr>
          <w:rStyle w:val="FootnoteReference"/>
          <w:lang w:val="en-US"/>
        </w:rPr>
        <w:footnoteReference w:id="4"/>
      </w:r>
    </w:p>
    <w:p w14:paraId="1206F7AA" w14:textId="77777777" w:rsidR="002A0E27" w:rsidRPr="002A0E27" w:rsidRDefault="002A0E27" w:rsidP="002A0E27">
      <w:pPr>
        <w:jc w:val="both"/>
        <w:rPr>
          <w:lang w:val="en-US"/>
        </w:rPr>
      </w:pPr>
    </w:p>
    <w:p w14:paraId="3057F007" w14:textId="31B86720" w:rsidR="002A0E27" w:rsidRPr="002A0E27" w:rsidRDefault="002A0E27" w:rsidP="001F1D4D">
      <w:pPr>
        <w:ind w:firstLine="720"/>
        <w:jc w:val="both"/>
        <w:rPr>
          <w:lang w:val="en-US"/>
        </w:rPr>
      </w:pPr>
      <w:r w:rsidRPr="002A0E27">
        <w:rPr>
          <w:lang w:val="en-US"/>
        </w:rPr>
        <w:t>Everyone has the right to recognition everywhere as a person before the law;</w:t>
      </w:r>
      <w:r w:rsidR="0085538E">
        <w:rPr>
          <w:rStyle w:val="FootnoteReference"/>
          <w:lang w:val="en-US"/>
        </w:rPr>
        <w:footnoteReference w:id="5"/>
      </w:r>
    </w:p>
    <w:p w14:paraId="38A00A05" w14:textId="77777777" w:rsidR="002A0E27" w:rsidRPr="002A0E27" w:rsidRDefault="002A0E27" w:rsidP="002A0E27">
      <w:pPr>
        <w:jc w:val="both"/>
        <w:rPr>
          <w:lang w:val="en-US"/>
        </w:rPr>
      </w:pPr>
      <w:r w:rsidRPr="002A0E27">
        <w:rPr>
          <w:lang w:val="en-US"/>
        </w:rPr>
        <w:t xml:space="preserve"> </w:t>
      </w:r>
    </w:p>
    <w:p w14:paraId="6EAD349C" w14:textId="363196AC" w:rsidR="002A0E27" w:rsidRPr="002A0E27" w:rsidRDefault="002A0E27" w:rsidP="001F1D4D">
      <w:pPr>
        <w:ind w:left="720"/>
        <w:jc w:val="both"/>
        <w:rPr>
          <w:lang w:val="en-US"/>
        </w:rPr>
      </w:pPr>
      <w:r w:rsidRPr="002A0E27">
        <w:rPr>
          <w:lang w:val="en-US"/>
        </w:rPr>
        <w:t>Everyone has the right to equality before the law and is entitled without any discrimination to equal protection before the law;</w:t>
      </w:r>
      <w:r w:rsidR="0085538E">
        <w:rPr>
          <w:rStyle w:val="FootnoteReference"/>
          <w:lang w:val="en-US"/>
        </w:rPr>
        <w:footnoteReference w:id="6"/>
      </w:r>
    </w:p>
    <w:p w14:paraId="05C839DD" w14:textId="77777777" w:rsidR="002A0E27" w:rsidRPr="002A0E27" w:rsidRDefault="002A0E27" w:rsidP="002A0E27">
      <w:pPr>
        <w:jc w:val="both"/>
        <w:rPr>
          <w:lang w:val="en-US"/>
        </w:rPr>
      </w:pPr>
    </w:p>
    <w:p w14:paraId="6D608A0E" w14:textId="6C714351" w:rsidR="002A0E27" w:rsidRPr="002A0E27" w:rsidRDefault="002A0E27" w:rsidP="001F1D4D">
      <w:pPr>
        <w:ind w:left="720"/>
        <w:jc w:val="both"/>
        <w:rPr>
          <w:lang w:val="en-AU"/>
        </w:rPr>
      </w:pPr>
      <w:r w:rsidRPr="002A0E27">
        <w:rPr>
          <w:lang w:val="en-US"/>
        </w:rPr>
        <w:t xml:space="preserve">“The child, by reason of his physical and mental immaturity, needs special safeguards and care, including appropriate legal protection, </w:t>
      </w:r>
      <w:r w:rsidRPr="002A0E27">
        <w:rPr>
          <w:bCs/>
          <w:lang w:val="en-US"/>
        </w:rPr>
        <w:t>before as well as after birth”.</w:t>
      </w:r>
      <w:r w:rsidR="0085538E">
        <w:rPr>
          <w:rStyle w:val="FootnoteReference"/>
          <w:bCs/>
          <w:lang w:val="en-US"/>
        </w:rPr>
        <w:footnoteReference w:id="7"/>
      </w:r>
      <w:r w:rsidR="001F1D4D">
        <w:rPr>
          <w:bCs/>
          <w:lang w:val="en-US"/>
        </w:rPr>
        <w:t xml:space="preserve"> And that …</w:t>
      </w:r>
      <w:r w:rsidRPr="002A0E27">
        <w:rPr>
          <w:bCs/>
          <w:lang w:val="en-US"/>
        </w:rPr>
        <w:t xml:space="preserve"> </w:t>
      </w:r>
      <w:r w:rsidRPr="002A0E27">
        <w:rPr>
          <w:lang w:val="en-AU"/>
        </w:rPr>
        <w:t>the need for such special safeguards has been stated in the Geneva Declaration of the Rights of the Child of 1924, and recognized in the Universal Declaration of Human Rights and in the statutes of specialized agencies and international organizations concerned with the welfare of children.”</w:t>
      </w:r>
      <w:r w:rsidR="0085538E">
        <w:rPr>
          <w:rStyle w:val="FootnoteReference"/>
          <w:lang w:val="en-AU"/>
        </w:rPr>
        <w:footnoteReference w:id="8"/>
      </w:r>
      <w:r w:rsidRPr="002A0E27">
        <w:rPr>
          <w:lang w:val="en-AU"/>
        </w:rPr>
        <w:t xml:space="preserve"> </w:t>
      </w:r>
    </w:p>
    <w:p w14:paraId="2B9D32D3" w14:textId="77777777" w:rsidR="002A0E27" w:rsidRPr="002A0E27" w:rsidRDefault="002A0E27" w:rsidP="002A0E27">
      <w:pPr>
        <w:jc w:val="both"/>
        <w:rPr>
          <w:lang w:val="en-AU"/>
        </w:rPr>
      </w:pPr>
    </w:p>
    <w:p w14:paraId="48B38651" w14:textId="77777777" w:rsidR="002A0E27" w:rsidRPr="002A0E27" w:rsidRDefault="002A0E27" w:rsidP="002A0E27">
      <w:pPr>
        <w:jc w:val="both"/>
        <w:rPr>
          <w:lang w:val="en-US"/>
        </w:rPr>
      </w:pPr>
      <w:r w:rsidRPr="002A0E27">
        <w:rPr>
          <w:lang w:val="en-US"/>
        </w:rPr>
        <w:t>Therefore:</w:t>
      </w:r>
      <w:r w:rsidRPr="002A0E27">
        <w:rPr>
          <w:lang w:val="en-AU"/>
        </w:rPr>
        <w:t xml:space="preserve"> </w:t>
      </w:r>
      <w:r w:rsidRPr="002A0E27">
        <w:rPr>
          <w:lang w:val="en-US"/>
        </w:rPr>
        <w:t xml:space="preserve">every child, before as well as after birth: </w:t>
      </w:r>
    </w:p>
    <w:p w14:paraId="2A34BE13" w14:textId="77777777" w:rsidR="002A0E27" w:rsidRPr="002A0E27" w:rsidRDefault="002A0E27" w:rsidP="002A0E27">
      <w:pPr>
        <w:jc w:val="both"/>
        <w:rPr>
          <w:lang w:val="en-US"/>
        </w:rPr>
      </w:pPr>
    </w:p>
    <w:p w14:paraId="446CA0EA" w14:textId="71EF1DA4" w:rsidR="002A0E27" w:rsidRPr="002A0E27" w:rsidRDefault="001F1D4D" w:rsidP="002A0E27">
      <w:pPr>
        <w:ind w:firstLine="720"/>
        <w:jc w:val="both"/>
        <w:rPr>
          <w:lang w:val="en-AU"/>
        </w:rPr>
      </w:pPr>
      <w:r>
        <w:rPr>
          <w:lang w:val="en-US"/>
        </w:rPr>
        <w:t>has the inherent right to life;</w:t>
      </w:r>
      <w:r>
        <w:rPr>
          <w:rStyle w:val="FootnoteReference"/>
          <w:lang w:val="en-US"/>
        </w:rPr>
        <w:footnoteReference w:id="9"/>
      </w:r>
      <w:r>
        <w:rPr>
          <w:lang w:val="en-US"/>
        </w:rPr>
        <w:t xml:space="preserve"> </w:t>
      </w:r>
      <w:r>
        <w:rPr>
          <w:rStyle w:val="FootnoteReference"/>
          <w:lang w:val="en-US"/>
        </w:rPr>
        <w:footnoteReference w:id="10"/>
      </w:r>
    </w:p>
    <w:p w14:paraId="16660BD3" w14:textId="77777777" w:rsidR="002A0E27" w:rsidRPr="002A0E27" w:rsidRDefault="002A0E27" w:rsidP="002A0E27">
      <w:pPr>
        <w:jc w:val="both"/>
        <w:rPr>
          <w:lang w:val="en-US"/>
        </w:rPr>
      </w:pPr>
    </w:p>
    <w:p w14:paraId="63E056D2" w14:textId="418A80BB" w:rsidR="002A0E27" w:rsidRPr="002A0E27" w:rsidRDefault="002A0E27" w:rsidP="002A0E27">
      <w:pPr>
        <w:ind w:firstLine="720"/>
        <w:jc w:val="both"/>
        <w:rPr>
          <w:lang w:val="en-US"/>
        </w:rPr>
      </w:pPr>
      <w:r w:rsidRPr="002A0E27">
        <w:rPr>
          <w:lang w:val="en-US"/>
        </w:rPr>
        <w:t>has the right to be free from all forms of discrimination;</w:t>
      </w:r>
      <w:r w:rsidR="001F1D4D">
        <w:rPr>
          <w:rStyle w:val="FootnoteReference"/>
          <w:lang w:val="en-US"/>
        </w:rPr>
        <w:footnoteReference w:id="11"/>
      </w:r>
      <w:r w:rsidRPr="002A0E27">
        <w:rPr>
          <w:lang w:val="en-US"/>
        </w:rPr>
        <w:t xml:space="preserve"> </w:t>
      </w:r>
    </w:p>
    <w:p w14:paraId="306FA6D5" w14:textId="77777777" w:rsidR="002A0E27" w:rsidRPr="002A0E27" w:rsidRDefault="002A0E27" w:rsidP="002A0E27">
      <w:pPr>
        <w:jc w:val="both"/>
        <w:rPr>
          <w:lang w:val="en-US"/>
        </w:rPr>
      </w:pPr>
    </w:p>
    <w:p w14:paraId="46600C79" w14:textId="1AD081AD" w:rsidR="002A0E27" w:rsidRPr="002A0E27" w:rsidRDefault="002A0E27" w:rsidP="002A0E27">
      <w:pPr>
        <w:ind w:left="720"/>
        <w:jc w:val="both"/>
        <w:rPr>
          <w:lang w:val="en-US"/>
        </w:rPr>
      </w:pPr>
      <w:r w:rsidRPr="002A0E27">
        <w:rPr>
          <w:lang w:val="en-US"/>
        </w:rPr>
        <w:t>has the right not to be subjected to torture or other cruel, inhuman or degrading treatment or punishment;</w:t>
      </w:r>
      <w:r w:rsidR="001F1D4D">
        <w:rPr>
          <w:rStyle w:val="FootnoteReference"/>
          <w:lang w:val="en-US"/>
        </w:rPr>
        <w:footnoteReference w:id="12"/>
      </w:r>
    </w:p>
    <w:p w14:paraId="7E57512F" w14:textId="77777777" w:rsidR="002A0E27" w:rsidRPr="002A4908" w:rsidRDefault="002A0E27" w:rsidP="002A4908">
      <w:pPr>
        <w:jc w:val="both"/>
        <w:rPr>
          <w:lang w:val="en-US"/>
        </w:rPr>
      </w:pPr>
    </w:p>
    <w:p w14:paraId="3B26A3DA" w14:textId="77777777" w:rsidR="0063531D" w:rsidRPr="002A4908" w:rsidRDefault="0063531D" w:rsidP="002A4908">
      <w:pPr>
        <w:autoSpaceDE w:val="0"/>
        <w:autoSpaceDN w:val="0"/>
        <w:adjustRightInd w:val="0"/>
        <w:jc w:val="both"/>
      </w:pPr>
    </w:p>
    <w:p w14:paraId="5468BC2F" w14:textId="35BDA9CC" w:rsidR="00B87FE0" w:rsidRPr="00693830" w:rsidRDefault="00AB5DC6" w:rsidP="00693830">
      <w:pPr>
        <w:pStyle w:val="ListParagraph"/>
        <w:numPr>
          <w:ilvl w:val="0"/>
          <w:numId w:val="15"/>
        </w:numPr>
        <w:autoSpaceDE w:val="0"/>
        <w:autoSpaceDN w:val="0"/>
        <w:adjustRightInd w:val="0"/>
        <w:jc w:val="both"/>
        <w:rPr>
          <w:b/>
        </w:rPr>
      </w:pPr>
      <w:r w:rsidRPr="00693830">
        <w:rPr>
          <w:b/>
        </w:rPr>
        <w:t>The scope of the Human Rights Committee</w:t>
      </w:r>
      <w:r w:rsidR="004072EC" w:rsidRPr="00693830">
        <w:rPr>
          <w:b/>
        </w:rPr>
        <w:t xml:space="preserve"> </w:t>
      </w:r>
      <w:r w:rsidR="00B27015" w:rsidRPr="00693830">
        <w:rPr>
          <w:b/>
        </w:rPr>
        <w:t>duties</w:t>
      </w:r>
      <w:r w:rsidRPr="00693830">
        <w:rPr>
          <w:b/>
        </w:rPr>
        <w:t>.</w:t>
      </w:r>
    </w:p>
    <w:p w14:paraId="510836AF" w14:textId="77777777" w:rsidR="00B27015" w:rsidRDefault="00B27015" w:rsidP="00B87FE0">
      <w:pPr>
        <w:pStyle w:val="ListParagraph"/>
        <w:autoSpaceDE w:val="0"/>
        <w:autoSpaceDN w:val="0"/>
        <w:adjustRightInd w:val="0"/>
        <w:jc w:val="both"/>
      </w:pPr>
    </w:p>
    <w:p w14:paraId="4326A8B9" w14:textId="40164FFD" w:rsidR="00733B8B" w:rsidRPr="002A4908" w:rsidRDefault="008A62DE" w:rsidP="002A4908">
      <w:pPr>
        <w:autoSpaceDE w:val="0"/>
        <w:autoSpaceDN w:val="0"/>
        <w:adjustRightInd w:val="0"/>
        <w:jc w:val="both"/>
      </w:pPr>
      <w:r w:rsidRPr="002A4908">
        <w:t>T</w:t>
      </w:r>
      <w:r w:rsidR="00AB5DC6">
        <w:t>he scope of Human Rights Committee</w:t>
      </w:r>
      <w:r w:rsidR="0063531D" w:rsidRPr="002A4908">
        <w:t xml:space="preserve"> duties</w:t>
      </w:r>
      <w:r w:rsidR="00AB5DC6">
        <w:t>,</w:t>
      </w:r>
      <w:r w:rsidR="004D622B" w:rsidRPr="002A4908">
        <w:t xml:space="preserve"> derive from the</w:t>
      </w:r>
      <w:r w:rsidR="00371EEC">
        <w:t xml:space="preserve"> General Assembly</w:t>
      </w:r>
      <w:r w:rsidR="00AB5DC6">
        <w:t>,</w:t>
      </w:r>
      <w:r w:rsidR="00371EEC">
        <w:t xml:space="preserve"> through the</w:t>
      </w:r>
      <w:r w:rsidR="004D622B" w:rsidRPr="002A4908">
        <w:t xml:space="preserve"> UN Economic and Social Council (ECOSOC)</w:t>
      </w:r>
      <w:r w:rsidR="00371EEC">
        <w:t xml:space="preserve"> in accordance with</w:t>
      </w:r>
      <w:r w:rsidR="00371EEC" w:rsidRPr="00371EEC">
        <w:t xml:space="preserve"> </w:t>
      </w:r>
      <w:r w:rsidR="00371EEC">
        <w:t>article 45 of the ICCPR</w:t>
      </w:r>
      <w:r w:rsidR="00AB5DC6">
        <w:t xml:space="preserve"> and CCPR/C/3/</w:t>
      </w:r>
      <w:r w:rsidR="002A0E27">
        <w:t xml:space="preserve"> </w:t>
      </w:r>
      <w:r w:rsidR="00AB5DC6">
        <w:t>Rev.10.</w:t>
      </w:r>
      <w:r w:rsidR="00371EEC">
        <w:t xml:space="preserve"> </w:t>
      </w:r>
      <w:r w:rsidR="00AB5DC6">
        <w:t>I</w:t>
      </w:r>
      <w:r w:rsidR="004D622B" w:rsidRPr="002A4908">
        <w:t xml:space="preserve">n fulfilment </w:t>
      </w:r>
      <w:r w:rsidR="006F028D">
        <w:t>of their duties under the ICCPR</w:t>
      </w:r>
      <w:r w:rsidR="00AB5DC6">
        <w:t xml:space="preserve"> therefore the Committee</w:t>
      </w:r>
      <w:r w:rsidR="004D622B" w:rsidRPr="002A4908">
        <w:t xml:space="preserve"> </w:t>
      </w:r>
      <w:r w:rsidR="0063531D" w:rsidRPr="002A4908">
        <w:t>cannot</w:t>
      </w:r>
      <w:r w:rsidR="00AB5DC6">
        <w:t xml:space="preserve"> exceed the scope</w:t>
      </w:r>
      <w:r w:rsidR="004D622B" w:rsidRPr="002A4908">
        <w:t xml:space="preserve"> set forth in the Convention</w:t>
      </w:r>
      <w:r w:rsidR="0063531D" w:rsidRPr="002A4908">
        <w:t>, which was negotiated, drafted, si</w:t>
      </w:r>
      <w:r w:rsidR="002F69DA">
        <w:t>gned and ratified by sovereign States P</w:t>
      </w:r>
      <w:r w:rsidR="0063531D" w:rsidRPr="002A4908">
        <w:t xml:space="preserve">arties. </w:t>
      </w:r>
    </w:p>
    <w:p w14:paraId="3D23902F" w14:textId="77777777" w:rsidR="0063531D" w:rsidRPr="002A4908" w:rsidRDefault="0063531D" w:rsidP="002A4908">
      <w:pPr>
        <w:autoSpaceDE w:val="0"/>
        <w:autoSpaceDN w:val="0"/>
        <w:adjustRightInd w:val="0"/>
        <w:jc w:val="both"/>
      </w:pPr>
    </w:p>
    <w:p w14:paraId="185F1FC9" w14:textId="2A8C888F" w:rsidR="00733B8B" w:rsidRPr="002A4908" w:rsidRDefault="00355338" w:rsidP="002A4908">
      <w:pPr>
        <w:autoSpaceDE w:val="0"/>
        <w:autoSpaceDN w:val="0"/>
        <w:adjustRightInd w:val="0"/>
        <w:jc w:val="both"/>
      </w:pPr>
      <w:r w:rsidRPr="002A4908">
        <w:t xml:space="preserve">The </w:t>
      </w:r>
      <w:r w:rsidR="0063531D" w:rsidRPr="002A4908">
        <w:t>commitment</w:t>
      </w:r>
      <w:r w:rsidRPr="002A4908">
        <w:t xml:space="preserve"> entered into by</w:t>
      </w:r>
      <w:r w:rsidR="004D622B" w:rsidRPr="002A4908">
        <w:t xml:space="preserve"> the</w:t>
      </w:r>
      <w:r w:rsidRPr="002A4908">
        <w:t xml:space="preserve"> states parties</w:t>
      </w:r>
      <w:r w:rsidR="0063531D" w:rsidRPr="002A4908">
        <w:t xml:space="preserve"> is not open-ended, however, and is limited by</w:t>
      </w:r>
      <w:r w:rsidR="00CB76FD">
        <w:t xml:space="preserve"> that to which</w:t>
      </w:r>
      <w:r w:rsidR="004D622B" w:rsidRPr="002A4908">
        <w:t xml:space="preserve"> they (the states parties) </w:t>
      </w:r>
      <w:r w:rsidR="0063531D" w:rsidRPr="002A4908">
        <w:t>have bound themselves.</w:t>
      </w:r>
      <w:r w:rsidR="0063531D" w:rsidRPr="002A4908">
        <w:rPr>
          <w:rStyle w:val="FootnoteReference"/>
        </w:rPr>
        <w:footnoteReference w:id="13"/>
      </w:r>
      <w:r w:rsidR="00733B8B" w:rsidRPr="002A4908">
        <w:t xml:space="preserve"> T</w:t>
      </w:r>
      <w:r w:rsidR="0063531D" w:rsidRPr="002A4908">
        <w:t>hey have not undertaken commitments beyond what i</w:t>
      </w:r>
      <w:r w:rsidR="00733B8B" w:rsidRPr="002A4908">
        <w:t xml:space="preserve">s contained in the treaty. </w:t>
      </w:r>
    </w:p>
    <w:p w14:paraId="14532B27" w14:textId="77777777" w:rsidR="00733B8B" w:rsidRPr="002A4908" w:rsidRDefault="00733B8B" w:rsidP="002A4908">
      <w:pPr>
        <w:autoSpaceDE w:val="0"/>
        <w:autoSpaceDN w:val="0"/>
        <w:adjustRightInd w:val="0"/>
        <w:jc w:val="both"/>
      </w:pPr>
    </w:p>
    <w:p w14:paraId="55AB356F" w14:textId="77777777" w:rsidR="00B87FE0" w:rsidRPr="00B87FE0" w:rsidRDefault="00B27015" w:rsidP="00693830">
      <w:pPr>
        <w:pStyle w:val="ListParagraph"/>
        <w:numPr>
          <w:ilvl w:val="0"/>
          <w:numId w:val="15"/>
        </w:numPr>
        <w:autoSpaceDE w:val="0"/>
        <w:autoSpaceDN w:val="0"/>
        <w:adjustRightInd w:val="0"/>
        <w:jc w:val="both"/>
        <w:rPr>
          <w:b/>
        </w:rPr>
      </w:pPr>
      <w:r w:rsidRPr="00B87FE0">
        <w:rPr>
          <w:b/>
        </w:rPr>
        <w:t>The Vienna Convention on the Law of Treaties</w:t>
      </w:r>
    </w:p>
    <w:p w14:paraId="242DBAFE" w14:textId="77777777" w:rsidR="00B27015" w:rsidRDefault="00B27015" w:rsidP="00B87FE0">
      <w:pPr>
        <w:pStyle w:val="ListParagraph"/>
        <w:autoSpaceDE w:val="0"/>
        <w:autoSpaceDN w:val="0"/>
        <w:adjustRightInd w:val="0"/>
        <w:jc w:val="both"/>
      </w:pPr>
    </w:p>
    <w:p w14:paraId="096B69AF" w14:textId="77777777" w:rsidR="0063531D" w:rsidRPr="002A4908" w:rsidRDefault="00733B8B" w:rsidP="002A4908">
      <w:pPr>
        <w:autoSpaceDE w:val="0"/>
        <w:autoSpaceDN w:val="0"/>
        <w:adjustRightInd w:val="0"/>
        <w:jc w:val="both"/>
      </w:pPr>
      <w:r w:rsidRPr="002A4908">
        <w:t>T</w:t>
      </w:r>
      <w:r w:rsidR="0063531D" w:rsidRPr="002A4908">
        <w:t xml:space="preserve">he Vienna Convention </w:t>
      </w:r>
      <w:r w:rsidRPr="002A4908">
        <w:t>on the Law of Treaties (“VCLT”) is clear that</w:t>
      </w:r>
      <w:r w:rsidR="0063531D" w:rsidRPr="002A4908">
        <w:t xml:space="preserve"> the authority of a treaty stems from obtaining the consent of the states, or the States Parties</w:t>
      </w:r>
      <w:r w:rsidR="0063531D" w:rsidRPr="002A4908">
        <w:rPr>
          <w:rStyle w:val="FootnoteReference"/>
        </w:rPr>
        <w:footnoteReference w:id="14"/>
      </w:r>
      <w:r w:rsidR="0063531D" w:rsidRPr="002A4908">
        <w:t xml:space="preserve"> </w:t>
      </w:r>
      <w:r w:rsidRPr="002A4908">
        <w:t>over which it will be binding</w:t>
      </w:r>
      <w:r w:rsidR="0063531D" w:rsidRPr="002A4908">
        <w:t xml:space="preserve"> </w:t>
      </w:r>
    </w:p>
    <w:p w14:paraId="78C21605" w14:textId="77777777" w:rsidR="0063531D" w:rsidRPr="002A4908" w:rsidRDefault="0063531D" w:rsidP="002A4908">
      <w:pPr>
        <w:autoSpaceDE w:val="0"/>
        <w:autoSpaceDN w:val="0"/>
        <w:adjustRightInd w:val="0"/>
        <w:jc w:val="both"/>
      </w:pPr>
    </w:p>
    <w:p w14:paraId="48D3A78A" w14:textId="54B3770E" w:rsidR="0063531D" w:rsidRPr="002A4908" w:rsidRDefault="00733B8B" w:rsidP="002A4908">
      <w:pPr>
        <w:autoSpaceDE w:val="0"/>
        <w:autoSpaceDN w:val="0"/>
        <w:adjustRightInd w:val="0"/>
        <w:jc w:val="both"/>
      </w:pPr>
      <w:r w:rsidRPr="002A4908">
        <w:t>The VCLT which sets out</w:t>
      </w:r>
      <w:r w:rsidR="0063531D" w:rsidRPr="002A4908">
        <w:t xml:space="preserve"> interpretive norms</w:t>
      </w:r>
      <w:r w:rsidRPr="002A4908">
        <w:t xml:space="preserve"> for all treaties in Article 31 says</w:t>
      </w:r>
      <w:r w:rsidR="0063531D" w:rsidRPr="002A4908">
        <w:t xml:space="preserve">:  "A treaty shall be interpreted in good faith in accordance with the </w:t>
      </w:r>
      <w:r w:rsidR="0063531D" w:rsidRPr="002A4908">
        <w:rPr>
          <w:i/>
        </w:rPr>
        <w:t>ordinary meaning</w:t>
      </w:r>
      <w:r w:rsidR="0063531D" w:rsidRPr="002A4908">
        <w:t xml:space="preserve"> </w:t>
      </w:r>
      <w:r w:rsidR="002F69DA">
        <w:t xml:space="preserve">(emphasis added) </w:t>
      </w:r>
      <w:r w:rsidR="0063531D" w:rsidRPr="002A4908">
        <w:t>to be given to the terms of the treaty in their context and in light of its object and purpose."</w:t>
      </w:r>
      <w:r w:rsidR="0063531D" w:rsidRPr="002A4908">
        <w:rPr>
          <w:rStyle w:val="FootnoteReference"/>
        </w:rPr>
        <w:footnoteReference w:id="15"/>
      </w:r>
      <w:r w:rsidR="0063531D" w:rsidRPr="002A4908">
        <w:t xml:space="preserve">  In other words, attention must be paid to the actual text of the treaty and, as an aid to interpretation, to its surrounding context.  </w:t>
      </w:r>
    </w:p>
    <w:p w14:paraId="7ACF3E5C" w14:textId="77777777" w:rsidR="0063531D" w:rsidRPr="002A4908" w:rsidRDefault="0063531D" w:rsidP="002A4908">
      <w:pPr>
        <w:autoSpaceDE w:val="0"/>
        <w:autoSpaceDN w:val="0"/>
        <w:adjustRightInd w:val="0"/>
        <w:jc w:val="both"/>
      </w:pPr>
    </w:p>
    <w:p w14:paraId="7B983878" w14:textId="3E300EC5" w:rsidR="0063531D" w:rsidRPr="002A4908" w:rsidRDefault="00733B8B" w:rsidP="002A4908">
      <w:pPr>
        <w:autoSpaceDE w:val="0"/>
        <w:autoSpaceDN w:val="0"/>
        <w:adjustRightInd w:val="0"/>
        <w:jc w:val="both"/>
      </w:pPr>
      <w:r w:rsidRPr="002A4908">
        <w:t>The application of</w:t>
      </w:r>
      <w:r w:rsidR="0063531D" w:rsidRPr="002A4908">
        <w:t xml:space="preserve"> these principles</w:t>
      </w:r>
      <w:r w:rsidRPr="002A4908">
        <w:t xml:space="preserve"> </w:t>
      </w:r>
      <w:r w:rsidR="002F69DA">
        <w:t>delineates the role of the CCPR</w:t>
      </w:r>
      <w:r w:rsidRPr="002A4908">
        <w:t xml:space="preserve"> and </w:t>
      </w:r>
      <w:r w:rsidR="0063531D" w:rsidRPr="002A4908">
        <w:t>is limited to the following:</w:t>
      </w:r>
    </w:p>
    <w:p w14:paraId="19BB46E9" w14:textId="7C74BE02" w:rsidR="0063531D" w:rsidRPr="002A4908" w:rsidRDefault="0063531D" w:rsidP="002F69DA">
      <w:pPr>
        <w:autoSpaceDE w:val="0"/>
        <w:autoSpaceDN w:val="0"/>
        <w:adjustRightInd w:val="0"/>
        <w:ind w:left="720"/>
        <w:jc w:val="both"/>
      </w:pPr>
      <w:r w:rsidRPr="002A4908">
        <w:t>Acceptance of reports by States Parties on measures which they have adopted and progress made in achieving the observance of rights for consideration in accordance wi</w:t>
      </w:r>
      <w:r w:rsidR="00384257">
        <w:t>th the provisions of ICCP</w:t>
      </w:r>
      <w:r w:rsidRPr="002A4908">
        <w:t>R.</w:t>
      </w:r>
      <w:r w:rsidRPr="002A4908">
        <w:rPr>
          <w:rStyle w:val="FootnoteReference"/>
        </w:rPr>
        <w:footnoteReference w:id="16"/>
      </w:r>
    </w:p>
    <w:p w14:paraId="409C211A" w14:textId="77777777" w:rsidR="0063531D" w:rsidRPr="002A4908" w:rsidRDefault="0063531D" w:rsidP="002F69DA">
      <w:pPr>
        <w:autoSpaceDE w:val="0"/>
        <w:autoSpaceDN w:val="0"/>
        <w:adjustRightInd w:val="0"/>
        <w:ind w:left="720"/>
        <w:jc w:val="both"/>
      </w:pPr>
      <w:r w:rsidRPr="002A4908">
        <w:t>Coordination with specialized agencies, including “particulars of decisions and recommendations on such implementation adopted by competent organs.”</w:t>
      </w:r>
      <w:r w:rsidRPr="002A4908">
        <w:rPr>
          <w:rStyle w:val="FootnoteReference"/>
        </w:rPr>
        <w:footnoteReference w:id="17"/>
      </w:r>
    </w:p>
    <w:p w14:paraId="40AEAEB9" w14:textId="77777777" w:rsidR="00B27015" w:rsidRDefault="00B27015" w:rsidP="002A4908">
      <w:pPr>
        <w:jc w:val="both"/>
      </w:pPr>
    </w:p>
    <w:p w14:paraId="0871C59A" w14:textId="77777777" w:rsidR="00B729D1" w:rsidRPr="00B729D1" w:rsidRDefault="00B27015" w:rsidP="00693830">
      <w:pPr>
        <w:pStyle w:val="ListParagraph"/>
        <w:numPr>
          <w:ilvl w:val="0"/>
          <w:numId w:val="15"/>
        </w:numPr>
        <w:jc w:val="both"/>
        <w:rPr>
          <w:b/>
        </w:rPr>
      </w:pPr>
      <w:r w:rsidRPr="00B729D1">
        <w:rPr>
          <w:b/>
        </w:rPr>
        <w:t>Treaty body mandates</w:t>
      </w:r>
    </w:p>
    <w:p w14:paraId="0FB668FC" w14:textId="77777777" w:rsidR="00B27015" w:rsidRDefault="00B27015" w:rsidP="00B729D1">
      <w:pPr>
        <w:pStyle w:val="ListParagraph"/>
        <w:jc w:val="both"/>
      </w:pPr>
    </w:p>
    <w:p w14:paraId="63E63C53" w14:textId="13C054D4" w:rsidR="00CC003B" w:rsidRPr="002A4908" w:rsidRDefault="00CC003B" w:rsidP="002A4908">
      <w:pPr>
        <w:jc w:val="both"/>
      </w:pPr>
      <w:r w:rsidRPr="002A4908">
        <w:t xml:space="preserve">Treaty body mandates create a narrow role for treaty </w:t>
      </w:r>
      <w:r w:rsidR="00384257">
        <w:t>bodies such as the Human Rights Committee</w:t>
      </w:r>
      <w:r w:rsidRPr="002A4908">
        <w:t>, and those bodies cannot exceed the scope of the authority set forth in the treaty itself.  Specifically, committee recommendations and general comments issued by treaty bodies are not binding on States Parties because such recommendations and comments are not part of the actual negotiated language of the treaty.</w:t>
      </w:r>
    </w:p>
    <w:p w14:paraId="12A51F83" w14:textId="77777777" w:rsidR="00CC003B" w:rsidRPr="002A4908" w:rsidRDefault="00CC003B" w:rsidP="002A4908">
      <w:pPr>
        <w:jc w:val="both"/>
      </w:pPr>
    </w:p>
    <w:p w14:paraId="55805701" w14:textId="77777777" w:rsidR="002A0E27" w:rsidRDefault="00CC003B" w:rsidP="002A4908">
      <w:pPr>
        <w:jc w:val="both"/>
        <w:rPr>
          <w:rFonts w:eastAsia="Calibri"/>
        </w:rPr>
      </w:pPr>
      <w:r w:rsidRPr="002A4908">
        <w:t>Moreover,</w:t>
      </w:r>
      <w:r w:rsidR="00384257">
        <w:rPr>
          <w:rFonts w:eastAsia="Calibri"/>
        </w:rPr>
        <w:t xml:space="preserve"> treaty bodies such as the Human Rights Committee</w:t>
      </w:r>
      <w:r w:rsidRPr="002A4908">
        <w:rPr>
          <w:rFonts w:eastAsia="Calibri"/>
        </w:rPr>
        <w:t xml:space="preserve"> do not have the authority to interpret or reinterpret treaties.</w:t>
      </w:r>
      <w:r w:rsidRPr="002A4908">
        <w:t xml:space="preserve">  </w:t>
      </w:r>
      <w:r w:rsidRPr="002A4908">
        <w:rPr>
          <w:rFonts w:eastAsia="Calibri"/>
        </w:rPr>
        <w:t xml:space="preserve">Authoritative interpretations of treaties are reserved to States Parties </w:t>
      </w:r>
      <w:r w:rsidRPr="002A4908">
        <w:rPr>
          <w:rFonts w:eastAsia="Calibri"/>
          <w:i/>
        </w:rPr>
        <w:t>collectively</w:t>
      </w:r>
      <w:r w:rsidRPr="002A4908">
        <w:rPr>
          <w:rFonts w:eastAsia="Calibri"/>
        </w:rPr>
        <w:t>.</w:t>
      </w:r>
      <w:r w:rsidRPr="002A4908">
        <w:rPr>
          <w:rStyle w:val="FootnoteReference"/>
          <w:rFonts w:eastAsia="Calibri"/>
        </w:rPr>
        <w:footnoteReference w:id="18"/>
      </w:r>
      <w:r w:rsidRPr="002A4908">
        <w:rPr>
          <w:rFonts w:eastAsia="Calibri"/>
        </w:rPr>
        <w:t xml:space="preserve">   </w:t>
      </w:r>
    </w:p>
    <w:p w14:paraId="6E1FDF6A" w14:textId="77777777" w:rsidR="00CC003B" w:rsidRDefault="00CC003B" w:rsidP="002A4908">
      <w:pPr>
        <w:jc w:val="both"/>
      </w:pPr>
    </w:p>
    <w:p w14:paraId="457820C7" w14:textId="77777777" w:rsidR="00384257" w:rsidRDefault="00384257" w:rsidP="00384257">
      <w:pPr>
        <w:jc w:val="both"/>
      </w:pPr>
    </w:p>
    <w:p w14:paraId="2C8E4684" w14:textId="77777777" w:rsidR="00384257" w:rsidRPr="004072EC" w:rsidRDefault="00384257" w:rsidP="00384257">
      <w:pPr>
        <w:jc w:val="both"/>
        <w:rPr>
          <w:b/>
        </w:rPr>
      </w:pPr>
      <w:r w:rsidRPr="004072EC">
        <w:rPr>
          <w:b/>
        </w:rPr>
        <w:t>I.</w:t>
      </w:r>
      <w:r w:rsidRPr="004072EC">
        <w:rPr>
          <w:b/>
        </w:rPr>
        <w:tab/>
        <w:t>ICCPR RECOGNIZES RIGHT TO LIFE OF THE UNBORN</w:t>
      </w:r>
    </w:p>
    <w:p w14:paraId="6933EFB8" w14:textId="77777777" w:rsidR="00384257" w:rsidRDefault="00384257" w:rsidP="00384257">
      <w:pPr>
        <w:jc w:val="both"/>
      </w:pPr>
    </w:p>
    <w:p w14:paraId="088067C6" w14:textId="584FA123" w:rsidR="00384257" w:rsidRPr="003B37FC" w:rsidRDefault="002F69DA" w:rsidP="00384257">
      <w:pPr>
        <w:jc w:val="both"/>
      </w:pPr>
      <w:r>
        <w:t>A.</w:t>
      </w:r>
      <w:r>
        <w:tab/>
      </w:r>
      <w:r w:rsidRPr="003E0292">
        <w:rPr>
          <w:b/>
        </w:rPr>
        <w:t>The r</w:t>
      </w:r>
      <w:r w:rsidR="00384257" w:rsidRPr="003E0292">
        <w:rPr>
          <w:b/>
        </w:rPr>
        <w:t>ight</w:t>
      </w:r>
      <w:r w:rsidRPr="003E0292">
        <w:rPr>
          <w:b/>
        </w:rPr>
        <w:t xml:space="preserve"> to life should be interpreted b</w:t>
      </w:r>
      <w:r w:rsidR="00384257" w:rsidRPr="003E0292">
        <w:rPr>
          <w:b/>
        </w:rPr>
        <w:t>roadly</w:t>
      </w:r>
      <w:r w:rsidR="00384257" w:rsidRPr="003B37FC">
        <w:t xml:space="preserve"> </w:t>
      </w:r>
    </w:p>
    <w:p w14:paraId="4119C90F" w14:textId="77777777" w:rsidR="00384257" w:rsidRDefault="00384257" w:rsidP="00384257">
      <w:pPr>
        <w:jc w:val="both"/>
      </w:pPr>
    </w:p>
    <w:p w14:paraId="15430BC9" w14:textId="1579471B" w:rsidR="00384257" w:rsidRDefault="00384257" w:rsidP="00E008C0">
      <w:pPr>
        <w:ind w:left="720"/>
        <w:jc w:val="both"/>
      </w:pPr>
      <w:r>
        <w:t>In its General Comment on Article 6, the Human Rights Committee noted that, “[T]he right to life has been too often narrowly interpreted. The expression ‘inherent right to life’ cannot properly be understood in a restrictive manner, and the protection of this right requires that States adopt positive measures,” including those aimed at reducing the deaths of infants</w:t>
      </w:r>
      <w:r w:rsidR="006048EF">
        <w:t xml:space="preserve"> and unborn babies</w:t>
      </w:r>
      <w:r>
        <w:t>.</w:t>
      </w:r>
      <w:r w:rsidR="00122828">
        <w:rPr>
          <w:rStyle w:val="FootnoteReference"/>
        </w:rPr>
        <w:footnoteReference w:id="19"/>
      </w:r>
      <w:r>
        <w:t xml:space="preserve"> </w:t>
      </w:r>
    </w:p>
    <w:p w14:paraId="4827CE7F" w14:textId="77777777" w:rsidR="00384257" w:rsidRDefault="00384257" w:rsidP="00384257">
      <w:pPr>
        <w:jc w:val="both"/>
      </w:pPr>
    </w:p>
    <w:p w14:paraId="23B5F2D2" w14:textId="06024CD3" w:rsidR="00E86C38" w:rsidRDefault="002F69DA" w:rsidP="003E0292">
      <w:pPr>
        <w:ind w:left="720" w:hanging="720"/>
        <w:jc w:val="both"/>
      </w:pPr>
      <w:r>
        <w:t>B.</w:t>
      </w:r>
      <w:r>
        <w:tab/>
      </w:r>
      <w:r w:rsidRPr="003E0292">
        <w:rPr>
          <w:b/>
        </w:rPr>
        <w:t>The covenant’s prohibition of the death p</w:t>
      </w:r>
      <w:r w:rsidR="00384257" w:rsidRPr="003E0292">
        <w:rPr>
          <w:b/>
        </w:rPr>
        <w:t>ena</w:t>
      </w:r>
      <w:r w:rsidRPr="003E0292">
        <w:rPr>
          <w:b/>
        </w:rPr>
        <w:t>lty for pregnant women r</w:t>
      </w:r>
      <w:r w:rsidR="00384257" w:rsidRPr="003E0292">
        <w:rPr>
          <w:b/>
        </w:rPr>
        <w:t>ec</w:t>
      </w:r>
      <w:r w:rsidR="006048EF" w:rsidRPr="003E0292">
        <w:rPr>
          <w:b/>
        </w:rPr>
        <w:t>ogniz</w:t>
      </w:r>
      <w:r w:rsidRPr="003E0292">
        <w:rPr>
          <w:b/>
        </w:rPr>
        <w:t>es the right to l</w:t>
      </w:r>
      <w:r w:rsidR="006048EF" w:rsidRPr="003E0292">
        <w:rPr>
          <w:b/>
        </w:rPr>
        <w:t>ife of</w:t>
      </w:r>
      <w:r w:rsidRPr="003E0292">
        <w:rPr>
          <w:b/>
        </w:rPr>
        <w:t xml:space="preserve"> u</w:t>
      </w:r>
      <w:r w:rsidR="00384257" w:rsidRPr="003E0292">
        <w:rPr>
          <w:b/>
        </w:rPr>
        <w:t>nborn</w:t>
      </w:r>
      <w:r w:rsidR="006048EF" w:rsidRPr="003E0292">
        <w:rPr>
          <w:b/>
        </w:rPr>
        <w:t xml:space="preserve"> babies</w:t>
      </w:r>
      <w:r w:rsidR="006048EF">
        <w:t>.</w:t>
      </w:r>
      <w:r w:rsidR="00384257">
        <w:t xml:space="preserve"> </w:t>
      </w:r>
      <w:r w:rsidR="00E86C38">
        <w:tab/>
      </w:r>
    </w:p>
    <w:p w14:paraId="708340F6" w14:textId="77777777" w:rsidR="00384257" w:rsidRDefault="00384257" w:rsidP="00384257">
      <w:pPr>
        <w:jc w:val="both"/>
      </w:pPr>
    </w:p>
    <w:p w14:paraId="766002F8" w14:textId="68A9A34F" w:rsidR="00384257" w:rsidRDefault="00384257" w:rsidP="00E008C0">
      <w:pPr>
        <w:ind w:left="720"/>
        <w:jc w:val="both"/>
      </w:pPr>
      <w:r>
        <w:t xml:space="preserve">The ICCPR allows for the death penalty to be imposed on adult men and women, but explicitly prohibits applying it to pregnant women. </w:t>
      </w:r>
    </w:p>
    <w:p w14:paraId="5C5EC99F" w14:textId="77777777" w:rsidR="00384257" w:rsidRDefault="00384257" w:rsidP="00384257">
      <w:pPr>
        <w:jc w:val="both"/>
      </w:pPr>
    </w:p>
    <w:p w14:paraId="3B69B766" w14:textId="4EEAF8FF" w:rsidR="00384257" w:rsidRDefault="002F69DA" w:rsidP="00E008C0">
      <w:pPr>
        <w:ind w:left="720"/>
        <w:jc w:val="both"/>
      </w:pPr>
      <w:r>
        <w:t>Article 6(5) states that</w:t>
      </w:r>
      <w:r w:rsidR="00384257">
        <w:t xml:space="preserve"> “Sentence of death shall not be imposed for crimes committed by persons below eighteen years of age and shall not be carried out on pregnant women.” As all other adult women may be subject to the death penalty, this clause must be read as recognizing the value of life in the mother’s womb, giving the unborn a status independent from that of the mother. </w:t>
      </w:r>
    </w:p>
    <w:p w14:paraId="61AD8757" w14:textId="77777777" w:rsidR="00384257" w:rsidRDefault="00384257" w:rsidP="00384257">
      <w:pPr>
        <w:jc w:val="both"/>
      </w:pPr>
    </w:p>
    <w:p w14:paraId="592DF2CA" w14:textId="4A7C6730" w:rsidR="00384257" w:rsidRDefault="00384257" w:rsidP="007C3E6B">
      <w:pPr>
        <w:ind w:left="720"/>
        <w:jc w:val="both"/>
      </w:pPr>
      <w:r>
        <w:t xml:space="preserve">As the </w:t>
      </w:r>
      <w:r w:rsidRPr="00122828">
        <w:rPr>
          <w:i/>
        </w:rPr>
        <w:t>travaux préparatoires</w:t>
      </w:r>
      <w:r w:rsidR="00122828">
        <w:rPr>
          <w:rStyle w:val="FootnoteReference"/>
          <w:i/>
        </w:rPr>
        <w:footnoteReference w:id="20"/>
      </w:r>
      <w:r w:rsidR="00122828">
        <w:t xml:space="preserve"> </w:t>
      </w:r>
      <w:r>
        <w:t xml:space="preserve">of the ICCPR explicitly state, “The principal reason for providing in paragraph 4 [now Article 6(5)] of the original text that the death sentence should not be carried out on pregnant women was to </w:t>
      </w:r>
      <w:r w:rsidRPr="00122828">
        <w:rPr>
          <w:i/>
        </w:rPr>
        <w:t>save the life of an innocent unborn child.”</w:t>
      </w:r>
      <w:r w:rsidR="00122828">
        <w:rPr>
          <w:rStyle w:val="FootnoteReference"/>
          <w:i/>
        </w:rPr>
        <w:footnoteReference w:id="21"/>
      </w:r>
      <w:r w:rsidR="002F69DA">
        <w:t xml:space="preserve"> (emphasis added)</w:t>
      </w:r>
      <w:r>
        <w:t xml:space="preserve"> Similarly, the Secretary-General report of 1955 notes that the intention of the paragraph “was inspired by humanitarian considerations and by consideration for the interests of the unborn child...”</w:t>
      </w:r>
      <w:r w:rsidR="009D13BC">
        <w:rPr>
          <w:rStyle w:val="FootnoteReference"/>
        </w:rPr>
        <w:footnoteReference w:id="22"/>
      </w:r>
      <w:r>
        <w:t xml:space="preserve"> </w:t>
      </w:r>
    </w:p>
    <w:p w14:paraId="56A6F643" w14:textId="77777777" w:rsidR="00E86C38" w:rsidRDefault="00E86C38" w:rsidP="00384257">
      <w:pPr>
        <w:jc w:val="both"/>
      </w:pPr>
    </w:p>
    <w:p w14:paraId="11B87AE0" w14:textId="3CD2C8D7" w:rsidR="00313C43" w:rsidRPr="00313C43" w:rsidRDefault="00884232" w:rsidP="00313C43">
      <w:pPr>
        <w:jc w:val="both"/>
        <w:rPr>
          <w:lang w:val="en-AU"/>
        </w:rPr>
      </w:pPr>
      <w:r>
        <w:rPr>
          <w:lang w:val="en-AU"/>
        </w:rPr>
        <w:t>C.</w:t>
      </w:r>
      <w:r>
        <w:rPr>
          <w:lang w:val="en-AU"/>
        </w:rPr>
        <w:tab/>
      </w:r>
      <w:r w:rsidR="00313C43" w:rsidRPr="003E0292">
        <w:rPr>
          <w:b/>
          <w:lang w:val="en-AU"/>
        </w:rPr>
        <w:t>Capital Punishment and rights of unborn</w:t>
      </w:r>
      <w:r w:rsidR="001121F0">
        <w:rPr>
          <w:rStyle w:val="FootnoteReference"/>
          <w:lang w:val="en-AU"/>
        </w:rPr>
        <w:footnoteReference w:id="23"/>
      </w:r>
    </w:p>
    <w:p w14:paraId="6D4E955A" w14:textId="77777777" w:rsidR="00313C43" w:rsidRPr="00313C43" w:rsidRDefault="00313C43" w:rsidP="00313C43">
      <w:pPr>
        <w:jc w:val="both"/>
        <w:rPr>
          <w:lang w:val="en-AU"/>
        </w:rPr>
      </w:pPr>
    </w:p>
    <w:p w14:paraId="5F0DAA5F" w14:textId="6110E43B" w:rsidR="00313C43" w:rsidRPr="00313C43" w:rsidRDefault="00313C43" w:rsidP="00F51712">
      <w:pPr>
        <w:ind w:left="720"/>
        <w:jc w:val="both"/>
        <w:rPr>
          <w:lang w:val="en-AU"/>
        </w:rPr>
      </w:pPr>
      <w:r w:rsidRPr="00313C43">
        <w:rPr>
          <w:lang w:val="en-AU"/>
        </w:rPr>
        <w:t xml:space="preserve">That international law does envisage human rights protection for the unborn can be seen in the provision dealing with capital punishment in the </w:t>
      </w:r>
      <w:r w:rsidRPr="00313C43">
        <w:rPr>
          <w:i/>
          <w:lang w:val="en-AU"/>
        </w:rPr>
        <w:t>International Covenant on Civil and Political Rights 1966</w:t>
      </w:r>
      <w:r w:rsidRPr="00313C43">
        <w:rPr>
          <w:lang w:val="en-AU"/>
        </w:rPr>
        <w:t>:</w:t>
      </w:r>
      <w:r w:rsidR="001121F0">
        <w:rPr>
          <w:lang w:val="en-AU"/>
        </w:rPr>
        <w:t xml:space="preserve"> </w:t>
      </w:r>
      <w:r w:rsidR="00F51712">
        <w:rPr>
          <w:lang w:val="en-AU"/>
        </w:rPr>
        <w:t>“</w:t>
      </w:r>
      <w:r w:rsidRPr="00313C43">
        <w:rPr>
          <w:lang w:val="en-AU"/>
        </w:rPr>
        <w:t xml:space="preserve">Sentence of death shall not be imposed for crimes committed by persons </w:t>
      </w:r>
      <w:r w:rsidRPr="00313C43">
        <w:rPr>
          <w:i/>
          <w:lang w:val="en-AU"/>
        </w:rPr>
        <w:t>below eighteen years of age</w:t>
      </w:r>
      <w:r w:rsidRPr="00313C43">
        <w:rPr>
          <w:lang w:val="en-AU"/>
        </w:rPr>
        <w:t xml:space="preserve"> and </w:t>
      </w:r>
      <w:r w:rsidRPr="00313C43">
        <w:rPr>
          <w:i/>
          <w:lang w:val="en-AU"/>
        </w:rPr>
        <w:t>shall not be carried out on pregnant women</w:t>
      </w:r>
      <w:r w:rsidR="00F51712">
        <w:rPr>
          <w:i/>
          <w:lang w:val="en-AU"/>
        </w:rPr>
        <w:t>.”</w:t>
      </w:r>
      <w:r w:rsidRPr="00313C43">
        <w:rPr>
          <w:vertAlign w:val="superscript"/>
          <w:lang w:val="en-AU"/>
        </w:rPr>
        <w:footnoteReference w:id="24"/>
      </w:r>
      <w:r w:rsidRPr="00313C43">
        <w:rPr>
          <w:lang w:val="en-AU"/>
        </w:rPr>
        <w:t xml:space="preserve"> (Emphasis added)</w:t>
      </w:r>
    </w:p>
    <w:p w14:paraId="60108964" w14:textId="77777777" w:rsidR="00F51712" w:rsidRDefault="00313C43" w:rsidP="00F51712">
      <w:pPr>
        <w:ind w:left="720"/>
        <w:jc w:val="both"/>
        <w:rPr>
          <w:lang w:val="en-AU"/>
        </w:rPr>
      </w:pPr>
      <w:r w:rsidRPr="00313C43">
        <w:rPr>
          <w:lang w:val="en-AU"/>
        </w:rPr>
        <w:t>In this provision, a state may execute a woman only when she is not pregnant.  The innocent are not to die along with the guilty.</w:t>
      </w:r>
      <w:r w:rsidRPr="00313C43">
        <w:rPr>
          <w:vertAlign w:val="superscript"/>
          <w:lang w:val="en-AU"/>
        </w:rPr>
        <w:footnoteReference w:id="25"/>
      </w:r>
      <w:r w:rsidRPr="00313C43">
        <w:rPr>
          <w:lang w:val="en-AU"/>
        </w:rPr>
        <w:t xml:space="preserve">  </w:t>
      </w:r>
    </w:p>
    <w:p w14:paraId="2A4DF99F" w14:textId="7573B8FC" w:rsidR="00313C43" w:rsidRPr="00313C43" w:rsidRDefault="00313C43" w:rsidP="00F51712">
      <w:pPr>
        <w:ind w:left="720"/>
        <w:jc w:val="both"/>
        <w:rPr>
          <w:lang w:val="en-AU"/>
        </w:rPr>
      </w:pPr>
      <w:r w:rsidRPr="00313C43">
        <w:rPr>
          <w:lang w:val="en-AU"/>
        </w:rPr>
        <w:t xml:space="preserve">Indeed the </w:t>
      </w:r>
      <w:r w:rsidRPr="00313C43">
        <w:rPr>
          <w:i/>
          <w:lang w:val="en-AU"/>
        </w:rPr>
        <w:t>travaux préparatoires</w:t>
      </w:r>
      <w:r w:rsidRPr="00313C43">
        <w:rPr>
          <w:lang w:val="en-AU"/>
        </w:rPr>
        <w:t xml:space="preserve"> of the </w:t>
      </w:r>
      <w:r w:rsidRPr="00313C43">
        <w:rPr>
          <w:i/>
          <w:lang w:val="en-AU"/>
        </w:rPr>
        <w:t>International Covenant on Civil and Political Rights 1966</w:t>
      </w:r>
      <w:r w:rsidRPr="00313C43">
        <w:rPr>
          <w:lang w:val="en-AU"/>
        </w:rPr>
        <w:t xml:space="preserve"> makes this abundantly clear:</w:t>
      </w:r>
    </w:p>
    <w:p w14:paraId="74F384FD" w14:textId="4EAA58E3" w:rsidR="00313C43" w:rsidRDefault="00313C43" w:rsidP="00F51712">
      <w:pPr>
        <w:ind w:left="720"/>
        <w:jc w:val="both"/>
        <w:rPr>
          <w:lang w:val="en-AU"/>
        </w:rPr>
      </w:pPr>
      <w:r w:rsidRPr="00313C43">
        <w:rPr>
          <w:lang w:val="en-AU"/>
        </w:rPr>
        <w:t>The principal reason for providing in paragraph 4 [now Article 6(5)]</w:t>
      </w:r>
      <w:r w:rsidR="001121F0">
        <w:rPr>
          <w:lang w:val="en-AU"/>
        </w:rPr>
        <w:t xml:space="preserve"> </w:t>
      </w:r>
      <w:r w:rsidRPr="00313C43">
        <w:rPr>
          <w:lang w:val="en-AU"/>
        </w:rPr>
        <w:t>of the original text that the death sentence should not be carried out on pregnant women was to save the life of an innocent unborn child.</w:t>
      </w:r>
      <w:r w:rsidRPr="00313C43">
        <w:rPr>
          <w:vertAlign w:val="superscript"/>
          <w:lang w:val="en-AU"/>
        </w:rPr>
        <w:footnoteReference w:id="26"/>
      </w:r>
      <w:r w:rsidR="001121F0">
        <w:rPr>
          <w:lang w:val="en-AU"/>
        </w:rPr>
        <w:t xml:space="preserve"> </w:t>
      </w:r>
      <w:r w:rsidRPr="00313C43">
        <w:rPr>
          <w:lang w:val="en-AU"/>
        </w:rPr>
        <w:t>Here is an explicit recognition in international law that the human rights enjoyed by all other members of the human family are also to be enjoyed by the unborn.  This fundamentally humane principle was reflected in the common law in England and Australia when each country had the death penalty.</w:t>
      </w:r>
      <w:r w:rsidRPr="00313C43">
        <w:rPr>
          <w:vertAlign w:val="superscript"/>
          <w:lang w:val="en-AU"/>
        </w:rPr>
        <w:footnoteReference w:id="27"/>
      </w:r>
      <w:r w:rsidRPr="00313C43">
        <w:rPr>
          <w:lang w:val="en-AU"/>
        </w:rPr>
        <w:t xml:space="preserve">  Again, Duxbury and Ward make no reference to this provision.  If this account of international law is wrong then it behoves those who deny human rights to some human beings to deal with the provisions of international law that seem to be saying that the unborn do have human rights.</w:t>
      </w:r>
    </w:p>
    <w:p w14:paraId="738C9ED2" w14:textId="77777777" w:rsidR="00F51712" w:rsidRPr="00313C43" w:rsidRDefault="00F51712" w:rsidP="00F51712">
      <w:pPr>
        <w:ind w:left="720"/>
        <w:jc w:val="both"/>
        <w:rPr>
          <w:lang w:val="en-AU"/>
        </w:rPr>
      </w:pPr>
    </w:p>
    <w:p w14:paraId="3D41DF63" w14:textId="5815FE9C" w:rsidR="00313C43" w:rsidRDefault="00313C43" w:rsidP="00F51712">
      <w:pPr>
        <w:ind w:left="720"/>
        <w:jc w:val="both"/>
        <w:rPr>
          <w:lang w:val="en-AU"/>
        </w:rPr>
      </w:pPr>
      <w:r w:rsidRPr="00313C43">
        <w:rPr>
          <w:lang w:val="en-AU"/>
        </w:rPr>
        <w:t xml:space="preserve">Abortion advocates, however, have asserted that when Article 1 of the </w:t>
      </w:r>
      <w:r w:rsidRPr="00313C43">
        <w:rPr>
          <w:i/>
          <w:lang w:val="en-AU"/>
        </w:rPr>
        <w:t xml:space="preserve">Universal Declaration of Human Rights </w:t>
      </w:r>
      <w:r w:rsidRPr="00F51712">
        <w:rPr>
          <w:lang w:val="en-AU"/>
        </w:rPr>
        <w:t xml:space="preserve">1948 </w:t>
      </w:r>
      <w:r w:rsidRPr="00313C43">
        <w:rPr>
          <w:lang w:val="en-AU"/>
        </w:rPr>
        <w:t>says that “all human beings are born free and equal in dignity and rights”, this means that “persons are recognized in international law, as human beings having been born.”</w:t>
      </w:r>
      <w:r w:rsidRPr="00313C43">
        <w:rPr>
          <w:vertAlign w:val="superscript"/>
          <w:lang w:val="en-AU"/>
        </w:rPr>
        <w:footnoteReference w:id="28"/>
      </w:r>
      <w:r w:rsidRPr="00313C43">
        <w:rPr>
          <w:lang w:val="en-AU"/>
        </w:rPr>
        <w:t xml:space="preserve">  This deduction is without merit in the light of the detailed arguments we have already adduced.  It cannot, in good faith, reasonably be deduced from Article 1, read in the context of the whole of the document and in the light of the Covenants which have further specified human rights, that unborn human beings are not </w:t>
      </w:r>
      <w:r w:rsidR="00F51712">
        <w:rPr>
          <w:lang w:val="en-AU"/>
        </w:rPr>
        <w:t xml:space="preserve">persons with rights. </w:t>
      </w:r>
      <w:r w:rsidRPr="00313C43">
        <w:rPr>
          <w:lang w:val="en-AU"/>
        </w:rPr>
        <w:t>The natural meaning of the text, in the light of the other references in the relevant provisions of international law, is that human beings without distinction are born free and equal in dignity and rights because as members of the human family they have had that status from the beginning.  The interpretation offered by abortion advocates is about as helpful as deducing from a statement that a baby is born human that it was not human before birth.</w:t>
      </w:r>
    </w:p>
    <w:p w14:paraId="74B5C11E" w14:textId="77777777" w:rsidR="00F51712" w:rsidRPr="00313C43" w:rsidRDefault="00F51712" w:rsidP="00F51712">
      <w:pPr>
        <w:ind w:left="720"/>
        <w:jc w:val="both"/>
        <w:rPr>
          <w:lang w:val="en-AU"/>
        </w:rPr>
      </w:pPr>
    </w:p>
    <w:p w14:paraId="60F0EC0A" w14:textId="1765EB97" w:rsidR="00384257" w:rsidRPr="003B37FC" w:rsidRDefault="00884232" w:rsidP="007C3E6B">
      <w:pPr>
        <w:ind w:left="720" w:hanging="720"/>
        <w:jc w:val="both"/>
      </w:pPr>
      <w:r>
        <w:t>D</w:t>
      </w:r>
      <w:r w:rsidR="00F51712">
        <w:t>.</w:t>
      </w:r>
      <w:r w:rsidR="00F51712">
        <w:tab/>
        <w:t>The covenant prohibits d</w:t>
      </w:r>
      <w:r w:rsidR="00384257" w:rsidRPr="003B37FC">
        <w:t>iscriminati</w:t>
      </w:r>
      <w:r w:rsidR="00F51712">
        <w:t>on based on birth or other status, which includes discrimination based on gestational a</w:t>
      </w:r>
      <w:r w:rsidR="00384257" w:rsidRPr="003B37FC">
        <w:t>ge</w:t>
      </w:r>
      <w:r w:rsidR="00F51712">
        <w:t>.</w:t>
      </w:r>
      <w:r w:rsidR="00384257" w:rsidRPr="003B37FC">
        <w:t xml:space="preserve"> </w:t>
      </w:r>
    </w:p>
    <w:p w14:paraId="159C1F97" w14:textId="77777777" w:rsidR="00384257" w:rsidRDefault="00384257" w:rsidP="00384257">
      <w:pPr>
        <w:jc w:val="both"/>
      </w:pPr>
    </w:p>
    <w:p w14:paraId="2174A32C" w14:textId="275F2CAC" w:rsidR="00384257" w:rsidRDefault="00384257" w:rsidP="00E008C0">
      <w:pPr>
        <w:ind w:left="720"/>
        <w:jc w:val="both"/>
      </w:pPr>
      <w:r>
        <w:t>Article 26 of the Covenant is intended to prevent all forms of discrimination against any human, without distinction of any kind, including distinction such as “birth or other status.”</w:t>
      </w:r>
    </w:p>
    <w:p w14:paraId="12A4951F" w14:textId="77777777" w:rsidR="00384257" w:rsidRDefault="00384257" w:rsidP="00384257">
      <w:pPr>
        <w:jc w:val="both"/>
      </w:pPr>
    </w:p>
    <w:p w14:paraId="4EF97A56" w14:textId="09419AC1" w:rsidR="00384257" w:rsidRDefault="00384257" w:rsidP="00E008C0">
      <w:pPr>
        <w:ind w:left="720"/>
        <w:jc w:val="both"/>
      </w:pPr>
      <w:r>
        <w:t>Articl</w:t>
      </w:r>
      <w:r w:rsidR="00E13AEF">
        <w:t xml:space="preserve">e 24 states that every child is </w:t>
      </w:r>
      <w:r>
        <w:t xml:space="preserve">deserving of protection. Accordingly, it would be fundamentally inconsistent for this provision to grant dramatically different protections a single day or a week before the actual birth of the child, given the unbroken cycle of development that takes place. </w:t>
      </w:r>
    </w:p>
    <w:p w14:paraId="53D7184C" w14:textId="77777777" w:rsidR="00384257" w:rsidRDefault="00384257" w:rsidP="00384257">
      <w:pPr>
        <w:jc w:val="both"/>
      </w:pPr>
    </w:p>
    <w:p w14:paraId="7DCBFA64" w14:textId="190F6414" w:rsidR="00384257" w:rsidRPr="003B37FC" w:rsidRDefault="00884232" w:rsidP="007C3E6B">
      <w:pPr>
        <w:ind w:left="720" w:hanging="720"/>
        <w:jc w:val="both"/>
      </w:pPr>
      <w:r>
        <w:t>E</w:t>
      </w:r>
      <w:r w:rsidR="00E13AEF">
        <w:t>.</w:t>
      </w:r>
      <w:r w:rsidR="00E13AEF">
        <w:tab/>
        <w:t>Denying the r</w:t>
      </w:r>
      <w:r w:rsidR="00384257" w:rsidRPr="003B37FC">
        <w:t>ight to</w:t>
      </w:r>
      <w:r w:rsidR="00E13AEF">
        <w:t xml:space="preserve"> life of the unborn often constitutes torture and thus v</w:t>
      </w:r>
      <w:r w:rsidR="00384257" w:rsidRPr="003B37FC">
        <w:t xml:space="preserve">iolates Article 7 of the Covenant </w:t>
      </w:r>
    </w:p>
    <w:p w14:paraId="1551C5EB" w14:textId="77777777" w:rsidR="00384257" w:rsidRPr="003B37FC" w:rsidRDefault="00384257" w:rsidP="00384257">
      <w:pPr>
        <w:jc w:val="both"/>
      </w:pPr>
    </w:p>
    <w:p w14:paraId="7D2277F2" w14:textId="52C88015" w:rsidR="00384257" w:rsidRDefault="006048EF" w:rsidP="00E008C0">
      <w:pPr>
        <w:pStyle w:val="ListParagraph"/>
        <w:ind w:left="1080"/>
        <w:jc w:val="both"/>
      </w:pPr>
      <w:r>
        <w:t>Abortion which is the method by which T</w:t>
      </w:r>
      <w:r w:rsidR="00384257">
        <w:t>he right to life of the unborn is most often violated, constitutes a violation of article 7 of the Covenant in that it amounts to a cruel, tortuous and inhuman practice.</w:t>
      </w:r>
    </w:p>
    <w:p w14:paraId="625E329C" w14:textId="77777777" w:rsidR="005263C6" w:rsidRDefault="005263C6" w:rsidP="005263C6">
      <w:pPr>
        <w:jc w:val="both"/>
      </w:pPr>
    </w:p>
    <w:p w14:paraId="37C5BB0E" w14:textId="77777777" w:rsidR="005263C6" w:rsidRPr="005263C6" w:rsidRDefault="005263C6" w:rsidP="003E0292">
      <w:pPr>
        <w:ind w:left="360" w:hanging="360"/>
        <w:jc w:val="both"/>
        <w:rPr>
          <w:b/>
        </w:rPr>
      </w:pPr>
      <w:r w:rsidRPr="005263C6">
        <w:rPr>
          <w:b/>
        </w:rPr>
        <w:t>II.</w:t>
      </w:r>
      <w:r w:rsidRPr="005263C6">
        <w:rPr>
          <w:b/>
        </w:rPr>
        <w:tab/>
        <w:t>OTHER INTERNATIONAL INSTRUMENTS RECOGNIZE RIGHT TO LIFE OF THE UNBORN</w:t>
      </w:r>
    </w:p>
    <w:p w14:paraId="37A5C9F3" w14:textId="77777777" w:rsidR="005263C6" w:rsidRDefault="005263C6" w:rsidP="005263C6">
      <w:pPr>
        <w:jc w:val="both"/>
      </w:pPr>
    </w:p>
    <w:p w14:paraId="6E413C27" w14:textId="1A01158C" w:rsidR="005263C6" w:rsidRPr="004072EC" w:rsidRDefault="005263C6" w:rsidP="005263C6">
      <w:pPr>
        <w:jc w:val="both"/>
        <w:rPr>
          <w:b/>
        </w:rPr>
      </w:pPr>
      <w:r w:rsidRPr="004072EC">
        <w:rPr>
          <w:b/>
        </w:rPr>
        <w:t>A.</w:t>
      </w:r>
      <w:r w:rsidRPr="004072EC">
        <w:rPr>
          <w:b/>
        </w:rPr>
        <w:tab/>
      </w:r>
      <w:r w:rsidR="00E13AEF">
        <w:rPr>
          <w:b/>
        </w:rPr>
        <w:t>International Treaties contain numerous references to the u</w:t>
      </w:r>
      <w:r w:rsidRPr="004072EC">
        <w:rPr>
          <w:b/>
        </w:rPr>
        <w:t>nborn</w:t>
      </w:r>
    </w:p>
    <w:p w14:paraId="57AD8BF1" w14:textId="77777777" w:rsidR="005263C6" w:rsidRDefault="005263C6" w:rsidP="005263C6">
      <w:pPr>
        <w:jc w:val="both"/>
      </w:pPr>
    </w:p>
    <w:p w14:paraId="4AEA3002" w14:textId="00C0E428" w:rsidR="003E0292" w:rsidRPr="003E0292" w:rsidRDefault="003E0292" w:rsidP="003E0292">
      <w:pPr>
        <w:pStyle w:val="ListParagraph"/>
        <w:ind w:left="1080"/>
        <w:jc w:val="both"/>
        <w:rPr>
          <w:b/>
        </w:rPr>
      </w:pPr>
      <w:r w:rsidRPr="003E0292">
        <w:rPr>
          <w:b/>
        </w:rPr>
        <w:t>The Convention on the Rights of the Child</w:t>
      </w:r>
      <w:r>
        <w:rPr>
          <w:b/>
        </w:rPr>
        <w:t>.</w:t>
      </w:r>
    </w:p>
    <w:p w14:paraId="37DE8C6B" w14:textId="553B532E" w:rsidR="005263C6" w:rsidRDefault="003E0292" w:rsidP="003E0292">
      <w:pPr>
        <w:pStyle w:val="ListParagraph"/>
        <w:ind w:left="1080"/>
        <w:jc w:val="both"/>
      </w:pPr>
      <w:r>
        <w:t>T</w:t>
      </w:r>
      <w:r w:rsidR="005263C6">
        <w:t>he preamble of the Convention on the Rights of the Child (1989) (“CRC”) explicitly recognizes the right to life of the unborn. According to the Vienna Convention on the Law of Treaties, the preamble of a treaty provides necessary interpretive context.</w:t>
      </w:r>
      <w:r w:rsidR="00245D4E">
        <w:rPr>
          <w:rStyle w:val="FootnoteReference"/>
        </w:rPr>
        <w:footnoteReference w:id="29"/>
      </w:r>
      <w:r w:rsidR="005263C6">
        <w:t xml:space="preserve">  The preamble to the CRC explicitly recognizes the child before birth as a rights-bearing person entitled to special need and protection, stating that: “[T]he child, by reason of his physical and mental immaturity, needs special safeguards and care, including appropriate legal protection, before as well as after birth.”</w:t>
      </w:r>
    </w:p>
    <w:p w14:paraId="2803C661" w14:textId="77777777" w:rsidR="00E13AEF" w:rsidRDefault="00E13AEF" w:rsidP="003E0292">
      <w:pPr>
        <w:pStyle w:val="ListParagraph"/>
        <w:ind w:left="1080"/>
        <w:jc w:val="both"/>
      </w:pPr>
    </w:p>
    <w:p w14:paraId="0F6F1D3B" w14:textId="0EDD0184" w:rsidR="00ED2524" w:rsidRPr="00E13AEF" w:rsidRDefault="00ED2524" w:rsidP="003E0292">
      <w:pPr>
        <w:pStyle w:val="ListParagraph"/>
        <w:ind w:left="1080"/>
        <w:jc w:val="both"/>
      </w:pPr>
      <w:r w:rsidRPr="00E13AEF">
        <w:rPr>
          <w:lang w:val="en-US"/>
        </w:rPr>
        <w:t>In Article 1 the CRC confers rights on all “human beings” who are under 18 years of age in the following terms:</w:t>
      </w:r>
    </w:p>
    <w:p w14:paraId="36A45A44" w14:textId="77777777" w:rsidR="00E13AEF" w:rsidRPr="00ED2524" w:rsidRDefault="00E13AEF" w:rsidP="00ED2524">
      <w:pPr>
        <w:jc w:val="both"/>
        <w:rPr>
          <w:lang w:val="en-US"/>
        </w:rPr>
      </w:pPr>
    </w:p>
    <w:p w14:paraId="34C112F0" w14:textId="77777777" w:rsidR="00ED2524" w:rsidRDefault="00ED2524" w:rsidP="00E13AEF">
      <w:pPr>
        <w:ind w:left="1080"/>
        <w:jc w:val="both"/>
        <w:rPr>
          <w:lang w:val="en-US"/>
        </w:rPr>
      </w:pPr>
      <w:r w:rsidRPr="00ED2524">
        <w:rPr>
          <w:lang w:val="en-US"/>
        </w:rPr>
        <w:t>“</w:t>
      </w:r>
      <w:r w:rsidRPr="003E0292">
        <w:rPr>
          <w:lang w:val="en-US"/>
        </w:rPr>
        <w:t>a child means every human being below the age of eighteen years</w:t>
      </w:r>
      <w:r w:rsidRPr="00ED2524">
        <w:rPr>
          <w:lang w:val="en-US"/>
        </w:rPr>
        <w:t xml:space="preserve"> unless under the law applicable to the child, majority is attained earlier”. </w:t>
      </w:r>
    </w:p>
    <w:p w14:paraId="33DE50C7" w14:textId="77777777" w:rsidR="00E13AEF" w:rsidRPr="00ED2524" w:rsidRDefault="00E13AEF" w:rsidP="00ED2524">
      <w:pPr>
        <w:ind w:firstLine="720"/>
        <w:jc w:val="both"/>
        <w:rPr>
          <w:lang w:val="en-US"/>
        </w:rPr>
      </w:pPr>
    </w:p>
    <w:p w14:paraId="6E0044FF" w14:textId="16FAE587" w:rsidR="00ED2524" w:rsidRDefault="00ED2524" w:rsidP="00E13AEF">
      <w:pPr>
        <w:ind w:left="1080"/>
        <w:jc w:val="both"/>
        <w:rPr>
          <w:lang w:val="en-US"/>
        </w:rPr>
      </w:pPr>
      <w:r w:rsidRPr="00ED2524">
        <w:rPr>
          <w:lang w:val="en-US"/>
        </w:rPr>
        <w:t>Article 1 does not define the term “human being,” however the fact that it uses the word child in both Article 1 and in the preamble is significant. The preamble makes no distinction between the period before birth and afterwards it uses the word child for the condition before as wel</w:t>
      </w:r>
      <w:r w:rsidR="003B37FC">
        <w:rPr>
          <w:lang w:val="en-US"/>
        </w:rPr>
        <w:t>l as after birth. Article 1 therefore</w:t>
      </w:r>
      <w:r w:rsidRPr="00ED2524">
        <w:rPr>
          <w:lang w:val="en-US"/>
        </w:rPr>
        <w:t xml:space="preserve"> in using the word child</w:t>
      </w:r>
      <w:r w:rsidR="003B37FC">
        <w:rPr>
          <w:lang w:val="en-US"/>
        </w:rPr>
        <w:t>,</w:t>
      </w:r>
      <w:r w:rsidRPr="00ED2524">
        <w:rPr>
          <w:lang w:val="en-US"/>
        </w:rPr>
        <w:t xml:space="preserve"> without any stipulation as to birth</w:t>
      </w:r>
      <w:r w:rsidR="003B37FC">
        <w:rPr>
          <w:lang w:val="en-US"/>
        </w:rPr>
        <w:t>,</w:t>
      </w:r>
      <w:r w:rsidRPr="00ED2524">
        <w:rPr>
          <w:lang w:val="en-US"/>
        </w:rPr>
        <w:t xml:space="preserve"> means that this refers to the child before as well as after birth</w:t>
      </w:r>
      <w:r w:rsidR="003B37FC">
        <w:rPr>
          <w:lang w:val="en-US"/>
        </w:rPr>
        <w:t>.</w:t>
      </w:r>
    </w:p>
    <w:p w14:paraId="74D6F895" w14:textId="77777777" w:rsidR="003B37FC" w:rsidRPr="00ED2524" w:rsidRDefault="003B37FC" w:rsidP="00ED2524">
      <w:pPr>
        <w:jc w:val="both"/>
        <w:rPr>
          <w:lang w:val="en-US"/>
        </w:rPr>
      </w:pPr>
    </w:p>
    <w:p w14:paraId="0651B2FF" w14:textId="77777777" w:rsidR="003E0292" w:rsidRDefault="003E0292" w:rsidP="003E0292">
      <w:pPr>
        <w:ind w:left="720"/>
        <w:jc w:val="both"/>
        <w:rPr>
          <w:b/>
        </w:rPr>
      </w:pPr>
      <w:r>
        <w:rPr>
          <w:b/>
        </w:rPr>
        <w:t xml:space="preserve">The Right to Life </w:t>
      </w:r>
    </w:p>
    <w:p w14:paraId="0595A8B5" w14:textId="074C825C" w:rsidR="0084344B" w:rsidRDefault="0084344B" w:rsidP="003E0292">
      <w:pPr>
        <w:ind w:left="720"/>
        <w:jc w:val="both"/>
      </w:pPr>
      <w:r w:rsidRPr="003E0292">
        <w:t xml:space="preserve">CRC </w:t>
      </w:r>
      <w:r w:rsidR="00ED2524" w:rsidRPr="003E0292">
        <w:t>Article 6</w:t>
      </w:r>
      <w:r w:rsidRPr="004846CC">
        <w:rPr>
          <w:b/>
        </w:rPr>
        <w:t>.</w:t>
      </w:r>
      <w:r>
        <w:t xml:space="preserve"> Recognises the right to life of every child in the following terms;</w:t>
      </w:r>
    </w:p>
    <w:p w14:paraId="72CDBE74" w14:textId="77777777" w:rsidR="00E13AEF" w:rsidRDefault="00E13AEF" w:rsidP="00E13AEF">
      <w:pPr>
        <w:jc w:val="both"/>
      </w:pPr>
    </w:p>
    <w:p w14:paraId="22E08B3F" w14:textId="288EB49E" w:rsidR="00ED2524" w:rsidRPr="004846CC" w:rsidRDefault="0084344B" w:rsidP="00884232">
      <w:pPr>
        <w:ind w:left="720"/>
        <w:jc w:val="both"/>
      </w:pPr>
      <w:r w:rsidRPr="004846CC">
        <w:t xml:space="preserve">1. </w:t>
      </w:r>
      <w:r w:rsidR="00ED2524" w:rsidRPr="004846CC">
        <w:t>States Parties recognize that every child has the inherent right to life.</w:t>
      </w:r>
    </w:p>
    <w:p w14:paraId="13254920" w14:textId="1C7AB527" w:rsidR="00ED2524" w:rsidRPr="004846CC" w:rsidRDefault="00ED2524" w:rsidP="00E13AEF">
      <w:pPr>
        <w:ind w:left="720"/>
        <w:jc w:val="both"/>
      </w:pPr>
      <w:r w:rsidRPr="004846CC">
        <w:t>2. States Parties shall ensure to the maximum extent possible the survival and development of the child.</w:t>
      </w:r>
    </w:p>
    <w:p w14:paraId="3EB0AF0B" w14:textId="77777777" w:rsidR="0084344B" w:rsidRDefault="0084344B" w:rsidP="00ED2524">
      <w:pPr>
        <w:jc w:val="both"/>
      </w:pPr>
    </w:p>
    <w:p w14:paraId="6FBDC5FA" w14:textId="059C82D9" w:rsidR="005263C6" w:rsidRDefault="005263C6" w:rsidP="00E008C0">
      <w:pPr>
        <w:pStyle w:val="ListParagraph"/>
        <w:numPr>
          <w:ilvl w:val="0"/>
          <w:numId w:val="17"/>
        </w:numPr>
        <w:jc w:val="both"/>
      </w:pPr>
      <w:r>
        <w:t>Viewed in the context of the preamble</w:t>
      </w:r>
      <w:r w:rsidR="0084344B">
        <w:t xml:space="preserve"> therefore</w:t>
      </w:r>
      <w:r>
        <w:t xml:space="preserve">, both Articles 1 and 6 of the CRC indicate recognition of, and protection for, unborn life. Article 1 of the CRC defines a child as “every human being below the age of eighteen years.” It therefore defines a ceiling, but not a floor, as to who is a child. The Convention intentionally does not say that the status of “child” attaches at the time of birth. Moreover, Article 6 holds that, “States Parties recognize that every child has the inherent right to life,” and that “States Parties shall ensure to the maximum extent possible the survival and development of the child.” </w:t>
      </w:r>
    </w:p>
    <w:p w14:paraId="16A16D2A" w14:textId="77777777" w:rsidR="0084344B" w:rsidRDefault="0084344B" w:rsidP="005263C6">
      <w:pPr>
        <w:jc w:val="both"/>
      </w:pPr>
    </w:p>
    <w:p w14:paraId="30A3881D" w14:textId="0CA982ED" w:rsidR="003E0292" w:rsidRPr="003E0292" w:rsidRDefault="003E0292" w:rsidP="00E13AEF">
      <w:pPr>
        <w:ind w:left="720"/>
        <w:jc w:val="both"/>
        <w:rPr>
          <w:b/>
        </w:rPr>
      </w:pPr>
      <w:r w:rsidRPr="003E0292">
        <w:rPr>
          <w:b/>
        </w:rPr>
        <w:t>The right to health</w:t>
      </w:r>
    </w:p>
    <w:p w14:paraId="4E74BE1A" w14:textId="5609F868" w:rsidR="0084344B" w:rsidRDefault="0084344B" w:rsidP="00E13AEF">
      <w:pPr>
        <w:ind w:left="720"/>
        <w:jc w:val="both"/>
      </w:pPr>
      <w:r>
        <w:t xml:space="preserve">The right to health, in </w:t>
      </w:r>
      <w:r w:rsidRPr="003E0292">
        <w:t>CRC Article 24</w:t>
      </w:r>
      <w:r>
        <w:t xml:space="preserve">, expressly gives children rights during the entire pre-natal period. When Article 1 is read in the light of Article 24, “human being” can be seen to include children during the entire pre-natal period, that is to say, from conception onwards. Article 24 reads: </w:t>
      </w:r>
    </w:p>
    <w:p w14:paraId="7ACC384A" w14:textId="22038C39" w:rsidR="0084344B" w:rsidRDefault="0084344B" w:rsidP="004846CC">
      <w:pPr>
        <w:ind w:left="720"/>
        <w:jc w:val="both"/>
      </w:pPr>
      <w:r>
        <w:t xml:space="preserve">1. States Parties recognize the right of the child to the enjoyment of the highest attainable standard of health … </w:t>
      </w:r>
    </w:p>
    <w:p w14:paraId="0798619A" w14:textId="21FD12CA" w:rsidR="0084344B" w:rsidRDefault="0084344B" w:rsidP="004846CC">
      <w:pPr>
        <w:ind w:left="720"/>
        <w:jc w:val="both"/>
      </w:pPr>
      <w:r>
        <w:t>2. States Parties shall pursue full implementation of this right, in particular, sh</w:t>
      </w:r>
      <w:r w:rsidR="00E13AEF">
        <w:t>all take appropriate measures: …</w:t>
      </w:r>
      <w:r>
        <w:t xml:space="preserve">  (d) To ensure appropriate pre-natal … health care for mothers.” (Article 24; italics added.) </w:t>
      </w:r>
    </w:p>
    <w:p w14:paraId="7BE50804" w14:textId="77777777" w:rsidR="0084344B" w:rsidRDefault="0084344B" w:rsidP="0084344B">
      <w:pPr>
        <w:jc w:val="both"/>
      </w:pPr>
      <w:r>
        <w:t xml:space="preserve"> </w:t>
      </w:r>
    </w:p>
    <w:p w14:paraId="1C716EB3" w14:textId="655FD27A" w:rsidR="0084344B" w:rsidRDefault="0084344B" w:rsidP="00E13AEF">
      <w:pPr>
        <w:ind w:left="720"/>
        <w:jc w:val="both"/>
      </w:pPr>
      <w:r>
        <w:t xml:space="preserve">Since 24.1 recognizes the child as the right-holder, the right </w:t>
      </w:r>
      <w:r w:rsidR="004846CC">
        <w:t xml:space="preserve">to pre-natal care is therefore </w:t>
      </w:r>
      <w:r>
        <w:t xml:space="preserve">for the benefit of the child, not the mother, according to the text of Article 24:  States Parties recognize the right of the child … to pre-natal … care. </w:t>
      </w:r>
    </w:p>
    <w:p w14:paraId="46B09C93" w14:textId="77777777" w:rsidR="0084344B" w:rsidRDefault="0084344B" w:rsidP="0084344B">
      <w:pPr>
        <w:jc w:val="both"/>
      </w:pPr>
      <w:r>
        <w:t xml:space="preserve"> </w:t>
      </w:r>
    </w:p>
    <w:p w14:paraId="00737B30" w14:textId="281A8FD4" w:rsidR="0084344B" w:rsidRDefault="0084344B" w:rsidP="00E13AEF">
      <w:pPr>
        <w:ind w:left="720"/>
        <w:jc w:val="both"/>
      </w:pPr>
      <w:r>
        <w:t>The fact that the text says “pre-natal …health care for mothers” (emphasis added) does not convert the right into the right of the mother, whose own right to health is recognized under different conventions. By definition, pre-natal care in this context is medical care that is delivered to the mother for the benefit of the child.</w:t>
      </w:r>
    </w:p>
    <w:p w14:paraId="4276AD80" w14:textId="77777777" w:rsidR="0084344B" w:rsidRDefault="0084344B" w:rsidP="005263C6">
      <w:pPr>
        <w:jc w:val="both"/>
      </w:pPr>
    </w:p>
    <w:p w14:paraId="47E7533D" w14:textId="6EDD7B49" w:rsidR="00ED2524" w:rsidRPr="004846CC" w:rsidRDefault="00884232" w:rsidP="005263C6">
      <w:pPr>
        <w:jc w:val="both"/>
        <w:rPr>
          <w:b/>
        </w:rPr>
      </w:pPr>
      <w:r>
        <w:rPr>
          <w:b/>
        </w:rPr>
        <w:t>B.</w:t>
      </w:r>
      <w:r>
        <w:rPr>
          <w:b/>
        </w:rPr>
        <w:tab/>
      </w:r>
      <w:r w:rsidR="004846CC" w:rsidRPr="004846CC">
        <w:rPr>
          <w:b/>
        </w:rPr>
        <w:t>Geneva Convention</w:t>
      </w:r>
    </w:p>
    <w:p w14:paraId="5E60F13E" w14:textId="34DA908B" w:rsidR="005263C6" w:rsidRDefault="005263C6" w:rsidP="00E008C0">
      <w:pPr>
        <w:ind w:left="720"/>
        <w:jc w:val="both"/>
      </w:pPr>
      <w:r>
        <w:t>Article 16 of the Geneva Convention relative to the Protection of Civilian Persons in Time of War (1949) states that, “the wounded and sick, as well as the infirm, and expectant mothers, shall be the object of particular protection and respect.”</w:t>
      </w:r>
    </w:p>
    <w:p w14:paraId="04C682CA" w14:textId="77777777" w:rsidR="00E13AEF" w:rsidRDefault="00E13AEF" w:rsidP="00E13AEF">
      <w:pPr>
        <w:ind w:left="720" w:hanging="720"/>
        <w:jc w:val="both"/>
      </w:pPr>
    </w:p>
    <w:p w14:paraId="4813C73E" w14:textId="3FE7E157" w:rsidR="005263C6" w:rsidRDefault="005263C6" w:rsidP="00E008C0">
      <w:pPr>
        <w:ind w:left="720"/>
        <w:jc w:val="both"/>
      </w:pPr>
      <w:r>
        <w:t>Article 2(d) of the Convention on the Prevention and Punishment of the Crime of Genocide (1948) defines genocide to include “imposing measures intended to prevent births within the group.”</w:t>
      </w:r>
    </w:p>
    <w:p w14:paraId="52041B55" w14:textId="77777777" w:rsidR="006A65A8" w:rsidRDefault="006A65A8" w:rsidP="005263C6">
      <w:pPr>
        <w:jc w:val="both"/>
      </w:pPr>
    </w:p>
    <w:p w14:paraId="1C05AD80" w14:textId="65CFF653" w:rsidR="006A65A8" w:rsidRPr="006A65A8" w:rsidRDefault="00A720B7" w:rsidP="006A65A8">
      <w:pPr>
        <w:jc w:val="both"/>
        <w:rPr>
          <w:b/>
          <w:lang w:val="en-AU"/>
        </w:rPr>
      </w:pPr>
      <w:r>
        <w:rPr>
          <w:b/>
          <w:lang w:val="en-AU"/>
        </w:rPr>
        <w:t>C.</w:t>
      </w:r>
      <w:r>
        <w:rPr>
          <w:b/>
          <w:lang w:val="en-AU"/>
        </w:rPr>
        <w:tab/>
      </w:r>
      <w:r w:rsidR="006A65A8" w:rsidRPr="006A65A8">
        <w:rPr>
          <w:b/>
          <w:lang w:val="en-AU"/>
        </w:rPr>
        <w:t>Abortion and genocide</w:t>
      </w:r>
      <w:r w:rsidR="001121F0">
        <w:rPr>
          <w:rStyle w:val="FootnoteReference"/>
          <w:b/>
          <w:lang w:val="en-AU"/>
        </w:rPr>
        <w:footnoteReference w:id="30"/>
      </w:r>
    </w:p>
    <w:p w14:paraId="20DDCE9C" w14:textId="46E3AC0A" w:rsidR="006A65A8" w:rsidRDefault="006A65A8" w:rsidP="00E13AEF">
      <w:pPr>
        <w:ind w:left="720"/>
        <w:jc w:val="both"/>
        <w:rPr>
          <w:lang w:val="en-AU"/>
        </w:rPr>
      </w:pPr>
      <w:r>
        <w:rPr>
          <w:lang w:val="en-AU"/>
        </w:rPr>
        <w:t>T</w:t>
      </w:r>
      <w:r w:rsidRPr="006A65A8">
        <w:rPr>
          <w:lang w:val="en-AU"/>
        </w:rPr>
        <w:t xml:space="preserve">he use of abortion as a means of genocide is raised in the </w:t>
      </w:r>
      <w:r w:rsidRPr="006A65A8">
        <w:rPr>
          <w:i/>
          <w:lang w:val="en-AU"/>
        </w:rPr>
        <w:t>Convention on the Prevention and Punishment of the Crime of Genocide 1948</w:t>
      </w:r>
      <w:r w:rsidRPr="006A65A8">
        <w:rPr>
          <w:lang w:val="en-AU"/>
        </w:rPr>
        <w:t>.</w:t>
      </w:r>
      <w:r w:rsidRPr="006A65A8">
        <w:rPr>
          <w:vertAlign w:val="superscript"/>
          <w:lang w:val="en-AU"/>
        </w:rPr>
        <w:footnoteReference w:id="31"/>
      </w:r>
      <w:r w:rsidRPr="006A65A8">
        <w:rPr>
          <w:lang w:val="en-AU"/>
        </w:rPr>
        <w:t xml:space="preserve">  In Article II the Convention defines the “odious scourge”</w:t>
      </w:r>
      <w:r w:rsidRPr="006A65A8">
        <w:rPr>
          <w:vertAlign w:val="superscript"/>
          <w:lang w:val="en-AU"/>
        </w:rPr>
        <w:footnoteReference w:id="32"/>
      </w:r>
      <w:r w:rsidRPr="006A65A8">
        <w:rPr>
          <w:lang w:val="en-AU"/>
        </w:rPr>
        <w:t xml:space="preserve"> of genocide to include “killing members of the group” and “imposing measures intended to prevent births within the group.”</w:t>
      </w:r>
      <w:r w:rsidRPr="006A65A8">
        <w:rPr>
          <w:vertAlign w:val="superscript"/>
          <w:lang w:val="en-AU"/>
        </w:rPr>
        <w:footnoteReference w:id="33"/>
      </w:r>
      <w:r w:rsidRPr="006A65A8">
        <w:rPr>
          <w:lang w:val="en-AU"/>
        </w:rPr>
        <w:t xml:space="preserve">  The latter inclusion explicitly recognises the right to life of the unborn.  In the same article genocide is conceived in terms of an intention “to destroy, in whole or in part, a national, ethnical, racial or religious group”.  The question is, to what extent, if at all, does this apply to the practice of abortion in contemporary society?</w:t>
      </w:r>
    </w:p>
    <w:p w14:paraId="488FE774" w14:textId="77777777" w:rsidR="00E13AEF" w:rsidRPr="006A65A8" w:rsidRDefault="00E13AEF" w:rsidP="00E13AEF">
      <w:pPr>
        <w:ind w:left="720"/>
        <w:jc w:val="both"/>
        <w:rPr>
          <w:lang w:val="en-AU"/>
        </w:rPr>
      </w:pPr>
    </w:p>
    <w:p w14:paraId="784BF89B" w14:textId="77777777" w:rsidR="006A65A8" w:rsidRDefault="006A65A8" w:rsidP="00E13AEF">
      <w:pPr>
        <w:ind w:left="720"/>
        <w:jc w:val="both"/>
        <w:rPr>
          <w:lang w:val="en-AU"/>
        </w:rPr>
      </w:pPr>
      <w:r w:rsidRPr="006A65A8">
        <w:rPr>
          <w:lang w:val="en-AU"/>
        </w:rPr>
        <w:t xml:space="preserve">Much depends on what should be understood by the term “in whole or in part of a national group”. The moral justification most frequently advanced for abortion is that, as a group or category of human beings, the unborn are not persons and accordingly have no right to life to protect.  But, as we have already argued, the unborn are part of the human family.  And the human family is itself broken down into nation states or groups.  The unborn are, then, a sub-group of a national group.  If the unborn, contrary to Article 6 of the </w:t>
      </w:r>
      <w:r w:rsidRPr="006A65A8">
        <w:rPr>
          <w:i/>
          <w:lang w:val="en-AU"/>
        </w:rPr>
        <w:t>Universal Declaration of Human Rights 1948</w:t>
      </w:r>
      <w:r w:rsidRPr="006A65A8">
        <w:rPr>
          <w:lang w:val="en-AU"/>
        </w:rPr>
        <w:t xml:space="preserve"> and Articles 6 and 16 of the </w:t>
      </w:r>
      <w:r w:rsidRPr="006A65A8">
        <w:rPr>
          <w:i/>
          <w:lang w:val="en-AU"/>
        </w:rPr>
        <w:t>International Covenant on Civil and Political Rights 1966</w:t>
      </w:r>
      <w:r w:rsidRPr="006A65A8">
        <w:rPr>
          <w:lang w:val="en-AU"/>
        </w:rPr>
        <w:t>, are defined, as a group, as non-persons and therefore beyond moral and legal protection, does the crime of genocide apply to those countries that fail to give protection to that part of the national group?</w:t>
      </w:r>
    </w:p>
    <w:p w14:paraId="53AF2089" w14:textId="77777777" w:rsidR="00E13AEF" w:rsidRPr="006A65A8" w:rsidRDefault="00E13AEF" w:rsidP="00E13AEF">
      <w:pPr>
        <w:ind w:left="720"/>
        <w:jc w:val="both"/>
        <w:rPr>
          <w:lang w:val="en-AU"/>
        </w:rPr>
      </w:pPr>
    </w:p>
    <w:p w14:paraId="158D4C85" w14:textId="77777777" w:rsidR="006A65A8" w:rsidRDefault="006A65A8" w:rsidP="00E13AEF">
      <w:pPr>
        <w:ind w:left="720"/>
        <w:jc w:val="both"/>
        <w:rPr>
          <w:lang w:val="en-AU"/>
        </w:rPr>
      </w:pPr>
      <w:r w:rsidRPr="006A65A8">
        <w:rPr>
          <w:lang w:val="en-AU"/>
        </w:rPr>
        <w:t>Even more obviously, “disabled persons” are recognised in international law as a group which forms part of a nation.</w:t>
      </w:r>
      <w:r w:rsidRPr="006A65A8">
        <w:rPr>
          <w:vertAlign w:val="superscript"/>
          <w:lang w:val="en-AU"/>
        </w:rPr>
        <w:footnoteReference w:id="34"/>
      </w:r>
      <w:r w:rsidRPr="006A65A8">
        <w:rPr>
          <w:lang w:val="en-AU"/>
        </w:rPr>
        <w:t xml:space="preserve">  These persons “have the same civil and political rights as other human beings”</w:t>
      </w:r>
      <w:r w:rsidRPr="006A65A8">
        <w:rPr>
          <w:vertAlign w:val="superscript"/>
          <w:lang w:val="en-AU"/>
        </w:rPr>
        <w:footnoteReference w:id="35"/>
      </w:r>
      <w:r w:rsidRPr="006A65A8">
        <w:rPr>
          <w:lang w:val="en-AU"/>
        </w:rPr>
        <w:t xml:space="preserve"> and must be “protected against all exploitation, all regulations and all treatment of a discriminatory, abusive or degrading nature.”</w:t>
      </w:r>
      <w:r w:rsidRPr="006A65A8">
        <w:rPr>
          <w:vertAlign w:val="superscript"/>
          <w:lang w:val="en-AU"/>
        </w:rPr>
        <w:footnoteReference w:id="36"/>
      </w:r>
      <w:r w:rsidRPr="006A65A8">
        <w:rPr>
          <w:lang w:val="en-AU"/>
        </w:rPr>
        <w:t xml:space="preserve">  If it is legally permissible to end the life of unborn human beings with disabilities, and medical tests are routinely applied to pregnant women to discover any fetal abnormality, would this not amount to the crime of genocide against the disabled unborn?</w:t>
      </w:r>
    </w:p>
    <w:p w14:paraId="008007FB" w14:textId="77777777" w:rsidR="00E13AEF" w:rsidRPr="006A65A8" w:rsidRDefault="00E13AEF" w:rsidP="00E13AEF">
      <w:pPr>
        <w:ind w:left="720"/>
        <w:jc w:val="both"/>
        <w:rPr>
          <w:lang w:val="en-AU"/>
        </w:rPr>
      </w:pPr>
    </w:p>
    <w:p w14:paraId="68BD47AE" w14:textId="77777777" w:rsidR="006A65A8" w:rsidRDefault="006A65A8" w:rsidP="00E13AEF">
      <w:pPr>
        <w:ind w:left="720"/>
        <w:jc w:val="both"/>
        <w:rPr>
          <w:lang w:val="en-AU"/>
        </w:rPr>
      </w:pPr>
      <w:r w:rsidRPr="006A65A8">
        <w:rPr>
          <w:lang w:val="en-AU"/>
        </w:rPr>
        <w:t xml:space="preserve">The Genocide Convention speaks of “imposing measures intended to prevent births within the group.”  Does this mean that the Genocide Convention is limited only to cases where abortion is imposed </w:t>
      </w:r>
      <w:r w:rsidRPr="006A65A8">
        <w:rPr>
          <w:i/>
          <w:lang w:val="en-AU"/>
        </w:rPr>
        <w:t>on women</w:t>
      </w:r>
      <w:r w:rsidRPr="006A65A8">
        <w:rPr>
          <w:lang w:val="en-AU"/>
        </w:rPr>
        <w:t>?  The answer to this question is no.  Since the Genocide Convention defines genocide in terms of “killing members of the group”, since “measures intended to prevent births” clearly includes induced abortion, and since abortion involves the intentional killing of the unborn, then the Convention’s reference to “imposing measures” cannot be interpreted in a way that would limit its application to women who are forcibly aborted.  And in any case, the Convention’s definition of genocide includes “killing members of the group”. This is sufficient by itself to raise serious questions as to whether the practice of abortion is genocide.</w:t>
      </w:r>
    </w:p>
    <w:p w14:paraId="15D9D059" w14:textId="77777777" w:rsidR="00BE184A" w:rsidRPr="006A65A8" w:rsidRDefault="00BE184A" w:rsidP="00E13AEF">
      <w:pPr>
        <w:ind w:left="720"/>
        <w:jc w:val="both"/>
        <w:rPr>
          <w:lang w:val="en-AU"/>
        </w:rPr>
      </w:pPr>
    </w:p>
    <w:p w14:paraId="4073D559" w14:textId="77777777" w:rsidR="006A65A8" w:rsidRPr="006A65A8" w:rsidRDefault="006A65A8" w:rsidP="00E13AEF">
      <w:pPr>
        <w:ind w:left="720"/>
        <w:jc w:val="both"/>
        <w:rPr>
          <w:lang w:val="en-AU"/>
        </w:rPr>
      </w:pPr>
      <w:r w:rsidRPr="006A65A8">
        <w:rPr>
          <w:lang w:val="en-AU"/>
        </w:rPr>
        <w:t>What often makes a group vulnerable to genocide is the denial of human rights, precisely what has occurred to the unborn in Australia and in many other countries.</w:t>
      </w:r>
    </w:p>
    <w:p w14:paraId="36CC89D4" w14:textId="77777777" w:rsidR="006A65A8" w:rsidRPr="006A65A8" w:rsidRDefault="006A65A8" w:rsidP="00E13AEF">
      <w:pPr>
        <w:ind w:left="720"/>
        <w:jc w:val="both"/>
        <w:rPr>
          <w:lang w:val="en-AU"/>
        </w:rPr>
      </w:pPr>
      <w:r w:rsidRPr="006A65A8">
        <w:rPr>
          <w:lang w:val="en-AU"/>
        </w:rPr>
        <w:t>The questions that supporters of legal abortion need to address, then, are these:  how is it not genocide to define some members of the human family as non-persons, thereby allowing them to be directly and intentionally killed by induced abortion?  How is it not genocide to legally prescribe and actively promote the induced abortion of human beings on the grounds of their actual or perceived disability?  If it could be shown that homosexuality was genetically influenced, and homosexuality was thought of as a disability, would the routine abortion of homosexuals be considered the crime of genocide against homosexuals?</w:t>
      </w:r>
    </w:p>
    <w:p w14:paraId="314AC21D" w14:textId="77777777" w:rsidR="006A65A8" w:rsidRDefault="006A65A8" w:rsidP="005263C6">
      <w:pPr>
        <w:jc w:val="both"/>
      </w:pPr>
    </w:p>
    <w:p w14:paraId="64F03FF7" w14:textId="15F65AFC" w:rsidR="005263C6" w:rsidRPr="004072EC" w:rsidRDefault="00A720B7" w:rsidP="005263C6">
      <w:pPr>
        <w:jc w:val="both"/>
        <w:rPr>
          <w:b/>
        </w:rPr>
      </w:pPr>
      <w:r>
        <w:rPr>
          <w:b/>
        </w:rPr>
        <w:t>D</w:t>
      </w:r>
      <w:r w:rsidR="005263C6" w:rsidRPr="004072EC">
        <w:rPr>
          <w:b/>
        </w:rPr>
        <w:t>.</w:t>
      </w:r>
      <w:r w:rsidR="005263C6" w:rsidRPr="004072EC">
        <w:rPr>
          <w:b/>
        </w:rPr>
        <w:tab/>
        <w:t xml:space="preserve">Regional Human Rights Treaties can be Interpreted as Protecting Unborn Life </w:t>
      </w:r>
    </w:p>
    <w:p w14:paraId="6FD2D59F" w14:textId="77777777" w:rsidR="005263C6" w:rsidRDefault="005263C6" w:rsidP="005263C6">
      <w:pPr>
        <w:jc w:val="both"/>
      </w:pPr>
    </w:p>
    <w:p w14:paraId="065A2E60" w14:textId="3DBC8CF7" w:rsidR="005263C6" w:rsidRDefault="005263C6" w:rsidP="00E008C0">
      <w:pPr>
        <w:ind w:left="720"/>
        <w:jc w:val="both"/>
      </w:pPr>
      <w:r>
        <w:t>Article 4(1) of the American Convention on Human Rights (1969) states that, “Every person has the right to have his life respected. This right shall be protected by law and, in general, from the moment of conception. No one shall be arbitrarily deprived of his life.”</w:t>
      </w:r>
    </w:p>
    <w:p w14:paraId="4CB1C4DC" w14:textId="77777777" w:rsidR="005263C6" w:rsidRDefault="005263C6" w:rsidP="005263C6">
      <w:pPr>
        <w:jc w:val="both"/>
      </w:pPr>
    </w:p>
    <w:p w14:paraId="5AD9F74C" w14:textId="0578A8B7" w:rsidR="005263C6" w:rsidRDefault="005263C6" w:rsidP="00E008C0">
      <w:pPr>
        <w:ind w:left="720"/>
        <w:jc w:val="both"/>
      </w:pPr>
      <w:r>
        <w:t>Article 2 of the European Convention on Human Rights states that “Everyone’s right to life shall be protected by law.” In H. v. Norway, the European Court of Human Rights recognized that States are obligated to take positive measures to safeguard human life, which could include the life of the unborn child.</w:t>
      </w:r>
      <w:r w:rsidR="00662DCC">
        <w:rPr>
          <w:rStyle w:val="FootnoteReference"/>
        </w:rPr>
        <w:footnoteReference w:id="37"/>
      </w:r>
      <w:r>
        <w:t xml:space="preserve">  In the case of </w:t>
      </w:r>
      <w:r w:rsidRPr="00662DCC">
        <w:rPr>
          <w:i/>
        </w:rPr>
        <w:t>Boso v. Italy</w:t>
      </w:r>
      <w:r>
        <w:t>, the Court identified the need to ensure protection of the unborn child as meriting a degree of protection.</w:t>
      </w:r>
      <w:r w:rsidR="00662DCC">
        <w:rPr>
          <w:rStyle w:val="FootnoteReference"/>
        </w:rPr>
        <w:footnoteReference w:id="38"/>
      </w:r>
      <w:r>
        <w:t xml:space="preserve">  In Case of Vo v. France,</w:t>
      </w:r>
      <w:r w:rsidR="00662DCC">
        <w:rPr>
          <w:rStyle w:val="FootnoteReference"/>
        </w:rPr>
        <w:footnoteReference w:id="39"/>
      </w:r>
      <w:r>
        <w:t xml:space="preserve"> the Court acknowledged that with scientific progress a growing consensus is emerging among Member States that the unborn child is part of the human race and is wort</w:t>
      </w:r>
      <w:r w:rsidR="00BD0B73">
        <w:t>hy of some level of protection.</w:t>
      </w:r>
      <w:r w:rsidR="00BD0B73">
        <w:rPr>
          <w:rStyle w:val="FootnoteReference"/>
        </w:rPr>
        <w:footnoteReference w:id="40"/>
      </w:r>
      <w:r>
        <w:t xml:space="preserve"> </w:t>
      </w:r>
    </w:p>
    <w:p w14:paraId="76F11478" w14:textId="77777777" w:rsidR="005263C6" w:rsidRDefault="005263C6" w:rsidP="005263C6">
      <w:pPr>
        <w:jc w:val="both"/>
      </w:pPr>
    </w:p>
    <w:p w14:paraId="19AB3515" w14:textId="00ED24D0" w:rsidR="005263C6" w:rsidRDefault="005263C6" w:rsidP="00E008C0">
      <w:pPr>
        <w:ind w:left="720"/>
        <w:jc w:val="both"/>
      </w:pPr>
      <w:r>
        <w:t>Article 1 of the Convention on Human Rights and Biomedicine (“Oviedo Convention”) (1997) calls on its signatories to “protect the dignity and identity of all human beings.”</w:t>
      </w:r>
    </w:p>
    <w:p w14:paraId="58203946" w14:textId="77777777" w:rsidR="005263C6" w:rsidRDefault="005263C6" w:rsidP="005263C6">
      <w:pPr>
        <w:jc w:val="both"/>
      </w:pPr>
    </w:p>
    <w:p w14:paraId="674219AE" w14:textId="50D2AF0D" w:rsidR="005263C6" w:rsidRDefault="005263C6" w:rsidP="00BE184A">
      <w:pPr>
        <w:ind w:left="720"/>
        <w:jc w:val="both"/>
      </w:pPr>
      <w:r>
        <w:t xml:space="preserve">Based on European Union law, the Court of Justice of the European Union has prohibited the destruction of human embryos within the context of European patent law. </w:t>
      </w:r>
    </w:p>
    <w:p w14:paraId="36936D3E" w14:textId="77777777" w:rsidR="005263C6" w:rsidRDefault="005263C6" w:rsidP="005263C6">
      <w:pPr>
        <w:jc w:val="both"/>
      </w:pPr>
    </w:p>
    <w:p w14:paraId="1B7F50BC" w14:textId="4BCA199C" w:rsidR="002B0522" w:rsidRPr="002B0522" w:rsidRDefault="00A720B7" w:rsidP="005263C6">
      <w:pPr>
        <w:jc w:val="both"/>
        <w:rPr>
          <w:b/>
        </w:rPr>
      </w:pPr>
      <w:r>
        <w:rPr>
          <w:b/>
        </w:rPr>
        <w:t xml:space="preserve">111. </w:t>
      </w:r>
      <w:r w:rsidR="002B0522" w:rsidRPr="002B0522">
        <w:rPr>
          <w:b/>
        </w:rPr>
        <w:t>PERSONHOOD</w:t>
      </w:r>
    </w:p>
    <w:p w14:paraId="78CEA7CD" w14:textId="77777777" w:rsidR="002B0522" w:rsidRDefault="002B0522" w:rsidP="005263C6">
      <w:pPr>
        <w:jc w:val="both"/>
      </w:pPr>
    </w:p>
    <w:p w14:paraId="24C84463" w14:textId="77777777" w:rsidR="002B0522" w:rsidRDefault="002B0522" w:rsidP="002B0522">
      <w:pPr>
        <w:ind w:left="720"/>
        <w:jc w:val="both"/>
        <w:rPr>
          <w:lang w:val="en-AU"/>
        </w:rPr>
      </w:pPr>
      <w:r w:rsidRPr="002B0522">
        <w:rPr>
          <w:lang w:val="en-AU"/>
        </w:rPr>
        <w:t xml:space="preserve">The </w:t>
      </w:r>
      <w:r w:rsidRPr="002B0522">
        <w:rPr>
          <w:i/>
          <w:lang w:val="en-AU"/>
        </w:rPr>
        <w:t>Universal Declaration of Human Rights 1948</w:t>
      </w:r>
      <w:r w:rsidRPr="002B0522">
        <w:rPr>
          <w:lang w:val="en-AU"/>
        </w:rPr>
        <w:t xml:space="preserve">, following the United Nations Charter, rejects discrimination against any members of the “human family”, and requires the “recognition of the inherent dignity and of the equal and inalienable rights of </w:t>
      </w:r>
      <w:r w:rsidRPr="002B0522">
        <w:rPr>
          <w:i/>
          <w:lang w:val="en-AU"/>
        </w:rPr>
        <w:t>all</w:t>
      </w:r>
      <w:r w:rsidRPr="002B0522">
        <w:rPr>
          <w:lang w:val="en-AU"/>
        </w:rPr>
        <w:t xml:space="preserve"> members of the human family” (Emphasis added).  As far as human personhood is concerned, the Declaration does not allow discrimination on the basis of human personhood.  Article 2 asserts firmly that “</w:t>
      </w:r>
      <w:r w:rsidRPr="002B0522">
        <w:rPr>
          <w:i/>
          <w:lang w:val="en-AU"/>
        </w:rPr>
        <w:t>everyone</w:t>
      </w:r>
      <w:r w:rsidRPr="002B0522">
        <w:rPr>
          <w:lang w:val="en-AU"/>
        </w:rPr>
        <w:t xml:space="preserve"> is entitled to all the rights and freedoms set forth in this declaration, </w:t>
      </w:r>
      <w:r w:rsidRPr="002B0522">
        <w:rPr>
          <w:i/>
          <w:lang w:val="en-AU"/>
        </w:rPr>
        <w:t xml:space="preserve">without distinction of any kind </w:t>
      </w:r>
      <w:r w:rsidRPr="002B0522">
        <w:rPr>
          <w:lang w:val="en-AU"/>
        </w:rPr>
        <w:t>. . .” (Emphasis added) and Article 30 commands that “nothing in this Declaration may be interpreted as implying for any State, group or person any right to engage in any activity or to perform any act aimed at the destruction of any of the rights and freedoms set forth herein.”  Article 6 specifically deals with the matter of the division of human beings into persons and non-persons in these terms:</w:t>
      </w:r>
    </w:p>
    <w:p w14:paraId="0D36749D" w14:textId="77777777" w:rsidR="002B0522" w:rsidRPr="002B0522" w:rsidRDefault="002B0522" w:rsidP="002B0522">
      <w:pPr>
        <w:ind w:left="720"/>
        <w:jc w:val="both"/>
        <w:rPr>
          <w:lang w:val="en-AU"/>
        </w:rPr>
      </w:pPr>
    </w:p>
    <w:p w14:paraId="31F44143" w14:textId="77777777" w:rsidR="002B0522" w:rsidRDefault="002B0522" w:rsidP="002B0522">
      <w:pPr>
        <w:ind w:firstLine="720"/>
        <w:jc w:val="both"/>
        <w:rPr>
          <w:lang w:val="en-AU"/>
        </w:rPr>
      </w:pPr>
      <w:r w:rsidRPr="002B0522">
        <w:rPr>
          <w:lang w:val="en-AU"/>
        </w:rPr>
        <w:t>Everyone has the right to recognition everywhere as a person before the law.</w:t>
      </w:r>
      <w:r w:rsidRPr="002B0522">
        <w:rPr>
          <w:vertAlign w:val="superscript"/>
          <w:lang w:val="en-AU"/>
        </w:rPr>
        <w:footnoteReference w:id="41"/>
      </w:r>
    </w:p>
    <w:p w14:paraId="7D24689F" w14:textId="77777777" w:rsidR="002B0522" w:rsidRPr="002B0522" w:rsidRDefault="002B0522" w:rsidP="002B0522">
      <w:pPr>
        <w:ind w:firstLine="720"/>
        <w:jc w:val="both"/>
        <w:rPr>
          <w:lang w:val="en-AU"/>
        </w:rPr>
      </w:pPr>
    </w:p>
    <w:p w14:paraId="02788322" w14:textId="26ABEE95" w:rsidR="002B0522" w:rsidRPr="002B0522" w:rsidRDefault="002B0522" w:rsidP="002B0522">
      <w:pPr>
        <w:ind w:left="720"/>
        <w:jc w:val="both"/>
        <w:rPr>
          <w:lang w:val="en-AU"/>
        </w:rPr>
      </w:pPr>
      <w:r w:rsidRPr="002B0522">
        <w:rPr>
          <w:lang w:val="en-AU"/>
        </w:rPr>
        <w:t>It is true that the practice of abortion is widespread and, in many countries, legal at least in some circumstances.  There is, however, a mismatch between the human rights requirements of international law and the practice of individuals and nation states in the same way that there is a mismatch between the rights of women and the practice of individuals and nation states.</w:t>
      </w:r>
      <w:r w:rsidR="00F23406">
        <w:rPr>
          <w:rStyle w:val="FootnoteReference"/>
          <w:lang w:val="en-AU"/>
        </w:rPr>
        <w:footnoteReference w:id="42"/>
      </w:r>
    </w:p>
    <w:p w14:paraId="4FAD6996" w14:textId="77777777" w:rsidR="002B0522" w:rsidRDefault="002B0522" w:rsidP="005263C6">
      <w:pPr>
        <w:jc w:val="both"/>
      </w:pPr>
    </w:p>
    <w:p w14:paraId="4AB88B63" w14:textId="77777777" w:rsidR="002B0522" w:rsidRDefault="002B0522" w:rsidP="005263C6">
      <w:pPr>
        <w:jc w:val="both"/>
      </w:pPr>
    </w:p>
    <w:p w14:paraId="6CEF8010" w14:textId="3EB71AF4" w:rsidR="005263C6" w:rsidRPr="004072EC" w:rsidRDefault="00A720B7" w:rsidP="007B4B29">
      <w:pPr>
        <w:ind w:left="720" w:hanging="720"/>
        <w:jc w:val="both"/>
        <w:rPr>
          <w:b/>
        </w:rPr>
      </w:pPr>
      <w:r>
        <w:rPr>
          <w:b/>
        </w:rPr>
        <w:t>IV</w:t>
      </w:r>
      <w:r w:rsidR="005263C6" w:rsidRPr="004072EC">
        <w:rPr>
          <w:b/>
        </w:rPr>
        <w:t>.</w:t>
      </w:r>
      <w:r w:rsidR="005263C6" w:rsidRPr="004072EC">
        <w:rPr>
          <w:b/>
        </w:rPr>
        <w:tab/>
        <w:t>NATIONAL LEGAL PROVISIONS OF NUMEROUS SIGNATORIES TO THE ICCPR RECOGNIZE THE RIGHT TO LIFE OF THE UNBORN</w:t>
      </w:r>
    </w:p>
    <w:p w14:paraId="3B10C8A5" w14:textId="77777777" w:rsidR="005263C6" w:rsidRDefault="005263C6" w:rsidP="005263C6">
      <w:pPr>
        <w:jc w:val="both"/>
      </w:pPr>
    </w:p>
    <w:p w14:paraId="0DEE2BE6" w14:textId="77777777" w:rsidR="005263C6" w:rsidRPr="003B37FC" w:rsidRDefault="005263C6" w:rsidP="005263C6">
      <w:pPr>
        <w:jc w:val="both"/>
      </w:pPr>
      <w:r w:rsidRPr="003B37FC">
        <w:t>A.</w:t>
      </w:r>
      <w:r w:rsidRPr="003B37FC">
        <w:tab/>
        <w:t>Explicit Constitutional Protections for Unborn Life</w:t>
      </w:r>
    </w:p>
    <w:p w14:paraId="0516D4C0" w14:textId="77777777" w:rsidR="005263C6" w:rsidRDefault="005263C6" w:rsidP="005263C6">
      <w:pPr>
        <w:jc w:val="both"/>
      </w:pPr>
    </w:p>
    <w:p w14:paraId="57EC7415" w14:textId="24A9F91C" w:rsidR="005263C6" w:rsidRDefault="005263C6" w:rsidP="00E008C0">
      <w:pPr>
        <w:ind w:left="720"/>
        <w:jc w:val="both"/>
      </w:pPr>
      <w:r>
        <w:t xml:space="preserve">Examples of explicit constitutional protections for unborn life include: Ireland (Article 40.3.3°); Hungary (Article 2); Slovakia (Article 15(1)); Dominican Republic (Article 37); Ecuador (Article 45); El Salvador (Title 1, Article 1); Chile (Article 19(1)); Honduras (Article 67); Peru (Article 2.1); Madagascar (Title 1, Article 19); and the Philippines (Article 1, section 12). </w:t>
      </w:r>
    </w:p>
    <w:p w14:paraId="252E3B86" w14:textId="77777777" w:rsidR="005263C6" w:rsidRDefault="005263C6" w:rsidP="005263C6">
      <w:pPr>
        <w:jc w:val="both"/>
      </w:pPr>
    </w:p>
    <w:p w14:paraId="79AE3AC0" w14:textId="77777777" w:rsidR="005263C6" w:rsidRPr="003B37FC" w:rsidRDefault="005263C6" w:rsidP="005263C6">
      <w:pPr>
        <w:jc w:val="both"/>
      </w:pPr>
      <w:r w:rsidRPr="003B37FC">
        <w:t>B.</w:t>
      </w:r>
      <w:r w:rsidRPr="003B37FC">
        <w:tab/>
        <w:t xml:space="preserve">Further Legal Provisions that Recognize Unborn Life </w:t>
      </w:r>
    </w:p>
    <w:p w14:paraId="2C10C4FF" w14:textId="77777777" w:rsidR="005263C6" w:rsidRPr="003B37FC" w:rsidRDefault="005263C6" w:rsidP="005263C6">
      <w:pPr>
        <w:jc w:val="both"/>
      </w:pPr>
    </w:p>
    <w:p w14:paraId="1A623E2F" w14:textId="27C66DD5" w:rsidR="005263C6" w:rsidRDefault="005263C6" w:rsidP="00E008C0">
      <w:pPr>
        <w:ind w:left="720"/>
        <w:jc w:val="both"/>
      </w:pPr>
      <w:r w:rsidRPr="003B37FC">
        <w:t>Colombia, Costa Rica, and Nicaragua:</w:t>
      </w:r>
      <w:r>
        <w:t xml:space="preserve"> The Constitutions all state that “the</w:t>
      </w:r>
      <w:r w:rsidR="00BD0B73">
        <w:t xml:space="preserve"> right to life is inviolable,”</w:t>
      </w:r>
      <w:r w:rsidR="00BD0B73">
        <w:rPr>
          <w:rStyle w:val="FootnoteReference"/>
        </w:rPr>
        <w:footnoteReference w:id="43"/>
      </w:r>
      <w:r w:rsidR="00BD0B73">
        <w:t xml:space="preserve"> </w:t>
      </w:r>
      <w:r>
        <w:t>and this is interpreted as being extended to the unborn.</w:t>
      </w:r>
    </w:p>
    <w:p w14:paraId="45F858DB" w14:textId="77777777" w:rsidR="005263C6" w:rsidRDefault="005263C6" w:rsidP="005263C6">
      <w:pPr>
        <w:jc w:val="both"/>
      </w:pPr>
    </w:p>
    <w:p w14:paraId="6375A3D8" w14:textId="02704E60" w:rsidR="005263C6" w:rsidRDefault="005263C6" w:rsidP="00E008C0">
      <w:pPr>
        <w:ind w:left="720"/>
        <w:jc w:val="both"/>
      </w:pPr>
      <w:r>
        <w:t xml:space="preserve">Mexico: A large number of State constitutions in Mexico explicitly protect unborn life, either from the moment of conception or the moment of fertilisation. Article 5 of the Chihuahua State Constitution, for instance, holds that: “All human beings have the right to legal protection of their life, from the moment of conception.” </w:t>
      </w:r>
      <w:r w:rsidR="00BD0B73">
        <w:rPr>
          <w:rStyle w:val="FootnoteReference"/>
        </w:rPr>
        <w:footnoteReference w:id="44"/>
      </w:r>
      <w:r>
        <w:t xml:space="preserve">  </w:t>
      </w:r>
    </w:p>
    <w:p w14:paraId="331B90F4" w14:textId="77777777" w:rsidR="005263C6" w:rsidRDefault="005263C6" w:rsidP="005263C6">
      <w:pPr>
        <w:jc w:val="both"/>
      </w:pPr>
    </w:p>
    <w:p w14:paraId="4394A14E" w14:textId="297B675F" w:rsidR="005263C6" w:rsidRDefault="005263C6" w:rsidP="00E008C0">
      <w:pPr>
        <w:ind w:left="720"/>
        <w:jc w:val="both"/>
      </w:pPr>
      <w:r>
        <w:t>Argentina: The majority of Argentinean Provincial Constitutions protect unborn life. For example, Article 12(1) of the Buenos Aires Provincial Constitution states every person in the Province enjoys the right to life, “from the time of conception until natural death.”</w:t>
      </w:r>
      <w:r w:rsidR="00BD0B73">
        <w:rPr>
          <w:rStyle w:val="FootnoteReference"/>
        </w:rPr>
        <w:footnoteReference w:id="45"/>
      </w:r>
      <w:r>
        <w:t xml:space="preserve"> </w:t>
      </w:r>
    </w:p>
    <w:p w14:paraId="37FCFDCF" w14:textId="77777777" w:rsidR="005263C6" w:rsidRDefault="005263C6" w:rsidP="005263C6">
      <w:pPr>
        <w:jc w:val="both"/>
      </w:pPr>
    </w:p>
    <w:p w14:paraId="7FA1CB2F" w14:textId="7E3962F7" w:rsidR="005263C6" w:rsidRDefault="005263C6" w:rsidP="00E008C0">
      <w:pPr>
        <w:ind w:left="720"/>
        <w:jc w:val="both"/>
      </w:pPr>
      <w:r>
        <w:t>Germany: The Basic Law obliges the state to protect human life, including that of the unborn. This duty is grounded in Article 1(1) concerning human dignity which is “inviolable,” and Article 2(2), which attributes the “right to life and physical integrity” to “every person.”</w:t>
      </w:r>
      <w:r w:rsidR="005A17C3">
        <w:rPr>
          <w:rStyle w:val="FootnoteReference"/>
        </w:rPr>
        <w:footnoteReference w:id="46"/>
      </w:r>
      <w:r>
        <w:t xml:space="preserve">  The German Constitutional Court has confirmed that the word “everyone” extends to (living) unborn human beings.</w:t>
      </w:r>
      <w:r w:rsidR="005A17C3">
        <w:rPr>
          <w:rStyle w:val="FootnoteReference"/>
        </w:rPr>
        <w:footnoteReference w:id="47"/>
      </w:r>
      <w:r>
        <w:t xml:space="preserve">  </w:t>
      </w:r>
    </w:p>
    <w:p w14:paraId="7CFCB3DF" w14:textId="77777777" w:rsidR="005263C6" w:rsidRDefault="005263C6" w:rsidP="005263C6">
      <w:pPr>
        <w:jc w:val="both"/>
      </w:pPr>
    </w:p>
    <w:p w14:paraId="058D5E23" w14:textId="7A96A6CF" w:rsidR="005263C6" w:rsidRDefault="005263C6" w:rsidP="00E008C0">
      <w:pPr>
        <w:ind w:firstLine="720"/>
        <w:jc w:val="both"/>
      </w:pPr>
      <w:r>
        <w:t>Latvia: The Medical Treatment Law provides: “A doctor has a duty to protect unborn life…”</w:t>
      </w:r>
    </w:p>
    <w:p w14:paraId="1B611C64" w14:textId="77777777" w:rsidR="005263C6" w:rsidRDefault="005263C6" w:rsidP="005263C6">
      <w:pPr>
        <w:jc w:val="both"/>
      </w:pPr>
    </w:p>
    <w:p w14:paraId="778ADA3A" w14:textId="008A4C36" w:rsidR="005263C6" w:rsidRDefault="005263C6" w:rsidP="00E008C0">
      <w:pPr>
        <w:ind w:left="720"/>
        <w:jc w:val="both"/>
      </w:pPr>
      <w:r>
        <w:t xml:space="preserve">Poland: Legislation states that “every human being shall have an inherent right to life </w:t>
      </w:r>
      <w:r w:rsidR="005A17C3">
        <w:t xml:space="preserve">from the moment of conception” </w:t>
      </w:r>
      <w:r>
        <w:t>and that life shall be protected “including in the prenatal phase.”</w:t>
      </w:r>
      <w:r w:rsidR="005A17C3">
        <w:rPr>
          <w:rStyle w:val="FootnoteReference"/>
        </w:rPr>
        <w:footnoteReference w:id="48"/>
      </w:r>
      <w:r>
        <w:t xml:space="preserve"> </w:t>
      </w:r>
    </w:p>
    <w:p w14:paraId="24E2E23A" w14:textId="77777777" w:rsidR="005263C6" w:rsidRDefault="005263C6" w:rsidP="005263C6">
      <w:pPr>
        <w:jc w:val="both"/>
      </w:pPr>
    </w:p>
    <w:p w14:paraId="2F0D87FD" w14:textId="549A7494" w:rsidR="005263C6" w:rsidRDefault="005263C6" w:rsidP="00E008C0">
      <w:pPr>
        <w:ind w:left="720"/>
        <w:jc w:val="both"/>
      </w:pPr>
      <w:r>
        <w:t>United States: The Unborn Victims of Violence Act recognizes a child in-utero as a legal victim where they are killed or injured in the course of certain federal crimes of violence. The law defines “child in utero” as “a member of the species Homo sapiens, at any stage of development, who is carried in the womb.”</w:t>
      </w:r>
      <w:r w:rsidR="005A17C3">
        <w:rPr>
          <w:rStyle w:val="FootnoteReference"/>
        </w:rPr>
        <w:footnoteReference w:id="49"/>
      </w:r>
      <w:r>
        <w:t xml:space="preserve"> </w:t>
      </w:r>
    </w:p>
    <w:p w14:paraId="0C62ABCD" w14:textId="77777777" w:rsidR="003B37FC" w:rsidRDefault="003B37FC" w:rsidP="005263C6">
      <w:pPr>
        <w:jc w:val="both"/>
      </w:pPr>
    </w:p>
    <w:p w14:paraId="2EE557CE" w14:textId="77777777" w:rsidR="003B37FC" w:rsidRDefault="003B37FC" w:rsidP="005263C6">
      <w:pPr>
        <w:jc w:val="both"/>
      </w:pPr>
    </w:p>
    <w:p w14:paraId="000D0EE8" w14:textId="2C03D13F" w:rsidR="003B37FC" w:rsidRPr="00E41209" w:rsidRDefault="003B37FC" w:rsidP="003B37FC">
      <w:pPr>
        <w:jc w:val="both"/>
        <w:rPr>
          <w:b/>
          <w:lang w:val="en-US"/>
        </w:rPr>
      </w:pPr>
      <w:r w:rsidRPr="00E41209">
        <w:rPr>
          <w:b/>
          <w:lang w:val="en-US"/>
        </w:rPr>
        <w:t>L</w:t>
      </w:r>
      <w:r w:rsidR="00E41209">
        <w:rPr>
          <w:b/>
          <w:lang w:val="en-US"/>
        </w:rPr>
        <w:t>EGAL JUSTIFICATIONS FOR REJECTING THE NOTION OF A “RIGHT TO DIE</w:t>
      </w:r>
      <w:r w:rsidRPr="00E41209">
        <w:rPr>
          <w:b/>
          <w:lang w:val="en-US"/>
        </w:rPr>
        <w:t>”</w:t>
      </w:r>
    </w:p>
    <w:p w14:paraId="10019BB2" w14:textId="77777777" w:rsidR="003B37FC" w:rsidRPr="003B37FC" w:rsidRDefault="003B37FC" w:rsidP="003B37FC">
      <w:pPr>
        <w:jc w:val="both"/>
        <w:rPr>
          <w:lang w:val="en-US"/>
        </w:rPr>
      </w:pPr>
    </w:p>
    <w:p w14:paraId="28BEC519" w14:textId="2936BFDE" w:rsidR="003B37FC" w:rsidRPr="007B4B29" w:rsidRDefault="007B4B29" w:rsidP="003B37FC">
      <w:pPr>
        <w:numPr>
          <w:ilvl w:val="0"/>
          <w:numId w:val="10"/>
        </w:numPr>
        <w:jc w:val="both"/>
        <w:rPr>
          <w:bCs/>
          <w:lang w:val="en-US"/>
        </w:rPr>
      </w:pPr>
      <w:r>
        <w:rPr>
          <w:bCs/>
          <w:lang w:val="en-US"/>
        </w:rPr>
        <w:t>The ICCPR does not recognize a</w:t>
      </w:r>
      <w:r w:rsidR="003B37FC" w:rsidRPr="007B4B29">
        <w:rPr>
          <w:bCs/>
          <w:lang w:val="en-US"/>
        </w:rPr>
        <w:t xml:space="preserve"> “RIGHT TO DIE” </w:t>
      </w:r>
    </w:p>
    <w:p w14:paraId="399C1184" w14:textId="77777777" w:rsidR="003B37FC" w:rsidRPr="003B37FC" w:rsidRDefault="003B37FC" w:rsidP="003B37FC">
      <w:pPr>
        <w:jc w:val="both"/>
        <w:rPr>
          <w:lang w:val="en-US"/>
        </w:rPr>
      </w:pPr>
    </w:p>
    <w:p w14:paraId="3358B684" w14:textId="77777777" w:rsidR="003B37FC" w:rsidRPr="003B37FC" w:rsidRDefault="003B37FC" w:rsidP="00E008C0">
      <w:pPr>
        <w:ind w:left="720"/>
        <w:jc w:val="both"/>
        <w:rPr>
          <w:lang w:val="en-US"/>
        </w:rPr>
      </w:pPr>
      <w:r w:rsidRPr="003B37FC">
        <w:rPr>
          <w:lang w:val="en-US"/>
        </w:rPr>
        <w:t xml:space="preserve">Article 6.1 of the ICCPR states that, “Every human being has the inherent right to life. This right shall be protected by law. No one shall be arbitrarily deprived of his life.” </w:t>
      </w:r>
    </w:p>
    <w:p w14:paraId="6D5EBD51" w14:textId="77777777" w:rsidR="003B37FC" w:rsidRPr="003B37FC" w:rsidRDefault="003B37FC" w:rsidP="003B37FC">
      <w:pPr>
        <w:jc w:val="both"/>
        <w:rPr>
          <w:lang w:val="en-US"/>
        </w:rPr>
      </w:pPr>
    </w:p>
    <w:p w14:paraId="6691C4AF" w14:textId="77777777" w:rsidR="003B37FC" w:rsidRPr="003B37FC" w:rsidRDefault="003B37FC" w:rsidP="00E008C0">
      <w:pPr>
        <w:ind w:left="720"/>
        <w:jc w:val="both"/>
        <w:rPr>
          <w:lang w:val="en-US"/>
        </w:rPr>
      </w:pPr>
      <w:r w:rsidRPr="003B37FC">
        <w:rPr>
          <w:lang w:val="en-US"/>
        </w:rPr>
        <w:t>Courts, including the European Court of Human Rights, have found that the right to life “cannot, without a distortion of language, be interpreted as conferring the diametrically opposite right, namely a right to die”.</w:t>
      </w:r>
      <w:r w:rsidRPr="003B37FC">
        <w:rPr>
          <w:vertAlign w:val="superscript"/>
          <w:lang w:val="en-US"/>
        </w:rPr>
        <w:footnoteReference w:id="50"/>
      </w:r>
    </w:p>
    <w:p w14:paraId="01335BF3" w14:textId="77777777" w:rsidR="003B37FC" w:rsidRPr="003B37FC" w:rsidRDefault="003B37FC" w:rsidP="003B37FC">
      <w:pPr>
        <w:jc w:val="both"/>
        <w:rPr>
          <w:lang w:val="en-US"/>
        </w:rPr>
      </w:pPr>
    </w:p>
    <w:p w14:paraId="2A5B1BBF" w14:textId="6834F2CC" w:rsidR="003B37FC" w:rsidRPr="007B4B29" w:rsidRDefault="007B4B29" w:rsidP="003B37FC">
      <w:pPr>
        <w:numPr>
          <w:ilvl w:val="0"/>
          <w:numId w:val="10"/>
        </w:numPr>
        <w:jc w:val="both"/>
        <w:rPr>
          <w:lang w:val="en-US"/>
        </w:rPr>
      </w:pPr>
      <w:r>
        <w:rPr>
          <w:lang w:val="en-US"/>
        </w:rPr>
        <w:t>No International Instruments recognize a</w:t>
      </w:r>
      <w:r w:rsidR="003B37FC" w:rsidRPr="007B4B29">
        <w:rPr>
          <w:lang w:val="en-US"/>
        </w:rPr>
        <w:t xml:space="preserve"> “RIGHT TO DIE”</w:t>
      </w:r>
    </w:p>
    <w:p w14:paraId="04443726" w14:textId="77777777" w:rsidR="003B37FC" w:rsidRPr="003B37FC" w:rsidRDefault="003B37FC" w:rsidP="003B37FC">
      <w:pPr>
        <w:jc w:val="both"/>
        <w:rPr>
          <w:lang w:val="en-US"/>
        </w:rPr>
      </w:pPr>
    </w:p>
    <w:p w14:paraId="480453BB" w14:textId="77777777" w:rsidR="003B37FC" w:rsidRPr="003B37FC" w:rsidRDefault="003B37FC" w:rsidP="00E008C0">
      <w:pPr>
        <w:ind w:left="720"/>
        <w:jc w:val="both"/>
        <w:rPr>
          <w:lang w:val="en-US"/>
        </w:rPr>
      </w:pPr>
      <w:r w:rsidRPr="003B37FC">
        <w:rPr>
          <w:lang w:val="en-US"/>
        </w:rPr>
        <w:t xml:space="preserve">Article 6.1 of the Convention on the Rights of the Child states that, “every child has the inherent right to life,” and makes no mention of a right to death.  </w:t>
      </w:r>
    </w:p>
    <w:p w14:paraId="690D017D" w14:textId="77777777" w:rsidR="003B37FC" w:rsidRPr="003B37FC" w:rsidRDefault="003B37FC" w:rsidP="003B37FC">
      <w:pPr>
        <w:jc w:val="both"/>
        <w:rPr>
          <w:lang w:val="en-US"/>
        </w:rPr>
      </w:pPr>
    </w:p>
    <w:p w14:paraId="32FF04C2" w14:textId="77777777" w:rsidR="003B37FC" w:rsidRPr="003B37FC" w:rsidRDefault="003B37FC" w:rsidP="00E008C0">
      <w:pPr>
        <w:ind w:left="720"/>
        <w:jc w:val="both"/>
        <w:rPr>
          <w:lang w:val="en-US"/>
        </w:rPr>
      </w:pPr>
      <w:r w:rsidRPr="003B37FC">
        <w:rPr>
          <w:lang w:val="en-US"/>
        </w:rPr>
        <w:t xml:space="preserve">Article 10 of the Convention on the Rights of Persons with Disabilities safeguards against, rather than recognizes a right to, death by stating, “States Parties reaffirm that every human being has the inherent right to life and shall take all necessary measures to ensure its effective enjoyment by persons with disabilities on an equal basis with others.” </w:t>
      </w:r>
    </w:p>
    <w:p w14:paraId="7C6652FA" w14:textId="77777777" w:rsidR="003B37FC" w:rsidRPr="003B37FC" w:rsidRDefault="003B37FC" w:rsidP="003B37FC">
      <w:pPr>
        <w:jc w:val="both"/>
        <w:rPr>
          <w:lang w:val="en-US"/>
        </w:rPr>
      </w:pPr>
    </w:p>
    <w:p w14:paraId="5BCB58EF" w14:textId="7D55C2DE" w:rsidR="003B37FC" w:rsidRPr="007B4B29" w:rsidRDefault="007B4B29" w:rsidP="003B37FC">
      <w:pPr>
        <w:numPr>
          <w:ilvl w:val="0"/>
          <w:numId w:val="10"/>
        </w:numPr>
        <w:jc w:val="both"/>
        <w:rPr>
          <w:lang w:val="en-US"/>
        </w:rPr>
      </w:pPr>
      <w:r w:rsidRPr="007B4B29">
        <w:rPr>
          <w:bCs/>
          <w:lang w:val="en-US"/>
        </w:rPr>
        <w:t>Many instruments of international law implicitly reject a</w:t>
      </w:r>
      <w:r w:rsidR="003B37FC" w:rsidRPr="007B4B29">
        <w:rPr>
          <w:bCs/>
          <w:lang w:val="en-US"/>
        </w:rPr>
        <w:t xml:space="preserve"> “RIGHT TO DIE” </w:t>
      </w:r>
      <w:r w:rsidRPr="007B4B29">
        <w:rPr>
          <w:bCs/>
          <w:lang w:val="en-US"/>
        </w:rPr>
        <w:t>by including</w:t>
      </w:r>
      <w:r w:rsidR="003B37FC" w:rsidRPr="007B4B29">
        <w:rPr>
          <w:bCs/>
          <w:lang w:val="en-US"/>
        </w:rPr>
        <w:t xml:space="preserve"> </w:t>
      </w:r>
      <w:r w:rsidRPr="007B4B29">
        <w:rPr>
          <w:bCs/>
          <w:lang w:val="en-US"/>
        </w:rPr>
        <w:t xml:space="preserve">strong protections for the sick, disabled, and elderly </w:t>
      </w:r>
    </w:p>
    <w:p w14:paraId="44474603" w14:textId="77777777" w:rsidR="007B4B29" w:rsidRPr="007B4B29" w:rsidRDefault="007B4B29" w:rsidP="007B4B29">
      <w:pPr>
        <w:ind w:left="720"/>
        <w:jc w:val="both"/>
        <w:rPr>
          <w:lang w:val="en-US"/>
        </w:rPr>
      </w:pPr>
    </w:p>
    <w:p w14:paraId="231FA12B" w14:textId="77777777" w:rsidR="003B37FC" w:rsidRPr="003B37FC" w:rsidRDefault="003B37FC" w:rsidP="00E008C0">
      <w:pPr>
        <w:ind w:left="720"/>
        <w:jc w:val="both"/>
        <w:rPr>
          <w:lang w:val="en-US"/>
        </w:rPr>
      </w:pPr>
      <w:r w:rsidRPr="003B37FC">
        <w:rPr>
          <w:lang w:val="en-US"/>
        </w:rPr>
        <w:t xml:space="preserve">Article 11.1(e) of the Convention on the Elimination of All Forms of Discrimination Against Women provides for the equal right of women to social security in old age and in sickness. </w:t>
      </w:r>
    </w:p>
    <w:p w14:paraId="0F76A805" w14:textId="77777777" w:rsidR="003B37FC" w:rsidRPr="003B37FC" w:rsidRDefault="003B37FC" w:rsidP="003B37FC">
      <w:pPr>
        <w:jc w:val="both"/>
        <w:rPr>
          <w:lang w:val="en-US"/>
        </w:rPr>
      </w:pPr>
    </w:p>
    <w:p w14:paraId="56188089" w14:textId="77777777" w:rsidR="003B37FC" w:rsidRPr="003B37FC" w:rsidRDefault="003B37FC" w:rsidP="00E008C0">
      <w:pPr>
        <w:ind w:left="720"/>
        <w:jc w:val="both"/>
        <w:rPr>
          <w:lang w:val="en-US"/>
        </w:rPr>
      </w:pPr>
      <w:r w:rsidRPr="003B37FC">
        <w:rPr>
          <w:lang w:val="en-US"/>
        </w:rPr>
        <w:t xml:space="preserve">Articles 25(b) and 28.2(b) of the Convention on the Rights of Persons with Disabilities calls on States Parties to “provide those health services needed by persons with disabilities…” and “to ensure access by persons with disabilities, in particular women and girls with disabilities and older persons with disabilities, to social protection programmes and poverty reduction programmes.”  </w:t>
      </w:r>
    </w:p>
    <w:p w14:paraId="0507F4DE" w14:textId="77777777" w:rsidR="003B37FC" w:rsidRPr="003B37FC" w:rsidRDefault="003B37FC" w:rsidP="003B37FC">
      <w:pPr>
        <w:jc w:val="both"/>
        <w:rPr>
          <w:lang w:val="en-US"/>
        </w:rPr>
      </w:pPr>
    </w:p>
    <w:p w14:paraId="1D49AE1C" w14:textId="77777777" w:rsidR="003B37FC" w:rsidRPr="003B37FC" w:rsidRDefault="003B37FC" w:rsidP="00E008C0">
      <w:pPr>
        <w:ind w:left="720"/>
        <w:jc w:val="both"/>
        <w:rPr>
          <w:lang w:val="en-US"/>
        </w:rPr>
      </w:pPr>
      <w:r w:rsidRPr="003B37FC">
        <w:rPr>
          <w:lang w:val="en-US"/>
        </w:rPr>
        <w:t xml:space="preserve">Article 23 of the Convention on the Rights of the Child recognizes that, “a mentally or physically disabled child should enjoy a full and decent life, in conditions which ensure dignity, promote self-reliance and facilitate the child's active participation in the community.” </w:t>
      </w:r>
    </w:p>
    <w:p w14:paraId="2EA92A43" w14:textId="77777777" w:rsidR="003B37FC" w:rsidRPr="003B37FC" w:rsidRDefault="003B37FC" w:rsidP="003B37FC">
      <w:pPr>
        <w:jc w:val="both"/>
        <w:rPr>
          <w:lang w:val="en-US"/>
        </w:rPr>
      </w:pPr>
    </w:p>
    <w:p w14:paraId="2AC707C2" w14:textId="77777777" w:rsidR="003B37FC" w:rsidRPr="003B37FC" w:rsidRDefault="003B37FC" w:rsidP="00E008C0">
      <w:pPr>
        <w:ind w:left="720"/>
        <w:jc w:val="both"/>
        <w:rPr>
          <w:lang w:val="en-US"/>
        </w:rPr>
      </w:pPr>
      <w:r w:rsidRPr="003B37FC">
        <w:rPr>
          <w:lang w:val="en-US"/>
        </w:rPr>
        <w:t xml:space="preserve">Article 1.1 of the International Convention on the Protection of the Rights of All Migrant Workers and Members of their Families prohibits discrimination on the basis of age. </w:t>
      </w:r>
    </w:p>
    <w:p w14:paraId="308178E4" w14:textId="77777777" w:rsidR="003B37FC" w:rsidRPr="003B37FC" w:rsidRDefault="003B37FC" w:rsidP="003B37FC">
      <w:pPr>
        <w:jc w:val="both"/>
        <w:rPr>
          <w:lang w:val="en-US"/>
        </w:rPr>
      </w:pPr>
    </w:p>
    <w:p w14:paraId="72078D61" w14:textId="77777777" w:rsidR="003B37FC" w:rsidRDefault="003B37FC" w:rsidP="00E008C0">
      <w:pPr>
        <w:ind w:left="720"/>
        <w:jc w:val="both"/>
        <w:rPr>
          <w:lang w:val="en-US"/>
        </w:rPr>
      </w:pPr>
      <w:r w:rsidRPr="003B37FC">
        <w:rPr>
          <w:lang w:val="en-US"/>
        </w:rPr>
        <w:t xml:space="preserve">Article 25.1 of the </w:t>
      </w:r>
      <w:r w:rsidRPr="003B37FC">
        <w:rPr>
          <w:bCs/>
          <w:lang w:val="en-US"/>
        </w:rPr>
        <w:t>Universal Declaration of Human Rights highlights the right the sick, disabled, and elderly persons to an adequate standard of living</w:t>
      </w:r>
      <w:r w:rsidRPr="003B37FC">
        <w:rPr>
          <w:lang w:val="en-US"/>
        </w:rPr>
        <w:t xml:space="preserve">: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w:t>
      </w:r>
    </w:p>
    <w:p w14:paraId="2CB2E092" w14:textId="77777777" w:rsidR="00A13F25" w:rsidRDefault="00A13F25" w:rsidP="00A13F25">
      <w:pPr>
        <w:jc w:val="both"/>
        <w:rPr>
          <w:lang w:val="en-US"/>
        </w:rPr>
      </w:pPr>
    </w:p>
    <w:p w14:paraId="41852A41" w14:textId="77777777" w:rsidR="00A13F25" w:rsidRDefault="00A13F25" w:rsidP="00A13F25">
      <w:pPr>
        <w:jc w:val="both"/>
        <w:rPr>
          <w:lang w:val="en-US"/>
        </w:rPr>
      </w:pPr>
    </w:p>
    <w:p w14:paraId="1DFC7FDB" w14:textId="77777777" w:rsidR="007B4B29" w:rsidRDefault="007B4B29" w:rsidP="00A13F25">
      <w:pPr>
        <w:jc w:val="both"/>
        <w:rPr>
          <w:lang w:val="en-US"/>
        </w:rPr>
      </w:pPr>
    </w:p>
    <w:p w14:paraId="7AC1BDFC" w14:textId="77777777" w:rsidR="007B4B29" w:rsidRDefault="007B4B29" w:rsidP="00A13F25">
      <w:pPr>
        <w:jc w:val="both"/>
        <w:rPr>
          <w:lang w:val="en-US"/>
        </w:rPr>
      </w:pPr>
    </w:p>
    <w:p w14:paraId="75A26D0C" w14:textId="77777777" w:rsidR="007B4B29" w:rsidRDefault="007B4B29" w:rsidP="00A13F25">
      <w:pPr>
        <w:jc w:val="both"/>
        <w:rPr>
          <w:lang w:val="en-US"/>
        </w:rPr>
      </w:pPr>
    </w:p>
    <w:p w14:paraId="733E52FA" w14:textId="77777777" w:rsidR="007B4B29" w:rsidRDefault="007B4B29" w:rsidP="00A13F25">
      <w:pPr>
        <w:jc w:val="both"/>
        <w:rPr>
          <w:lang w:val="en-US"/>
        </w:rPr>
      </w:pPr>
    </w:p>
    <w:p w14:paraId="39023722" w14:textId="77777777" w:rsidR="007B4B29" w:rsidRDefault="007B4B29" w:rsidP="00A13F25">
      <w:pPr>
        <w:jc w:val="both"/>
        <w:rPr>
          <w:lang w:val="en-US"/>
        </w:rPr>
      </w:pPr>
    </w:p>
    <w:p w14:paraId="2509E600" w14:textId="77777777" w:rsidR="007B4B29" w:rsidRDefault="007B4B29" w:rsidP="00A13F25">
      <w:pPr>
        <w:jc w:val="both"/>
        <w:rPr>
          <w:lang w:val="en-US"/>
        </w:rPr>
      </w:pPr>
    </w:p>
    <w:p w14:paraId="07C94EE4" w14:textId="77777777" w:rsidR="007B4B29" w:rsidRDefault="007B4B29" w:rsidP="00A13F25">
      <w:pPr>
        <w:jc w:val="both"/>
        <w:rPr>
          <w:lang w:val="en-US"/>
        </w:rPr>
      </w:pPr>
    </w:p>
    <w:p w14:paraId="50E43FD8" w14:textId="77777777" w:rsidR="007B4B29" w:rsidRDefault="007B4B29" w:rsidP="00A13F25">
      <w:pPr>
        <w:jc w:val="both"/>
        <w:rPr>
          <w:lang w:val="en-US"/>
        </w:rPr>
      </w:pPr>
    </w:p>
    <w:p w14:paraId="5F721217" w14:textId="77777777" w:rsidR="007B4B29" w:rsidRDefault="007B4B29" w:rsidP="00A13F25">
      <w:pPr>
        <w:jc w:val="both"/>
        <w:rPr>
          <w:lang w:val="en-US"/>
        </w:rPr>
      </w:pPr>
    </w:p>
    <w:p w14:paraId="362CE747" w14:textId="77777777" w:rsidR="007B4B29" w:rsidRDefault="007B4B29" w:rsidP="00A13F25">
      <w:pPr>
        <w:jc w:val="both"/>
        <w:rPr>
          <w:lang w:val="en-US"/>
        </w:rPr>
      </w:pPr>
    </w:p>
    <w:p w14:paraId="73B17059" w14:textId="77777777" w:rsidR="007B4B29" w:rsidRDefault="007B4B29" w:rsidP="00A13F25">
      <w:pPr>
        <w:jc w:val="both"/>
        <w:rPr>
          <w:lang w:val="en-US"/>
        </w:rPr>
      </w:pPr>
    </w:p>
    <w:p w14:paraId="792FF333" w14:textId="77777777" w:rsidR="007B4B29" w:rsidRDefault="007B4B29" w:rsidP="00A13F25">
      <w:pPr>
        <w:jc w:val="both"/>
        <w:rPr>
          <w:lang w:val="en-US"/>
        </w:rPr>
      </w:pPr>
    </w:p>
    <w:p w14:paraId="3F91E8E2" w14:textId="77777777" w:rsidR="007B4B29" w:rsidRDefault="007B4B29" w:rsidP="00A13F25">
      <w:pPr>
        <w:jc w:val="both"/>
        <w:rPr>
          <w:lang w:val="en-US"/>
        </w:rPr>
      </w:pPr>
    </w:p>
    <w:p w14:paraId="5B9FFB98" w14:textId="77777777" w:rsidR="007B4B29" w:rsidRDefault="007B4B29" w:rsidP="00A13F25">
      <w:pPr>
        <w:jc w:val="both"/>
        <w:rPr>
          <w:lang w:val="en-US"/>
        </w:rPr>
      </w:pPr>
    </w:p>
    <w:p w14:paraId="2383D9BA" w14:textId="77777777" w:rsidR="007B4B29" w:rsidRDefault="007B4B29" w:rsidP="00A13F25">
      <w:pPr>
        <w:jc w:val="both"/>
        <w:rPr>
          <w:lang w:val="en-US"/>
        </w:rPr>
      </w:pPr>
    </w:p>
    <w:p w14:paraId="14447071" w14:textId="77777777" w:rsidR="007B4B29" w:rsidRDefault="007B4B29" w:rsidP="00A13F25">
      <w:pPr>
        <w:jc w:val="both"/>
        <w:rPr>
          <w:lang w:val="en-US"/>
        </w:rPr>
      </w:pPr>
    </w:p>
    <w:p w14:paraId="209A578D" w14:textId="77777777" w:rsidR="007B4B29" w:rsidRDefault="007B4B29" w:rsidP="00A13F25">
      <w:pPr>
        <w:jc w:val="both"/>
        <w:rPr>
          <w:lang w:val="en-US"/>
        </w:rPr>
      </w:pPr>
    </w:p>
    <w:p w14:paraId="5C1D6E0C" w14:textId="77777777" w:rsidR="007B4B29" w:rsidRDefault="007B4B29" w:rsidP="00A13F25">
      <w:pPr>
        <w:jc w:val="both"/>
        <w:rPr>
          <w:lang w:val="en-US"/>
        </w:rPr>
      </w:pPr>
    </w:p>
    <w:p w14:paraId="7013BA8B" w14:textId="77777777" w:rsidR="007B4B29" w:rsidRDefault="007B4B29" w:rsidP="00A13F25">
      <w:pPr>
        <w:jc w:val="both"/>
        <w:rPr>
          <w:lang w:val="en-US"/>
        </w:rPr>
      </w:pPr>
    </w:p>
    <w:p w14:paraId="3FE84DD3" w14:textId="77777777" w:rsidR="007B4B29" w:rsidRDefault="007B4B29" w:rsidP="00A13F25">
      <w:pPr>
        <w:jc w:val="both"/>
        <w:rPr>
          <w:lang w:val="en-US"/>
        </w:rPr>
      </w:pPr>
    </w:p>
    <w:p w14:paraId="4DFE5DB6" w14:textId="77777777" w:rsidR="007B4B29" w:rsidRDefault="007B4B29" w:rsidP="00A13F25">
      <w:pPr>
        <w:jc w:val="both"/>
        <w:rPr>
          <w:lang w:val="en-US"/>
        </w:rPr>
      </w:pPr>
    </w:p>
    <w:p w14:paraId="325DE297" w14:textId="77777777" w:rsidR="007B4B29" w:rsidRDefault="007B4B29" w:rsidP="00A13F25">
      <w:pPr>
        <w:jc w:val="both"/>
        <w:rPr>
          <w:lang w:val="en-US"/>
        </w:rPr>
      </w:pPr>
    </w:p>
    <w:p w14:paraId="56CA7BAB" w14:textId="77777777" w:rsidR="007B4B29" w:rsidRDefault="007B4B29" w:rsidP="00A13F25">
      <w:pPr>
        <w:jc w:val="both"/>
        <w:rPr>
          <w:lang w:val="en-US"/>
        </w:rPr>
      </w:pPr>
    </w:p>
    <w:p w14:paraId="30F72D88" w14:textId="77777777" w:rsidR="007B4B29" w:rsidRDefault="007B4B29" w:rsidP="00A13F25">
      <w:pPr>
        <w:jc w:val="both"/>
        <w:rPr>
          <w:lang w:val="en-US"/>
        </w:rPr>
      </w:pPr>
    </w:p>
    <w:p w14:paraId="159A8F27" w14:textId="77777777" w:rsidR="007B4B29" w:rsidRDefault="007B4B29" w:rsidP="00A13F25">
      <w:pPr>
        <w:jc w:val="both"/>
        <w:rPr>
          <w:lang w:val="en-US"/>
        </w:rPr>
      </w:pPr>
    </w:p>
    <w:p w14:paraId="65728F5A" w14:textId="77777777" w:rsidR="007B4B29" w:rsidRDefault="007B4B29" w:rsidP="00A13F25">
      <w:pPr>
        <w:jc w:val="both"/>
        <w:rPr>
          <w:lang w:val="en-US"/>
        </w:rPr>
      </w:pPr>
    </w:p>
    <w:p w14:paraId="76F254C5" w14:textId="77777777" w:rsidR="007B4B29" w:rsidRDefault="007B4B29" w:rsidP="00A13F25">
      <w:pPr>
        <w:jc w:val="both"/>
        <w:rPr>
          <w:lang w:val="en-US"/>
        </w:rPr>
      </w:pPr>
    </w:p>
    <w:p w14:paraId="49AB0B0B" w14:textId="77777777" w:rsidR="007B4B29" w:rsidRDefault="007B4B29" w:rsidP="00A13F25">
      <w:pPr>
        <w:jc w:val="both"/>
        <w:rPr>
          <w:lang w:val="en-US"/>
        </w:rPr>
      </w:pPr>
    </w:p>
    <w:p w14:paraId="41D37A0A" w14:textId="77777777" w:rsidR="007B4B29" w:rsidRDefault="007B4B29" w:rsidP="00A13F25">
      <w:pPr>
        <w:jc w:val="both"/>
        <w:rPr>
          <w:lang w:val="en-US"/>
        </w:rPr>
      </w:pPr>
    </w:p>
    <w:p w14:paraId="68FDB1B0" w14:textId="77777777" w:rsidR="007B4B29" w:rsidRDefault="007B4B29" w:rsidP="00A13F25">
      <w:pPr>
        <w:jc w:val="both"/>
        <w:rPr>
          <w:lang w:val="en-US"/>
        </w:rPr>
      </w:pPr>
    </w:p>
    <w:p w14:paraId="53AB7197" w14:textId="77777777" w:rsidR="00CE5F49" w:rsidRDefault="00CE5F49" w:rsidP="00A13F25">
      <w:pPr>
        <w:jc w:val="both"/>
        <w:rPr>
          <w:lang w:val="en-US"/>
        </w:rPr>
      </w:pPr>
    </w:p>
    <w:p w14:paraId="655E1C86" w14:textId="537BDE21" w:rsidR="00A13F25" w:rsidRPr="00C70A6D" w:rsidRDefault="00A13F25" w:rsidP="00A13F25">
      <w:pPr>
        <w:jc w:val="center"/>
        <w:rPr>
          <w:b/>
          <w:sz w:val="32"/>
          <w:szCs w:val="32"/>
          <w:lang w:val="en-US"/>
        </w:rPr>
      </w:pPr>
      <w:r w:rsidRPr="00C70A6D">
        <w:rPr>
          <w:b/>
          <w:sz w:val="32"/>
          <w:szCs w:val="32"/>
          <w:lang w:val="en-US"/>
        </w:rPr>
        <w:t>APPENDIX 1</w:t>
      </w:r>
    </w:p>
    <w:p w14:paraId="66793890" w14:textId="77777777" w:rsidR="00A13F25" w:rsidRDefault="00A13F25" w:rsidP="00A13F25">
      <w:pPr>
        <w:jc w:val="both"/>
        <w:rPr>
          <w:lang w:val="en-US"/>
        </w:rPr>
      </w:pPr>
    </w:p>
    <w:p w14:paraId="7E1BA2F6" w14:textId="568DC7F2" w:rsidR="00EE3134" w:rsidRPr="003E0292" w:rsidRDefault="00EE3134" w:rsidP="00EE3134">
      <w:pPr>
        <w:jc w:val="both"/>
        <w:rPr>
          <w:lang w:val="en-US"/>
        </w:rPr>
      </w:pPr>
      <w:r w:rsidRPr="00CE5F49">
        <w:rPr>
          <w:i/>
          <w:lang w:val="en-IE"/>
        </w:rPr>
        <w:t>Common ground? Seeking an Australian consensus on abortion and sex education</w:t>
      </w:r>
      <w:r w:rsidRPr="003E0292">
        <w:rPr>
          <w:lang w:val="en-IE"/>
        </w:rPr>
        <w:t>, Chapter 9</w:t>
      </w:r>
      <w:r w:rsidRPr="003E0292">
        <w:rPr>
          <w:lang w:val="en-IE"/>
        </w:rPr>
        <w:t xml:space="preserve"> </w:t>
      </w:r>
      <w:r w:rsidR="003E0292" w:rsidRPr="003E0292">
        <w:rPr>
          <w:lang w:val="en-IE"/>
        </w:rPr>
        <w:t xml:space="preserve">Fleming John, Tonti-Filippini Nicholas: </w:t>
      </w:r>
      <w:r w:rsidRPr="003E0292">
        <w:rPr>
          <w:bCs/>
          <w:lang w:val="en-IE"/>
        </w:rPr>
        <w:t>Publisher:</w:t>
      </w:r>
      <w:r w:rsidRPr="003E0292">
        <w:rPr>
          <w:lang w:val="en-IE"/>
        </w:rPr>
        <w:t xml:space="preserve"> St Pauls (2007) </w:t>
      </w:r>
      <w:r w:rsidRPr="003E0292">
        <w:rPr>
          <w:lang w:val="en-IE"/>
        </w:rPr>
        <w:t xml:space="preserve"> </w:t>
      </w:r>
      <w:r w:rsidRPr="003E0292">
        <w:rPr>
          <w:bCs/>
          <w:lang w:val="en-IE"/>
        </w:rPr>
        <w:t>ISBN-10:</w:t>
      </w:r>
      <w:r w:rsidRPr="003E0292">
        <w:rPr>
          <w:lang w:val="en-IE"/>
        </w:rPr>
        <w:t xml:space="preserve"> 1921032642 </w:t>
      </w:r>
      <w:r w:rsidRPr="003E0292">
        <w:rPr>
          <w:lang w:val="en-IE"/>
        </w:rPr>
        <w:t xml:space="preserve"> </w:t>
      </w:r>
      <w:r w:rsidRPr="003E0292">
        <w:rPr>
          <w:bCs/>
          <w:lang w:val="en-IE"/>
        </w:rPr>
        <w:t>ISBN-13:</w:t>
      </w:r>
      <w:r w:rsidRPr="003E0292">
        <w:rPr>
          <w:lang w:val="en-IE"/>
        </w:rPr>
        <w:t xml:space="preserve"> 978-1921032646, </w:t>
      </w:r>
      <w:r w:rsidRPr="003E0292">
        <w:rPr>
          <w:bCs/>
          <w:lang w:val="en-IE"/>
        </w:rPr>
        <w:t>ASIN:</w:t>
      </w:r>
      <w:r w:rsidRPr="003E0292">
        <w:rPr>
          <w:lang w:val="en-IE"/>
        </w:rPr>
        <w:t xml:space="preserve"> B00XT7QIBG</w:t>
      </w:r>
    </w:p>
    <w:p w14:paraId="3A26D08E" w14:textId="77777777" w:rsidR="00EE3134" w:rsidRDefault="00EE3134" w:rsidP="00A13F25">
      <w:pPr>
        <w:jc w:val="both"/>
        <w:rPr>
          <w:b/>
        </w:rPr>
      </w:pPr>
    </w:p>
    <w:p w14:paraId="2180550A" w14:textId="4FE909B9" w:rsidR="00A13F25" w:rsidRPr="00A13F25" w:rsidRDefault="00A13F25" w:rsidP="00A13F25">
      <w:pPr>
        <w:jc w:val="both"/>
        <w:rPr>
          <w:b/>
        </w:rPr>
      </w:pPr>
      <w:r w:rsidRPr="00A13F25">
        <w:rPr>
          <w:b/>
        </w:rPr>
        <w:t>What rights, if any, do the unborn have under international law?</w:t>
      </w:r>
      <w:r w:rsidR="00EE3134">
        <w:rPr>
          <w:b/>
        </w:rPr>
        <w:t xml:space="preserve"> </w:t>
      </w:r>
    </w:p>
    <w:p w14:paraId="61F563AB" w14:textId="77777777" w:rsidR="00A13F25" w:rsidRDefault="00A13F25" w:rsidP="00A13F25">
      <w:pPr>
        <w:jc w:val="both"/>
        <w:rPr>
          <w:b/>
        </w:rPr>
      </w:pPr>
      <w:bookmarkStart w:id="1" w:name="_Toc392731558"/>
    </w:p>
    <w:p w14:paraId="534B16E1" w14:textId="77777777" w:rsidR="00A13F25" w:rsidRPr="00A13F25" w:rsidRDefault="00A13F25" w:rsidP="00A13F25">
      <w:pPr>
        <w:jc w:val="both"/>
        <w:rPr>
          <w:b/>
        </w:rPr>
      </w:pPr>
      <w:r w:rsidRPr="00A13F25">
        <w:rPr>
          <w:b/>
        </w:rPr>
        <w:t>Introduction</w:t>
      </w:r>
      <w:bookmarkEnd w:id="1"/>
    </w:p>
    <w:p w14:paraId="02B9A310" w14:textId="77777777" w:rsidR="00A13F25" w:rsidRPr="00A13F25" w:rsidRDefault="00A13F25" w:rsidP="00A13F25">
      <w:pPr>
        <w:jc w:val="both"/>
        <w:rPr>
          <w:lang w:val="en-AU"/>
        </w:rPr>
      </w:pPr>
      <w:r w:rsidRPr="00A13F25">
        <w:rPr>
          <w:lang w:val="en-AU"/>
        </w:rPr>
        <w:t>This chapter draws significantly on an earlier article which I co-authored with Michael Hains and which was published in the Australian Bar Review.</w:t>
      </w:r>
    </w:p>
    <w:p w14:paraId="26B150D1" w14:textId="77777777" w:rsidR="00A13F25" w:rsidRPr="00A13F25" w:rsidRDefault="00A13F25" w:rsidP="00A13F25">
      <w:pPr>
        <w:jc w:val="both"/>
        <w:rPr>
          <w:lang w:val="en-AU"/>
        </w:rPr>
      </w:pPr>
      <w:r w:rsidRPr="00A13F25">
        <w:rPr>
          <w:lang w:val="en-AU"/>
        </w:rPr>
        <w:t>Barristers and solicitors have traditionally looked to case law as an important source of interpreting domestic law.  With the increasing globalisation of world trade, tourism, the breaking down of language barriers, and improvements in international relations international law has emerged as a further important influence.  International law has traditionally focused on governing relations between independent nation states.  However, in the aftermath of the Second World War the United Nations was formed on the basis of a Charter which committed the members of the UN to “take joint and separate action in cooperation with the Organization” to achieve “the purposes set forth in Article 55 [of the Charter]”.</w:t>
      </w:r>
      <w:r w:rsidRPr="00A13F25">
        <w:rPr>
          <w:vertAlign w:val="superscript"/>
          <w:lang w:val="en-AU"/>
        </w:rPr>
        <w:footnoteReference w:id="51"/>
      </w:r>
      <w:r w:rsidRPr="00A13F25">
        <w:rPr>
          <w:lang w:val="en-AU"/>
        </w:rPr>
        <w:t xml:space="preserve">  Article 55 committed the UN to promote “universal respect for, and observance of, human rights and fundamental freedoms for all without distinction as to race, sex, language, or religion.”</w:t>
      </w:r>
      <w:r w:rsidRPr="00A13F25">
        <w:rPr>
          <w:vertAlign w:val="superscript"/>
          <w:lang w:val="en-AU"/>
        </w:rPr>
        <w:footnoteReference w:id="52"/>
      </w:r>
    </w:p>
    <w:p w14:paraId="7B7617A6" w14:textId="77777777" w:rsidR="00A13F25" w:rsidRPr="00A13F25" w:rsidRDefault="00A13F25" w:rsidP="00A13F25">
      <w:pPr>
        <w:jc w:val="both"/>
        <w:rPr>
          <w:lang w:val="en-AU"/>
        </w:rPr>
      </w:pPr>
      <w:r w:rsidRPr="00A13F25">
        <w:rPr>
          <w:lang w:val="en-AU"/>
        </w:rPr>
        <w:t>One important consequence of this major development in international relations has been the “demise of Oppenheim’s doctrine that ‘States solely and exclusively are the subject of International Law’ ... [I]t is [now] ... the case that inter-state treaties are increasingly concerned with the ‘trans-national’ affairs ... of private individuals and companies.”</w:t>
      </w:r>
      <w:r w:rsidRPr="00A13F25">
        <w:rPr>
          <w:vertAlign w:val="superscript"/>
          <w:lang w:val="en-AU"/>
        </w:rPr>
        <w:footnoteReference w:id="53"/>
      </w:r>
      <w:r w:rsidRPr="00A13F25">
        <w:rPr>
          <w:lang w:val="en-AU"/>
        </w:rPr>
        <w:t xml:space="preserve">  DJ Harris, in a later discussion of the activities of the UN Commission on Human Rights, also points out that “the idea that the treatment of a state’s own nationals is a matter within its own jurisdiction has been abandoned.”</w:t>
      </w:r>
    </w:p>
    <w:p w14:paraId="1DFD7CA7" w14:textId="77777777" w:rsidR="00A13F25" w:rsidRDefault="00A13F25" w:rsidP="00A13F25">
      <w:pPr>
        <w:jc w:val="both"/>
        <w:rPr>
          <w:lang w:val="en-AU"/>
        </w:rPr>
      </w:pPr>
    </w:p>
    <w:p w14:paraId="7C763536" w14:textId="77777777" w:rsidR="00A13F25" w:rsidRPr="00A13F25" w:rsidRDefault="00A13F25" w:rsidP="00A13F25">
      <w:pPr>
        <w:jc w:val="both"/>
        <w:rPr>
          <w:lang w:val="en-AU"/>
        </w:rPr>
      </w:pPr>
      <w:r w:rsidRPr="00A13F25">
        <w:rPr>
          <w:lang w:val="en-AU"/>
        </w:rPr>
        <w:t xml:space="preserve">The practice of the Commission shows clearly the acceptance by the states, as they respond without question to allegations against them, that </w:t>
      </w:r>
      <w:r w:rsidRPr="00A13F25">
        <w:rPr>
          <w:i/>
          <w:lang w:val="en-AU"/>
        </w:rPr>
        <w:t>the protection of human rights is now within the domain of international law.</w:t>
      </w:r>
      <w:r w:rsidRPr="00A13F25">
        <w:rPr>
          <w:i/>
          <w:vertAlign w:val="superscript"/>
          <w:lang w:val="en-AU"/>
        </w:rPr>
        <w:footnoteReference w:id="54"/>
      </w:r>
    </w:p>
    <w:p w14:paraId="20A3CADE" w14:textId="77777777" w:rsidR="00A13F25" w:rsidRDefault="00A13F25" w:rsidP="00A13F25">
      <w:pPr>
        <w:jc w:val="both"/>
        <w:rPr>
          <w:lang w:val="en-AU"/>
        </w:rPr>
      </w:pPr>
    </w:p>
    <w:p w14:paraId="5DE446D6" w14:textId="77777777" w:rsidR="00A13F25" w:rsidRPr="00A13F25" w:rsidRDefault="00A13F25" w:rsidP="00A13F25">
      <w:pPr>
        <w:jc w:val="both"/>
        <w:rPr>
          <w:lang w:val="en-AU"/>
        </w:rPr>
      </w:pPr>
      <w:r w:rsidRPr="00A13F25">
        <w:rPr>
          <w:lang w:val="en-AU"/>
        </w:rPr>
        <w:t>A further important consequence of these developments in international law has been the increasing number of Declarations and Conventions which can potentially affect our municipal laws.  The areas of domestic law which are potentially influenced are immense; they include administrative law, family law especially custody matters, discrimination laws, medical negligence, succession, immigration and refugee law, criminal law and human rights.</w:t>
      </w:r>
    </w:p>
    <w:p w14:paraId="46AA62F7" w14:textId="77777777" w:rsidR="00A13F25" w:rsidRDefault="00A13F25" w:rsidP="00A13F25">
      <w:pPr>
        <w:jc w:val="both"/>
        <w:rPr>
          <w:lang w:val="en-AU"/>
        </w:rPr>
      </w:pPr>
    </w:p>
    <w:p w14:paraId="11A3800A" w14:textId="77777777" w:rsidR="00A13F25" w:rsidRDefault="00A13F25" w:rsidP="00A13F25">
      <w:pPr>
        <w:jc w:val="both"/>
        <w:rPr>
          <w:lang w:val="en-AU"/>
        </w:rPr>
      </w:pPr>
      <w:r w:rsidRPr="00A13F25">
        <w:rPr>
          <w:lang w:val="en-AU"/>
        </w:rPr>
        <w:t xml:space="preserve">Practitioners need to be aware of how this may be relevant.  The High Court in the </w:t>
      </w:r>
      <w:r w:rsidRPr="00A13F25">
        <w:rPr>
          <w:i/>
          <w:lang w:val="en-AU"/>
        </w:rPr>
        <w:t>Minister for Immigration and Ethnic Affairs v Teoh</w:t>
      </w:r>
      <w:r w:rsidRPr="00A13F25">
        <w:rPr>
          <w:i/>
          <w:vertAlign w:val="superscript"/>
          <w:lang w:val="en-AU"/>
        </w:rPr>
        <w:footnoteReference w:id="55"/>
      </w:r>
      <w:r w:rsidRPr="00A13F25">
        <w:rPr>
          <w:i/>
          <w:lang w:val="en-AU"/>
        </w:rPr>
        <w:t xml:space="preserve"> </w:t>
      </w:r>
      <w:r w:rsidRPr="00A13F25">
        <w:rPr>
          <w:lang w:val="en-AU"/>
        </w:rPr>
        <w:t>held that entry into a treaty by Australia creates a “legitimate expectation”</w:t>
      </w:r>
      <w:r w:rsidRPr="00A13F25">
        <w:rPr>
          <w:lang w:val="en-AU"/>
        </w:rPr>
        <w:sym w:font="Symbol" w:char="F0BE"/>
      </w:r>
      <w:r w:rsidRPr="00A13F25">
        <w:rPr>
          <w:lang w:val="en-AU"/>
        </w:rPr>
        <w:t>in administrative law</w:t>
      </w:r>
      <w:r w:rsidRPr="00A13F25">
        <w:rPr>
          <w:lang w:val="en-AU"/>
        </w:rPr>
        <w:sym w:font="Symbol" w:char="F0BE"/>
      </w:r>
      <w:r w:rsidRPr="00A13F25">
        <w:rPr>
          <w:lang w:val="en-AU"/>
        </w:rPr>
        <w:t xml:space="preserve">that the Executive Government and its agencies will act according to the treaty, even where those terms were </w:t>
      </w:r>
      <w:r w:rsidRPr="00A13F25">
        <w:rPr>
          <w:i/>
          <w:lang w:val="en-AU"/>
        </w:rPr>
        <w:t>not</w:t>
      </w:r>
      <w:r w:rsidRPr="00A13F25">
        <w:rPr>
          <w:lang w:val="en-AU"/>
        </w:rPr>
        <w:t xml:space="preserve"> incorporated in Australian law.</w:t>
      </w:r>
      <w:bookmarkStart w:id="2" w:name="_Ref403435760"/>
      <w:r w:rsidRPr="00A13F25">
        <w:rPr>
          <w:vertAlign w:val="superscript"/>
          <w:lang w:val="en-AU"/>
        </w:rPr>
        <w:footnoteReference w:id="56"/>
      </w:r>
      <w:bookmarkEnd w:id="2"/>
      <w:r w:rsidRPr="00A13F25">
        <w:rPr>
          <w:lang w:val="en-AU"/>
        </w:rPr>
        <w:t xml:space="preserve">  Moreover, there is a presumption that the legislature intends to give effect to Australia’s obligations under international law. </w:t>
      </w:r>
    </w:p>
    <w:p w14:paraId="1B76F627" w14:textId="77777777" w:rsidR="00A13F25" w:rsidRDefault="00A13F25" w:rsidP="00A13F25">
      <w:pPr>
        <w:jc w:val="both"/>
        <w:rPr>
          <w:lang w:val="en-AU"/>
        </w:rPr>
      </w:pPr>
    </w:p>
    <w:p w14:paraId="197E6114" w14:textId="4873BF19" w:rsidR="00A13F25" w:rsidRPr="00A13F25" w:rsidRDefault="00A13F25" w:rsidP="00A13F25">
      <w:pPr>
        <w:jc w:val="both"/>
        <w:rPr>
          <w:lang w:val="en-AU"/>
        </w:rPr>
      </w:pPr>
      <w:r w:rsidRPr="00A13F25">
        <w:rPr>
          <w:lang w:val="en-AU"/>
        </w:rPr>
        <w:t>Where a statute or subordinate legislation is ambiguous it should be construed in accordance with those obligations, particularly where they are undertaken in a treaty to which Australia is a party.</w:t>
      </w:r>
      <w:r w:rsidRPr="00A13F25">
        <w:rPr>
          <w:vertAlign w:val="superscript"/>
          <w:lang w:val="en-AU"/>
        </w:rPr>
        <w:footnoteReference w:id="57"/>
      </w:r>
      <w:r w:rsidRPr="00A13F25">
        <w:rPr>
          <w:lang w:val="en-AU"/>
        </w:rPr>
        <w:t xml:space="preserve">  These rulings of the High Court can profoundly influence many aspects of our municipal law. We will look at these issues in the context of the rights of the unborn, if any, under international law and there implications for Australian domestic law.</w:t>
      </w:r>
    </w:p>
    <w:p w14:paraId="3DCE085D" w14:textId="77777777" w:rsidR="00A13F25" w:rsidRDefault="00A13F25" w:rsidP="00A13F25">
      <w:pPr>
        <w:jc w:val="both"/>
        <w:rPr>
          <w:lang w:val="en-AU"/>
        </w:rPr>
      </w:pPr>
    </w:p>
    <w:p w14:paraId="205EEDDF" w14:textId="77777777" w:rsidR="00A13F25" w:rsidRPr="00A13F25" w:rsidRDefault="00A13F25" w:rsidP="00A13F25">
      <w:pPr>
        <w:jc w:val="both"/>
        <w:rPr>
          <w:lang w:val="en-AU"/>
        </w:rPr>
      </w:pPr>
      <w:r w:rsidRPr="00A13F25">
        <w:rPr>
          <w:lang w:val="en-AU"/>
        </w:rPr>
        <w:t xml:space="preserve">In 1996 considerable public controversy about the legality of abortion arose when the High Court of Australia was called upon to consider an appeal from the judgment of the New South Wales Court of Appeal in </w:t>
      </w:r>
      <w:r w:rsidRPr="00A13F25">
        <w:rPr>
          <w:i/>
          <w:lang w:val="en-AU"/>
        </w:rPr>
        <w:t>CES v Superclinics (Australia) Pty Ltd</w:t>
      </w:r>
      <w:r w:rsidRPr="00A13F25">
        <w:rPr>
          <w:lang w:val="en-AU"/>
        </w:rPr>
        <w:t>.</w:t>
      </w:r>
      <w:r w:rsidRPr="00A13F25">
        <w:rPr>
          <w:vertAlign w:val="superscript"/>
          <w:lang w:val="en-AU"/>
        </w:rPr>
        <w:footnoteReference w:id="58"/>
      </w:r>
      <w:r w:rsidRPr="00A13F25">
        <w:rPr>
          <w:lang w:val="en-AU"/>
        </w:rPr>
        <w:t xml:space="preserve">  The Court of Appeal, by majority, approved, but did not apply, the principle in </w:t>
      </w:r>
      <w:r w:rsidRPr="00A13F25">
        <w:rPr>
          <w:i/>
          <w:lang w:val="en-AU"/>
        </w:rPr>
        <w:t>R v Wald</w:t>
      </w:r>
      <w:r w:rsidRPr="00A13F25">
        <w:rPr>
          <w:vertAlign w:val="superscript"/>
          <w:lang w:val="en-AU"/>
        </w:rPr>
        <w:footnoteReference w:id="59"/>
      </w:r>
      <w:r w:rsidRPr="00A13F25">
        <w:rPr>
          <w:lang w:val="en-AU"/>
        </w:rPr>
        <w:t xml:space="preserve"> Devine J. in that case had held that: first, an abortion may be lawful if the person performing the abortion, or the woman upon whom it is performed, has an honest belief on reasonable grounds that what was done was necessary to preserve the woman involved from serious danger to her life, or physical or mental health, which the continuance of the pregnancy would entail, not merely the normal danger of the pregnancy and childbirth; and secondly a woman upon whom an abortion is performed is not guilty of aiding or abetting that act if she honestly and reasonably holds the appropriate belief, irrespective of the beliefs of the person performing the act.  The High Court granted Special Leave to Appeal on 15 April 1996</w:t>
      </w:r>
      <w:r w:rsidRPr="00A13F25">
        <w:rPr>
          <w:vertAlign w:val="superscript"/>
          <w:lang w:val="en-AU"/>
        </w:rPr>
        <w:footnoteReference w:id="60"/>
      </w:r>
      <w:r w:rsidRPr="00A13F25">
        <w:rPr>
          <w:lang w:val="en-AU"/>
        </w:rPr>
        <w:t xml:space="preserve"> and the Court subsequently granted representative interest groups leave to intervene.  The proceedings were, however, settled during the course of argument and the Court was not called upon to give judgment.  But the case highlights an instance where international law may be relevant to domestic laws.  The issue of the unborn has again arisen in the context of the United Nations</w:t>
      </w:r>
      <w:r w:rsidRPr="00A13F25">
        <w:rPr>
          <w:i/>
          <w:lang w:val="en-AU"/>
        </w:rPr>
        <w:t xml:space="preserve"> Convention on the Rights of the Child 1989.</w:t>
      </w:r>
    </w:p>
    <w:p w14:paraId="2423BB97" w14:textId="77777777" w:rsidR="00A13F25" w:rsidRDefault="00A13F25" w:rsidP="00A13F25">
      <w:pPr>
        <w:jc w:val="both"/>
        <w:rPr>
          <w:lang w:val="en-AU"/>
        </w:rPr>
      </w:pPr>
    </w:p>
    <w:p w14:paraId="74D840ED" w14:textId="77777777" w:rsidR="00A13F25" w:rsidRPr="00A13F25" w:rsidRDefault="00A13F25" w:rsidP="00A13F25">
      <w:pPr>
        <w:jc w:val="both"/>
        <w:rPr>
          <w:lang w:val="en-AU"/>
        </w:rPr>
      </w:pPr>
      <w:r w:rsidRPr="00A13F25">
        <w:rPr>
          <w:lang w:val="en-AU"/>
        </w:rPr>
        <w:t>On 28 August 1995 the Attorney-General of Australia referred to the Australian Human Rights and Equal Opportunity Commission and the Australian Law Reform Commission (“the Commissions”) “for inquiry and report, matters relating to children and young people and the legal process.”</w:t>
      </w:r>
    </w:p>
    <w:p w14:paraId="273FB7CA" w14:textId="77777777" w:rsidR="00A13F25" w:rsidRPr="00A13F25" w:rsidRDefault="00A13F25" w:rsidP="00A13F25">
      <w:pPr>
        <w:jc w:val="both"/>
        <w:rPr>
          <w:lang w:val="en-AU"/>
        </w:rPr>
      </w:pPr>
      <w:r w:rsidRPr="00A13F25">
        <w:rPr>
          <w:lang w:val="en-AU"/>
        </w:rPr>
        <w:t>In May 1997 a Draft Recommendations Paper entitled “A matter of priority: Children and the legal process” (the “Paper”) was jointly published by the Commissions.  This chapter, based largely on the Authors’ Submission to those Commissions, considers the rights of the unborn under international law.  These considerations are even more appropriate in the 21</w:t>
      </w:r>
      <w:r w:rsidRPr="00A13F25">
        <w:rPr>
          <w:vertAlign w:val="superscript"/>
          <w:lang w:val="en-AU"/>
        </w:rPr>
        <w:t>st</w:t>
      </w:r>
      <w:r w:rsidRPr="00A13F25">
        <w:rPr>
          <w:lang w:val="en-AU"/>
        </w:rPr>
        <w:t xml:space="preserve"> century as particular elites continue their campaign for a universally recognised “right to abortion”, usually pursued under the rubric of ‘the right of access to reproductive health care service’ or, to use the apt words of Richard Wilkins, “illusive legal constructs” such as ‘forced pregnancy’.</w:t>
      </w:r>
      <w:r w:rsidRPr="00A13F25">
        <w:rPr>
          <w:vertAlign w:val="superscript"/>
          <w:lang w:val="en-AU"/>
        </w:rPr>
        <w:footnoteReference w:id="61"/>
      </w:r>
      <w:r w:rsidRPr="00A13F25">
        <w:rPr>
          <w:lang w:val="en-AU"/>
        </w:rPr>
        <w:t xml:space="preserve"> </w:t>
      </w:r>
    </w:p>
    <w:p w14:paraId="09E0679A" w14:textId="77777777" w:rsidR="00A13F25" w:rsidRDefault="00A13F25" w:rsidP="00A13F25">
      <w:pPr>
        <w:jc w:val="both"/>
        <w:rPr>
          <w:lang w:val="en-AU"/>
        </w:rPr>
      </w:pPr>
    </w:p>
    <w:p w14:paraId="527A853E" w14:textId="77777777" w:rsidR="00A13F25" w:rsidRPr="00A13F25" w:rsidRDefault="00A13F25" w:rsidP="00A13F25">
      <w:pPr>
        <w:jc w:val="both"/>
        <w:rPr>
          <w:lang w:val="en-AU"/>
        </w:rPr>
      </w:pPr>
      <w:r w:rsidRPr="00A13F25">
        <w:rPr>
          <w:lang w:val="en-AU"/>
        </w:rPr>
        <w:t>In 1997 the Commissions adopted the definition of “child” used in the United Nations</w:t>
      </w:r>
      <w:r w:rsidRPr="00A13F25">
        <w:rPr>
          <w:i/>
          <w:lang w:val="en-AU"/>
        </w:rPr>
        <w:t xml:space="preserve"> Convention on the Rights of the Child 1989,</w:t>
      </w:r>
      <w:r w:rsidRPr="00A13F25">
        <w:rPr>
          <w:i/>
          <w:vertAlign w:val="superscript"/>
          <w:lang w:val="en-AU"/>
        </w:rPr>
        <w:footnoteReference w:id="62"/>
      </w:r>
      <w:r w:rsidRPr="00A13F25">
        <w:rPr>
          <w:lang w:val="en-AU"/>
        </w:rPr>
        <w:t xml:space="preserve"> (“CRC”) i.e. a person under the age of eighteen.  Despite that definition, the Paper did not consider the rights of all children under the age of eighteen, failing to discuss the rights of unborn children and the issue of abortion. The implication here is that this is a group of human beings who are not to receive moral consideration as human beings with fundamental rights and nor are they to be afforded the protection of the law. </w:t>
      </w:r>
    </w:p>
    <w:p w14:paraId="00F326F6" w14:textId="77777777" w:rsidR="00A13F25" w:rsidRDefault="00A13F25" w:rsidP="00A13F25">
      <w:pPr>
        <w:jc w:val="both"/>
        <w:rPr>
          <w:lang w:val="en-AU"/>
        </w:rPr>
      </w:pPr>
    </w:p>
    <w:p w14:paraId="41567297" w14:textId="77777777" w:rsidR="00A13F25" w:rsidRPr="00A13F25" w:rsidRDefault="00A13F25" w:rsidP="00A13F25">
      <w:pPr>
        <w:jc w:val="both"/>
        <w:rPr>
          <w:lang w:val="en-AU"/>
        </w:rPr>
      </w:pPr>
      <w:r w:rsidRPr="00A13F25">
        <w:rPr>
          <w:lang w:val="en-AU"/>
        </w:rPr>
        <w:t>So, while the Paper emphasised the importance of the CRC it failed to acknowledge that it must be interpreted in the light of the Charter of the United Nations,</w:t>
      </w:r>
      <w:r w:rsidRPr="00A13F25">
        <w:rPr>
          <w:vertAlign w:val="superscript"/>
          <w:lang w:val="en-AU"/>
        </w:rPr>
        <w:footnoteReference w:id="63"/>
      </w:r>
      <w:r w:rsidRPr="00A13F25">
        <w:rPr>
          <w:lang w:val="en-AU"/>
        </w:rPr>
        <w:t xml:space="preserve"> the </w:t>
      </w:r>
      <w:r w:rsidRPr="00A13F25">
        <w:rPr>
          <w:i/>
          <w:lang w:val="en-AU"/>
        </w:rPr>
        <w:t>Universal Declaration of Human Rights</w:t>
      </w:r>
      <w:r w:rsidRPr="00A13F25">
        <w:rPr>
          <w:lang w:val="en-AU"/>
        </w:rPr>
        <w:t xml:space="preserve"> </w:t>
      </w:r>
      <w:r w:rsidRPr="00A13F25">
        <w:rPr>
          <w:i/>
          <w:lang w:val="en-AU"/>
        </w:rPr>
        <w:t>1948,</w:t>
      </w:r>
      <w:r w:rsidRPr="00A13F25">
        <w:rPr>
          <w:vertAlign w:val="superscript"/>
          <w:lang w:val="en-AU"/>
        </w:rPr>
        <w:footnoteReference w:id="64"/>
      </w:r>
      <w:r w:rsidRPr="00A13F25">
        <w:rPr>
          <w:lang w:val="en-AU"/>
        </w:rPr>
        <w:t xml:space="preserve"> the </w:t>
      </w:r>
      <w:r w:rsidRPr="00A13F25">
        <w:rPr>
          <w:i/>
          <w:lang w:val="en-AU"/>
        </w:rPr>
        <w:t>International Covenant on Civil and Political Rights 1966,</w:t>
      </w:r>
      <w:r w:rsidRPr="00A13F25">
        <w:rPr>
          <w:lang w:val="en-AU"/>
        </w:rPr>
        <w:t xml:space="preserve"> the </w:t>
      </w:r>
      <w:r w:rsidRPr="00A13F25">
        <w:rPr>
          <w:i/>
          <w:lang w:val="en-AU"/>
        </w:rPr>
        <w:t>Declaration of the Rights of the Child 1959,</w:t>
      </w:r>
      <w:r w:rsidRPr="00A13F25">
        <w:rPr>
          <w:lang w:val="en-AU"/>
        </w:rPr>
        <w:t xml:space="preserve"> and other fundamental human rights documents. This is a common mistake and a serious one indeed since, as we shall see, those foundational documents have much to say on the rights of the unborn bearing directly on ambit claims being made for the recognition of a “right to abortion”.</w:t>
      </w:r>
    </w:p>
    <w:p w14:paraId="0B2A5EB2" w14:textId="77777777" w:rsidR="00A13F25" w:rsidRDefault="00A13F25" w:rsidP="00A13F25">
      <w:pPr>
        <w:jc w:val="both"/>
        <w:rPr>
          <w:lang w:val="en-AU"/>
        </w:rPr>
      </w:pPr>
    </w:p>
    <w:p w14:paraId="2C76E73E" w14:textId="77777777" w:rsidR="00A13F25" w:rsidRPr="00A13F25" w:rsidRDefault="00A13F25" w:rsidP="00A13F25">
      <w:pPr>
        <w:jc w:val="both"/>
        <w:rPr>
          <w:lang w:val="en-AU"/>
        </w:rPr>
      </w:pPr>
      <w:r w:rsidRPr="00A13F25">
        <w:rPr>
          <w:lang w:val="en-AU"/>
        </w:rPr>
        <w:t>The fact is that the rights of the unborn were discussed in the drafting stages of the</w:t>
      </w:r>
      <w:r w:rsidRPr="00A13F25">
        <w:rPr>
          <w:i/>
          <w:lang w:val="en-AU"/>
        </w:rPr>
        <w:t xml:space="preserve"> Universal Declaration of Human Rights 1948</w:t>
      </w:r>
      <w:r w:rsidRPr="00A13F25">
        <w:rPr>
          <w:lang w:val="en-AU"/>
        </w:rPr>
        <w:t xml:space="preserve"> (UDHR) as well as in the drafting stages of the CRC.  The matter is also referred to in the </w:t>
      </w:r>
      <w:r w:rsidRPr="00A13F25">
        <w:rPr>
          <w:i/>
          <w:lang w:val="en-AU"/>
        </w:rPr>
        <w:t>International Covenant on Civil and Political Rights 1966</w:t>
      </w:r>
      <w:r w:rsidRPr="00A13F25">
        <w:rPr>
          <w:lang w:val="en-AU"/>
        </w:rPr>
        <w:t xml:space="preserve"> (ICCPR).  That this subject did not merit discussion by the Commissions is, therefore, a cause for great concern.  It is also a matter for concern that academic lawyers seem unwilling to deal with these issues preferring instead to simply assert that the UDHR and the ICCPR contain nothing that would suggest that the unborn have rights.</w:t>
      </w:r>
    </w:p>
    <w:p w14:paraId="737F9666" w14:textId="77777777" w:rsidR="00A13F25" w:rsidRDefault="00A13F25" w:rsidP="00A13F25">
      <w:pPr>
        <w:jc w:val="both"/>
        <w:rPr>
          <w:lang w:val="en-AU"/>
        </w:rPr>
      </w:pPr>
    </w:p>
    <w:p w14:paraId="68920DF0" w14:textId="77777777" w:rsidR="00A13F25" w:rsidRPr="00A13F25" w:rsidRDefault="00A13F25" w:rsidP="00A13F25">
      <w:pPr>
        <w:jc w:val="both"/>
        <w:rPr>
          <w:lang w:val="en-AU"/>
        </w:rPr>
      </w:pPr>
      <w:r w:rsidRPr="00A13F25">
        <w:rPr>
          <w:lang w:val="en-AU"/>
        </w:rPr>
        <w:t xml:space="preserve">The importance of the abortion issue in the Australian legal context is further underscored by the fact that the </w:t>
      </w:r>
      <w:r w:rsidRPr="00A13F25">
        <w:rPr>
          <w:i/>
          <w:lang w:val="en-AU"/>
        </w:rPr>
        <w:t>Declaration of the Rights of the Child 1959</w:t>
      </w:r>
      <w:r w:rsidRPr="00A13F25">
        <w:rPr>
          <w:lang w:val="en-AU"/>
        </w:rPr>
        <w:t xml:space="preserve"> was attached as a Schedule to the </w:t>
      </w:r>
      <w:r w:rsidRPr="00A13F25">
        <w:rPr>
          <w:i/>
          <w:lang w:val="en-AU"/>
        </w:rPr>
        <w:t>Human Rights and Equal Opportunity Commission Act 1986</w:t>
      </w:r>
      <w:r w:rsidRPr="00A13F25">
        <w:rPr>
          <w:lang w:val="en-AU"/>
        </w:rPr>
        <w:t xml:space="preserve"> (Cth.)</w:t>
      </w:r>
      <w:r w:rsidRPr="00A13F25">
        <w:rPr>
          <w:i/>
          <w:lang w:val="en-AU"/>
        </w:rPr>
        <w:t xml:space="preserve"> </w:t>
      </w:r>
      <w:r w:rsidRPr="00A13F25">
        <w:rPr>
          <w:lang w:val="en-AU"/>
        </w:rPr>
        <w:t>following discussions with the Right to Life Association,</w:t>
      </w:r>
      <w:r w:rsidRPr="00A13F25">
        <w:rPr>
          <w:vertAlign w:val="superscript"/>
          <w:lang w:val="en-AU"/>
        </w:rPr>
        <w:footnoteReference w:id="65"/>
      </w:r>
      <w:r w:rsidRPr="00A13F25">
        <w:rPr>
          <w:lang w:val="en-AU"/>
        </w:rPr>
        <w:t xml:space="preserve"> such was the importance of this matter.  As a consequence the </w:t>
      </w:r>
      <w:r w:rsidRPr="00A13F25">
        <w:rPr>
          <w:i/>
          <w:lang w:val="en-AU"/>
        </w:rPr>
        <w:t>Declaration of the Rights of the Child</w:t>
      </w:r>
      <w:r w:rsidRPr="00A13F25">
        <w:rPr>
          <w:lang w:val="en-AU"/>
        </w:rPr>
        <w:t xml:space="preserve"> </w:t>
      </w:r>
      <w:r w:rsidRPr="00A13F25">
        <w:rPr>
          <w:i/>
          <w:lang w:val="en-AU"/>
        </w:rPr>
        <w:t>1959,</w:t>
      </w:r>
      <w:r w:rsidRPr="00A13F25">
        <w:rPr>
          <w:i/>
          <w:vertAlign w:val="superscript"/>
          <w:lang w:val="en-AU"/>
        </w:rPr>
        <w:footnoteReference w:id="66"/>
      </w:r>
      <w:r w:rsidRPr="00A13F25">
        <w:rPr>
          <w:lang w:val="en-AU"/>
        </w:rPr>
        <w:t xml:space="preserve"> is part of Australian municipal law, although what legal rights to which this may give rise is debatable.</w:t>
      </w:r>
      <w:r w:rsidRPr="00A13F25">
        <w:rPr>
          <w:vertAlign w:val="superscript"/>
          <w:lang w:val="en-AU"/>
        </w:rPr>
        <w:footnoteReference w:id="67"/>
      </w:r>
      <w:r w:rsidRPr="00A13F25">
        <w:rPr>
          <w:lang w:val="en-AU"/>
        </w:rPr>
        <w:t xml:space="preserve">  Accordingly it is not good enough within the Australian context to simply describe the Declaration on the Rights of the Child as “a non-binding international instrument.”</w:t>
      </w:r>
      <w:r w:rsidRPr="00A13F25">
        <w:rPr>
          <w:vertAlign w:val="superscript"/>
          <w:lang w:val="en-AU"/>
        </w:rPr>
        <w:footnoteReference w:id="68"/>
      </w:r>
    </w:p>
    <w:p w14:paraId="53742A1A" w14:textId="77777777" w:rsidR="003E0292" w:rsidRDefault="003E0292" w:rsidP="00A13F25">
      <w:pPr>
        <w:jc w:val="both"/>
        <w:rPr>
          <w:b/>
        </w:rPr>
      </w:pPr>
      <w:bookmarkStart w:id="3" w:name="_Toc392731559"/>
    </w:p>
    <w:p w14:paraId="462D96EA" w14:textId="77777777" w:rsidR="00A13F25" w:rsidRPr="00A13F25" w:rsidRDefault="00A13F25" w:rsidP="00A13F25">
      <w:pPr>
        <w:jc w:val="both"/>
        <w:rPr>
          <w:b/>
        </w:rPr>
      </w:pPr>
      <w:r w:rsidRPr="00A13F25">
        <w:rPr>
          <w:b/>
        </w:rPr>
        <w:t>Human rights and the unborn child</w:t>
      </w:r>
      <w:bookmarkEnd w:id="3"/>
    </w:p>
    <w:p w14:paraId="5E0369F8" w14:textId="77777777" w:rsidR="00A13F25" w:rsidRPr="00A13F25" w:rsidRDefault="00A13F25" w:rsidP="00A13F25">
      <w:pPr>
        <w:jc w:val="both"/>
        <w:rPr>
          <w:b/>
        </w:rPr>
      </w:pPr>
      <w:bookmarkStart w:id="4" w:name="_Toc392731560"/>
      <w:r w:rsidRPr="00A13F25">
        <w:rPr>
          <w:b/>
        </w:rPr>
        <w:t>CRC and abortion</w:t>
      </w:r>
      <w:bookmarkEnd w:id="4"/>
    </w:p>
    <w:p w14:paraId="00B9B431" w14:textId="77777777" w:rsidR="00A13F25" w:rsidRDefault="00A13F25" w:rsidP="00A13F25">
      <w:pPr>
        <w:jc w:val="both"/>
        <w:rPr>
          <w:lang w:val="en-AU"/>
        </w:rPr>
      </w:pPr>
    </w:p>
    <w:p w14:paraId="44053C90" w14:textId="77777777" w:rsidR="00A13F25" w:rsidRPr="00A13F25" w:rsidRDefault="00A13F25" w:rsidP="00A13F25">
      <w:pPr>
        <w:jc w:val="both"/>
        <w:rPr>
          <w:lang w:val="en-AU"/>
        </w:rPr>
      </w:pPr>
      <w:r w:rsidRPr="00A13F25">
        <w:rPr>
          <w:lang w:val="en-AU"/>
        </w:rPr>
        <w:t>The CRC, adopted by the General Assembly of the United Nations on November 20, 1989, and ratified</w:t>
      </w:r>
      <w:r w:rsidRPr="00A13F25">
        <w:rPr>
          <w:vertAlign w:val="superscript"/>
          <w:lang w:val="en-AU"/>
        </w:rPr>
        <w:footnoteReference w:id="69"/>
      </w:r>
      <w:r w:rsidRPr="00A13F25">
        <w:rPr>
          <w:lang w:val="en-AU"/>
        </w:rPr>
        <w:t xml:space="preserve"> by Australia,</w:t>
      </w:r>
      <w:r w:rsidRPr="00A13F25">
        <w:rPr>
          <w:vertAlign w:val="superscript"/>
          <w:lang w:val="en-AU"/>
        </w:rPr>
        <w:footnoteReference w:id="70"/>
      </w:r>
      <w:r w:rsidRPr="00A13F25">
        <w:rPr>
          <w:lang w:val="en-AU"/>
        </w:rPr>
        <w:t xml:space="preserve"> reiterates the positions taken by the </w:t>
      </w:r>
      <w:r w:rsidRPr="00A13F25">
        <w:rPr>
          <w:i/>
          <w:lang w:val="en-AU"/>
        </w:rPr>
        <w:t>Universal Declaration of Human Rights 1948</w:t>
      </w:r>
      <w:r w:rsidRPr="00A13F25">
        <w:rPr>
          <w:lang w:val="en-AU"/>
        </w:rPr>
        <w:t>, which have been adopted and proclaimed by Australia, about the “equal and inalienable rights of all members of the human family” as the “foundation of freedom, justice and peace in the world”, and that the “United Nations has proclaimed that childhood is entitled to special care and assistance”.</w:t>
      </w:r>
      <w:bookmarkStart w:id="5" w:name="_Ref395330483"/>
      <w:r w:rsidRPr="00A13F25">
        <w:rPr>
          <w:vertAlign w:val="superscript"/>
          <w:lang w:val="en-AU"/>
        </w:rPr>
        <w:footnoteReference w:id="71"/>
      </w:r>
      <w:bookmarkEnd w:id="5"/>
      <w:r w:rsidRPr="00A13F25">
        <w:rPr>
          <w:lang w:val="en-AU"/>
        </w:rPr>
        <w:t xml:space="preserve">  In particular the CRC asserts: “States Parties recognize that every child has the inherent right to life”</w:t>
      </w:r>
      <w:r w:rsidRPr="00A13F25">
        <w:rPr>
          <w:vertAlign w:val="superscript"/>
          <w:lang w:val="en-AU"/>
        </w:rPr>
        <w:footnoteReference w:id="72"/>
      </w:r>
      <w:r w:rsidRPr="00A13F25">
        <w:rPr>
          <w:lang w:val="en-AU"/>
        </w:rPr>
        <w:t xml:space="preserve"> and that “States Parties shall ensure to the maximum extent possible the survival and development of the child.”</w:t>
      </w:r>
      <w:r w:rsidRPr="00A13F25">
        <w:rPr>
          <w:vertAlign w:val="superscript"/>
          <w:lang w:val="en-AU"/>
        </w:rPr>
        <w:footnoteReference w:id="73"/>
      </w:r>
    </w:p>
    <w:p w14:paraId="6F4271AC" w14:textId="77777777" w:rsidR="00A13F25" w:rsidRDefault="00A13F25" w:rsidP="00A13F25">
      <w:pPr>
        <w:jc w:val="both"/>
        <w:rPr>
          <w:lang w:val="en-AU"/>
        </w:rPr>
      </w:pPr>
    </w:p>
    <w:p w14:paraId="17F1489E" w14:textId="77777777" w:rsidR="00A13F25" w:rsidRPr="00A13F25" w:rsidRDefault="00A13F25" w:rsidP="00A13F25">
      <w:pPr>
        <w:jc w:val="both"/>
        <w:rPr>
          <w:lang w:val="en-AU"/>
        </w:rPr>
      </w:pPr>
      <w:r w:rsidRPr="00A13F25">
        <w:rPr>
          <w:lang w:val="en-AU"/>
        </w:rPr>
        <w:t xml:space="preserve">Regarding abortion, the CRC bears in mind that, “as indicated in the </w:t>
      </w:r>
      <w:r w:rsidRPr="00A13F25">
        <w:rPr>
          <w:i/>
          <w:lang w:val="en-AU"/>
        </w:rPr>
        <w:t>Declaration of the Rights of the Child</w:t>
      </w:r>
      <w:r w:rsidRPr="00A13F25">
        <w:rPr>
          <w:lang w:val="en-AU"/>
        </w:rPr>
        <w:t>, ‘the child, by reason of his physical and mental immaturity, needs special safeguards and care, including appropriate legal protection, before as well as after birth’ ”.</w:t>
      </w:r>
      <w:r w:rsidRPr="00A13F25">
        <w:rPr>
          <w:vertAlign w:val="superscript"/>
          <w:lang w:val="en-AU"/>
        </w:rPr>
        <w:footnoteReference w:id="74"/>
      </w:r>
      <w:r w:rsidRPr="00A13F25">
        <w:rPr>
          <w:lang w:val="en-AU"/>
        </w:rPr>
        <w:t xml:space="preserve">  Does it necessarily follow from this that the right to life of the pre-born child is protected? Senator Gareth Evans, the then Minister for Foreign Affairs and Trade, told the Australian Senate on October 26, 1989 that the Australian Government understands the reference to the rights of the child “before as well as after birth” in a way that does not preclude abortion.  However, Australia made no such reservation or interpretation</w:t>
      </w:r>
      <w:r w:rsidRPr="00A13F25">
        <w:rPr>
          <w:vertAlign w:val="superscript"/>
          <w:lang w:val="en-AU"/>
        </w:rPr>
        <w:footnoteReference w:id="75"/>
      </w:r>
      <w:r w:rsidRPr="00A13F25">
        <w:rPr>
          <w:lang w:val="en-AU"/>
        </w:rPr>
        <w:t xml:space="preserve"> at the time of ratification.</w:t>
      </w:r>
      <w:r w:rsidRPr="00A13F25">
        <w:rPr>
          <w:vertAlign w:val="superscript"/>
          <w:lang w:val="en-AU"/>
        </w:rPr>
        <w:footnoteReference w:id="76"/>
      </w:r>
      <w:r w:rsidRPr="00A13F25">
        <w:rPr>
          <w:lang w:val="en-AU"/>
        </w:rPr>
        <w:t xml:space="preserve">  Acknowledging that the reference to the rights of the child “before as well as after birth” does appear in the </w:t>
      </w:r>
      <w:r w:rsidRPr="00A13F25">
        <w:rPr>
          <w:i/>
          <w:lang w:val="en-AU"/>
        </w:rPr>
        <w:t>Preamble</w:t>
      </w:r>
      <w:r w:rsidRPr="00A13F25">
        <w:rPr>
          <w:lang w:val="en-AU"/>
        </w:rPr>
        <w:t xml:space="preserve"> in the then draft Convention, “at the same time a statement in the </w:t>
      </w:r>
      <w:r w:rsidRPr="00A13F25">
        <w:rPr>
          <w:i/>
          <w:lang w:val="en-AU"/>
        </w:rPr>
        <w:t>travaux préparatoires</w:t>
      </w:r>
      <w:r w:rsidRPr="00A13F25">
        <w:rPr>
          <w:lang w:val="en-AU"/>
        </w:rPr>
        <w:t xml:space="preserve"> - the preparatory materials - makes it clear that the contentious issue of the child’s rights before birth is a question to be determined by individual states parties.”</w:t>
      </w:r>
      <w:r w:rsidRPr="00A13F25">
        <w:rPr>
          <w:vertAlign w:val="superscript"/>
          <w:lang w:val="en-AU"/>
        </w:rPr>
        <w:footnoteReference w:id="77"/>
      </w:r>
    </w:p>
    <w:p w14:paraId="1E7B82E2" w14:textId="77777777" w:rsidR="00A13F25" w:rsidRPr="00A13F25" w:rsidRDefault="00A13F25" w:rsidP="00A13F25">
      <w:pPr>
        <w:jc w:val="both"/>
        <w:rPr>
          <w:lang w:val="en-AU"/>
        </w:rPr>
      </w:pPr>
      <w:r w:rsidRPr="00A13F25">
        <w:rPr>
          <w:lang w:val="en-AU"/>
        </w:rPr>
        <w:t xml:space="preserve">Senator Evans’ statement on this matter is seriously misleading.  When they were debating this aspect of the </w:t>
      </w:r>
      <w:r w:rsidRPr="00A13F25">
        <w:rPr>
          <w:i/>
          <w:lang w:val="en-AU"/>
        </w:rPr>
        <w:t>Preamble</w:t>
      </w:r>
      <w:r w:rsidRPr="00A13F25">
        <w:rPr>
          <w:lang w:val="en-AU"/>
        </w:rPr>
        <w:t>, some delegations supported it precisely because it offered protection to the unborn child.</w:t>
      </w:r>
      <w:bookmarkStart w:id="6" w:name="_Ref395450889"/>
      <w:r w:rsidRPr="00A13F25">
        <w:rPr>
          <w:vertAlign w:val="superscript"/>
          <w:lang w:val="en-AU"/>
        </w:rPr>
        <w:footnoteReference w:id="78"/>
      </w:r>
      <w:bookmarkEnd w:id="6"/>
      <w:r w:rsidRPr="00A13F25">
        <w:rPr>
          <w:lang w:val="en-AU"/>
        </w:rPr>
        <w:t xml:space="preserve">  Other delegations, of which Australia was one, opposed “what in their view amounted to re-opening the debate on this controversial matter [abortion] which, as they indicated, had been extensively discussed at earlier sessions of the Working Group with no consensus achieved.  It was also pointed out by some delegations that </w:t>
      </w:r>
      <w:r w:rsidRPr="00A13F25">
        <w:rPr>
          <w:i/>
          <w:lang w:val="en-AU"/>
        </w:rPr>
        <w:t>an unborn child is not literally a person</w:t>
      </w:r>
      <w:r w:rsidRPr="00A13F25">
        <w:rPr>
          <w:lang w:val="en-AU"/>
        </w:rPr>
        <w:t xml:space="preserve"> whose rights could already be protected, and that the main thrust of the Convention was deemed to promulgate the rights and freedoms of every human being after his birth and to the age of 18 years.”</w:t>
      </w:r>
      <w:bookmarkStart w:id="7" w:name="_Ref392379426"/>
      <w:r w:rsidRPr="00A13F25">
        <w:rPr>
          <w:vertAlign w:val="superscript"/>
          <w:lang w:val="en-AU"/>
        </w:rPr>
        <w:footnoteReference w:id="79"/>
      </w:r>
      <w:bookmarkEnd w:id="7"/>
      <w:r w:rsidRPr="00A13F25">
        <w:rPr>
          <w:lang w:val="en-AU"/>
        </w:rPr>
        <w:t xml:space="preserve"> (Emphasis added)</w:t>
      </w:r>
    </w:p>
    <w:p w14:paraId="630FC453" w14:textId="77777777" w:rsidR="00A13F25" w:rsidRDefault="00A13F25" w:rsidP="00A13F25">
      <w:pPr>
        <w:jc w:val="both"/>
        <w:rPr>
          <w:lang w:val="en-AU"/>
        </w:rPr>
      </w:pPr>
    </w:p>
    <w:p w14:paraId="0358D566" w14:textId="77777777" w:rsidR="00A13F25" w:rsidRPr="00A13F25" w:rsidRDefault="00A13F25" w:rsidP="00A13F25">
      <w:pPr>
        <w:jc w:val="both"/>
        <w:rPr>
          <w:lang w:val="en-AU"/>
        </w:rPr>
      </w:pPr>
      <w:r w:rsidRPr="00A13F25">
        <w:rPr>
          <w:lang w:val="en-AU"/>
        </w:rPr>
        <w:t xml:space="preserve">As a consequence of the debate they amended the </w:t>
      </w:r>
      <w:r w:rsidRPr="00A13F25">
        <w:rPr>
          <w:i/>
          <w:lang w:val="en-AU"/>
        </w:rPr>
        <w:t>Preamble</w:t>
      </w:r>
      <w:r w:rsidRPr="00A13F25">
        <w:rPr>
          <w:lang w:val="en-AU"/>
        </w:rPr>
        <w:t xml:space="preserve"> such that the text would no longer say “Recognising that . . . ” but “Bearing in mind that . . . ”, as indicated in the </w:t>
      </w:r>
      <w:r w:rsidRPr="00A13F25">
        <w:rPr>
          <w:i/>
          <w:lang w:val="en-AU"/>
        </w:rPr>
        <w:t>Declaration of the Rights of the Child 1959</w:t>
      </w:r>
      <w:r w:rsidRPr="00A13F25">
        <w:rPr>
          <w:lang w:val="en-AU"/>
        </w:rPr>
        <w:t xml:space="preserve">, “the child, by reason of his physical and mental immaturity, needs special safeguards and care, including appropriate legal protection, before as well as after birth”.  Further, the following statement was, by agreement, placed in the </w:t>
      </w:r>
      <w:r w:rsidRPr="00A13F25">
        <w:rPr>
          <w:i/>
          <w:lang w:val="en-AU"/>
        </w:rPr>
        <w:t>travaux préparatoires</w:t>
      </w:r>
      <w:r w:rsidRPr="00A13F25">
        <w:rPr>
          <w:lang w:val="en-AU"/>
        </w:rPr>
        <w:t>: “In adopting this preambular paragraph, the Working Group does not intend to prejudice the interpretation of article 1</w:t>
      </w:r>
      <w:r w:rsidRPr="00A13F25">
        <w:rPr>
          <w:vertAlign w:val="superscript"/>
          <w:lang w:val="en-AU"/>
        </w:rPr>
        <w:footnoteReference w:id="80"/>
      </w:r>
      <w:r w:rsidRPr="00A13F25">
        <w:rPr>
          <w:lang w:val="en-AU"/>
        </w:rPr>
        <w:t xml:space="preserve"> or any other provision of the Convention by States Parties.”</w:t>
      </w:r>
      <w:r w:rsidRPr="00A13F25">
        <w:rPr>
          <w:vertAlign w:val="superscript"/>
          <w:lang w:val="en-AU"/>
        </w:rPr>
        <w:footnoteReference w:id="81"/>
      </w:r>
      <w:r w:rsidRPr="00A13F25">
        <w:rPr>
          <w:lang w:val="en-AU"/>
        </w:rPr>
        <w:t xml:space="preserve">  No doubt this is the statement to which Senator Evans referred. However, this was not the end of the matter.</w:t>
      </w:r>
    </w:p>
    <w:p w14:paraId="01FF4D80" w14:textId="77777777" w:rsidR="00A13F25" w:rsidRPr="00A13F25" w:rsidRDefault="00A13F25" w:rsidP="00A13F25">
      <w:pPr>
        <w:jc w:val="both"/>
        <w:rPr>
          <w:lang w:val="en-AU"/>
        </w:rPr>
      </w:pPr>
      <w:r w:rsidRPr="00A13F25">
        <w:rPr>
          <w:lang w:val="en-AU"/>
        </w:rPr>
        <w:t>The representative of the United Kingdom sought “confirmation from the Legal Counsel that the statement would be taken into account if, in the future, doubts were raised as to the method of interpreting article 1.”</w:t>
      </w:r>
      <w:r w:rsidRPr="00A13F25">
        <w:rPr>
          <w:vertAlign w:val="superscript"/>
          <w:lang w:val="en-AU"/>
        </w:rPr>
        <w:footnoteReference w:id="82"/>
      </w:r>
      <w:r w:rsidRPr="00A13F25">
        <w:rPr>
          <w:lang w:val="en-AU"/>
        </w:rPr>
        <w:t xml:space="preserve">  That advice was annexed to the report of the Working Group. It gives no such assurance and by no means allows the matter of abortion to be automatically reserved to the judgment of states parties.</w:t>
      </w:r>
    </w:p>
    <w:p w14:paraId="6EEB9EA8" w14:textId="77777777" w:rsidR="00A13F25" w:rsidRDefault="00A13F25" w:rsidP="00A13F25">
      <w:pPr>
        <w:jc w:val="both"/>
        <w:rPr>
          <w:lang w:val="en-AU"/>
        </w:rPr>
      </w:pPr>
    </w:p>
    <w:p w14:paraId="3A4CD7C1" w14:textId="77777777" w:rsidR="00A13F25" w:rsidRPr="00A13F25" w:rsidRDefault="00A13F25" w:rsidP="00A13F25">
      <w:pPr>
        <w:jc w:val="both"/>
        <w:rPr>
          <w:lang w:val="en-AU"/>
        </w:rPr>
      </w:pPr>
      <w:r w:rsidRPr="00A13F25">
        <w:rPr>
          <w:lang w:val="en-AU"/>
        </w:rPr>
        <w:t xml:space="preserve">The Response of the Legal Counsel certainly allows such an interpretative statement to be included in the </w:t>
      </w:r>
      <w:r w:rsidRPr="00A13F25">
        <w:rPr>
          <w:i/>
          <w:lang w:val="en-AU"/>
        </w:rPr>
        <w:t>travaux préparatoires</w:t>
      </w:r>
      <w:r w:rsidRPr="00A13F25">
        <w:rPr>
          <w:lang w:val="en-AU"/>
        </w:rPr>
        <w:t>.  However, the Legal Counsel cautioned that:</w:t>
      </w:r>
    </w:p>
    <w:p w14:paraId="30FDE00F" w14:textId="77777777" w:rsidR="00A13F25" w:rsidRPr="00A13F25" w:rsidRDefault="00A13F25" w:rsidP="00A13F25">
      <w:pPr>
        <w:jc w:val="both"/>
        <w:rPr>
          <w:lang w:val="en-AU"/>
        </w:rPr>
      </w:pPr>
      <w:r w:rsidRPr="00A13F25">
        <w:rPr>
          <w:lang w:val="en-AU"/>
        </w:rPr>
        <w:t xml:space="preserve">seeking to establish the meaning of a particular provision of a treaty, through an inclusion in the </w:t>
      </w:r>
      <w:r w:rsidRPr="00A13F25">
        <w:rPr>
          <w:i/>
          <w:lang w:val="en-AU"/>
        </w:rPr>
        <w:t>travaux préparatoires</w:t>
      </w:r>
      <w:r w:rsidRPr="00A13F25">
        <w:rPr>
          <w:lang w:val="en-AU"/>
        </w:rPr>
        <w:t xml:space="preserve"> may not optimally fulfill the intended purpose, because, as you know, under article 32 of the Vienna Convention on the Law of Treaties, </w:t>
      </w:r>
      <w:r w:rsidRPr="00A13F25">
        <w:rPr>
          <w:i/>
          <w:lang w:val="en-AU"/>
        </w:rPr>
        <w:t>travaux préparatoires</w:t>
      </w:r>
      <w:r w:rsidRPr="00A13F25">
        <w:rPr>
          <w:lang w:val="en-AU"/>
        </w:rPr>
        <w:t xml:space="preserve"> constitute a “supplementary means of interpretation” and hence recourse to </w:t>
      </w:r>
      <w:r w:rsidRPr="00A13F25">
        <w:rPr>
          <w:i/>
          <w:lang w:val="en-AU"/>
        </w:rPr>
        <w:t>travaux préparatoires</w:t>
      </w:r>
      <w:r w:rsidRPr="00A13F25">
        <w:rPr>
          <w:lang w:val="en-AU"/>
        </w:rPr>
        <w:t xml:space="preserve"> may only be had if the relevant treaty provisions are in fact found by those interpreting the treaty to be unclear.</w:t>
      </w:r>
      <w:r w:rsidRPr="00A13F25">
        <w:rPr>
          <w:vertAlign w:val="superscript"/>
          <w:lang w:val="en-AU"/>
        </w:rPr>
        <w:footnoteReference w:id="83"/>
      </w:r>
    </w:p>
    <w:p w14:paraId="16895ADF" w14:textId="77777777" w:rsidR="00A13F25" w:rsidRPr="00A13F25" w:rsidRDefault="00A13F25" w:rsidP="00A13F25">
      <w:pPr>
        <w:jc w:val="both"/>
        <w:rPr>
          <w:lang w:val="en-AU"/>
        </w:rPr>
      </w:pPr>
      <w:r w:rsidRPr="00A13F25">
        <w:rPr>
          <w:lang w:val="en-AU"/>
        </w:rPr>
        <w:t xml:space="preserve">It is by no means certain that those international courts that have to interpret international law will find the treaty unclear, especially as it is to be understood, not by itself, but with reference to and guided by the </w:t>
      </w:r>
      <w:r w:rsidRPr="00A13F25">
        <w:rPr>
          <w:i/>
          <w:lang w:val="en-AU"/>
        </w:rPr>
        <w:t xml:space="preserve">Universal Declaration of Human Rights 1948, </w:t>
      </w:r>
      <w:r w:rsidRPr="00A13F25">
        <w:rPr>
          <w:lang w:val="en-AU"/>
        </w:rPr>
        <w:t xml:space="preserve">the </w:t>
      </w:r>
      <w:r w:rsidRPr="00A13F25">
        <w:rPr>
          <w:i/>
          <w:lang w:val="en-AU"/>
        </w:rPr>
        <w:t>International Covenant on Civil and Political Rights 1966</w:t>
      </w:r>
      <w:r w:rsidRPr="00A13F25">
        <w:rPr>
          <w:lang w:val="en-AU"/>
        </w:rPr>
        <w:t xml:space="preserve"> and other international covenants.</w:t>
      </w:r>
    </w:p>
    <w:p w14:paraId="6032928F" w14:textId="77777777" w:rsidR="00A13F25" w:rsidRDefault="00A13F25" w:rsidP="00A13F25">
      <w:pPr>
        <w:jc w:val="both"/>
        <w:rPr>
          <w:lang w:val="en-AU"/>
        </w:rPr>
      </w:pPr>
    </w:p>
    <w:p w14:paraId="2E6FD210" w14:textId="77777777" w:rsidR="00A13F25" w:rsidRPr="00A13F25" w:rsidRDefault="00A13F25" w:rsidP="00A13F25">
      <w:pPr>
        <w:jc w:val="both"/>
        <w:rPr>
          <w:lang w:val="en-AU"/>
        </w:rPr>
      </w:pPr>
      <w:r w:rsidRPr="00A13F25">
        <w:rPr>
          <w:lang w:val="en-AU"/>
        </w:rPr>
        <w:t>In his account of the abortion debate, in the context of the CRC, Philip Alston claims that:</w:t>
      </w:r>
    </w:p>
    <w:p w14:paraId="12DA7A5F" w14:textId="77777777" w:rsidR="00A13F25" w:rsidRPr="00A13F25" w:rsidRDefault="00A13F25" w:rsidP="00A13F25">
      <w:pPr>
        <w:jc w:val="both"/>
        <w:rPr>
          <w:lang w:val="en-AU"/>
        </w:rPr>
      </w:pPr>
      <w:r w:rsidRPr="00A13F25">
        <w:rPr>
          <w:lang w:val="en-AU"/>
        </w:rPr>
        <w:t>the acceptance of a preambular paragraph recognizing that “the child . . . needs special safeguards and care, including appropriate legal protection, before as well as after birth” cannot be interpreted as an indirect reversal of that explicit rejection [of proposals to recognize the right to life of the unborn]. To do so would be to attribute to the preamble an importance considerably in excess of that which may reasonably be accorded to such broad policy pronouncements.</w:t>
      </w:r>
      <w:bookmarkStart w:id="8" w:name="_Ref395330632"/>
      <w:r w:rsidRPr="00A13F25">
        <w:rPr>
          <w:vertAlign w:val="superscript"/>
          <w:lang w:val="en-AU"/>
        </w:rPr>
        <w:footnoteReference w:id="84"/>
      </w:r>
      <w:bookmarkEnd w:id="8"/>
    </w:p>
    <w:p w14:paraId="0F2D57C9" w14:textId="77777777" w:rsidR="00A13F25" w:rsidRDefault="00A13F25" w:rsidP="00A13F25">
      <w:pPr>
        <w:jc w:val="both"/>
        <w:rPr>
          <w:lang w:val="en-AU"/>
        </w:rPr>
      </w:pPr>
    </w:p>
    <w:p w14:paraId="629537B8" w14:textId="77777777" w:rsidR="00A13F25" w:rsidRPr="00A13F25" w:rsidRDefault="00A13F25" w:rsidP="00A13F25">
      <w:pPr>
        <w:jc w:val="both"/>
        <w:rPr>
          <w:lang w:val="en-AU"/>
        </w:rPr>
      </w:pPr>
      <w:r w:rsidRPr="00A13F25">
        <w:rPr>
          <w:lang w:val="en-AU"/>
        </w:rPr>
        <w:t>Alston believes that the CRC leaves the matter of abortion as an open question such that those States that wish to prohibit abortion and those that wish to approve it are on an equal footing.  He believes that existing international human rights law does not provide for the status of the unborn child, and that the CRC is in conformity with that position.  But Alston overlooks the fact that a reference in the Preamble is part of the treaty itself,</w:t>
      </w:r>
      <w:r w:rsidRPr="00A13F25">
        <w:rPr>
          <w:vertAlign w:val="superscript"/>
          <w:lang w:val="en-AU"/>
        </w:rPr>
        <w:footnoteReference w:id="85"/>
      </w:r>
      <w:r w:rsidRPr="00A13F25">
        <w:rPr>
          <w:lang w:val="en-AU"/>
        </w:rPr>
        <w:t xml:space="preserve"> whereas the </w:t>
      </w:r>
      <w:r w:rsidRPr="00A13F25">
        <w:rPr>
          <w:i/>
          <w:lang w:val="en-AU"/>
        </w:rPr>
        <w:t>travaux préparatoires</w:t>
      </w:r>
      <w:r w:rsidRPr="00A13F25">
        <w:rPr>
          <w:lang w:val="en-AU"/>
        </w:rPr>
        <w:t xml:space="preserve"> is a supplementary means of interpretation to be used in limited circumstances.</w:t>
      </w:r>
      <w:r w:rsidRPr="00A13F25">
        <w:rPr>
          <w:vertAlign w:val="superscript"/>
          <w:lang w:val="en-AU"/>
        </w:rPr>
        <w:footnoteReference w:id="86"/>
      </w:r>
    </w:p>
    <w:p w14:paraId="598D79B5" w14:textId="77777777" w:rsidR="00A13F25" w:rsidRDefault="00A13F25" w:rsidP="00A13F25">
      <w:pPr>
        <w:jc w:val="both"/>
        <w:rPr>
          <w:lang w:val="en-AU"/>
        </w:rPr>
      </w:pPr>
    </w:p>
    <w:p w14:paraId="11878A4E" w14:textId="77777777" w:rsidR="00A13F25" w:rsidRPr="00A13F25" w:rsidRDefault="00A13F25" w:rsidP="00A13F25">
      <w:pPr>
        <w:jc w:val="both"/>
        <w:rPr>
          <w:lang w:val="en-AU"/>
        </w:rPr>
      </w:pPr>
      <w:r w:rsidRPr="00A13F25">
        <w:rPr>
          <w:lang w:val="en-AU"/>
        </w:rPr>
        <w:t>Alston is simply not entitled to this conclusion on the basis of the facts that he, himself, has outlined.  As we have already noted, some delegations favoured the inclusion of the words “the child . . . needs special safeguards and care, including appropriate legal protection, before as well as after birth” precisely because they believed that it offered protection to the unborn child while others opposed it because they saw it “re-opening the debate on this controversial matter (abortion).”</w:t>
      </w:r>
      <w:r w:rsidRPr="00A13F25">
        <w:rPr>
          <w:vertAlign w:val="superscript"/>
          <w:lang w:val="en-AU"/>
        </w:rPr>
        <w:footnoteReference w:id="87"/>
      </w:r>
      <w:r w:rsidRPr="00A13F25">
        <w:rPr>
          <w:lang w:val="en-AU"/>
        </w:rPr>
        <w:t xml:space="preserve">  The fact is that with a minor change in words (“Recognising that” was changed to “Bearing in mind that”) these contentious words were included in the Preamble of the CRC.  That clearly means the abortion issue was left on the table as both those who opposed its inclusion and those who favoured its inclusion have testified.</w:t>
      </w:r>
    </w:p>
    <w:p w14:paraId="2382FDBB" w14:textId="77777777" w:rsidR="00A13F25" w:rsidRDefault="00A13F25" w:rsidP="00A13F25">
      <w:pPr>
        <w:jc w:val="both"/>
        <w:rPr>
          <w:lang w:val="en-AU"/>
        </w:rPr>
      </w:pPr>
    </w:p>
    <w:p w14:paraId="17D17A80" w14:textId="77777777" w:rsidR="00A13F25" w:rsidRPr="00A13F25" w:rsidRDefault="00A13F25" w:rsidP="00A13F25">
      <w:pPr>
        <w:jc w:val="both"/>
        <w:rPr>
          <w:lang w:val="en-AU"/>
        </w:rPr>
      </w:pPr>
      <w:r w:rsidRPr="00A13F25">
        <w:rPr>
          <w:lang w:val="en-AU"/>
        </w:rPr>
        <w:t xml:space="preserve">In any case, since the CRC has to be interpreted in the light of and consistently with the </w:t>
      </w:r>
      <w:r w:rsidRPr="00A13F25">
        <w:rPr>
          <w:i/>
          <w:lang w:val="en-AU"/>
        </w:rPr>
        <w:t>Universal Declaration of Human Rights 1948</w:t>
      </w:r>
      <w:r w:rsidRPr="00A13F25">
        <w:rPr>
          <w:lang w:val="en-AU"/>
        </w:rPr>
        <w:t xml:space="preserve"> and the </w:t>
      </w:r>
      <w:r w:rsidRPr="00A13F25">
        <w:rPr>
          <w:i/>
          <w:lang w:val="en-AU"/>
        </w:rPr>
        <w:t>International Covenant on Civil and Political Rights 1966</w:t>
      </w:r>
      <w:r w:rsidRPr="00A13F25">
        <w:rPr>
          <w:i/>
          <w:vertAlign w:val="superscript"/>
          <w:lang w:val="en-AU"/>
        </w:rPr>
        <w:footnoteReference w:id="88"/>
      </w:r>
      <w:r w:rsidRPr="00A13F25">
        <w:rPr>
          <w:lang w:val="en-AU"/>
        </w:rPr>
        <w:t xml:space="preserve"> then the question of the rights of the unborn child has to be resolved against a broader landscape than the CRC seen in isolation.  Alston’s contention that “existing international human rights law” does not recognise the right to life of the unborn would, if it were true, help those who deny that the right to life of the unborn is recognised by the CRC.</w:t>
      </w:r>
    </w:p>
    <w:p w14:paraId="5A5541C3" w14:textId="77777777" w:rsidR="00A13F25" w:rsidRPr="00A13F25" w:rsidRDefault="00A13F25" w:rsidP="00A13F25">
      <w:pPr>
        <w:jc w:val="both"/>
        <w:rPr>
          <w:lang w:val="en-AU"/>
        </w:rPr>
      </w:pPr>
      <w:r w:rsidRPr="00A13F25">
        <w:rPr>
          <w:lang w:val="en-AU"/>
        </w:rPr>
        <w:t>However, in this article, we will see that Alston’s contention, far from being certain, is almost certainly false.</w:t>
      </w:r>
    </w:p>
    <w:p w14:paraId="734CB4C4" w14:textId="77777777" w:rsidR="00A13F25" w:rsidRDefault="00A13F25" w:rsidP="00A13F25">
      <w:pPr>
        <w:jc w:val="both"/>
        <w:rPr>
          <w:lang w:val="en-AU"/>
        </w:rPr>
      </w:pPr>
    </w:p>
    <w:p w14:paraId="13C8B7B3" w14:textId="77777777" w:rsidR="00A13F25" w:rsidRPr="00A13F25" w:rsidRDefault="00A13F25" w:rsidP="00A13F25">
      <w:pPr>
        <w:jc w:val="both"/>
        <w:rPr>
          <w:lang w:val="en-AU"/>
        </w:rPr>
      </w:pPr>
      <w:r w:rsidRPr="00A13F25">
        <w:rPr>
          <w:lang w:val="en-AU"/>
        </w:rPr>
        <w:t xml:space="preserve">First, during the drafting of the </w:t>
      </w:r>
      <w:r w:rsidRPr="00A13F25">
        <w:rPr>
          <w:i/>
          <w:lang w:val="en-AU"/>
        </w:rPr>
        <w:t xml:space="preserve">International Covenant on Civil and Political Rights 1966 </w:t>
      </w:r>
      <w:r w:rsidRPr="00A13F25">
        <w:rPr>
          <w:lang w:val="en-AU"/>
        </w:rPr>
        <w:t>an amendment, to article 6, submitted by Belgium, Brazil, El Salvador, Mexico and Morocco</w:t>
      </w:r>
      <w:r w:rsidRPr="00A13F25">
        <w:rPr>
          <w:vertAlign w:val="superscript"/>
          <w:lang w:val="en-AU"/>
        </w:rPr>
        <w:footnoteReference w:id="89"/>
      </w:r>
      <w:r w:rsidRPr="00A13F25">
        <w:rPr>
          <w:lang w:val="en-AU"/>
        </w:rPr>
        <w:t xml:space="preserve"> led to a discussion as to whether the right to life should be protected by law “from the moment of conception”.  “Those supporting the amendment maintained that it was only logical to guarantee the right to life from the moment life began.”</w:t>
      </w:r>
      <w:r w:rsidRPr="00A13F25">
        <w:rPr>
          <w:vertAlign w:val="superscript"/>
          <w:lang w:val="en-AU"/>
        </w:rPr>
        <w:footnoteReference w:id="90"/>
      </w:r>
      <w:r w:rsidRPr="00A13F25">
        <w:rPr>
          <w:lang w:val="en-AU"/>
        </w:rPr>
        <w:t xml:space="preserve"> The amendment was rejected.</w:t>
      </w:r>
      <w:r w:rsidRPr="00A13F25">
        <w:rPr>
          <w:vertAlign w:val="superscript"/>
          <w:lang w:val="en-AU"/>
        </w:rPr>
        <w:footnoteReference w:id="91"/>
      </w:r>
    </w:p>
    <w:p w14:paraId="60BFA821" w14:textId="77777777" w:rsidR="00A13F25" w:rsidRDefault="00A13F25" w:rsidP="00A13F25">
      <w:pPr>
        <w:jc w:val="both"/>
        <w:rPr>
          <w:lang w:val="en-AU"/>
        </w:rPr>
      </w:pPr>
    </w:p>
    <w:p w14:paraId="163C0A0C" w14:textId="77777777" w:rsidR="00A13F25" w:rsidRPr="00A13F25" w:rsidRDefault="00A13F25" w:rsidP="00A13F25">
      <w:pPr>
        <w:jc w:val="both"/>
        <w:rPr>
          <w:lang w:val="en-AU"/>
        </w:rPr>
      </w:pPr>
      <w:r w:rsidRPr="00A13F25">
        <w:rPr>
          <w:lang w:val="en-AU"/>
        </w:rPr>
        <w:t>It was pointed out that the legislation of many countries accorded protection to the unborn child. On the other hand, the amendment was opposed on the grounds that it was impossible for the State to determine the moment of conception and hence, to undertake to protect life from that moment.  Moreover, the proposed clause would involve the question of the rights and duties of the medical profession.  Legislation on the subject was based on different principles in different countries and it was, therefore, inappropriate to include such a provision in an international instrument.</w:t>
      </w:r>
      <w:r w:rsidRPr="00A13F25">
        <w:rPr>
          <w:vertAlign w:val="superscript"/>
          <w:lang w:val="en-AU"/>
        </w:rPr>
        <w:footnoteReference w:id="92"/>
      </w:r>
    </w:p>
    <w:p w14:paraId="185A34CB" w14:textId="77777777" w:rsidR="00A13F25" w:rsidRPr="00A13F25" w:rsidRDefault="00A13F25" w:rsidP="00A13F25">
      <w:pPr>
        <w:jc w:val="both"/>
        <w:rPr>
          <w:lang w:val="en-AU"/>
        </w:rPr>
      </w:pPr>
      <w:r w:rsidRPr="00A13F25">
        <w:rPr>
          <w:lang w:val="en-AU"/>
        </w:rPr>
        <w:t>The toleration of abortion played no part in the rejection of the amendment.</w:t>
      </w:r>
    </w:p>
    <w:p w14:paraId="33A1ED9B" w14:textId="77777777" w:rsidR="00A13F25" w:rsidRDefault="00A13F25" w:rsidP="00A13F25">
      <w:pPr>
        <w:jc w:val="both"/>
        <w:rPr>
          <w:lang w:val="en-AU"/>
        </w:rPr>
      </w:pPr>
    </w:p>
    <w:p w14:paraId="57A81FB2" w14:textId="77777777" w:rsidR="00A13F25" w:rsidRPr="00A13F25" w:rsidRDefault="00A13F25" w:rsidP="00A13F25">
      <w:pPr>
        <w:jc w:val="both"/>
        <w:rPr>
          <w:lang w:val="en-AU"/>
        </w:rPr>
      </w:pPr>
      <w:r w:rsidRPr="00A13F25">
        <w:rPr>
          <w:lang w:val="en-AU"/>
        </w:rPr>
        <w:t>Secondly, in the context of the CRC, Malta and Senegal proposed an amendment to draft Article 1 to explicitly protect the rights of the unborn child from conception.</w:t>
      </w:r>
      <w:r w:rsidRPr="00A13F25">
        <w:rPr>
          <w:vertAlign w:val="superscript"/>
          <w:lang w:val="en-AU"/>
        </w:rPr>
        <w:footnoteReference w:id="93"/>
      </w:r>
      <w:r w:rsidRPr="00A13F25">
        <w:rPr>
          <w:lang w:val="en-AU"/>
        </w:rPr>
        <w:t xml:space="preserve">  These proposals were not rejected by the Member States but were withdrawn by Malta and Senegal “in the light of the text of preambular paragraph 6 as adopted” which referred to the rights of the child “before as well as after birth.”</w:t>
      </w:r>
      <w:r w:rsidRPr="00A13F25">
        <w:rPr>
          <w:vertAlign w:val="superscript"/>
          <w:lang w:val="en-AU"/>
        </w:rPr>
        <w:footnoteReference w:id="94"/>
      </w:r>
    </w:p>
    <w:p w14:paraId="67D4C23C" w14:textId="77777777" w:rsidR="00A13F25" w:rsidRPr="00A13F25" w:rsidRDefault="00A13F25" w:rsidP="00A13F25">
      <w:pPr>
        <w:jc w:val="both"/>
        <w:rPr>
          <w:lang w:val="en-AU"/>
        </w:rPr>
      </w:pPr>
      <w:r w:rsidRPr="00A13F25">
        <w:rPr>
          <w:lang w:val="en-AU"/>
        </w:rPr>
        <w:t>Thirdly:</w:t>
      </w:r>
    </w:p>
    <w:p w14:paraId="66251133" w14:textId="77777777" w:rsidR="00A13F25" w:rsidRDefault="00A13F25" w:rsidP="00A13F25">
      <w:pPr>
        <w:jc w:val="both"/>
        <w:rPr>
          <w:lang w:val="en-AU"/>
        </w:rPr>
      </w:pPr>
    </w:p>
    <w:p w14:paraId="73318BD0" w14:textId="77777777" w:rsidR="00CE5F49" w:rsidRDefault="00A13F25" w:rsidP="00A13F25">
      <w:pPr>
        <w:jc w:val="both"/>
        <w:rPr>
          <w:lang w:val="en-AU"/>
        </w:rPr>
      </w:pPr>
      <w:r w:rsidRPr="00A13F25">
        <w:rPr>
          <w:lang w:val="en-AU"/>
        </w:rPr>
        <w:t xml:space="preserve">The representative of Italy observed that no State was manifestly opposed to the principles contained in the Declaration of the Rights of the Child and, therefore, according to the Vienna Convention on the Law of Treaties, the rule regarding the protection of life </w:t>
      </w:r>
      <w:r w:rsidRPr="00A13F25">
        <w:rPr>
          <w:i/>
          <w:lang w:val="en-AU"/>
        </w:rPr>
        <w:t>before birth</w:t>
      </w:r>
      <w:r w:rsidRPr="00A13F25">
        <w:rPr>
          <w:lang w:val="en-AU"/>
        </w:rPr>
        <w:t xml:space="preserve"> could be considered as </w:t>
      </w:r>
    </w:p>
    <w:p w14:paraId="682C5814" w14:textId="2D460D1A" w:rsidR="00A13F25" w:rsidRPr="00A13F25" w:rsidRDefault="00CE5F49" w:rsidP="00A13F25">
      <w:pPr>
        <w:jc w:val="both"/>
        <w:rPr>
          <w:lang w:val="en-AU"/>
        </w:rPr>
      </w:pPr>
      <w:r>
        <w:rPr>
          <w:lang w:val="en-AU"/>
        </w:rPr>
        <w:t xml:space="preserve">“jus </w:t>
      </w:r>
      <w:r w:rsidR="00A13F25" w:rsidRPr="00A13F25">
        <w:rPr>
          <w:lang w:val="en-AU"/>
        </w:rPr>
        <w:t>cogens” since it formed part of the common conscience of members of the international community.</w:t>
      </w:r>
      <w:r w:rsidR="00A13F25" w:rsidRPr="00A13F25">
        <w:rPr>
          <w:vertAlign w:val="superscript"/>
          <w:lang w:val="en-AU"/>
        </w:rPr>
        <w:footnoteReference w:id="95"/>
      </w:r>
      <w:r w:rsidR="00A13F25" w:rsidRPr="00A13F25">
        <w:rPr>
          <w:lang w:val="en-AU"/>
        </w:rPr>
        <w:t xml:space="preserve"> (Emphasis added.)</w:t>
      </w:r>
    </w:p>
    <w:p w14:paraId="3711ACB7" w14:textId="77777777" w:rsidR="00A13F25" w:rsidRDefault="00A13F25" w:rsidP="00A13F25">
      <w:pPr>
        <w:jc w:val="both"/>
        <w:rPr>
          <w:lang w:val="en-AU"/>
        </w:rPr>
      </w:pPr>
    </w:p>
    <w:p w14:paraId="083BE0C5" w14:textId="77777777" w:rsidR="00A13F25" w:rsidRPr="00A13F25" w:rsidRDefault="00A13F25" w:rsidP="00A13F25">
      <w:pPr>
        <w:jc w:val="both"/>
        <w:rPr>
          <w:lang w:val="en-AU"/>
        </w:rPr>
      </w:pPr>
      <w:r w:rsidRPr="00A13F25">
        <w:rPr>
          <w:lang w:val="en-AU"/>
        </w:rPr>
        <w:t>Jus cogens (or</w:t>
      </w:r>
      <w:r w:rsidRPr="00A13F25">
        <w:rPr>
          <w:i/>
          <w:lang w:val="en-AU"/>
        </w:rPr>
        <w:t xml:space="preserve"> ius cogens</w:t>
      </w:r>
      <w:r w:rsidRPr="00A13F25">
        <w:rPr>
          <w:lang w:val="en-AU"/>
        </w:rPr>
        <w:t>) is a peremptory norm of general international law from which no derogation is permitted and which can be modified only by a subsequent norm of general international law having the same character.</w:t>
      </w:r>
      <w:r w:rsidRPr="00A13F25">
        <w:rPr>
          <w:vertAlign w:val="superscript"/>
          <w:lang w:val="en-AU"/>
        </w:rPr>
        <w:footnoteReference w:id="96"/>
      </w:r>
      <w:r w:rsidRPr="00A13F25">
        <w:rPr>
          <w:lang w:val="en-AU"/>
        </w:rPr>
        <w:t xml:space="preserve">  The right to life of all human beings has the nature of an intransgressible norm already contained in the </w:t>
      </w:r>
      <w:r w:rsidRPr="00A13F25">
        <w:rPr>
          <w:i/>
          <w:lang w:val="en-AU"/>
        </w:rPr>
        <w:t>Universal Declaration of Human Rights</w:t>
      </w:r>
      <w:r w:rsidRPr="00A13F25">
        <w:rPr>
          <w:lang w:val="en-AU"/>
        </w:rPr>
        <w:t xml:space="preserve"> </w:t>
      </w:r>
      <w:r w:rsidRPr="00A13F25">
        <w:rPr>
          <w:i/>
          <w:lang w:val="en-AU"/>
        </w:rPr>
        <w:t xml:space="preserve">1948, </w:t>
      </w:r>
      <w:r w:rsidRPr="00A13F25">
        <w:rPr>
          <w:lang w:val="en-AU"/>
        </w:rPr>
        <w:t xml:space="preserve">the </w:t>
      </w:r>
      <w:r w:rsidRPr="00A13F25">
        <w:rPr>
          <w:i/>
          <w:lang w:val="en-AU"/>
        </w:rPr>
        <w:t xml:space="preserve">International Covenant on Civil and Political Rights 1966 </w:t>
      </w:r>
      <w:r w:rsidRPr="00A13F25">
        <w:rPr>
          <w:lang w:val="en-AU"/>
        </w:rPr>
        <w:t xml:space="preserve">and the </w:t>
      </w:r>
      <w:r w:rsidRPr="00A13F25">
        <w:rPr>
          <w:i/>
          <w:lang w:val="en-AU"/>
        </w:rPr>
        <w:t>Declaration of the Rights of the Child 1959</w:t>
      </w:r>
      <w:r w:rsidRPr="00A13F25">
        <w:rPr>
          <w:lang w:val="en-AU"/>
        </w:rPr>
        <w:t>. In other words, under international law the unborn child is protected and it was not permissible at this late stage to attempt to allow a liberal abortion agenda under the CRC.</w:t>
      </w:r>
    </w:p>
    <w:p w14:paraId="3C1BC47E" w14:textId="77777777" w:rsidR="00A13F25" w:rsidRDefault="00A13F25" w:rsidP="00A13F25">
      <w:pPr>
        <w:jc w:val="both"/>
        <w:rPr>
          <w:lang w:val="en-AU"/>
        </w:rPr>
      </w:pPr>
    </w:p>
    <w:p w14:paraId="7C2A8F73" w14:textId="77777777" w:rsidR="00A13F25" w:rsidRPr="00A13F25" w:rsidRDefault="00A13F25" w:rsidP="00A13F25">
      <w:pPr>
        <w:jc w:val="both"/>
        <w:rPr>
          <w:lang w:val="en-AU"/>
        </w:rPr>
      </w:pPr>
      <w:r w:rsidRPr="00A13F25">
        <w:rPr>
          <w:lang w:val="en-AU"/>
        </w:rPr>
        <w:t xml:space="preserve">Fourthly, the </w:t>
      </w:r>
      <w:r w:rsidRPr="00A13F25">
        <w:rPr>
          <w:i/>
          <w:lang w:val="en-AU"/>
        </w:rPr>
        <w:t>Declaration on the Rights of the Child</w:t>
      </w:r>
      <w:r w:rsidRPr="00A13F25">
        <w:rPr>
          <w:lang w:val="en-AU"/>
        </w:rPr>
        <w:t xml:space="preserve"> </w:t>
      </w:r>
      <w:r w:rsidRPr="00A13F25">
        <w:rPr>
          <w:i/>
          <w:lang w:val="en-AU"/>
        </w:rPr>
        <w:t>1959,</w:t>
      </w:r>
      <w:r w:rsidRPr="00A13F25">
        <w:rPr>
          <w:lang w:val="en-AU"/>
        </w:rPr>
        <w:t xml:space="preserve"> which carries the same preambular reference to the rights of the child before as well after birth, is part of our municipal law.</w:t>
      </w:r>
      <w:r w:rsidRPr="00A13F25">
        <w:rPr>
          <w:vertAlign w:val="superscript"/>
          <w:lang w:val="en-AU"/>
        </w:rPr>
        <w:footnoteReference w:id="97"/>
      </w:r>
      <w:r w:rsidRPr="00A13F25">
        <w:rPr>
          <w:lang w:val="en-AU"/>
        </w:rPr>
        <w:t xml:space="preserve">  In his statement to the Senate Senator Evans did not take account of these legal obligations.  This, however, does not absolve the Commissions from taking seriously the issue of the rights of the unborn in the context of Australia’s human rights obligations.  Moreover, as has been established, these issues fall within the Commissions’ Terms of Reference and must be addressed.</w:t>
      </w:r>
    </w:p>
    <w:p w14:paraId="104DF1B7" w14:textId="77777777" w:rsidR="00A13F25" w:rsidRDefault="00A13F25" w:rsidP="00A13F25">
      <w:pPr>
        <w:jc w:val="both"/>
        <w:rPr>
          <w:lang w:val="en-AU"/>
        </w:rPr>
      </w:pPr>
    </w:p>
    <w:p w14:paraId="07CE1D3A" w14:textId="77777777" w:rsidR="00A13F25" w:rsidRPr="00A13F25" w:rsidRDefault="00A13F25" w:rsidP="00A13F25">
      <w:pPr>
        <w:jc w:val="both"/>
        <w:rPr>
          <w:lang w:val="en-AU"/>
        </w:rPr>
      </w:pPr>
      <w:r w:rsidRPr="00A13F25">
        <w:rPr>
          <w:lang w:val="en-AU"/>
        </w:rPr>
        <w:t xml:space="preserve">Finally, explicit protection is extended to the unborn child in the </w:t>
      </w:r>
      <w:r w:rsidRPr="00A13F25">
        <w:rPr>
          <w:i/>
          <w:lang w:val="en-AU"/>
        </w:rPr>
        <w:t>International Covenant on Civil and Political Rights 1966</w:t>
      </w:r>
      <w:r w:rsidRPr="00A13F25">
        <w:rPr>
          <w:lang w:val="en-AU"/>
        </w:rPr>
        <w:t xml:space="preserve"> and in the </w:t>
      </w:r>
      <w:r w:rsidRPr="00A13F25">
        <w:rPr>
          <w:i/>
          <w:lang w:val="en-AU"/>
        </w:rPr>
        <w:t>Convention on the Prevention and Punishment of the Crime of Genocide 1948</w:t>
      </w:r>
      <w:r w:rsidRPr="00A13F25">
        <w:rPr>
          <w:lang w:val="en-AU"/>
        </w:rPr>
        <w:t>.  These protections will be discussed later in the Article.</w:t>
      </w:r>
    </w:p>
    <w:p w14:paraId="193EA817" w14:textId="77777777" w:rsidR="00A13F25" w:rsidRDefault="00A13F25" w:rsidP="00A13F25">
      <w:pPr>
        <w:jc w:val="both"/>
        <w:rPr>
          <w:lang w:val="en-AU"/>
        </w:rPr>
      </w:pPr>
    </w:p>
    <w:p w14:paraId="0943E3A9" w14:textId="77777777" w:rsidR="00A13F25" w:rsidRPr="00A13F25" w:rsidRDefault="00A13F25" w:rsidP="00A13F25">
      <w:pPr>
        <w:jc w:val="both"/>
        <w:rPr>
          <w:lang w:val="en-AU"/>
        </w:rPr>
      </w:pPr>
      <w:r w:rsidRPr="00A13F25">
        <w:rPr>
          <w:lang w:val="en-AU"/>
        </w:rPr>
        <w:t>Having rehearsed these arguments in 1997</w:t>
      </w:r>
      <w:r w:rsidRPr="00A13F25">
        <w:rPr>
          <w:vertAlign w:val="superscript"/>
          <w:lang w:val="en-AU"/>
        </w:rPr>
        <w:footnoteReference w:id="98"/>
      </w:r>
      <w:r w:rsidRPr="00A13F25">
        <w:rPr>
          <w:lang w:val="en-AU"/>
        </w:rPr>
        <w:t xml:space="preserve"> one might have thought that they would have been taken seriously by academics interested in this area.  Instead Duxbury and Ward simply dismiss this position, without argument, and reassert Alston’s position as if it had never been seriously challenged.</w:t>
      </w:r>
    </w:p>
    <w:p w14:paraId="0C81769B" w14:textId="77777777" w:rsidR="00A13F25" w:rsidRPr="00A13F25" w:rsidRDefault="00A13F25" w:rsidP="00A13F25">
      <w:pPr>
        <w:jc w:val="both"/>
        <w:rPr>
          <w:lang w:val="en-AU"/>
        </w:rPr>
      </w:pPr>
      <w:r w:rsidRPr="00A13F25">
        <w:rPr>
          <w:lang w:val="en-AU"/>
        </w:rPr>
        <w:t xml:space="preserve">It has been suggested that international law does recognize the right to life of the unborn child and therefore domestic cases should be argued with that in mind [reference to Fleming and Hains article].  However, at present it would appear that international human rights law does not recognise the </w:t>
      </w:r>
      <w:r w:rsidRPr="00A13F25">
        <w:rPr>
          <w:i/>
          <w:lang w:val="en-AU"/>
        </w:rPr>
        <w:t>absolute</w:t>
      </w:r>
      <w:r w:rsidRPr="00A13F25">
        <w:rPr>
          <w:lang w:val="en-AU"/>
        </w:rPr>
        <w:t xml:space="preserve"> right to life of the unborn child.</w:t>
      </w:r>
      <w:r w:rsidRPr="00A13F25">
        <w:rPr>
          <w:vertAlign w:val="superscript"/>
          <w:lang w:val="en-AU"/>
        </w:rPr>
        <w:footnoteReference w:id="99"/>
      </w:r>
      <w:r w:rsidRPr="00A13F25">
        <w:rPr>
          <w:lang w:val="en-AU"/>
        </w:rPr>
        <w:t xml:space="preserve"> [emphasis added]</w:t>
      </w:r>
    </w:p>
    <w:p w14:paraId="13C32D16" w14:textId="77777777" w:rsidR="00A13F25" w:rsidRDefault="00A13F25" w:rsidP="00A13F25">
      <w:pPr>
        <w:jc w:val="both"/>
        <w:rPr>
          <w:lang w:val="en-AU"/>
        </w:rPr>
      </w:pPr>
    </w:p>
    <w:p w14:paraId="5DAFD23A" w14:textId="77777777" w:rsidR="00A13F25" w:rsidRPr="00A13F25" w:rsidRDefault="00A13F25" w:rsidP="00A13F25">
      <w:pPr>
        <w:jc w:val="both"/>
        <w:rPr>
          <w:lang w:val="en-AU"/>
        </w:rPr>
      </w:pPr>
      <w:r w:rsidRPr="00A13F25">
        <w:rPr>
          <w:lang w:val="en-AU"/>
        </w:rPr>
        <w:t>This also begs the question as to why Duxbury and Ward qualified the term “right to life” with the word “absolute” when it applies to the unborn.  What point are they trying to make?  Are they concerned that the recognition of the right to life of the unborn child would imply that the law of the land could not allow abortion in any case, including when there is a direct threat to the life of the mother?  Is that why the word “absolute” is used, to head off at the past an unpalatable conclusion?  That the pursuit of the truth may involve unpalatable conclusions is no reason to engage in obfuscations and distortions.  And in any case the documents give no guidance as to how such a conflict between competing rights to life must be resolved.</w:t>
      </w:r>
    </w:p>
    <w:p w14:paraId="3D20E492" w14:textId="77777777" w:rsidR="00A13F25" w:rsidRPr="00A13F25" w:rsidRDefault="00A13F25" w:rsidP="00A13F25">
      <w:pPr>
        <w:jc w:val="both"/>
        <w:rPr>
          <w:lang w:val="en-AU"/>
        </w:rPr>
      </w:pPr>
      <w:r w:rsidRPr="00A13F25">
        <w:rPr>
          <w:lang w:val="en-AU"/>
        </w:rPr>
        <w:t>As Duxbury and Ward continue their article it becomes clear that they do not pick up on some of the most important provisions of the various international human rights instruments which call into question the provisions of Australian (and British and American) law.  More of that later.</w:t>
      </w:r>
    </w:p>
    <w:p w14:paraId="41A55758" w14:textId="77777777" w:rsidR="00A13F25" w:rsidRDefault="00A13F25" w:rsidP="00A13F25">
      <w:pPr>
        <w:jc w:val="both"/>
        <w:rPr>
          <w:b/>
        </w:rPr>
      </w:pPr>
      <w:bookmarkStart w:id="9" w:name="_Toc392731561"/>
    </w:p>
    <w:p w14:paraId="31ED854A" w14:textId="77777777" w:rsidR="00A13F25" w:rsidRPr="00A13F25" w:rsidRDefault="00A13F25" w:rsidP="00A13F25">
      <w:pPr>
        <w:jc w:val="both"/>
        <w:rPr>
          <w:b/>
        </w:rPr>
      </w:pPr>
      <w:r w:rsidRPr="00A13F25">
        <w:rPr>
          <w:b/>
        </w:rPr>
        <w:t>The right to life of the unborn and international law</w:t>
      </w:r>
      <w:bookmarkEnd w:id="9"/>
    </w:p>
    <w:p w14:paraId="001F2FF8" w14:textId="77777777" w:rsidR="00A13F25" w:rsidRPr="00A13F25" w:rsidRDefault="00A13F25" w:rsidP="00A13F25">
      <w:pPr>
        <w:jc w:val="both"/>
        <w:rPr>
          <w:lang w:val="en-AU"/>
        </w:rPr>
      </w:pPr>
      <w:r w:rsidRPr="00A13F25">
        <w:rPr>
          <w:lang w:val="en-AU"/>
        </w:rPr>
        <w:t xml:space="preserve">Within what limits may a state party provide for legal abortion?  To find the answer to this question, full account has to be taken of the provisions of the United Nations Charter, the </w:t>
      </w:r>
      <w:r w:rsidRPr="00A13F25">
        <w:rPr>
          <w:i/>
          <w:lang w:val="en-AU"/>
        </w:rPr>
        <w:t>Universal Declaration of Human Rights 1948</w:t>
      </w:r>
      <w:r w:rsidRPr="00A13F25">
        <w:rPr>
          <w:lang w:val="en-AU"/>
        </w:rPr>
        <w:t xml:space="preserve"> that seeks to amplify Article 55 of the United Nations Charter, and the </w:t>
      </w:r>
      <w:r w:rsidRPr="00A13F25">
        <w:rPr>
          <w:i/>
          <w:lang w:val="en-AU"/>
        </w:rPr>
        <w:t>International Covenant on Civil and Political Rights 1966</w:t>
      </w:r>
      <w:r w:rsidRPr="00A13F25">
        <w:rPr>
          <w:lang w:val="en-AU"/>
        </w:rPr>
        <w:t>. Article 55 commits the United Nations to “promote respect for, and observance of, human rights and fundamental freedoms for all without distinction as to race, sex, language, or religion.”</w:t>
      </w:r>
      <w:r w:rsidRPr="00A13F25">
        <w:rPr>
          <w:vertAlign w:val="superscript"/>
          <w:lang w:val="en-AU"/>
        </w:rPr>
        <w:footnoteReference w:id="100"/>
      </w:r>
      <w:r w:rsidRPr="00A13F25">
        <w:rPr>
          <w:lang w:val="en-AU"/>
        </w:rPr>
        <w:t xml:space="preserve"> </w:t>
      </w:r>
    </w:p>
    <w:p w14:paraId="7F14A734" w14:textId="77777777" w:rsidR="00A13F25" w:rsidRDefault="00A13F25" w:rsidP="00A13F25">
      <w:pPr>
        <w:jc w:val="both"/>
        <w:rPr>
          <w:lang w:val="en-AU"/>
        </w:rPr>
      </w:pPr>
    </w:p>
    <w:p w14:paraId="477FE687" w14:textId="77777777" w:rsidR="00A13F25" w:rsidRPr="00A13F25" w:rsidRDefault="00A13F25" w:rsidP="00A13F25">
      <w:pPr>
        <w:jc w:val="both"/>
        <w:rPr>
          <w:lang w:val="en-AU"/>
        </w:rPr>
      </w:pPr>
      <w:r w:rsidRPr="00A13F25">
        <w:rPr>
          <w:lang w:val="en-AU"/>
        </w:rPr>
        <w:t xml:space="preserve">The </w:t>
      </w:r>
      <w:r w:rsidRPr="00A13F25">
        <w:rPr>
          <w:i/>
          <w:lang w:val="en-AU"/>
        </w:rPr>
        <w:t>Universal Declaration of Human Rights 1948</w:t>
      </w:r>
      <w:r w:rsidRPr="00A13F25">
        <w:rPr>
          <w:lang w:val="en-AU"/>
        </w:rPr>
        <w:t xml:space="preserve"> is founded upon the notion that there are human values and these values are inherent in the human individual.  In the </w:t>
      </w:r>
      <w:r w:rsidRPr="00A13F25">
        <w:rPr>
          <w:i/>
          <w:lang w:val="en-AU"/>
        </w:rPr>
        <w:t>Preamble</w:t>
      </w:r>
      <w:r w:rsidRPr="00A13F25">
        <w:rPr>
          <w:lang w:val="en-AU"/>
        </w:rPr>
        <w:t xml:space="preserve"> the Declaration states that “the foundation of freedom, justice and peace in the world” is the “recognition of the inherent dignity and of the equal and inalienable rights of all members of the human family”.</w:t>
      </w:r>
      <w:r w:rsidRPr="00A13F25">
        <w:rPr>
          <w:vertAlign w:val="superscript"/>
          <w:lang w:val="en-AU"/>
        </w:rPr>
        <w:footnoteReference w:id="101"/>
      </w:r>
    </w:p>
    <w:p w14:paraId="10BBB40C" w14:textId="77777777" w:rsidR="00A13F25" w:rsidRPr="00A13F25" w:rsidRDefault="00A13F25" w:rsidP="00A13F25">
      <w:pPr>
        <w:jc w:val="both"/>
        <w:rPr>
          <w:lang w:val="en-AU"/>
        </w:rPr>
      </w:pPr>
      <w:r w:rsidRPr="00A13F25">
        <w:rPr>
          <w:lang w:val="en-AU"/>
        </w:rPr>
        <w:t xml:space="preserve">As far as the Declaration is concerned there are human values </w:t>
      </w:r>
      <w:r w:rsidRPr="00A13F25">
        <w:rPr>
          <w:i/>
          <w:lang w:val="en-AU"/>
        </w:rPr>
        <w:t>inherent</w:t>
      </w:r>
      <w:r w:rsidRPr="00A13F25">
        <w:rPr>
          <w:lang w:val="en-AU"/>
        </w:rPr>
        <w:t xml:space="preserve"> in all members of the human family because of their “inherent dignity”.  Since “dignity” is about true worth or excellence [“dignus” L. means worthy], and, in the context, human worth, then the claim for the inherent dignity of human beings is a claim for basic human values.</w:t>
      </w:r>
    </w:p>
    <w:p w14:paraId="565F66BB" w14:textId="77777777" w:rsidR="00A13F25" w:rsidRDefault="00A13F25" w:rsidP="00A13F25">
      <w:pPr>
        <w:jc w:val="both"/>
        <w:rPr>
          <w:lang w:val="en-AU"/>
        </w:rPr>
      </w:pPr>
    </w:p>
    <w:p w14:paraId="0BF6DA8C" w14:textId="77777777" w:rsidR="00A13F25" w:rsidRPr="00A13F25" w:rsidRDefault="00A13F25" w:rsidP="00A13F25">
      <w:pPr>
        <w:jc w:val="both"/>
        <w:rPr>
          <w:lang w:val="en-AU"/>
        </w:rPr>
      </w:pPr>
      <w:r w:rsidRPr="00A13F25">
        <w:rPr>
          <w:lang w:val="en-AU"/>
        </w:rPr>
        <w:t xml:space="preserve">Further, the </w:t>
      </w:r>
      <w:r w:rsidRPr="00A13F25">
        <w:rPr>
          <w:i/>
          <w:lang w:val="en-AU"/>
        </w:rPr>
        <w:t>Preamble</w:t>
      </w:r>
      <w:r w:rsidRPr="00A13F25">
        <w:rPr>
          <w:lang w:val="en-AU"/>
        </w:rPr>
        <w:t xml:space="preserve"> links human dignity, human values with human rights that it describes as “inalienable rights”, rights of which we may not be deprived and cannot deprive ourselves.  I must not be sold into slavery and I am to be restrained from selling myself into slavery.</w:t>
      </w:r>
    </w:p>
    <w:p w14:paraId="24F5030E" w14:textId="77777777" w:rsidR="00A13F25" w:rsidRDefault="00A13F25" w:rsidP="00A13F25">
      <w:pPr>
        <w:jc w:val="both"/>
        <w:rPr>
          <w:lang w:val="en-AU"/>
        </w:rPr>
      </w:pPr>
      <w:r w:rsidRPr="00A13F25">
        <w:rPr>
          <w:lang w:val="en-AU"/>
        </w:rPr>
        <w:t xml:space="preserve">These human rights which reflect human values must, says the </w:t>
      </w:r>
      <w:r w:rsidRPr="00A13F25">
        <w:rPr>
          <w:i/>
          <w:lang w:val="en-AU"/>
        </w:rPr>
        <w:t>Preamble</w:t>
      </w:r>
      <w:r w:rsidRPr="00A13F25">
        <w:rPr>
          <w:lang w:val="en-AU"/>
        </w:rPr>
        <w:t xml:space="preserve">, “be protected by the rule of law” otherwise humankind may be driven, “as a last resort, to rebellion against tyranny and oppression”.  </w:t>
      </w:r>
    </w:p>
    <w:p w14:paraId="4885E448" w14:textId="77777777" w:rsidR="00A13F25" w:rsidRDefault="00A13F25" w:rsidP="00A13F25">
      <w:pPr>
        <w:jc w:val="both"/>
        <w:rPr>
          <w:lang w:val="en-AU"/>
        </w:rPr>
      </w:pPr>
    </w:p>
    <w:p w14:paraId="182AEA74" w14:textId="6682F1DF" w:rsidR="00A13F25" w:rsidRPr="00A13F25" w:rsidRDefault="00A13F25" w:rsidP="00A13F25">
      <w:pPr>
        <w:jc w:val="both"/>
        <w:rPr>
          <w:lang w:val="en-AU"/>
        </w:rPr>
      </w:pPr>
      <w:r w:rsidRPr="00A13F25">
        <w:rPr>
          <w:lang w:val="en-AU"/>
        </w:rPr>
        <w:t>This protection of the rule of law is necessary not only for human beings to live together peaceably within the State, but also so that nations may live together in peace.</w:t>
      </w:r>
    </w:p>
    <w:p w14:paraId="41712375" w14:textId="77777777" w:rsidR="00A13F25" w:rsidRPr="00A13F25" w:rsidRDefault="00A13F25" w:rsidP="00A13F25">
      <w:pPr>
        <w:jc w:val="both"/>
        <w:rPr>
          <w:lang w:val="en-AU"/>
        </w:rPr>
      </w:pPr>
      <w:r w:rsidRPr="00A13F25">
        <w:rPr>
          <w:lang w:val="en-AU"/>
        </w:rPr>
        <w:t xml:space="preserve">The </w:t>
      </w:r>
      <w:r w:rsidRPr="00A13F25">
        <w:rPr>
          <w:i/>
          <w:lang w:val="en-AU"/>
        </w:rPr>
        <w:t>Universal Declaration of Human Rights 1948</w:t>
      </w:r>
      <w:r w:rsidRPr="00A13F25">
        <w:rPr>
          <w:lang w:val="en-AU"/>
        </w:rPr>
        <w:t xml:space="preserve"> presents itself to the world as “a common standard of achievement for all peoples and all nations” and as a guide for every structure in society and for every individual in order that the rights identified in the Declaration may have “their universal and effective recognition and observance” secured.</w:t>
      </w:r>
    </w:p>
    <w:p w14:paraId="53938A0D" w14:textId="77777777" w:rsidR="00A13F25" w:rsidRDefault="00A13F25" w:rsidP="00A13F25">
      <w:pPr>
        <w:jc w:val="both"/>
        <w:rPr>
          <w:lang w:val="en-AU"/>
        </w:rPr>
      </w:pPr>
    </w:p>
    <w:p w14:paraId="2C6A05A3" w14:textId="77777777" w:rsidR="00A13F25" w:rsidRPr="00A13F25" w:rsidRDefault="00A13F25" w:rsidP="00A13F25">
      <w:pPr>
        <w:jc w:val="both"/>
        <w:rPr>
          <w:lang w:val="en-AU"/>
        </w:rPr>
      </w:pPr>
      <w:r w:rsidRPr="00A13F25">
        <w:rPr>
          <w:lang w:val="en-AU"/>
        </w:rPr>
        <w:t>Article 1 of the Declaration asserts certain things about human beings that affect the understanding of the rest of the document.  Human beings, it says, “are born free and equal in dignity and rights”.  This value of equality of human beings, this injunction not to show preference between individuals in the recognition of “the rights and freedoms set forth in this Declaration”, is further specified in Article 2.  In particular, in the entitlement to the rights and freedoms in the Declaration there is to be no distinction of any kind, “such as race, colour, sex, language, religion, political or other opinion, national or social origin, property, birth or other status.”</w:t>
      </w:r>
    </w:p>
    <w:p w14:paraId="5E240424" w14:textId="77777777" w:rsidR="00A13F25" w:rsidRDefault="00A13F25" w:rsidP="00A13F25">
      <w:pPr>
        <w:jc w:val="both"/>
        <w:rPr>
          <w:lang w:val="en-AU"/>
        </w:rPr>
      </w:pPr>
    </w:p>
    <w:p w14:paraId="7A6718A6" w14:textId="77777777" w:rsidR="00A13F25" w:rsidRPr="00A13F25" w:rsidRDefault="00A13F25" w:rsidP="00A13F25">
      <w:pPr>
        <w:jc w:val="both"/>
        <w:rPr>
          <w:lang w:val="en-AU"/>
        </w:rPr>
      </w:pPr>
      <w:r w:rsidRPr="00A13F25">
        <w:rPr>
          <w:lang w:val="en-AU"/>
        </w:rPr>
        <w:t>In this way the Declaration excludes discrimination against the elderly and the very young, the physically and mentally disabled and the chronically ill.  All have equal claim to the rights and freedoms enunciated in the Declaration.</w:t>
      </w:r>
    </w:p>
    <w:p w14:paraId="55CB9ECF" w14:textId="77777777" w:rsidR="00A13F25" w:rsidRDefault="00A13F25" w:rsidP="00A13F25">
      <w:pPr>
        <w:jc w:val="both"/>
        <w:rPr>
          <w:lang w:val="en-AU"/>
        </w:rPr>
      </w:pPr>
    </w:p>
    <w:p w14:paraId="26BFB6BE" w14:textId="77777777" w:rsidR="00A13F25" w:rsidRDefault="00A13F25" w:rsidP="00A13F25">
      <w:pPr>
        <w:jc w:val="both"/>
        <w:rPr>
          <w:lang w:val="en-AU"/>
        </w:rPr>
      </w:pPr>
      <w:r w:rsidRPr="00A13F25">
        <w:rPr>
          <w:lang w:val="en-AU"/>
        </w:rPr>
        <w:t xml:space="preserve">Article 3 of the Declaration begins the articulation of the human values to be defended in terms of </w:t>
      </w:r>
    </w:p>
    <w:p w14:paraId="6029A1B9" w14:textId="23D24C73" w:rsidR="00A13F25" w:rsidRPr="00A13F25" w:rsidRDefault="00A13F25" w:rsidP="00A13F25">
      <w:pPr>
        <w:jc w:val="both"/>
        <w:rPr>
          <w:lang w:val="en-AU"/>
        </w:rPr>
      </w:pPr>
      <w:r w:rsidRPr="00A13F25">
        <w:rPr>
          <w:lang w:val="en-AU"/>
        </w:rPr>
        <w:t>human rights.  “Everyone has the right to life, liberty and the security of person.”  Thus, human life is held to be both inviolable and inalienable.  The Declaration does not begin with hard cases or exceptions, but with the general proposition which concerns the value of human life.  Noting the order of the rights articulated is also interesting - life first, then freedom [liberty], and then security of person.  Unless the State can guarantee the right to life then there are no meaningful rights to freedom or to security of person.  The right to life is logically prior to considerations of the quality of the individual’s life.</w:t>
      </w:r>
    </w:p>
    <w:p w14:paraId="7F984C87" w14:textId="77777777" w:rsidR="00A13F25" w:rsidRDefault="00A13F25" w:rsidP="00A13F25">
      <w:pPr>
        <w:jc w:val="both"/>
        <w:rPr>
          <w:lang w:val="en-AU"/>
        </w:rPr>
      </w:pPr>
    </w:p>
    <w:p w14:paraId="382E1524" w14:textId="77777777" w:rsidR="00A13F25" w:rsidRPr="00A13F25" w:rsidRDefault="00A13F25" w:rsidP="00A13F25">
      <w:pPr>
        <w:jc w:val="both"/>
        <w:rPr>
          <w:lang w:val="en-AU"/>
        </w:rPr>
      </w:pPr>
      <w:r w:rsidRPr="00A13F25">
        <w:rPr>
          <w:lang w:val="en-AU"/>
        </w:rPr>
        <w:t xml:space="preserve">Does this right to life extend to the unborn child?  When Article 3 of the </w:t>
      </w:r>
      <w:r w:rsidRPr="00A13F25">
        <w:rPr>
          <w:i/>
          <w:lang w:val="en-AU"/>
        </w:rPr>
        <w:t xml:space="preserve">Universal Declaration of Human Rights 1948 </w:t>
      </w:r>
      <w:r w:rsidRPr="00A13F25">
        <w:rPr>
          <w:lang w:val="en-AU"/>
        </w:rPr>
        <w:t>was being drafted there were several proposals for the provision of an explicit protection for the unborn child.</w:t>
      </w:r>
      <w:r w:rsidRPr="00A13F25">
        <w:rPr>
          <w:vertAlign w:val="superscript"/>
          <w:lang w:val="en-AU"/>
        </w:rPr>
        <w:footnoteReference w:id="102"/>
      </w:r>
      <w:r w:rsidRPr="00A13F25">
        <w:rPr>
          <w:lang w:val="en-AU"/>
        </w:rPr>
        <w:t xml:space="preserve">  These proposals were certainly debated.</w:t>
      </w:r>
    </w:p>
    <w:p w14:paraId="5AEDE53C" w14:textId="77777777" w:rsidR="00A13F25" w:rsidRPr="00A13F25" w:rsidRDefault="00A13F25" w:rsidP="00A13F25">
      <w:pPr>
        <w:jc w:val="both"/>
        <w:rPr>
          <w:lang w:val="en-AU"/>
        </w:rPr>
      </w:pPr>
      <w:r w:rsidRPr="00A13F25">
        <w:rPr>
          <w:lang w:val="en-AU"/>
        </w:rPr>
        <w:t>In the event, none of the relevant proposals was pushed to a vote and the final text stated only that ‘everyone had the right to life . . .”</w:t>
      </w:r>
      <w:r w:rsidRPr="00A13F25">
        <w:rPr>
          <w:vertAlign w:val="superscript"/>
          <w:lang w:val="en-AU"/>
        </w:rPr>
        <w:footnoteReference w:id="103"/>
      </w:r>
    </w:p>
    <w:p w14:paraId="10BCD560" w14:textId="77777777" w:rsidR="00A13F25" w:rsidRDefault="00A13F25" w:rsidP="00A13F25">
      <w:pPr>
        <w:jc w:val="both"/>
        <w:rPr>
          <w:lang w:val="en-AU"/>
        </w:rPr>
      </w:pPr>
    </w:p>
    <w:p w14:paraId="738022DC" w14:textId="77777777" w:rsidR="00A13F25" w:rsidRPr="00A13F25" w:rsidRDefault="00A13F25" w:rsidP="00A13F25">
      <w:pPr>
        <w:jc w:val="both"/>
        <w:rPr>
          <w:lang w:val="en-AU"/>
        </w:rPr>
      </w:pPr>
      <w:r w:rsidRPr="00A13F25">
        <w:rPr>
          <w:lang w:val="en-AU"/>
        </w:rPr>
        <w:t xml:space="preserve">The fact that the matter was not pushed to a vote does not mean that one can conclude that the rights of the unborn child are not covered by the </w:t>
      </w:r>
      <w:r w:rsidRPr="00A13F25">
        <w:rPr>
          <w:i/>
          <w:lang w:val="en-AU"/>
        </w:rPr>
        <w:t>Universal Declaration of Human Rights 1948</w:t>
      </w:r>
      <w:r w:rsidRPr="00A13F25">
        <w:rPr>
          <w:lang w:val="en-AU"/>
        </w:rPr>
        <w:t>.  The text clearly states that everyone has the right to life, and that what is meant by everyone is “every member of the human family”</w:t>
      </w:r>
      <w:bookmarkStart w:id="10" w:name="_Ref395451189"/>
      <w:r w:rsidRPr="00A13F25">
        <w:rPr>
          <w:vertAlign w:val="superscript"/>
          <w:lang w:val="en-AU"/>
        </w:rPr>
        <w:footnoteReference w:id="104"/>
      </w:r>
      <w:bookmarkEnd w:id="10"/>
      <w:r w:rsidRPr="00A13F25">
        <w:rPr>
          <w:lang w:val="en-AU"/>
        </w:rPr>
        <w:t xml:space="preserve">, that is, all human beings.  Here is the nub of the matter.  Some of those nations who opposed an understanding of the CRC’s Preambular reference to “the child, by reason of his physical and mental immaturity” needing “special safeguards and care, including appropriate legal protection, before as well as after birth,” as including abortion did so on the basis of attitudes which violate explicit provisions of the </w:t>
      </w:r>
      <w:r w:rsidRPr="00A13F25">
        <w:rPr>
          <w:i/>
          <w:lang w:val="en-AU"/>
        </w:rPr>
        <w:t>Universal Declaration of Human Rights 1948</w:t>
      </w:r>
      <w:r w:rsidRPr="00A13F25">
        <w:rPr>
          <w:lang w:val="en-AU"/>
        </w:rPr>
        <w:t xml:space="preserve"> and the </w:t>
      </w:r>
      <w:r w:rsidRPr="00A13F25">
        <w:rPr>
          <w:i/>
          <w:lang w:val="en-AU"/>
        </w:rPr>
        <w:t>International Covenant on Civil and Political Rights 1966</w:t>
      </w:r>
      <w:r w:rsidRPr="00A13F25">
        <w:rPr>
          <w:lang w:val="en-AU"/>
        </w:rPr>
        <w:t>.</w:t>
      </w:r>
    </w:p>
    <w:p w14:paraId="375280F1" w14:textId="77777777" w:rsidR="00A13F25" w:rsidRDefault="00A13F25" w:rsidP="00A13F25">
      <w:pPr>
        <w:jc w:val="both"/>
        <w:rPr>
          <w:lang w:val="en-AU"/>
        </w:rPr>
      </w:pPr>
    </w:p>
    <w:p w14:paraId="15C639A0" w14:textId="77777777" w:rsidR="00A13F25" w:rsidRPr="00A13F25" w:rsidRDefault="00A13F25" w:rsidP="00A13F25">
      <w:pPr>
        <w:jc w:val="both"/>
        <w:rPr>
          <w:lang w:val="en-AU"/>
        </w:rPr>
      </w:pPr>
      <w:r w:rsidRPr="00A13F25">
        <w:rPr>
          <w:lang w:val="en-AU"/>
        </w:rPr>
        <w:t xml:space="preserve">That opposition was on the basis “that </w:t>
      </w:r>
      <w:r w:rsidRPr="00A13F25">
        <w:rPr>
          <w:i/>
          <w:lang w:val="en-AU"/>
        </w:rPr>
        <w:t>an unborn child is not literally a person</w:t>
      </w:r>
      <w:r w:rsidRPr="00A13F25">
        <w:rPr>
          <w:lang w:val="en-AU"/>
        </w:rPr>
        <w:t xml:space="preserve"> whose rights could already be protected, and that the main thrust of the Convention was deemed to promulgate the rights and freedoms of every human being after his birth and to the age of 18 years.”</w:t>
      </w:r>
      <w:r w:rsidRPr="00A13F25">
        <w:rPr>
          <w:vertAlign w:val="superscript"/>
          <w:lang w:val="en-AU"/>
        </w:rPr>
        <w:footnoteReference w:id="105"/>
      </w:r>
      <w:r w:rsidRPr="00A13F25">
        <w:rPr>
          <w:lang w:val="en-AU"/>
        </w:rPr>
        <w:t xml:space="preserve"> (Emphasis added)  These are mere assertions of opinion, opinion which is not universally shared in the way that the various human rights instruments are universally agreed, and in fact is opinion which is in conflict with universally agreed human rights instruments.</w:t>
      </w:r>
    </w:p>
    <w:p w14:paraId="732978D0" w14:textId="77777777" w:rsidR="00A13F25" w:rsidRDefault="00A13F25" w:rsidP="00A13F25">
      <w:pPr>
        <w:jc w:val="both"/>
        <w:rPr>
          <w:lang w:val="en-AU"/>
        </w:rPr>
      </w:pPr>
    </w:p>
    <w:p w14:paraId="709D7195" w14:textId="77777777" w:rsidR="00A13F25" w:rsidRPr="00A13F25" w:rsidRDefault="00A13F25" w:rsidP="00A13F25">
      <w:pPr>
        <w:jc w:val="both"/>
        <w:rPr>
          <w:lang w:val="en-AU"/>
        </w:rPr>
      </w:pPr>
      <w:r w:rsidRPr="00A13F25">
        <w:rPr>
          <w:lang w:val="en-AU"/>
        </w:rPr>
        <w:t>Michel Meslin, however, has shown that “the concept of person is one of the most difficult concepts to define - even though it is always burdened with hopes and revendications. It is neither a simple fact, nor evident throughout history.”</w:t>
      </w:r>
      <w:r w:rsidRPr="00A13F25">
        <w:rPr>
          <w:vertAlign w:val="superscript"/>
          <w:lang w:val="en-AU"/>
        </w:rPr>
        <w:footnoteReference w:id="106"/>
      </w:r>
      <w:r w:rsidRPr="00A13F25">
        <w:rPr>
          <w:lang w:val="en-AU"/>
        </w:rPr>
        <w:t xml:space="preserve">  The briefest of surveys of the literature provides ample evidence to support Meslin’s contention.  Concepts of personhood based upon science and philosophy abound.  For some, personhood begins at syngamy. For others it is at fourteen days after fertilisation, twelve weeks, twenty-eight weeks, birth, three months after birth and so on.  There is no agreement in science or philosophy about when personhood begins or where it ends or how it should be defined.  The only agreement one finds is in the embryological text books, that human life begins at fertilisation.  It is the fertilisation of a human egg by a human sperm that produces a member of the human species, the human family. The main results of fertilisation are:</w:t>
      </w:r>
    </w:p>
    <w:p w14:paraId="190CA68C" w14:textId="77777777" w:rsidR="00A13F25" w:rsidRDefault="00A13F25" w:rsidP="00A13F25">
      <w:pPr>
        <w:jc w:val="both"/>
        <w:rPr>
          <w:lang w:val="en-AU"/>
        </w:rPr>
      </w:pPr>
    </w:p>
    <w:p w14:paraId="155DFA64" w14:textId="77777777" w:rsidR="00A13F25" w:rsidRDefault="00A13F25" w:rsidP="00A13F25">
      <w:pPr>
        <w:jc w:val="both"/>
        <w:rPr>
          <w:lang w:val="en-AU"/>
        </w:rPr>
      </w:pPr>
      <w:r w:rsidRPr="00A13F25">
        <w:rPr>
          <w:lang w:val="en-AU"/>
        </w:rPr>
        <w:t xml:space="preserve">(a) </w:t>
      </w:r>
      <w:r w:rsidRPr="00A13F25">
        <w:rPr>
          <w:b/>
          <w:lang w:val="en-AU"/>
        </w:rPr>
        <w:t>restoration of the diploid number of chromosomes</w:t>
      </w:r>
      <w:r w:rsidRPr="00A13F25">
        <w:rPr>
          <w:lang w:val="en-AU"/>
        </w:rPr>
        <w:t xml:space="preserve">, half from the father and half from the mother.  Hence, the zygote contains a new combination of chromosomes, different from both parents; </w:t>
      </w:r>
    </w:p>
    <w:p w14:paraId="3EEE693E" w14:textId="77777777" w:rsidR="00A13F25" w:rsidRDefault="00A13F25" w:rsidP="00A13F25">
      <w:pPr>
        <w:jc w:val="both"/>
        <w:rPr>
          <w:lang w:val="en-AU"/>
        </w:rPr>
      </w:pPr>
      <w:r w:rsidRPr="00A13F25">
        <w:rPr>
          <w:lang w:val="en-AU"/>
        </w:rPr>
        <w:t xml:space="preserve">(b) </w:t>
      </w:r>
      <w:r w:rsidRPr="00A13F25">
        <w:rPr>
          <w:b/>
          <w:lang w:val="en-AU"/>
        </w:rPr>
        <w:t>determination of the sex</w:t>
      </w:r>
      <w:r w:rsidRPr="00A13F25">
        <w:rPr>
          <w:lang w:val="en-AU"/>
        </w:rPr>
        <w:t xml:space="preserve"> of the new individual.  An X-carrying sperm will produce a female (XX) embryo, and a Y-carrying sperm a male (XY) embryo.  Hence, the chromosomal sex of the embryo is determined at fertilization; </w:t>
      </w:r>
    </w:p>
    <w:p w14:paraId="631B65C0" w14:textId="5B483402" w:rsidR="00A13F25" w:rsidRPr="00A13F25" w:rsidRDefault="00A13F25" w:rsidP="00A13F25">
      <w:pPr>
        <w:jc w:val="both"/>
        <w:rPr>
          <w:lang w:val="en-AU"/>
        </w:rPr>
      </w:pPr>
      <w:r w:rsidRPr="00A13F25">
        <w:rPr>
          <w:lang w:val="en-AU"/>
        </w:rPr>
        <w:t xml:space="preserve">(c) </w:t>
      </w:r>
      <w:r w:rsidRPr="00A13F25">
        <w:rPr>
          <w:b/>
          <w:lang w:val="en-AU"/>
        </w:rPr>
        <w:t>initiation of cleavage</w:t>
      </w:r>
      <w:r w:rsidRPr="00A13F25">
        <w:rPr>
          <w:lang w:val="en-AU"/>
        </w:rPr>
        <w:t>.  Without fertilization the oocyte usually degenerates 24 hours after ovulation.</w:t>
      </w:r>
      <w:r w:rsidRPr="00A13F25">
        <w:rPr>
          <w:vertAlign w:val="superscript"/>
          <w:lang w:val="en-AU"/>
        </w:rPr>
        <w:footnoteReference w:id="107"/>
      </w:r>
    </w:p>
    <w:p w14:paraId="7C000B50" w14:textId="77777777" w:rsidR="00A13F25" w:rsidRDefault="00A13F25" w:rsidP="00A13F25">
      <w:pPr>
        <w:jc w:val="both"/>
        <w:rPr>
          <w:lang w:val="en-AU"/>
        </w:rPr>
      </w:pPr>
    </w:p>
    <w:p w14:paraId="2D1B6412" w14:textId="77777777" w:rsidR="00A13F25" w:rsidRPr="00A13F25" w:rsidRDefault="00A13F25" w:rsidP="00A13F25">
      <w:pPr>
        <w:jc w:val="both"/>
        <w:rPr>
          <w:lang w:val="en-AU"/>
        </w:rPr>
      </w:pPr>
      <w:r w:rsidRPr="00A13F25">
        <w:rPr>
          <w:lang w:val="en-AU"/>
        </w:rPr>
        <w:t>Anthony Fisher has assembled other citations from many medical and biological textbooks, all of which underscore the scientific consensus that “the human embryo is a genetically human, discrete and an alive unit, organically single and individual, with a self-contained power to organise his or her own growth, multiplication and differentiation in a way that ordinarily leads to a human adult.”</w:t>
      </w:r>
      <w:r w:rsidRPr="00A13F25">
        <w:rPr>
          <w:vertAlign w:val="superscript"/>
          <w:lang w:val="en-AU"/>
        </w:rPr>
        <w:footnoteReference w:id="108"/>
      </w:r>
      <w:r w:rsidRPr="00A13F25">
        <w:rPr>
          <w:lang w:val="en-AU"/>
        </w:rPr>
        <w:t xml:space="preserve">  R. Yanagimachi begins his essay on “Mammalian Fertilization” with the statement: “Fertilization in mammals normally represents the beginning of life for a new individual.”</w:t>
      </w:r>
      <w:r w:rsidRPr="00A13F25">
        <w:rPr>
          <w:vertAlign w:val="superscript"/>
          <w:lang w:val="en-AU"/>
        </w:rPr>
        <w:footnoteReference w:id="109"/>
      </w:r>
    </w:p>
    <w:p w14:paraId="28BEED0E" w14:textId="77777777" w:rsidR="00A13F25" w:rsidRDefault="00A13F25" w:rsidP="00A13F25">
      <w:pPr>
        <w:jc w:val="both"/>
        <w:rPr>
          <w:lang w:val="en-AU"/>
        </w:rPr>
      </w:pPr>
    </w:p>
    <w:p w14:paraId="0EDAE0E8" w14:textId="77777777" w:rsidR="00A13F25" w:rsidRPr="00A13F25" w:rsidRDefault="00A13F25" w:rsidP="00A13F25">
      <w:pPr>
        <w:jc w:val="both"/>
        <w:rPr>
          <w:lang w:val="en-AU"/>
        </w:rPr>
      </w:pPr>
      <w:r w:rsidRPr="00A13F25">
        <w:rPr>
          <w:lang w:val="en-AU"/>
        </w:rPr>
        <w:t>On the basis, then, of this standard text book definition of fertilisation it may reasonably be concluded that the embryo</w:t>
      </w:r>
      <w:r w:rsidRPr="00A13F25">
        <w:rPr>
          <w:vertAlign w:val="superscript"/>
          <w:lang w:val="en-AU"/>
        </w:rPr>
        <w:footnoteReference w:id="110"/>
      </w:r>
      <w:r w:rsidRPr="00A13F25">
        <w:rPr>
          <w:lang w:val="en-AU"/>
        </w:rPr>
        <w:t xml:space="preserve"> is a “new individual”, genetically different from his or her parents, and containing all the necessary genetic information for further development.  This embryological understanding of the beginning of human life has been expressed in various formulations.  The Senate Select Committee On The Human Embryo Experimentation Bill 1985 [Australia] defined the human embryo:</w:t>
      </w:r>
    </w:p>
    <w:p w14:paraId="7DF2DA00" w14:textId="77777777" w:rsidR="00A13F25" w:rsidRPr="00A13F25" w:rsidRDefault="00A13F25" w:rsidP="00A13F25">
      <w:pPr>
        <w:jc w:val="both"/>
        <w:rPr>
          <w:lang w:val="en-AU"/>
        </w:rPr>
      </w:pPr>
      <w:r w:rsidRPr="00A13F25">
        <w:rPr>
          <w:lang w:val="en-AU"/>
        </w:rPr>
        <w:t>The Committee, in adopting the usage ‘embryo’ to describe the fertilised ovum and succeeding stages up to the observation of human form, means to speak of genetically new human life organised as a distinct entity oriented towards further development.</w:t>
      </w:r>
      <w:bookmarkStart w:id="11" w:name="_Ref395626094"/>
      <w:r w:rsidRPr="00A13F25">
        <w:rPr>
          <w:vertAlign w:val="superscript"/>
          <w:lang w:val="en-AU"/>
        </w:rPr>
        <w:footnoteReference w:id="111"/>
      </w:r>
      <w:bookmarkEnd w:id="11"/>
    </w:p>
    <w:p w14:paraId="3F9908A1" w14:textId="77777777" w:rsidR="00A13F25" w:rsidRDefault="00A13F25" w:rsidP="00A13F25">
      <w:pPr>
        <w:jc w:val="both"/>
        <w:rPr>
          <w:lang w:val="en-AU"/>
        </w:rPr>
      </w:pPr>
    </w:p>
    <w:p w14:paraId="68A23B44" w14:textId="77777777" w:rsidR="00A13F25" w:rsidRPr="00A13F25" w:rsidRDefault="00A13F25" w:rsidP="00A13F25">
      <w:pPr>
        <w:jc w:val="both"/>
        <w:rPr>
          <w:lang w:val="en-AU"/>
        </w:rPr>
      </w:pPr>
      <w:r w:rsidRPr="00A13F25">
        <w:rPr>
          <w:lang w:val="en-AU"/>
        </w:rPr>
        <w:t>The testimony of C.R. Austin that the “stage which marks the start of a person is a matter of opinion”</w:t>
      </w:r>
      <w:r w:rsidRPr="00A13F25">
        <w:rPr>
          <w:vertAlign w:val="superscript"/>
          <w:lang w:val="en-AU"/>
        </w:rPr>
        <w:footnoteReference w:id="112"/>
      </w:r>
      <w:r w:rsidRPr="00A13F25">
        <w:rPr>
          <w:lang w:val="en-AU"/>
        </w:rPr>
        <w:t xml:space="preserve"> is matched by Roger Short’s contention that the benchmark fourteen days, for which he argued, was nevertheless “a prejudice” and “purely arbitrary”.</w:t>
      </w:r>
      <w:r w:rsidRPr="00A13F25">
        <w:rPr>
          <w:vertAlign w:val="superscript"/>
          <w:lang w:val="en-AU"/>
        </w:rPr>
        <w:footnoteReference w:id="113"/>
      </w:r>
    </w:p>
    <w:p w14:paraId="6CECDA75" w14:textId="77777777" w:rsidR="00A13F25" w:rsidRDefault="00A13F25" w:rsidP="00A13F25">
      <w:pPr>
        <w:jc w:val="both"/>
        <w:rPr>
          <w:lang w:val="en-AU"/>
        </w:rPr>
      </w:pPr>
    </w:p>
    <w:p w14:paraId="32C896EA" w14:textId="77777777" w:rsidR="00A13F25" w:rsidRPr="00A13F25" w:rsidRDefault="00A13F25" w:rsidP="00A13F25">
      <w:pPr>
        <w:jc w:val="both"/>
        <w:rPr>
          <w:lang w:val="en-US"/>
        </w:rPr>
      </w:pPr>
      <w:r w:rsidRPr="00A13F25">
        <w:rPr>
          <w:lang w:val="en-AU"/>
        </w:rPr>
        <w:t xml:space="preserve">Recent research also indicates the dynamic and purposive nature of the early human embryo which discounts any idea of the embryo being a “featureless bundle of cells”.  Richard Gardner repeated some little known experiments from the 1980s and published his results in </w:t>
      </w:r>
      <w:r w:rsidRPr="00A13F25">
        <w:rPr>
          <w:i/>
          <w:lang w:val="en-AU"/>
        </w:rPr>
        <w:t>Nature</w:t>
      </w:r>
      <w:r w:rsidRPr="00A13F25">
        <w:rPr>
          <w:lang w:val="en-AU"/>
        </w:rPr>
        <w:t xml:space="preserve"> on 4 July 2002.  He was able to confirm that the human body is shaped at the moment of fertilisation, that the side of the microscopic embryo which will form the back and the head are not left to later development but are set out in the minutes and hours after the sperm and egg unite to form a new human being.  </w:t>
      </w:r>
      <w:r w:rsidRPr="00A13F25">
        <w:rPr>
          <w:lang w:val="en-US"/>
        </w:rPr>
        <w:t>“Rather than being a naïve sphere, it seems that a newly fertilized egg has a defined top-bottom axis that sets up the equivalent axis in the future embryo.”  Reviewing this work H Pearson makes this observation: “What is clear is that developmental biologists will no longer dismiss early mammalian embryos as featureless bundles of cells – and that leaves them with work to do.”</w:t>
      </w:r>
      <w:r w:rsidRPr="00A13F25">
        <w:rPr>
          <w:vertAlign w:val="superscript"/>
          <w:lang w:val="en-US"/>
        </w:rPr>
        <w:footnoteReference w:id="114"/>
      </w:r>
      <w:r w:rsidRPr="00A13F25">
        <w:rPr>
          <w:lang w:val="en-US"/>
        </w:rPr>
        <w:t xml:space="preserve"> </w:t>
      </w:r>
    </w:p>
    <w:p w14:paraId="5585AFC4" w14:textId="77777777" w:rsidR="00A13F25" w:rsidRDefault="00A13F25" w:rsidP="00A13F25">
      <w:pPr>
        <w:jc w:val="both"/>
        <w:rPr>
          <w:lang w:val="en-US"/>
        </w:rPr>
      </w:pPr>
    </w:p>
    <w:p w14:paraId="54526879" w14:textId="77777777" w:rsidR="00A13F25" w:rsidRPr="00A13F25" w:rsidRDefault="00A13F25" w:rsidP="00A13F25">
      <w:pPr>
        <w:jc w:val="both"/>
        <w:rPr>
          <w:lang w:val="en-US"/>
        </w:rPr>
      </w:pPr>
      <w:r w:rsidRPr="00A13F25">
        <w:rPr>
          <w:lang w:val="en-US"/>
        </w:rPr>
        <w:t xml:space="preserve">Furthermore, the directedness of early embryonic development is revealed by the fact that the early embryo produces a variety of substances for various signalling purposes. </w:t>
      </w:r>
      <w:r w:rsidRPr="00A13F25">
        <w:rPr>
          <w:lang w:val="en"/>
        </w:rPr>
        <w:t xml:space="preserve">hCG is produced by the embryo soon after conception and then by the </w:t>
      </w:r>
      <w:r w:rsidRPr="00A13F25">
        <w:rPr>
          <w:i/>
          <w:iCs/>
          <w:lang w:val="en"/>
        </w:rPr>
        <w:t>syncytiotrophoblast</w:t>
      </w:r>
      <w:r w:rsidRPr="00A13F25">
        <w:rPr>
          <w:lang w:val="en"/>
        </w:rPr>
        <w:t xml:space="preserve"> (part of the placental tissue).  Its role is to maintain and stimulate the corpus luteum (left after the egg has been released), which produces progesterone and estrogens to maintain the pregnancy. There is also some suggestion that hCG may have an immunosuppressive role that prevents rejection of the embryo by the mother, although this is still the subject of research.</w:t>
      </w:r>
      <w:r w:rsidRPr="00A13F25">
        <w:rPr>
          <w:vertAlign w:val="superscript"/>
          <w:lang w:val="en"/>
        </w:rPr>
        <w:footnoteReference w:id="115"/>
      </w:r>
      <w:r w:rsidRPr="00A13F25">
        <w:rPr>
          <w:lang w:val="en"/>
        </w:rPr>
        <w:t xml:space="preserve">  Early Pregnancy factor (EPF)</w:t>
      </w:r>
      <w:r w:rsidRPr="00A13F25">
        <w:rPr>
          <w:vertAlign w:val="superscript"/>
          <w:lang w:val="en"/>
        </w:rPr>
        <w:footnoteReference w:id="116"/>
      </w:r>
      <w:r w:rsidRPr="00A13F25">
        <w:rPr>
          <w:lang w:val="en"/>
        </w:rPr>
        <w:t xml:space="preserve"> has been studied extensively in many species.  It has been detected in the sera of women 2-7 days after ovulation and its role appears to be immunosuppressant</w:t>
      </w:r>
      <w:r w:rsidRPr="00A13F25">
        <w:rPr>
          <w:vertAlign w:val="superscript"/>
          <w:lang w:val="en"/>
        </w:rPr>
        <w:footnoteReference w:id="117"/>
      </w:r>
      <w:r w:rsidRPr="00A13F25">
        <w:rPr>
          <w:lang w:val="en"/>
        </w:rPr>
        <w:t>.  In this study, the authors describe the detection of EPF as a possible “</w:t>
      </w:r>
      <w:r w:rsidRPr="00A13F25">
        <w:rPr>
          <w:lang w:val="en-US"/>
        </w:rPr>
        <w:t xml:space="preserve">super early indicator of pregnancy”. </w:t>
      </w:r>
    </w:p>
    <w:p w14:paraId="04B4D663" w14:textId="77777777" w:rsidR="00A13F25" w:rsidRDefault="00A13F25" w:rsidP="00A13F25">
      <w:pPr>
        <w:jc w:val="both"/>
        <w:rPr>
          <w:lang w:val="en-US"/>
        </w:rPr>
      </w:pPr>
    </w:p>
    <w:p w14:paraId="787EBF26" w14:textId="77777777" w:rsidR="00A13F25" w:rsidRPr="00A13F25" w:rsidRDefault="00A13F25" w:rsidP="00A13F25">
      <w:pPr>
        <w:jc w:val="both"/>
        <w:rPr>
          <w:lang w:val="en-US"/>
        </w:rPr>
      </w:pPr>
      <w:r w:rsidRPr="00A13F25">
        <w:rPr>
          <w:lang w:val="en-US"/>
        </w:rPr>
        <w:t xml:space="preserve">A certain amount of programmed cell death occurs in normal embryological development.  However, the rate is much higher when embryos are cultured alone and separate from the maternal reproductive tract.  This suggests that there are survival factors in the maternal reproductive tract that afford protection for the developing embryo from excess apoptosis.  Furthermore, when </w:t>
      </w:r>
      <w:r w:rsidRPr="00A13F25">
        <w:rPr>
          <w:i/>
          <w:iCs/>
          <w:lang w:val="en-US"/>
        </w:rPr>
        <w:t>in vitro</w:t>
      </w:r>
      <w:r w:rsidRPr="00A13F25">
        <w:rPr>
          <w:lang w:val="en-US"/>
        </w:rPr>
        <w:t xml:space="preserve"> embryos are cultured in groups rather than alone, the rate of apoptosis is likewise reduced, suggesting that embryos themselves may release some factors that protect against excess apoptosis.  These factors may include growth factors including one called transforming growth factor-α (TGF-α).</w:t>
      </w:r>
      <w:r w:rsidRPr="00A13F25">
        <w:rPr>
          <w:vertAlign w:val="superscript"/>
          <w:lang w:val="en-US"/>
        </w:rPr>
        <w:footnoteReference w:id="118"/>
      </w:r>
    </w:p>
    <w:p w14:paraId="289141D3" w14:textId="77777777" w:rsidR="00A13F25" w:rsidRDefault="00A13F25" w:rsidP="00A13F25">
      <w:pPr>
        <w:jc w:val="both"/>
        <w:rPr>
          <w:lang w:val="en-US"/>
        </w:rPr>
      </w:pPr>
    </w:p>
    <w:p w14:paraId="317802CD" w14:textId="77777777" w:rsidR="00A13F25" w:rsidRPr="00A13F25" w:rsidRDefault="00A13F25" w:rsidP="00A13F25">
      <w:pPr>
        <w:jc w:val="both"/>
        <w:rPr>
          <w:lang w:val="en-US"/>
        </w:rPr>
      </w:pPr>
      <w:r w:rsidRPr="00A13F25">
        <w:rPr>
          <w:lang w:val="en-US"/>
        </w:rPr>
        <w:t>Embryonic trophoblastic cells release a substance called Trophoblastin (oTP) which, like hCG, acts to maintain the corpus luteum.  oTP is an interferon and may also act as a “local immunoregulatory defense molecule during the implantation period”.</w:t>
      </w:r>
      <w:r w:rsidRPr="00A13F25">
        <w:rPr>
          <w:vertAlign w:val="superscript"/>
          <w:lang w:val="en-US"/>
        </w:rPr>
        <w:footnoteReference w:id="119"/>
      </w:r>
    </w:p>
    <w:p w14:paraId="6796F56C" w14:textId="77777777" w:rsidR="00A13F25" w:rsidRDefault="00A13F25" w:rsidP="00A13F25">
      <w:pPr>
        <w:jc w:val="both"/>
        <w:rPr>
          <w:lang w:val="en-US"/>
        </w:rPr>
      </w:pPr>
    </w:p>
    <w:p w14:paraId="64103ED3" w14:textId="77777777" w:rsidR="00A13F25" w:rsidRPr="00A13F25" w:rsidRDefault="00A13F25" w:rsidP="00A13F25">
      <w:pPr>
        <w:jc w:val="both"/>
        <w:rPr>
          <w:lang w:val="en-US"/>
        </w:rPr>
      </w:pPr>
      <w:r w:rsidRPr="00A13F25">
        <w:rPr>
          <w:lang w:val="en-US"/>
        </w:rPr>
        <w:t>Platelet Activating Factor (PAF) “is produced and released by the embryos of all mammalian species studied to date. … Released PAF causes a range of alterations in maternal physiology, including platelet activation, changes in oviductal, endometrial and maternal immune function. PAF also acts in an autocrine fashion as a trophic/survival factor for the early embryo.”  This suggests that PAF released by the embryo is involved with preparation for implantation and protection for the embryo prior to implantation.</w:t>
      </w:r>
      <w:r w:rsidRPr="00A13F25">
        <w:rPr>
          <w:vertAlign w:val="superscript"/>
          <w:lang w:val="en-US"/>
        </w:rPr>
        <w:footnoteReference w:id="120"/>
      </w:r>
    </w:p>
    <w:p w14:paraId="25520BCC" w14:textId="77777777" w:rsidR="00A13F25" w:rsidRDefault="00A13F25" w:rsidP="00A13F25">
      <w:pPr>
        <w:jc w:val="both"/>
        <w:rPr>
          <w:lang w:val="en-US"/>
        </w:rPr>
      </w:pPr>
    </w:p>
    <w:p w14:paraId="5E470203" w14:textId="77777777" w:rsidR="00A13F25" w:rsidRPr="00A13F25" w:rsidRDefault="00A13F25" w:rsidP="00A13F25">
      <w:pPr>
        <w:jc w:val="both"/>
        <w:rPr>
          <w:lang w:val="en-US"/>
        </w:rPr>
      </w:pPr>
      <w:r w:rsidRPr="00A13F25">
        <w:rPr>
          <w:lang w:val="en-US"/>
        </w:rPr>
        <w:t>The hormone relaxin was identified over 75 years ago.  Besides its location in many other systems, it is known to be released by the embryo.  However, its role is unclear, although it has been speculated that relaxin may act as an implantation signal before attachment takes place.</w:t>
      </w:r>
      <w:r w:rsidRPr="00A13F25">
        <w:rPr>
          <w:vertAlign w:val="superscript"/>
          <w:lang w:val="en-US"/>
        </w:rPr>
        <w:footnoteReference w:id="121"/>
      </w:r>
    </w:p>
    <w:p w14:paraId="579B6999" w14:textId="77777777" w:rsidR="00A13F25" w:rsidRDefault="00A13F25" w:rsidP="00A13F25">
      <w:pPr>
        <w:jc w:val="both"/>
        <w:rPr>
          <w:lang w:val="en-US"/>
        </w:rPr>
      </w:pPr>
    </w:p>
    <w:p w14:paraId="6525135D" w14:textId="77777777" w:rsidR="00A13F25" w:rsidRPr="00A13F25" w:rsidRDefault="00A13F25" w:rsidP="00A13F25">
      <w:pPr>
        <w:jc w:val="both"/>
        <w:rPr>
          <w:lang w:val="en-US"/>
        </w:rPr>
      </w:pPr>
      <w:r w:rsidRPr="00A13F25">
        <w:rPr>
          <w:lang w:val="en-US"/>
        </w:rPr>
        <w:t>There is a widespread assumption in the public debate and commonly among philosophers that the early human embryo is undifferentiated or unspecialised and therefore less human and with diminished moral worth.  But the science challenges that view revealing that, in fact, the early human embryo specialises in complex, directed, and precise ways from the moment of sperm penetration of the egg and onwards.  The human embryo acts for his or her own survival, signalling the mother of his or presence, modifying the mother’s biological systems at the molecular level to ensure survival, and at the same time engaging in a continuous process of development.  Fertilisation, implantation, and birth are simply particular stages in the human life cycle.</w:t>
      </w:r>
    </w:p>
    <w:p w14:paraId="002F0048" w14:textId="77777777" w:rsidR="00A13F25" w:rsidRDefault="00A13F25" w:rsidP="00A13F25">
      <w:pPr>
        <w:jc w:val="both"/>
        <w:rPr>
          <w:lang w:val="en-AU"/>
        </w:rPr>
      </w:pPr>
    </w:p>
    <w:p w14:paraId="5A64D4AA" w14:textId="77777777" w:rsidR="00A13F25" w:rsidRPr="00A13F25" w:rsidRDefault="00A13F25" w:rsidP="00A13F25">
      <w:pPr>
        <w:jc w:val="both"/>
        <w:rPr>
          <w:lang w:val="en-AU"/>
        </w:rPr>
      </w:pPr>
      <w:r w:rsidRPr="00A13F25">
        <w:rPr>
          <w:lang w:val="en-AU"/>
        </w:rPr>
        <w:t xml:space="preserve">There is, then, every good scientific reason to conclude that the early human embryo is one of us, a member of the human family.  So while there is no agreed basis for dividing up the human family into persons and nonpersons, there is an agreement from science that from fertilisation we all share a common humanity, that we are all members of the “human family”, to use the words of the </w:t>
      </w:r>
      <w:r w:rsidRPr="00A13F25">
        <w:rPr>
          <w:i/>
          <w:lang w:val="en-AU"/>
        </w:rPr>
        <w:t>Universal Declaration of Human Rights 1948</w:t>
      </w:r>
      <w:r w:rsidRPr="00A13F25">
        <w:rPr>
          <w:lang w:val="en-AU"/>
        </w:rPr>
        <w:t>.  This latter point has been conceded by strong supporters of the ‘pro-choice’ position, especially Peter Singer, Michael Tooley and Helga Kuhse. It is just that they do not believe that being a member of the human family is a sufficient reason to conclude that an individual has by reason of that fact alone the right to life.  And history shows that attempts to disenfranchise some members of the human family from moral consideration has lead to justifications of intolerable abuses of human rights including slavery, genocide, abortion, infanticide, non-voluntary sterilisation, non-voluntary and voluntary euthanasia of other human beings.  It was precisely in reaction to these abuses of human rights that the United Nations was brought into being on the basis of its Charter.</w:t>
      </w:r>
    </w:p>
    <w:p w14:paraId="262A7AA3" w14:textId="77777777" w:rsidR="00A13F25" w:rsidRDefault="00A13F25" w:rsidP="00A13F25">
      <w:pPr>
        <w:jc w:val="both"/>
        <w:rPr>
          <w:lang w:val="en-AU"/>
        </w:rPr>
      </w:pPr>
    </w:p>
    <w:p w14:paraId="693F5D97" w14:textId="77777777" w:rsidR="00A13F25" w:rsidRPr="00A13F25" w:rsidRDefault="00A13F25" w:rsidP="00A13F25">
      <w:pPr>
        <w:jc w:val="both"/>
        <w:rPr>
          <w:lang w:val="en-AU"/>
        </w:rPr>
      </w:pPr>
      <w:r w:rsidRPr="00A13F25">
        <w:rPr>
          <w:lang w:val="en-AU"/>
        </w:rPr>
        <w:t xml:space="preserve">In the current climate we need to appreciate that fashionable philosophical notions of human personhood which are being used to justify abortion are also being used to justify the killings of children up to three to </w:t>
      </w:r>
      <w:r w:rsidRPr="00A13F25">
        <w:rPr>
          <w:i/>
          <w:lang w:val="en-AU"/>
        </w:rPr>
        <w:t>six months after birth</w:t>
      </w:r>
      <w:r w:rsidRPr="00A13F25">
        <w:rPr>
          <w:i/>
          <w:vertAlign w:val="superscript"/>
          <w:lang w:val="en-AU"/>
        </w:rPr>
        <w:footnoteReference w:id="122"/>
      </w:r>
      <w:r w:rsidRPr="00A13F25">
        <w:rPr>
          <w:lang w:val="en-AU"/>
        </w:rPr>
        <w:t xml:space="preserve">.  If the killing of a child </w:t>
      </w:r>
      <w:r w:rsidRPr="00A13F25">
        <w:rPr>
          <w:i/>
          <w:lang w:val="en-AU"/>
        </w:rPr>
        <w:t>after birth</w:t>
      </w:r>
      <w:r w:rsidRPr="00A13F25">
        <w:rPr>
          <w:lang w:val="en-AU"/>
        </w:rPr>
        <w:t xml:space="preserve"> is considered to be in violation of our human rights obligations, then the killing of the child </w:t>
      </w:r>
      <w:r w:rsidRPr="00A13F25">
        <w:rPr>
          <w:i/>
          <w:lang w:val="en-AU"/>
        </w:rPr>
        <w:t>before birth</w:t>
      </w:r>
      <w:r w:rsidRPr="00A13F25">
        <w:rPr>
          <w:lang w:val="en-AU"/>
        </w:rPr>
        <w:t xml:space="preserve"> on the same philosophical justification must also be considered a violation of that child’s right to life.</w:t>
      </w:r>
    </w:p>
    <w:p w14:paraId="46AF86B3" w14:textId="77777777" w:rsidR="00A13F25" w:rsidRDefault="00A13F25" w:rsidP="00A13F25">
      <w:pPr>
        <w:jc w:val="both"/>
        <w:rPr>
          <w:b/>
        </w:rPr>
      </w:pPr>
      <w:bookmarkStart w:id="12" w:name="_Toc392731562"/>
    </w:p>
    <w:p w14:paraId="3EF64FE8" w14:textId="77777777" w:rsidR="00A13F25" w:rsidRPr="00A13F25" w:rsidRDefault="00A13F25" w:rsidP="00A13F25">
      <w:pPr>
        <w:jc w:val="both"/>
        <w:rPr>
          <w:b/>
        </w:rPr>
      </w:pPr>
      <w:r w:rsidRPr="00A13F25">
        <w:rPr>
          <w:b/>
        </w:rPr>
        <w:t>Denying personhood used to justify abuse of human rights</w:t>
      </w:r>
      <w:bookmarkEnd w:id="12"/>
    </w:p>
    <w:p w14:paraId="0A646042" w14:textId="77777777" w:rsidR="00A13F25" w:rsidRPr="00A13F25" w:rsidRDefault="00A13F25" w:rsidP="00A13F25">
      <w:pPr>
        <w:jc w:val="both"/>
        <w:rPr>
          <w:lang w:val="en-AU"/>
        </w:rPr>
      </w:pPr>
      <w:r w:rsidRPr="00A13F25">
        <w:rPr>
          <w:lang w:val="en-AU"/>
        </w:rPr>
        <w:t>The eugenic impulse to kill fetuses and other members of the human family who have disabilities is still in evidence in the twenty first century</w:t>
      </w:r>
      <w:r w:rsidRPr="00A13F25">
        <w:rPr>
          <w:vertAlign w:val="superscript"/>
          <w:lang w:val="en-AU"/>
        </w:rPr>
        <w:footnoteReference w:id="123"/>
      </w:r>
      <w:r w:rsidRPr="00A13F25">
        <w:rPr>
          <w:lang w:val="en-AU"/>
        </w:rPr>
        <w:t xml:space="preserve"> and is used together with a utilitarian moral philosophy to deny personhood, and therefore moral consideration, to those classes of human beings who constitute a burden to the community, a burden which it is often unwilling to accept.  Abortion can then be advanced to parents who may feel unable to cope with that burden alone and without the support of the wider community.</w:t>
      </w:r>
    </w:p>
    <w:p w14:paraId="56CF4DD4" w14:textId="77777777" w:rsidR="00A13F25" w:rsidRDefault="00A13F25" w:rsidP="00A13F25">
      <w:pPr>
        <w:jc w:val="both"/>
        <w:rPr>
          <w:lang w:val="en-AU"/>
        </w:rPr>
      </w:pPr>
    </w:p>
    <w:p w14:paraId="47CD89CF" w14:textId="77777777" w:rsidR="00A13F25" w:rsidRPr="00A13F25" w:rsidRDefault="00A13F25" w:rsidP="00A13F25">
      <w:pPr>
        <w:jc w:val="both"/>
        <w:rPr>
          <w:lang w:val="en-AU"/>
        </w:rPr>
      </w:pPr>
      <w:r w:rsidRPr="00A13F25">
        <w:rPr>
          <w:lang w:val="en-AU"/>
        </w:rPr>
        <w:t>There is a connection between the self-interest of communities and the line to be drawn between persons and non-persons.  That self-interest may be driven by eugenic, economic, social and political factors such that those a society wishes to exclude are deemed to be non-persons.  History is replete with examples of this phenomenon.  Thus could Chief Justice Taney of the United States Supreme Court exclude Dred Scott (a Negro slave) from personhood,</w:t>
      </w:r>
      <w:r w:rsidRPr="00A13F25">
        <w:rPr>
          <w:vertAlign w:val="superscript"/>
          <w:lang w:val="en-AU"/>
        </w:rPr>
        <w:footnoteReference w:id="124"/>
      </w:r>
      <w:r w:rsidRPr="00A13F25">
        <w:rPr>
          <w:lang w:val="en-AU"/>
        </w:rPr>
        <w:t xml:space="preserve"> could the Egyptian Pharaohs exclude the Israelites, could Hitler exclude Jews, Gypsies, the ‘degenerate’ and the asocials from personhood,</w:t>
      </w:r>
      <w:r w:rsidRPr="00A13F25">
        <w:rPr>
          <w:vertAlign w:val="superscript"/>
          <w:lang w:val="en-AU"/>
        </w:rPr>
        <w:footnoteReference w:id="125"/>
      </w:r>
      <w:r w:rsidRPr="00A13F25">
        <w:rPr>
          <w:lang w:val="en-AU"/>
        </w:rPr>
        <w:t xml:space="preserve"> could the British tolerate the slave trade, and could some European Australians liquidate and repress the Aborigines.</w:t>
      </w:r>
    </w:p>
    <w:p w14:paraId="69E99ED2" w14:textId="77777777" w:rsidR="00A13F25" w:rsidRDefault="00A13F25" w:rsidP="00A13F25">
      <w:pPr>
        <w:jc w:val="both"/>
        <w:rPr>
          <w:lang w:val="en-AU"/>
        </w:rPr>
      </w:pPr>
    </w:p>
    <w:p w14:paraId="332CAF21" w14:textId="77777777" w:rsidR="00A13F25" w:rsidRPr="00A13F25" w:rsidRDefault="00A13F25" w:rsidP="00A13F25">
      <w:pPr>
        <w:jc w:val="both"/>
        <w:rPr>
          <w:lang w:val="en-AU"/>
        </w:rPr>
      </w:pPr>
      <w:r w:rsidRPr="00A13F25">
        <w:rPr>
          <w:lang w:val="en-AU"/>
        </w:rPr>
        <w:t xml:space="preserve">The notion that certain classes of persons are non-persons is a not uncommon opinion. The </w:t>
      </w:r>
      <w:r w:rsidRPr="00A13F25">
        <w:rPr>
          <w:i/>
          <w:lang w:val="en-AU"/>
        </w:rPr>
        <w:t>Canada Indian Act 1880</w:t>
      </w:r>
      <w:r w:rsidRPr="00A13F25">
        <w:rPr>
          <w:lang w:val="en-AU"/>
        </w:rPr>
        <w:t xml:space="preserve"> states that “the term person means an individual other than an Indian”.</w:t>
      </w:r>
    </w:p>
    <w:p w14:paraId="5447522A" w14:textId="77777777" w:rsidR="00A13F25" w:rsidRPr="00A13F25" w:rsidRDefault="00A13F25" w:rsidP="00A13F25">
      <w:pPr>
        <w:jc w:val="both"/>
        <w:rPr>
          <w:lang w:val="en-AU"/>
        </w:rPr>
      </w:pPr>
      <w:r w:rsidRPr="00A13F25">
        <w:rPr>
          <w:lang w:val="en-AU"/>
        </w:rPr>
        <w:t xml:space="preserve">In the </w:t>
      </w:r>
      <w:r w:rsidRPr="00A13F25">
        <w:rPr>
          <w:i/>
          <w:lang w:val="en-AU"/>
        </w:rPr>
        <w:t>Canada Franchise Act 1885</w:t>
      </w:r>
      <w:r w:rsidRPr="00A13F25">
        <w:rPr>
          <w:lang w:val="en-AU"/>
        </w:rPr>
        <w:t>, we learn that “[a person] is a male person, including an Indian and excluding a person of Mongolian or Chinese Race.”  Here is progress; in only five years Indians were upgraded to personhood and Asians are called persons in the very clause denying them personhood.  By 1925, Canadian legislation had determined that all races-and women-are persons.  Changes in Canada continued. By 1980, the government had recognized the Inuit, or Eskimos, as Indigenous Peoples with entitlement to lands.  And the nation had developed a cadre of advocates dedicated to the empowerment of the disadvantaged.</w:t>
      </w:r>
      <w:r w:rsidRPr="00A13F25">
        <w:rPr>
          <w:vertAlign w:val="superscript"/>
          <w:lang w:val="en-AU"/>
        </w:rPr>
        <w:footnoteReference w:id="126"/>
      </w:r>
    </w:p>
    <w:p w14:paraId="427ED234" w14:textId="77777777" w:rsidR="00A13F25" w:rsidRDefault="00A13F25" w:rsidP="00A13F25">
      <w:pPr>
        <w:jc w:val="both"/>
        <w:rPr>
          <w:lang w:val="en-AU"/>
        </w:rPr>
      </w:pPr>
    </w:p>
    <w:p w14:paraId="4F27F28B" w14:textId="77777777" w:rsidR="00A13F25" w:rsidRPr="00A13F25" w:rsidRDefault="00A13F25" w:rsidP="00A13F25">
      <w:pPr>
        <w:jc w:val="both"/>
        <w:rPr>
          <w:lang w:val="en-AU"/>
        </w:rPr>
      </w:pPr>
      <w:r w:rsidRPr="00A13F25">
        <w:rPr>
          <w:lang w:val="en-AU"/>
        </w:rPr>
        <w:t xml:space="preserve">The </w:t>
      </w:r>
      <w:r w:rsidRPr="00A13F25">
        <w:rPr>
          <w:i/>
          <w:lang w:val="en-AU"/>
        </w:rPr>
        <w:t>Universal Declaration of Human Rights 1948</w:t>
      </w:r>
      <w:r w:rsidRPr="00A13F25">
        <w:rPr>
          <w:lang w:val="en-AU"/>
        </w:rPr>
        <w:t xml:space="preserve">, following the United Nations Charter, rejects discrimination against any members of the “human family”, and requires the “recognition of the inherent dignity and of the equal and inalienable rights of </w:t>
      </w:r>
      <w:r w:rsidRPr="00A13F25">
        <w:rPr>
          <w:i/>
          <w:lang w:val="en-AU"/>
        </w:rPr>
        <w:t>all</w:t>
      </w:r>
      <w:r w:rsidRPr="00A13F25">
        <w:rPr>
          <w:lang w:val="en-AU"/>
        </w:rPr>
        <w:t xml:space="preserve"> members of the human family” (Emphasis added).  As far as human personhood is concerned, the Declaration does not allow discrimination on the basis of human personhood.  Article 2 asserts firmly that “</w:t>
      </w:r>
      <w:r w:rsidRPr="00A13F25">
        <w:rPr>
          <w:i/>
          <w:lang w:val="en-AU"/>
        </w:rPr>
        <w:t>everyone</w:t>
      </w:r>
      <w:r w:rsidRPr="00A13F25">
        <w:rPr>
          <w:lang w:val="en-AU"/>
        </w:rPr>
        <w:t xml:space="preserve"> is entitled to all the rights and freedoms set forth in this declaration, </w:t>
      </w:r>
      <w:r w:rsidRPr="00A13F25">
        <w:rPr>
          <w:i/>
          <w:lang w:val="en-AU"/>
        </w:rPr>
        <w:t xml:space="preserve">without distinction of any kind </w:t>
      </w:r>
      <w:r w:rsidRPr="00A13F25">
        <w:rPr>
          <w:lang w:val="en-AU"/>
        </w:rPr>
        <w:t>. . .” (Emphasis added) and Article 30 commands that “nothing in this Declaration may be interpreted as implying for any State, group or person any right to engage in any activity or to perform any act aimed at the destruction of any of the rights and freedoms set forth herein.”  Article 6 specifically deals with the matter of the division of human beings into persons and non-persons in these terms:</w:t>
      </w:r>
    </w:p>
    <w:p w14:paraId="1652EEA8" w14:textId="77777777" w:rsidR="00A13F25" w:rsidRDefault="00A13F25" w:rsidP="00A13F25">
      <w:pPr>
        <w:jc w:val="both"/>
        <w:rPr>
          <w:lang w:val="en-AU"/>
        </w:rPr>
      </w:pPr>
    </w:p>
    <w:p w14:paraId="4A909DCE" w14:textId="77777777" w:rsidR="00A13F25" w:rsidRPr="00A13F25" w:rsidRDefault="00A13F25" w:rsidP="00A13F25">
      <w:pPr>
        <w:jc w:val="both"/>
        <w:rPr>
          <w:lang w:val="en-AU"/>
        </w:rPr>
      </w:pPr>
      <w:r w:rsidRPr="00A13F25">
        <w:rPr>
          <w:lang w:val="en-AU"/>
        </w:rPr>
        <w:t>Everyone has the right to recognition everywhere as a person before the law.</w:t>
      </w:r>
      <w:r w:rsidRPr="00A13F25">
        <w:rPr>
          <w:vertAlign w:val="superscript"/>
          <w:lang w:val="en-AU"/>
        </w:rPr>
        <w:footnoteReference w:id="127"/>
      </w:r>
    </w:p>
    <w:p w14:paraId="2902C37A" w14:textId="77777777" w:rsidR="00A13F25" w:rsidRPr="00A13F25" w:rsidRDefault="00A13F25" w:rsidP="00A13F25">
      <w:pPr>
        <w:jc w:val="both"/>
        <w:rPr>
          <w:lang w:val="en-AU"/>
        </w:rPr>
      </w:pPr>
      <w:r w:rsidRPr="00A13F25">
        <w:rPr>
          <w:lang w:val="en-AU"/>
        </w:rPr>
        <w:t>It is true that the practice of abortion is widespread and, in many countries, legal at least in some circumstances.  There is, however, a mismatch between the human rights requirements of international law and the practice of individuals and nation states in the same way that there is a mismatch between the rights of women and the practice of individuals and nation states.  It is interesting to note that, in their discussion of the common law tradition that a human being is not a person until birth, Duxbury and Ward make no reference to article 6 of the UDHR or article 16 of the ICCPR.  That is, the very provisions in international which most call into account current Australian (and other Western) legal notions of personhood.  One wonders why.</w:t>
      </w:r>
    </w:p>
    <w:p w14:paraId="069A6DBD" w14:textId="77777777" w:rsidR="00A13F25" w:rsidRDefault="00A13F25" w:rsidP="00A13F25">
      <w:pPr>
        <w:jc w:val="both"/>
        <w:rPr>
          <w:lang w:val="en-AU"/>
        </w:rPr>
      </w:pPr>
    </w:p>
    <w:p w14:paraId="6A11D86A" w14:textId="77777777" w:rsidR="00A13F25" w:rsidRPr="00A13F25" w:rsidRDefault="00A13F25" w:rsidP="00A13F25">
      <w:pPr>
        <w:jc w:val="both"/>
        <w:rPr>
          <w:lang w:val="en-AU"/>
        </w:rPr>
      </w:pPr>
      <w:r w:rsidRPr="00A13F25">
        <w:rPr>
          <w:lang w:val="en-AU"/>
        </w:rPr>
        <w:t xml:space="preserve">If the human rights of the unborn child are to be upheld in law there will need to be with it an acceptance of the obligation to provide the social, economic, and moral support that women need when faced with an unwanted pregnancy.  The hard cases need to be seen as hard cases against the background of the inalienable right of the fetus to live (a right that the fetus shares with his or her fellow human beings) and the rights of everyone (in this context especially women) “to a standard of living adequate for the health and well being of himself and of his family . . . and the right to security in the event of unemployment . . . or other lack of livelihood in circumstances beyond his control.”  And further, </w:t>
      </w:r>
    </w:p>
    <w:p w14:paraId="49A84415" w14:textId="77777777" w:rsidR="00A13F25" w:rsidRPr="00A13F25" w:rsidRDefault="00A13F25" w:rsidP="00A13F25">
      <w:pPr>
        <w:jc w:val="both"/>
        <w:rPr>
          <w:lang w:val="en-AU"/>
        </w:rPr>
      </w:pPr>
      <w:r w:rsidRPr="00A13F25">
        <w:rPr>
          <w:lang w:val="en-AU"/>
        </w:rPr>
        <w:t>Motherhood and childhood are entitled to special care and assistance. All children, whether born in or out of wedlock, shall enjoy the same social protection.</w:t>
      </w:r>
      <w:r w:rsidRPr="00A13F25">
        <w:rPr>
          <w:vertAlign w:val="superscript"/>
          <w:lang w:val="en-AU"/>
        </w:rPr>
        <w:footnoteReference w:id="128"/>
      </w:r>
    </w:p>
    <w:p w14:paraId="6D70A2CE" w14:textId="77777777" w:rsidR="00A13F25" w:rsidRDefault="00A13F25" w:rsidP="00A13F25">
      <w:pPr>
        <w:jc w:val="both"/>
        <w:rPr>
          <w:lang w:val="en-AU"/>
        </w:rPr>
      </w:pPr>
    </w:p>
    <w:p w14:paraId="5748B0D8" w14:textId="77777777" w:rsidR="00A13F25" w:rsidRPr="00A13F25" w:rsidRDefault="00A13F25" w:rsidP="00A13F25">
      <w:pPr>
        <w:jc w:val="both"/>
        <w:rPr>
          <w:lang w:val="en-AU"/>
        </w:rPr>
      </w:pPr>
      <w:r w:rsidRPr="00A13F25">
        <w:rPr>
          <w:lang w:val="en-AU"/>
        </w:rPr>
        <w:t xml:space="preserve">Article 6(1) of the </w:t>
      </w:r>
      <w:r w:rsidRPr="00A13F25">
        <w:rPr>
          <w:i/>
          <w:lang w:val="en-AU"/>
        </w:rPr>
        <w:t>International Covenant on Civil and Political Rights 1966</w:t>
      </w:r>
      <w:r w:rsidRPr="00A13F25">
        <w:rPr>
          <w:lang w:val="en-AU"/>
        </w:rPr>
        <w:t xml:space="preserve"> guarantees that “every human being has the inherent right to life.” The right to life is the only right in the Convenant that is </w:t>
      </w:r>
      <w:r w:rsidRPr="00A13F25">
        <w:rPr>
          <w:i/>
          <w:lang w:val="en-AU"/>
        </w:rPr>
        <w:t>expressly</w:t>
      </w:r>
      <w:r w:rsidRPr="00A13F25">
        <w:rPr>
          <w:lang w:val="en-AU"/>
        </w:rPr>
        <w:t xml:space="preserve"> stated to be “inherent” to everyone.  The Human Rights Committee</w:t>
      </w:r>
      <w:r w:rsidRPr="00A13F25">
        <w:rPr>
          <w:vertAlign w:val="superscript"/>
          <w:lang w:val="en-AU"/>
        </w:rPr>
        <w:footnoteReference w:id="129"/>
      </w:r>
      <w:r w:rsidRPr="00A13F25">
        <w:rPr>
          <w:lang w:val="en-AU"/>
        </w:rPr>
        <w:t xml:space="preserve"> has described it as the “the supreme right.”</w:t>
      </w:r>
      <w:r w:rsidRPr="00A13F25">
        <w:rPr>
          <w:vertAlign w:val="superscript"/>
          <w:lang w:val="en-AU"/>
        </w:rPr>
        <w:footnoteReference w:id="130"/>
      </w:r>
      <w:r w:rsidRPr="00A13F25">
        <w:rPr>
          <w:lang w:val="en-AU"/>
        </w:rPr>
        <w:t xml:space="preserve">  It is also one of the rights which cannot be derogated from,</w:t>
      </w:r>
      <w:r w:rsidRPr="00A13F25">
        <w:rPr>
          <w:vertAlign w:val="superscript"/>
          <w:lang w:val="en-AU"/>
        </w:rPr>
        <w:footnoteReference w:id="131"/>
      </w:r>
      <w:r w:rsidRPr="00A13F25">
        <w:rPr>
          <w:lang w:val="en-AU"/>
        </w:rPr>
        <w:t xml:space="preserve"> even in a “time of public emergency which threatens the life of the nation.”</w:t>
      </w:r>
      <w:r w:rsidRPr="00A13F25">
        <w:rPr>
          <w:vertAlign w:val="superscript"/>
          <w:lang w:val="en-AU"/>
        </w:rPr>
        <w:footnoteReference w:id="132"/>
      </w:r>
      <w:r w:rsidRPr="00A13F25">
        <w:rPr>
          <w:lang w:val="en-AU"/>
        </w:rPr>
        <w:t xml:space="preserve">  In its General Comment,</w:t>
      </w:r>
      <w:r w:rsidRPr="00A13F25">
        <w:rPr>
          <w:vertAlign w:val="superscript"/>
          <w:lang w:val="en-AU"/>
        </w:rPr>
        <w:footnoteReference w:id="133"/>
      </w:r>
      <w:r w:rsidRPr="00A13F25">
        <w:rPr>
          <w:lang w:val="en-AU"/>
        </w:rPr>
        <w:t xml:space="preserve"> on Article 6, the Human Rights Committee has:</w:t>
      </w:r>
    </w:p>
    <w:p w14:paraId="1522AD0D" w14:textId="77777777" w:rsidR="00A13F25" w:rsidRDefault="00A13F25" w:rsidP="00A13F25">
      <w:pPr>
        <w:jc w:val="both"/>
        <w:rPr>
          <w:lang w:val="en-AU"/>
        </w:rPr>
      </w:pPr>
    </w:p>
    <w:p w14:paraId="1AB538CB" w14:textId="77777777" w:rsidR="00A13F25" w:rsidRPr="00A13F25" w:rsidRDefault="00A13F25" w:rsidP="00A13F25">
      <w:pPr>
        <w:jc w:val="both"/>
        <w:rPr>
          <w:lang w:val="en-AU"/>
        </w:rPr>
      </w:pPr>
      <w:r w:rsidRPr="00A13F25">
        <w:rPr>
          <w:lang w:val="en-AU"/>
        </w:rPr>
        <w:t xml:space="preserve">“. . . noted that quite often the information given concerning article 6 has been limited to only one or other aspect of this right. </w:t>
      </w:r>
      <w:r w:rsidRPr="00A13F25">
        <w:rPr>
          <w:i/>
          <w:lang w:val="en-AU"/>
        </w:rPr>
        <w:t>It is a right which should not be interpreted narrowly</w:t>
      </w:r>
      <w:r w:rsidRPr="00A13F25">
        <w:rPr>
          <w:lang w:val="en-AU"/>
        </w:rPr>
        <w:t>.”</w:t>
      </w:r>
      <w:r w:rsidRPr="00A13F25">
        <w:rPr>
          <w:vertAlign w:val="superscript"/>
          <w:lang w:val="en-AU"/>
        </w:rPr>
        <w:footnoteReference w:id="134"/>
      </w:r>
      <w:r w:rsidRPr="00A13F25">
        <w:rPr>
          <w:lang w:val="en-AU"/>
        </w:rPr>
        <w:t xml:space="preserve"> And the “</w:t>
      </w:r>
      <w:r w:rsidRPr="00A13F25">
        <w:rPr>
          <w:i/>
          <w:lang w:val="en-AU"/>
        </w:rPr>
        <w:t>expression ‘inherent right to life’ cannot properly be understood in a restrictive manner</w:t>
      </w:r>
      <w:r w:rsidRPr="00A13F25">
        <w:rPr>
          <w:lang w:val="en-AU"/>
        </w:rPr>
        <w:t>, and the protection of this right requires that States adopt positive measures.”</w:t>
      </w:r>
      <w:r w:rsidRPr="00A13F25">
        <w:rPr>
          <w:vertAlign w:val="superscript"/>
          <w:lang w:val="en-AU"/>
        </w:rPr>
        <w:footnoteReference w:id="135"/>
      </w:r>
      <w:r w:rsidRPr="00A13F25">
        <w:rPr>
          <w:lang w:val="en-AU"/>
        </w:rPr>
        <w:t xml:space="preserve">  (Emphasis added.)</w:t>
      </w:r>
    </w:p>
    <w:p w14:paraId="6E559B12" w14:textId="77777777" w:rsidR="00A13F25" w:rsidRDefault="00A13F25" w:rsidP="00A13F25">
      <w:pPr>
        <w:jc w:val="both"/>
        <w:rPr>
          <w:lang w:val="en-AU"/>
        </w:rPr>
      </w:pPr>
    </w:p>
    <w:p w14:paraId="355093EC" w14:textId="77777777" w:rsidR="00A13F25" w:rsidRPr="00A13F25" w:rsidRDefault="00A13F25" w:rsidP="00A13F25">
      <w:pPr>
        <w:jc w:val="both"/>
        <w:rPr>
          <w:lang w:val="en-AU"/>
        </w:rPr>
      </w:pPr>
      <w:r w:rsidRPr="00A13F25">
        <w:rPr>
          <w:lang w:val="en-AU"/>
        </w:rPr>
        <w:t xml:space="preserve">That international law does envisage human rights protection for the unborn can be seen in the provision dealing with capital punishment in the </w:t>
      </w:r>
      <w:r w:rsidRPr="00A13F25">
        <w:rPr>
          <w:i/>
          <w:lang w:val="en-AU"/>
        </w:rPr>
        <w:t>International Covenant on Civil and Political Rights 1966</w:t>
      </w:r>
      <w:r w:rsidRPr="00A13F25">
        <w:rPr>
          <w:lang w:val="en-AU"/>
        </w:rPr>
        <w:t>:</w:t>
      </w:r>
    </w:p>
    <w:p w14:paraId="6F4785D8" w14:textId="77777777" w:rsidR="00A13F25" w:rsidRPr="00A13F25" w:rsidRDefault="00A13F25" w:rsidP="00A13F25">
      <w:pPr>
        <w:jc w:val="both"/>
        <w:rPr>
          <w:lang w:val="en-AU"/>
        </w:rPr>
      </w:pPr>
      <w:r w:rsidRPr="00A13F25">
        <w:rPr>
          <w:lang w:val="en-AU"/>
        </w:rPr>
        <w:t xml:space="preserve">Sentence of death shall not be imposed for crimes committed by persons </w:t>
      </w:r>
      <w:r w:rsidRPr="00A13F25">
        <w:rPr>
          <w:i/>
          <w:lang w:val="en-AU"/>
        </w:rPr>
        <w:t>below eighteen years of age</w:t>
      </w:r>
      <w:r w:rsidRPr="00A13F25">
        <w:rPr>
          <w:lang w:val="en-AU"/>
        </w:rPr>
        <w:t xml:space="preserve"> and </w:t>
      </w:r>
      <w:r w:rsidRPr="00A13F25">
        <w:rPr>
          <w:i/>
          <w:lang w:val="en-AU"/>
        </w:rPr>
        <w:t>shall not be carried out on pregnant women</w:t>
      </w:r>
      <w:r w:rsidRPr="00A13F25">
        <w:rPr>
          <w:lang w:val="en-AU"/>
        </w:rPr>
        <w:t>.</w:t>
      </w:r>
      <w:r w:rsidRPr="00A13F25">
        <w:rPr>
          <w:vertAlign w:val="superscript"/>
          <w:lang w:val="en-AU"/>
        </w:rPr>
        <w:footnoteReference w:id="136"/>
      </w:r>
      <w:r w:rsidRPr="00A13F25">
        <w:rPr>
          <w:lang w:val="en-AU"/>
        </w:rPr>
        <w:t xml:space="preserve"> (Emphasis added)</w:t>
      </w:r>
    </w:p>
    <w:p w14:paraId="25E6A9C1" w14:textId="77777777" w:rsidR="00A13F25" w:rsidRPr="00A13F25" w:rsidRDefault="00A13F25" w:rsidP="00A13F25">
      <w:pPr>
        <w:jc w:val="both"/>
        <w:rPr>
          <w:lang w:val="en-AU"/>
        </w:rPr>
      </w:pPr>
      <w:r w:rsidRPr="00A13F25">
        <w:rPr>
          <w:lang w:val="en-AU"/>
        </w:rPr>
        <w:t>In this provision, a state may execute a woman only when she is not pregnant.  The innocent are not to die along with the guilty.</w:t>
      </w:r>
      <w:r w:rsidRPr="00A13F25">
        <w:rPr>
          <w:vertAlign w:val="superscript"/>
          <w:lang w:val="en-AU"/>
        </w:rPr>
        <w:footnoteReference w:id="137"/>
      </w:r>
      <w:r w:rsidRPr="00A13F25">
        <w:rPr>
          <w:lang w:val="en-AU"/>
        </w:rPr>
        <w:t xml:space="preserve">  Indeed the </w:t>
      </w:r>
      <w:r w:rsidRPr="00A13F25">
        <w:rPr>
          <w:i/>
          <w:lang w:val="en-AU"/>
        </w:rPr>
        <w:t>travaux préparatoires</w:t>
      </w:r>
      <w:r w:rsidRPr="00A13F25">
        <w:rPr>
          <w:lang w:val="en-AU"/>
        </w:rPr>
        <w:t xml:space="preserve"> of the </w:t>
      </w:r>
      <w:r w:rsidRPr="00A13F25">
        <w:rPr>
          <w:i/>
          <w:lang w:val="en-AU"/>
        </w:rPr>
        <w:t>International Covenant on Civil and Political Rights 1966</w:t>
      </w:r>
      <w:r w:rsidRPr="00A13F25">
        <w:rPr>
          <w:lang w:val="en-AU"/>
        </w:rPr>
        <w:t xml:space="preserve"> makes this abundantly clear:</w:t>
      </w:r>
    </w:p>
    <w:p w14:paraId="1D0B1560" w14:textId="77777777" w:rsidR="00A13F25" w:rsidRPr="00A13F25" w:rsidRDefault="00A13F25" w:rsidP="00A13F25">
      <w:pPr>
        <w:jc w:val="both"/>
        <w:rPr>
          <w:lang w:val="en-AU"/>
        </w:rPr>
      </w:pPr>
      <w:r w:rsidRPr="00A13F25">
        <w:rPr>
          <w:lang w:val="en-AU"/>
        </w:rPr>
        <w:t>The principal reason for providing in paragraph 4 [now Article 6(5)]of the original text that the death sentence should not be carried out on pregnant women was to save the life of an innocent unborn child.</w:t>
      </w:r>
      <w:r w:rsidRPr="00A13F25">
        <w:rPr>
          <w:vertAlign w:val="superscript"/>
          <w:lang w:val="en-AU"/>
        </w:rPr>
        <w:footnoteReference w:id="138"/>
      </w:r>
    </w:p>
    <w:p w14:paraId="652AE917" w14:textId="77777777" w:rsidR="00A13F25" w:rsidRDefault="00A13F25" w:rsidP="00A13F25">
      <w:pPr>
        <w:jc w:val="both"/>
        <w:rPr>
          <w:lang w:val="en-AU"/>
        </w:rPr>
      </w:pPr>
    </w:p>
    <w:p w14:paraId="4D3FC98F" w14:textId="77777777" w:rsidR="00A13F25" w:rsidRPr="00A13F25" w:rsidRDefault="00A13F25" w:rsidP="00A13F25">
      <w:pPr>
        <w:jc w:val="both"/>
        <w:rPr>
          <w:lang w:val="en-AU"/>
        </w:rPr>
      </w:pPr>
      <w:r w:rsidRPr="00A13F25">
        <w:rPr>
          <w:lang w:val="en-AU"/>
        </w:rPr>
        <w:t>Here is an explicit recognition in international law that the human rights enjoyed by all other members of the human family are also to be enjoyed by the unborn.  This fundamentally humane principle was reflected in the common law in England and Australia when each country had the death penalty.</w:t>
      </w:r>
      <w:r w:rsidRPr="00A13F25">
        <w:rPr>
          <w:vertAlign w:val="superscript"/>
          <w:lang w:val="en-AU"/>
        </w:rPr>
        <w:footnoteReference w:id="139"/>
      </w:r>
      <w:r w:rsidRPr="00A13F25">
        <w:rPr>
          <w:lang w:val="en-AU"/>
        </w:rPr>
        <w:t xml:space="preserve">  Again, Duxbury and Ward make no reference to this provision.  If this account of international law is wrong then it behoves those who deny human rights to some human beings to deal with the provisions of international law that seem to be saying that the unborn do have human rights.</w:t>
      </w:r>
    </w:p>
    <w:p w14:paraId="3A3CF265" w14:textId="77777777" w:rsidR="00A13F25" w:rsidRDefault="00A13F25" w:rsidP="00A13F25">
      <w:pPr>
        <w:jc w:val="both"/>
        <w:rPr>
          <w:lang w:val="en-AU"/>
        </w:rPr>
      </w:pPr>
    </w:p>
    <w:p w14:paraId="232449F1" w14:textId="77777777" w:rsidR="00A13F25" w:rsidRPr="00A13F25" w:rsidRDefault="00A13F25" w:rsidP="00A13F25">
      <w:pPr>
        <w:jc w:val="both"/>
        <w:rPr>
          <w:lang w:val="en-AU"/>
        </w:rPr>
      </w:pPr>
      <w:r w:rsidRPr="00A13F25">
        <w:rPr>
          <w:lang w:val="en-AU"/>
        </w:rPr>
        <w:t xml:space="preserve">Abortion advocates, however, have asserted that when Article 1 of the </w:t>
      </w:r>
      <w:r w:rsidRPr="00A13F25">
        <w:rPr>
          <w:i/>
          <w:lang w:val="en-AU"/>
        </w:rPr>
        <w:t>Universal Declaration of Human Rights 1948</w:t>
      </w:r>
      <w:r w:rsidRPr="00A13F25">
        <w:rPr>
          <w:lang w:val="en-AU"/>
        </w:rPr>
        <w:t xml:space="preserve"> says that “all human beings are born free and equal in dignity and rights”, this means that “persons are recognized in international law, as human beings having been born.”</w:t>
      </w:r>
      <w:r w:rsidRPr="00A13F25">
        <w:rPr>
          <w:vertAlign w:val="superscript"/>
          <w:lang w:val="en-AU"/>
        </w:rPr>
        <w:footnoteReference w:id="140"/>
      </w:r>
      <w:r w:rsidRPr="00A13F25">
        <w:rPr>
          <w:lang w:val="en-AU"/>
        </w:rPr>
        <w:t xml:space="preserve">  This deduction is without merit in the light of the detailed arguments we have already adduced.  It cannot, in good faith, reasonably be deduced from Article 1, read in the context of the whole of the document and in the light of the Covenants which have further specified human rights, that unborn human beings are not persons with rights.  The natural meaning of the text, in the light of the other references in the relevant provisions of international law, is that human beings without distinction are born free and equal in dignity and rights because as members of the human family they have had that status from the beginning.  The interpretation offered by abortion advocates is about as helpful as deducing from a statement that a baby is born human that it was not human before birth.</w:t>
      </w:r>
    </w:p>
    <w:p w14:paraId="4F2BDAC4" w14:textId="77777777" w:rsidR="00A13F25" w:rsidRDefault="00A13F25" w:rsidP="00A13F25">
      <w:pPr>
        <w:jc w:val="both"/>
        <w:rPr>
          <w:lang w:val="en-AU"/>
        </w:rPr>
      </w:pPr>
    </w:p>
    <w:p w14:paraId="423577F8" w14:textId="77777777" w:rsidR="00A13F25" w:rsidRPr="00A13F25" w:rsidRDefault="00A13F25" w:rsidP="00A13F25">
      <w:pPr>
        <w:jc w:val="both"/>
        <w:rPr>
          <w:lang w:val="en-AU"/>
        </w:rPr>
      </w:pPr>
      <w:r w:rsidRPr="00A13F25">
        <w:rPr>
          <w:lang w:val="en-AU"/>
        </w:rPr>
        <w:t xml:space="preserve">Lastly, the use of abortion as a means of genocide is raised in the </w:t>
      </w:r>
      <w:r w:rsidRPr="00A13F25">
        <w:rPr>
          <w:i/>
          <w:lang w:val="en-AU"/>
        </w:rPr>
        <w:t>Convention on the Prevention and Punishment of the Crime of Genocide 1948</w:t>
      </w:r>
      <w:r w:rsidRPr="00A13F25">
        <w:rPr>
          <w:lang w:val="en-AU"/>
        </w:rPr>
        <w:t>.</w:t>
      </w:r>
      <w:r w:rsidRPr="00A13F25">
        <w:rPr>
          <w:vertAlign w:val="superscript"/>
          <w:lang w:val="en-AU"/>
        </w:rPr>
        <w:footnoteReference w:id="141"/>
      </w:r>
      <w:r w:rsidRPr="00A13F25">
        <w:rPr>
          <w:lang w:val="en-AU"/>
        </w:rPr>
        <w:t xml:space="preserve">  In Article II the Convention defines the “odious scourge”</w:t>
      </w:r>
      <w:r w:rsidRPr="00A13F25">
        <w:rPr>
          <w:vertAlign w:val="superscript"/>
          <w:lang w:val="en-AU"/>
        </w:rPr>
        <w:footnoteReference w:id="142"/>
      </w:r>
      <w:r w:rsidRPr="00A13F25">
        <w:rPr>
          <w:lang w:val="en-AU"/>
        </w:rPr>
        <w:t xml:space="preserve"> of genocide to include “killing members of the group” and “imposing measures intended to prevent births within the group.”</w:t>
      </w:r>
      <w:r w:rsidRPr="00A13F25">
        <w:rPr>
          <w:vertAlign w:val="superscript"/>
          <w:lang w:val="en-AU"/>
        </w:rPr>
        <w:footnoteReference w:id="143"/>
      </w:r>
      <w:r w:rsidRPr="00A13F25">
        <w:rPr>
          <w:lang w:val="en-AU"/>
        </w:rPr>
        <w:t xml:space="preserve">  The latter inclusion explicitly recognises the right to life of the unborn.  In the same article genocide is conceived in terms of an intention “to destroy, in whole or in part, a national, ethnical, racial or religious group”.  The question is, to what extent, if at all, does this apply to the practice of abortion in contemporary society?</w:t>
      </w:r>
    </w:p>
    <w:p w14:paraId="60747561" w14:textId="77777777" w:rsidR="00A13F25" w:rsidRDefault="00A13F25" w:rsidP="00A13F25">
      <w:pPr>
        <w:jc w:val="both"/>
        <w:rPr>
          <w:lang w:val="en-AU"/>
        </w:rPr>
      </w:pPr>
    </w:p>
    <w:p w14:paraId="184841A2" w14:textId="77777777" w:rsidR="00A13F25" w:rsidRPr="00A13F25" w:rsidRDefault="00A13F25" w:rsidP="00A13F25">
      <w:pPr>
        <w:jc w:val="both"/>
        <w:rPr>
          <w:lang w:val="en-AU"/>
        </w:rPr>
      </w:pPr>
      <w:r w:rsidRPr="00A13F25">
        <w:rPr>
          <w:lang w:val="en-AU"/>
        </w:rPr>
        <w:t xml:space="preserve">Much depends on what should be understood by the term “in whole or in part of a national group”. The moral justification most frequently advanced for abortion is that, as a group or category of human beings, the unborn are not persons and accordingly have no right to life to protect.  But, as we have already argued, the unborn are part of the human family.  And the human family is itself broken down into nation states or groups.  The unborn are, then, a sub-group of a national group.  If the unborn, contrary to Article 6 of the </w:t>
      </w:r>
      <w:r w:rsidRPr="00A13F25">
        <w:rPr>
          <w:i/>
          <w:lang w:val="en-AU"/>
        </w:rPr>
        <w:t>Universal Declaration of Human Rights 1948</w:t>
      </w:r>
      <w:r w:rsidRPr="00A13F25">
        <w:rPr>
          <w:lang w:val="en-AU"/>
        </w:rPr>
        <w:t xml:space="preserve"> and Articles 6 and 16 of the </w:t>
      </w:r>
      <w:r w:rsidRPr="00A13F25">
        <w:rPr>
          <w:i/>
          <w:lang w:val="en-AU"/>
        </w:rPr>
        <w:t>International Covenant on Civil and Political Rights 1966</w:t>
      </w:r>
      <w:r w:rsidRPr="00A13F25">
        <w:rPr>
          <w:lang w:val="en-AU"/>
        </w:rPr>
        <w:t>, are defined, as a group, as non-persons and therefore beyond moral and legal protection, does the crime of genocide apply to those countries that fail to give protection to that part of the national group?</w:t>
      </w:r>
    </w:p>
    <w:p w14:paraId="314826DF" w14:textId="77777777" w:rsidR="00C70A6D" w:rsidRDefault="00C70A6D" w:rsidP="00A13F25">
      <w:pPr>
        <w:jc w:val="both"/>
        <w:rPr>
          <w:lang w:val="en-AU"/>
        </w:rPr>
      </w:pPr>
    </w:p>
    <w:p w14:paraId="270AA3D8" w14:textId="77777777" w:rsidR="00A13F25" w:rsidRPr="00A13F25" w:rsidRDefault="00A13F25" w:rsidP="00A13F25">
      <w:pPr>
        <w:jc w:val="both"/>
        <w:rPr>
          <w:lang w:val="en-AU"/>
        </w:rPr>
      </w:pPr>
      <w:r w:rsidRPr="00A13F25">
        <w:rPr>
          <w:lang w:val="en-AU"/>
        </w:rPr>
        <w:t>Even more obviously, “disabled persons” are recognised in international law as a group which forms part of a nation.</w:t>
      </w:r>
      <w:r w:rsidRPr="00A13F25">
        <w:rPr>
          <w:vertAlign w:val="superscript"/>
          <w:lang w:val="en-AU"/>
        </w:rPr>
        <w:footnoteReference w:id="144"/>
      </w:r>
      <w:r w:rsidRPr="00A13F25">
        <w:rPr>
          <w:lang w:val="en-AU"/>
        </w:rPr>
        <w:t xml:space="preserve">  These persons “have the same civil and political rights as other human beings”</w:t>
      </w:r>
      <w:r w:rsidRPr="00A13F25">
        <w:rPr>
          <w:vertAlign w:val="superscript"/>
          <w:lang w:val="en-AU"/>
        </w:rPr>
        <w:footnoteReference w:id="145"/>
      </w:r>
      <w:r w:rsidRPr="00A13F25">
        <w:rPr>
          <w:lang w:val="en-AU"/>
        </w:rPr>
        <w:t xml:space="preserve"> and must be “protected against all exploitation, all regulations and all treatment of a discriminatory, abusive or degrading nature.”</w:t>
      </w:r>
      <w:r w:rsidRPr="00A13F25">
        <w:rPr>
          <w:vertAlign w:val="superscript"/>
          <w:lang w:val="en-AU"/>
        </w:rPr>
        <w:footnoteReference w:id="146"/>
      </w:r>
      <w:r w:rsidRPr="00A13F25">
        <w:rPr>
          <w:lang w:val="en-AU"/>
        </w:rPr>
        <w:t xml:space="preserve">  If it is legally permissible to end the life of unborn human beings with disabilities, and medical tests are routinely applied to pregnant women to discover any fetal abnormality, would this not amount to the crime of genocide against the disabled unborn?</w:t>
      </w:r>
    </w:p>
    <w:p w14:paraId="38081879" w14:textId="77777777" w:rsidR="00C70A6D" w:rsidRDefault="00C70A6D" w:rsidP="00A13F25">
      <w:pPr>
        <w:jc w:val="both"/>
        <w:rPr>
          <w:lang w:val="en-AU"/>
        </w:rPr>
      </w:pPr>
    </w:p>
    <w:p w14:paraId="5E3C4D97" w14:textId="77777777" w:rsidR="00A13F25" w:rsidRPr="00A13F25" w:rsidRDefault="00A13F25" w:rsidP="00A13F25">
      <w:pPr>
        <w:jc w:val="both"/>
        <w:rPr>
          <w:lang w:val="en-AU"/>
        </w:rPr>
      </w:pPr>
      <w:r w:rsidRPr="00A13F25">
        <w:rPr>
          <w:lang w:val="en-AU"/>
        </w:rPr>
        <w:t xml:space="preserve">The Genocide Convention speaks of “imposing measures intended to prevent births within the group.”  Does this mean that the Genocide Convention is limited only to cases where abortion is imposed </w:t>
      </w:r>
      <w:r w:rsidRPr="00A13F25">
        <w:rPr>
          <w:i/>
          <w:lang w:val="en-AU"/>
        </w:rPr>
        <w:t>on women</w:t>
      </w:r>
      <w:r w:rsidRPr="00A13F25">
        <w:rPr>
          <w:lang w:val="en-AU"/>
        </w:rPr>
        <w:t>?  The answer to this question is no.  Since the Genocide Convention defines genocide in terms of “killing members of the group”, since “measures intended to prevent births” clearly includes induced abortion, and since abortion involves the intentional killing of the unborn, then the Convention’s reference to “imposing measures” cannot be interpreted in a way that would limit its application to women who are forcibly aborted.  And in any case, the Convention’s definition of genocide includes “killing members of the group”. This is sufficient by itself to raise serious questions as to whether the practice of abortion is genocide.</w:t>
      </w:r>
    </w:p>
    <w:p w14:paraId="299F9D2B" w14:textId="77777777" w:rsidR="00C70A6D" w:rsidRDefault="00C70A6D" w:rsidP="00A13F25">
      <w:pPr>
        <w:jc w:val="both"/>
        <w:rPr>
          <w:lang w:val="en-AU"/>
        </w:rPr>
      </w:pPr>
    </w:p>
    <w:p w14:paraId="4A797591" w14:textId="77777777" w:rsidR="00A13F25" w:rsidRPr="00A13F25" w:rsidRDefault="00A13F25" w:rsidP="00A13F25">
      <w:pPr>
        <w:jc w:val="both"/>
        <w:rPr>
          <w:lang w:val="en-AU"/>
        </w:rPr>
      </w:pPr>
      <w:r w:rsidRPr="00A13F25">
        <w:rPr>
          <w:lang w:val="en-AU"/>
        </w:rPr>
        <w:t>What often makes a group vulnerable to genocide is the denial of human rights, precisely what has occurred to the unborn in Australia and in many other countries.</w:t>
      </w:r>
    </w:p>
    <w:p w14:paraId="30A0221B" w14:textId="77777777" w:rsidR="00A13F25" w:rsidRPr="00A13F25" w:rsidRDefault="00A13F25" w:rsidP="00A13F25">
      <w:pPr>
        <w:jc w:val="both"/>
        <w:rPr>
          <w:lang w:val="en-AU"/>
        </w:rPr>
      </w:pPr>
      <w:r w:rsidRPr="00A13F25">
        <w:rPr>
          <w:lang w:val="en-AU"/>
        </w:rPr>
        <w:t>The questions that supporters of legal abortion need to address, then, are these:  how is it not genocide to define some members of the human family as non-persons, thereby allowing them to be directly and intentionally killed by induced abortion?  How is it not genocide to legally prescribe and actively promote the induced abortion of human beings on the grounds of their actual or perceived disability?  If it could be shown that homosexuality was genetically influenced, and homosexuality was thought of as a disability, would the routine abortion of homosexuals be considered the crime of genocide against homosexuals?</w:t>
      </w:r>
    </w:p>
    <w:p w14:paraId="6B5D51D6" w14:textId="77777777" w:rsidR="00C70A6D" w:rsidRDefault="00C70A6D" w:rsidP="00A13F25">
      <w:pPr>
        <w:jc w:val="both"/>
        <w:rPr>
          <w:b/>
        </w:rPr>
      </w:pPr>
      <w:bookmarkStart w:id="13" w:name="_Toc392731563"/>
    </w:p>
    <w:p w14:paraId="0A4924E7" w14:textId="77777777" w:rsidR="00A13F25" w:rsidRPr="00A13F25" w:rsidRDefault="00A13F25" w:rsidP="00A13F25">
      <w:pPr>
        <w:jc w:val="both"/>
        <w:rPr>
          <w:b/>
        </w:rPr>
      </w:pPr>
      <w:r w:rsidRPr="00A13F25">
        <w:rPr>
          <w:b/>
        </w:rPr>
        <w:t>Conclusion</w:t>
      </w:r>
      <w:bookmarkEnd w:id="13"/>
    </w:p>
    <w:p w14:paraId="33196326" w14:textId="77777777" w:rsidR="00A13F25" w:rsidRPr="00A13F25" w:rsidRDefault="00A13F25" w:rsidP="00A13F25">
      <w:pPr>
        <w:jc w:val="both"/>
        <w:rPr>
          <w:lang w:val="en-AU"/>
        </w:rPr>
      </w:pPr>
      <w:r w:rsidRPr="00A13F25">
        <w:rPr>
          <w:lang w:val="en-AU"/>
        </w:rPr>
        <w:t>The member nations of the United Nations are committed to the promotion of “universal respect for, and observance of, human rights and fundamental freedoms for all without distinction as to race, sex, language, or religion”</w:t>
      </w:r>
      <w:r w:rsidRPr="00A13F25">
        <w:rPr>
          <w:vertAlign w:val="superscript"/>
          <w:lang w:val="en-AU"/>
        </w:rPr>
        <w:footnoteReference w:id="147"/>
      </w:r>
      <w:r w:rsidRPr="00A13F25">
        <w:rPr>
          <w:lang w:val="en-AU"/>
        </w:rPr>
        <w:t xml:space="preserve"> by way of a pledge.</w:t>
      </w:r>
    </w:p>
    <w:p w14:paraId="6FFD693E" w14:textId="77777777" w:rsidR="00A13F25" w:rsidRPr="00A13F25" w:rsidRDefault="00A13F25" w:rsidP="00A13F25">
      <w:pPr>
        <w:jc w:val="both"/>
        <w:rPr>
          <w:lang w:val="en-AU"/>
        </w:rPr>
      </w:pPr>
      <w:r w:rsidRPr="00A13F25">
        <w:rPr>
          <w:lang w:val="en-AU"/>
        </w:rPr>
        <w:t>All members pledge themselves to take joint and separate action in cooperation with the Organisation for the achievement of the purposes set forth in Article 55.</w:t>
      </w:r>
      <w:r w:rsidRPr="00A13F25">
        <w:rPr>
          <w:vertAlign w:val="superscript"/>
          <w:lang w:val="en-AU"/>
        </w:rPr>
        <w:footnoteReference w:id="148"/>
      </w:r>
    </w:p>
    <w:p w14:paraId="76196910" w14:textId="77777777" w:rsidR="00C70A6D" w:rsidRDefault="00C70A6D" w:rsidP="00A13F25">
      <w:pPr>
        <w:jc w:val="both"/>
        <w:rPr>
          <w:lang w:val="en-AU"/>
        </w:rPr>
      </w:pPr>
    </w:p>
    <w:p w14:paraId="67BB5174" w14:textId="77777777" w:rsidR="00A13F25" w:rsidRPr="00A13F25" w:rsidRDefault="00A13F25" w:rsidP="00A13F25">
      <w:pPr>
        <w:jc w:val="both"/>
        <w:rPr>
          <w:lang w:val="en-AU"/>
        </w:rPr>
      </w:pPr>
      <w:r w:rsidRPr="00A13F25">
        <w:rPr>
          <w:lang w:val="en-AU"/>
        </w:rPr>
        <w:t xml:space="preserve">What we have here is the idea of a </w:t>
      </w:r>
      <w:r w:rsidRPr="00A13F25">
        <w:rPr>
          <w:i/>
          <w:lang w:val="en-AU"/>
        </w:rPr>
        <w:t>consensus gentium</w:t>
      </w:r>
      <w:r w:rsidRPr="00A13F25">
        <w:rPr>
          <w:lang w:val="en-AU"/>
        </w:rPr>
        <w:t>, an agreement among the nations, consent to be bound by certain values expressed as human rights.  This doctrine of consent involves the idea that the “basis of obligation of all international law, and not merely of treaties, is the consent of States.”</w:t>
      </w:r>
      <w:r w:rsidRPr="00A13F25">
        <w:rPr>
          <w:vertAlign w:val="superscript"/>
          <w:lang w:val="en-AU"/>
        </w:rPr>
        <w:footnoteReference w:id="149"/>
      </w:r>
    </w:p>
    <w:p w14:paraId="47E0816D" w14:textId="77777777" w:rsidR="00C70A6D" w:rsidRDefault="00A13F25" w:rsidP="00A13F25">
      <w:pPr>
        <w:jc w:val="both"/>
        <w:rPr>
          <w:lang w:val="en-AU"/>
        </w:rPr>
      </w:pPr>
      <w:r w:rsidRPr="00A13F25">
        <w:rPr>
          <w:lang w:val="en-AU"/>
        </w:rPr>
        <w:t xml:space="preserve">Australia, like all the other nations of the world, has bound itself to membership of the United Nations, to the United Nations Charter, to the </w:t>
      </w:r>
      <w:r w:rsidRPr="00A13F25">
        <w:rPr>
          <w:i/>
          <w:lang w:val="en-AU"/>
        </w:rPr>
        <w:t>Universal Declaration of Human Rights 1948</w:t>
      </w:r>
      <w:r w:rsidRPr="00A13F25">
        <w:rPr>
          <w:lang w:val="en-AU"/>
        </w:rPr>
        <w:t xml:space="preserve">, the </w:t>
      </w:r>
      <w:r w:rsidRPr="00A13F25">
        <w:rPr>
          <w:i/>
          <w:lang w:val="en-AU"/>
        </w:rPr>
        <w:t xml:space="preserve">Convention on the Prevention and Punishment of the Crime of Genocide 1948, </w:t>
      </w:r>
      <w:r w:rsidRPr="00A13F25">
        <w:rPr>
          <w:lang w:val="en-AU"/>
        </w:rPr>
        <w:t xml:space="preserve">the </w:t>
      </w:r>
      <w:r w:rsidRPr="00A13F25">
        <w:rPr>
          <w:i/>
          <w:lang w:val="en-AU"/>
        </w:rPr>
        <w:t>International Covenant on Civil and Political Rights 1966</w:t>
      </w:r>
      <w:r w:rsidRPr="00A13F25">
        <w:rPr>
          <w:lang w:val="en-AU"/>
        </w:rPr>
        <w:t xml:space="preserve">, the </w:t>
      </w:r>
      <w:r w:rsidRPr="00A13F25">
        <w:rPr>
          <w:i/>
          <w:lang w:val="en-AU"/>
        </w:rPr>
        <w:t>Convention on the Rights of the Child 1989</w:t>
      </w:r>
      <w:r w:rsidRPr="00A13F25">
        <w:rPr>
          <w:lang w:val="en-AU"/>
        </w:rPr>
        <w:t xml:space="preserve">, and the </w:t>
      </w:r>
      <w:r w:rsidRPr="00A13F25">
        <w:rPr>
          <w:i/>
          <w:lang w:val="en-AU"/>
        </w:rPr>
        <w:t>Declaration of the Rights of the Child 1959</w:t>
      </w:r>
      <w:r w:rsidRPr="00A13F25">
        <w:rPr>
          <w:lang w:val="en-AU"/>
        </w:rPr>
        <w:t xml:space="preserve">.  </w:t>
      </w:r>
    </w:p>
    <w:p w14:paraId="348D94E2" w14:textId="77777777" w:rsidR="00C70A6D" w:rsidRDefault="00C70A6D" w:rsidP="00A13F25">
      <w:pPr>
        <w:jc w:val="both"/>
        <w:rPr>
          <w:lang w:val="en-AU"/>
        </w:rPr>
      </w:pPr>
    </w:p>
    <w:p w14:paraId="1830B891" w14:textId="0AD1FAC2" w:rsidR="00A13F25" w:rsidRPr="00A13F25" w:rsidRDefault="00A13F25" w:rsidP="00A13F25">
      <w:pPr>
        <w:jc w:val="both"/>
        <w:rPr>
          <w:lang w:val="en-AU"/>
        </w:rPr>
      </w:pPr>
      <w:r w:rsidRPr="00A13F25">
        <w:rPr>
          <w:b/>
          <w:lang w:val="en-AU"/>
        </w:rPr>
        <w:t>These documents contain strong commitments to the protection of human rights of all without any distinction whatsoever.</w:t>
      </w:r>
      <w:r w:rsidRPr="00A13F25">
        <w:rPr>
          <w:lang w:val="en-AU"/>
        </w:rPr>
        <w:t xml:space="preserve">  Discrimination because of age, personhood, status and disability are all examples of unjust discrimination, including when they are applied to unborn children.</w:t>
      </w:r>
    </w:p>
    <w:p w14:paraId="3695629E" w14:textId="77777777" w:rsidR="00C70A6D" w:rsidRDefault="00C70A6D" w:rsidP="00A13F25">
      <w:pPr>
        <w:jc w:val="both"/>
        <w:rPr>
          <w:lang w:val="en-AU"/>
        </w:rPr>
      </w:pPr>
    </w:p>
    <w:p w14:paraId="20255BF5" w14:textId="77777777" w:rsidR="00A13F25" w:rsidRPr="00A13F25" w:rsidRDefault="00A13F25" w:rsidP="00A13F25">
      <w:pPr>
        <w:jc w:val="both"/>
        <w:rPr>
          <w:lang w:val="en-AU"/>
        </w:rPr>
      </w:pPr>
      <w:r w:rsidRPr="00A13F25">
        <w:rPr>
          <w:lang w:val="en-AU"/>
        </w:rPr>
        <w:t>There are, of course other important obligations under international law which, as we have already suggested, will influence municipal law in many other areas of the law.  However, it is hard to imagine a more neglected area of human rights discussion, from the perspective of international law, than the rights of the unborn.</w:t>
      </w:r>
    </w:p>
    <w:p w14:paraId="1BF509F0" w14:textId="77777777" w:rsidR="00C70A6D" w:rsidRDefault="00C70A6D" w:rsidP="00A13F25">
      <w:pPr>
        <w:jc w:val="both"/>
        <w:rPr>
          <w:lang w:val="en-AU"/>
        </w:rPr>
      </w:pPr>
    </w:p>
    <w:p w14:paraId="54459234" w14:textId="77777777" w:rsidR="00A13F25" w:rsidRPr="00A13F25" w:rsidRDefault="00A13F25" w:rsidP="00A13F25">
      <w:pPr>
        <w:jc w:val="both"/>
        <w:rPr>
          <w:lang w:val="en-AU"/>
        </w:rPr>
      </w:pPr>
      <w:r w:rsidRPr="00A13F25">
        <w:rPr>
          <w:lang w:val="en-AU"/>
        </w:rPr>
        <w:t>What I find particularly disappointing is the signal failure of the academy to honestly come to grips with and deal with the arguments set out in this chapter.  The paper was originally published nearly 10 years ago in a reputable journal but there seems to have been little reaction to its findings.  It seems that people want to read documents through the prism of their own ideological commitments or, worse, simply ignore passages which seem to challenge popular pro-choice rhetoric.</w:t>
      </w:r>
    </w:p>
    <w:p w14:paraId="228AFB0E" w14:textId="77777777" w:rsidR="00C70A6D" w:rsidRDefault="00C70A6D" w:rsidP="00A13F25">
      <w:pPr>
        <w:jc w:val="both"/>
        <w:rPr>
          <w:lang w:val="en-AU"/>
        </w:rPr>
      </w:pPr>
    </w:p>
    <w:p w14:paraId="0C06CAAE" w14:textId="77777777" w:rsidR="00A13F25" w:rsidRPr="00A13F25" w:rsidRDefault="00A13F25" w:rsidP="00A13F25">
      <w:pPr>
        <w:jc w:val="both"/>
        <w:rPr>
          <w:lang w:val="en-AU"/>
        </w:rPr>
      </w:pPr>
      <w:r w:rsidRPr="00A13F25">
        <w:rPr>
          <w:lang w:val="en-AU"/>
        </w:rPr>
        <w:t>For too long nations, committees of inquiry, and academics failed to discuss these issues which they are obliged to discuss and taking full account of the provisions which challenge the widespread discrimination against the unborn.  Any domestic cases involving the unborn including abortion, succession, medical negligence or the criminal law must have regard to our obligations under international law.  Put succinctly, there is a case to be heard for the unborn based on Australia’s existing human rights obligations, obligations which apply to all member states of the United Nations. Now is the time to adjust practice to principle rather than continuing to compromise principles to bring “principle” into line with practice.</w:t>
      </w:r>
    </w:p>
    <w:p w14:paraId="2F663BB3" w14:textId="77777777" w:rsidR="003B37FC" w:rsidRDefault="003B37FC" w:rsidP="005263C6">
      <w:pPr>
        <w:jc w:val="both"/>
      </w:pPr>
    </w:p>
    <w:p w14:paraId="3526C23D" w14:textId="77777777" w:rsidR="005263C6" w:rsidRDefault="005263C6" w:rsidP="005263C6">
      <w:pPr>
        <w:jc w:val="both"/>
      </w:pPr>
    </w:p>
    <w:p w14:paraId="4A44005C" w14:textId="77777777" w:rsidR="005263C6" w:rsidRDefault="005263C6" w:rsidP="005263C6">
      <w:pPr>
        <w:jc w:val="both"/>
      </w:pPr>
    </w:p>
    <w:p w14:paraId="61C4D313" w14:textId="77777777" w:rsidR="005263C6" w:rsidRDefault="005263C6" w:rsidP="005263C6">
      <w:pPr>
        <w:jc w:val="both"/>
      </w:pPr>
    </w:p>
    <w:p w14:paraId="435B4BC0" w14:textId="77777777" w:rsidR="00384257" w:rsidRPr="002A4908" w:rsidRDefault="00384257" w:rsidP="002A4908">
      <w:pPr>
        <w:jc w:val="both"/>
      </w:pPr>
    </w:p>
    <w:p w14:paraId="3CF459D2" w14:textId="77777777" w:rsidR="00F16C44" w:rsidRPr="002A4908" w:rsidRDefault="00F16C44" w:rsidP="002A4908">
      <w:pPr>
        <w:jc w:val="both"/>
        <w:rPr>
          <w:lang w:val="en-US"/>
        </w:rPr>
      </w:pPr>
    </w:p>
    <w:p w14:paraId="0526A449" w14:textId="77777777" w:rsidR="00CC003B" w:rsidRPr="002A4908" w:rsidRDefault="00CC003B" w:rsidP="002A4908">
      <w:pPr>
        <w:pStyle w:val="BodyText"/>
        <w:jc w:val="both"/>
        <w:rPr>
          <w:rFonts w:ascii="Times New Roman" w:hAnsi="Times New Roman"/>
        </w:rPr>
      </w:pPr>
    </w:p>
    <w:p w14:paraId="72E10F9D" w14:textId="77777777" w:rsidR="00D4430D" w:rsidRPr="002A4908" w:rsidRDefault="00D4430D" w:rsidP="002A4908">
      <w:pPr>
        <w:jc w:val="both"/>
      </w:pPr>
    </w:p>
    <w:sectPr w:rsidR="00D4430D" w:rsidRPr="002A4908" w:rsidSect="003B37FC">
      <w:footerReference w:type="even" r:id="rId9"/>
      <w:footerReference w:type="default" r:id="rId10"/>
      <w:footnotePr>
        <w:numFmt w:val="lowerRoman"/>
      </w:footnotePr>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1554C" w14:textId="77777777" w:rsidR="00CE5F49" w:rsidRDefault="00CE5F49">
      <w:r>
        <w:separator/>
      </w:r>
    </w:p>
  </w:endnote>
  <w:endnote w:type="continuationSeparator" w:id="0">
    <w:p w14:paraId="078FCF21" w14:textId="77777777" w:rsidR="00CE5F49" w:rsidRDefault="00CE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_PC">
    <w:altName w:val="Courier"/>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3503A" w14:textId="77777777" w:rsidR="00CE5F49" w:rsidRDefault="00CE5F49" w:rsidP="00CE5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F8D22A" w14:textId="77777777" w:rsidR="00CE5F49" w:rsidRDefault="00CE5F49" w:rsidP="00CE5F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653D9" w14:textId="77777777" w:rsidR="00CE5F49" w:rsidRDefault="00CE5F49" w:rsidP="00CE5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A48">
      <w:rPr>
        <w:rStyle w:val="PageNumber"/>
        <w:noProof/>
      </w:rPr>
      <w:t>1</w:t>
    </w:r>
    <w:r>
      <w:rPr>
        <w:rStyle w:val="PageNumber"/>
      </w:rPr>
      <w:fldChar w:fldCharType="end"/>
    </w:r>
  </w:p>
  <w:p w14:paraId="6F80E88D" w14:textId="77777777" w:rsidR="00CE5F49" w:rsidRDefault="00CE5F49" w:rsidP="00CE5F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0FC30" w14:textId="77777777" w:rsidR="00CE5F49" w:rsidRDefault="00CE5F49">
      <w:r>
        <w:separator/>
      </w:r>
    </w:p>
  </w:footnote>
  <w:footnote w:type="continuationSeparator" w:id="0">
    <w:p w14:paraId="5724B0CC" w14:textId="77777777" w:rsidR="00CE5F49" w:rsidRDefault="00CE5F49">
      <w:r>
        <w:continuationSeparator/>
      </w:r>
    </w:p>
  </w:footnote>
  <w:footnote w:id="1">
    <w:p w14:paraId="7C1E0A5B" w14:textId="7FF88E18" w:rsidR="00CE5F49" w:rsidRPr="0069456C" w:rsidRDefault="00CE5F49" w:rsidP="0069456C">
      <w:pPr>
        <w:pStyle w:val="FootnoteText"/>
      </w:pPr>
      <w:r>
        <w:rPr>
          <w:rStyle w:val="FootnoteReference"/>
        </w:rPr>
        <w:footnoteRef/>
      </w:r>
      <w:r>
        <w:t xml:space="preserve"> </w:t>
      </w:r>
      <w:r w:rsidRPr="0069456C">
        <w:t xml:space="preserve">Whereas recognition of the inherent dignity and of the equal and inalienable rights of all members of the human family is the foundation of freedom, justice and peace in the world, </w:t>
      </w:r>
      <w:r>
        <w:t>(</w:t>
      </w:r>
      <w:r w:rsidRPr="0069456C">
        <w:t>Universal Declaration preamble</w:t>
      </w:r>
      <w:r>
        <w:t>)</w:t>
      </w:r>
    </w:p>
    <w:p w14:paraId="7D5E4A72" w14:textId="2DC8FAEC" w:rsidR="00CE5F49" w:rsidRPr="0069456C" w:rsidRDefault="00CE5F49">
      <w:pPr>
        <w:pStyle w:val="FootnoteText"/>
        <w:rPr>
          <w:lang w:val="en-US"/>
        </w:rPr>
      </w:pPr>
    </w:p>
  </w:footnote>
  <w:footnote w:id="2">
    <w:p w14:paraId="45314560" w14:textId="26EC7CD4" w:rsidR="00CE5F49" w:rsidRPr="0069456C" w:rsidRDefault="00CE5F49">
      <w:pPr>
        <w:pStyle w:val="FootnoteText"/>
        <w:rPr>
          <w:lang w:val="en-US"/>
        </w:rPr>
      </w:pPr>
      <w:r>
        <w:rPr>
          <w:rStyle w:val="FootnoteReference"/>
        </w:rPr>
        <w:footnoteRef/>
      </w:r>
      <w:r>
        <w:t xml:space="preserve"> </w:t>
      </w:r>
      <w:r w:rsidRPr="0069456C">
        <w:t>"Everyone has the right to life, liberty and security of person."  (Universal Declaration, Article 3)</w:t>
      </w:r>
    </w:p>
  </w:footnote>
  <w:footnote w:id="3">
    <w:p w14:paraId="139E051F" w14:textId="0EB7FE2E" w:rsidR="00CE5F49" w:rsidRPr="0069456C" w:rsidRDefault="00CE5F49" w:rsidP="0069456C">
      <w:pPr>
        <w:pStyle w:val="FootnoteText"/>
      </w:pPr>
      <w:r>
        <w:rPr>
          <w:rStyle w:val="FootnoteReference"/>
        </w:rPr>
        <w:footnoteRef/>
      </w:r>
      <w:r>
        <w:t xml:space="preserve"> </w:t>
      </w:r>
      <w:r w:rsidRPr="0069456C">
        <w:t>"Every human being has the</w:t>
      </w:r>
      <w:r w:rsidRPr="0069456C">
        <w:rPr>
          <w:b/>
        </w:rPr>
        <w:t xml:space="preserve"> </w:t>
      </w:r>
      <w:r w:rsidRPr="0069456C">
        <w:t>inherent right to life</w:t>
      </w:r>
      <w:r w:rsidRPr="0069456C">
        <w:rPr>
          <w:b/>
        </w:rPr>
        <w:t xml:space="preserve">. </w:t>
      </w:r>
      <w:r w:rsidRPr="0069456C">
        <w:t xml:space="preserve">This right shall be protected by law. No one shall be arbitrarily deprived of his life."  </w:t>
      </w:r>
      <w:r>
        <w:t>(</w:t>
      </w:r>
      <w:r w:rsidRPr="0069456C">
        <w:t>ICCPR, Article 6-1</w:t>
      </w:r>
      <w:r>
        <w:t>)</w:t>
      </w:r>
    </w:p>
    <w:p w14:paraId="196377CC" w14:textId="0E4BDDD0" w:rsidR="00CE5F49" w:rsidRPr="0069456C" w:rsidRDefault="00CE5F49">
      <w:pPr>
        <w:pStyle w:val="FootnoteText"/>
        <w:rPr>
          <w:lang w:val="en-US"/>
        </w:rPr>
      </w:pPr>
    </w:p>
  </w:footnote>
  <w:footnote w:id="4">
    <w:p w14:paraId="7269A146" w14:textId="65E5E102" w:rsidR="00CE5F49" w:rsidRPr="009E1FFD" w:rsidRDefault="00CE5F49" w:rsidP="009E1FFD">
      <w:pPr>
        <w:pStyle w:val="FootnoteText"/>
        <w:rPr>
          <w:lang w:val="en-IE"/>
        </w:rPr>
      </w:pPr>
      <w:r>
        <w:rPr>
          <w:rStyle w:val="FootnoteReference"/>
        </w:rPr>
        <w:footnoteRef/>
      </w:r>
      <w:r>
        <w:t xml:space="preserve"> </w:t>
      </w:r>
      <w:r w:rsidRPr="009E1FFD">
        <w:rPr>
          <w:lang w:val="en-IE"/>
        </w:rPr>
        <w:t xml:space="preserve">‘ Everyone is entitled to all the rights and freedoms set forth in this Declaration, without distinction of any kind, such as race, colour, sex, language, religion, political or other opinion, national or social origin, property, birth or other status.’ </w:t>
      </w:r>
      <w:r>
        <w:rPr>
          <w:lang w:val="en-IE"/>
        </w:rPr>
        <w:t>(</w:t>
      </w:r>
      <w:r w:rsidRPr="009E1FFD">
        <w:rPr>
          <w:lang w:val="en-IE"/>
        </w:rPr>
        <w:t>Universal Declaration Article 2, ICCPR Article 2 (1) CRC Article2.1</w:t>
      </w:r>
      <w:r>
        <w:rPr>
          <w:lang w:val="en-IE"/>
        </w:rPr>
        <w:t>)</w:t>
      </w:r>
    </w:p>
    <w:p w14:paraId="1BC4AB85" w14:textId="66E4CBC1" w:rsidR="00CE5F49" w:rsidRPr="009E1FFD" w:rsidRDefault="00CE5F49">
      <w:pPr>
        <w:pStyle w:val="FootnoteText"/>
        <w:rPr>
          <w:lang w:val="en-US"/>
        </w:rPr>
      </w:pPr>
    </w:p>
  </w:footnote>
  <w:footnote w:id="5">
    <w:p w14:paraId="5CBE27EA" w14:textId="45BA3D02" w:rsidR="00CE5F49" w:rsidRPr="0085538E" w:rsidRDefault="00CE5F49" w:rsidP="0085538E">
      <w:pPr>
        <w:pStyle w:val="FootnoteText"/>
      </w:pPr>
      <w:r>
        <w:rPr>
          <w:rStyle w:val="FootnoteReference"/>
        </w:rPr>
        <w:footnoteRef/>
      </w:r>
      <w:r>
        <w:t xml:space="preserve"> </w:t>
      </w:r>
      <w:r w:rsidRPr="0085538E">
        <w:t>Universal Declarat</w:t>
      </w:r>
      <w:r>
        <w:t>ion Article 6, ICCPR Article 16</w:t>
      </w:r>
    </w:p>
    <w:p w14:paraId="0A590561" w14:textId="11FE1D7E" w:rsidR="00CE5F49" w:rsidRPr="0085538E" w:rsidRDefault="00CE5F49">
      <w:pPr>
        <w:pStyle w:val="FootnoteText"/>
        <w:rPr>
          <w:lang w:val="en-US"/>
        </w:rPr>
      </w:pPr>
    </w:p>
  </w:footnote>
  <w:footnote w:id="6">
    <w:p w14:paraId="276E0320" w14:textId="36A3DD62" w:rsidR="00CE5F49" w:rsidRPr="0085538E" w:rsidRDefault="00CE5F49">
      <w:pPr>
        <w:pStyle w:val="FootnoteText"/>
        <w:rPr>
          <w:lang w:val="en-US"/>
        </w:rPr>
      </w:pPr>
      <w:r>
        <w:rPr>
          <w:rStyle w:val="FootnoteReference"/>
        </w:rPr>
        <w:footnoteRef/>
      </w:r>
      <w:r>
        <w:t xml:space="preserve"> </w:t>
      </w:r>
      <w:r w:rsidRPr="0085538E">
        <w:rPr>
          <w:lang w:val="en-IE"/>
        </w:rPr>
        <w:t>‘All are equal before the law and are entitled without any discrimination to equal protection of the law’. (</w:t>
      </w:r>
      <w:r>
        <w:rPr>
          <w:lang w:val="en-IE"/>
        </w:rPr>
        <w:t>Universal Declaration Article 7</w:t>
      </w:r>
      <w:r w:rsidRPr="0085538E">
        <w:rPr>
          <w:lang w:val="en-IE"/>
        </w:rPr>
        <w:t>, ICCPR Article</w:t>
      </w:r>
      <w:r>
        <w:rPr>
          <w:lang w:val="en-IE"/>
        </w:rPr>
        <w:t xml:space="preserve"> </w:t>
      </w:r>
      <w:r w:rsidRPr="0085538E">
        <w:rPr>
          <w:lang w:val="en-IE"/>
        </w:rPr>
        <w:t>26</w:t>
      </w:r>
      <w:r>
        <w:rPr>
          <w:lang w:val="en-IE"/>
        </w:rPr>
        <w:t>)</w:t>
      </w:r>
    </w:p>
  </w:footnote>
  <w:footnote w:id="7">
    <w:p w14:paraId="0A8CDA22" w14:textId="42CCDD79" w:rsidR="00CE5F49" w:rsidRPr="0085538E" w:rsidRDefault="00CE5F49">
      <w:pPr>
        <w:pStyle w:val="FootnoteText"/>
        <w:rPr>
          <w:lang w:val="en-US"/>
        </w:rPr>
      </w:pPr>
      <w:r>
        <w:rPr>
          <w:rStyle w:val="FootnoteReference"/>
        </w:rPr>
        <w:footnoteRef/>
      </w:r>
      <w:r>
        <w:t xml:space="preserve"> </w:t>
      </w:r>
      <w:r w:rsidRPr="0085538E">
        <w:rPr>
          <w:lang w:val="en-IE"/>
        </w:rPr>
        <w:t>‘The child, by reason of his physical and mental immaturity, needs special safeguards and care, including appropriate legal protection, before as well as after birth ( Declaration on the Rights of the Child, General Assembly resolution 1386(xiv), 20 Nov 1959) also quoted in CRC preamble, ICCPR Article 6.5, forbidding execution of a pregnant woman, ICESCR Article 10.2)</w:t>
      </w:r>
    </w:p>
  </w:footnote>
  <w:footnote w:id="8">
    <w:p w14:paraId="219B15BB" w14:textId="2C67A64C" w:rsidR="00CE5F49" w:rsidRPr="0085538E" w:rsidRDefault="00CE5F49">
      <w:pPr>
        <w:pStyle w:val="FootnoteText"/>
        <w:rPr>
          <w:lang w:val="en-US"/>
        </w:rPr>
      </w:pPr>
      <w:r>
        <w:rPr>
          <w:rStyle w:val="FootnoteReference"/>
        </w:rPr>
        <w:footnoteRef/>
      </w:r>
      <w:r>
        <w:t xml:space="preserve"> </w:t>
      </w:r>
      <w:r w:rsidRPr="0085538E">
        <w:rPr>
          <w:lang w:val="en-IE"/>
        </w:rPr>
        <w:t>Declaration on the Rights of the Child, General Assembly resolution 1386(xiv), 20 Nov 1959</w:t>
      </w:r>
    </w:p>
  </w:footnote>
  <w:footnote w:id="9">
    <w:p w14:paraId="378588D2" w14:textId="34B98D1F" w:rsidR="00CE5F49" w:rsidRPr="001F1D4D" w:rsidRDefault="00CE5F49" w:rsidP="001F1D4D">
      <w:pPr>
        <w:pStyle w:val="FootnoteText"/>
      </w:pPr>
      <w:r>
        <w:rPr>
          <w:rStyle w:val="FootnoteReference"/>
        </w:rPr>
        <w:footnoteRef/>
      </w:r>
      <w:r>
        <w:t xml:space="preserve"> </w:t>
      </w:r>
      <w:r w:rsidRPr="001F1D4D">
        <w:t>‘States Parties recognize that every child has the inherent right to life’</w:t>
      </w:r>
      <w:r w:rsidRPr="001F1D4D">
        <w:rPr>
          <w:b/>
        </w:rPr>
        <w:t>.</w:t>
      </w:r>
      <w:r>
        <w:t xml:space="preserve"> </w:t>
      </w:r>
      <w:r w:rsidRPr="001F1D4D">
        <w:t>(CRC Preamble CRC Article 6.1 ICCPR Article 6.1&amp;6.5)</w:t>
      </w:r>
    </w:p>
    <w:p w14:paraId="2773D723" w14:textId="0444F631" w:rsidR="00CE5F49" w:rsidRPr="001F1D4D" w:rsidRDefault="00CE5F49">
      <w:pPr>
        <w:pStyle w:val="FootnoteText"/>
        <w:rPr>
          <w:lang w:val="en-US"/>
        </w:rPr>
      </w:pPr>
    </w:p>
  </w:footnote>
  <w:footnote w:id="10">
    <w:p w14:paraId="7D51204C" w14:textId="37A978B0" w:rsidR="00CE5F49" w:rsidRPr="001F1D4D" w:rsidRDefault="00CE5F49">
      <w:pPr>
        <w:pStyle w:val="FootnoteText"/>
        <w:rPr>
          <w:lang w:val="en-US"/>
        </w:rPr>
      </w:pPr>
      <w:r>
        <w:rPr>
          <w:rStyle w:val="FootnoteReference"/>
        </w:rPr>
        <w:footnoteRef/>
      </w:r>
      <w:r>
        <w:t xml:space="preserve"> </w:t>
      </w:r>
      <w:r w:rsidRPr="001F1D4D">
        <w:rPr>
          <w:lang w:val="en-IE"/>
        </w:rPr>
        <w:t>‘The child, by reason of his physical and mental immaturity, needs special safeguards and care, including appropriate legal protection, before as well as after birth ( Declaration on the Rights of the Child, General Assembly resolution 1386(xiv), 20 Nov 1959) also quoted in CRC preamble, ICCPR Article 6.5, forbidding execution of a pregnant woman, ICESCR Article 10.2)</w:t>
      </w:r>
    </w:p>
  </w:footnote>
  <w:footnote w:id="11">
    <w:p w14:paraId="79796697" w14:textId="6CB42CCA" w:rsidR="00CE5F49" w:rsidRPr="001F1D4D" w:rsidRDefault="00CE5F49">
      <w:pPr>
        <w:pStyle w:val="FootnoteText"/>
        <w:rPr>
          <w:lang w:val="en-US"/>
        </w:rPr>
      </w:pPr>
      <w:r>
        <w:rPr>
          <w:rStyle w:val="FootnoteReference"/>
        </w:rPr>
        <w:footnoteRef/>
      </w:r>
      <w:r>
        <w:t xml:space="preserve"> </w:t>
      </w:r>
      <w:r w:rsidRPr="001F1D4D">
        <w:rPr>
          <w:lang w:val="en-IE"/>
        </w:rPr>
        <w:t>(Universal Declaration Article 2, ICCPR Article 2.1, ICESCR Article 2.1, CRC Preamble &amp; Article 2.2)</w:t>
      </w:r>
    </w:p>
  </w:footnote>
  <w:footnote w:id="12">
    <w:p w14:paraId="0F826784" w14:textId="77777777" w:rsidR="00CE5F49" w:rsidRPr="001F1D4D" w:rsidRDefault="00CE5F49" w:rsidP="001F1D4D">
      <w:pPr>
        <w:pStyle w:val="FootnoteText"/>
      </w:pPr>
      <w:r>
        <w:rPr>
          <w:rStyle w:val="FootnoteReference"/>
        </w:rPr>
        <w:footnoteRef/>
      </w:r>
      <w:r>
        <w:t xml:space="preserve"> </w:t>
      </w:r>
      <w:r w:rsidRPr="001F1D4D">
        <w:t>(Universal Declaration Article 5, ICCPR Article 7, CRC Preamble &amp; Article 37)</w:t>
      </w:r>
    </w:p>
    <w:p w14:paraId="4C0B7DC6" w14:textId="3BF3B563" w:rsidR="00CE5F49" w:rsidRPr="001F1D4D" w:rsidRDefault="00CE5F49">
      <w:pPr>
        <w:pStyle w:val="FootnoteText"/>
        <w:rPr>
          <w:lang w:val="en-US"/>
        </w:rPr>
      </w:pPr>
    </w:p>
  </w:footnote>
  <w:footnote w:id="13">
    <w:p w14:paraId="55DB669E" w14:textId="77777777" w:rsidR="00CE5F49" w:rsidRPr="000A4739" w:rsidRDefault="00CE5F49" w:rsidP="0063531D">
      <w:pPr>
        <w:pStyle w:val="FootnoteText"/>
      </w:pPr>
      <w:r>
        <w:rPr>
          <w:rStyle w:val="FootnoteReference"/>
        </w:rPr>
        <w:footnoteRef/>
      </w:r>
      <w:r>
        <w:t xml:space="preserve"> </w:t>
      </w:r>
      <w:r>
        <w:rPr>
          <w:i/>
        </w:rPr>
        <w:t>Cf.</w:t>
      </w:r>
      <w:r>
        <w:t xml:space="preserve"> UN Charter art. 2(7) (“Nothing contained in the present charter shall allow the United Nations to intervene in matters which are essentially within the domestic jurisdiction of any state.”).</w:t>
      </w:r>
    </w:p>
  </w:footnote>
  <w:footnote w:id="14">
    <w:p w14:paraId="5CFCAB7D" w14:textId="77777777" w:rsidR="00CE5F49" w:rsidRPr="00EF5D61" w:rsidRDefault="00CE5F49" w:rsidP="0063531D">
      <w:pPr>
        <w:pStyle w:val="FootnoteText"/>
        <w:rPr>
          <w:szCs w:val="22"/>
        </w:rPr>
      </w:pPr>
      <w:r w:rsidRPr="00EF5D61">
        <w:rPr>
          <w:rStyle w:val="FootnoteReference"/>
          <w:szCs w:val="22"/>
        </w:rPr>
        <w:footnoteRef/>
      </w:r>
      <w:r w:rsidRPr="00EF5D61">
        <w:rPr>
          <w:szCs w:val="22"/>
        </w:rPr>
        <w:t xml:space="preserve"> As evidenced by the contractual language used to describe states in Article 2 of the VCLT.  Vienna Convention on the Law of Treaties, 1155 U.N.T.S. 331, 8 I.L.M. 679, </w:t>
      </w:r>
      <w:r w:rsidRPr="00EF5D61">
        <w:rPr>
          <w:i/>
          <w:iCs/>
          <w:szCs w:val="22"/>
        </w:rPr>
        <w:t xml:space="preserve">available at </w:t>
      </w:r>
      <w:r w:rsidRPr="00EF5D61">
        <w:rPr>
          <w:szCs w:val="22"/>
        </w:rPr>
        <w:t>http://untreaty.un.org/ilc/texts/instruments/english/conventions/1_1_1969.pdf.</w:t>
      </w:r>
    </w:p>
  </w:footnote>
  <w:footnote w:id="15">
    <w:p w14:paraId="644BD06C" w14:textId="02DAFC03" w:rsidR="00CE5F49" w:rsidRPr="00EF5D61" w:rsidRDefault="00CE5F49" w:rsidP="0063531D">
      <w:pPr>
        <w:pStyle w:val="NoSpacing"/>
        <w:rPr>
          <w:rFonts w:ascii="Times New Roman" w:hAnsi="Times New Roman"/>
          <w:sz w:val="20"/>
        </w:rPr>
      </w:pPr>
      <w:r w:rsidRPr="00EF5D61">
        <w:rPr>
          <w:rStyle w:val="FootnoteReference"/>
          <w:rFonts w:ascii="Times New Roman" w:hAnsi="Times New Roman"/>
          <w:sz w:val="20"/>
        </w:rPr>
        <w:footnoteRef/>
      </w:r>
      <w:r w:rsidRPr="00EF5D61">
        <w:rPr>
          <w:rFonts w:ascii="Times New Roman" w:hAnsi="Times New Roman"/>
          <w:sz w:val="20"/>
        </w:rPr>
        <w:t xml:space="preserve">  </w:t>
      </w:r>
      <w:r w:rsidRPr="00EF5D61">
        <w:rPr>
          <w:rFonts w:ascii="Times New Roman" w:hAnsi="Times New Roman"/>
          <w:i/>
          <w:sz w:val="20"/>
        </w:rPr>
        <w:t>Id</w:t>
      </w:r>
      <w:r>
        <w:rPr>
          <w:rFonts w:ascii="Times New Roman" w:hAnsi="Times New Roman"/>
          <w:sz w:val="20"/>
        </w:rPr>
        <w:t>.at art. 31</w:t>
      </w:r>
      <w:r w:rsidRPr="00EF5D61">
        <w:rPr>
          <w:rFonts w:ascii="Times New Roman" w:hAnsi="Times New Roman"/>
          <w:sz w:val="20"/>
        </w:rPr>
        <w:t>(l) (emphasis added).</w:t>
      </w:r>
    </w:p>
  </w:footnote>
  <w:footnote w:id="16">
    <w:p w14:paraId="4B879C4C" w14:textId="77777777" w:rsidR="00CE5F49" w:rsidRDefault="00CE5F49" w:rsidP="0063531D">
      <w:pPr>
        <w:pStyle w:val="FootnoteText"/>
      </w:pPr>
      <w:r>
        <w:rPr>
          <w:rStyle w:val="FootnoteReference"/>
        </w:rPr>
        <w:footnoteRef/>
      </w:r>
      <w:r>
        <w:t xml:space="preserve"> ICESCR art. 16.</w:t>
      </w:r>
    </w:p>
  </w:footnote>
  <w:footnote w:id="17">
    <w:p w14:paraId="2C83DA04" w14:textId="77777777" w:rsidR="00CE5F49" w:rsidRDefault="00CE5F49" w:rsidP="0063531D">
      <w:pPr>
        <w:pStyle w:val="FootnoteText"/>
      </w:pPr>
      <w:r>
        <w:rPr>
          <w:rStyle w:val="FootnoteReference"/>
        </w:rPr>
        <w:footnoteRef/>
      </w:r>
      <w:r>
        <w:t xml:space="preserve"> ICESCR art. 18.</w:t>
      </w:r>
    </w:p>
  </w:footnote>
  <w:footnote w:id="18">
    <w:p w14:paraId="594F8D17" w14:textId="77777777" w:rsidR="00CE5F49" w:rsidRPr="00EF5D61" w:rsidRDefault="00CE5F49" w:rsidP="00CC003B">
      <w:pPr>
        <w:pStyle w:val="FootnoteText"/>
        <w:rPr>
          <w:szCs w:val="22"/>
        </w:rPr>
      </w:pPr>
      <w:r w:rsidRPr="00EF5D61">
        <w:rPr>
          <w:rStyle w:val="FootnoteReference"/>
          <w:szCs w:val="22"/>
        </w:rPr>
        <w:footnoteRef/>
      </w:r>
      <w:r w:rsidRPr="00EF5D61">
        <w:rPr>
          <w:szCs w:val="22"/>
        </w:rPr>
        <w:t xml:space="preserve"> </w:t>
      </w:r>
      <w:r w:rsidRPr="00EF5D61">
        <w:rPr>
          <w:i/>
          <w:iCs/>
          <w:szCs w:val="22"/>
        </w:rPr>
        <w:t>Cf.</w:t>
      </w:r>
      <w:r w:rsidRPr="00EF5D61">
        <w:rPr>
          <w:szCs w:val="22"/>
        </w:rPr>
        <w:t xml:space="preserve"> Christopher C. Joyner, </w:t>
      </w:r>
      <w:r w:rsidRPr="00EF5D61">
        <w:rPr>
          <w:i/>
          <w:iCs/>
          <w:szCs w:val="22"/>
        </w:rPr>
        <w:t>International Law in the 21</w:t>
      </w:r>
      <w:r w:rsidRPr="00EF5D61">
        <w:rPr>
          <w:i/>
          <w:iCs/>
          <w:szCs w:val="22"/>
          <w:vertAlign w:val="superscript"/>
        </w:rPr>
        <w:t>st</w:t>
      </w:r>
      <w:r w:rsidRPr="00EF5D61">
        <w:rPr>
          <w:i/>
          <w:iCs/>
          <w:szCs w:val="22"/>
        </w:rPr>
        <w:t xml:space="preserve"> Century</w:t>
      </w:r>
      <w:r w:rsidRPr="00EF5D61">
        <w:rPr>
          <w:szCs w:val="22"/>
        </w:rPr>
        <w:t>, Rowman &amp; Littlefield, 114 (2005) (“In interpreting a treaty text, the task becomes to ascertain what the text means to the parties collectively . . . .”).</w:t>
      </w:r>
    </w:p>
  </w:footnote>
  <w:footnote w:id="19">
    <w:p w14:paraId="7AD46575" w14:textId="1510D2E5" w:rsidR="00CE5F49" w:rsidRPr="00122828" w:rsidRDefault="00CE5F49">
      <w:pPr>
        <w:pStyle w:val="FootnoteText"/>
        <w:rPr>
          <w:lang w:val="en-US"/>
        </w:rPr>
      </w:pPr>
      <w:r>
        <w:rPr>
          <w:rStyle w:val="FootnoteReference"/>
        </w:rPr>
        <w:footnoteRef/>
      </w:r>
      <w:r>
        <w:t xml:space="preserve"> </w:t>
      </w:r>
      <w:r>
        <w:rPr>
          <w:lang w:val="en-US"/>
        </w:rPr>
        <w:t>Adopted 30April 1982, HRI/GEN/1/Rev.9 (Vol. 1)</w:t>
      </w:r>
    </w:p>
  </w:footnote>
  <w:footnote w:id="20">
    <w:p w14:paraId="6C1EBFC8" w14:textId="54574ACF" w:rsidR="00CE5F49" w:rsidRPr="00122828" w:rsidRDefault="00CE5F49">
      <w:pPr>
        <w:pStyle w:val="FootnoteText"/>
        <w:rPr>
          <w:lang w:val="en-US"/>
        </w:rPr>
      </w:pPr>
      <w:r>
        <w:rPr>
          <w:rStyle w:val="FootnoteReference"/>
        </w:rPr>
        <w:footnoteRef/>
      </w:r>
      <w:r>
        <w:t xml:space="preserve"> </w:t>
      </w:r>
      <w:r>
        <w:rPr>
          <w:lang w:val="en-US"/>
        </w:rPr>
        <w:t xml:space="preserve">In accordance with Article 32 of the Vienna Convention, the </w:t>
      </w:r>
      <w:r w:rsidRPr="00122828">
        <w:rPr>
          <w:i/>
          <w:lang w:val="en-US"/>
        </w:rPr>
        <w:t>travaux préparatoires</w:t>
      </w:r>
      <w:r>
        <w:rPr>
          <w:i/>
          <w:lang w:val="en-US"/>
        </w:rPr>
        <w:t xml:space="preserve"> </w:t>
      </w:r>
      <w:r>
        <w:rPr>
          <w:lang w:val="en-US"/>
        </w:rPr>
        <w:t>are considered to be a “supplementary means of interpretation.”</w:t>
      </w:r>
    </w:p>
  </w:footnote>
  <w:footnote w:id="21">
    <w:p w14:paraId="2AFAC9DA" w14:textId="4DF7CD1D" w:rsidR="00CE5F49" w:rsidRDefault="00CE5F49">
      <w:pPr>
        <w:pStyle w:val="FootnoteText"/>
        <w:rPr>
          <w:lang w:val="en-US"/>
        </w:rPr>
      </w:pPr>
      <w:r>
        <w:rPr>
          <w:rStyle w:val="FootnoteReference"/>
        </w:rPr>
        <w:footnoteRef/>
      </w:r>
      <w:r>
        <w:t xml:space="preserve"> </w:t>
      </w:r>
      <w:r>
        <w:rPr>
          <w:lang w:val="en-US"/>
        </w:rPr>
        <w:t>A/3764 §18. Report of the Third Committee to the 12</w:t>
      </w:r>
      <w:r w:rsidRPr="009D13BC">
        <w:rPr>
          <w:vertAlign w:val="superscript"/>
          <w:lang w:val="en-US"/>
        </w:rPr>
        <w:t>th</w:t>
      </w:r>
      <w:r>
        <w:rPr>
          <w:lang w:val="en-US"/>
        </w:rPr>
        <w:t xml:space="preserve"> Session of the General Assembly. 5 December 1957</w:t>
      </w:r>
    </w:p>
    <w:p w14:paraId="19D1CFF8" w14:textId="721E75E0" w:rsidR="00CE5F49" w:rsidRPr="00122828" w:rsidRDefault="00CE5F49">
      <w:pPr>
        <w:pStyle w:val="FootnoteText"/>
        <w:rPr>
          <w:lang w:val="en-US"/>
        </w:rPr>
      </w:pPr>
      <w:r>
        <w:rPr>
          <w:lang w:val="en-US"/>
        </w:rPr>
        <w:t xml:space="preserve"> </w:t>
      </w:r>
    </w:p>
  </w:footnote>
  <w:footnote w:id="22">
    <w:p w14:paraId="7BF65DB4" w14:textId="2E98C50C" w:rsidR="00CE5F49" w:rsidRPr="009D13BC" w:rsidRDefault="00CE5F49">
      <w:pPr>
        <w:pStyle w:val="FootnoteText"/>
        <w:rPr>
          <w:lang w:val="en-US"/>
        </w:rPr>
      </w:pPr>
      <w:r>
        <w:rPr>
          <w:rStyle w:val="FootnoteReference"/>
        </w:rPr>
        <w:footnoteRef/>
      </w:r>
      <w:r>
        <w:t xml:space="preserve"> </w:t>
      </w:r>
      <w:r>
        <w:rPr>
          <w:lang w:val="en-US"/>
        </w:rPr>
        <w:t>A/2929, Chapter VI, § 10. Report of the Secretary-General to the 10</w:t>
      </w:r>
      <w:r w:rsidRPr="009D13BC">
        <w:rPr>
          <w:vertAlign w:val="superscript"/>
          <w:lang w:val="en-US"/>
        </w:rPr>
        <w:t>th</w:t>
      </w:r>
      <w:r>
        <w:rPr>
          <w:lang w:val="en-US"/>
        </w:rPr>
        <w:t xml:space="preserve"> Session of the General Assembly, 1 July 1955.</w:t>
      </w:r>
    </w:p>
  </w:footnote>
  <w:footnote w:id="23">
    <w:p w14:paraId="20A81540" w14:textId="35FBAF04" w:rsidR="00CE5F49" w:rsidRPr="001121F0" w:rsidRDefault="00CE5F49">
      <w:pPr>
        <w:pStyle w:val="FootnoteText"/>
        <w:rPr>
          <w:lang w:val="en-US"/>
        </w:rPr>
      </w:pPr>
      <w:r>
        <w:rPr>
          <w:rStyle w:val="FootnoteReference"/>
        </w:rPr>
        <w:footnoteRef/>
      </w:r>
      <w:r>
        <w:t xml:space="preserve"> </w:t>
      </w:r>
      <w:r w:rsidRPr="009724CF">
        <w:rPr>
          <w:lang w:val="en-IE"/>
        </w:rPr>
        <w:t>Common ground? Seeking an Australian consensus</w:t>
      </w:r>
      <w:r>
        <w:rPr>
          <w:lang w:val="en-IE"/>
        </w:rPr>
        <w:t xml:space="preserve"> on abortion and sex education, Chapter 9</w:t>
      </w:r>
      <w:r w:rsidRPr="009724CF">
        <w:rPr>
          <w:lang w:val="en-IE"/>
        </w:rPr>
        <w:t xml:space="preserve"> </w:t>
      </w:r>
      <w:r w:rsidRPr="009724CF">
        <w:rPr>
          <w:lang w:val="en-IE"/>
        </w:rPr>
        <w:t></w:t>
      </w:r>
      <w:r w:rsidRPr="003E0292">
        <w:rPr>
          <w:sz w:val="24"/>
          <w:szCs w:val="24"/>
          <w:lang w:val="en-IE"/>
        </w:rPr>
        <w:t xml:space="preserve"> </w:t>
      </w:r>
      <w:r>
        <w:rPr>
          <w:lang w:val="en-IE"/>
        </w:rPr>
        <w:t>Fleming John</w:t>
      </w:r>
      <w:r w:rsidRPr="003E0292">
        <w:rPr>
          <w:lang w:val="en-IE"/>
        </w:rPr>
        <w:t>, T</w:t>
      </w:r>
      <w:r>
        <w:rPr>
          <w:lang w:val="en-IE"/>
        </w:rPr>
        <w:t>onti-Filippini Nicholas</w:t>
      </w:r>
      <w:r w:rsidRPr="003E0292">
        <w:rPr>
          <w:lang w:val="en-IE"/>
        </w:rPr>
        <w:t xml:space="preserve">: </w:t>
      </w:r>
      <w:r w:rsidRPr="009724CF">
        <w:rPr>
          <w:lang w:val="en-IE"/>
        </w:rPr>
        <w:t xml:space="preserve">  </w:t>
      </w:r>
      <w:r w:rsidRPr="003E0292">
        <w:rPr>
          <w:bCs/>
          <w:lang w:val="en-IE"/>
        </w:rPr>
        <w:t>Publisher</w:t>
      </w:r>
      <w:r w:rsidRPr="009724CF">
        <w:rPr>
          <w:b/>
          <w:bCs/>
          <w:lang w:val="en-IE"/>
        </w:rPr>
        <w:t>:</w:t>
      </w:r>
      <w:r w:rsidRPr="009724CF">
        <w:rPr>
          <w:lang w:val="en-IE"/>
        </w:rPr>
        <w:t xml:space="preserve"> St Pauls (2007) </w:t>
      </w:r>
      <w:r>
        <w:rPr>
          <w:lang w:val="en-IE"/>
        </w:rPr>
        <w:t xml:space="preserve"> </w:t>
      </w:r>
      <w:r w:rsidRPr="003E0292">
        <w:rPr>
          <w:bCs/>
          <w:lang w:val="en-IE"/>
        </w:rPr>
        <w:t>ISBN-10:</w:t>
      </w:r>
      <w:r w:rsidRPr="003E0292">
        <w:rPr>
          <w:lang w:val="en-IE"/>
        </w:rPr>
        <w:t xml:space="preserve"> 1921032642 </w:t>
      </w:r>
      <w:r w:rsidRPr="003E0292">
        <w:rPr>
          <w:lang w:val="en-IE"/>
        </w:rPr>
        <w:t xml:space="preserve">  </w:t>
      </w:r>
      <w:r w:rsidRPr="003E0292">
        <w:rPr>
          <w:bCs/>
          <w:lang w:val="en-IE"/>
        </w:rPr>
        <w:t>ISBN-13:</w:t>
      </w:r>
      <w:r w:rsidRPr="003E0292">
        <w:rPr>
          <w:lang w:val="en-IE"/>
        </w:rPr>
        <w:t xml:space="preserve"> 978-1921032646, </w:t>
      </w:r>
      <w:r w:rsidRPr="003E0292">
        <w:rPr>
          <w:bCs/>
          <w:lang w:val="en-IE"/>
        </w:rPr>
        <w:t>ASIN:</w:t>
      </w:r>
      <w:r w:rsidRPr="009724CF">
        <w:rPr>
          <w:lang w:val="en-IE"/>
        </w:rPr>
        <w:t xml:space="preserve"> B00XT7QIBG</w:t>
      </w:r>
    </w:p>
  </w:footnote>
  <w:footnote w:id="24">
    <w:p w14:paraId="2AD762C9" w14:textId="77777777" w:rsidR="00CE5F49" w:rsidRDefault="00CE5F49" w:rsidP="00313C43">
      <w:pPr>
        <w:pStyle w:val="FootnoteText"/>
      </w:pPr>
      <w:r>
        <w:rPr>
          <w:rStyle w:val="FootnoteReference"/>
          <w:rFonts w:eastAsiaTheme="majorEastAsia"/>
        </w:rPr>
        <w:footnoteRef/>
      </w:r>
      <w:r>
        <w:t xml:space="preserve"> Article 6(5) of the </w:t>
      </w:r>
      <w:r>
        <w:rPr>
          <w:i/>
        </w:rPr>
        <w:t>International Covenant on Civil and Political Rights 1966</w:t>
      </w:r>
      <w:r>
        <w:t xml:space="preserve">, G.A. res. 2200A (XXI), 21 U.N. GAOR Supp. (No. 16) at 52, U.N. Doc. A/6316 (1966), 999 U.N.T.S. 171. See also the United Nations </w:t>
      </w:r>
      <w:r>
        <w:rPr>
          <w:i/>
        </w:rPr>
        <w:t>Safeguards Guaranteeing Protection of the Rights of Those Facing the Death Penalty 1984</w:t>
      </w:r>
      <w:r>
        <w:t>, Article 3.</w:t>
      </w:r>
    </w:p>
  </w:footnote>
  <w:footnote w:id="25">
    <w:p w14:paraId="23F58D9E" w14:textId="77777777" w:rsidR="00CE5F49" w:rsidRDefault="00CE5F49" w:rsidP="00313C43">
      <w:pPr>
        <w:pStyle w:val="FootnoteText"/>
      </w:pPr>
      <w:r>
        <w:rPr>
          <w:rStyle w:val="FootnoteReference"/>
          <w:rFonts w:eastAsiaTheme="majorEastAsia"/>
        </w:rPr>
        <w:footnoteRef/>
      </w:r>
      <w:r>
        <w:t xml:space="preserve"> Marc J. Bossuyt in the</w:t>
      </w:r>
      <w:r>
        <w:rPr>
          <w:i/>
        </w:rPr>
        <w:t xml:space="preserve"> Guide to the “Travaux Préparatoires” of the International Convenant on Civil and Political Rights</w:t>
      </w:r>
      <w:r>
        <w:t>, (Martinus Nijhoff Publishers, 1987) observes:</w:t>
      </w:r>
    </w:p>
    <w:p w14:paraId="1E469CA6" w14:textId="77777777" w:rsidR="00CE5F49" w:rsidRDefault="00CE5F49" w:rsidP="00313C43">
      <w:pPr>
        <w:pStyle w:val="FootnoteText"/>
        <w:ind w:left="720"/>
        <w:rPr>
          <w:u w:val="single"/>
        </w:rPr>
      </w:pPr>
      <w:r>
        <w:rPr>
          <w:u w:val="single"/>
        </w:rPr>
        <w:t>Commission on Human Rights, 5th Session (1949), 6th Session (1950), 8th Session (1952)</w:t>
      </w:r>
    </w:p>
    <w:p w14:paraId="15F45344" w14:textId="77777777" w:rsidR="00CE5F49" w:rsidRDefault="00CE5F49" w:rsidP="00313C43">
      <w:pPr>
        <w:pStyle w:val="FootnoteText"/>
        <w:ind w:left="720"/>
      </w:pPr>
      <w:r>
        <w:t xml:space="preserve">A/2929, Chapt. VI, §10:  “It would seem that the intention of paragraph 4 </w:t>
      </w:r>
      <w:r>
        <w:rPr>
          <w:i/>
        </w:rPr>
        <w:t xml:space="preserve">[5] </w:t>
      </w:r>
      <w:r>
        <w:t xml:space="preserve">which was inspired by humanitarian considerations and by consideration for the interests of the unborn child, was that the death sentence, if it concerned a pregnant woman, should not be carried out at all.  It was pointed out, however, that the provision, in its present formulation, might be interpreted as applying solely to the period preceding childbirth </w:t>
      </w:r>
      <w:r>
        <w:rPr>
          <w:i/>
        </w:rPr>
        <w:t>[E/CN.4/SR.311, p.7 (B)]</w:t>
      </w:r>
      <w:r>
        <w:t>.”</w:t>
      </w:r>
    </w:p>
    <w:p w14:paraId="592B0BB4" w14:textId="77777777" w:rsidR="00CE5F49" w:rsidRDefault="00CE5F49" w:rsidP="00313C43">
      <w:pPr>
        <w:pStyle w:val="FootnoteText"/>
        <w:ind w:left="720"/>
        <w:rPr>
          <w:u w:val="single"/>
        </w:rPr>
      </w:pPr>
      <w:r>
        <w:rPr>
          <w:u w:val="single"/>
        </w:rPr>
        <w:t>Third Committee, 12th Session (1957)</w:t>
      </w:r>
    </w:p>
    <w:p w14:paraId="636CD47A" w14:textId="77777777" w:rsidR="00CE5F49" w:rsidRDefault="00CE5F49" w:rsidP="00313C43">
      <w:pPr>
        <w:pStyle w:val="FootnoteText"/>
        <w:ind w:left="720"/>
      </w:pPr>
      <w:r>
        <w:t xml:space="preserve">A/3764, §118 [actually §117]:  “There was some discussion regarding the meaning of paragraph 4 </w:t>
      </w:r>
      <w:r>
        <w:rPr>
          <w:i/>
        </w:rPr>
        <w:t xml:space="preserve">[5] </w:t>
      </w:r>
      <w:r>
        <w:t xml:space="preserve">of the draft of the Commission on Human Rights (E/2573, annex I B), which provided that the sentence of death should not be carried out on a pregnant woman.  A number of representatives were of the opinion that the clause sought to prevent the carrying out of the sentence of death before the child was born </w:t>
      </w:r>
      <w:r>
        <w:rPr>
          <w:i/>
        </w:rPr>
        <w:t>[A/C.3/SR.809, §27 (CHI); A/C.3/SR.810, §2 (B), §7 (IR); A/C.3/SR.812, §32 (RI); A/C.3/SR.814, §42 (CDN)]</w:t>
      </w:r>
      <w:r>
        <w:t xml:space="preserve">.  However, other (sic) thought that the death sentence should not be carried out at all if it concerned a pregnant woman </w:t>
      </w:r>
      <w:r>
        <w:rPr>
          <w:i/>
        </w:rPr>
        <w:t>[A/C.3/SR.810, §14 (PE); A/C.3/SR.811, §24 (SA)]</w:t>
      </w:r>
      <w:r>
        <w:t>.  The normal development of the unborn child might be affected if the mother were to live in constant fear that, after the birth of her child, the death sentence would be carried out.”</w:t>
      </w:r>
    </w:p>
  </w:footnote>
  <w:footnote w:id="26">
    <w:p w14:paraId="61202F39" w14:textId="77777777" w:rsidR="00CE5F49" w:rsidRDefault="00CE5F49" w:rsidP="00313C43">
      <w:pPr>
        <w:pStyle w:val="FootnoteText"/>
      </w:pPr>
      <w:r>
        <w:rPr>
          <w:rStyle w:val="FootnoteReference"/>
          <w:rFonts w:eastAsiaTheme="majorEastAsia"/>
        </w:rPr>
        <w:footnoteRef/>
      </w:r>
      <w:r>
        <w:t xml:space="preserve"> </w:t>
      </w:r>
      <w:r>
        <w:rPr>
          <w:i/>
        </w:rPr>
        <w:t>Ibid.</w:t>
      </w:r>
      <w:r>
        <w:t>, §118, A/3764.</w:t>
      </w:r>
    </w:p>
  </w:footnote>
  <w:footnote w:id="27">
    <w:p w14:paraId="2AC094EB" w14:textId="77777777" w:rsidR="00CE5F49" w:rsidRDefault="00CE5F49" w:rsidP="00313C43">
      <w:pPr>
        <w:pStyle w:val="FootnoteText"/>
      </w:pPr>
      <w:r>
        <w:rPr>
          <w:rStyle w:val="FootnoteReference"/>
          <w:rFonts w:eastAsiaTheme="majorEastAsia"/>
        </w:rPr>
        <w:footnoteRef/>
      </w:r>
      <w:r>
        <w:t xml:space="preserve"> In </w:t>
      </w:r>
      <w:r>
        <w:rPr>
          <w:i/>
        </w:rPr>
        <w:t>R v. Wycherley</w:t>
      </w:r>
      <w:r>
        <w:t xml:space="preserve"> 173 ER 486 the accused woman had been found guilty of murder and was sentenced to death. When asked whether she had anything to stay the execution she replied: “I am with child now.” A jury was empanelled and found that the woman was </w:t>
      </w:r>
      <w:r>
        <w:rPr>
          <w:i/>
        </w:rPr>
        <w:t>not</w:t>
      </w:r>
      <w:r>
        <w:t xml:space="preserve"> pregnant. Nevertheless, the case highlights that the death penalty was stayed pending the resolution of the issue and logically would have been stayed until at least the birth had she been found to be pregnant.</w:t>
      </w:r>
    </w:p>
  </w:footnote>
  <w:footnote w:id="28">
    <w:p w14:paraId="391DD4D6" w14:textId="77777777" w:rsidR="00CE5F49" w:rsidRDefault="00CE5F49" w:rsidP="00313C43">
      <w:pPr>
        <w:pStyle w:val="FootnoteText"/>
      </w:pPr>
      <w:r>
        <w:rPr>
          <w:rStyle w:val="FootnoteReference"/>
          <w:rFonts w:eastAsiaTheme="majorEastAsia"/>
        </w:rPr>
        <w:footnoteRef/>
      </w:r>
      <w:r>
        <w:t xml:space="preserve"> International Planned Parenthood Federation, </w:t>
      </w:r>
      <w:r>
        <w:rPr>
          <w:i/>
        </w:rPr>
        <w:t>IPPF Charter on Sexual and Reproductive Rights</w:t>
      </w:r>
      <w:r>
        <w:t>, 12.</w:t>
      </w:r>
    </w:p>
  </w:footnote>
  <w:footnote w:id="29">
    <w:p w14:paraId="4ADB5368" w14:textId="29908F0C" w:rsidR="00CE5F49" w:rsidRPr="00245D4E" w:rsidRDefault="00CE5F49">
      <w:pPr>
        <w:pStyle w:val="FootnoteText"/>
        <w:rPr>
          <w:lang w:val="en-US"/>
        </w:rPr>
      </w:pPr>
      <w:r>
        <w:rPr>
          <w:rStyle w:val="FootnoteReference"/>
        </w:rPr>
        <w:footnoteRef/>
      </w:r>
      <w:r>
        <w:t xml:space="preserve"> Article 31(2) states, “The context…shall comprise… the text, including its preamble and annexes.”</w:t>
      </w:r>
    </w:p>
  </w:footnote>
  <w:footnote w:id="30">
    <w:p w14:paraId="02FA3D96" w14:textId="7F6B8F9F" w:rsidR="00CE5F49" w:rsidRPr="001121F0" w:rsidRDefault="00CE5F49">
      <w:pPr>
        <w:pStyle w:val="FootnoteText"/>
        <w:rPr>
          <w:lang w:val="en-US"/>
        </w:rPr>
      </w:pPr>
      <w:r>
        <w:rPr>
          <w:rStyle w:val="FootnoteReference"/>
        </w:rPr>
        <w:footnoteRef/>
      </w:r>
      <w:r>
        <w:t xml:space="preserve"> </w:t>
      </w:r>
      <w:r w:rsidR="00C96A48" w:rsidRPr="009724CF">
        <w:rPr>
          <w:lang w:val="en-IE"/>
        </w:rPr>
        <w:t>Common ground? Seeking an Australian consensus on abortion an</w:t>
      </w:r>
      <w:r w:rsidR="00C96A48">
        <w:rPr>
          <w:lang w:val="en-IE"/>
        </w:rPr>
        <w:t>d sex education,</w:t>
      </w:r>
      <w:r w:rsidR="00C96A48" w:rsidRPr="009724CF">
        <w:rPr>
          <w:lang w:val="en-IE"/>
        </w:rPr>
        <w:t xml:space="preserve"> </w:t>
      </w:r>
      <w:r w:rsidR="00C96A48">
        <w:rPr>
          <w:lang w:val="en-IE"/>
        </w:rPr>
        <w:t>Chapter 9</w:t>
      </w:r>
      <w:r w:rsidR="00C96A48">
        <w:rPr>
          <w:lang w:val="en-IE"/>
        </w:rPr>
        <w:t xml:space="preserve"> </w:t>
      </w:r>
      <w:r w:rsidRPr="009724CF">
        <w:rPr>
          <w:lang w:val="en-IE"/>
        </w:rPr>
        <w:t xml:space="preserve">Fleming John, Tonti-Filippini Nicholas: </w:t>
      </w:r>
      <w:r w:rsidRPr="009724CF">
        <w:rPr>
          <w:lang w:val="en-IE"/>
        </w:rPr>
        <w:t></w:t>
      </w:r>
      <w:r>
        <w:rPr>
          <w:lang w:val="en-IE"/>
        </w:rPr>
        <w:t xml:space="preserve"> </w:t>
      </w:r>
      <w:r w:rsidRPr="00C96A48">
        <w:rPr>
          <w:bCs/>
          <w:lang w:val="en-IE"/>
        </w:rPr>
        <w:t>Publisher:</w:t>
      </w:r>
      <w:r w:rsidRPr="009724CF">
        <w:rPr>
          <w:lang w:val="en-IE"/>
        </w:rPr>
        <w:t xml:space="preserve"> St Pauls (2007)</w:t>
      </w:r>
      <w:r>
        <w:rPr>
          <w:lang w:val="en-IE"/>
        </w:rPr>
        <w:t xml:space="preserve"> </w:t>
      </w:r>
      <w:r w:rsidRPr="009724CF">
        <w:rPr>
          <w:lang w:val="en-IE"/>
        </w:rPr>
        <w:t></w:t>
      </w:r>
      <w:r>
        <w:rPr>
          <w:lang w:val="en-IE"/>
        </w:rPr>
        <w:t xml:space="preserve"> </w:t>
      </w:r>
      <w:r w:rsidRPr="00C96A48">
        <w:rPr>
          <w:bCs/>
          <w:lang w:val="en-IE"/>
        </w:rPr>
        <w:t>ISBN-10:</w:t>
      </w:r>
      <w:r w:rsidRPr="009724CF">
        <w:rPr>
          <w:lang w:val="en-IE"/>
        </w:rPr>
        <w:t xml:space="preserve"> 1921032642 </w:t>
      </w:r>
      <w:r w:rsidRPr="009724CF">
        <w:rPr>
          <w:lang w:val="en-IE"/>
        </w:rPr>
        <w:t></w:t>
      </w:r>
      <w:r>
        <w:rPr>
          <w:lang w:val="en-IE"/>
        </w:rPr>
        <w:t xml:space="preserve"> </w:t>
      </w:r>
      <w:r w:rsidRPr="00C96A48">
        <w:rPr>
          <w:bCs/>
          <w:lang w:val="en-IE"/>
        </w:rPr>
        <w:t>ISBN-13:</w:t>
      </w:r>
      <w:r w:rsidRPr="009724CF">
        <w:rPr>
          <w:lang w:val="en-IE"/>
        </w:rPr>
        <w:t xml:space="preserve"> 978-1921032646, </w:t>
      </w:r>
      <w:r w:rsidRPr="00C96A48">
        <w:rPr>
          <w:bCs/>
          <w:lang w:val="en-IE"/>
        </w:rPr>
        <w:t>ASIN</w:t>
      </w:r>
      <w:r w:rsidRPr="009724CF">
        <w:rPr>
          <w:b/>
          <w:bCs/>
          <w:lang w:val="en-IE"/>
        </w:rPr>
        <w:t>:</w:t>
      </w:r>
      <w:r w:rsidRPr="009724CF">
        <w:rPr>
          <w:lang w:val="en-IE"/>
        </w:rPr>
        <w:t xml:space="preserve"> B00XT7QIBG</w:t>
      </w:r>
    </w:p>
  </w:footnote>
  <w:footnote w:id="31">
    <w:p w14:paraId="5FD06354" w14:textId="55F0E91D" w:rsidR="00CE5F49" w:rsidRDefault="00CE5F49" w:rsidP="006A65A8">
      <w:pPr>
        <w:pStyle w:val="FootnoteText"/>
      </w:pPr>
      <w:r>
        <w:rPr>
          <w:rStyle w:val="FootnoteReference"/>
          <w:rFonts w:eastAsiaTheme="majorEastAsia"/>
        </w:rPr>
        <w:footnoteRef/>
      </w:r>
      <w:r>
        <w:t xml:space="preserve"> 78 U.N.T.S. 277, the Convention entered into force on 12 January 1951.  The Convention was signed by Australia on 11 December 1948 and ratified on 8 July 1949. Australia has approved and repeated the </w:t>
      </w:r>
      <w:r>
        <w:rPr>
          <w:i/>
        </w:rPr>
        <w:t xml:space="preserve">Convention on the Prevention and Punishment of the Crime of Genocide 1948 </w:t>
      </w:r>
      <w:r>
        <w:t xml:space="preserve">in the </w:t>
      </w:r>
      <w:r>
        <w:rPr>
          <w:i/>
        </w:rPr>
        <w:t>Genocide Convention Act 1949</w:t>
      </w:r>
      <w:r>
        <w:t xml:space="preserve"> (Cth.)</w:t>
      </w:r>
      <w:r>
        <w:rPr>
          <w:i/>
        </w:rPr>
        <w:t>.</w:t>
      </w:r>
      <w:r>
        <w:t xml:space="preserve"> However, the Act does not </w:t>
      </w:r>
      <w:r>
        <w:rPr>
          <w:i/>
        </w:rPr>
        <w:t>implement</w:t>
      </w:r>
      <w:r>
        <w:t xml:space="preserve"> the Convention into municipal law, see </w:t>
      </w:r>
      <w:r>
        <w:rPr>
          <w:i/>
        </w:rPr>
        <w:t>Minister for Immigration and Ethnic Affairs v Teoh</w:t>
      </w:r>
      <w:r>
        <w:t xml:space="preserve"> (1995) 183 CLR 273 at 286-287, 298, 304, 315 and </w:t>
      </w:r>
      <w:r>
        <w:rPr>
          <w:i/>
        </w:rPr>
        <w:t>Krueger v The Commonwealth</w:t>
      </w:r>
      <w:r>
        <w:t>, unreported, High Court of Australia, 31 July 1997. Compare the comments of Justice Evatt who has argued:</w:t>
      </w:r>
    </w:p>
    <w:p w14:paraId="587F7B22" w14:textId="77777777" w:rsidR="00CE5F49" w:rsidRDefault="00CE5F49" w:rsidP="006A65A8">
      <w:pPr>
        <w:pStyle w:val="FootnoteText"/>
        <w:ind w:left="720"/>
      </w:pPr>
      <w:r>
        <w:t>Quite apart from conventions that Australia ratifies, some parts of that international law can, as a matter of common law, apply in Australia without any further action on the part of anyone. I think the recent High Court case of Teoh may have referred obliquely to this, but it could have said more about the fact that under common law, customary rules, and particularly principles of human rights, such as the principle against genocide and so on, are part of customary international law. Naturally as such, they can be overruled by legislation, as any part of the common law can. But we should not think of international law as being an entirely separate thing from the law of Australia. Some parts of it we would recognise. [Report by the Senate Legal and Constitutional References Committee, Trick or Treaty?, Commonwealth Power to Make and Implement Treaties, November 1995 at §6.6, see also §3.33.]</w:t>
      </w:r>
    </w:p>
  </w:footnote>
  <w:footnote w:id="32">
    <w:p w14:paraId="2DA3BD97" w14:textId="77777777" w:rsidR="00CE5F49" w:rsidRDefault="00CE5F49" w:rsidP="006A65A8">
      <w:pPr>
        <w:pStyle w:val="FootnoteText"/>
      </w:pPr>
      <w:r>
        <w:rPr>
          <w:rStyle w:val="FootnoteReference"/>
          <w:rFonts w:eastAsiaTheme="majorEastAsia"/>
        </w:rPr>
        <w:footnoteRef/>
      </w:r>
      <w:r>
        <w:t xml:space="preserve"> </w:t>
      </w:r>
      <w:r>
        <w:rPr>
          <w:i/>
        </w:rPr>
        <w:t xml:space="preserve">Convention on the Prevention and Punishment of the Crime of Genocide 1948, </w:t>
      </w:r>
      <w:r>
        <w:t>Preamble.</w:t>
      </w:r>
    </w:p>
  </w:footnote>
  <w:footnote w:id="33">
    <w:p w14:paraId="7DAD1574" w14:textId="77777777" w:rsidR="00CE5F49" w:rsidRDefault="00CE5F49" w:rsidP="006A65A8">
      <w:pPr>
        <w:pStyle w:val="FootnoteText"/>
      </w:pPr>
      <w:r>
        <w:rPr>
          <w:rStyle w:val="FootnoteReference"/>
          <w:rFonts w:eastAsiaTheme="majorEastAsia"/>
        </w:rPr>
        <w:footnoteRef/>
      </w:r>
      <w:r>
        <w:t xml:space="preserve"> In </w:t>
      </w:r>
      <w:r>
        <w:rPr>
          <w:i/>
        </w:rPr>
        <w:t>Thorpe v The Commonwealth [No 3],</w:t>
      </w:r>
      <w:r>
        <w:t xml:space="preserve"> unreported, High Court of Australia, 12 June 1997, Kirby J. observed “The </w:t>
      </w:r>
      <w:bookmarkStart w:id="0" w:name="_GoBack"/>
      <w:bookmarkEnd w:id="0"/>
      <w:r>
        <w:t>definition of “genocide” in the [Genocide] Convention is very broad.”</w:t>
      </w:r>
    </w:p>
  </w:footnote>
  <w:footnote w:id="34">
    <w:p w14:paraId="741D0DE8" w14:textId="77777777" w:rsidR="00CE5F49" w:rsidRDefault="00CE5F49" w:rsidP="006A65A8">
      <w:pPr>
        <w:pStyle w:val="FootnoteText"/>
      </w:pPr>
      <w:r>
        <w:rPr>
          <w:rStyle w:val="FootnoteReference"/>
          <w:rFonts w:eastAsiaTheme="majorEastAsia"/>
        </w:rPr>
        <w:footnoteRef/>
      </w:r>
      <w:r>
        <w:rPr>
          <w:i/>
        </w:rPr>
        <w:t xml:space="preserve"> Declaration on the Rights of Disabled Persons 1975</w:t>
      </w:r>
      <w:r>
        <w:t xml:space="preserve">, proclaimed by the General Assembly Resolution 3447 (XXX) of 9 December 1975. The Declaration is attached as Schedule 5 to the </w:t>
      </w:r>
      <w:r>
        <w:rPr>
          <w:i/>
        </w:rPr>
        <w:t>Human Rights and Equal Opportunity Commission Act 1986</w:t>
      </w:r>
      <w:r>
        <w:t xml:space="preserve"> (Cth.).</w:t>
      </w:r>
    </w:p>
  </w:footnote>
  <w:footnote w:id="35">
    <w:p w14:paraId="19AB6669" w14:textId="77777777" w:rsidR="00CE5F49" w:rsidRDefault="00CE5F49" w:rsidP="006A65A8">
      <w:pPr>
        <w:pStyle w:val="FootnoteText"/>
      </w:pPr>
      <w:r>
        <w:rPr>
          <w:rStyle w:val="FootnoteReference"/>
          <w:rFonts w:eastAsiaTheme="majorEastAsia"/>
        </w:rPr>
        <w:footnoteRef/>
      </w:r>
      <w:r>
        <w:t xml:space="preserve"> </w:t>
      </w:r>
      <w:r>
        <w:rPr>
          <w:i/>
        </w:rPr>
        <w:t>Declaration on the Rights of Disabled Persons 1975</w:t>
      </w:r>
      <w:r>
        <w:t>, Article 4.</w:t>
      </w:r>
    </w:p>
  </w:footnote>
  <w:footnote w:id="36">
    <w:p w14:paraId="5F8477A0" w14:textId="77777777" w:rsidR="00CE5F49" w:rsidRDefault="00CE5F49" w:rsidP="006A65A8">
      <w:pPr>
        <w:pStyle w:val="FootnoteText"/>
      </w:pPr>
      <w:r>
        <w:rPr>
          <w:rStyle w:val="FootnoteReference"/>
          <w:rFonts w:eastAsiaTheme="majorEastAsia"/>
        </w:rPr>
        <w:footnoteRef/>
      </w:r>
      <w:r>
        <w:t xml:space="preserve"> </w:t>
      </w:r>
      <w:r>
        <w:rPr>
          <w:i/>
        </w:rPr>
        <w:t>Declaration on the Rights of Disabled Persons 1975</w:t>
      </w:r>
      <w:r>
        <w:t>, Article 10.</w:t>
      </w:r>
    </w:p>
  </w:footnote>
  <w:footnote w:id="37">
    <w:p w14:paraId="0715283C" w14:textId="1F720440" w:rsidR="00CE5F49" w:rsidRPr="00662DCC" w:rsidRDefault="00CE5F49">
      <w:pPr>
        <w:pStyle w:val="FootnoteText"/>
        <w:rPr>
          <w:lang w:val="en-US"/>
        </w:rPr>
      </w:pPr>
      <w:r>
        <w:rPr>
          <w:rStyle w:val="FootnoteReference"/>
        </w:rPr>
        <w:footnoteRef/>
      </w:r>
      <w:r>
        <w:t xml:space="preserve"> </w:t>
      </w:r>
      <w:r w:rsidRPr="00662DCC">
        <w:rPr>
          <w:i/>
          <w:lang w:val="en-US"/>
        </w:rPr>
        <w:t>H. v. Norway</w:t>
      </w:r>
      <w:r>
        <w:rPr>
          <w:lang w:val="en-US"/>
        </w:rPr>
        <w:t>, no. 17004/90, inadmissibility decision of former Commission, 19 May 1992 at 167.</w:t>
      </w:r>
    </w:p>
  </w:footnote>
  <w:footnote w:id="38">
    <w:p w14:paraId="2DFA4CDE" w14:textId="2637994E" w:rsidR="00CE5F49" w:rsidRPr="00662DCC" w:rsidRDefault="00CE5F49">
      <w:pPr>
        <w:pStyle w:val="FootnoteText"/>
        <w:rPr>
          <w:lang w:val="en-US"/>
        </w:rPr>
      </w:pPr>
      <w:r>
        <w:rPr>
          <w:rStyle w:val="FootnoteReference"/>
        </w:rPr>
        <w:footnoteRef/>
      </w:r>
      <w:r>
        <w:t xml:space="preserve"> </w:t>
      </w:r>
      <w:r>
        <w:rPr>
          <w:lang w:val="en-US"/>
        </w:rPr>
        <w:t>Boso V. Italy, no. 50490/99, 5 September 2002</w:t>
      </w:r>
    </w:p>
  </w:footnote>
  <w:footnote w:id="39">
    <w:p w14:paraId="431088DA" w14:textId="561AC9D8" w:rsidR="00CE5F49" w:rsidRPr="00662DCC" w:rsidRDefault="00CE5F49">
      <w:pPr>
        <w:pStyle w:val="FootnoteText"/>
        <w:rPr>
          <w:lang w:val="en-US"/>
        </w:rPr>
      </w:pPr>
      <w:r>
        <w:rPr>
          <w:rStyle w:val="FootnoteReference"/>
        </w:rPr>
        <w:footnoteRef/>
      </w:r>
      <w:r>
        <w:t xml:space="preserve"> </w:t>
      </w:r>
      <w:r>
        <w:rPr>
          <w:lang w:val="en-US"/>
        </w:rPr>
        <w:t>Application No. 53924/00, 8 July 2004</w:t>
      </w:r>
    </w:p>
  </w:footnote>
  <w:footnote w:id="40">
    <w:p w14:paraId="25E74DE5" w14:textId="3E6038C9" w:rsidR="00CE5F49" w:rsidRPr="00BD0B73" w:rsidRDefault="00CE5F49">
      <w:pPr>
        <w:pStyle w:val="FootnoteText"/>
        <w:rPr>
          <w:lang w:val="en-US"/>
        </w:rPr>
      </w:pPr>
      <w:r>
        <w:rPr>
          <w:rStyle w:val="FootnoteReference"/>
        </w:rPr>
        <w:footnoteRef/>
      </w:r>
      <w:r>
        <w:t xml:space="preserve"> </w:t>
      </w:r>
      <w:r>
        <w:rPr>
          <w:lang w:val="en-US"/>
        </w:rPr>
        <w:t>Case of Vo. V France, op cit., at § 84.</w:t>
      </w:r>
    </w:p>
  </w:footnote>
  <w:footnote w:id="41">
    <w:p w14:paraId="644B5005" w14:textId="77777777" w:rsidR="00CE5F49" w:rsidRDefault="00CE5F49" w:rsidP="002B0522">
      <w:pPr>
        <w:pStyle w:val="FootnoteText"/>
      </w:pPr>
      <w:r>
        <w:rPr>
          <w:rStyle w:val="FootnoteReference"/>
          <w:rFonts w:eastAsiaTheme="majorEastAsia"/>
        </w:rPr>
        <w:footnoteRef/>
      </w:r>
      <w:r>
        <w:t xml:space="preserve"> Cf The </w:t>
      </w:r>
      <w:r>
        <w:rPr>
          <w:i/>
        </w:rPr>
        <w:t>International Covenant on Civil and Political Rights 1966, Article 16.</w:t>
      </w:r>
    </w:p>
  </w:footnote>
  <w:footnote w:id="42">
    <w:p w14:paraId="58B818A9" w14:textId="77777777" w:rsidR="00CE5F49" w:rsidRPr="00F23406" w:rsidRDefault="00CE5F49" w:rsidP="00F23406">
      <w:pPr>
        <w:pStyle w:val="FootnoteText"/>
        <w:rPr>
          <w:lang w:val="en-US"/>
        </w:rPr>
      </w:pPr>
      <w:r>
        <w:rPr>
          <w:rStyle w:val="FootnoteReference"/>
        </w:rPr>
        <w:footnoteRef/>
      </w:r>
      <w:r>
        <w:t xml:space="preserve"> </w:t>
      </w:r>
      <w:r w:rsidRPr="00F23406">
        <w:rPr>
          <w:lang w:val="en-IE"/>
        </w:rPr>
        <w:t>Fleming John, Tonti-Filippini Nicholas: Common ground? Seeking an Australian consensus on abortion and sex education, Chapter 9</w:t>
      </w:r>
      <w:r w:rsidRPr="00F23406">
        <w:rPr>
          <w:lang w:val="en-IE"/>
        </w:rPr>
        <w:t xml:space="preserve"> </w:t>
      </w:r>
      <w:r w:rsidRPr="007C3E6B">
        <w:rPr>
          <w:bCs/>
          <w:lang w:val="en-IE"/>
        </w:rPr>
        <w:t>Publisher</w:t>
      </w:r>
      <w:r w:rsidRPr="00F23406">
        <w:rPr>
          <w:b/>
          <w:bCs/>
          <w:lang w:val="en-IE"/>
        </w:rPr>
        <w:t>:</w:t>
      </w:r>
      <w:r w:rsidRPr="00F23406">
        <w:rPr>
          <w:lang w:val="en-IE"/>
        </w:rPr>
        <w:t xml:space="preserve"> St Pauls (2007) </w:t>
      </w:r>
      <w:r w:rsidRPr="00F23406">
        <w:rPr>
          <w:lang w:val="en-IE"/>
        </w:rPr>
        <w:t xml:space="preserve"> </w:t>
      </w:r>
      <w:r w:rsidRPr="007C3E6B">
        <w:rPr>
          <w:bCs/>
          <w:lang w:val="en-IE"/>
        </w:rPr>
        <w:t>ISBN-10</w:t>
      </w:r>
      <w:r w:rsidRPr="00F23406">
        <w:rPr>
          <w:b/>
          <w:bCs/>
          <w:lang w:val="en-IE"/>
        </w:rPr>
        <w:t>:</w:t>
      </w:r>
      <w:r w:rsidRPr="00F23406">
        <w:rPr>
          <w:lang w:val="en-IE"/>
        </w:rPr>
        <w:t xml:space="preserve"> 1921032642 </w:t>
      </w:r>
      <w:r w:rsidRPr="00F23406">
        <w:rPr>
          <w:lang w:val="en-IE"/>
        </w:rPr>
        <w:t xml:space="preserve"> </w:t>
      </w:r>
      <w:r w:rsidRPr="007C3E6B">
        <w:rPr>
          <w:bCs/>
          <w:lang w:val="en-IE"/>
        </w:rPr>
        <w:t>ISBN-13</w:t>
      </w:r>
      <w:r w:rsidRPr="00F23406">
        <w:rPr>
          <w:b/>
          <w:bCs/>
          <w:lang w:val="en-IE"/>
        </w:rPr>
        <w:t>:</w:t>
      </w:r>
      <w:r w:rsidRPr="00F23406">
        <w:rPr>
          <w:lang w:val="en-IE"/>
        </w:rPr>
        <w:t xml:space="preserve"> 978-1921032646, </w:t>
      </w:r>
      <w:r w:rsidRPr="007C3E6B">
        <w:rPr>
          <w:bCs/>
          <w:lang w:val="en-IE"/>
        </w:rPr>
        <w:t>ASIN:</w:t>
      </w:r>
      <w:r w:rsidRPr="00F23406">
        <w:rPr>
          <w:lang w:val="en-IE"/>
        </w:rPr>
        <w:t xml:space="preserve"> B00XT7QIBG</w:t>
      </w:r>
    </w:p>
    <w:p w14:paraId="2CEC83E6" w14:textId="20FE5964" w:rsidR="00CE5F49" w:rsidRPr="00F23406" w:rsidRDefault="00CE5F49">
      <w:pPr>
        <w:pStyle w:val="FootnoteText"/>
        <w:rPr>
          <w:lang w:val="en-US"/>
        </w:rPr>
      </w:pPr>
    </w:p>
  </w:footnote>
  <w:footnote w:id="43">
    <w:p w14:paraId="547A6071" w14:textId="2919057F" w:rsidR="00CE5F49" w:rsidRPr="00BD0B73" w:rsidRDefault="00CE5F49">
      <w:pPr>
        <w:pStyle w:val="FootnoteText"/>
        <w:rPr>
          <w:rFonts w:cs="Arial"/>
          <w:sz w:val="16"/>
          <w:szCs w:val="16"/>
        </w:rPr>
      </w:pPr>
      <w:r>
        <w:rPr>
          <w:rStyle w:val="FootnoteReference"/>
        </w:rPr>
        <w:footnoteRef/>
      </w:r>
      <w:r>
        <w:t xml:space="preserve"> </w:t>
      </w:r>
      <w:r w:rsidRPr="00BD0B73">
        <w:rPr>
          <w:rFonts w:cs="Arial"/>
          <w:sz w:val="16"/>
          <w:szCs w:val="16"/>
        </w:rPr>
        <w:t>Colombia Constitution, Article11; Costa Rica Constitution, Article 21; Nicaragua Constitution; Article 23.</w:t>
      </w:r>
    </w:p>
  </w:footnote>
  <w:footnote w:id="44">
    <w:p w14:paraId="5A034778" w14:textId="5BC90906" w:rsidR="00CE5F49" w:rsidRPr="00BD0B73" w:rsidRDefault="00CE5F49">
      <w:pPr>
        <w:pStyle w:val="FootnoteText"/>
        <w:rPr>
          <w:sz w:val="16"/>
          <w:szCs w:val="16"/>
          <w:lang w:val="en-US"/>
        </w:rPr>
      </w:pPr>
      <w:r>
        <w:rPr>
          <w:rStyle w:val="FootnoteReference"/>
        </w:rPr>
        <w:footnoteRef/>
      </w:r>
      <w:r>
        <w:t xml:space="preserve"> </w:t>
      </w:r>
      <w:r w:rsidRPr="00BD0B73">
        <w:rPr>
          <w:sz w:val="16"/>
          <w:szCs w:val="16"/>
        </w:rPr>
        <w:t>The Mexican State Constitutions that contain protections for unborn life are: Baja California, Chihuahua, Coahuila, Colima, Durango, Guanajuato, Jalisco, Morelos, Nayarit, Oaxaca, Puebla, Queretaro, Quintana Roo, San Luis Potosi, Sonora, and Yucatan</w:t>
      </w:r>
    </w:p>
  </w:footnote>
  <w:footnote w:id="45">
    <w:p w14:paraId="6F3C8C6B" w14:textId="5A8A5D49" w:rsidR="00CE5F49" w:rsidRPr="005A17C3" w:rsidRDefault="00CE5F49" w:rsidP="005A17C3">
      <w:pPr>
        <w:pStyle w:val="FootnoteText"/>
        <w:jc w:val="both"/>
        <w:rPr>
          <w:rFonts w:cs="Arial"/>
          <w:sz w:val="16"/>
          <w:szCs w:val="16"/>
        </w:rPr>
      </w:pPr>
      <w:r>
        <w:rPr>
          <w:rStyle w:val="FootnoteReference"/>
        </w:rPr>
        <w:footnoteRef/>
      </w:r>
      <w:r>
        <w:t xml:space="preserve"> </w:t>
      </w:r>
      <w:r w:rsidRPr="00BD0B73">
        <w:rPr>
          <w:rFonts w:cs="Arial"/>
          <w:sz w:val="16"/>
          <w:szCs w:val="16"/>
        </w:rPr>
        <w:t>The Argentinean Provincial Constitutions that contain protections for unborn life are: Buenos Aires, Catamarca, Chaco, Chubut, Cordoba, Corrientes Formosa, Rio Negro, Salta, San Juan, San Luis, Santiago de Estero, Tierra del Fuego, and Tucumán.</w:t>
      </w:r>
    </w:p>
  </w:footnote>
  <w:footnote w:id="46">
    <w:p w14:paraId="34E32080" w14:textId="39B4721C" w:rsidR="00CE5F49" w:rsidRPr="005A17C3" w:rsidRDefault="00CE5F49">
      <w:pPr>
        <w:pStyle w:val="FootnoteText"/>
        <w:rPr>
          <w:lang w:val="en-US"/>
        </w:rPr>
      </w:pPr>
      <w:r>
        <w:rPr>
          <w:rStyle w:val="FootnoteReference"/>
        </w:rPr>
        <w:footnoteRef/>
      </w:r>
      <w:r>
        <w:t xml:space="preserve"> </w:t>
      </w:r>
      <w:r w:rsidRPr="005A17C3">
        <w:rPr>
          <w:sz w:val="16"/>
          <w:szCs w:val="16"/>
        </w:rPr>
        <w:t>Basic law, article 2(2).</w:t>
      </w:r>
    </w:p>
  </w:footnote>
  <w:footnote w:id="47">
    <w:p w14:paraId="036D2ABC" w14:textId="46596BAF" w:rsidR="00CE5F49" w:rsidRPr="005A17C3" w:rsidRDefault="00CE5F49">
      <w:pPr>
        <w:pStyle w:val="FootnoteText"/>
        <w:rPr>
          <w:lang w:val="en-US"/>
        </w:rPr>
      </w:pPr>
      <w:r>
        <w:rPr>
          <w:rStyle w:val="FootnoteReference"/>
        </w:rPr>
        <w:footnoteRef/>
      </w:r>
      <w:r>
        <w:t xml:space="preserve"> </w:t>
      </w:r>
      <w:r w:rsidRPr="005A17C3">
        <w:t xml:space="preserve">  </w:t>
      </w:r>
      <w:r w:rsidRPr="005A17C3">
        <w:rPr>
          <w:sz w:val="16"/>
          <w:szCs w:val="16"/>
        </w:rPr>
        <w:t>39 BVerfGE 1 (1975).</w:t>
      </w:r>
    </w:p>
  </w:footnote>
  <w:footnote w:id="48">
    <w:p w14:paraId="6BC3E8DF" w14:textId="752F7491" w:rsidR="00CE5F49" w:rsidRPr="005A17C3" w:rsidRDefault="00CE5F49">
      <w:pPr>
        <w:pStyle w:val="FootnoteText"/>
        <w:rPr>
          <w:sz w:val="16"/>
          <w:szCs w:val="16"/>
          <w:lang w:val="en-US"/>
        </w:rPr>
      </w:pPr>
      <w:r>
        <w:rPr>
          <w:rStyle w:val="FootnoteReference"/>
        </w:rPr>
        <w:footnoteRef/>
      </w:r>
      <w:r>
        <w:t xml:space="preserve"> </w:t>
      </w:r>
      <w:r w:rsidRPr="005A17C3">
        <w:rPr>
          <w:sz w:val="16"/>
          <w:szCs w:val="16"/>
        </w:rPr>
        <w:t>Law on Family Planning (Protection of the Human Foetus and Conditions permitting Pregnancy Termination) 1993, s.1.</w:t>
      </w:r>
    </w:p>
  </w:footnote>
  <w:footnote w:id="49">
    <w:p w14:paraId="1946A2D5" w14:textId="77777777" w:rsidR="00CE5F49" w:rsidRPr="00E818EE" w:rsidRDefault="00CE5F49" w:rsidP="005A17C3">
      <w:pPr>
        <w:pStyle w:val="FootnoteText"/>
        <w:rPr>
          <w:rFonts w:cs="Arial"/>
        </w:rPr>
      </w:pPr>
      <w:r>
        <w:rPr>
          <w:rStyle w:val="FootnoteReference"/>
        </w:rPr>
        <w:footnoteRef/>
      </w:r>
      <w:r>
        <w:t xml:space="preserve"> </w:t>
      </w:r>
      <w:r w:rsidRPr="005A17C3">
        <w:rPr>
          <w:rFonts w:cs="Arial"/>
          <w:sz w:val="16"/>
          <w:szCs w:val="16"/>
        </w:rPr>
        <w:t>18 U.S.C. § 1841</w:t>
      </w:r>
    </w:p>
    <w:p w14:paraId="5C558FE4" w14:textId="52DD9269" w:rsidR="00CE5F49" w:rsidRPr="005A17C3" w:rsidRDefault="00CE5F49">
      <w:pPr>
        <w:pStyle w:val="FootnoteText"/>
        <w:rPr>
          <w:lang w:val="en-US"/>
        </w:rPr>
      </w:pPr>
    </w:p>
  </w:footnote>
  <w:footnote w:id="50">
    <w:p w14:paraId="26C7B82D" w14:textId="77777777" w:rsidR="00CE5F49" w:rsidRPr="00E818EE" w:rsidRDefault="00CE5F49" w:rsidP="003B37FC">
      <w:pPr>
        <w:pStyle w:val="FootnoteText"/>
      </w:pPr>
      <w:r w:rsidRPr="00E818EE">
        <w:rPr>
          <w:rStyle w:val="FootnoteReference"/>
        </w:rPr>
        <w:footnoteRef/>
      </w:r>
      <w:r w:rsidRPr="00E818EE">
        <w:t xml:space="preserve"> </w:t>
      </w:r>
      <w:r w:rsidRPr="00E818EE">
        <w:rPr>
          <w:i/>
        </w:rPr>
        <w:t>See Pretty v. the United Kingdom</w:t>
      </w:r>
      <w:r w:rsidRPr="00E818EE">
        <w:t>, no. 2346/02, 29 April 2002</w:t>
      </w:r>
      <w:r>
        <w:t xml:space="preserve"> </w:t>
      </w:r>
      <w:r>
        <w:rPr>
          <w:rFonts w:cs="Arial"/>
        </w:rPr>
        <w:t xml:space="preserve">§§ </w:t>
      </w:r>
      <w:r>
        <w:t>39-40</w:t>
      </w:r>
      <w:r w:rsidRPr="00E818EE">
        <w:t xml:space="preserve"> (Chamber judgment). </w:t>
      </w:r>
    </w:p>
  </w:footnote>
  <w:footnote w:id="51">
    <w:p w14:paraId="7B9A3D5D" w14:textId="77777777" w:rsidR="00CE5F49" w:rsidRDefault="00CE5F49" w:rsidP="00A13F25">
      <w:pPr>
        <w:pStyle w:val="FootnoteText"/>
      </w:pPr>
      <w:r>
        <w:rPr>
          <w:rStyle w:val="FootnoteReference"/>
        </w:rPr>
        <w:footnoteRef/>
      </w:r>
      <w:r>
        <w:t xml:space="preserve"> </w:t>
      </w:r>
      <w:r>
        <w:rPr>
          <w:i/>
        </w:rPr>
        <w:t>Charter of the United Nations</w:t>
      </w:r>
      <w:r>
        <w:t>, Article 56.</w:t>
      </w:r>
    </w:p>
  </w:footnote>
  <w:footnote w:id="52">
    <w:p w14:paraId="673115EA" w14:textId="77777777" w:rsidR="00CE5F49" w:rsidRDefault="00CE5F49" w:rsidP="00A13F25">
      <w:pPr>
        <w:pStyle w:val="FootnoteText"/>
      </w:pPr>
      <w:r>
        <w:rPr>
          <w:rStyle w:val="FootnoteReference"/>
        </w:rPr>
        <w:footnoteRef/>
      </w:r>
      <w:r>
        <w:t xml:space="preserve"> </w:t>
      </w:r>
      <w:r>
        <w:rPr>
          <w:i/>
        </w:rPr>
        <w:t>Ibid.</w:t>
      </w:r>
      <w:r>
        <w:t>, Article 55 (c).</w:t>
      </w:r>
    </w:p>
  </w:footnote>
  <w:footnote w:id="53">
    <w:p w14:paraId="61229908" w14:textId="77777777" w:rsidR="00CE5F49" w:rsidRDefault="00CE5F49" w:rsidP="00A13F25">
      <w:pPr>
        <w:pStyle w:val="FootnoteText"/>
      </w:pPr>
      <w:r>
        <w:rPr>
          <w:rStyle w:val="FootnoteReference"/>
        </w:rPr>
        <w:footnoteRef/>
      </w:r>
      <w:r>
        <w:t xml:space="preserve"> DJ Harris, </w:t>
      </w:r>
      <w:r>
        <w:rPr>
          <w:i/>
        </w:rPr>
        <w:t>Cases and Materials on International Law Fourth Edition</w:t>
      </w:r>
      <w:r>
        <w:t>, (London:  Sweet and Maxwell, 1991), 18.</w:t>
      </w:r>
    </w:p>
  </w:footnote>
  <w:footnote w:id="54">
    <w:p w14:paraId="0755BEBF" w14:textId="77777777" w:rsidR="00CE5F49" w:rsidRDefault="00CE5F49" w:rsidP="00A13F25">
      <w:pPr>
        <w:pStyle w:val="FootnoteText"/>
      </w:pPr>
      <w:r>
        <w:rPr>
          <w:rStyle w:val="FootnoteReference"/>
        </w:rPr>
        <w:footnoteRef/>
      </w:r>
      <w:r>
        <w:t xml:space="preserve"> </w:t>
      </w:r>
      <w:r>
        <w:rPr>
          <w:i/>
        </w:rPr>
        <w:t>Ibid.</w:t>
      </w:r>
      <w:r>
        <w:t>, 604.</w:t>
      </w:r>
    </w:p>
  </w:footnote>
  <w:footnote w:id="55">
    <w:p w14:paraId="7F835C02" w14:textId="77777777" w:rsidR="00CE5F49" w:rsidRDefault="00CE5F49" w:rsidP="00A13F25">
      <w:pPr>
        <w:pStyle w:val="FootnoteText"/>
      </w:pPr>
      <w:r>
        <w:rPr>
          <w:rStyle w:val="FootnoteReference"/>
        </w:rPr>
        <w:footnoteRef/>
      </w:r>
      <w:r>
        <w:t xml:space="preserve"> (1995) 183 CLR 273.</w:t>
      </w:r>
    </w:p>
  </w:footnote>
  <w:footnote w:id="56">
    <w:p w14:paraId="6D6DA286" w14:textId="77777777" w:rsidR="00CE5F49" w:rsidRDefault="00CE5F49" w:rsidP="00A13F25">
      <w:pPr>
        <w:pStyle w:val="FootnoteText"/>
      </w:pPr>
      <w:r>
        <w:rPr>
          <w:rStyle w:val="FootnoteReference"/>
        </w:rPr>
        <w:footnoteRef/>
      </w:r>
      <w:r>
        <w:t xml:space="preserve"> The precise status of various Declarations and Conventions under Australian law is unclear, but it is fair to say that some uncertainty exists as to their status.  At one extreme if Parliament has merely approved and repeated the treaty in legislation, without implementing it, the Act will give rise to no rights: see </w:t>
      </w:r>
      <w:r>
        <w:rPr>
          <w:i/>
        </w:rPr>
        <w:t>Bradley v The Commonwealth</w:t>
      </w:r>
      <w:r>
        <w:t xml:space="preserve"> (1973) 128 CLR 557 at 582, noted (1974) 48 ALJ 368. However, the High Court subsequently in </w:t>
      </w:r>
      <w:r>
        <w:rPr>
          <w:i/>
        </w:rPr>
        <w:t xml:space="preserve">Minister for Immigration and Ethnic Affairs v Teoh </w:t>
      </w:r>
      <w:r>
        <w:t>(1995) 183 CLR 273 held that entry into a treaty by Australia creates a “legitimate expectation”</w:t>
      </w:r>
      <w:r>
        <w:sym w:font="Symbol" w:char="F0BE"/>
      </w:r>
      <w:r>
        <w:t>in administrative law</w:t>
      </w:r>
      <w:r>
        <w:sym w:font="Symbol" w:char="F0BE"/>
      </w:r>
      <w:r>
        <w:t xml:space="preserve">that the Executive Government and its agencies will act according to the treaty, even where those terms were </w:t>
      </w:r>
      <w:r>
        <w:rPr>
          <w:i/>
        </w:rPr>
        <w:t>not</w:t>
      </w:r>
      <w:r>
        <w:t xml:space="preserve"> incorporated in Australian law (cf the proposed Administrative Decisions (Effect of International Instruments) Bill 1997).  At the other extreme where a Convention has been implemented it gives rise to enforceable rights beyond that of legitimate expectations, eg the </w:t>
      </w:r>
      <w:r>
        <w:rPr>
          <w:i/>
        </w:rPr>
        <w:t>Racial Discrimination Act 1975</w:t>
      </w:r>
      <w:r>
        <w:t xml:space="preserve"> (Cth.) (implementing the International Convention on the Elimination of All Forms of Racial Discrimination) and the </w:t>
      </w:r>
      <w:r>
        <w:rPr>
          <w:i/>
        </w:rPr>
        <w:t>Sex Discrimination Act 1984</w:t>
      </w:r>
      <w:r>
        <w:t xml:space="preserve"> (Cth.) (implementing the Convention on the Elimination of All Forms of Discrimination Against Women). The Declarations and Conventions attached as schedules to the </w:t>
      </w:r>
      <w:r>
        <w:rPr>
          <w:i/>
        </w:rPr>
        <w:t>Human Rights and Equal Opportunity Commission Act 1986</w:t>
      </w:r>
      <w:r>
        <w:t xml:space="preserve"> (Cth.) fall between these two extremes. Thus their precise status under Australian law is unclear.</w:t>
      </w:r>
    </w:p>
  </w:footnote>
  <w:footnote w:id="57">
    <w:p w14:paraId="2200DACE" w14:textId="77777777" w:rsidR="00CE5F49" w:rsidRDefault="00CE5F49" w:rsidP="00A13F25">
      <w:pPr>
        <w:pStyle w:val="FootnoteText"/>
      </w:pPr>
      <w:r>
        <w:rPr>
          <w:rStyle w:val="FootnoteReference"/>
        </w:rPr>
        <w:footnoteRef/>
      </w:r>
      <w:r>
        <w:t xml:space="preserve"> </w:t>
      </w:r>
      <w:r>
        <w:rPr>
          <w:i/>
        </w:rPr>
        <w:t>Minister for Immigration and Ethnic Affairs v Teoh</w:t>
      </w:r>
      <w:r>
        <w:t xml:space="preserve"> (1995) 183 CLR 273 at 287, 315. Followed in </w:t>
      </w:r>
      <w:r>
        <w:rPr>
          <w:i/>
        </w:rPr>
        <w:t>Krueger v The Commonwealth</w:t>
      </w:r>
      <w:r>
        <w:t xml:space="preserve"> (1997) 146 ALR 126. Brennan J. in </w:t>
      </w:r>
      <w:r>
        <w:rPr>
          <w:i/>
        </w:rPr>
        <w:t>Mabo (No. 2)</w:t>
      </w:r>
      <w:r>
        <w:t xml:space="preserve"> (1992) 175 CLR 1 at 42 referred to international instruments as “legitimate and important influences on the development of the common law, especially when international law declares the existence of universal human rights.”</w:t>
      </w:r>
    </w:p>
  </w:footnote>
  <w:footnote w:id="58">
    <w:p w14:paraId="15D6C883" w14:textId="77777777" w:rsidR="00CE5F49" w:rsidRDefault="00CE5F49" w:rsidP="00A13F25">
      <w:pPr>
        <w:pStyle w:val="FootnoteText"/>
      </w:pPr>
      <w:r>
        <w:rPr>
          <w:rStyle w:val="FootnoteReference"/>
        </w:rPr>
        <w:footnoteRef/>
      </w:r>
      <w:r>
        <w:t xml:space="preserve"> (1995) 38 NSWLR 47.</w:t>
      </w:r>
    </w:p>
  </w:footnote>
  <w:footnote w:id="59">
    <w:p w14:paraId="6BD6FB7D" w14:textId="77777777" w:rsidR="00CE5F49" w:rsidRDefault="00CE5F49" w:rsidP="00A13F25">
      <w:pPr>
        <w:pStyle w:val="FootnoteText"/>
      </w:pPr>
      <w:r>
        <w:rPr>
          <w:rStyle w:val="FootnoteReference"/>
        </w:rPr>
        <w:footnoteRef/>
      </w:r>
      <w:r>
        <w:t xml:space="preserve"> (1971) 3 NSWDCR 25.</w:t>
      </w:r>
    </w:p>
  </w:footnote>
  <w:footnote w:id="60">
    <w:p w14:paraId="317AE991" w14:textId="77777777" w:rsidR="00CE5F49" w:rsidRDefault="00CE5F49" w:rsidP="00A13F25">
      <w:pPr>
        <w:pStyle w:val="FootnoteText"/>
      </w:pPr>
      <w:r>
        <w:rPr>
          <w:rStyle w:val="FootnoteReference"/>
        </w:rPr>
        <w:footnoteRef/>
      </w:r>
      <w:r>
        <w:t xml:space="preserve"> (1996) 136 ALR 16 (SLA).</w:t>
      </w:r>
    </w:p>
  </w:footnote>
  <w:footnote w:id="61">
    <w:p w14:paraId="535F1C97" w14:textId="77777777" w:rsidR="00CE5F49" w:rsidRPr="00740F18" w:rsidRDefault="00CE5F49" w:rsidP="00A13F25">
      <w:pPr>
        <w:pStyle w:val="FootnoteText"/>
        <w:rPr>
          <w:lang w:val="en-AU"/>
        </w:rPr>
      </w:pPr>
      <w:r>
        <w:rPr>
          <w:rStyle w:val="FootnoteReference"/>
        </w:rPr>
        <w:footnoteRef/>
      </w:r>
      <w:r>
        <w:t xml:space="preserve"> </w:t>
      </w:r>
      <w:r>
        <w:rPr>
          <w:lang w:val="en-AU"/>
        </w:rPr>
        <w:t xml:space="preserve">Richard C Wilkins and Jacob Reynolds, “International Law and the Right to Life, </w:t>
      </w:r>
      <w:r>
        <w:rPr>
          <w:i/>
          <w:lang w:val="en-AU"/>
        </w:rPr>
        <w:t>Ave Maria Law Review</w:t>
      </w:r>
      <w:r>
        <w:t xml:space="preserve">, </w:t>
      </w:r>
      <w:r w:rsidRPr="00740F18">
        <w:rPr>
          <w:b/>
        </w:rPr>
        <w:t>4</w:t>
      </w:r>
      <w:r>
        <w:t>:1 Winter 2006, 1213-124</w:t>
      </w:r>
    </w:p>
  </w:footnote>
  <w:footnote w:id="62">
    <w:p w14:paraId="02D8C08C" w14:textId="77777777" w:rsidR="00CE5F49" w:rsidRDefault="00CE5F49" w:rsidP="00A13F25">
      <w:pPr>
        <w:pStyle w:val="FootnoteText"/>
      </w:pPr>
      <w:r>
        <w:rPr>
          <w:rStyle w:val="FootnoteReference"/>
        </w:rPr>
        <w:footnoteRef/>
      </w:r>
      <w:r>
        <w:t xml:space="preserve"> The </w:t>
      </w:r>
      <w:r>
        <w:rPr>
          <w:i/>
        </w:rPr>
        <w:t xml:space="preserve">Vienna Convention on the Law of Treaties 1969 </w:t>
      </w:r>
      <w:r>
        <w:t>applies to the interpretation of the CRC because it entered into force after 27 January 1980, the operative date of the Vienna Convention. The Vienna Convention expressly provides it does not apply retrospectively (see Article 4).</w:t>
      </w:r>
    </w:p>
  </w:footnote>
  <w:footnote w:id="63">
    <w:p w14:paraId="505F7FB8" w14:textId="77777777" w:rsidR="00CE5F49" w:rsidRDefault="00CE5F49" w:rsidP="00A13F25">
      <w:pPr>
        <w:pStyle w:val="FootnoteText"/>
      </w:pPr>
      <w:r>
        <w:rPr>
          <w:rStyle w:val="FootnoteReference"/>
        </w:rPr>
        <w:footnoteRef/>
      </w:r>
      <w:r>
        <w:t xml:space="preserve"> Australia has approved and repeated the United Nations’ Charter in the </w:t>
      </w:r>
      <w:r>
        <w:rPr>
          <w:i/>
        </w:rPr>
        <w:t>Charter of the United Nations Act 1945</w:t>
      </w:r>
      <w:r>
        <w:t xml:space="preserve"> (Cth.). However the Act does not </w:t>
      </w:r>
      <w:r>
        <w:rPr>
          <w:i/>
        </w:rPr>
        <w:t>implement</w:t>
      </w:r>
      <w:r>
        <w:t xml:space="preserve"> the United Nations Charter into municipal law:  see </w:t>
      </w:r>
      <w:r>
        <w:rPr>
          <w:i/>
        </w:rPr>
        <w:t>Bradley v The Commonwealth</w:t>
      </w:r>
      <w:r>
        <w:t xml:space="preserve"> (1973) 128 CLR 557 at 582, noted (1974) 48 ALJ 368.  See also </w:t>
      </w:r>
      <w:r>
        <w:rPr>
          <w:i/>
        </w:rPr>
        <w:t>Minister for Immigration and Ethnic Affairs v Teoh</w:t>
      </w:r>
      <w:r>
        <w:t xml:space="preserve"> (1995) 183 CLR 273 at 286-287, 298, 304, 315. </w:t>
      </w:r>
    </w:p>
  </w:footnote>
  <w:footnote w:id="64">
    <w:p w14:paraId="7AB38CE9" w14:textId="77777777" w:rsidR="00CE5F49" w:rsidRDefault="00CE5F49" w:rsidP="00A13F25">
      <w:pPr>
        <w:pStyle w:val="FootnoteText"/>
      </w:pPr>
      <w:r>
        <w:rPr>
          <w:rStyle w:val="FootnoteReference"/>
        </w:rPr>
        <w:footnoteRef/>
      </w:r>
      <w:r>
        <w:t xml:space="preserve"> The Proclamation of Teheran, Final Act of the International Conference on Human Rights, Teheran, 22 April to 13 May 1968, U.N. Doc. A/CONF. 32/41 (1968) notes:</w:t>
      </w:r>
    </w:p>
    <w:p w14:paraId="5531BA08" w14:textId="77777777" w:rsidR="00CE5F49" w:rsidRDefault="00CE5F49" w:rsidP="00A13F25">
      <w:pPr>
        <w:pStyle w:val="FootnoteText"/>
        <w:ind w:left="720"/>
      </w:pPr>
      <w:r>
        <w:t>2. The Universal Declaration of Human Rights states a common understanding of the peoples of the world concerning the inalienable and inviolable rights of all members of the human family and constitutes an obligation for the members of the international community;</w:t>
      </w:r>
    </w:p>
  </w:footnote>
  <w:footnote w:id="65">
    <w:p w14:paraId="6FBABA9E" w14:textId="77777777" w:rsidR="00CE5F49" w:rsidRDefault="00CE5F49" w:rsidP="00A13F25">
      <w:pPr>
        <w:pStyle w:val="FootnoteText"/>
      </w:pPr>
      <w:r>
        <w:rPr>
          <w:rStyle w:val="FootnoteReference"/>
        </w:rPr>
        <w:footnoteRef/>
      </w:r>
      <w:r>
        <w:t xml:space="preserve"> Peter Bailey, </w:t>
      </w:r>
      <w:r>
        <w:rPr>
          <w:i/>
        </w:rPr>
        <w:t>Human Rights, Australia in an international context</w:t>
      </w:r>
      <w:r>
        <w:t>, Butterworths, 1990, 111.</w:t>
      </w:r>
    </w:p>
  </w:footnote>
  <w:footnote w:id="66">
    <w:p w14:paraId="699626F2" w14:textId="77777777" w:rsidR="00CE5F49" w:rsidRDefault="00CE5F49" w:rsidP="00A13F25">
      <w:pPr>
        <w:pStyle w:val="FootnoteText"/>
      </w:pPr>
      <w:r>
        <w:rPr>
          <w:rStyle w:val="FootnoteReference"/>
        </w:rPr>
        <w:footnoteRef/>
      </w:r>
      <w:r>
        <w:t xml:space="preserve"> On 22 December 1992 the Federal Attorney General declared, under section 47 of the </w:t>
      </w:r>
      <w:r>
        <w:rPr>
          <w:i/>
        </w:rPr>
        <w:t>Human Rights and Equal Opportunity Commission Act 1986</w:t>
      </w:r>
      <w:r>
        <w:t xml:space="preserve"> (Cth.), that the CRC was an “international instrument” concerning “human rights and freedoms” under the Act. </w:t>
      </w:r>
    </w:p>
  </w:footnote>
  <w:footnote w:id="67">
    <w:p w14:paraId="40611351" w14:textId="77777777" w:rsidR="00CE5F49" w:rsidRDefault="00CE5F49" w:rsidP="00A13F25">
      <w:pPr>
        <w:pStyle w:val="FootnoteText"/>
      </w:pPr>
      <w:r>
        <w:rPr>
          <w:rStyle w:val="FootnoteReference"/>
        </w:rPr>
        <w:footnoteRef/>
      </w:r>
      <w:r>
        <w:t xml:space="preserve"> </w:t>
      </w:r>
      <w:r>
        <w:rPr>
          <w:i/>
        </w:rPr>
        <w:t>Op. cit.</w:t>
      </w:r>
      <w:r>
        <w:t xml:space="preserve"> n </w:t>
      </w:r>
      <w:r>
        <w:fldChar w:fldCharType="begin"/>
      </w:r>
      <w:r>
        <w:instrText xml:space="preserve"> NOTEREF _Ref403435760 </w:instrText>
      </w:r>
      <w:r>
        <w:fldChar w:fldCharType="separate"/>
      </w:r>
      <w:r>
        <w:t>lvi</w:t>
      </w:r>
      <w:r>
        <w:fldChar w:fldCharType="end"/>
      </w:r>
      <w:r>
        <w:t>.</w:t>
      </w:r>
    </w:p>
  </w:footnote>
  <w:footnote w:id="68">
    <w:p w14:paraId="672ED880" w14:textId="77777777" w:rsidR="00CE5F49" w:rsidRPr="00503316" w:rsidRDefault="00CE5F49" w:rsidP="00A13F25">
      <w:pPr>
        <w:pStyle w:val="FootnoteText"/>
        <w:rPr>
          <w:i/>
          <w:lang w:val="en-AU"/>
        </w:rPr>
      </w:pPr>
      <w:r>
        <w:rPr>
          <w:rStyle w:val="FootnoteReference"/>
        </w:rPr>
        <w:footnoteRef/>
      </w:r>
      <w:r>
        <w:t xml:space="preserve"> </w:t>
      </w:r>
      <w:r>
        <w:rPr>
          <w:lang w:val="en-AU"/>
        </w:rPr>
        <w:t xml:space="preserve">Alison Duxbury and Christopher Ward, “The International Law Implications of Australian Abortion Law” (2000) 23(2), </w:t>
      </w:r>
      <w:r>
        <w:rPr>
          <w:i/>
          <w:lang w:val="en-AU"/>
        </w:rPr>
        <w:t xml:space="preserve">UNSW Law Journal </w:t>
      </w:r>
      <w:r w:rsidRPr="00503316">
        <w:t>17</w:t>
      </w:r>
    </w:p>
  </w:footnote>
  <w:footnote w:id="69">
    <w:p w14:paraId="0B348AAF" w14:textId="77777777" w:rsidR="00CE5F49" w:rsidRDefault="00CE5F49" w:rsidP="00A13F25">
      <w:pPr>
        <w:pStyle w:val="FootnoteText"/>
      </w:pPr>
      <w:r>
        <w:rPr>
          <w:rStyle w:val="FootnoteReference"/>
        </w:rPr>
        <w:footnoteRef/>
      </w:r>
      <w:r>
        <w:t xml:space="preserve"> Article 2(b) of the </w:t>
      </w:r>
      <w:r>
        <w:rPr>
          <w:i/>
        </w:rPr>
        <w:t>Vienna Convention on the Law of Treaties 1969</w:t>
      </w:r>
      <w:r>
        <w:t xml:space="preserve"> defines:</w:t>
      </w:r>
    </w:p>
    <w:p w14:paraId="79B9096D" w14:textId="77777777" w:rsidR="00CE5F49" w:rsidRDefault="00CE5F49" w:rsidP="00A13F25">
      <w:pPr>
        <w:pStyle w:val="FootnoteText"/>
        <w:ind w:left="360"/>
      </w:pPr>
      <w:r>
        <w:t>‘ratification’, ‘acceptance’, ‘approval’ and ‘accession’ [to] mean in each case the international act so named whereby a State establishes on the international plane its consent to be bound by a treaty;</w:t>
      </w:r>
    </w:p>
  </w:footnote>
  <w:footnote w:id="70">
    <w:p w14:paraId="4AABA118" w14:textId="77777777" w:rsidR="00CE5F49" w:rsidRDefault="00CE5F49" w:rsidP="00A13F25">
      <w:pPr>
        <w:pStyle w:val="FootnoteText"/>
      </w:pPr>
      <w:r>
        <w:rPr>
          <w:rStyle w:val="FootnoteReference"/>
        </w:rPr>
        <w:footnoteRef/>
      </w:r>
      <w:r>
        <w:t xml:space="preserve"> Australia signed the Convention on 22 August 1990 and ratified it on 17 December 1990.</w:t>
      </w:r>
    </w:p>
  </w:footnote>
  <w:footnote w:id="71">
    <w:p w14:paraId="354FF15B" w14:textId="77777777" w:rsidR="00CE5F49" w:rsidRDefault="00CE5F49" w:rsidP="00A13F25">
      <w:pPr>
        <w:pStyle w:val="FootnoteText"/>
      </w:pPr>
      <w:r>
        <w:rPr>
          <w:rStyle w:val="FootnoteReference"/>
        </w:rPr>
        <w:footnoteRef/>
      </w:r>
      <w:r>
        <w:t xml:space="preserve"> Preamble,</w:t>
      </w:r>
      <w:r>
        <w:rPr>
          <w:i/>
        </w:rPr>
        <w:t xml:space="preserve"> Convention on the Rights of the Child 1989</w:t>
      </w:r>
      <w:r>
        <w:t>, G.A. res. 44/25, annex, 44 U.N. GAOR Supp. (No. 49) at 167, U.N. Doc. A/44/49 (1989).</w:t>
      </w:r>
    </w:p>
  </w:footnote>
  <w:footnote w:id="72">
    <w:p w14:paraId="56EB0F84" w14:textId="77777777" w:rsidR="00CE5F49" w:rsidRDefault="00CE5F49" w:rsidP="00A13F25">
      <w:pPr>
        <w:pStyle w:val="FootnoteText"/>
      </w:pPr>
      <w:r>
        <w:rPr>
          <w:rStyle w:val="FootnoteReference"/>
        </w:rPr>
        <w:footnoteRef/>
      </w:r>
      <w:r>
        <w:t xml:space="preserve"> </w:t>
      </w:r>
      <w:r>
        <w:rPr>
          <w:i/>
        </w:rPr>
        <w:t xml:space="preserve">Op. cit. n </w:t>
      </w:r>
      <w:r>
        <w:rPr>
          <w:i/>
        </w:rPr>
        <w:fldChar w:fldCharType="begin"/>
      </w:r>
      <w:r>
        <w:rPr>
          <w:i/>
        </w:rPr>
        <w:instrText xml:space="preserve"> NOTEREF _Ref395330483 </w:instrText>
      </w:r>
      <w:r>
        <w:rPr>
          <w:i/>
        </w:rPr>
        <w:fldChar w:fldCharType="separate"/>
      </w:r>
      <w:r>
        <w:rPr>
          <w:i/>
        </w:rPr>
        <w:t>lxxi</w:t>
      </w:r>
      <w:r>
        <w:rPr>
          <w:i/>
        </w:rPr>
        <w:fldChar w:fldCharType="end"/>
      </w:r>
      <w:r>
        <w:rPr>
          <w:i/>
        </w:rPr>
        <w:t>,</w:t>
      </w:r>
      <w:r>
        <w:t xml:space="preserve"> Article 6(1).</w:t>
      </w:r>
    </w:p>
  </w:footnote>
  <w:footnote w:id="73">
    <w:p w14:paraId="12BF2488" w14:textId="77777777" w:rsidR="00CE5F49" w:rsidRDefault="00CE5F49" w:rsidP="00A13F25">
      <w:pPr>
        <w:pStyle w:val="FootnoteText"/>
      </w:pPr>
      <w:r>
        <w:rPr>
          <w:rStyle w:val="FootnoteReference"/>
        </w:rPr>
        <w:footnoteRef/>
      </w:r>
      <w:r>
        <w:t xml:space="preserve"> </w:t>
      </w:r>
      <w:r>
        <w:rPr>
          <w:i/>
        </w:rPr>
        <w:t xml:space="preserve">Op. cit. n </w:t>
      </w:r>
      <w:r>
        <w:rPr>
          <w:i/>
        </w:rPr>
        <w:fldChar w:fldCharType="begin"/>
      </w:r>
      <w:r>
        <w:rPr>
          <w:i/>
        </w:rPr>
        <w:instrText xml:space="preserve"> NOTEREF _Ref395330483 </w:instrText>
      </w:r>
      <w:r>
        <w:rPr>
          <w:i/>
        </w:rPr>
        <w:fldChar w:fldCharType="separate"/>
      </w:r>
      <w:r>
        <w:rPr>
          <w:i/>
        </w:rPr>
        <w:t>lxxi</w:t>
      </w:r>
      <w:r>
        <w:rPr>
          <w:i/>
        </w:rPr>
        <w:fldChar w:fldCharType="end"/>
      </w:r>
      <w:r>
        <w:rPr>
          <w:i/>
        </w:rPr>
        <w:t>,</w:t>
      </w:r>
      <w:r>
        <w:t xml:space="preserve"> Article 6(2).</w:t>
      </w:r>
    </w:p>
  </w:footnote>
  <w:footnote w:id="74">
    <w:p w14:paraId="49E92642" w14:textId="77777777" w:rsidR="00CE5F49" w:rsidRDefault="00CE5F49" w:rsidP="00A13F25">
      <w:pPr>
        <w:pStyle w:val="FootnoteText"/>
      </w:pPr>
      <w:r>
        <w:rPr>
          <w:rStyle w:val="FootnoteReference"/>
        </w:rPr>
        <w:footnoteRef/>
      </w:r>
      <w:r>
        <w:rPr>
          <w:rFonts w:ascii="Courier_PC" w:hAnsi="Courier_PC"/>
        </w:rPr>
        <w:t xml:space="preserve"> </w:t>
      </w:r>
      <w:r>
        <w:rPr>
          <w:i/>
        </w:rPr>
        <w:t xml:space="preserve">Op. cit. n </w:t>
      </w:r>
      <w:r>
        <w:rPr>
          <w:i/>
        </w:rPr>
        <w:fldChar w:fldCharType="begin"/>
      </w:r>
      <w:r>
        <w:rPr>
          <w:i/>
        </w:rPr>
        <w:instrText xml:space="preserve"> NOTEREF _Ref395330483 </w:instrText>
      </w:r>
      <w:r>
        <w:rPr>
          <w:i/>
        </w:rPr>
        <w:fldChar w:fldCharType="separate"/>
      </w:r>
      <w:r>
        <w:rPr>
          <w:i/>
        </w:rPr>
        <w:t>lxxi</w:t>
      </w:r>
      <w:r>
        <w:rPr>
          <w:i/>
        </w:rPr>
        <w:fldChar w:fldCharType="end"/>
      </w:r>
      <w:r>
        <w:rPr>
          <w:i/>
        </w:rPr>
        <w:t>,</w:t>
      </w:r>
      <w:r>
        <w:t xml:space="preserve"> Preamble. See also footnote </w:t>
      </w:r>
      <w:r>
        <w:fldChar w:fldCharType="begin"/>
      </w:r>
      <w:r>
        <w:instrText xml:space="preserve"> NOTEREF _Ref395450889 </w:instrText>
      </w:r>
      <w:r>
        <w:fldChar w:fldCharType="separate"/>
      </w:r>
      <w:r>
        <w:t>lxxviii</w:t>
      </w:r>
      <w:r>
        <w:fldChar w:fldCharType="end"/>
      </w:r>
      <w:r>
        <w:t>.</w:t>
      </w:r>
    </w:p>
  </w:footnote>
  <w:footnote w:id="75">
    <w:p w14:paraId="106D9C4E" w14:textId="77777777" w:rsidR="00CE5F49" w:rsidRDefault="00CE5F49" w:rsidP="00A13F25">
      <w:pPr>
        <w:pStyle w:val="FootnoteText"/>
      </w:pPr>
      <w:r>
        <w:rPr>
          <w:rStyle w:val="FootnoteReference"/>
        </w:rPr>
        <w:footnoteRef/>
      </w:r>
      <w:r>
        <w:t xml:space="preserve"> At signature or ratification a State may, but not afterwards, make a reservation or interpretation: Paul Sieghart, </w:t>
      </w:r>
      <w:r>
        <w:rPr>
          <w:i/>
        </w:rPr>
        <w:t>The</w:t>
      </w:r>
      <w:r>
        <w:t xml:space="preserve"> </w:t>
      </w:r>
      <w:r>
        <w:rPr>
          <w:i/>
        </w:rPr>
        <w:t>International law of Human Rights</w:t>
      </w:r>
      <w:r>
        <w:t xml:space="preserve">, Clarendon Press Oxford, 1983, 36. Article 2(d) of the </w:t>
      </w:r>
      <w:r>
        <w:rPr>
          <w:i/>
        </w:rPr>
        <w:t>Vienna Convention on the Law of Treaties 1969</w:t>
      </w:r>
      <w:r>
        <w:t xml:space="preserve"> defines a reservation to mean:</w:t>
      </w:r>
    </w:p>
    <w:p w14:paraId="58120625" w14:textId="77777777" w:rsidR="00CE5F49" w:rsidRDefault="00CE5F49" w:rsidP="00A13F25">
      <w:pPr>
        <w:pStyle w:val="FootnoteText"/>
        <w:ind w:left="360"/>
      </w:pPr>
      <w:r>
        <w:t>. . . a unilateral statement, however phrased or named, made by a State, when signing, ratifying, accepting, approving or acceding to a treaty, whereby it purports to exclude or to modify the legal effect of certain provisions of the treaty in their application to that State;</w:t>
      </w:r>
    </w:p>
  </w:footnote>
  <w:footnote w:id="76">
    <w:p w14:paraId="4682A0EB" w14:textId="77777777" w:rsidR="00CE5F49" w:rsidRDefault="00CE5F49" w:rsidP="00A13F25">
      <w:pPr>
        <w:pStyle w:val="FootnoteText"/>
      </w:pPr>
      <w:r>
        <w:rPr>
          <w:rStyle w:val="FootnoteReference"/>
        </w:rPr>
        <w:footnoteRef/>
      </w:r>
      <w:r>
        <w:t xml:space="preserve"> According to United Nations ratification information Australia only placed one reservation on the CRC, being:</w:t>
      </w:r>
    </w:p>
    <w:p w14:paraId="1C642B4B" w14:textId="77777777" w:rsidR="00CE5F49" w:rsidRDefault="00CE5F49" w:rsidP="00A13F25">
      <w:pPr>
        <w:pStyle w:val="FootnoteText"/>
        <w:ind w:left="720"/>
      </w:pPr>
      <w:r>
        <w:t xml:space="preserve">Australia accepts the general principles of article 37. In relation to the second sentence of paragraph (c), the obligation to separate children from adults in prison is accepted only to the extent that such imprisonment is considered by the responsible authorities to be feasible and consistent with the obligation that children be able to maintain contact with their families, having regard to the geography and demography of Australia. Australia, therefore, ratifies the Convention to the extent that it is unable to comply with the obligation imposed by article 37 (c). [United Nations, </w:t>
      </w:r>
      <w:r>
        <w:rPr>
          <w:i/>
        </w:rPr>
        <w:t>Treaty Series</w:t>
      </w:r>
      <w:r>
        <w:t>, vol. 999, p. 171 and vol. 1057, p. 407]</w:t>
      </w:r>
    </w:p>
  </w:footnote>
  <w:footnote w:id="77">
    <w:p w14:paraId="49DDA081" w14:textId="77777777" w:rsidR="00CE5F49" w:rsidRDefault="00CE5F49" w:rsidP="00A13F25">
      <w:pPr>
        <w:pStyle w:val="FootnoteText"/>
      </w:pPr>
      <w:r>
        <w:rPr>
          <w:rStyle w:val="FootnoteReference"/>
        </w:rPr>
        <w:footnoteRef/>
      </w:r>
      <w:r>
        <w:rPr>
          <w:rFonts w:ascii="Courier_PC" w:hAnsi="Courier_PC"/>
        </w:rPr>
        <w:t xml:space="preserve"> </w:t>
      </w:r>
      <w:r>
        <w:rPr>
          <w:i/>
        </w:rPr>
        <w:t>Hansard, Australian Senate</w:t>
      </w:r>
      <w:r>
        <w:t>, 26 October 1989, 2309.</w:t>
      </w:r>
    </w:p>
  </w:footnote>
  <w:footnote w:id="78">
    <w:p w14:paraId="566360E9" w14:textId="77777777" w:rsidR="00CE5F49" w:rsidRDefault="00CE5F49" w:rsidP="00A13F25">
      <w:pPr>
        <w:pStyle w:val="FootnoteText"/>
      </w:pPr>
      <w:r>
        <w:rPr>
          <w:rStyle w:val="FootnoteReference"/>
        </w:rPr>
        <w:footnoteRef/>
      </w:r>
      <w:r>
        <w:t xml:space="preserve"> For example, Malta and Senegal. In the United Nations ratification information concerning the CRC, Ecuador expressly declared:</w:t>
      </w:r>
    </w:p>
    <w:p w14:paraId="3D89A1A3" w14:textId="77777777" w:rsidR="00CE5F49" w:rsidRDefault="00CE5F49" w:rsidP="00A13F25">
      <w:pPr>
        <w:pStyle w:val="FootnoteText"/>
        <w:ind w:left="360"/>
      </w:pPr>
      <w:r>
        <w:t>In signing the Convention on the Rights of the Child, Ecuador reaffirms . . . [that it is] especially pleased with the ninth preambular paragraph of the draft Convention, which pointed to the need to protect the unborn child, and believed that that paragraph should be borne in mind in interpreting all the articles of the Convention, particularly article 24. While the minimum age set in article 38 was, in its view, too low, [the Government of Ecuador] did not wish to endanger the chances for the Convention’s adoption by consensus and therefore would not propose any amendment to the text. [Doc. A/RES/44/25]</w:t>
      </w:r>
    </w:p>
    <w:p w14:paraId="640ABFA2" w14:textId="77777777" w:rsidR="00CE5F49" w:rsidRDefault="00CE5F49" w:rsidP="00A13F25">
      <w:pPr>
        <w:pStyle w:val="FootnoteText"/>
      </w:pPr>
      <w:r>
        <w:t>The Holy See also declared:</w:t>
      </w:r>
    </w:p>
    <w:p w14:paraId="0B668664" w14:textId="77777777" w:rsidR="00CE5F49" w:rsidRDefault="00CE5F49" w:rsidP="00A13F25">
      <w:pPr>
        <w:pStyle w:val="FootnoteText"/>
        <w:ind w:left="360"/>
      </w:pPr>
      <w:r>
        <w:t>. . . that the Convention represents an enactment of principles previously adopted by the United Nations, and once effective as a ratified instrument, will safeguard the rights of the child before as well as after birth, as expressly affirmed in the ‘Declaration of the Rights of the Child’ [Res. 136 (XIV)] and restated in the ninth preambular paragraph of the Convention. The Holy See remains confident that the ninth preambular paragraph will serve as the perspective through which the rest of the Convention will be interpreted, in conformity with article 31 of the Vienna Convention on the Law of Treaties of 23 May 1969. [Doc. A/RES/44/25]</w:t>
      </w:r>
    </w:p>
    <w:p w14:paraId="773E6A50" w14:textId="77777777" w:rsidR="00CE5F49" w:rsidRDefault="00CE5F49" w:rsidP="00A13F25">
      <w:pPr>
        <w:pStyle w:val="FootnoteText"/>
      </w:pPr>
      <w:r>
        <w:t>According to a UN Glossary of Terms “states make ‘declarations’ as to their understanding of some matter or as to the interpretation of a particular provision. Unlike reservations, declarations merely clarify the state’s position and do not purport to exclude or modify the legal effect of a treaty. Usually, declarations are made at the time of the deposit of the corresponding instrument or at the time of signature.” These two quotes were the only references in the formal ratification information concerning the unborn.</w:t>
      </w:r>
    </w:p>
  </w:footnote>
  <w:footnote w:id="79">
    <w:p w14:paraId="308183E9" w14:textId="77777777" w:rsidR="00CE5F49" w:rsidRDefault="00CE5F49" w:rsidP="00A13F25">
      <w:pPr>
        <w:pStyle w:val="FootnoteText"/>
      </w:pPr>
      <w:r>
        <w:rPr>
          <w:rStyle w:val="FootnoteReference"/>
        </w:rPr>
        <w:footnoteRef/>
      </w:r>
      <w:r>
        <w:t xml:space="preserve"> Sharon Detrick compiler and editor, </w:t>
      </w:r>
      <w:r>
        <w:rPr>
          <w:i/>
        </w:rPr>
        <w:t>The United Nations Convention on the Rights of the Child, A Guide to the “Travaux Préparatoires”</w:t>
      </w:r>
      <w:r>
        <w:t>, (Dordrecht: Martinus Nijhoff Publishers, 1992), 109.</w:t>
      </w:r>
    </w:p>
  </w:footnote>
  <w:footnote w:id="80">
    <w:p w14:paraId="73AE5D6E" w14:textId="77777777" w:rsidR="00CE5F49" w:rsidRDefault="00CE5F49" w:rsidP="00A13F25">
      <w:pPr>
        <w:pStyle w:val="FootnoteText"/>
      </w:pPr>
      <w:r>
        <w:rPr>
          <w:rStyle w:val="FootnoteReference"/>
        </w:rPr>
        <w:footnoteRef/>
      </w:r>
      <w:r>
        <w:t xml:space="preserve"> Article 1 of CRC states: </w:t>
      </w:r>
    </w:p>
    <w:p w14:paraId="0343325C" w14:textId="77777777" w:rsidR="00CE5F49" w:rsidRDefault="00CE5F49" w:rsidP="00A13F25">
      <w:pPr>
        <w:pStyle w:val="FootnoteText"/>
        <w:ind w:left="360"/>
      </w:pPr>
      <w:r>
        <w:t>For the purposes of the present Convention, a child means every human being below the age of eighteen years unless, under the law applicable to the child, majority is attained earlier.</w:t>
      </w:r>
    </w:p>
  </w:footnote>
  <w:footnote w:id="81">
    <w:p w14:paraId="43EFAE64" w14:textId="77777777" w:rsidR="00CE5F49" w:rsidRDefault="00CE5F49" w:rsidP="00A13F25">
      <w:pPr>
        <w:pStyle w:val="FootnoteText"/>
      </w:pPr>
      <w:r>
        <w:rPr>
          <w:rStyle w:val="FootnoteReference"/>
        </w:rPr>
        <w:footnoteRef/>
      </w:r>
      <w:r>
        <w:t xml:space="preserve"> Sharon Detrick.</w:t>
      </w:r>
      <w:r>
        <w:rPr>
          <w:i/>
        </w:rPr>
        <w:t xml:space="preserve"> op. cit. n </w:t>
      </w:r>
      <w:r>
        <w:rPr>
          <w:i/>
        </w:rPr>
        <w:fldChar w:fldCharType="begin"/>
      </w:r>
      <w:r>
        <w:rPr>
          <w:i/>
        </w:rPr>
        <w:instrText xml:space="preserve"> NOTEREF _Ref392379426 </w:instrText>
      </w:r>
      <w:r>
        <w:rPr>
          <w:i/>
        </w:rPr>
        <w:fldChar w:fldCharType="separate"/>
      </w:r>
      <w:r>
        <w:rPr>
          <w:i/>
        </w:rPr>
        <w:t>lxxix</w:t>
      </w:r>
      <w:r>
        <w:rPr>
          <w:i/>
        </w:rPr>
        <w:fldChar w:fldCharType="end"/>
      </w:r>
      <w:r>
        <w:t>, 110.</w:t>
      </w:r>
    </w:p>
  </w:footnote>
  <w:footnote w:id="82">
    <w:p w14:paraId="5D020A4B" w14:textId="77777777" w:rsidR="00CE5F49" w:rsidRDefault="00CE5F49" w:rsidP="00A13F25">
      <w:pPr>
        <w:pStyle w:val="FootnoteText"/>
      </w:pPr>
      <w:r>
        <w:rPr>
          <w:rStyle w:val="FootnoteReference"/>
        </w:rPr>
        <w:footnoteRef/>
      </w:r>
      <w:r>
        <w:t xml:space="preserve"> </w:t>
      </w:r>
      <w:r>
        <w:rPr>
          <w:i/>
        </w:rPr>
        <w:t>Ibid</w:t>
      </w:r>
      <w:r>
        <w:t>.</w:t>
      </w:r>
    </w:p>
  </w:footnote>
  <w:footnote w:id="83">
    <w:p w14:paraId="3251D988" w14:textId="77777777" w:rsidR="00CE5F49" w:rsidRDefault="00CE5F49" w:rsidP="00A13F25">
      <w:pPr>
        <w:pStyle w:val="FootnoteText"/>
      </w:pPr>
      <w:r>
        <w:rPr>
          <w:rStyle w:val="FootnoteReference"/>
        </w:rPr>
        <w:footnoteRef/>
      </w:r>
      <w:r>
        <w:t xml:space="preserve"> Carl August Fleischhauer, The Legal Counsel, 9 December 1988, Response of the Legal Counsel E/CN.4/1989/48, Annex p. 144, Sharon Detrick.</w:t>
      </w:r>
      <w:r>
        <w:rPr>
          <w:i/>
        </w:rPr>
        <w:t xml:space="preserve"> op. cit. n </w:t>
      </w:r>
      <w:r>
        <w:rPr>
          <w:i/>
        </w:rPr>
        <w:fldChar w:fldCharType="begin"/>
      </w:r>
      <w:r>
        <w:rPr>
          <w:i/>
        </w:rPr>
        <w:instrText xml:space="preserve"> NOTEREF _Ref392379426 </w:instrText>
      </w:r>
      <w:r>
        <w:rPr>
          <w:i/>
        </w:rPr>
        <w:fldChar w:fldCharType="separate"/>
      </w:r>
      <w:r>
        <w:rPr>
          <w:i/>
        </w:rPr>
        <w:t>lxxix</w:t>
      </w:r>
      <w:r>
        <w:rPr>
          <w:i/>
        </w:rPr>
        <w:fldChar w:fldCharType="end"/>
      </w:r>
      <w:r>
        <w:t>, 113.</w:t>
      </w:r>
    </w:p>
  </w:footnote>
  <w:footnote w:id="84">
    <w:p w14:paraId="0912FAAB" w14:textId="77777777" w:rsidR="00CE5F49" w:rsidRDefault="00CE5F49" w:rsidP="00A13F25">
      <w:pPr>
        <w:pStyle w:val="FootnoteText"/>
      </w:pPr>
      <w:r>
        <w:rPr>
          <w:rStyle w:val="FootnoteReference"/>
        </w:rPr>
        <w:footnoteRef/>
      </w:r>
      <w:r>
        <w:t xml:space="preserve"> Philip Alston, “The Unborn Child and Abortion Under the Draft Convention on the Rights of the Child”, </w:t>
      </w:r>
      <w:r>
        <w:rPr>
          <w:i/>
        </w:rPr>
        <w:t>Human Rights Quarterly</w:t>
      </w:r>
      <w:r>
        <w:t xml:space="preserve"> 12 (1990) 156, 177.</w:t>
      </w:r>
    </w:p>
  </w:footnote>
  <w:footnote w:id="85">
    <w:p w14:paraId="382737CE" w14:textId="77777777" w:rsidR="00CE5F49" w:rsidRDefault="00CE5F49" w:rsidP="00A13F25">
      <w:pPr>
        <w:pStyle w:val="FootnoteText"/>
      </w:pPr>
      <w:r>
        <w:rPr>
          <w:rStyle w:val="FootnoteReference"/>
        </w:rPr>
        <w:footnoteRef/>
      </w:r>
      <w:r>
        <w:t xml:space="preserve"> </w:t>
      </w:r>
      <w:r>
        <w:rPr>
          <w:i/>
        </w:rPr>
        <w:t>Vienna Convention on the Law of Treaties 1969</w:t>
      </w:r>
      <w:r>
        <w:t>, Articles 2(1)(a) and 31(2).</w:t>
      </w:r>
    </w:p>
  </w:footnote>
  <w:footnote w:id="86">
    <w:p w14:paraId="5394B0D4" w14:textId="77777777" w:rsidR="00CE5F49" w:rsidRDefault="00CE5F49" w:rsidP="00A13F25">
      <w:pPr>
        <w:pStyle w:val="FootnoteText"/>
      </w:pPr>
      <w:r>
        <w:rPr>
          <w:rStyle w:val="FootnoteReference"/>
        </w:rPr>
        <w:footnoteRef/>
      </w:r>
      <w:r>
        <w:t xml:space="preserve"> </w:t>
      </w:r>
      <w:r>
        <w:rPr>
          <w:i/>
        </w:rPr>
        <w:t>Vienna Convention on the Law of Treaties 1969</w:t>
      </w:r>
      <w:r>
        <w:t>, Article 32.</w:t>
      </w:r>
    </w:p>
  </w:footnote>
  <w:footnote w:id="87">
    <w:p w14:paraId="0A508A70" w14:textId="77777777" w:rsidR="00CE5F49" w:rsidRDefault="00CE5F49" w:rsidP="00A13F25">
      <w:pPr>
        <w:pStyle w:val="FootnoteText"/>
      </w:pPr>
      <w:r>
        <w:rPr>
          <w:rStyle w:val="FootnoteReference"/>
        </w:rPr>
        <w:footnoteRef/>
      </w:r>
      <w:r>
        <w:t xml:space="preserve"> Cf. evidence cited in Sharon Detrick, </w:t>
      </w:r>
      <w:r>
        <w:rPr>
          <w:i/>
        </w:rPr>
        <w:t xml:space="preserve">op. cit. n </w:t>
      </w:r>
      <w:r>
        <w:rPr>
          <w:i/>
        </w:rPr>
        <w:fldChar w:fldCharType="begin"/>
      </w:r>
      <w:r>
        <w:rPr>
          <w:i/>
        </w:rPr>
        <w:instrText xml:space="preserve"> NOTEREF _Ref392379426 </w:instrText>
      </w:r>
      <w:r>
        <w:rPr>
          <w:i/>
        </w:rPr>
        <w:fldChar w:fldCharType="separate"/>
      </w:r>
      <w:r>
        <w:rPr>
          <w:i/>
        </w:rPr>
        <w:t>lxxix</w:t>
      </w:r>
      <w:r>
        <w:rPr>
          <w:i/>
        </w:rPr>
        <w:fldChar w:fldCharType="end"/>
      </w:r>
      <w:r>
        <w:t xml:space="preserve">, 109. See also footnote </w:t>
      </w:r>
      <w:r>
        <w:fldChar w:fldCharType="begin"/>
      </w:r>
      <w:r>
        <w:instrText xml:space="preserve"> NOTEREF _Ref395450889 </w:instrText>
      </w:r>
      <w:r>
        <w:fldChar w:fldCharType="separate"/>
      </w:r>
      <w:r>
        <w:t>lxxviii</w:t>
      </w:r>
      <w:r>
        <w:fldChar w:fldCharType="end"/>
      </w:r>
      <w:r>
        <w:t>.</w:t>
      </w:r>
    </w:p>
  </w:footnote>
  <w:footnote w:id="88">
    <w:p w14:paraId="4EDBA0DC" w14:textId="77777777" w:rsidR="00CE5F49" w:rsidRDefault="00CE5F49" w:rsidP="00A13F25">
      <w:pPr>
        <w:pStyle w:val="FootnoteText"/>
      </w:pPr>
      <w:r>
        <w:rPr>
          <w:rStyle w:val="FootnoteReference"/>
        </w:rPr>
        <w:footnoteRef/>
      </w:r>
      <w:r>
        <w:t xml:space="preserve"> There was no mention of abortion in connection with privacy (Article 17) during the discussions on the </w:t>
      </w:r>
      <w:r>
        <w:rPr>
          <w:i/>
        </w:rPr>
        <w:t>International Covenant on Civil and Political Rights 1966.</w:t>
      </w:r>
    </w:p>
  </w:footnote>
  <w:footnote w:id="89">
    <w:p w14:paraId="5AB6FE46" w14:textId="77777777" w:rsidR="00CE5F49" w:rsidRDefault="00CE5F49" w:rsidP="00A13F25">
      <w:pPr>
        <w:pStyle w:val="FootnoteText"/>
      </w:pPr>
      <w:r>
        <w:rPr>
          <w:rStyle w:val="FootnoteReference"/>
        </w:rPr>
        <w:footnoteRef/>
      </w:r>
      <w:r>
        <w:t xml:space="preserve"> A/C.3/L.654.</w:t>
      </w:r>
    </w:p>
  </w:footnote>
  <w:footnote w:id="90">
    <w:p w14:paraId="3945A1EA" w14:textId="77777777" w:rsidR="00CE5F49" w:rsidRDefault="00CE5F49" w:rsidP="00A13F25">
      <w:pPr>
        <w:pStyle w:val="FootnoteText"/>
      </w:pPr>
      <w:r>
        <w:rPr>
          <w:rStyle w:val="FootnoteReference"/>
        </w:rPr>
        <w:footnoteRef/>
      </w:r>
      <w:r>
        <w:t xml:space="preserve"> §112 A/3764.</w:t>
      </w:r>
    </w:p>
  </w:footnote>
  <w:footnote w:id="91">
    <w:p w14:paraId="3F6169B8" w14:textId="77777777" w:rsidR="00CE5F49" w:rsidRDefault="00CE5F49" w:rsidP="00A13F25">
      <w:pPr>
        <w:pStyle w:val="FootnoteText"/>
      </w:pPr>
      <w:r>
        <w:rPr>
          <w:rStyle w:val="FootnoteReference"/>
        </w:rPr>
        <w:footnoteRef/>
      </w:r>
      <w:r>
        <w:t xml:space="preserve"> 30 votes against the amendment, 20 for and 17 abstentions: §119 A/3764.</w:t>
      </w:r>
    </w:p>
  </w:footnote>
  <w:footnote w:id="92">
    <w:p w14:paraId="17219E46" w14:textId="77777777" w:rsidR="00CE5F49" w:rsidRDefault="00CE5F49" w:rsidP="00A13F25">
      <w:pPr>
        <w:pStyle w:val="FootnoteText"/>
      </w:pPr>
      <w:r>
        <w:rPr>
          <w:rStyle w:val="FootnoteReference"/>
        </w:rPr>
        <w:footnoteRef/>
      </w:r>
      <w:r>
        <w:t xml:space="preserve"> §112 A/3764.</w:t>
      </w:r>
    </w:p>
  </w:footnote>
  <w:footnote w:id="93">
    <w:p w14:paraId="7FC1A284" w14:textId="77777777" w:rsidR="00CE5F49" w:rsidRDefault="00CE5F49" w:rsidP="00A13F25">
      <w:pPr>
        <w:pStyle w:val="FootnoteText"/>
      </w:pPr>
      <w:r>
        <w:rPr>
          <w:rStyle w:val="FootnoteReference"/>
        </w:rPr>
        <w:footnoteRef/>
      </w:r>
      <w:r>
        <w:t xml:space="preserve"> Malta proposed: </w:t>
      </w:r>
    </w:p>
    <w:p w14:paraId="42849FE8" w14:textId="77777777" w:rsidR="00CE5F49" w:rsidRDefault="00CE5F49" w:rsidP="00A13F25">
      <w:pPr>
        <w:pStyle w:val="FootnoteText"/>
        <w:ind w:left="720"/>
      </w:pPr>
      <w:r>
        <w:t>In article 1, after the words ‘human being’, add the words ‘from conception’. [E/CN.4/1989/WG.1/WP.9]</w:t>
      </w:r>
    </w:p>
    <w:p w14:paraId="74F76E28" w14:textId="77777777" w:rsidR="00CE5F49" w:rsidRDefault="00CE5F49" w:rsidP="00A13F25">
      <w:pPr>
        <w:pStyle w:val="FootnoteText"/>
      </w:pPr>
      <w:r>
        <w:t>Senegal’s proposal was:</w:t>
      </w:r>
    </w:p>
    <w:p w14:paraId="5349DD6E" w14:textId="77777777" w:rsidR="00CE5F49" w:rsidRDefault="00CE5F49" w:rsidP="00A13F25">
      <w:pPr>
        <w:pStyle w:val="FootnoteText"/>
        <w:ind w:left="720"/>
      </w:pPr>
      <w:r>
        <w:t xml:space="preserve">According to the present Convention a child is every human being, </w:t>
      </w:r>
      <w:r>
        <w:rPr>
          <w:i/>
        </w:rPr>
        <w:t>from his conception until at least</w:t>
      </w:r>
      <w:r>
        <w:t>, the age of 18 years . . . [E/CN.4/1989/WG.1/WP.17]</w:t>
      </w:r>
    </w:p>
  </w:footnote>
  <w:footnote w:id="94">
    <w:p w14:paraId="53C0AA30" w14:textId="77777777" w:rsidR="00CE5F49" w:rsidRDefault="00CE5F49" w:rsidP="00A13F25">
      <w:pPr>
        <w:pStyle w:val="FootnoteText"/>
      </w:pPr>
      <w:r>
        <w:rPr>
          <w:rStyle w:val="FootnoteReference"/>
        </w:rPr>
        <w:footnoteRef/>
      </w:r>
      <w:r>
        <w:t xml:space="preserve"> Sharon Detrick, o</w:t>
      </w:r>
      <w:r>
        <w:rPr>
          <w:i/>
        </w:rPr>
        <w:t>p. cit.</w:t>
      </w:r>
      <w:r>
        <w:t xml:space="preserve"> </w:t>
      </w:r>
      <w:r>
        <w:fldChar w:fldCharType="begin"/>
      </w:r>
      <w:r>
        <w:instrText xml:space="preserve"> NOTEREF _Ref392379426 </w:instrText>
      </w:r>
      <w:r>
        <w:fldChar w:fldCharType="separate"/>
      </w:r>
      <w:r>
        <w:t>lxxix</w:t>
      </w:r>
      <w:r>
        <w:fldChar w:fldCharType="end"/>
      </w:r>
      <w:r>
        <w:t xml:space="preserve"> at 118.</w:t>
      </w:r>
    </w:p>
  </w:footnote>
  <w:footnote w:id="95">
    <w:p w14:paraId="214DDC7D" w14:textId="77777777" w:rsidR="00CE5F49" w:rsidRDefault="00CE5F49" w:rsidP="00A13F25">
      <w:pPr>
        <w:pStyle w:val="FootnoteText"/>
      </w:pPr>
      <w:r>
        <w:rPr>
          <w:rStyle w:val="FootnoteReference"/>
        </w:rPr>
        <w:footnoteRef/>
      </w:r>
      <w:r>
        <w:t xml:space="preserve"> Sharon Detrick, o</w:t>
      </w:r>
      <w:r>
        <w:rPr>
          <w:i/>
        </w:rPr>
        <w:t>p. cit.</w:t>
      </w:r>
      <w:r>
        <w:t xml:space="preserve"> </w:t>
      </w:r>
      <w:r>
        <w:fldChar w:fldCharType="begin"/>
      </w:r>
      <w:r>
        <w:instrText xml:space="preserve"> NOTEREF _Ref392379426 </w:instrText>
      </w:r>
      <w:r>
        <w:fldChar w:fldCharType="separate"/>
      </w:r>
      <w:r>
        <w:t>lxxix</w:t>
      </w:r>
      <w:r>
        <w:fldChar w:fldCharType="end"/>
      </w:r>
      <w:r>
        <w:t xml:space="preserve"> at 109.</w:t>
      </w:r>
    </w:p>
  </w:footnote>
  <w:footnote w:id="96">
    <w:p w14:paraId="43107436" w14:textId="77777777" w:rsidR="00CE5F49" w:rsidRDefault="00CE5F49" w:rsidP="00A13F25">
      <w:pPr>
        <w:pStyle w:val="FootnoteText"/>
      </w:pPr>
      <w:r>
        <w:rPr>
          <w:rStyle w:val="FootnoteReference"/>
        </w:rPr>
        <w:footnoteRef/>
      </w:r>
      <w:r>
        <w:t xml:space="preserve"> The </w:t>
      </w:r>
      <w:r>
        <w:rPr>
          <w:i/>
        </w:rPr>
        <w:t>Vienna Convention on the Law of Treaties 1969</w:t>
      </w:r>
      <w:r>
        <w:t>, Article 53.</w:t>
      </w:r>
    </w:p>
  </w:footnote>
  <w:footnote w:id="97">
    <w:p w14:paraId="69471C6C" w14:textId="77777777" w:rsidR="00CE5F49" w:rsidRDefault="00CE5F49" w:rsidP="00A13F25">
      <w:pPr>
        <w:pStyle w:val="FootnoteText"/>
      </w:pPr>
      <w:r>
        <w:rPr>
          <w:rStyle w:val="FootnoteReference"/>
        </w:rPr>
        <w:footnoteRef/>
      </w:r>
      <w:r>
        <w:t xml:space="preserve"> Schedule 3 </w:t>
      </w:r>
      <w:r>
        <w:rPr>
          <w:i/>
        </w:rPr>
        <w:t xml:space="preserve">Human Rights and Equal Opportunity Commission Act 1986 </w:t>
      </w:r>
      <w:r>
        <w:t>(Cth.).</w:t>
      </w:r>
    </w:p>
  </w:footnote>
  <w:footnote w:id="98">
    <w:p w14:paraId="681A4F25" w14:textId="77777777" w:rsidR="00CE5F49" w:rsidRPr="00503316" w:rsidRDefault="00CE5F49" w:rsidP="00A13F25">
      <w:pPr>
        <w:pStyle w:val="FootnoteText"/>
        <w:rPr>
          <w:lang w:val="en-AU"/>
        </w:rPr>
      </w:pPr>
      <w:r>
        <w:rPr>
          <w:rStyle w:val="FootnoteReference"/>
        </w:rPr>
        <w:footnoteRef/>
      </w:r>
      <w:r>
        <w:t xml:space="preserve"> </w:t>
      </w:r>
      <w:r>
        <w:rPr>
          <w:lang w:val="en-AU"/>
        </w:rPr>
        <w:t xml:space="preserve">J Fleming and M Hains, “What Rights, If Any, Do the Unborn Have Under International Law?” (1997) 16 </w:t>
      </w:r>
      <w:r>
        <w:rPr>
          <w:i/>
          <w:lang w:val="en-AU"/>
        </w:rPr>
        <w:t>Australian Bar Review</w:t>
      </w:r>
      <w:r>
        <w:t xml:space="preserve"> 181 at 198</w:t>
      </w:r>
    </w:p>
  </w:footnote>
  <w:footnote w:id="99">
    <w:p w14:paraId="545B3E91" w14:textId="77777777" w:rsidR="00CE5F49" w:rsidRPr="00E65D4B" w:rsidRDefault="00CE5F49" w:rsidP="00A13F25">
      <w:pPr>
        <w:pStyle w:val="FootnoteText"/>
        <w:rPr>
          <w:lang w:val="en-AU"/>
        </w:rPr>
      </w:pPr>
      <w:r>
        <w:rPr>
          <w:rStyle w:val="FootnoteReference"/>
        </w:rPr>
        <w:footnoteRef/>
      </w:r>
      <w:r>
        <w:t xml:space="preserve"> </w:t>
      </w:r>
      <w:r>
        <w:rPr>
          <w:lang w:val="en-AU"/>
        </w:rPr>
        <w:t xml:space="preserve">Alison Duxbury and Christopher Ward, </w:t>
      </w:r>
      <w:r>
        <w:rPr>
          <w:i/>
          <w:lang w:val="en-AU"/>
        </w:rPr>
        <w:t xml:space="preserve">op. cit., </w:t>
      </w:r>
      <w:r>
        <w:t>17</w:t>
      </w:r>
    </w:p>
  </w:footnote>
  <w:footnote w:id="100">
    <w:p w14:paraId="4B7C31BE" w14:textId="77777777" w:rsidR="00CE5F49" w:rsidRDefault="00CE5F49" w:rsidP="00A13F25">
      <w:pPr>
        <w:pStyle w:val="FootnoteText"/>
      </w:pPr>
      <w:r>
        <w:rPr>
          <w:rStyle w:val="FootnoteReference"/>
        </w:rPr>
        <w:footnoteRef/>
      </w:r>
      <w:r>
        <w:rPr>
          <w:rFonts w:ascii="Courier_PC" w:hAnsi="Courier_PC"/>
          <w:i/>
        </w:rPr>
        <w:t xml:space="preserve"> </w:t>
      </w:r>
      <w:r>
        <w:rPr>
          <w:i/>
        </w:rPr>
        <w:t>Charter of the United Nations</w:t>
      </w:r>
      <w:r>
        <w:t>, Article 55(c).</w:t>
      </w:r>
    </w:p>
  </w:footnote>
  <w:footnote w:id="101">
    <w:p w14:paraId="768D2388" w14:textId="77777777" w:rsidR="00CE5F49" w:rsidRDefault="00CE5F49" w:rsidP="00A13F25">
      <w:pPr>
        <w:pStyle w:val="FootnoteText"/>
      </w:pPr>
      <w:r>
        <w:rPr>
          <w:rStyle w:val="FootnoteReference"/>
        </w:rPr>
        <w:footnoteRef/>
      </w:r>
      <w:r>
        <w:t xml:space="preserve"> In </w:t>
      </w:r>
      <w:r>
        <w:rPr>
          <w:i/>
        </w:rPr>
        <w:t>Secretary, Department of Health and Community Services v. J.W.B. and S.M.B.</w:t>
      </w:r>
      <w:r>
        <w:t xml:space="preserve"> (Marion's case.) (1992) 175 CLR 218 Brennan J. emphasised:</w:t>
      </w:r>
    </w:p>
    <w:p w14:paraId="1F990C9F" w14:textId="77777777" w:rsidR="00CE5F49" w:rsidRDefault="00CE5F49" w:rsidP="00A13F25">
      <w:pPr>
        <w:pStyle w:val="FootnoteText"/>
        <w:ind w:left="360"/>
      </w:pPr>
      <w:r>
        <w:t>The law will protect equally the dignity of the hale and hearty and the dignity of the weak and lame; of the frail baby and of the frail aged; of the intellectually able and of the intellectually disabled . . . Our law admits of no discrimination against the weak and disadvantaged in their human dignity.</w:t>
      </w:r>
    </w:p>
  </w:footnote>
  <w:footnote w:id="102">
    <w:p w14:paraId="4D85FF1C" w14:textId="77777777" w:rsidR="00CE5F49" w:rsidRDefault="00CE5F49" w:rsidP="00A13F25">
      <w:pPr>
        <w:pStyle w:val="FootnoteText"/>
      </w:pPr>
      <w:r>
        <w:rPr>
          <w:rStyle w:val="FootnoteReference"/>
        </w:rPr>
        <w:footnoteRef/>
      </w:r>
      <w:r>
        <w:t xml:space="preserve"> Philip Alston, </w:t>
      </w:r>
      <w:r>
        <w:rPr>
          <w:i/>
        </w:rPr>
        <w:t xml:space="preserve">op. cit. n </w:t>
      </w:r>
      <w:r>
        <w:rPr>
          <w:i/>
        </w:rPr>
        <w:fldChar w:fldCharType="begin"/>
      </w:r>
      <w:r>
        <w:rPr>
          <w:i/>
        </w:rPr>
        <w:instrText xml:space="preserve"> NOTEREF _Ref395330632 </w:instrText>
      </w:r>
      <w:r>
        <w:rPr>
          <w:i/>
        </w:rPr>
        <w:fldChar w:fldCharType="separate"/>
      </w:r>
      <w:r>
        <w:rPr>
          <w:i/>
        </w:rPr>
        <w:t>lxxxiv</w:t>
      </w:r>
      <w:r>
        <w:rPr>
          <w:i/>
        </w:rPr>
        <w:fldChar w:fldCharType="end"/>
      </w:r>
      <w:r>
        <w:t>, 159.</w:t>
      </w:r>
    </w:p>
  </w:footnote>
  <w:footnote w:id="103">
    <w:p w14:paraId="2898BCB9" w14:textId="77777777" w:rsidR="00CE5F49" w:rsidRDefault="00CE5F49" w:rsidP="00A13F25">
      <w:pPr>
        <w:pStyle w:val="FootnoteText"/>
      </w:pPr>
      <w:r>
        <w:rPr>
          <w:rStyle w:val="FootnoteReference"/>
        </w:rPr>
        <w:footnoteRef/>
      </w:r>
      <w:r>
        <w:t xml:space="preserve"> </w:t>
      </w:r>
      <w:r>
        <w:rPr>
          <w:i/>
        </w:rPr>
        <w:t>Ibid.</w:t>
      </w:r>
    </w:p>
  </w:footnote>
  <w:footnote w:id="104">
    <w:p w14:paraId="068CE019" w14:textId="77777777" w:rsidR="00CE5F49" w:rsidRDefault="00CE5F49" w:rsidP="00A13F25">
      <w:pPr>
        <w:pStyle w:val="FootnoteText"/>
      </w:pPr>
      <w:r>
        <w:rPr>
          <w:rStyle w:val="FootnoteReference"/>
        </w:rPr>
        <w:footnoteRef/>
      </w:r>
      <w:r>
        <w:t xml:space="preserve"> Preamble, </w:t>
      </w:r>
      <w:r>
        <w:rPr>
          <w:i/>
        </w:rPr>
        <w:t>Universal Declaration of Human Rights 1948</w:t>
      </w:r>
      <w:r>
        <w:rPr>
          <w:sz w:val="24"/>
        </w:rPr>
        <w:t xml:space="preserve">, </w:t>
      </w:r>
      <w:r>
        <w:t>G.A. res. 217A (III), U.N. Doc A/810 at 71 (1948).</w:t>
      </w:r>
    </w:p>
  </w:footnote>
  <w:footnote w:id="105">
    <w:p w14:paraId="657DDF38" w14:textId="77777777" w:rsidR="00CE5F49" w:rsidRDefault="00CE5F49" w:rsidP="00A13F25">
      <w:pPr>
        <w:pStyle w:val="FootnoteText"/>
      </w:pPr>
      <w:r>
        <w:rPr>
          <w:rStyle w:val="FootnoteReference"/>
        </w:rPr>
        <w:footnoteRef/>
      </w:r>
      <w:r>
        <w:t xml:space="preserve"> Sharon Detrick.</w:t>
      </w:r>
      <w:r>
        <w:rPr>
          <w:i/>
        </w:rPr>
        <w:t xml:space="preserve"> op. cit. n </w:t>
      </w:r>
      <w:r>
        <w:rPr>
          <w:i/>
        </w:rPr>
        <w:fldChar w:fldCharType="begin"/>
      </w:r>
      <w:r>
        <w:rPr>
          <w:i/>
        </w:rPr>
        <w:instrText xml:space="preserve"> NOTEREF _Ref392379426 </w:instrText>
      </w:r>
      <w:r>
        <w:rPr>
          <w:i/>
        </w:rPr>
        <w:fldChar w:fldCharType="separate"/>
      </w:r>
      <w:r>
        <w:rPr>
          <w:i/>
        </w:rPr>
        <w:t>lxxix</w:t>
      </w:r>
      <w:r>
        <w:rPr>
          <w:i/>
        </w:rPr>
        <w:fldChar w:fldCharType="end"/>
      </w:r>
      <w:r>
        <w:t>, 109.</w:t>
      </w:r>
    </w:p>
  </w:footnote>
  <w:footnote w:id="106">
    <w:p w14:paraId="28E953C4" w14:textId="77777777" w:rsidR="00CE5F49" w:rsidRDefault="00CE5F49" w:rsidP="00A13F25">
      <w:pPr>
        <w:pStyle w:val="FootnoteText"/>
      </w:pPr>
      <w:r>
        <w:rPr>
          <w:rStyle w:val="FootnoteReference"/>
        </w:rPr>
        <w:footnoteRef/>
      </w:r>
      <w:r>
        <w:t xml:space="preserve"> Michel Meslin, “Religious traditions and the Human Person”, in </w:t>
      </w:r>
      <w:r>
        <w:rPr>
          <w:i/>
        </w:rPr>
        <w:t>Concepts of Person in Religion and Thought</w:t>
      </w:r>
      <w:r>
        <w:rPr>
          <w:rFonts w:ascii="Courier_PC" w:hAnsi="Courier_PC"/>
        </w:rPr>
        <w:t>,</w:t>
      </w:r>
      <w:r>
        <w:t xml:space="preserve"> eds. Hans G. Kippenberg, Yme B. Kuiper, and Andy F. Sanders, (Berlin: Mouton de Gruyter, 1990), 67.</w:t>
      </w:r>
    </w:p>
  </w:footnote>
  <w:footnote w:id="107">
    <w:p w14:paraId="1A3F59AD" w14:textId="77777777" w:rsidR="00CE5F49" w:rsidRDefault="00CE5F49" w:rsidP="00A13F25">
      <w:pPr>
        <w:pStyle w:val="FootnoteText"/>
      </w:pPr>
      <w:r>
        <w:rPr>
          <w:rStyle w:val="FootnoteReference"/>
        </w:rPr>
        <w:footnoteRef/>
      </w:r>
      <w:r>
        <w:t xml:space="preserve"> T.W. Sadler, </w:t>
      </w:r>
      <w:r>
        <w:rPr>
          <w:i/>
        </w:rPr>
        <w:t>Langman’s Medical Embryology Sixth Edition</w:t>
      </w:r>
      <w:r>
        <w:t>, (Baltimore: Williams &amp; Wilkins, 1990), 30.</w:t>
      </w:r>
    </w:p>
  </w:footnote>
  <w:footnote w:id="108">
    <w:p w14:paraId="0B6002AA" w14:textId="77777777" w:rsidR="00CE5F49" w:rsidRDefault="00CE5F49" w:rsidP="00A13F25">
      <w:pPr>
        <w:pStyle w:val="FootnoteText"/>
      </w:pPr>
      <w:r>
        <w:rPr>
          <w:rStyle w:val="FootnoteReference"/>
        </w:rPr>
        <w:footnoteRef/>
      </w:r>
      <w:r>
        <w:t xml:space="preserve"> Anthony Fisher, </w:t>
      </w:r>
      <w:r>
        <w:rPr>
          <w:i/>
        </w:rPr>
        <w:t>IVF The Critical Issues</w:t>
      </w:r>
      <w:r>
        <w:t xml:space="preserve">, (Melbourne: Collins Dove, 1989), 133. Fisher refers to W. J. Hamilton and H.W. Mossman, </w:t>
      </w:r>
      <w:r>
        <w:rPr>
          <w:i/>
        </w:rPr>
        <w:t>Human Embryology 4th Edition</w:t>
      </w:r>
      <w:r>
        <w:t>, (Cambridge: Plenum, 1972); L.B. Arey</w:t>
      </w:r>
      <w:r>
        <w:rPr>
          <w:i/>
        </w:rPr>
        <w:t>, Developmental Anatomy 7th Edition</w:t>
      </w:r>
      <w:r>
        <w:t xml:space="preserve">, (Philadelphia: Saunders, 1975); B. Alberts et al, </w:t>
      </w:r>
      <w:r>
        <w:rPr>
          <w:i/>
        </w:rPr>
        <w:t>Molecular Biology of the Cell</w:t>
      </w:r>
      <w:r>
        <w:t xml:space="preserve">, (New York: Garland, 1983); K.L. Moore, </w:t>
      </w:r>
      <w:r>
        <w:rPr>
          <w:i/>
        </w:rPr>
        <w:t>Before We Are Born</w:t>
      </w:r>
      <w:r>
        <w:t xml:space="preserve">, (Philadelphia: Saunders, 1983); L. Nilsson et al, </w:t>
      </w:r>
      <w:r>
        <w:rPr>
          <w:i/>
        </w:rPr>
        <w:t>A Child Is Born</w:t>
      </w:r>
      <w:r>
        <w:t>, (London: Faber &amp; Faber, 1977).</w:t>
      </w:r>
    </w:p>
  </w:footnote>
  <w:footnote w:id="109">
    <w:p w14:paraId="7D52EBCD" w14:textId="77777777" w:rsidR="00CE5F49" w:rsidRDefault="00CE5F49" w:rsidP="00A13F25">
      <w:pPr>
        <w:pStyle w:val="FootnoteText"/>
      </w:pPr>
      <w:r>
        <w:rPr>
          <w:rStyle w:val="FootnoteReference"/>
        </w:rPr>
        <w:footnoteRef/>
      </w:r>
      <w:r>
        <w:t xml:space="preserve"> R. Yanagimachi, “Mammalian fertilization”, </w:t>
      </w:r>
      <w:r>
        <w:rPr>
          <w:i/>
        </w:rPr>
        <w:t>The Physiology of Reproduction</w:t>
      </w:r>
      <w:r>
        <w:t>, eds. E. Knobil, J. Neill et al, (New York: Raven Press, 1988), 135.</w:t>
      </w:r>
    </w:p>
  </w:footnote>
  <w:footnote w:id="110">
    <w:p w14:paraId="712D1294" w14:textId="77777777" w:rsidR="00CE5F49" w:rsidRDefault="00CE5F49" w:rsidP="00A13F25">
      <w:pPr>
        <w:pStyle w:val="FootnoteText"/>
      </w:pPr>
      <w:r>
        <w:rPr>
          <w:rStyle w:val="FootnoteReference"/>
        </w:rPr>
        <w:footnoteRef/>
      </w:r>
      <w:r>
        <w:t xml:space="preserve"> It is interesting to note that Langman’s Medical Embryology Sixth Edition does not use the term “pre-embryo”, a term which is meant to refer to the entity up to 14 days. The comparative lawyer Albin Eser has suggested that “the naive (speaking from a normative-theoretical perspective) and rather simplistic efforts to get rid of the basic value problem through terminological ‘degradation’ of the pre-implantation embryo to the status of ‘pre-embryo’ or even to simple ‘seed’ or ‘germ’ should be abandoned. Rather than prejudicing the value questions involved through conceptual-terminological game-playing it would be better to concentrate on the question that is lastly decisive: To what extent does or should a species-specific human (since originating from human gametes) new entity of life - i.e., at least genetically capable of achieving the full potential of a human being - possess sufficient value to make us unwilling to allow for total freedom of choice with respect to maintaining or destroying this life?” A. Eser, “Experiments with embryos: legal aspects in comparative perspective”, UK National Committee of Comparative Law 1987 Colloquium Legal Regulation of Reproductive Medicine (Cambridge) cited in Anthony Fisher, </w:t>
      </w:r>
      <w:r>
        <w:rPr>
          <w:i/>
        </w:rPr>
        <w:t>op. cit.,</w:t>
      </w:r>
      <w:r>
        <w:t xml:space="preserve"> 173-174.</w:t>
      </w:r>
    </w:p>
  </w:footnote>
  <w:footnote w:id="111">
    <w:p w14:paraId="692EA263" w14:textId="77777777" w:rsidR="00CE5F49" w:rsidRDefault="00CE5F49" w:rsidP="00A13F25">
      <w:pPr>
        <w:pStyle w:val="FootnoteText"/>
      </w:pPr>
      <w:r>
        <w:rPr>
          <w:rStyle w:val="FootnoteReference"/>
        </w:rPr>
        <w:footnoteRef/>
      </w:r>
      <w:r>
        <w:t xml:space="preserve"> </w:t>
      </w:r>
      <w:r>
        <w:rPr>
          <w:i/>
        </w:rPr>
        <w:t>Human Embryo Experimentation In Australia</w:t>
      </w:r>
      <w:r>
        <w:rPr>
          <w:rFonts w:ascii="Courier_PC" w:hAnsi="Courier_PC"/>
        </w:rPr>
        <w:t>,</w:t>
      </w:r>
      <w:r>
        <w:t xml:space="preserve"> Senate Select Committee On The Human Embryo Experimentation Bill 1986, (Canberra: Australian Government Printing Service, 1986), xiii.</w:t>
      </w:r>
    </w:p>
  </w:footnote>
  <w:footnote w:id="112">
    <w:p w14:paraId="3D189C16" w14:textId="77777777" w:rsidR="00CE5F49" w:rsidRDefault="00CE5F49" w:rsidP="00A13F25">
      <w:pPr>
        <w:pStyle w:val="FootnoteText"/>
      </w:pPr>
      <w:r>
        <w:rPr>
          <w:rStyle w:val="FootnoteReference"/>
        </w:rPr>
        <w:footnoteRef/>
      </w:r>
      <w:r>
        <w:t xml:space="preserve"> C.R. Austin, </w:t>
      </w:r>
      <w:r>
        <w:rPr>
          <w:i/>
        </w:rPr>
        <w:t>Human Embryos</w:t>
      </w:r>
      <w:r>
        <w:t>, (Oxford: Oxford University Press, 1989), 31.</w:t>
      </w:r>
    </w:p>
  </w:footnote>
  <w:footnote w:id="113">
    <w:p w14:paraId="7428D5F3" w14:textId="77777777" w:rsidR="00CE5F49" w:rsidRDefault="00CE5F49" w:rsidP="00A13F25">
      <w:pPr>
        <w:pStyle w:val="FootnoteText"/>
      </w:pPr>
      <w:r>
        <w:rPr>
          <w:rStyle w:val="FootnoteReference"/>
        </w:rPr>
        <w:footnoteRef/>
      </w:r>
      <w:r>
        <w:rPr>
          <w:i/>
        </w:rPr>
        <w:t xml:space="preserve"> Senate Select Committee on the Human Embryo Experimentation Bill 1985, Official Hansard Report</w:t>
      </w:r>
      <w:r>
        <w:rPr>
          <w:rFonts w:ascii="Courier_PC" w:hAnsi="Courier_PC"/>
          <w:i/>
        </w:rPr>
        <w:t xml:space="preserve">, </w:t>
      </w:r>
      <w:r>
        <w:rPr>
          <w:i/>
        </w:rPr>
        <w:t xml:space="preserve">op. cit. n </w:t>
      </w:r>
      <w:r>
        <w:rPr>
          <w:i/>
        </w:rPr>
        <w:fldChar w:fldCharType="begin"/>
      </w:r>
      <w:r>
        <w:rPr>
          <w:i/>
        </w:rPr>
        <w:instrText xml:space="preserve"> NOTEREF _Ref395626094 </w:instrText>
      </w:r>
      <w:r>
        <w:rPr>
          <w:i/>
        </w:rPr>
        <w:fldChar w:fldCharType="separate"/>
      </w:r>
      <w:r>
        <w:rPr>
          <w:i/>
        </w:rPr>
        <w:t>cxi</w:t>
      </w:r>
      <w:r>
        <w:rPr>
          <w:i/>
        </w:rPr>
        <w:fldChar w:fldCharType="end"/>
      </w:r>
      <w:r>
        <w:rPr>
          <w:i/>
        </w:rPr>
        <w:t>,</w:t>
      </w:r>
      <w:r>
        <w:t xml:space="preserve"> 2161-2162. Professor R.V. Short was Chairman, Working Party on Human Embryo Experimentation, Australian Academy of Science, Canberra, Australian Capital Territory.</w:t>
      </w:r>
    </w:p>
  </w:footnote>
  <w:footnote w:id="114">
    <w:p w14:paraId="5DA4C2F0" w14:textId="77777777" w:rsidR="00CE5F49" w:rsidRPr="00281559" w:rsidRDefault="00CE5F49" w:rsidP="00A13F25">
      <w:pPr>
        <w:pStyle w:val="FootnoteText"/>
        <w:rPr>
          <w:lang w:val="en-AU"/>
        </w:rPr>
      </w:pPr>
      <w:r>
        <w:rPr>
          <w:rStyle w:val="FootnoteReference"/>
        </w:rPr>
        <w:footnoteRef/>
      </w:r>
      <w:r>
        <w:t xml:space="preserve"> </w:t>
      </w:r>
      <w:r w:rsidRPr="00281559">
        <w:rPr>
          <w:lang w:val="en-US"/>
        </w:rPr>
        <w:t>H Pearson, Nature 418, 14-15, 2002</w:t>
      </w:r>
    </w:p>
  </w:footnote>
  <w:footnote w:id="115">
    <w:p w14:paraId="14D74E2D" w14:textId="77777777" w:rsidR="00CE5F49" w:rsidRPr="000A45FC" w:rsidRDefault="00CE5F49" w:rsidP="00A13F25">
      <w:pPr>
        <w:pStyle w:val="FootnoteText"/>
        <w:rPr>
          <w:lang w:val="en-US"/>
        </w:rPr>
      </w:pPr>
      <w:r>
        <w:rPr>
          <w:rStyle w:val="FootnoteReference"/>
        </w:rPr>
        <w:footnoteRef/>
      </w:r>
      <w:r>
        <w:t xml:space="preserve"> </w:t>
      </w:r>
      <w:r w:rsidRPr="000A45FC">
        <w:rPr>
          <w:lang w:val="en-US"/>
        </w:rPr>
        <w:t xml:space="preserve">C. Richard Parker, Endocrinology of Pregnancy In: </w:t>
      </w:r>
      <w:r w:rsidRPr="000A45FC">
        <w:rPr>
          <w:i/>
          <w:iCs/>
          <w:lang w:val="en-US"/>
        </w:rPr>
        <w:t>Essential Reproductive Medicine</w:t>
      </w:r>
      <w:r w:rsidRPr="000A45FC">
        <w:rPr>
          <w:lang w:val="en-US"/>
        </w:rPr>
        <w:t>, Eds. Bruce C. Carr, Richard E. Blackwell &amp; Ricardo Azziz, McGraw-Hill, New York, 2005, 128-130</w:t>
      </w:r>
    </w:p>
  </w:footnote>
  <w:footnote w:id="116">
    <w:p w14:paraId="22DED7C9" w14:textId="77777777" w:rsidR="00CE5F49" w:rsidRPr="000A45FC" w:rsidRDefault="00CE5F49" w:rsidP="00A13F25">
      <w:pPr>
        <w:pStyle w:val="FootnoteText"/>
        <w:rPr>
          <w:lang w:val="en-US"/>
        </w:rPr>
      </w:pPr>
      <w:r>
        <w:rPr>
          <w:rStyle w:val="FootnoteReference"/>
        </w:rPr>
        <w:footnoteRef/>
      </w:r>
      <w:r>
        <w:t xml:space="preserve"> </w:t>
      </w:r>
      <w:r w:rsidRPr="000A45FC">
        <w:rPr>
          <w:lang w:val="en-US"/>
        </w:rPr>
        <w:t>Mesrogli et al., Early pregnancy factor as a marker for the earliest stages of pregnancy in infertile women. Human Reproduction 3(1):113-115, 1988.</w:t>
      </w:r>
    </w:p>
  </w:footnote>
  <w:footnote w:id="117">
    <w:p w14:paraId="5A08FFC7" w14:textId="77777777" w:rsidR="00CE5F49" w:rsidRPr="000A45FC" w:rsidRDefault="00CE5F49" w:rsidP="00A13F25">
      <w:pPr>
        <w:pStyle w:val="FootnoteText"/>
        <w:rPr>
          <w:lang w:val="en-US"/>
        </w:rPr>
      </w:pPr>
      <w:r>
        <w:rPr>
          <w:rStyle w:val="FootnoteReference"/>
        </w:rPr>
        <w:footnoteRef/>
      </w:r>
      <w:r>
        <w:t xml:space="preserve"> </w:t>
      </w:r>
      <w:r w:rsidRPr="000A45FC">
        <w:rPr>
          <w:lang w:val="en-US"/>
        </w:rPr>
        <w:t xml:space="preserve">X.G. Fan &amp; Z.Q. Zheng, A study of early pregnancy factor activity in preimplantation. </w:t>
      </w:r>
      <w:r w:rsidRPr="000A45FC">
        <w:rPr>
          <w:i/>
          <w:iCs/>
          <w:lang w:val="en-US"/>
        </w:rPr>
        <w:t>Am. J. Reprod. Immunol.</w:t>
      </w:r>
      <w:r w:rsidRPr="000A45FC">
        <w:rPr>
          <w:lang w:val="en-US"/>
        </w:rPr>
        <w:t xml:space="preserve"> </w:t>
      </w:r>
      <w:r w:rsidRPr="000A45FC">
        <w:rPr>
          <w:b/>
          <w:bCs/>
          <w:lang w:val="en-US"/>
        </w:rPr>
        <w:t>37(5)</w:t>
      </w:r>
      <w:r w:rsidRPr="000A45FC">
        <w:rPr>
          <w:lang w:val="en-US"/>
        </w:rPr>
        <w:t>:359-64, 1997</w:t>
      </w:r>
    </w:p>
  </w:footnote>
  <w:footnote w:id="118">
    <w:p w14:paraId="26495341" w14:textId="77777777" w:rsidR="00CE5F49" w:rsidRPr="000A45FC" w:rsidRDefault="00CE5F49" w:rsidP="00A13F25">
      <w:pPr>
        <w:pStyle w:val="FootnoteText"/>
        <w:rPr>
          <w:lang w:val="en-US"/>
        </w:rPr>
      </w:pPr>
      <w:r>
        <w:rPr>
          <w:rStyle w:val="FootnoteReference"/>
        </w:rPr>
        <w:footnoteRef/>
      </w:r>
      <w:r>
        <w:t xml:space="preserve"> </w:t>
      </w:r>
      <w:r w:rsidRPr="000A45FC">
        <w:rPr>
          <w:lang w:val="en-US"/>
        </w:rPr>
        <w:t xml:space="preserve">Keith E. Latham &amp; Richard M. Schultz, Preimplantation embryo development. In: </w:t>
      </w:r>
      <w:r w:rsidRPr="000A45FC">
        <w:rPr>
          <w:i/>
          <w:iCs/>
          <w:lang w:val="en-US"/>
        </w:rPr>
        <w:t xml:space="preserve">Reproductive Medicine.  Molecular, Genetic and Cellular Fundamentals. </w:t>
      </w:r>
      <w:r w:rsidRPr="000A45FC">
        <w:rPr>
          <w:lang w:val="en-US"/>
        </w:rPr>
        <w:t>Ed. Bart C.J.M. Fauser, Parthenon, New York, 2003, 435.</w:t>
      </w:r>
    </w:p>
  </w:footnote>
  <w:footnote w:id="119">
    <w:p w14:paraId="660BB5E9" w14:textId="77777777" w:rsidR="00CE5F49" w:rsidRPr="00345C7C" w:rsidRDefault="00CE5F49" w:rsidP="00A13F25">
      <w:pPr>
        <w:pStyle w:val="FootnoteText"/>
        <w:rPr>
          <w:lang w:val="fr-FR"/>
        </w:rPr>
      </w:pPr>
      <w:r>
        <w:rPr>
          <w:rStyle w:val="FootnoteReference"/>
        </w:rPr>
        <w:footnoteRef/>
      </w:r>
      <w:r>
        <w:t xml:space="preserve"> </w:t>
      </w:r>
      <w:r w:rsidRPr="000A45FC">
        <w:rPr>
          <w:lang w:val="en-US"/>
        </w:rPr>
        <w:t xml:space="preserve">Gérard Chaouat &amp; Elisabeth Menu, Immunology of Pregnancy. In: </w:t>
      </w:r>
      <w:r w:rsidRPr="000A45FC">
        <w:rPr>
          <w:i/>
          <w:iCs/>
          <w:lang w:val="en-US"/>
        </w:rPr>
        <w:t>Reproduction in Mammals and Man.</w:t>
      </w:r>
      <w:r w:rsidRPr="000A45FC">
        <w:rPr>
          <w:lang w:val="en-US"/>
        </w:rPr>
        <w:t xml:space="preserve"> Eds. </w:t>
      </w:r>
      <w:r w:rsidRPr="00345C7C">
        <w:rPr>
          <w:lang w:val="fr-FR"/>
        </w:rPr>
        <w:t>Charles Thibault, Marie-Claire Levasseur &amp; Ronald Henry Fraser Hunter, Ellipses, Paris, 1993, 463</w:t>
      </w:r>
    </w:p>
  </w:footnote>
  <w:footnote w:id="120">
    <w:p w14:paraId="6A4E888E" w14:textId="77777777" w:rsidR="00CE5F49" w:rsidRPr="000A45FC" w:rsidRDefault="00CE5F49" w:rsidP="00A13F25">
      <w:pPr>
        <w:pStyle w:val="FootnoteText"/>
        <w:rPr>
          <w:lang w:val="en-AU"/>
        </w:rPr>
      </w:pPr>
      <w:r>
        <w:rPr>
          <w:rStyle w:val="FootnoteReference"/>
        </w:rPr>
        <w:footnoteRef/>
      </w:r>
      <w:r>
        <w:t xml:space="preserve"> </w:t>
      </w:r>
      <w:r w:rsidRPr="000A45FC">
        <w:rPr>
          <w:lang w:val="en-US"/>
        </w:rPr>
        <w:t xml:space="preserve">C. O’Neill, The role of paf in embryo physiology. </w:t>
      </w:r>
      <w:r w:rsidRPr="000A45FC">
        <w:rPr>
          <w:i/>
          <w:iCs/>
          <w:lang w:val="en-US"/>
        </w:rPr>
        <w:t>Human Reprod Update</w:t>
      </w:r>
      <w:r w:rsidRPr="000A45FC">
        <w:rPr>
          <w:lang w:val="en-US"/>
        </w:rPr>
        <w:t xml:space="preserve"> 11(3):215-128, 2005</w:t>
      </w:r>
    </w:p>
  </w:footnote>
  <w:footnote w:id="121">
    <w:p w14:paraId="61D9926A" w14:textId="77777777" w:rsidR="00CE5F49" w:rsidRPr="009555D6" w:rsidRDefault="00CE5F49" w:rsidP="00A13F25">
      <w:pPr>
        <w:pStyle w:val="FootnoteText"/>
        <w:rPr>
          <w:lang w:val="en-AU"/>
        </w:rPr>
      </w:pPr>
      <w:r>
        <w:rPr>
          <w:rStyle w:val="FootnoteReference"/>
        </w:rPr>
        <w:footnoteRef/>
      </w:r>
      <w:r>
        <w:t xml:space="preserve"> </w:t>
      </w:r>
      <w:r w:rsidRPr="009555D6">
        <w:rPr>
          <w:lang w:val="en-US"/>
        </w:rPr>
        <w:t xml:space="preserve">Eric  S. Hayes, Biology of primate relaxin: A paracrine signal in early pregnancy? </w:t>
      </w:r>
      <w:r w:rsidRPr="009555D6">
        <w:rPr>
          <w:i/>
          <w:iCs/>
          <w:lang w:val="en-US"/>
        </w:rPr>
        <w:t>Reproductive Biology and Endocrinology</w:t>
      </w:r>
      <w:r w:rsidRPr="009555D6">
        <w:rPr>
          <w:lang w:val="en-US"/>
        </w:rPr>
        <w:t xml:space="preserve"> </w:t>
      </w:r>
      <w:r w:rsidRPr="009555D6">
        <w:rPr>
          <w:b/>
          <w:bCs/>
          <w:lang w:val="en-US"/>
        </w:rPr>
        <w:t>2</w:t>
      </w:r>
      <w:r w:rsidRPr="009555D6">
        <w:rPr>
          <w:lang w:val="en-US"/>
        </w:rPr>
        <w:t>:36, 2004</w:t>
      </w:r>
    </w:p>
  </w:footnote>
  <w:footnote w:id="122">
    <w:p w14:paraId="72D2DCBF" w14:textId="77777777" w:rsidR="00CE5F49" w:rsidRDefault="00CE5F49" w:rsidP="00A13F25">
      <w:pPr>
        <w:pStyle w:val="FootnoteText"/>
      </w:pPr>
      <w:r>
        <w:rPr>
          <w:rStyle w:val="FootnoteReference"/>
        </w:rPr>
        <w:footnoteRef/>
      </w:r>
      <w:r>
        <w:t xml:space="preserve"> Michael Tooley, </w:t>
      </w:r>
      <w:r>
        <w:rPr>
          <w:i/>
        </w:rPr>
        <w:t>Abortion and Infanticide</w:t>
      </w:r>
      <w:r>
        <w:t xml:space="preserve">, (Oxford:  Clarendon Press, 1983). Tooley argues that a child becomes a “quasi-person” at around three months after which time it might be thought wrong to kill the baby (see his conclusions, p. 424). Cf Helga Kuhse and Peter Singer, </w:t>
      </w:r>
      <w:r>
        <w:rPr>
          <w:i/>
        </w:rPr>
        <w:t>Should the Baby Live?</w:t>
      </w:r>
      <w:r>
        <w:t xml:space="preserve">, (Oxford:  Oxford University Press, 1985) especially p. 131 where the authors describe Tooley’s argument as “basically sound”.  For a refutation of Tooley see Bernard Williams, </w:t>
      </w:r>
      <w:r>
        <w:rPr>
          <w:i/>
        </w:rPr>
        <w:t>Ethics and the Limits of Philosophy</w:t>
      </w:r>
      <w:r>
        <w:t>, (London:  Fontana Press/Collins, 1985), 114-115.</w:t>
      </w:r>
    </w:p>
  </w:footnote>
  <w:footnote w:id="123">
    <w:p w14:paraId="1E6B8F56" w14:textId="77777777" w:rsidR="00CE5F49" w:rsidRDefault="00CE5F49" w:rsidP="00A13F25">
      <w:pPr>
        <w:pStyle w:val="FootnoteText"/>
      </w:pPr>
      <w:r>
        <w:rPr>
          <w:rStyle w:val="FootnoteReference"/>
        </w:rPr>
        <w:footnoteRef/>
      </w:r>
      <w:r>
        <w:t xml:space="preserve"> It was also prevalent in the late nineteenth century and throughout the twentieth century. For example, “Eugenics aims to secure better babies.” (Margaret Sanger, </w:t>
      </w:r>
      <w:r>
        <w:rPr>
          <w:i/>
        </w:rPr>
        <w:t>Medical Journalists Advocate Birth Control</w:t>
      </w:r>
      <w:r>
        <w:t xml:space="preserve">, Birth Control Review, Volume II, Number 10 (October 1918), 4) and “. . . we need not more of the fit, but fewer of the unfit . . . Is it not time to protect ourselves and our children and our children’s children? The propagation of the degenerate, the imbecile, the feeble minded, should be prevented.” (Margaret Sanger, </w:t>
      </w:r>
      <w:r>
        <w:rPr>
          <w:i/>
        </w:rPr>
        <w:t>Birth Control, Past, Present and Future</w:t>
      </w:r>
      <w:r>
        <w:t>, Birth Control Review, Volume V, Number 8 (August 1921), 19.</w:t>
      </w:r>
    </w:p>
  </w:footnote>
  <w:footnote w:id="124">
    <w:p w14:paraId="1F66AB23" w14:textId="77777777" w:rsidR="00CE5F49" w:rsidRDefault="00CE5F49" w:rsidP="00A13F25">
      <w:pPr>
        <w:pStyle w:val="FootnoteText"/>
      </w:pPr>
      <w:r>
        <w:rPr>
          <w:rStyle w:val="FootnoteReference"/>
        </w:rPr>
        <w:footnoteRef/>
      </w:r>
      <w:r>
        <w:t xml:space="preserve"> “Prior to the American Civil War and the antislavery amendments, such decisions as </w:t>
      </w:r>
      <w:r>
        <w:rPr>
          <w:i/>
        </w:rPr>
        <w:t>Dred Scott v. Sandford</w:t>
      </w:r>
      <w:r>
        <w:t xml:space="preserve"> relegated slaves to the legal status of nonpersons in spite of clear biological evidence of their humanity.” John Warwick Montgomery, “Abortion and the Law: Three Clarifications”, in New Perspectives on Human Abortion, eds. Thomas W. Hilgers, Dennis J. Horan, and David Mall, (Frederick, Maryland: University Publications of America, Inc., 1981), 284. Cf. </w:t>
      </w:r>
      <w:r>
        <w:rPr>
          <w:i/>
        </w:rPr>
        <w:t>Dred Scott v. Sandford</w:t>
      </w:r>
      <w:r>
        <w:t xml:space="preserve">, 19 Howard 393 (1857) and the </w:t>
      </w:r>
      <w:r>
        <w:rPr>
          <w:i/>
        </w:rPr>
        <w:t>Slavery Convention</w:t>
      </w:r>
      <w:r>
        <w:t xml:space="preserve"> 1927, Article 1.</w:t>
      </w:r>
    </w:p>
  </w:footnote>
  <w:footnote w:id="125">
    <w:p w14:paraId="40C02FD6" w14:textId="77777777" w:rsidR="00CE5F49" w:rsidRDefault="00CE5F49" w:rsidP="00A13F25">
      <w:pPr>
        <w:pStyle w:val="FootnoteText"/>
      </w:pPr>
      <w:r>
        <w:rPr>
          <w:rStyle w:val="FootnoteReference"/>
        </w:rPr>
        <w:footnoteRef/>
      </w:r>
      <w:r>
        <w:t xml:space="preserve"> See RN Proctor, Racial Hygiene: medicine under the Nazis (Cambridge, MA: Harvard University Press, 1988); also RJ Lifton, The Nazi Doctors: Medical Killing and the Psychology of Genocide (New York, Basic Books, 1986).</w:t>
      </w:r>
    </w:p>
  </w:footnote>
  <w:footnote w:id="126">
    <w:p w14:paraId="27F80195" w14:textId="77777777" w:rsidR="00CE5F49" w:rsidRDefault="00CE5F49" w:rsidP="00A13F25">
      <w:pPr>
        <w:pStyle w:val="FootnoteText"/>
      </w:pPr>
      <w:r>
        <w:rPr>
          <w:rStyle w:val="FootnoteReference"/>
        </w:rPr>
        <w:footnoteRef/>
      </w:r>
      <w:r>
        <w:t xml:space="preserve"> Hiram Caton and John I. Fleming, “Afterword: An Allegory”, in Hiram Caton and John I. Fleming eds., </w:t>
      </w:r>
      <w:r>
        <w:rPr>
          <w:i/>
        </w:rPr>
        <w:t>Proceedings of the Bioethics Symposium: Limits on Care of the Ninth World Congress on Intellectual Disability</w:t>
      </w:r>
      <w:r>
        <w:t>, (Canberra: National Council for Intellectual Disability, 1992), 67-68.</w:t>
      </w:r>
    </w:p>
  </w:footnote>
  <w:footnote w:id="127">
    <w:p w14:paraId="706166A0" w14:textId="77777777" w:rsidR="00CE5F49" w:rsidRDefault="00CE5F49" w:rsidP="00A13F25">
      <w:pPr>
        <w:pStyle w:val="FootnoteText"/>
      </w:pPr>
      <w:r>
        <w:rPr>
          <w:rStyle w:val="FootnoteReference"/>
        </w:rPr>
        <w:footnoteRef/>
      </w:r>
      <w:r>
        <w:t xml:space="preserve"> Cf The </w:t>
      </w:r>
      <w:r>
        <w:rPr>
          <w:i/>
        </w:rPr>
        <w:t>International Covenant on Civil and Political Rights 1966, Article 16.</w:t>
      </w:r>
    </w:p>
  </w:footnote>
  <w:footnote w:id="128">
    <w:p w14:paraId="63AAFC7D" w14:textId="77777777" w:rsidR="00CE5F49" w:rsidRDefault="00CE5F49" w:rsidP="00A13F25">
      <w:pPr>
        <w:pStyle w:val="FootnoteText"/>
      </w:pPr>
      <w:r>
        <w:rPr>
          <w:rStyle w:val="FootnoteReference"/>
        </w:rPr>
        <w:footnoteRef/>
      </w:r>
      <w:r>
        <w:t xml:space="preserve"> </w:t>
      </w:r>
      <w:r>
        <w:rPr>
          <w:i/>
        </w:rPr>
        <w:t>Universal Declaration of Human Right 1948</w:t>
      </w:r>
      <w:r>
        <w:t>, Article 25.</w:t>
      </w:r>
    </w:p>
  </w:footnote>
  <w:footnote w:id="129">
    <w:p w14:paraId="31A524B2" w14:textId="77777777" w:rsidR="00CE5F49" w:rsidRDefault="00CE5F49" w:rsidP="00A13F25">
      <w:pPr>
        <w:pStyle w:val="FootnoteText"/>
      </w:pPr>
      <w:r>
        <w:rPr>
          <w:rStyle w:val="FootnoteReference"/>
        </w:rPr>
        <w:footnoteRef/>
      </w:r>
      <w:r>
        <w:t xml:space="preserve"> The Human Rights Committee is established under the </w:t>
      </w:r>
      <w:r>
        <w:rPr>
          <w:i/>
        </w:rPr>
        <w:t xml:space="preserve">International Covenant on Civil and Political Rights 1966 </w:t>
      </w:r>
      <w:r>
        <w:t>to implement the Convenant, see Part IV of the Convenant. Mr Ganji, a former Human Rights Committee member, has provided useful insight to the Committee’s approach concerning Article 6.  He has observed:</w:t>
      </w:r>
    </w:p>
    <w:p w14:paraId="277D9FFA" w14:textId="77777777" w:rsidR="00CE5F49" w:rsidRDefault="00CE5F49" w:rsidP="00A13F25">
      <w:pPr>
        <w:pStyle w:val="FootnoteText"/>
        <w:ind w:left="720"/>
      </w:pPr>
      <w:r>
        <w:t>In order to exercise any rights with which the Committee was concerned an individual had to exist, and in order to exist, he must die neither before nor after birth and he must receive a minimum of food, education, health care, housing and clothing.  There was undoubtedly an interconnexion between the right to life, the requirements of which were material and the right to exercise all other freedoms. [SR 67 pr. 78. Comments made during consideration of a report by the German Democratic Republic.]</w:t>
      </w:r>
    </w:p>
  </w:footnote>
  <w:footnote w:id="130">
    <w:p w14:paraId="196EEF19" w14:textId="77777777" w:rsidR="00CE5F49" w:rsidRDefault="00CE5F49" w:rsidP="00A13F25">
      <w:pPr>
        <w:pStyle w:val="FootnoteText"/>
      </w:pPr>
      <w:r>
        <w:rPr>
          <w:rStyle w:val="FootnoteReference"/>
        </w:rPr>
        <w:footnoteRef/>
      </w:r>
      <w:r>
        <w:t xml:space="preserve"> GC 7(16), Doc. A/37/40, 94. Also in Doc. C/21/Add. I.</w:t>
      </w:r>
    </w:p>
  </w:footnote>
  <w:footnote w:id="131">
    <w:p w14:paraId="4FD74B2D" w14:textId="77777777" w:rsidR="00CE5F49" w:rsidRDefault="00CE5F49" w:rsidP="00A13F25">
      <w:pPr>
        <w:pStyle w:val="FootnoteText"/>
      </w:pPr>
      <w:r>
        <w:rPr>
          <w:rStyle w:val="FootnoteReference"/>
        </w:rPr>
        <w:footnoteRef/>
      </w:r>
      <w:r>
        <w:t xml:space="preserve"> </w:t>
      </w:r>
      <w:r>
        <w:rPr>
          <w:i/>
        </w:rPr>
        <w:t>International Covenant on Civil and Political Rights 1966</w:t>
      </w:r>
      <w:r>
        <w:t>, Article 4(2).</w:t>
      </w:r>
    </w:p>
  </w:footnote>
  <w:footnote w:id="132">
    <w:p w14:paraId="116BE6ED" w14:textId="77777777" w:rsidR="00CE5F49" w:rsidRDefault="00CE5F49" w:rsidP="00A13F25">
      <w:pPr>
        <w:pStyle w:val="FootnoteText"/>
      </w:pPr>
      <w:r>
        <w:rPr>
          <w:rStyle w:val="FootnoteReference"/>
        </w:rPr>
        <w:footnoteRef/>
      </w:r>
      <w:r>
        <w:t xml:space="preserve"> </w:t>
      </w:r>
      <w:r>
        <w:rPr>
          <w:i/>
        </w:rPr>
        <w:t>International Covenant on Civil and Political Rights 1966</w:t>
      </w:r>
      <w:r>
        <w:t>, Article 4(1).</w:t>
      </w:r>
    </w:p>
  </w:footnote>
  <w:footnote w:id="133">
    <w:p w14:paraId="7386C2F3" w14:textId="77777777" w:rsidR="00CE5F49" w:rsidRDefault="00CE5F49" w:rsidP="00A13F25">
      <w:pPr>
        <w:pStyle w:val="FootnoteText"/>
      </w:pPr>
      <w:r>
        <w:rPr>
          <w:rStyle w:val="FootnoteReference"/>
        </w:rPr>
        <w:footnoteRef/>
      </w:r>
      <w:r>
        <w:t xml:space="preserve"> </w:t>
      </w:r>
      <w:r>
        <w:rPr>
          <w:i/>
        </w:rPr>
        <w:t>International Covenant on Civil and Political Rights 1966</w:t>
      </w:r>
      <w:r>
        <w:t>, Article 40(4).</w:t>
      </w:r>
    </w:p>
  </w:footnote>
  <w:footnote w:id="134">
    <w:p w14:paraId="13F1CE9B" w14:textId="77777777" w:rsidR="00CE5F49" w:rsidRDefault="00CE5F49" w:rsidP="00A13F25">
      <w:pPr>
        <w:pStyle w:val="FootnoteText"/>
      </w:pPr>
      <w:r>
        <w:rPr>
          <w:rStyle w:val="FootnoteReference"/>
        </w:rPr>
        <w:footnoteRef/>
      </w:r>
      <w:r>
        <w:t xml:space="preserve"> Human Rights Committee, General Comment 6, Article 6 (Sixteenth session, 1982), Compilation of General Comments and General Recommendations Adopted by Human Rights Treaty Bodies, U.N. Doc. HRI\GEN\1\Rev.1 at 6 (1994) § 1.</w:t>
      </w:r>
    </w:p>
  </w:footnote>
  <w:footnote w:id="135">
    <w:p w14:paraId="3E8FBA32" w14:textId="77777777" w:rsidR="00CE5F49" w:rsidRDefault="00CE5F49" w:rsidP="00A13F25">
      <w:pPr>
        <w:pStyle w:val="FootnoteText"/>
      </w:pPr>
      <w:r>
        <w:rPr>
          <w:rStyle w:val="FootnoteReference"/>
        </w:rPr>
        <w:footnoteRef/>
      </w:r>
      <w:r>
        <w:t xml:space="preserve"> </w:t>
      </w:r>
      <w:r>
        <w:rPr>
          <w:i/>
        </w:rPr>
        <w:t>Id</w:t>
      </w:r>
      <w:r>
        <w:t>. at  § 5.</w:t>
      </w:r>
    </w:p>
  </w:footnote>
  <w:footnote w:id="136">
    <w:p w14:paraId="2AE6D83F" w14:textId="77777777" w:rsidR="00CE5F49" w:rsidRDefault="00CE5F49" w:rsidP="00A13F25">
      <w:pPr>
        <w:pStyle w:val="FootnoteText"/>
      </w:pPr>
      <w:r>
        <w:rPr>
          <w:rStyle w:val="FootnoteReference"/>
        </w:rPr>
        <w:footnoteRef/>
      </w:r>
      <w:r>
        <w:t xml:space="preserve"> Article 6(5) of the </w:t>
      </w:r>
      <w:r>
        <w:rPr>
          <w:i/>
        </w:rPr>
        <w:t>International Covenant on Civil and Political Rights 1966</w:t>
      </w:r>
      <w:r>
        <w:t xml:space="preserve">, G.A. res. 2200A (XXI), 21 U.N. GAOR Supp. (No. 16) at 52, U.N. Doc. A/6316 (1966), 999 U.N.T.S. 171. See also the United Nations </w:t>
      </w:r>
      <w:r>
        <w:rPr>
          <w:i/>
        </w:rPr>
        <w:t>Safeguards Guaranteeing Protection of the Rights of Those Facing the Death Penalty 1984</w:t>
      </w:r>
      <w:r>
        <w:t>, Article 3.</w:t>
      </w:r>
    </w:p>
  </w:footnote>
  <w:footnote w:id="137">
    <w:p w14:paraId="7502B8AF" w14:textId="77777777" w:rsidR="00CE5F49" w:rsidRDefault="00CE5F49" w:rsidP="00A13F25">
      <w:pPr>
        <w:pStyle w:val="FootnoteText"/>
      </w:pPr>
      <w:r>
        <w:rPr>
          <w:rStyle w:val="FootnoteReference"/>
        </w:rPr>
        <w:footnoteRef/>
      </w:r>
      <w:r>
        <w:t xml:space="preserve"> Marc J. Bossuyt in the</w:t>
      </w:r>
      <w:r>
        <w:rPr>
          <w:i/>
        </w:rPr>
        <w:t xml:space="preserve"> Guide to the “Travaux Préparatoires” of the International Convenant on Civil and Political Rights</w:t>
      </w:r>
      <w:r>
        <w:t>, (Martinus Nijhoff Publishers, 1987) observes:</w:t>
      </w:r>
    </w:p>
    <w:p w14:paraId="0473FC93" w14:textId="77777777" w:rsidR="00CE5F49" w:rsidRDefault="00CE5F49" w:rsidP="00A13F25">
      <w:pPr>
        <w:pStyle w:val="FootnoteText"/>
        <w:ind w:left="720"/>
        <w:rPr>
          <w:u w:val="single"/>
        </w:rPr>
      </w:pPr>
      <w:r>
        <w:rPr>
          <w:u w:val="single"/>
        </w:rPr>
        <w:t>Commission on Human Rights, 5th Session (1949), 6th Session (1950), 8th Session (1952)</w:t>
      </w:r>
    </w:p>
    <w:p w14:paraId="70AD5590" w14:textId="77777777" w:rsidR="00CE5F49" w:rsidRDefault="00CE5F49" w:rsidP="00A13F25">
      <w:pPr>
        <w:pStyle w:val="FootnoteText"/>
        <w:ind w:left="720"/>
      </w:pPr>
      <w:r>
        <w:t xml:space="preserve">A/2929, Chapt. VI, §10:  “It would seem that the intention of paragraph 4 </w:t>
      </w:r>
      <w:r>
        <w:rPr>
          <w:i/>
        </w:rPr>
        <w:t xml:space="preserve">[5] </w:t>
      </w:r>
      <w:r>
        <w:t xml:space="preserve">which was inspired by humanitarian considerations and by consideration for the interests of the unborn child, was that the death sentence, if it concerned a pregnant woman, should not be carried out at all.  It was pointed out, however, that the provision, in its present formulation, might be interpreted as applying solely to the period preceding childbirth </w:t>
      </w:r>
      <w:r>
        <w:rPr>
          <w:i/>
        </w:rPr>
        <w:t>[E/CN.4/SR.311, p.7 (B)]</w:t>
      </w:r>
      <w:r>
        <w:t>.”</w:t>
      </w:r>
    </w:p>
    <w:p w14:paraId="44B85E10" w14:textId="77777777" w:rsidR="00CE5F49" w:rsidRDefault="00CE5F49" w:rsidP="00A13F25">
      <w:pPr>
        <w:pStyle w:val="FootnoteText"/>
        <w:ind w:left="720"/>
        <w:rPr>
          <w:u w:val="single"/>
        </w:rPr>
      </w:pPr>
      <w:r>
        <w:rPr>
          <w:u w:val="single"/>
        </w:rPr>
        <w:t>Third Committee, 12th Session (1957)</w:t>
      </w:r>
    </w:p>
    <w:p w14:paraId="6FFD6340" w14:textId="77777777" w:rsidR="00CE5F49" w:rsidRDefault="00CE5F49" w:rsidP="00A13F25">
      <w:pPr>
        <w:pStyle w:val="FootnoteText"/>
        <w:ind w:left="720"/>
      </w:pPr>
      <w:r>
        <w:t xml:space="preserve">A/3764, §118 [actually §117]:  “There was some discussion regarding the meaning of paragraph 4 </w:t>
      </w:r>
      <w:r>
        <w:rPr>
          <w:i/>
        </w:rPr>
        <w:t xml:space="preserve">[5] </w:t>
      </w:r>
      <w:r>
        <w:t xml:space="preserve">of the draft of the Commission on Human Rights (E/2573, annex I B), which provided that the sentence of death should not be carried out on a pregnant woman.  A number of representatives were of the opinion that the clause sought to prevent the carrying out of the sentence of death before the child was born </w:t>
      </w:r>
      <w:r>
        <w:rPr>
          <w:i/>
        </w:rPr>
        <w:t>[A/C.3/SR.809, §27 (CHI); A/C.3/SR.810, §2 (B), §7 (IR); A/C.3/SR.812, §32 (RI); A/C.3/SR.814, §42 (CDN)]</w:t>
      </w:r>
      <w:r>
        <w:t xml:space="preserve">.  However, other (sic) thought that the death sentence should not be carried out at all if it concerned a pregnant woman </w:t>
      </w:r>
      <w:r>
        <w:rPr>
          <w:i/>
        </w:rPr>
        <w:t>[A/C.3/SR.810, §14 (PE); A/C.3/SR.811, §24 (SA)]</w:t>
      </w:r>
      <w:r>
        <w:t>.  The normal development of the unborn child might be affected if the mother were to live in constant fear that, after the birth of her child, the death sentence would be carried out.”</w:t>
      </w:r>
    </w:p>
  </w:footnote>
  <w:footnote w:id="138">
    <w:p w14:paraId="66D58D7A" w14:textId="77777777" w:rsidR="00CE5F49" w:rsidRDefault="00CE5F49" w:rsidP="00A13F25">
      <w:pPr>
        <w:pStyle w:val="FootnoteText"/>
      </w:pPr>
      <w:r>
        <w:rPr>
          <w:rStyle w:val="FootnoteReference"/>
        </w:rPr>
        <w:footnoteRef/>
      </w:r>
      <w:r>
        <w:t xml:space="preserve"> </w:t>
      </w:r>
      <w:r>
        <w:rPr>
          <w:i/>
        </w:rPr>
        <w:t>Ibid.</w:t>
      </w:r>
      <w:r>
        <w:t>, §118, A/3764.</w:t>
      </w:r>
    </w:p>
  </w:footnote>
  <w:footnote w:id="139">
    <w:p w14:paraId="29A16BA5" w14:textId="77777777" w:rsidR="00CE5F49" w:rsidRDefault="00CE5F49" w:rsidP="00A13F25">
      <w:pPr>
        <w:pStyle w:val="FootnoteText"/>
      </w:pPr>
      <w:r>
        <w:rPr>
          <w:rStyle w:val="FootnoteReference"/>
        </w:rPr>
        <w:footnoteRef/>
      </w:r>
      <w:r>
        <w:t xml:space="preserve"> In </w:t>
      </w:r>
      <w:r>
        <w:rPr>
          <w:i/>
        </w:rPr>
        <w:t>R v. Wycherley</w:t>
      </w:r>
      <w:r>
        <w:t xml:space="preserve"> 173 ER 486 the accused woman had been found guilty of murder and was sentenced to death. When asked whether she had anything to stay the execution she replied: “I am with child now.” A jury was empanelled and found that the woman was </w:t>
      </w:r>
      <w:r>
        <w:rPr>
          <w:i/>
        </w:rPr>
        <w:t>not</w:t>
      </w:r>
      <w:r>
        <w:t xml:space="preserve"> pregnant. Nevertheless, the case highlights that the death penalty was stayed pending the resolution of the issue and logically would have been stayed until at least the birth had she been found to be pregnant.</w:t>
      </w:r>
    </w:p>
  </w:footnote>
  <w:footnote w:id="140">
    <w:p w14:paraId="30AB691E" w14:textId="77777777" w:rsidR="00CE5F49" w:rsidRDefault="00CE5F49" w:rsidP="00A13F25">
      <w:pPr>
        <w:pStyle w:val="FootnoteText"/>
      </w:pPr>
      <w:r>
        <w:rPr>
          <w:rStyle w:val="FootnoteReference"/>
        </w:rPr>
        <w:footnoteRef/>
      </w:r>
      <w:r>
        <w:t xml:space="preserve"> International Planned Parenthood Federation, </w:t>
      </w:r>
      <w:r>
        <w:rPr>
          <w:i/>
        </w:rPr>
        <w:t>IPPF Charter on Sexual and Reproductive Rights</w:t>
      </w:r>
      <w:r>
        <w:t>, 12.</w:t>
      </w:r>
    </w:p>
  </w:footnote>
  <w:footnote w:id="141">
    <w:p w14:paraId="3AEC6503" w14:textId="77777777" w:rsidR="00CE5F49" w:rsidRDefault="00CE5F49" w:rsidP="00A13F25">
      <w:pPr>
        <w:pStyle w:val="FootnoteText"/>
      </w:pPr>
      <w:r>
        <w:rPr>
          <w:rStyle w:val="FootnoteReference"/>
        </w:rPr>
        <w:footnoteRef/>
      </w:r>
      <w:r>
        <w:t xml:space="preserve"> 78 U.N.T.S. 277, the Convention entered into force on 12 January 1951.  The Convention was signed by Australia on 11 December 1948 and ratified on 8 July 1949. Australia has approved and repeated the </w:t>
      </w:r>
      <w:r>
        <w:rPr>
          <w:i/>
        </w:rPr>
        <w:t xml:space="preserve">Convention on the Prevention and Punishment of the Crime of Genocide 1948 </w:t>
      </w:r>
      <w:r>
        <w:t xml:space="preserve">in the </w:t>
      </w:r>
      <w:r>
        <w:rPr>
          <w:i/>
        </w:rPr>
        <w:t>Genocide Convention Act 1949</w:t>
      </w:r>
      <w:r>
        <w:t xml:space="preserve"> (Cth.)</w:t>
      </w:r>
      <w:r>
        <w:rPr>
          <w:i/>
        </w:rPr>
        <w:t>.</w:t>
      </w:r>
      <w:r>
        <w:t xml:space="preserve"> However, the Act does not </w:t>
      </w:r>
      <w:r>
        <w:rPr>
          <w:i/>
        </w:rPr>
        <w:t>implement</w:t>
      </w:r>
      <w:r>
        <w:t xml:space="preserve"> the Convention into municipal law, see </w:t>
      </w:r>
      <w:r>
        <w:rPr>
          <w:i/>
        </w:rPr>
        <w:t xml:space="preserve"> Minister for Immigration and Ethnic Affairs v Teoh</w:t>
      </w:r>
      <w:r>
        <w:t xml:space="preserve"> (1995) 183 CLR 273 at 286-287, 298, 304, 315 and </w:t>
      </w:r>
      <w:r>
        <w:rPr>
          <w:i/>
        </w:rPr>
        <w:t>Krueger v The Commonwealth</w:t>
      </w:r>
      <w:r>
        <w:t>, unreported, High Court of Australia, 31 July 1997. Compare the comments of Justice Evatt who has argued:</w:t>
      </w:r>
    </w:p>
    <w:p w14:paraId="19EBF803" w14:textId="77777777" w:rsidR="00CE5F49" w:rsidRDefault="00CE5F49" w:rsidP="00A13F25">
      <w:pPr>
        <w:pStyle w:val="FootnoteText"/>
        <w:ind w:left="720"/>
      </w:pPr>
      <w:r>
        <w:t>Quite apart from conventions that Australia ratifies, some parts of that international law can, as a matter of common law, apply in Australia without any further action on the part of anyone. I think the recent High Court case of Teoh may have referred obliquely to this, but it could have said more about the fact that under common law, customary rules, and particularly principles of human rights, such as the principle against genocide and so on, are part of customary international law. Naturally as such, they can be overruled by legislation, as any part of the common law can. But we should not think of international law as being an entirely separate thing from the law of Australia. Some parts of it we would recognise. [Report by the Senate Legal and Constitutional References Committee, Trick or Treaty?, Commonwealth Power to Make and Implement Treaties, November 1995 at §6.6, see also §3.33.]</w:t>
      </w:r>
    </w:p>
  </w:footnote>
  <w:footnote w:id="142">
    <w:p w14:paraId="0C964F5A" w14:textId="77777777" w:rsidR="00CE5F49" w:rsidRDefault="00CE5F49" w:rsidP="00A13F25">
      <w:pPr>
        <w:pStyle w:val="FootnoteText"/>
      </w:pPr>
      <w:r>
        <w:rPr>
          <w:rStyle w:val="FootnoteReference"/>
        </w:rPr>
        <w:footnoteRef/>
      </w:r>
      <w:r>
        <w:t xml:space="preserve"> </w:t>
      </w:r>
      <w:r>
        <w:rPr>
          <w:i/>
        </w:rPr>
        <w:t xml:space="preserve">Convention on the Prevention and Punishment of the Crime of Genocide 1948, </w:t>
      </w:r>
      <w:r>
        <w:t>Preamble.</w:t>
      </w:r>
    </w:p>
  </w:footnote>
  <w:footnote w:id="143">
    <w:p w14:paraId="7D6EF560" w14:textId="77777777" w:rsidR="00CE5F49" w:rsidRDefault="00CE5F49" w:rsidP="00A13F25">
      <w:pPr>
        <w:pStyle w:val="FootnoteText"/>
      </w:pPr>
      <w:r>
        <w:rPr>
          <w:rStyle w:val="FootnoteReference"/>
        </w:rPr>
        <w:footnoteRef/>
      </w:r>
      <w:r>
        <w:t xml:space="preserve"> In </w:t>
      </w:r>
      <w:r>
        <w:rPr>
          <w:i/>
        </w:rPr>
        <w:t>Thorpe v The Commonwealth [No 3],</w:t>
      </w:r>
      <w:r>
        <w:t xml:space="preserve"> unreported, High Court of Australia, 12 June 1997, Kirby J. observed “The definition of “genocide” in the [Genocide] Convention is very broad.”</w:t>
      </w:r>
    </w:p>
  </w:footnote>
  <w:footnote w:id="144">
    <w:p w14:paraId="24C8613B" w14:textId="77777777" w:rsidR="00CE5F49" w:rsidRDefault="00CE5F49" w:rsidP="00A13F25">
      <w:pPr>
        <w:pStyle w:val="FootnoteText"/>
      </w:pPr>
      <w:r>
        <w:rPr>
          <w:rStyle w:val="FootnoteReference"/>
        </w:rPr>
        <w:footnoteRef/>
      </w:r>
      <w:r>
        <w:rPr>
          <w:i/>
        </w:rPr>
        <w:t xml:space="preserve"> Declaration on the Rights of Disabled Persons 1975</w:t>
      </w:r>
      <w:r>
        <w:t xml:space="preserve">, proclaimed by the General Assembly Resolution 3447 (XXX) of 9 December 1975. The Declaration is attached as Schedule 5 to the </w:t>
      </w:r>
      <w:r>
        <w:rPr>
          <w:i/>
        </w:rPr>
        <w:t>Human Rights and Equal Opportunity Commission Act 1986</w:t>
      </w:r>
      <w:r>
        <w:t xml:space="preserve"> (Cth.).</w:t>
      </w:r>
    </w:p>
  </w:footnote>
  <w:footnote w:id="145">
    <w:p w14:paraId="3646E9ED" w14:textId="77777777" w:rsidR="00CE5F49" w:rsidRDefault="00CE5F49" w:rsidP="00A13F25">
      <w:pPr>
        <w:pStyle w:val="FootnoteText"/>
      </w:pPr>
      <w:r>
        <w:rPr>
          <w:rStyle w:val="FootnoteReference"/>
        </w:rPr>
        <w:footnoteRef/>
      </w:r>
      <w:r>
        <w:t xml:space="preserve"> </w:t>
      </w:r>
      <w:r>
        <w:rPr>
          <w:i/>
        </w:rPr>
        <w:t>Declaration on the Rights of Disabled Persons 1975</w:t>
      </w:r>
      <w:r>
        <w:t>, Article 4.</w:t>
      </w:r>
    </w:p>
  </w:footnote>
  <w:footnote w:id="146">
    <w:p w14:paraId="59890C9A" w14:textId="77777777" w:rsidR="00CE5F49" w:rsidRDefault="00CE5F49" w:rsidP="00A13F25">
      <w:pPr>
        <w:pStyle w:val="FootnoteText"/>
      </w:pPr>
      <w:r>
        <w:rPr>
          <w:rStyle w:val="FootnoteReference"/>
        </w:rPr>
        <w:footnoteRef/>
      </w:r>
      <w:r>
        <w:t xml:space="preserve"> </w:t>
      </w:r>
      <w:r>
        <w:rPr>
          <w:i/>
        </w:rPr>
        <w:t>Declaration on the Rights of Disabled Persons 1975</w:t>
      </w:r>
      <w:r>
        <w:t>, Article 10.</w:t>
      </w:r>
    </w:p>
  </w:footnote>
  <w:footnote w:id="147">
    <w:p w14:paraId="79B5522C" w14:textId="77777777" w:rsidR="00CE5F49" w:rsidRDefault="00CE5F49" w:rsidP="00A13F25">
      <w:pPr>
        <w:pStyle w:val="FootnoteText"/>
      </w:pPr>
      <w:r>
        <w:rPr>
          <w:rStyle w:val="FootnoteReference"/>
        </w:rPr>
        <w:footnoteRef/>
      </w:r>
      <w:r>
        <w:t xml:space="preserve"> United Nations Charter, Article 55(c).</w:t>
      </w:r>
    </w:p>
  </w:footnote>
  <w:footnote w:id="148">
    <w:p w14:paraId="3C1E6735" w14:textId="77777777" w:rsidR="00CE5F49" w:rsidRDefault="00CE5F49" w:rsidP="00A13F25">
      <w:pPr>
        <w:pStyle w:val="FootnoteText"/>
      </w:pPr>
      <w:r>
        <w:rPr>
          <w:rStyle w:val="FootnoteReference"/>
        </w:rPr>
        <w:footnoteRef/>
      </w:r>
      <w:r>
        <w:t xml:space="preserve"> United Nations Charter, Article 56.</w:t>
      </w:r>
    </w:p>
  </w:footnote>
  <w:footnote w:id="149">
    <w:p w14:paraId="756A3497" w14:textId="77777777" w:rsidR="00CE5F49" w:rsidRDefault="00CE5F49" w:rsidP="00A13F25">
      <w:pPr>
        <w:pStyle w:val="FootnoteText"/>
      </w:pPr>
      <w:r>
        <w:rPr>
          <w:rStyle w:val="FootnoteReference"/>
        </w:rPr>
        <w:footnoteRef/>
      </w:r>
      <w:r>
        <w:t xml:space="preserve"> </w:t>
      </w:r>
      <w:r>
        <w:rPr>
          <w:i/>
        </w:rPr>
        <w:t>Parry and Grant Encyclopaedic Dictionary of International Law</w:t>
      </w:r>
      <w:r>
        <w:t xml:space="preserve">, eds. Professor Clive Parry </w:t>
      </w:r>
      <w:r>
        <w:rPr>
          <w:i/>
        </w:rPr>
        <w:t>et al</w:t>
      </w:r>
      <w:r>
        <w:t>, (New York: Oceana Publications, Inc., 1986), 72.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9A3"/>
    <w:multiLevelType w:val="hybridMultilevel"/>
    <w:tmpl w:val="18525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6464C"/>
    <w:multiLevelType w:val="hybridMultilevel"/>
    <w:tmpl w:val="5D2854D4"/>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61733E"/>
    <w:multiLevelType w:val="hybridMultilevel"/>
    <w:tmpl w:val="6F90630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3693B"/>
    <w:multiLevelType w:val="hybridMultilevel"/>
    <w:tmpl w:val="A42CCF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82FB5"/>
    <w:multiLevelType w:val="hybridMultilevel"/>
    <w:tmpl w:val="5BAC72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C0A86"/>
    <w:multiLevelType w:val="hybridMultilevel"/>
    <w:tmpl w:val="E8FC9D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380517"/>
    <w:multiLevelType w:val="hybridMultilevel"/>
    <w:tmpl w:val="73306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8942A2"/>
    <w:multiLevelType w:val="hybridMultilevel"/>
    <w:tmpl w:val="7D8CC1DC"/>
    <w:lvl w:ilvl="0" w:tplc="1E9818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73A1C"/>
    <w:multiLevelType w:val="hybridMultilevel"/>
    <w:tmpl w:val="F37EECF4"/>
    <w:lvl w:ilvl="0" w:tplc="F10E52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441E15"/>
    <w:multiLevelType w:val="hybridMultilevel"/>
    <w:tmpl w:val="A67EA7DA"/>
    <w:lvl w:ilvl="0" w:tplc="DB8884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8174C7"/>
    <w:multiLevelType w:val="hybridMultilevel"/>
    <w:tmpl w:val="A822A26C"/>
    <w:lvl w:ilvl="0" w:tplc="DB8884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7219E4"/>
    <w:multiLevelType w:val="hybridMultilevel"/>
    <w:tmpl w:val="028C017A"/>
    <w:lvl w:ilvl="0" w:tplc="DB8884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C11C30"/>
    <w:multiLevelType w:val="hybridMultilevel"/>
    <w:tmpl w:val="C680B05E"/>
    <w:lvl w:ilvl="0" w:tplc="35E605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E55954"/>
    <w:multiLevelType w:val="hybridMultilevel"/>
    <w:tmpl w:val="4A203B44"/>
    <w:lvl w:ilvl="0" w:tplc="8002407C">
      <w:start w:val="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9E51B0"/>
    <w:multiLevelType w:val="hybridMultilevel"/>
    <w:tmpl w:val="A88A4816"/>
    <w:lvl w:ilvl="0" w:tplc="67A6CE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480264"/>
    <w:multiLevelType w:val="hybridMultilevel"/>
    <w:tmpl w:val="2898A198"/>
    <w:lvl w:ilvl="0" w:tplc="FC6EBC3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A1A83"/>
    <w:multiLevelType w:val="hybridMultilevel"/>
    <w:tmpl w:val="9574FA34"/>
    <w:lvl w:ilvl="0" w:tplc="741265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0"/>
  </w:num>
  <w:num w:numId="4">
    <w:abstractNumId w:val="15"/>
  </w:num>
  <w:num w:numId="5">
    <w:abstractNumId w:val="3"/>
  </w:num>
  <w:num w:numId="6">
    <w:abstractNumId w:val="4"/>
  </w:num>
  <w:num w:numId="7">
    <w:abstractNumId w:val="2"/>
  </w:num>
  <w:num w:numId="8">
    <w:abstractNumId w:val="1"/>
  </w:num>
  <w:num w:numId="9">
    <w:abstractNumId w:val="13"/>
  </w:num>
  <w:num w:numId="10">
    <w:abstractNumId w:val="14"/>
  </w:num>
  <w:num w:numId="11">
    <w:abstractNumId w:val="10"/>
  </w:num>
  <w:num w:numId="12">
    <w:abstractNumId w:val="11"/>
  </w:num>
  <w:num w:numId="13">
    <w:abstractNumId w:val="9"/>
  </w:num>
  <w:num w:numId="14">
    <w:abstractNumId w:val="12"/>
  </w:num>
  <w:num w:numId="15">
    <w:abstractNumId w:val="8"/>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0D"/>
    <w:rsid w:val="00015531"/>
    <w:rsid w:val="00111A5B"/>
    <w:rsid w:val="001121F0"/>
    <w:rsid w:val="00122828"/>
    <w:rsid w:val="001255E6"/>
    <w:rsid w:val="001C0CA6"/>
    <w:rsid w:val="001F1D4D"/>
    <w:rsid w:val="00214FDF"/>
    <w:rsid w:val="00241B76"/>
    <w:rsid w:val="00245D4E"/>
    <w:rsid w:val="002A0E27"/>
    <w:rsid w:val="002A4908"/>
    <w:rsid w:val="002B0522"/>
    <w:rsid w:val="002F69DA"/>
    <w:rsid w:val="00313C43"/>
    <w:rsid w:val="00355338"/>
    <w:rsid w:val="00371EEC"/>
    <w:rsid w:val="0037322A"/>
    <w:rsid w:val="00384257"/>
    <w:rsid w:val="003B37FC"/>
    <w:rsid w:val="003E0292"/>
    <w:rsid w:val="003F1051"/>
    <w:rsid w:val="004072EC"/>
    <w:rsid w:val="00430311"/>
    <w:rsid w:val="004846CC"/>
    <w:rsid w:val="004B35CC"/>
    <w:rsid w:val="004C1B0B"/>
    <w:rsid w:val="004D622B"/>
    <w:rsid w:val="005263C6"/>
    <w:rsid w:val="005A17C3"/>
    <w:rsid w:val="006048EF"/>
    <w:rsid w:val="0063531D"/>
    <w:rsid w:val="00662DCC"/>
    <w:rsid w:val="00693830"/>
    <w:rsid w:val="0069456C"/>
    <w:rsid w:val="006A65A8"/>
    <w:rsid w:val="006F028D"/>
    <w:rsid w:val="0070601D"/>
    <w:rsid w:val="0071539A"/>
    <w:rsid w:val="00733B8B"/>
    <w:rsid w:val="007B47F3"/>
    <w:rsid w:val="007B4B29"/>
    <w:rsid w:val="007C3E6B"/>
    <w:rsid w:val="00801930"/>
    <w:rsid w:val="0084344B"/>
    <w:rsid w:val="0085538E"/>
    <w:rsid w:val="00874B12"/>
    <w:rsid w:val="00884232"/>
    <w:rsid w:val="008A62DE"/>
    <w:rsid w:val="008E3425"/>
    <w:rsid w:val="00931F53"/>
    <w:rsid w:val="009724CF"/>
    <w:rsid w:val="009D13BC"/>
    <w:rsid w:val="009E1FFD"/>
    <w:rsid w:val="00A13F25"/>
    <w:rsid w:val="00A21B49"/>
    <w:rsid w:val="00A720B7"/>
    <w:rsid w:val="00A80B7D"/>
    <w:rsid w:val="00AB5DC6"/>
    <w:rsid w:val="00AE5EDF"/>
    <w:rsid w:val="00AF32A4"/>
    <w:rsid w:val="00B27015"/>
    <w:rsid w:val="00B729D1"/>
    <w:rsid w:val="00B87FE0"/>
    <w:rsid w:val="00BC6D81"/>
    <w:rsid w:val="00BD0B73"/>
    <w:rsid w:val="00BE184A"/>
    <w:rsid w:val="00C70A6D"/>
    <w:rsid w:val="00C96A48"/>
    <w:rsid w:val="00CB76FD"/>
    <w:rsid w:val="00CC003B"/>
    <w:rsid w:val="00CE5F49"/>
    <w:rsid w:val="00D33EA6"/>
    <w:rsid w:val="00D4430D"/>
    <w:rsid w:val="00D93C6C"/>
    <w:rsid w:val="00DF4FB4"/>
    <w:rsid w:val="00E008C0"/>
    <w:rsid w:val="00E13AEF"/>
    <w:rsid w:val="00E41209"/>
    <w:rsid w:val="00E86C38"/>
    <w:rsid w:val="00EC6E61"/>
    <w:rsid w:val="00ED2524"/>
    <w:rsid w:val="00EE3134"/>
    <w:rsid w:val="00EF6C12"/>
    <w:rsid w:val="00F16C44"/>
    <w:rsid w:val="00F23406"/>
    <w:rsid w:val="00F517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D6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qFormat="1"/>
    <w:lsdException w:name="Hyperlink" w:uiPriority="99"/>
    <w:lsdException w:name="HTML Preformatted" w:uiPriority="99"/>
    <w:lsdException w:name="No Spacing" w:uiPriority="1" w:qFormat="1"/>
  </w:latentStyles>
  <w:style w:type="paragraph" w:default="1" w:styleId="Normal">
    <w:name w:val="Normal"/>
    <w:qFormat/>
    <w:rsid w:val="00D4430D"/>
    <w:rPr>
      <w:rFonts w:ascii="Times New Roman" w:eastAsia="Times New Roman" w:hAnsi="Times New Roman" w:cs="Times New Roman"/>
      <w:lang w:val="en-GB"/>
    </w:rPr>
  </w:style>
  <w:style w:type="paragraph" w:styleId="Heading2">
    <w:name w:val="heading 2"/>
    <w:basedOn w:val="Normal"/>
    <w:next w:val="Normal"/>
    <w:link w:val="Heading2Char"/>
    <w:uiPriority w:val="9"/>
    <w:unhideWhenUsed/>
    <w:qFormat/>
    <w:rsid w:val="00F16C44"/>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D4430D"/>
    <w:rPr>
      <w:sz w:val="20"/>
      <w:szCs w:val="20"/>
    </w:rPr>
  </w:style>
  <w:style w:type="character" w:customStyle="1" w:styleId="FootnoteTextChar">
    <w:name w:val="Footnote Text Char"/>
    <w:basedOn w:val="DefaultParagraphFont"/>
    <w:link w:val="FootnoteText"/>
    <w:uiPriority w:val="99"/>
    <w:rsid w:val="00D4430D"/>
    <w:rPr>
      <w:rFonts w:ascii="Times New Roman" w:eastAsia="Times New Roman" w:hAnsi="Times New Roman" w:cs="Times New Roman"/>
      <w:sz w:val="20"/>
      <w:szCs w:val="20"/>
      <w:lang w:val="en-GB"/>
    </w:rPr>
  </w:style>
  <w:style w:type="character" w:styleId="FootnoteReference">
    <w:name w:val="footnote reference"/>
    <w:basedOn w:val="DefaultParagraphFont"/>
    <w:rsid w:val="00D4430D"/>
    <w:rPr>
      <w:vertAlign w:val="superscript"/>
    </w:rPr>
  </w:style>
  <w:style w:type="character" w:customStyle="1" w:styleId="Heading2Char">
    <w:name w:val="Heading 2 Char"/>
    <w:basedOn w:val="DefaultParagraphFont"/>
    <w:link w:val="Heading2"/>
    <w:uiPriority w:val="9"/>
    <w:rsid w:val="00F16C44"/>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F16C44"/>
    <w:pPr>
      <w:ind w:left="283" w:hanging="283"/>
      <w:contextualSpacing/>
    </w:pPr>
    <w:rPr>
      <w:rFonts w:asciiTheme="minorHAnsi" w:eastAsiaTheme="minorHAnsi" w:hAnsiTheme="minorHAnsi" w:cstheme="minorBidi"/>
      <w:lang w:val="en-US"/>
    </w:rPr>
  </w:style>
  <w:style w:type="paragraph" w:styleId="List2">
    <w:name w:val="List 2"/>
    <w:basedOn w:val="Normal"/>
    <w:uiPriority w:val="99"/>
    <w:unhideWhenUsed/>
    <w:rsid w:val="00F16C44"/>
    <w:pPr>
      <w:ind w:left="566" w:hanging="283"/>
      <w:contextualSpacing/>
    </w:pPr>
    <w:rPr>
      <w:rFonts w:asciiTheme="minorHAnsi" w:eastAsiaTheme="minorHAnsi" w:hAnsiTheme="minorHAnsi" w:cstheme="minorBidi"/>
      <w:lang w:val="en-US"/>
    </w:rPr>
  </w:style>
  <w:style w:type="paragraph" w:styleId="BodyText">
    <w:name w:val="Body Text"/>
    <w:basedOn w:val="Normal"/>
    <w:link w:val="BodyTextChar"/>
    <w:uiPriority w:val="99"/>
    <w:unhideWhenUsed/>
    <w:rsid w:val="00F16C44"/>
    <w:pPr>
      <w:spacing w:after="120"/>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rsid w:val="00F16C44"/>
  </w:style>
  <w:style w:type="character" w:styleId="Hyperlink">
    <w:name w:val="Hyperlink"/>
    <w:basedOn w:val="DefaultParagraphFont"/>
    <w:uiPriority w:val="99"/>
    <w:rsid w:val="0063531D"/>
    <w:rPr>
      <w:color w:val="0000FF"/>
      <w:u w:val="single"/>
    </w:rPr>
  </w:style>
  <w:style w:type="paragraph" w:styleId="NoSpacing">
    <w:name w:val="No Spacing"/>
    <w:uiPriority w:val="1"/>
    <w:qFormat/>
    <w:rsid w:val="0063531D"/>
    <w:rPr>
      <w:rFonts w:ascii="Cambria" w:eastAsia="Cambria" w:hAnsi="Cambria" w:cs="Times New Roman"/>
      <w:sz w:val="22"/>
      <w:szCs w:val="22"/>
    </w:rPr>
  </w:style>
  <w:style w:type="character" w:customStyle="1" w:styleId="term">
    <w:name w:val="term"/>
    <w:basedOn w:val="DefaultParagraphFont"/>
    <w:rsid w:val="00CC003B"/>
  </w:style>
  <w:style w:type="paragraph" w:styleId="HTMLPreformatted">
    <w:name w:val="HTML Preformatted"/>
    <w:basedOn w:val="Normal"/>
    <w:link w:val="HTMLPreformattedChar"/>
    <w:uiPriority w:val="99"/>
    <w:unhideWhenUsed/>
    <w:rsid w:val="00BC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BC6D81"/>
    <w:rPr>
      <w:rFonts w:ascii="Courier New" w:eastAsia="Times New Roman" w:hAnsi="Courier New" w:cs="Courier New"/>
      <w:sz w:val="20"/>
      <w:szCs w:val="20"/>
    </w:rPr>
  </w:style>
  <w:style w:type="paragraph" w:styleId="EndnoteText">
    <w:name w:val="endnote text"/>
    <w:basedOn w:val="Normal"/>
    <w:link w:val="EndnoteTextChar"/>
    <w:rsid w:val="00D93C6C"/>
    <w:rPr>
      <w:rFonts w:ascii="Times" w:eastAsia="Times" w:hAnsi="Times"/>
      <w:szCs w:val="20"/>
    </w:rPr>
  </w:style>
  <w:style w:type="character" w:customStyle="1" w:styleId="EndnoteTextChar">
    <w:name w:val="Endnote Text Char"/>
    <w:basedOn w:val="DefaultParagraphFont"/>
    <w:link w:val="EndnoteText"/>
    <w:rsid w:val="00D93C6C"/>
    <w:rPr>
      <w:rFonts w:ascii="Times" w:eastAsia="Times" w:hAnsi="Times" w:cs="Times New Roman"/>
      <w:szCs w:val="20"/>
      <w:lang w:val="en-GB"/>
    </w:rPr>
  </w:style>
  <w:style w:type="character" w:styleId="EndnoteReference">
    <w:name w:val="endnote reference"/>
    <w:basedOn w:val="DefaultParagraphFont"/>
    <w:rsid w:val="00D93C6C"/>
    <w:rPr>
      <w:vertAlign w:val="superscript"/>
    </w:rPr>
  </w:style>
  <w:style w:type="character" w:styleId="FollowedHyperlink">
    <w:name w:val="FollowedHyperlink"/>
    <w:basedOn w:val="DefaultParagraphFont"/>
    <w:rsid w:val="002A4908"/>
    <w:rPr>
      <w:color w:val="800080" w:themeColor="followedHyperlink"/>
      <w:u w:val="single"/>
    </w:rPr>
  </w:style>
  <w:style w:type="paragraph" w:styleId="ListParagraph">
    <w:name w:val="List Paragraph"/>
    <w:basedOn w:val="Normal"/>
    <w:rsid w:val="00B27015"/>
    <w:pPr>
      <w:ind w:left="720"/>
      <w:contextualSpacing/>
    </w:pPr>
  </w:style>
  <w:style w:type="paragraph" w:styleId="BalloonText">
    <w:name w:val="Balloon Text"/>
    <w:basedOn w:val="Normal"/>
    <w:link w:val="BalloonTextChar"/>
    <w:rsid w:val="00BE184A"/>
    <w:rPr>
      <w:rFonts w:ascii="Lucida Grande" w:hAnsi="Lucida Grande" w:cs="Lucida Grande"/>
      <w:sz w:val="18"/>
      <w:szCs w:val="18"/>
    </w:rPr>
  </w:style>
  <w:style w:type="character" w:customStyle="1" w:styleId="BalloonTextChar">
    <w:name w:val="Balloon Text Char"/>
    <w:basedOn w:val="DefaultParagraphFont"/>
    <w:link w:val="BalloonText"/>
    <w:rsid w:val="00BE184A"/>
    <w:rPr>
      <w:rFonts w:ascii="Lucida Grande" w:eastAsia="Times New Roman" w:hAnsi="Lucida Grande" w:cs="Lucida Grande"/>
      <w:sz w:val="18"/>
      <w:szCs w:val="18"/>
      <w:lang w:val="en-GB"/>
    </w:rPr>
  </w:style>
  <w:style w:type="paragraph" w:styleId="Footer">
    <w:name w:val="footer"/>
    <w:basedOn w:val="Normal"/>
    <w:link w:val="FooterChar"/>
    <w:rsid w:val="00CE5F49"/>
    <w:pPr>
      <w:tabs>
        <w:tab w:val="center" w:pos="4320"/>
        <w:tab w:val="right" w:pos="8640"/>
      </w:tabs>
    </w:pPr>
  </w:style>
  <w:style w:type="character" w:customStyle="1" w:styleId="FooterChar">
    <w:name w:val="Footer Char"/>
    <w:basedOn w:val="DefaultParagraphFont"/>
    <w:link w:val="Footer"/>
    <w:rsid w:val="00CE5F49"/>
    <w:rPr>
      <w:rFonts w:ascii="Times New Roman" w:eastAsia="Times New Roman" w:hAnsi="Times New Roman" w:cs="Times New Roman"/>
      <w:lang w:val="en-GB"/>
    </w:rPr>
  </w:style>
  <w:style w:type="character" w:styleId="PageNumber">
    <w:name w:val="page number"/>
    <w:basedOn w:val="DefaultParagraphFont"/>
    <w:rsid w:val="00CE5F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qFormat="1"/>
    <w:lsdException w:name="Hyperlink" w:uiPriority="99"/>
    <w:lsdException w:name="HTML Preformatted" w:uiPriority="99"/>
    <w:lsdException w:name="No Spacing" w:uiPriority="1" w:qFormat="1"/>
  </w:latentStyles>
  <w:style w:type="paragraph" w:default="1" w:styleId="Normal">
    <w:name w:val="Normal"/>
    <w:qFormat/>
    <w:rsid w:val="00D4430D"/>
    <w:rPr>
      <w:rFonts w:ascii="Times New Roman" w:eastAsia="Times New Roman" w:hAnsi="Times New Roman" w:cs="Times New Roman"/>
      <w:lang w:val="en-GB"/>
    </w:rPr>
  </w:style>
  <w:style w:type="paragraph" w:styleId="Heading2">
    <w:name w:val="heading 2"/>
    <w:basedOn w:val="Normal"/>
    <w:next w:val="Normal"/>
    <w:link w:val="Heading2Char"/>
    <w:uiPriority w:val="9"/>
    <w:unhideWhenUsed/>
    <w:qFormat/>
    <w:rsid w:val="00F16C44"/>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D4430D"/>
    <w:rPr>
      <w:sz w:val="20"/>
      <w:szCs w:val="20"/>
    </w:rPr>
  </w:style>
  <w:style w:type="character" w:customStyle="1" w:styleId="FootnoteTextChar">
    <w:name w:val="Footnote Text Char"/>
    <w:basedOn w:val="DefaultParagraphFont"/>
    <w:link w:val="FootnoteText"/>
    <w:uiPriority w:val="99"/>
    <w:rsid w:val="00D4430D"/>
    <w:rPr>
      <w:rFonts w:ascii="Times New Roman" w:eastAsia="Times New Roman" w:hAnsi="Times New Roman" w:cs="Times New Roman"/>
      <w:sz w:val="20"/>
      <w:szCs w:val="20"/>
      <w:lang w:val="en-GB"/>
    </w:rPr>
  </w:style>
  <w:style w:type="character" w:styleId="FootnoteReference">
    <w:name w:val="footnote reference"/>
    <w:basedOn w:val="DefaultParagraphFont"/>
    <w:rsid w:val="00D4430D"/>
    <w:rPr>
      <w:vertAlign w:val="superscript"/>
    </w:rPr>
  </w:style>
  <w:style w:type="character" w:customStyle="1" w:styleId="Heading2Char">
    <w:name w:val="Heading 2 Char"/>
    <w:basedOn w:val="DefaultParagraphFont"/>
    <w:link w:val="Heading2"/>
    <w:uiPriority w:val="9"/>
    <w:rsid w:val="00F16C44"/>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F16C44"/>
    <w:pPr>
      <w:ind w:left="283" w:hanging="283"/>
      <w:contextualSpacing/>
    </w:pPr>
    <w:rPr>
      <w:rFonts w:asciiTheme="minorHAnsi" w:eastAsiaTheme="minorHAnsi" w:hAnsiTheme="minorHAnsi" w:cstheme="minorBidi"/>
      <w:lang w:val="en-US"/>
    </w:rPr>
  </w:style>
  <w:style w:type="paragraph" w:styleId="List2">
    <w:name w:val="List 2"/>
    <w:basedOn w:val="Normal"/>
    <w:uiPriority w:val="99"/>
    <w:unhideWhenUsed/>
    <w:rsid w:val="00F16C44"/>
    <w:pPr>
      <w:ind w:left="566" w:hanging="283"/>
      <w:contextualSpacing/>
    </w:pPr>
    <w:rPr>
      <w:rFonts w:asciiTheme="minorHAnsi" w:eastAsiaTheme="minorHAnsi" w:hAnsiTheme="minorHAnsi" w:cstheme="minorBidi"/>
      <w:lang w:val="en-US"/>
    </w:rPr>
  </w:style>
  <w:style w:type="paragraph" w:styleId="BodyText">
    <w:name w:val="Body Text"/>
    <w:basedOn w:val="Normal"/>
    <w:link w:val="BodyTextChar"/>
    <w:uiPriority w:val="99"/>
    <w:unhideWhenUsed/>
    <w:rsid w:val="00F16C44"/>
    <w:pPr>
      <w:spacing w:after="120"/>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rsid w:val="00F16C44"/>
  </w:style>
  <w:style w:type="character" w:styleId="Hyperlink">
    <w:name w:val="Hyperlink"/>
    <w:basedOn w:val="DefaultParagraphFont"/>
    <w:uiPriority w:val="99"/>
    <w:rsid w:val="0063531D"/>
    <w:rPr>
      <w:color w:val="0000FF"/>
      <w:u w:val="single"/>
    </w:rPr>
  </w:style>
  <w:style w:type="paragraph" w:styleId="NoSpacing">
    <w:name w:val="No Spacing"/>
    <w:uiPriority w:val="1"/>
    <w:qFormat/>
    <w:rsid w:val="0063531D"/>
    <w:rPr>
      <w:rFonts w:ascii="Cambria" w:eastAsia="Cambria" w:hAnsi="Cambria" w:cs="Times New Roman"/>
      <w:sz w:val="22"/>
      <w:szCs w:val="22"/>
    </w:rPr>
  </w:style>
  <w:style w:type="character" w:customStyle="1" w:styleId="term">
    <w:name w:val="term"/>
    <w:basedOn w:val="DefaultParagraphFont"/>
    <w:rsid w:val="00CC003B"/>
  </w:style>
  <w:style w:type="paragraph" w:styleId="HTMLPreformatted">
    <w:name w:val="HTML Preformatted"/>
    <w:basedOn w:val="Normal"/>
    <w:link w:val="HTMLPreformattedChar"/>
    <w:uiPriority w:val="99"/>
    <w:unhideWhenUsed/>
    <w:rsid w:val="00BC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BC6D81"/>
    <w:rPr>
      <w:rFonts w:ascii="Courier New" w:eastAsia="Times New Roman" w:hAnsi="Courier New" w:cs="Courier New"/>
      <w:sz w:val="20"/>
      <w:szCs w:val="20"/>
    </w:rPr>
  </w:style>
  <w:style w:type="paragraph" w:styleId="EndnoteText">
    <w:name w:val="endnote text"/>
    <w:basedOn w:val="Normal"/>
    <w:link w:val="EndnoteTextChar"/>
    <w:rsid w:val="00D93C6C"/>
    <w:rPr>
      <w:rFonts w:ascii="Times" w:eastAsia="Times" w:hAnsi="Times"/>
      <w:szCs w:val="20"/>
    </w:rPr>
  </w:style>
  <w:style w:type="character" w:customStyle="1" w:styleId="EndnoteTextChar">
    <w:name w:val="Endnote Text Char"/>
    <w:basedOn w:val="DefaultParagraphFont"/>
    <w:link w:val="EndnoteText"/>
    <w:rsid w:val="00D93C6C"/>
    <w:rPr>
      <w:rFonts w:ascii="Times" w:eastAsia="Times" w:hAnsi="Times" w:cs="Times New Roman"/>
      <w:szCs w:val="20"/>
      <w:lang w:val="en-GB"/>
    </w:rPr>
  </w:style>
  <w:style w:type="character" w:styleId="EndnoteReference">
    <w:name w:val="endnote reference"/>
    <w:basedOn w:val="DefaultParagraphFont"/>
    <w:rsid w:val="00D93C6C"/>
    <w:rPr>
      <w:vertAlign w:val="superscript"/>
    </w:rPr>
  </w:style>
  <w:style w:type="character" w:styleId="FollowedHyperlink">
    <w:name w:val="FollowedHyperlink"/>
    <w:basedOn w:val="DefaultParagraphFont"/>
    <w:rsid w:val="002A4908"/>
    <w:rPr>
      <w:color w:val="800080" w:themeColor="followedHyperlink"/>
      <w:u w:val="single"/>
    </w:rPr>
  </w:style>
  <w:style w:type="paragraph" w:styleId="ListParagraph">
    <w:name w:val="List Paragraph"/>
    <w:basedOn w:val="Normal"/>
    <w:rsid w:val="00B27015"/>
    <w:pPr>
      <w:ind w:left="720"/>
      <w:contextualSpacing/>
    </w:pPr>
  </w:style>
  <w:style w:type="paragraph" w:styleId="BalloonText">
    <w:name w:val="Balloon Text"/>
    <w:basedOn w:val="Normal"/>
    <w:link w:val="BalloonTextChar"/>
    <w:rsid w:val="00BE184A"/>
    <w:rPr>
      <w:rFonts w:ascii="Lucida Grande" w:hAnsi="Lucida Grande" w:cs="Lucida Grande"/>
      <w:sz w:val="18"/>
      <w:szCs w:val="18"/>
    </w:rPr>
  </w:style>
  <w:style w:type="character" w:customStyle="1" w:styleId="BalloonTextChar">
    <w:name w:val="Balloon Text Char"/>
    <w:basedOn w:val="DefaultParagraphFont"/>
    <w:link w:val="BalloonText"/>
    <w:rsid w:val="00BE184A"/>
    <w:rPr>
      <w:rFonts w:ascii="Lucida Grande" w:eastAsia="Times New Roman" w:hAnsi="Lucida Grande" w:cs="Lucida Grande"/>
      <w:sz w:val="18"/>
      <w:szCs w:val="18"/>
      <w:lang w:val="en-GB"/>
    </w:rPr>
  </w:style>
  <w:style w:type="paragraph" w:styleId="Footer">
    <w:name w:val="footer"/>
    <w:basedOn w:val="Normal"/>
    <w:link w:val="FooterChar"/>
    <w:rsid w:val="00CE5F49"/>
    <w:pPr>
      <w:tabs>
        <w:tab w:val="center" w:pos="4320"/>
        <w:tab w:val="right" w:pos="8640"/>
      </w:tabs>
    </w:pPr>
  </w:style>
  <w:style w:type="character" w:customStyle="1" w:styleId="FooterChar">
    <w:name w:val="Footer Char"/>
    <w:basedOn w:val="DefaultParagraphFont"/>
    <w:link w:val="Footer"/>
    <w:rsid w:val="00CE5F49"/>
    <w:rPr>
      <w:rFonts w:ascii="Times New Roman" w:eastAsia="Times New Roman" w:hAnsi="Times New Roman" w:cs="Times New Roman"/>
      <w:lang w:val="en-GB"/>
    </w:rPr>
  </w:style>
  <w:style w:type="character" w:styleId="PageNumber">
    <w:name w:val="page number"/>
    <w:basedOn w:val="DefaultParagraphFont"/>
    <w:rsid w:val="00CE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4077EE5-F4B2-DB4E-B402-4E5013C6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34</Pages>
  <Words>11653</Words>
  <Characters>66427</Characters>
  <Application>Microsoft Macintosh Word</Application>
  <DocSecurity>0</DocSecurity>
  <Lines>553</Lines>
  <Paragraphs>155</Paragraphs>
  <ScaleCrop>false</ScaleCrop>
  <Company/>
  <LinksUpToDate>false</LinksUpToDate>
  <CharactersWithSpaces>77925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Buckley</dc:creator>
  <cp:keywords/>
  <cp:lastModifiedBy>Patrick Buckley</cp:lastModifiedBy>
  <cp:revision>13</cp:revision>
  <cp:lastPrinted>2015-06-11T11:13:00Z</cp:lastPrinted>
  <dcterms:created xsi:type="dcterms:W3CDTF">2015-06-08T15:06:00Z</dcterms:created>
  <dcterms:modified xsi:type="dcterms:W3CDTF">2015-06-11T15:15:00Z</dcterms:modified>
</cp:coreProperties>
</file>