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D0" w:rsidRPr="006C70D0" w:rsidRDefault="00965F09" w:rsidP="006C70D0">
      <w:pPr>
        <w:pStyle w:val="Heading2"/>
        <w:jc w:val="center"/>
        <w:rPr>
          <w:rFonts w:asciiTheme="minorHAnsi" w:hAnsiTheme="minorHAnsi" w:cstheme="minorHAnsi"/>
          <w:bCs w:val="0"/>
          <w:sz w:val="28"/>
          <w:szCs w:val="28"/>
        </w:rPr>
      </w:pPr>
      <w:r>
        <w:rPr>
          <w:rFonts w:asciiTheme="minorHAnsi" w:hAnsiTheme="minorHAnsi" w:cstheme="minorHAnsi"/>
          <w:bCs w:val="0"/>
          <w:sz w:val="28"/>
          <w:szCs w:val="28"/>
          <w:lang w:val="en-US"/>
        </w:rPr>
        <w:t>Submission</w:t>
      </w:r>
      <w:r w:rsidR="006C70D0" w:rsidRPr="006C70D0">
        <w:rPr>
          <w:rFonts w:asciiTheme="minorHAnsi" w:hAnsiTheme="minorHAnsi" w:cstheme="minorHAnsi"/>
          <w:bCs w:val="0"/>
          <w:sz w:val="28"/>
          <w:szCs w:val="28"/>
          <w:lang w:val="en-US"/>
        </w:rPr>
        <w:t xml:space="preserve"> to the Human Rights Committee on General</w:t>
      </w:r>
      <w:r w:rsidR="006C70D0" w:rsidRPr="006C70D0">
        <w:rPr>
          <w:rFonts w:asciiTheme="minorHAnsi" w:hAnsiTheme="minorHAnsi" w:cstheme="minorHAnsi"/>
          <w:bCs w:val="0"/>
          <w:sz w:val="28"/>
          <w:szCs w:val="28"/>
        </w:rPr>
        <w:t xml:space="preserve"> Comment No. 36 - Article 6: Right to life</w:t>
      </w:r>
    </w:p>
    <w:p w:rsidR="006C70D0" w:rsidRPr="00495A4A" w:rsidRDefault="00495A4A" w:rsidP="006C70D0">
      <w:pPr>
        <w:jc w:val="both"/>
        <w:rPr>
          <w:sz w:val="24"/>
          <w:szCs w:val="24"/>
          <w:lang w:val="en-US"/>
        </w:rPr>
      </w:pPr>
      <w:r>
        <w:rPr>
          <w:sz w:val="24"/>
          <w:szCs w:val="24"/>
          <w:lang w:val="en-US"/>
        </w:rPr>
        <w:t xml:space="preserve">This </w:t>
      </w:r>
      <w:r w:rsidR="006C70D0">
        <w:rPr>
          <w:sz w:val="24"/>
          <w:szCs w:val="24"/>
          <w:lang w:val="en-US"/>
        </w:rPr>
        <w:t xml:space="preserve">submission </w:t>
      </w:r>
      <w:r w:rsidR="00965F09">
        <w:rPr>
          <w:sz w:val="24"/>
          <w:szCs w:val="24"/>
          <w:lang w:val="en-US"/>
        </w:rPr>
        <w:t>to the Human Rights Committee relating to</w:t>
      </w:r>
      <w:r w:rsidR="006C70D0">
        <w:rPr>
          <w:sz w:val="24"/>
          <w:szCs w:val="24"/>
          <w:lang w:val="en-US"/>
        </w:rPr>
        <w:t xml:space="preserve"> the adoption of General Comment No. 36</w:t>
      </w:r>
      <w:r w:rsidR="00965F09">
        <w:rPr>
          <w:sz w:val="24"/>
          <w:szCs w:val="24"/>
          <w:lang w:val="en-US"/>
        </w:rPr>
        <w:t xml:space="preserve"> –</w:t>
      </w:r>
      <w:r w:rsidR="006C70D0">
        <w:rPr>
          <w:sz w:val="24"/>
          <w:szCs w:val="24"/>
          <w:lang w:val="en-US"/>
        </w:rPr>
        <w:t xml:space="preserve"> Article 6: Right to life is made by the Sexual Rights Initiative</w:t>
      </w:r>
      <w:r>
        <w:rPr>
          <w:sz w:val="24"/>
          <w:szCs w:val="24"/>
          <w:lang w:val="en-US"/>
        </w:rPr>
        <w:t xml:space="preserve"> (SRI)</w:t>
      </w:r>
      <w:r>
        <w:rPr>
          <w:rStyle w:val="FootnoteReference"/>
          <w:sz w:val="24"/>
          <w:szCs w:val="24"/>
          <w:lang w:val="en-US"/>
        </w:rPr>
        <w:footnoteReference w:id="1"/>
      </w:r>
      <w:r w:rsidR="006C70D0" w:rsidRPr="006C70D0">
        <w:rPr>
          <w:sz w:val="24"/>
          <w:szCs w:val="24"/>
          <w:lang w:val="en-US"/>
        </w:rPr>
        <w:t>.</w:t>
      </w:r>
      <w:r w:rsidRPr="00495A4A">
        <w:rPr>
          <w:rStyle w:val="CommentReference"/>
          <w:color w:val="CE8020"/>
        </w:rPr>
        <w:t xml:space="preserve"> </w:t>
      </w:r>
      <w:r w:rsidRPr="00495A4A">
        <w:rPr>
          <w:rStyle w:val="font-20"/>
          <w:sz w:val="24"/>
          <w:szCs w:val="24"/>
        </w:rPr>
        <w:t>T</w:t>
      </w:r>
      <w:r>
        <w:rPr>
          <w:rStyle w:val="font-20"/>
          <w:sz w:val="24"/>
          <w:szCs w:val="24"/>
        </w:rPr>
        <w:t>he SRI</w:t>
      </w:r>
      <w:r w:rsidRPr="00495A4A">
        <w:rPr>
          <w:rStyle w:val="font-20"/>
          <w:sz w:val="24"/>
          <w:szCs w:val="24"/>
        </w:rPr>
        <w:t xml:space="preserve"> is a coalition of organizations that has been advocating for the advancement of human rights in relation to gender and sexuality at the UN Human Rights Council since 2006</w:t>
      </w:r>
      <w:r>
        <w:rPr>
          <w:rStyle w:val="font-20"/>
          <w:sz w:val="24"/>
          <w:szCs w:val="24"/>
        </w:rPr>
        <w:t xml:space="preserve">. </w:t>
      </w:r>
    </w:p>
    <w:p w:rsidR="00495A4A" w:rsidRDefault="006C70D0" w:rsidP="006C70D0">
      <w:pPr>
        <w:jc w:val="both"/>
        <w:rPr>
          <w:sz w:val="24"/>
          <w:szCs w:val="24"/>
        </w:rPr>
      </w:pPr>
      <w:r w:rsidRPr="006C70D0">
        <w:rPr>
          <w:sz w:val="24"/>
          <w:szCs w:val="24"/>
          <w:lang w:val="en-US"/>
        </w:rPr>
        <w:t>The draft General Comment as presented by the Human Rights Committee in section A.6 (b) questions if “abortion can be an exception from the duty of a state to protect life”</w:t>
      </w:r>
      <w:r w:rsidR="00AB17C0">
        <w:rPr>
          <w:sz w:val="24"/>
          <w:szCs w:val="24"/>
          <w:lang w:val="en-US"/>
        </w:rPr>
        <w:t xml:space="preserve">. </w:t>
      </w:r>
      <w:r w:rsidR="00495A4A">
        <w:rPr>
          <w:sz w:val="24"/>
          <w:szCs w:val="24"/>
          <w:lang w:val="en-US"/>
        </w:rPr>
        <w:t>We submit that</w:t>
      </w:r>
      <w:r w:rsidRPr="006C70D0">
        <w:rPr>
          <w:sz w:val="24"/>
          <w:szCs w:val="24"/>
          <w:lang w:val="en-US"/>
        </w:rPr>
        <w:t xml:space="preserve"> the contrary</w:t>
      </w:r>
      <w:r w:rsidR="00495A4A">
        <w:rPr>
          <w:sz w:val="24"/>
          <w:szCs w:val="24"/>
          <w:lang w:val="en-US"/>
        </w:rPr>
        <w:t xml:space="preserve"> is true i.e.</w:t>
      </w:r>
      <w:r w:rsidRPr="006C70D0">
        <w:rPr>
          <w:sz w:val="24"/>
          <w:szCs w:val="24"/>
          <w:lang w:val="en-US"/>
        </w:rPr>
        <w:t xml:space="preserve"> </w:t>
      </w:r>
      <w:r w:rsidR="00495A4A">
        <w:rPr>
          <w:sz w:val="24"/>
          <w:szCs w:val="24"/>
        </w:rPr>
        <w:t xml:space="preserve">denial of the right to terminate </w:t>
      </w:r>
      <w:r w:rsidR="00AE6664">
        <w:rPr>
          <w:sz w:val="24"/>
          <w:szCs w:val="24"/>
        </w:rPr>
        <w:t xml:space="preserve">a </w:t>
      </w:r>
      <w:r w:rsidR="00495A4A">
        <w:rPr>
          <w:sz w:val="24"/>
          <w:szCs w:val="24"/>
        </w:rPr>
        <w:t xml:space="preserve">preganacy is a violation of </w:t>
      </w:r>
      <w:r w:rsidR="00AB17C0">
        <w:rPr>
          <w:sz w:val="24"/>
          <w:szCs w:val="24"/>
        </w:rPr>
        <w:t xml:space="preserve">the </w:t>
      </w:r>
      <w:r w:rsidR="00495A4A">
        <w:rPr>
          <w:sz w:val="24"/>
          <w:szCs w:val="24"/>
        </w:rPr>
        <w:t xml:space="preserve">right to life of persons and </w:t>
      </w:r>
      <w:r w:rsidR="00AB17C0">
        <w:rPr>
          <w:sz w:val="24"/>
          <w:szCs w:val="24"/>
        </w:rPr>
        <w:t xml:space="preserve">this </w:t>
      </w:r>
      <w:r w:rsidR="00495A4A">
        <w:rPr>
          <w:sz w:val="24"/>
          <w:szCs w:val="24"/>
        </w:rPr>
        <w:t xml:space="preserve">denial is </w:t>
      </w:r>
      <w:r w:rsidR="00AB17C0">
        <w:rPr>
          <w:sz w:val="24"/>
          <w:szCs w:val="24"/>
        </w:rPr>
        <w:t xml:space="preserve">an </w:t>
      </w:r>
      <w:r w:rsidR="00495A4A">
        <w:rPr>
          <w:sz w:val="24"/>
          <w:szCs w:val="24"/>
        </w:rPr>
        <w:t xml:space="preserve">abrogation by </w:t>
      </w:r>
      <w:r w:rsidR="00AB17C0">
        <w:rPr>
          <w:sz w:val="24"/>
          <w:szCs w:val="24"/>
        </w:rPr>
        <w:t xml:space="preserve">the </w:t>
      </w:r>
      <w:r w:rsidR="00495A4A">
        <w:rPr>
          <w:sz w:val="24"/>
          <w:szCs w:val="24"/>
        </w:rPr>
        <w:t xml:space="preserve">State of its duty to protect life. </w:t>
      </w:r>
    </w:p>
    <w:p w:rsidR="00495A4A" w:rsidRDefault="006C70D0" w:rsidP="006C70D0">
      <w:pPr>
        <w:jc w:val="both"/>
        <w:rPr>
          <w:sz w:val="24"/>
          <w:szCs w:val="24"/>
          <w:lang w:val="en-US"/>
        </w:rPr>
      </w:pPr>
      <w:r w:rsidRPr="006C70D0">
        <w:rPr>
          <w:sz w:val="24"/>
          <w:szCs w:val="24"/>
          <w:lang w:val="en-US"/>
        </w:rPr>
        <w:t>A</w:t>
      </w:r>
      <w:r w:rsidR="00495A4A">
        <w:rPr>
          <w:sz w:val="24"/>
          <w:szCs w:val="24"/>
          <w:lang w:val="en-US"/>
        </w:rPr>
        <w:t xml:space="preserve"> </w:t>
      </w:r>
      <w:r w:rsidRPr="006C70D0">
        <w:rPr>
          <w:sz w:val="24"/>
          <w:szCs w:val="24"/>
          <w:lang w:val="en-US"/>
        </w:rPr>
        <w:t xml:space="preserve">State’s obligation to ensure that the right to life of every human being is respected does not refer to the laws allowing a pregnant </w:t>
      </w:r>
      <w:r w:rsidR="00AE6664">
        <w:rPr>
          <w:sz w:val="24"/>
          <w:szCs w:val="24"/>
          <w:lang w:val="en-US"/>
        </w:rPr>
        <w:t xml:space="preserve">person to </w:t>
      </w:r>
      <w:r w:rsidRPr="006C70D0">
        <w:rPr>
          <w:sz w:val="24"/>
          <w:szCs w:val="24"/>
          <w:lang w:val="en-US"/>
        </w:rPr>
        <w:t>termina</w:t>
      </w:r>
      <w:r w:rsidR="00495A4A">
        <w:rPr>
          <w:sz w:val="24"/>
          <w:szCs w:val="24"/>
          <w:lang w:val="en-US"/>
        </w:rPr>
        <w:t>te</w:t>
      </w:r>
      <w:r w:rsidR="00AE6664">
        <w:rPr>
          <w:sz w:val="24"/>
          <w:szCs w:val="24"/>
          <w:lang w:val="en-US"/>
        </w:rPr>
        <w:t xml:space="preserve"> a</w:t>
      </w:r>
      <w:r w:rsidR="00495A4A">
        <w:rPr>
          <w:sz w:val="24"/>
          <w:szCs w:val="24"/>
          <w:lang w:val="en-US"/>
        </w:rPr>
        <w:t xml:space="preserve"> pregnancy. It is our submission that</w:t>
      </w:r>
      <w:r w:rsidRPr="006C70D0">
        <w:rPr>
          <w:sz w:val="24"/>
          <w:szCs w:val="24"/>
          <w:lang w:val="en-US"/>
        </w:rPr>
        <w:t xml:space="preserve"> provisions for abortion should not be perceived as limiting the right to life. Abortion and</w:t>
      </w:r>
      <w:r w:rsidR="00495A4A">
        <w:rPr>
          <w:sz w:val="24"/>
          <w:szCs w:val="24"/>
          <w:lang w:val="en-US"/>
        </w:rPr>
        <w:t xml:space="preserve"> the right</w:t>
      </w:r>
      <w:r w:rsidRPr="006C70D0">
        <w:rPr>
          <w:sz w:val="24"/>
          <w:szCs w:val="24"/>
          <w:lang w:val="en-US"/>
        </w:rPr>
        <w:t xml:space="preserve"> to terminate a pregnancy has a scientific and medical basis and it has been established that this right is provided before “life begins”. The Human Rights Committee cannot base its interpretation on theology</w:t>
      </w:r>
      <w:r w:rsidR="00495A4A">
        <w:rPr>
          <w:sz w:val="24"/>
          <w:szCs w:val="24"/>
          <w:lang w:val="en-US"/>
        </w:rPr>
        <w:t xml:space="preserve"> and should</w:t>
      </w:r>
      <w:r w:rsidRPr="006C70D0">
        <w:rPr>
          <w:sz w:val="24"/>
          <w:szCs w:val="24"/>
          <w:lang w:val="en-US"/>
        </w:rPr>
        <w:t xml:space="preserve"> </w:t>
      </w:r>
      <w:r w:rsidR="0025591A" w:rsidRPr="006C70D0">
        <w:rPr>
          <w:sz w:val="24"/>
          <w:szCs w:val="24"/>
          <w:lang w:val="en-US"/>
        </w:rPr>
        <w:t xml:space="preserve">rather </w:t>
      </w:r>
      <w:r w:rsidR="0025591A">
        <w:rPr>
          <w:sz w:val="24"/>
          <w:szCs w:val="24"/>
          <w:lang w:val="en-US"/>
        </w:rPr>
        <w:t>base</w:t>
      </w:r>
      <w:r w:rsidR="00495A4A">
        <w:rPr>
          <w:sz w:val="24"/>
          <w:szCs w:val="24"/>
          <w:lang w:val="en-US"/>
        </w:rPr>
        <w:t xml:space="preserve"> it </w:t>
      </w:r>
      <w:r w:rsidRPr="006C70D0">
        <w:rPr>
          <w:sz w:val="24"/>
          <w:szCs w:val="24"/>
          <w:lang w:val="en-US"/>
        </w:rPr>
        <w:t>on established legal standards. Although there have been discussions about the legal status of human embryos and fetuses, it is well established that the notion of a “human being” as a right holder means a person</w:t>
      </w:r>
      <w:r w:rsidR="00495A4A">
        <w:rPr>
          <w:sz w:val="24"/>
          <w:szCs w:val="24"/>
          <w:lang w:val="en-US"/>
        </w:rPr>
        <w:t xml:space="preserve"> who</w:t>
      </w:r>
      <w:r w:rsidRPr="006C70D0">
        <w:rPr>
          <w:sz w:val="24"/>
          <w:szCs w:val="24"/>
          <w:lang w:val="en-US"/>
        </w:rPr>
        <w:t xml:space="preserve"> is legally defined as a human being or a corporation who is assigned the status of a person.</w:t>
      </w:r>
      <w:r w:rsidRPr="006C70D0">
        <w:rPr>
          <w:rStyle w:val="FootnoteReference"/>
          <w:sz w:val="24"/>
          <w:szCs w:val="24"/>
          <w:lang w:val="en-US"/>
        </w:rPr>
        <w:footnoteReference w:id="2"/>
      </w:r>
      <w:r w:rsidRPr="006C70D0">
        <w:rPr>
          <w:sz w:val="24"/>
          <w:szCs w:val="24"/>
          <w:lang w:val="en-US"/>
        </w:rPr>
        <w:t xml:space="preserve"> </w:t>
      </w:r>
      <w:r w:rsidR="00AB17C0">
        <w:rPr>
          <w:sz w:val="24"/>
          <w:szCs w:val="24"/>
          <w:lang w:val="en-US"/>
        </w:rPr>
        <w:t>A</w:t>
      </w:r>
      <w:r w:rsidR="00495A4A">
        <w:rPr>
          <w:sz w:val="24"/>
          <w:szCs w:val="24"/>
          <w:lang w:val="en-US"/>
        </w:rPr>
        <w:t xml:space="preserve"> fetus is therefore not a “person” and </w:t>
      </w:r>
      <w:r w:rsidR="00AB17C0">
        <w:rPr>
          <w:sz w:val="24"/>
          <w:szCs w:val="24"/>
          <w:lang w:val="en-US"/>
        </w:rPr>
        <w:t>discussing its</w:t>
      </w:r>
      <w:r w:rsidR="0025591A">
        <w:rPr>
          <w:sz w:val="24"/>
          <w:szCs w:val="24"/>
          <w:lang w:val="en-US"/>
        </w:rPr>
        <w:t xml:space="preserve"> right to life only furthers discrimination </w:t>
      </w:r>
      <w:r w:rsidR="00AB17C0">
        <w:rPr>
          <w:sz w:val="24"/>
          <w:szCs w:val="24"/>
          <w:lang w:val="en-US"/>
        </w:rPr>
        <w:t xml:space="preserve">against </w:t>
      </w:r>
      <w:r w:rsidR="0025591A">
        <w:rPr>
          <w:sz w:val="24"/>
          <w:szCs w:val="24"/>
          <w:lang w:val="en-US"/>
        </w:rPr>
        <w:t xml:space="preserve">and </w:t>
      </w:r>
      <w:r w:rsidR="00AB17C0">
        <w:rPr>
          <w:sz w:val="24"/>
          <w:szCs w:val="24"/>
          <w:lang w:val="en-US"/>
        </w:rPr>
        <w:t xml:space="preserve">the </w:t>
      </w:r>
      <w:r w:rsidR="0025591A">
        <w:rPr>
          <w:sz w:val="24"/>
          <w:szCs w:val="24"/>
          <w:lang w:val="en-US"/>
        </w:rPr>
        <w:t xml:space="preserve">denial of </w:t>
      </w:r>
      <w:r w:rsidR="00AB17C0">
        <w:rPr>
          <w:sz w:val="24"/>
          <w:szCs w:val="24"/>
          <w:lang w:val="en-US"/>
        </w:rPr>
        <w:t xml:space="preserve">the </w:t>
      </w:r>
      <w:r w:rsidR="0025591A">
        <w:rPr>
          <w:sz w:val="24"/>
          <w:szCs w:val="24"/>
          <w:lang w:val="en-US"/>
        </w:rPr>
        <w:t xml:space="preserve">right to life of persons who seek abortion care and services. </w:t>
      </w:r>
    </w:p>
    <w:p w:rsidR="006C70D0" w:rsidRPr="006C70D0" w:rsidRDefault="006C70D0" w:rsidP="006C70D0">
      <w:pPr>
        <w:jc w:val="both"/>
        <w:rPr>
          <w:sz w:val="24"/>
          <w:szCs w:val="24"/>
          <w:lang w:val="en-US"/>
        </w:rPr>
      </w:pPr>
      <w:r w:rsidRPr="006C70D0">
        <w:rPr>
          <w:sz w:val="24"/>
          <w:szCs w:val="24"/>
          <w:lang w:val="en-US"/>
        </w:rPr>
        <w:t>It has been well established within the UN system th</w:t>
      </w:r>
      <w:r w:rsidR="0025591A">
        <w:rPr>
          <w:sz w:val="24"/>
          <w:szCs w:val="24"/>
          <w:lang w:val="en-US"/>
        </w:rPr>
        <w:t>at denial of abortion services</w:t>
      </w:r>
      <w:r w:rsidRPr="006C70D0">
        <w:rPr>
          <w:sz w:val="24"/>
          <w:szCs w:val="24"/>
          <w:lang w:val="en-US"/>
        </w:rPr>
        <w:t xml:space="preserve"> is a violation of right to life and amounts to gender discrimination. The Committee</w:t>
      </w:r>
      <w:r w:rsidRPr="006C70D0">
        <w:rPr>
          <w:sz w:val="24"/>
          <w:szCs w:val="24"/>
        </w:rPr>
        <w:t xml:space="preserve"> on the Elimination of All Forms of Discrimination </w:t>
      </w:r>
      <w:proofErr w:type="gramStart"/>
      <w:r w:rsidRPr="006C70D0">
        <w:rPr>
          <w:sz w:val="24"/>
          <w:szCs w:val="24"/>
        </w:rPr>
        <w:t>Against</w:t>
      </w:r>
      <w:proofErr w:type="gramEnd"/>
      <w:r w:rsidRPr="006C70D0">
        <w:rPr>
          <w:sz w:val="24"/>
          <w:szCs w:val="24"/>
        </w:rPr>
        <w:t xml:space="preserve"> Women </w:t>
      </w:r>
      <w:r w:rsidR="0025591A" w:rsidRPr="006C70D0">
        <w:rPr>
          <w:sz w:val="24"/>
          <w:szCs w:val="24"/>
        </w:rPr>
        <w:t>in General</w:t>
      </w:r>
      <w:r w:rsidRPr="006C70D0">
        <w:rPr>
          <w:sz w:val="24"/>
          <w:szCs w:val="24"/>
        </w:rPr>
        <w:t xml:space="preserve"> Comment 24 on Women’s Health has </w:t>
      </w:r>
      <w:r w:rsidR="0025591A">
        <w:rPr>
          <w:sz w:val="24"/>
          <w:szCs w:val="24"/>
        </w:rPr>
        <w:t>affirmed</w:t>
      </w:r>
      <w:r w:rsidRPr="006C70D0">
        <w:rPr>
          <w:sz w:val="24"/>
          <w:szCs w:val="24"/>
        </w:rPr>
        <w:t xml:space="preserve"> that the refusal of a state party “to provide legally for the performance of certain reproduct</w:t>
      </w:r>
      <w:r w:rsidR="00AE6664">
        <w:rPr>
          <w:sz w:val="24"/>
          <w:szCs w:val="24"/>
        </w:rPr>
        <w:t>ive health services for women” constitute</w:t>
      </w:r>
      <w:r w:rsidRPr="006C70D0">
        <w:rPr>
          <w:sz w:val="24"/>
          <w:szCs w:val="24"/>
        </w:rPr>
        <w:t>s discrimination</w:t>
      </w:r>
      <w:r w:rsidRPr="006C70D0">
        <w:rPr>
          <w:rStyle w:val="FootnoteReference"/>
          <w:sz w:val="24"/>
          <w:szCs w:val="24"/>
        </w:rPr>
        <w:footnoteReference w:id="3"/>
      </w:r>
      <w:r w:rsidRPr="006C70D0">
        <w:rPr>
          <w:sz w:val="24"/>
          <w:szCs w:val="24"/>
        </w:rPr>
        <w:t xml:space="preserve">. </w:t>
      </w:r>
      <w:r w:rsidRPr="006C70D0">
        <w:rPr>
          <w:sz w:val="24"/>
          <w:szCs w:val="24"/>
          <w:lang w:val="en-US"/>
        </w:rPr>
        <w:t>Further, the Committee in General Recommendation</w:t>
      </w:r>
      <w:r w:rsidR="00AE6664">
        <w:rPr>
          <w:sz w:val="24"/>
          <w:szCs w:val="24"/>
          <w:lang w:val="en-US"/>
        </w:rPr>
        <w:t>s</w:t>
      </w:r>
      <w:r w:rsidRPr="006C70D0">
        <w:rPr>
          <w:sz w:val="24"/>
          <w:szCs w:val="24"/>
          <w:lang w:val="en-US"/>
        </w:rPr>
        <w:t xml:space="preserve"> 19 and 23 has reaffirmed this right. “</w:t>
      </w:r>
      <w:r w:rsidRPr="006C70D0">
        <w:rPr>
          <w:sz w:val="24"/>
          <w:szCs w:val="24"/>
        </w:rPr>
        <w:t>State parties should ensure that measures are taken to prevent coercion in regard to fertility and reproduction, and to ensure that women are not forced to seek unsafe medical procedures such as illegal abortion because of lack of appropriate services in regard to fertility control.”</w:t>
      </w:r>
      <w:r w:rsidRPr="006C70D0">
        <w:rPr>
          <w:rStyle w:val="FootnoteReference"/>
          <w:sz w:val="24"/>
          <w:szCs w:val="24"/>
        </w:rPr>
        <w:footnoteReference w:id="4"/>
      </w:r>
      <w:r w:rsidR="00AE6664">
        <w:rPr>
          <w:sz w:val="24"/>
          <w:szCs w:val="24"/>
        </w:rPr>
        <w:t xml:space="preserve"> And, </w:t>
      </w:r>
      <w:r w:rsidR="00AE6664" w:rsidRPr="006C70D0">
        <w:rPr>
          <w:sz w:val="24"/>
          <w:szCs w:val="24"/>
          <w:lang w:val="en-US"/>
        </w:rPr>
        <w:t>“</w:t>
      </w:r>
      <w:r w:rsidR="00AE6664">
        <w:rPr>
          <w:sz w:val="24"/>
          <w:szCs w:val="24"/>
        </w:rPr>
        <w:t>s</w:t>
      </w:r>
      <w:r w:rsidRPr="006C70D0">
        <w:rPr>
          <w:sz w:val="24"/>
          <w:szCs w:val="24"/>
        </w:rPr>
        <w:t>ome reports disclose coercive practices which have serious consequences for women, such as forced pregnancies, abortions or sterilization</w:t>
      </w:r>
      <w:r w:rsidR="00AE6664">
        <w:rPr>
          <w:sz w:val="24"/>
          <w:szCs w:val="24"/>
          <w:lang w:val="en-US"/>
        </w:rPr>
        <w:t>”</w:t>
      </w:r>
      <w:r w:rsidRPr="006C70D0">
        <w:rPr>
          <w:sz w:val="24"/>
          <w:szCs w:val="24"/>
        </w:rPr>
        <w:t>. Further,</w:t>
      </w:r>
      <w:r w:rsidR="00495A4A">
        <w:rPr>
          <w:sz w:val="24"/>
          <w:szCs w:val="24"/>
        </w:rPr>
        <w:t xml:space="preserve"> </w:t>
      </w:r>
      <w:r w:rsidR="00AE6664" w:rsidRPr="006C70D0">
        <w:rPr>
          <w:sz w:val="24"/>
          <w:szCs w:val="24"/>
          <w:lang w:val="en-US"/>
        </w:rPr>
        <w:lastRenderedPageBreak/>
        <w:t>“</w:t>
      </w:r>
      <w:r w:rsidR="00495A4A">
        <w:rPr>
          <w:i/>
          <w:iCs/>
          <w:sz w:val="24"/>
          <w:szCs w:val="24"/>
          <w:u w:val="single"/>
        </w:rPr>
        <w:t>d</w:t>
      </w:r>
      <w:r w:rsidRPr="006C70D0">
        <w:rPr>
          <w:i/>
          <w:iCs/>
          <w:sz w:val="24"/>
          <w:szCs w:val="24"/>
          <w:u w:val="single"/>
        </w:rPr>
        <w:t>ecisions to have children or not</w:t>
      </w:r>
      <w:r w:rsidRPr="006C70D0">
        <w:rPr>
          <w:sz w:val="24"/>
          <w:szCs w:val="24"/>
        </w:rPr>
        <w:t xml:space="preserve">, while preferably made in consultation with spouse or partner, </w:t>
      </w:r>
      <w:r w:rsidRPr="00495A4A">
        <w:rPr>
          <w:i/>
          <w:iCs/>
          <w:sz w:val="24"/>
          <w:szCs w:val="24"/>
          <w:u w:val="single"/>
        </w:rPr>
        <w:t>must not nevertheless be limited</w:t>
      </w:r>
      <w:r w:rsidRPr="00AE6664">
        <w:rPr>
          <w:i/>
          <w:iCs/>
          <w:sz w:val="24"/>
          <w:szCs w:val="24"/>
        </w:rPr>
        <w:t xml:space="preserve"> </w:t>
      </w:r>
      <w:r w:rsidRPr="006C70D0">
        <w:rPr>
          <w:i/>
          <w:iCs/>
          <w:sz w:val="24"/>
          <w:szCs w:val="24"/>
        </w:rPr>
        <w:t>by</w:t>
      </w:r>
      <w:r w:rsidRPr="006C70D0">
        <w:rPr>
          <w:sz w:val="24"/>
          <w:szCs w:val="24"/>
        </w:rPr>
        <w:t xml:space="preserve"> spouse, parent, partner or </w:t>
      </w:r>
      <w:r w:rsidRPr="00495A4A">
        <w:rPr>
          <w:i/>
          <w:iCs/>
          <w:sz w:val="24"/>
          <w:szCs w:val="24"/>
          <w:u w:val="single"/>
        </w:rPr>
        <w:t>Government</w:t>
      </w:r>
      <w:r w:rsidRPr="00495A4A">
        <w:rPr>
          <w:sz w:val="24"/>
          <w:szCs w:val="24"/>
          <w:u w:val="single"/>
        </w:rPr>
        <w:t>.</w:t>
      </w:r>
      <w:r w:rsidRPr="006C70D0">
        <w:rPr>
          <w:sz w:val="24"/>
          <w:szCs w:val="24"/>
        </w:rPr>
        <w:t>”</w:t>
      </w:r>
      <w:r w:rsidRPr="006C70D0">
        <w:rPr>
          <w:rStyle w:val="FootnoteReference"/>
          <w:sz w:val="24"/>
          <w:szCs w:val="24"/>
        </w:rPr>
        <w:footnoteReference w:id="5"/>
      </w:r>
      <w:r w:rsidRPr="006C70D0">
        <w:rPr>
          <w:sz w:val="24"/>
          <w:szCs w:val="24"/>
        </w:rPr>
        <w:t>(Emphasis supplied)</w:t>
      </w:r>
    </w:p>
    <w:p w:rsidR="00AE6664" w:rsidRDefault="006C70D0" w:rsidP="006C70D0">
      <w:pPr>
        <w:jc w:val="both"/>
        <w:rPr>
          <w:sz w:val="24"/>
          <w:szCs w:val="24"/>
          <w:lang w:val="en-US"/>
        </w:rPr>
      </w:pPr>
      <w:r w:rsidRPr="006C70D0">
        <w:rPr>
          <w:sz w:val="24"/>
          <w:szCs w:val="24"/>
          <w:lang w:val="en-US"/>
        </w:rPr>
        <w:t>Furthermore, this Committee (Human Rights Committee) in its General Comment</w:t>
      </w:r>
      <w:r w:rsidR="0025591A">
        <w:rPr>
          <w:sz w:val="24"/>
          <w:szCs w:val="24"/>
          <w:lang w:val="en-US"/>
        </w:rPr>
        <w:t xml:space="preserve"> </w:t>
      </w:r>
      <w:r w:rsidR="0025591A" w:rsidRPr="006C70D0">
        <w:rPr>
          <w:sz w:val="24"/>
          <w:szCs w:val="24"/>
          <w:lang w:val="en-US"/>
        </w:rPr>
        <w:t>28</w:t>
      </w:r>
      <w:r w:rsidR="0025591A">
        <w:rPr>
          <w:sz w:val="24"/>
          <w:szCs w:val="24"/>
          <w:lang w:val="en-US"/>
        </w:rPr>
        <w:t xml:space="preserve"> on </w:t>
      </w:r>
      <w:r w:rsidR="0025591A" w:rsidRPr="006C70D0">
        <w:rPr>
          <w:sz w:val="24"/>
          <w:szCs w:val="24"/>
          <w:lang w:val="en-US"/>
        </w:rPr>
        <w:t>equality of rights between men and women</w:t>
      </w:r>
      <w:r w:rsidRPr="006C70D0">
        <w:rPr>
          <w:sz w:val="24"/>
          <w:szCs w:val="24"/>
          <w:lang w:val="en-US"/>
        </w:rPr>
        <w:t xml:space="preserve"> has accurately </w:t>
      </w:r>
      <w:r w:rsidR="0025591A" w:rsidRPr="006C70D0">
        <w:rPr>
          <w:sz w:val="24"/>
          <w:szCs w:val="24"/>
          <w:lang w:val="en-US"/>
        </w:rPr>
        <w:t>emphasized</w:t>
      </w:r>
      <w:r w:rsidRPr="006C70D0">
        <w:rPr>
          <w:sz w:val="24"/>
          <w:szCs w:val="24"/>
          <w:lang w:val="en-US"/>
        </w:rPr>
        <w:t xml:space="preserve"> the obligation of States to provide abortion services to wo</w:t>
      </w:r>
      <w:r w:rsidR="0025591A">
        <w:rPr>
          <w:sz w:val="24"/>
          <w:szCs w:val="24"/>
          <w:lang w:val="en-US"/>
        </w:rPr>
        <w:t>men</w:t>
      </w:r>
      <w:r w:rsidRPr="006C70D0">
        <w:rPr>
          <w:sz w:val="24"/>
          <w:szCs w:val="24"/>
          <w:lang w:val="en-US"/>
        </w:rPr>
        <w:t xml:space="preserve">.  </w:t>
      </w:r>
    </w:p>
    <w:p w:rsidR="006C70D0" w:rsidRPr="006C70D0" w:rsidRDefault="006C70D0" w:rsidP="006C70D0">
      <w:pPr>
        <w:jc w:val="both"/>
        <w:rPr>
          <w:sz w:val="24"/>
          <w:szCs w:val="24"/>
          <w:lang w:val="en-US"/>
        </w:rPr>
      </w:pPr>
      <w:r w:rsidRPr="006C70D0">
        <w:rPr>
          <w:sz w:val="24"/>
          <w:szCs w:val="24"/>
          <w:lang w:val="en-US"/>
        </w:rPr>
        <w:t>All of these s</w:t>
      </w:r>
      <w:r w:rsidR="00AE6664">
        <w:rPr>
          <w:sz w:val="24"/>
          <w:szCs w:val="24"/>
          <w:lang w:val="en-US"/>
        </w:rPr>
        <w:t>tandards have been reiterated in</w:t>
      </w:r>
      <w:r w:rsidRPr="006C70D0">
        <w:rPr>
          <w:sz w:val="24"/>
          <w:szCs w:val="24"/>
          <w:lang w:val="en-US"/>
        </w:rPr>
        <w:t xml:space="preserve"> the Concluding Observations of </w:t>
      </w:r>
      <w:r w:rsidR="00AE6664">
        <w:rPr>
          <w:sz w:val="24"/>
          <w:szCs w:val="24"/>
          <w:lang w:val="en-US"/>
        </w:rPr>
        <w:t xml:space="preserve">the </w:t>
      </w:r>
      <w:r w:rsidRPr="006C70D0">
        <w:rPr>
          <w:sz w:val="24"/>
          <w:szCs w:val="24"/>
          <w:lang w:val="en-US"/>
        </w:rPr>
        <w:t xml:space="preserve">Committee </w:t>
      </w:r>
      <w:proofErr w:type="gramStart"/>
      <w:r w:rsidRPr="006C70D0">
        <w:rPr>
          <w:sz w:val="24"/>
          <w:szCs w:val="24"/>
          <w:lang w:val="en-US"/>
        </w:rPr>
        <w:t>Against</w:t>
      </w:r>
      <w:proofErr w:type="gramEnd"/>
      <w:r w:rsidRPr="006C70D0">
        <w:rPr>
          <w:sz w:val="24"/>
          <w:szCs w:val="24"/>
          <w:lang w:val="en-US"/>
        </w:rPr>
        <w:t xml:space="preserve"> Torture (CAT). In </w:t>
      </w:r>
      <w:r w:rsidRPr="006C70D0">
        <w:rPr>
          <w:sz w:val="24"/>
          <w:szCs w:val="24"/>
        </w:rPr>
        <w:t xml:space="preserve">2006, </w:t>
      </w:r>
      <w:r w:rsidR="00AE6664">
        <w:rPr>
          <w:sz w:val="24"/>
          <w:szCs w:val="24"/>
        </w:rPr>
        <w:t>the</w:t>
      </w:r>
      <w:r w:rsidRPr="006C70D0">
        <w:rPr>
          <w:sz w:val="24"/>
          <w:szCs w:val="24"/>
        </w:rPr>
        <w:t xml:space="preserve"> Committee recognized that Peru’s restrictive abortion law, which only allows abortion in cases where pregnancy poses a risk to a woman’s health or life, leads to “grave consequences, including the unnecessary deaths of women.”</w:t>
      </w:r>
      <w:r w:rsidRPr="006C70D0">
        <w:rPr>
          <w:sz w:val="24"/>
          <w:szCs w:val="24"/>
          <w:lang w:val="en-US"/>
        </w:rPr>
        <w:t xml:space="preserve"> Similar concerns can also be seen in </w:t>
      </w:r>
      <w:r w:rsidR="00AE6664">
        <w:rPr>
          <w:sz w:val="24"/>
          <w:szCs w:val="24"/>
          <w:lang w:val="en-US"/>
        </w:rPr>
        <w:t xml:space="preserve">the </w:t>
      </w:r>
      <w:r w:rsidRPr="006C70D0">
        <w:rPr>
          <w:sz w:val="24"/>
          <w:szCs w:val="24"/>
          <w:lang w:val="en-US"/>
        </w:rPr>
        <w:t xml:space="preserve">Concluding Observations </w:t>
      </w:r>
      <w:r w:rsidR="00AE6664">
        <w:rPr>
          <w:sz w:val="24"/>
          <w:szCs w:val="24"/>
          <w:lang w:val="en-US"/>
        </w:rPr>
        <w:t xml:space="preserve">issued to </w:t>
      </w:r>
      <w:r w:rsidRPr="006C70D0">
        <w:rPr>
          <w:sz w:val="24"/>
          <w:szCs w:val="24"/>
          <w:lang w:val="en-US"/>
        </w:rPr>
        <w:t>Paraguay</w:t>
      </w:r>
      <w:r w:rsidR="00AE6664">
        <w:rPr>
          <w:sz w:val="24"/>
          <w:szCs w:val="24"/>
          <w:lang w:val="en-US"/>
        </w:rPr>
        <w:t xml:space="preserve"> by the Committee</w:t>
      </w:r>
      <w:r w:rsidRPr="006C70D0">
        <w:rPr>
          <w:sz w:val="24"/>
          <w:szCs w:val="24"/>
          <w:lang w:val="en-US"/>
        </w:rPr>
        <w:t xml:space="preserve">. </w:t>
      </w:r>
    </w:p>
    <w:p w:rsidR="00AE6664" w:rsidRDefault="0025591A" w:rsidP="006C70D0">
      <w:pPr>
        <w:jc w:val="both"/>
        <w:rPr>
          <w:sz w:val="24"/>
          <w:szCs w:val="24"/>
          <w:lang w:val="en-US"/>
        </w:rPr>
      </w:pPr>
      <w:r>
        <w:rPr>
          <w:sz w:val="24"/>
          <w:szCs w:val="24"/>
          <w:lang w:val="en-US"/>
        </w:rPr>
        <w:t xml:space="preserve">The human rights standards </w:t>
      </w:r>
      <w:r w:rsidR="006C70D0" w:rsidRPr="006C70D0">
        <w:rPr>
          <w:sz w:val="24"/>
          <w:szCs w:val="24"/>
          <w:lang w:val="en-US"/>
        </w:rPr>
        <w:t xml:space="preserve">mentioned above are merely illustrative </w:t>
      </w:r>
      <w:r>
        <w:rPr>
          <w:sz w:val="24"/>
          <w:szCs w:val="24"/>
          <w:lang w:val="en-US"/>
        </w:rPr>
        <w:t>of</w:t>
      </w:r>
      <w:r w:rsidR="006C70D0" w:rsidRPr="006C70D0">
        <w:rPr>
          <w:sz w:val="24"/>
          <w:szCs w:val="24"/>
          <w:lang w:val="en-US"/>
        </w:rPr>
        <w:t xml:space="preserve"> the fact that denial of abortion has serious and grave consequences on women and persons who are in need of these services</w:t>
      </w:r>
      <w:r w:rsidR="00AE6664">
        <w:rPr>
          <w:sz w:val="24"/>
          <w:szCs w:val="24"/>
          <w:lang w:val="en-US"/>
        </w:rPr>
        <w:t>,</w:t>
      </w:r>
      <w:r w:rsidR="006C70D0" w:rsidRPr="006C70D0">
        <w:rPr>
          <w:sz w:val="24"/>
          <w:szCs w:val="24"/>
          <w:lang w:val="en-US"/>
        </w:rPr>
        <w:t xml:space="preserve"> seriously violating the principles of </w:t>
      </w:r>
      <w:r w:rsidR="00AE6664">
        <w:rPr>
          <w:sz w:val="24"/>
          <w:szCs w:val="24"/>
          <w:lang w:val="en-US"/>
        </w:rPr>
        <w:t>the right to life.</w:t>
      </w:r>
      <w:r>
        <w:rPr>
          <w:sz w:val="24"/>
          <w:szCs w:val="24"/>
          <w:lang w:val="en-US"/>
        </w:rPr>
        <w:t xml:space="preserve"> It is not an exhaustive list. </w:t>
      </w:r>
    </w:p>
    <w:p w:rsidR="006C70D0" w:rsidRPr="006C70D0" w:rsidRDefault="006C70D0" w:rsidP="006C70D0">
      <w:pPr>
        <w:jc w:val="both"/>
        <w:rPr>
          <w:rFonts w:eastAsia="Times New Roman" w:cstheme="minorHAnsi"/>
          <w:sz w:val="24"/>
          <w:szCs w:val="24"/>
          <w:lang w:val="en-IN" w:eastAsia="en-IN" w:bidi="hi-IN"/>
        </w:rPr>
      </w:pPr>
      <w:r w:rsidRPr="006C70D0">
        <w:rPr>
          <w:sz w:val="24"/>
          <w:szCs w:val="24"/>
          <w:lang w:val="en-US"/>
        </w:rPr>
        <w:t xml:space="preserve">Further, studies have shown that </w:t>
      </w:r>
      <w:r w:rsidR="00AE6664">
        <w:rPr>
          <w:sz w:val="24"/>
          <w:szCs w:val="24"/>
          <w:lang w:val="en-US"/>
        </w:rPr>
        <w:t xml:space="preserve">the </w:t>
      </w:r>
      <w:r w:rsidRPr="006C70D0">
        <w:rPr>
          <w:sz w:val="24"/>
          <w:szCs w:val="24"/>
          <w:lang w:val="en-US"/>
        </w:rPr>
        <w:t xml:space="preserve">denial of </w:t>
      </w:r>
      <w:r w:rsidR="00AE6664">
        <w:rPr>
          <w:sz w:val="24"/>
          <w:szCs w:val="24"/>
          <w:lang w:val="en-US"/>
        </w:rPr>
        <w:t xml:space="preserve">the </w:t>
      </w:r>
      <w:r w:rsidRPr="006C70D0">
        <w:rPr>
          <w:sz w:val="24"/>
          <w:szCs w:val="24"/>
          <w:lang w:val="en-US"/>
        </w:rPr>
        <w:t xml:space="preserve">right to terminate a pregnancy leads </w:t>
      </w:r>
      <w:r w:rsidR="0025591A">
        <w:rPr>
          <w:sz w:val="24"/>
          <w:szCs w:val="24"/>
          <w:lang w:val="en-US"/>
        </w:rPr>
        <w:t>to women</w:t>
      </w:r>
      <w:r w:rsidRPr="006C70D0">
        <w:rPr>
          <w:sz w:val="24"/>
          <w:szCs w:val="24"/>
          <w:lang w:val="en-US"/>
        </w:rPr>
        <w:t xml:space="preserve"> resort</w:t>
      </w:r>
      <w:r w:rsidR="0025591A">
        <w:rPr>
          <w:sz w:val="24"/>
          <w:szCs w:val="24"/>
          <w:lang w:val="en-US"/>
        </w:rPr>
        <w:t>ing</w:t>
      </w:r>
      <w:r w:rsidRPr="006C70D0">
        <w:rPr>
          <w:sz w:val="24"/>
          <w:szCs w:val="24"/>
          <w:lang w:val="en-US"/>
        </w:rPr>
        <w:t xml:space="preserve"> to clandestine and unsafe aborti</w:t>
      </w:r>
      <w:r w:rsidR="00AE6664">
        <w:rPr>
          <w:sz w:val="24"/>
          <w:szCs w:val="24"/>
          <w:lang w:val="en-US"/>
        </w:rPr>
        <w:t xml:space="preserve">on leading to maternal deaths. </w:t>
      </w:r>
      <w:r w:rsidR="00AE6664">
        <w:rPr>
          <w:sz w:val="24"/>
          <w:szCs w:val="24"/>
          <w:lang w:val="en-US"/>
        </w:rPr>
        <w:t>A</w:t>
      </w:r>
      <w:r w:rsidR="00AE6664" w:rsidRPr="006C70D0">
        <w:rPr>
          <w:sz w:val="24"/>
          <w:szCs w:val="24"/>
        </w:rPr>
        <w:t xml:space="preserve">n estimated 287 000 maternal deaths occurred </w:t>
      </w:r>
      <w:r w:rsidR="00AE6664">
        <w:rPr>
          <w:sz w:val="24"/>
          <w:szCs w:val="24"/>
        </w:rPr>
        <w:t xml:space="preserve">globally </w:t>
      </w:r>
      <w:r w:rsidR="00AE6664" w:rsidRPr="006C70D0">
        <w:rPr>
          <w:sz w:val="24"/>
          <w:szCs w:val="24"/>
        </w:rPr>
        <w:t>in 2010</w:t>
      </w:r>
      <w:r w:rsidR="00AE6664" w:rsidRPr="006C70D0">
        <w:rPr>
          <w:rStyle w:val="FootnoteReference"/>
          <w:sz w:val="24"/>
          <w:szCs w:val="24"/>
        </w:rPr>
        <w:footnoteReference w:id="6"/>
      </w:r>
      <w:r w:rsidR="00AE6664" w:rsidRPr="006C70D0">
        <w:rPr>
          <w:sz w:val="24"/>
          <w:szCs w:val="24"/>
        </w:rPr>
        <w:t xml:space="preserve"> and </w:t>
      </w:r>
      <w:r w:rsidR="00AE6664" w:rsidRPr="006C70D0">
        <w:rPr>
          <w:rFonts w:eastAsia="Times New Roman" w:cstheme="minorHAnsi"/>
          <w:sz w:val="24"/>
          <w:szCs w:val="24"/>
          <w:lang w:val="en-IN" w:eastAsia="en-IN" w:bidi="hi-IN"/>
        </w:rPr>
        <w:t>WHO estimates that 88 to 98 per cent of maternal deaths are preventable.</w:t>
      </w:r>
      <w:r w:rsidR="00AE6664" w:rsidRPr="006C70D0">
        <w:rPr>
          <w:rStyle w:val="FootnoteReference"/>
          <w:rFonts w:eastAsia="Times New Roman" w:cstheme="minorHAnsi"/>
          <w:sz w:val="24"/>
          <w:szCs w:val="24"/>
          <w:lang w:val="en-IN" w:eastAsia="en-IN" w:bidi="hi-IN"/>
        </w:rPr>
        <w:footnoteReference w:id="7"/>
      </w:r>
      <w:r w:rsidR="00AE6664">
        <w:rPr>
          <w:rFonts w:eastAsia="Times New Roman" w:cstheme="minorHAnsi"/>
          <w:sz w:val="24"/>
          <w:szCs w:val="24"/>
          <w:lang w:val="en-IN" w:eastAsia="en-IN" w:bidi="hi-IN"/>
        </w:rPr>
        <w:t xml:space="preserve"> </w:t>
      </w:r>
      <w:r w:rsidRPr="006C70D0">
        <w:rPr>
          <w:sz w:val="24"/>
          <w:szCs w:val="24"/>
          <w:lang w:val="en-US"/>
        </w:rPr>
        <w:t>Deaths due to unsafe abortion constitute close to 13% of all maternal deaths. Globally, an estimated 47,000 women die each year from complications associated with unsafe abortion.</w:t>
      </w:r>
      <w:r w:rsidRPr="006C70D0">
        <w:rPr>
          <w:rStyle w:val="FootnoteReference"/>
          <w:sz w:val="24"/>
          <w:szCs w:val="24"/>
          <w:lang w:val="en-US"/>
        </w:rPr>
        <w:footnoteReference w:id="8"/>
      </w:r>
      <w:r w:rsidRPr="006C70D0">
        <w:rPr>
          <w:sz w:val="24"/>
          <w:szCs w:val="24"/>
          <w:lang w:val="en-US"/>
        </w:rPr>
        <w:t xml:space="preserve"> </w:t>
      </w:r>
      <w:r w:rsidR="0025591A">
        <w:rPr>
          <w:rFonts w:eastAsia="Times New Roman" w:cstheme="minorHAnsi"/>
          <w:sz w:val="24"/>
          <w:szCs w:val="24"/>
          <w:lang w:val="en-IN" w:eastAsia="en-IN" w:bidi="hi-IN"/>
        </w:rPr>
        <w:t>Hence, States are complicit</w:t>
      </w:r>
      <w:r w:rsidRPr="006C70D0">
        <w:rPr>
          <w:rFonts w:eastAsia="Times New Roman" w:cstheme="minorHAnsi"/>
          <w:sz w:val="24"/>
          <w:szCs w:val="24"/>
          <w:lang w:val="en-IN" w:eastAsia="en-IN" w:bidi="hi-IN"/>
        </w:rPr>
        <w:t xml:space="preserve"> in the</w:t>
      </w:r>
      <w:r w:rsidR="0025591A">
        <w:rPr>
          <w:rFonts w:eastAsia="Times New Roman" w:cstheme="minorHAnsi"/>
          <w:sz w:val="24"/>
          <w:szCs w:val="24"/>
          <w:lang w:val="en-IN" w:eastAsia="en-IN" w:bidi="hi-IN"/>
        </w:rPr>
        <w:t>se</w:t>
      </w:r>
      <w:r w:rsidRPr="006C70D0">
        <w:rPr>
          <w:rFonts w:eastAsia="Times New Roman" w:cstheme="minorHAnsi"/>
          <w:sz w:val="24"/>
          <w:szCs w:val="24"/>
          <w:lang w:val="en-IN" w:eastAsia="en-IN" w:bidi="hi-IN"/>
        </w:rPr>
        <w:t xml:space="preserve"> </w:t>
      </w:r>
      <w:r w:rsidR="00AE6664">
        <w:rPr>
          <w:rFonts w:eastAsia="Times New Roman" w:cstheme="minorHAnsi"/>
          <w:sz w:val="24"/>
          <w:szCs w:val="24"/>
          <w:lang w:val="en-IN" w:eastAsia="en-IN" w:bidi="hi-IN"/>
        </w:rPr>
        <w:t xml:space="preserve">preventable </w:t>
      </w:r>
      <w:r w:rsidRPr="006C70D0">
        <w:rPr>
          <w:rFonts w:eastAsia="Times New Roman" w:cstheme="minorHAnsi"/>
          <w:sz w:val="24"/>
          <w:szCs w:val="24"/>
          <w:lang w:val="en-IN" w:eastAsia="en-IN" w:bidi="hi-IN"/>
        </w:rPr>
        <w:t xml:space="preserve">deaths of </w:t>
      </w:r>
      <w:r w:rsidR="00AE6664">
        <w:rPr>
          <w:rFonts w:eastAsia="Times New Roman" w:cstheme="minorHAnsi"/>
          <w:sz w:val="24"/>
          <w:szCs w:val="24"/>
          <w:lang w:val="en-IN" w:eastAsia="en-IN" w:bidi="hi-IN"/>
        </w:rPr>
        <w:t xml:space="preserve">large numbers of </w:t>
      </w:r>
      <w:r w:rsidRPr="006C70D0">
        <w:rPr>
          <w:rFonts w:eastAsia="Times New Roman" w:cstheme="minorHAnsi"/>
          <w:sz w:val="24"/>
          <w:szCs w:val="24"/>
          <w:lang w:val="en-IN" w:eastAsia="en-IN" w:bidi="hi-IN"/>
        </w:rPr>
        <w:t xml:space="preserve">women by not providing safe and legal abortion services. </w:t>
      </w:r>
    </w:p>
    <w:p w:rsidR="006C70D0" w:rsidRPr="006C70D0" w:rsidRDefault="006C70D0" w:rsidP="006C70D0">
      <w:pPr>
        <w:jc w:val="both"/>
        <w:rPr>
          <w:sz w:val="24"/>
          <w:szCs w:val="24"/>
          <w:lang w:val="en-US"/>
        </w:rPr>
      </w:pPr>
      <w:r w:rsidRPr="006C70D0">
        <w:rPr>
          <w:sz w:val="24"/>
          <w:szCs w:val="24"/>
          <w:lang w:val="en-US"/>
        </w:rPr>
        <w:t xml:space="preserve">Furthermore, denying abortion </w:t>
      </w:r>
      <w:r w:rsidR="00AE6664">
        <w:rPr>
          <w:sz w:val="24"/>
          <w:szCs w:val="24"/>
          <w:lang w:val="en-US"/>
        </w:rPr>
        <w:t xml:space="preserve">services </w:t>
      </w:r>
      <w:r w:rsidRPr="006C70D0">
        <w:rPr>
          <w:sz w:val="24"/>
          <w:szCs w:val="24"/>
          <w:lang w:val="en-US"/>
        </w:rPr>
        <w:t xml:space="preserve">especially when the health or life of a woman is at </w:t>
      </w:r>
      <w:r w:rsidR="0025591A" w:rsidRPr="006C70D0">
        <w:rPr>
          <w:sz w:val="24"/>
          <w:szCs w:val="24"/>
          <w:lang w:val="en-US"/>
        </w:rPr>
        <w:t>risk</w:t>
      </w:r>
      <w:r w:rsidRPr="006C70D0">
        <w:rPr>
          <w:sz w:val="24"/>
          <w:szCs w:val="24"/>
          <w:lang w:val="en-US"/>
        </w:rPr>
        <w:t xml:space="preserve"> is </w:t>
      </w:r>
      <w:r w:rsidR="00AE6664">
        <w:rPr>
          <w:sz w:val="24"/>
          <w:szCs w:val="24"/>
          <w:lang w:val="en-US"/>
        </w:rPr>
        <w:t xml:space="preserve">a </w:t>
      </w:r>
      <w:r w:rsidRPr="006C70D0">
        <w:rPr>
          <w:sz w:val="24"/>
          <w:szCs w:val="24"/>
          <w:lang w:val="en-US"/>
        </w:rPr>
        <w:t xml:space="preserve">very direct denial of </w:t>
      </w:r>
      <w:r w:rsidR="00AE6664">
        <w:rPr>
          <w:sz w:val="24"/>
          <w:szCs w:val="24"/>
          <w:lang w:val="en-US"/>
        </w:rPr>
        <w:t xml:space="preserve">her </w:t>
      </w:r>
      <w:r w:rsidRPr="006C70D0">
        <w:rPr>
          <w:sz w:val="24"/>
          <w:szCs w:val="24"/>
          <w:lang w:val="en-US"/>
        </w:rPr>
        <w:t xml:space="preserve">right to life. This is in contravention of </w:t>
      </w:r>
      <w:r w:rsidR="00AE6664">
        <w:rPr>
          <w:sz w:val="24"/>
          <w:szCs w:val="24"/>
          <w:lang w:val="en-US"/>
        </w:rPr>
        <w:t xml:space="preserve">the </w:t>
      </w:r>
      <w:r w:rsidRPr="006C70D0">
        <w:rPr>
          <w:sz w:val="24"/>
          <w:szCs w:val="24"/>
          <w:lang w:val="en-US"/>
        </w:rPr>
        <w:t xml:space="preserve">right to life in its narrowest formulation, i.e. the denial of a “person’s right to life” and </w:t>
      </w:r>
      <w:r w:rsidR="00AE6664">
        <w:rPr>
          <w:sz w:val="24"/>
          <w:szCs w:val="24"/>
          <w:lang w:val="en-US"/>
        </w:rPr>
        <w:t xml:space="preserve">positing </w:t>
      </w:r>
      <w:r w:rsidRPr="006C70D0">
        <w:rPr>
          <w:sz w:val="24"/>
          <w:szCs w:val="24"/>
          <w:lang w:val="en-US"/>
        </w:rPr>
        <w:t xml:space="preserve">it </w:t>
      </w:r>
      <w:r w:rsidR="00AE6664">
        <w:rPr>
          <w:sz w:val="24"/>
          <w:szCs w:val="24"/>
          <w:lang w:val="en-US"/>
        </w:rPr>
        <w:t xml:space="preserve">against </w:t>
      </w:r>
      <w:r w:rsidRPr="006C70D0">
        <w:rPr>
          <w:sz w:val="24"/>
          <w:szCs w:val="24"/>
          <w:lang w:val="en-US"/>
        </w:rPr>
        <w:t xml:space="preserve">an assumed right of </w:t>
      </w:r>
      <w:r w:rsidR="00AE6664">
        <w:rPr>
          <w:sz w:val="24"/>
          <w:szCs w:val="24"/>
          <w:lang w:val="en-US"/>
        </w:rPr>
        <w:t xml:space="preserve">a </w:t>
      </w:r>
      <w:r w:rsidRPr="006C70D0">
        <w:rPr>
          <w:sz w:val="24"/>
          <w:szCs w:val="24"/>
          <w:lang w:val="en-US"/>
        </w:rPr>
        <w:t xml:space="preserve">non-entity and non-person, </w:t>
      </w:r>
      <w:r w:rsidR="00AE6664">
        <w:rPr>
          <w:sz w:val="24"/>
          <w:szCs w:val="24"/>
          <w:lang w:val="en-US"/>
        </w:rPr>
        <w:t xml:space="preserve">constitutes a </w:t>
      </w:r>
      <w:r w:rsidRPr="006C70D0">
        <w:rPr>
          <w:sz w:val="24"/>
          <w:szCs w:val="24"/>
          <w:lang w:val="en-US"/>
        </w:rPr>
        <w:t xml:space="preserve">denial of </w:t>
      </w:r>
      <w:r w:rsidR="00AE6664">
        <w:rPr>
          <w:sz w:val="24"/>
          <w:szCs w:val="24"/>
          <w:lang w:val="en-US"/>
        </w:rPr>
        <w:t xml:space="preserve">the </w:t>
      </w:r>
      <w:r w:rsidRPr="006C70D0">
        <w:rPr>
          <w:sz w:val="24"/>
          <w:szCs w:val="24"/>
          <w:lang w:val="en-US"/>
        </w:rPr>
        <w:t>right to life of a woman</w:t>
      </w:r>
      <w:r w:rsidR="00AE6664">
        <w:rPr>
          <w:sz w:val="24"/>
          <w:szCs w:val="24"/>
          <w:lang w:val="en-US"/>
        </w:rPr>
        <w:t xml:space="preserve"> by the State</w:t>
      </w:r>
      <w:r w:rsidRPr="006C70D0">
        <w:rPr>
          <w:sz w:val="24"/>
          <w:szCs w:val="24"/>
          <w:lang w:val="en-US"/>
        </w:rPr>
        <w:t xml:space="preserve">.  </w:t>
      </w:r>
    </w:p>
    <w:p w:rsidR="006C70D0" w:rsidRPr="006C70D0" w:rsidRDefault="006C70D0" w:rsidP="006C70D0">
      <w:pPr>
        <w:jc w:val="both"/>
        <w:rPr>
          <w:sz w:val="24"/>
          <w:szCs w:val="24"/>
          <w:lang w:val="en-US"/>
        </w:rPr>
      </w:pPr>
      <w:r w:rsidRPr="006C70D0">
        <w:rPr>
          <w:sz w:val="24"/>
          <w:szCs w:val="24"/>
          <w:lang w:val="en-US"/>
        </w:rPr>
        <w:t>Therefore termination of pregnancy in no way contravenes the right to life principles</w:t>
      </w:r>
      <w:r w:rsidR="009B7641">
        <w:rPr>
          <w:sz w:val="24"/>
          <w:szCs w:val="24"/>
          <w:lang w:val="en-US"/>
        </w:rPr>
        <w:t>. O</w:t>
      </w:r>
      <w:r w:rsidRPr="006C70D0">
        <w:rPr>
          <w:sz w:val="24"/>
          <w:szCs w:val="24"/>
          <w:lang w:val="en-US"/>
        </w:rPr>
        <w:t>n the contrary</w:t>
      </w:r>
      <w:r w:rsidR="009B7641">
        <w:rPr>
          <w:sz w:val="24"/>
          <w:szCs w:val="24"/>
          <w:lang w:val="en-US"/>
        </w:rPr>
        <w:t>, the</w:t>
      </w:r>
      <w:r w:rsidRPr="006C70D0">
        <w:rPr>
          <w:sz w:val="24"/>
          <w:szCs w:val="24"/>
          <w:lang w:val="en-US"/>
        </w:rPr>
        <w:t xml:space="preserve"> denial of the right to terminate a pregnancy contravenes </w:t>
      </w:r>
      <w:r w:rsidR="009B7641">
        <w:rPr>
          <w:sz w:val="24"/>
          <w:szCs w:val="24"/>
          <w:lang w:val="en-US"/>
        </w:rPr>
        <w:t>the pregnant woman’s right to life.</w:t>
      </w:r>
      <w:r w:rsidRPr="006C70D0">
        <w:rPr>
          <w:sz w:val="24"/>
          <w:szCs w:val="24"/>
          <w:lang w:val="en-US"/>
        </w:rPr>
        <w:t xml:space="preserve"> </w:t>
      </w:r>
      <w:r w:rsidR="009B7641">
        <w:rPr>
          <w:sz w:val="24"/>
          <w:szCs w:val="24"/>
          <w:lang w:val="en-US"/>
        </w:rPr>
        <w:t>The d</w:t>
      </w:r>
      <w:r w:rsidRPr="006C70D0">
        <w:rPr>
          <w:sz w:val="24"/>
          <w:szCs w:val="24"/>
          <w:lang w:val="en-US"/>
        </w:rPr>
        <w:t xml:space="preserve">enial of provisions for </w:t>
      </w:r>
      <w:r w:rsidR="009B7641">
        <w:rPr>
          <w:sz w:val="24"/>
          <w:szCs w:val="24"/>
          <w:lang w:val="en-US"/>
        </w:rPr>
        <w:t xml:space="preserve">the </w:t>
      </w:r>
      <w:r w:rsidRPr="006C70D0">
        <w:rPr>
          <w:sz w:val="24"/>
          <w:szCs w:val="24"/>
          <w:lang w:val="en-US"/>
        </w:rPr>
        <w:t>lawful termination of pregnancy is also discriminatory and a</w:t>
      </w:r>
      <w:r w:rsidR="0025591A">
        <w:rPr>
          <w:sz w:val="24"/>
          <w:szCs w:val="24"/>
          <w:lang w:val="en-US"/>
        </w:rPr>
        <w:t xml:space="preserve"> form of gender based violence.</w:t>
      </w:r>
      <w:r w:rsidRPr="006C70D0">
        <w:rPr>
          <w:sz w:val="24"/>
          <w:szCs w:val="24"/>
          <w:lang w:val="en-US"/>
        </w:rPr>
        <w:t xml:space="preserve"> The connection between the right to life and abortion laws should be seen from the perspective of a pregnant woman and her right or </w:t>
      </w:r>
      <w:r w:rsidR="0025591A" w:rsidRPr="006C70D0">
        <w:rPr>
          <w:sz w:val="24"/>
          <w:szCs w:val="24"/>
          <w:lang w:val="en-US"/>
        </w:rPr>
        <w:t>lack thereof to</w:t>
      </w:r>
      <w:r w:rsidRPr="006C70D0">
        <w:rPr>
          <w:sz w:val="24"/>
          <w:szCs w:val="24"/>
          <w:lang w:val="en-US"/>
        </w:rPr>
        <w:t xml:space="preserve"> terminate </w:t>
      </w:r>
      <w:r w:rsidR="009B7641">
        <w:rPr>
          <w:sz w:val="24"/>
          <w:szCs w:val="24"/>
          <w:lang w:val="en-US"/>
        </w:rPr>
        <w:t xml:space="preserve">the </w:t>
      </w:r>
      <w:r w:rsidRPr="006C70D0">
        <w:rPr>
          <w:sz w:val="24"/>
          <w:szCs w:val="24"/>
          <w:lang w:val="en-US"/>
        </w:rPr>
        <w:t xml:space="preserve">pregnancy. </w:t>
      </w:r>
    </w:p>
    <w:p w:rsidR="009B7641" w:rsidRDefault="009B7641" w:rsidP="006C70D0">
      <w:pPr>
        <w:jc w:val="both"/>
        <w:rPr>
          <w:i/>
          <w:sz w:val="24"/>
          <w:szCs w:val="24"/>
          <w:lang w:val="en-US"/>
        </w:rPr>
      </w:pPr>
    </w:p>
    <w:p w:rsidR="0025591A" w:rsidRDefault="006C70D0" w:rsidP="006C70D0">
      <w:pPr>
        <w:jc w:val="both"/>
        <w:rPr>
          <w:i/>
          <w:sz w:val="24"/>
          <w:szCs w:val="24"/>
          <w:lang w:val="en-US"/>
        </w:rPr>
      </w:pPr>
      <w:r w:rsidRPr="006C70D0">
        <w:rPr>
          <w:i/>
          <w:sz w:val="24"/>
          <w:szCs w:val="24"/>
          <w:lang w:val="en-US"/>
        </w:rPr>
        <w:lastRenderedPageBreak/>
        <w:t>Recommendations:</w:t>
      </w:r>
    </w:p>
    <w:p w:rsidR="006C70D0" w:rsidRPr="0025591A" w:rsidRDefault="0025591A" w:rsidP="006C70D0">
      <w:pPr>
        <w:jc w:val="both"/>
        <w:rPr>
          <w:i/>
          <w:sz w:val="24"/>
          <w:szCs w:val="24"/>
          <w:lang w:val="en-US"/>
        </w:rPr>
      </w:pPr>
      <w:r w:rsidRPr="006C70D0">
        <w:rPr>
          <w:sz w:val="24"/>
          <w:szCs w:val="24"/>
          <w:lang w:val="en-US"/>
        </w:rPr>
        <w:t>We call</w:t>
      </w:r>
      <w:r w:rsidR="006C70D0" w:rsidRPr="006C70D0">
        <w:rPr>
          <w:sz w:val="24"/>
          <w:szCs w:val="24"/>
          <w:lang w:val="en-US"/>
        </w:rPr>
        <w:t xml:space="preserve"> </w:t>
      </w:r>
      <w:r>
        <w:rPr>
          <w:sz w:val="24"/>
          <w:szCs w:val="24"/>
          <w:lang w:val="en-US"/>
        </w:rPr>
        <w:t xml:space="preserve">upon </w:t>
      </w:r>
      <w:r w:rsidR="006C70D0" w:rsidRPr="006C70D0">
        <w:rPr>
          <w:sz w:val="24"/>
          <w:szCs w:val="24"/>
          <w:lang w:val="en-US"/>
        </w:rPr>
        <w:t>the Human Rights Committee</w:t>
      </w:r>
      <w:r>
        <w:rPr>
          <w:sz w:val="24"/>
          <w:szCs w:val="24"/>
          <w:lang w:val="en-US"/>
        </w:rPr>
        <w:t xml:space="preserve"> </w:t>
      </w:r>
      <w:r w:rsidR="006C70D0" w:rsidRPr="006C70D0">
        <w:rPr>
          <w:sz w:val="24"/>
          <w:szCs w:val="24"/>
          <w:lang w:val="en-US"/>
        </w:rPr>
        <w:t xml:space="preserve">to unequivocally affirm that </w:t>
      </w:r>
      <w:r w:rsidR="009B7641">
        <w:rPr>
          <w:sz w:val="24"/>
          <w:szCs w:val="24"/>
          <w:lang w:val="en-US"/>
        </w:rPr>
        <w:t xml:space="preserve">the </w:t>
      </w:r>
      <w:r w:rsidR="006C70D0" w:rsidRPr="006C70D0">
        <w:rPr>
          <w:sz w:val="24"/>
          <w:szCs w:val="24"/>
          <w:lang w:val="en-US"/>
        </w:rPr>
        <w:t>denial of abortion services to women and persons in need of them is a violation of their right to life and States must be held</w:t>
      </w:r>
      <w:r w:rsidR="009B7641">
        <w:rPr>
          <w:sz w:val="24"/>
          <w:szCs w:val="24"/>
          <w:lang w:val="en-US"/>
        </w:rPr>
        <w:t xml:space="preserve"> accountable for such denial. </w:t>
      </w:r>
    </w:p>
    <w:p w:rsidR="006C70D0" w:rsidRPr="006C70D0" w:rsidRDefault="006C70D0" w:rsidP="006C70D0">
      <w:pPr>
        <w:jc w:val="both"/>
        <w:rPr>
          <w:sz w:val="24"/>
          <w:szCs w:val="24"/>
          <w:lang w:val="en-US"/>
        </w:rPr>
      </w:pPr>
      <w:r w:rsidRPr="006C70D0">
        <w:rPr>
          <w:sz w:val="24"/>
          <w:szCs w:val="24"/>
          <w:lang w:val="en-US"/>
        </w:rPr>
        <w:t xml:space="preserve">Further, the Committee must hold that the denial of the right to terminate </w:t>
      </w:r>
      <w:r w:rsidR="009B7641">
        <w:rPr>
          <w:sz w:val="24"/>
          <w:szCs w:val="24"/>
          <w:lang w:val="en-US"/>
        </w:rPr>
        <w:t xml:space="preserve">a </w:t>
      </w:r>
      <w:r w:rsidRPr="006C70D0">
        <w:rPr>
          <w:sz w:val="24"/>
          <w:szCs w:val="24"/>
          <w:lang w:val="en-US"/>
        </w:rPr>
        <w:t xml:space="preserve">pregnancy is also discriminatory towards women and certain </w:t>
      </w:r>
      <w:proofErr w:type="gramStart"/>
      <w:r w:rsidRPr="006C70D0">
        <w:rPr>
          <w:sz w:val="24"/>
          <w:szCs w:val="24"/>
          <w:lang w:val="en-US"/>
        </w:rPr>
        <w:t>trans</w:t>
      </w:r>
      <w:proofErr w:type="gramEnd"/>
      <w:r w:rsidRPr="006C70D0">
        <w:rPr>
          <w:sz w:val="24"/>
          <w:szCs w:val="24"/>
          <w:lang w:val="en-US"/>
        </w:rPr>
        <w:t>*</w:t>
      </w:r>
      <w:r w:rsidR="000E6F90">
        <w:rPr>
          <w:sz w:val="24"/>
          <w:szCs w:val="24"/>
          <w:lang w:val="en-US"/>
        </w:rPr>
        <w:t xml:space="preserve"> </w:t>
      </w:r>
      <w:r w:rsidRPr="006C70D0">
        <w:rPr>
          <w:sz w:val="24"/>
          <w:szCs w:val="24"/>
          <w:lang w:val="en-US"/>
        </w:rPr>
        <w:t>persons</w:t>
      </w:r>
      <w:r w:rsidR="009B7641">
        <w:rPr>
          <w:sz w:val="24"/>
          <w:szCs w:val="24"/>
          <w:lang w:val="en-US"/>
        </w:rPr>
        <w:t xml:space="preserve">. It must hold </w:t>
      </w:r>
      <w:r w:rsidRPr="006C70D0">
        <w:rPr>
          <w:sz w:val="24"/>
          <w:szCs w:val="24"/>
          <w:lang w:val="en-US"/>
        </w:rPr>
        <w:t>that all persons have the right and freedom to decide upon their bodies and lives</w:t>
      </w:r>
      <w:r w:rsidR="009B7641">
        <w:rPr>
          <w:sz w:val="24"/>
          <w:szCs w:val="24"/>
          <w:lang w:val="en-US"/>
        </w:rPr>
        <w:t>, and affirm</w:t>
      </w:r>
      <w:r w:rsidRPr="006C70D0">
        <w:rPr>
          <w:sz w:val="24"/>
          <w:szCs w:val="24"/>
          <w:lang w:val="en-US"/>
        </w:rPr>
        <w:t xml:space="preserve"> the bodily autonomy of all persons. </w:t>
      </w:r>
      <w:bookmarkStart w:id="0" w:name="_GoBack"/>
      <w:bookmarkEnd w:id="0"/>
    </w:p>
    <w:p w:rsidR="00105B95" w:rsidRPr="006C70D0" w:rsidRDefault="00105B95" w:rsidP="006C70D0">
      <w:pPr>
        <w:jc w:val="both"/>
        <w:rPr>
          <w:sz w:val="24"/>
          <w:szCs w:val="24"/>
        </w:rPr>
      </w:pPr>
    </w:p>
    <w:sectPr w:rsidR="00105B95" w:rsidRPr="006C70D0" w:rsidSect="0007381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D3" w:rsidRDefault="00346CD3" w:rsidP="006C70D0">
      <w:pPr>
        <w:spacing w:after="0" w:line="240" w:lineRule="auto"/>
      </w:pPr>
      <w:r>
        <w:separator/>
      </w:r>
    </w:p>
  </w:endnote>
  <w:endnote w:type="continuationSeparator" w:id="0">
    <w:p w:rsidR="00346CD3" w:rsidRDefault="00346CD3" w:rsidP="006C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430"/>
      <w:docPartObj>
        <w:docPartGallery w:val="Page Numbers (Bottom of Page)"/>
        <w:docPartUnique/>
      </w:docPartObj>
    </w:sdtPr>
    <w:sdtEndPr/>
    <w:sdtContent>
      <w:p w:rsidR="0025591A" w:rsidRDefault="00346CD3">
        <w:pPr>
          <w:pStyle w:val="Footer"/>
          <w:jc w:val="right"/>
        </w:pPr>
        <w:r>
          <w:fldChar w:fldCharType="begin"/>
        </w:r>
        <w:r>
          <w:instrText xml:space="preserve"> PAGE   \* MERGEFORMAT </w:instrText>
        </w:r>
        <w:r>
          <w:fldChar w:fldCharType="separate"/>
        </w:r>
        <w:r w:rsidR="000E6F90">
          <w:rPr>
            <w:noProof/>
          </w:rPr>
          <w:t>3</w:t>
        </w:r>
        <w:r>
          <w:rPr>
            <w:noProof/>
          </w:rPr>
          <w:fldChar w:fldCharType="end"/>
        </w:r>
      </w:p>
    </w:sdtContent>
  </w:sdt>
  <w:p w:rsidR="0025591A" w:rsidRDefault="0025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D3" w:rsidRDefault="00346CD3" w:rsidP="006C70D0">
      <w:pPr>
        <w:spacing w:after="0" w:line="240" w:lineRule="auto"/>
      </w:pPr>
      <w:r>
        <w:separator/>
      </w:r>
    </w:p>
  </w:footnote>
  <w:footnote w:type="continuationSeparator" w:id="0">
    <w:p w:rsidR="00346CD3" w:rsidRDefault="00346CD3" w:rsidP="006C70D0">
      <w:pPr>
        <w:spacing w:after="0" w:line="240" w:lineRule="auto"/>
      </w:pPr>
      <w:r>
        <w:continuationSeparator/>
      </w:r>
    </w:p>
  </w:footnote>
  <w:footnote w:id="1">
    <w:p w:rsidR="00495A4A" w:rsidRPr="00495A4A" w:rsidRDefault="00495A4A" w:rsidP="00495A4A">
      <w:pPr>
        <w:spacing w:after="0"/>
        <w:rPr>
          <w:sz w:val="20"/>
          <w:szCs w:val="20"/>
        </w:rPr>
      </w:pPr>
      <w:r>
        <w:rPr>
          <w:rStyle w:val="FootnoteReference"/>
        </w:rPr>
        <w:footnoteRef/>
      </w:r>
      <w:r>
        <w:t xml:space="preserve"> </w:t>
      </w:r>
      <w:r w:rsidRPr="00495A4A">
        <w:rPr>
          <w:sz w:val="20"/>
          <w:szCs w:val="20"/>
        </w:rPr>
        <w:t xml:space="preserve">SRI is a coalition of organisations including Action Canada for </w:t>
      </w:r>
      <w:r w:rsidR="00965F09">
        <w:rPr>
          <w:sz w:val="20"/>
          <w:szCs w:val="20"/>
        </w:rPr>
        <w:t>Sexual Health and Rights</w:t>
      </w:r>
      <w:r w:rsidRPr="00495A4A">
        <w:rPr>
          <w:sz w:val="20"/>
          <w:szCs w:val="20"/>
        </w:rPr>
        <w:t xml:space="preserve"> (Canada), Akahata (Argentina), CREA (India), Coalition of African Lesbians (South Africa), Egyptian Initiative for Personal Rights (Egypt), </w:t>
      </w:r>
      <w:r w:rsidR="00965F09">
        <w:rPr>
          <w:sz w:val="20"/>
          <w:szCs w:val="20"/>
        </w:rPr>
        <w:t xml:space="preserve">and </w:t>
      </w:r>
      <w:r w:rsidRPr="00495A4A">
        <w:rPr>
          <w:sz w:val="20"/>
          <w:szCs w:val="20"/>
        </w:rPr>
        <w:t>Federation for Women and Family Planning (Poland).</w:t>
      </w:r>
    </w:p>
  </w:footnote>
  <w:footnote w:id="2">
    <w:p w:rsidR="006C70D0" w:rsidRPr="00495A4A" w:rsidRDefault="006C70D0" w:rsidP="00495A4A">
      <w:pPr>
        <w:pStyle w:val="FootnoteText"/>
        <w:rPr>
          <w:lang w:val="en-IN"/>
        </w:rPr>
      </w:pPr>
      <w:r w:rsidRPr="00495A4A">
        <w:rPr>
          <w:rStyle w:val="FootnoteReference"/>
        </w:rPr>
        <w:footnoteRef/>
      </w:r>
      <w:r w:rsidRPr="00495A4A">
        <w:t xml:space="preserve"> </w:t>
      </w:r>
      <w:r w:rsidRPr="00495A4A">
        <w:rPr>
          <w:lang w:val="en-IN"/>
        </w:rPr>
        <w:t>Please see Black’s Law Dictionary on definition of a person</w:t>
      </w:r>
      <w:r w:rsidR="00965F09">
        <w:rPr>
          <w:lang w:val="en-IN"/>
        </w:rPr>
        <w:t>.</w:t>
      </w:r>
    </w:p>
  </w:footnote>
  <w:footnote w:id="3">
    <w:p w:rsidR="006C70D0" w:rsidRPr="00495A4A" w:rsidRDefault="006C70D0" w:rsidP="00495A4A">
      <w:pPr>
        <w:pStyle w:val="FootnoteText"/>
        <w:rPr>
          <w:lang w:val="en-IN"/>
        </w:rPr>
      </w:pPr>
      <w:r w:rsidRPr="00495A4A">
        <w:rPr>
          <w:rStyle w:val="FootnoteReference"/>
        </w:rPr>
        <w:footnoteRef/>
      </w:r>
      <w:r w:rsidRPr="00495A4A">
        <w:t xml:space="preserve"> </w:t>
      </w:r>
      <w:r w:rsidRPr="00495A4A">
        <w:rPr>
          <w:lang w:val="en-IN"/>
        </w:rPr>
        <w:t xml:space="preserve">Paragraph 11 of General Recommendation 24 of the </w:t>
      </w:r>
      <w:r w:rsidRPr="00495A4A">
        <w:rPr>
          <w:lang w:val="en-US"/>
        </w:rPr>
        <w:t xml:space="preserve">The  </w:t>
      </w:r>
      <w:r w:rsidRPr="00495A4A">
        <w:t>Committee on the Elimination of All Forms of Discrimination Against Women on Women’s Health (1999)</w:t>
      </w:r>
    </w:p>
  </w:footnote>
  <w:footnote w:id="4">
    <w:p w:rsidR="006C70D0" w:rsidRPr="00495A4A" w:rsidRDefault="006C70D0" w:rsidP="00495A4A">
      <w:pPr>
        <w:pStyle w:val="FootnoteText"/>
        <w:rPr>
          <w:lang w:val="en-IN"/>
        </w:rPr>
      </w:pPr>
      <w:r w:rsidRPr="00495A4A">
        <w:rPr>
          <w:rStyle w:val="FootnoteReference"/>
        </w:rPr>
        <w:footnoteRef/>
      </w:r>
      <w:r w:rsidRPr="00495A4A">
        <w:t xml:space="preserve"> </w:t>
      </w:r>
      <w:r w:rsidRPr="00495A4A">
        <w:rPr>
          <w:lang w:val="en-IN"/>
        </w:rPr>
        <w:t xml:space="preserve">Paragraph 24 (m) of General Recommendation 19 of the </w:t>
      </w:r>
      <w:r w:rsidRPr="00495A4A">
        <w:rPr>
          <w:lang w:val="en-US"/>
        </w:rPr>
        <w:t xml:space="preserve">The  </w:t>
      </w:r>
      <w:r w:rsidRPr="00495A4A">
        <w:t>Committee on the Elimination of All Forms of Discrimination Against Women on Violence against Women (1992)</w:t>
      </w:r>
    </w:p>
  </w:footnote>
  <w:footnote w:id="5">
    <w:p w:rsidR="006C70D0" w:rsidRPr="00D02D30" w:rsidRDefault="006C70D0" w:rsidP="00495A4A">
      <w:pPr>
        <w:pStyle w:val="FootnoteText"/>
        <w:rPr>
          <w:lang w:val="en-IN"/>
        </w:rPr>
      </w:pPr>
      <w:r w:rsidRPr="00495A4A">
        <w:rPr>
          <w:rStyle w:val="FootnoteReference"/>
        </w:rPr>
        <w:footnoteRef/>
      </w:r>
      <w:r w:rsidRPr="00495A4A">
        <w:t xml:space="preserve"> </w:t>
      </w:r>
      <w:r w:rsidRPr="00495A4A">
        <w:rPr>
          <w:lang w:val="en-IN"/>
        </w:rPr>
        <w:t xml:space="preserve">Paragraph 22  of General Recommendation 24 of the </w:t>
      </w:r>
      <w:r w:rsidRPr="00495A4A">
        <w:rPr>
          <w:lang w:val="en-US"/>
        </w:rPr>
        <w:t xml:space="preserve">The  </w:t>
      </w:r>
      <w:r w:rsidRPr="00495A4A">
        <w:t>Committee on the Elimination of All Forms of Discrimination Against Women on Equality in Family Relations</w:t>
      </w:r>
      <w:r>
        <w:t xml:space="preserve"> (1994)</w:t>
      </w:r>
    </w:p>
  </w:footnote>
  <w:footnote w:id="6">
    <w:p w:rsidR="00AE6664" w:rsidRPr="005A2C1D" w:rsidRDefault="00AE6664" w:rsidP="00AE6664">
      <w:pPr>
        <w:spacing w:after="0"/>
        <w:rPr>
          <w:rFonts w:eastAsia="Times New Roman" w:cstheme="minorHAnsi"/>
          <w:sz w:val="20"/>
          <w:szCs w:val="20"/>
          <w:lang w:eastAsia="en-IN" w:bidi="hi-IN"/>
        </w:rPr>
      </w:pPr>
      <w:r>
        <w:rPr>
          <w:rStyle w:val="FootnoteReference"/>
        </w:rPr>
        <w:footnoteRef/>
      </w:r>
      <w:r>
        <w:t xml:space="preserve"> </w:t>
      </w:r>
      <w:r w:rsidRPr="00311B3A">
        <w:rPr>
          <w:rFonts w:cstheme="minorHAnsi"/>
          <w:sz w:val="20"/>
          <w:szCs w:val="20"/>
        </w:rPr>
        <w:t xml:space="preserve">WHO, UNICEF, UNFPA and The World Bank estimates, </w:t>
      </w:r>
      <w:r w:rsidRPr="00311B3A">
        <w:rPr>
          <w:rFonts w:eastAsia="Times New Roman" w:cstheme="minorHAnsi"/>
          <w:sz w:val="20"/>
          <w:szCs w:val="20"/>
          <w:lang w:eastAsia="en-IN" w:bidi="hi-IN"/>
        </w:rPr>
        <w:t>Trends in Maternal Mortality: 1990 to 2010</w:t>
      </w:r>
    </w:p>
  </w:footnote>
  <w:footnote w:id="7">
    <w:p w:rsidR="00AE6664" w:rsidRPr="005A2C1D" w:rsidRDefault="00AE6664" w:rsidP="00AE6664">
      <w:pPr>
        <w:pStyle w:val="FootnoteText"/>
        <w:rPr>
          <w:lang w:val="en-IN"/>
        </w:rPr>
      </w:pPr>
      <w:r>
        <w:rPr>
          <w:rStyle w:val="FootnoteReference"/>
        </w:rPr>
        <w:footnoteRef/>
      </w:r>
      <w:r>
        <w:t xml:space="preserve"> </w:t>
      </w:r>
      <w:r w:rsidRPr="00311B3A">
        <w:rPr>
          <w:rFonts w:eastAsia="Times New Roman" w:cstheme="minorHAnsi"/>
          <w:lang w:eastAsia="en-IN" w:bidi="hi-IN"/>
        </w:rPr>
        <w:t>WHO, “Maternal mortality: helping women off the road to death”, WHO Chronicle,vol. 40 (1986), pp. 175-183</w:t>
      </w:r>
    </w:p>
  </w:footnote>
  <w:footnote w:id="8">
    <w:p w:rsidR="006C70D0" w:rsidRPr="00763F1B" w:rsidRDefault="006C70D0" w:rsidP="006C70D0">
      <w:pPr>
        <w:pStyle w:val="FootnoteText"/>
        <w:rPr>
          <w:lang w:val="en-IN"/>
        </w:rPr>
      </w:pPr>
      <w:r>
        <w:rPr>
          <w:rStyle w:val="FootnoteReference"/>
        </w:rPr>
        <w:footnoteRef/>
      </w:r>
      <w:r>
        <w:t xml:space="preserve"> </w:t>
      </w:r>
      <w:r>
        <w:rPr>
          <w:lang w:val="en-IN"/>
        </w:rPr>
        <w:t xml:space="preserve">World Health Organisation: </w:t>
      </w:r>
      <w:r w:rsidRPr="00850009">
        <w:rPr>
          <w:lang w:val="en-US"/>
        </w:rPr>
        <w:t>Unsafe abortion: global and regional estimates of the incidence of unsafe abortion and associated mortality in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A" w:rsidRPr="0025591A" w:rsidRDefault="0025591A">
    <w:pPr>
      <w:pStyle w:val="Header"/>
      <w:rPr>
        <w:lang w:val="en-IN"/>
      </w:rPr>
    </w:pPr>
    <w:r>
      <w:rPr>
        <w:noProof/>
        <w:lang w:val="en-GB" w:eastAsia="en-GB"/>
      </w:rPr>
      <w:drawing>
        <wp:anchor distT="0" distB="0" distL="114300" distR="114300" simplePos="0" relativeHeight="251659264" behindDoc="1" locked="0" layoutInCell="1" allowOverlap="1">
          <wp:simplePos x="0" y="0"/>
          <wp:positionH relativeFrom="column">
            <wp:posOffset>5369560</wp:posOffset>
          </wp:positionH>
          <wp:positionV relativeFrom="paragraph">
            <wp:posOffset>-320675</wp:posOffset>
          </wp:positionV>
          <wp:extent cx="914400" cy="731520"/>
          <wp:effectExtent l="19050" t="0" r="0" b="0"/>
          <wp:wrapTight wrapText="bothSides">
            <wp:wrapPolygon edited="0">
              <wp:start x="-450" y="0"/>
              <wp:lineTo x="-450" y="20813"/>
              <wp:lineTo x="21600" y="20813"/>
              <wp:lineTo x="21600" y="0"/>
              <wp:lineTo x="-450" y="0"/>
            </wp:wrapPolygon>
          </wp:wrapTight>
          <wp:docPr id="3" name="Picture 2" descr="Sexual_Rights_Initiati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ual_Rights_Initiative01"/>
                  <pic:cNvPicPr>
                    <a:picLocks noChangeAspect="1" noChangeArrowheads="1"/>
                  </pic:cNvPicPr>
                </pic:nvPicPr>
                <pic:blipFill>
                  <a:blip r:embed="rId1" cstate="print"/>
                  <a:srcRect/>
                  <a:stretch>
                    <a:fillRect/>
                  </a:stretch>
                </pic:blipFill>
                <pic:spPr bwMode="auto">
                  <a:xfrm>
                    <a:off x="0" y="0"/>
                    <a:ext cx="914400" cy="731520"/>
                  </a:xfrm>
                  <a:prstGeom prst="rect">
                    <a:avLst/>
                  </a:prstGeom>
                  <a:noFill/>
                </pic:spPr>
              </pic:pic>
            </a:graphicData>
          </a:graphic>
        </wp:anchor>
      </w:drawing>
    </w:r>
    <w:r>
      <w:rPr>
        <w:lang w:val="en-IN"/>
      </w:rPr>
      <w:tab/>
    </w:r>
    <w:r>
      <w:rPr>
        <w:lang w:val="en-I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70D0"/>
    <w:rsid w:val="00002A36"/>
    <w:rsid w:val="0000447A"/>
    <w:rsid w:val="000051D0"/>
    <w:rsid w:val="00006C23"/>
    <w:rsid w:val="00006C53"/>
    <w:rsid w:val="00011C33"/>
    <w:rsid w:val="000124E0"/>
    <w:rsid w:val="00017AB3"/>
    <w:rsid w:val="00020B6C"/>
    <w:rsid w:val="00021A35"/>
    <w:rsid w:val="00027BED"/>
    <w:rsid w:val="0003143E"/>
    <w:rsid w:val="00031705"/>
    <w:rsid w:val="000349AC"/>
    <w:rsid w:val="00036B5B"/>
    <w:rsid w:val="00037335"/>
    <w:rsid w:val="00037C60"/>
    <w:rsid w:val="000400CC"/>
    <w:rsid w:val="0004086C"/>
    <w:rsid w:val="00041C29"/>
    <w:rsid w:val="000441F2"/>
    <w:rsid w:val="00051B94"/>
    <w:rsid w:val="00052F97"/>
    <w:rsid w:val="0005377F"/>
    <w:rsid w:val="00053F98"/>
    <w:rsid w:val="000562C8"/>
    <w:rsid w:val="0006021D"/>
    <w:rsid w:val="00060315"/>
    <w:rsid w:val="00064196"/>
    <w:rsid w:val="00065C3F"/>
    <w:rsid w:val="00066BD1"/>
    <w:rsid w:val="00067841"/>
    <w:rsid w:val="00070439"/>
    <w:rsid w:val="00070476"/>
    <w:rsid w:val="0007253E"/>
    <w:rsid w:val="00072A34"/>
    <w:rsid w:val="00072B94"/>
    <w:rsid w:val="000732BF"/>
    <w:rsid w:val="0007496F"/>
    <w:rsid w:val="00075042"/>
    <w:rsid w:val="00075747"/>
    <w:rsid w:val="00075E55"/>
    <w:rsid w:val="000807DA"/>
    <w:rsid w:val="00080FA6"/>
    <w:rsid w:val="00081D46"/>
    <w:rsid w:val="00081F50"/>
    <w:rsid w:val="000841CD"/>
    <w:rsid w:val="00084471"/>
    <w:rsid w:val="000853DB"/>
    <w:rsid w:val="00086B03"/>
    <w:rsid w:val="00090EDE"/>
    <w:rsid w:val="00091D75"/>
    <w:rsid w:val="0009698E"/>
    <w:rsid w:val="00097912"/>
    <w:rsid w:val="000A04EE"/>
    <w:rsid w:val="000A1F04"/>
    <w:rsid w:val="000A2891"/>
    <w:rsid w:val="000A367A"/>
    <w:rsid w:val="000A3AA2"/>
    <w:rsid w:val="000A4A55"/>
    <w:rsid w:val="000A50EA"/>
    <w:rsid w:val="000B046C"/>
    <w:rsid w:val="000B42B1"/>
    <w:rsid w:val="000B4D38"/>
    <w:rsid w:val="000B68E8"/>
    <w:rsid w:val="000C00CC"/>
    <w:rsid w:val="000C028C"/>
    <w:rsid w:val="000C046D"/>
    <w:rsid w:val="000C2251"/>
    <w:rsid w:val="000C2D1A"/>
    <w:rsid w:val="000C5B88"/>
    <w:rsid w:val="000C64BC"/>
    <w:rsid w:val="000D64BC"/>
    <w:rsid w:val="000D73B7"/>
    <w:rsid w:val="000D769A"/>
    <w:rsid w:val="000E16BC"/>
    <w:rsid w:val="000E1C1B"/>
    <w:rsid w:val="000E552A"/>
    <w:rsid w:val="000E6AC6"/>
    <w:rsid w:val="000E6F90"/>
    <w:rsid w:val="000F0E2C"/>
    <w:rsid w:val="000F2FA3"/>
    <w:rsid w:val="000F33F8"/>
    <w:rsid w:val="000F7F86"/>
    <w:rsid w:val="00101815"/>
    <w:rsid w:val="00101955"/>
    <w:rsid w:val="00101A0C"/>
    <w:rsid w:val="00103E6E"/>
    <w:rsid w:val="00105180"/>
    <w:rsid w:val="00105B95"/>
    <w:rsid w:val="001168B1"/>
    <w:rsid w:val="00124902"/>
    <w:rsid w:val="001258CE"/>
    <w:rsid w:val="00125D21"/>
    <w:rsid w:val="00126DEB"/>
    <w:rsid w:val="00127B58"/>
    <w:rsid w:val="00131A0F"/>
    <w:rsid w:val="00136E34"/>
    <w:rsid w:val="00140204"/>
    <w:rsid w:val="001414BB"/>
    <w:rsid w:val="0014190F"/>
    <w:rsid w:val="00143FF0"/>
    <w:rsid w:val="001517F9"/>
    <w:rsid w:val="00152545"/>
    <w:rsid w:val="001525B0"/>
    <w:rsid w:val="0015483E"/>
    <w:rsid w:val="00154BE1"/>
    <w:rsid w:val="001554EB"/>
    <w:rsid w:val="0015556F"/>
    <w:rsid w:val="00155609"/>
    <w:rsid w:val="0015670C"/>
    <w:rsid w:val="001572CD"/>
    <w:rsid w:val="00161A6D"/>
    <w:rsid w:val="00166BE3"/>
    <w:rsid w:val="0017350F"/>
    <w:rsid w:val="00174DAC"/>
    <w:rsid w:val="001755A9"/>
    <w:rsid w:val="00176D13"/>
    <w:rsid w:val="00180C84"/>
    <w:rsid w:val="00181DEB"/>
    <w:rsid w:val="001826F0"/>
    <w:rsid w:val="00182E61"/>
    <w:rsid w:val="001838EB"/>
    <w:rsid w:val="00184AB2"/>
    <w:rsid w:val="001873D9"/>
    <w:rsid w:val="00192B02"/>
    <w:rsid w:val="00192DA4"/>
    <w:rsid w:val="0019302C"/>
    <w:rsid w:val="00194FAA"/>
    <w:rsid w:val="001960C8"/>
    <w:rsid w:val="00197334"/>
    <w:rsid w:val="001A0178"/>
    <w:rsid w:val="001A1014"/>
    <w:rsid w:val="001A1BD9"/>
    <w:rsid w:val="001A1E00"/>
    <w:rsid w:val="001A33DF"/>
    <w:rsid w:val="001A3594"/>
    <w:rsid w:val="001A4626"/>
    <w:rsid w:val="001A6C75"/>
    <w:rsid w:val="001A713F"/>
    <w:rsid w:val="001A7AD3"/>
    <w:rsid w:val="001B0421"/>
    <w:rsid w:val="001B0D20"/>
    <w:rsid w:val="001B790F"/>
    <w:rsid w:val="001C2A93"/>
    <w:rsid w:val="001C3792"/>
    <w:rsid w:val="001C3A9A"/>
    <w:rsid w:val="001C3D3A"/>
    <w:rsid w:val="001C50E7"/>
    <w:rsid w:val="001C73AB"/>
    <w:rsid w:val="001D23B1"/>
    <w:rsid w:val="001D7042"/>
    <w:rsid w:val="001E0383"/>
    <w:rsid w:val="001E0EAD"/>
    <w:rsid w:val="001E3DA2"/>
    <w:rsid w:val="001E6363"/>
    <w:rsid w:val="001E7D52"/>
    <w:rsid w:val="001E7F01"/>
    <w:rsid w:val="001F01AE"/>
    <w:rsid w:val="001F0EAB"/>
    <w:rsid w:val="001F27BA"/>
    <w:rsid w:val="001F574F"/>
    <w:rsid w:val="002074A4"/>
    <w:rsid w:val="00212835"/>
    <w:rsid w:val="002209A6"/>
    <w:rsid w:val="002216F8"/>
    <w:rsid w:val="002232CB"/>
    <w:rsid w:val="0022552C"/>
    <w:rsid w:val="00231EBA"/>
    <w:rsid w:val="002320E6"/>
    <w:rsid w:val="002334DB"/>
    <w:rsid w:val="00237929"/>
    <w:rsid w:val="00240392"/>
    <w:rsid w:val="00240782"/>
    <w:rsid w:val="002417EB"/>
    <w:rsid w:val="00243F3D"/>
    <w:rsid w:val="002441D9"/>
    <w:rsid w:val="00253240"/>
    <w:rsid w:val="0025591A"/>
    <w:rsid w:val="00256233"/>
    <w:rsid w:val="0025757E"/>
    <w:rsid w:val="002576C6"/>
    <w:rsid w:val="00257A36"/>
    <w:rsid w:val="0026781B"/>
    <w:rsid w:val="002721A8"/>
    <w:rsid w:val="002723EC"/>
    <w:rsid w:val="00274330"/>
    <w:rsid w:val="00282C3D"/>
    <w:rsid w:val="00282D21"/>
    <w:rsid w:val="00283D92"/>
    <w:rsid w:val="0028771F"/>
    <w:rsid w:val="0029184C"/>
    <w:rsid w:val="0029715A"/>
    <w:rsid w:val="002A013C"/>
    <w:rsid w:val="002A11E4"/>
    <w:rsid w:val="002A1AFC"/>
    <w:rsid w:val="002A4308"/>
    <w:rsid w:val="002A58B4"/>
    <w:rsid w:val="002B2B44"/>
    <w:rsid w:val="002B317A"/>
    <w:rsid w:val="002B3751"/>
    <w:rsid w:val="002B3D1D"/>
    <w:rsid w:val="002B509B"/>
    <w:rsid w:val="002B50A9"/>
    <w:rsid w:val="002B61E9"/>
    <w:rsid w:val="002C1519"/>
    <w:rsid w:val="002C184C"/>
    <w:rsid w:val="002C4DB7"/>
    <w:rsid w:val="002C4E93"/>
    <w:rsid w:val="002C5E36"/>
    <w:rsid w:val="002C63F2"/>
    <w:rsid w:val="002C7E9C"/>
    <w:rsid w:val="002D39E3"/>
    <w:rsid w:val="002D3B7D"/>
    <w:rsid w:val="002D580E"/>
    <w:rsid w:val="002E0596"/>
    <w:rsid w:val="002E10FD"/>
    <w:rsid w:val="002E1B9D"/>
    <w:rsid w:val="002E3312"/>
    <w:rsid w:val="002E3ACC"/>
    <w:rsid w:val="002E3E70"/>
    <w:rsid w:val="002E4977"/>
    <w:rsid w:val="002E4991"/>
    <w:rsid w:val="002E6ADE"/>
    <w:rsid w:val="002E79BC"/>
    <w:rsid w:val="002F05F7"/>
    <w:rsid w:val="002F09AA"/>
    <w:rsid w:val="002F2797"/>
    <w:rsid w:val="002F4194"/>
    <w:rsid w:val="002F4F58"/>
    <w:rsid w:val="002F62CB"/>
    <w:rsid w:val="002F7364"/>
    <w:rsid w:val="00301A5D"/>
    <w:rsid w:val="00301E9F"/>
    <w:rsid w:val="00302E72"/>
    <w:rsid w:val="00305F2D"/>
    <w:rsid w:val="00310D54"/>
    <w:rsid w:val="00312466"/>
    <w:rsid w:val="00315681"/>
    <w:rsid w:val="003167C2"/>
    <w:rsid w:val="0032438D"/>
    <w:rsid w:val="00324E80"/>
    <w:rsid w:val="00330435"/>
    <w:rsid w:val="00331440"/>
    <w:rsid w:val="003322C7"/>
    <w:rsid w:val="003371A8"/>
    <w:rsid w:val="003379CC"/>
    <w:rsid w:val="003408E0"/>
    <w:rsid w:val="003413BF"/>
    <w:rsid w:val="00346CD3"/>
    <w:rsid w:val="00350DED"/>
    <w:rsid w:val="00352CAD"/>
    <w:rsid w:val="00353E49"/>
    <w:rsid w:val="00356B1D"/>
    <w:rsid w:val="00360FD3"/>
    <w:rsid w:val="00362493"/>
    <w:rsid w:val="00362667"/>
    <w:rsid w:val="00373ED2"/>
    <w:rsid w:val="0037426E"/>
    <w:rsid w:val="003751DF"/>
    <w:rsid w:val="00376764"/>
    <w:rsid w:val="0037763C"/>
    <w:rsid w:val="00377B73"/>
    <w:rsid w:val="00382371"/>
    <w:rsid w:val="00383267"/>
    <w:rsid w:val="003842FB"/>
    <w:rsid w:val="00392220"/>
    <w:rsid w:val="00396231"/>
    <w:rsid w:val="00397C9F"/>
    <w:rsid w:val="003A1737"/>
    <w:rsid w:val="003A1B6D"/>
    <w:rsid w:val="003A1D2A"/>
    <w:rsid w:val="003A31CB"/>
    <w:rsid w:val="003A515E"/>
    <w:rsid w:val="003A5AE2"/>
    <w:rsid w:val="003A681F"/>
    <w:rsid w:val="003A71A4"/>
    <w:rsid w:val="003B028E"/>
    <w:rsid w:val="003B2080"/>
    <w:rsid w:val="003B5AF8"/>
    <w:rsid w:val="003B62FC"/>
    <w:rsid w:val="003B676E"/>
    <w:rsid w:val="003B7255"/>
    <w:rsid w:val="003B7605"/>
    <w:rsid w:val="003B7CC5"/>
    <w:rsid w:val="003B7EF7"/>
    <w:rsid w:val="003C2B97"/>
    <w:rsid w:val="003C45FC"/>
    <w:rsid w:val="003C4EB8"/>
    <w:rsid w:val="003C631C"/>
    <w:rsid w:val="003D1EFA"/>
    <w:rsid w:val="003D3A8E"/>
    <w:rsid w:val="003D45E1"/>
    <w:rsid w:val="003D4C79"/>
    <w:rsid w:val="003D56B2"/>
    <w:rsid w:val="003D580C"/>
    <w:rsid w:val="003D654C"/>
    <w:rsid w:val="003E0754"/>
    <w:rsid w:val="003E0C4B"/>
    <w:rsid w:val="003E3CDB"/>
    <w:rsid w:val="003E4886"/>
    <w:rsid w:val="003E61FC"/>
    <w:rsid w:val="003E62BA"/>
    <w:rsid w:val="003E66A5"/>
    <w:rsid w:val="003E68D0"/>
    <w:rsid w:val="003F75AB"/>
    <w:rsid w:val="003F7FB5"/>
    <w:rsid w:val="004035BC"/>
    <w:rsid w:val="00411C0F"/>
    <w:rsid w:val="004125BC"/>
    <w:rsid w:val="00412824"/>
    <w:rsid w:val="00417B3E"/>
    <w:rsid w:val="00420929"/>
    <w:rsid w:val="00422C63"/>
    <w:rsid w:val="00424A92"/>
    <w:rsid w:val="00427EA2"/>
    <w:rsid w:val="00430661"/>
    <w:rsid w:val="00430C51"/>
    <w:rsid w:val="004333C3"/>
    <w:rsid w:val="00433811"/>
    <w:rsid w:val="004353EE"/>
    <w:rsid w:val="0043548F"/>
    <w:rsid w:val="00440512"/>
    <w:rsid w:val="00440613"/>
    <w:rsid w:val="00441DC5"/>
    <w:rsid w:val="00443FCD"/>
    <w:rsid w:val="00444E5A"/>
    <w:rsid w:val="004455FB"/>
    <w:rsid w:val="00451DD2"/>
    <w:rsid w:val="00453D34"/>
    <w:rsid w:val="004563B9"/>
    <w:rsid w:val="00462D24"/>
    <w:rsid w:val="00467FEB"/>
    <w:rsid w:val="0047014E"/>
    <w:rsid w:val="0047241B"/>
    <w:rsid w:val="00472729"/>
    <w:rsid w:val="00474CB0"/>
    <w:rsid w:val="00480362"/>
    <w:rsid w:val="00484446"/>
    <w:rsid w:val="00486DF2"/>
    <w:rsid w:val="00487624"/>
    <w:rsid w:val="0049028C"/>
    <w:rsid w:val="00493CA3"/>
    <w:rsid w:val="004941CD"/>
    <w:rsid w:val="00494599"/>
    <w:rsid w:val="00494F60"/>
    <w:rsid w:val="00495A4A"/>
    <w:rsid w:val="0049685C"/>
    <w:rsid w:val="004A0E2C"/>
    <w:rsid w:val="004A2CC2"/>
    <w:rsid w:val="004A36AF"/>
    <w:rsid w:val="004A3F1E"/>
    <w:rsid w:val="004A43C3"/>
    <w:rsid w:val="004A47DA"/>
    <w:rsid w:val="004A7B0F"/>
    <w:rsid w:val="004A7F1C"/>
    <w:rsid w:val="004B081D"/>
    <w:rsid w:val="004C1D96"/>
    <w:rsid w:val="004C2372"/>
    <w:rsid w:val="004C2F5D"/>
    <w:rsid w:val="004C50A8"/>
    <w:rsid w:val="004C64B2"/>
    <w:rsid w:val="004C7663"/>
    <w:rsid w:val="004C7D2C"/>
    <w:rsid w:val="004D108E"/>
    <w:rsid w:val="004D1980"/>
    <w:rsid w:val="004D1A53"/>
    <w:rsid w:val="004D39D8"/>
    <w:rsid w:val="004D3FB2"/>
    <w:rsid w:val="004D4403"/>
    <w:rsid w:val="004D5C1A"/>
    <w:rsid w:val="004D7145"/>
    <w:rsid w:val="004D793A"/>
    <w:rsid w:val="004E0E92"/>
    <w:rsid w:val="004E1239"/>
    <w:rsid w:val="004E14FF"/>
    <w:rsid w:val="004E27D0"/>
    <w:rsid w:val="004E3554"/>
    <w:rsid w:val="004E6EB4"/>
    <w:rsid w:val="004F0838"/>
    <w:rsid w:val="004F29ED"/>
    <w:rsid w:val="004F57A5"/>
    <w:rsid w:val="00500434"/>
    <w:rsid w:val="0050697D"/>
    <w:rsid w:val="00506F15"/>
    <w:rsid w:val="005106CA"/>
    <w:rsid w:val="00512E70"/>
    <w:rsid w:val="00520576"/>
    <w:rsid w:val="00520F17"/>
    <w:rsid w:val="00522977"/>
    <w:rsid w:val="0052322D"/>
    <w:rsid w:val="0052504A"/>
    <w:rsid w:val="005259FD"/>
    <w:rsid w:val="00526CBD"/>
    <w:rsid w:val="00531E54"/>
    <w:rsid w:val="00535B93"/>
    <w:rsid w:val="005368A9"/>
    <w:rsid w:val="00537AB6"/>
    <w:rsid w:val="00537F52"/>
    <w:rsid w:val="00537FEF"/>
    <w:rsid w:val="00542946"/>
    <w:rsid w:val="00544B26"/>
    <w:rsid w:val="0055069B"/>
    <w:rsid w:val="00551B56"/>
    <w:rsid w:val="005524A8"/>
    <w:rsid w:val="00552A22"/>
    <w:rsid w:val="00555EA8"/>
    <w:rsid w:val="005570A8"/>
    <w:rsid w:val="00560422"/>
    <w:rsid w:val="00560864"/>
    <w:rsid w:val="00574541"/>
    <w:rsid w:val="00586576"/>
    <w:rsid w:val="005869F3"/>
    <w:rsid w:val="00587182"/>
    <w:rsid w:val="00587B99"/>
    <w:rsid w:val="00587BEB"/>
    <w:rsid w:val="00592589"/>
    <w:rsid w:val="005932C4"/>
    <w:rsid w:val="0059380A"/>
    <w:rsid w:val="00594312"/>
    <w:rsid w:val="00596E6F"/>
    <w:rsid w:val="0059786F"/>
    <w:rsid w:val="00597AC5"/>
    <w:rsid w:val="005A2C6A"/>
    <w:rsid w:val="005A7421"/>
    <w:rsid w:val="005B15C2"/>
    <w:rsid w:val="005B1ECB"/>
    <w:rsid w:val="005B4F9A"/>
    <w:rsid w:val="005B6809"/>
    <w:rsid w:val="005B7009"/>
    <w:rsid w:val="005B753C"/>
    <w:rsid w:val="005C76B8"/>
    <w:rsid w:val="005D0AB2"/>
    <w:rsid w:val="005D18E7"/>
    <w:rsid w:val="005D32A4"/>
    <w:rsid w:val="005D69F4"/>
    <w:rsid w:val="005E2D85"/>
    <w:rsid w:val="005E444D"/>
    <w:rsid w:val="005F0574"/>
    <w:rsid w:val="005F27DE"/>
    <w:rsid w:val="005F4D16"/>
    <w:rsid w:val="00602D63"/>
    <w:rsid w:val="00603AE4"/>
    <w:rsid w:val="00614AC7"/>
    <w:rsid w:val="0061575A"/>
    <w:rsid w:val="006158E5"/>
    <w:rsid w:val="00617336"/>
    <w:rsid w:val="006179A5"/>
    <w:rsid w:val="00620CEB"/>
    <w:rsid w:val="0062102A"/>
    <w:rsid w:val="00621417"/>
    <w:rsid w:val="006248C6"/>
    <w:rsid w:val="00624ADD"/>
    <w:rsid w:val="0062588B"/>
    <w:rsid w:val="006277E9"/>
    <w:rsid w:val="00630845"/>
    <w:rsid w:val="00632012"/>
    <w:rsid w:val="00633388"/>
    <w:rsid w:val="006334D9"/>
    <w:rsid w:val="00640A3D"/>
    <w:rsid w:val="0064127F"/>
    <w:rsid w:val="0064245D"/>
    <w:rsid w:val="006448B6"/>
    <w:rsid w:val="00644F7E"/>
    <w:rsid w:val="0064559A"/>
    <w:rsid w:val="00646120"/>
    <w:rsid w:val="006463BD"/>
    <w:rsid w:val="0065571B"/>
    <w:rsid w:val="00660143"/>
    <w:rsid w:val="00660472"/>
    <w:rsid w:val="00672624"/>
    <w:rsid w:val="00674404"/>
    <w:rsid w:val="00674C06"/>
    <w:rsid w:val="0067663A"/>
    <w:rsid w:val="00681426"/>
    <w:rsid w:val="006906B9"/>
    <w:rsid w:val="006915B3"/>
    <w:rsid w:val="00693444"/>
    <w:rsid w:val="006941A4"/>
    <w:rsid w:val="00695655"/>
    <w:rsid w:val="00695DE9"/>
    <w:rsid w:val="006A268E"/>
    <w:rsid w:val="006A668C"/>
    <w:rsid w:val="006A6997"/>
    <w:rsid w:val="006A7790"/>
    <w:rsid w:val="006B17B2"/>
    <w:rsid w:val="006B1B32"/>
    <w:rsid w:val="006B2804"/>
    <w:rsid w:val="006B3F87"/>
    <w:rsid w:val="006B5420"/>
    <w:rsid w:val="006B5780"/>
    <w:rsid w:val="006B5D11"/>
    <w:rsid w:val="006B5D3B"/>
    <w:rsid w:val="006B7B86"/>
    <w:rsid w:val="006C2FA7"/>
    <w:rsid w:val="006C3173"/>
    <w:rsid w:val="006C4230"/>
    <w:rsid w:val="006C70D0"/>
    <w:rsid w:val="006D072F"/>
    <w:rsid w:val="006D35AB"/>
    <w:rsid w:val="006D3934"/>
    <w:rsid w:val="006D6C6C"/>
    <w:rsid w:val="006E131C"/>
    <w:rsid w:val="006E5399"/>
    <w:rsid w:val="006E762E"/>
    <w:rsid w:val="006E7835"/>
    <w:rsid w:val="006F4965"/>
    <w:rsid w:val="006F72B8"/>
    <w:rsid w:val="006F7DCD"/>
    <w:rsid w:val="006F7F46"/>
    <w:rsid w:val="0070109B"/>
    <w:rsid w:val="0070747E"/>
    <w:rsid w:val="0070797B"/>
    <w:rsid w:val="00707F79"/>
    <w:rsid w:val="007101AE"/>
    <w:rsid w:val="0071114F"/>
    <w:rsid w:val="00712B19"/>
    <w:rsid w:val="007144D2"/>
    <w:rsid w:val="00714D1B"/>
    <w:rsid w:val="00720178"/>
    <w:rsid w:val="007204FD"/>
    <w:rsid w:val="00722384"/>
    <w:rsid w:val="007224CC"/>
    <w:rsid w:val="00722EC8"/>
    <w:rsid w:val="007238BF"/>
    <w:rsid w:val="00723F3D"/>
    <w:rsid w:val="007249E4"/>
    <w:rsid w:val="00724FA9"/>
    <w:rsid w:val="00726FD0"/>
    <w:rsid w:val="00730034"/>
    <w:rsid w:val="00730713"/>
    <w:rsid w:val="00731967"/>
    <w:rsid w:val="00731CCA"/>
    <w:rsid w:val="00742C45"/>
    <w:rsid w:val="00743779"/>
    <w:rsid w:val="00745092"/>
    <w:rsid w:val="007464AC"/>
    <w:rsid w:val="00750640"/>
    <w:rsid w:val="00750B3A"/>
    <w:rsid w:val="007533FF"/>
    <w:rsid w:val="00754E24"/>
    <w:rsid w:val="00760F87"/>
    <w:rsid w:val="00761000"/>
    <w:rsid w:val="00761343"/>
    <w:rsid w:val="00761D10"/>
    <w:rsid w:val="007626CC"/>
    <w:rsid w:val="00762CA1"/>
    <w:rsid w:val="00764F48"/>
    <w:rsid w:val="00767ECF"/>
    <w:rsid w:val="00772519"/>
    <w:rsid w:val="007757D1"/>
    <w:rsid w:val="007770AB"/>
    <w:rsid w:val="00781E95"/>
    <w:rsid w:val="00785C4A"/>
    <w:rsid w:val="00785CFA"/>
    <w:rsid w:val="007872A7"/>
    <w:rsid w:val="00787884"/>
    <w:rsid w:val="00787CA0"/>
    <w:rsid w:val="007A0BC5"/>
    <w:rsid w:val="007A47EA"/>
    <w:rsid w:val="007A524E"/>
    <w:rsid w:val="007A7396"/>
    <w:rsid w:val="007A7906"/>
    <w:rsid w:val="007B498B"/>
    <w:rsid w:val="007B6D07"/>
    <w:rsid w:val="007C59C8"/>
    <w:rsid w:val="007C6B9A"/>
    <w:rsid w:val="007D0027"/>
    <w:rsid w:val="007D5BD8"/>
    <w:rsid w:val="007D6B0C"/>
    <w:rsid w:val="007E004F"/>
    <w:rsid w:val="007E1171"/>
    <w:rsid w:val="007E1AA2"/>
    <w:rsid w:val="007E1C8F"/>
    <w:rsid w:val="007E32C5"/>
    <w:rsid w:val="007E4701"/>
    <w:rsid w:val="007F1367"/>
    <w:rsid w:val="007F41A6"/>
    <w:rsid w:val="007F4A0F"/>
    <w:rsid w:val="007F5211"/>
    <w:rsid w:val="007F5414"/>
    <w:rsid w:val="007F655D"/>
    <w:rsid w:val="00803464"/>
    <w:rsid w:val="00812B3D"/>
    <w:rsid w:val="00815BCC"/>
    <w:rsid w:val="00820D4D"/>
    <w:rsid w:val="008218F2"/>
    <w:rsid w:val="00821AC8"/>
    <w:rsid w:val="0082282F"/>
    <w:rsid w:val="00822DDA"/>
    <w:rsid w:val="00823739"/>
    <w:rsid w:val="008270F4"/>
    <w:rsid w:val="00827813"/>
    <w:rsid w:val="00827D53"/>
    <w:rsid w:val="00834A23"/>
    <w:rsid w:val="00834B68"/>
    <w:rsid w:val="0083547D"/>
    <w:rsid w:val="00835EF6"/>
    <w:rsid w:val="0084049B"/>
    <w:rsid w:val="0084147A"/>
    <w:rsid w:val="00841C31"/>
    <w:rsid w:val="008435C8"/>
    <w:rsid w:val="00843980"/>
    <w:rsid w:val="00843C05"/>
    <w:rsid w:val="00844F84"/>
    <w:rsid w:val="00845AB5"/>
    <w:rsid w:val="008469A6"/>
    <w:rsid w:val="008516CB"/>
    <w:rsid w:val="00853520"/>
    <w:rsid w:val="0085583B"/>
    <w:rsid w:val="00857097"/>
    <w:rsid w:val="008570F3"/>
    <w:rsid w:val="008638CC"/>
    <w:rsid w:val="0086400B"/>
    <w:rsid w:val="00865D0A"/>
    <w:rsid w:val="008712AA"/>
    <w:rsid w:val="008721A6"/>
    <w:rsid w:val="0087706B"/>
    <w:rsid w:val="00877B6C"/>
    <w:rsid w:val="0088150B"/>
    <w:rsid w:val="00881D92"/>
    <w:rsid w:val="008824D1"/>
    <w:rsid w:val="0088431C"/>
    <w:rsid w:val="0088548E"/>
    <w:rsid w:val="008876E3"/>
    <w:rsid w:val="0089091D"/>
    <w:rsid w:val="00890B56"/>
    <w:rsid w:val="00892C5F"/>
    <w:rsid w:val="008952DC"/>
    <w:rsid w:val="008970DB"/>
    <w:rsid w:val="008976BE"/>
    <w:rsid w:val="008A0314"/>
    <w:rsid w:val="008A461E"/>
    <w:rsid w:val="008A71C6"/>
    <w:rsid w:val="008B0CC7"/>
    <w:rsid w:val="008B24EB"/>
    <w:rsid w:val="008B60FA"/>
    <w:rsid w:val="008B7D90"/>
    <w:rsid w:val="008C0C96"/>
    <w:rsid w:val="008C62E5"/>
    <w:rsid w:val="008D0B7B"/>
    <w:rsid w:val="008D3BF3"/>
    <w:rsid w:val="008D490C"/>
    <w:rsid w:val="008D52B5"/>
    <w:rsid w:val="008E0116"/>
    <w:rsid w:val="008E313B"/>
    <w:rsid w:val="008E54F0"/>
    <w:rsid w:val="008F2515"/>
    <w:rsid w:val="008F3599"/>
    <w:rsid w:val="008F5823"/>
    <w:rsid w:val="008F733B"/>
    <w:rsid w:val="009031E1"/>
    <w:rsid w:val="009046CD"/>
    <w:rsid w:val="009109CB"/>
    <w:rsid w:val="009109FA"/>
    <w:rsid w:val="00911B17"/>
    <w:rsid w:val="00912083"/>
    <w:rsid w:val="009135F5"/>
    <w:rsid w:val="00915282"/>
    <w:rsid w:val="009166A5"/>
    <w:rsid w:val="0093023A"/>
    <w:rsid w:val="00930336"/>
    <w:rsid w:val="00931AA7"/>
    <w:rsid w:val="0093696E"/>
    <w:rsid w:val="00936FAD"/>
    <w:rsid w:val="00937EAD"/>
    <w:rsid w:val="00941C93"/>
    <w:rsid w:val="00943CF0"/>
    <w:rsid w:val="00952850"/>
    <w:rsid w:val="00952859"/>
    <w:rsid w:val="0095345D"/>
    <w:rsid w:val="009563F2"/>
    <w:rsid w:val="00956C43"/>
    <w:rsid w:val="009621EF"/>
    <w:rsid w:val="00964215"/>
    <w:rsid w:val="009659F1"/>
    <w:rsid w:val="00965AFE"/>
    <w:rsid w:val="00965F09"/>
    <w:rsid w:val="00966D99"/>
    <w:rsid w:val="00967180"/>
    <w:rsid w:val="0096738E"/>
    <w:rsid w:val="00970813"/>
    <w:rsid w:val="00974F3A"/>
    <w:rsid w:val="00975309"/>
    <w:rsid w:val="00983867"/>
    <w:rsid w:val="009844B9"/>
    <w:rsid w:val="00984634"/>
    <w:rsid w:val="00984F78"/>
    <w:rsid w:val="00987556"/>
    <w:rsid w:val="00990B5F"/>
    <w:rsid w:val="00992B3E"/>
    <w:rsid w:val="009958D8"/>
    <w:rsid w:val="00995EA5"/>
    <w:rsid w:val="009A440A"/>
    <w:rsid w:val="009A6BAF"/>
    <w:rsid w:val="009B2DE8"/>
    <w:rsid w:val="009B3CC5"/>
    <w:rsid w:val="009B4766"/>
    <w:rsid w:val="009B66C0"/>
    <w:rsid w:val="009B7641"/>
    <w:rsid w:val="009C40D6"/>
    <w:rsid w:val="009C4393"/>
    <w:rsid w:val="009D03F6"/>
    <w:rsid w:val="009D7C2E"/>
    <w:rsid w:val="009E060A"/>
    <w:rsid w:val="009E2B66"/>
    <w:rsid w:val="009E57EC"/>
    <w:rsid w:val="009E5E42"/>
    <w:rsid w:val="009E6378"/>
    <w:rsid w:val="009E77C3"/>
    <w:rsid w:val="009F59DD"/>
    <w:rsid w:val="00A01764"/>
    <w:rsid w:val="00A02393"/>
    <w:rsid w:val="00A03305"/>
    <w:rsid w:val="00A035DF"/>
    <w:rsid w:val="00A04BDE"/>
    <w:rsid w:val="00A05813"/>
    <w:rsid w:val="00A06E95"/>
    <w:rsid w:val="00A10CAA"/>
    <w:rsid w:val="00A116C5"/>
    <w:rsid w:val="00A12634"/>
    <w:rsid w:val="00A174E9"/>
    <w:rsid w:val="00A21D9A"/>
    <w:rsid w:val="00A22AE7"/>
    <w:rsid w:val="00A242D5"/>
    <w:rsid w:val="00A2568A"/>
    <w:rsid w:val="00A262A9"/>
    <w:rsid w:val="00A303CB"/>
    <w:rsid w:val="00A33E02"/>
    <w:rsid w:val="00A34FF3"/>
    <w:rsid w:val="00A3623F"/>
    <w:rsid w:val="00A4353A"/>
    <w:rsid w:val="00A45AE8"/>
    <w:rsid w:val="00A46797"/>
    <w:rsid w:val="00A46D6C"/>
    <w:rsid w:val="00A50B6C"/>
    <w:rsid w:val="00A5173C"/>
    <w:rsid w:val="00A52F15"/>
    <w:rsid w:val="00A57B18"/>
    <w:rsid w:val="00A60910"/>
    <w:rsid w:val="00A63FEF"/>
    <w:rsid w:val="00A64D91"/>
    <w:rsid w:val="00A65735"/>
    <w:rsid w:val="00A6574D"/>
    <w:rsid w:val="00A659BC"/>
    <w:rsid w:val="00A66CEC"/>
    <w:rsid w:val="00A67704"/>
    <w:rsid w:val="00A67C45"/>
    <w:rsid w:val="00A7079C"/>
    <w:rsid w:val="00A721EB"/>
    <w:rsid w:val="00A77DF7"/>
    <w:rsid w:val="00A82DF7"/>
    <w:rsid w:val="00A852F1"/>
    <w:rsid w:val="00A86F93"/>
    <w:rsid w:val="00A90128"/>
    <w:rsid w:val="00A91C92"/>
    <w:rsid w:val="00A92144"/>
    <w:rsid w:val="00A932B4"/>
    <w:rsid w:val="00A94A48"/>
    <w:rsid w:val="00A956E2"/>
    <w:rsid w:val="00AA58BC"/>
    <w:rsid w:val="00AA5D5C"/>
    <w:rsid w:val="00AA6B58"/>
    <w:rsid w:val="00AA7CAC"/>
    <w:rsid w:val="00AB0CE6"/>
    <w:rsid w:val="00AB17C0"/>
    <w:rsid w:val="00AB18A2"/>
    <w:rsid w:val="00AB5837"/>
    <w:rsid w:val="00AC0B31"/>
    <w:rsid w:val="00AC0B7C"/>
    <w:rsid w:val="00AC26C6"/>
    <w:rsid w:val="00AC7BF4"/>
    <w:rsid w:val="00AC7FA1"/>
    <w:rsid w:val="00AD008D"/>
    <w:rsid w:val="00AD12D3"/>
    <w:rsid w:val="00AD2A5A"/>
    <w:rsid w:val="00AD36F7"/>
    <w:rsid w:val="00AD3BF7"/>
    <w:rsid w:val="00AD5A74"/>
    <w:rsid w:val="00AD6192"/>
    <w:rsid w:val="00AD7886"/>
    <w:rsid w:val="00AD795B"/>
    <w:rsid w:val="00AE6664"/>
    <w:rsid w:val="00AE6B49"/>
    <w:rsid w:val="00AE725A"/>
    <w:rsid w:val="00AF0D2F"/>
    <w:rsid w:val="00AF108E"/>
    <w:rsid w:val="00AF1655"/>
    <w:rsid w:val="00AF4E09"/>
    <w:rsid w:val="00B02E3A"/>
    <w:rsid w:val="00B05C83"/>
    <w:rsid w:val="00B17179"/>
    <w:rsid w:val="00B22D95"/>
    <w:rsid w:val="00B3010C"/>
    <w:rsid w:val="00B32C05"/>
    <w:rsid w:val="00B338A1"/>
    <w:rsid w:val="00B36E67"/>
    <w:rsid w:val="00B37BBF"/>
    <w:rsid w:val="00B41266"/>
    <w:rsid w:val="00B413F7"/>
    <w:rsid w:val="00B41698"/>
    <w:rsid w:val="00B42FD2"/>
    <w:rsid w:val="00B47C94"/>
    <w:rsid w:val="00B510F8"/>
    <w:rsid w:val="00B529F9"/>
    <w:rsid w:val="00B554EF"/>
    <w:rsid w:val="00B56609"/>
    <w:rsid w:val="00B649A9"/>
    <w:rsid w:val="00B67139"/>
    <w:rsid w:val="00B80BDF"/>
    <w:rsid w:val="00B8109B"/>
    <w:rsid w:val="00B8124C"/>
    <w:rsid w:val="00B82651"/>
    <w:rsid w:val="00B82ABF"/>
    <w:rsid w:val="00B83A5E"/>
    <w:rsid w:val="00B85239"/>
    <w:rsid w:val="00B8560B"/>
    <w:rsid w:val="00B86E8A"/>
    <w:rsid w:val="00B90054"/>
    <w:rsid w:val="00B9651B"/>
    <w:rsid w:val="00BA01E1"/>
    <w:rsid w:val="00BA03D4"/>
    <w:rsid w:val="00BA2341"/>
    <w:rsid w:val="00BA28DB"/>
    <w:rsid w:val="00BA56A5"/>
    <w:rsid w:val="00BB01EE"/>
    <w:rsid w:val="00BB10E0"/>
    <w:rsid w:val="00BB183C"/>
    <w:rsid w:val="00BB3667"/>
    <w:rsid w:val="00BB3A9B"/>
    <w:rsid w:val="00BB4C21"/>
    <w:rsid w:val="00BC1042"/>
    <w:rsid w:val="00BC5215"/>
    <w:rsid w:val="00BC5E81"/>
    <w:rsid w:val="00BD1A4E"/>
    <w:rsid w:val="00BD4DFA"/>
    <w:rsid w:val="00BE0D5A"/>
    <w:rsid w:val="00BE1C71"/>
    <w:rsid w:val="00BE3ED6"/>
    <w:rsid w:val="00BE4232"/>
    <w:rsid w:val="00BE52DF"/>
    <w:rsid w:val="00BE60DB"/>
    <w:rsid w:val="00BE6E77"/>
    <w:rsid w:val="00BF01AB"/>
    <w:rsid w:val="00BF12A2"/>
    <w:rsid w:val="00BF76A9"/>
    <w:rsid w:val="00BF7CFE"/>
    <w:rsid w:val="00C00D61"/>
    <w:rsid w:val="00C016FF"/>
    <w:rsid w:val="00C02323"/>
    <w:rsid w:val="00C02BE6"/>
    <w:rsid w:val="00C02C98"/>
    <w:rsid w:val="00C05C3E"/>
    <w:rsid w:val="00C06A72"/>
    <w:rsid w:val="00C126E1"/>
    <w:rsid w:val="00C138E2"/>
    <w:rsid w:val="00C1437F"/>
    <w:rsid w:val="00C14F19"/>
    <w:rsid w:val="00C1649C"/>
    <w:rsid w:val="00C35A67"/>
    <w:rsid w:val="00C379AC"/>
    <w:rsid w:val="00C462EB"/>
    <w:rsid w:val="00C477B0"/>
    <w:rsid w:val="00C478DF"/>
    <w:rsid w:val="00C501C5"/>
    <w:rsid w:val="00C526F1"/>
    <w:rsid w:val="00C543F8"/>
    <w:rsid w:val="00C5753A"/>
    <w:rsid w:val="00C57769"/>
    <w:rsid w:val="00C61204"/>
    <w:rsid w:val="00C616A7"/>
    <w:rsid w:val="00C65078"/>
    <w:rsid w:val="00C651E6"/>
    <w:rsid w:val="00C667D3"/>
    <w:rsid w:val="00C67F11"/>
    <w:rsid w:val="00C71D8E"/>
    <w:rsid w:val="00C72B21"/>
    <w:rsid w:val="00C7301B"/>
    <w:rsid w:val="00C730A2"/>
    <w:rsid w:val="00C74DB9"/>
    <w:rsid w:val="00C74DE1"/>
    <w:rsid w:val="00C8047F"/>
    <w:rsid w:val="00C80C27"/>
    <w:rsid w:val="00C82214"/>
    <w:rsid w:val="00C82B4C"/>
    <w:rsid w:val="00C8441D"/>
    <w:rsid w:val="00C8684F"/>
    <w:rsid w:val="00C90B72"/>
    <w:rsid w:val="00C92F8F"/>
    <w:rsid w:val="00C93531"/>
    <w:rsid w:val="00C9519C"/>
    <w:rsid w:val="00C95500"/>
    <w:rsid w:val="00CA0EC5"/>
    <w:rsid w:val="00CA469B"/>
    <w:rsid w:val="00CA5D98"/>
    <w:rsid w:val="00CA664D"/>
    <w:rsid w:val="00CB0E5A"/>
    <w:rsid w:val="00CB1446"/>
    <w:rsid w:val="00CB17F4"/>
    <w:rsid w:val="00CB24F5"/>
    <w:rsid w:val="00CB277D"/>
    <w:rsid w:val="00CB29D5"/>
    <w:rsid w:val="00CB3843"/>
    <w:rsid w:val="00CB3B10"/>
    <w:rsid w:val="00CB67E9"/>
    <w:rsid w:val="00CC495E"/>
    <w:rsid w:val="00CC4A39"/>
    <w:rsid w:val="00CC4F16"/>
    <w:rsid w:val="00CC518B"/>
    <w:rsid w:val="00CC56C6"/>
    <w:rsid w:val="00CC62AD"/>
    <w:rsid w:val="00CC6FB6"/>
    <w:rsid w:val="00CC7ED0"/>
    <w:rsid w:val="00CD122D"/>
    <w:rsid w:val="00CD784A"/>
    <w:rsid w:val="00CD7A36"/>
    <w:rsid w:val="00CE06B7"/>
    <w:rsid w:val="00CE3088"/>
    <w:rsid w:val="00CE5F17"/>
    <w:rsid w:val="00CE72A1"/>
    <w:rsid w:val="00CE7A24"/>
    <w:rsid w:val="00CF20B0"/>
    <w:rsid w:val="00CF27CB"/>
    <w:rsid w:val="00CF3D14"/>
    <w:rsid w:val="00CF4697"/>
    <w:rsid w:val="00CF4F7D"/>
    <w:rsid w:val="00CF5930"/>
    <w:rsid w:val="00D00E0F"/>
    <w:rsid w:val="00D0244B"/>
    <w:rsid w:val="00D025E3"/>
    <w:rsid w:val="00D056C9"/>
    <w:rsid w:val="00D110C6"/>
    <w:rsid w:val="00D117C1"/>
    <w:rsid w:val="00D117D8"/>
    <w:rsid w:val="00D1258A"/>
    <w:rsid w:val="00D142FB"/>
    <w:rsid w:val="00D16A9B"/>
    <w:rsid w:val="00D16D33"/>
    <w:rsid w:val="00D17265"/>
    <w:rsid w:val="00D175A4"/>
    <w:rsid w:val="00D2073C"/>
    <w:rsid w:val="00D2201F"/>
    <w:rsid w:val="00D23989"/>
    <w:rsid w:val="00D23C6A"/>
    <w:rsid w:val="00D2469D"/>
    <w:rsid w:val="00D2561A"/>
    <w:rsid w:val="00D263BB"/>
    <w:rsid w:val="00D267EF"/>
    <w:rsid w:val="00D27DF3"/>
    <w:rsid w:val="00D27F8C"/>
    <w:rsid w:val="00D318CF"/>
    <w:rsid w:val="00D34082"/>
    <w:rsid w:val="00D40412"/>
    <w:rsid w:val="00D41C0E"/>
    <w:rsid w:val="00D423B7"/>
    <w:rsid w:val="00D4361A"/>
    <w:rsid w:val="00D44392"/>
    <w:rsid w:val="00D4455D"/>
    <w:rsid w:val="00D46368"/>
    <w:rsid w:val="00D46550"/>
    <w:rsid w:val="00D46D22"/>
    <w:rsid w:val="00D60CAF"/>
    <w:rsid w:val="00D636B5"/>
    <w:rsid w:val="00D63F38"/>
    <w:rsid w:val="00D676A4"/>
    <w:rsid w:val="00D67911"/>
    <w:rsid w:val="00D70CE4"/>
    <w:rsid w:val="00D73422"/>
    <w:rsid w:val="00D73879"/>
    <w:rsid w:val="00D81F9A"/>
    <w:rsid w:val="00D82454"/>
    <w:rsid w:val="00D841AD"/>
    <w:rsid w:val="00D852EE"/>
    <w:rsid w:val="00D85984"/>
    <w:rsid w:val="00D87880"/>
    <w:rsid w:val="00D91014"/>
    <w:rsid w:val="00D9576B"/>
    <w:rsid w:val="00D966BA"/>
    <w:rsid w:val="00D97C0A"/>
    <w:rsid w:val="00DA0F61"/>
    <w:rsid w:val="00DA3E89"/>
    <w:rsid w:val="00DA5C5C"/>
    <w:rsid w:val="00DB3C07"/>
    <w:rsid w:val="00DB49C0"/>
    <w:rsid w:val="00DB5268"/>
    <w:rsid w:val="00DB6881"/>
    <w:rsid w:val="00DB7ECD"/>
    <w:rsid w:val="00DC757F"/>
    <w:rsid w:val="00DC790B"/>
    <w:rsid w:val="00DC7F5D"/>
    <w:rsid w:val="00DD3161"/>
    <w:rsid w:val="00DD3A10"/>
    <w:rsid w:val="00DD3C5E"/>
    <w:rsid w:val="00DD3D17"/>
    <w:rsid w:val="00DE0B98"/>
    <w:rsid w:val="00DE0FA8"/>
    <w:rsid w:val="00DE44EF"/>
    <w:rsid w:val="00DE63E3"/>
    <w:rsid w:val="00DF38A0"/>
    <w:rsid w:val="00DF565E"/>
    <w:rsid w:val="00DF79ED"/>
    <w:rsid w:val="00E009CC"/>
    <w:rsid w:val="00E00C63"/>
    <w:rsid w:val="00E01701"/>
    <w:rsid w:val="00E022E2"/>
    <w:rsid w:val="00E02C40"/>
    <w:rsid w:val="00E10D23"/>
    <w:rsid w:val="00E11CE9"/>
    <w:rsid w:val="00E130FD"/>
    <w:rsid w:val="00E215A6"/>
    <w:rsid w:val="00E23D19"/>
    <w:rsid w:val="00E258F1"/>
    <w:rsid w:val="00E2671D"/>
    <w:rsid w:val="00E31BD9"/>
    <w:rsid w:val="00E34F65"/>
    <w:rsid w:val="00E35CF2"/>
    <w:rsid w:val="00E37CC6"/>
    <w:rsid w:val="00E41CAA"/>
    <w:rsid w:val="00E44162"/>
    <w:rsid w:val="00E44E65"/>
    <w:rsid w:val="00E46853"/>
    <w:rsid w:val="00E54A70"/>
    <w:rsid w:val="00E55990"/>
    <w:rsid w:val="00E6154B"/>
    <w:rsid w:val="00E62ADA"/>
    <w:rsid w:val="00E62E8A"/>
    <w:rsid w:val="00E64BEA"/>
    <w:rsid w:val="00E6674B"/>
    <w:rsid w:val="00E71E3E"/>
    <w:rsid w:val="00E726D9"/>
    <w:rsid w:val="00E75F16"/>
    <w:rsid w:val="00E81D0F"/>
    <w:rsid w:val="00E82598"/>
    <w:rsid w:val="00E84022"/>
    <w:rsid w:val="00E84A53"/>
    <w:rsid w:val="00E87166"/>
    <w:rsid w:val="00E90A69"/>
    <w:rsid w:val="00E90D61"/>
    <w:rsid w:val="00E9120F"/>
    <w:rsid w:val="00E91E1E"/>
    <w:rsid w:val="00E926A3"/>
    <w:rsid w:val="00E9401C"/>
    <w:rsid w:val="00E9675B"/>
    <w:rsid w:val="00EA43D2"/>
    <w:rsid w:val="00EA48C9"/>
    <w:rsid w:val="00EA51D8"/>
    <w:rsid w:val="00EA6343"/>
    <w:rsid w:val="00EB364B"/>
    <w:rsid w:val="00EB378E"/>
    <w:rsid w:val="00EB395C"/>
    <w:rsid w:val="00EB4C7F"/>
    <w:rsid w:val="00EB7AF7"/>
    <w:rsid w:val="00EC261F"/>
    <w:rsid w:val="00ED094D"/>
    <w:rsid w:val="00ED1316"/>
    <w:rsid w:val="00ED4394"/>
    <w:rsid w:val="00ED47DA"/>
    <w:rsid w:val="00ED4B98"/>
    <w:rsid w:val="00ED763D"/>
    <w:rsid w:val="00EE1D16"/>
    <w:rsid w:val="00EE1DA5"/>
    <w:rsid w:val="00EE4E90"/>
    <w:rsid w:val="00EE5D55"/>
    <w:rsid w:val="00EE6DDE"/>
    <w:rsid w:val="00EE7107"/>
    <w:rsid w:val="00EE76C4"/>
    <w:rsid w:val="00EF0BEA"/>
    <w:rsid w:val="00EF242E"/>
    <w:rsid w:val="00EF264B"/>
    <w:rsid w:val="00EF401A"/>
    <w:rsid w:val="00EF606D"/>
    <w:rsid w:val="00F0425A"/>
    <w:rsid w:val="00F057D5"/>
    <w:rsid w:val="00F075FE"/>
    <w:rsid w:val="00F1090D"/>
    <w:rsid w:val="00F10DC5"/>
    <w:rsid w:val="00F10F3F"/>
    <w:rsid w:val="00F11CBB"/>
    <w:rsid w:val="00F13BA9"/>
    <w:rsid w:val="00F151B5"/>
    <w:rsid w:val="00F17913"/>
    <w:rsid w:val="00F200BD"/>
    <w:rsid w:val="00F217D1"/>
    <w:rsid w:val="00F219F0"/>
    <w:rsid w:val="00F21C0F"/>
    <w:rsid w:val="00F26D92"/>
    <w:rsid w:val="00F278FC"/>
    <w:rsid w:val="00F31BEB"/>
    <w:rsid w:val="00F32882"/>
    <w:rsid w:val="00F34CDC"/>
    <w:rsid w:val="00F36B3C"/>
    <w:rsid w:val="00F449B6"/>
    <w:rsid w:val="00F45068"/>
    <w:rsid w:val="00F45E1A"/>
    <w:rsid w:val="00F471F7"/>
    <w:rsid w:val="00F50A51"/>
    <w:rsid w:val="00F522B5"/>
    <w:rsid w:val="00F53572"/>
    <w:rsid w:val="00F53B17"/>
    <w:rsid w:val="00F55265"/>
    <w:rsid w:val="00F553FE"/>
    <w:rsid w:val="00F64617"/>
    <w:rsid w:val="00F71A1D"/>
    <w:rsid w:val="00F7347C"/>
    <w:rsid w:val="00F836AA"/>
    <w:rsid w:val="00F852C7"/>
    <w:rsid w:val="00F85E42"/>
    <w:rsid w:val="00F86983"/>
    <w:rsid w:val="00F937B3"/>
    <w:rsid w:val="00F9649F"/>
    <w:rsid w:val="00FA6FC2"/>
    <w:rsid w:val="00FB1EEC"/>
    <w:rsid w:val="00FB380D"/>
    <w:rsid w:val="00FB3859"/>
    <w:rsid w:val="00FB4724"/>
    <w:rsid w:val="00FB531A"/>
    <w:rsid w:val="00FB6F37"/>
    <w:rsid w:val="00FB7724"/>
    <w:rsid w:val="00FB78EA"/>
    <w:rsid w:val="00FC0309"/>
    <w:rsid w:val="00FC04C6"/>
    <w:rsid w:val="00FC2171"/>
    <w:rsid w:val="00FC2ED6"/>
    <w:rsid w:val="00FC4805"/>
    <w:rsid w:val="00FC4B76"/>
    <w:rsid w:val="00FC5652"/>
    <w:rsid w:val="00FC5822"/>
    <w:rsid w:val="00FD1F78"/>
    <w:rsid w:val="00FD33C0"/>
    <w:rsid w:val="00FD41C8"/>
    <w:rsid w:val="00FD7B39"/>
    <w:rsid w:val="00FE063B"/>
    <w:rsid w:val="00FE2C1D"/>
    <w:rsid w:val="00FE48BE"/>
    <w:rsid w:val="00FE4CF7"/>
    <w:rsid w:val="00FE6C0D"/>
    <w:rsid w:val="00FF2C24"/>
    <w:rsid w:val="00FF4CB5"/>
    <w:rsid w:val="00FF611A"/>
    <w:rsid w:val="00FF78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9E5C3-AF72-43C5-A42E-82300C9D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D0"/>
    <w:pPr>
      <w:spacing w:after="160" w:line="259" w:lineRule="auto"/>
    </w:pPr>
    <w:rPr>
      <w:lang w:val="pl-PL"/>
    </w:rPr>
  </w:style>
  <w:style w:type="paragraph" w:styleId="Heading2">
    <w:name w:val="heading 2"/>
    <w:basedOn w:val="Normal"/>
    <w:link w:val="Heading2Char"/>
    <w:uiPriority w:val="9"/>
    <w:qFormat/>
    <w:rsid w:val="006C70D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0D0"/>
    <w:rPr>
      <w:sz w:val="16"/>
      <w:szCs w:val="16"/>
    </w:rPr>
  </w:style>
  <w:style w:type="paragraph" w:styleId="CommentText">
    <w:name w:val="annotation text"/>
    <w:basedOn w:val="Normal"/>
    <w:link w:val="CommentTextChar"/>
    <w:uiPriority w:val="99"/>
    <w:semiHidden/>
    <w:unhideWhenUsed/>
    <w:rsid w:val="006C70D0"/>
    <w:pPr>
      <w:spacing w:line="240" w:lineRule="auto"/>
    </w:pPr>
    <w:rPr>
      <w:sz w:val="20"/>
      <w:szCs w:val="20"/>
    </w:rPr>
  </w:style>
  <w:style w:type="character" w:customStyle="1" w:styleId="CommentTextChar">
    <w:name w:val="Comment Text Char"/>
    <w:basedOn w:val="DefaultParagraphFont"/>
    <w:link w:val="CommentText"/>
    <w:uiPriority w:val="99"/>
    <w:semiHidden/>
    <w:rsid w:val="006C70D0"/>
    <w:rPr>
      <w:sz w:val="20"/>
      <w:szCs w:val="20"/>
      <w:lang w:val="pl-PL"/>
    </w:rPr>
  </w:style>
  <w:style w:type="paragraph" w:styleId="FootnoteText">
    <w:name w:val="footnote text"/>
    <w:basedOn w:val="Normal"/>
    <w:link w:val="FootnoteTextChar"/>
    <w:uiPriority w:val="99"/>
    <w:semiHidden/>
    <w:unhideWhenUsed/>
    <w:rsid w:val="006C7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0D0"/>
    <w:rPr>
      <w:sz w:val="20"/>
      <w:szCs w:val="20"/>
      <w:lang w:val="pl-PL"/>
    </w:rPr>
  </w:style>
  <w:style w:type="character" w:styleId="FootnoteReference">
    <w:name w:val="footnote reference"/>
    <w:basedOn w:val="DefaultParagraphFont"/>
    <w:uiPriority w:val="99"/>
    <w:semiHidden/>
    <w:unhideWhenUsed/>
    <w:rsid w:val="006C70D0"/>
    <w:rPr>
      <w:vertAlign w:val="superscript"/>
    </w:rPr>
  </w:style>
  <w:style w:type="paragraph" w:styleId="BalloonText">
    <w:name w:val="Balloon Text"/>
    <w:basedOn w:val="Normal"/>
    <w:link w:val="BalloonTextChar"/>
    <w:uiPriority w:val="99"/>
    <w:semiHidden/>
    <w:unhideWhenUsed/>
    <w:rsid w:val="006C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D0"/>
    <w:rPr>
      <w:rFonts w:ascii="Tahoma" w:hAnsi="Tahoma" w:cs="Tahoma"/>
      <w:sz w:val="16"/>
      <w:szCs w:val="16"/>
      <w:lang w:val="pl-PL"/>
    </w:rPr>
  </w:style>
  <w:style w:type="character" w:customStyle="1" w:styleId="Heading2Char">
    <w:name w:val="Heading 2 Char"/>
    <w:basedOn w:val="DefaultParagraphFont"/>
    <w:link w:val="Heading2"/>
    <w:uiPriority w:val="9"/>
    <w:rsid w:val="006C70D0"/>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6C70D0"/>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6C70D0"/>
    <w:rPr>
      <w:b/>
      <w:bCs/>
    </w:rPr>
  </w:style>
  <w:style w:type="character" w:customStyle="1" w:styleId="font-20">
    <w:name w:val="font-20"/>
    <w:basedOn w:val="DefaultParagraphFont"/>
    <w:rsid w:val="00495A4A"/>
  </w:style>
  <w:style w:type="paragraph" w:styleId="Header">
    <w:name w:val="header"/>
    <w:basedOn w:val="Normal"/>
    <w:link w:val="HeaderChar"/>
    <w:uiPriority w:val="99"/>
    <w:semiHidden/>
    <w:unhideWhenUsed/>
    <w:rsid w:val="002559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591A"/>
    <w:rPr>
      <w:lang w:val="pl-PL"/>
    </w:rPr>
  </w:style>
  <w:style w:type="paragraph" w:styleId="Footer">
    <w:name w:val="footer"/>
    <w:basedOn w:val="Normal"/>
    <w:link w:val="FooterChar"/>
    <w:uiPriority w:val="99"/>
    <w:unhideWhenUsed/>
    <w:rsid w:val="00255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1A"/>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7E7B1-9BE7-412C-8126-6924D2CEE75E}"/>
</file>

<file path=customXml/itemProps2.xml><?xml version="1.0" encoding="utf-8"?>
<ds:datastoreItem xmlns:ds="http://schemas.openxmlformats.org/officeDocument/2006/customXml" ds:itemID="{CCC48FD8-C89A-41CC-B7A0-477D645C4597}"/>
</file>

<file path=customXml/itemProps3.xml><?xml version="1.0" encoding="utf-8"?>
<ds:datastoreItem xmlns:ds="http://schemas.openxmlformats.org/officeDocument/2006/customXml" ds:itemID="{4EF3D3D2-9BCF-4B6F-A6D3-2FA6F931BA21}"/>
</file>

<file path=docProps/app.xml><?xml version="1.0" encoding="utf-8"?>
<Properties xmlns="http://schemas.openxmlformats.org/officeDocument/2006/extended-properties" xmlns:vt="http://schemas.openxmlformats.org/officeDocument/2006/docPropsVTypes">
  <Template>Normal</Template>
  <TotalTime>59</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Rights Initiative in English (Word)</dc:title>
  <dc:creator>Crea</dc:creator>
  <cp:lastModifiedBy>Neha Sood</cp:lastModifiedBy>
  <cp:revision>5</cp:revision>
  <dcterms:created xsi:type="dcterms:W3CDTF">2015-07-02T05:30:00Z</dcterms:created>
  <dcterms:modified xsi:type="dcterms:W3CDTF">2015-07-02T08:04:00Z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